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CE" w:rsidRPr="007C1678" w:rsidRDefault="00846ACE" w:rsidP="00846ACE">
      <w:pPr>
        <w:spacing w:after="0" w:line="240" w:lineRule="auto"/>
        <w:jc w:val="center"/>
        <w:rPr>
          <w:rFonts w:ascii="Arial" w:eastAsia="Times New Roman" w:hAnsi="Arial" w:cs="Arial"/>
          <w:b/>
        </w:rPr>
      </w:pPr>
      <w:bookmarkStart w:id="0" w:name="_GoBack"/>
      <w:bookmarkEnd w:id="0"/>
      <w:r w:rsidRPr="007C1678">
        <w:rPr>
          <w:rFonts w:ascii="Arial" w:eastAsia="Times New Roman" w:hAnsi="Arial" w:cs="Arial"/>
          <w:b/>
        </w:rPr>
        <w:t>BEFORE</w:t>
      </w:r>
    </w:p>
    <w:p w:rsidR="00846ACE" w:rsidRPr="007C1678" w:rsidRDefault="00846ACE" w:rsidP="00846ACE">
      <w:pPr>
        <w:spacing w:after="0" w:line="240" w:lineRule="auto"/>
        <w:jc w:val="center"/>
        <w:rPr>
          <w:rFonts w:ascii="Arial" w:eastAsia="Times New Roman" w:hAnsi="Arial" w:cs="Arial"/>
          <w:b/>
        </w:rPr>
      </w:pPr>
      <w:r w:rsidRPr="007C1678">
        <w:rPr>
          <w:rFonts w:ascii="Arial" w:eastAsia="Times New Roman" w:hAnsi="Arial" w:cs="Arial"/>
          <w:b/>
        </w:rPr>
        <w:t>THE PUBLIC UTILITIES COMMISSION OF OHIO</w:t>
      </w:r>
    </w:p>
    <w:p w:rsidR="00846ACE" w:rsidRPr="007C1678" w:rsidRDefault="00846ACE" w:rsidP="00846ACE">
      <w:pPr>
        <w:spacing w:after="0" w:line="240" w:lineRule="auto"/>
        <w:jc w:val="center"/>
        <w:rPr>
          <w:rFonts w:ascii="Arial" w:eastAsia="Times New Roman" w:hAnsi="Arial" w:cs="Arial"/>
          <w:b/>
        </w:rPr>
      </w:pPr>
    </w:p>
    <w:tbl>
      <w:tblPr>
        <w:tblW w:w="9092" w:type="dxa"/>
        <w:tblLook w:val="01E0" w:firstRow="1" w:lastRow="1" w:firstColumn="1" w:lastColumn="1" w:noHBand="0" w:noVBand="0"/>
      </w:tblPr>
      <w:tblGrid>
        <w:gridCol w:w="4332"/>
        <w:gridCol w:w="360"/>
        <w:gridCol w:w="4400"/>
      </w:tblGrid>
      <w:tr w:rsidR="00846ACE" w:rsidRPr="007C1678" w:rsidTr="00552A83">
        <w:trPr>
          <w:trHeight w:val="807"/>
        </w:trPr>
        <w:tc>
          <w:tcPr>
            <w:tcW w:w="4332" w:type="dxa"/>
          </w:tcPr>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In the Matter of the Application of The</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Dayton Power and Light Company for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Approval of its Market Rate Offer.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In the Matter of the Application of The</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Dayton Power and Light Company for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Approval of Revised Tariffs.</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In the Matter of the Application of The</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Dayton Power and Light Company for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Approval of Certain Accounting</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Authority.</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In the Matter of the Application of The</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Dayton Power and Light Company for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Waiver of Certain Commission Rules.</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In the Matter of the Application of The</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Dayton Power and Light Company to</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r w:rsidRPr="007C1678">
              <w:rPr>
                <w:rFonts w:ascii="Arial" w:eastAsia="Times New Roman" w:hAnsi="Arial" w:cs="Arial"/>
              </w:rPr>
              <w:t>Establish Tariff Riders.</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tc>
        <w:tc>
          <w:tcPr>
            <w:tcW w:w="360" w:type="dxa"/>
          </w:tcPr>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w:t>
            </w:r>
          </w:p>
        </w:tc>
        <w:tc>
          <w:tcPr>
            <w:tcW w:w="4400" w:type="dxa"/>
          </w:tcPr>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r w:rsidRPr="007C1678">
              <w:rPr>
                <w:rFonts w:ascii="Arial" w:eastAsia="Times New Roman" w:hAnsi="Arial" w:cs="Arial"/>
                <w:lang w:val="es-ES"/>
              </w:rPr>
              <w:t>Case No. 12-426-EL-SSO</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r w:rsidRPr="007C1678">
              <w:rPr>
                <w:rFonts w:ascii="Arial" w:eastAsia="Times New Roman" w:hAnsi="Arial" w:cs="Arial"/>
                <w:lang w:val="es-ES"/>
              </w:rPr>
              <w:t>Case No. 12-427-EL-ATA</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r w:rsidRPr="007C1678">
              <w:rPr>
                <w:rFonts w:ascii="Arial" w:eastAsia="Times New Roman" w:hAnsi="Arial" w:cs="Arial"/>
                <w:lang w:val="es-ES"/>
              </w:rPr>
              <w:t>Case No. 12-428-EL-AAM</w:t>
            </w: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r w:rsidRPr="007C1678">
              <w:rPr>
                <w:rFonts w:ascii="Arial" w:eastAsia="Times New Roman" w:hAnsi="Arial" w:cs="Arial"/>
                <w:lang w:val="es-ES"/>
              </w:rPr>
              <w:t>Case No. 12-429-EL-WVR</w:t>
            </w:r>
          </w:p>
          <w:p w:rsidR="00846ACE" w:rsidRPr="007C1678" w:rsidRDefault="00846ACE" w:rsidP="00552A83">
            <w:pPr>
              <w:rPr>
                <w:rFonts w:ascii="Arial"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p>
          <w:p w:rsidR="00846ACE" w:rsidRPr="007C1678" w:rsidRDefault="00846ACE" w:rsidP="00552A83">
            <w:pPr>
              <w:autoSpaceDE w:val="0"/>
              <w:autoSpaceDN w:val="0"/>
              <w:adjustRightInd w:val="0"/>
              <w:spacing w:after="0" w:line="240" w:lineRule="auto"/>
              <w:jc w:val="left"/>
              <w:rPr>
                <w:rFonts w:ascii="Arial" w:eastAsia="Times New Roman" w:hAnsi="Arial" w:cs="Arial"/>
                <w:lang w:val="es-ES"/>
              </w:rPr>
            </w:pPr>
          </w:p>
          <w:p w:rsidR="00846ACE" w:rsidRPr="007C1678" w:rsidRDefault="00846ACE" w:rsidP="0055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7C1678">
              <w:rPr>
                <w:rFonts w:ascii="Arial" w:eastAsia="Times New Roman" w:hAnsi="Arial" w:cs="Arial"/>
              </w:rPr>
              <w:t>Case No. 12-672-EL-RDR</w:t>
            </w:r>
          </w:p>
          <w:p w:rsidR="00846ACE" w:rsidRPr="007C1678" w:rsidRDefault="00846ACE" w:rsidP="00552A83">
            <w:pPr>
              <w:autoSpaceDE w:val="0"/>
              <w:autoSpaceDN w:val="0"/>
              <w:adjustRightInd w:val="0"/>
              <w:spacing w:after="0" w:line="240" w:lineRule="auto"/>
              <w:jc w:val="left"/>
              <w:rPr>
                <w:rFonts w:ascii="Arial" w:eastAsia="Times New Roman" w:hAnsi="Arial" w:cs="Arial"/>
              </w:rPr>
            </w:pPr>
          </w:p>
        </w:tc>
      </w:tr>
    </w:tbl>
    <w:p w:rsidR="00846ACE" w:rsidRPr="007C1678" w:rsidRDefault="00846ACE" w:rsidP="00846ACE">
      <w:pPr>
        <w:spacing w:after="0" w:line="240" w:lineRule="auto"/>
        <w:jc w:val="left"/>
        <w:rPr>
          <w:rFonts w:ascii="Arial" w:eastAsia="Times New Roman" w:hAnsi="Arial" w:cs="Arial"/>
        </w:rPr>
      </w:pPr>
    </w:p>
    <w:p w:rsidR="00846ACE" w:rsidRPr="007C1678" w:rsidRDefault="00846ACE" w:rsidP="00846ACE">
      <w:pPr>
        <w:pBdr>
          <w:top w:val="single" w:sz="12" w:space="1" w:color="auto"/>
        </w:pBdr>
        <w:tabs>
          <w:tab w:val="left" w:pos="4320"/>
        </w:tabs>
        <w:spacing w:after="0" w:line="240" w:lineRule="auto"/>
        <w:jc w:val="center"/>
        <w:rPr>
          <w:rFonts w:ascii="Arial" w:eastAsia="Times New Roman" w:hAnsi="Arial" w:cs="Arial"/>
          <w:b/>
          <w:bCs/>
        </w:rPr>
      </w:pPr>
    </w:p>
    <w:p w:rsidR="00846ACE" w:rsidRPr="007C1678" w:rsidRDefault="00846ACE" w:rsidP="00846ACE">
      <w:pPr>
        <w:pBdr>
          <w:top w:val="single" w:sz="12" w:space="1" w:color="auto"/>
        </w:pBdr>
        <w:tabs>
          <w:tab w:val="left" w:pos="4320"/>
        </w:tabs>
        <w:spacing w:after="0" w:line="240" w:lineRule="auto"/>
        <w:jc w:val="center"/>
        <w:rPr>
          <w:rFonts w:ascii="Arial" w:eastAsia="Times New Roman" w:hAnsi="Arial" w:cs="Arial"/>
          <w:b/>
          <w:bCs/>
        </w:rPr>
      </w:pPr>
      <w:r w:rsidRPr="007C1678">
        <w:rPr>
          <w:rFonts w:ascii="Arial" w:eastAsia="Times New Roman" w:hAnsi="Arial" w:cs="Arial"/>
          <w:b/>
          <w:bCs/>
        </w:rPr>
        <w:t xml:space="preserve">REPLY OF </w:t>
      </w:r>
      <w:r w:rsidR="00843650">
        <w:rPr>
          <w:rFonts w:ascii="Arial" w:eastAsia="Times New Roman" w:hAnsi="Arial" w:cs="Arial"/>
          <w:b/>
          <w:bCs/>
        </w:rPr>
        <w:t xml:space="preserve">JOINT </w:t>
      </w:r>
      <w:r w:rsidRPr="007C1678">
        <w:rPr>
          <w:rFonts w:ascii="Arial" w:eastAsia="Times New Roman" w:hAnsi="Arial" w:cs="Arial"/>
          <w:b/>
          <w:bCs/>
        </w:rPr>
        <w:t>MOVANTS TO MEMORANDUM CONTRA OF THE DAYTON POWER AND LIGHT COMPANY TO MOTION FOR A STAY</w:t>
      </w:r>
    </w:p>
    <w:p w:rsidR="00846ACE" w:rsidRPr="007C1678" w:rsidRDefault="00846ACE" w:rsidP="00846ACE">
      <w:pPr>
        <w:pBdr>
          <w:top w:val="single" w:sz="12" w:space="1" w:color="auto"/>
        </w:pBdr>
        <w:tabs>
          <w:tab w:val="left" w:pos="4320"/>
        </w:tabs>
        <w:spacing w:after="0" w:line="240" w:lineRule="auto"/>
        <w:jc w:val="center"/>
        <w:rPr>
          <w:rFonts w:ascii="Arial" w:eastAsia="Times New Roman" w:hAnsi="Arial" w:cs="Arial"/>
          <w:b/>
          <w:bCs/>
        </w:rPr>
      </w:pPr>
      <w:r w:rsidRPr="007C1678">
        <w:rPr>
          <w:rFonts w:ascii="Arial" w:eastAsia="Times New Roman" w:hAnsi="Arial" w:cs="Arial"/>
          <w:b/>
          <w:bCs/>
        </w:rPr>
        <w:t>OR, IN THE ALTERNATIVE,</w:t>
      </w:r>
    </w:p>
    <w:p w:rsidR="00846ACE" w:rsidRPr="007C1678" w:rsidRDefault="00846ACE" w:rsidP="00846ACE">
      <w:pPr>
        <w:pBdr>
          <w:bottom w:val="single" w:sz="12" w:space="1" w:color="auto"/>
        </w:pBdr>
        <w:spacing w:after="0" w:line="240" w:lineRule="auto"/>
        <w:ind w:firstLine="720"/>
        <w:jc w:val="center"/>
        <w:rPr>
          <w:rFonts w:ascii="Arial" w:eastAsia="Times New Roman" w:hAnsi="Arial" w:cs="Arial"/>
          <w:b/>
          <w:bCs/>
        </w:rPr>
      </w:pPr>
      <w:r w:rsidRPr="007C1678">
        <w:rPr>
          <w:rFonts w:ascii="Arial" w:eastAsia="Times New Roman" w:hAnsi="Arial" w:cs="Arial"/>
          <w:b/>
          <w:bCs/>
        </w:rPr>
        <w:t xml:space="preserve">MOTION TO MAKE DP&amp;L’S RATES FOR CHARGING THE SERVICE STABILITY RIDER COSTS TO CUSTOMERS SUBJECT TO REFUND </w:t>
      </w:r>
    </w:p>
    <w:p w:rsidR="00846ACE" w:rsidRPr="007C1678" w:rsidRDefault="00846ACE" w:rsidP="00846ACE">
      <w:pPr>
        <w:pBdr>
          <w:bottom w:val="single" w:sz="12" w:space="1" w:color="auto"/>
        </w:pBdr>
        <w:spacing w:line="240" w:lineRule="auto"/>
        <w:ind w:firstLine="720"/>
        <w:jc w:val="center"/>
        <w:rPr>
          <w:rFonts w:ascii="Arial" w:eastAsia="Times New Roman" w:hAnsi="Arial" w:cs="Arial"/>
          <w:b/>
          <w:bCs/>
        </w:rPr>
      </w:pPr>
    </w:p>
    <w:p w:rsidR="007E7BDA" w:rsidRDefault="007E7BDA" w:rsidP="007E7BDA">
      <w:pPr>
        <w:spacing w:after="0" w:line="240" w:lineRule="auto"/>
        <w:jc w:val="left"/>
        <w:rPr>
          <w:rFonts w:ascii="Arial" w:eastAsia="Times New Roman" w:hAnsi="Arial" w:cs="Arial"/>
          <w:b/>
        </w:rPr>
        <w:sectPr w:rsidR="007E7BDA" w:rsidSect="00AF4A9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846ACE" w:rsidRPr="00602275" w:rsidRDefault="00846ACE" w:rsidP="007E7BDA">
      <w:pPr>
        <w:spacing w:after="0" w:line="240" w:lineRule="auto"/>
        <w:jc w:val="left"/>
        <w:rPr>
          <w:rFonts w:ascii="Arial" w:eastAsia="Times New Roman" w:hAnsi="Arial" w:cs="Arial"/>
          <w:b/>
          <w:sz w:val="2"/>
          <w:szCs w:val="2"/>
        </w:rPr>
      </w:pP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Samuel C. Randazzo</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(Counsel of Record)</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Frank P. Darr</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Matthew R. Pritchard</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McNees Wallace &amp; Nurick LLC</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21 East State Street, 17th Floor</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Columbus, OH 43215-4228</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Telephone:  (614) 469-8000</w:t>
      </w:r>
    </w:p>
    <w:p w:rsidR="00550C8E" w:rsidRPr="00602275" w:rsidRDefault="00550C8E" w:rsidP="00550C8E">
      <w:pPr>
        <w:spacing w:after="0" w:line="240" w:lineRule="auto"/>
        <w:jc w:val="left"/>
        <w:rPr>
          <w:rFonts w:ascii="Arial" w:eastAsia="Times New Roman" w:hAnsi="Arial" w:cs="Arial"/>
        </w:rPr>
      </w:pPr>
      <w:r w:rsidRPr="00602275">
        <w:rPr>
          <w:rFonts w:ascii="Arial" w:eastAsia="Times New Roman" w:hAnsi="Arial" w:cs="Arial"/>
        </w:rPr>
        <w:t>Telecopier:  (614) 469-4653</w:t>
      </w:r>
    </w:p>
    <w:p w:rsidR="00550C8E" w:rsidRPr="00602275" w:rsidRDefault="0073792B" w:rsidP="00550C8E">
      <w:pPr>
        <w:spacing w:after="0" w:line="240" w:lineRule="auto"/>
        <w:jc w:val="left"/>
        <w:rPr>
          <w:rFonts w:ascii="Arial" w:eastAsia="Times New Roman" w:hAnsi="Arial" w:cs="Arial"/>
        </w:rPr>
      </w:pPr>
      <w:hyperlink r:id="rId15" w:history="1">
        <w:r w:rsidR="00550C8E" w:rsidRPr="00602275">
          <w:rPr>
            <w:rStyle w:val="Hyperlink"/>
            <w:rFonts w:ascii="Arial" w:eastAsia="Times New Roman" w:hAnsi="Arial" w:cs="Arial"/>
            <w:color w:val="auto"/>
            <w:u w:val="none"/>
          </w:rPr>
          <w:t>sam@mwncmh.com</w:t>
        </w:r>
      </w:hyperlink>
    </w:p>
    <w:p w:rsidR="00550C8E" w:rsidRPr="00602275" w:rsidRDefault="0073792B" w:rsidP="00550C8E">
      <w:pPr>
        <w:spacing w:after="0" w:line="240" w:lineRule="auto"/>
        <w:jc w:val="left"/>
        <w:rPr>
          <w:rFonts w:ascii="Arial" w:eastAsia="Times New Roman" w:hAnsi="Arial" w:cs="Arial"/>
        </w:rPr>
      </w:pPr>
      <w:hyperlink r:id="rId16" w:history="1">
        <w:r w:rsidR="00550C8E" w:rsidRPr="00602275">
          <w:rPr>
            <w:rStyle w:val="Hyperlink"/>
            <w:rFonts w:ascii="Arial" w:eastAsia="Times New Roman" w:hAnsi="Arial" w:cs="Arial"/>
            <w:color w:val="auto"/>
            <w:u w:val="none"/>
          </w:rPr>
          <w:t>fdarr@mwncmh.com</w:t>
        </w:r>
      </w:hyperlink>
    </w:p>
    <w:p w:rsidR="00550C8E" w:rsidRPr="00602275" w:rsidRDefault="0073792B" w:rsidP="00550C8E">
      <w:pPr>
        <w:spacing w:after="0" w:line="240" w:lineRule="auto"/>
        <w:jc w:val="left"/>
        <w:rPr>
          <w:rFonts w:ascii="Arial" w:eastAsia="Times New Roman" w:hAnsi="Arial" w:cs="Arial"/>
        </w:rPr>
      </w:pPr>
      <w:hyperlink r:id="rId17" w:history="1">
        <w:r w:rsidR="00550C8E" w:rsidRPr="00602275">
          <w:rPr>
            <w:rStyle w:val="Hyperlink"/>
            <w:rFonts w:ascii="Arial" w:eastAsia="Times New Roman" w:hAnsi="Arial" w:cs="Arial"/>
            <w:color w:val="auto"/>
            <w:u w:val="none"/>
          </w:rPr>
          <w:t>mpritchard@mwncmh.com</w:t>
        </w:r>
      </w:hyperlink>
    </w:p>
    <w:p w:rsidR="00550C8E" w:rsidRPr="00602275" w:rsidRDefault="00550C8E" w:rsidP="00550C8E">
      <w:pPr>
        <w:spacing w:after="0" w:line="240" w:lineRule="auto"/>
        <w:jc w:val="left"/>
        <w:rPr>
          <w:rFonts w:ascii="Arial" w:eastAsia="Times New Roman" w:hAnsi="Arial" w:cs="Arial"/>
          <w:bCs/>
        </w:rPr>
      </w:pPr>
    </w:p>
    <w:p w:rsidR="00602275" w:rsidRDefault="00550C8E" w:rsidP="00550C8E">
      <w:pPr>
        <w:spacing w:after="0" w:line="240" w:lineRule="auto"/>
        <w:jc w:val="left"/>
        <w:rPr>
          <w:rFonts w:ascii="Arial Bold" w:eastAsia="Times New Roman" w:hAnsi="Arial Bold" w:cs="Arial"/>
          <w:b/>
          <w:bCs/>
          <w:smallCaps/>
        </w:rPr>
        <w:sectPr w:rsidR="00602275" w:rsidSect="00C563C4">
          <w:type w:val="continuous"/>
          <w:pgSz w:w="12240" w:h="15840" w:code="1"/>
          <w:pgMar w:top="1440" w:right="1440" w:bottom="1440" w:left="1440" w:header="720" w:footer="720" w:gutter="0"/>
          <w:pgNumType w:start="1"/>
          <w:cols w:space="720"/>
          <w:docGrid w:linePitch="360"/>
        </w:sectPr>
      </w:pPr>
      <w:r w:rsidRPr="00602275">
        <w:rPr>
          <w:rFonts w:ascii="Arial Bold" w:eastAsia="Times New Roman" w:hAnsi="Arial Bold" w:cs="Arial"/>
          <w:b/>
          <w:bCs/>
          <w:smallCaps/>
        </w:rPr>
        <w:t>Attorneys for Industrial Energy Users-Ohio</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lastRenderedPageBreak/>
        <w:t>BRUCE J. WESTON</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OHIO CONSUMERS’ COUNSEL</w:t>
      </w:r>
    </w:p>
    <w:p w:rsidR="00602275" w:rsidRPr="00602275" w:rsidRDefault="00602275" w:rsidP="00602275">
      <w:pPr>
        <w:spacing w:after="0" w:line="240" w:lineRule="auto"/>
        <w:jc w:val="left"/>
        <w:rPr>
          <w:rFonts w:ascii="Arial" w:eastAsia="Times New Roman" w:hAnsi="Arial" w:cs="Arial"/>
        </w:rPr>
      </w:pP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Maureen R. Grady, Counsel of Record</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Edmund “Tad” Berger</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Assistant Consumers’ Counsel</w:t>
      </w:r>
      <w:r w:rsidRPr="00602275">
        <w:rPr>
          <w:rFonts w:ascii="Arial" w:eastAsia="Times New Roman" w:hAnsi="Arial" w:cs="Arial"/>
        </w:rPr>
        <w:tab/>
      </w:r>
    </w:p>
    <w:p w:rsidR="00602275" w:rsidRPr="00602275" w:rsidRDefault="00602275" w:rsidP="00602275">
      <w:pPr>
        <w:spacing w:after="0" w:line="240" w:lineRule="auto"/>
        <w:jc w:val="left"/>
        <w:rPr>
          <w:rFonts w:ascii="Arial" w:eastAsia="Times New Roman" w:hAnsi="Arial" w:cs="Arial"/>
          <w:bCs/>
        </w:rPr>
      </w:pPr>
      <w:r w:rsidRPr="00602275">
        <w:rPr>
          <w:rFonts w:ascii="Arial" w:eastAsia="Times New Roman" w:hAnsi="Arial" w:cs="Arial"/>
          <w:bCs/>
        </w:rPr>
        <w:t>Office of the Ohio Consumers’ Counsel</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10 West Broad Street, Suite 1800</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Columbus, Ohio 43215-3485</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Telephone:  (614) 466-9567 - Grady</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Telephone:  (614) 466-1292 – Berger</w:t>
      </w:r>
    </w:p>
    <w:p w:rsidR="00602275" w:rsidRPr="00602275" w:rsidRDefault="0073792B" w:rsidP="00602275">
      <w:pPr>
        <w:spacing w:after="0" w:line="240" w:lineRule="auto"/>
        <w:jc w:val="left"/>
        <w:rPr>
          <w:rFonts w:ascii="Arial" w:eastAsia="Times New Roman" w:hAnsi="Arial" w:cs="Arial"/>
        </w:rPr>
      </w:pPr>
      <w:hyperlink r:id="rId18" w:history="1">
        <w:r w:rsidR="00602275" w:rsidRPr="00602275">
          <w:rPr>
            <w:rStyle w:val="Hyperlink"/>
            <w:rFonts w:ascii="Arial" w:eastAsia="Times New Roman" w:hAnsi="Arial" w:cs="Arial"/>
            <w:color w:val="auto"/>
            <w:u w:val="none"/>
          </w:rPr>
          <w:t>Maureen.grady@occ.ohio.gov</w:t>
        </w:r>
      </w:hyperlink>
    </w:p>
    <w:p w:rsidR="00602275" w:rsidRPr="00602275" w:rsidRDefault="0073792B" w:rsidP="00602275">
      <w:pPr>
        <w:spacing w:after="0" w:line="240" w:lineRule="auto"/>
        <w:jc w:val="left"/>
        <w:rPr>
          <w:rFonts w:ascii="Arial" w:eastAsia="Times New Roman" w:hAnsi="Arial" w:cs="Arial"/>
        </w:rPr>
      </w:pPr>
      <w:hyperlink r:id="rId19" w:history="1">
        <w:r w:rsidR="00602275" w:rsidRPr="00602275">
          <w:rPr>
            <w:rStyle w:val="Hyperlink"/>
            <w:rFonts w:ascii="Arial" w:eastAsia="Times New Roman" w:hAnsi="Arial" w:cs="Arial"/>
            <w:color w:val="auto"/>
            <w:u w:val="none"/>
          </w:rPr>
          <w:t>Edmund.berger@occ.ohio.gov</w:t>
        </w:r>
      </w:hyperlink>
    </w:p>
    <w:p w:rsidR="00602275" w:rsidRPr="00602275" w:rsidRDefault="00602275" w:rsidP="00550C8E">
      <w:pPr>
        <w:spacing w:after="0" w:line="240" w:lineRule="auto"/>
        <w:jc w:val="left"/>
        <w:rPr>
          <w:rFonts w:ascii="Arial" w:eastAsia="Times New Roman" w:hAnsi="Arial" w:cs="Arial"/>
        </w:rPr>
      </w:pPr>
    </w:p>
    <w:p w:rsidR="00602275" w:rsidRPr="00602275" w:rsidRDefault="00602275" w:rsidP="00602275">
      <w:pPr>
        <w:spacing w:after="0" w:line="240" w:lineRule="auto"/>
        <w:jc w:val="left"/>
        <w:rPr>
          <w:rFonts w:ascii="Arial Bold" w:eastAsia="Times New Roman" w:hAnsi="Arial Bold" w:cs="Arial"/>
          <w:b/>
          <w:smallCaps/>
        </w:rPr>
      </w:pPr>
      <w:r w:rsidRPr="00602275">
        <w:rPr>
          <w:rFonts w:ascii="Arial Bold" w:eastAsia="Times New Roman" w:hAnsi="Arial Bold" w:cs="Arial"/>
          <w:b/>
          <w:smallCaps/>
        </w:rPr>
        <w:t>Attorneys for the Office of the Ohio Consumers’ Counsel</w:t>
      </w:r>
    </w:p>
    <w:p w:rsidR="00602275" w:rsidRDefault="00602275" w:rsidP="00602275">
      <w:pPr>
        <w:spacing w:after="0" w:line="240" w:lineRule="auto"/>
        <w:jc w:val="left"/>
        <w:rPr>
          <w:rFonts w:ascii="Arial" w:eastAsia="Times New Roman" w:hAnsi="Arial" w:cs="Arial"/>
          <w:b/>
        </w:rPr>
      </w:pP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David F. Boehm</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Michael L. Kurtz</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Jody Kyler Cohn</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Boehm, Kurtz &amp; Lowry</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36 East Seventh Street, Suite 1510</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Cincinnati, OH 45202</w:t>
      </w:r>
    </w:p>
    <w:p w:rsidR="00A64990" w:rsidRDefault="00602275" w:rsidP="00602275">
      <w:pPr>
        <w:spacing w:after="0" w:line="240" w:lineRule="auto"/>
        <w:jc w:val="left"/>
        <w:rPr>
          <w:rFonts w:ascii="Arial" w:eastAsia="Times New Roman" w:hAnsi="Arial" w:cs="Arial"/>
        </w:rPr>
      </w:pPr>
      <w:r w:rsidRPr="00602275">
        <w:rPr>
          <w:rFonts w:ascii="Arial" w:eastAsia="Times New Roman" w:hAnsi="Arial" w:cs="Arial"/>
        </w:rPr>
        <w:t xml:space="preserve">Ph: (513) 421-2255 </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Fax: (513) 421-2764</w:t>
      </w:r>
    </w:p>
    <w:p w:rsidR="00602275" w:rsidRPr="00602275" w:rsidRDefault="0073792B" w:rsidP="00602275">
      <w:pPr>
        <w:spacing w:after="0" w:line="240" w:lineRule="auto"/>
        <w:jc w:val="left"/>
        <w:rPr>
          <w:rFonts w:ascii="Arial" w:eastAsia="Times New Roman" w:hAnsi="Arial" w:cs="Arial"/>
        </w:rPr>
      </w:pPr>
      <w:hyperlink r:id="rId20" w:history="1">
        <w:r w:rsidR="00602275" w:rsidRPr="00602275">
          <w:rPr>
            <w:rStyle w:val="Hyperlink"/>
            <w:rFonts w:ascii="Arial" w:eastAsia="Times New Roman" w:hAnsi="Arial" w:cs="Arial"/>
            <w:color w:val="auto"/>
            <w:u w:val="none"/>
          </w:rPr>
          <w:t>Dboehm@BKLlawfirm.com</w:t>
        </w:r>
      </w:hyperlink>
    </w:p>
    <w:p w:rsidR="00602275" w:rsidRPr="00602275" w:rsidRDefault="0073792B" w:rsidP="00602275">
      <w:pPr>
        <w:spacing w:after="0" w:line="240" w:lineRule="auto"/>
        <w:jc w:val="left"/>
        <w:rPr>
          <w:rFonts w:ascii="Arial" w:eastAsia="Times New Roman" w:hAnsi="Arial" w:cs="Arial"/>
        </w:rPr>
      </w:pPr>
      <w:hyperlink r:id="rId21" w:history="1">
        <w:r w:rsidR="00602275" w:rsidRPr="00602275">
          <w:rPr>
            <w:rStyle w:val="Hyperlink"/>
            <w:rFonts w:ascii="Arial" w:eastAsia="Times New Roman" w:hAnsi="Arial" w:cs="Arial"/>
            <w:color w:val="auto"/>
            <w:u w:val="none"/>
          </w:rPr>
          <w:t>Mkurtz@BKLIawfirm.com</w:t>
        </w:r>
      </w:hyperlink>
    </w:p>
    <w:p w:rsidR="00602275" w:rsidRPr="00602275" w:rsidRDefault="0073792B" w:rsidP="00602275">
      <w:pPr>
        <w:spacing w:after="0" w:line="240" w:lineRule="auto"/>
        <w:jc w:val="left"/>
        <w:rPr>
          <w:rFonts w:ascii="Arial" w:eastAsia="Times New Roman" w:hAnsi="Arial" w:cs="Arial"/>
        </w:rPr>
      </w:pPr>
      <w:hyperlink r:id="rId22" w:history="1">
        <w:r w:rsidR="00602275" w:rsidRPr="00602275">
          <w:rPr>
            <w:rStyle w:val="Hyperlink"/>
            <w:rFonts w:ascii="Arial" w:eastAsia="Times New Roman" w:hAnsi="Arial" w:cs="Arial"/>
            <w:color w:val="auto"/>
            <w:u w:val="none"/>
          </w:rPr>
          <w:t>Jkylercohn@BKLlawfirm.com</w:t>
        </w:r>
      </w:hyperlink>
    </w:p>
    <w:p w:rsidR="00602275" w:rsidRPr="00602275" w:rsidRDefault="00602275" w:rsidP="00602275">
      <w:pPr>
        <w:spacing w:after="0" w:line="240" w:lineRule="auto"/>
        <w:jc w:val="left"/>
        <w:rPr>
          <w:rFonts w:ascii="Arial" w:eastAsia="Times New Roman" w:hAnsi="Arial" w:cs="Arial"/>
        </w:rPr>
      </w:pPr>
    </w:p>
    <w:p w:rsidR="00602275" w:rsidRPr="00602275" w:rsidRDefault="00602275" w:rsidP="00602275">
      <w:pPr>
        <w:spacing w:after="0" w:line="240" w:lineRule="auto"/>
        <w:jc w:val="left"/>
        <w:rPr>
          <w:rFonts w:ascii="Arial Bold" w:eastAsia="Times New Roman" w:hAnsi="Arial Bold" w:cs="Arial"/>
          <w:b/>
          <w:smallCaps/>
        </w:rPr>
      </w:pPr>
      <w:r w:rsidRPr="00602275">
        <w:rPr>
          <w:rFonts w:ascii="Arial Bold" w:eastAsia="Times New Roman" w:hAnsi="Arial Bold" w:cs="Arial"/>
          <w:b/>
          <w:smallCaps/>
        </w:rPr>
        <w:t>Attorneys for Ohio Energy Group</w:t>
      </w:r>
    </w:p>
    <w:p w:rsidR="00602275" w:rsidRDefault="00602275" w:rsidP="00550C8E">
      <w:pPr>
        <w:spacing w:after="0" w:line="240" w:lineRule="auto"/>
        <w:jc w:val="left"/>
        <w:rPr>
          <w:rFonts w:ascii="Arial" w:eastAsia="Times New Roman" w:hAnsi="Arial" w:cs="Arial"/>
          <w:b/>
        </w:rPr>
      </w:pP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Colleen L. Mooney</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Ohio Partners for Affordable Energy</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231 West Lima Street</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Findlay, OH 45839-1793</w:t>
      </w:r>
    </w:p>
    <w:p w:rsidR="00602275" w:rsidRPr="00602275" w:rsidRDefault="00602275" w:rsidP="00602275">
      <w:pPr>
        <w:spacing w:after="0" w:line="240" w:lineRule="auto"/>
        <w:jc w:val="left"/>
        <w:rPr>
          <w:rFonts w:ascii="Arial" w:eastAsia="Times New Roman" w:hAnsi="Arial" w:cs="Arial"/>
        </w:rPr>
      </w:pPr>
      <w:r w:rsidRPr="00602275">
        <w:rPr>
          <w:rFonts w:ascii="Arial" w:eastAsia="Times New Roman" w:hAnsi="Arial" w:cs="Arial"/>
        </w:rPr>
        <w:t>Telephone:  (419) 425-8860</w:t>
      </w:r>
    </w:p>
    <w:p w:rsidR="00602275" w:rsidRPr="00602275" w:rsidRDefault="0073792B" w:rsidP="00602275">
      <w:pPr>
        <w:spacing w:after="0" w:line="240" w:lineRule="auto"/>
        <w:jc w:val="left"/>
        <w:rPr>
          <w:rFonts w:ascii="Arial" w:eastAsia="Times New Roman" w:hAnsi="Arial" w:cs="Arial"/>
        </w:rPr>
      </w:pPr>
      <w:hyperlink r:id="rId23" w:history="1">
        <w:r w:rsidR="00602275" w:rsidRPr="00602275">
          <w:rPr>
            <w:rStyle w:val="Hyperlink"/>
            <w:rFonts w:ascii="Arial" w:eastAsia="Times New Roman" w:hAnsi="Arial" w:cs="Arial"/>
            <w:color w:val="auto"/>
            <w:u w:val="none"/>
          </w:rPr>
          <w:t>cmooney@ohiopartners.org</w:t>
        </w:r>
      </w:hyperlink>
    </w:p>
    <w:p w:rsidR="00602275" w:rsidRPr="00602275" w:rsidRDefault="00602275" w:rsidP="00602275">
      <w:pPr>
        <w:spacing w:after="0" w:line="240" w:lineRule="auto"/>
        <w:jc w:val="left"/>
        <w:rPr>
          <w:rFonts w:ascii="Arial" w:eastAsia="Times New Roman" w:hAnsi="Arial" w:cs="Arial"/>
        </w:rPr>
      </w:pPr>
    </w:p>
    <w:p w:rsidR="00602275" w:rsidRPr="00602275" w:rsidRDefault="00602275" w:rsidP="00602275">
      <w:pPr>
        <w:spacing w:after="0" w:line="240" w:lineRule="auto"/>
        <w:jc w:val="left"/>
        <w:rPr>
          <w:rFonts w:ascii="Arial Bold" w:eastAsia="Times New Roman" w:hAnsi="Arial Bold" w:cs="Arial"/>
          <w:b/>
          <w:i/>
          <w:iCs/>
          <w:smallCaps/>
          <w:u w:val="single"/>
        </w:rPr>
      </w:pPr>
      <w:r w:rsidRPr="00602275">
        <w:rPr>
          <w:rFonts w:ascii="Arial Bold" w:eastAsia="Times New Roman" w:hAnsi="Arial Bold" w:cs="Arial"/>
          <w:b/>
          <w:smallCaps/>
        </w:rPr>
        <w:t>Attorney for Ohio Partners for Affordable Energy</w:t>
      </w:r>
    </w:p>
    <w:p w:rsidR="00602275" w:rsidRDefault="00602275" w:rsidP="00550C8E">
      <w:pPr>
        <w:spacing w:after="0" w:line="240" w:lineRule="auto"/>
        <w:jc w:val="left"/>
        <w:rPr>
          <w:rFonts w:ascii="Arial" w:eastAsia="Times New Roman" w:hAnsi="Arial" w:cs="Arial"/>
          <w:b/>
        </w:rPr>
      </w:pPr>
    </w:p>
    <w:p w:rsidR="00846ACE" w:rsidRDefault="00846ACE" w:rsidP="009C653E">
      <w:pPr>
        <w:spacing w:after="0" w:line="240" w:lineRule="auto"/>
        <w:jc w:val="center"/>
        <w:rPr>
          <w:rFonts w:ascii="Arial" w:eastAsia="Times New Roman" w:hAnsi="Arial" w:cs="Arial"/>
          <w:b/>
        </w:rPr>
        <w:sectPr w:rsidR="00846ACE" w:rsidSect="00602275">
          <w:pgSz w:w="12240" w:h="15840" w:code="1"/>
          <w:pgMar w:top="1440" w:right="1440" w:bottom="1440" w:left="1440" w:header="720" w:footer="720" w:gutter="0"/>
          <w:pgNumType w:start="1"/>
          <w:cols w:num="2" w:space="720"/>
          <w:docGrid w:linePitch="360"/>
        </w:sectPr>
      </w:pPr>
    </w:p>
    <w:p w:rsidR="006C0CFE" w:rsidRPr="006C0CFE" w:rsidRDefault="006C0CFE" w:rsidP="006C0CFE">
      <w:pPr>
        <w:pStyle w:val="TOCHeading"/>
        <w:rPr>
          <w:rFonts w:ascii="Arial" w:hAnsi="Arial" w:cs="Arial"/>
          <w:caps/>
          <w:color w:val="auto"/>
          <w:u w:val="single"/>
        </w:rPr>
      </w:pPr>
      <w:bookmarkStart w:id="1" w:name="TOCHeading"/>
      <w:r w:rsidRPr="006C0CFE">
        <w:rPr>
          <w:rFonts w:ascii="Arial" w:hAnsi="Arial" w:cs="Arial"/>
          <w:caps/>
          <w:color w:val="auto"/>
          <w:u w:val="single"/>
        </w:rPr>
        <w:lastRenderedPageBreak/>
        <w:t>Table of Contents</w:t>
      </w:r>
    </w:p>
    <w:p w:rsidR="00846ACE" w:rsidRPr="00C563C4" w:rsidRDefault="00846ACE" w:rsidP="00C563C4">
      <w:pPr>
        <w:pStyle w:val="TOCPage"/>
        <w:rPr>
          <w:rFonts w:ascii="Arial" w:hAnsi="Arial" w:cs="Arial"/>
        </w:rPr>
      </w:pPr>
      <w:bookmarkStart w:id="2" w:name="TOCPage"/>
      <w:bookmarkEnd w:id="1"/>
      <w:r w:rsidRPr="00C563C4">
        <w:rPr>
          <w:rFonts w:ascii="Arial" w:hAnsi="Arial" w:cs="Arial"/>
        </w:rPr>
        <w:t>Page</w:t>
      </w:r>
    </w:p>
    <w:bookmarkEnd w:id="2"/>
    <w:p w:rsidR="006C0CFE" w:rsidRPr="006C0CFE" w:rsidRDefault="006C0CFE" w:rsidP="006C0CFE">
      <w:pPr>
        <w:pStyle w:val="TOC1"/>
        <w:tabs>
          <w:tab w:val="clear" w:pos="9350"/>
          <w:tab w:val="right" w:leader="dot" w:pos="9360"/>
        </w:tabs>
        <w:ind w:right="720"/>
        <w:rPr>
          <w:rFonts w:ascii="Arial" w:eastAsiaTheme="minorEastAsia" w:hAnsi="Arial" w:cs="Arial"/>
          <w:noProof/>
          <w:sz w:val="22"/>
          <w:szCs w:val="22"/>
        </w:rPr>
      </w:pPr>
      <w:r w:rsidRPr="006C0CFE">
        <w:rPr>
          <w:rFonts w:ascii="Arial" w:hAnsi="Arial" w:cs="Arial"/>
        </w:rPr>
        <w:fldChar w:fldCharType="begin"/>
      </w:r>
      <w:r w:rsidRPr="006C0CFE">
        <w:rPr>
          <w:rFonts w:ascii="Arial" w:hAnsi="Arial" w:cs="Arial"/>
        </w:rPr>
        <w:instrText xml:space="preserve"> TOC \t "Heading 1,1,Heading 2,2,Heading 3,3" </w:instrText>
      </w:r>
      <w:r w:rsidRPr="006C0CFE">
        <w:rPr>
          <w:rFonts w:ascii="Arial" w:hAnsi="Arial" w:cs="Arial"/>
        </w:rPr>
        <w:fldChar w:fldCharType="separate"/>
      </w:r>
      <w:bookmarkStart w:id="3" w:name="TOCLocation"/>
      <w:r w:rsidRPr="006C0CFE">
        <w:rPr>
          <w:rFonts w:ascii="Arial" w:hAnsi="Arial" w:cs="Arial"/>
          <w:noProof/>
          <w14:scene3d>
            <w14:camera w14:prst="orthographicFront"/>
            <w14:lightRig w14:rig="threePt" w14:dir="t">
              <w14:rot w14:lat="0" w14:lon="0" w14:rev="0"/>
            </w14:lightRig>
          </w14:scene3d>
        </w:rPr>
        <w:t>I.</w:t>
      </w:r>
      <w:r w:rsidRPr="006C0CFE">
        <w:rPr>
          <w:rFonts w:ascii="Arial" w:eastAsiaTheme="minorEastAsia" w:hAnsi="Arial" w:cs="Arial"/>
          <w:noProof/>
          <w:sz w:val="22"/>
          <w:szCs w:val="22"/>
        </w:rPr>
        <w:tab/>
      </w:r>
      <w:r w:rsidRPr="006C0CFE">
        <w:rPr>
          <w:rFonts w:ascii="Arial" w:hAnsi="Arial" w:cs="Arial"/>
          <w:noProof/>
        </w:rPr>
        <w:t>INTRODUCTION</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_Toc396386459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1</w:t>
      </w:r>
      <w:r w:rsidRPr="006C0CFE">
        <w:rPr>
          <w:rFonts w:ascii="Arial" w:hAnsi="Arial" w:cs="Arial"/>
          <w:noProof/>
        </w:rPr>
        <w:fldChar w:fldCharType="end"/>
      </w:r>
    </w:p>
    <w:p w:rsidR="006C0CFE" w:rsidRPr="006C0CFE" w:rsidRDefault="006C0CFE" w:rsidP="006C0CFE">
      <w:pPr>
        <w:pStyle w:val="TOC1"/>
        <w:tabs>
          <w:tab w:val="clear" w:pos="9350"/>
          <w:tab w:val="right" w:leader="dot" w:pos="9360"/>
        </w:tabs>
        <w:ind w:right="720"/>
        <w:rPr>
          <w:rFonts w:ascii="Arial" w:eastAsiaTheme="minorEastAsia" w:hAnsi="Arial" w:cs="Arial"/>
          <w:noProof/>
          <w:sz w:val="22"/>
          <w:szCs w:val="22"/>
        </w:rPr>
      </w:pPr>
      <w:r w:rsidRPr="006C0CFE">
        <w:rPr>
          <w:rFonts w:ascii="Arial" w:hAnsi="Arial" w:cs="Arial"/>
          <w:noProof/>
          <w14:scene3d>
            <w14:camera w14:prst="orthographicFront"/>
            <w14:lightRig w14:rig="threePt" w14:dir="t">
              <w14:rot w14:lat="0" w14:lon="0" w14:rev="0"/>
            </w14:lightRig>
          </w14:scene3d>
        </w:rPr>
        <w:t>II.</w:t>
      </w:r>
      <w:r w:rsidRPr="006C0CFE">
        <w:rPr>
          <w:rFonts w:ascii="Arial" w:eastAsiaTheme="minorEastAsia" w:hAnsi="Arial" w:cs="Arial"/>
          <w:noProof/>
          <w:sz w:val="22"/>
          <w:szCs w:val="22"/>
        </w:rPr>
        <w:tab/>
      </w:r>
      <w:r w:rsidRPr="006C0CFE">
        <w:rPr>
          <w:rFonts w:ascii="Arial" w:hAnsi="Arial" w:cs="Arial"/>
          <w:noProof/>
        </w:rPr>
        <w:t>ARGUMENT</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_Toc396386460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3</w:t>
      </w:r>
      <w:r w:rsidRPr="006C0CFE">
        <w:rPr>
          <w:rFonts w:ascii="Arial" w:hAnsi="Arial" w:cs="Arial"/>
          <w:noProof/>
        </w:rPr>
        <w:fldChar w:fldCharType="end"/>
      </w:r>
    </w:p>
    <w:p w:rsidR="006C0CFE" w:rsidRPr="006C0CFE" w:rsidRDefault="006C0CFE" w:rsidP="006C0CFE">
      <w:pPr>
        <w:pStyle w:val="TOC2"/>
        <w:tabs>
          <w:tab w:val="clear" w:pos="9350"/>
          <w:tab w:val="right" w:leader="dot" w:pos="9360"/>
        </w:tabs>
        <w:spacing w:after="240" w:line="240" w:lineRule="auto"/>
        <w:ind w:right="720"/>
        <w:rPr>
          <w:rFonts w:ascii="Arial" w:eastAsiaTheme="minorEastAsia" w:hAnsi="Arial" w:cs="Arial"/>
          <w:noProof/>
          <w:sz w:val="22"/>
          <w:szCs w:val="22"/>
        </w:rPr>
      </w:pPr>
      <w:r w:rsidRPr="006C0CFE">
        <w:rPr>
          <w:rFonts w:ascii="Arial" w:hAnsi="Arial" w:cs="Arial"/>
          <w:noProof/>
          <w:color w:val="010000"/>
        </w:rPr>
        <w:t>A.</w:t>
      </w:r>
      <w:r w:rsidRPr="006C0CFE">
        <w:rPr>
          <w:rFonts w:ascii="Arial" w:eastAsiaTheme="minorEastAsia" w:hAnsi="Arial" w:cs="Arial"/>
          <w:noProof/>
          <w:sz w:val="22"/>
          <w:szCs w:val="22"/>
        </w:rPr>
        <w:tab/>
      </w:r>
      <w:r w:rsidRPr="006C0CFE">
        <w:rPr>
          <w:rFonts w:ascii="Arial" w:hAnsi="Arial" w:cs="Arial"/>
          <w:noProof/>
        </w:rPr>
        <w:t>The Commission’s rejection of a request to collect rates subject to refund earlier this year in an unrelated case should not preclude the Commission from ordering rates to be collected subject to refund in this proceeding to protect customers</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_Toc396386461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3</w:t>
      </w:r>
      <w:r w:rsidRPr="006C0CFE">
        <w:rPr>
          <w:rFonts w:ascii="Arial" w:hAnsi="Arial" w:cs="Arial"/>
          <w:noProof/>
        </w:rPr>
        <w:fldChar w:fldCharType="end"/>
      </w:r>
    </w:p>
    <w:p w:rsidR="006C0CFE" w:rsidRPr="006C0CFE" w:rsidRDefault="006C0CFE" w:rsidP="006C0CFE">
      <w:pPr>
        <w:pStyle w:val="TOC2"/>
        <w:tabs>
          <w:tab w:val="clear" w:pos="9350"/>
          <w:tab w:val="right" w:leader="dot" w:pos="9360"/>
        </w:tabs>
        <w:spacing w:after="240" w:line="240" w:lineRule="auto"/>
        <w:ind w:right="720"/>
        <w:rPr>
          <w:rFonts w:ascii="Arial" w:eastAsiaTheme="minorEastAsia" w:hAnsi="Arial" w:cs="Arial"/>
          <w:noProof/>
          <w:sz w:val="22"/>
          <w:szCs w:val="22"/>
        </w:rPr>
      </w:pPr>
      <w:r w:rsidRPr="006C0CFE">
        <w:rPr>
          <w:rFonts w:ascii="Arial" w:hAnsi="Arial" w:cs="Arial"/>
          <w:noProof/>
          <w:color w:val="010000"/>
        </w:rPr>
        <w:t>B.</w:t>
      </w:r>
      <w:r w:rsidRPr="006C0CFE">
        <w:rPr>
          <w:rFonts w:ascii="Arial" w:eastAsiaTheme="minorEastAsia" w:hAnsi="Arial" w:cs="Arial"/>
          <w:noProof/>
          <w:sz w:val="22"/>
          <w:szCs w:val="22"/>
        </w:rPr>
        <w:tab/>
      </w:r>
      <w:r w:rsidRPr="006C0CFE">
        <w:rPr>
          <w:rFonts w:ascii="Arial" w:hAnsi="Arial" w:cs="Arial"/>
          <w:noProof/>
        </w:rPr>
        <w:t>The Commission has authority to issue stays of its orders; it should do so here to protect customers from paying rates that are unjust and unreasonable</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_Toc396386462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6</w:t>
      </w:r>
      <w:r w:rsidRPr="006C0CFE">
        <w:rPr>
          <w:rFonts w:ascii="Arial" w:hAnsi="Arial" w:cs="Arial"/>
          <w:noProof/>
        </w:rPr>
        <w:fldChar w:fldCharType="end"/>
      </w:r>
    </w:p>
    <w:p w:rsidR="006C0CFE" w:rsidRPr="006C0CFE" w:rsidRDefault="006C0CFE" w:rsidP="006C0CFE">
      <w:pPr>
        <w:pStyle w:val="TOC2"/>
        <w:tabs>
          <w:tab w:val="clear" w:pos="9350"/>
          <w:tab w:val="right" w:leader="dot" w:pos="9360"/>
        </w:tabs>
        <w:spacing w:after="240" w:line="240" w:lineRule="auto"/>
        <w:ind w:right="720"/>
        <w:rPr>
          <w:rFonts w:ascii="Arial" w:eastAsiaTheme="minorEastAsia" w:hAnsi="Arial" w:cs="Arial"/>
          <w:noProof/>
          <w:sz w:val="22"/>
          <w:szCs w:val="22"/>
        </w:rPr>
      </w:pPr>
      <w:r w:rsidRPr="006C0CFE">
        <w:rPr>
          <w:rFonts w:ascii="Arial" w:hAnsi="Arial" w:cs="Arial"/>
          <w:noProof/>
          <w:color w:val="010000"/>
        </w:rPr>
        <w:t>C.</w:t>
      </w:r>
      <w:r w:rsidRPr="006C0CFE">
        <w:rPr>
          <w:rFonts w:ascii="Arial" w:eastAsiaTheme="minorEastAsia" w:hAnsi="Arial" w:cs="Arial"/>
          <w:noProof/>
          <w:sz w:val="22"/>
          <w:szCs w:val="22"/>
        </w:rPr>
        <w:tab/>
      </w:r>
      <w:r w:rsidRPr="006C0CFE">
        <w:rPr>
          <w:rFonts w:ascii="Arial" w:hAnsi="Arial" w:cs="Arial"/>
          <w:noProof/>
        </w:rPr>
        <w:t>The Joint Movants have stated grounds on which the Commission should grant a stay that will protect customers</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_Toc396386463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11</w:t>
      </w:r>
      <w:r w:rsidRPr="006C0CFE">
        <w:rPr>
          <w:rFonts w:ascii="Arial" w:hAnsi="Arial" w:cs="Arial"/>
          <w:noProof/>
        </w:rPr>
        <w:fldChar w:fldCharType="end"/>
      </w:r>
    </w:p>
    <w:p w:rsidR="006C0CFE" w:rsidRPr="006C0CFE" w:rsidRDefault="006C0CFE" w:rsidP="006C0CFE">
      <w:pPr>
        <w:pStyle w:val="TOC2"/>
        <w:tabs>
          <w:tab w:val="clear" w:pos="9350"/>
          <w:tab w:val="right" w:leader="dot" w:pos="9360"/>
        </w:tabs>
        <w:spacing w:after="240" w:line="240" w:lineRule="auto"/>
        <w:ind w:right="720"/>
        <w:rPr>
          <w:rFonts w:ascii="Arial" w:eastAsiaTheme="minorEastAsia" w:hAnsi="Arial" w:cs="Arial"/>
          <w:noProof/>
          <w:sz w:val="22"/>
          <w:szCs w:val="22"/>
        </w:rPr>
      </w:pPr>
      <w:r w:rsidRPr="006C0CFE">
        <w:rPr>
          <w:rFonts w:ascii="Arial" w:hAnsi="Arial" w:cs="Arial"/>
          <w:noProof/>
          <w:color w:val="010000"/>
        </w:rPr>
        <w:t>D.</w:t>
      </w:r>
      <w:r w:rsidRPr="006C0CFE">
        <w:rPr>
          <w:rFonts w:ascii="Arial" w:eastAsiaTheme="minorEastAsia" w:hAnsi="Arial" w:cs="Arial"/>
          <w:noProof/>
          <w:sz w:val="22"/>
          <w:szCs w:val="22"/>
        </w:rPr>
        <w:tab/>
      </w:r>
      <w:r w:rsidRPr="006C0CFE">
        <w:rPr>
          <w:rFonts w:ascii="Arial" w:hAnsi="Arial" w:cs="Arial"/>
          <w:noProof/>
        </w:rPr>
        <w:t>A request for an order requiring DP&amp;L to collect the SSR subject to refund is proper and will assure a just process for customers</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_Toc396386464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18</w:t>
      </w:r>
      <w:r w:rsidRPr="006C0CFE">
        <w:rPr>
          <w:rFonts w:ascii="Arial" w:hAnsi="Arial" w:cs="Arial"/>
          <w:noProof/>
        </w:rPr>
        <w:fldChar w:fldCharType="end"/>
      </w:r>
    </w:p>
    <w:p w:rsidR="006C0CFE" w:rsidRPr="006C0CFE" w:rsidRDefault="006C0CFE" w:rsidP="006C0CFE">
      <w:pPr>
        <w:pStyle w:val="TOC1"/>
        <w:tabs>
          <w:tab w:val="clear" w:pos="9350"/>
          <w:tab w:val="right" w:leader="dot" w:pos="9360"/>
        </w:tabs>
        <w:ind w:right="720"/>
        <w:rPr>
          <w:rFonts w:ascii="Arial" w:eastAsiaTheme="minorEastAsia" w:hAnsi="Arial" w:cs="Arial"/>
          <w:noProof/>
          <w:sz w:val="22"/>
          <w:szCs w:val="22"/>
        </w:rPr>
      </w:pPr>
      <w:r w:rsidRPr="006C0CFE">
        <w:rPr>
          <w:rFonts w:ascii="Arial" w:hAnsi="Arial" w:cs="Arial"/>
          <w:noProof/>
          <w14:scene3d>
            <w14:camera w14:prst="orthographicFront"/>
            <w14:lightRig w14:rig="threePt" w14:dir="t">
              <w14:rot w14:lat="0" w14:lon="0" w14:rev="0"/>
            </w14:lightRig>
          </w14:scene3d>
        </w:rPr>
        <w:t>III.</w:t>
      </w:r>
      <w:r w:rsidRPr="006C0CFE">
        <w:rPr>
          <w:rFonts w:ascii="Arial" w:eastAsiaTheme="minorEastAsia" w:hAnsi="Arial" w:cs="Arial"/>
          <w:noProof/>
          <w:sz w:val="22"/>
          <w:szCs w:val="22"/>
        </w:rPr>
        <w:tab/>
      </w:r>
      <w:r w:rsidRPr="006C0CFE">
        <w:rPr>
          <w:rFonts w:ascii="Arial" w:hAnsi="Arial" w:cs="Arial"/>
          <w:noProof/>
        </w:rPr>
        <w:t>CONCLUSION</w:t>
      </w:r>
      <w:r w:rsidRPr="006C0CFE">
        <w:rPr>
          <w:rFonts w:ascii="Arial" w:hAnsi="Arial" w:cs="Arial"/>
          <w:noProof/>
        </w:rPr>
        <w:tab/>
      </w:r>
      <w:r w:rsidRPr="006C0CFE">
        <w:rPr>
          <w:rFonts w:ascii="Arial" w:hAnsi="Arial" w:cs="Arial"/>
          <w:noProof/>
        </w:rPr>
        <w:fldChar w:fldCharType="begin"/>
      </w:r>
      <w:r w:rsidRPr="006C0CFE">
        <w:rPr>
          <w:rFonts w:ascii="Arial" w:hAnsi="Arial" w:cs="Arial"/>
          <w:noProof/>
        </w:rPr>
        <w:instrText xml:space="preserve"> PAGEREF _Toc396386465 \h </w:instrText>
      </w:r>
      <w:r w:rsidRPr="006C0CFE">
        <w:rPr>
          <w:rFonts w:ascii="Arial" w:hAnsi="Arial" w:cs="Arial"/>
          <w:noProof/>
        </w:rPr>
      </w:r>
      <w:r w:rsidRPr="006C0CFE">
        <w:rPr>
          <w:rFonts w:ascii="Arial" w:hAnsi="Arial" w:cs="Arial"/>
          <w:noProof/>
        </w:rPr>
        <w:fldChar w:fldCharType="separate"/>
      </w:r>
      <w:r w:rsidR="0073792B">
        <w:rPr>
          <w:rFonts w:ascii="Arial" w:hAnsi="Arial" w:cs="Arial"/>
          <w:noProof/>
        </w:rPr>
        <w:t>19</w:t>
      </w:r>
      <w:r w:rsidRPr="006C0CFE">
        <w:rPr>
          <w:rFonts w:ascii="Arial" w:hAnsi="Arial" w:cs="Arial"/>
          <w:noProof/>
        </w:rPr>
        <w:fldChar w:fldCharType="end"/>
      </w:r>
    </w:p>
    <w:bookmarkEnd w:id="3"/>
    <w:p w:rsidR="006C0CFE" w:rsidRDefault="006C0CFE" w:rsidP="006C0CFE">
      <w:pPr>
        <w:tabs>
          <w:tab w:val="right" w:leader="dot" w:pos="9360"/>
        </w:tabs>
        <w:spacing w:after="240" w:line="240" w:lineRule="auto"/>
        <w:ind w:right="720"/>
      </w:pPr>
      <w:r w:rsidRPr="006C0CFE">
        <w:rPr>
          <w:rFonts w:ascii="Arial" w:hAnsi="Arial" w:cs="Arial"/>
        </w:rPr>
        <w:fldChar w:fldCharType="end"/>
      </w:r>
    </w:p>
    <w:p w:rsidR="00C563C4" w:rsidRDefault="00C563C4" w:rsidP="000122E0">
      <w:pPr>
        <w:spacing w:after="240" w:line="240" w:lineRule="auto"/>
      </w:pPr>
    </w:p>
    <w:p w:rsidR="00846ACE" w:rsidRDefault="00846ACE" w:rsidP="00846ACE">
      <w:pPr>
        <w:spacing w:after="240" w:line="240" w:lineRule="auto"/>
        <w:rPr>
          <w:rFonts w:ascii="Arial" w:hAnsi="Arial" w:cs="Arial"/>
        </w:rPr>
        <w:sectPr w:rsidR="00846ACE" w:rsidSect="00C563C4">
          <w:headerReference w:type="default" r:id="rId24"/>
          <w:footerReference w:type="default" r:id="rId25"/>
          <w:headerReference w:type="first" r:id="rId26"/>
          <w:footerReference w:type="first" r:id="rId27"/>
          <w:pgSz w:w="12240" w:h="15840" w:code="1"/>
          <w:pgMar w:top="1440" w:right="1440" w:bottom="1440" w:left="1440" w:header="720" w:footer="720" w:gutter="0"/>
          <w:pgNumType w:fmt="lowerRoman" w:start="1"/>
          <w:cols w:space="720"/>
          <w:titlePg/>
          <w:docGrid w:linePitch="360"/>
        </w:sectPr>
      </w:pPr>
    </w:p>
    <w:p w:rsidR="009C653E" w:rsidRPr="00C563C4" w:rsidRDefault="009C653E" w:rsidP="000122E0">
      <w:pPr>
        <w:spacing w:after="0" w:line="240" w:lineRule="auto"/>
        <w:jc w:val="center"/>
        <w:rPr>
          <w:rFonts w:ascii="Arial" w:eastAsia="Times New Roman" w:hAnsi="Arial" w:cs="Arial"/>
          <w:b/>
        </w:rPr>
      </w:pPr>
      <w:r w:rsidRPr="00C563C4">
        <w:rPr>
          <w:rFonts w:ascii="Arial" w:eastAsia="Times New Roman" w:hAnsi="Arial" w:cs="Arial"/>
          <w:b/>
        </w:rPr>
        <w:lastRenderedPageBreak/>
        <w:t>BEFORE</w:t>
      </w:r>
    </w:p>
    <w:p w:rsidR="009C653E" w:rsidRPr="00C563C4" w:rsidRDefault="009C653E" w:rsidP="009C653E">
      <w:pPr>
        <w:spacing w:after="0" w:line="240" w:lineRule="auto"/>
        <w:jc w:val="center"/>
        <w:rPr>
          <w:rFonts w:ascii="Arial" w:eastAsia="Times New Roman" w:hAnsi="Arial" w:cs="Arial"/>
          <w:b/>
        </w:rPr>
      </w:pPr>
      <w:r w:rsidRPr="00C563C4">
        <w:rPr>
          <w:rFonts w:ascii="Arial" w:eastAsia="Times New Roman" w:hAnsi="Arial" w:cs="Arial"/>
          <w:b/>
        </w:rPr>
        <w:t>THE PUBLIC UTILITIES COMMISSION OF OHIO</w:t>
      </w:r>
    </w:p>
    <w:p w:rsidR="009C653E" w:rsidRPr="00C563C4" w:rsidRDefault="009C653E" w:rsidP="009C653E">
      <w:pPr>
        <w:spacing w:after="0" w:line="240" w:lineRule="auto"/>
        <w:jc w:val="center"/>
        <w:rPr>
          <w:rFonts w:ascii="Arial" w:eastAsia="Times New Roman" w:hAnsi="Arial" w:cs="Arial"/>
          <w:b/>
        </w:rPr>
      </w:pPr>
    </w:p>
    <w:tbl>
      <w:tblPr>
        <w:tblW w:w="9092" w:type="dxa"/>
        <w:tblLook w:val="01E0" w:firstRow="1" w:lastRow="1" w:firstColumn="1" w:lastColumn="1" w:noHBand="0" w:noVBand="0"/>
      </w:tblPr>
      <w:tblGrid>
        <w:gridCol w:w="4332"/>
        <w:gridCol w:w="360"/>
        <w:gridCol w:w="4400"/>
      </w:tblGrid>
      <w:tr w:rsidR="009C653E" w:rsidRPr="00846ACE" w:rsidTr="00552A83">
        <w:trPr>
          <w:trHeight w:val="807"/>
        </w:trPr>
        <w:tc>
          <w:tcPr>
            <w:tcW w:w="4332" w:type="dxa"/>
          </w:tcPr>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In the Matter of the Application of The</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Dayton Power and Light Company for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Approval of its Market Rate Offer.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In the Matter of the Application of The</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Dayton Power and Light Company for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Approval of Revised Tariffs.</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In the Matter of the Application of The</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Dayton Power and Light Company for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Approval of Certain Accounting</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Authority.</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In the Matter of the Application of The</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Dayton Power and Light Company for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Waiver of Certain Commission Rules.</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In the Matter of the Application of The</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Dayton Power and Light Company to</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r w:rsidRPr="00C563C4">
              <w:rPr>
                <w:rFonts w:ascii="Arial" w:eastAsia="Times New Roman" w:hAnsi="Arial" w:cs="Arial"/>
              </w:rPr>
              <w:t>Establish Tariff Riders.</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tc>
        <w:tc>
          <w:tcPr>
            <w:tcW w:w="360" w:type="dxa"/>
          </w:tcPr>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w:t>
            </w:r>
          </w:p>
        </w:tc>
        <w:tc>
          <w:tcPr>
            <w:tcW w:w="4400" w:type="dxa"/>
          </w:tcPr>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r w:rsidRPr="00C563C4">
              <w:rPr>
                <w:rFonts w:ascii="Arial" w:eastAsia="Times New Roman" w:hAnsi="Arial" w:cs="Arial"/>
                <w:lang w:val="es-ES"/>
              </w:rPr>
              <w:t>Case No. 12-426-EL-SSO</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r w:rsidRPr="00C563C4">
              <w:rPr>
                <w:rFonts w:ascii="Arial" w:eastAsia="Times New Roman" w:hAnsi="Arial" w:cs="Arial"/>
                <w:lang w:val="es-ES"/>
              </w:rPr>
              <w:t>Case No. 12-427-EL-ATA</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r w:rsidRPr="00C563C4">
              <w:rPr>
                <w:rFonts w:ascii="Arial" w:eastAsia="Times New Roman" w:hAnsi="Arial" w:cs="Arial"/>
                <w:lang w:val="es-ES"/>
              </w:rPr>
              <w:t>Case No. 12-428-EL-AAM</w:t>
            </w: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r w:rsidRPr="00C563C4">
              <w:rPr>
                <w:rFonts w:ascii="Arial" w:eastAsia="Times New Roman" w:hAnsi="Arial" w:cs="Arial"/>
                <w:lang w:val="es-ES"/>
              </w:rPr>
              <w:t>Case No. 12-429-EL-WVR</w:t>
            </w:r>
          </w:p>
          <w:p w:rsidR="009C653E" w:rsidRPr="00C563C4" w:rsidRDefault="009C653E" w:rsidP="00B70BB1">
            <w:pPr>
              <w:rPr>
                <w:rFonts w:ascii="Arial"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p>
          <w:p w:rsidR="009C653E" w:rsidRPr="00C563C4" w:rsidRDefault="009C653E" w:rsidP="009C653E">
            <w:pPr>
              <w:autoSpaceDE w:val="0"/>
              <w:autoSpaceDN w:val="0"/>
              <w:adjustRightInd w:val="0"/>
              <w:spacing w:after="0" w:line="240" w:lineRule="auto"/>
              <w:jc w:val="left"/>
              <w:rPr>
                <w:rFonts w:ascii="Arial" w:eastAsia="Times New Roman" w:hAnsi="Arial" w:cs="Arial"/>
                <w:lang w:val="es-ES"/>
              </w:rPr>
            </w:pPr>
          </w:p>
          <w:p w:rsidR="009C653E" w:rsidRPr="00C563C4" w:rsidRDefault="009C653E" w:rsidP="009C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rPr>
            </w:pPr>
            <w:r w:rsidRPr="00C563C4">
              <w:rPr>
                <w:rFonts w:ascii="Arial" w:eastAsia="Times New Roman" w:hAnsi="Arial" w:cs="Arial"/>
              </w:rPr>
              <w:t>Case No. 12-672-EL-RDR</w:t>
            </w:r>
          </w:p>
          <w:p w:rsidR="009C653E" w:rsidRPr="00C563C4" w:rsidRDefault="009C653E" w:rsidP="009C653E">
            <w:pPr>
              <w:autoSpaceDE w:val="0"/>
              <w:autoSpaceDN w:val="0"/>
              <w:adjustRightInd w:val="0"/>
              <w:spacing w:after="0" w:line="240" w:lineRule="auto"/>
              <w:jc w:val="left"/>
              <w:rPr>
                <w:rFonts w:ascii="Arial" w:eastAsia="Times New Roman" w:hAnsi="Arial" w:cs="Arial"/>
              </w:rPr>
            </w:pPr>
          </w:p>
        </w:tc>
      </w:tr>
    </w:tbl>
    <w:p w:rsidR="009C653E" w:rsidRPr="00C563C4" w:rsidRDefault="009C653E" w:rsidP="009C653E">
      <w:pPr>
        <w:spacing w:after="0" w:line="240" w:lineRule="auto"/>
        <w:jc w:val="left"/>
        <w:rPr>
          <w:rFonts w:ascii="Arial" w:eastAsia="Times New Roman" w:hAnsi="Arial" w:cs="Arial"/>
        </w:rPr>
      </w:pPr>
    </w:p>
    <w:p w:rsidR="009C653E" w:rsidRPr="00C563C4" w:rsidRDefault="009C653E" w:rsidP="009C653E">
      <w:pPr>
        <w:pBdr>
          <w:top w:val="single" w:sz="12" w:space="1" w:color="auto"/>
        </w:pBdr>
        <w:tabs>
          <w:tab w:val="left" w:pos="4320"/>
        </w:tabs>
        <w:spacing w:after="0" w:line="240" w:lineRule="auto"/>
        <w:jc w:val="center"/>
        <w:rPr>
          <w:rFonts w:ascii="Arial" w:eastAsia="Times New Roman" w:hAnsi="Arial" w:cs="Arial"/>
          <w:b/>
          <w:bCs/>
        </w:rPr>
      </w:pPr>
    </w:p>
    <w:p w:rsidR="009C653E" w:rsidRPr="00C563C4" w:rsidRDefault="009C653E" w:rsidP="009C653E">
      <w:pPr>
        <w:pBdr>
          <w:top w:val="single" w:sz="12" w:space="1" w:color="auto"/>
        </w:pBdr>
        <w:tabs>
          <w:tab w:val="left" w:pos="4320"/>
        </w:tabs>
        <w:spacing w:after="0" w:line="240" w:lineRule="auto"/>
        <w:jc w:val="center"/>
        <w:rPr>
          <w:rFonts w:ascii="Arial" w:eastAsia="Times New Roman" w:hAnsi="Arial" w:cs="Arial"/>
          <w:b/>
          <w:bCs/>
        </w:rPr>
      </w:pPr>
      <w:r w:rsidRPr="00C563C4">
        <w:rPr>
          <w:rFonts w:ascii="Arial" w:eastAsia="Times New Roman" w:hAnsi="Arial" w:cs="Arial"/>
          <w:b/>
          <w:bCs/>
        </w:rPr>
        <w:t xml:space="preserve">REPLY OF </w:t>
      </w:r>
      <w:r w:rsidR="00843650">
        <w:rPr>
          <w:rFonts w:ascii="Arial" w:eastAsia="Times New Roman" w:hAnsi="Arial" w:cs="Arial"/>
          <w:b/>
          <w:bCs/>
        </w:rPr>
        <w:t xml:space="preserve">JOINT </w:t>
      </w:r>
      <w:r w:rsidRPr="00C563C4">
        <w:rPr>
          <w:rFonts w:ascii="Arial" w:eastAsia="Times New Roman" w:hAnsi="Arial" w:cs="Arial"/>
          <w:b/>
          <w:bCs/>
        </w:rPr>
        <w:t>MOVANTS TO MEMORANDUM CONTRA OF THE DAYTON POWER AND LIGHT COMPANY TO MOTION FOR A STAY</w:t>
      </w:r>
    </w:p>
    <w:p w:rsidR="009C653E" w:rsidRPr="00C563C4" w:rsidRDefault="009C653E" w:rsidP="009C653E">
      <w:pPr>
        <w:pBdr>
          <w:top w:val="single" w:sz="12" w:space="1" w:color="auto"/>
        </w:pBdr>
        <w:tabs>
          <w:tab w:val="left" w:pos="4320"/>
        </w:tabs>
        <w:spacing w:after="0" w:line="240" w:lineRule="auto"/>
        <w:jc w:val="center"/>
        <w:rPr>
          <w:rFonts w:ascii="Arial" w:eastAsia="Times New Roman" w:hAnsi="Arial" w:cs="Arial"/>
          <w:b/>
          <w:bCs/>
        </w:rPr>
      </w:pPr>
      <w:r w:rsidRPr="00C563C4">
        <w:rPr>
          <w:rFonts w:ascii="Arial" w:eastAsia="Times New Roman" w:hAnsi="Arial" w:cs="Arial"/>
          <w:b/>
          <w:bCs/>
        </w:rPr>
        <w:t>OR, IN THE ALTERNATIVE,</w:t>
      </w:r>
    </w:p>
    <w:p w:rsidR="009C653E" w:rsidRDefault="009C653E" w:rsidP="00D4274F">
      <w:pPr>
        <w:pBdr>
          <w:bottom w:val="single" w:sz="12" w:space="1" w:color="auto"/>
        </w:pBdr>
        <w:spacing w:after="0" w:line="240" w:lineRule="auto"/>
        <w:ind w:firstLine="720"/>
        <w:jc w:val="center"/>
        <w:rPr>
          <w:rFonts w:ascii="Arial" w:eastAsia="Times New Roman" w:hAnsi="Arial" w:cs="Arial"/>
          <w:b/>
          <w:bCs/>
        </w:rPr>
      </w:pPr>
      <w:r w:rsidRPr="00C563C4">
        <w:rPr>
          <w:rFonts w:ascii="Arial" w:eastAsia="Times New Roman" w:hAnsi="Arial" w:cs="Arial"/>
          <w:b/>
          <w:bCs/>
        </w:rPr>
        <w:t xml:space="preserve">MOTION TO MAKE DP&amp;L’S RATES FOR CHARGING THE SERVICE STABILITY RIDER COSTS TO CUSTOMERS SUBJECT TO REFUND </w:t>
      </w:r>
    </w:p>
    <w:p w:rsidR="00D4274F" w:rsidRPr="00C563C4" w:rsidRDefault="00D4274F" w:rsidP="00D4274F">
      <w:pPr>
        <w:pBdr>
          <w:bottom w:val="single" w:sz="12" w:space="1" w:color="auto"/>
        </w:pBdr>
        <w:spacing w:after="0" w:line="240" w:lineRule="auto"/>
        <w:ind w:firstLine="720"/>
        <w:jc w:val="center"/>
        <w:rPr>
          <w:rFonts w:ascii="Arial" w:eastAsia="Times New Roman" w:hAnsi="Arial" w:cs="Arial"/>
          <w:b/>
          <w:bCs/>
        </w:rPr>
      </w:pPr>
    </w:p>
    <w:p w:rsidR="00D4274F" w:rsidRDefault="00D4274F" w:rsidP="00D4274F">
      <w:pPr>
        <w:pStyle w:val="Heading1"/>
        <w:numPr>
          <w:ilvl w:val="0"/>
          <w:numId w:val="0"/>
        </w:numPr>
        <w:rPr>
          <w:rFonts w:ascii="Arial" w:hAnsi="Arial"/>
          <w:szCs w:val="24"/>
        </w:rPr>
      </w:pPr>
      <w:bookmarkStart w:id="4" w:name="_Toc396231440"/>
    </w:p>
    <w:p w:rsidR="007D7DA0" w:rsidRPr="000122E0" w:rsidRDefault="00C563C4" w:rsidP="00C563C4">
      <w:pPr>
        <w:pStyle w:val="Heading1"/>
        <w:rPr>
          <w:rFonts w:ascii="Arial" w:hAnsi="Arial"/>
        </w:rPr>
      </w:pPr>
      <w:bookmarkStart w:id="5" w:name="_Toc396289214"/>
      <w:bookmarkStart w:id="6" w:name="_Toc396386459"/>
      <w:bookmarkEnd w:id="4"/>
      <w:r w:rsidRPr="000122E0">
        <w:rPr>
          <w:rFonts w:ascii="Arial" w:hAnsi="Arial"/>
        </w:rPr>
        <w:t>INTRODUCTION</w:t>
      </w:r>
      <w:bookmarkEnd w:id="5"/>
      <w:bookmarkEnd w:id="6"/>
    </w:p>
    <w:p w:rsidR="003450C5" w:rsidRDefault="009C653E" w:rsidP="003450C5">
      <w:pPr>
        <w:ind w:firstLine="720"/>
        <w:rPr>
          <w:rFonts w:ascii="Arial" w:hAnsi="Arial" w:cs="Arial"/>
        </w:rPr>
      </w:pPr>
      <w:r w:rsidRPr="00C563C4">
        <w:rPr>
          <w:rFonts w:ascii="Arial" w:hAnsi="Arial" w:cs="Arial"/>
        </w:rPr>
        <w:t xml:space="preserve">On July 30, 2014, Industrial Energy Users-Ohio (“IEU-Ohio”), the Office of the Ohio Consumers’ </w:t>
      </w:r>
      <w:r w:rsidR="000122E0" w:rsidRPr="00C563C4">
        <w:rPr>
          <w:rFonts w:ascii="Arial" w:hAnsi="Arial" w:cs="Arial"/>
        </w:rPr>
        <w:t>Counsel</w:t>
      </w:r>
      <w:r w:rsidRPr="00C563C4">
        <w:rPr>
          <w:rFonts w:ascii="Arial" w:hAnsi="Arial" w:cs="Arial"/>
        </w:rPr>
        <w:t xml:space="preserve"> (“OCC”), the Ohio Energy Group (“OEG”), and Ohio Partners for Affordable Energy (“OPAE”) (collectively, “Joint Movants”) filed a motion seeking a stay </w:t>
      </w:r>
      <w:r w:rsidR="00852453" w:rsidRPr="00C563C4">
        <w:rPr>
          <w:rFonts w:ascii="Arial" w:hAnsi="Arial" w:cs="Arial"/>
        </w:rPr>
        <w:t xml:space="preserve">(“Motion to Stay”) </w:t>
      </w:r>
      <w:r w:rsidRPr="00C563C4">
        <w:rPr>
          <w:rFonts w:ascii="Arial" w:hAnsi="Arial" w:cs="Arial"/>
        </w:rPr>
        <w:t xml:space="preserve">of the order of the Public </w:t>
      </w:r>
      <w:r w:rsidR="00852453" w:rsidRPr="00C563C4">
        <w:rPr>
          <w:rFonts w:ascii="Arial" w:hAnsi="Arial" w:cs="Arial"/>
        </w:rPr>
        <w:t>Utilities</w:t>
      </w:r>
      <w:r w:rsidRPr="00C563C4">
        <w:rPr>
          <w:rFonts w:ascii="Arial" w:hAnsi="Arial" w:cs="Arial"/>
        </w:rPr>
        <w:t xml:space="preserve"> Commission of Ohio (“Commission”) authorizing the Dayton Power and Light Company (“DP&amp;L”) to bill and </w:t>
      </w:r>
      <w:r w:rsidRPr="00C563C4">
        <w:rPr>
          <w:rFonts w:ascii="Arial" w:hAnsi="Arial" w:cs="Arial"/>
        </w:rPr>
        <w:lastRenderedPageBreak/>
        <w:t xml:space="preserve">collect a nonbypassable charge, the Service Stability Rider (“SSR”).  In the alternative, Joint Movants requested that the Commission order that the amounts be collected by DP&amp;L subject to refund.  </w:t>
      </w:r>
      <w:r w:rsidR="00E05EA0" w:rsidRPr="0086493C">
        <w:rPr>
          <w:rFonts w:ascii="Arial" w:hAnsi="Arial" w:cs="Arial"/>
        </w:rPr>
        <w:t>The Joint Movants seek the requested relief to protect customers from paying rates that are unjust, unreasonable, and unlawful.</w:t>
      </w:r>
    </w:p>
    <w:p w:rsidR="009C653E" w:rsidRPr="00C563C4" w:rsidRDefault="009C653E" w:rsidP="004A52FB">
      <w:pPr>
        <w:ind w:firstLine="720"/>
        <w:rPr>
          <w:rFonts w:ascii="Arial" w:hAnsi="Arial" w:cs="Arial"/>
        </w:rPr>
      </w:pPr>
      <w:r w:rsidRPr="00C563C4">
        <w:rPr>
          <w:rFonts w:ascii="Arial" w:hAnsi="Arial" w:cs="Arial"/>
        </w:rPr>
        <w:t xml:space="preserve">As the Joint Movants demonstrated, the Commission should grant the stay because the Joint Movants are likely to prevail in their challenge of the authorization of the order, </w:t>
      </w:r>
      <w:r w:rsidR="00852453" w:rsidRPr="00C563C4">
        <w:rPr>
          <w:rFonts w:ascii="Arial" w:hAnsi="Arial" w:cs="Arial"/>
        </w:rPr>
        <w:t xml:space="preserve">failure to grant relief will irreparably harm customers, </w:t>
      </w:r>
      <w:r w:rsidR="00B979AD">
        <w:rPr>
          <w:rFonts w:ascii="Arial" w:hAnsi="Arial" w:cs="Arial"/>
        </w:rPr>
        <w:t xml:space="preserve">the requested </w:t>
      </w:r>
      <w:r w:rsidR="00852453" w:rsidRPr="00C563C4">
        <w:rPr>
          <w:rFonts w:ascii="Arial" w:hAnsi="Arial" w:cs="Arial"/>
        </w:rPr>
        <w:t xml:space="preserve">relief </w:t>
      </w:r>
      <w:r w:rsidR="00B979AD">
        <w:rPr>
          <w:rFonts w:ascii="Arial" w:hAnsi="Arial" w:cs="Arial"/>
        </w:rPr>
        <w:t xml:space="preserve">will not injure DP&amp;L or </w:t>
      </w:r>
      <w:r w:rsidR="00852453" w:rsidRPr="00C563C4">
        <w:rPr>
          <w:rFonts w:ascii="Arial" w:hAnsi="Arial" w:cs="Arial"/>
        </w:rPr>
        <w:t>can be fashioned in such a way as to prevent injury to DP&amp;L, and the public interest supports the grant of relief.</w:t>
      </w:r>
      <w:r w:rsidR="00852453" w:rsidRPr="00C563C4">
        <w:rPr>
          <w:rStyle w:val="FootnoteReference"/>
          <w:rFonts w:ascii="Arial" w:hAnsi="Arial" w:cs="Arial"/>
        </w:rPr>
        <w:footnoteReference w:id="1"/>
      </w:r>
    </w:p>
    <w:p w:rsidR="00E05EA0" w:rsidRDefault="00852453" w:rsidP="00C31248">
      <w:pPr>
        <w:rPr>
          <w:rFonts w:ascii="Arial" w:hAnsi="Arial" w:cs="Arial"/>
        </w:rPr>
      </w:pPr>
      <w:r w:rsidRPr="00C563C4">
        <w:rPr>
          <w:rFonts w:ascii="Arial" w:hAnsi="Arial" w:cs="Arial"/>
        </w:rPr>
        <w:tab/>
        <w:t>On August 14, 2014, DP&amp;L filed a memorandum opposing the Motion to Stay.</w:t>
      </w:r>
      <w:r w:rsidRPr="00C563C4">
        <w:rPr>
          <w:rStyle w:val="FootnoteReference"/>
          <w:rFonts w:ascii="Arial" w:hAnsi="Arial" w:cs="Arial"/>
        </w:rPr>
        <w:footnoteReference w:id="2"/>
      </w:r>
      <w:r w:rsidRPr="00C563C4">
        <w:rPr>
          <w:rFonts w:ascii="Arial" w:hAnsi="Arial" w:cs="Arial"/>
        </w:rPr>
        <w:t xml:space="preserve">  In its Memorandum Contra, DP&amp;L asserts that the Commission should permit </w:t>
      </w:r>
      <w:r w:rsidR="00C95E8A">
        <w:rPr>
          <w:rFonts w:ascii="Arial" w:hAnsi="Arial" w:cs="Arial"/>
        </w:rPr>
        <w:t xml:space="preserve">DP&amp;L </w:t>
      </w:r>
      <w:r w:rsidRPr="00C563C4">
        <w:rPr>
          <w:rFonts w:ascii="Arial" w:hAnsi="Arial" w:cs="Arial"/>
        </w:rPr>
        <w:t>to continue to collect the unlawful SSR charges because the Commission rejected a request for stay in a</w:t>
      </w:r>
      <w:r w:rsidR="006E003A" w:rsidRPr="00C563C4">
        <w:rPr>
          <w:rFonts w:ascii="Arial" w:hAnsi="Arial" w:cs="Arial"/>
        </w:rPr>
        <w:t>n</w:t>
      </w:r>
      <w:r w:rsidRPr="00C563C4">
        <w:rPr>
          <w:rFonts w:ascii="Arial" w:hAnsi="Arial" w:cs="Arial"/>
        </w:rPr>
        <w:t xml:space="preserve"> unrelated case,</w:t>
      </w:r>
      <w:r w:rsidR="006E003A" w:rsidRPr="00C563C4">
        <w:rPr>
          <w:rStyle w:val="FootnoteReference"/>
          <w:rFonts w:ascii="Arial" w:hAnsi="Arial" w:cs="Arial"/>
        </w:rPr>
        <w:footnoteReference w:id="3"/>
      </w:r>
      <w:r w:rsidRPr="00C563C4">
        <w:rPr>
          <w:rFonts w:ascii="Arial" w:hAnsi="Arial" w:cs="Arial"/>
        </w:rPr>
        <w:t xml:space="preserve"> that the Commission lacks authority to issue a stay,</w:t>
      </w:r>
      <w:r w:rsidR="006E003A" w:rsidRPr="00C563C4">
        <w:rPr>
          <w:rStyle w:val="FootnoteReference"/>
          <w:rFonts w:ascii="Arial" w:hAnsi="Arial" w:cs="Arial"/>
        </w:rPr>
        <w:footnoteReference w:id="4"/>
      </w:r>
      <w:r w:rsidRPr="00C563C4">
        <w:rPr>
          <w:rFonts w:ascii="Arial" w:hAnsi="Arial" w:cs="Arial"/>
        </w:rPr>
        <w:t xml:space="preserve"> and </w:t>
      </w:r>
      <w:r w:rsidR="00B979AD">
        <w:rPr>
          <w:rFonts w:ascii="Arial" w:hAnsi="Arial" w:cs="Arial"/>
        </w:rPr>
        <w:t xml:space="preserve">that </w:t>
      </w:r>
      <w:r w:rsidRPr="00C563C4">
        <w:rPr>
          <w:rFonts w:ascii="Arial" w:hAnsi="Arial" w:cs="Arial"/>
        </w:rPr>
        <w:t>the requested relief is improper</w:t>
      </w:r>
      <w:r w:rsidR="00C31248" w:rsidRPr="00C563C4">
        <w:rPr>
          <w:rFonts w:ascii="Arial" w:hAnsi="Arial" w:cs="Arial"/>
        </w:rPr>
        <w:t xml:space="preserve"> because DP&amp;L will suffer if it does not </w:t>
      </w:r>
      <w:r w:rsidR="00C31248" w:rsidRPr="00C563C4">
        <w:rPr>
          <w:rFonts w:ascii="Arial" w:hAnsi="Arial" w:cs="Arial"/>
        </w:rPr>
        <w:lastRenderedPageBreak/>
        <w:t>extract additional above-market revenue from customers for its generation-related resources</w:t>
      </w:r>
      <w:r w:rsidRPr="00C563C4">
        <w:rPr>
          <w:rFonts w:ascii="Arial" w:hAnsi="Arial" w:cs="Arial"/>
        </w:rPr>
        <w:t>.</w:t>
      </w:r>
      <w:r w:rsidR="006E003A" w:rsidRPr="00C563C4">
        <w:rPr>
          <w:rStyle w:val="FootnoteReference"/>
          <w:rFonts w:ascii="Arial" w:hAnsi="Arial" w:cs="Arial"/>
        </w:rPr>
        <w:footnoteReference w:id="5"/>
      </w:r>
      <w:r w:rsidRPr="00C563C4">
        <w:rPr>
          <w:rFonts w:ascii="Arial" w:hAnsi="Arial" w:cs="Arial"/>
        </w:rPr>
        <w:t xml:space="preserve">  </w:t>
      </w:r>
    </w:p>
    <w:p w:rsidR="00852453" w:rsidRPr="00C563C4" w:rsidRDefault="00E05EA0" w:rsidP="00C31248">
      <w:pPr>
        <w:rPr>
          <w:rFonts w:ascii="Arial" w:hAnsi="Arial" w:cs="Arial"/>
        </w:rPr>
      </w:pPr>
      <w:r>
        <w:rPr>
          <w:rFonts w:ascii="Arial" w:hAnsi="Arial" w:cs="Arial"/>
        </w:rPr>
        <w:tab/>
      </w:r>
      <w:r w:rsidR="00852453" w:rsidRPr="00C563C4">
        <w:rPr>
          <w:rFonts w:ascii="Arial" w:hAnsi="Arial" w:cs="Arial"/>
        </w:rPr>
        <w:t>Because DP&amp;L’s arguments are without merit, the Commission shou</w:t>
      </w:r>
      <w:r w:rsidR="00C31248" w:rsidRPr="00C563C4">
        <w:rPr>
          <w:rFonts w:ascii="Arial" w:hAnsi="Arial" w:cs="Arial"/>
        </w:rPr>
        <w:t>ld grant the Motion to Stay or in the alternative order that the SSR be collected subject to refund.</w:t>
      </w:r>
      <w:r>
        <w:rPr>
          <w:rFonts w:ascii="Arial" w:hAnsi="Arial" w:cs="Arial"/>
        </w:rPr>
        <w:t xml:space="preserve">  </w:t>
      </w:r>
      <w:r w:rsidRPr="00E05EA0">
        <w:rPr>
          <w:rFonts w:ascii="Arial" w:hAnsi="Arial" w:cs="Arial"/>
        </w:rPr>
        <w:t xml:space="preserve">Doing so would protect customers from the </w:t>
      </w:r>
      <w:r w:rsidR="00843650" w:rsidRPr="00E05EA0">
        <w:rPr>
          <w:rFonts w:ascii="Arial" w:hAnsi="Arial" w:cs="Arial"/>
        </w:rPr>
        <w:t>irreparable</w:t>
      </w:r>
      <w:r w:rsidRPr="00E05EA0">
        <w:rPr>
          <w:rFonts w:ascii="Arial" w:hAnsi="Arial" w:cs="Arial"/>
        </w:rPr>
        <w:t xml:space="preserve"> harm that comes from the</w:t>
      </w:r>
      <w:r>
        <w:rPr>
          <w:rFonts w:ascii="Arial" w:hAnsi="Arial" w:cs="Arial"/>
        </w:rPr>
        <w:t xml:space="preserve"> fact that rates once collected will not likely </w:t>
      </w:r>
      <w:r w:rsidRPr="00E05EA0">
        <w:rPr>
          <w:rFonts w:ascii="Arial" w:hAnsi="Arial" w:cs="Arial"/>
        </w:rPr>
        <w:t xml:space="preserve">be refunded, even if the rates are later found to be </w:t>
      </w:r>
      <w:r w:rsidR="00B979AD">
        <w:rPr>
          <w:rFonts w:ascii="Arial" w:hAnsi="Arial" w:cs="Arial"/>
        </w:rPr>
        <w:t>unlawful or unreasonable</w:t>
      </w:r>
      <w:r w:rsidRPr="00E05EA0">
        <w:rPr>
          <w:rFonts w:ascii="Arial" w:hAnsi="Arial" w:cs="Arial"/>
        </w:rPr>
        <w:t>.</w:t>
      </w:r>
    </w:p>
    <w:p w:rsidR="004A52FB" w:rsidRPr="000122E0" w:rsidRDefault="004A52FB" w:rsidP="00C563C4">
      <w:pPr>
        <w:pStyle w:val="Heading1"/>
        <w:rPr>
          <w:rFonts w:ascii="Arial" w:hAnsi="Arial"/>
        </w:rPr>
      </w:pPr>
      <w:bookmarkStart w:id="7" w:name="_Toc396231441"/>
      <w:bookmarkStart w:id="8" w:name="_Toc396288898"/>
      <w:bookmarkStart w:id="9" w:name="_Toc396289215"/>
      <w:bookmarkStart w:id="10" w:name="_Toc396386460"/>
      <w:r w:rsidRPr="000122E0">
        <w:rPr>
          <w:rFonts w:ascii="Arial" w:hAnsi="Arial"/>
        </w:rPr>
        <w:t>ARGUMENT</w:t>
      </w:r>
      <w:bookmarkEnd w:id="7"/>
      <w:bookmarkEnd w:id="8"/>
      <w:bookmarkEnd w:id="9"/>
      <w:bookmarkEnd w:id="10"/>
    </w:p>
    <w:p w:rsidR="009C653E" w:rsidRPr="00C563C4" w:rsidRDefault="009C653E" w:rsidP="004A52FB">
      <w:pPr>
        <w:pStyle w:val="Heading2"/>
        <w:rPr>
          <w:rFonts w:ascii="Arial" w:hAnsi="Arial"/>
          <w:szCs w:val="24"/>
        </w:rPr>
      </w:pPr>
      <w:bookmarkStart w:id="11" w:name="_Toc396231442"/>
      <w:bookmarkStart w:id="12" w:name="_Toc396288899"/>
      <w:bookmarkStart w:id="13" w:name="_Toc396289216"/>
      <w:bookmarkStart w:id="14" w:name="_Toc396386461"/>
      <w:r w:rsidRPr="00C563C4">
        <w:rPr>
          <w:rFonts w:ascii="Arial" w:hAnsi="Arial"/>
          <w:szCs w:val="24"/>
        </w:rPr>
        <w:t xml:space="preserve">The </w:t>
      </w:r>
      <w:r w:rsidR="007D7DA0" w:rsidRPr="00C563C4">
        <w:rPr>
          <w:rFonts w:ascii="Arial" w:hAnsi="Arial"/>
          <w:szCs w:val="24"/>
        </w:rPr>
        <w:t xml:space="preserve">Commission’s rejection of </w:t>
      </w:r>
      <w:r w:rsidR="006E003A" w:rsidRPr="00C563C4">
        <w:rPr>
          <w:rFonts w:ascii="Arial" w:hAnsi="Arial"/>
          <w:szCs w:val="24"/>
        </w:rPr>
        <w:t>a request to collect rates s</w:t>
      </w:r>
      <w:r w:rsidRPr="00C563C4">
        <w:rPr>
          <w:rFonts w:ascii="Arial" w:hAnsi="Arial"/>
          <w:szCs w:val="24"/>
        </w:rPr>
        <w:t xml:space="preserve">ubject to </w:t>
      </w:r>
      <w:r w:rsidR="006E003A" w:rsidRPr="00C563C4">
        <w:rPr>
          <w:rFonts w:ascii="Arial" w:hAnsi="Arial"/>
          <w:szCs w:val="24"/>
        </w:rPr>
        <w:t>refund e</w:t>
      </w:r>
      <w:r w:rsidRPr="00C563C4">
        <w:rPr>
          <w:rFonts w:ascii="Arial" w:hAnsi="Arial"/>
          <w:szCs w:val="24"/>
        </w:rPr>
        <w:t xml:space="preserve">arlier this year </w:t>
      </w:r>
      <w:r w:rsidR="00E05EA0">
        <w:rPr>
          <w:rFonts w:ascii="Arial" w:hAnsi="Arial"/>
          <w:szCs w:val="24"/>
        </w:rPr>
        <w:t xml:space="preserve">in an unrelated case </w:t>
      </w:r>
      <w:r w:rsidRPr="00C563C4">
        <w:rPr>
          <w:rFonts w:ascii="Arial" w:hAnsi="Arial"/>
          <w:szCs w:val="24"/>
        </w:rPr>
        <w:t xml:space="preserve">should not preclude the </w:t>
      </w:r>
      <w:r w:rsidR="007D7DA0" w:rsidRPr="00C563C4">
        <w:rPr>
          <w:rFonts w:ascii="Arial" w:hAnsi="Arial"/>
          <w:szCs w:val="24"/>
        </w:rPr>
        <w:t>Commission</w:t>
      </w:r>
      <w:r w:rsidRPr="00C563C4">
        <w:rPr>
          <w:rFonts w:ascii="Arial" w:hAnsi="Arial"/>
          <w:szCs w:val="24"/>
        </w:rPr>
        <w:t xml:space="preserve"> fr</w:t>
      </w:r>
      <w:r w:rsidR="006E003A" w:rsidRPr="00C563C4">
        <w:rPr>
          <w:rFonts w:ascii="Arial" w:hAnsi="Arial"/>
          <w:szCs w:val="24"/>
        </w:rPr>
        <w:t xml:space="preserve">om ordering rates </w:t>
      </w:r>
      <w:r w:rsidR="00B46BFA">
        <w:rPr>
          <w:rFonts w:ascii="Arial" w:hAnsi="Arial"/>
          <w:szCs w:val="24"/>
        </w:rPr>
        <w:t xml:space="preserve">to </w:t>
      </w:r>
      <w:r w:rsidR="006E003A" w:rsidRPr="00C563C4">
        <w:rPr>
          <w:rFonts w:ascii="Arial" w:hAnsi="Arial"/>
          <w:szCs w:val="24"/>
        </w:rPr>
        <w:t xml:space="preserve">be collected </w:t>
      </w:r>
      <w:r w:rsidRPr="00C563C4">
        <w:rPr>
          <w:rFonts w:ascii="Arial" w:hAnsi="Arial"/>
          <w:szCs w:val="24"/>
        </w:rPr>
        <w:t>subje</w:t>
      </w:r>
      <w:r w:rsidR="006E003A" w:rsidRPr="00C563C4">
        <w:rPr>
          <w:rFonts w:ascii="Arial" w:hAnsi="Arial"/>
          <w:szCs w:val="24"/>
        </w:rPr>
        <w:t>ct to refund in this proceeding</w:t>
      </w:r>
      <w:bookmarkEnd w:id="11"/>
      <w:bookmarkEnd w:id="12"/>
      <w:bookmarkEnd w:id="13"/>
      <w:r w:rsidR="00E05EA0">
        <w:rPr>
          <w:rFonts w:ascii="Arial" w:hAnsi="Arial"/>
          <w:szCs w:val="24"/>
        </w:rPr>
        <w:t xml:space="preserve"> </w:t>
      </w:r>
      <w:r w:rsidR="00B979AD">
        <w:rPr>
          <w:rFonts w:ascii="Arial" w:hAnsi="Arial"/>
          <w:szCs w:val="24"/>
        </w:rPr>
        <w:t>to</w:t>
      </w:r>
      <w:r w:rsidR="00E05EA0">
        <w:rPr>
          <w:rFonts w:ascii="Arial" w:hAnsi="Arial"/>
          <w:szCs w:val="24"/>
        </w:rPr>
        <w:t xml:space="preserve"> protect customers</w:t>
      </w:r>
      <w:bookmarkEnd w:id="14"/>
    </w:p>
    <w:p w:rsidR="006E003A" w:rsidRPr="00C563C4" w:rsidRDefault="009C653E" w:rsidP="006E003A">
      <w:pPr>
        <w:rPr>
          <w:rFonts w:ascii="Arial" w:hAnsi="Arial" w:cs="Arial"/>
        </w:rPr>
      </w:pPr>
      <w:r w:rsidRPr="00C563C4">
        <w:rPr>
          <w:rFonts w:ascii="Arial" w:hAnsi="Arial" w:cs="Arial"/>
        </w:rPr>
        <w:tab/>
      </w:r>
      <w:r w:rsidR="004A49C1" w:rsidRPr="00C563C4">
        <w:rPr>
          <w:rFonts w:ascii="Arial" w:hAnsi="Arial" w:cs="Arial"/>
        </w:rPr>
        <w:t xml:space="preserve">Initially, </w:t>
      </w:r>
      <w:r w:rsidRPr="00C563C4">
        <w:rPr>
          <w:rFonts w:ascii="Arial" w:hAnsi="Arial" w:cs="Arial"/>
        </w:rPr>
        <w:t xml:space="preserve">DP&amp;L argues that </w:t>
      </w:r>
      <w:r w:rsidR="00B46BFA">
        <w:rPr>
          <w:rFonts w:ascii="Arial" w:hAnsi="Arial" w:cs="Arial"/>
        </w:rPr>
        <w:t xml:space="preserve">the Commission should deny the Motion to Stay because </w:t>
      </w:r>
      <w:r w:rsidRPr="00C563C4">
        <w:rPr>
          <w:rFonts w:ascii="Arial" w:hAnsi="Arial" w:cs="Arial"/>
        </w:rPr>
        <w:t xml:space="preserve">earlier this year </w:t>
      </w:r>
      <w:r w:rsidR="00B46BFA">
        <w:rPr>
          <w:rFonts w:ascii="Arial" w:hAnsi="Arial" w:cs="Arial"/>
        </w:rPr>
        <w:t>it</w:t>
      </w:r>
      <w:r w:rsidRPr="00C563C4">
        <w:rPr>
          <w:rFonts w:ascii="Arial" w:hAnsi="Arial" w:cs="Arial"/>
        </w:rPr>
        <w:t xml:space="preserve"> rejected a request by OCC and others to collect rates subject to refund</w:t>
      </w:r>
      <w:r w:rsidR="006E003A" w:rsidRPr="00C563C4">
        <w:rPr>
          <w:rFonts w:ascii="Arial" w:hAnsi="Arial" w:cs="Arial"/>
        </w:rPr>
        <w:t xml:space="preserve"> </w:t>
      </w:r>
      <w:r w:rsidR="00117FF1" w:rsidRPr="00C563C4">
        <w:rPr>
          <w:rFonts w:ascii="Arial" w:hAnsi="Arial" w:cs="Arial"/>
        </w:rPr>
        <w:t>in</w:t>
      </w:r>
      <w:r w:rsidRPr="00C563C4">
        <w:rPr>
          <w:rFonts w:ascii="Arial" w:hAnsi="Arial" w:cs="Arial"/>
        </w:rPr>
        <w:t xml:space="preserve"> the Duke </w:t>
      </w:r>
      <w:r w:rsidR="00C95E8A">
        <w:rPr>
          <w:rFonts w:ascii="Arial" w:hAnsi="Arial" w:cs="Arial"/>
        </w:rPr>
        <w:t xml:space="preserve">Energy Ohio, Inc. (“Duke) </w:t>
      </w:r>
      <w:r w:rsidRPr="00C563C4">
        <w:rPr>
          <w:rFonts w:ascii="Arial" w:hAnsi="Arial" w:cs="Arial"/>
        </w:rPr>
        <w:t>Gas Rate case, Case No. 12-1685-GA-AIR</w:t>
      </w:r>
      <w:r w:rsidR="00B46BFA">
        <w:rPr>
          <w:rFonts w:ascii="Arial" w:hAnsi="Arial" w:cs="Arial"/>
        </w:rPr>
        <w:t>.  In that case,</w:t>
      </w:r>
      <w:r w:rsidRPr="00C563C4">
        <w:rPr>
          <w:rFonts w:ascii="Arial" w:hAnsi="Arial" w:cs="Arial"/>
        </w:rPr>
        <w:t xml:space="preserve"> the </w:t>
      </w:r>
      <w:r w:rsidR="007D7DA0" w:rsidRPr="00C563C4">
        <w:rPr>
          <w:rFonts w:ascii="Arial" w:hAnsi="Arial" w:cs="Arial"/>
        </w:rPr>
        <w:t>Commission</w:t>
      </w:r>
      <w:r w:rsidRPr="00C563C4">
        <w:rPr>
          <w:rFonts w:ascii="Arial" w:hAnsi="Arial" w:cs="Arial"/>
        </w:rPr>
        <w:t xml:space="preserve"> ruled against a motion </w:t>
      </w:r>
      <w:r w:rsidR="00E05EA0">
        <w:rPr>
          <w:rFonts w:ascii="Arial" w:hAnsi="Arial" w:cs="Arial"/>
        </w:rPr>
        <w:t xml:space="preserve">requesting an order directing Duke </w:t>
      </w:r>
      <w:r w:rsidRPr="00C563C4">
        <w:rPr>
          <w:rFonts w:ascii="Arial" w:hAnsi="Arial" w:cs="Arial"/>
        </w:rPr>
        <w:t xml:space="preserve">to collect </w:t>
      </w:r>
      <w:r w:rsidR="00F64012">
        <w:rPr>
          <w:rFonts w:ascii="Arial" w:hAnsi="Arial" w:cs="Arial"/>
        </w:rPr>
        <w:t xml:space="preserve">manufactured gas plant-related charges (“MGP”) </w:t>
      </w:r>
      <w:r w:rsidR="000B40F5">
        <w:rPr>
          <w:rFonts w:ascii="Arial" w:hAnsi="Arial" w:cs="Arial"/>
        </w:rPr>
        <w:t>through</w:t>
      </w:r>
      <w:r w:rsidR="00F64012">
        <w:rPr>
          <w:rFonts w:ascii="Arial" w:hAnsi="Arial" w:cs="Arial"/>
        </w:rPr>
        <w:t xml:space="preserve"> </w:t>
      </w:r>
      <w:r w:rsidRPr="00C563C4">
        <w:rPr>
          <w:rFonts w:ascii="Arial" w:hAnsi="Arial" w:cs="Arial"/>
        </w:rPr>
        <w:t>Rider MGP subject to refund.</w:t>
      </w:r>
      <w:r w:rsidRPr="00C563C4">
        <w:rPr>
          <w:rStyle w:val="FootnoteReference"/>
          <w:rFonts w:ascii="Arial" w:hAnsi="Arial" w:cs="Arial"/>
        </w:rPr>
        <w:footnoteReference w:id="6"/>
      </w:r>
      <w:r w:rsidRPr="00C563C4">
        <w:rPr>
          <w:rFonts w:ascii="Arial" w:hAnsi="Arial" w:cs="Arial"/>
        </w:rPr>
        <w:t xml:space="preserve">  </w:t>
      </w:r>
      <w:r w:rsidR="00F64012">
        <w:rPr>
          <w:rFonts w:ascii="Arial" w:hAnsi="Arial" w:cs="Arial"/>
        </w:rPr>
        <w:t>DP&amp;L</w:t>
      </w:r>
      <w:r w:rsidR="00F64012" w:rsidRPr="00C563C4">
        <w:rPr>
          <w:rFonts w:ascii="Arial" w:hAnsi="Arial" w:cs="Arial"/>
        </w:rPr>
        <w:t xml:space="preserve">’s </w:t>
      </w:r>
      <w:r w:rsidR="00117FF1" w:rsidRPr="00C563C4">
        <w:rPr>
          <w:rFonts w:ascii="Arial" w:hAnsi="Arial" w:cs="Arial"/>
        </w:rPr>
        <w:t>reliance on this case as a basis for the Commission to deny the Motion to Stay is unwarranted because</w:t>
      </w:r>
      <w:r w:rsidR="006E003A" w:rsidRPr="00C563C4">
        <w:rPr>
          <w:rFonts w:ascii="Arial" w:hAnsi="Arial" w:cs="Arial"/>
        </w:rPr>
        <w:t xml:space="preserve"> the Supreme Court </w:t>
      </w:r>
      <w:r w:rsidR="004B6764">
        <w:rPr>
          <w:rFonts w:ascii="Arial" w:hAnsi="Arial" w:cs="Arial"/>
        </w:rPr>
        <w:t xml:space="preserve">of Ohio (“Court”) </w:t>
      </w:r>
      <w:r w:rsidR="006E003A" w:rsidRPr="00C563C4">
        <w:rPr>
          <w:rFonts w:ascii="Arial" w:hAnsi="Arial" w:cs="Arial"/>
        </w:rPr>
        <w:t xml:space="preserve">subsequently </w:t>
      </w:r>
      <w:r w:rsidR="004A49C1" w:rsidRPr="00C563C4">
        <w:rPr>
          <w:rFonts w:ascii="Arial" w:hAnsi="Arial" w:cs="Arial"/>
        </w:rPr>
        <w:t>ordered that collection of Rider MGP</w:t>
      </w:r>
      <w:r w:rsidR="006E003A" w:rsidRPr="00C563C4">
        <w:rPr>
          <w:rFonts w:ascii="Arial" w:hAnsi="Arial" w:cs="Arial"/>
        </w:rPr>
        <w:t xml:space="preserve"> </w:t>
      </w:r>
      <w:r w:rsidR="004A49C1" w:rsidRPr="00C563C4">
        <w:rPr>
          <w:rFonts w:ascii="Arial" w:hAnsi="Arial" w:cs="Arial"/>
        </w:rPr>
        <w:t>be stayed</w:t>
      </w:r>
      <w:r w:rsidR="006E003A" w:rsidRPr="00C563C4">
        <w:rPr>
          <w:rFonts w:ascii="Arial" w:hAnsi="Arial" w:cs="Arial"/>
        </w:rPr>
        <w:t xml:space="preserve">, initially without ordering </w:t>
      </w:r>
      <w:r w:rsidR="006E003A" w:rsidRPr="00C563C4">
        <w:rPr>
          <w:rFonts w:ascii="Arial" w:hAnsi="Arial" w:cs="Arial"/>
        </w:rPr>
        <w:lastRenderedPageBreak/>
        <w:t>the posting of a bond.</w:t>
      </w:r>
      <w:r w:rsidR="006E003A" w:rsidRPr="00C563C4">
        <w:rPr>
          <w:rStyle w:val="FootnoteReference"/>
          <w:rFonts w:ascii="Arial" w:hAnsi="Arial" w:cs="Arial"/>
        </w:rPr>
        <w:footnoteReference w:id="7"/>
      </w:r>
      <w:r w:rsidR="00117FF1" w:rsidRPr="00C563C4">
        <w:rPr>
          <w:rFonts w:ascii="Arial" w:hAnsi="Arial" w:cs="Arial"/>
        </w:rPr>
        <w:t xml:space="preserve">  If the cases are “remarkably similar,” as DP&amp;L alleges,</w:t>
      </w:r>
      <w:r w:rsidR="00117FF1" w:rsidRPr="00C563C4">
        <w:rPr>
          <w:rStyle w:val="FootnoteReference"/>
          <w:rFonts w:ascii="Arial" w:hAnsi="Arial" w:cs="Arial"/>
        </w:rPr>
        <w:footnoteReference w:id="8"/>
      </w:r>
      <w:r w:rsidR="00117FF1" w:rsidRPr="00C563C4">
        <w:rPr>
          <w:rFonts w:ascii="Arial" w:hAnsi="Arial" w:cs="Arial"/>
        </w:rPr>
        <w:t xml:space="preserve"> the Commission should follow the </w:t>
      </w:r>
      <w:r w:rsidR="00D2656E" w:rsidRPr="00C563C4">
        <w:rPr>
          <w:rFonts w:ascii="Arial" w:hAnsi="Arial" w:cs="Arial"/>
        </w:rPr>
        <w:t>precedent on the merits of the request for a stay</w:t>
      </w:r>
      <w:r w:rsidR="00117FF1" w:rsidRPr="00C563C4">
        <w:rPr>
          <w:rFonts w:ascii="Arial" w:hAnsi="Arial" w:cs="Arial"/>
        </w:rPr>
        <w:t xml:space="preserve"> provided by the </w:t>
      </w:r>
      <w:r w:rsidR="00D34F58">
        <w:rPr>
          <w:rFonts w:ascii="Arial" w:hAnsi="Arial" w:cs="Arial"/>
        </w:rPr>
        <w:t>Court</w:t>
      </w:r>
      <w:r w:rsidR="00117FF1" w:rsidRPr="00C563C4">
        <w:rPr>
          <w:rFonts w:ascii="Arial" w:hAnsi="Arial" w:cs="Arial"/>
        </w:rPr>
        <w:t xml:space="preserve"> and grant the stay to </w:t>
      </w:r>
      <w:r w:rsidR="003450C5">
        <w:rPr>
          <w:rFonts w:ascii="Arial" w:hAnsi="Arial" w:cs="Arial"/>
        </w:rPr>
        <w:t>protect</w:t>
      </w:r>
      <w:r w:rsidR="00117FF1" w:rsidRPr="00C563C4">
        <w:rPr>
          <w:rFonts w:ascii="Arial" w:hAnsi="Arial" w:cs="Arial"/>
        </w:rPr>
        <w:t xml:space="preserve"> consumers while this matter proceeds through the appeals process.</w:t>
      </w:r>
    </w:p>
    <w:p w:rsidR="00117FF1" w:rsidRDefault="00D2656E" w:rsidP="00117FF1">
      <w:pPr>
        <w:ind w:firstLine="720"/>
        <w:rPr>
          <w:rFonts w:ascii="Arial" w:hAnsi="Arial" w:cs="Arial"/>
        </w:rPr>
      </w:pPr>
      <w:r w:rsidRPr="00C563C4">
        <w:rPr>
          <w:rFonts w:ascii="Arial" w:hAnsi="Arial" w:cs="Arial"/>
        </w:rPr>
        <w:t xml:space="preserve">Further, the merits of the Motion to Stay demonstrate that the Commission should grant the stay.  As discussed in the Motion to Stay and additionally below, the Joint Movants have demonstrated grounds for an order staying the authorization of the SSR or its collection subject to refund.  </w:t>
      </w:r>
      <w:r w:rsidR="00117FF1" w:rsidRPr="00C563C4">
        <w:rPr>
          <w:rFonts w:ascii="Arial" w:hAnsi="Arial" w:cs="Arial"/>
        </w:rPr>
        <w:t>If</w:t>
      </w:r>
      <w:r w:rsidR="009C653E" w:rsidRPr="00C563C4">
        <w:rPr>
          <w:rFonts w:ascii="Arial" w:hAnsi="Arial" w:cs="Arial"/>
        </w:rPr>
        <w:t xml:space="preserve"> the </w:t>
      </w:r>
      <w:r w:rsidR="007D7DA0" w:rsidRPr="00C563C4">
        <w:rPr>
          <w:rFonts w:ascii="Arial" w:hAnsi="Arial" w:cs="Arial"/>
        </w:rPr>
        <w:t>Commission</w:t>
      </w:r>
      <w:r w:rsidR="009C653E" w:rsidRPr="00C563C4">
        <w:rPr>
          <w:rFonts w:ascii="Arial" w:hAnsi="Arial" w:cs="Arial"/>
        </w:rPr>
        <w:t xml:space="preserve"> does not </w:t>
      </w:r>
      <w:r w:rsidRPr="00C563C4">
        <w:rPr>
          <w:rFonts w:ascii="Arial" w:hAnsi="Arial" w:cs="Arial"/>
        </w:rPr>
        <w:t>grant the motion</w:t>
      </w:r>
      <w:r w:rsidR="009C653E" w:rsidRPr="00C563C4">
        <w:rPr>
          <w:rFonts w:ascii="Arial" w:hAnsi="Arial" w:cs="Arial"/>
        </w:rPr>
        <w:t xml:space="preserve">, customers </w:t>
      </w:r>
      <w:r w:rsidRPr="00C563C4">
        <w:rPr>
          <w:rFonts w:ascii="Arial" w:hAnsi="Arial" w:cs="Arial"/>
        </w:rPr>
        <w:t>will once again suffer the</w:t>
      </w:r>
      <w:r w:rsidR="009C653E" w:rsidRPr="00C563C4">
        <w:rPr>
          <w:rFonts w:ascii="Arial" w:hAnsi="Arial" w:cs="Arial"/>
        </w:rPr>
        <w:t xml:space="preserve"> “unfair” outcome </w:t>
      </w:r>
      <w:r w:rsidR="004A49C1" w:rsidRPr="00C563C4">
        <w:rPr>
          <w:rFonts w:ascii="Arial" w:hAnsi="Arial" w:cs="Arial"/>
        </w:rPr>
        <w:t>resulting from this Commission’s application</w:t>
      </w:r>
      <w:r w:rsidR="009C653E" w:rsidRPr="00C563C4">
        <w:rPr>
          <w:rFonts w:ascii="Arial" w:hAnsi="Arial" w:cs="Arial"/>
        </w:rPr>
        <w:t xml:space="preserve"> </w:t>
      </w:r>
      <w:r w:rsidRPr="00C563C4">
        <w:rPr>
          <w:rFonts w:ascii="Arial" w:hAnsi="Arial" w:cs="Arial"/>
        </w:rPr>
        <w:t>of</w:t>
      </w:r>
      <w:r w:rsidR="009C653E" w:rsidRPr="00C563C4">
        <w:rPr>
          <w:rFonts w:ascii="Arial" w:hAnsi="Arial" w:cs="Arial"/>
        </w:rPr>
        <w:t xml:space="preserve"> </w:t>
      </w:r>
      <w:r w:rsidR="00B979AD">
        <w:rPr>
          <w:rFonts w:ascii="Arial" w:hAnsi="Arial" w:cs="Arial"/>
        </w:rPr>
        <w:t>the Court-fashioned</w:t>
      </w:r>
      <w:r w:rsidR="00B979AD" w:rsidRPr="00C563C4">
        <w:rPr>
          <w:rFonts w:ascii="Arial" w:hAnsi="Arial" w:cs="Arial"/>
        </w:rPr>
        <w:t xml:space="preserve"> </w:t>
      </w:r>
      <w:r w:rsidR="009C653E" w:rsidRPr="00C563C4">
        <w:rPr>
          <w:rFonts w:ascii="Arial" w:hAnsi="Arial" w:cs="Arial"/>
        </w:rPr>
        <w:t>no refund rule.</w:t>
      </w:r>
      <w:r w:rsidR="009C653E" w:rsidRPr="00C563C4">
        <w:rPr>
          <w:rStyle w:val="FootnoteReference"/>
          <w:rFonts w:ascii="Arial" w:hAnsi="Arial" w:cs="Arial"/>
        </w:rPr>
        <w:footnoteReference w:id="9"/>
      </w:r>
      <w:r w:rsidR="009C653E" w:rsidRPr="00C563C4">
        <w:rPr>
          <w:rFonts w:ascii="Arial" w:hAnsi="Arial" w:cs="Arial"/>
        </w:rPr>
        <w:t xml:space="preserve">  </w:t>
      </w:r>
      <w:r w:rsidR="00B979AD">
        <w:rPr>
          <w:rFonts w:ascii="Arial" w:hAnsi="Arial" w:cs="Arial"/>
        </w:rPr>
        <w:t xml:space="preserve">As </w:t>
      </w:r>
      <w:r w:rsidR="009C653E" w:rsidRPr="00C563C4">
        <w:rPr>
          <w:rFonts w:ascii="Arial" w:hAnsi="Arial" w:cs="Arial"/>
        </w:rPr>
        <w:t xml:space="preserve">Justice </w:t>
      </w:r>
      <w:r w:rsidR="00B979AD">
        <w:rPr>
          <w:rFonts w:ascii="Arial" w:hAnsi="Arial" w:cs="Arial"/>
        </w:rPr>
        <w:t>recently noted</w:t>
      </w:r>
      <w:r w:rsidR="009C653E" w:rsidRPr="00C563C4">
        <w:rPr>
          <w:rFonts w:ascii="Arial" w:hAnsi="Arial" w:cs="Arial"/>
        </w:rPr>
        <w:t xml:space="preserve"> noted</w:t>
      </w:r>
      <w:r w:rsidR="00B979AD">
        <w:rPr>
          <w:rFonts w:ascii="Arial" w:hAnsi="Arial" w:cs="Arial"/>
        </w:rPr>
        <w:t>,</w:t>
      </w:r>
      <w:r w:rsidR="009C653E" w:rsidRPr="00C563C4">
        <w:rPr>
          <w:rFonts w:ascii="Arial" w:hAnsi="Arial" w:cs="Arial"/>
        </w:rPr>
        <w:t xml:space="preserve"> parties must seek to stay </w:t>
      </w:r>
      <w:r w:rsidR="001F109D">
        <w:rPr>
          <w:rFonts w:ascii="Arial" w:hAnsi="Arial" w:cs="Arial"/>
        </w:rPr>
        <w:t xml:space="preserve">an </w:t>
      </w:r>
      <w:r w:rsidR="009C653E" w:rsidRPr="00C563C4">
        <w:rPr>
          <w:rFonts w:ascii="Arial" w:hAnsi="Arial" w:cs="Arial"/>
        </w:rPr>
        <w:t>order on “the front end in order to prevent unreasonable fees from being collected.  Otherwise customers cannot achieve a real remedy.”</w:t>
      </w:r>
      <w:r w:rsidR="00B979AD" w:rsidRPr="00C563C4">
        <w:rPr>
          <w:rStyle w:val="FootnoteReference"/>
          <w:rFonts w:ascii="Arial" w:hAnsi="Arial" w:cs="Arial"/>
        </w:rPr>
        <w:footnoteReference w:id="10"/>
      </w:r>
      <w:r w:rsidR="009C653E" w:rsidRPr="00C563C4">
        <w:rPr>
          <w:rFonts w:ascii="Arial" w:hAnsi="Arial" w:cs="Arial"/>
        </w:rPr>
        <w:t xml:space="preserve">  </w:t>
      </w:r>
      <w:r w:rsidRPr="00C563C4">
        <w:rPr>
          <w:rFonts w:ascii="Arial" w:hAnsi="Arial" w:cs="Arial"/>
        </w:rPr>
        <w:t>If the Commission again refuses to grant a stay or order the SSR to be billed and collected subject to refund</w:t>
      </w:r>
      <w:r w:rsidR="009C653E" w:rsidRPr="00C563C4">
        <w:rPr>
          <w:rFonts w:ascii="Arial" w:hAnsi="Arial" w:cs="Arial"/>
        </w:rPr>
        <w:t>, customers will once again be without a real remedy</w:t>
      </w:r>
      <w:r w:rsidRPr="00C563C4">
        <w:rPr>
          <w:rFonts w:ascii="Arial" w:hAnsi="Arial" w:cs="Arial"/>
        </w:rPr>
        <w:t xml:space="preserve"> unless the Court once again </w:t>
      </w:r>
      <w:r w:rsidR="0036137E">
        <w:rPr>
          <w:rFonts w:ascii="Arial" w:hAnsi="Arial" w:cs="Arial"/>
        </w:rPr>
        <w:t xml:space="preserve">is </w:t>
      </w:r>
      <w:r w:rsidRPr="00C563C4">
        <w:rPr>
          <w:rFonts w:ascii="Arial" w:hAnsi="Arial" w:cs="Arial"/>
        </w:rPr>
        <w:t>asked to intervene</w:t>
      </w:r>
      <w:r w:rsidR="00B979AD">
        <w:rPr>
          <w:rFonts w:ascii="Arial" w:hAnsi="Arial" w:cs="Arial"/>
        </w:rPr>
        <w:t xml:space="preserve"> and grants a stay</w:t>
      </w:r>
      <w:r w:rsidR="009C653E" w:rsidRPr="00C563C4">
        <w:rPr>
          <w:rFonts w:ascii="Arial" w:hAnsi="Arial" w:cs="Arial"/>
        </w:rPr>
        <w:t xml:space="preserve">.  </w:t>
      </w:r>
    </w:p>
    <w:p w:rsidR="0036137E" w:rsidRPr="00C563C4" w:rsidRDefault="00E85F2E">
      <w:pPr>
        <w:ind w:firstLine="720"/>
        <w:rPr>
          <w:rFonts w:ascii="Arial" w:hAnsi="Arial" w:cs="Arial"/>
        </w:rPr>
      </w:pPr>
      <w:r>
        <w:rPr>
          <w:rFonts w:ascii="Arial" w:hAnsi="Arial" w:cs="Arial"/>
        </w:rPr>
        <w:t xml:space="preserve">Further, the Commission </w:t>
      </w:r>
      <w:r w:rsidR="00CF6059">
        <w:rPr>
          <w:rFonts w:ascii="Arial" w:hAnsi="Arial" w:cs="Arial"/>
        </w:rPr>
        <w:t>should</w:t>
      </w:r>
      <w:r>
        <w:rPr>
          <w:rFonts w:ascii="Arial" w:hAnsi="Arial" w:cs="Arial"/>
        </w:rPr>
        <w:t xml:space="preserve"> grant the motion that the SSR be collected subject to refund because </w:t>
      </w:r>
      <w:r w:rsidR="00D63D0F">
        <w:rPr>
          <w:rFonts w:ascii="Arial" w:hAnsi="Arial" w:cs="Arial"/>
        </w:rPr>
        <w:t>it has represented to the Court that a</w:t>
      </w:r>
      <w:r>
        <w:rPr>
          <w:rFonts w:ascii="Arial" w:hAnsi="Arial" w:cs="Arial"/>
        </w:rPr>
        <w:t xml:space="preserve"> rider</w:t>
      </w:r>
      <w:r w:rsidR="00D63D0F">
        <w:rPr>
          <w:rFonts w:ascii="Arial" w:hAnsi="Arial" w:cs="Arial"/>
        </w:rPr>
        <w:t xml:space="preserve"> such as the SSR</w:t>
      </w:r>
      <w:r>
        <w:rPr>
          <w:rFonts w:ascii="Arial" w:hAnsi="Arial" w:cs="Arial"/>
        </w:rPr>
        <w:t xml:space="preserve"> is subject to annual reconciliation</w:t>
      </w:r>
      <w:r w:rsidR="00D63D0F">
        <w:rPr>
          <w:rFonts w:ascii="Arial" w:hAnsi="Arial" w:cs="Arial"/>
        </w:rPr>
        <w:t xml:space="preserve">. </w:t>
      </w:r>
      <w:r>
        <w:rPr>
          <w:rFonts w:ascii="Arial" w:hAnsi="Arial" w:cs="Arial"/>
        </w:rPr>
        <w:t xml:space="preserve"> </w:t>
      </w:r>
      <w:r w:rsidR="00D63D0F">
        <w:rPr>
          <w:rFonts w:ascii="Arial" w:hAnsi="Arial" w:cs="Arial"/>
        </w:rPr>
        <w:t>As</w:t>
      </w:r>
      <w:r w:rsidR="00D63D0F" w:rsidRPr="0036137E">
        <w:rPr>
          <w:rFonts w:ascii="Arial" w:hAnsi="Arial" w:cs="Arial"/>
        </w:rPr>
        <w:t xml:space="preserve"> the Commission </w:t>
      </w:r>
      <w:r w:rsidR="00D63D0F">
        <w:rPr>
          <w:rFonts w:ascii="Arial" w:hAnsi="Arial" w:cs="Arial"/>
        </w:rPr>
        <w:t xml:space="preserve">stated </w:t>
      </w:r>
      <w:r w:rsidR="00D63D0F" w:rsidRPr="0036137E">
        <w:rPr>
          <w:rFonts w:ascii="Arial" w:hAnsi="Arial" w:cs="Arial"/>
        </w:rPr>
        <w:t xml:space="preserve">on August 15, 2014 </w:t>
      </w:r>
      <w:r w:rsidR="00D63D0F">
        <w:rPr>
          <w:rFonts w:ascii="Arial" w:hAnsi="Arial" w:cs="Arial"/>
        </w:rPr>
        <w:t xml:space="preserve">in a </w:t>
      </w:r>
      <w:r w:rsidR="00D63D0F">
        <w:rPr>
          <w:rFonts w:ascii="Arial" w:hAnsi="Arial" w:cs="Arial"/>
        </w:rPr>
        <w:lastRenderedPageBreak/>
        <w:t xml:space="preserve">brief filed in the </w:t>
      </w:r>
      <w:r w:rsidR="00D63D0F" w:rsidRPr="0036137E">
        <w:rPr>
          <w:rFonts w:ascii="Arial" w:hAnsi="Arial" w:cs="Arial"/>
        </w:rPr>
        <w:t xml:space="preserve">Duke MGP </w:t>
      </w:r>
      <w:r w:rsidR="00D63D0F">
        <w:rPr>
          <w:rFonts w:ascii="Arial" w:hAnsi="Arial" w:cs="Arial"/>
        </w:rPr>
        <w:t>A</w:t>
      </w:r>
      <w:r w:rsidR="00D63D0F" w:rsidRPr="0036137E">
        <w:rPr>
          <w:rFonts w:ascii="Arial" w:hAnsi="Arial" w:cs="Arial"/>
        </w:rPr>
        <w:t>ppeal, a rider</w:t>
      </w:r>
      <w:r w:rsidR="00D63D0F">
        <w:rPr>
          <w:rFonts w:ascii="Arial" w:hAnsi="Arial" w:cs="Arial"/>
        </w:rPr>
        <w:t xml:space="preserve">, </w:t>
      </w:r>
      <w:r w:rsidR="00D63D0F" w:rsidRPr="0036137E">
        <w:rPr>
          <w:rFonts w:ascii="Arial" w:hAnsi="Arial" w:cs="Arial"/>
        </w:rPr>
        <w:t xml:space="preserve">as opposed to </w:t>
      </w:r>
      <w:r w:rsidR="00D63D0F">
        <w:rPr>
          <w:rFonts w:ascii="Arial" w:hAnsi="Arial" w:cs="Arial"/>
        </w:rPr>
        <w:t xml:space="preserve">charges collected under </w:t>
      </w:r>
      <w:r w:rsidR="00D63D0F" w:rsidRPr="0036137E">
        <w:rPr>
          <w:rFonts w:ascii="Arial" w:hAnsi="Arial" w:cs="Arial"/>
        </w:rPr>
        <w:t xml:space="preserve">base </w:t>
      </w:r>
      <w:r w:rsidR="00D63D0F">
        <w:rPr>
          <w:rFonts w:ascii="Arial" w:hAnsi="Arial" w:cs="Arial"/>
        </w:rPr>
        <w:t xml:space="preserve">distribution </w:t>
      </w:r>
      <w:r w:rsidR="00D63D0F" w:rsidRPr="0036137E">
        <w:rPr>
          <w:rFonts w:ascii="Arial" w:hAnsi="Arial" w:cs="Arial"/>
        </w:rPr>
        <w:t xml:space="preserve">rates, is subject to </w:t>
      </w:r>
      <w:r w:rsidR="00D63D0F">
        <w:rPr>
          <w:rFonts w:ascii="Arial" w:hAnsi="Arial" w:cs="Arial"/>
        </w:rPr>
        <w:t>reconciliation</w:t>
      </w:r>
      <w:r w:rsidR="00D63D0F" w:rsidRPr="0036137E">
        <w:rPr>
          <w:rFonts w:ascii="Arial" w:hAnsi="Arial" w:cs="Arial"/>
        </w:rPr>
        <w:t xml:space="preserve">, </w:t>
      </w:r>
      <w:r w:rsidR="00D63D0F">
        <w:rPr>
          <w:rFonts w:ascii="Arial" w:hAnsi="Arial" w:cs="Arial"/>
        </w:rPr>
        <w:t xml:space="preserve">and accordingly the Court-fashioned no-refund rule </w:t>
      </w:r>
      <w:r w:rsidR="00D63D0F" w:rsidRPr="00B979AD">
        <w:rPr>
          <w:rFonts w:ascii="Arial" w:hAnsi="Arial" w:cs="Arial"/>
        </w:rPr>
        <w:t>does</w:t>
      </w:r>
      <w:r w:rsidR="00D63D0F" w:rsidRPr="0036137E">
        <w:rPr>
          <w:rFonts w:ascii="Arial" w:hAnsi="Arial" w:cs="Arial"/>
        </w:rPr>
        <w:t xml:space="preserve"> not app</w:t>
      </w:r>
      <w:r w:rsidR="00D63D0F">
        <w:rPr>
          <w:rFonts w:ascii="Arial" w:hAnsi="Arial" w:cs="Arial"/>
        </w:rPr>
        <w:t>ly.</w:t>
      </w:r>
      <w:r w:rsidR="00D63D0F">
        <w:rPr>
          <w:rStyle w:val="FootnoteReference"/>
          <w:rFonts w:ascii="Arial" w:hAnsi="Arial" w:cs="Arial"/>
        </w:rPr>
        <w:footnoteReference w:id="11"/>
      </w:r>
      <w:r w:rsidR="00D63D0F">
        <w:rPr>
          <w:rFonts w:ascii="Arial" w:hAnsi="Arial" w:cs="Arial"/>
        </w:rPr>
        <w:t xml:space="preserve">  Because the no-refund rule does not apply, revenue collected under the rider</w:t>
      </w:r>
      <w:r>
        <w:rPr>
          <w:rFonts w:ascii="Arial" w:hAnsi="Arial" w:cs="Arial"/>
        </w:rPr>
        <w:t xml:space="preserve"> </w:t>
      </w:r>
      <w:r w:rsidR="00D63D0F">
        <w:rPr>
          <w:rFonts w:ascii="Arial" w:hAnsi="Arial" w:cs="Arial"/>
        </w:rPr>
        <w:t>is</w:t>
      </w:r>
      <w:r>
        <w:rPr>
          <w:rFonts w:ascii="Arial" w:hAnsi="Arial" w:cs="Arial"/>
        </w:rPr>
        <w:t xml:space="preserve"> subject to </w:t>
      </w:r>
      <w:r w:rsidR="00D63D0F">
        <w:rPr>
          <w:rFonts w:ascii="Arial" w:hAnsi="Arial" w:cs="Arial"/>
        </w:rPr>
        <w:t>reconciliation</w:t>
      </w:r>
      <w:r>
        <w:rPr>
          <w:rFonts w:ascii="Arial" w:hAnsi="Arial" w:cs="Arial"/>
        </w:rPr>
        <w:t xml:space="preserve"> for any amounts unlawfully charged customers.</w:t>
      </w:r>
      <w:r w:rsidR="00781F24">
        <w:rPr>
          <w:rStyle w:val="FootnoteReference"/>
          <w:rFonts w:ascii="Arial" w:hAnsi="Arial" w:cs="Arial"/>
        </w:rPr>
        <w:footnoteReference w:id="12"/>
      </w:r>
      <w:r w:rsidR="00781F24">
        <w:rPr>
          <w:rFonts w:ascii="Arial" w:hAnsi="Arial" w:cs="Arial"/>
        </w:rPr>
        <w:t xml:space="preserve"> </w:t>
      </w:r>
      <w:r>
        <w:rPr>
          <w:rFonts w:ascii="Arial" w:hAnsi="Arial" w:cs="Arial"/>
        </w:rPr>
        <w:t xml:space="preserve"> </w:t>
      </w:r>
      <w:r w:rsidR="00D63D0F">
        <w:rPr>
          <w:rFonts w:ascii="Arial" w:hAnsi="Arial" w:cs="Arial"/>
        </w:rPr>
        <w:t>Because</w:t>
      </w:r>
      <w:r w:rsidR="00B979AD">
        <w:rPr>
          <w:rFonts w:ascii="Arial" w:hAnsi="Arial" w:cs="Arial"/>
        </w:rPr>
        <w:t xml:space="preserve"> a charge such as the SSR is subject to reconciliation</w:t>
      </w:r>
      <w:r>
        <w:rPr>
          <w:rFonts w:ascii="Arial" w:hAnsi="Arial" w:cs="Arial"/>
        </w:rPr>
        <w:t xml:space="preserve">, </w:t>
      </w:r>
      <w:r w:rsidR="00D63D0F">
        <w:rPr>
          <w:rFonts w:ascii="Arial" w:hAnsi="Arial" w:cs="Arial"/>
        </w:rPr>
        <w:t>DP&amp;L cannot suffer any injury if the Commission orders that the SSR revenue</w:t>
      </w:r>
      <w:r w:rsidR="00CF6059">
        <w:rPr>
          <w:rFonts w:ascii="Arial" w:hAnsi="Arial" w:cs="Arial"/>
        </w:rPr>
        <w:t xml:space="preserve"> </w:t>
      </w:r>
      <w:r w:rsidR="00843650">
        <w:rPr>
          <w:rFonts w:ascii="Arial" w:hAnsi="Arial" w:cs="Arial"/>
        </w:rPr>
        <w:t>be</w:t>
      </w:r>
      <w:r w:rsidR="00CF6059">
        <w:rPr>
          <w:rFonts w:ascii="Arial" w:hAnsi="Arial" w:cs="Arial"/>
        </w:rPr>
        <w:t xml:space="preserve"> collected subject to refund</w:t>
      </w:r>
      <w:r w:rsidR="00D63D0F">
        <w:rPr>
          <w:rFonts w:ascii="Arial" w:hAnsi="Arial" w:cs="Arial"/>
        </w:rPr>
        <w:t>: amounts unlawfully collected must be ordered returned to customers</w:t>
      </w:r>
      <w:r w:rsidR="00376A7E">
        <w:rPr>
          <w:rFonts w:ascii="Arial" w:hAnsi="Arial" w:cs="Arial"/>
        </w:rPr>
        <w:t xml:space="preserve"> through a reconciliation process</w:t>
      </w:r>
      <w:r w:rsidR="0036137E" w:rsidRPr="0036137E">
        <w:rPr>
          <w:rFonts w:ascii="Arial" w:hAnsi="Arial" w:cs="Arial"/>
        </w:rPr>
        <w:t xml:space="preserve">.  </w:t>
      </w:r>
      <w:r w:rsidR="00376A7E">
        <w:rPr>
          <w:rFonts w:ascii="Arial" w:hAnsi="Arial" w:cs="Arial"/>
        </w:rPr>
        <w:t>(</w:t>
      </w:r>
      <w:r w:rsidR="00CF6059">
        <w:rPr>
          <w:rFonts w:ascii="Arial" w:hAnsi="Arial" w:cs="Arial"/>
        </w:rPr>
        <w:t>In the alternative, t</w:t>
      </w:r>
      <w:r w:rsidR="0036137E" w:rsidRPr="0036137E">
        <w:rPr>
          <w:rFonts w:ascii="Arial" w:hAnsi="Arial" w:cs="Arial"/>
        </w:rPr>
        <w:t xml:space="preserve">he Joint Movants are requesting the stay </w:t>
      </w:r>
      <w:r w:rsidR="00CF6059">
        <w:rPr>
          <w:rFonts w:ascii="Arial" w:hAnsi="Arial" w:cs="Arial"/>
        </w:rPr>
        <w:t>if the Commission correctly concludes that a stay better protects customers from billing and collection of the unlawful and unreasonable rider while this matter is being reviewed</w:t>
      </w:r>
      <w:r w:rsidR="0036137E">
        <w:rPr>
          <w:rFonts w:ascii="Arial" w:hAnsi="Arial" w:cs="Arial"/>
        </w:rPr>
        <w:t>.</w:t>
      </w:r>
      <w:r w:rsidR="00376A7E">
        <w:rPr>
          <w:rFonts w:ascii="Arial" w:hAnsi="Arial" w:cs="Arial"/>
        </w:rPr>
        <w:t>)</w:t>
      </w:r>
    </w:p>
    <w:p w:rsidR="009C653E" w:rsidRPr="00C563C4" w:rsidRDefault="004A49C1" w:rsidP="009C653E">
      <w:pPr>
        <w:ind w:firstLine="720"/>
        <w:rPr>
          <w:rFonts w:ascii="Arial" w:hAnsi="Arial" w:cs="Arial"/>
        </w:rPr>
      </w:pPr>
      <w:r w:rsidRPr="00C563C4">
        <w:rPr>
          <w:rFonts w:ascii="Arial" w:hAnsi="Arial" w:cs="Arial"/>
        </w:rPr>
        <w:t xml:space="preserve">As outlined in the Motion to Stay, </w:t>
      </w:r>
      <w:r w:rsidR="009C653E" w:rsidRPr="00C563C4">
        <w:rPr>
          <w:rFonts w:ascii="Arial" w:hAnsi="Arial" w:cs="Arial"/>
        </w:rPr>
        <w:t xml:space="preserve">a just process is available if </w:t>
      </w:r>
      <w:r w:rsidR="00D2656E" w:rsidRPr="00C563C4">
        <w:rPr>
          <w:rFonts w:ascii="Arial" w:hAnsi="Arial" w:cs="Arial"/>
        </w:rPr>
        <w:t xml:space="preserve">the authorization of the SSR is stayed or if </w:t>
      </w:r>
      <w:r w:rsidR="009C653E" w:rsidRPr="00C563C4">
        <w:rPr>
          <w:rFonts w:ascii="Arial" w:hAnsi="Arial" w:cs="Arial"/>
        </w:rPr>
        <w:t xml:space="preserve">rates are collected subject to refund.  </w:t>
      </w:r>
      <w:r w:rsidR="00A33EF6">
        <w:rPr>
          <w:rFonts w:ascii="Arial" w:hAnsi="Arial" w:cs="Arial"/>
        </w:rPr>
        <w:t>As discussed below, the Commission has repeatedly issued stays of its procedural and rate setting orders to maintain the status quo.  Likewise,</w:t>
      </w:r>
      <w:r w:rsidR="009C653E" w:rsidRPr="00C563C4">
        <w:rPr>
          <w:rFonts w:ascii="Arial" w:hAnsi="Arial" w:cs="Arial"/>
        </w:rPr>
        <w:t xml:space="preserve"> the </w:t>
      </w:r>
      <w:r w:rsidR="007D7DA0" w:rsidRPr="00C563C4">
        <w:rPr>
          <w:rFonts w:ascii="Arial" w:hAnsi="Arial" w:cs="Arial"/>
        </w:rPr>
        <w:t>Commission</w:t>
      </w:r>
      <w:r w:rsidR="009C653E" w:rsidRPr="00C563C4">
        <w:rPr>
          <w:rFonts w:ascii="Arial" w:hAnsi="Arial" w:cs="Arial"/>
        </w:rPr>
        <w:t xml:space="preserve"> </w:t>
      </w:r>
      <w:r w:rsidR="00D2656E" w:rsidRPr="00C563C4">
        <w:rPr>
          <w:rFonts w:ascii="Arial" w:hAnsi="Arial" w:cs="Arial"/>
        </w:rPr>
        <w:t>has</w:t>
      </w:r>
      <w:r w:rsidR="009C653E" w:rsidRPr="00C563C4">
        <w:rPr>
          <w:rFonts w:ascii="Arial" w:hAnsi="Arial" w:cs="Arial"/>
        </w:rPr>
        <w:t xml:space="preserve"> ordered </w:t>
      </w:r>
      <w:r w:rsidR="00D2656E" w:rsidRPr="00C563C4">
        <w:rPr>
          <w:rFonts w:ascii="Arial" w:hAnsi="Arial" w:cs="Arial"/>
        </w:rPr>
        <w:t xml:space="preserve">the billing and collection subject to refund </w:t>
      </w:r>
      <w:r w:rsidR="00A33EF6">
        <w:rPr>
          <w:rFonts w:ascii="Arial" w:hAnsi="Arial" w:cs="Arial"/>
        </w:rPr>
        <w:t>as in its recent case regarding the</w:t>
      </w:r>
      <w:r w:rsidR="00D2656E" w:rsidRPr="00C563C4">
        <w:rPr>
          <w:rFonts w:ascii="Arial" w:hAnsi="Arial" w:cs="Arial"/>
        </w:rPr>
        <w:t xml:space="preserve"> unlawful provider of last resort charge </w:t>
      </w:r>
      <w:r w:rsidR="009C653E" w:rsidRPr="00C563C4">
        <w:rPr>
          <w:rFonts w:ascii="Arial" w:hAnsi="Arial" w:cs="Arial"/>
        </w:rPr>
        <w:t xml:space="preserve">during the remand phase of </w:t>
      </w:r>
      <w:r w:rsidR="0036137E">
        <w:rPr>
          <w:rFonts w:ascii="Arial" w:hAnsi="Arial" w:cs="Arial"/>
        </w:rPr>
        <w:t>Ohio Power Company’s (“</w:t>
      </w:r>
      <w:r w:rsidR="004B6764" w:rsidRPr="00C563C4">
        <w:rPr>
          <w:rFonts w:ascii="Arial" w:hAnsi="Arial" w:cs="Arial"/>
        </w:rPr>
        <w:t>AEP</w:t>
      </w:r>
      <w:r w:rsidR="004B6764">
        <w:rPr>
          <w:rFonts w:ascii="Arial" w:hAnsi="Arial" w:cs="Arial"/>
        </w:rPr>
        <w:t>-</w:t>
      </w:r>
      <w:r w:rsidR="009C653E" w:rsidRPr="00C563C4">
        <w:rPr>
          <w:rFonts w:ascii="Arial" w:hAnsi="Arial" w:cs="Arial"/>
        </w:rPr>
        <w:t>Ohio</w:t>
      </w:r>
      <w:r w:rsidR="0036137E">
        <w:rPr>
          <w:rFonts w:ascii="Arial" w:hAnsi="Arial" w:cs="Arial"/>
        </w:rPr>
        <w:t>”)</w:t>
      </w:r>
      <w:r w:rsidR="009C653E" w:rsidRPr="00C563C4">
        <w:rPr>
          <w:rFonts w:ascii="Arial" w:hAnsi="Arial" w:cs="Arial"/>
        </w:rPr>
        <w:t xml:space="preserve"> electric security plan </w:t>
      </w:r>
      <w:r w:rsidR="0036137E">
        <w:rPr>
          <w:rFonts w:ascii="Arial" w:hAnsi="Arial" w:cs="Arial"/>
        </w:rPr>
        <w:t xml:space="preserve">(“ESP”) </w:t>
      </w:r>
      <w:r w:rsidR="009C653E" w:rsidRPr="00C563C4">
        <w:rPr>
          <w:rFonts w:ascii="Arial" w:hAnsi="Arial" w:cs="Arial"/>
        </w:rPr>
        <w:t xml:space="preserve">proceeding, Case No. 08-917-EL-SSO.  </w:t>
      </w:r>
      <w:r w:rsidRPr="00C563C4">
        <w:rPr>
          <w:rFonts w:ascii="Arial" w:hAnsi="Arial" w:cs="Arial"/>
        </w:rPr>
        <w:t>I</w:t>
      </w:r>
      <w:r w:rsidR="009C653E" w:rsidRPr="00C563C4">
        <w:rPr>
          <w:rFonts w:ascii="Arial" w:hAnsi="Arial" w:cs="Arial"/>
        </w:rPr>
        <w:t xml:space="preserve">t did so after finding that collecting the rates subject to refund, pending the outcome of the remand proceeding, </w:t>
      </w:r>
      <w:r w:rsidR="009C653E" w:rsidRPr="00C563C4">
        <w:rPr>
          <w:rFonts w:ascii="Arial" w:hAnsi="Arial" w:cs="Arial"/>
        </w:rPr>
        <w:lastRenderedPageBreak/>
        <w:t>was “the most reasonable means to facilitate a just process for AEP-Ohio customers and the Companies and avoid rate volatility for some customers.”</w:t>
      </w:r>
      <w:r w:rsidR="009C653E" w:rsidRPr="00C563C4">
        <w:rPr>
          <w:rStyle w:val="FootnoteReference"/>
          <w:rFonts w:ascii="Arial" w:hAnsi="Arial" w:cs="Arial"/>
        </w:rPr>
        <w:footnoteReference w:id="13"/>
      </w:r>
      <w:r w:rsidR="009C653E" w:rsidRPr="00C563C4">
        <w:rPr>
          <w:rFonts w:ascii="Arial" w:hAnsi="Arial" w:cs="Arial"/>
        </w:rPr>
        <w:t xml:space="preserve">  </w:t>
      </w:r>
    </w:p>
    <w:p w:rsidR="009C653E" w:rsidRPr="00C563C4" w:rsidRDefault="00A33EF6" w:rsidP="009C653E">
      <w:pPr>
        <w:ind w:firstLine="720"/>
        <w:rPr>
          <w:rFonts w:ascii="Arial" w:hAnsi="Arial" w:cs="Arial"/>
        </w:rPr>
      </w:pPr>
      <w:r>
        <w:rPr>
          <w:rFonts w:ascii="Arial" w:hAnsi="Arial" w:cs="Arial"/>
        </w:rPr>
        <w:t>Based on applicable Commission and Court precedent, therefore,</w:t>
      </w:r>
      <w:r w:rsidR="00D2656E" w:rsidRPr="00C563C4">
        <w:rPr>
          <w:rFonts w:ascii="Arial" w:hAnsi="Arial" w:cs="Arial"/>
        </w:rPr>
        <w:t xml:space="preserve"> </w:t>
      </w:r>
      <w:r>
        <w:rPr>
          <w:rFonts w:ascii="Arial" w:hAnsi="Arial" w:cs="Arial"/>
        </w:rPr>
        <w:t xml:space="preserve">the Commission should issue </w:t>
      </w:r>
      <w:r w:rsidR="00D2656E" w:rsidRPr="00C563C4">
        <w:rPr>
          <w:rFonts w:ascii="Arial" w:hAnsi="Arial" w:cs="Arial"/>
        </w:rPr>
        <w:t>an order staying the authorization of the SSR or ordering that the SSR be</w:t>
      </w:r>
      <w:r w:rsidR="009C653E" w:rsidRPr="00C563C4">
        <w:rPr>
          <w:rFonts w:ascii="Arial" w:hAnsi="Arial" w:cs="Arial"/>
        </w:rPr>
        <w:t xml:space="preserve"> </w:t>
      </w:r>
      <w:r w:rsidR="00D2656E" w:rsidRPr="00C563C4">
        <w:rPr>
          <w:rFonts w:ascii="Arial" w:hAnsi="Arial" w:cs="Arial"/>
        </w:rPr>
        <w:t>collected subject to refund</w:t>
      </w:r>
      <w:r w:rsidR="009C653E" w:rsidRPr="00C563C4">
        <w:rPr>
          <w:rFonts w:ascii="Arial" w:hAnsi="Arial" w:cs="Arial"/>
        </w:rPr>
        <w:t xml:space="preserve"> pending the outcome of an appeal(s) at the Court </w:t>
      </w:r>
      <w:r>
        <w:rPr>
          <w:rFonts w:ascii="Arial" w:hAnsi="Arial" w:cs="Arial"/>
        </w:rPr>
        <w:t xml:space="preserve">because either </w:t>
      </w:r>
      <w:r w:rsidR="009C653E" w:rsidRPr="00C563C4">
        <w:rPr>
          <w:rFonts w:ascii="Arial" w:hAnsi="Arial" w:cs="Arial"/>
        </w:rPr>
        <w:t xml:space="preserve">is a reasonable means to facilitate a just process for </w:t>
      </w:r>
      <w:r w:rsidR="004A49C1" w:rsidRPr="00C563C4">
        <w:rPr>
          <w:rFonts w:ascii="Arial" w:hAnsi="Arial" w:cs="Arial"/>
        </w:rPr>
        <w:t xml:space="preserve">both DP&amp;L </w:t>
      </w:r>
      <w:r w:rsidR="00D2656E" w:rsidRPr="00C563C4">
        <w:rPr>
          <w:rFonts w:ascii="Arial" w:hAnsi="Arial" w:cs="Arial"/>
        </w:rPr>
        <w:t xml:space="preserve">and its </w:t>
      </w:r>
      <w:r w:rsidR="004A49C1" w:rsidRPr="00C563C4">
        <w:rPr>
          <w:rFonts w:ascii="Arial" w:hAnsi="Arial" w:cs="Arial"/>
        </w:rPr>
        <w:t xml:space="preserve">customers.  </w:t>
      </w:r>
    </w:p>
    <w:p w:rsidR="008E3BF4" w:rsidRPr="00C563C4" w:rsidRDefault="003431CB" w:rsidP="004A52FB">
      <w:pPr>
        <w:pStyle w:val="Heading2"/>
        <w:rPr>
          <w:rFonts w:ascii="Arial" w:hAnsi="Arial"/>
          <w:szCs w:val="24"/>
        </w:rPr>
      </w:pPr>
      <w:bookmarkStart w:id="15" w:name="_Toc396231443"/>
      <w:bookmarkStart w:id="16" w:name="_Toc396288900"/>
      <w:bookmarkStart w:id="17" w:name="_Toc396289217"/>
      <w:bookmarkStart w:id="18" w:name="_Toc396386462"/>
      <w:r w:rsidRPr="00C563C4">
        <w:rPr>
          <w:rFonts w:ascii="Arial" w:hAnsi="Arial"/>
          <w:szCs w:val="24"/>
        </w:rPr>
        <w:t>The Commission has authori</w:t>
      </w:r>
      <w:r w:rsidR="006726A1" w:rsidRPr="00C563C4">
        <w:rPr>
          <w:rFonts w:ascii="Arial" w:hAnsi="Arial"/>
          <w:szCs w:val="24"/>
        </w:rPr>
        <w:t>ty to issue stays of its orders</w:t>
      </w:r>
      <w:bookmarkEnd w:id="15"/>
      <w:bookmarkEnd w:id="16"/>
      <w:bookmarkEnd w:id="17"/>
      <w:r w:rsidR="003450C5">
        <w:rPr>
          <w:rFonts w:ascii="Arial" w:hAnsi="Arial"/>
          <w:szCs w:val="24"/>
        </w:rPr>
        <w:t>; i</w:t>
      </w:r>
      <w:r w:rsidR="003450C5" w:rsidRPr="003450C5">
        <w:rPr>
          <w:rFonts w:ascii="Arial" w:hAnsi="Arial"/>
          <w:szCs w:val="24"/>
        </w:rPr>
        <w:t>t should do so here to protect customers from paying rates that are unjust and unreasonable</w:t>
      </w:r>
      <w:bookmarkEnd w:id="18"/>
    </w:p>
    <w:p w:rsidR="004F03DE" w:rsidRPr="00C563C4" w:rsidRDefault="004F03DE">
      <w:pPr>
        <w:rPr>
          <w:rFonts w:ascii="Arial" w:hAnsi="Arial" w:cs="Arial"/>
        </w:rPr>
      </w:pPr>
      <w:r w:rsidRPr="00C563C4">
        <w:rPr>
          <w:rFonts w:ascii="Arial" w:hAnsi="Arial" w:cs="Arial"/>
        </w:rPr>
        <w:tab/>
        <w:t>DP&amp;L further claims that the Commission has no authority to issue stays of its final orders.  In support of this claim, DP&amp;L incorrectly cites one Ohio Supreme Court case and advances a statutory argument that the Commission will unlawfully invade the jurisdiction of the Court if it grants the motion for a stay.</w:t>
      </w:r>
      <w:r w:rsidRPr="00C563C4">
        <w:rPr>
          <w:rStyle w:val="FootnoteReference"/>
          <w:rFonts w:ascii="Arial" w:hAnsi="Arial" w:cs="Arial"/>
        </w:rPr>
        <w:footnoteReference w:id="14"/>
      </w:r>
      <w:r w:rsidRPr="00C563C4">
        <w:rPr>
          <w:rFonts w:ascii="Arial" w:hAnsi="Arial" w:cs="Arial"/>
        </w:rPr>
        <w:t xml:space="preserve">  Its argument that the Commission lacks authority ignores long-standing Commission practice.  Further, the “authority” it relies upon is </w:t>
      </w:r>
      <w:r w:rsidRPr="00C563C4">
        <w:rPr>
          <w:rFonts w:ascii="Arial" w:hAnsi="Arial" w:cs="Arial"/>
          <w:i/>
        </w:rPr>
        <w:t>obiter dictum</w:t>
      </w:r>
      <w:r w:rsidRPr="00C563C4">
        <w:rPr>
          <w:rFonts w:ascii="Arial" w:hAnsi="Arial" w:cs="Arial"/>
        </w:rPr>
        <w:t xml:space="preserve"> and does not support </w:t>
      </w:r>
      <w:r w:rsidR="00615930">
        <w:rPr>
          <w:rFonts w:ascii="Arial" w:hAnsi="Arial" w:cs="Arial"/>
        </w:rPr>
        <w:t>its contention</w:t>
      </w:r>
      <w:r w:rsidRPr="00C563C4">
        <w:rPr>
          <w:rFonts w:ascii="Arial" w:hAnsi="Arial" w:cs="Arial"/>
        </w:rPr>
        <w:t xml:space="preserve"> that the Commission lacks authority to issue a stay.  Finally, DP&amp;L’s assertion that a stay will invade the Court’s jurisdiction is factually and legally incorrect.</w:t>
      </w:r>
    </w:p>
    <w:p w:rsidR="003431CB" w:rsidRPr="00C563C4" w:rsidRDefault="000B20E5">
      <w:pPr>
        <w:rPr>
          <w:rFonts w:ascii="Arial" w:hAnsi="Arial" w:cs="Arial"/>
        </w:rPr>
      </w:pPr>
      <w:r w:rsidRPr="00C563C4">
        <w:rPr>
          <w:rFonts w:ascii="Arial" w:hAnsi="Arial" w:cs="Arial"/>
        </w:rPr>
        <w:lastRenderedPageBreak/>
        <w:tab/>
      </w:r>
      <w:r w:rsidR="0061511C" w:rsidRPr="00C563C4">
        <w:rPr>
          <w:rFonts w:ascii="Arial" w:hAnsi="Arial" w:cs="Arial"/>
        </w:rPr>
        <w:t>The Commission has consistently found that it has the authority to issue stays of its orders.</w:t>
      </w:r>
      <w:r w:rsidR="0061511C" w:rsidRPr="00C563C4">
        <w:rPr>
          <w:rStyle w:val="FootnoteReference"/>
          <w:rFonts w:ascii="Arial" w:hAnsi="Arial" w:cs="Arial"/>
        </w:rPr>
        <w:footnoteReference w:id="15"/>
      </w:r>
      <w:r w:rsidR="0061511C" w:rsidRPr="00C563C4">
        <w:rPr>
          <w:rFonts w:ascii="Arial" w:hAnsi="Arial" w:cs="Arial"/>
        </w:rPr>
        <w:t xml:space="preserve">  </w:t>
      </w:r>
      <w:r w:rsidR="00D2656E" w:rsidRPr="00C563C4">
        <w:rPr>
          <w:rFonts w:ascii="Arial" w:hAnsi="Arial" w:cs="Arial"/>
        </w:rPr>
        <w:t>(</w:t>
      </w:r>
      <w:r w:rsidR="0061511C" w:rsidRPr="00C563C4">
        <w:rPr>
          <w:rFonts w:ascii="Arial" w:hAnsi="Arial" w:cs="Arial"/>
        </w:rPr>
        <w:t>DP&amp;L itself has not objected to a request for a stay of proceedings while the parties reduced an agreement to writing.</w:t>
      </w:r>
      <w:r w:rsidR="0061511C" w:rsidRPr="00C563C4">
        <w:rPr>
          <w:rStyle w:val="FootnoteReference"/>
          <w:rFonts w:ascii="Arial" w:hAnsi="Arial" w:cs="Arial"/>
        </w:rPr>
        <w:footnoteReference w:id="16"/>
      </w:r>
      <w:r w:rsidR="00D2656E" w:rsidRPr="00C563C4">
        <w:rPr>
          <w:rFonts w:ascii="Arial" w:hAnsi="Arial" w:cs="Arial"/>
        </w:rPr>
        <w:t>)</w:t>
      </w:r>
      <w:r w:rsidR="0061511C" w:rsidRPr="00C563C4">
        <w:rPr>
          <w:rFonts w:ascii="Arial" w:hAnsi="Arial" w:cs="Arial"/>
        </w:rPr>
        <w:t xml:space="preserve">  The orders stayed by the Commission include the substantive outcomes of its orders while review of the Commission’s order is pending.  For example, the Commission stayed an order that Ohio Power Company refund amounts to customers by way of a reconciliation adjustment while the utility’s application for rehearing was pending.</w:t>
      </w:r>
      <w:r w:rsidR="0061511C" w:rsidRPr="00C563C4">
        <w:rPr>
          <w:rStyle w:val="FootnoteReference"/>
          <w:rFonts w:ascii="Arial" w:hAnsi="Arial" w:cs="Arial"/>
        </w:rPr>
        <w:footnoteReference w:id="17"/>
      </w:r>
      <w:r w:rsidR="0061511C" w:rsidRPr="00C563C4">
        <w:rPr>
          <w:rFonts w:ascii="Arial" w:hAnsi="Arial" w:cs="Arial"/>
        </w:rPr>
        <w:t xml:space="preserve">  Likewise, the Commission has stayed execution of its </w:t>
      </w:r>
      <w:r w:rsidR="006267B7" w:rsidRPr="00C563C4">
        <w:rPr>
          <w:rFonts w:ascii="Arial" w:hAnsi="Arial" w:cs="Arial"/>
        </w:rPr>
        <w:t>orders to cease and desist violations of transportation regulations.</w:t>
      </w:r>
      <w:r w:rsidR="006267B7" w:rsidRPr="00C563C4">
        <w:rPr>
          <w:rStyle w:val="FootnoteReference"/>
          <w:rFonts w:ascii="Arial" w:hAnsi="Arial" w:cs="Arial"/>
        </w:rPr>
        <w:footnoteReference w:id="18"/>
      </w:r>
      <w:r w:rsidR="006267B7" w:rsidRPr="00C563C4">
        <w:rPr>
          <w:rFonts w:ascii="Arial" w:hAnsi="Arial" w:cs="Arial"/>
        </w:rPr>
        <w:t xml:space="preserve">  More recently, the Commission has issued a stay of its order concerning the terms of an interconnection agreement between Verizon and Un</w:t>
      </w:r>
      <w:r w:rsidR="00615930">
        <w:rPr>
          <w:rFonts w:ascii="Arial" w:hAnsi="Arial" w:cs="Arial"/>
        </w:rPr>
        <w:t>i</w:t>
      </w:r>
      <w:r w:rsidR="006267B7" w:rsidRPr="00C563C4">
        <w:rPr>
          <w:rFonts w:ascii="Arial" w:hAnsi="Arial" w:cs="Arial"/>
        </w:rPr>
        <w:t>ted Telephone Company of Ohio while it considered an application for rehearing.</w:t>
      </w:r>
      <w:r w:rsidR="006267B7" w:rsidRPr="00C563C4">
        <w:rPr>
          <w:rStyle w:val="FootnoteReference"/>
          <w:rFonts w:ascii="Arial" w:hAnsi="Arial" w:cs="Arial"/>
        </w:rPr>
        <w:footnoteReference w:id="19"/>
      </w:r>
      <w:r w:rsidR="006267B7" w:rsidRPr="00C563C4">
        <w:rPr>
          <w:rFonts w:ascii="Arial" w:hAnsi="Arial" w:cs="Arial"/>
        </w:rPr>
        <w:t xml:space="preserve">  Based on this long history of Commission orders granting stays, DP&amp;L’s assertion that the Commission lacks authority to stay its orders is meritless.</w:t>
      </w:r>
    </w:p>
    <w:p w:rsidR="0094737F" w:rsidRPr="00C563C4" w:rsidRDefault="006267B7" w:rsidP="0094737F">
      <w:pPr>
        <w:ind w:firstLine="720"/>
        <w:rPr>
          <w:rFonts w:ascii="Arial" w:hAnsi="Arial" w:cs="Arial"/>
        </w:rPr>
      </w:pPr>
      <w:r w:rsidRPr="00C563C4">
        <w:rPr>
          <w:rFonts w:ascii="Arial" w:hAnsi="Arial" w:cs="Arial"/>
        </w:rPr>
        <w:t xml:space="preserve">The lack of merit is borne out by the authority it cites to claim </w:t>
      </w:r>
      <w:r w:rsidR="0094737F" w:rsidRPr="00C563C4">
        <w:rPr>
          <w:rFonts w:ascii="Arial" w:hAnsi="Arial" w:cs="Arial"/>
        </w:rPr>
        <w:t>that</w:t>
      </w:r>
      <w:r w:rsidRPr="00C563C4">
        <w:rPr>
          <w:rFonts w:ascii="Arial" w:hAnsi="Arial" w:cs="Arial"/>
        </w:rPr>
        <w:t xml:space="preserve"> the Commission is without authority to issue a stay.  </w:t>
      </w:r>
      <w:r w:rsidR="00F31D5E" w:rsidRPr="00C563C4">
        <w:rPr>
          <w:rFonts w:ascii="Arial" w:hAnsi="Arial" w:cs="Arial"/>
        </w:rPr>
        <w:t xml:space="preserve">To support its argument that the </w:t>
      </w:r>
      <w:r w:rsidR="00F31D5E" w:rsidRPr="00C563C4">
        <w:rPr>
          <w:rFonts w:ascii="Arial" w:hAnsi="Arial" w:cs="Arial"/>
        </w:rPr>
        <w:lastRenderedPageBreak/>
        <w:t xml:space="preserve">Commission lacks authority to issue a stay, DP&amp;L quotes at length </w:t>
      </w:r>
      <w:r w:rsidRPr="00C563C4">
        <w:rPr>
          <w:rFonts w:ascii="Arial" w:hAnsi="Arial" w:cs="Arial"/>
        </w:rPr>
        <w:t xml:space="preserve">from the Court’s decision in </w:t>
      </w:r>
      <w:r w:rsidRPr="00C563C4">
        <w:rPr>
          <w:rFonts w:ascii="Arial" w:hAnsi="Arial" w:cs="Arial"/>
          <w:i/>
        </w:rPr>
        <w:t>Office of Consumers’ Counsel v. Public Utilities Commission of Ohio</w:t>
      </w:r>
      <w:r w:rsidR="0094737F" w:rsidRPr="00C563C4">
        <w:rPr>
          <w:rFonts w:ascii="Arial" w:hAnsi="Arial" w:cs="Arial"/>
        </w:rPr>
        <w:t xml:space="preserve"> (“</w:t>
      </w:r>
      <w:r w:rsidR="0094737F" w:rsidRPr="00C563C4">
        <w:rPr>
          <w:rFonts w:ascii="Arial" w:hAnsi="Arial" w:cs="Arial"/>
          <w:i/>
        </w:rPr>
        <w:t>Consumers</w:t>
      </w:r>
      <w:r w:rsidR="000122E0">
        <w:rPr>
          <w:rFonts w:ascii="Arial" w:hAnsi="Arial" w:cs="Arial"/>
          <w:i/>
        </w:rPr>
        <w:t>’</w:t>
      </w:r>
      <w:r w:rsidR="0094737F" w:rsidRPr="00C563C4">
        <w:rPr>
          <w:rFonts w:ascii="Arial" w:hAnsi="Arial" w:cs="Arial"/>
          <w:i/>
        </w:rPr>
        <w:t xml:space="preserve"> Counsel</w:t>
      </w:r>
      <w:r w:rsidR="0094737F" w:rsidRPr="00C563C4">
        <w:rPr>
          <w:rFonts w:ascii="Arial" w:hAnsi="Arial" w:cs="Arial"/>
        </w:rPr>
        <w:t>”).</w:t>
      </w:r>
      <w:r w:rsidR="00F31D5E" w:rsidRPr="00C563C4">
        <w:rPr>
          <w:rStyle w:val="FootnoteReference"/>
          <w:rFonts w:ascii="Arial" w:hAnsi="Arial" w:cs="Arial"/>
        </w:rPr>
        <w:footnoteReference w:id="20"/>
      </w:r>
      <w:r w:rsidR="00F31D5E" w:rsidRPr="00C563C4">
        <w:rPr>
          <w:rFonts w:ascii="Arial" w:hAnsi="Arial" w:cs="Arial"/>
        </w:rPr>
        <w:t xml:space="preserve"> </w:t>
      </w:r>
      <w:r w:rsidR="0094737F" w:rsidRPr="00C563C4">
        <w:rPr>
          <w:rFonts w:ascii="Arial" w:hAnsi="Arial" w:cs="Arial"/>
        </w:rPr>
        <w:t xml:space="preserve"> </w:t>
      </w:r>
      <w:r w:rsidR="003272FB" w:rsidRPr="00C563C4">
        <w:rPr>
          <w:rFonts w:ascii="Arial" w:hAnsi="Arial" w:cs="Arial"/>
        </w:rPr>
        <w:t xml:space="preserve">The </w:t>
      </w:r>
      <w:r w:rsidR="0094737F" w:rsidRPr="00C563C4">
        <w:rPr>
          <w:rFonts w:ascii="Arial" w:hAnsi="Arial" w:cs="Arial"/>
          <w:i/>
        </w:rPr>
        <w:t>Consumers’ Counsel</w:t>
      </w:r>
      <w:r w:rsidR="0094737F" w:rsidRPr="00C563C4">
        <w:rPr>
          <w:rFonts w:ascii="Arial" w:hAnsi="Arial" w:cs="Arial"/>
        </w:rPr>
        <w:t xml:space="preserve"> decision</w:t>
      </w:r>
      <w:r w:rsidR="003272FB" w:rsidRPr="00C563C4">
        <w:rPr>
          <w:rFonts w:ascii="Arial" w:hAnsi="Arial" w:cs="Arial"/>
        </w:rPr>
        <w:t xml:space="preserve"> resolved t</w:t>
      </w:r>
      <w:r w:rsidR="0048006C" w:rsidRPr="00C563C4">
        <w:rPr>
          <w:rFonts w:ascii="Arial" w:hAnsi="Arial" w:cs="Arial"/>
        </w:rPr>
        <w:t>wo cases addressing tariffs of Ohio Edison.</w:t>
      </w:r>
      <w:r w:rsidR="0048006C" w:rsidRPr="00C563C4">
        <w:rPr>
          <w:rStyle w:val="FootnoteReference"/>
          <w:rFonts w:ascii="Arial" w:hAnsi="Arial" w:cs="Arial"/>
        </w:rPr>
        <w:footnoteReference w:id="21"/>
      </w:r>
      <w:r w:rsidR="0048006C" w:rsidRPr="00C563C4">
        <w:rPr>
          <w:rFonts w:ascii="Arial" w:hAnsi="Arial" w:cs="Arial"/>
        </w:rPr>
        <w:t xml:space="preserve">  </w:t>
      </w:r>
      <w:r w:rsidR="0010200F">
        <w:rPr>
          <w:rFonts w:ascii="Arial" w:hAnsi="Arial" w:cs="Arial"/>
        </w:rPr>
        <w:t>In a complaint case, t</w:t>
      </w:r>
      <w:r w:rsidR="0048006C" w:rsidRPr="00C563C4">
        <w:rPr>
          <w:rFonts w:ascii="Arial" w:hAnsi="Arial" w:cs="Arial"/>
        </w:rPr>
        <w:t xml:space="preserve">he Commission </w:t>
      </w:r>
      <w:r w:rsidR="0094737F" w:rsidRPr="00C563C4">
        <w:rPr>
          <w:rFonts w:ascii="Arial" w:hAnsi="Arial" w:cs="Arial"/>
        </w:rPr>
        <w:t>ruled adversely to OCC</w:t>
      </w:r>
      <w:r w:rsidR="0010200F">
        <w:rPr>
          <w:rFonts w:ascii="Arial" w:hAnsi="Arial" w:cs="Arial"/>
        </w:rPr>
        <w:t>; in the related tariff case, the</w:t>
      </w:r>
      <w:r w:rsidR="0094737F" w:rsidRPr="00C563C4">
        <w:rPr>
          <w:rFonts w:ascii="Arial" w:hAnsi="Arial" w:cs="Arial"/>
        </w:rPr>
        <w:t xml:space="preserve"> </w:t>
      </w:r>
      <w:r w:rsidR="0010200F">
        <w:rPr>
          <w:rFonts w:ascii="Arial" w:hAnsi="Arial" w:cs="Arial"/>
        </w:rPr>
        <w:t>Commission denied a motion to</w:t>
      </w:r>
      <w:r w:rsidR="0048006C" w:rsidRPr="00C563C4">
        <w:rPr>
          <w:rFonts w:ascii="Arial" w:hAnsi="Arial" w:cs="Arial"/>
        </w:rPr>
        <w:t xml:space="preserve"> </w:t>
      </w:r>
      <w:r w:rsidR="003272FB" w:rsidRPr="00C563C4">
        <w:rPr>
          <w:rFonts w:ascii="Arial" w:hAnsi="Arial" w:cs="Arial"/>
        </w:rPr>
        <w:t>stay</w:t>
      </w:r>
      <w:r w:rsidR="0010200F">
        <w:rPr>
          <w:rFonts w:ascii="Arial" w:hAnsi="Arial" w:cs="Arial"/>
        </w:rPr>
        <w:t xml:space="preserve"> modifications of the tariff authorized by the order in the complaint case</w:t>
      </w:r>
      <w:r w:rsidR="003272FB" w:rsidRPr="00C563C4">
        <w:rPr>
          <w:rFonts w:ascii="Arial" w:hAnsi="Arial" w:cs="Arial"/>
        </w:rPr>
        <w:t>.  OCC appealed both cases</w:t>
      </w:r>
      <w:r w:rsidR="0094737F" w:rsidRPr="00C563C4">
        <w:rPr>
          <w:rFonts w:ascii="Arial" w:hAnsi="Arial" w:cs="Arial"/>
        </w:rPr>
        <w:t>,</w:t>
      </w:r>
      <w:r w:rsidR="003272FB" w:rsidRPr="00C563C4">
        <w:rPr>
          <w:rFonts w:ascii="Arial" w:hAnsi="Arial" w:cs="Arial"/>
        </w:rPr>
        <w:t xml:space="preserve"> and they were consolidated for oral argument</w:t>
      </w:r>
      <w:r w:rsidR="00F31D5E" w:rsidRPr="00C563C4">
        <w:rPr>
          <w:rFonts w:ascii="Arial" w:hAnsi="Arial" w:cs="Arial"/>
        </w:rPr>
        <w:t>.</w:t>
      </w:r>
      <w:r w:rsidR="00F31D5E" w:rsidRPr="00C563C4">
        <w:rPr>
          <w:rStyle w:val="FootnoteReference"/>
          <w:rFonts w:ascii="Arial" w:hAnsi="Arial" w:cs="Arial"/>
        </w:rPr>
        <w:footnoteReference w:id="22"/>
      </w:r>
      <w:r w:rsidR="00F31D5E" w:rsidRPr="00C563C4">
        <w:rPr>
          <w:rFonts w:ascii="Arial" w:hAnsi="Arial" w:cs="Arial"/>
        </w:rPr>
        <w:t xml:space="preserve">  The Court </w:t>
      </w:r>
      <w:r w:rsidR="003272FB" w:rsidRPr="00C563C4">
        <w:rPr>
          <w:rFonts w:ascii="Arial" w:hAnsi="Arial" w:cs="Arial"/>
        </w:rPr>
        <w:t xml:space="preserve">affirmed the Commission’s findings </w:t>
      </w:r>
      <w:r w:rsidR="0010200F">
        <w:rPr>
          <w:rFonts w:ascii="Arial" w:hAnsi="Arial" w:cs="Arial"/>
        </w:rPr>
        <w:t xml:space="preserve">concerning the tariff </w:t>
      </w:r>
      <w:r w:rsidR="00E21EA3">
        <w:rPr>
          <w:rFonts w:ascii="Arial" w:hAnsi="Arial" w:cs="Arial"/>
        </w:rPr>
        <w:t>on the merits</w:t>
      </w:r>
      <w:r w:rsidR="00F31D5E" w:rsidRPr="00C563C4">
        <w:rPr>
          <w:rFonts w:ascii="Arial" w:hAnsi="Arial" w:cs="Arial"/>
        </w:rPr>
        <w:t>.</w:t>
      </w:r>
      <w:r w:rsidR="00F31D5E" w:rsidRPr="00C563C4">
        <w:rPr>
          <w:rStyle w:val="FootnoteReference"/>
          <w:rFonts w:ascii="Arial" w:hAnsi="Arial" w:cs="Arial"/>
        </w:rPr>
        <w:footnoteReference w:id="23"/>
      </w:r>
      <w:r w:rsidR="00F31D5E" w:rsidRPr="00C563C4">
        <w:rPr>
          <w:rFonts w:ascii="Arial" w:hAnsi="Arial" w:cs="Arial"/>
        </w:rPr>
        <w:t xml:space="preserve">  It then addressed the separate appeal of the stay.  </w:t>
      </w:r>
      <w:r w:rsidR="003272FB" w:rsidRPr="00C563C4">
        <w:rPr>
          <w:rFonts w:ascii="Arial" w:hAnsi="Arial" w:cs="Arial"/>
        </w:rPr>
        <w:t xml:space="preserve">Having found against OCC on the </w:t>
      </w:r>
      <w:r w:rsidR="0094737F" w:rsidRPr="00C563C4">
        <w:rPr>
          <w:rFonts w:ascii="Arial" w:hAnsi="Arial" w:cs="Arial"/>
        </w:rPr>
        <w:t>substantive issue presented by the consolidated appeals</w:t>
      </w:r>
      <w:r w:rsidR="0010200F">
        <w:rPr>
          <w:rFonts w:ascii="Arial" w:hAnsi="Arial" w:cs="Arial"/>
        </w:rPr>
        <w:t>, the Court stated that</w:t>
      </w:r>
      <w:r w:rsidR="00C62107" w:rsidRPr="00C563C4">
        <w:rPr>
          <w:rFonts w:ascii="Arial" w:hAnsi="Arial" w:cs="Arial"/>
        </w:rPr>
        <w:t xml:space="preserve"> “the procedural issue</w:t>
      </w:r>
      <w:r w:rsidR="003272FB" w:rsidRPr="00C563C4">
        <w:rPr>
          <w:rFonts w:ascii="Arial" w:hAnsi="Arial" w:cs="Arial"/>
        </w:rPr>
        <w:t xml:space="preserve"> [</w:t>
      </w:r>
      <w:r w:rsidR="00FB26A0" w:rsidRPr="00C563C4">
        <w:rPr>
          <w:rFonts w:ascii="Arial" w:hAnsi="Arial" w:cs="Arial"/>
        </w:rPr>
        <w:t xml:space="preserve">concerning </w:t>
      </w:r>
      <w:r w:rsidR="003272FB" w:rsidRPr="00C563C4">
        <w:rPr>
          <w:rFonts w:ascii="Arial" w:hAnsi="Arial" w:cs="Arial"/>
        </w:rPr>
        <w:t>the stay]</w:t>
      </w:r>
      <w:r w:rsidR="00C62107" w:rsidRPr="00C563C4">
        <w:rPr>
          <w:rFonts w:ascii="Arial" w:hAnsi="Arial" w:cs="Arial"/>
        </w:rPr>
        <w:t xml:space="preserve"> presented within </w:t>
      </w:r>
      <w:r w:rsidR="003272FB" w:rsidRPr="00C563C4">
        <w:rPr>
          <w:rFonts w:ascii="Arial" w:hAnsi="Arial" w:cs="Arial"/>
        </w:rPr>
        <w:t>…</w:t>
      </w:r>
      <w:r w:rsidR="00C62107" w:rsidRPr="00C563C4">
        <w:rPr>
          <w:rFonts w:ascii="Arial" w:hAnsi="Arial" w:cs="Arial"/>
        </w:rPr>
        <w:t xml:space="preserve"> is moot.”</w:t>
      </w:r>
      <w:r w:rsidR="00C62107" w:rsidRPr="00C563C4">
        <w:rPr>
          <w:rStyle w:val="FootnoteReference"/>
          <w:rFonts w:ascii="Arial" w:hAnsi="Arial" w:cs="Arial"/>
        </w:rPr>
        <w:footnoteReference w:id="24"/>
      </w:r>
      <w:r w:rsidR="003272FB" w:rsidRPr="00C563C4">
        <w:rPr>
          <w:rFonts w:ascii="Arial" w:hAnsi="Arial" w:cs="Arial"/>
        </w:rPr>
        <w:t xml:space="preserve">  </w:t>
      </w:r>
      <w:r w:rsidR="00FB26A0" w:rsidRPr="00C563C4">
        <w:rPr>
          <w:rFonts w:ascii="Arial" w:hAnsi="Arial" w:cs="Arial"/>
        </w:rPr>
        <w:t xml:space="preserve">The Court </w:t>
      </w:r>
      <w:r w:rsidR="0010200F">
        <w:rPr>
          <w:rFonts w:ascii="Arial" w:hAnsi="Arial" w:cs="Arial"/>
        </w:rPr>
        <w:t>nonetheless</w:t>
      </w:r>
      <w:r w:rsidR="00FB26A0" w:rsidRPr="00C563C4">
        <w:rPr>
          <w:rFonts w:ascii="Arial" w:hAnsi="Arial" w:cs="Arial"/>
        </w:rPr>
        <w:t xml:space="preserve"> discussed</w:t>
      </w:r>
      <w:r w:rsidR="0094737F" w:rsidRPr="00C563C4">
        <w:rPr>
          <w:rFonts w:ascii="Arial" w:hAnsi="Arial" w:cs="Arial"/>
        </w:rPr>
        <w:t xml:space="preserve"> the </w:t>
      </w:r>
      <w:r w:rsidR="00FB26A0" w:rsidRPr="00C563C4">
        <w:rPr>
          <w:rFonts w:ascii="Arial" w:hAnsi="Arial" w:cs="Arial"/>
        </w:rPr>
        <w:t>Commission’s authority to grant the relief that OCC sought</w:t>
      </w:r>
      <w:r w:rsidR="0094737F" w:rsidRPr="00C563C4">
        <w:rPr>
          <w:rFonts w:ascii="Arial" w:hAnsi="Arial" w:cs="Arial"/>
        </w:rPr>
        <w:t>, the statement that DP&amp;L quotes.</w:t>
      </w:r>
      <w:r w:rsidR="00FB26A0" w:rsidRPr="00C563C4">
        <w:rPr>
          <w:rStyle w:val="FootnoteReference"/>
          <w:rFonts w:ascii="Arial" w:hAnsi="Arial" w:cs="Arial"/>
        </w:rPr>
        <w:footnoteReference w:id="25"/>
      </w:r>
      <w:r w:rsidR="0094737F" w:rsidRPr="00C563C4">
        <w:rPr>
          <w:rFonts w:ascii="Arial" w:hAnsi="Arial" w:cs="Arial"/>
        </w:rPr>
        <w:t xml:space="preserve">  </w:t>
      </w:r>
      <w:r w:rsidR="003569FA">
        <w:rPr>
          <w:rFonts w:ascii="Arial" w:hAnsi="Arial" w:cs="Arial"/>
        </w:rPr>
        <w:t xml:space="preserve">Simply put, the portion of the </w:t>
      </w:r>
      <w:r w:rsidR="003569FA" w:rsidRPr="003569FA">
        <w:rPr>
          <w:rFonts w:ascii="Arial" w:hAnsi="Arial" w:cs="Arial"/>
          <w:i/>
        </w:rPr>
        <w:t>Consumers’ Counsel</w:t>
      </w:r>
      <w:r w:rsidR="003569FA">
        <w:rPr>
          <w:rFonts w:ascii="Arial" w:hAnsi="Arial" w:cs="Arial"/>
        </w:rPr>
        <w:t xml:space="preserve"> decision </w:t>
      </w:r>
      <w:r w:rsidR="003272FB" w:rsidRPr="00C563C4">
        <w:rPr>
          <w:rFonts w:ascii="Arial" w:hAnsi="Arial" w:cs="Arial"/>
        </w:rPr>
        <w:t xml:space="preserve">on which DP&amp;L relies addresses matters the Court did not decide; the language is </w:t>
      </w:r>
      <w:r w:rsidR="003272FB" w:rsidRPr="00C563C4">
        <w:rPr>
          <w:rFonts w:ascii="Arial" w:hAnsi="Arial" w:cs="Arial"/>
          <w:i/>
        </w:rPr>
        <w:t>obiter dictum</w:t>
      </w:r>
      <w:r w:rsidR="003272FB" w:rsidRPr="00C563C4">
        <w:rPr>
          <w:rFonts w:ascii="Arial" w:hAnsi="Arial" w:cs="Arial"/>
        </w:rPr>
        <w:t xml:space="preserve">.  </w:t>
      </w:r>
    </w:p>
    <w:p w:rsidR="003431CB" w:rsidRPr="00C563C4" w:rsidRDefault="00C62107" w:rsidP="003272FB">
      <w:pPr>
        <w:rPr>
          <w:rFonts w:ascii="Arial" w:hAnsi="Arial" w:cs="Arial"/>
        </w:rPr>
      </w:pPr>
      <w:r w:rsidRPr="00C563C4">
        <w:rPr>
          <w:rFonts w:ascii="Arial" w:hAnsi="Arial" w:cs="Arial"/>
        </w:rPr>
        <w:tab/>
      </w:r>
      <w:r w:rsidR="003431CB" w:rsidRPr="00C563C4">
        <w:rPr>
          <w:rFonts w:ascii="Arial" w:hAnsi="Arial" w:cs="Arial"/>
        </w:rPr>
        <w:t xml:space="preserve">The </w:t>
      </w:r>
      <w:r w:rsidR="003431CB" w:rsidRPr="00C563C4">
        <w:rPr>
          <w:rFonts w:ascii="Arial" w:hAnsi="Arial" w:cs="Arial"/>
          <w:i/>
        </w:rPr>
        <w:t>dicta</w:t>
      </w:r>
      <w:r w:rsidR="003431CB" w:rsidRPr="00C563C4">
        <w:rPr>
          <w:rFonts w:ascii="Arial" w:hAnsi="Arial" w:cs="Arial"/>
        </w:rPr>
        <w:t xml:space="preserve">, moreover, </w:t>
      </w:r>
      <w:r w:rsidR="00810234" w:rsidRPr="00C563C4">
        <w:rPr>
          <w:rFonts w:ascii="Arial" w:hAnsi="Arial" w:cs="Arial"/>
        </w:rPr>
        <w:t>are</w:t>
      </w:r>
      <w:r w:rsidR="003431CB" w:rsidRPr="00C563C4">
        <w:rPr>
          <w:rFonts w:ascii="Arial" w:hAnsi="Arial" w:cs="Arial"/>
        </w:rPr>
        <w:t xml:space="preserve"> inapplicable to the current case.  In </w:t>
      </w:r>
      <w:r w:rsidR="003431CB" w:rsidRPr="00C563C4">
        <w:rPr>
          <w:rFonts w:ascii="Arial" w:hAnsi="Arial" w:cs="Arial"/>
          <w:i/>
        </w:rPr>
        <w:t>Consumers’ Counsel</w:t>
      </w:r>
      <w:r w:rsidR="003431CB" w:rsidRPr="00C563C4">
        <w:rPr>
          <w:rFonts w:ascii="Arial" w:hAnsi="Arial" w:cs="Arial"/>
        </w:rPr>
        <w:t xml:space="preserve">, the Court stated that R.C. 4903.16 was applicable to a final Commission order </w:t>
      </w:r>
      <w:r w:rsidR="003431CB" w:rsidRPr="00C563C4">
        <w:rPr>
          <w:rFonts w:ascii="Arial" w:hAnsi="Arial" w:cs="Arial"/>
        </w:rPr>
        <w:lastRenderedPageBreak/>
        <w:t>during the pendency of an appeal.</w:t>
      </w:r>
      <w:r w:rsidR="003431CB" w:rsidRPr="00C563C4">
        <w:rPr>
          <w:rStyle w:val="FootnoteReference"/>
          <w:rFonts w:ascii="Arial" w:hAnsi="Arial" w:cs="Arial"/>
        </w:rPr>
        <w:footnoteReference w:id="26"/>
      </w:r>
      <w:r w:rsidR="003431CB" w:rsidRPr="00C563C4">
        <w:rPr>
          <w:rFonts w:ascii="Arial" w:hAnsi="Arial" w:cs="Arial"/>
        </w:rPr>
        <w:t xml:space="preserve">  </w:t>
      </w:r>
      <w:r w:rsidR="0094737F" w:rsidRPr="00C563C4">
        <w:rPr>
          <w:rFonts w:ascii="Arial" w:hAnsi="Arial" w:cs="Arial"/>
        </w:rPr>
        <w:t>If t</w:t>
      </w:r>
      <w:r w:rsidR="003431CB" w:rsidRPr="00C563C4">
        <w:rPr>
          <w:rFonts w:ascii="Arial" w:hAnsi="Arial" w:cs="Arial"/>
        </w:rPr>
        <w:t>his statement</w:t>
      </w:r>
      <w:r w:rsidR="0094737F" w:rsidRPr="00C563C4">
        <w:rPr>
          <w:rFonts w:ascii="Arial" w:hAnsi="Arial" w:cs="Arial"/>
        </w:rPr>
        <w:t xml:space="preserve"> is more than </w:t>
      </w:r>
      <w:r w:rsidR="0094737F" w:rsidRPr="00C563C4">
        <w:rPr>
          <w:rFonts w:ascii="Arial" w:hAnsi="Arial" w:cs="Arial"/>
          <w:i/>
        </w:rPr>
        <w:t>dicta</w:t>
      </w:r>
      <w:r w:rsidR="003431CB" w:rsidRPr="00C563C4">
        <w:rPr>
          <w:rFonts w:ascii="Arial" w:hAnsi="Arial" w:cs="Arial"/>
        </w:rPr>
        <w:t>, then,</w:t>
      </w:r>
      <w:r w:rsidR="0094737F" w:rsidRPr="00C563C4">
        <w:rPr>
          <w:rFonts w:ascii="Arial" w:hAnsi="Arial" w:cs="Arial"/>
        </w:rPr>
        <w:t xml:space="preserve"> it requires that</w:t>
      </w:r>
      <w:r w:rsidR="003431CB" w:rsidRPr="00C563C4">
        <w:rPr>
          <w:rFonts w:ascii="Arial" w:hAnsi="Arial" w:cs="Arial"/>
        </w:rPr>
        <w:t xml:space="preserve"> two conditions must be </w:t>
      </w:r>
      <w:r w:rsidRPr="00C563C4">
        <w:rPr>
          <w:rFonts w:ascii="Arial" w:hAnsi="Arial" w:cs="Arial"/>
        </w:rPr>
        <w:t>satisfied</w:t>
      </w:r>
      <w:r w:rsidR="00C77BD1" w:rsidRPr="00C563C4">
        <w:rPr>
          <w:rFonts w:ascii="Arial" w:hAnsi="Arial" w:cs="Arial"/>
        </w:rPr>
        <w:t xml:space="preserve"> before the Commission loses it</w:t>
      </w:r>
      <w:r w:rsidR="00550C8E">
        <w:rPr>
          <w:rFonts w:ascii="Arial" w:hAnsi="Arial" w:cs="Arial"/>
        </w:rPr>
        <w:t>s</w:t>
      </w:r>
      <w:r w:rsidR="00C77BD1" w:rsidRPr="00C563C4">
        <w:rPr>
          <w:rFonts w:ascii="Arial" w:hAnsi="Arial" w:cs="Arial"/>
        </w:rPr>
        <w:t xml:space="preserve"> authority to issue a stay</w:t>
      </w:r>
      <w:r w:rsidR="003431CB" w:rsidRPr="00C563C4">
        <w:rPr>
          <w:rFonts w:ascii="Arial" w:hAnsi="Arial" w:cs="Arial"/>
        </w:rPr>
        <w:t xml:space="preserve">: first, the Commission’s order must be final; second, there must be an appeal.  Neither condition applies at this stage of the proceedings.  </w:t>
      </w:r>
    </w:p>
    <w:p w:rsidR="003431CB" w:rsidRPr="00C563C4" w:rsidRDefault="003431CB" w:rsidP="003431CB">
      <w:pPr>
        <w:ind w:firstLine="720"/>
        <w:rPr>
          <w:rFonts w:ascii="Arial" w:hAnsi="Arial" w:cs="Arial"/>
        </w:rPr>
      </w:pPr>
      <w:r w:rsidRPr="00C563C4">
        <w:rPr>
          <w:rFonts w:ascii="Arial" w:hAnsi="Arial" w:cs="Arial"/>
        </w:rPr>
        <w:t xml:space="preserve">As to the first </w:t>
      </w:r>
      <w:r w:rsidR="00C62107" w:rsidRPr="00C563C4">
        <w:rPr>
          <w:rFonts w:ascii="Arial" w:hAnsi="Arial" w:cs="Arial"/>
        </w:rPr>
        <w:t>condition</w:t>
      </w:r>
      <w:r w:rsidRPr="00C563C4">
        <w:rPr>
          <w:rFonts w:ascii="Arial" w:hAnsi="Arial" w:cs="Arial"/>
        </w:rPr>
        <w:t>, the Commission’s order is not yet final</w:t>
      </w:r>
      <w:r w:rsidR="00C77BD1" w:rsidRPr="00C563C4">
        <w:rPr>
          <w:rFonts w:ascii="Arial" w:hAnsi="Arial" w:cs="Arial"/>
        </w:rPr>
        <w:t xml:space="preserve"> such that an unrestricted right to appeal currently exists</w:t>
      </w:r>
      <w:r w:rsidRPr="00C563C4">
        <w:rPr>
          <w:rFonts w:ascii="Arial" w:hAnsi="Arial" w:cs="Arial"/>
        </w:rPr>
        <w:t xml:space="preserve">.  If a party were to seek rehearing during the </w:t>
      </w:r>
      <w:r w:rsidR="0094737F" w:rsidRPr="00C563C4">
        <w:rPr>
          <w:rFonts w:ascii="Arial" w:hAnsi="Arial" w:cs="Arial"/>
        </w:rPr>
        <w:t>thirty-day</w:t>
      </w:r>
      <w:r w:rsidRPr="00C563C4">
        <w:rPr>
          <w:rFonts w:ascii="Arial" w:hAnsi="Arial" w:cs="Arial"/>
        </w:rPr>
        <w:t xml:space="preserve"> period provided by R.C. 4903.10, </w:t>
      </w:r>
      <w:r w:rsidR="00FB3EB3" w:rsidRPr="00C563C4">
        <w:rPr>
          <w:rFonts w:ascii="Arial" w:hAnsi="Arial" w:cs="Arial"/>
        </w:rPr>
        <w:t xml:space="preserve">the right to proceed with an appeal would be suspended until the Commission addressed the subsequent application for rehearing and an additional thirty days ran without </w:t>
      </w:r>
      <w:r w:rsidR="00C77BD1" w:rsidRPr="00C563C4">
        <w:rPr>
          <w:rFonts w:ascii="Arial" w:hAnsi="Arial" w:cs="Arial"/>
        </w:rPr>
        <w:t xml:space="preserve">a party filing </w:t>
      </w:r>
      <w:r w:rsidR="00FB3EB3" w:rsidRPr="00C563C4">
        <w:rPr>
          <w:rFonts w:ascii="Arial" w:hAnsi="Arial" w:cs="Arial"/>
        </w:rPr>
        <w:t>another application for rehearing</w:t>
      </w:r>
      <w:r w:rsidRPr="00C563C4">
        <w:rPr>
          <w:rFonts w:ascii="Arial" w:hAnsi="Arial" w:cs="Arial"/>
        </w:rPr>
        <w:t>.</w:t>
      </w:r>
      <w:r w:rsidR="00FB3EB3" w:rsidRPr="00C563C4">
        <w:rPr>
          <w:rStyle w:val="FootnoteReference"/>
          <w:rFonts w:ascii="Arial" w:hAnsi="Arial" w:cs="Arial"/>
        </w:rPr>
        <w:footnoteReference w:id="27"/>
      </w:r>
      <w:r w:rsidRPr="00C563C4">
        <w:rPr>
          <w:rFonts w:ascii="Arial" w:hAnsi="Arial" w:cs="Arial"/>
        </w:rPr>
        <w:t xml:space="preserve">  </w:t>
      </w:r>
      <w:r w:rsidR="00FB3EB3" w:rsidRPr="00C563C4">
        <w:rPr>
          <w:rFonts w:ascii="Arial" w:hAnsi="Arial" w:cs="Arial"/>
        </w:rPr>
        <w:t xml:space="preserve">The Commission’s Fifth Entry on Rehearing was issued on July 23, 2014.  The thirty-day clock of entry on rehearing will not run until August 26, 2014.  </w:t>
      </w:r>
      <w:r w:rsidRPr="00C563C4">
        <w:rPr>
          <w:rFonts w:ascii="Arial" w:hAnsi="Arial" w:cs="Arial"/>
        </w:rPr>
        <w:t xml:space="preserve">Accordingly, </w:t>
      </w:r>
      <w:r w:rsidR="00FB3EB3" w:rsidRPr="00C563C4">
        <w:rPr>
          <w:rFonts w:ascii="Arial" w:hAnsi="Arial" w:cs="Arial"/>
        </w:rPr>
        <w:t xml:space="preserve">the Fifth Entry on Rehearing could still be the subject of an application for rehearing.  As a result, </w:t>
      </w:r>
      <w:r w:rsidR="0094737F" w:rsidRPr="00C563C4">
        <w:rPr>
          <w:rFonts w:ascii="Arial" w:hAnsi="Arial" w:cs="Arial"/>
        </w:rPr>
        <w:t>no party is assured of successfully filing a notice of appeal to the Fifth Entry on Rehearing until August 26, 2014.  For</w:t>
      </w:r>
      <w:r w:rsidR="00810234" w:rsidRPr="00C563C4">
        <w:rPr>
          <w:rFonts w:ascii="Arial" w:hAnsi="Arial" w:cs="Arial"/>
        </w:rPr>
        <w:t xml:space="preserve"> all</w:t>
      </w:r>
      <w:r w:rsidR="0094737F" w:rsidRPr="00C563C4">
        <w:rPr>
          <w:rFonts w:ascii="Arial" w:hAnsi="Arial" w:cs="Arial"/>
        </w:rPr>
        <w:t xml:space="preserve"> practical purposes, the order will not be final until the </w:t>
      </w:r>
      <w:r w:rsidR="000122E0" w:rsidRPr="00C563C4">
        <w:rPr>
          <w:rFonts w:ascii="Arial" w:hAnsi="Arial" w:cs="Arial"/>
        </w:rPr>
        <w:t>thirty</w:t>
      </w:r>
      <w:r w:rsidR="000122E0">
        <w:rPr>
          <w:rFonts w:ascii="Arial" w:hAnsi="Arial" w:cs="Arial"/>
        </w:rPr>
        <w:t>-</w:t>
      </w:r>
      <w:r w:rsidR="0094737F" w:rsidRPr="00C563C4">
        <w:rPr>
          <w:rFonts w:ascii="Arial" w:hAnsi="Arial" w:cs="Arial"/>
        </w:rPr>
        <w:t>day period has run</w:t>
      </w:r>
      <w:r w:rsidR="00FB3EB3" w:rsidRPr="00C563C4">
        <w:rPr>
          <w:rFonts w:ascii="Arial" w:hAnsi="Arial" w:cs="Arial"/>
        </w:rPr>
        <w:t>.</w:t>
      </w:r>
    </w:p>
    <w:p w:rsidR="003431CB" w:rsidRPr="00C563C4" w:rsidRDefault="003431CB" w:rsidP="003431CB">
      <w:pPr>
        <w:ind w:firstLine="720"/>
        <w:rPr>
          <w:rFonts w:ascii="Arial" w:hAnsi="Arial" w:cs="Arial"/>
        </w:rPr>
      </w:pPr>
      <w:r w:rsidRPr="00C563C4">
        <w:rPr>
          <w:rFonts w:ascii="Arial" w:hAnsi="Arial" w:cs="Arial"/>
        </w:rPr>
        <w:t xml:space="preserve">As to the second requirement that there be a pending appeal, no party has filed a notice of appeal initiating a proceeding before the Court.  </w:t>
      </w:r>
      <w:r w:rsidR="00FB3EB3" w:rsidRPr="00C563C4">
        <w:rPr>
          <w:rFonts w:ascii="Arial" w:hAnsi="Arial" w:cs="Arial"/>
        </w:rPr>
        <w:t>As to a final order of the Commission, the proceeding to obtain a reversal, vacation, or modification is initiated by a notice of appeal.</w:t>
      </w:r>
      <w:r w:rsidR="00FB3EB3" w:rsidRPr="00C563C4">
        <w:rPr>
          <w:rStyle w:val="FootnoteReference"/>
          <w:rFonts w:ascii="Arial" w:hAnsi="Arial" w:cs="Arial"/>
        </w:rPr>
        <w:footnoteReference w:id="28"/>
      </w:r>
      <w:r w:rsidR="00FB3EB3" w:rsidRPr="00C563C4">
        <w:rPr>
          <w:rFonts w:ascii="Arial" w:hAnsi="Arial" w:cs="Arial"/>
        </w:rPr>
        <w:t xml:space="preserve">  </w:t>
      </w:r>
      <w:r w:rsidR="005D2454" w:rsidRPr="00C563C4">
        <w:rPr>
          <w:rFonts w:ascii="Arial" w:hAnsi="Arial" w:cs="Arial"/>
        </w:rPr>
        <w:t xml:space="preserve">When a notice of appeal is filed to initiate a </w:t>
      </w:r>
      <w:r w:rsidR="006E0C93" w:rsidRPr="00C563C4">
        <w:rPr>
          <w:rFonts w:ascii="Arial" w:hAnsi="Arial" w:cs="Arial"/>
        </w:rPr>
        <w:t>proceeding</w:t>
      </w:r>
      <w:r w:rsidR="005D2454" w:rsidRPr="00C563C4">
        <w:rPr>
          <w:rFonts w:ascii="Arial" w:hAnsi="Arial" w:cs="Arial"/>
        </w:rPr>
        <w:t xml:space="preserve"> to reverse, </w:t>
      </w:r>
      <w:r w:rsidR="00C77BD1" w:rsidRPr="00C563C4">
        <w:rPr>
          <w:rFonts w:ascii="Arial" w:hAnsi="Arial" w:cs="Arial"/>
        </w:rPr>
        <w:lastRenderedPageBreak/>
        <w:t>vacate,</w:t>
      </w:r>
      <w:r w:rsidR="005D2454" w:rsidRPr="00C563C4">
        <w:rPr>
          <w:rFonts w:ascii="Arial" w:hAnsi="Arial" w:cs="Arial"/>
        </w:rPr>
        <w:t xml:space="preserve"> or modify a final order rendered by the Commission, the Court may then issue a stay.</w:t>
      </w:r>
      <w:r w:rsidR="005D2454" w:rsidRPr="00C563C4">
        <w:rPr>
          <w:rStyle w:val="FootnoteReference"/>
          <w:rFonts w:ascii="Arial" w:hAnsi="Arial" w:cs="Arial"/>
        </w:rPr>
        <w:footnoteReference w:id="29"/>
      </w:r>
      <w:r w:rsidR="005D2454" w:rsidRPr="00C563C4">
        <w:rPr>
          <w:rFonts w:ascii="Arial" w:hAnsi="Arial" w:cs="Arial"/>
        </w:rPr>
        <w:t xml:space="preserve">  Because no party has filed a notice of appeal, the second “condition</w:t>
      </w:r>
      <w:r w:rsidR="00C77BD1" w:rsidRPr="00C563C4">
        <w:rPr>
          <w:rFonts w:ascii="Arial" w:hAnsi="Arial" w:cs="Arial"/>
        </w:rPr>
        <w:t>,</w:t>
      </w:r>
      <w:r w:rsidR="005D2454" w:rsidRPr="00C563C4">
        <w:rPr>
          <w:rFonts w:ascii="Arial" w:hAnsi="Arial" w:cs="Arial"/>
        </w:rPr>
        <w:t xml:space="preserve">” </w:t>
      </w:r>
      <w:r w:rsidR="00C77BD1" w:rsidRPr="00C563C4">
        <w:rPr>
          <w:rFonts w:ascii="Arial" w:hAnsi="Arial" w:cs="Arial"/>
        </w:rPr>
        <w:t xml:space="preserve">a pending appeal, </w:t>
      </w:r>
      <w:r w:rsidR="005D2454" w:rsidRPr="00C563C4">
        <w:rPr>
          <w:rFonts w:ascii="Arial" w:hAnsi="Arial" w:cs="Arial"/>
        </w:rPr>
        <w:t>is not satisfied.</w:t>
      </w:r>
    </w:p>
    <w:p w:rsidR="00C77BD1" w:rsidRPr="00C563C4" w:rsidRDefault="00810234" w:rsidP="003431CB">
      <w:pPr>
        <w:ind w:firstLine="720"/>
        <w:rPr>
          <w:rFonts w:ascii="Arial" w:hAnsi="Arial" w:cs="Arial"/>
        </w:rPr>
      </w:pPr>
      <w:r w:rsidRPr="00C563C4">
        <w:rPr>
          <w:rFonts w:ascii="Arial" w:hAnsi="Arial" w:cs="Arial"/>
        </w:rPr>
        <w:t>Additionally, DP&amp;L argues that</w:t>
      </w:r>
      <w:r w:rsidR="00FB26A0" w:rsidRPr="00C563C4">
        <w:rPr>
          <w:rFonts w:ascii="Arial" w:hAnsi="Arial" w:cs="Arial"/>
        </w:rPr>
        <w:t xml:space="preserve"> </w:t>
      </w:r>
      <w:r w:rsidR="00E21EA3">
        <w:rPr>
          <w:rFonts w:ascii="Arial" w:hAnsi="Arial" w:cs="Arial"/>
        </w:rPr>
        <w:t>the requested relief</w:t>
      </w:r>
      <w:r w:rsidR="00FB26A0" w:rsidRPr="00C563C4">
        <w:rPr>
          <w:rFonts w:ascii="Arial" w:hAnsi="Arial" w:cs="Arial"/>
        </w:rPr>
        <w:t xml:space="preserve"> would be inconsistent with the requirements established by the General Assembly governing the Court </w:t>
      </w:r>
      <w:r w:rsidR="00376A7E">
        <w:rPr>
          <w:rFonts w:ascii="Arial" w:hAnsi="Arial" w:cs="Arial"/>
        </w:rPr>
        <w:t>and thus invade the Court’s jurisdiction</w:t>
      </w:r>
      <w:r w:rsidR="00FB26A0" w:rsidRPr="00C563C4">
        <w:rPr>
          <w:rFonts w:ascii="Arial" w:hAnsi="Arial" w:cs="Arial"/>
        </w:rPr>
        <w:t>.</w:t>
      </w:r>
      <w:r w:rsidR="00FB26A0" w:rsidRPr="00C563C4">
        <w:rPr>
          <w:rStyle w:val="FootnoteReference"/>
          <w:rFonts w:ascii="Arial" w:hAnsi="Arial" w:cs="Arial"/>
        </w:rPr>
        <w:footnoteReference w:id="30"/>
      </w:r>
      <w:r w:rsidR="00B259AD" w:rsidRPr="00C563C4">
        <w:rPr>
          <w:rFonts w:ascii="Arial" w:hAnsi="Arial" w:cs="Arial"/>
        </w:rPr>
        <w:t xml:space="preserve">  </w:t>
      </w:r>
      <w:r w:rsidR="00FB26A0" w:rsidRPr="00C563C4">
        <w:rPr>
          <w:rFonts w:ascii="Arial" w:hAnsi="Arial" w:cs="Arial"/>
        </w:rPr>
        <w:t>Yet, there is nothing inconsistent with a Commission determination that its order should be stayed to protect the well-being of customers while the matter remains before it.  In fact, the Commission has endorsed the four-factor test outlined in the motion as the proper considerations for it to review when a party seeks a stay.</w:t>
      </w:r>
      <w:r w:rsidR="00FB26A0" w:rsidRPr="00C563C4">
        <w:rPr>
          <w:rStyle w:val="FootnoteReference"/>
          <w:rFonts w:ascii="Arial" w:hAnsi="Arial" w:cs="Arial"/>
        </w:rPr>
        <w:footnoteReference w:id="31"/>
      </w:r>
      <w:r w:rsidR="00FB26A0" w:rsidRPr="00C563C4">
        <w:rPr>
          <w:rFonts w:ascii="Arial" w:hAnsi="Arial" w:cs="Arial"/>
        </w:rPr>
        <w:t xml:space="preserve">  Moreover, seeking a stay at the Commission will not “upend the statutory framework”</w:t>
      </w:r>
      <w:r w:rsidR="00FB26A0" w:rsidRPr="00C563C4">
        <w:rPr>
          <w:rStyle w:val="FootnoteReference"/>
          <w:rFonts w:ascii="Arial" w:hAnsi="Arial" w:cs="Arial"/>
        </w:rPr>
        <w:footnoteReference w:id="32"/>
      </w:r>
      <w:r w:rsidR="00FB26A0" w:rsidRPr="00C563C4">
        <w:rPr>
          <w:rFonts w:ascii="Arial" w:hAnsi="Arial" w:cs="Arial"/>
        </w:rPr>
        <w:t xml:space="preserve"> provided for matters on appeal to the Court.  </w:t>
      </w:r>
      <w:r w:rsidR="00C77BD1" w:rsidRPr="00C563C4">
        <w:rPr>
          <w:rFonts w:ascii="Arial" w:hAnsi="Arial" w:cs="Arial"/>
        </w:rPr>
        <w:t>Once the Commission’s orders are final and a notice of appeal is properly before the Court, i</w:t>
      </w:r>
      <w:r w:rsidR="00FB26A0" w:rsidRPr="00C563C4">
        <w:rPr>
          <w:rFonts w:ascii="Arial" w:hAnsi="Arial" w:cs="Arial"/>
        </w:rPr>
        <w:t xml:space="preserve">t will decide if a stay should be granted if </w:t>
      </w:r>
      <w:r w:rsidR="00D37721" w:rsidRPr="00C563C4">
        <w:rPr>
          <w:rFonts w:ascii="Arial" w:hAnsi="Arial" w:cs="Arial"/>
        </w:rPr>
        <w:t xml:space="preserve">the Commission does not act and the Court is </w:t>
      </w:r>
      <w:r w:rsidR="00FB26A0" w:rsidRPr="00C563C4">
        <w:rPr>
          <w:rFonts w:ascii="Arial" w:hAnsi="Arial" w:cs="Arial"/>
        </w:rPr>
        <w:t xml:space="preserve">presented with a proper motion under R.C. 4903.16.  </w:t>
      </w:r>
    </w:p>
    <w:p w:rsidR="00B259AD" w:rsidRPr="00C563C4" w:rsidRDefault="00D37721" w:rsidP="003431CB">
      <w:pPr>
        <w:ind w:firstLine="720"/>
        <w:rPr>
          <w:rFonts w:ascii="Arial" w:hAnsi="Arial" w:cs="Arial"/>
        </w:rPr>
      </w:pPr>
      <w:r w:rsidRPr="00C563C4">
        <w:rPr>
          <w:rFonts w:ascii="Arial" w:hAnsi="Arial" w:cs="Arial"/>
        </w:rPr>
        <w:lastRenderedPageBreak/>
        <w:t>In summary</w:t>
      </w:r>
      <w:r w:rsidR="00FB26A0" w:rsidRPr="00C563C4">
        <w:rPr>
          <w:rFonts w:ascii="Arial" w:hAnsi="Arial" w:cs="Arial"/>
        </w:rPr>
        <w:t xml:space="preserve">, DP&amp;L’s argument </w:t>
      </w:r>
      <w:r w:rsidR="00C77BD1" w:rsidRPr="00C563C4">
        <w:rPr>
          <w:rFonts w:ascii="Arial" w:hAnsi="Arial" w:cs="Arial"/>
        </w:rPr>
        <w:t xml:space="preserve">that the Commission lacks authority to issue a stay </w:t>
      </w:r>
      <w:r w:rsidR="00FB26A0" w:rsidRPr="00C563C4">
        <w:rPr>
          <w:rFonts w:ascii="Arial" w:hAnsi="Arial" w:cs="Arial"/>
        </w:rPr>
        <w:t xml:space="preserve">is nonsense.  </w:t>
      </w:r>
      <w:r w:rsidR="00C77BD1" w:rsidRPr="00C563C4">
        <w:rPr>
          <w:rFonts w:ascii="Arial" w:hAnsi="Arial" w:cs="Arial"/>
        </w:rPr>
        <w:t xml:space="preserve">The argument ignores years of Commission precedent and is premised on </w:t>
      </w:r>
      <w:r w:rsidR="00C77BD1" w:rsidRPr="00C563C4">
        <w:rPr>
          <w:rFonts w:ascii="Arial" w:hAnsi="Arial" w:cs="Arial"/>
          <w:i/>
        </w:rPr>
        <w:t>dicta</w:t>
      </w:r>
      <w:r w:rsidR="00C77BD1" w:rsidRPr="00C563C4">
        <w:rPr>
          <w:rFonts w:ascii="Arial" w:hAnsi="Arial" w:cs="Arial"/>
        </w:rPr>
        <w:t xml:space="preserve">.  </w:t>
      </w:r>
      <w:r w:rsidRPr="00C563C4">
        <w:rPr>
          <w:rFonts w:ascii="Arial" w:hAnsi="Arial" w:cs="Arial"/>
        </w:rPr>
        <w:t>Even</w:t>
      </w:r>
      <w:r w:rsidR="00C77BD1" w:rsidRPr="00C563C4">
        <w:rPr>
          <w:rFonts w:ascii="Arial" w:hAnsi="Arial" w:cs="Arial"/>
        </w:rPr>
        <w:t xml:space="preserve"> the </w:t>
      </w:r>
      <w:r w:rsidR="009907AD" w:rsidRPr="00C563C4">
        <w:rPr>
          <w:rFonts w:ascii="Arial" w:hAnsi="Arial" w:cs="Arial"/>
          <w:i/>
        </w:rPr>
        <w:t>dicta</w:t>
      </w:r>
      <w:r w:rsidR="009907AD" w:rsidRPr="00C563C4">
        <w:rPr>
          <w:rFonts w:ascii="Arial" w:hAnsi="Arial" w:cs="Arial"/>
        </w:rPr>
        <w:t xml:space="preserve"> are</w:t>
      </w:r>
      <w:r w:rsidR="00C77BD1" w:rsidRPr="00C563C4">
        <w:rPr>
          <w:rFonts w:ascii="Arial" w:hAnsi="Arial" w:cs="Arial"/>
        </w:rPr>
        <w:t xml:space="preserve"> not applicable to the facts presented by </w:t>
      </w:r>
      <w:r w:rsidR="009907AD" w:rsidRPr="00C563C4">
        <w:rPr>
          <w:rFonts w:ascii="Arial" w:hAnsi="Arial" w:cs="Arial"/>
        </w:rPr>
        <w:t>this</w:t>
      </w:r>
      <w:r w:rsidR="00C77BD1" w:rsidRPr="00C563C4">
        <w:rPr>
          <w:rFonts w:ascii="Arial" w:hAnsi="Arial" w:cs="Arial"/>
        </w:rPr>
        <w:t xml:space="preserve"> Motion.  </w:t>
      </w:r>
      <w:r w:rsidRPr="00C563C4">
        <w:rPr>
          <w:rFonts w:ascii="Arial" w:hAnsi="Arial" w:cs="Arial"/>
        </w:rPr>
        <w:t>Additionally, a stay would not invade the authority of the Court</w:t>
      </w:r>
      <w:r w:rsidR="003F3842" w:rsidRPr="00C563C4">
        <w:rPr>
          <w:rFonts w:ascii="Arial" w:hAnsi="Arial" w:cs="Arial"/>
        </w:rPr>
        <w:t>.  Accordingly, the Commission should reject DP&amp;L’s claim that the Commission lacks authority to order a stay.</w:t>
      </w:r>
      <w:r w:rsidR="00C77BD1" w:rsidRPr="00C563C4">
        <w:rPr>
          <w:rFonts w:ascii="Arial" w:hAnsi="Arial" w:cs="Arial"/>
        </w:rPr>
        <w:t xml:space="preserve"> </w:t>
      </w:r>
    </w:p>
    <w:p w:rsidR="00B259AD" w:rsidRPr="00C563C4" w:rsidRDefault="006726A1" w:rsidP="004A52FB">
      <w:pPr>
        <w:pStyle w:val="Heading2"/>
        <w:rPr>
          <w:rFonts w:ascii="Arial" w:hAnsi="Arial"/>
          <w:szCs w:val="24"/>
        </w:rPr>
      </w:pPr>
      <w:bookmarkStart w:id="19" w:name="_Toc396231444"/>
      <w:bookmarkStart w:id="20" w:name="_Toc396288901"/>
      <w:bookmarkStart w:id="21" w:name="_Toc396289218"/>
      <w:bookmarkStart w:id="22" w:name="_Toc396386463"/>
      <w:r w:rsidRPr="00C563C4">
        <w:rPr>
          <w:rFonts w:ascii="Arial" w:hAnsi="Arial"/>
          <w:szCs w:val="24"/>
        </w:rPr>
        <w:t xml:space="preserve">The </w:t>
      </w:r>
      <w:r w:rsidR="00D37721" w:rsidRPr="00C563C4">
        <w:rPr>
          <w:rFonts w:ascii="Arial" w:hAnsi="Arial"/>
          <w:szCs w:val="24"/>
        </w:rPr>
        <w:t>Joint Movants</w:t>
      </w:r>
      <w:r w:rsidRPr="00C563C4">
        <w:rPr>
          <w:rFonts w:ascii="Arial" w:hAnsi="Arial"/>
          <w:szCs w:val="24"/>
        </w:rPr>
        <w:t xml:space="preserve"> </w:t>
      </w:r>
      <w:r w:rsidR="00615930">
        <w:rPr>
          <w:rFonts w:ascii="Arial" w:hAnsi="Arial"/>
          <w:szCs w:val="24"/>
        </w:rPr>
        <w:t>h</w:t>
      </w:r>
      <w:r w:rsidRPr="00C563C4">
        <w:rPr>
          <w:rFonts w:ascii="Arial" w:hAnsi="Arial"/>
          <w:szCs w:val="24"/>
        </w:rPr>
        <w:t xml:space="preserve">ave </w:t>
      </w:r>
      <w:r w:rsidR="00615930">
        <w:rPr>
          <w:rFonts w:ascii="Arial" w:hAnsi="Arial"/>
          <w:szCs w:val="24"/>
        </w:rPr>
        <w:t>s</w:t>
      </w:r>
      <w:r w:rsidRPr="00C563C4">
        <w:rPr>
          <w:rFonts w:ascii="Arial" w:hAnsi="Arial"/>
          <w:szCs w:val="24"/>
        </w:rPr>
        <w:t xml:space="preserve">tated </w:t>
      </w:r>
      <w:r w:rsidR="00615930">
        <w:rPr>
          <w:rFonts w:ascii="Arial" w:hAnsi="Arial"/>
          <w:szCs w:val="24"/>
        </w:rPr>
        <w:t>g</w:t>
      </w:r>
      <w:r w:rsidRPr="00C563C4">
        <w:rPr>
          <w:rFonts w:ascii="Arial" w:hAnsi="Arial"/>
          <w:szCs w:val="24"/>
        </w:rPr>
        <w:t xml:space="preserve">rounds on </w:t>
      </w:r>
      <w:r w:rsidR="00615930">
        <w:rPr>
          <w:rFonts w:ascii="Arial" w:hAnsi="Arial"/>
          <w:szCs w:val="24"/>
        </w:rPr>
        <w:t>w</w:t>
      </w:r>
      <w:r w:rsidRPr="00C563C4">
        <w:rPr>
          <w:rFonts w:ascii="Arial" w:hAnsi="Arial"/>
          <w:szCs w:val="24"/>
        </w:rPr>
        <w:t xml:space="preserve">hich the Commission </w:t>
      </w:r>
      <w:r w:rsidR="00615930">
        <w:rPr>
          <w:rFonts w:ascii="Arial" w:hAnsi="Arial"/>
          <w:szCs w:val="24"/>
        </w:rPr>
        <w:t>s</w:t>
      </w:r>
      <w:r w:rsidRPr="00C563C4">
        <w:rPr>
          <w:rFonts w:ascii="Arial" w:hAnsi="Arial"/>
          <w:szCs w:val="24"/>
        </w:rPr>
        <w:t xml:space="preserve">hould </w:t>
      </w:r>
      <w:r w:rsidR="00615930">
        <w:rPr>
          <w:rFonts w:ascii="Arial" w:hAnsi="Arial"/>
          <w:szCs w:val="24"/>
        </w:rPr>
        <w:t>g</w:t>
      </w:r>
      <w:r w:rsidRPr="00C563C4">
        <w:rPr>
          <w:rFonts w:ascii="Arial" w:hAnsi="Arial"/>
          <w:szCs w:val="24"/>
        </w:rPr>
        <w:t xml:space="preserve">rant </w:t>
      </w:r>
      <w:r w:rsidR="00615930">
        <w:rPr>
          <w:rFonts w:ascii="Arial" w:hAnsi="Arial"/>
          <w:szCs w:val="24"/>
        </w:rPr>
        <w:t>a</w:t>
      </w:r>
      <w:r w:rsidR="00615930" w:rsidRPr="00C563C4">
        <w:rPr>
          <w:rFonts w:ascii="Arial" w:hAnsi="Arial"/>
          <w:szCs w:val="24"/>
        </w:rPr>
        <w:t xml:space="preserve"> </w:t>
      </w:r>
      <w:r w:rsidR="00615930">
        <w:rPr>
          <w:rFonts w:ascii="Arial" w:hAnsi="Arial"/>
          <w:szCs w:val="24"/>
        </w:rPr>
        <w:t>s</w:t>
      </w:r>
      <w:r w:rsidRPr="00C563C4">
        <w:rPr>
          <w:rFonts w:ascii="Arial" w:hAnsi="Arial"/>
          <w:szCs w:val="24"/>
        </w:rPr>
        <w:t>tay</w:t>
      </w:r>
      <w:bookmarkEnd w:id="19"/>
      <w:bookmarkEnd w:id="20"/>
      <w:bookmarkEnd w:id="21"/>
      <w:r w:rsidR="00615930">
        <w:rPr>
          <w:rFonts w:ascii="Arial" w:hAnsi="Arial"/>
          <w:szCs w:val="24"/>
        </w:rPr>
        <w:t xml:space="preserve"> that will protect customers</w:t>
      </w:r>
      <w:bookmarkEnd w:id="22"/>
    </w:p>
    <w:p w:rsidR="006D59B0" w:rsidRPr="00C563C4" w:rsidRDefault="006D59B0" w:rsidP="006726A1">
      <w:pPr>
        <w:rPr>
          <w:rFonts w:ascii="Arial" w:hAnsi="Arial" w:cs="Arial"/>
        </w:rPr>
      </w:pPr>
      <w:r w:rsidRPr="00C563C4">
        <w:rPr>
          <w:rFonts w:ascii="Arial" w:hAnsi="Arial" w:cs="Arial"/>
        </w:rPr>
        <w:tab/>
      </w:r>
      <w:r w:rsidR="00F5190F" w:rsidRPr="00C563C4">
        <w:rPr>
          <w:rFonts w:ascii="Arial" w:hAnsi="Arial" w:cs="Arial"/>
        </w:rPr>
        <w:t>In</w:t>
      </w:r>
      <w:r w:rsidRPr="00C563C4">
        <w:rPr>
          <w:rFonts w:ascii="Arial" w:hAnsi="Arial" w:cs="Arial"/>
        </w:rPr>
        <w:t xml:space="preserve"> their motion, the </w:t>
      </w:r>
      <w:r w:rsidR="00D37721" w:rsidRPr="00C563C4">
        <w:rPr>
          <w:rFonts w:ascii="Arial" w:hAnsi="Arial" w:cs="Arial"/>
        </w:rPr>
        <w:t>Joint Movants</w:t>
      </w:r>
      <w:r w:rsidRPr="00C563C4">
        <w:rPr>
          <w:rFonts w:ascii="Arial" w:hAnsi="Arial" w:cs="Arial"/>
        </w:rPr>
        <w:t xml:space="preserve"> have demonstrated that there is a strong likelihood that </w:t>
      </w:r>
      <w:r w:rsidR="00D37721" w:rsidRPr="00C563C4">
        <w:rPr>
          <w:rFonts w:ascii="Arial" w:hAnsi="Arial" w:cs="Arial"/>
        </w:rPr>
        <w:t>they</w:t>
      </w:r>
      <w:r w:rsidRPr="00C563C4">
        <w:rPr>
          <w:rFonts w:ascii="Arial" w:hAnsi="Arial" w:cs="Arial"/>
        </w:rPr>
        <w:t xml:space="preserve"> will prevail in their appeal of the Commission’s order authorizing the SSR,</w:t>
      </w:r>
      <w:r w:rsidRPr="00C563C4">
        <w:rPr>
          <w:rStyle w:val="FootnoteReference"/>
          <w:rFonts w:ascii="Arial" w:hAnsi="Arial" w:cs="Arial"/>
        </w:rPr>
        <w:footnoteReference w:id="33"/>
      </w:r>
      <w:r w:rsidRPr="00C563C4">
        <w:rPr>
          <w:rFonts w:ascii="Arial" w:hAnsi="Arial" w:cs="Arial"/>
        </w:rPr>
        <w:t xml:space="preserve"> that the customers of DP&amp;L will be irreparably harmed if the Commission does not grant the stay,</w:t>
      </w:r>
      <w:r w:rsidRPr="00C563C4">
        <w:rPr>
          <w:rStyle w:val="FootnoteReference"/>
          <w:rFonts w:ascii="Arial" w:hAnsi="Arial" w:cs="Arial"/>
        </w:rPr>
        <w:footnoteReference w:id="34"/>
      </w:r>
      <w:r w:rsidRPr="00C563C4">
        <w:rPr>
          <w:rFonts w:ascii="Arial" w:hAnsi="Arial" w:cs="Arial"/>
        </w:rPr>
        <w:t xml:space="preserve"> that DP&amp;L will not be harmed by a stay of the Commission</w:t>
      </w:r>
      <w:r w:rsidR="00D37721" w:rsidRPr="00C563C4">
        <w:rPr>
          <w:rFonts w:ascii="Arial" w:hAnsi="Arial" w:cs="Arial"/>
        </w:rPr>
        <w:t>’</w:t>
      </w:r>
      <w:r w:rsidRPr="00C563C4">
        <w:rPr>
          <w:rFonts w:ascii="Arial" w:hAnsi="Arial" w:cs="Arial"/>
        </w:rPr>
        <w:t>s unlawful order or that DP&amp;L’s interests can be adequately protected,</w:t>
      </w:r>
      <w:r w:rsidRPr="00C563C4">
        <w:rPr>
          <w:rStyle w:val="FootnoteReference"/>
          <w:rFonts w:ascii="Arial" w:hAnsi="Arial" w:cs="Arial"/>
        </w:rPr>
        <w:footnoteReference w:id="35"/>
      </w:r>
      <w:r w:rsidRPr="00C563C4">
        <w:rPr>
          <w:rFonts w:ascii="Arial" w:hAnsi="Arial" w:cs="Arial"/>
        </w:rPr>
        <w:t xml:space="preserve"> and that considerations of where the public interest lies justify a stay of the authorization of the SSR.</w:t>
      </w:r>
      <w:r w:rsidRPr="00C563C4">
        <w:rPr>
          <w:rStyle w:val="FootnoteReference"/>
          <w:rFonts w:ascii="Arial" w:hAnsi="Arial" w:cs="Arial"/>
        </w:rPr>
        <w:footnoteReference w:id="36"/>
      </w:r>
      <w:r w:rsidRPr="00C563C4">
        <w:rPr>
          <w:rFonts w:ascii="Arial" w:hAnsi="Arial" w:cs="Arial"/>
        </w:rPr>
        <w:t xml:space="preserve">  In response, DP&amp;L states that the Commission should not grant the stay for two reasons.  First, it asserts that the Commission </w:t>
      </w:r>
      <w:r w:rsidR="00615930">
        <w:rPr>
          <w:rFonts w:ascii="Arial" w:hAnsi="Arial" w:cs="Arial"/>
        </w:rPr>
        <w:t>should</w:t>
      </w:r>
      <w:r w:rsidR="00615930" w:rsidRPr="00C563C4">
        <w:rPr>
          <w:rFonts w:ascii="Arial" w:hAnsi="Arial" w:cs="Arial"/>
        </w:rPr>
        <w:t xml:space="preserve"> </w:t>
      </w:r>
      <w:r w:rsidRPr="00C563C4">
        <w:rPr>
          <w:rFonts w:ascii="Arial" w:hAnsi="Arial" w:cs="Arial"/>
        </w:rPr>
        <w:t>uphold its order.  Second, it claims that it would be irreparably harmed and that customers will suffer from reduced services.  Neither claim has merit.</w:t>
      </w:r>
    </w:p>
    <w:p w:rsidR="006726A1" w:rsidRPr="00C563C4" w:rsidRDefault="00E47438" w:rsidP="006726A1">
      <w:pPr>
        <w:rPr>
          <w:rFonts w:ascii="Arial" w:hAnsi="Arial" w:cs="Arial"/>
        </w:rPr>
      </w:pPr>
      <w:r w:rsidRPr="00C563C4">
        <w:rPr>
          <w:rFonts w:ascii="Arial" w:hAnsi="Arial" w:cs="Arial"/>
        </w:rPr>
        <w:lastRenderedPageBreak/>
        <w:tab/>
        <w:t xml:space="preserve">Initially, DP&amp;L </w:t>
      </w:r>
      <w:r w:rsidR="00373D82" w:rsidRPr="00C563C4">
        <w:rPr>
          <w:rFonts w:ascii="Arial" w:hAnsi="Arial" w:cs="Arial"/>
        </w:rPr>
        <w:t>argues</w:t>
      </w:r>
      <w:r w:rsidRPr="00C563C4">
        <w:rPr>
          <w:rFonts w:ascii="Arial" w:hAnsi="Arial" w:cs="Arial"/>
        </w:rPr>
        <w:t xml:space="preserve"> that the Commission should deny the </w:t>
      </w:r>
      <w:r w:rsidR="009748F1">
        <w:rPr>
          <w:rFonts w:ascii="Arial" w:hAnsi="Arial" w:cs="Arial"/>
        </w:rPr>
        <w:t>M</w:t>
      </w:r>
      <w:r w:rsidR="009748F1" w:rsidRPr="00C563C4">
        <w:rPr>
          <w:rFonts w:ascii="Arial" w:hAnsi="Arial" w:cs="Arial"/>
        </w:rPr>
        <w:t xml:space="preserve">otion </w:t>
      </w:r>
      <w:r w:rsidRPr="00C563C4">
        <w:rPr>
          <w:rFonts w:ascii="Arial" w:hAnsi="Arial" w:cs="Arial"/>
        </w:rPr>
        <w:t xml:space="preserve">to </w:t>
      </w:r>
      <w:r w:rsidR="009748F1">
        <w:rPr>
          <w:rFonts w:ascii="Arial" w:hAnsi="Arial" w:cs="Arial"/>
        </w:rPr>
        <w:t>S</w:t>
      </w:r>
      <w:r w:rsidR="009748F1" w:rsidRPr="00C563C4">
        <w:rPr>
          <w:rFonts w:ascii="Arial" w:hAnsi="Arial" w:cs="Arial"/>
        </w:rPr>
        <w:t xml:space="preserve">tay </w:t>
      </w:r>
      <w:r w:rsidRPr="00C563C4">
        <w:rPr>
          <w:rFonts w:ascii="Arial" w:hAnsi="Arial" w:cs="Arial"/>
        </w:rPr>
        <w:t>because the Commission has previously rejected challenges to the SSR.</w:t>
      </w:r>
      <w:r w:rsidRPr="00C563C4">
        <w:rPr>
          <w:rStyle w:val="FootnoteReference"/>
          <w:rFonts w:ascii="Arial" w:hAnsi="Arial" w:cs="Arial"/>
        </w:rPr>
        <w:footnoteReference w:id="37"/>
      </w:r>
      <w:r w:rsidRPr="00C563C4">
        <w:rPr>
          <w:rFonts w:ascii="Arial" w:hAnsi="Arial" w:cs="Arial"/>
        </w:rPr>
        <w:t xml:space="preserve">  </w:t>
      </w:r>
      <w:r w:rsidR="00D6668D" w:rsidRPr="00C563C4">
        <w:rPr>
          <w:rFonts w:ascii="Arial" w:hAnsi="Arial" w:cs="Arial"/>
        </w:rPr>
        <w:t xml:space="preserve">The fact that the Commission has already ruled against the Joint Movants, however, cannot be controlling.  </w:t>
      </w:r>
      <w:r w:rsidRPr="00C563C4">
        <w:rPr>
          <w:rFonts w:ascii="Arial" w:hAnsi="Arial" w:cs="Arial"/>
        </w:rPr>
        <w:t xml:space="preserve">In </w:t>
      </w:r>
      <w:r w:rsidR="00D6668D" w:rsidRPr="00C563C4">
        <w:rPr>
          <w:rFonts w:ascii="Arial" w:hAnsi="Arial" w:cs="Arial"/>
        </w:rPr>
        <w:t>each</w:t>
      </w:r>
      <w:r w:rsidRPr="00C563C4">
        <w:rPr>
          <w:rFonts w:ascii="Arial" w:hAnsi="Arial" w:cs="Arial"/>
        </w:rPr>
        <w:t xml:space="preserve"> instance in whi</w:t>
      </w:r>
      <w:r w:rsidR="00D6668D" w:rsidRPr="00C563C4">
        <w:rPr>
          <w:rFonts w:ascii="Arial" w:hAnsi="Arial" w:cs="Arial"/>
        </w:rPr>
        <w:t>ch a party seeks a stay from the Commission</w:t>
      </w:r>
      <w:r w:rsidRPr="00C563C4">
        <w:rPr>
          <w:rFonts w:ascii="Arial" w:hAnsi="Arial" w:cs="Arial"/>
        </w:rPr>
        <w:t xml:space="preserve">, the </w:t>
      </w:r>
      <w:r w:rsidR="000122E0" w:rsidRPr="00C563C4">
        <w:rPr>
          <w:rFonts w:ascii="Arial" w:hAnsi="Arial" w:cs="Arial"/>
        </w:rPr>
        <w:t>Commission</w:t>
      </w:r>
      <w:r w:rsidRPr="00C563C4">
        <w:rPr>
          <w:rFonts w:ascii="Arial" w:hAnsi="Arial" w:cs="Arial"/>
        </w:rPr>
        <w:t xml:space="preserve"> </w:t>
      </w:r>
      <w:r w:rsidR="00D6668D" w:rsidRPr="00C563C4">
        <w:rPr>
          <w:rFonts w:ascii="Arial" w:hAnsi="Arial" w:cs="Arial"/>
        </w:rPr>
        <w:t xml:space="preserve">initially </w:t>
      </w:r>
      <w:r w:rsidRPr="00C563C4">
        <w:rPr>
          <w:rFonts w:ascii="Arial" w:hAnsi="Arial" w:cs="Arial"/>
        </w:rPr>
        <w:t xml:space="preserve">has ruled </w:t>
      </w:r>
      <w:r w:rsidR="00D6668D" w:rsidRPr="00C563C4">
        <w:rPr>
          <w:rFonts w:ascii="Arial" w:hAnsi="Arial" w:cs="Arial"/>
        </w:rPr>
        <w:t>in a way that is or has become adverse to the moving party</w:t>
      </w:r>
      <w:r w:rsidR="00843650">
        <w:rPr>
          <w:rFonts w:ascii="Arial" w:hAnsi="Arial" w:cs="Arial"/>
        </w:rPr>
        <w:t xml:space="preserve">.  </w:t>
      </w:r>
      <w:r w:rsidR="00E86298">
        <w:rPr>
          <w:rFonts w:ascii="Arial" w:hAnsi="Arial" w:cs="Arial"/>
        </w:rPr>
        <w:t>T</w:t>
      </w:r>
      <w:r w:rsidR="00D6668D" w:rsidRPr="00C563C4">
        <w:rPr>
          <w:rFonts w:ascii="Arial" w:hAnsi="Arial" w:cs="Arial"/>
        </w:rPr>
        <w:t xml:space="preserve">he </w:t>
      </w:r>
      <w:r w:rsidR="00E86298">
        <w:rPr>
          <w:rFonts w:ascii="Arial" w:hAnsi="Arial" w:cs="Arial"/>
        </w:rPr>
        <w:t>moving party</w:t>
      </w:r>
      <w:r w:rsidR="00E86298" w:rsidRPr="00C563C4">
        <w:rPr>
          <w:rFonts w:ascii="Arial" w:hAnsi="Arial" w:cs="Arial"/>
        </w:rPr>
        <w:t xml:space="preserve"> </w:t>
      </w:r>
      <w:r w:rsidR="00E86298">
        <w:rPr>
          <w:rFonts w:ascii="Arial" w:hAnsi="Arial" w:cs="Arial"/>
        </w:rPr>
        <w:t xml:space="preserve">then </w:t>
      </w:r>
      <w:r w:rsidR="00D6668D" w:rsidRPr="00C563C4">
        <w:rPr>
          <w:rFonts w:ascii="Arial" w:hAnsi="Arial" w:cs="Arial"/>
        </w:rPr>
        <w:t xml:space="preserve">seeks </w:t>
      </w:r>
      <w:r w:rsidR="00E86298">
        <w:rPr>
          <w:rFonts w:ascii="Arial" w:hAnsi="Arial" w:cs="Arial"/>
        </w:rPr>
        <w:t>to suspend</w:t>
      </w:r>
      <w:r w:rsidR="00E86298" w:rsidRPr="00C563C4">
        <w:rPr>
          <w:rFonts w:ascii="Arial" w:hAnsi="Arial" w:cs="Arial"/>
        </w:rPr>
        <w:t xml:space="preserve"> </w:t>
      </w:r>
      <w:r w:rsidR="00D6668D" w:rsidRPr="00C563C4">
        <w:rPr>
          <w:rFonts w:ascii="Arial" w:hAnsi="Arial" w:cs="Arial"/>
        </w:rPr>
        <w:t>the implementation of the order because of either intervening circumstances or the adverse consequences that enforcement would cause, particularly when it is apparent that the initial ruling was unlawful.</w:t>
      </w:r>
      <w:r w:rsidR="00D6668D" w:rsidRPr="00C563C4">
        <w:rPr>
          <w:rStyle w:val="FootnoteReference"/>
          <w:rFonts w:ascii="Arial" w:hAnsi="Arial" w:cs="Arial"/>
        </w:rPr>
        <w:footnoteReference w:id="38"/>
      </w:r>
      <w:r w:rsidR="00D37721" w:rsidRPr="00C563C4">
        <w:rPr>
          <w:rFonts w:ascii="Arial" w:hAnsi="Arial" w:cs="Arial"/>
        </w:rPr>
        <w:t xml:space="preserve">  Under the standard</w:t>
      </w:r>
      <w:r w:rsidRPr="00C563C4">
        <w:rPr>
          <w:rFonts w:ascii="Arial" w:hAnsi="Arial" w:cs="Arial"/>
        </w:rPr>
        <w:t xml:space="preserve"> DP&amp;L would </w:t>
      </w:r>
      <w:r w:rsidR="00D37721" w:rsidRPr="00C563C4">
        <w:rPr>
          <w:rFonts w:ascii="Arial" w:hAnsi="Arial" w:cs="Arial"/>
        </w:rPr>
        <w:t xml:space="preserve">have the Commission </w:t>
      </w:r>
      <w:r w:rsidR="00E86298">
        <w:rPr>
          <w:rFonts w:ascii="Arial" w:hAnsi="Arial" w:cs="Arial"/>
        </w:rPr>
        <w:t>apply</w:t>
      </w:r>
      <w:r w:rsidRPr="00C563C4">
        <w:rPr>
          <w:rFonts w:ascii="Arial" w:hAnsi="Arial" w:cs="Arial"/>
        </w:rPr>
        <w:t>, no motion to stay would ever be successful</w:t>
      </w:r>
      <w:r w:rsidR="00E86298">
        <w:rPr>
          <w:rFonts w:ascii="Arial" w:hAnsi="Arial" w:cs="Arial"/>
        </w:rPr>
        <w:t xml:space="preserve"> since the Commission has already issued an order that is adverse to the moving party</w:t>
      </w:r>
      <w:r w:rsidRPr="00C563C4">
        <w:rPr>
          <w:rFonts w:ascii="Arial" w:hAnsi="Arial" w:cs="Arial"/>
        </w:rPr>
        <w:t>.</w:t>
      </w:r>
      <w:r w:rsidR="00D37721" w:rsidRPr="00C563C4">
        <w:rPr>
          <w:rFonts w:ascii="Arial" w:hAnsi="Arial" w:cs="Arial"/>
        </w:rPr>
        <w:t xml:space="preserve">  DP&amp;L’s claim that the Commission’s prior decision should control the outcome of the </w:t>
      </w:r>
      <w:r w:rsidR="009748F1">
        <w:rPr>
          <w:rFonts w:ascii="Arial" w:hAnsi="Arial" w:cs="Arial"/>
        </w:rPr>
        <w:t>M</w:t>
      </w:r>
      <w:r w:rsidR="009748F1" w:rsidRPr="00C563C4">
        <w:rPr>
          <w:rFonts w:ascii="Arial" w:hAnsi="Arial" w:cs="Arial"/>
        </w:rPr>
        <w:t xml:space="preserve">otion </w:t>
      </w:r>
      <w:r w:rsidR="00D37721" w:rsidRPr="00C563C4">
        <w:rPr>
          <w:rFonts w:ascii="Arial" w:hAnsi="Arial" w:cs="Arial"/>
        </w:rPr>
        <w:t xml:space="preserve">to </w:t>
      </w:r>
      <w:r w:rsidR="009748F1">
        <w:rPr>
          <w:rFonts w:ascii="Arial" w:hAnsi="Arial" w:cs="Arial"/>
        </w:rPr>
        <w:t>S</w:t>
      </w:r>
      <w:r w:rsidR="009748F1" w:rsidRPr="00C563C4">
        <w:rPr>
          <w:rFonts w:ascii="Arial" w:hAnsi="Arial" w:cs="Arial"/>
        </w:rPr>
        <w:t>tay</w:t>
      </w:r>
      <w:r w:rsidR="00D37721" w:rsidRPr="00C563C4">
        <w:rPr>
          <w:rFonts w:ascii="Arial" w:hAnsi="Arial" w:cs="Arial"/>
        </w:rPr>
        <w:t xml:space="preserve">, </w:t>
      </w:r>
      <w:r w:rsidR="00D6668D" w:rsidRPr="00C563C4">
        <w:rPr>
          <w:rFonts w:ascii="Arial" w:hAnsi="Arial" w:cs="Arial"/>
        </w:rPr>
        <w:t>thus</w:t>
      </w:r>
      <w:r w:rsidR="00D37721" w:rsidRPr="00C563C4">
        <w:rPr>
          <w:rFonts w:ascii="Arial" w:hAnsi="Arial" w:cs="Arial"/>
        </w:rPr>
        <w:t>, would lead to an absurd result</w:t>
      </w:r>
      <w:r w:rsidR="000122E0">
        <w:rPr>
          <w:rFonts w:ascii="Arial" w:hAnsi="Arial" w:cs="Arial"/>
        </w:rPr>
        <w:t>,</w:t>
      </w:r>
      <w:r w:rsidR="00D6668D" w:rsidRPr="00C563C4">
        <w:rPr>
          <w:rFonts w:ascii="Arial" w:hAnsi="Arial" w:cs="Arial"/>
        </w:rPr>
        <w:t xml:space="preserve"> and should be rejected</w:t>
      </w:r>
      <w:r w:rsidR="00D37721" w:rsidRPr="00C563C4">
        <w:rPr>
          <w:rFonts w:ascii="Arial" w:hAnsi="Arial" w:cs="Arial"/>
        </w:rPr>
        <w:t xml:space="preserve">.  </w:t>
      </w:r>
    </w:p>
    <w:p w:rsidR="00FD214B" w:rsidRPr="00C563C4" w:rsidRDefault="00E47438" w:rsidP="00951735">
      <w:pPr>
        <w:rPr>
          <w:rFonts w:ascii="Arial" w:hAnsi="Arial" w:cs="Arial"/>
        </w:rPr>
      </w:pPr>
      <w:r w:rsidRPr="00C563C4">
        <w:rPr>
          <w:rFonts w:ascii="Arial" w:hAnsi="Arial" w:cs="Arial"/>
        </w:rPr>
        <w:tab/>
        <w:t xml:space="preserve">DP&amp;L also asserts that the </w:t>
      </w:r>
      <w:r w:rsidR="00843650">
        <w:rPr>
          <w:rFonts w:ascii="Arial" w:hAnsi="Arial" w:cs="Arial"/>
        </w:rPr>
        <w:t>Joint M</w:t>
      </w:r>
      <w:r w:rsidR="00843650" w:rsidRPr="00C563C4">
        <w:rPr>
          <w:rFonts w:ascii="Arial" w:hAnsi="Arial" w:cs="Arial"/>
        </w:rPr>
        <w:t xml:space="preserve">ovants </w:t>
      </w:r>
      <w:r w:rsidRPr="00C563C4">
        <w:rPr>
          <w:rFonts w:ascii="Arial" w:hAnsi="Arial" w:cs="Arial"/>
        </w:rPr>
        <w:t xml:space="preserve">have ignored the Commission’s reliance on R.C. 4928.143(B)(2)(d) to authorize the SSR.  </w:t>
      </w:r>
      <w:r w:rsidR="00E86298">
        <w:rPr>
          <w:rFonts w:ascii="Arial" w:hAnsi="Arial" w:cs="Arial"/>
        </w:rPr>
        <w:t xml:space="preserve">DP&amp;L’s argument, however, assumes that R.C. 4928.143(B)(2)(d) can authorize a rider that another section of </w:t>
      </w:r>
      <w:r w:rsidR="00D6668D" w:rsidRPr="00C563C4">
        <w:rPr>
          <w:rFonts w:ascii="Arial" w:hAnsi="Arial" w:cs="Arial"/>
        </w:rPr>
        <w:t xml:space="preserve">Chapter 4928 </w:t>
      </w:r>
      <w:r w:rsidR="00E86298">
        <w:rPr>
          <w:rFonts w:ascii="Arial" w:hAnsi="Arial" w:cs="Arial"/>
        </w:rPr>
        <w:t>prohibits</w:t>
      </w:r>
      <w:r w:rsidR="00951735" w:rsidRPr="00C563C4">
        <w:rPr>
          <w:rFonts w:ascii="Arial" w:hAnsi="Arial" w:cs="Arial"/>
        </w:rPr>
        <w:t xml:space="preserve">.  </w:t>
      </w:r>
      <w:r w:rsidR="00E86298">
        <w:rPr>
          <w:rFonts w:ascii="Arial" w:hAnsi="Arial" w:cs="Arial"/>
        </w:rPr>
        <w:t>In particular,</w:t>
      </w:r>
      <w:r w:rsidR="00D6668D" w:rsidRPr="00C563C4">
        <w:rPr>
          <w:rFonts w:ascii="Arial" w:hAnsi="Arial" w:cs="Arial"/>
        </w:rPr>
        <w:t xml:space="preserve"> </w:t>
      </w:r>
      <w:r w:rsidR="00E86298" w:rsidRPr="00C563C4">
        <w:rPr>
          <w:rFonts w:ascii="Arial" w:hAnsi="Arial" w:cs="Arial"/>
        </w:rPr>
        <w:t>R.C. 4928.02(H)</w:t>
      </w:r>
      <w:r w:rsidR="00E86298">
        <w:rPr>
          <w:rFonts w:ascii="Arial" w:hAnsi="Arial" w:cs="Arial"/>
        </w:rPr>
        <w:t xml:space="preserve"> </w:t>
      </w:r>
      <w:r w:rsidR="00D6668D" w:rsidRPr="00C563C4">
        <w:rPr>
          <w:rFonts w:ascii="Arial" w:hAnsi="Arial" w:cs="Arial"/>
        </w:rPr>
        <w:t xml:space="preserve">prohibits anticompetitive subsidies and the recovery of generation-related costs through distribution or transmission rates.  </w:t>
      </w:r>
      <w:r w:rsidR="00951735" w:rsidRPr="00C563C4">
        <w:rPr>
          <w:rFonts w:ascii="Arial" w:hAnsi="Arial" w:cs="Arial"/>
        </w:rPr>
        <w:t xml:space="preserve">In </w:t>
      </w:r>
      <w:r w:rsidR="00851780" w:rsidRPr="00C563C4">
        <w:rPr>
          <w:rFonts w:ascii="Arial" w:hAnsi="Arial" w:cs="Arial"/>
        </w:rPr>
        <w:t>the</w:t>
      </w:r>
      <w:r w:rsidR="00951735" w:rsidRPr="00C563C4">
        <w:rPr>
          <w:rFonts w:ascii="Arial" w:hAnsi="Arial" w:cs="Arial"/>
        </w:rPr>
        <w:t xml:space="preserve"> </w:t>
      </w:r>
      <w:r w:rsidR="00951735" w:rsidRPr="00C563C4">
        <w:rPr>
          <w:rFonts w:ascii="Arial" w:hAnsi="Arial" w:cs="Arial"/>
          <w:i/>
        </w:rPr>
        <w:t>Sporn</w:t>
      </w:r>
      <w:r w:rsidR="00951735" w:rsidRPr="00C563C4">
        <w:rPr>
          <w:rFonts w:ascii="Arial" w:hAnsi="Arial" w:cs="Arial"/>
        </w:rPr>
        <w:t xml:space="preserve"> </w:t>
      </w:r>
      <w:r w:rsidR="003C5D87" w:rsidRPr="00C563C4">
        <w:rPr>
          <w:rFonts w:ascii="Arial" w:hAnsi="Arial" w:cs="Arial"/>
        </w:rPr>
        <w:t>case</w:t>
      </w:r>
      <w:r w:rsidR="00951735" w:rsidRPr="00C563C4">
        <w:rPr>
          <w:rFonts w:ascii="Arial" w:hAnsi="Arial" w:cs="Arial"/>
        </w:rPr>
        <w:t xml:space="preserve">, the Commission held that it could not </w:t>
      </w:r>
      <w:r w:rsidR="00FD214B" w:rsidRPr="00C563C4">
        <w:rPr>
          <w:rFonts w:ascii="Arial" w:hAnsi="Arial" w:cs="Arial"/>
        </w:rPr>
        <w:t>authorize</w:t>
      </w:r>
      <w:r w:rsidR="00951735" w:rsidRPr="00C563C4">
        <w:rPr>
          <w:rFonts w:ascii="Arial" w:hAnsi="Arial" w:cs="Arial"/>
        </w:rPr>
        <w:t xml:space="preserve"> a rider to recover closure costs of a generation facility because it would violat</w:t>
      </w:r>
      <w:r w:rsidR="00D244ED">
        <w:rPr>
          <w:rFonts w:ascii="Arial" w:hAnsi="Arial" w:cs="Arial"/>
        </w:rPr>
        <w:t xml:space="preserve">e the </w:t>
      </w:r>
      <w:r w:rsidR="00D244ED">
        <w:rPr>
          <w:rFonts w:ascii="Arial" w:hAnsi="Arial" w:cs="Arial"/>
        </w:rPr>
        <w:lastRenderedPageBreak/>
        <w:t>prohibition of generation-</w:t>
      </w:r>
      <w:r w:rsidR="00951735" w:rsidRPr="00C563C4">
        <w:rPr>
          <w:rFonts w:ascii="Arial" w:hAnsi="Arial" w:cs="Arial"/>
        </w:rPr>
        <w:t>related subsidies in R.C. 4928.02(H).</w:t>
      </w:r>
      <w:r w:rsidR="00951735" w:rsidRPr="00C563C4">
        <w:rPr>
          <w:rFonts w:ascii="Arial" w:hAnsi="Arial" w:cs="Arial"/>
          <w:vertAlign w:val="superscript"/>
        </w:rPr>
        <w:footnoteReference w:id="39"/>
      </w:r>
      <w:r w:rsidR="00951735" w:rsidRPr="00C563C4">
        <w:rPr>
          <w:rFonts w:ascii="Arial" w:hAnsi="Arial" w:cs="Arial"/>
        </w:rPr>
        <w:t xml:space="preserve">  </w:t>
      </w:r>
      <w:r w:rsidR="003D7518" w:rsidRPr="00C563C4">
        <w:rPr>
          <w:rFonts w:ascii="Arial" w:hAnsi="Arial" w:cs="Arial"/>
        </w:rPr>
        <w:t>Regardless of the scope of R.C. 4928.143(B)(2)(d) (</w:t>
      </w:r>
      <w:r w:rsidR="00E86298">
        <w:rPr>
          <w:rFonts w:ascii="Arial" w:hAnsi="Arial" w:cs="Arial"/>
        </w:rPr>
        <w:t>which</w:t>
      </w:r>
      <w:r w:rsidR="003D7518" w:rsidRPr="00C563C4">
        <w:rPr>
          <w:rFonts w:ascii="Arial" w:hAnsi="Arial" w:cs="Arial"/>
        </w:rPr>
        <w:t xml:space="preserve"> the Joint Movants in their </w:t>
      </w:r>
      <w:r w:rsidR="00D244ED">
        <w:rPr>
          <w:rFonts w:ascii="Arial" w:hAnsi="Arial" w:cs="Arial"/>
        </w:rPr>
        <w:t>prior</w:t>
      </w:r>
      <w:r w:rsidR="003D7518" w:rsidRPr="00C563C4">
        <w:rPr>
          <w:rFonts w:ascii="Arial" w:hAnsi="Arial" w:cs="Arial"/>
        </w:rPr>
        <w:t xml:space="preserve"> briefs</w:t>
      </w:r>
      <w:r w:rsidR="00E86298">
        <w:rPr>
          <w:rFonts w:ascii="Arial" w:hAnsi="Arial" w:cs="Arial"/>
        </w:rPr>
        <w:t xml:space="preserve"> demonstrate</w:t>
      </w:r>
      <w:r w:rsidR="003D7518" w:rsidRPr="00C563C4">
        <w:rPr>
          <w:rFonts w:ascii="Arial" w:hAnsi="Arial" w:cs="Arial"/>
        </w:rPr>
        <w:t xml:space="preserve"> does not authorize the SSR), the Commission cannot authorize a rider that violates R.C. 4928.02(H)</w:t>
      </w:r>
      <w:r w:rsidR="00851780" w:rsidRPr="00C563C4">
        <w:rPr>
          <w:rFonts w:ascii="Arial" w:hAnsi="Arial" w:cs="Arial"/>
        </w:rPr>
        <w:t>.</w:t>
      </w:r>
      <w:r w:rsidR="003D7518" w:rsidRPr="00C563C4">
        <w:rPr>
          <w:rStyle w:val="FootnoteReference"/>
          <w:rFonts w:ascii="Arial" w:hAnsi="Arial" w:cs="Arial"/>
        </w:rPr>
        <w:footnoteReference w:id="40"/>
      </w:r>
      <w:r w:rsidR="00851780" w:rsidRPr="00C563C4">
        <w:rPr>
          <w:rFonts w:ascii="Arial" w:hAnsi="Arial" w:cs="Arial"/>
        </w:rPr>
        <w:t xml:space="preserve">  </w:t>
      </w:r>
    </w:p>
    <w:p w:rsidR="00B00FE1" w:rsidRPr="00C563C4" w:rsidRDefault="00FD214B" w:rsidP="00B00FE1">
      <w:pPr>
        <w:ind w:firstLine="720"/>
        <w:rPr>
          <w:rFonts w:ascii="Arial" w:hAnsi="Arial" w:cs="Arial"/>
        </w:rPr>
      </w:pPr>
      <w:r w:rsidRPr="00C563C4">
        <w:rPr>
          <w:rFonts w:ascii="Arial" w:hAnsi="Arial" w:cs="Arial"/>
        </w:rPr>
        <w:t>DP&amp;L</w:t>
      </w:r>
      <w:r w:rsidR="00985B98" w:rsidRPr="00C563C4">
        <w:rPr>
          <w:rFonts w:ascii="Arial" w:hAnsi="Arial" w:cs="Arial"/>
        </w:rPr>
        <w:t>’s</w:t>
      </w:r>
      <w:r w:rsidRPr="00C563C4">
        <w:rPr>
          <w:rFonts w:ascii="Arial" w:hAnsi="Arial" w:cs="Arial"/>
        </w:rPr>
        <w:t xml:space="preserve"> </w:t>
      </w:r>
      <w:r w:rsidR="00851780" w:rsidRPr="00C563C4">
        <w:rPr>
          <w:rFonts w:ascii="Arial" w:hAnsi="Arial" w:cs="Arial"/>
        </w:rPr>
        <w:t xml:space="preserve">reliance on R.C. 4928.143(B)(2)(d) </w:t>
      </w:r>
      <w:r w:rsidRPr="00C563C4">
        <w:rPr>
          <w:rFonts w:ascii="Arial" w:hAnsi="Arial" w:cs="Arial"/>
        </w:rPr>
        <w:t>also assumes that the Commission</w:t>
      </w:r>
      <w:r w:rsidR="00DC0F29" w:rsidRPr="00C563C4">
        <w:rPr>
          <w:rFonts w:ascii="Arial" w:hAnsi="Arial" w:cs="Arial"/>
        </w:rPr>
        <w:t xml:space="preserve"> </w:t>
      </w:r>
      <w:r w:rsidR="00985B98" w:rsidRPr="00C563C4">
        <w:rPr>
          <w:rFonts w:ascii="Arial" w:hAnsi="Arial" w:cs="Arial"/>
        </w:rPr>
        <w:t xml:space="preserve">may </w:t>
      </w:r>
      <w:r w:rsidR="00DC0F29" w:rsidRPr="00C563C4">
        <w:rPr>
          <w:rFonts w:ascii="Arial" w:hAnsi="Arial" w:cs="Arial"/>
        </w:rPr>
        <w:t xml:space="preserve">authorize the collection of transition revenue </w:t>
      </w:r>
      <w:r w:rsidR="00373D82" w:rsidRPr="00C563C4">
        <w:rPr>
          <w:rFonts w:ascii="Arial" w:hAnsi="Arial" w:cs="Arial"/>
        </w:rPr>
        <w:t xml:space="preserve">under </w:t>
      </w:r>
      <w:r w:rsidR="00851780" w:rsidRPr="00C563C4">
        <w:rPr>
          <w:rFonts w:ascii="Arial" w:hAnsi="Arial" w:cs="Arial"/>
        </w:rPr>
        <w:t xml:space="preserve">that section and thereby ignore the prohibition </w:t>
      </w:r>
      <w:r w:rsidR="00985B98" w:rsidRPr="00C563C4">
        <w:rPr>
          <w:rFonts w:ascii="Arial" w:hAnsi="Arial" w:cs="Arial"/>
        </w:rPr>
        <w:t>of</w:t>
      </w:r>
      <w:r w:rsidR="00851780" w:rsidRPr="00C563C4">
        <w:rPr>
          <w:rFonts w:ascii="Arial" w:hAnsi="Arial" w:cs="Arial"/>
        </w:rPr>
        <w:t xml:space="preserve"> the authorization of transition revenue </w:t>
      </w:r>
      <w:r w:rsidR="00C138FF">
        <w:rPr>
          <w:rFonts w:ascii="Arial" w:hAnsi="Arial" w:cs="Arial"/>
        </w:rPr>
        <w:t>or its equivalent</w:t>
      </w:r>
      <w:r w:rsidR="00DC0F29" w:rsidRPr="00C563C4">
        <w:rPr>
          <w:rFonts w:ascii="Arial" w:hAnsi="Arial" w:cs="Arial"/>
        </w:rPr>
        <w:t xml:space="preserve">.  R.C. 4928.38, however, provides that the Commission “shall not authorize the receipt of transition revenues or any equivalent revenues by an electric utility except as expressly authorized in section 4928.31 to 4928.40 of the Revised Code.”  </w:t>
      </w:r>
      <w:r w:rsidR="00985B98" w:rsidRPr="00C563C4">
        <w:rPr>
          <w:rFonts w:ascii="Arial" w:hAnsi="Arial" w:cs="Arial"/>
        </w:rPr>
        <w:t>Under R.C. 4928.40, t</w:t>
      </w:r>
      <w:r w:rsidR="00DC0F29" w:rsidRPr="00C563C4">
        <w:rPr>
          <w:rFonts w:ascii="Arial" w:hAnsi="Arial" w:cs="Arial"/>
        </w:rPr>
        <w:t>he Commission’s authority to authorize any transition revenue ended no later than December 31, 2010.</w:t>
      </w:r>
      <w:r w:rsidR="00DC0F29" w:rsidRPr="00C563C4">
        <w:rPr>
          <w:rStyle w:val="FootnoteReference"/>
          <w:rFonts w:ascii="Arial" w:hAnsi="Arial" w:cs="Arial"/>
        </w:rPr>
        <w:footnoteReference w:id="41"/>
      </w:r>
      <w:r w:rsidR="00DC0F29" w:rsidRPr="00C563C4">
        <w:rPr>
          <w:rFonts w:ascii="Arial" w:hAnsi="Arial" w:cs="Arial"/>
        </w:rPr>
        <w:t xml:space="preserve">  </w:t>
      </w:r>
      <w:r w:rsidR="00373D82" w:rsidRPr="00C563C4">
        <w:rPr>
          <w:rFonts w:ascii="Arial" w:hAnsi="Arial" w:cs="Arial"/>
        </w:rPr>
        <w:t>Additionally</w:t>
      </w:r>
      <w:r w:rsidR="00DC0F29" w:rsidRPr="00C563C4">
        <w:rPr>
          <w:rFonts w:ascii="Arial" w:hAnsi="Arial" w:cs="Arial"/>
        </w:rPr>
        <w:t xml:space="preserve">, </w:t>
      </w:r>
      <w:r w:rsidR="00D244ED">
        <w:rPr>
          <w:rFonts w:ascii="Arial" w:hAnsi="Arial" w:cs="Arial"/>
        </w:rPr>
        <w:t>R.C. 4928.141 provides</w:t>
      </w:r>
      <w:r w:rsidR="00B00FE1" w:rsidRPr="00C563C4">
        <w:rPr>
          <w:rFonts w:ascii="Arial" w:hAnsi="Arial" w:cs="Arial"/>
        </w:rPr>
        <w:t xml:space="preserve"> </w:t>
      </w:r>
      <w:r w:rsidR="00951735" w:rsidRPr="00C563C4">
        <w:rPr>
          <w:rFonts w:ascii="Arial" w:hAnsi="Arial" w:cs="Arial"/>
        </w:rPr>
        <w:t xml:space="preserve">that the recovery of transition revenue ended “on and after the date </w:t>
      </w:r>
      <w:r w:rsidR="00DC0F29" w:rsidRPr="00C563C4">
        <w:rPr>
          <w:rFonts w:ascii="Arial" w:hAnsi="Arial" w:cs="Arial"/>
        </w:rPr>
        <w:t>that</w:t>
      </w:r>
      <w:r w:rsidR="00951735" w:rsidRPr="00C563C4">
        <w:rPr>
          <w:rFonts w:ascii="Arial" w:hAnsi="Arial" w:cs="Arial"/>
        </w:rPr>
        <w:t xml:space="preserve"> the </w:t>
      </w:r>
      <w:r w:rsidR="00DC0F29" w:rsidRPr="00C563C4">
        <w:rPr>
          <w:rFonts w:ascii="Arial" w:hAnsi="Arial" w:cs="Arial"/>
        </w:rPr>
        <w:t>allowance</w:t>
      </w:r>
      <w:r w:rsidR="00951735" w:rsidRPr="00C563C4">
        <w:rPr>
          <w:rFonts w:ascii="Arial" w:hAnsi="Arial" w:cs="Arial"/>
        </w:rPr>
        <w:t xml:space="preserve"> is scheduled to end under the utility’s plan.”  </w:t>
      </w:r>
      <w:r w:rsidR="00B00FE1" w:rsidRPr="00C563C4">
        <w:rPr>
          <w:rFonts w:ascii="Arial" w:hAnsi="Arial" w:cs="Arial"/>
        </w:rPr>
        <w:t xml:space="preserve">Based on the plain language of R.C. 4928.38 and R.C. 4928.141(A), there is no </w:t>
      </w:r>
      <w:r w:rsidR="003E1CE1" w:rsidRPr="00C563C4">
        <w:rPr>
          <w:rFonts w:ascii="Arial" w:hAnsi="Arial" w:cs="Arial"/>
        </w:rPr>
        <w:t>lawful basis for the Commission to authorize additional transition revenue or its equivalent under</w:t>
      </w:r>
      <w:r w:rsidR="00B00FE1" w:rsidRPr="00C563C4">
        <w:rPr>
          <w:rFonts w:ascii="Arial" w:hAnsi="Arial" w:cs="Arial"/>
        </w:rPr>
        <w:t xml:space="preserve"> R.C. 4928.143(B)(2)(d).</w:t>
      </w:r>
    </w:p>
    <w:p w:rsidR="00B00FE1" w:rsidRPr="00C563C4" w:rsidRDefault="00B00FE1" w:rsidP="00B00FE1">
      <w:pPr>
        <w:ind w:firstLine="720"/>
        <w:rPr>
          <w:rFonts w:ascii="Arial" w:hAnsi="Arial" w:cs="Arial"/>
        </w:rPr>
      </w:pPr>
      <w:r w:rsidRPr="00C563C4">
        <w:rPr>
          <w:rFonts w:ascii="Arial" w:hAnsi="Arial" w:cs="Arial"/>
        </w:rPr>
        <w:t>Yet, the Commission ha</w:t>
      </w:r>
      <w:r w:rsidR="00C138FF">
        <w:rPr>
          <w:rFonts w:ascii="Arial" w:hAnsi="Arial" w:cs="Arial"/>
        </w:rPr>
        <w:t>s</w:t>
      </w:r>
      <w:r w:rsidRPr="00C563C4">
        <w:rPr>
          <w:rFonts w:ascii="Arial" w:hAnsi="Arial" w:cs="Arial"/>
        </w:rPr>
        <w:t xml:space="preserve"> in the ESP order authorized transition</w:t>
      </w:r>
      <w:r w:rsidR="003C5D87" w:rsidRPr="00C563C4">
        <w:rPr>
          <w:rFonts w:ascii="Arial" w:hAnsi="Arial" w:cs="Arial"/>
        </w:rPr>
        <w:t xml:space="preserve"> </w:t>
      </w:r>
      <w:r w:rsidRPr="00C563C4">
        <w:rPr>
          <w:rFonts w:ascii="Arial" w:hAnsi="Arial" w:cs="Arial"/>
        </w:rPr>
        <w:t>revenue or its equivalent.  As the Commission’s Opinion and Order demonstrate</w:t>
      </w:r>
      <w:r w:rsidR="00C138FF">
        <w:rPr>
          <w:rFonts w:ascii="Arial" w:hAnsi="Arial" w:cs="Arial"/>
        </w:rPr>
        <w:t>s</w:t>
      </w:r>
      <w:r w:rsidRPr="00C563C4">
        <w:rPr>
          <w:rFonts w:ascii="Arial" w:hAnsi="Arial" w:cs="Arial"/>
        </w:rPr>
        <w:t xml:space="preserve">, </w:t>
      </w:r>
      <w:r w:rsidR="00851780" w:rsidRPr="00C563C4">
        <w:rPr>
          <w:rFonts w:ascii="Arial" w:hAnsi="Arial" w:cs="Arial"/>
        </w:rPr>
        <w:t xml:space="preserve">DP&amp;L identified the </w:t>
      </w:r>
      <w:r w:rsidR="00851780" w:rsidRPr="00C563C4">
        <w:rPr>
          <w:rFonts w:ascii="Arial" w:hAnsi="Arial" w:cs="Arial"/>
        </w:rPr>
        <w:lastRenderedPageBreak/>
        <w:t xml:space="preserve">source of its revenue problem: its revenue is </w:t>
      </w:r>
      <w:r w:rsidR="00C138FF">
        <w:rPr>
          <w:rFonts w:ascii="Arial" w:hAnsi="Arial" w:cs="Arial"/>
        </w:rPr>
        <w:t>projected to decline</w:t>
      </w:r>
      <w:r w:rsidR="00C138FF" w:rsidRPr="00C563C4">
        <w:rPr>
          <w:rFonts w:ascii="Arial" w:hAnsi="Arial" w:cs="Arial"/>
        </w:rPr>
        <w:t xml:space="preserve"> </w:t>
      </w:r>
      <w:r w:rsidR="00851780" w:rsidRPr="00C563C4">
        <w:rPr>
          <w:rFonts w:ascii="Arial" w:hAnsi="Arial" w:cs="Arial"/>
        </w:rPr>
        <w:t>due to low wholesale energy prices and customer migration.</w:t>
      </w:r>
      <w:r w:rsidR="00985B98" w:rsidRPr="00C563C4">
        <w:rPr>
          <w:rStyle w:val="FootnoteReference"/>
          <w:rFonts w:ascii="Arial" w:hAnsi="Arial" w:cs="Arial"/>
        </w:rPr>
        <w:footnoteReference w:id="42"/>
      </w:r>
      <w:r w:rsidR="00851780" w:rsidRPr="00C563C4">
        <w:rPr>
          <w:rFonts w:ascii="Arial" w:hAnsi="Arial" w:cs="Arial"/>
        </w:rPr>
        <w:t xml:space="preserve">  </w:t>
      </w:r>
      <w:r w:rsidR="002B7481" w:rsidRPr="00C563C4">
        <w:rPr>
          <w:rFonts w:ascii="Arial" w:hAnsi="Arial" w:cs="Arial"/>
        </w:rPr>
        <w:t>In finding that the charge is related to default service, the Commission has also determined that the charge relates to a generation service.</w:t>
      </w:r>
      <w:r w:rsidR="002B7481" w:rsidRPr="00C563C4">
        <w:rPr>
          <w:rStyle w:val="FootnoteReference"/>
          <w:rFonts w:ascii="Arial" w:hAnsi="Arial" w:cs="Arial"/>
        </w:rPr>
        <w:footnoteReference w:id="43"/>
      </w:r>
      <w:r w:rsidR="002B7481" w:rsidRPr="00C563C4">
        <w:rPr>
          <w:rFonts w:ascii="Arial" w:hAnsi="Arial" w:cs="Arial"/>
        </w:rPr>
        <w:t xml:space="preserve">  </w:t>
      </w:r>
      <w:r w:rsidR="003C5D87" w:rsidRPr="00C563C4">
        <w:rPr>
          <w:rFonts w:ascii="Arial" w:hAnsi="Arial" w:cs="Arial"/>
        </w:rPr>
        <w:t>The</w:t>
      </w:r>
      <w:r w:rsidR="00851780" w:rsidRPr="00C563C4">
        <w:rPr>
          <w:rFonts w:ascii="Arial" w:hAnsi="Arial" w:cs="Arial"/>
        </w:rPr>
        <w:t xml:space="preserve"> rider </w:t>
      </w:r>
      <w:r w:rsidR="003D7518" w:rsidRPr="00C563C4">
        <w:rPr>
          <w:rFonts w:ascii="Arial" w:hAnsi="Arial" w:cs="Arial"/>
        </w:rPr>
        <w:t xml:space="preserve">authorizes </w:t>
      </w:r>
      <w:r w:rsidR="002B7481" w:rsidRPr="00C563C4">
        <w:rPr>
          <w:rFonts w:ascii="Arial" w:hAnsi="Arial" w:cs="Arial"/>
        </w:rPr>
        <w:t xml:space="preserve">increases in </w:t>
      </w:r>
      <w:r w:rsidR="00851780" w:rsidRPr="00C563C4">
        <w:rPr>
          <w:rFonts w:ascii="Arial" w:hAnsi="Arial" w:cs="Arial"/>
        </w:rPr>
        <w:t>DP&amp;L’s revenue so as to prod</w:t>
      </w:r>
      <w:r w:rsidR="002B7481" w:rsidRPr="00C563C4">
        <w:rPr>
          <w:rFonts w:ascii="Arial" w:hAnsi="Arial" w:cs="Arial"/>
        </w:rPr>
        <w:t>uce a 7-11% return on equity</w:t>
      </w:r>
      <w:r w:rsidR="002B7481" w:rsidRPr="00C563C4">
        <w:rPr>
          <w:rStyle w:val="FootnoteReference"/>
          <w:rFonts w:ascii="Arial" w:hAnsi="Arial" w:cs="Arial"/>
        </w:rPr>
        <w:footnoteReference w:id="44"/>
      </w:r>
      <w:r w:rsidR="003D7518" w:rsidRPr="00C563C4">
        <w:rPr>
          <w:rFonts w:ascii="Arial" w:hAnsi="Arial" w:cs="Arial"/>
        </w:rPr>
        <w:t xml:space="preserve"> and recovers amounts “unrecoverable in a competitive market.”</w:t>
      </w:r>
      <w:r w:rsidR="003D7518" w:rsidRPr="00C563C4">
        <w:rPr>
          <w:rStyle w:val="FootnoteReference"/>
          <w:rFonts w:ascii="Arial" w:hAnsi="Arial" w:cs="Arial"/>
        </w:rPr>
        <w:footnoteReference w:id="45"/>
      </w:r>
      <w:r w:rsidR="003D7518" w:rsidRPr="00C563C4">
        <w:rPr>
          <w:rFonts w:ascii="Arial" w:hAnsi="Arial" w:cs="Arial"/>
        </w:rPr>
        <w:t xml:space="preserve">  Thus, the SSR is permitting DP&amp;L to recover transition revenue or its equivalent</w:t>
      </w:r>
      <w:r w:rsidR="00D244ED">
        <w:rPr>
          <w:rFonts w:ascii="Arial" w:hAnsi="Arial" w:cs="Arial"/>
        </w:rPr>
        <w:t xml:space="preserve"> in violation of </w:t>
      </w:r>
      <w:r w:rsidRPr="00C563C4">
        <w:rPr>
          <w:rFonts w:ascii="Arial" w:hAnsi="Arial" w:cs="Arial"/>
        </w:rPr>
        <w:t>R.C. 4928.38.</w:t>
      </w:r>
      <w:r w:rsidR="003E1CE1" w:rsidRPr="00C563C4">
        <w:rPr>
          <w:rFonts w:ascii="Arial" w:hAnsi="Arial" w:cs="Arial"/>
        </w:rPr>
        <w:t xml:space="preserve">  </w:t>
      </w:r>
      <w:r w:rsidR="003D7518" w:rsidRPr="00C563C4">
        <w:rPr>
          <w:rFonts w:ascii="Arial" w:hAnsi="Arial" w:cs="Arial"/>
        </w:rPr>
        <w:t>Thus</w:t>
      </w:r>
      <w:r w:rsidR="003E1CE1" w:rsidRPr="00C563C4">
        <w:rPr>
          <w:rFonts w:ascii="Arial" w:hAnsi="Arial" w:cs="Arial"/>
        </w:rPr>
        <w:t xml:space="preserve">, the </w:t>
      </w:r>
      <w:r w:rsidR="003D7518" w:rsidRPr="00C563C4">
        <w:rPr>
          <w:rFonts w:ascii="Arial" w:hAnsi="Arial" w:cs="Arial"/>
        </w:rPr>
        <w:t>Motion to Stay</w:t>
      </w:r>
      <w:r w:rsidR="003E1CE1" w:rsidRPr="00C563C4">
        <w:rPr>
          <w:rFonts w:ascii="Arial" w:hAnsi="Arial" w:cs="Arial"/>
        </w:rPr>
        <w:t xml:space="preserve"> correctly states that the parties are likely </w:t>
      </w:r>
      <w:r w:rsidR="001F6BC0">
        <w:rPr>
          <w:rFonts w:ascii="Arial" w:hAnsi="Arial" w:cs="Arial"/>
        </w:rPr>
        <w:t>to</w:t>
      </w:r>
      <w:r w:rsidR="001F6BC0" w:rsidRPr="00C563C4">
        <w:rPr>
          <w:rFonts w:ascii="Arial" w:hAnsi="Arial" w:cs="Arial"/>
        </w:rPr>
        <w:t xml:space="preserve"> </w:t>
      </w:r>
      <w:r w:rsidR="003E1CE1" w:rsidRPr="00C563C4">
        <w:rPr>
          <w:rFonts w:ascii="Arial" w:hAnsi="Arial" w:cs="Arial"/>
        </w:rPr>
        <w:t>prevail in their appeal of the Commission’s order authorizing the SSR</w:t>
      </w:r>
      <w:r w:rsidR="002B7481" w:rsidRPr="00C563C4">
        <w:rPr>
          <w:rFonts w:ascii="Arial" w:hAnsi="Arial" w:cs="Arial"/>
        </w:rPr>
        <w:t xml:space="preserve"> because the Commission’s authorization of the SSR </w:t>
      </w:r>
      <w:r w:rsidR="009D5AC9">
        <w:rPr>
          <w:rFonts w:ascii="Arial" w:hAnsi="Arial" w:cs="Arial"/>
        </w:rPr>
        <w:t>authorizes DP&amp;L to bill and collect</w:t>
      </w:r>
      <w:r w:rsidR="002B7481" w:rsidRPr="00C563C4">
        <w:rPr>
          <w:rFonts w:ascii="Arial" w:hAnsi="Arial" w:cs="Arial"/>
        </w:rPr>
        <w:t xml:space="preserve"> transition revenue or its equivalent in </w:t>
      </w:r>
      <w:r w:rsidR="009D5AC9">
        <w:rPr>
          <w:rFonts w:ascii="Arial" w:hAnsi="Arial" w:cs="Arial"/>
        </w:rPr>
        <w:t xml:space="preserve">violation of </w:t>
      </w:r>
      <w:r w:rsidR="002B7481" w:rsidRPr="00C563C4">
        <w:rPr>
          <w:rFonts w:ascii="Arial" w:hAnsi="Arial" w:cs="Arial"/>
        </w:rPr>
        <w:t>R.C. 4928.38</w:t>
      </w:r>
      <w:r w:rsidR="003E1CE1" w:rsidRPr="00C563C4">
        <w:rPr>
          <w:rFonts w:ascii="Arial" w:hAnsi="Arial" w:cs="Arial"/>
        </w:rPr>
        <w:t>.</w:t>
      </w:r>
    </w:p>
    <w:p w:rsidR="00E47438" w:rsidRPr="00C563C4" w:rsidRDefault="00E47438" w:rsidP="00B00FE1">
      <w:pPr>
        <w:ind w:firstLine="720"/>
        <w:rPr>
          <w:rFonts w:ascii="Arial" w:hAnsi="Arial" w:cs="Arial"/>
        </w:rPr>
      </w:pPr>
      <w:r w:rsidRPr="00C563C4">
        <w:rPr>
          <w:rFonts w:ascii="Arial" w:hAnsi="Arial" w:cs="Arial"/>
        </w:rPr>
        <w:t xml:space="preserve">As </w:t>
      </w:r>
      <w:r w:rsidR="00D244ED">
        <w:rPr>
          <w:rFonts w:ascii="Arial" w:hAnsi="Arial" w:cs="Arial"/>
        </w:rPr>
        <w:t>a</w:t>
      </w:r>
      <w:r w:rsidRPr="00C563C4">
        <w:rPr>
          <w:rFonts w:ascii="Arial" w:hAnsi="Arial" w:cs="Arial"/>
        </w:rPr>
        <w:t xml:space="preserve"> basis for denying the motion to stay, DP&amp;L also claims that the “Joint Movants cannot show that the collection of the SSR would irreparably harm customers or be contrary to the public interest.”  </w:t>
      </w:r>
      <w:r w:rsidR="002B7481" w:rsidRPr="00C563C4">
        <w:rPr>
          <w:rFonts w:ascii="Arial" w:hAnsi="Arial" w:cs="Arial"/>
        </w:rPr>
        <w:t>First</w:t>
      </w:r>
      <w:r w:rsidRPr="00C563C4">
        <w:rPr>
          <w:rFonts w:ascii="Arial" w:hAnsi="Arial" w:cs="Arial"/>
        </w:rPr>
        <w:t xml:space="preserve">, the </w:t>
      </w:r>
      <w:r w:rsidR="00EB6E54" w:rsidRPr="00C563C4">
        <w:rPr>
          <w:rFonts w:ascii="Arial" w:hAnsi="Arial" w:cs="Arial"/>
        </w:rPr>
        <w:t>motion</w:t>
      </w:r>
      <w:r w:rsidRPr="00C563C4">
        <w:rPr>
          <w:rFonts w:ascii="Arial" w:hAnsi="Arial" w:cs="Arial"/>
        </w:rPr>
        <w:t xml:space="preserve"> shows that customers are </w:t>
      </w:r>
      <w:r w:rsidR="002B7481" w:rsidRPr="00C563C4">
        <w:rPr>
          <w:rFonts w:ascii="Arial" w:hAnsi="Arial" w:cs="Arial"/>
        </w:rPr>
        <w:t xml:space="preserve">harmed because they are </w:t>
      </w:r>
      <w:r w:rsidRPr="00C563C4">
        <w:rPr>
          <w:rFonts w:ascii="Arial" w:hAnsi="Arial" w:cs="Arial"/>
        </w:rPr>
        <w:t>paying an unlawful charge.</w:t>
      </w:r>
      <w:r w:rsidRPr="00C563C4">
        <w:rPr>
          <w:rStyle w:val="FootnoteReference"/>
          <w:rFonts w:ascii="Arial" w:hAnsi="Arial" w:cs="Arial"/>
        </w:rPr>
        <w:footnoteReference w:id="46"/>
      </w:r>
      <w:r w:rsidRPr="00C563C4">
        <w:rPr>
          <w:rFonts w:ascii="Arial" w:hAnsi="Arial" w:cs="Arial"/>
        </w:rPr>
        <w:t xml:space="preserve"> </w:t>
      </w:r>
      <w:r w:rsidR="002B7481" w:rsidRPr="00C563C4">
        <w:rPr>
          <w:rFonts w:ascii="Arial" w:hAnsi="Arial" w:cs="Arial"/>
        </w:rPr>
        <w:t xml:space="preserve"> The motion further demonstrates</w:t>
      </w:r>
      <w:r w:rsidRPr="00C563C4">
        <w:rPr>
          <w:rFonts w:ascii="Arial" w:hAnsi="Arial" w:cs="Arial"/>
        </w:rPr>
        <w:t xml:space="preserve"> that monetary harm is irreparable </w:t>
      </w:r>
      <w:r w:rsidR="002B7481" w:rsidRPr="00C563C4">
        <w:rPr>
          <w:rFonts w:ascii="Arial" w:hAnsi="Arial" w:cs="Arial"/>
        </w:rPr>
        <w:t>because</w:t>
      </w:r>
      <w:r w:rsidRPr="00C563C4">
        <w:rPr>
          <w:rFonts w:ascii="Arial" w:hAnsi="Arial" w:cs="Arial"/>
        </w:rPr>
        <w:t xml:space="preserve"> </w:t>
      </w:r>
      <w:r w:rsidR="002B7481" w:rsidRPr="00C563C4">
        <w:rPr>
          <w:rFonts w:ascii="Arial" w:hAnsi="Arial" w:cs="Arial"/>
        </w:rPr>
        <w:t>the financial harm</w:t>
      </w:r>
      <w:r w:rsidRPr="00C563C4">
        <w:rPr>
          <w:rFonts w:ascii="Arial" w:hAnsi="Arial" w:cs="Arial"/>
        </w:rPr>
        <w:t xml:space="preserve"> cannot be </w:t>
      </w:r>
      <w:r w:rsidRPr="00C563C4">
        <w:rPr>
          <w:rFonts w:ascii="Arial" w:hAnsi="Arial" w:cs="Arial"/>
        </w:rPr>
        <w:lastRenderedPageBreak/>
        <w:t>reversed by a subsequent judicial order</w:t>
      </w:r>
      <w:r w:rsidR="00385869">
        <w:rPr>
          <w:rFonts w:ascii="Arial" w:hAnsi="Arial" w:cs="Arial"/>
        </w:rPr>
        <w:t xml:space="preserve"> </w:t>
      </w:r>
      <w:r w:rsidR="00D244ED">
        <w:rPr>
          <w:rFonts w:ascii="Arial" w:hAnsi="Arial" w:cs="Arial"/>
        </w:rPr>
        <w:t>if</w:t>
      </w:r>
      <w:r w:rsidR="00385869">
        <w:rPr>
          <w:rFonts w:ascii="Arial" w:hAnsi="Arial" w:cs="Arial"/>
        </w:rPr>
        <w:t xml:space="preserve"> the Court-fashioned no-refund rule</w:t>
      </w:r>
      <w:r w:rsidR="00D244ED">
        <w:rPr>
          <w:rFonts w:ascii="Arial" w:hAnsi="Arial" w:cs="Arial"/>
        </w:rPr>
        <w:t xml:space="preserve"> is applied</w:t>
      </w:r>
      <w:r w:rsidRPr="00C563C4">
        <w:rPr>
          <w:rFonts w:ascii="Arial" w:hAnsi="Arial" w:cs="Arial"/>
        </w:rPr>
        <w:t>.</w:t>
      </w:r>
      <w:r w:rsidRPr="00C563C4">
        <w:rPr>
          <w:rStyle w:val="FootnoteReference"/>
          <w:rFonts w:ascii="Arial" w:hAnsi="Arial" w:cs="Arial"/>
        </w:rPr>
        <w:footnoteReference w:id="47"/>
      </w:r>
      <w:r w:rsidR="007202B2" w:rsidRPr="00C563C4">
        <w:rPr>
          <w:rFonts w:ascii="Arial" w:hAnsi="Arial" w:cs="Arial"/>
        </w:rPr>
        <w:t xml:space="preserve">  </w:t>
      </w:r>
    </w:p>
    <w:p w:rsidR="003C5D87" w:rsidRPr="00C563C4" w:rsidRDefault="00E47438" w:rsidP="006726A1">
      <w:pPr>
        <w:rPr>
          <w:rFonts w:ascii="Arial" w:hAnsi="Arial" w:cs="Arial"/>
        </w:rPr>
      </w:pPr>
      <w:r w:rsidRPr="00C563C4">
        <w:rPr>
          <w:rFonts w:ascii="Arial" w:hAnsi="Arial" w:cs="Arial"/>
        </w:rPr>
        <w:tab/>
      </w:r>
      <w:r w:rsidR="00A41049" w:rsidRPr="00C563C4">
        <w:rPr>
          <w:rFonts w:ascii="Arial" w:hAnsi="Arial" w:cs="Arial"/>
        </w:rPr>
        <w:t xml:space="preserve">Ignoring the fact that customers are suffering an irreparable harm, </w:t>
      </w:r>
      <w:r w:rsidRPr="00C563C4">
        <w:rPr>
          <w:rFonts w:ascii="Arial" w:hAnsi="Arial" w:cs="Arial"/>
        </w:rPr>
        <w:t xml:space="preserve">DP&amp;L instead focuses on the harm it </w:t>
      </w:r>
      <w:r w:rsidR="008B453B" w:rsidRPr="00C563C4">
        <w:rPr>
          <w:rFonts w:ascii="Arial" w:hAnsi="Arial" w:cs="Arial"/>
        </w:rPr>
        <w:t>may incu</w:t>
      </w:r>
      <w:r w:rsidR="003D7518" w:rsidRPr="00C563C4">
        <w:rPr>
          <w:rFonts w:ascii="Arial" w:hAnsi="Arial" w:cs="Arial"/>
        </w:rPr>
        <w:t>r if the Commission grants the Motion to S</w:t>
      </w:r>
      <w:r w:rsidR="008B453B" w:rsidRPr="00C563C4">
        <w:rPr>
          <w:rFonts w:ascii="Arial" w:hAnsi="Arial" w:cs="Arial"/>
        </w:rPr>
        <w:t>tay.  It again relies on the testimony that DP&amp;L needs the SSR to assure its financial integrity and quality of service.</w:t>
      </w:r>
      <w:r w:rsidR="008B453B" w:rsidRPr="00C563C4">
        <w:rPr>
          <w:rStyle w:val="FootnoteReference"/>
          <w:rFonts w:ascii="Arial" w:hAnsi="Arial" w:cs="Arial"/>
        </w:rPr>
        <w:footnoteReference w:id="48"/>
      </w:r>
      <w:r w:rsidR="008B453B" w:rsidRPr="00C563C4">
        <w:rPr>
          <w:rFonts w:ascii="Arial" w:hAnsi="Arial" w:cs="Arial"/>
        </w:rPr>
        <w:t xml:space="preserve">  DP&amp;L’s claims, however, rest on a legal assumption that the Commission may </w:t>
      </w:r>
      <w:r w:rsidR="00CC7430" w:rsidRPr="00C563C4">
        <w:rPr>
          <w:rFonts w:ascii="Arial" w:hAnsi="Arial" w:cs="Arial"/>
        </w:rPr>
        <w:t xml:space="preserve">authorize additional revenue to cover shortfalls </w:t>
      </w:r>
      <w:r w:rsidR="000122E0" w:rsidRPr="00C563C4">
        <w:rPr>
          <w:rFonts w:ascii="Arial" w:hAnsi="Arial" w:cs="Arial"/>
        </w:rPr>
        <w:t>resulting</w:t>
      </w:r>
      <w:r w:rsidR="00CC7430" w:rsidRPr="00C563C4">
        <w:rPr>
          <w:rFonts w:ascii="Arial" w:hAnsi="Arial" w:cs="Arial"/>
        </w:rPr>
        <w:t xml:space="preserve"> from low energy prices and customer migration</w:t>
      </w:r>
      <w:r w:rsidR="008B453B" w:rsidRPr="00C563C4">
        <w:rPr>
          <w:rFonts w:ascii="Arial" w:hAnsi="Arial" w:cs="Arial"/>
        </w:rPr>
        <w:t xml:space="preserve">.  As discussed above, the Commission has no authority to prop up DP&amp;L’s earnings for its generation-related business.  </w:t>
      </w:r>
      <w:r w:rsidR="00A41049" w:rsidRPr="00C563C4">
        <w:rPr>
          <w:rFonts w:ascii="Arial" w:hAnsi="Arial" w:cs="Arial"/>
        </w:rPr>
        <w:t>It cannot be harmed in a legally meaningful sense if it is not permitted to bill and collect an unlawful charge.</w:t>
      </w:r>
    </w:p>
    <w:p w:rsidR="00BC12ED" w:rsidRPr="00C563C4" w:rsidRDefault="00BC12ED" w:rsidP="006726A1">
      <w:pPr>
        <w:rPr>
          <w:rFonts w:ascii="Arial" w:hAnsi="Arial" w:cs="Arial"/>
        </w:rPr>
      </w:pPr>
      <w:r w:rsidRPr="00C563C4">
        <w:rPr>
          <w:rFonts w:ascii="Arial" w:hAnsi="Arial" w:cs="Arial"/>
        </w:rPr>
        <w:tab/>
        <w:t xml:space="preserve">Further, even if DP&amp;L were to suffer some </w:t>
      </w:r>
      <w:r w:rsidR="00D244ED">
        <w:rPr>
          <w:rFonts w:ascii="Arial" w:hAnsi="Arial" w:cs="Arial"/>
        </w:rPr>
        <w:t xml:space="preserve">legally relevant </w:t>
      </w:r>
      <w:r w:rsidRPr="00C563C4">
        <w:rPr>
          <w:rFonts w:ascii="Arial" w:hAnsi="Arial" w:cs="Arial"/>
        </w:rPr>
        <w:t xml:space="preserve">financial injury, the injury to customers is more severe.  </w:t>
      </w:r>
      <w:r w:rsidR="00D244ED">
        <w:rPr>
          <w:rFonts w:ascii="Arial" w:hAnsi="Arial" w:cs="Arial"/>
        </w:rPr>
        <w:t>The</w:t>
      </w:r>
      <w:r w:rsidRPr="00C563C4">
        <w:rPr>
          <w:rFonts w:ascii="Arial" w:hAnsi="Arial" w:cs="Arial"/>
        </w:rPr>
        <w:t xml:space="preserve"> Commission can structure the stay in such a way to make DP&amp;L whole if the Court determines that the authorization of the SSR was lawful and reasonable, as discussed below.  As between the irreparable injury that would be imposed on the customers of </w:t>
      </w:r>
      <w:r w:rsidR="00A41049" w:rsidRPr="00C563C4">
        <w:rPr>
          <w:rFonts w:ascii="Arial" w:hAnsi="Arial" w:cs="Arial"/>
        </w:rPr>
        <w:t>DP&amp;L</w:t>
      </w:r>
      <w:r w:rsidRPr="00C563C4">
        <w:rPr>
          <w:rFonts w:ascii="Arial" w:hAnsi="Arial" w:cs="Arial"/>
        </w:rPr>
        <w:t xml:space="preserve"> if </w:t>
      </w:r>
      <w:r w:rsidR="00D244ED">
        <w:rPr>
          <w:rFonts w:ascii="Arial" w:hAnsi="Arial" w:cs="Arial"/>
        </w:rPr>
        <w:t>relief</w:t>
      </w:r>
      <w:r w:rsidRPr="00C563C4">
        <w:rPr>
          <w:rFonts w:ascii="Arial" w:hAnsi="Arial" w:cs="Arial"/>
        </w:rPr>
        <w:t xml:space="preserve"> is not ordered and the delay in </w:t>
      </w:r>
      <w:r w:rsidR="009D5AC9">
        <w:rPr>
          <w:rFonts w:ascii="Arial" w:hAnsi="Arial" w:cs="Arial"/>
        </w:rPr>
        <w:lastRenderedPageBreak/>
        <w:t>collection</w:t>
      </w:r>
      <w:r w:rsidR="009D5AC9" w:rsidRPr="00C563C4">
        <w:rPr>
          <w:rFonts w:ascii="Arial" w:hAnsi="Arial" w:cs="Arial"/>
        </w:rPr>
        <w:t xml:space="preserve"> </w:t>
      </w:r>
      <w:r w:rsidRPr="00C563C4">
        <w:rPr>
          <w:rFonts w:ascii="Arial" w:hAnsi="Arial" w:cs="Arial"/>
        </w:rPr>
        <w:t xml:space="preserve">that would be </w:t>
      </w:r>
      <w:r w:rsidR="00EB6E54" w:rsidRPr="00C563C4">
        <w:rPr>
          <w:rFonts w:ascii="Arial" w:hAnsi="Arial" w:cs="Arial"/>
        </w:rPr>
        <w:t>caused</w:t>
      </w:r>
      <w:r w:rsidRPr="00C563C4">
        <w:rPr>
          <w:rFonts w:ascii="Arial" w:hAnsi="Arial" w:cs="Arial"/>
        </w:rPr>
        <w:t xml:space="preserve"> if the stay is ordered and </w:t>
      </w:r>
      <w:r w:rsidR="00EB6E54" w:rsidRPr="00C563C4">
        <w:rPr>
          <w:rFonts w:ascii="Arial" w:hAnsi="Arial" w:cs="Arial"/>
        </w:rPr>
        <w:t>DP&amp;L</w:t>
      </w:r>
      <w:r w:rsidRPr="00C563C4">
        <w:rPr>
          <w:rFonts w:ascii="Arial" w:hAnsi="Arial" w:cs="Arial"/>
        </w:rPr>
        <w:t xml:space="preserve"> ultimately prevails on the merits, the balance squarely falls in favor of granting the stay</w:t>
      </w:r>
      <w:r w:rsidR="009D5AC9">
        <w:rPr>
          <w:rFonts w:ascii="Arial" w:hAnsi="Arial" w:cs="Arial"/>
        </w:rPr>
        <w:t xml:space="preserve"> to protect customers</w:t>
      </w:r>
      <w:r w:rsidRPr="00C563C4">
        <w:rPr>
          <w:rFonts w:ascii="Arial" w:hAnsi="Arial" w:cs="Arial"/>
        </w:rPr>
        <w:t>.</w:t>
      </w:r>
      <w:r w:rsidR="00CC7430" w:rsidRPr="00C563C4">
        <w:rPr>
          <w:rStyle w:val="FootnoteReference"/>
          <w:rFonts w:ascii="Arial" w:hAnsi="Arial" w:cs="Arial"/>
        </w:rPr>
        <w:footnoteReference w:id="49"/>
      </w:r>
      <w:r w:rsidRPr="00C563C4">
        <w:rPr>
          <w:rFonts w:ascii="Arial" w:hAnsi="Arial" w:cs="Arial"/>
        </w:rPr>
        <w:t xml:space="preserve">  </w:t>
      </w:r>
    </w:p>
    <w:p w:rsidR="00EB6E54" w:rsidRPr="00C563C4" w:rsidRDefault="003C5D87" w:rsidP="003C5D87">
      <w:pPr>
        <w:ind w:firstLine="720"/>
        <w:rPr>
          <w:rFonts w:ascii="Arial" w:hAnsi="Arial" w:cs="Arial"/>
        </w:rPr>
      </w:pPr>
      <w:r w:rsidRPr="00C563C4">
        <w:rPr>
          <w:rFonts w:ascii="Arial" w:hAnsi="Arial" w:cs="Arial"/>
        </w:rPr>
        <w:t xml:space="preserve">Moreover, </w:t>
      </w:r>
      <w:r w:rsidR="00373D82" w:rsidRPr="00C563C4">
        <w:rPr>
          <w:rFonts w:ascii="Arial" w:hAnsi="Arial" w:cs="Arial"/>
        </w:rPr>
        <w:t>DP&amp;L will not suffer an irreparable injury as it claims.  “</w:t>
      </w:r>
      <w:r w:rsidR="00373D82" w:rsidRPr="00C563C4">
        <w:rPr>
          <w:rFonts w:ascii="Arial" w:hAnsi="Arial" w:cs="Arial"/>
          <w:color w:val="252525"/>
        </w:rPr>
        <w:t>An irreparable injury is one for the redress of which, after its occurrence, there could be no plain, adequate and complete remedy at law, and for which restitution in specie (money) would be impossible, difficult or incomplete.”</w:t>
      </w:r>
      <w:r w:rsidR="00373D82" w:rsidRPr="00C563C4">
        <w:rPr>
          <w:rStyle w:val="FootnoteReference"/>
          <w:rFonts w:ascii="Arial" w:hAnsi="Arial" w:cs="Arial"/>
          <w:color w:val="252525"/>
        </w:rPr>
        <w:footnoteReference w:id="50"/>
      </w:r>
      <w:r w:rsidR="00373D82" w:rsidRPr="00C563C4">
        <w:rPr>
          <w:rFonts w:ascii="Arial" w:hAnsi="Arial" w:cs="Arial"/>
          <w:color w:val="252525"/>
        </w:rPr>
        <w:t xml:space="preserve">  </w:t>
      </w:r>
      <w:r w:rsidR="00EB6E54" w:rsidRPr="00C563C4">
        <w:rPr>
          <w:rFonts w:ascii="Arial" w:hAnsi="Arial" w:cs="Arial"/>
          <w:color w:val="252525"/>
        </w:rPr>
        <w:t xml:space="preserve">DP&amp;L has alternatives to the SSR if it faces a current financial emergency.  </w:t>
      </w:r>
      <w:r w:rsidR="00EB6E54" w:rsidRPr="00C563C4">
        <w:rPr>
          <w:rFonts w:ascii="Arial" w:hAnsi="Arial" w:cs="Arial"/>
        </w:rPr>
        <w:t>For example,</w:t>
      </w:r>
      <w:r w:rsidR="008B453B" w:rsidRPr="00C563C4">
        <w:rPr>
          <w:rFonts w:ascii="Arial" w:hAnsi="Arial" w:cs="Arial"/>
        </w:rPr>
        <w:t xml:space="preserve"> DP&amp;L </w:t>
      </w:r>
      <w:r w:rsidR="00EB6E54" w:rsidRPr="00C563C4">
        <w:rPr>
          <w:rFonts w:ascii="Arial" w:hAnsi="Arial" w:cs="Arial"/>
        </w:rPr>
        <w:t>could seek relief through an emergency rate case if its distribution rates are so insufficient as to threaten its reliable and safe provision of service.</w:t>
      </w:r>
      <w:r w:rsidR="00EB6E54" w:rsidRPr="00C563C4">
        <w:rPr>
          <w:rStyle w:val="FootnoteReference"/>
          <w:rFonts w:ascii="Arial" w:hAnsi="Arial" w:cs="Arial"/>
        </w:rPr>
        <w:footnoteReference w:id="51"/>
      </w:r>
      <w:r w:rsidR="00EB6E54" w:rsidRPr="00C563C4">
        <w:rPr>
          <w:rFonts w:ascii="Arial" w:hAnsi="Arial" w:cs="Arial"/>
        </w:rPr>
        <w:t xml:space="preserve">  </w:t>
      </w:r>
      <w:r w:rsidR="00A41049" w:rsidRPr="00C563C4">
        <w:rPr>
          <w:rFonts w:ascii="Arial" w:hAnsi="Arial" w:cs="Arial"/>
        </w:rPr>
        <w:t>Alternatively</w:t>
      </w:r>
      <w:r w:rsidR="00EB6E54" w:rsidRPr="00C563C4">
        <w:rPr>
          <w:rFonts w:ascii="Arial" w:hAnsi="Arial" w:cs="Arial"/>
        </w:rPr>
        <w:t xml:space="preserve">, it </w:t>
      </w:r>
      <w:r w:rsidR="009D5AC9">
        <w:rPr>
          <w:rFonts w:ascii="Arial" w:hAnsi="Arial" w:cs="Arial"/>
        </w:rPr>
        <w:t>could</w:t>
      </w:r>
      <w:r w:rsidR="009D5AC9" w:rsidRPr="00C563C4">
        <w:rPr>
          <w:rFonts w:ascii="Arial" w:hAnsi="Arial" w:cs="Arial"/>
        </w:rPr>
        <w:t xml:space="preserve"> </w:t>
      </w:r>
      <w:r w:rsidR="008B453B" w:rsidRPr="00C563C4">
        <w:rPr>
          <w:rFonts w:ascii="Arial" w:hAnsi="Arial" w:cs="Arial"/>
        </w:rPr>
        <w:t>seek relief through a rate case</w:t>
      </w:r>
      <w:r w:rsidR="00EB6E54" w:rsidRPr="00C563C4">
        <w:rPr>
          <w:rFonts w:ascii="Arial" w:hAnsi="Arial" w:cs="Arial"/>
        </w:rPr>
        <w:t xml:space="preserve"> if its distribution rates are unjust or unreasonable.</w:t>
      </w:r>
      <w:r w:rsidR="00EB6E54" w:rsidRPr="00C563C4">
        <w:rPr>
          <w:rStyle w:val="FootnoteReference"/>
          <w:rFonts w:ascii="Arial" w:hAnsi="Arial" w:cs="Arial"/>
        </w:rPr>
        <w:footnoteReference w:id="52"/>
      </w:r>
      <w:r w:rsidR="008B453B" w:rsidRPr="00C563C4">
        <w:rPr>
          <w:rFonts w:ascii="Arial" w:hAnsi="Arial" w:cs="Arial"/>
        </w:rPr>
        <w:t xml:space="preserve"> </w:t>
      </w:r>
      <w:r w:rsidR="00EB6E54" w:rsidRPr="00C563C4">
        <w:rPr>
          <w:rFonts w:ascii="Arial" w:hAnsi="Arial" w:cs="Arial"/>
        </w:rPr>
        <w:t xml:space="preserve"> </w:t>
      </w:r>
      <w:r w:rsidR="00D9261D" w:rsidRPr="00C563C4">
        <w:rPr>
          <w:rFonts w:ascii="Arial" w:hAnsi="Arial" w:cs="Arial"/>
        </w:rPr>
        <w:t>Since it has not exercised either of the lawful alternatives, it cannot complain</w:t>
      </w:r>
      <w:r w:rsidR="00CC7430" w:rsidRPr="00C563C4">
        <w:rPr>
          <w:rFonts w:ascii="Arial" w:hAnsi="Arial" w:cs="Arial"/>
        </w:rPr>
        <w:t xml:space="preserve"> that a stay will injure its financial well-being</w:t>
      </w:r>
      <w:r w:rsidR="00D9261D" w:rsidRPr="00C563C4">
        <w:rPr>
          <w:rFonts w:ascii="Arial" w:hAnsi="Arial" w:cs="Arial"/>
        </w:rPr>
        <w:t xml:space="preserve">.  </w:t>
      </w:r>
    </w:p>
    <w:p w:rsidR="00215B3E" w:rsidRDefault="00215B3E" w:rsidP="006726A1">
      <w:pPr>
        <w:rPr>
          <w:rFonts w:ascii="Arial" w:hAnsi="Arial" w:cs="Arial"/>
        </w:rPr>
      </w:pPr>
      <w:r w:rsidRPr="00C563C4">
        <w:rPr>
          <w:rFonts w:ascii="Arial" w:hAnsi="Arial" w:cs="Arial"/>
        </w:rPr>
        <w:tab/>
      </w:r>
      <w:r w:rsidR="00D9261D" w:rsidRPr="00C563C4">
        <w:rPr>
          <w:rFonts w:ascii="Arial" w:hAnsi="Arial" w:cs="Arial"/>
        </w:rPr>
        <w:t xml:space="preserve">Even if it were appropriate to consider DP&amp;L’s </w:t>
      </w:r>
      <w:r w:rsidR="00A41049" w:rsidRPr="00C563C4">
        <w:rPr>
          <w:rFonts w:ascii="Arial" w:hAnsi="Arial" w:cs="Arial"/>
        </w:rPr>
        <w:t>financial</w:t>
      </w:r>
      <w:r w:rsidR="00D9261D" w:rsidRPr="00C563C4">
        <w:rPr>
          <w:rFonts w:ascii="Arial" w:hAnsi="Arial" w:cs="Arial"/>
        </w:rPr>
        <w:t xml:space="preserve"> well-being in the decision to grant the stay, </w:t>
      </w:r>
      <w:r w:rsidRPr="00C563C4">
        <w:rPr>
          <w:rFonts w:ascii="Arial" w:hAnsi="Arial" w:cs="Arial"/>
        </w:rPr>
        <w:t>DP&amp;L’s generalization</w:t>
      </w:r>
      <w:r w:rsidR="007202B2" w:rsidRPr="00C563C4">
        <w:rPr>
          <w:rFonts w:ascii="Arial" w:hAnsi="Arial" w:cs="Arial"/>
        </w:rPr>
        <w:t>s</w:t>
      </w:r>
      <w:r w:rsidRPr="00C563C4">
        <w:rPr>
          <w:rFonts w:ascii="Arial" w:hAnsi="Arial" w:cs="Arial"/>
        </w:rPr>
        <w:t xml:space="preserve"> regarding the financial need for the SSR </w:t>
      </w:r>
      <w:r w:rsidR="00D9261D" w:rsidRPr="00C563C4">
        <w:rPr>
          <w:rFonts w:ascii="Arial" w:hAnsi="Arial" w:cs="Arial"/>
        </w:rPr>
        <w:t>do not justify denying the stay</w:t>
      </w:r>
      <w:r w:rsidRPr="00C563C4">
        <w:rPr>
          <w:rFonts w:ascii="Arial" w:hAnsi="Arial" w:cs="Arial"/>
        </w:rPr>
        <w:t xml:space="preserve">.  </w:t>
      </w:r>
      <w:r w:rsidR="00D9261D" w:rsidRPr="00C563C4">
        <w:rPr>
          <w:rFonts w:ascii="Arial" w:hAnsi="Arial" w:cs="Arial"/>
        </w:rPr>
        <w:t xml:space="preserve">DP&amp;L </w:t>
      </w:r>
      <w:r w:rsidRPr="00C563C4">
        <w:rPr>
          <w:rFonts w:ascii="Arial" w:hAnsi="Arial" w:cs="Arial"/>
        </w:rPr>
        <w:t>failed to demonstrate a financial emergency war</w:t>
      </w:r>
      <w:r w:rsidR="00D9261D" w:rsidRPr="00C563C4">
        <w:rPr>
          <w:rFonts w:ascii="Arial" w:hAnsi="Arial" w:cs="Arial"/>
        </w:rPr>
        <w:t>ranting Commission intervention</w:t>
      </w:r>
      <w:r w:rsidR="00A41049" w:rsidRPr="00C563C4">
        <w:rPr>
          <w:rFonts w:ascii="Arial" w:hAnsi="Arial" w:cs="Arial"/>
        </w:rPr>
        <w:t>.  Additionally</w:t>
      </w:r>
      <w:r w:rsidR="00D9261D" w:rsidRPr="00C563C4">
        <w:rPr>
          <w:rFonts w:ascii="Arial" w:hAnsi="Arial" w:cs="Arial"/>
        </w:rPr>
        <w:t xml:space="preserve">, the financial shortfall that DP&amp;L might face </w:t>
      </w:r>
      <w:r w:rsidR="00D244ED">
        <w:rPr>
          <w:rFonts w:ascii="Arial" w:hAnsi="Arial" w:cs="Arial"/>
        </w:rPr>
        <w:t>will result</w:t>
      </w:r>
      <w:r w:rsidRPr="00C563C4">
        <w:rPr>
          <w:rFonts w:ascii="Arial" w:hAnsi="Arial" w:cs="Arial"/>
        </w:rPr>
        <w:t xml:space="preserve"> from the self-inflicted and continuing determination to retain </w:t>
      </w:r>
      <w:r w:rsidR="00BD6A00" w:rsidRPr="00C563C4">
        <w:rPr>
          <w:rFonts w:ascii="Arial" w:hAnsi="Arial" w:cs="Arial"/>
        </w:rPr>
        <w:t>generation</w:t>
      </w:r>
      <w:r w:rsidR="00BD6A00">
        <w:rPr>
          <w:rFonts w:ascii="Arial" w:hAnsi="Arial" w:cs="Arial"/>
        </w:rPr>
        <w:t>-</w:t>
      </w:r>
      <w:r w:rsidRPr="00C563C4">
        <w:rPr>
          <w:rFonts w:ascii="Arial" w:hAnsi="Arial" w:cs="Arial"/>
        </w:rPr>
        <w:t xml:space="preserve">related assets when those assets could and should have </w:t>
      </w:r>
      <w:r w:rsidR="00A41049" w:rsidRPr="00C563C4">
        <w:rPr>
          <w:rFonts w:ascii="Arial" w:hAnsi="Arial" w:cs="Arial"/>
        </w:rPr>
        <w:t xml:space="preserve">been </w:t>
      </w:r>
      <w:r w:rsidRPr="00C563C4">
        <w:rPr>
          <w:rFonts w:ascii="Arial" w:hAnsi="Arial" w:cs="Arial"/>
        </w:rPr>
        <w:t>divested.</w:t>
      </w:r>
      <w:r w:rsidRPr="00C563C4">
        <w:rPr>
          <w:rStyle w:val="FootnoteReference"/>
          <w:rFonts w:ascii="Arial" w:hAnsi="Arial" w:cs="Arial"/>
        </w:rPr>
        <w:footnoteReference w:id="53"/>
      </w:r>
      <w:r w:rsidR="00D9261D" w:rsidRPr="00C563C4">
        <w:rPr>
          <w:rFonts w:ascii="Arial" w:hAnsi="Arial" w:cs="Arial"/>
        </w:rPr>
        <w:t xml:space="preserve">  </w:t>
      </w:r>
      <w:r w:rsidR="00D9261D" w:rsidRPr="00C563C4">
        <w:rPr>
          <w:rFonts w:ascii="Arial" w:hAnsi="Arial" w:cs="Arial"/>
        </w:rPr>
        <w:lastRenderedPageBreak/>
        <w:t>As the Commission balances the nee</w:t>
      </w:r>
      <w:r w:rsidR="00A41049" w:rsidRPr="00C563C4">
        <w:rPr>
          <w:rFonts w:ascii="Arial" w:hAnsi="Arial" w:cs="Arial"/>
        </w:rPr>
        <w:t>d for a stay versus the claims that</w:t>
      </w:r>
      <w:r w:rsidR="00D9261D" w:rsidRPr="00C563C4">
        <w:rPr>
          <w:rFonts w:ascii="Arial" w:hAnsi="Arial" w:cs="Arial"/>
        </w:rPr>
        <w:t xml:space="preserve"> DP&amp;L will be injured if the stay is granted, the balance must be struck in favor of customers.  </w:t>
      </w:r>
      <w:r w:rsidR="00CC7430" w:rsidRPr="00C563C4">
        <w:rPr>
          <w:rFonts w:ascii="Arial" w:hAnsi="Arial" w:cs="Arial"/>
        </w:rPr>
        <w:t>It is inequitable to force</w:t>
      </w:r>
      <w:r w:rsidR="00D9261D" w:rsidRPr="00C563C4">
        <w:rPr>
          <w:rFonts w:ascii="Arial" w:hAnsi="Arial" w:cs="Arial"/>
        </w:rPr>
        <w:t xml:space="preserve"> customers to pay for DP&amp;L’s future self-inflicted injury.</w:t>
      </w:r>
    </w:p>
    <w:p w:rsidR="00D9261D" w:rsidRPr="00C563C4" w:rsidRDefault="009D5AC9" w:rsidP="006726A1">
      <w:pPr>
        <w:rPr>
          <w:rFonts w:ascii="Arial" w:hAnsi="Arial" w:cs="Arial"/>
        </w:rPr>
      </w:pPr>
      <w:r>
        <w:rPr>
          <w:rFonts w:ascii="Arial" w:hAnsi="Arial" w:cs="Arial"/>
        </w:rPr>
        <w:tab/>
      </w:r>
      <w:r w:rsidR="00CC7430" w:rsidRPr="00C563C4">
        <w:rPr>
          <w:rFonts w:ascii="Arial" w:hAnsi="Arial" w:cs="Arial"/>
        </w:rPr>
        <w:t>Moreover</w:t>
      </w:r>
      <w:r w:rsidR="00D9261D" w:rsidRPr="00C563C4">
        <w:rPr>
          <w:rFonts w:ascii="Arial" w:hAnsi="Arial" w:cs="Arial"/>
        </w:rPr>
        <w:t xml:space="preserve">, there is a solution the Commission can adopt to mitigate </w:t>
      </w:r>
      <w:r w:rsidR="00CC7430" w:rsidRPr="00C563C4">
        <w:rPr>
          <w:rFonts w:ascii="Arial" w:hAnsi="Arial" w:cs="Arial"/>
        </w:rPr>
        <w:t>any alleged</w:t>
      </w:r>
      <w:r w:rsidR="00D9261D" w:rsidRPr="00C563C4">
        <w:rPr>
          <w:rFonts w:ascii="Arial" w:hAnsi="Arial" w:cs="Arial"/>
        </w:rPr>
        <w:t xml:space="preserve"> injury</w:t>
      </w:r>
      <w:r w:rsidR="00CC7430" w:rsidRPr="00C563C4">
        <w:rPr>
          <w:rFonts w:ascii="Arial" w:hAnsi="Arial" w:cs="Arial"/>
        </w:rPr>
        <w:t xml:space="preserve"> to DP&amp;L</w:t>
      </w:r>
      <w:r w:rsidR="00D9261D" w:rsidRPr="00C563C4">
        <w:rPr>
          <w:rFonts w:ascii="Arial" w:hAnsi="Arial" w:cs="Arial"/>
        </w:rPr>
        <w:t xml:space="preserve">.  As the Motion </w:t>
      </w:r>
      <w:r w:rsidR="00CC7430" w:rsidRPr="00C563C4">
        <w:rPr>
          <w:rFonts w:ascii="Arial" w:hAnsi="Arial" w:cs="Arial"/>
        </w:rPr>
        <w:t xml:space="preserve">to Stay </w:t>
      </w:r>
      <w:r w:rsidR="00D9261D" w:rsidRPr="00C563C4">
        <w:rPr>
          <w:rFonts w:ascii="Arial" w:hAnsi="Arial" w:cs="Arial"/>
        </w:rPr>
        <w:t>indicated,</w:t>
      </w:r>
      <w:r w:rsidR="00215B3E" w:rsidRPr="00C563C4">
        <w:rPr>
          <w:rFonts w:ascii="Arial" w:hAnsi="Arial" w:cs="Arial"/>
        </w:rPr>
        <w:t xml:space="preserve"> the Commission could structure the stay to assure the recovery of carrying charges i</w:t>
      </w:r>
      <w:r w:rsidR="00D9261D" w:rsidRPr="00C563C4">
        <w:rPr>
          <w:rFonts w:ascii="Arial" w:hAnsi="Arial" w:cs="Arial"/>
        </w:rPr>
        <w:t>f the Court determines</w:t>
      </w:r>
      <w:r w:rsidR="00215B3E" w:rsidRPr="00C563C4">
        <w:rPr>
          <w:rFonts w:ascii="Arial" w:hAnsi="Arial" w:cs="Arial"/>
        </w:rPr>
        <w:t xml:space="preserve"> that the </w:t>
      </w:r>
      <w:r w:rsidR="00D9261D" w:rsidRPr="00C563C4">
        <w:rPr>
          <w:rFonts w:ascii="Arial" w:hAnsi="Arial" w:cs="Arial"/>
        </w:rPr>
        <w:t>SSR</w:t>
      </w:r>
      <w:r w:rsidR="00215B3E" w:rsidRPr="00C563C4">
        <w:rPr>
          <w:rFonts w:ascii="Arial" w:hAnsi="Arial" w:cs="Arial"/>
        </w:rPr>
        <w:t xml:space="preserve"> was lawfully authorized.</w:t>
      </w:r>
      <w:r w:rsidR="00215B3E" w:rsidRPr="00C563C4">
        <w:rPr>
          <w:rStyle w:val="FootnoteReference"/>
          <w:rFonts w:ascii="Arial" w:hAnsi="Arial" w:cs="Arial"/>
        </w:rPr>
        <w:footnoteReference w:id="54"/>
      </w:r>
      <w:r w:rsidR="00215B3E" w:rsidRPr="00C563C4">
        <w:rPr>
          <w:rFonts w:ascii="Arial" w:hAnsi="Arial" w:cs="Arial"/>
        </w:rPr>
        <w:t xml:space="preserve">  </w:t>
      </w:r>
      <w:r w:rsidR="00A41049" w:rsidRPr="00C563C4">
        <w:rPr>
          <w:rFonts w:ascii="Arial" w:hAnsi="Arial" w:cs="Arial"/>
        </w:rPr>
        <w:t>In contrast to the irreparable injury customers are now suffering because they are being billed and are paying an unlawful charge</w:t>
      </w:r>
      <w:r w:rsidR="00D9261D" w:rsidRPr="00C563C4">
        <w:rPr>
          <w:rFonts w:ascii="Arial" w:hAnsi="Arial" w:cs="Arial"/>
        </w:rPr>
        <w:t>, DP&amp;L would not suffer any irreparable injury.</w:t>
      </w:r>
    </w:p>
    <w:p w:rsidR="00CC7430" w:rsidRPr="00C563C4" w:rsidRDefault="00215B3E" w:rsidP="009907AD">
      <w:pPr>
        <w:ind w:firstLine="720"/>
        <w:rPr>
          <w:rFonts w:ascii="Arial" w:hAnsi="Arial" w:cs="Arial"/>
        </w:rPr>
      </w:pPr>
      <w:r w:rsidRPr="00C563C4">
        <w:rPr>
          <w:rFonts w:ascii="Arial" w:hAnsi="Arial" w:cs="Arial"/>
        </w:rPr>
        <w:t>DP&amp;L</w:t>
      </w:r>
      <w:r w:rsidR="009907AD" w:rsidRPr="00C563C4">
        <w:rPr>
          <w:rFonts w:ascii="Arial" w:hAnsi="Arial" w:cs="Arial"/>
        </w:rPr>
        <w:t>, however,</w:t>
      </w:r>
      <w:r w:rsidRPr="00C563C4">
        <w:rPr>
          <w:rFonts w:ascii="Arial" w:hAnsi="Arial" w:cs="Arial"/>
        </w:rPr>
        <w:t xml:space="preserve"> </w:t>
      </w:r>
      <w:r w:rsidR="00CC7430" w:rsidRPr="00C563C4">
        <w:rPr>
          <w:rFonts w:ascii="Arial" w:hAnsi="Arial" w:cs="Arial"/>
        </w:rPr>
        <w:t xml:space="preserve">also argues against </w:t>
      </w:r>
      <w:r w:rsidR="000122E0" w:rsidRPr="00C563C4">
        <w:rPr>
          <w:rFonts w:ascii="Arial" w:hAnsi="Arial" w:cs="Arial"/>
        </w:rPr>
        <w:t>a</w:t>
      </w:r>
      <w:r w:rsidR="00CC7430" w:rsidRPr="00C563C4">
        <w:rPr>
          <w:rFonts w:ascii="Arial" w:hAnsi="Arial" w:cs="Arial"/>
        </w:rPr>
        <w:t xml:space="preserve"> stay that </w:t>
      </w:r>
      <w:r w:rsidR="009D5AC9">
        <w:rPr>
          <w:rFonts w:ascii="Arial" w:hAnsi="Arial" w:cs="Arial"/>
        </w:rPr>
        <w:t xml:space="preserve">included a provision permitting it to book </w:t>
      </w:r>
      <w:r w:rsidR="00CC7430" w:rsidRPr="00C563C4">
        <w:rPr>
          <w:rFonts w:ascii="Arial" w:hAnsi="Arial" w:cs="Arial"/>
        </w:rPr>
        <w:t>carrying charges</w:t>
      </w:r>
      <w:r w:rsidRPr="00C563C4">
        <w:rPr>
          <w:rFonts w:ascii="Arial" w:hAnsi="Arial" w:cs="Arial"/>
        </w:rPr>
        <w:t>, repeating that it needs the SSR revenue.</w:t>
      </w:r>
      <w:r w:rsidRPr="00C563C4">
        <w:rPr>
          <w:rStyle w:val="FootnoteReference"/>
          <w:rFonts w:ascii="Arial" w:hAnsi="Arial" w:cs="Arial"/>
        </w:rPr>
        <w:footnoteReference w:id="55"/>
      </w:r>
      <w:r w:rsidR="007202B2" w:rsidRPr="00C563C4">
        <w:rPr>
          <w:rFonts w:ascii="Arial" w:hAnsi="Arial" w:cs="Arial"/>
        </w:rPr>
        <w:t xml:space="preserve">  Its response, however, exposes DP&amp;L’s claim for what </w:t>
      </w:r>
      <w:r w:rsidR="00381978">
        <w:rPr>
          <w:rFonts w:ascii="Arial" w:hAnsi="Arial" w:cs="Arial"/>
        </w:rPr>
        <w:t>it</w:t>
      </w:r>
      <w:r w:rsidR="00381978" w:rsidRPr="00C563C4">
        <w:rPr>
          <w:rFonts w:ascii="Arial" w:hAnsi="Arial" w:cs="Arial"/>
        </w:rPr>
        <w:t xml:space="preserve"> </w:t>
      </w:r>
      <w:r w:rsidR="007202B2" w:rsidRPr="00C563C4">
        <w:rPr>
          <w:rFonts w:ascii="Arial" w:hAnsi="Arial" w:cs="Arial"/>
        </w:rPr>
        <w:t xml:space="preserve">really </w:t>
      </w:r>
      <w:r w:rsidR="00CC7430" w:rsidRPr="00C563C4">
        <w:rPr>
          <w:rFonts w:ascii="Arial" w:hAnsi="Arial" w:cs="Arial"/>
        </w:rPr>
        <w:t>is</w:t>
      </w:r>
      <w:r w:rsidR="009907AD" w:rsidRPr="00C563C4">
        <w:rPr>
          <w:rFonts w:ascii="Arial" w:hAnsi="Arial" w:cs="Arial"/>
        </w:rPr>
        <w:t xml:space="preserve">.  If it understood that its claim for </w:t>
      </w:r>
      <w:r w:rsidR="00381978">
        <w:rPr>
          <w:rFonts w:ascii="Arial" w:hAnsi="Arial" w:cs="Arial"/>
        </w:rPr>
        <w:t xml:space="preserve">generation </w:t>
      </w:r>
      <w:r w:rsidR="009907AD" w:rsidRPr="00C563C4">
        <w:rPr>
          <w:rFonts w:ascii="Arial" w:hAnsi="Arial" w:cs="Arial"/>
        </w:rPr>
        <w:t xml:space="preserve">transition revenue and a subsidy were lawful, DP&amp;L should be indifferent as to when it recovers the revenue if it is assured a carrying charge on the </w:t>
      </w:r>
      <w:r w:rsidR="00A41049" w:rsidRPr="00C563C4">
        <w:rPr>
          <w:rFonts w:ascii="Arial" w:hAnsi="Arial" w:cs="Arial"/>
        </w:rPr>
        <w:t xml:space="preserve">amounts that it </w:t>
      </w:r>
      <w:r w:rsidR="00CC7430" w:rsidRPr="00C563C4">
        <w:rPr>
          <w:rFonts w:ascii="Arial" w:hAnsi="Arial" w:cs="Arial"/>
        </w:rPr>
        <w:t>may</w:t>
      </w:r>
      <w:r w:rsidR="00A41049" w:rsidRPr="00C563C4">
        <w:rPr>
          <w:rFonts w:ascii="Arial" w:hAnsi="Arial" w:cs="Arial"/>
        </w:rPr>
        <w:t xml:space="preserve"> not </w:t>
      </w:r>
      <w:r w:rsidR="00381978">
        <w:rPr>
          <w:rFonts w:ascii="Arial" w:hAnsi="Arial" w:cs="Arial"/>
        </w:rPr>
        <w:t xml:space="preserve">be </w:t>
      </w:r>
      <w:r w:rsidR="00A41049" w:rsidRPr="00C563C4">
        <w:rPr>
          <w:rFonts w:ascii="Arial" w:hAnsi="Arial" w:cs="Arial"/>
        </w:rPr>
        <w:t>collecting as a result of a stay</w:t>
      </w:r>
      <w:r w:rsidR="009907AD" w:rsidRPr="00C563C4">
        <w:rPr>
          <w:rFonts w:ascii="Arial" w:hAnsi="Arial" w:cs="Arial"/>
        </w:rPr>
        <w:t xml:space="preserve">.  </w:t>
      </w:r>
      <w:r w:rsidR="00176212" w:rsidRPr="00C563C4">
        <w:rPr>
          <w:rFonts w:ascii="Arial" w:hAnsi="Arial" w:cs="Arial"/>
        </w:rPr>
        <w:t>Instead</w:t>
      </w:r>
      <w:r w:rsidRPr="00C563C4">
        <w:rPr>
          <w:rFonts w:ascii="Arial" w:hAnsi="Arial" w:cs="Arial"/>
        </w:rPr>
        <w:t xml:space="preserve">, </w:t>
      </w:r>
      <w:r w:rsidR="009907AD" w:rsidRPr="00C563C4">
        <w:rPr>
          <w:rFonts w:ascii="Arial" w:hAnsi="Arial" w:cs="Arial"/>
        </w:rPr>
        <w:t>DP&amp;L</w:t>
      </w:r>
      <w:r w:rsidRPr="00C563C4">
        <w:rPr>
          <w:rFonts w:ascii="Arial" w:hAnsi="Arial" w:cs="Arial"/>
        </w:rPr>
        <w:t xml:space="preserve"> </w:t>
      </w:r>
      <w:r w:rsidR="009907AD" w:rsidRPr="00C563C4">
        <w:rPr>
          <w:rFonts w:ascii="Arial" w:hAnsi="Arial" w:cs="Arial"/>
        </w:rPr>
        <w:t>argues that the Commission should not order</w:t>
      </w:r>
      <w:r w:rsidRPr="00C563C4">
        <w:rPr>
          <w:rFonts w:ascii="Arial" w:hAnsi="Arial" w:cs="Arial"/>
        </w:rPr>
        <w:t xml:space="preserve"> </w:t>
      </w:r>
      <w:r w:rsidR="007202B2" w:rsidRPr="00C563C4">
        <w:rPr>
          <w:rFonts w:ascii="Arial" w:hAnsi="Arial" w:cs="Arial"/>
        </w:rPr>
        <w:t>a stay of the</w:t>
      </w:r>
      <w:r w:rsidRPr="00C563C4">
        <w:rPr>
          <w:rFonts w:ascii="Arial" w:hAnsi="Arial" w:cs="Arial"/>
        </w:rPr>
        <w:t xml:space="preserve"> collection of the SSR with a provision permitting a carrying charge.  </w:t>
      </w:r>
      <w:r w:rsidR="0035069F">
        <w:rPr>
          <w:rFonts w:ascii="Arial" w:hAnsi="Arial" w:cs="Arial"/>
        </w:rPr>
        <w:t xml:space="preserve">DP&amp;L’s </w:t>
      </w:r>
      <w:r w:rsidR="00176212" w:rsidRPr="00C563C4">
        <w:rPr>
          <w:rFonts w:ascii="Arial" w:hAnsi="Arial" w:cs="Arial"/>
        </w:rPr>
        <w:t xml:space="preserve"> position demonstrates that it understands that a stay will frustrate its attempt to secure revenue that is not authorized by Ohio law: revenue </w:t>
      </w:r>
      <w:r w:rsidR="00176212" w:rsidRPr="00C563C4">
        <w:rPr>
          <w:rFonts w:ascii="Arial" w:hAnsi="Arial" w:cs="Arial"/>
        </w:rPr>
        <w:lastRenderedPageBreak/>
        <w:t>collected before the Commission’s order is reversed by the Court is money it can argue it should keep; a stay, however, will frustrate its i</w:t>
      </w:r>
      <w:r w:rsidR="00CC7430" w:rsidRPr="00C563C4">
        <w:rPr>
          <w:rFonts w:ascii="Arial" w:hAnsi="Arial" w:cs="Arial"/>
        </w:rPr>
        <w:t>mmediate financial objectives.</w:t>
      </w:r>
      <w:r w:rsidR="001755D0">
        <w:rPr>
          <w:rStyle w:val="FootnoteReference"/>
          <w:rFonts w:ascii="Arial" w:hAnsi="Arial" w:cs="Arial"/>
        </w:rPr>
        <w:footnoteReference w:id="56"/>
      </w:r>
    </w:p>
    <w:p w:rsidR="009C653E" w:rsidRPr="00C563C4" w:rsidRDefault="00D04425" w:rsidP="004A52FB">
      <w:pPr>
        <w:pStyle w:val="Heading2"/>
        <w:rPr>
          <w:rFonts w:ascii="Arial" w:hAnsi="Arial"/>
          <w:szCs w:val="24"/>
        </w:rPr>
      </w:pPr>
      <w:bookmarkStart w:id="23" w:name="_Toc396231445"/>
      <w:bookmarkStart w:id="24" w:name="_Toc396288902"/>
      <w:bookmarkStart w:id="25" w:name="_Toc396289219"/>
      <w:bookmarkStart w:id="26" w:name="_Toc396386464"/>
      <w:r w:rsidRPr="00C563C4">
        <w:rPr>
          <w:rFonts w:ascii="Arial" w:hAnsi="Arial"/>
          <w:szCs w:val="24"/>
        </w:rPr>
        <w:t>A request for an o</w:t>
      </w:r>
      <w:r w:rsidR="009C653E" w:rsidRPr="00C563C4">
        <w:rPr>
          <w:rFonts w:ascii="Arial" w:hAnsi="Arial"/>
          <w:szCs w:val="24"/>
        </w:rPr>
        <w:t>rder req</w:t>
      </w:r>
      <w:r w:rsidRPr="00C563C4">
        <w:rPr>
          <w:rFonts w:ascii="Arial" w:hAnsi="Arial"/>
          <w:szCs w:val="24"/>
        </w:rPr>
        <w:t>uiring DP&amp;L to collect the SSR subject to refund is p</w:t>
      </w:r>
      <w:r w:rsidR="009C653E" w:rsidRPr="00C563C4">
        <w:rPr>
          <w:rFonts w:ascii="Arial" w:hAnsi="Arial"/>
          <w:szCs w:val="24"/>
        </w:rPr>
        <w:t xml:space="preserve">roper and will assure </w:t>
      </w:r>
      <w:r w:rsidRPr="00C563C4">
        <w:rPr>
          <w:rFonts w:ascii="Arial" w:hAnsi="Arial"/>
          <w:szCs w:val="24"/>
        </w:rPr>
        <w:t>a just process for customers</w:t>
      </w:r>
      <w:bookmarkEnd w:id="23"/>
      <w:bookmarkEnd w:id="24"/>
      <w:bookmarkEnd w:id="25"/>
      <w:bookmarkEnd w:id="26"/>
    </w:p>
    <w:p w:rsidR="009C653E" w:rsidRPr="00C563C4" w:rsidRDefault="009C653E" w:rsidP="009C653E">
      <w:pPr>
        <w:ind w:firstLine="720"/>
        <w:rPr>
          <w:rFonts w:ascii="Arial" w:hAnsi="Arial" w:cs="Arial"/>
        </w:rPr>
      </w:pPr>
      <w:r w:rsidRPr="00C563C4">
        <w:rPr>
          <w:rFonts w:ascii="Arial" w:hAnsi="Arial" w:cs="Arial"/>
        </w:rPr>
        <w:t xml:space="preserve">DP&amp;L argues that asking the </w:t>
      </w:r>
      <w:r w:rsidR="007D7DA0" w:rsidRPr="00C563C4">
        <w:rPr>
          <w:rFonts w:ascii="Arial" w:hAnsi="Arial" w:cs="Arial"/>
        </w:rPr>
        <w:t>Commission</w:t>
      </w:r>
      <w:r w:rsidRPr="00C563C4">
        <w:rPr>
          <w:rFonts w:ascii="Arial" w:hAnsi="Arial" w:cs="Arial"/>
        </w:rPr>
        <w:t xml:space="preserve"> to order DP&amp;L to collect the SSR subject to refund is inconsistent with </w:t>
      </w:r>
      <w:r w:rsidR="00385869" w:rsidRPr="0086493C">
        <w:rPr>
          <w:rFonts w:ascii="Arial" w:hAnsi="Arial" w:cs="Arial"/>
        </w:rPr>
        <w:t>the Court-fashioned no-refund rule</w:t>
      </w:r>
      <w:r w:rsidRPr="00C563C4">
        <w:rPr>
          <w:rFonts w:ascii="Arial" w:hAnsi="Arial" w:cs="Arial"/>
        </w:rPr>
        <w:t>.</w:t>
      </w:r>
      <w:r w:rsidRPr="00C563C4">
        <w:rPr>
          <w:rStyle w:val="FootnoteReference"/>
          <w:rFonts w:ascii="Arial" w:hAnsi="Arial" w:cs="Arial"/>
        </w:rPr>
        <w:footnoteReference w:id="57"/>
      </w:r>
      <w:r w:rsidRPr="00C563C4">
        <w:rPr>
          <w:rFonts w:ascii="Arial" w:hAnsi="Arial" w:cs="Arial"/>
        </w:rPr>
        <w:t xml:space="preserve">  DP&amp;L further argues that the Court recently rejected a similar </w:t>
      </w:r>
      <w:r w:rsidR="00385869">
        <w:rPr>
          <w:rFonts w:ascii="Arial" w:hAnsi="Arial" w:cs="Arial"/>
        </w:rPr>
        <w:t>request for the rates to be collected subject to refund</w:t>
      </w:r>
      <w:r w:rsidRPr="00C563C4">
        <w:rPr>
          <w:rFonts w:ascii="Arial" w:hAnsi="Arial" w:cs="Arial"/>
        </w:rPr>
        <w:t>.</w:t>
      </w:r>
      <w:r w:rsidRPr="00C563C4">
        <w:rPr>
          <w:rStyle w:val="FootnoteReference"/>
          <w:rFonts w:ascii="Arial" w:hAnsi="Arial" w:cs="Arial"/>
        </w:rPr>
        <w:footnoteReference w:id="58"/>
      </w:r>
      <w:r w:rsidRPr="00C563C4">
        <w:rPr>
          <w:rFonts w:ascii="Arial" w:hAnsi="Arial" w:cs="Arial"/>
        </w:rPr>
        <w:t xml:space="preserve">  According to DP&amp;L</w:t>
      </w:r>
      <w:r w:rsidR="000122E0">
        <w:rPr>
          <w:rFonts w:ascii="Arial" w:hAnsi="Arial" w:cs="Arial"/>
        </w:rPr>
        <w:t>,</w:t>
      </w:r>
      <w:r w:rsidRPr="00C563C4">
        <w:rPr>
          <w:rFonts w:ascii="Arial" w:hAnsi="Arial" w:cs="Arial"/>
        </w:rPr>
        <w:t xml:space="preserve"> the </w:t>
      </w:r>
      <w:r w:rsidR="007D7DA0" w:rsidRPr="00C563C4">
        <w:rPr>
          <w:rFonts w:ascii="Arial" w:hAnsi="Arial" w:cs="Arial"/>
        </w:rPr>
        <w:t>Commission</w:t>
      </w:r>
      <w:r w:rsidRPr="00C563C4">
        <w:rPr>
          <w:rFonts w:ascii="Arial" w:hAnsi="Arial" w:cs="Arial"/>
        </w:rPr>
        <w:t xml:space="preserve"> “cannot deviate from that established case law in this proceeding.”</w:t>
      </w:r>
      <w:r w:rsidRPr="00C563C4">
        <w:rPr>
          <w:rStyle w:val="FootnoteReference"/>
          <w:rFonts w:ascii="Arial" w:hAnsi="Arial" w:cs="Arial"/>
        </w:rPr>
        <w:footnoteReference w:id="59"/>
      </w:r>
      <w:r w:rsidRPr="00C563C4">
        <w:rPr>
          <w:rFonts w:ascii="Arial" w:hAnsi="Arial" w:cs="Arial"/>
        </w:rPr>
        <w:t xml:space="preserve">  </w:t>
      </w:r>
    </w:p>
    <w:p w:rsidR="009C653E" w:rsidRPr="00C563C4" w:rsidRDefault="00D04425" w:rsidP="009C653E">
      <w:pPr>
        <w:ind w:firstLine="720"/>
        <w:rPr>
          <w:rFonts w:ascii="Arial" w:hAnsi="Arial" w:cs="Arial"/>
        </w:rPr>
      </w:pPr>
      <w:r w:rsidRPr="00C563C4">
        <w:rPr>
          <w:rFonts w:ascii="Arial" w:hAnsi="Arial" w:cs="Arial"/>
        </w:rPr>
        <w:t xml:space="preserve">Initially, </w:t>
      </w:r>
      <w:r w:rsidRPr="00B46BFA">
        <w:rPr>
          <w:rFonts w:ascii="Arial" w:hAnsi="Arial" w:cs="Arial"/>
          <w:i/>
        </w:rPr>
        <w:t>Keco</w:t>
      </w:r>
      <w:r w:rsidRPr="00C563C4">
        <w:rPr>
          <w:rFonts w:ascii="Arial" w:hAnsi="Arial" w:cs="Arial"/>
        </w:rPr>
        <w:t xml:space="preserve"> is not applicable to a determination of the Motion to Stay.  </w:t>
      </w:r>
      <w:r w:rsidR="009C653E" w:rsidRPr="00C563C4">
        <w:rPr>
          <w:rFonts w:ascii="Arial" w:hAnsi="Arial" w:cs="Arial"/>
        </w:rPr>
        <w:t xml:space="preserve">In </w:t>
      </w:r>
      <w:r w:rsidR="009C653E" w:rsidRPr="00C563C4">
        <w:rPr>
          <w:rFonts w:ascii="Arial" w:hAnsi="Arial" w:cs="Arial"/>
          <w:i/>
        </w:rPr>
        <w:t>Keco</w:t>
      </w:r>
      <w:r w:rsidR="00873BD6">
        <w:rPr>
          <w:rFonts w:ascii="Arial" w:hAnsi="Arial" w:cs="Arial"/>
          <w:i/>
        </w:rPr>
        <w:t xml:space="preserve">, </w:t>
      </w:r>
      <w:r w:rsidR="009C653E" w:rsidRPr="00C563C4">
        <w:rPr>
          <w:rFonts w:ascii="Arial" w:hAnsi="Arial" w:cs="Arial"/>
        </w:rPr>
        <w:t xml:space="preserve">the Court found that under R.C. 4903.16, once a proceeding has been undertaken to reverse a </w:t>
      </w:r>
      <w:r w:rsidR="007D7DA0" w:rsidRPr="00C563C4">
        <w:rPr>
          <w:rFonts w:ascii="Arial" w:hAnsi="Arial" w:cs="Arial"/>
        </w:rPr>
        <w:t>Commission</w:t>
      </w:r>
      <w:r w:rsidR="009C653E" w:rsidRPr="00C563C4">
        <w:rPr>
          <w:rFonts w:ascii="Arial" w:hAnsi="Arial" w:cs="Arial"/>
        </w:rPr>
        <w:t xml:space="preserve"> order, </w:t>
      </w:r>
      <w:r w:rsidRPr="00C563C4">
        <w:rPr>
          <w:rFonts w:ascii="Arial" w:hAnsi="Arial" w:cs="Arial"/>
        </w:rPr>
        <w:t>the appellant may secure a stay to suspend collection of the unlawful charges;</w:t>
      </w:r>
      <w:r w:rsidR="009C653E" w:rsidRPr="00C563C4">
        <w:rPr>
          <w:rFonts w:ascii="Arial" w:hAnsi="Arial" w:cs="Arial"/>
        </w:rPr>
        <w:t xml:space="preserve"> otherwise</w:t>
      </w:r>
      <w:r w:rsidRPr="00C563C4">
        <w:rPr>
          <w:rFonts w:ascii="Arial" w:hAnsi="Arial" w:cs="Arial"/>
        </w:rPr>
        <w:t>,</w:t>
      </w:r>
      <w:r w:rsidR="009C653E" w:rsidRPr="00C563C4">
        <w:rPr>
          <w:rFonts w:ascii="Arial" w:hAnsi="Arial" w:cs="Arial"/>
        </w:rPr>
        <w:t xml:space="preserve"> the utility shall collect the rates set by the </w:t>
      </w:r>
      <w:r w:rsidR="007D7DA0" w:rsidRPr="00C563C4">
        <w:rPr>
          <w:rFonts w:ascii="Arial" w:hAnsi="Arial" w:cs="Arial"/>
        </w:rPr>
        <w:t>Commission</w:t>
      </w:r>
      <w:r w:rsidR="009C653E" w:rsidRPr="00C563C4">
        <w:rPr>
          <w:rFonts w:ascii="Arial" w:hAnsi="Arial" w:cs="Arial"/>
        </w:rPr>
        <w:t xml:space="preserve"> order.  </w:t>
      </w:r>
      <w:r w:rsidR="000122E0" w:rsidRPr="00C563C4">
        <w:rPr>
          <w:rFonts w:ascii="Arial" w:hAnsi="Arial" w:cs="Arial"/>
        </w:rPr>
        <w:t>However,</w:t>
      </w:r>
      <w:r w:rsidR="009C653E" w:rsidRPr="00C563C4">
        <w:rPr>
          <w:rFonts w:ascii="Arial" w:hAnsi="Arial" w:cs="Arial"/>
        </w:rPr>
        <w:t xml:space="preserve"> here, the appeal to the Supreme Court has not been made yet.  The </w:t>
      </w:r>
      <w:r w:rsidR="007D7DA0" w:rsidRPr="00C563C4">
        <w:rPr>
          <w:rFonts w:ascii="Arial" w:hAnsi="Arial" w:cs="Arial"/>
        </w:rPr>
        <w:t>Commission</w:t>
      </w:r>
      <w:r w:rsidR="009C653E" w:rsidRPr="00C563C4">
        <w:rPr>
          <w:rFonts w:ascii="Arial" w:hAnsi="Arial" w:cs="Arial"/>
        </w:rPr>
        <w:t xml:space="preserve"> still maintains jurisdiction over the case.  </w:t>
      </w:r>
    </w:p>
    <w:p w:rsidR="009C653E" w:rsidRPr="00C563C4" w:rsidRDefault="009C653E" w:rsidP="009C653E">
      <w:pPr>
        <w:ind w:firstLine="720"/>
        <w:rPr>
          <w:rFonts w:ascii="Arial" w:hAnsi="Arial" w:cs="Arial"/>
        </w:rPr>
      </w:pPr>
      <w:r w:rsidRPr="00C563C4">
        <w:rPr>
          <w:rFonts w:ascii="Arial" w:hAnsi="Arial" w:cs="Arial"/>
        </w:rPr>
        <w:t xml:space="preserve">The </w:t>
      </w:r>
      <w:r w:rsidR="007D7DA0" w:rsidRPr="00C563C4">
        <w:rPr>
          <w:rFonts w:ascii="Arial" w:hAnsi="Arial" w:cs="Arial"/>
        </w:rPr>
        <w:t>Commission</w:t>
      </w:r>
      <w:r w:rsidRPr="00C563C4">
        <w:rPr>
          <w:rFonts w:ascii="Arial" w:hAnsi="Arial" w:cs="Arial"/>
        </w:rPr>
        <w:t>, in exercising its jurisdiction, has the power and authority to collect rates subject to refund.  It has done so in the past on a number of occasions.</w:t>
      </w:r>
      <w:r w:rsidRPr="00C563C4">
        <w:rPr>
          <w:rStyle w:val="FootnoteReference"/>
          <w:rFonts w:ascii="Arial" w:hAnsi="Arial" w:cs="Arial"/>
        </w:rPr>
        <w:footnoteReference w:id="60"/>
      </w:r>
      <w:r w:rsidRPr="00C563C4">
        <w:rPr>
          <w:rFonts w:ascii="Arial" w:hAnsi="Arial" w:cs="Arial"/>
        </w:rPr>
        <w:t xml:space="preserve">  </w:t>
      </w:r>
      <w:r w:rsidRPr="00C563C4">
        <w:rPr>
          <w:rFonts w:ascii="Arial" w:hAnsi="Arial" w:cs="Arial"/>
        </w:rPr>
        <w:lastRenderedPageBreak/>
        <w:t xml:space="preserve">The </w:t>
      </w:r>
      <w:r w:rsidR="007D7DA0" w:rsidRPr="00C563C4">
        <w:rPr>
          <w:rFonts w:ascii="Arial" w:hAnsi="Arial" w:cs="Arial"/>
        </w:rPr>
        <w:t>Commission</w:t>
      </w:r>
      <w:r w:rsidRPr="00C563C4">
        <w:rPr>
          <w:rFonts w:ascii="Arial" w:hAnsi="Arial" w:cs="Arial"/>
        </w:rPr>
        <w:t xml:space="preserve"> has used this approach to permit it to explore the reasonableness of rates in light of events that occurred after the issuance of orders.  It should do so here.  Doing so will assure a just process for customers.  </w:t>
      </w:r>
    </w:p>
    <w:p w:rsidR="009C653E" w:rsidRPr="00C563C4" w:rsidRDefault="000122E0" w:rsidP="00D04425">
      <w:pPr>
        <w:pStyle w:val="Heading1"/>
        <w:rPr>
          <w:rFonts w:ascii="Arial" w:hAnsi="Arial"/>
        </w:rPr>
      </w:pPr>
      <w:bookmarkStart w:id="27" w:name="_Toc396289220"/>
      <w:bookmarkStart w:id="28" w:name="_Toc396386465"/>
      <w:r>
        <w:rPr>
          <w:rFonts w:ascii="Arial" w:hAnsi="Arial"/>
        </w:rPr>
        <w:t>CONCLUSION</w:t>
      </w:r>
      <w:bookmarkEnd w:id="27"/>
      <w:bookmarkEnd w:id="28"/>
    </w:p>
    <w:p w:rsidR="00B45EB5" w:rsidRDefault="004A52FB" w:rsidP="006726A1">
      <w:pPr>
        <w:rPr>
          <w:rFonts w:ascii="Arial" w:hAnsi="Arial" w:cs="Arial"/>
        </w:rPr>
      </w:pPr>
      <w:r w:rsidRPr="00C563C4">
        <w:rPr>
          <w:rFonts w:ascii="Arial" w:hAnsi="Arial" w:cs="Arial"/>
        </w:rPr>
        <w:tab/>
        <w:t xml:space="preserve">The Commission has the authority to grant the requested relief, </w:t>
      </w:r>
      <w:r w:rsidR="00B30B61">
        <w:rPr>
          <w:rFonts w:ascii="Arial" w:hAnsi="Arial" w:cs="Arial"/>
        </w:rPr>
        <w:t xml:space="preserve">and </w:t>
      </w:r>
      <w:r w:rsidRPr="00C563C4">
        <w:rPr>
          <w:rFonts w:ascii="Arial" w:hAnsi="Arial" w:cs="Arial"/>
        </w:rPr>
        <w:t xml:space="preserve">the Joint Movants </w:t>
      </w:r>
      <w:r w:rsidR="00D04425" w:rsidRPr="00C563C4">
        <w:rPr>
          <w:rFonts w:ascii="Arial" w:hAnsi="Arial" w:cs="Arial"/>
        </w:rPr>
        <w:t>have satisfied the grounds supporting the requested relief</w:t>
      </w:r>
      <w:r w:rsidRPr="00C563C4">
        <w:rPr>
          <w:rFonts w:ascii="Arial" w:hAnsi="Arial" w:cs="Arial"/>
        </w:rPr>
        <w:t xml:space="preserve">.  Accordingly, the Commission should grant the Motion to Stay.  </w:t>
      </w:r>
    </w:p>
    <w:p w:rsidR="007E7BDA" w:rsidRPr="00B46BFA" w:rsidRDefault="007E7BDA" w:rsidP="007E7BDA">
      <w:pPr>
        <w:widowControl w:val="0"/>
        <w:spacing w:after="0" w:line="240" w:lineRule="auto"/>
        <w:ind w:left="3600" w:right="-672" w:firstLine="720"/>
        <w:jc w:val="left"/>
        <w:rPr>
          <w:rFonts w:ascii="Arial" w:eastAsia="Times New Roman" w:hAnsi="Arial" w:cs="Arial"/>
          <w:szCs w:val="20"/>
        </w:rPr>
      </w:pPr>
      <w:r w:rsidRPr="00B46BFA">
        <w:rPr>
          <w:rFonts w:ascii="Arial" w:eastAsia="Times New Roman" w:hAnsi="Arial" w:cs="Arial"/>
          <w:szCs w:val="20"/>
        </w:rPr>
        <w:t>Respectfully submitted,</w:t>
      </w:r>
    </w:p>
    <w:p w:rsidR="007E7BDA" w:rsidRDefault="007E7BDA" w:rsidP="002156CE">
      <w:pPr>
        <w:widowControl w:val="0"/>
        <w:spacing w:after="0" w:line="240" w:lineRule="auto"/>
        <w:ind w:right="-672"/>
        <w:jc w:val="left"/>
        <w:rPr>
          <w:rFonts w:eastAsia="Times New Roman"/>
          <w:szCs w:val="20"/>
        </w:rPr>
      </w:pPr>
    </w:p>
    <w:p w:rsidR="007E7BDA" w:rsidRPr="00B46BFA" w:rsidRDefault="006659C5" w:rsidP="00B46BFA">
      <w:pPr>
        <w:tabs>
          <w:tab w:val="left" w:pos="4320"/>
        </w:tabs>
        <w:spacing w:after="0" w:line="240" w:lineRule="auto"/>
        <w:jc w:val="left"/>
        <w:rPr>
          <w:rFonts w:ascii="Arial" w:eastAsia="Times New Roman" w:hAnsi="Arial" w:cs="Arial"/>
          <w:i/>
          <w:sz w:val="22"/>
          <w:szCs w:val="22"/>
          <w:u w:val="single"/>
        </w:rPr>
      </w:pPr>
      <w:r>
        <w:rPr>
          <w:rFonts w:eastAsia="Times New Roman"/>
          <w:szCs w:val="20"/>
        </w:rPr>
        <w:tab/>
      </w:r>
      <w:r w:rsidR="007E7BDA" w:rsidRPr="00B46BFA">
        <w:rPr>
          <w:rFonts w:ascii="Arial" w:eastAsia="Times New Roman" w:hAnsi="Arial" w:cs="Arial"/>
          <w:i/>
          <w:sz w:val="22"/>
          <w:szCs w:val="22"/>
          <w:u w:val="single"/>
        </w:rPr>
        <w:t>/s/ Samuel C. Randazzo</w:t>
      </w:r>
    </w:p>
    <w:p w:rsidR="007E7BDA" w:rsidRPr="00B46BFA" w:rsidRDefault="007E7BDA" w:rsidP="00B46BFA">
      <w:pPr>
        <w:tabs>
          <w:tab w:val="left" w:pos="4320"/>
        </w:tabs>
        <w:spacing w:after="0" w:line="240" w:lineRule="auto"/>
        <w:ind w:left="4320"/>
        <w:jc w:val="left"/>
        <w:rPr>
          <w:rFonts w:ascii="Arial" w:hAnsi="Arial" w:cs="Arial"/>
          <w:sz w:val="22"/>
          <w:szCs w:val="22"/>
        </w:rPr>
      </w:pPr>
      <w:r w:rsidRPr="00B46BFA">
        <w:rPr>
          <w:rFonts w:ascii="Arial" w:hAnsi="Arial" w:cs="Arial"/>
          <w:sz w:val="22"/>
          <w:szCs w:val="22"/>
        </w:rPr>
        <w:t>Samuel C. Randazzo</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Frank P. Darr</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Matthew R. Pritchard</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McNees Wallace &amp; Nurick LLC</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21 East State Street, 17th Floor</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Columbus, OH 43215-4228</w:t>
      </w:r>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28" w:history="1">
        <w:r w:rsidR="007E7BDA" w:rsidRPr="00B46BFA">
          <w:rPr>
            <w:rFonts w:ascii="Arial" w:hAnsi="Arial" w:cs="Arial"/>
            <w:color w:val="0000FF"/>
            <w:sz w:val="22"/>
            <w:szCs w:val="22"/>
            <w:u w:val="single"/>
          </w:rPr>
          <w:t>sam@mwncmh.com</w:t>
        </w:r>
      </w:hyperlink>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29" w:history="1">
        <w:r w:rsidR="007E7BDA" w:rsidRPr="00B46BFA">
          <w:rPr>
            <w:rFonts w:ascii="Arial" w:hAnsi="Arial" w:cs="Arial"/>
            <w:color w:val="0000FF"/>
            <w:sz w:val="22"/>
            <w:szCs w:val="22"/>
            <w:u w:val="single"/>
          </w:rPr>
          <w:t>fdarr@mwncmh.com</w:t>
        </w:r>
      </w:hyperlink>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30" w:history="1">
        <w:r w:rsidR="007E7BDA" w:rsidRPr="00B46BFA">
          <w:rPr>
            <w:rFonts w:ascii="Arial" w:hAnsi="Arial" w:cs="Arial"/>
            <w:color w:val="0000FF"/>
            <w:sz w:val="22"/>
            <w:szCs w:val="22"/>
            <w:u w:val="single"/>
          </w:rPr>
          <w:t>mpritchard@mwncmh.com</w:t>
        </w:r>
      </w:hyperlink>
    </w:p>
    <w:p w:rsidR="007E7BDA" w:rsidRPr="00B46BFA" w:rsidRDefault="007E7BDA" w:rsidP="006659C5">
      <w:pPr>
        <w:tabs>
          <w:tab w:val="left" w:pos="4320"/>
        </w:tabs>
        <w:spacing w:after="0" w:line="240" w:lineRule="auto"/>
        <w:ind w:left="4320"/>
        <w:jc w:val="left"/>
        <w:rPr>
          <w:rFonts w:ascii="Arial" w:hAnsi="Arial" w:cs="Arial"/>
          <w:b/>
          <w:bCs/>
          <w:sz w:val="22"/>
          <w:szCs w:val="22"/>
        </w:rPr>
      </w:pPr>
    </w:p>
    <w:p w:rsidR="007E7BDA" w:rsidRPr="003B4CFA" w:rsidRDefault="007E7BDA" w:rsidP="006659C5">
      <w:pPr>
        <w:tabs>
          <w:tab w:val="left" w:pos="4320"/>
        </w:tabs>
        <w:spacing w:after="0" w:line="240" w:lineRule="auto"/>
        <w:ind w:left="4320"/>
        <w:jc w:val="left"/>
        <w:rPr>
          <w:rFonts w:ascii="Arial Bold" w:eastAsia="Times New Roman" w:hAnsi="Arial Bold" w:cs="Arial"/>
          <w:b/>
          <w:smallCaps/>
          <w:sz w:val="22"/>
          <w:szCs w:val="22"/>
        </w:rPr>
      </w:pPr>
      <w:r w:rsidRPr="003B4CFA">
        <w:rPr>
          <w:rFonts w:ascii="Arial Bold" w:hAnsi="Arial Bold" w:cs="Arial"/>
          <w:b/>
          <w:bCs/>
          <w:smallCaps/>
          <w:sz w:val="22"/>
          <w:szCs w:val="22"/>
        </w:rPr>
        <w:t>Attorneys for Industrial Energy Users-Ohio</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BRUCE J. WESTON</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OHIO CONSUMERS’ COUNSEL</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i/>
          <w:sz w:val="22"/>
          <w:szCs w:val="22"/>
          <w:u w:val="single"/>
        </w:rPr>
        <w:t>/s/ Maureen R. Grady</w:t>
      </w:r>
      <w:r w:rsidRPr="00B46BFA">
        <w:rPr>
          <w:rFonts w:ascii="Arial" w:eastAsia="Times New Roman" w:hAnsi="Arial" w:cs="Arial"/>
          <w:sz w:val="22"/>
          <w:szCs w:val="22"/>
        </w:rPr>
        <w:t>_________</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Maureen R. Grady, Counsel of Record</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Edmund “Tad” Berger</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Assistant Consumers’ Counsel</w:t>
      </w:r>
    </w:p>
    <w:p w:rsidR="007E7BDA" w:rsidRPr="00B46BFA" w:rsidRDefault="007E7BDA" w:rsidP="006659C5">
      <w:pPr>
        <w:tabs>
          <w:tab w:val="left" w:pos="4320"/>
        </w:tabs>
        <w:spacing w:after="0" w:line="240" w:lineRule="auto"/>
        <w:ind w:left="4320"/>
        <w:jc w:val="left"/>
        <w:rPr>
          <w:rFonts w:ascii="Arial" w:eastAsia="Times New Roman" w:hAnsi="Arial" w:cs="Arial"/>
          <w:b/>
          <w:bCs/>
          <w:sz w:val="22"/>
          <w:szCs w:val="22"/>
        </w:rPr>
      </w:pPr>
      <w:r w:rsidRPr="00B46BFA">
        <w:rPr>
          <w:rFonts w:ascii="Arial" w:eastAsia="Times New Roman" w:hAnsi="Arial" w:cs="Arial"/>
          <w:b/>
          <w:bCs/>
          <w:sz w:val="22"/>
          <w:szCs w:val="22"/>
        </w:rPr>
        <w:t>Office of the Ohio Consumers’ Counsel</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10 West Broad Street, Suite 1800</w:t>
      </w:r>
    </w:p>
    <w:p w:rsidR="007E7BDA" w:rsidRPr="00B46BFA" w:rsidRDefault="007E7BDA" w:rsidP="006659C5">
      <w:pPr>
        <w:tabs>
          <w:tab w:val="left" w:pos="4320"/>
        </w:tabs>
        <w:spacing w:after="0" w:line="240" w:lineRule="auto"/>
        <w:ind w:left="4320"/>
        <w:jc w:val="left"/>
        <w:rPr>
          <w:rFonts w:ascii="Arial" w:eastAsia="Times New Roman" w:hAnsi="Arial" w:cs="Arial"/>
          <w:sz w:val="22"/>
          <w:szCs w:val="22"/>
        </w:rPr>
      </w:pPr>
      <w:r w:rsidRPr="00B46BFA">
        <w:rPr>
          <w:rFonts w:ascii="Arial" w:eastAsia="Times New Roman" w:hAnsi="Arial" w:cs="Arial"/>
          <w:sz w:val="22"/>
          <w:szCs w:val="22"/>
        </w:rPr>
        <w:t>Columbus, Ohio 43215-3485</w:t>
      </w:r>
    </w:p>
    <w:p w:rsidR="007E7BDA" w:rsidRPr="00B46BFA" w:rsidRDefault="0073792B" w:rsidP="006659C5">
      <w:pPr>
        <w:tabs>
          <w:tab w:val="left" w:pos="4320"/>
        </w:tabs>
        <w:spacing w:after="0" w:line="240" w:lineRule="auto"/>
        <w:ind w:left="4320"/>
        <w:jc w:val="left"/>
        <w:rPr>
          <w:rFonts w:ascii="Arial" w:eastAsia="Times New Roman" w:hAnsi="Arial" w:cs="Arial"/>
          <w:sz w:val="22"/>
          <w:szCs w:val="22"/>
        </w:rPr>
      </w:pPr>
      <w:hyperlink r:id="rId31" w:history="1">
        <w:r w:rsidR="007E7BDA" w:rsidRPr="00B46BFA">
          <w:rPr>
            <w:rFonts w:ascii="Arial" w:eastAsia="Times New Roman" w:hAnsi="Arial" w:cs="Arial"/>
            <w:color w:val="0000FF"/>
            <w:sz w:val="22"/>
            <w:szCs w:val="22"/>
            <w:u w:val="single"/>
          </w:rPr>
          <w:t>Maureen.grady@occ.ohio.gov</w:t>
        </w:r>
      </w:hyperlink>
    </w:p>
    <w:p w:rsidR="007E7BDA" w:rsidRPr="00B46BFA" w:rsidRDefault="0073792B" w:rsidP="006659C5">
      <w:pPr>
        <w:tabs>
          <w:tab w:val="left" w:pos="4320"/>
        </w:tabs>
        <w:spacing w:after="0" w:line="240" w:lineRule="auto"/>
        <w:ind w:left="4320"/>
        <w:jc w:val="left"/>
        <w:rPr>
          <w:rFonts w:ascii="Arial" w:eastAsia="Times New Roman" w:hAnsi="Arial" w:cs="Arial"/>
          <w:sz w:val="22"/>
          <w:szCs w:val="22"/>
        </w:rPr>
      </w:pPr>
      <w:hyperlink r:id="rId32" w:history="1">
        <w:r w:rsidR="007E7BDA" w:rsidRPr="00B46BFA">
          <w:rPr>
            <w:rFonts w:ascii="Arial" w:eastAsia="Times New Roman" w:hAnsi="Arial" w:cs="Arial"/>
            <w:color w:val="0000FF"/>
            <w:sz w:val="22"/>
            <w:szCs w:val="22"/>
            <w:u w:val="single"/>
          </w:rPr>
          <w:t>Edmund.berger@occ.ohio.gov</w:t>
        </w:r>
      </w:hyperlink>
    </w:p>
    <w:p w:rsidR="007E7BDA" w:rsidRPr="00B46BFA" w:rsidRDefault="007E7BDA" w:rsidP="006659C5">
      <w:pPr>
        <w:tabs>
          <w:tab w:val="left" w:pos="4320"/>
        </w:tabs>
        <w:spacing w:after="0" w:line="240" w:lineRule="auto"/>
        <w:ind w:left="4320"/>
        <w:jc w:val="left"/>
        <w:rPr>
          <w:rFonts w:ascii="Arial" w:hAnsi="Arial" w:cs="Arial"/>
          <w:i/>
          <w:sz w:val="22"/>
          <w:szCs w:val="22"/>
          <w:u w:val="single"/>
        </w:rPr>
      </w:pPr>
    </w:p>
    <w:p w:rsidR="006659C5" w:rsidRPr="003B4CFA" w:rsidRDefault="006659C5" w:rsidP="006659C5">
      <w:pPr>
        <w:tabs>
          <w:tab w:val="left" w:pos="4320"/>
        </w:tabs>
        <w:spacing w:after="0" w:line="240" w:lineRule="auto"/>
        <w:ind w:left="4320"/>
        <w:jc w:val="left"/>
        <w:rPr>
          <w:rFonts w:ascii="Arial Bold" w:hAnsi="Arial Bold" w:cs="Arial"/>
          <w:b/>
          <w:smallCaps/>
          <w:sz w:val="22"/>
          <w:szCs w:val="22"/>
        </w:rPr>
      </w:pPr>
      <w:r w:rsidRPr="003B4CFA">
        <w:rPr>
          <w:rFonts w:ascii="Arial Bold" w:hAnsi="Arial Bold" w:cs="Arial"/>
          <w:b/>
          <w:smallCaps/>
          <w:sz w:val="22"/>
          <w:szCs w:val="22"/>
        </w:rPr>
        <w:t>Attorneys for the Office of the Ohio Consumers’ Counsel</w:t>
      </w:r>
    </w:p>
    <w:p w:rsidR="006659C5" w:rsidRPr="00B46BFA" w:rsidRDefault="006659C5" w:rsidP="006659C5">
      <w:pPr>
        <w:tabs>
          <w:tab w:val="left" w:pos="4320"/>
        </w:tabs>
        <w:spacing w:after="0" w:line="240" w:lineRule="auto"/>
        <w:ind w:left="4320"/>
        <w:jc w:val="left"/>
        <w:rPr>
          <w:rFonts w:ascii="Arial" w:hAnsi="Arial" w:cs="Arial"/>
          <w:i/>
          <w:sz w:val="22"/>
          <w:szCs w:val="22"/>
          <w:u w:val="single"/>
        </w:rPr>
      </w:pPr>
    </w:p>
    <w:p w:rsidR="007E7BDA" w:rsidRPr="00B46BFA" w:rsidRDefault="007E7BDA" w:rsidP="006659C5">
      <w:pPr>
        <w:tabs>
          <w:tab w:val="left" w:pos="4320"/>
        </w:tabs>
        <w:spacing w:after="0" w:line="240" w:lineRule="auto"/>
        <w:ind w:left="4320"/>
        <w:jc w:val="left"/>
        <w:rPr>
          <w:rFonts w:ascii="Arial" w:hAnsi="Arial" w:cs="Arial"/>
          <w:i/>
          <w:sz w:val="22"/>
          <w:szCs w:val="22"/>
          <w:u w:val="single"/>
        </w:rPr>
      </w:pPr>
      <w:r w:rsidRPr="00B46BFA">
        <w:rPr>
          <w:rFonts w:ascii="Arial" w:hAnsi="Arial" w:cs="Arial"/>
          <w:i/>
          <w:sz w:val="22"/>
          <w:szCs w:val="22"/>
          <w:u w:val="single"/>
        </w:rPr>
        <w:t>/s/ David F. Boehm</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David F. Boehm</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Michael L. Kurtz</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Jody Kyler Cohn</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Boehm, Kurtz &amp; Lowry</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36 East Seventh Street, Suite 1510</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r w:rsidRPr="00B46BFA">
        <w:rPr>
          <w:rFonts w:ascii="Arial" w:hAnsi="Arial" w:cs="Arial"/>
          <w:sz w:val="22"/>
          <w:szCs w:val="22"/>
        </w:rPr>
        <w:t>Cincinnati, OH 45202</w:t>
      </w:r>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33" w:history="1">
        <w:r w:rsidR="007E7BDA" w:rsidRPr="00B46BFA">
          <w:rPr>
            <w:rFonts w:ascii="Arial" w:hAnsi="Arial" w:cs="Arial"/>
            <w:color w:val="0000FF"/>
            <w:sz w:val="22"/>
            <w:szCs w:val="22"/>
            <w:u w:val="single"/>
          </w:rPr>
          <w:t>Dboehm@BKLlawfirm.com</w:t>
        </w:r>
      </w:hyperlink>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34" w:history="1">
        <w:r w:rsidR="007E7BDA" w:rsidRPr="00B46BFA">
          <w:rPr>
            <w:rFonts w:ascii="Arial" w:hAnsi="Arial" w:cs="Arial"/>
            <w:color w:val="0000FF"/>
            <w:sz w:val="22"/>
            <w:szCs w:val="22"/>
            <w:u w:val="single"/>
          </w:rPr>
          <w:t>Mkurtz@BKLIawfirm.com</w:t>
        </w:r>
      </w:hyperlink>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sz w:val="22"/>
          <w:szCs w:val="22"/>
        </w:rPr>
      </w:pPr>
      <w:hyperlink r:id="rId35" w:history="1">
        <w:r w:rsidR="007E7BDA" w:rsidRPr="00B46BFA">
          <w:rPr>
            <w:rFonts w:ascii="Arial" w:hAnsi="Arial" w:cs="Arial"/>
            <w:color w:val="0000FF"/>
            <w:sz w:val="22"/>
            <w:szCs w:val="22"/>
            <w:u w:val="single"/>
          </w:rPr>
          <w:t>Jkylercohn@BKLlawfirm.com</w:t>
        </w:r>
      </w:hyperlink>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p>
    <w:p w:rsidR="007E7BDA" w:rsidRPr="003B4CFA" w:rsidRDefault="007E7BDA" w:rsidP="006659C5">
      <w:pPr>
        <w:tabs>
          <w:tab w:val="left" w:pos="4320"/>
        </w:tabs>
        <w:autoSpaceDE w:val="0"/>
        <w:autoSpaceDN w:val="0"/>
        <w:adjustRightInd w:val="0"/>
        <w:spacing w:after="0" w:line="240" w:lineRule="auto"/>
        <w:ind w:left="4320"/>
        <w:jc w:val="left"/>
        <w:rPr>
          <w:rFonts w:ascii="Arial Bold" w:hAnsi="Arial Bold" w:cs="Arial"/>
          <w:b/>
          <w:smallCaps/>
          <w:sz w:val="22"/>
          <w:szCs w:val="22"/>
        </w:rPr>
      </w:pPr>
      <w:r w:rsidRPr="003B4CFA">
        <w:rPr>
          <w:rFonts w:ascii="Arial Bold" w:hAnsi="Arial Bold" w:cs="Arial"/>
          <w:b/>
          <w:smallCaps/>
          <w:sz w:val="22"/>
          <w:szCs w:val="22"/>
        </w:rPr>
        <w:t>Attorneys for Ohio Energy Group</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sz w:val="22"/>
          <w:szCs w:val="22"/>
        </w:rPr>
      </w:pP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i/>
          <w:sz w:val="22"/>
          <w:szCs w:val="22"/>
          <w:u w:val="single"/>
        </w:rPr>
      </w:pPr>
      <w:r w:rsidRPr="00B46BFA">
        <w:rPr>
          <w:rFonts w:ascii="Arial" w:hAnsi="Arial" w:cs="Arial"/>
          <w:i/>
          <w:sz w:val="22"/>
          <w:szCs w:val="22"/>
          <w:u w:val="single"/>
        </w:rPr>
        <w:t>/s/ Colleen L. Mooney</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color w:val="000000"/>
          <w:sz w:val="22"/>
          <w:szCs w:val="22"/>
        </w:rPr>
      </w:pPr>
      <w:r w:rsidRPr="00B46BFA">
        <w:rPr>
          <w:rFonts w:ascii="Arial" w:hAnsi="Arial" w:cs="Arial"/>
          <w:color w:val="000000"/>
          <w:sz w:val="22"/>
          <w:szCs w:val="22"/>
        </w:rPr>
        <w:t>Colleen L. Mooney</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color w:val="000000"/>
          <w:sz w:val="22"/>
          <w:szCs w:val="22"/>
        </w:rPr>
      </w:pPr>
      <w:r w:rsidRPr="00B46BFA">
        <w:rPr>
          <w:rFonts w:ascii="Arial" w:hAnsi="Arial" w:cs="Arial"/>
          <w:color w:val="000000"/>
          <w:sz w:val="22"/>
          <w:szCs w:val="22"/>
        </w:rPr>
        <w:t>Ohio Partners for Affordable Energy</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color w:val="000000"/>
          <w:sz w:val="22"/>
          <w:szCs w:val="22"/>
        </w:rPr>
      </w:pPr>
      <w:r w:rsidRPr="00B46BFA">
        <w:rPr>
          <w:rFonts w:ascii="Arial" w:hAnsi="Arial" w:cs="Arial"/>
          <w:color w:val="000000"/>
          <w:sz w:val="22"/>
          <w:szCs w:val="22"/>
        </w:rPr>
        <w:t>231 West Lima Street</w:t>
      </w:r>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color w:val="000000"/>
          <w:sz w:val="22"/>
          <w:szCs w:val="22"/>
        </w:rPr>
      </w:pPr>
      <w:r w:rsidRPr="00B46BFA">
        <w:rPr>
          <w:rFonts w:ascii="Arial" w:hAnsi="Arial" w:cs="Arial"/>
          <w:color w:val="000000"/>
          <w:sz w:val="22"/>
          <w:szCs w:val="22"/>
        </w:rPr>
        <w:t>Findlay, OH 45839-1793</w:t>
      </w:r>
    </w:p>
    <w:p w:rsidR="007E7BDA" w:rsidRPr="00B46BFA" w:rsidRDefault="0073792B" w:rsidP="006659C5">
      <w:pPr>
        <w:tabs>
          <w:tab w:val="left" w:pos="4320"/>
        </w:tabs>
        <w:autoSpaceDE w:val="0"/>
        <w:autoSpaceDN w:val="0"/>
        <w:adjustRightInd w:val="0"/>
        <w:spacing w:after="0" w:line="240" w:lineRule="auto"/>
        <w:ind w:left="4320"/>
        <w:jc w:val="left"/>
        <w:rPr>
          <w:rFonts w:ascii="Arial" w:hAnsi="Arial" w:cs="Arial"/>
          <w:color w:val="0000FF"/>
          <w:sz w:val="22"/>
          <w:szCs w:val="22"/>
        </w:rPr>
      </w:pPr>
      <w:hyperlink r:id="rId36" w:history="1">
        <w:r w:rsidR="007E7BDA" w:rsidRPr="00B46BFA">
          <w:rPr>
            <w:rFonts w:ascii="Arial" w:hAnsi="Arial" w:cs="Arial"/>
            <w:color w:val="0000FF"/>
            <w:sz w:val="22"/>
            <w:szCs w:val="22"/>
            <w:u w:val="single"/>
          </w:rPr>
          <w:t>cmooney@ohiopartners.org</w:t>
        </w:r>
      </w:hyperlink>
    </w:p>
    <w:p w:rsidR="007E7BDA" w:rsidRPr="00B46BFA" w:rsidRDefault="007E7BDA" w:rsidP="006659C5">
      <w:pPr>
        <w:tabs>
          <w:tab w:val="left" w:pos="4320"/>
        </w:tabs>
        <w:autoSpaceDE w:val="0"/>
        <w:autoSpaceDN w:val="0"/>
        <w:adjustRightInd w:val="0"/>
        <w:spacing w:after="0" w:line="240" w:lineRule="auto"/>
        <w:ind w:left="4320"/>
        <w:jc w:val="left"/>
        <w:rPr>
          <w:rFonts w:ascii="Arial" w:hAnsi="Arial" w:cs="Arial"/>
          <w:color w:val="0000FF"/>
          <w:sz w:val="22"/>
          <w:szCs w:val="22"/>
        </w:rPr>
      </w:pPr>
    </w:p>
    <w:p w:rsidR="00B51B8A" w:rsidRDefault="007E7BDA" w:rsidP="006659C5">
      <w:pPr>
        <w:tabs>
          <w:tab w:val="left" w:pos="4320"/>
        </w:tabs>
        <w:autoSpaceDE w:val="0"/>
        <w:autoSpaceDN w:val="0"/>
        <w:adjustRightInd w:val="0"/>
        <w:spacing w:after="0" w:line="240" w:lineRule="auto"/>
        <w:ind w:left="4320"/>
        <w:jc w:val="left"/>
        <w:rPr>
          <w:rFonts w:ascii="Arial Bold" w:hAnsi="Arial Bold" w:cs="Arial"/>
          <w:b/>
          <w:smallCaps/>
          <w:sz w:val="22"/>
          <w:szCs w:val="22"/>
        </w:rPr>
        <w:sectPr w:rsidR="00B51B8A" w:rsidSect="006C0CFE">
          <w:headerReference w:type="default" r:id="rId37"/>
          <w:footerReference w:type="default" r:id="rId38"/>
          <w:headerReference w:type="first" r:id="rId39"/>
          <w:footerReference w:type="first" r:id="rId40"/>
          <w:pgSz w:w="12240" w:h="15840" w:code="1"/>
          <w:pgMar w:top="1440" w:right="1440" w:bottom="1440" w:left="1440" w:header="720" w:footer="720" w:gutter="0"/>
          <w:pgNumType w:start="1"/>
          <w:cols w:space="720"/>
          <w:titlePg/>
          <w:docGrid w:linePitch="360"/>
        </w:sectPr>
      </w:pPr>
      <w:r w:rsidRPr="003B4CFA">
        <w:rPr>
          <w:rFonts w:ascii="Arial Bold" w:hAnsi="Arial Bold" w:cs="Arial"/>
          <w:b/>
          <w:smallCaps/>
          <w:sz w:val="22"/>
          <w:szCs w:val="22"/>
        </w:rPr>
        <w:t>Attorney for Ohi</w:t>
      </w:r>
      <w:r w:rsidR="002156CE" w:rsidRPr="003B4CFA">
        <w:rPr>
          <w:rFonts w:ascii="Arial Bold" w:hAnsi="Arial Bold" w:cs="Arial"/>
          <w:b/>
          <w:smallCaps/>
          <w:sz w:val="22"/>
          <w:szCs w:val="22"/>
        </w:rPr>
        <w:t>o Partners for Affordable Energy</w:t>
      </w:r>
    </w:p>
    <w:p w:rsidR="003B4CFA" w:rsidRPr="003B4CFA" w:rsidRDefault="003B4CFA" w:rsidP="00B51B8A">
      <w:pPr>
        <w:tabs>
          <w:tab w:val="left" w:pos="2160"/>
          <w:tab w:val="left" w:pos="2280"/>
        </w:tabs>
        <w:spacing w:after="0" w:line="240" w:lineRule="auto"/>
        <w:jc w:val="center"/>
        <w:rPr>
          <w:rFonts w:ascii="Arial Bold" w:eastAsia="Times New Roman" w:hAnsi="Arial Bold" w:cs="Arial"/>
          <w:b/>
          <w:smallCaps/>
          <w:sz w:val="28"/>
          <w:u w:val="single"/>
        </w:rPr>
      </w:pPr>
      <w:r w:rsidRPr="003B4CFA">
        <w:rPr>
          <w:rFonts w:ascii="Arial Bold" w:eastAsia="Times New Roman" w:hAnsi="Arial Bold" w:cs="Arial"/>
          <w:b/>
          <w:smallCaps/>
          <w:sz w:val="28"/>
          <w:u w:val="single"/>
        </w:rPr>
        <w:lastRenderedPageBreak/>
        <w:t>Certificate of Service</w:t>
      </w:r>
    </w:p>
    <w:p w:rsidR="003B4CFA" w:rsidRPr="003B4CFA" w:rsidRDefault="003B4CFA" w:rsidP="003B4CFA">
      <w:pPr>
        <w:spacing w:after="0" w:line="240" w:lineRule="auto"/>
        <w:jc w:val="left"/>
        <w:rPr>
          <w:rFonts w:ascii="Arial" w:eastAsia="Times New Roman" w:hAnsi="Arial" w:cs="Arial"/>
        </w:rPr>
      </w:pPr>
    </w:p>
    <w:p w:rsidR="003B4CFA" w:rsidRPr="003B4CFA" w:rsidRDefault="003B4CFA" w:rsidP="003B4CFA">
      <w:pPr>
        <w:spacing w:after="0"/>
        <w:ind w:firstLine="720"/>
        <w:rPr>
          <w:rFonts w:ascii="Arial" w:eastAsia="Times New Roman" w:hAnsi="Arial" w:cs="Arial"/>
          <w:b/>
          <w:smallCaps/>
        </w:rPr>
      </w:pPr>
      <w:r w:rsidRPr="003B4CFA">
        <w:rPr>
          <w:rFonts w:ascii="Arial" w:eastAsia="Times New Roman" w:hAnsi="Arial" w:cs="Arial"/>
        </w:rPr>
        <w:t xml:space="preserve">In accordance with Rule 4901-1-05, Ohio Administrative Code, the Public Utilities Commission of Ohio's e-filing system will electronically serve notice of the filing of this document upon the following parties.  In addition, I hereby certify that a service copy of the foregoing </w:t>
      </w:r>
      <w:r w:rsidRPr="0003245F">
        <w:rPr>
          <w:rFonts w:ascii="Arial" w:eastAsia="Times New Roman" w:hAnsi="Arial" w:cs="Arial"/>
          <w:i/>
        </w:rPr>
        <w:t>Reply of Joint Movants to Memorandum Contra of the Dayton Power and Light Company to Motion for a Stay or, in the Alternative, Motion to Make DP&amp;L’s Rates for Charging the Service</w:t>
      </w:r>
      <w:r w:rsidR="00B51B8A" w:rsidRPr="0003245F">
        <w:rPr>
          <w:rFonts w:ascii="Arial" w:eastAsia="Times New Roman" w:hAnsi="Arial" w:cs="Arial"/>
          <w:i/>
        </w:rPr>
        <w:t xml:space="preserve"> Stability Rider Costs to Customers Subject to Refund</w:t>
      </w:r>
      <w:r w:rsidRPr="003B4CFA">
        <w:rPr>
          <w:rFonts w:ascii="Arial" w:eastAsia="Times New Roman" w:hAnsi="Arial" w:cs="Arial"/>
        </w:rPr>
        <w:t xml:space="preserve"> was sent by, or on behalf of, the undersigned counsel for </w:t>
      </w:r>
      <w:r w:rsidR="00B51B8A">
        <w:rPr>
          <w:rFonts w:ascii="Arial" w:eastAsia="Times New Roman" w:hAnsi="Arial" w:cs="Arial"/>
        </w:rPr>
        <w:t xml:space="preserve">Joint </w:t>
      </w:r>
      <w:r w:rsidRPr="003B4CFA">
        <w:rPr>
          <w:rFonts w:ascii="Arial" w:eastAsia="Times New Roman" w:hAnsi="Arial" w:cs="Arial"/>
        </w:rPr>
        <w:t xml:space="preserve">Movants to the following parties of record this </w:t>
      </w:r>
      <w:r w:rsidR="0003245F">
        <w:rPr>
          <w:rFonts w:ascii="Arial" w:eastAsia="Times New Roman" w:hAnsi="Arial" w:cs="Arial"/>
        </w:rPr>
        <w:t>21</w:t>
      </w:r>
      <w:r w:rsidR="0003245F" w:rsidRPr="0003245F">
        <w:rPr>
          <w:rFonts w:ascii="Arial" w:eastAsia="Times New Roman" w:hAnsi="Arial" w:cs="Arial"/>
          <w:vertAlign w:val="superscript"/>
        </w:rPr>
        <w:t>st</w:t>
      </w:r>
      <w:r w:rsidRPr="003B4CFA">
        <w:rPr>
          <w:rFonts w:ascii="Arial" w:eastAsia="Times New Roman" w:hAnsi="Arial" w:cs="Arial"/>
        </w:rPr>
        <w:t xml:space="preserve"> day of </w:t>
      </w:r>
      <w:r w:rsidR="0003245F">
        <w:rPr>
          <w:rFonts w:ascii="Arial" w:eastAsia="Times New Roman" w:hAnsi="Arial" w:cs="Arial"/>
        </w:rPr>
        <w:t xml:space="preserve">August </w:t>
      </w:r>
      <w:r w:rsidRPr="003B4CFA">
        <w:rPr>
          <w:rFonts w:ascii="Arial" w:eastAsia="Times New Roman" w:hAnsi="Arial" w:cs="Arial"/>
        </w:rPr>
        <w:t xml:space="preserve">2014, </w:t>
      </w:r>
      <w:r w:rsidRPr="003B4CFA">
        <w:rPr>
          <w:rFonts w:ascii="Arial" w:eastAsia="Times New Roman" w:hAnsi="Arial" w:cs="Arial"/>
          <w:i/>
        </w:rPr>
        <w:t>via</w:t>
      </w:r>
      <w:r w:rsidRPr="003B4CFA">
        <w:rPr>
          <w:rFonts w:ascii="Arial" w:eastAsia="Times New Roman" w:hAnsi="Arial" w:cs="Arial"/>
        </w:rPr>
        <w:t xml:space="preserve"> electronic transmission. </w:t>
      </w:r>
    </w:p>
    <w:p w:rsidR="003B4CFA" w:rsidRPr="003B4CFA" w:rsidRDefault="003B4CFA" w:rsidP="003B4CFA">
      <w:pPr>
        <w:spacing w:after="0" w:line="240" w:lineRule="auto"/>
        <w:jc w:val="left"/>
        <w:rPr>
          <w:rFonts w:eastAsia="Times New Roman"/>
        </w:rPr>
      </w:pPr>
    </w:p>
    <w:p w:rsidR="003B4CFA" w:rsidRDefault="003B4CFA" w:rsidP="003B4CFA">
      <w:pPr>
        <w:tabs>
          <w:tab w:val="right" w:pos="8640"/>
        </w:tabs>
        <w:spacing w:after="0" w:line="240" w:lineRule="auto"/>
        <w:ind w:left="5040"/>
        <w:jc w:val="left"/>
        <w:rPr>
          <w:rFonts w:ascii="Arial" w:eastAsia="Times New Roman" w:hAnsi="Arial" w:cs="Arial"/>
          <w:u w:val="single"/>
        </w:rPr>
      </w:pPr>
      <w:r w:rsidRPr="003B4CFA">
        <w:rPr>
          <w:rFonts w:ascii="Arial" w:eastAsia="Times New Roman" w:hAnsi="Arial" w:cs="Arial"/>
          <w:u w:val="single"/>
        </w:rPr>
        <w:t xml:space="preserve">/s/ </w:t>
      </w:r>
      <w:r>
        <w:rPr>
          <w:rFonts w:ascii="Arial" w:eastAsia="Times New Roman" w:hAnsi="Arial" w:cs="Arial"/>
          <w:u w:val="single"/>
        </w:rPr>
        <w:t>Frank P. Darr</w:t>
      </w:r>
      <w:r w:rsidRPr="003B4CFA">
        <w:rPr>
          <w:rFonts w:ascii="Arial" w:eastAsia="Times New Roman" w:hAnsi="Arial" w:cs="Arial"/>
          <w:u w:val="single"/>
        </w:rPr>
        <w:tab/>
      </w:r>
    </w:p>
    <w:p w:rsidR="003B4CFA" w:rsidRPr="003B4CFA" w:rsidRDefault="003B4CFA" w:rsidP="003B4CFA">
      <w:pPr>
        <w:tabs>
          <w:tab w:val="right" w:pos="8640"/>
        </w:tabs>
        <w:spacing w:after="0" w:line="240" w:lineRule="auto"/>
        <w:ind w:left="5040"/>
        <w:jc w:val="left"/>
        <w:rPr>
          <w:rFonts w:ascii="Arial" w:eastAsia="Times New Roman" w:hAnsi="Arial" w:cs="Arial"/>
        </w:rPr>
      </w:pPr>
      <w:r>
        <w:rPr>
          <w:rFonts w:ascii="Arial" w:eastAsia="Times New Roman" w:hAnsi="Arial" w:cs="Arial"/>
        </w:rPr>
        <w:t xml:space="preserve">           Frank P. Darr</w:t>
      </w:r>
    </w:p>
    <w:p w:rsidR="003B4CFA" w:rsidRDefault="003B4CFA" w:rsidP="003B4CFA">
      <w:pPr>
        <w:tabs>
          <w:tab w:val="left" w:pos="4320"/>
        </w:tabs>
        <w:autoSpaceDE w:val="0"/>
        <w:autoSpaceDN w:val="0"/>
        <w:adjustRightInd w:val="0"/>
        <w:spacing w:after="0" w:line="240" w:lineRule="auto"/>
        <w:jc w:val="left"/>
        <w:rPr>
          <w:rFonts w:ascii="Arial" w:hAnsi="Arial" w:cs="Arial"/>
          <w:b/>
          <w:smallCaps/>
        </w:rPr>
        <w:sectPr w:rsidR="003B4CFA" w:rsidSect="006C0CFE">
          <w:pgSz w:w="12240" w:h="15840" w:code="1"/>
          <w:pgMar w:top="1440" w:right="1440" w:bottom="1440" w:left="1440" w:header="720" w:footer="720" w:gutter="0"/>
          <w:pgNumType w:start="1"/>
          <w:cols w:space="720"/>
          <w:titlePg/>
          <w:docGrid w:linePitch="360"/>
        </w:sectPr>
      </w:pPr>
    </w:p>
    <w:p w:rsidR="003B4CFA" w:rsidRPr="00E6494F" w:rsidRDefault="003B4CFA" w:rsidP="003B4CFA">
      <w:pPr>
        <w:tabs>
          <w:tab w:val="left" w:pos="4320"/>
        </w:tabs>
        <w:autoSpaceDE w:val="0"/>
        <w:autoSpaceDN w:val="0"/>
        <w:adjustRightInd w:val="0"/>
        <w:spacing w:after="0" w:line="240" w:lineRule="auto"/>
        <w:jc w:val="left"/>
        <w:rPr>
          <w:rFonts w:ascii="Arial" w:hAnsi="Arial" w:cs="Arial"/>
          <w:smallCaps/>
        </w:rPr>
      </w:pP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judi.sobecki@dplinc.com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randall.griffin@dplinc.com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cfaruki@ficlaw.com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jsharkey@ficlaw.com</w:t>
      </w:r>
    </w:p>
    <w:p w:rsidR="003B4CFA" w:rsidRPr="003B4CFA" w:rsidRDefault="003B4CFA" w:rsidP="003B4CFA">
      <w:pPr>
        <w:tabs>
          <w:tab w:val="left" w:pos="-1440"/>
          <w:tab w:val="left" w:pos="-720"/>
          <w:tab w:val="left" w:pos="5040"/>
          <w:tab w:val="center" w:pos="7200"/>
        </w:tabs>
        <w:spacing w:after="0" w:line="240" w:lineRule="auto"/>
        <w:rPr>
          <w:rFonts w:ascii="Arial" w:eastAsia="Arial" w:hAnsi="Arial" w:cs="Arial"/>
          <w:sz w:val="22"/>
          <w:szCs w:val="22"/>
        </w:rPr>
      </w:pPr>
      <w:r w:rsidRPr="003B4CFA">
        <w:rPr>
          <w:rFonts w:ascii="Arial" w:eastAsia="Arial" w:hAnsi="Arial" w:cs="Arial"/>
          <w:sz w:val="22"/>
          <w:szCs w:val="22"/>
        </w:rPr>
        <w:t>arthur.meyer@dplinc.com</w:t>
      </w:r>
    </w:p>
    <w:p w:rsidR="003B4CFA" w:rsidRPr="003B4CFA" w:rsidRDefault="003B4CFA" w:rsidP="003B4CFA">
      <w:pPr>
        <w:spacing w:after="0" w:line="240" w:lineRule="auto"/>
        <w:jc w:val="left"/>
        <w:rPr>
          <w:rFonts w:ascii="Arial" w:eastAsia="Times New Roman" w:hAnsi="Arial" w:cs="Arial"/>
          <w:sz w:val="22"/>
          <w:szCs w:val="22"/>
        </w:rPr>
      </w:pPr>
      <w:r w:rsidRPr="003B4CFA">
        <w:rPr>
          <w:rFonts w:ascii="Arial" w:eastAsia="Times New Roman" w:hAnsi="Arial" w:cs="Arial"/>
          <w:sz w:val="22"/>
          <w:szCs w:val="22"/>
        </w:rPr>
        <w:t>dboehm@BKLlawfirm.com</w:t>
      </w:r>
    </w:p>
    <w:p w:rsidR="003B4CFA" w:rsidRPr="003B4CFA" w:rsidRDefault="003B4CFA" w:rsidP="003B4CFA">
      <w:pPr>
        <w:spacing w:after="0" w:line="240" w:lineRule="auto"/>
        <w:jc w:val="left"/>
        <w:rPr>
          <w:rFonts w:ascii="Arial" w:eastAsia="Times New Roman" w:hAnsi="Arial" w:cs="Arial"/>
          <w:sz w:val="22"/>
          <w:szCs w:val="22"/>
        </w:rPr>
      </w:pPr>
      <w:r w:rsidRPr="003B4CFA">
        <w:rPr>
          <w:rFonts w:ascii="Arial" w:eastAsia="Times New Roman" w:hAnsi="Arial" w:cs="Arial"/>
          <w:sz w:val="22"/>
          <w:szCs w:val="22"/>
        </w:rPr>
        <w:t>mkurtz@BKLlawfirm.com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etter@occ.state.oh.us</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serio@occ.state.oh.us</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berger@occ.state.oh.us</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amy.spiller@duke-energy.com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jeanne.kingery@duke-energy.com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philip.sineneng@ThompsonHine.com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bmcmahon@emh-law.com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elizabeth.watts@duke-energy.com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rocco.d’ascenzo@duke-energy.com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ricks@ohanet.org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tobrien@bricker.com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barth.royer@aol.com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gary.a.jeffries@dom.com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drinebolt@ohiopartners.org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cmooney2@columbus.rr.com</w:t>
      </w:r>
    </w:p>
    <w:p w:rsidR="003B4CFA" w:rsidRPr="003B4CFA" w:rsidRDefault="003B4CFA" w:rsidP="003B4CFA">
      <w:pPr>
        <w:tabs>
          <w:tab w:val="left" w:pos="2160"/>
          <w:tab w:val="left" w:pos="2280"/>
        </w:tabs>
        <w:spacing w:after="0" w:line="240" w:lineRule="auto"/>
        <w:rPr>
          <w:rFonts w:ascii="Arial" w:eastAsia="Arial" w:hAnsi="Arial" w:cs="Arial"/>
          <w:sz w:val="22"/>
          <w:szCs w:val="22"/>
          <w:u w:val="single"/>
        </w:rPr>
      </w:pPr>
      <w:r w:rsidRPr="003B4CFA">
        <w:rPr>
          <w:rFonts w:ascii="Arial" w:eastAsia="Arial" w:hAnsi="Arial" w:cs="Arial"/>
          <w:sz w:val="22"/>
          <w:szCs w:val="22"/>
        </w:rPr>
        <w:t>whitt@whitt-sturtevant.com</w:t>
      </w:r>
    </w:p>
    <w:p w:rsidR="00B51B8A" w:rsidRPr="00E6494F" w:rsidRDefault="00E6494F" w:rsidP="003B4CFA">
      <w:pPr>
        <w:tabs>
          <w:tab w:val="left" w:pos="2160"/>
          <w:tab w:val="left" w:pos="2280"/>
        </w:tabs>
        <w:spacing w:after="0" w:line="240" w:lineRule="auto"/>
        <w:rPr>
          <w:rFonts w:ascii="Arial" w:eastAsia="Arial" w:hAnsi="Arial" w:cs="Arial"/>
          <w:sz w:val="22"/>
          <w:szCs w:val="22"/>
        </w:rPr>
      </w:pPr>
      <w:r>
        <w:rPr>
          <w:rFonts w:ascii="Arial" w:eastAsia="Arial" w:hAnsi="Arial" w:cs="Arial"/>
          <w:sz w:val="22"/>
          <w:szCs w:val="22"/>
        </w:rPr>
        <w:t>campbell@whitt-sturtevant.com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vparisi@igsenergy.com</w:t>
      </w:r>
    </w:p>
    <w:p w:rsidR="00E6494F" w:rsidRPr="00E6494F" w:rsidRDefault="00E6494F" w:rsidP="003B4CFA">
      <w:pPr>
        <w:spacing w:after="0" w:line="240" w:lineRule="auto"/>
        <w:rPr>
          <w:rFonts w:ascii="Arial" w:eastAsia="Arial" w:hAnsi="Arial" w:cs="Arial"/>
        </w:rPr>
      </w:pPr>
    </w:p>
    <w:p w:rsidR="00E6494F" w:rsidRPr="00E6494F" w:rsidRDefault="00E6494F" w:rsidP="003B4CFA">
      <w:pPr>
        <w:spacing w:after="0" w:line="240" w:lineRule="auto"/>
        <w:rPr>
          <w:rFonts w:ascii="Arial" w:eastAsia="Arial" w:hAnsi="Arial" w:cs="Arial"/>
        </w:rPr>
      </w:pP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barthroyer@aol.com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trent@theoec.org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cathy@theoec.org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williams.toddm@gmail.com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ejacobs@ablelaw.org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mhpetricoff@vorys.com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smhoward@vorys.com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david.fein@constellation.com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cynthia.a.fonner@constellation.com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Tasha.hamilton@constellation.com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myurick@taftlaw.com</w:t>
      </w:r>
    </w:p>
    <w:p w:rsidR="003B4CFA" w:rsidRPr="003B4CFA" w:rsidRDefault="00B51B8A" w:rsidP="003B4CFA">
      <w:pPr>
        <w:spacing w:after="0" w:line="240" w:lineRule="auto"/>
        <w:rPr>
          <w:rFonts w:ascii="Arial" w:eastAsia="Arial" w:hAnsi="Arial" w:cs="Arial"/>
          <w:sz w:val="22"/>
          <w:szCs w:val="22"/>
        </w:rPr>
      </w:pPr>
      <w:r>
        <w:rPr>
          <w:rFonts w:ascii="Arial" w:eastAsia="Arial" w:hAnsi="Arial" w:cs="Arial"/>
          <w:sz w:val="22"/>
          <w:szCs w:val="22"/>
        </w:rPr>
        <w:t>zkravitz@taftlaw.com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mhpetricoff@vorys.com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smhoward@vorys.com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Tony_Long@ham.honda.com</w:t>
      </w:r>
    </w:p>
    <w:p w:rsidR="00B51B8A" w:rsidRDefault="0073792B" w:rsidP="00B51B8A">
      <w:pPr>
        <w:spacing w:after="0" w:line="240" w:lineRule="auto"/>
        <w:rPr>
          <w:rFonts w:ascii="Arial" w:eastAsia="Arial" w:hAnsi="Arial" w:cs="Arial"/>
          <w:sz w:val="22"/>
          <w:szCs w:val="22"/>
        </w:rPr>
      </w:pPr>
      <w:hyperlink r:id="rId41" w:history="1">
        <w:r w:rsidR="003B4CFA" w:rsidRPr="003B4CFA">
          <w:rPr>
            <w:rFonts w:ascii="Arial" w:eastAsia="Arial" w:hAnsi="Arial" w:cs="Arial"/>
            <w:sz w:val="22"/>
            <w:szCs w:val="22"/>
          </w:rPr>
          <w:t>Stephen.bennett@exeloncorp.com</w:t>
        </w:r>
      </w:hyperlink>
    </w:p>
    <w:p w:rsidR="003B4CFA" w:rsidRPr="003B4CFA" w:rsidRDefault="003B4CFA" w:rsidP="00B51B8A">
      <w:pPr>
        <w:spacing w:after="0" w:line="240" w:lineRule="auto"/>
        <w:rPr>
          <w:rFonts w:ascii="Arial" w:eastAsia="Arial" w:hAnsi="Arial" w:cs="Arial"/>
          <w:sz w:val="22"/>
          <w:szCs w:val="22"/>
        </w:rPr>
      </w:pPr>
      <w:r w:rsidRPr="003B4CFA">
        <w:rPr>
          <w:rFonts w:ascii="Arial" w:eastAsia="Arial" w:hAnsi="Arial" w:cs="Arial"/>
          <w:sz w:val="22"/>
          <w:szCs w:val="22"/>
        </w:rPr>
        <w:t>LGearhardt@ofbf.org</w:t>
      </w:r>
    </w:p>
    <w:p w:rsidR="003B4CFA" w:rsidRPr="003B4CFA" w:rsidRDefault="003B4CFA" w:rsidP="003B4CFA">
      <w:pPr>
        <w:tabs>
          <w:tab w:val="left" w:pos="-1440"/>
          <w:tab w:val="left" w:pos="-720"/>
          <w:tab w:val="left" w:pos="5040"/>
          <w:tab w:val="center" w:pos="7200"/>
        </w:tabs>
        <w:spacing w:after="0" w:line="240" w:lineRule="auto"/>
        <w:rPr>
          <w:rFonts w:ascii="Arial" w:eastAsia="Arial" w:hAnsi="Arial" w:cs="Arial"/>
          <w:sz w:val="22"/>
          <w:szCs w:val="22"/>
        </w:rPr>
      </w:pPr>
      <w:r w:rsidRPr="003B4CFA">
        <w:rPr>
          <w:rFonts w:ascii="Arial" w:eastAsia="Arial" w:hAnsi="Arial" w:cs="Arial"/>
          <w:sz w:val="22"/>
          <w:szCs w:val="22"/>
        </w:rPr>
        <w:t>dconway@porterwright.com</w:t>
      </w:r>
    </w:p>
    <w:p w:rsidR="003B4CFA" w:rsidRPr="003B4CFA" w:rsidRDefault="003B4CFA" w:rsidP="003B4CFA">
      <w:pPr>
        <w:tabs>
          <w:tab w:val="left" w:pos="-1440"/>
          <w:tab w:val="left" w:pos="-720"/>
          <w:tab w:val="left" w:pos="5040"/>
          <w:tab w:val="center" w:pos="7200"/>
        </w:tabs>
        <w:spacing w:after="0" w:line="240" w:lineRule="auto"/>
        <w:rPr>
          <w:rFonts w:ascii="Arial" w:eastAsia="Arial" w:hAnsi="Arial" w:cs="Arial"/>
          <w:sz w:val="22"/>
          <w:szCs w:val="22"/>
        </w:rPr>
      </w:pPr>
      <w:r w:rsidRPr="003B4CFA">
        <w:rPr>
          <w:rFonts w:ascii="Arial" w:eastAsia="Arial" w:hAnsi="Arial" w:cs="Arial"/>
          <w:sz w:val="22"/>
          <w:szCs w:val="22"/>
        </w:rPr>
        <w:t>aemerson@porterwright.com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haydenm@firstenergycorp.com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coneil@calfee.com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shannon@calfee.com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jlang@calfee.com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lmcbride@calfee.com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talexander@calfee.com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dakutik@jonesday.com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aehaedt@jonesday.com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lastRenderedPageBreak/>
        <w:t>jejadwin@aep.com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Thomas.Melone@AllcoUS.com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joseph.clark@directenergy.com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christopher.miller@icemiller.com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gregory.dunn@icemiller.com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alan.starkoff@icemiller.com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ssolberg@EimerStahl.com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stephanie.Chmiel@ThompsonHine.com</w:t>
      </w:r>
    </w:p>
    <w:p w:rsidR="003B4CFA" w:rsidRPr="00B51B8A" w:rsidRDefault="003B4CFA" w:rsidP="003B4CFA">
      <w:pPr>
        <w:tabs>
          <w:tab w:val="left" w:pos="2160"/>
          <w:tab w:val="left" w:pos="2280"/>
        </w:tabs>
        <w:spacing w:after="0" w:line="240" w:lineRule="auto"/>
        <w:rPr>
          <w:rFonts w:ascii="Arial" w:eastAsia="Arial" w:hAnsi="Arial" w:cs="Arial"/>
          <w:sz w:val="22"/>
          <w:szCs w:val="22"/>
          <w:u w:val="single"/>
        </w:rPr>
      </w:pPr>
      <w:r w:rsidRPr="003B4CFA">
        <w:rPr>
          <w:rFonts w:ascii="Arial" w:eastAsia="Arial" w:hAnsi="Arial" w:cs="Arial"/>
          <w:sz w:val="22"/>
          <w:szCs w:val="22"/>
        </w:rPr>
        <w:t>michael.Dillard@ThompsonHine.com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philip.sineneng@ThompsonHine.com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mjsatterwhite@aep.com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stnourse@aep.com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bojko@carpenterlipps.com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sechler@carpenterlipps.com</w:t>
      </w:r>
    </w:p>
    <w:p w:rsidR="003B4CFA" w:rsidRPr="00B51B8A" w:rsidRDefault="003B4CFA" w:rsidP="003B4CFA">
      <w:pPr>
        <w:tabs>
          <w:tab w:val="left" w:pos="2160"/>
          <w:tab w:val="left" w:pos="2280"/>
        </w:tabs>
        <w:spacing w:after="0" w:line="240" w:lineRule="auto"/>
        <w:rPr>
          <w:rFonts w:ascii="Arial" w:eastAsia="Arial" w:hAnsi="Arial" w:cs="Arial"/>
          <w:sz w:val="22"/>
          <w:szCs w:val="22"/>
          <w:u w:val="single"/>
        </w:rPr>
      </w:pPr>
      <w:r w:rsidRPr="003B4CFA">
        <w:rPr>
          <w:rFonts w:ascii="Arial" w:eastAsia="Arial" w:hAnsi="Arial" w:cs="Arial"/>
          <w:sz w:val="22"/>
          <w:szCs w:val="22"/>
        </w:rPr>
        <w:t>matt@matthewcoxlaw.com</w:t>
      </w:r>
    </w:p>
    <w:p w:rsidR="003B4CFA" w:rsidRPr="003B4CFA" w:rsidRDefault="003B4CFA" w:rsidP="003B4CFA">
      <w:pPr>
        <w:tabs>
          <w:tab w:val="left" w:pos="2160"/>
          <w:tab w:val="left" w:pos="2280"/>
        </w:tabs>
        <w:spacing w:after="0" w:line="240" w:lineRule="auto"/>
        <w:rPr>
          <w:rFonts w:ascii="Arial" w:eastAsia="Arial" w:hAnsi="Arial" w:cs="Arial"/>
          <w:sz w:val="22"/>
          <w:szCs w:val="22"/>
        </w:rPr>
      </w:pPr>
      <w:r w:rsidRPr="003B4CFA">
        <w:rPr>
          <w:rFonts w:ascii="Arial" w:eastAsia="Arial" w:hAnsi="Arial" w:cs="Arial"/>
          <w:sz w:val="22"/>
          <w:szCs w:val="22"/>
        </w:rPr>
        <w:t>gpoulos@enernoc.com</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william.wright@puc.state.oh.us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thomas.lindgren@puc.state.oh.us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thomas.mcnamee@puc.state.oh.us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steven.beeler@puc.state.oh.us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devin.parram@puc.state.oh.us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gregory.price@puc.state.oh.us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mandy.willey@puc.state.oh.us</w:t>
      </w:r>
    </w:p>
    <w:p w:rsidR="003B4CFA" w:rsidRPr="003B4CFA" w:rsidRDefault="003B4CFA" w:rsidP="003B4CFA">
      <w:pPr>
        <w:spacing w:after="0" w:line="240" w:lineRule="auto"/>
        <w:rPr>
          <w:rFonts w:ascii="Arial" w:eastAsia="Times New Roman" w:hAnsi="Arial" w:cs="Arial"/>
          <w:sz w:val="22"/>
          <w:szCs w:val="22"/>
        </w:rPr>
      </w:pPr>
      <w:r w:rsidRPr="003B4CFA">
        <w:rPr>
          <w:rFonts w:ascii="Arial" w:eastAsia="Times New Roman" w:hAnsi="Arial" w:cs="Arial"/>
          <w:sz w:val="22"/>
          <w:szCs w:val="22"/>
        </w:rPr>
        <w:t>bryce.mckenney@puc.state.oh.us</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henryeckhart@aol.com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Wis29@yahoo.com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berger@occ.state.oh.us</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bill.wells@wpafb.af.mil</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chris.thompson.2@tyndall.af.mil</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mchristensen@columbuslaw.org</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chris.michael@icemiller.com</w:t>
      </w:r>
    </w:p>
    <w:p w:rsidR="003B4CFA" w:rsidRPr="003B4CFA" w:rsidRDefault="0073792B" w:rsidP="003B4CFA">
      <w:pPr>
        <w:spacing w:after="0" w:line="240" w:lineRule="auto"/>
        <w:rPr>
          <w:rFonts w:ascii="Arial" w:eastAsia="Arial" w:hAnsi="Arial" w:cs="Arial"/>
          <w:sz w:val="22"/>
          <w:szCs w:val="22"/>
        </w:rPr>
      </w:pPr>
      <w:hyperlink r:id="rId42" w:history="1">
        <w:r w:rsidR="003B4CFA" w:rsidRPr="003B4CFA">
          <w:rPr>
            <w:rFonts w:ascii="Arial" w:eastAsia="Arial" w:hAnsi="Arial" w:cs="Arial"/>
            <w:sz w:val="22"/>
            <w:szCs w:val="22"/>
          </w:rPr>
          <w:t>williams@whitt-sturtevant.com</w:t>
        </w:r>
      </w:hyperlink>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mohler@carpenterlipps.com</w:t>
      </w:r>
    </w:p>
    <w:p w:rsidR="003B4CFA" w:rsidRPr="003B4CFA" w:rsidRDefault="003B4CFA" w:rsidP="003B4CFA">
      <w:pPr>
        <w:spacing w:after="0" w:line="240" w:lineRule="auto"/>
        <w:rPr>
          <w:rFonts w:ascii="Arial" w:eastAsia="Arial" w:hAnsi="Arial" w:cs="Arial"/>
          <w:sz w:val="22"/>
          <w:szCs w:val="22"/>
        </w:rPr>
      </w:pPr>
      <w:r w:rsidRPr="003B4CFA">
        <w:rPr>
          <w:rFonts w:ascii="Arial" w:eastAsia="Arial" w:hAnsi="Arial" w:cs="Arial"/>
          <w:sz w:val="22"/>
          <w:szCs w:val="22"/>
        </w:rPr>
        <w:t>stephen.chriss@wal-mart.com</w:t>
      </w:r>
    </w:p>
    <w:p w:rsidR="003B4CFA" w:rsidRPr="003B4CFA" w:rsidRDefault="003B4CFA" w:rsidP="003B4CFA">
      <w:pPr>
        <w:tabs>
          <w:tab w:val="left" w:pos="4320"/>
        </w:tabs>
        <w:autoSpaceDE w:val="0"/>
        <w:autoSpaceDN w:val="0"/>
        <w:adjustRightInd w:val="0"/>
        <w:spacing w:after="0" w:line="240" w:lineRule="auto"/>
        <w:jc w:val="left"/>
        <w:rPr>
          <w:rFonts w:ascii="Arial" w:hAnsi="Arial" w:cs="Arial"/>
          <w:b/>
          <w:smallCaps/>
        </w:rPr>
      </w:pPr>
    </w:p>
    <w:sectPr w:rsidR="003B4CFA" w:rsidRPr="003B4CFA" w:rsidSect="003B4CFA">
      <w:footerReference w:type="default" r:id="rId43"/>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0F" w:rsidRDefault="0010200F" w:rsidP="003431CB">
      <w:pPr>
        <w:spacing w:after="0" w:line="240" w:lineRule="auto"/>
      </w:pPr>
      <w:r>
        <w:separator/>
      </w:r>
    </w:p>
  </w:endnote>
  <w:endnote w:type="continuationSeparator" w:id="0">
    <w:p w:rsidR="0010200F" w:rsidRDefault="0010200F" w:rsidP="0034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D6476A" w:rsidRDefault="0073792B" w:rsidP="00D6476A">
    <w:pPr>
      <w:pStyle w:val="Footer"/>
      <w:rPr>
        <w:rFonts w:ascii="Arial" w:hAnsi="Arial" w:cs="Arial"/>
      </w:rPr>
    </w:pPr>
    <w:r w:rsidRPr="0073792B">
      <w:rPr>
        <w:rFonts w:ascii="Arial" w:hAnsi="Arial" w:cs="Arial"/>
        <w:noProof/>
        <w:sz w:val="16"/>
      </w:rPr>
      <w:t>{C45399:2 }</w:t>
    </w:r>
  </w:p>
  <w:p w:rsidR="0010200F" w:rsidRPr="00AF4A95" w:rsidRDefault="00102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Footer"/>
      <w:jc w:val="center"/>
    </w:pPr>
  </w:p>
  <w:p w:rsidR="0010200F" w:rsidRPr="000B20E5" w:rsidRDefault="001020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AF4A95" w:rsidRDefault="0073792B">
    <w:pPr>
      <w:pStyle w:val="Footer"/>
      <w:jc w:val="center"/>
    </w:pPr>
    <w:r w:rsidRPr="0073792B">
      <w:rPr>
        <w:noProof/>
        <w:sz w:val="16"/>
      </w:rPr>
      <w:t>{C45399:2 }</w:t>
    </w:r>
    <w:sdt>
      <w:sdtPr>
        <w:id w:val="724804498"/>
        <w:docPartObj>
          <w:docPartGallery w:val="Page Numbers (Bottom of Page)"/>
          <w:docPartUnique/>
        </w:docPartObj>
      </w:sdtPr>
      <w:sdtEndPr>
        <w:rPr>
          <w:noProof/>
        </w:rPr>
      </w:sdtEndPr>
      <w:sdtContent/>
    </w:sdt>
  </w:p>
  <w:p w:rsidR="0010200F" w:rsidRPr="00AF4A95" w:rsidRDefault="001020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AF4A95" w:rsidRDefault="0073792B" w:rsidP="00D6476A">
    <w:pPr>
      <w:pStyle w:val="Footer"/>
    </w:pPr>
    <w:r w:rsidRPr="0073792B">
      <w:rPr>
        <w:rFonts w:ascii="Arial" w:hAnsi="Arial" w:cs="Arial"/>
        <w:noProof/>
        <w:sz w:val="16"/>
      </w:rPr>
      <w:t>{C45399:2 }</w:t>
    </w:r>
    <w:sdt>
      <w:sdtPr>
        <w:id w:val="1816057148"/>
        <w:docPartObj>
          <w:docPartGallery w:val="Page Numbers (Bottom of Page)"/>
          <w:docPartUnique/>
        </w:docPartObj>
      </w:sdtPr>
      <w:sdtEndPr>
        <w:rPr>
          <w:noProof/>
        </w:rPr>
      </w:sdtEndPr>
      <w:sdtContent>
        <w:r w:rsidR="0010200F">
          <w:tab/>
        </w:r>
        <w:r w:rsidR="0010200F" w:rsidRPr="00AF4A95">
          <w:rPr>
            <w:rFonts w:ascii="Arial" w:hAnsi="Arial" w:cs="Arial"/>
          </w:rPr>
          <w:fldChar w:fldCharType="begin"/>
        </w:r>
        <w:r w:rsidR="0010200F" w:rsidRPr="00AF4A95">
          <w:rPr>
            <w:rFonts w:ascii="Arial" w:hAnsi="Arial" w:cs="Arial"/>
          </w:rPr>
          <w:instrText xml:space="preserve"> PAGE   \* MERGEFORMAT </w:instrText>
        </w:r>
        <w:r w:rsidR="0010200F" w:rsidRPr="00AF4A95">
          <w:rPr>
            <w:rFonts w:ascii="Arial" w:hAnsi="Arial" w:cs="Arial"/>
          </w:rPr>
          <w:fldChar w:fldCharType="separate"/>
        </w:r>
        <w:r>
          <w:rPr>
            <w:rFonts w:ascii="Arial" w:hAnsi="Arial" w:cs="Arial"/>
            <w:noProof/>
          </w:rPr>
          <w:t>i</w:t>
        </w:r>
        <w:r w:rsidR="0010200F" w:rsidRPr="00AF4A95">
          <w:rPr>
            <w:rFonts w:ascii="Arial" w:hAnsi="Arial" w:cs="Arial"/>
            <w:noProof/>
          </w:rPr>
          <w:fldChar w:fldCharType="end"/>
        </w:r>
      </w:sdtContent>
    </w:sdt>
  </w:p>
  <w:p w:rsidR="0010200F" w:rsidRPr="00AF4A95" w:rsidRDefault="00102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AF4A95" w:rsidRDefault="0073792B" w:rsidP="00D6476A">
    <w:pPr>
      <w:pStyle w:val="Footer"/>
    </w:pPr>
    <w:r w:rsidRPr="0073792B">
      <w:rPr>
        <w:noProof/>
        <w:sz w:val="16"/>
      </w:rPr>
      <w:t>{C45399:2 }</w:t>
    </w:r>
    <w:sdt>
      <w:sdtPr>
        <w:id w:val="-1737781506"/>
        <w:docPartObj>
          <w:docPartGallery w:val="Page Numbers (Bottom of Page)"/>
          <w:docPartUnique/>
        </w:docPartObj>
      </w:sdtPr>
      <w:sdtEndPr>
        <w:rPr>
          <w:noProof/>
        </w:rPr>
      </w:sdtEndPr>
      <w:sdtContent>
        <w:r w:rsidR="0010200F">
          <w:tab/>
        </w:r>
        <w:r w:rsidR="0010200F" w:rsidRPr="00AF4A95">
          <w:rPr>
            <w:rFonts w:ascii="Arial" w:hAnsi="Arial" w:cs="Arial"/>
          </w:rPr>
          <w:fldChar w:fldCharType="begin"/>
        </w:r>
        <w:r w:rsidR="0010200F" w:rsidRPr="00AF4A95">
          <w:rPr>
            <w:rFonts w:ascii="Arial" w:hAnsi="Arial" w:cs="Arial"/>
          </w:rPr>
          <w:instrText xml:space="preserve"> PAGE   \* MERGEFORMAT </w:instrText>
        </w:r>
        <w:r w:rsidR="0010200F" w:rsidRPr="00AF4A95">
          <w:rPr>
            <w:rFonts w:ascii="Arial" w:hAnsi="Arial" w:cs="Arial"/>
          </w:rPr>
          <w:fldChar w:fldCharType="separate"/>
        </w:r>
        <w:r>
          <w:rPr>
            <w:rFonts w:ascii="Arial" w:hAnsi="Arial" w:cs="Arial"/>
            <w:noProof/>
          </w:rPr>
          <w:t>20</w:t>
        </w:r>
        <w:r w:rsidR="0010200F" w:rsidRPr="00AF4A95">
          <w:rPr>
            <w:rFonts w:ascii="Arial" w:hAnsi="Arial" w:cs="Arial"/>
            <w:noProof/>
          </w:rPr>
          <w:fldChar w:fldCharType="end"/>
        </w:r>
      </w:sdtContent>
    </w:sdt>
  </w:p>
  <w:p w:rsidR="0010200F" w:rsidRPr="00AF4A95" w:rsidRDefault="0010200F">
    <w:pPr>
      <w:pStyle w:val="Footer"/>
    </w:pPr>
  </w:p>
  <w:p w:rsidR="0010200F" w:rsidRDefault="0010200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D6476A" w:rsidRDefault="0073792B" w:rsidP="00D6476A">
    <w:pPr>
      <w:pStyle w:val="Footer"/>
      <w:rPr>
        <w:rFonts w:ascii="Arial" w:hAnsi="Arial" w:cs="Arial"/>
      </w:rPr>
    </w:pPr>
    <w:r w:rsidRPr="0073792B">
      <w:rPr>
        <w:rFonts w:ascii="Arial" w:hAnsi="Arial" w:cs="Arial"/>
        <w:noProof/>
        <w:sz w:val="16"/>
      </w:rPr>
      <w:t>{C45399:2 }</w:t>
    </w:r>
  </w:p>
  <w:p w:rsidR="0010200F" w:rsidRPr="00AF4A95" w:rsidRDefault="0010200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Pr="00AF4A95" w:rsidRDefault="0073792B" w:rsidP="00D6476A">
    <w:pPr>
      <w:pStyle w:val="Footer"/>
    </w:pPr>
    <w:r w:rsidRPr="0073792B">
      <w:rPr>
        <w:noProof/>
        <w:sz w:val="16"/>
      </w:rPr>
      <w:t>{C45399:2 }</w:t>
    </w:r>
  </w:p>
  <w:p w:rsidR="0010200F" w:rsidRPr="00AF4A95" w:rsidRDefault="0010200F">
    <w:pPr>
      <w:pStyle w:val="Footer"/>
    </w:pPr>
  </w:p>
  <w:p w:rsidR="0010200F" w:rsidRDefault="001020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0F" w:rsidRDefault="0010200F" w:rsidP="003431CB">
      <w:pPr>
        <w:spacing w:after="0" w:line="240" w:lineRule="auto"/>
        <w:rPr>
          <w:noProof/>
        </w:rPr>
      </w:pPr>
      <w:r>
        <w:rPr>
          <w:noProof/>
        </w:rPr>
        <w:separator/>
      </w:r>
    </w:p>
  </w:footnote>
  <w:footnote w:type="continuationSeparator" w:id="0">
    <w:p w:rsidR="0010200F" w:rsidRDefault="0010200F" w:rsidP="003431CB">
      <w:pPr>
        <w:spacing w:after="0" w:line="240" w:lineRule="auto"/>
      </w:pPr>
      <w:r>
        <w:continuationSeparator/>
      </w:r>
    </w:p>
  </w:footnote>
  <w:footnote w:id="1">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Motion to Stay at 3-8.</w:t>
      </w:r>
    </w:p>
  </w:footnote>
  <w:footnote w:id="2">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The Dayton Power and Light Company’s Memorandum in Opposition to the Joint Motion for Stay to Prevent DP&amp;L from Charging Customers the Service Stability Rider While Appeals Are Pending or, in the Alternative, Motion to Make DP&amp;Ls Rates for Charging the Service Stability Rider Costs to Customers Subject to Refund Pending the Outcome of the Rehearing and any Appeals by Industrial Energy Users-Ohio, Office of the Ohio Consumers’ Counsel, Ohio Energy Group and Ohio Partners for Affordable Energy (Aug. 14, 2014) (“Memorandum Contra”)</w:t>
      </w:r>
    </w:p>
  </w:footnote>
  <w:footnote w:id="3">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4-5.</w:t>
      </w:r>
    </w:p>
  </w:footnote>
  <w:footnote w:id="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5-7.</w:t>
      </w:r>
    </w:p>
  </w:footnote>
  <w:footnote w:id="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7-12.</w:t>
      </w:r>
    </w:p>
  </w:footnote>
  <w:footnote w:id="6">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5, citing </w:t>
      </w:r>
      <w:r w:rsidRPr="00B46BFA">
        <w:rPr>
          <w:rFonts w:ascii="Arial" w:hAnsi="Arial" w:cs="Arial"/>
          <w:i/>
        </w:rPr>
        <w:t>In the Matter of the Application of Duke Energy Ohio, Inc., for an Increase in its Natural Gas Distribution Rates</w:t>
      </w:r>
      <w:r w:rsidRPr="00C563C4">
        <w:rPr>
          <w:rFonts w:ascii="Arial" w:hAnsi="Arial" w:cs="Arial"/>
        </w:rPr>
        <w:t>, Case No</w:t>
      </w:r>
      <w:r>
        <w:rPr>
          <w:rFonts w:ascii="Arial" w:hAnsi="Arial" w:cs="Arial"/>
        </w:rPr>
        <w:t>s</w:t>
      </w:r>
      <w:r w:rsidRPr="00C563C4">
        <w:rPr>
          <w:rFonts w:ascii="Arial" w:hAnsi="Arial" w:cs="Arial"/>
        </w:rPr>
        <w:t xml:space="preserve">. 12-1685-GA-AIR, </w:t>
      </w:r>
      <w:r w:rsidRPr="00B46BFA">
        <w:rPr>
          <w:rFonts w:ascii="Arial" w:hAnsi="Arial" w:cs="Arial"/>
          <w:i/>
        </w:rPr>
        <w:t>et al</w:t>
      </w:r>
      <w:r>
        <w:rPr>
          <w:rFonts w:ascii="Arial" w:hAnsi="Arial" w:cs="Arial"/>
          <w:i/>
        </w:rPr>
        <w:t>.</w:t>
      </w:r>
      <w:r>
        <w:rPr>
          <w:rFonts w:ascii="Arial" w:hAnsi="Arial" w:cs="Arial"/>
        </w:rPr>
        <w:t xml:space="preserve">, </w:t>
      </w:r>
      <w:r w:rsidRPr="00C563C4">
        <w:rPr>
          <w:rFonts w:ascii="Arial" w:hAnsi="Arial" w:cs="Arial"/>
        </w:rPr>
        <w:t xml:space="preserve">Entry at ¶9 (Feb. 19, 2014).  </w:t>
      </w:r>
    </w:p>
  </w:footnote>
  <w:footnote w:id="7">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B46BFA">
        <w:rPr>
          <w:rFonts w:ascii="Arial" w:hAnsi="Arial" w:cs="Arial"/>
          <w:i/>
        </w:rPr>
        <w:t xml:space="preserve">In the Matter of the </w:t>
      </w:r>
      <w:r>
        <w:rPr>
          <w:rFonts w:ascii="Arial" w:hAnsi="Arial" w:cs="Arial"/>
          <w:i/>
        </w:rPr>
        <w:t>A</w:t>
      </w:r>
      <w:r w:rsidRPr="00B46BFA">
        <w:rPr>
          <w:rFonts w:ascii="Arial" w:hAnsi="Arial" w:cs="Arial"/>
          <w:i/>
        </w:rPr>
        <w:t xml:space="preserve">pplication of Duke </w:t>
      </w:r>
      <w:r>
        <w:rPr>
          <w:rFonts w:ascii="Arial" w:hAnsi="Arial" w:cs="Arial"/>
          <w:i/>
        </w:rPr>
        <w:t>E</w:t>
      </w:r>
      <w:r w:rsidRPr="00B46BFA">
        <w:rPr>
          <w:rFonts w:ascii="Arial" w:hAnsi="Arial" w:cs="Arial"/>
          <w:i/>
        </w:rPr>
        <w:t>nergy Ohio, Inc., for an Increase in its Natural Gas Distribution Rates</w:t>
      </w:r>
      <w:r w:rsidRPr="00C563C4">
        <w:rPr>
          <w:rFonts w:ascii="Arial" w:hAnsi="Arial" w:cs="Arial"/>
        </w:rPr>
        <w:t xml:space="preserve">, </w:t>
      </w:r>
      <w:r>
        <w:rPr>
          <w:rFonts w:ascii="Arial" w:hAnsi="Arial" w:cs="Arial"/>
        </w:rPr>
        <w:t xml:space="preserve">S. Ct. </w:t>
      </w:r>
      <w:r w:rsidRPr="00C563C4">
        <w:rPr>
          <w:rFonts w:ascii="Arial" w:hAnsi="Arial" w:cs="Arial"/>
        </w:rPr>
        <w:t>Case No. 2014-0328, Entry (May 14, 2014).</w:t>
      </w:r>
    </w:p>
  </w:footnote>
  <w:footnote w:id="8">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1</w:t>
      </w:r>
      <w:r>
        <w:rPr>
          <w:rFonts w:ascii="Arial" w:hAnsi="Arial" w:cs="Arial"/>
        </w:rPr>
        <w:t>.</w:t>
      </w:r>
    </w:p>
  </w:footnote>
  <w:footnote w:id="9">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re Columbus Southern Power Co</w:t>
      </w:r>
      <w:r w:rsidRPr="00C563C4">
        <w:rPr>
          <w:rFonts w:ascii="Arial" w:hAnsi="Arial" w:cs="Arial"/>
        </w:rPr>
        <w:t>., 138 Ohio St.</w:t>
      </w:r>
      <w:r w:rsidRPr="00C563C4" w:rsidDel="00C85DD3">
        <w:rPr>
          <w:rFonts w:ascii="Arial" w:hAnsi="Arial" w:cs="Arial"/>
        </w:rPr>
        <w:t xml:space="preserve"> </w:t>
      </w:r>
      <w:r w:rsidRPr="00C563C4">
        <w:rPr>
          <w:rFonts w:ascii="Arial" w:hAnsi="Arial" w:cs="Arial"/>
        </w:rPr>
        <w:t>3d 448, 462</w:t>
      </w:r>
      <w:r>
        <w:rPr>
          <w:rFonts w:ascii="Arial" w:hAnsi="Arial" w:cs="Arial"/>
        </w:rPr>
        <w:t xml:space="preserve"> (2014)</w:t>
      </w:r>
      <w:r w:rsidRPr="00C563C4">
        <w:rPr>
          <w:rFonts w:ascii="Arial" w:hAnsi="Arial" w:cs="Arial"/>
        </w:rPr>
        <w:t xml:space="preserve">.  </w:t>
      </w:r>
    </w:p>
  </w:footnote>
  <w:footnote w:id="10">
    <w:p w:rsidR="0010200F" w:rsidRPr="00C563C4" w:rsidRDefault="0010200F" w:rsidP="00B979AD">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the Matter of the Application of Duke Energy Ohio Inc., for an Increase in its Natural Gas Distribution Rates</w:t>
      </w:r>
      <w:r w:rsidRPr="00C563C4">
        <w:rPr>
          <w:rFonts w:ascii="Arial" w:hAnsi="Arial" w:cs="Arial"/>
        </w:rPr>
        <w:t>, S. Ct. Case No. 2014-</w:t>
      </w:r>
      <w:r>
        <w:rPr>
          <w:rFonts w:ascii="Arial" w:hAnsi="Arial" w:cs="Arial"/>
        </w:rPr>
        <w:t>0</w:t>
      </w:r>
      <w:r w:rsidRPr="00C563C4">
        <w:rPr>
          <w:rFonts w:ascii="Arial" w:hAnsi="Arial" w:cs="Arial"/>
        </w:rPr>
        <w:t xml:space="preserve">328, Entry (July 29, 2014) (Pfeiffer, J., dissenting).  </w:t>
      </w:r>
    </w:p>
  </w:footnote>
  <w:footnote w:id="11">
    <w:p w:rsidR="0010200F" w:rsidRPr="0086493C" w:rsidRDefault="0010200F" w:rsidP="00D63D0F">
      <w:pPr>
        <w:pStyle w:val="FootnoteText"/>
        <w:rPr>
          <w:rFonts w:ascii="Arial" w:hAnsi="Arial" w:cs="Arial"/>
        </w:rPr>
      </w:pPr>
      <w:r w:rsidRPr="0086493C">
        <w:rPr>
          <w:rStyle w:val="FootnoteReference"/>
          <w:rFonts w:ascii="Arial" w:hAnsi="Arial" w:cs="Arial"/>
        </w:rPr>
        <w:footnoteRef/>
      </w:r>
      <w:r w:rsidRPr="0086493C">
        <w:rPr>
          <w:rFonts w:ascii="Arial" w:hAnsi="Arial" w:cs="Arial"/>
        </w:rPr>
        <w:t xml:space="preserve"> </w:t>
      </w:r>
      <w:r w:rsidRPr="0086493C">
        <w:rPr>
          <w:rFonts w:ascii="Arial" w:hAnsi="Arial" w:cs="Arial"/>
          <w:i/>
        </w:rPr>
        <w:t>In the Matter of the Application of Duke Energy Ohio, Inc. for an Increase in its Natural Gas Distribution Rates</w:t>
      </w:r>
      <w:r w:rsidRPr="0086493C">
        <w:rPr>
          <w:rFonts w:ascii="Arial" w:hAnsi="Arial" w:cs="Arial"/>
        </w:rPr>
        <w:t>, S.</w:t>
      </w:r>
      <w:r>
        <w:rPr>
          <w:rFonts w:ascii="Arial" w:hAnsi="Arial" w:cs="Arial"/>
        </w:rPr>
        <w:t xml:space="preserve"> </w:t>
      </w:r>
      <w:r w:rsidRPr="0086493C">
        <w:rPr>
          <w:rFonts w:ascii="Arial" w:hAnsi="Arial" w:cs="Arial"/>
        </w:rPr>
        <w:t>Ct. 14-0328, Brief Regarding Bond Requirements Submitted on Behalf of Appellee, the Public Utilities Commission of Ohio at 3 &amp; 8 (Aug. 15, 2014).</w:t>
      </w:r>
    </w:p>
  </w:footnote>
  <w:footnote w:id="12">
    <w:p w:rsidR="0010200F" w:rsidRPr="0086493C" w:rsidRDefault="0010200F">
      <w:pPr>
        <w:pStyle w:val="FootnoteText"/>
        <w:rPr>
          <w:rFonts w:ascii="Arial" w:hAnsi="Arial" w:cs="Arial"/>
        </w:rPr>
      </w:pPr>
      <w:r w:rsidRPr="0086493C">
        <w:rPr>
          <w:rStyle w:val="FootnoteReference"/>
          <w:rFonts w:ascii="Arial" w:hAnsi="Arial" w:cs="Arial"/>
        </w:rPr>
        <w:footnoteRef/>
      </w:r>
      <w:r w:rsidRPr="0086493C">
        <w:rPr>
          <w:rFonts w:ascii="Arial" w:hAnsi="Arial" w:cs="Arial"/>
        </w:rPr>
        <w:t xml:space="preserve"> </w:t>
      </w:r>
      <w:r w:rsidRPr="0086493C">
        <w:rPr>
          <w:rFonts w:ascii="Arial" w:hAnsi="Arial" w:cs="Arial"/>
          <w:i/>
        </w:rPr>
        <w:t>In the Matter of the Fuel Adjustment Clauses of Columbus Southern Power Company and Ohio Power Company</w:t>
      </w:r>
      <w:r w:rsidRPr="0086493C">
        <w:rPr>
          <w:rFonts w:ascii="Arial" w:hAnsi="Arial" w:cs="Arial"/>
        </w:rPr>
        <w:t xml:space="preserve">, Case No. 09-872-EL-FAC, </w:t>
      </w:r>
      <w:r w:rsidRPr="0086493C">
        <w:rPr>
          <w:rFonts w:ascii="Arial" w:hAnsi="Arial" w:cs="Arial"/>
          <w:i/>
        </w:rPr>
        <w:t>et al.</w:t>
      </w:r>
      <w:r w:rsidRPr="0086493C">
        <w:rPr>
          <w:rFonts w:ascii="Arial" w:hAnsi="Arial" w:cs="Arial"/>
        </w:rPr>
        <w:t>, Opinion and Order at 13-14 (Jan. 23, 2012).</w:t>
      </w:r>
    </w:p>
  </w:footnote>
  <w:footnote w:id="13">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 xml:space="preserve">In the Matter of the Application of Columbus Southern Power </w:t>
      </w:r>
      <w:r>
        <w:rPr>
          <w:rFonts w:ascii="Arial" w:hAnsi="Arial" w:cs="Arial"/>
          <w:i/>
        </w:rPr>
        <w:t>C</w:t>
      </w:r>
      <w:r w:rsidRPr="00C563C4">
        <w:rPr>
          <w:rFonts w:ascii="Arial" w:hAnsi="Arial" w:cs="Arial"/>
          <w:i/>
        </w:rPr>
        <w:t>ompany for Approval of an E</w:t>
      </w:r>
      <w:r>
        <w:rPr>
          <w:rFonts w:ascii="Arial" w:hAnsi="Arial" w:cs="Arial"/>
          <w:i/>
        </w:rPr>
        <w:t>lec</w:t>
      </w:r>
      <w:r w:rsidRPr="00C563C4">
        <w:rPr>
          <w:rFonts w:ascii="Arial" w:hAnsi="Arial" w:cs="Arial"/>
          <w:i/>
        </w:rPr>
        <w:t xml:space="preserve">tric Security Plan; an Amendment to its </w:t>
      </w:r>
      <w:r>
        <w:rPr>
          <w:rFonts w:ascii="Arial" w:hAnsi="Arial" w:cs="Arial"/>
          <w:i/>
        </w:rPr>
        <w:t>C</w:t>
      </w:r>
      <w:r w:rsidRPr="00C563C4">
        <w:rPr>
          <w:rFonts w:ascii="Arial" w:hAnsi="Arial" w:cs="Arial"/>
          <w:i/>
        </w:rPr>
        <w:t>orporate Separation Plan; and the Sale or Transfer of Certain Generating Assets</w:t>
      </w:r>
      <w:r w:rsidRPr="00C563C4">
        <w:rPr>
          <w:rFonts w:ascii="Arial" w:hAnsi="Arial" w:cs="Arial"/>
        </w:rPr>
        <w:t>, Case No</w:t>
      </w:r>
      <w:r>
        <w:rPr>
          <w:rFonts w:ascii="Arial" w:hAnsi="Arial" w:cs="Arial"/>
        </w:rPr>
        <w:t>s</w:t>
      </w:r>
      <w:r w:rsidRPr="00C563C4">
        <w:rPr>
          <w:rFonts w:ascii="Arial" w:hAnsi="Arial" w:cs="Arial"/>
        </w:rPr>
        <w:t xml:space="preserve">. 08-917-EL-SSO, </w:t>
      </w:r>
      <w:r w:rsidRPr="00B46BFA">
        <w:rPr>
          <w:rFonts w:ascii="Arial" w:hAnsi="Arial" w:cs="Arial"/>
          <w:i/>
        </w:rPr>
        <w:t>et al</w:t>
      </w:r>
      <w:r w:rsidRPr="00C563C4">
        <w:rPr>
          <w:rFonts w:ascii="Arial" w:hAnsi="Arial" w:cs="Arial"/>
        </w:rPr>
        <w:t xml:space="preserve">., Entry at ¶10 (May 25, 2011).  </w:t>
      </w:r>
      <w:r>
        <w:rPr>
          <w:rFonts w:ascii="Arial" w:hAnsi="Arial" w:cs="Arial"/>
        </w:rPr>
        <w:t xml:space="preserve">The Commission has ordered rates collected subject to refund in other cases as well.  </w:t>
      </w:r>
      <w:r w:rsidRPr="003450C5">
        <w:rPr>
          <w:rFonts w:ascii="Arial" w:hAnsi="Arial" w:cs="Arial"/>
          <w:i/>
        </w:rPr>
        <w:t>See, e.g.,</w:t>
      </w:r>
      <w:r w:rsidRPr="003450C5">
        <w:rPr>
          <w:rFonts w:ascii="Arial" w:hAnsi="Arial" w:cs="Arial"/>
        </w:rPr>
        <w:t xml:space="preserve"> </w:t>
      </w:r>
      <w:r w:rsidRPr="003450C5">
        <w:rPr>
          <w:rFonts w:ascii="Arial" w:hAnsi="Arial" w:cs="Arial"/>
          <w:i/>
        </w:rPr>
        <w:t xml:space="preserve">In the Matter of the Application of Columbus &amp; Southern Ohio Electric Company for Authority to Amend and Increase Certain of its Rates and Charges for Electric Service, Amend Certain Terms and Conditions of Service and Revise its Depreciation Accrual Rates and Reserves, Case No. 81-1058-EL-AIR, </w:t>
      </w:r>
      <w:r w:rsidRPr="003450C5">
        <w:rPr>
          <w:rFonts w:ascii="Arial" w:hAnsi="Arial" w:cs="Arial"/>
        </w:rPr>
        <w:t>Entry</w:t>
      </w:r>
      <w:r w:rsidRPr="003450C5">
        <w:rPr>
          <w:rFonts w:ascii="Arial" w:hAnsi="Arial" w:cs="Arial"/>
          <w:i/>
        </w:rPr>
        <w:t xml:space="preserve"> </w:t>
      </w:r>
      <w:r w:rsidRPr="003450C5">
        <w:rPr>
          <w:rFonts w:ascii="Arial" w:hAnsi="Arial" w:cs="Arial"/>
        </w:rPr>
        <w:t xml:space="preserve">(Nov. 17, 1982); </w:t>
      </w:r>
      <w:r w:rsidRPr="003450C5">
        <w:rPr>
          <w:rFonts w:ascii="Arial" w:hAnsi="Arial" w:cs="Arial"/>
          <w:i/>
        </w:rPr>
        <w:t>In the Matter of the Commission’s Investigation of the Current Rates, Revenues, Rate Base, and Rate of Return of the Ohio Utilities Company</w:t>
      </w:r>
      <w:r w:rsidRPr="003450C5">
        <w:rPr>
          <w:rFonts w:ascii="Arial" w:hAnsi="Arial" w:cs="Arial"/>
        </w:rPr>
        <w:t>, Case No. 77-1073-WS-COI, Entry at 2 (June 7, 1978)</w:t>
      </w:r>
      <w:r>
        <w:rPr>
          <w:rFonts w:ascii="Arial" w:hAnsi="Arial" w:cs="Arial"/>
        </w:rPr>
        <w:t>.</w:t>
      </w:r>
    </w:p>
  </w:footnote>
  <w:footnote w:id="1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5-7.</w:t>
      </w:r>
    </w:p>
  </w:footnote>
  <w:footnote w:id="1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See, e.g., In the Matter of the Complaint of Arthur C. Risley v. CSX Transp., Inc.</w:t>
      </w:r>
      <w:r w:rsidRPr="00C563C4">
        <w:rPr>
          <w:rFonts w:ascii="Arial" w:hAnsi="Arial" w:cs="Arial"/>
        </w:rPr>
        <w:t>, 2010 WL 148957 (Ohio Pub. Util. Comm’n of Ohio Jan. 1, 2010) (staying proceedings on complaint alleging improper actions by CSX).</w:t>
      </w:r>
    </w:p>
  </w:footnote>
  <w:footnote w:id="16">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the Matter of the Application of the Dayton Power and Light Company for Authority to Amend its Filed Tariffs to Increase the Rates and Charges for Gas Service</w:t>
      </w:r>
      <w:r w:rsidRPr="00C563C4">
        <w:rPr>
          <w:rFonts w:ascii="Arial" w:hAnsi="Arial" w:cs="Arial"/>
        </w:rPr>
        <w:t>, Case No. 91-415-GA-AIR, Entry (Dec. 30, 1991).</w:t>
      </w:r>
    </w:p>
  </w:footnote>
  <w:footnote w:id="17">
    <w:p w:rsidR="0010200F" w:rsidRPr="0086493C" w:rsidRDefault="0010200F">
      <w:pPr>
        <w:pStyle w:val="FootnoteText"/>
        <w:rPr>
          <w:rFonts w:ascii="Arial" w:hAnsi="Arial" w:cs="Arial"/>
          <w:b/>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the Matter of the Regulation of the Fuel Adjustment Clause Contained Within the Rate Schedules of the Ohio Power Company and Related Matters</w:t>
      </w:r>
      <w:r w:rsidRPr="00C563C4">
        <w:rPr>
          <w:rFonts w:ascii="Arial" w:hAnsi="Arial" w:cs="Arial"/>
        </w:rPr>
        <w:t>, Case No. 77-380-EL-FAC, Entry (Aug. 30, 1978</w:t>
      </w:r>
      <w:r w:rsidRPr="0086493C">
        <w:rPr>
          <w:rFonts w:ascii="Arial" w:hAnsi="Arial" w:cs="Arial"/>
          <w:b/>
        </w:rPr>
        <w:t xml:space="preserve">). </w:t>
      </w:r>
    </w:p>
  </w:footnote>
  <w:footnote w:id="18">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the Matter of the Citation by the Public Utilities Commission of Ohio of Von Kaenel Trucking</w:t>
      </w:r>
      <w:r w:rsidRPr="00C563C4">
        <w:rPr>
          <w:rFonts w:ascii="Arial" w:hAnsi="Arial" w:cs="Arial"/>
        </w:rPr>
        <w:t xml:space="preserve">, Case No. 72-364-M, Entry (May </w:t>
      </w:r>
      <w:r>
        <w:rPr>
          <w:rFonts w:ascii="Arial" w:hAnsi="Arial" w:cs="Arial"/>
        </w:rPr>
        <w:t xml:space="preserve">1, </w:t>
      </w:r>
      <w:r w:rsidRPr="00C563C4">
        <w:rPr>
          <w:rFonts w:ascii="Arial" w:hAnsi="Arial" w:cs="Arial"/>
        </w:rPr>
        <w:t>1975).</w:t>
      </w:r>
      <w:r>
        <w:rPr>
          <w:rFonts w:ascii="Arial" w:hAnsi="Arial" w:cs="Arial"/>
        </w:rPr>
        <w:t xml:space="preserve"> </w:t>
      </w:r>
    </w:p>
  </w:footnote>
  <w:footnote w:id="19">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 the Matter of the Petition of MCImetro Access Transmission Services LLC dba Verizon Access Transmission Services, Inc. for Arbitration of Interconnection Rates, Terms, and Conditions and Related Arrangements with United Telephone Company of Ohio dba Embarq</w:t>
      </w:r>
      <w:r w:rsidRPr="00C563C4">
        <w:rPr>
          <w:rFonts w:ascii="Arial" w:hAnsi="Arial" w:cs="Arial"/>
        </w:rPr>
        <w:t>, Case No. 06-1485-TP-ARB, Entry (Aug. 24, 2007).</w:t>
      </w:r>
    </w:p>
  </w:footnote>
  <w:footnote w:id="20">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6.</w:t>
      </w:r>
    </w:p>
  </w:footnote>
  <w:footnote w:id="21">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Commission records indicate that the two related cases were Case No. 89-1031-EL-CSS and Case No. 90-718-EL-ATA. </w:t>
      </w:r>
    </w:p>
  </w:footnote>
  <w:footnote w:id="22">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Office of Consumers’ Counsel v. Pub. Util. Comm’</w:t>
      </w:r>
      <w:r>
        <w:rPr>
          <w:rFonts w:ascii="Arial" w:hAnsi="Arial" w:cs="Arial"/>
          <w:i/>
        </w:rPr>
        <w:t xml:space="preserve"> </w:t>
      </w:r>
      <w:r w:rsidRPr="00C563C4">
        <w:rPr>
          <w:rFonts w:ascii="Arial" w:hAnsi="Arial" w:cs="Arial"/>
          <w:i/>
        </w:rPr>
        <w:t>n of Ohio</w:t>
      </w:r>
      <w:r w:rsidRPr="00C563C4">
        <w:rPr>
          <w:rFonts w:ascii="Arial" w:hAnsi="Arial" w:cs="Arial"/>
        </w:rPr>
        <w:t>, 61 Ohio St.3d 396 (1991).</w:t>
      </w:r>
    </w:p>
  </w:footnote>
  <w:footnote w:id="23">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402.</w:t>
      </w:r>
    </w:p>
  </w:footnote>
  <w:footnote w:id="2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403.</w:t>
      </w:r>
    </w:p>
  </w:footnote>
  <w:footnote w:id="2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6.</w:t>
      </w:r>
    </w:p>
  </w:footnote>
  <w:footnote w:id="26">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Consumers’ Counsel</w:t>
      </w:r>
      <w:r w:rsidRPr="00C563C4">
        <w:rPr>
          <w:rFonts w:ascii="Arial" w:hAnsi="Arial" w:cs="Arial"/>
        </w:rPr>
        <w:t>, 61 Ohio St.3d at 402-03.</w:t>
      </w:r>
    </w:p>
  </w:footnote>
  <w:footnote w:id="27">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Senior Citizens Coalition v. Pub. Util. Comm’n of Ohio</w:t>
      </w:r>
      <w:r w:rsidRPr="00C563C4">
        <w:rPr>
          <w:rFonts w:ascii="Arial" w:hAnsi="Arial" w:cs="Arial"/>
        </w:rPr>
        <w:t>, 40 Ohio St.3d 329 (1988).</w:t>
      </w:r>
    </w:p>
  </w:footnote>
  <w:footnote w:id="28">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R.C. 4903.11 &amp; 4903.13.</w:t>
      </w:r>
    </w:p>
  </w:footnote>
  <w:footnote w:id="29">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This argument addresses the limitations on the Court’s authority to issue a stay provided by the General Assembly.  The parties have argued elsewhere that the Court has authority inherent in its judicial powers to issue a stay without the bonding requirement.  Under well-understood constitutional law concerning separation of powers, the General Assembly may not encroach on the Court’s judicial authority to issue a stay in appropriate circumstances.  </w:t>
      </w:r>
      <w:r w:rsidRPr="00C563C4">
        <w:rPr>
          <w:rFonts w:ascii="Arial" w:hAnsi="Arial" w:cs="Arial"/>
          <w:i/>
        </w:rPr>
        <w:t>City of Norwood v. Horney</w:t>
      </w:r>
      <w:r w:rsidRPr="00C563C4">
        <w:rPr>
          <w:rFonts w:ascii="Arial" w:hAnsi="Arial" w:cs="Arial"/>
        </w:rPr>
        <w:t>, 110 Ohio St.3d 353 (2006).</w:t>
      </w:r>
    </w:p>
  </w:footnote>
  <w:footnote w:id="30">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6.</w:t>
      </w:r>
    </w:p>
  </w:footnote>
  <w:footnote w:id="31">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 xml:space="preserve">In the Matter of the Complaint of the Northeast Ohio Public Energy Council v. Ohio Edison Company and The Cleveland </w:t>
      </w:r>
      <w:r>
        <w:rPr>
          <w:rFonts w:ascii="Arial" w:hAnsi="Arial" w:cs="Arial"/>
          <w:i/>
        </w:rPr>
        <w:t>E</w:t>
      </w:r>
      <w:r w:rsidRPr="00C563C4">
        <w:rPr>
          <w:rFonts w:ascii="Arial" w:hAnsi="Arial" w:cs="Arial"/>
          <w:i/>
        </w:rPr>
        <w:t>lectric Illuminating Company</w:t>
      </w:r>
      <w:r w:rsidRPr="00C563C4">
        <w:rPr>
          <w:rFonts w:ascii="Arial" w:hAnsi="Arial" w:cs="Arial"/>
        </w:rPr>
        <w:t xml:space="preserve">, Case No. 09-423-EL-CSS, Entry at 2 (July 8, 2009); </w:t>
      </w:r>
      <w:r w:rsidRPr="00C563C4">
        <w:rPr>
          <w:rFonts w:ascii="Arial" w:hAnsi="Arial" w:cs="Arial"/>
          <w:i/>
        </w:rPr>
        <w:t>In re Investigation into Modification of Intrastate Access Charges</w:t>
      </w:r>
      <w:r w:rsidRPr="00C563C4">
        <w:rPr>
          <w:rFonts w:ascii="Arial" w:hAnsi="Arial" w:cs="Arial"/>
        </w:rPr>
        <w:t>, Case No. 00-127-TP-COI, Entry on Rehearing at 5 (Feb. 20, 2003).</w:t>
      </w:r>
    </w:p>
  </w:footnote>
  <w:footnote w:id="32">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6.</w:t>
      </w:r>
    </w:p>
  </w:footnote>
  <w:footnote w:id="33">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Motion for Stay at 3-4.</w:t>
      </w:r>
    </w:p>
  </w:footnote>
  <w:footnote w:id="3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5-6.</w:t>
      </w:r>
    </w:p>
  </w:footnote>
  <w:footnote w:id="3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6.</w:t>
      </w:r>
    </w:p>
  </w:footnote>
  <w:footnote w:id="36">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7.</w:t>
      </w:r>
    </w:p>
  </w:footnote>
  <w:footnote w:id="37">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7-8.</w:t>
      </w:r>
    </w:p>
  </w:footnote>
  <w:footnote w:id="38">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See cases cited above.</w:t>
      </w:r>
    </w:p>
  </w:footnote>
  <w:footnote w:id="39">
    <w:p w:rsidR="0010200F" w:rsidRPr="00C563C4" w:rsidRDefault="0010200F" w:rsidP="00951735">
      <w:pPr>
        <w:pStyle w:val="FootnoteText"/>
        <w:rPr>
          <w:rFonts w:ascii="Arial" w:hAnsi="Arial" w:cs="Arial"/>
        </w:rPr>
      </w:pPr>
      <w:r w:rsidRPr="00C563C4">
        <w:rPr>
          <w:rStyle w:val="FootnoteReference"/>
          <w:rFonts w:ascii="Arial" w:eastAsia="Calibri" w:hAnsi="Arial" w:cs="Arial"/>
        </w:rPr>
        <w:footnoteRef/>
      </w:r>
      <w:r w:rsidRPr="00C563C4">
        <w:rPr>
          <w:rFonts w:ascii="Arial" w:hAnsi="Arial" w:cs="Arial"/>
        </w:rPr>
        <w:t xml:space="preserve"> </w:t>
      </w:r>
      <w:r w:rsidRPr="00C563C4">
        <w:rPr>
          <w:rFonts w:ascii="Arial" w:hAnsi="Arial" w:cs="Arial"/>
          <w:i/>
        </w:rPr>
        <w:t>In the Matter of the Application of Ohio Power Company for Approval of the Shutdown of Unit 5 of the Philip Sporn Generating Station and to Establish a Plant Shutdown Rider</w:t>
      </w:r>
      <w:r w:rsidRPr="00C563C4">
        <w:rPr>
          <w:rFonts w:ascii="Arial" w:hAnsi="Arial" w:cs="Arial"/>
        </w:rPr>
        <w:t>, Case No. 10-1454-EL-RDR, Finding and Order at 19 (Jan. 11, 2012) (“</w:t>
      </w:r>
      <w:r w:rsidRPr="00C563C4">
        <w:rPr>
          <w:rFonts w:ascii="Arial" w:hAnsi="Arial" w:cs="Arial"/>
          <w:i/>
        </w:rPr>
        <w:t>Sporn</w:t>
      </w:r>
      <w:r w:rsidRPr="00C563C4">
        <w:rPr>
          <w:rFonts w:ascii="Arial" w:hAnsi="Arial" w:cs="Arial"/>
        </w:rPr>
        <w:t>”).</w:t>
      </w:r>
    </w:p>
  </w:footnote>
  <w:footnote w:id="40">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Elyria Foundry Co. v. Pub. Util. Comm’n of Ohio</w:t>
      </w:r>
      <w:r w:rsidRPr="00C563C4">
        <w:rPr>
          <w:rFonts w:ascii="Arial" w:hAnsi="Arial" w:cs="Arial"/>
        </w:rPr>
        <w:t>, 114 Ohio St.3d 305 (2007).</w:t>
      </w:r>
    </w:p>
  </w:footnote>
  <w:footnote w:id="41">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R.C. 4928.40(A).</w:t>
      </w:r>
    </w:p>
  </w:footnote>
  <w:footnote w:id="42">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Opinion and Order at 17 (Sept. 4, 2013).</w:t>
      </w:r>
    </w:p>
  </w:footnote>
  <w:footnote w:id="43">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21.</w:t>
      </w:r>
    </w:p>
  </w:footnote>
  <w:footnote w:id="4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25.</w:t>
      </w:r>
    </w:p>
  </w:footnote>
  <w:footnote w:id="4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R.C. 4928.38(C).</w:t>
      </w:r>
    </w:p>
  </w:footnote>
  <w:footnote w:id="46">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Motion to Stay at 5-6.  </w:t>
      </w:r>
      <w:r w:rsidRPr="00C563C4">
        <w:rPr>
          <w:rFonts w:ascii="Arial" w:hAnsi="Arial" w:cs="Arial"/>
          <w:i/>
        </w:rPr>
        <w:t>See In the Matter of the Application of Columbus Southern Power Company for Approval of an Electric Security Plan; an Amendment to its Corporate Separation Plan; and the Sale or Transfer of Certain Generating Assets</w:t>
      </w:r>
      <w:r w:rsidRPr="00C563C4">
        <w:rPr>
          <w:rFonts w:ascii="Arial" w:hAnsi="Arial" w:cs="Arial"/>
        </w:rPr>
        <w:t xml:space="preserve">, Case No. 08-917-EL-SSO, </w:t>
      </w:r>
      <w:r w:rsidRPr="00B46BFA">
        <w:rPr>
          <w:rFonts w:ascii="Arial" w:hAnsi="Arial" w:cs="Arial"/>
          <w:i/>
        </w:rPr>
        <w:t>et al.</w:t>
      </w:r>
      <w:r w:rsidRPr="00C563C4">
        <w:rPr>
          <w:rFonts w:ascii="Arial" w:hAnsi="Arial" w:cs="Arial"/>
        </w:rPr>
        <w:t xml:space="preserve">, Order on Remand at 34-36 (Oct. 3, 2011), </w:t>
      </w:r>
      <w:r w:rsidRPr="00550C8E">
        <w:rPr>
          <w:rFonts w:ascii="Arial" w:hAnsi="Arial" w:cs="Arial"/>
          <w:i/>
        </w:rPr>
        <w:t>aff’d</w:t>
      </w:r>
      <w:r w:rsidRPr="00C563C4">
        <w:rPr>
          <w:rFonts w:ascii="Arial" w:hAnsi="Arial" w:cs="Arial"/>
        </w:rPr>
        <w:t xml:space="preserve">, </w:t>
      </w:r>
      <w:r w:rsidRPr="0086493C">
        <w:rPr>
          <w:rFonts w:ascii="Arial" w:hAnsi="Arial" w:cs="Arial"/>
          <w:i/>
        </w:rPr>
        <w:t>In re Columbus S. Power Co</w:t>
      </w:r>
      <w:r w:rsidRPr="00C563C4">
        <w:rPr>
          <w:rFonts w:ascii="Arial" w:hAnsi="Arial" w:cs="Arial"/>
        </w:rPr>
        <w:t>., Slip Op. 2014-Ohio-462 (Feb. 13, 2014).</w:t>
      </w:r>
    </w:p>
  </w:footnote>
  <w:footnote w:id="47">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Motion for Stay at 5-6, citing </w:t>
      </w:r>
      <w:r w:rsidRPr="00C563C4">
        <w:rPr>
          <w:rFonts w:ascii="Arial" w:hAnsi="Arial" w:cs="Arial"/>
          <w:i/>
        </w:rPr>
        <w:t>Tilberry v. Body</w:t>
      </w:r>
      <w:r w:rsidRPr="00C563C4">
        <w:rPr>
          <w:rFonts w:ascii="Arial" w:hAnsi="Arial" w:cs="Arial"/>
        </w:rPr>
        <w:t xml:space="preserve">, 24 Ohio St. 3d 117 (1986) and </w:t>
      </w:r>
      <w:r w:rsidRPr="00C563C4">
        <w:rPr>
          <w:rFonts w:ascii="Arial" w:hAnsi="Arial" w:cs="Arial"/>
          <w:i/>
        </w:rPr>
        <w:t>Sinnott v. Agua-Chem, Inc.</w:t>
      </w:r>
      <w:r w:rsidRPr="00C563C4">
        <w:rPr>
          <w:rFonts w:ascii="Arial" w:hAnsi="Arial" w:cs="Arial"/>
        </w:rPr>
        <w:t xml:space="preserve">, 116 Ohio St.3d 158 (2007).  These cases were cited in support of the fact that monetary harm may be irreparable.  DP&amp;L ignores the import of these decisions when it attempts to distinguish them in its Memorandum Contra.  Memorandum Contra at 9-10.  </w:t>
      </w:r>
      <w:r w:rsidRPr="00C563C4">
        <w:rPr>
          <w:rFonts w:ascii="Arial" w:hAnsi="Arial" w:cs="Arial"/>
          <w:i/>
        </w:rPr>
        <w:t>See, also, Ohio Turnpike Comm’n v. Texaco, Inc</w:t>
      </w:r>
      <w:r w:rsidRPr="00C563C4">
        <w:rPr>
          <w:rFonts w:ascii="Arial" w:hAnsi="Arial" w:cs="Arial"/>
        </w:rPr>
        <w:t>., 35 Ohio Misc. 99, 105 (1973).</w:t>
      </w:r>
    </w:p>
  </w:footnote>
  <w:footnote w:id="48">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86493C">
        <w:rPr>
          <w:rFonts w:ascii="Arial" w:hAnsi="Arial" w:cs="Arial"/>
        </w:rPr>
        <w:t>Memorandum Contra</w:t>
      </w:r>
      <w:r w:rsidRPr="00C563C4">
        <w:rPr>
          <w:rFonts w:ascii="Arial" w:hAnsi="Arial" w:cs="Arial"/>
        </w:rPr>
        <w:t xml:space="preserve"> at 9-10.</w:t>
      </w:r>
    </w:p>
  </w:footnote>
  <w:footnote w:id="49">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Internat’l Diamond Exchange Jewelers, Inc. v. U.S. Diamond and Gold Jewelers, Inc</w:t>
      </w:r>
      <w:r w:rsidRPr="00C563C4">
        <w:rPr>
          <w:rFonts w:ascii="Arial" w:hAnsi="Arial" w:cs="Arial"/>
        </w:rPr>
        <w:t xml:space="preserve">., 70 Ohio App. 3d 667, </w:t>
      </w:r>
      <w:r>
        <w:rPr>
          <w:rFonts w:ascii="Arial" w:hAnsi="Arial" w:cs="Arial"/>
        </w:rPr>
        <w:t>673</w:t>
      </w:r>
      <w:r w:rsidRPr="00C563C4">
        <w:rPr>
          <w:rFonts w:ascii="Arial" w:hAnsi="Arial" w:cs="Arial"/>
        </w:rPr>
        <w:t xml:space="preserve"> (1991) (addressing the relative harm affecting the parties in ordering that an injunction of the airing of an advertisement be stayed pending appeal).</w:t>
      </w:r>
      <w:r>
        <w:rPr>
          <w:rFonts w:ascii="Arial" w:hAnsi="Arial" w:cs="Arial"/>
        </w:rPr>
        <w:t xml:space="preserve"> </w:t>
      </w:r>
    </w:p>
  </w:footnote>
  <w:footnote w:id="50">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Ohio Turnpike Comm’n v. Texaco, Inc</w:t>
      </w:r>
      <w:r w:rsidRPr="00C563C4">
        <w:rPr>
          <w:rFonts w:ascii="Arial" w:hAnsi="Arial" w:cs="Arial"/>
        </w:rPr>
        <w:t>., 35 Ohio Misc. 99, 105 (1973).</w:t>
      </w:r>
    </w:p>
  </w:footnote>
  <w:footnote w:id="51">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R.C. 4909.16.</w:t>
      </w:r>
    </w:p>
  </w:footnote>
  <w:footnote w:id="52">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R.C. 4909.15(E), R.C. 4909.18, &amp; R.C. 4909.19.</w:t>
      </w:r>
    </w:p>
  </w:footnote>
  <w:footnote w:id="53">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For the discussion related to DP&amp;L’s need for the SSR, </w:t>
      </w:r>
      <w:r w:rsidRPr="00B46BFA">
        <w:rPr>
          <w:rFonts w:ascii="Arial" w:hAnsi="Arial" w:cs="Arial"/>
          <w:i/>
        </w:rPr>
        <w:t>see, e.g.</w:t>
      </w:r>
      <w:r w:rsidRPr="00C563C4">
        <w:rPr>
          <w:rFonts w:ascii="Arial" w:hAnsi="Arial" w:cs="Arial"/>
        </w:rPr>
        <w:t>, Initial Brief of Industrial Energy User</w:t>
      </w:r>
      <w:r>
        <w:rPr>
          <w:rFonts w:ascii="Arial" w:hAnsi="Arial" w:cs="Arial"/>
        </w:rPr>
        <w:t>s</w:t>
      </w:r>
      <w:r w:rsidRPr="00C563C4">
        <w:rPr>
          <w:rFonts w:ascii="Arial" w:hAnsi="Arial" w:cs="Arial"/>
        </w:rPr>
        <w:t>-Ohio at 8-43 (May 20, 2013).</w:t>
      </w:r>
    </w:p>
  </w:footnote>
  <w:footnote w:id="54">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Motion to Stay at 6.</w:t>
      </w:r>
    </w:p>
  </w:footnote>
  <w:footnote w:id="55">
    <w:p w:rsidR="0010200F" w:rsidRPr="00C563C4" w:rsidRDefault="0010200F">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Memorandum Contra at 10-11.</w:t>
      </w:r>
    </w:p>
  </w:footnote>
  <w:footnote w:id="56">
    <w:p w:rsidR="0010200F" w:rsidRPr="0086493C" w:rsidRDefault="0010200F">
      <w:pPr>
        <w:pStyle w:val="FootnoteText"/>
        <w:rPr>
          <w:rFonts w:ascii="Arial" w:hAnsi="Arial" w:cs="Arial"/>
        </w:rPr>
      </w:pPr>
      <w:r w:rsidRPr="0086493C">
        <w:rPr>
          <w:rStyle w:val="FootnoteReference"/>
          <w:rFonts w:ascii="Arial" w:hAnsi="Arial" w:cs="Arial"/>
        </w:rPr>
        <w:footnoteRef/>
      </w:r>
      <w:r w:rsidRPr="0086493C">
        <w:rPr>
          <w:rFonts w:ascii="Arial" w:hAnsi="Arial" w:cs="Arial"/>
        </w:rPr>
        <w:t xml:space="preserve"> </w:t>
      </w:r>
      <w:r>
        <w:rPr>
          <w:rFonts w:ascii="Arial" w:hAnsi="Arial" w:cs="Arial"/>
        </w:rPr>
        <w:t xml:space="preserve">As noted above, the Commission has stated to the Court that riders such as the SSR are subject to annual reconciliation.  Thus, the assumption embedded in DP&amp;L’s “bill and keep” argument is not correct. </w:t>
      </w:r>
    </w:p>
  </w:footnote>
  <w:footnote w:id="57">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Memo</w:t>
      </w:r>
      <w:r>
        <w:rPr>
          <w:rFonts w:ascii="Arial" w:hAnsi="Arial" w:cs="Arial"/>
        </w:rPr>
        <w:t>randum</w:t>
      </w:r>
      <w:r w:rsidRPr="00C563C4">
        <w:rPr>
          <w:rFonts w:ascii="Arial" w:hAnsi="Arial" w:cs="Arial"/>
        </w:rPr>
        <w:t xml:space="preserve"> Contra at 11</w:t>
      </w:r>
      <w:r>
        <w:rPr>
          <w:rFonts w:ascii="Arial" w:hAnsi="Arial" w:cs="Arial"/>
        </w:rPr>
        <w:t xml:space="preserve">, citing </w:t>
      </w:r>
      <w:r w:rsidRPr="0086493C">
        <w:rPr>
          <w:rFonts w:ascii="Arial" w:hAnsi="Arial" w:cs="Arial"/>
          <w:i/>
        </w:rPr>
        <w:t>Keco Industries, Inc. v. Cincinnati &amp; Suburban Bell Tel. Co</w:t>
      </w:r>
      <w:r>
        <w:rPr>
          <w:rFonts w:ascii="Arial" w:hAnsi="Arial" w:cs="Arial"/>
        </w:rPr>
        <w:t>., 166 Ohio St. 254 (1957) (“</w:t>
      </w:r>
      <w:r w:rsidRPr="0086493C">
        <w:rPr>
          <w:rFonts w:ascii="Arial" w:hAnsi="Arial" w:cs="Arial"/>
          <w:i/>
        </w:rPr>
        <w:t>Keco</w:t>
      </w:r>
      <w:r>
        <w:rPr>
          <w:rFonts w:ascii="Arial" w:hAnsi="Arial" w:cs="Arial"/>
        </w:rPr>
        <w:t>”).</w:t>
      </w:r>
    </w:p>
  </w:footnote>
  <w:footnote w:id="58">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w:t>
      </w:r>
    </w:p>
  </w:footnote>
  <w:footnote w:id="59">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Id.</w:t>
      </w:r>
      <w:r w:rsidRPr="00C563C4">
        <w:rPr>
          <w:rFonts w:ascii="Arial" w:hAnsi="Arial" w:cs="Arial"/>
        </w:rPr>
        <w:t xml:space="preserve"> at 12.  </w:t>
      </w:r>
    </w:p>
  </w:footnote>
  <w:footnote w:id="60">
    <w:p w:rsidR="0010200F" w:rsidRPr="00C563C4" w:rsidRDefault="0010200F" w:rsidP="009C653E">
      <w:pPr>
        <w:pStyle w:val="FootnoteText"/>
        <w:rPr>
          <w:rFonts w:ascii="Arial" w:hAnsi="Arial" w:cs="Arial"/>
        </w:rPr>
      </w:pPr>
      <w:r w:rsidRPr="00C563C4">
        <w:rPr>
          <w:rStyle w:val="FootnoteReference"/>
          <w:rFonts w:ascii="Arial" w:hAnsi="Arial" w:cs="Arial"/>
        </w:rPr>
        <w:footnoteRef/>
      </w:r>
      <w:r w:rsidRPr="00C563C4">
        <w:rPr>
          <w:rFonts w:ascii="Arial" w:hAnsi="Arial" w:cs="Arial"/>
        </w:rPr>
        <w:t xml:space="preserve"> </w:t>
      </w:r>
      <w:r w:rsidRPr="00C563C4">
        <w:rPr>
          <w:rFonts w:ascii="Arial" w:hAnsi="Arial" w:cs="Arial"/>
          <w:i/>
        </w:rPr>
        <w:t>See, e.g.,</w:t>
      </w:r>
      <w:r w:rsidRPr="00C563C4">
        <w:rPr>
          <w:rFonts w:ascii="Arial" w:hAnsi="Arial" w:cs="Arial"/>
        </w:rPr>
        <w:t xml:space="preserve"> </w:t>
      </w:r>
      <w:r w:rsidRPr="00C563C4">
        <w:rPr>
          <w:rFonts w:ascii="Arial" w:hAnsi="Arial" w:cs="Arial"/>
          <w:i/>
        </w:rPr>
        <w:t xml:space="preserve">In the Matter of the Application of Columbus &amp; Southern Ohio Electric Company for Authority to Amend and Increase Certain of its Rates and Charges for Electric Service, Amend Certain Terms and Conditions of Service and Revise its Depreciation Accrual Rates and Reserves, Case No. 81-1058-EL-AIR, </w:t>
      </w:r>
      <w:r w:rsidRPr="00C563C4">
        <w:rPr>
          <w:rFonts w:ascii="Arial" w:hAnsi="Arial" w:cs="Arial"/>
        </w:rPr>
        <w:t>Entry</w:t>
      </w:r>
      <w:r w:rsidRPr="00C563C4">
        <w:rPr>
          <w:rFonts w:ascii="Arial" w:hAnsi="Arial" w:cs="Arial"/>
          <w:i/>
        </w:rPr>
        <w:t xml:space="preserve"> </w:t>
      </w:r>
      <w:r w:rsidRPr="00C563C4">
        <w:rPr>
          <w:rFonts w:ascii="Arial" w:hAnsi="Arial" w:cs="Arial"/>
        </w:rPr>
        <w:t xml:space="preserve">(Nov. 17, 1982); </w:t>
      </w:r>
      <w:r w:rsidRPr="00C563C4">
        <w:rPr>
          <w:rFonts w:ascii="Arial" w:hAnsi="Arial" w:cs="Arial"/>
          <w:i/>
        </w:rPr>
        <w:t>In the Matter of the Commission’s Investigation of the Current Rates, Revenues, Rate Base, and Rate of Return of the Ohio Utilities Company</w:t>
      </w:r>
      <w:r w:rsidRPr="00C563C4">
        <w:rPr>
          <w:rFonts w:ascii="Arial" w:hAnsi="Arial" w:cs="Arial"/>
        </w:rPr>
        <w:t xml:space="preserve">, Case No. 77-1073-WS-COI, Entry at 2 (June 7, 1978); </w:t>
      </w:r>
      <w:r w:rsidRPr="00C563C4">
        <w:rPr>
          <w:rFonts w:ascii="Arial" w:hAnsi="Arial" w:cs="Arial"/>
          <w:i/>
        </w:rPr>
        <w:t xml:space="preserve">In the Matter of the Application of Columbus Southern Power </w:t>
      </w:r>
      <w:r>
        <w:rPr>
          <w:rFonts w:ascii="Arial" w:hAnsi="Arial" w:cs="Arial"/>
          <w:i/>
        </w:rPr>
        <w:t>C</w:t>
      </w:r>
      <w:r w:rsidRPr="00C563C4">
        <w:rPr>
          <w:rFonts w:ascii="Arial" w:hAnsi="Arial" w:cs="Arial"/>
          <w:i/>
        </w:rPr>
        <w:t xml:space="preserve">ompany for Approval of an Electric Security Plan; an Amendment to its </w:t>
      </w:r>
      <w:r>
        <w:rPr>
          <w:rFonts w:ascii="Arial" w:hAnsi="Arial" w:cs="Arial"/>
          <w:i/>
        </w:rPr>
        <w:t>C</w:t>
      </w:r>
      <w:r w:rsidRPr="00C563C4">
        <w:rPr>
          <w:rFonts w:ascii="Arial" w:hAnsi="Arial" w:cs="Arial"/>
          <w:i/>
        </w:rPr>
        <w:t>orporate Separation Plan; and the Sale or Transfer of Certain Generating Assets</w:t>
      </w:r>
      <w:r w:rsidRPr="00C563C4">
        <w:rPr>
          <w:rFonts w:ascii="Arial" w:hAnsi="Arial" w:cs="Arial"/>
        </w:rPr>
        <w:t>, Case No</w:t>
      </w:r>
      <w:r>
        <w:rPr>
          <w:rFonts w:ascii="Arial" w:hAnsi="Arial" w:cs="Arial"/>
        </w:rPr>
        <w:t>s</w:t>
      </w:r>
      <w:r w:rsidRPr="00C563C4">
        <w:rPr>
          <w:rFonts w:ascii="Arial" w:hAnsi="Arial" w:cs="Arial"/>
        </w:rPr>
        <w:t xml:space="preserve">. 08-917-EL-SSO, </w:t>
      </w:r>
      <w:r w:rsidRPr="0086493C">
        <w:rPr>
          <w:rFonts w:ascii="Arial" w:hAnsi="Arial" w:cs="Arial"/>
          <w:i/>
        </w:rPr>
        <w:t>et al</w:t>
      </w:r>
      <w:r>
        <w:rPr>
          <w:rFonts w:ascii="Arial" w:hAnsi="Arial" w:cs="Arial"/>
        </w:rPr>
        <w:t xml:space="preserve">., </w:t>
      </w:r>
      <w:r w:rsidRPr="00C563C4">
        <w:rPr>
          <w:rFonts w:ascii="Arial" w:hAnsi="Arial" w:cs="Arial"/>
        </w:rPr>
        <w:t xml:space="preserve">Entry at ¶10 (May 25,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p w:rsidR="0010200F" w:rsidRDefault="0010200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0F" w:rsidRDefault="0010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7CB"/>
    <w:multiLevelType w:val="multilevel"/>
    <w:tmpl w:val="5484D580"/>
    <w:name w:val="Ind. Energy Users Group"/>
    <w:lvl w:ilvl="0">
      <w:start w:val="1"/>
      <w:numFmt w:val="upperRoman"/>
      <w:pStyle w:val="Heading1"/>
      <w:lvlText w:val="%1."/>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3431CB"/>
    <w:rsid w:val="000122E0"/>
    <w:rsid w:val="0003245F"/>
    <w:rsid w:val="000B20E5"/>
    <w:rsid w:val="000B40F5"/>
    <w:rsid w:val="0010200F"/>
    <w:rsid w:val="00117FF1"/>
    <w:rsid w:val="001755D0"/>
    <w:rsid w:val="00176212"/>
    <w:rsid w:val="001B185B"/>
    <w:rsid w:val="001F109D"/>
    <w:rsid w:val="001F6BC0"/>
    <w:rsid w:val="002156CE"/>
    <w:rsid w:val="00215B3E"/>
    <w:rsid w:val="00251C07"/>
    <w:rsid w:val="002702E1"/>
    <w:rsid w:val="002B7481"/>
    <w:rsid w:val="002D3BCB"/>
    <w:rsid w:val="003272FB"/>
    <w:rsid w:val="003431CB"/>
    <w:rsid w:val="003450C5"/>
    <w:rsid w:val="0035069F"/>
    <w:rsid w:val="003569FA"/>
    <w:rsid w:val="0036137E"/>
    <w:rsid w:val="00373D82"/>
    <w:rsid w:val="00376A7E"/>
    <w:rsid w:val="00381978"/>
    <w:rsid w:val="00385869"/>
    <w:rsid w:val="003B4CFA"/>
    <w:rsid w:val="003C5D87"/>
    <w:rsid w:val="003D7518"/>
    <w:rsid w:val="003E1CE1"/>
    <w:rsid w:val="003F3842"/>
    <w:rsid w:val="0048006C"/>
    <w:rsid w:val="004A49C1"/>
    <w:rsid w:val="004A52FB"/>
    <w:rsid w:val="004B6764"/>
    <w:rsid w:val="004F03DE"/>
    <w:rsid w:val="005339ED"/>
    <w:rsid w:val="00550C8E"/>
    <w:rsid w:val="00552A83"/>
    <w:rsid w:val="005D2454"/>
    <w:rsid w:val="005E0D2E"/>
    <w:rsid w:val="00602275"/>
    <w:rsid w:val="0061511C"/>
    <w:rsid w:val="00615930"/>
    <w:rsid w:val="006267B7"/>
    <w:rsid w:val="006622F5"/>
    <w:rsid w:val="006659C5"/>
    <w:rsid w:val="006726A1"/>
    <w:rsid w:val="006C0CFE"/>
    <w:rsid w:val="006D59B0"/>
    <w:rsid w:val="006E003A"/>
    <w:rsid w:val="006E0C93"/>
    <w:rsid w:val="006F7F6C"/>
    <w:rsid w:val="007202B2"/>
    <w:rsid w:val="0073792B"/>
    <w:rsid w:val="007402D0"/>
    <w:rsid w:val="0074301A"/>
    <w:rsid w:val="00763C0B"/>
    <w:rsid w:val="00781F24"/>
    <w:rsid w:val="007B278A"/>
    <w:rsid w:val="007D7DA0"/>
    <w:rsid w:val="007E7BDA"/>
    <w:rsid w:val="00810234"/>
    <w:rsid w:val="00843650"/>
    <w:rsid w:val="00846ACE"/>
    <w:rsid w:val="00851780"/>
    <w:rsid w:val="00852453"/>
    <w:rsid w:val="0086493C"/>
    <w:rsid w:val="00873BD6"/>
    <w:rsid w:val="008B453B"/>
    <w:rsid w:val="008E3BF4"/>
    <w:rsid w:val="00934F03"/>
    <w:rsid w:val="0094737F"/>
    <w:rsid w:val="00951735"/>
    <w:rsid w:val="009748F1"/>
    <w:rsid w:val="00985B98"/>
    <w:rsid w:val="009907AD"/>
    <w:rsid w:val="009C653E"/>
    <w:rsid w:val="009C6CD6"/>
    <w:rsid w:val="009D5AC9"/>
    <w:rsid w:val="009F3433"/>
    <w:rsid w:val="00A33EF6"/>
    <w:rsid w:val="00A35F6A"/>
    <w:rsid w:val="00A41049"/>
    <w:rsid w:val="00A64990"/>
    <w:rsid w:val="00A97303"/>
    <w:rsid w:val="00AB552C"/>
    <w:rsid w:val="00AF4A95"/>
    <w:rsid w:val="00B00FE1"/>
    <w:rsid w:val="00B259AD"/>
    <w:rsid w:val="00B30B61"/>
    <w:rsid w:val="00B45EB5"/>
    <w:rsid w:val="00B46BFA"/>
    <w:rsid w:val="00B51B8A"/>
    <w:rsid w:val="00B70BB1"/>
    <w:rsid w:val="00B979AD"/>
    <w:rsid w:val="00BC12ED"/>
    <w:rsid w:val="00BD6A00"/>
    <w:rsid w:val="00C00B8B"/>
    <w:rsid w:val="00C0405A"/>
    <w:rsid w:val="00C138FF"/>
    <w:rsid w:val="00C31248"/>
    <w:rsid w:val="00C563C4"/>
    <w:rsid w:val="00C62107"/>
    <w:rsid w:val="00C77BD1"/>
    <w:rsid w:val="00C85DD3"/>
    <w:rsid w:val="00C95E8A"/>
    <w:rsid w:val="00CC7430"/>
    <w:rsid w:val="00CF6059"/>
    <w:rsid w:val="00D04425"/>
    <w:rsid w:val="00D244ED"/>
    <w:rsid w:val="00D2656E"/>
    <w:rsid w:val="00D34F58"/>
    <w:rsid w:val="00D37721"/>
    <w:rsid w:val="00D4274F"/>
    <w:rsid w:val="00D63D0F"/>
    <w:rsid w:val="00D6476A"/>
    <w:rsid w:val="00D6668D"/>
    <w:rsid w:val="00D9261D"/>
    <w:rsid w:val="00DB292D"/>
    <w:rsid w:val="00DB723C"/>
    <w:rsid w:val="00DC0F29"/>
    <w:rsid w:val="00E05EA0"/>
    <w:rsid w:val="00E14245"/>
    <w:rsid w:val="00E21EA3"/>
    <w:rsid w:val="00E47438"/>
    <w:rsid w:val="00E6494F"/>
    <w:rsid w:val="00E85F2E"/>
    <w:rsid w:val="00E86298"/>
    <w:rsid w:val="00EB6E54"/>
    <w:rsid w:val="00F31D5E"/>
    <w:rsid w:val="00F5190F"/>
    <w:rsid w:val="00F64012"/>
    <w:rsid w:val="00FB26A0"/>
    <w:rsid w:val="00FB3EB3"/>
    <w:rsid w:val="00FD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pPr>
      <w:ind w:firstLine="0"/>
    </w:pPr>
  </w:style>
  <w:style w:type="paragraph" w:styleId="Heading1">
    <w:name w:val="heading 1"/>
    <w:basedOn w:val="Normal"/>
    <w:next w:val="Normal"/>
    <w:link w:val="Heading1Char"/>
    <w:uiPriority w:val="9"/>
    <w:qFormat/>
    <w:rsid w:val="007D7DA0"/>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7D7DA0"/>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7D7DA0"/>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7D7DA0"/>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7D7DA0"/>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7D7DA0"/>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7D7DA0"/>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7D7DA0"/>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7D7DA0"/>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3431CB"/>
    <w:rPr>
      <w:vertAlign w:val="superscript"/>
    </w:rPr>
  </w:style>
  <w:style w:type="paragraph" w:styleId="Header">
    <w:name w:val="header"/>
    <w:basedOn w:val="Normal"/>
    <w:link w:val="HeaderChar"/>
    <w:uiPriority w:val="99"/>
    <w:unhideWhenUsed/>
    <w:rsid w:val="000B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E5"/>
  </w:style>
  <w:style w:type="paragraph" w:styleId="Footer">
    <w:name w:val="footer"/>
    <w:basedOn w:val="Normal"/>
    <w:link w:val="FooterChar"/>
    <w:uiPriority w:val="99"/>
    <w:unhideWhenUsed/>
    <w:rsid w:val="000B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E5"/>
  </w:style>
  <w:style w:type="character" w:customStyle="1" w:styleId="cosearchterm">
    <w:name w:val="co_searchterm"/>
    <w:basedOn w:val="DefaultParagraphFont"/>
    <w:rsid w:val="00373D82"/>
  </w:style>
  <w:style w:type="character" w:customStyle="1" w:styleId="apple-converted-space">
    <w:name w:val="apple-converted-space"/>
    <w:basedOn w:val="DefaultParagraphFont"/>
    <w:rsid w:val="00373D82"/>
  </w:style>
  <w:style w:type="character" w:customStyle="1" w:styleId="Heading1Char">
    <w:name w:val="Heading 1 Char"/>
    <w:basedOn w:val="DefaultParagraphFont"/>
    <w:link w:val="Heading1"/>
    <w:uiPriority w:val="9"/>
    <w:rsid w:val="007D7DA0"/>
    <w:rPr>
      <w:rFonts w:eastAsiaTheme="majorEastAsia" w:cs="Arial"/>
      <w:b/>
      <w:bCs/>
      <w:caps/>
      <w:szCs w:val="28"/>
      <w:u w:val="single"/>
    </w:rPr>
  </w:style>
  <w:style w:type="character" w:customStyle="1" w:styleId="Heading2Char">
    <w:name w:val="Heading 2 Char"/>
    <w:basedOn w:val="DefaultParagraphFont"/>
    <w:link w:val="Heading2"/>
    <w:uiPriority w:val="9"/>
    <w:rsid w:val="007D7DA0"/>
    <w:rPr>
      <w:rFonts w:eastAsiaTheme="majorEastAsia" w:cs="Arial"/>
      <w:b/>
      <w:bCs/>
      <w:szCs w:val="26"/>
    </w:rPr>
  </w:style>
  <w:style w:type="character" w:customStyle="1" w:styleId="Heading3Char">
    <w:name w:val="Heading 3 Char"/>
    <w:basedOn w:val="DefaultParagraphFont"/>
    <w:link w:val="Heading3"/>
    <w:uiPriority w:val="9"/>
    <w:semiHidden/>
    <w:rsid w:val="007D7DA0"/>
    <w:rPr>
      <w:rFonts w:eastAsiaTheme="majorEastAsia" w:cs="Arial"/>
      <w:b/>
      <w:bCs/>
    </w:rPr>
  </w:style>
  <w:style w:type="character" w:customStyle="1" w:styleId="Heading4Char">
    <w:name w:val="Heading 4 Char"/>
    <w:basedOn w:val="DefaultParagraphFont"/>
    <w:link w:val="Heading4"/>
    <w:uiPriority w:val="9"/>
    <w:semiHidden/>
    <w:rsid w:val="007D7DA0"/>
    <w:rPr>
      <w:rFonts w:eastAsiaTheme="majorEastAsia" w:cs="Arial"/>
      <w:b/>
      <w:bCs/>
      <w:i/>
      <w:iCs/>
    </w:rPr>
  </w:style>
  <w:style w:type="character" w:customStyle="1" w:styleId="Heading5Char">
    <w:name w:val="Heading 5 Char"/>
    <w:basedOn w:val="DefaultParagraphFont"/>
    <w:link w:val="Heading5"/>
    <w:uiPriority w:val="9"/>
    <w:semiHidden/>
    <w:rsid w:val="007D7DA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7D7DA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7D7DA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7D7DA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7D7DA0"/>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7D7DA0"/>
  </w:style>
  <w:style w:type="character" w:customStyle="1" w:styleId="BodyTextChar">
    <w:name w:val="Body Text Char"/>
    <w:basedOn w:val="DefaultParagraphFont"/>
    <w:link w:val="BodyText"/>
    <w:uiPriority w:val="99"/>
    <w:semiHidden/>
    <w:rsid w:val="007D7DA0"/>
  </w:style>
  <w:style w:type="paragraph" w:styleId="BalloonText">
    <w:name w:val="Balloon Text"/>
    <w:basedOn w:val="Normal"/>
    <w:link w:val="BalloonTextChar"/>
    <w:uiPriority w:val="99"/>
    <w:semiHidden/>
    <w:unhideWhenUsed/>
    <w:rsid w:val="0084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CE"/>
    <w:rPr>
      <w:rFonts w:ascii="Tahoma" w:hAnsi="Tahoma" w:cs="Tahoma"/>
      <w:sz w:val="16"/>
      <w:szCs w:val="16"/>
    </w:rPr>
  </w:style>
  <w:style w:type="paragraph" w:styleId="TOCHeading">
    <w:name w:val="TOC Heading"/>
    <w:basedOn w:val="Normal"/>
    <w:next w:val="TOC1"/>
    <w:uiPriority w:val="39"/>
    <w:unhideWhenUsed/>
    <w:qFormat/>
    <w:rsid w:val="00846ACE"/>
    <w:pPr>
      <w:keepNext/>
      <w:keepLines/>
      <w:spacing w:before="480" w:after="240" w:line="240" w:lineRule="auto"/>
      <w:jc w:val="center"/>
    </w:pPr>
    <w:rPr>
      <w:b/>
      <w:color w:val="365F91" w:themeColor="accent1" w:themeShade="BF"/>
    </w:rPr>
  </w:style>
  <w:style w:type="paragraph" w:styleId="TOC1">
    <w:name w:val="toc 1"/>
    <w:basedOn w:val="Normal"/>
    <w:next w:val="Normal"/>
    <w:autoRedefine/>
    <w:uiPriority w:val="39"/>
    <w:unhideWhenUsed/>
    <w:rsid w:val="000122E0"/>
    <w:pPr>
      <w:tabs>
        <w:tab w:val="left" w:pos="720"/>
        <w:tab w:val="right" w:leader="dot" w:pos="9350"/>
      </w:tabs>
      <w:spacing w:after="240" w:line="240" w:lineRule="auto"/>
    </w:pPr>
  </w:style>
  <w:style w:type="paragraph" w:styleId="TOC2">
    <w:name w:val="toc 2"/>
    <w:basedOn w:val="Normal"/>
    <w:next w:val="Normal"/>
    <w:autoRedefine/>
    <w:uiPriority w:val="39"/>
    <w:unhideWhenUsed/>
    <w:rsid w:val="00846ACE"/>
    <w:pPr>
      <w:tabs>
        <w:tab w:val="left" w:pos="1440"/>
        <w:tab w:val="right" w:leader="dot" w:pos="9350"/>
      </w:tabs>
      <w:spacing w:after="100"/>
      <w:ind w:left="1440" w:hanging="720"/>
    </w:pPr>
  </w:style>
  <w:style w:type="paragraph" w:styleId="TOC3">
    <w:name w:val="toc 3"/>
    <w:basedOn w:val="Normal"/>
    <w:next w:val="Normal"/>
    <w:autoRedefine/>
    <w:uiPriority w:val="39"/>
    <w:semiHidden/>
    <w:unhideWhenUsed/>
    <w:rsid w:val="00846ACE"/>
    <w:pPr>
      <w:spacing w:after="100"/>
      <w:ind w:left="480"/>
    </w:pPr>
  </w:style>
  <w:style w:type="paragraph" w:styleId="TOC4">
    <w:name w:val="toc 4"/>
    <w:basedOn w:val="Normal"/>
    <w:next w:val="Normal"/>
    <w:autoRedefine/>
    <w:uiPriority w:val="39"/>
    <w:semiHidden/>
    <w:unhideWhenUsed/>
    <w:rsid w:val="00846ACE"/>
    <w:pPr>
      <w:spacing w:after="100"/>
      <w:ind w:left="720"/>
    </w:pPr>
  </w:style>
  <w:style w:type="paragraph" w:styleId="TOC5">
    <w:name w:val="toc 5"/>
    <w:basedOn w:val="Normal"/>
    <w:next w:val="Normal"/>
    <w:autoRedefine/>
    <w:uiPriority w:val="39"/>
    <w:semiHidden/>
    <w:unhideWhenUsed/>
    <w:rsid w:val="00846ACE"/>
    <w:pPr>
      <w:spacing w:after="100"/>
      <w:ind w:left="960"/>
    </w:pPr>
  </w:style>
  <w:style w:type="paragraph" w:styleId="TOC6">
    <w:name w:val="toc 6"/>
    <w:basedOn w:val="Normal"/>
    <w:next w:val="Normal"/>
    <w:autoRedefine/>
    <w:uiPriority w:val="39"/>
    <w:semiHidden/>
    <w:unhideWhenUsed/>
    <w:rsid w:val="00846ACE"/>
    <w:pPr>
      <w:spacing w:after="100"/>
      <w:ind w:left="1200"/>
    </w:pPr>
  </w:style>
  <w:style w:type="paragraph" w:styleId="TOC7">
    <w:name w:val="toc 7"/>
    <w:basedOn w:val="Normal"/>
    <w:next w:val="Normal"/>
    <w:autoRedefine/>
    <w:uiPriority w:val="39"/>
    <w:semiHidden/>
    <w:unhideWhenUsed/>
    <w:rsid w:val="00846ACE"/>
    <w:pPr>
      <w:spacing w:after="100"/>
      <w:ind w:left="1440"/>
    </w:pPr>
  </w:style>
  <w:style w:type="paragraph" w:styleId="TOC8">
    <w:name w:val="toc 8"/>
    <w:basedOn w:val="Normal"/>
    <w:next w:val="Normal"/>
    <w:autoRedefine/>
    <w:uiPriority w:val="39"/>
    <w:semiHidden/>
    <w:unhideWhenUsed/>
    <w:rsid w:val="00846ACE"/>
    <w:pPr>
      <w:spacing w:after="100"/>
      <w:ind w:left="1680"/>
    </w:pPr>
  </w:style>
  <w:style w:type="paragraph" w:styleId="TOC9">
    <w:name w:val="toc 9"/>
    <w:basedOn w:val="Normal"/>
    <w:next w:val="Normal"/>
    <w:autoRedefine/>
    <w:uiPriority w:val="39"/>
    <w:semiHidden/>
    <w:unhideWhenUsed/>
    <w:rsid w:val="00846ACE"/>
    <w:pPr>
      <w:spacing w:after="100"/>
      <w:ind w:left="1920"/>
    </w:pPr>
  </w:style>
  <w:style w:type="paragraph" w:customStyle="1" w:styleId="TOCPage">
    <w:name w:val="TOC Page"/>
    <w:basedOn w:val="Normal"/>
    <w:rsid w:val="00846ACE"/>
    <w:pPr>
      <w:spacing w:after="240" w:line="240" w:lineRule="auto"/>
      <w:jc w:val="right"/>
    </w:pPr>
    <w:rPr>
      <w:rFonts w:eastAsia="Times New Roman"/>
      <w:b/>
      <w:szCs w:val="20"/>
    </w:rPr>
  </w:style>
  <w:style w:type="paragraph" w:styleId="BodyTextIndent3">
    <w:name w:val="Body Text Indent 3"/>
    <w:basedOn w:val="Normal"/>
    <w:link w:val="BodyTextIndent3Char"/>
    <w:uiPriority w:val="99"/>
    <w:semiHidden/>
    <w:unhideWhenUsed/>
    <w:rsid w:val="007E7BDA"/>
    <w:pPr>
      <w:ind w:left="360"/>
    </w:pPr>
    <w:rPr>
      <w:sz w:val="16"/>
      <w:szCs w:val="16"/>
    </w:rPr>
  </w:style>
  <w:style w:type="character" w:customStyle="1" w:styleId="BodyTextIndent3Char">
    <w:name w:val="Body Text Indent 3 Char"/>
    <w:basedOn w:val="DefaultParagraphFont"/>
    <w:link w:val="BodyTextIndent3"/>
    <w:uiPriority w:val="99"/>
    <w:semiHidden/>
    <w:rsid w:val="007E7BDA"/>
    <w:rPr>
      <w:sz w:val="16"/>
      <w:szCs w:val="16"/>
    </w:rPr>
  </w:style>
  <w:style w:type="character" w:styleId="CommentReference">
    <w:name w:val="annotation reference"/>
    <w:basedOn w:val="DefaultParagraphFont"/>
    <w:uiPriority w:val="99"/>
    <w:semiHidden/>
    <w:unhideWhenUsed/>
    <w:rsid w:val="003450C5"/>
    <w:rPr>
      <w:sz w:val="16"/>
      <w:szCs w:val="16"/>
    </w:rPr>
  </w:style>
  <w:style w:type="paragraph" w:styleId="CommentText">
    <w:name w:val="annotation text"/>
    <w:basedOn w:val="Normal"/>
    <w:link w:val="CommentTextChar"/>
    <w:uiPriority w:val="99"/>
    <w:semiHidden/>
    <w:unhideWhenUsed/>
    <w:rsid w:val="003450C5"/>
    <w:pPr>
      <w:spacing w:line="240" w:lineRule="auto"/>
    </w:pPr>
    <w:rPr>
      <w:sz w:val="20"/>
      <w:szCs w:val="20"/>
    </w:rPr>
  </w:style>
  <w:style w:type="character" w:customStyle="1" w:styleId="CommentTextChar">
    <w:name w:val="Comment Text Char"/>
    <w:basedOn w:val="DefaultParagraphFont"/>
    <w:link w:val="CommentText"/>
    <w:uiPriority w:val="99"/>
    <w:semiHidden/>
    <w:rsid w:val="003450C5"/>
    <w:rPr>
      <w:sz w:val="20"/>
      <w:szCs w:val="20"/>
    </w:rPr>
  </w:style>
  <w:style w:type="paragraph" w:styleId="CommentSubject">
    <w:name w:val="annotation subject"/>
    <w:basedOn w:val="CommentText"/>
    <w:next w:val="CommentText"/>
    <w:link w:val="CommentSubjectChar"/>
    <w:uiPriority w:val="99"/>
    <w:semiHidden/>
    <w:unhideWhenUsed/>
    <w:rsid w:val="003450C5"/>
    <w:rPr>
      <w:b/>
      <w:bCs/>
    </w:rPr>
  </w:style>
  <w:style w:type="character" w:customStyle="1" w:styleId="CommentSubjectChar">
    <w:name w:val="Comment Subject Char"/>
    <w:basedOn w:val="CommentTextChar"/>
    <w:link w:val="CommentSubject"/>
    <w:uiPriority w:val="99"/>
    <w:semiHidden/>
    <w:rsid w:val="003450C5"/>
    <w:rPr>
      <w:b/>
      <w:bCs/>
      <w:sz w:val="20"/>
      <w:szCs w:val="20"/>
    </w:rPr>
  </w:style>
  <w:style w:type="character" w:styleId="Hyperlink">
    <w:name w:val="Hyperlink"/>
    <w:basedOn w:val="DefaultParagraphFont"/>
    <w:uiPriority w:val="99"/>
    <w:unhideWhenUsed/>
    <w:rsid w:val="00550C8E"/>
    <w:rPr>
      <w:color w:val="0000FF" w:themeColor="hyperlink"/>
      <w:u w:val="single"/>
    </w:rPr>
  </w:style>
  <w:style w:type="paragraph" w:styleId="BodyTextIndent">
    <w:name w:val="Body Text Indent"/>
    <w:basedOn w:val="Normal"/>
    <w:link w:val="BodyTextIndentChar"/>
    <w:uiPriority w:val="99"/>
    <w:semiHidden/>
    <w:unhideWhenUsed/>
    <w:rsid w:val="003B4CFA"/>
    <w:pPr>
      <w:ind w:left="360"/>
    </w:pPr>
  </w:style>
  <w:style w:type="character" w:customStyle="1" w:styleId="BodyTextIndentChar">
    <w:name w:val="Body Text Indent Char"/>
    <w:basedOn w:val="DefaultParagraphFont"/>
    <w:link w:val="BodyTextIndent"/>
    <w:uiPriority w:val="99"/>
    <w:semiHidden/>
    <w:rsid w:val="003B4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B"/>
    <w:pPr>
      <w:ind w:firstLine="0"/>
    </w:pPr>
  </w:style>
  <w:style w:type="paragraph" w:styleId="Heading1">
    <w:name w:val="heading 1"/>
    <w:basedOn w:val="Normal"/>
    <w:next w:val="Normal"/>
    <w:link w:val="Heading1Char"/>
    <w:uiPriority w:val="9"/>
    <w:qFormat/>
    <w:rsid w:val="007D7DA0"/>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7D7DA0"/>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7D7DA0"/>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7D7DA0"/>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7D7DA0"/>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7D7DA0"/>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7D7DA0"/>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7D7DA0"/>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7D7DA0"/>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301A"/>
    <w:pPr>
      <w:spacing w:line="240" w:lineRule="auto"/>
    </w:pPr>
    <w:rPr>
      <w:sz w:val="20"/>
      <w:szCs w:val="20"/>
    </w:rPr>
  </w:style>
  <w:style w:type="character" w:customStyle="1" w:styleId="FootnoteTextChar">
    <w:name w:val="Footnote Text Char"/>
    <w:basedOn w:val="DefaultParagraphFont"/>
    <w:link w:val="FootnoteText"/>
    <w:uiPriority w:val="99"/>
    <w:semiHidden/>
    <w:rsid w:val="0074301A"/>
    <w:rPr>
      <w:sz w:val="20"/>
      <w:szCs w:val="20"/>
    </w:rPr>
  </w:style>
  <w:style w:type="character" w:styleId="FootnoteReference">
    <w:name w:val="footnote reference"/>
    <w:basedOn w:val="DefaultParagraphFont"/>
    <w:uiPriority w:val="99"/>
    <w:semiHidden/>
    <w:unhideWhenUsed/>
    <w:rsid w:val="003431CB"/>
    <w:rPr>
      <w:vertAlign w:val="superscript"/>
    </w:rPr>
  </w:style>
  <w:style w:type="paragraph" w:styleId="Header">
    <w:name w:val="header"/>
    <w:basedOn w:val="Normal"/>
    <w:link w:val="HeaderChar"/>
    <w:uiPriority w:val="99"/>
    <w:unhideWhenUsed/>
    <w:rsid w:val="000B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E5"/>
  </w:style>
  <w:style w:type="paragraph" w:styleId="Footer">
    <w:name w:val="footer"/>
    <w:basedOn w:val="Normal"/>
    <w:link w:val="FooterChar"/>
    <w:uiPriority w:val="99"/>
    <w:unhideWhenUsed/>
    <w:rsid w:val="000B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E5"/>
  </w:style>
  <w:style w:type="character" w:customStyle="1" w:styleId="cosearchterm">
    <w:name w:val="co_searchterm"/>
    <w:basedOn w:val="DefaultParagraphFont"/>
    <w:rsid w:val="00373D82"/>
  </w:style>
  <w:style w:type="character" w:customStyle="1" w:styleId="apple-converted-space">
    <w:name w:val="apple-converted-space"/>
    <w:basedOn w:val="DefaultParagraphFont"/>
    <w:rsid w:val="00373D82"/>
  </w:style>
  <w:style w:type="character" w:customStyle="1" w:styleId="Heading1Char">
    <w:name w:val="Heading 1 Char"/>
    <w:basedOn w:val="DefaultParagraphFont"/>
    <w:link w:val="Heading1"/>
    <w:uiPriority w:val="9"/>
    <w:rsid w:val="007D7DA0"/>
    <w:rPr>
      <w:rFonts w:eastAsiaTheme="majorEastAsia" w:cs="Arial"/>
      <w:b/>
      <w:bCs/>
      <w:caps/>
      <w:szCs w:val="28"/>
      <w:u w:val="single"/>
    </w:rPr>
  </w:style>
  <w:style w:type="character" w:customStyle="1" w:styleId="Heading2Char">
    <w:name w:val="Heading 2 Char"/>
    <w:basedOn w:val="DefaultParagraphFont"/>
    <w:link w:val="Heading2"/>
    <w:uiPriority w:val="9"/>
    <w:rsid w:val="007D7DA0"/>
    <w:rPr>
      <w:rFonts w:eastAsiaTheme="majorEastAsia" w:cs="Arial"/>
      <w:b/>
      <w:bCs/>
      <w:szCs w:val="26"/>
    </w:rPr>
  </w:style>
  <w:style w:type="character" w:customStyle="1" w:styleId="Heading3Char">
    <w:name w:val="Heading 3 Char"/>
    <w:basedOn w:val="DefaultParagraphFont"/>
    <w:link w:val="Heading3"/>
    <w:uiPriority w:val="9"/>
    <w:semiHidden/>
    <w:rsid w:val="007D7DA0"/>
    <w:rPr>
      <w:rFonts w:eastAsiaTheme="majorEastAsia" w:cs="Arial"/>
      <w:b/>
      <w:bCs/>
    </w:rPr>
  </w:style>
  <w:style w:type="character" w:customStyle="1" w:styleId="Heading4Char">
    <w:name w:val="Heading 4 Char"/>
    <w:basedOn w:val="DefaultParagraphFont"/>
    <w:link w:val="Heading4"/>
    <w:uiPriority w:val="9"/>
    <w:semiHidden/>
    <w:rsid w:val="007D7DA0"/>
    <w:rPr>
      <w:rFonts w:eastAsiaTheme="majorEastAsia" w:cs="Arial"/>
      <w:b/>
      <w:bCs/>
      <w:i/>
      <w:iCs/>
    </w:rPr>
  </w:style>
  <w:style w:type="character" w:customStyle="1" w:styleId="Heading5Char">
    <w:name w:val="Heading 5 Char"/>
    <w:basedOn w:val="DefaultParagraphFont"/>
    <w:link w:val="Heading5"/>
    <w:uiPriority w:val="9"/>
    <w:semiHidden/>
    <w:rsid w:val="007D7DA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7D7DA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7D7DA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7D7DA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7D7DA0"/>
    <w:rPr>
      <w:rFonts w:asciiTheme="majorHAnsi" w:eastAsiaTheme="majorEastAsia" w:hAnsiTheme="majorHAnsi" w:cs="Arial"/>
      <w:iCs/>
      <w:color w:val="404040" w:themeColor="text1" w:themeTint="BF"/>
      <w:szCs w:val="20"/>
    </w:rPr>
  </w:style>
  <w:style w:type="paragraph" w:styleId="BodyText">
    <w:name w:val="Body Text"/>
    <w:basedOn w:val="Normal"/>
    <w:link w:val="BodyTextChar"/>
    <w:uiPriority w:val="99"/>
    <w:semiHidden/>
    <w:unhideWhenUsed/>
    <w:rsid w:val="007D7DA0"/>
  </w:style>
  <w:style w:type="character" w:customStyle="1" w:styleId="BodyTextChar">
    <w:name w:val="Body Text Char"/>
    <w:basedOn w:val="DefaultParagraphFont"/>
    <w:link w:val="BodyText"/>
    <w:uiPriority w:val="99"/>
    <w:semiHidden/>
    <w:rsid w:val="007D7DA0"/>
  </w:style>
  <w:style w:type="paragraph" w:styleId="BalloonText">
    <w:name w:val="Balloon Text"/>
    <w:basedOn w:val="Normal"/>
    <w:link w:val="BalloonTextChar"/>
    <w:uiPriority w:val="99"/>
    <w:semiHidden/>
    <w:unhideWhenUsed/>
    <w:rsid w:val="0084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ACE"/>
    <w:rPr>
      <w:rFonts w:ascii="Tahoma" w:hAnsi="Tahoma" w:cs="Tahoma"/>
      <w:sz w:val="16"/>
      <w:szCs w:val="16"/>
    </w:rPr>
  </w:style>
  <w:style w:type="paragraph" w:styleId="TOCHeading">
    <w:name w:val="TOC Heading"/>
    <w:basedOn w:val="Normal"/>
    <w:next w:val="TOC1"/>
    <w:uiPriority w:val="39"/>
    <w:unhideWhenUsed/>
    <w:qFormat/>
    <w:rsid w:val="00846ACE"/>
    <w:pPr>
      <w:keepNext/>
      <w:keepLines/>
      <w:spacing w:before="480" w:after="240" w:line="240" w:lineRule="auto"/>
      <w:jc w:val="center"/>
    </w:pPr>
    <w:rPr>
      <w:b/>
      <w:color w:val="365F91" w:themeColor="accent1" w:themeShade="BF"/>
    </w:rPr>
  </w:style>
  <w:style w:type="paragraph" w:styleId="TOC1">
    <w:name w:val="toc 1"/>
    <w:basedOn w:val="Normal"/>
    <w:next w:val="Normal"/>
    <w:autoRedefine/>
    <w:uiPriority w:val="39"/>
    <w:unhideWhenUsed/>
    <w:rsid w:val="000122E0"/>
    <w:pPr>
      <w:tabs>
        <w:tab w:val="left" w:pos="720"/>
        <w:tab w:val="right" w:leader="dot" w:pos="9350"/>
      </w:tabs>
      <w:spacing w:after="240" w:line="240" w:lineRule="auto"/>
    </w:pPr>
  </w:style>
  <w:style w:type="paragraph" w:styleId="TOC2">
    <w:name w:val="toc 2"/>
    <w:basedOn w:val="Normal"/>
    <w:next w:val="Normal"/>
    <w:autoRedefine/>
    <w:uiPriority w:val="39"/>
    <w:unhideWhenUsed/>
    <w:rsid w:val="00846ACE"/>
    <w:pPr>
      <w:tabs>
        <w:tab w:val="left" w:pos="1440"/>
        <w:tab w:val="right" w:leader="dot" w:pos="9350"/>
      </w:tabs>
      <w:spacing w:after="100"/>
      <w:ind w:left="1440" w:hanging="720"/>
    </w:pPr>
  </w:style>
  <w:style w:type="paragraph" w:styleId="TOC3">
    <w:name w:val="toc 3"/>
    <w:basedOn w:val="Normal"/>
    <w:next w:val="Normal"/>
    <w:autoRedefine/>
    <w:uiPriority w:val="39"/>
    <w:semiHidden/>
    <w:unhideWhenUsed/>
    <w:rsid w:val="00846ACE"/>
    <w:pPr>
      <w:spacing w:after="100"/>
      <w:ind w:left="480"/>
    </w:pPr>
  </w:style>
  <w:style w:type="paragraph" w:styleId="TOC4">
    <w:name w:val="toc 4"/>
    <w:basedOn w:val="Normal"/>
    <w:next w:val="Normal"/>
    <w:autoRedefine/>
    <w:uiPriority w:val="39"/>
    <w:semiHidden/>
    <w:unhideWhenUsed/>
    <w:rsid w:val="00846ACE"/>
    <w:pPr>
      <w:spacing w:after="100"/>
      <w:ind w:left="720"/>
    </w:pPr>
  </w:style>
  <w:style w:type="paragraph" w:styleId="TOC5">
    <w:name w:val="toc 5"/>
    <w:basedOn w:val="Normal"/>
    <w:next w:val="Normal"/>
    <w:autoRedefine/>
    <w:uiPriority w:val="39"/>
    <w:semiHidden/>
    <w:unhideWhenUsed/>
    <w:rsid w:val="00846ACE"/>
    <w:pPr>
      <w:spacing w:after="100"/>
      <w:ind w:left="960"/>
    </w:pPr>
  </w:style>
  <w:style w:type="paragraph" w:styleId="TOC6">
    <w:name w:val="toc 6"/>
    <w:basedOn w:val="Normal"/>
    <w:next w:val="Normal"/>
    <w:autoRedefine/>
    <w:uiPriority w:val="39"/>
    <w:semiHidden/>
    <w:unhideWhenUsed/>
    <w:rsid w:val="00846ACE"/>
    <w:pPr>
      <w:spacing w:after="100"/>
      <w:ind w:left="1200"/>
    </w:pPr>
  </w:style>
  <w:style w:type="paragraph" w:styleId="TOC7">
    <w:name w:val="toc 7"/>
    <w:basedOn w:val="Normal"/>
    <w:next w:val="Normal"/>
    <w:autoRedefine/>
    <w:uiPriority w:val="39"/>
    <w:semiHidden/>
    <w:unhideWhenUsed/>
    <w:rsid w:val="00846ACE"/>
    <w:pPr>
      <w:spacing w:after="100"/>
      <w:ind w:left="1440"/>
    </w:pPr>
  </w:style>
  <w:style w:type="paragraph" w:styleId="TOC8">
    <w:name w:val="toc 8"/>
    <w:basedOn w:val="Normal"/>
    <w:next w:val="Normal"/>
    <w:autoRedefine/>
    <w:uiPriority w:val="39"/>
    <w:semiHidden/>
    <w:unhideWhenUsed/>
    <w:rsid w:val="00846ACE"/>
    <w:pPr>
      <w:spacing w:after="100"/>
      <w:ind w:left="1680"/>
    </w:pPr>
  </w:style>
  <w:style w:type="paragraph" w:styleId="TOC9">
    <w:name w:val="toc 9"/>
    <w:basedOn w:val="Normal"/>
    <w:next w:val="Normal"/>
    <w:autoRedefine/>
    <w:uiPriority w:val="39"/>
    <w:semiHidden/>
    <w:unhideWhenUsed/>
    <w:rsid w:val="00846ACE"/>
    <w:pPr>
      <w:spacing w:after="100"/>
      <w:ind w:left="1920"/>
    </w:pPr>
  </w:style>
  <w:style w:type="paragraph" w:customStyle="1" w:styleId="TOCPage">
    <w:name w:val="TOC Page"/>
    <w:basedOn w:val="Normal"/>
    <w:rsid w:val="00846ACE"/>
    <w:pPr>
      <w:spacing w:after="240" w:line="240" w:lineRule="auto"/>
      <w:jc w:val="right"/>
    </w:pPr>
    <w:rPr>
      <w:rFonts w:eastAsia="Times New Roman"/>
      <w:b/>
      <w:szCs w:val="20"/>
    </w:rPr>
  </w:style>
  <w:style w:type="paragraph" w:styleId="BodyTextIndent3">
    <w:name w:val="Body Text Indent 3"/>
    <w:basedOn w:val="Normal"/>
    <w:link w:val="BodyTextIndent3Char"/>
    <w:uiPriority w:val="99"/>
    <w:semiHidden/>
    <w:unhideWhenUsed/>
    <w:rsid w:val="007E7BDA"/>
    <w:pPr>
      <w:ind w:left="360"/>
    </w:pPr>
    <w:rPr>
      <w:sz w:val="16"/>
      <w:szCs w:val="16"/>
    </w:rPr>
  </w:style>
  <w:style w:type="character" w:customStyle="1" w:styleId="BodyTextIndent3Char">
    <w:name w:val="Body Text Indent 3 Char"/>
    <w:basedOn w:val="DefaultParagraphFont"/>
    <w:link w:val="BodyTextIndent3"/>
    <w:uiPriority w:val="99"/>
    <w:semiHidden/>
    <w:rsid w:val="007E7BDA"/>
    <w:rPr>
      <w:sz w:val="16"/>
      <w:szCs w:val="16"/>
    </w:rPr>
  </w:style>
  <w:style w:type="character" w:styleId="CommentReference">
    <w:name w:val="annotation reference"/>
    <w:basedOn w:val="DefaultParagraphFont"/>
    <w:uiPriority w:val="99"/>
    <w:semiHidden/>
    <w:unhideWhenUsed/>
    <w:rsid w:val="003450C5"/>
    <w:rPr>
      <w:sz w:val="16"/>
      <w:szCs w:val="16"/>
    </w:rPr>
  </w:style>
  <w:style w:type="paragraph" w:styleId="CommentText">
    <w:name w:val="annotation text"/>
    <w:basedOn w:val="Normal"/>
    <w:link w:val="CommentTextChar"/>
    <w:uiPriority w:val="99"/>
    <w:semiHidden/>
    <w:unhideWhenUsed/>
    <w:rsid w:val="003450C5"/>
    <w:pPr>
      <w:spacing w:line="240" w:lineRule="auto"/>
    </w:pPr>
    <w:rPr>
      <w:sz w:val="20"/>
      <w:szCs w:val="20"/>
    </w:rPr>
  </w:style>
  <w:style w:type="character" w:customStyle="1" w:styleId="CommentTextChar">
    <w:name w:val="Comment Text Char"/>
    <w:basedOn w:val="DefaultParagraphFont"/>
    <w:link w:val="CommentText"/>
    <w:uiPriority w:val="99"/>
    <w:semiHidden/>
    <w:rsid w:val="003450C5"/>
    <w:rPr>
      <w:sz w:val="20"/>
      <w:szCs w:val="20"/>
    </w:rPr>
  </w:style>
  <w:style w:type="paragraph" w:styleId="CommentSubject">
    <w:name w:val="annotation subject"/>
    <w:basedOn w:val="CommentText"/>
    <w:next w:val="CommentText"/>
    <w:link w:val="CommentSubjectChar"/>
    <w:uiPriority w:val="99"/>
    <w:semiHidden/>
    <w:unhideWhenUsed/>
    <w:rsid w:val="003450C5"/>
    <w:rPr>
      <w:b/>
      <w:bCs/>
    </w:rPr>
  </w:style>
  <w:style w:type="character" w:customStyle="1" w:styleId="CommentSubjectChar">
    <w:name w:val="Comment Subject Char"/>
    <w:basedOn w:val="CommentTextChar"/>
    <w:link w:val="CommentSubject"/>
    <w:uiPriority w:val="99"/>
    <w:semiHidden/>
    <w:rsid w:val="003450C5"/>
    <w:rPr>
      <w:b/>
      <w:bCs/>
      <w:sz w:val="20"/>
      <w:szCs w:val="20"/>
    </w:rPr>
  </w:style>
  <w:style w:type="character" w:styleId="Hyperlink">
    <w:name w:val="Hyperlink"/>
    <w:basedOn w:val="DefaultParagraphFont"/>
    <w:uiPriority w:val="99"/>
    <w:unhideWhenUsed/>
    <w:rsid w:val="00550C8E"/>
    <w:rPr>
      <w:color w:val="0000FF" w:themeColor="hyperlink"/>
      <w:u w:val="single"/>
    </w:rPr>
  </w:style>
  <w:style w:type="paragraph" w:styleId="BodyTextIndent">
    <w:name w:val="Body Text Indent"/>
    <w:basedOn w:val="Normal"/>
    <w:link w:val="BodyTextIndentChar"/>
    <w:uiPriority w:val="99"/>
    <w:semiHidden/>
    <w:unhideWhenUsed/>
    <w:rsid w:val="003B4CFA"/>
    <w:pPr>
      <w:ind w:left="360"/>
    </w:pPr>
  </w:style>
  <w:style w:type="character" w:customStyle="1" w:styleId="BodyTextIndentChar">
    <w:name w:val="Body Text Indent Char"/>
    <w:basedOn w:val="DefaultParagraphFont"/>
    <w:link w:val="BodyTextIndent"/>
    <w:uiPriority w:val="99"/>
    <w:semiHidden/>
    <w:rsid w:val="003B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300">
      <w:bodyDiv w:val="1"/>
      <w:marLeft w:val="0"/>
      <w:marRight w:val="0"/>
      <w:marTop w:val="0"/>
      <w:marBottom w:val="0"/>
      <w:divBdr>
        <w:top w:val="none" w:sz="0" w:space="0" w:color="auto"/>
        <w:left w:val="none" w:sz="0" w:space="0" w:color="auto"/>
        <w:bottom w:val="none" w:sz="0" w:space="0" w:color="auto"/>
        <w:right w:val="none" w:sz="0" w:space="0" w:color="auto"/>
      </w:divBdr>
    </w:div>
    <w:div w:id="572475890">
      <w:bodyDiv w:val="1"/>
      <w:marLeft w:val="0"/>
      <w:marRight w:val="0"/>
      <w:marTop w:val="0"/>
      <w:marBottom w:val="0"/>
      <w:divBdr>
        <w:top w:val="none" w:sz="0" w:space="0" w:color="auto"/>
        <w:left w:val="none" w:sz="0" w:space="0" w:color="auto"/>
        <w:bottom w:val="none" w:sz="0" w:space="0" w:color="auto"/>
        <w:right w:val="none" w:sz="0" w:space="0" w:color="auto"/>
      </w:divBdr>
    </w:div>
    <w:div w:id="1578128440">
      <w:bodyDiv w:val="1"/>
      <w:marLeft w:val="0"/>
      <w:marRight w:val="0"/>
      <w:marTop w:val="0"/>
      <w:marBottom w:val="0"/>
      <w:divBdr>
        <w:top w:val="none" w:sz="0" w:space="0" w:color="auto"/>
        <w:left w:val="none" w:sz="0" w:space="0" w:color="auto"/>
        <w:bottom w:val="none" w:sz="0" w:space="0" w:color="auto"/>
        <w:right w:val="none" w:sz="0" w:space="0" w:color="auto"/>
      </w:divBdr>
    </w:div>
    <w:div w:id="1867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aureen.grady@occ.ohio.gov" TargetMode="External"/><Relationship Id="rId26" Type="http://schemas.openxmlformats.org/officeDocument/2006/relationships/header" Target="header5.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Mkurtz@BKLIawfirm.com" TargetMode="External"/><Relationship Id="rId34" Type="http://schemas.openxmlformats.org/officeDocument/2006/relationships/hyperlink" Target="mailto:Mkurtz@BKLIawfirm.com" TargetMode="External"/><Relationship Id="rId42" Type="http://schemas.openxmlformats.org/officeDocument/2006/relationships/hyperlink" Target="mailto:williams@whitt-sturtevant.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pritchard@mwncmh.com" TargetMode="External"/><Relationship Id="rId25" Type="http://schemas.openxmlformats.org/officeDocument/2006/relationships/footer" Target="footer4.xml"/><Relationship Id="rId33" Type="http://schemas.openxmlformats.org/officeDocument/2006/relationships/hyperlink" Target="mailto:Dboehm@BKLlawfirm.co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fdarr@mwncmh.com" TargetMode="External"/><Relationship Id="rId20" Type="http://schemas.openxmlformats.org/officeDocument/2006/relationships/hyperlink" Target="mailto:Dboehm@BKLlawfirm.com" TargetMode="External"/><Relationship Id="rId29" Type="http://schemas.openxmlformats.org/officeDocument/2006/relationships/hyperlink" Target="mailto:fdarr@mwncmh.com" TargetMode="External"/><Relationship Id="rId41" Type="http://schemas.openxmlformats.org/officeDocument/2006/relationships/hyperlink" Target="mailto:Stephen.bennett@exelon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mailto:Edmund.berger@occ.ohio.gov" TargetMode="Externa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m@mwncmh.com" TargetMode="External"/><Relationship Id="rId23" Type="http://schemas.openxmlformats.org/officeDocument/2006/relationships/hyperlink" Target="mailto:cmooney@ohiopartners.org" TargetMode="External"/><Relationship Id="rId28" Type="http://schemas.openxmlformats.org/officeDocument/2006/relationships/hyperlink" Target="mailto:sam@mwncmh.com" TargetMode="External"/><Relationship Id="rId36" Type="http://schemas.openxmlformats.org/officeDocument/2006/relationships/hyperlink" Target="mailto:cmooney@ohiopartners.org" TargetMode="External"/><Relationship Id="rId10" Type="http://schemas.openxmlformats.org/officeDocument/2006/relationships/header" Target="header2.xml"/><Relationship Id="rId19" Type="http://schemas.openxmlformats.org/officeDocument/2006/relationships/hyperlink" Target="mailto:Edmund.berger@occ.ohio.gov" TargetMode="External"/><Relationship Id="rId31" Type="http://schemas.openxmlformats.org/officeDocument/2006/relationships/hyperlink" Target="mailto:Maureen.grady@occ.ohio.go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kylercohn@BKLlawfirm.com" TargetMode="External"/><Relationship Id="rId27" Type="http://schemas.openxmlformats.org/officeDocument/2006/relationships/footer" Target="footer5.xml"/><Relationship Id="rId30" Type="http://schemas.openxmlformats.org/officeDocument/2006/relationships/hyperlink" Target="mailto:mpritchard@mwncmh.com" TargetMode="External"/><Relationship Id="rId35" Type="http://schemas.openxmlformats.org/officeDocument/2006/relationships/hyperlink" Target="mailto:Jkylercohn@BKLlawfirm.com"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D0F4-E561-4EAE-8B19-5E72D961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25</Pages>
  <Words>4811</Words>
  <Characters>26858</Characters>
  <Application>Microsoft Office Word</Application>
  <DocSecurity>0</DocSecurity>
  <PresentationFormat/>
  <Lines>683</Lines>
  <Paragraphs>310</Paragraphs>
  <ScaleCrop>false</ScaleCrop>
  <HeadingPairs>
    <vt:vector size="2" baseType="variant">
      <vt:variant>
        <vt:lpstr>Title</vt:lpstr>
      </vt:variant>
      <vt:variant>
        <vt:i4>1</vt:i4>
      </vt:variant>
    </vt:vector>
  </HeadingPairs>
  <TitlesOfParts>
    <vt:vector size="1" baseType="lpstr">
      <vt:lpstr>reply to memo contra motion to stay (C45399-2).DOCX</vt:lpstr>
    </vt:vector>
  </TitlesOfParts>
  <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memo contra motion to stay (C45399-2).DOCX</dc:title>
  <dc:subject>C45399:2 /font=8</dc:subject>
  <dc:creator>_</dc:creator>
  <cp:keywords/>
  <dc:description/>
  <cp:lastModifiedBy>Karen Bowman</cp:lastModifiedBy>
  <cp:revision>49</cp:revision>
  <cp:lastPrinted>2014-08-21T18:17:00Z</cp:lastPrinted>
  <dcterms:created xsi:type="dcterms:W3CDTF">2014-08-15T18:36:00Z</dcterms:created>
  <dcterms:modified xsi:type="dcterms:W3CDTF">2014-08-21T18:21:00Z</dcterms:modified>
</cp:coreProperties>
</file>