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1640" w14:textId="77777777" w:rsidR="00EE25FF" w:rsidRDefault="00EE25FF" w:rsidP="00EE25FF">
      <w:pPr>
        <w:pStyle w:val="Title"/>
        <w:ind w:left="720" w:hanging="720"/>
        <w:rPr>
          <w:rFonts w:ascii="Arial" w:hAnsi="Arial" w:cs="Arial"/>
          <w:smallCaps/>
          <w:sz w:val="32"/>
          <w:szCs w:val="32"/>
        </w:rPr>
      </w:pPr>
      <w:r>
        <w:rPr>
          <w:rFonts w:ascii="Arial" w:hAnsi="Arial" w:cs="Arial"/>
          <w:sz w:val="32"/>
          <w:szCs w:val="32"/>
        </w:rPr>
        <w:t>B</w:t>
      </w:r>
      <w:r>
        <w:rPr>
          <w:rFonts w:ascii="Arial" w:hAnsi="Arial" w:cs="Arial"/>
          <w:smallCaps/>
          <w:sz w:val="32"/>
          <w:szCs w:val="32"/>
        </w:rPr>
        <w:t>efore</w:t>
      </w:r>
    </w:p>
    <w:p w14:paraId="75F25623" w14:textId="77777777" w:rsidR="00EE25FF" w:rsidRDefault="00EE25FF" w:rsidP="00EE25FF">
      <w:pPr>
        <w:pStyle w:val="Subtitle"/>
        <w:rPr>
          <w:rFonts w:cs="Arial"/>
          <w:szCs w:val="32"/>
        </w:rPr>
      </w:pPr>
      <w:r>
        <w:rPr>
          <w:rFonts w:cs="Arial"/>
          <w:szCs w:val="32"/>
        </w:rPr>
        <w:t xml:space="preserve">The Public Utilities Commission </w:t>
      </w:r>
      <w:proofErr w:type="spellStart"/>
      <w:r>
        <w:rPr>
          <w:rFonts w:cs="Arial"/>
          <w:szCs w:val="32"/>
          <w:lang w:val="en-US"/>
        </w:rPr>
        <w:t>o</w:t>
      </w:r>
      <w:r>
        <w:rPr>
          <w:rFonts w:cs="Arial"/>
          <w:szCs w:val="32"/>
        </w:rPr>
        <w:t>f</w:t>
      </w:r>
      <w:proofErr w:type="spellEnd"/>
      <w:r>
        <w:rPr>
          <w:rFonts w:cs="Arial"/>
          <w:szCs w:val="32"/>
        </w:rPr>
        <w:t xml:space="preserve"> Ohio</w:t>
      </w:r>
    </w:p>
    <w:p w14:paraId="6CDF6217" w14:textId="77777777" w:rsidR="00EE25FF" w:rsidRDefault="00EE25FF" w:rsidP="00EE25FF">
      <w:pPr>
        <w:pStyle w:val="Title"/>
        <w:rPr>
          <w:rFonts w:ascii="Arial" w:hAnsi="Arial" w:cs="Arial"/>
          <w:b w:val="0"/>
          <w:bCs w:val="0"/>
        </w:rPr>
      </w:pPr>
    </w:p>
    <w:p w14:paraId="50C3036A" w14:textId="77777777" w:rsidR="00EE25FF" w:rsidRDefault="00EE25FF" w:rsidP="00EE25FF">
      <w:pPr>
        <w:pStyle w:val="Title"/>
        <w:jc w:val="left"/>
        <w:rPr>
          <w:rFonts w:ascii="Arial" w:hAnsi="Arial" w:cs="Arial"/>
          <w:b w:val="0"/>
          <w:bCs w:val="0"/>
        </w:rPr>
      </w:pPr>
    </w:p>
    <w:p w14:paraId="6466EB79" w14:textId="3010EDAE" w:rsidR="00EE25FF" w:rsidRDefault="00EE25FF" w:rsidP="00EE25FF">
      <w:pPr>
        <w:tabs>
          <w:tab w:val="left" w:pos="4500"/>
          <w:tab w:val="left" w:pos="4860"/>
          <w:tab w:val="left" w:pos="5400"/>
        </w:tabs>
        <w:rPr>
          <w:rFonts w:cs="Arial"/>
        </w:rPr>
      </w:pPr>
      <w:r>
        <w:t xml:space="preserve">In the Matter of the </w:t>
      </w:r>
      <w:r w:rsidR="00E97537">
        <w:t>Commission’s</w:t>
      </w:r>
      <w:r>
        <w:tab/>
        <w:t>)</w:t>
      </w:r>
    </w:p>
    <w:p w14:paraId="5B64655C" w14:textId="147AFA4A" w:rsidR="00EE25FF" w:rsidRDefault="00E97537" w:rsidP="00EE25FF">
      <w:pPr>
        <w:tabs>
          <w:tab w:val="left" w:pos="4500"/>
          <w:tab w:val="left" w:pos="4860"/>
          <w:tab w:val="left" w:pos="5400"/>
        </w:tabs>
      </w:pPr>
      <w:r>
        <w:t>Review of Chapter 4901:1-19 of the</w:t>
      </w:r>
      <w:r w:rsidR="00EE25FF">
        <w:tab/>
        <w:t>)</w:t>
      </w:r>
      <w:r>
        <w:tab/>
      </w:r>
      <w:r>
        <w:tab/>
        <w:t>Case No. 17-1945-GA-ORD</w:t>
      </w:r>
    </w:p>
    <w:p w14:paraId="3591638C" w14:textId="25CE1702" w:rsidR="00EE25FF" w:rsidRDefault="00E97537" w:rsidP="00EE25FF">
      <w:pPr>
        <w:tabs>
          <w:tab w:val="left" w:pos="4500"/>
          <w:tab w:val="left" w:pos="4860"/>
          <w:tab w:val="left" w:pos="5400"/>
        </w:tabs>
      </w:pPr>
      <w:r>
        <w:t>Ohio Administrative Code.</w:t>
      </w:r>
      <w:r w:rsidR="00EE25FF">
        <w:tab/>
        <w:t>)</w:t>
      </w:r>
    </w:p>
    <w:p w14:paraId="0EECADAD" w14:textId="4CED10FB" w:rsidR="00EE25FF" w:rsidRDefault="00EE25FF" w:rsidP="00EE25FF">
      <w:pPr>
        <w:tabs>
          <w:tab w:val="left" w:pos="-1080"/>
          <w:tab w:val="left" w:pos="-720"/>
          <w:tab w:val="left" w:pos="4680"/>
          <w:tab w:val="left" w:pos="5580"/>
          <w:tab w:val="left" w:pos="5940"/>
        </w:tabs>
        <w:jc w:val="both"/>
        <w:rPr>
          <w:rFonts w:ascii="Trebuchet MS" w:hAnsi="Trebuchet MS"/>
        </w:rPr>
      </w:pPr>
    </w:p>
    <w:p w14:paraId="3DB13A5C" w14:textId="5318B8B5" w:rsidR="00955948" w:rsidRDefault="00955948" w:rsidP="00EE25FF">
      <w:pPr>
        <w:tabs>
          <w:tab w:val="left" w:pos="-1080"/>
          <w:tab w:val="left" w:pos="-720"/>
          <w:tab w:val="left" w:pos="4680"/>
          <w:tab w:val="left" w:pos="5580"/>
          <w:tab w:val="left" w:pos="5940"/>
        </w:tabs>
        <w:jc w:val="both"/>
        <w:rPr>
          <w:rFonts w:ascii="Trebuchet MS" w:hAnsi="Trebuchet MS"/>
        </w:rPr>
      </w:pPr>
    </w:p>
    <w:p w14:paraId="7672D70F" w14:textId="2EB15C74" w:rsidR="00955948" w:rsidRDefault="00955948" w:rsidP="00EE25FF">
      <w:pPr>
        <w:tabs>
          <w:tab w:val="left" w:pos="-1080"/>
          <w:tab w:val="left" w:pos="-720"/>
          <w:tab w:val="left" w:pos="4680"/>
          <w:tab w:val="left" w:pos="5580"/>
          <w:tab w:val="left" w:pos="5940"/>
        </w:tabs>
        <w:jc w:val="both"/>
        <w:rPr>
          <w:rFonts w:ascii="Trebuchet MS" w:hAnsi="Trebuchet MS"/>
        </w:rPr>
      </w:pPr>
    </w:p>
    <w:p w14:paraId="1789679F" w14:textId="77777777" w:rsidR="00955948" w:rsidRDefault="00955948" w:rsidP="00EE25FF">
      <w:pPr>
        <w:tabs>
          <w:tab w:val="left" w:pos="-1080"/>
          <w:tab w:val="left" w:pos="-720"/>
          <w:tab w:val="left" w:pos="4680"/>
          <w:tab w:val="left" w:pos="5580"/>
          <w:tab w:val="left" w:pos="5940"/>
        </w:tabs>
        <w:jc w:val="both"/>
        <w:rPr>
          <w:rFonts w:ascii="Trebuchet MS" w:hAnsi="Trebuchet MS"/>
        </w:rPr>
      </w:pPr>
    </w:p>
    <w:p w14:paraId="28CF7BF3" w14:textId="77777777" w:rsidR="00EE25FF" w:rsidRPr="00817EA6" w:rsidRDefault="00EE25FF" w:rsidP="00EE25FF">
      <w:pPr>
        <w:pBdr>
          <w:top w:val="single" w:sz="12" w:space="1" w:color="auto"/>
          <w:bottom w:val="single" w:sz="12" w:space="1" w:color="auto"/>
        </w:pBdr>
        <w:tabs>
          <w:tab w:val="left" w:pos="-1080"/>
          <w:tab w:val="left" w:pos="-720"/>
          <w:tab w:val="left" w:pos="4680"/>
          <w:tab w:val="left" w:pos="5580"/>
          <w:tab w:val="left" w:pos="5940"/>
        </w:tabs>
        <w:jc w:val="center"/>
        <w:rPr>
          <w:b/>
          <w:bCs/>
          <w:sz w:val="20"/>
        </w:rPr>
      </w:pPr>
    </w:p>
    <w:p w14:paraId="0FDB6952" w14:textId="2FF73815" w:rsidR="00EE25FF" w:rsidRPr="00817EA6" w:rsidRDefault="00817EA6" w:rsidP="00EE25FF">
      <w:pPr>
        <w:pBdr>
          <w:top w:val="single" w:sz="12" w:space="1" w:color="auto"/>
          <w:bottom w:val="single" w:sz="12" w:space="1" w:color="auto"/>
        </w:pBdr>
        <w:tabs>
          <w:tab w:val="left" w:pos="-1080"/>
          <w:tab w:val="left" w:pos="-720"/>
          <w:tab w:val="left" w:pos="4680"/>
          <w:tab w:val="left" w:pos="5580"/>
          <w:tab w:val="left" w:pos="5940"/>
        </w:tabs>
        <w:jc w:val="center"/>
        <w:rPr>
          <w:rFonts w:ascii="Arial Bold" w:hAnsi="Arial Bold"/>
          <w:b/>
          <w:bCs/>
          <w:smallCaps/>
          <w:sz w:val="32"/>
          <w:szCs w:val="32"/>
        </w:rPr>
      </w:pPr>
      <w:r w:rsidRPr="00817EA6">
        <w:rPr>
          <w:rFonts w:ascii="Arial Bold" w:hAnsi="Arial Bold"/>
          <w:b/>
          <w:bCs/>
          <w:smallCaps/>
          <w:sz w:val="32"/>
          <w:szCs w:val="32"/>
        </w:rPr>
        <w:t>R</w:t>
      </w:r>
      <w:r>
        <w:rPr>
          <w:rFonts w:ascii="Arial Bold" w:hAnsi="Arial Bold"/>
          <w:b/>
          <w:bCs/>
          <w:smallCaps/>
          <w:sz w:val="32"/>
          <w:szCs w:val="32"/>
        </w:rPr>
        <w:t>eply</w:t>
      </w:r>
      <w:r w:rsidRPr="00817EA6">
        <w:rPr>
          <w:rFonts w:ascii="Arial Bold" w:hAnsi="Arial Bold"/>
          <w:b/>
          <w:bCs/>
          <w:smallCaps/>
          <w:sz w:val="32"/>
          <w:szCs w:val="32"/>
        </w:rPr>
        <w:t xml:space="preserve"> C</w:t>
      </w:r>
      <w:r>
        <w:rPr>
          <w:rFonts w:ascii="Arial Bold" w:hAnsi="Arial Bold"/>
          <w:b/>
          <w:bCs/>
          <w:smallCaps/>
          <w:sz w:val="32"/>
          <w:szCs w:val="32"/>
        </w:rPr>
        <w:t>omments</w:t>
      </w:r>
      <w:r w:rsidRPr="00817EA6">
        <w:rPr>
          <w:rFonts w:ascii="Arial Bold" w:hAnsi="Arial Bold"/>
          <w:b/>
          <w:bCs/>
          <w:smallCaps/>
          <w:sz w:val="32"/>
          <w:szCs w:val="32"/>
        </w:rPr>
        <w:t xml:space="preserve"> </w:t>
      </w:r>
      <w:r>
        <w:rPr>
          <w:rFonts w:ascii="Arial Bold" w:hAnsi="Arial Bold"/>
          <w:b/>
          <w:bCs/>
          <w:smallCaps/>
          <w:sz w:val="32"/>
          <w:szCs w:val="32"/>
        </w:rPr>
        <w:t>of</w:t>
      </w:r>
      <w:r w:rsidRPr="00817EA6">
        <w:rPr>
          <w:rFonts w:ascii="Arial Bold" w:hAnsi="Arial Bold"/>
          <w:b/>
          <w:bCs/>
          <w:smallCaps/>
          <w:sz w:val="32"/>
          <w:szCs w:val="32"/>
        </w:rPr>
        <w:t xml:space="preserve"> O</w:t>
      </w:r>
      <w:r>
        <w:rPr>
          <w:rFonts w:ascii="Arial Bold" w:hAnsi="Arial Bold"/>
          <w:b/>
          <w:bCs/>
          <w:smallCaps/>
          <w:sz w:val="32"/>
          <w:szCs w:val="32"/>
        </w:rPr>
        <w:t>hio</w:t>
      </w:r>
      <w:r w:rsidRPr="00817EA6">
        <w:rPr>
          <w:rFonts w:ascii="Arial Bold" w:hAnsi="Arial Bold"/>
          <w:b/>
          <w:bCs/>
          <w:smallCaps/>
          <w:sz w:val="32"/>
          <w:szCs w:val="32"/>
        </w:rPr>
        <w:t xml:space="preserve"> G</w:t>
      </w:r>
      <w:r>
        <w:rPr>
          <w:rFonts w:ascii="Arial Bold" w:hAnsi="Arial Bold"/>
          <w:b/>
          <w:bCs/>
          <w:smallCaps/>
          <w:sz w:val="32"/>
          <w:szCs w:val="32"/>
        </w:rPr>
        <w:t>as</w:t>
      </w:r>
      <w:r w:rsidRPr="00817EA6">
        <w:rPr>
          <w:rFonts w:ascii="Arial Bold" w:hAnsi="Arial Bold"/>
          <w:b/>
          <w:bCs/>
          <w:smallCaps/>
          <w:sz w:val="32"/>
          <w:szCs w:val="32"/>
        </w:rPr>
        <w:t xml:space="preserve"> C</w:t>
      </w:r>
      <w:r>
        <w:rPr>
          <w:rFonts w:ascii="Arial Bold" w:hAnsi="Arial Bold"/>
          <w:b/>
          <w:bCs/>
          <w:smallCaps/>
          <w:sz w:val="32"/>
          <w:szCs w:val="32"/>
        </w:rPr>
        <w:t>ompany</w:t>
      </w:r>
    </w:p>
    <w:p w14:paraId="5EBD2CF5" w14:textId="77777777" w:rsidR="00817EA6" w:rsidRDefault="00817EA6" w:rsidP="00EE25FF">
      <w:pPr>
        <w:pBdr>
          <w:top w:val="single" w:sz="12" w:space="1" w:color="auto"/>
          <w:bottom w:val="single" w:sz="12" w:space="1" w:color="auto"/>
        </w:pBdr>
        <w:tabs>
          <w:tab w:val="left" w:pos="-1080"/>
          <w:tab w:val="left" w:pos="-720"/>
          <w:tab w:val="left" w:pos="4680"/>
          <w:tab w:val="left" w:pos="5580"/>
          <w:tab w:val="left" w:pos="5940"/>
        </w:tabs>
        <w:jc w:val="center"/>
        <w:rPr>
          <w:rFonts w:ascii="Trebuchet MS" w:hAnsi="Trebuchet MS"/>
          <w:b/>
          <w:bCs/>
        </w:rPr>
      </w:pPr>
    </w:p>
    <w:p w14:paraId="6F64325F" w14:textId="77777777" w:rsidR="00EE25FF" w:rsidRDefault="00EE25FF" w:rsidP="00EE25FF">
      <w:pPr>
        <w:tabs>
          <w:tab w:val="left" w:pos="-1080"/>
          <w:tab w:val="left" w:pos="-720"/>
          <w:tab w:val="left" w:pos="4680"/>
          <w:tab w:val="left" w:pos="5580"/>
          <w:tab w:val="left" w:pos="5940"/>
        </w:tabs>
        <w:jc w:val="both"/>
        <w:rPr>
          <w:b/>
          <w:bCs/>
        </w:rPr>
      </w:pPr>
    </w:p>
    <w:p w14:paraId="71ED6091" w14:textId="77777777" w:rsidR="00EE25FF" w:rsidRDefault="00EE25FF" w:rsidP="00EE25FF">
      <w:pPr>
        <w:tabs>
          <w:tab w:val="left" w:pos="-1080"/>
          <w:tab w:val="left" w:pos="-720"/>
          <w:tab w:val="left" w:pos="4680"/>
          <w:tab w:val="left" w:pos="5580"/>
          <w:tab w:val="left" w:pos="5940"/>
        </w:tabs>
        <w:jc w:val="both"/>
        <w:rPr>
          <w:b/>
          <w:bCs/>
        </w:rPr>
      </w:pPr>
    </w:p>
    <w:p w14:paraId="3A9E96D5" w14:textId="77777777" w:rsidR="00EE25FF" w:rsidRDefault="00EE25FF" w:rsidP="00EE25FF">
      <w:pPr>
        <w:tabs>
          <w:tab w:val="left" w:pos="-1080"/>
          <w:tab w:val="left" w:pos="-720"/>
          <w:tab w:val="left" w:pos="4680"/>
          <w:tab w:val="left" w:pos="5580"/>
          <w:tab w:val="left" w:pos="5940"/>
        </w:tabs>
        <w:jc w:val="both"/>
        <w:rPr>
          <w:b/>
          <w:bCs/>
        </w:rPr>
      </w:pPr>
    </w:p>
    <w:p w14:paraId="710D4277" w14:textId="77777777" w:rsidR="00EE25FF" w:rsidRDefault="00EE25FF" w:rsidP="00EE25FF">
      <w:pPr>
        <w:tabs>
          <w:tab w:val="left" w:pos="-1080"/>
          <w:tab w:val="left" w:pos="-720"/>
          <w:tab w:val="left" w:pos="4680"/>
          <w:tab w:val="left" w:pos="5580"/>
          <w:tab w:val="left" w:pos="5940"/>
        </w:tabs>
        <w:jc w:val="both"/>
        <w:rPr>
          <w:b/>
          <w:bCs/>
        </w:rPr>
      </w:pPr>
    </w:p>
    <w:p w14:paraId="24BBCE50" w14:textId="77777777" w:rsidR="00EE25FF" w:rsidRDefault="00EE25FF" w:rsidP="00EE25FF">
      <w:pPr>
        <w:tabs>
          <w:tab w:val="left" w:pos="-1080"/>
          <w:tab w:val="left" w:pos="-720"/>
          <w:tab w:val="left" w:pos="4680"/>
          <w:tab w:val="left" w:pos="5580"/>
          <w:tab w:val="left" w:pos="5940"/>
        </w:tabs>
        <w:jc w:val="both"/>
        <w:rPr>
          <w:b/>
          <w:bCs/>
        </w:rPr>
      </w:pPr>
    </w:p>
    <w:p w14:paraId="53E688EF" w14:textId="77777777" w:rsidR="00EE25FF" w:rsidRDefault="00EE25FF" w:rsidP="00EE25FF">
      <w:pPr>
        <w:tabs>
          <w:tab w:val="left" w:pos="-1080"/>
          <w:tab w:val="left" w:pos="-720"/>
          <w:tab w:val="left" w:pos="4680"/>
          <w:tab w:val="left" w:pos="5580"/>
          <w:tab w:val="left" w:pos="5940"/>
        </w:tabs>
        <w:jc w:val="both"/>
        <w:rPr>
          <w:b/>
          <w:bCs/>
        </w:rPr>
      </w:pPr>
    </w:p>
    <w:p w14:paraId="4E2029AA" w14:textId="77777777" w:rsidR="00EE25FF" w:rsidRDefault="00EE25FF" w:rsidP="00EE25FF">
      <w:pPr>
        <w:tabs>
          <w:tab w:val="left" w:pos="-1080"/>
          <w:tab w:val="left" w:pos="-720"/>
          <w:tab w:val="left" w:pos="4680"/>
          <w:tab w:val="left" w:pos="5580"/>
          <w:tab w:val="left" w:pos="5940"/>
        </w:tabs>
        <w:jc w:val="both"/>
        <w:rPr>
          <w:b/>
          <w:bCs/>
        </w:rPr>
      </w:pPr>
    </w:p>
    <w:p w14:paraId="42EB4DBA" w14:textId="77777777" w:rsidR="00EE25FF" w:rsidRDefault="00EE25FF" w:rsidP="00EE25FF">
      <w:pPr>
        <w:tabs>
          <w:tab w:val="left" w:pos="-1080"/>
          <w:tab w:val="left" w:pos="-720"/>
          <w:tab w:val="left" w:pos="4680"/>
          <w:tab w:val="left" w:pos="5580"/>
          <w:tab w:val="left" w:pos="5940"/>
        </w:tabs>
        <w:jc w:val="both"/>
        <w:rPr>
          <w:b/>
          <w:bCs/>
        </w:rPr>
      </w:pPr>
    </w:p>
    <w:p w14:paraId="5811B2C8" w14:textId="77777777" w:rsidR="00EE25FF" w:rsidRDefault="00EE25FF" w:rsidP="00EE25FF">
      <w:pPr>
        <w:tabs>
          <w:tab w:val="left" w:pos="-1080"/>
          <w:tab w:val="left" w:pos="-720"/>
          <w:tab w:val="left" w:pos="4680"/>
          <w:tab w:val="left" w:pos="5580"/>
          <w:tab w:val="left" w:pos="5940"/>
        </w:tabs>
        <w:jc w:val="both"/>
        <w:rPr>
          <w:b/>
          <w:bCs/>
        </w:rPr>
      </w:pPr>
    </w:p>
    <w:p w14:paraId="3A04972C" w14:textId="3A2F57EB" w:rsidR="00EE25FF" w:rsidRDefault="00EE25FF" w:rsidP="00EE25FF">
      <w:pPr>
        <w:tabs>
          <w:tab w:val="left" w:pos="-1080"/>
          <w:tab w:val="left" w:pos="-720"/>
          <w:tab w:val="left" w:pos="4680"/>
          <w:tab w:val="left" w:pos="5580"/>
          <w:tab w:val="left" w:pos="5940"/>
        </w:tabs>
        <w:jc w:val="both"/>
        <w:rPr>
          <w:b/>
          <w:bCs/>
        </w:rPr>
      </w:pPr>
    </w:p>
    <w:p w14:paraId="41219229" w14:textId="77777777" w:rsidR="00817EA6" w:rsidRDefault="00817EA6" w:rsidP="00EE25FF">
      <w:pPr>
        <w:tabs>
          <w:tab w:val="left" w:pos="-1080"/>
          <w:tab w:val="left" w:pos="-720"/>
          <w:tab w:val="left" w:pos="4680"/>
          <w:tab w:val="left" w:pos="5580"/>
          <w:tab w:val="left" w:pos="5940"/>
        </w:tabs>
        <w:jc w:val="both"/>
        <w:rPr>
          <w:b/>
          <w:bCs/>
        </w:rPr>
      </w:pPr>
    </w:p>
    <w:p w14:paraId="6AF050AA" w14:textId="2860F7D8" w:rsidR="00EE25FF" w:rsidRDefault="00EE25FF" w:rsidP="00EE25FF">
      <w:pPr>
        <w:tabs>
          <w:tab w:val="left" w:pos="-1080"/>
          <w:tab w:val="left" w:pos="-720"/>
          <w:tab w:val="left" w:pos="4680"/>
          <w:tab w:val="left" w:pos="5580"/>
          <w:tab w:val="left" w:pos="5940"/>
        </w:tabs>
        <w:jc w:val="both"/>
        <w:rPr>
          <w:b/>
          <w:bCs/>
        </w:rPr>
      </w:pPr>
    </w:p>
    <w:p w14:paraId="3CF62A9B" w14:textId="77777777" w:rsidR="00817EA6" w:rsidRDefault="00817EA6" w:rsidP="00EE25FF">
      <w:pPr>
        <w:tabs>
          <w:tab w:val="left" w:pos="-1080"/>
          <w:tab w:val="left" w:pos="-720"/>
          <w:tab w:val="left" w:pos="4680"/>
          <w:tab w:val="left" w:pos="5580"/>
          <w:tab w:val="left" w:pos="5940"/>
        </w:tabs>
        <w:jc w:val="both"/>
        <w:rPr>
          <w:b/>
          <w:bCs/>
        </w:rPr>
      </w:pPr>
    </w:p>
    <w:p w14:paraId="36AFA698" w14:textId="77777777" w:rsidR="00817EA6" w:rsidRDefault="00817EA6" w:rsidP="00EE25FF">
      <w:pPr>
        <w:tabs>
          <w:tab w:val="left" w:pos="-1080"/>
          <w:tab w:val="left" w:pos="-720"/>
          <w:tab w:val="left" w:pos="4680"/>
          <w:tab w:val="left" w:pos="5580"/>
          <w:tab w:val="left" w:pos="5940"/>
        </w:tabs>
        <w:jc w:val="both"/>
        <w:rPr>
          <w:b/>
          <w:bCs/>
        </w:rPr>
      </w:pPr>
    </w:p>
    <w:p w14:paraId="20536A45" w14:textId="77777777" w:rsidR="00EE25FF" w:rsidRDefault="00EE25FF" w:rsidP="00EE25FF">
      <w:pPr>
        <w:tabs>
          <w:tab w:val="left" w:pos="-1080"/>
          <w:tab w:val="left" w:pos="-720"/>
          <w:tab w:val="left" w:pos="4680"/>
          <w:tab w:val="left" w:pos="5580"/>
          <w:tab w:val="left" w:pos="5940"/>
        </w:tabs>
        <w:jc w:val="both"/>
        <w:rPr>
          <w:b/>
          <w:bCs/>
        </w:rPr>
      </w:pPr>
    </w:p>
    <w:p w14:paraId="3B208ABF" w14:textId="77777777" w:rsidR="00EE25FF" w:rsidRDefault="00EE25FF" w:rsidP="00EE25FF">
      <w:pPr>
        <w:tabs>
          <w:tab w:val="left" w:pos="-1080"/>
          <w:tab w:val="left" w:pos="-720"/>
          <w:tab w:val="left" w:pos="4680"/>
          <w:tab w:val="left" w:pos="5580"/>
          <w:tab w:val="left" w:pos="5940"/>
        </w:tabs>
        <w:jc w:val="both"/>
        <w:rPr>
          <w:b/>
          <w:bCs/>
        </w:rPr>
      </w:pPr>
    </w:p>
    <w:p w14:paraId="55A53E74" w14:textId="77777777" w:rsidR="00817EA6" w:rsidRDefault="00817EA6" w:rsidP="00EE25FF">
      <w:pPr>
        <w:tabs>
          <w:tab w:val="left" w:pos="-1080"/>
          <w:tab w:val="left" w:pos="-720"/>
          <w:tab w:val="left" w:pos="4680"/>
          <w:tab w:val="left" w:pos="5580"/>
          <w:tab w:val="left" w:pos="5940"/>
        </w:tabs>
        <w:jc w:val="both"/>
        <w:rPr>
          <w:b/>
          <w:bCs/>
        </w:rPr>
      </w:pPr>
    </w:p>
    <w:p w14:paraId="064097A3" w14:textId="77777777" w:rsidR="00EE25FF" w:rsidRDefault="00EE25FF" w:rsidP="00EE25FF">
      <w:pPr>
        <w:widowControl w:val="0"/>
        <w:ind w:left="4320"/>
        <w:jc w:val="both"/>
        <w:rPr>
          <w:rFonts w:eastAsia="Calibri"/>
          <w:bCs/>
          <w:szCs w:val="20"/>
        </w:rPr>
      </w:pPr>
      <w:r w:rsidRPr="00817EA6">
        <w:rPr>
          <w:rFonts w:eastAsia="Calibri"/>
          <w:b/>
          <w:bCs/>
          <w:szCs w:val="20"/>
        </w:rPr>
        <w:t>Frank P. Darr</w:t>
      </w:r>
      <w:r>
        <w:rPr>
          <w:rFonts w:eastAsia="Calibri"/>
          <w:bCs/>
          <w:szCs w:val="20"/>
        </w:rPr>
        <w:t xml:space="preserve"> (Reg. No. 0025469)</w:t>
      </w:r>
    </w:p>
    <w:p w14:paraId="77060D72" w14:textId="5FB99BBD" w:rsidR="00EE25FF" w:rsidRDefault="00817EA6" w:rsidP="00EE25FF">
      <w:pPr>
        <w:widowControl w:val="0"/>
        <w:ind w:left="4320"/>
        <w:jc w:val="both"/>
        <w:rPr>
          <w:rFonts w:eastAsia="Calibri"/>
          <w:bCs/>
          <w:szCs w:val="20"/>
        </w:rPr>
      </w:pPr>
      <w:r>
        <w:rPr>
          <w:rFonts w:eastAsia="Calibri"/>
          <w:bCs/>
          <w:szCs w:val="20"/>
        </w:rPr>
        <w:t>   </w:t>
      </w:r>
      <w:r w:rsidR="00EE25FF">
        <w:rPr>
          <w:rFonts w:eastAsia="Calibri"/>
          <w:bCs/>
          <w:szCs w:val="20"/>
        </w:rPr>
        <w:t>Counsel of Record</w:t>
      </w:r>
    </w:p>
    <w:p w14:paraId="3E3EC853" w14:textId="77777777" w:rsidR="00EE25FF" w:rsidRDefault="00EE25FF" w:rsidP="00EE25FF">
      <w:pPr>
        <w:widowControl w:val="0"/>
        <w:ind w:left="4320" w:right="-288"/>
        <w:jc w:val="both"/>
        <w:rPr>
          <w:rFonts w:eastAsia="Times New Roman" w:cs="Times New Roman"/>
          <w:szCs w:val="20"/>
        </w:rPr>
      </w:pPr>
      <w:r w:rsidRPr="00817EA6">
        <w:rPr>
          <w:rFonts w:cs="Times New Roman"/>
          <w:b/>
          <w:szCs w:val="20"/>
        </w:rPr>
        <w:t>Matthew R. Pritchard</w:t>
      </w:r>
      <w:r>
        <w:rPr>
          <w:rFonts w:cs="Times New Roman"/>
          <w:szCs w:val="20"/>
        </w:rPr>
        <w:t xml:space="preserve"> (Reg. No. 0088070)</w:t>
      </w:r>
    </w:p>
    <w:p w14:paraId="0997E003" w14:textId="77777777" w:rsidR="00EE25FF" w:rsidRDefault="00EE25FF" w:rsidP="00EE25FF">
      <w:pPr>
        <w:widowControl w:val="0"/>
        <w:ind w:left="4320"/>
        <w:jc w:val="both"/>
        <w:rPr>
          <w:rFonts w:eastAsia="Calibri" w:cs="Arial"/>
          <w:bCs/>
          <w:smallCaps/>
          <w:szCs w:val="20"/>
        </w:rPr>
      </w:pPr>
      <w:r>
        <w:rPr>
          <w:rFonts w:eastAsia="Calibri"/>
          <w:bCs/>
          <w:smallCaps/>
          <w:szCs w:val="20"/>
        </w:rPr>
        <w:t xml:space="preserve">McNees Wallace &amp; </w:t>
      </w:r>
      <w:proofErr w:type="spellStart"/>
      <w:r>
        <w:rPr>
          <w:rFonts w:eastAsia="Calibri"/>
          <w:bCs/>
          <w:smallCaps/>
          <w:szCs w:val="20"/>
        </w:rPr>
        <w:t>Nurick</w:t>
      </w:r>
      <w:proofErr w:type="spellEnd"/>
      <w:r>
        <w:rPr>
          <w:rFonts w:eastAsia="Calibri"/>
          <w:bCs/>
          <w:smallCaps/>
          <w:szCs w:val="20"/>
        </w:rPr>
        <w:t xml:space="preserve"> LLC</w:t>
      </w:r>
    </w:p>
    <w:p w14:paraId="2C48CD8C" w14:textId="77777777" w:rsidR="00EE25FF" w:rsidRDefault="00EE25FF" w:rsidP="00EE25FF">
      <w:pPr>
        <w:widowControl w:val="0"/>
        <w:ind w:left="4320"/>
        <w:jc w:val="both"/>
        <w:rPr>
          <w:rFonts w:eastAsia="Calibri"/>
          <w:b/>
          <w:bCs/>
          <w:szCs w:val="20"/>
        </w:rPr>
      </w:pPr>
      <w:r>
        <w:rPr>
          <w:rFonts w:eastAsia="Calibri"/>
          <w:bCs/>
          <w:szCs w:val="20"/>
        </w:rPr>
        <w:t>21 East State Street, 17</w:t>
      </w:r>
      <w:r>
        <w:rPr>
          <w:rFonts w:eastAsia="Calibri"/>
          <w:bCs/>
          <w:szCs w:val="20"/>
          <w:vertAlign w:val="superscript"/>
        </w:rPr>
        <w:t>TH</w:t>
      </w:r>
      <w:r>
        <w:rPr>
          <w:rFonts w:eastAsia="Calibri"/>
          <w:bCs/>
          <w:szCs w:val="20"/>
        </w:rPr>
        <w:t xml:space="preserve"> Floor</w:t>
      </w:r>
    </w:p>
    <w:p w14:paraId="000234E7" w14:textId="77777777" w:rsidR="00EE25FF" w:rsidRDefault="00EE25FF" w:rsidP="00EE25FF">
      <w:pPr>
        <w:tabs>
          <w:tab w:val="left" w:pos="-1440"/>
          <w:tab w:val="left" w:pos="-720"/>
          <w:tab w:val="left" w:pos="5040"/>
          <w:tab w:val="center" w:pos="7200"/>
        </w:tabs>
        <w:overflowPunct w:val="0"/>
        <w:autoSpaceDE w:val="0"/>
        <w:autoSpaceDN w:val="0"/>
        <w:adjustRightInd w:val="0"/>
        <w:ind w:left="4320"/>
        <w:jc w:val="both"/>
        <w:rPr>
          <w:rFonts w:eastAsia="Calibri"/>
          <w:szCs w:val="20"/>
        </w:rPr>
      </w:pPr>
      <w:r>
        <w:rPr>
          <w:rFonts w:eastAsia="Calibri"/>
          <w:szCs w:val="20"/>
        </w:rPr>
        <w:t>Columbus, OH  43215</w:t>
      </w:r>
    </w:p>
    <w:p w14:paraId="6FB42881" w14:textId="77777777" w:rsidR="00EE25FF" w:rsidRDefault="00EE25FF" w:rsidP="00EE25FF">
      <w:pPr>
        <w:tabs>
          <w:tab w:val="left" w:pos="-1440"/>
          <w:tab w:val="left" w:pos="-720"/>
          <w:tab w:val="left" w:pos="5040"/>
          <w:tab w:val="center" w:pos="7200"/>
        </w:tabs>
        <w:overflowPunct w:val="0"/>
        <w:autoSpaceDE w:val="0"/>
        <w:autoSpaceDN w:val="0"/>
        <w:adjustRightInd w:val="0"/>
        <w:ind w:left="4320"/>
        <w:jc w:val="both"/>
        <w:rPr>
          <w:rFonts w:eastAsia="Calibri"/>
          <w:szCs w:val="20"/>
        </w:rPr>
      </w:pPr>
      <w:r>
        <w:rPr>
          <w:rFonts w:eastAsia="Calibri"/>
          <w:szCs w:val="20"/>
        </w:rPr>
        <w:t>Telephone</w:t>
      </w:r>
      <w:proofErr w:type="gramStart"/>
      <w:r>
        <w:rPr>
          <w:rFonts w:eastAsia="Calibri"/>
          <w:szCs w:val="20"/>
        </w:rPr>
        <w:t>:  (</w:t>
      </w:r>
      <w:proofErr w:type="gramEnd"/>
      <w:r>
        <w:rPr>
          <w:rFonts w:eastAsia="Calibri"/>
          <w:szCs w:val="20"/>
        </w:rPr>
        <w:t>614) 469-8000</w:t>
      </w:r>
    </w:p>
    <w:p w14:paraId="6D82CB9B" w14:textId="77777777" w:rsidR="00EE25FF" w:rsidRDefault="00EE25FF" w:rsidP="00EE25FF">
      <w:pPr>
        <w:tabs>
          <w:tab w:val="left" w:pos="-1440"/>
          <w:tab w:val="left" w:pos="-720"/>
          <w:tab w:val="left" w:pos="5040"/>
          <w:tab w:val="center" w:pos="7200"/>
        </w:tabs>
        <w:overflowPunct w:val="0"/>
        <w:autoSpaceDE w:val="0"/>
        <w:autoSpaceDN w:val="0"/>
        <w:adjustRightInd w:val="0"/>
        <w:ind w:left="4320"/>
        <w:jc w:val="both"/>
        <w:rPr>
          <w:rFonts w:eastAsia="Calibri"/>
          <w:szCs w:val="20"/>
        </w:rPr>
      </w:pPr>
      <w:r>
        <w:rPr>
          <w:rFonts w:eastAsia="Calibri"/>
          <w:szCs w:val="20"/>
        </w:rPr>
        <w:t>Telecopier</w:t>
      </w:r>
      <w:proofErr w:type="gramStart"/>
      <w:r>
        <w:rPr>
          <w:rFonts w:eastAsia="Calibri"/>
          <w:szCs w:val="20"/>
        </w:rPr>
        <w:t>:  (</w:t>
      </w:r>
      <w:proofErr w:type="gramEnd"/>
      <w:r>
        <w:rPr>
          <w:rFonts w:eastAsia="Calibri"/>
          <w:szCs w:val="20"/>
        </w:rPr>
        <w:t>614) 469-4653</w:t>
      </w:r>
    </w:p>
    <w:p w14:paraId="4DC9F2EB" w14:textId="77777777" w:rsidR="00EE25FF" w:rsidRDefault="00EE25FF" w:rsidP="00EE25FF">
      <w:pPr>
        <w:tabs>
          <w:tab w:val="left" w:pos="-1440"/>
          <w:tab w:val="left" w:pos="-720"/>
          <w:tab w:val="left" w:pos="5040"/>
          <w:tab w:val="center" w:pos="7200"/>
        </w:tabs>
        <w:overflowPunct w:val="0"/>
        <w:autoSpaceDE w:val="0"/>
        <w:autoSpaceDN w:val="0"/>
        <w:adjustRightInd w:val="0"/>
        <w:ind w:left="4320"/>
        <w:jc w:val="both"/>
        <w:rPr>
          <w:rFonts w:eastAsia="Calibri"/>
          <w:szCs w:val="20"/>
        </w:rPr>
      </w:pPr>
      <w:r>
        <w:rPr>
          <w:rFonts w:eastAsia="Calibri"/>
          <w:szCs w:val="20"/>
        </w:rPr>
        <w:t xml:space="preserve">fdarr@mwncmh.com </w:t>
      </w:r>
    </w:p>
    <w:p w14:paraId="5778F3B7" w14:textId="77777777" w:rsidR="00EE25FF" w:rsidRDefault="00EE25FF" w:rsidP="00EE25FF">
      <w:pPr>
        <w:tabs>
          <w:tab w:val="left" w:pos="-1440"/>
          <w:tab w:val="left" w:pos="-720"/>
          <w:tab w:val="left" w:pos="5040"/>
          <w:tab w:val="center" w:pos="7200"/>
        </w:tabs>
        <w:overflowPunct w:val="0"/>
        <w:autoSpaceDE w:val="0"/>
        <w:autoSpaceDN w:val="0"/>
        <w:adjustRightInd w:val="0"/>
        <w:ind w:left="4320"/>
        <w:jc w:val="both"/>
        <w:rPr>
          <w:rFonts w:eastAsia="Calibri"/>
          <w:szCs w:val="20"/>
        </w:rPr>
      </w:pPr>
      <w:r>
        <w:rPr>
          <w:rFonts w:eastAsia="Calibri"/>
          <w:szCs w:val="20"/>
        </w:rPr>
        <w:t>(willing to accept service by e-mail)</w:t>
      </w:r>
    </w:p>
    <w:p w14:paraId="562AA538" w14:textId="77777777" w:rsidR="00EE25FF" w:rsidRDefault="00EE25FF" w:rsidP="00EE25FF">
      <w:pPr>
        <w:autoSpaceDE w:val="0"/>
        <w:autoSpaceDN w:val="0"/>
        <w:adjustRightInd w:val="0"/>
        <w:ind w:left="4320"/>
        <w:rPr>
          <w:rFonts w:eastAsia="Times New Roman"/>
          <w:bCs/>
        </w:rPr>
      </w:pPr>
      <w:r>
        <w:rPr>
          <w:bCs/>
        </w:rPr>
        <w:t xml:space="preserve">mpritchard@mwncmh.com </w:t>
      </w:r>
    </w:p>
    <w:p w14:paraId="3D114B35" w14:textId="77777777" w:rsidR="00EE25FF" w:rsidRDefault="00EE25FF" w:rsidP="00EE25FF">
      <w:pPr>
        <w:autoSpaceDE w:val="0"/>
        <w:autoSpaceDN w:val="0"/>
        <w:adjustRightInd w:val="0"/>
        <w:ind w:left="4320"/>
        <w:rPr>
          <w:bCs/>
        </w:rPr>
      </w:pPr>
      <w:r>
        <w:rPr>
          <w:bCs/>
        </w:rPr>
        <w:t>(willing to accept service by e-mail)</w:t>
      </w:r>
    </w:p>
    <w:p w14:paraId="5B7EFF60" w14:textId="77777777" w:rsidR="00EE25FF" w:rsidRDefault="00EE25FF" w:rsidP="00EE25FF">
      <w:pPr>
        <w:pStyle w:val="Title"/>
        <w:ind w:right="-720"/>
        <w:jc w:val="left"/>
        <w:rPr>
          <w:rFonts w:ascii="Arial" w:hAnsi="Arial" w:cs="Arial"/>
        </w:rPr>
      </w:pPr>
    </w:p>
    <w:p w14:paraId="0219871C" w14:textId="062E9BE5" w:rsidR="00817EA6" w:rsidRDefault="00817EA6" w:rsidP="00E97537">
      <w:pPr>
        <w:ind w:left="4320" w:hanging="4320"/>
        <w:rPr>
          <w:b/>
          <w:smallCaps/>
        </w:rPr>
        <w:sectPr w:rsidR="00817EA6"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ascii="Arial Bold" w:hAnsi="Arial Bold"/>
          <w:b/>
          <w:smallCaps/>
        </w:rPr>
        <w:t>July 2</w:t>
      </w:r>
      <w:r w:rsidR="00E97537">
        <w:rPr>
          <w:rFonts w:ascii="Arial Bold" w:hAnsi="Arial Bold"/>
          <w:b/>
          <w:smallCaps/>
        </w:rPr>
        <w:t>7</w:t>
      </w:r>
      <w:r w:rsidR="00EE25FF" w:rsidRPr="00817EA6">
        <w:rPr>
          <w:rFonts w:ascii="Arial Bold" w:hAnsi="Arial Bold"/>
          <w:b/>
          <w:smallCaps/>
        </w:rPr>
        <w:t>,</w:t>
      </w:r>
      <w:r w:rsidR="00EE25FF" w:rsidRPr="00817EA6">
        <w:rPr>
          <w:b/>
        </w:rPr>
        <w:t xml:space="preserve"> 201</w:t>
      </w:r>
      <w:r>
        <w:rPr>
          <w:b/>
        </w:rPr>
        <w:t>8</w:t>
      </w:r>
      <w:r w:rsidR="00EE25FF" w:rsidRPr="00817EA6">
        <w:rPr>
          <w:b/>
        </w:rPr>
        <w:tab/>
      </w:r>
      <w:r w:rsidR="00EE25FF" w:rsidRPr="00817EA6">
        <w:rPr>
          <w:b/>
          <w:smallCaps/>
        </w:rPr>
        <w:t>Attorneys for Ohio Gas Company</w:t>
      </w:r>
    </w:p>
    <w:p w14:paraId="5EB5EC9D" w14:textId="77777777" w:rsidR="00817EA6" w:rsidRPr="00817EA6" w:rsidRDefault="00817EA6" w:rsidP="00817EA6">
      <w:pPr>
        <w:pStyle w:val="Title"/>
        <w:ind w:left="720" w:hanging="720"/>
        <w:rPr>
          <w:rFonts w:ascii="Arial" w:hAnsi="Arial" w:cs="Arial"/>
          <w:smallCaps/>
          <w:sz w:val="28"/>
          <w:szCs w:val="32"/>
        </w:rPr>
      </w:pPr>
      <w:r w:rsidRPr="00817EA6">
        <w:rPr>
          <w:rFonts w:ascii="Arial" w:hAnsi="Arial" w:cs="Arial"/>
          <w:sz w:val="28"/>
          <w:szCs w:val="32"/>
        </w:rPr>
        <w:lastRenderedPageBreak/>
        <w:t>B</w:t>
      </w:r>
      <w:r w:rsidRPr="00817EA6">
        <w:rPr>
          <w:rFonts w:ascii="Arial" w:hAnsi="Arial" w:cs="Arial"/>
          <w:smallCaps/>
          <w:sz w:val="28"/>
          <w:szCs w:val="32"/>
        </w:rPr>
        <w:t>efore</w:t>
      </w:r>
    </w:p>
    <w:p w14:paraId="044328CB" w14:textId="77777777" w:rsidR="00817EA6" w:rsidRPr="00817EA6" w:rsidRDefault="00817EA6" w:rsidP="00817EA6">
      <w:pPr>
        <w:pStyle w:val="Subtitle"/>
        <w:rPr>
          <w:rFonts w:cs="Arial"/>
          <w:sz w:val="28"/>
          <w:szCs w:val="32"/>
        </w:rPr>
      </w:pPr>
      <w:r w:rsidRPr="00817EA6">
        <w:rPr>
          <w:rFonts w:cs="Arial"/>
          <w:sz w:val="28"/>
          <w:szCs w:val="32"/>
        </w:rPr>
        <w:t xml:space="preserve">The Public Utilities Commission </w:t>
      </w:r>
      <w:proofErr w:type="spellStart"/>
      <w:r w:rsidRPr="00817EA6">
        <w:rPr>
          <w:rFonts w:cs="Arial"/>
          <w:sz w:val="28"/>
          <w:szCs w:val="32"/>
          <w:lang w:val="en-US"/>
        </w:rPr>
        <w:t>o</w:t>
      </w:r>
      <w:r w:rsidRPr="00817EA6">
        <w:rPr>
          <w:rFonts w:cs="Arial"/>
          <w:sz w:val="28"/>
          <w:szCs w:val="32"/>
        </w:rPr>
        <w:t>f</w:t>
      </w:r>
      <w:proofErr w:type="spellEnd"/>
      <w:r w:rsidRPr="00817EA6">
        <w:rPr>
          <w:rFonts w:cs="Arial"/>
          <w:sz w:val="28"/>
          <w:szCs w:val="32"/>
        </w:rPr>
        <w:t xml:space="preserve"> Ohio</w:t>
      </w:r>
    </w:p>
    <w:p w14:paraId="23B35D5E" w14:textId="34F68124" w:rsidR="00817EA6" w:rsidRDefault="00817EA6" w:rsidP="00817EA6">
      <w:pPr>
        <w:pStyle w:val="Title"/>
        <w:jc w:val="left"/>
        <w:rPr>
          <w:rFonts w:ascii="Arial" w:hAnsi="Arial" w:cs="Arial"/>
          <w:b w:val="0"/>
          <w:bCs w:val="0"/>
          <w:sz w:val="22"/>
        </w:rPr>
      </w:pPr>
    </w:p>
    <w:p w14:paraId="6FC521D5" w14:textId="77777777" w:rsidR="00C026FD" w:rsidRPr="00817EA6" w:rsidRDefault="00C026FD" w:rsidP="00817EA6">
      <w:pPr>
        <w:pStyle w:val="Title"/>
        <w:jc w:val="left"/>
        <w:rPr>
          <w:rFonts w:ascii="Arial" w:hAnsi="Arial" w:cs="Arial"/>
          <w:b w:val="0"/>
          <w:bCs w:val="0"/>
          <w:sz w:val="22"/>
        </w:rPr>
      </w:pPr>
    </w:p>
    <w:p w14:paraId="0C48ACCB" w14:textId="77777777" w:rsidR="00E97537" w:rsidRDefault="00E97537" w:rsidP="00E97537">
      <w:pPr>
        <w:tabs>
          <w:tab w:val="left" w:pos="4500"/>
          <w:tab w:val="left" w:pos="4860"/>
          <w:tab w:val="left" w:pos="5400"/>
        </w:tabs>
        <w:rPr>
          <w:rFonts w:cs="Arial"/>
        </w:rPr>
      </w:pPr>
      <w:r>
        <w:t>In the Matter of the Commission’s</w:t>
      </w:r>
      <w:r>
        <w:tab/>
        <w:t>)</w:t>
      </w:r>
    </w:p>
    <w:p w14:paraId="5B19A017" w14:textId="77777777" w:rsidR="00E97537" w:rsidRDefault="00E97537" w:rsidP="00E97537">
      <w:pPr>
        <w:tabs>
          <w:tab w:val="left" w:pos="4500"/>
          <w:tab w:val="left" w:pos="4860"/>
          <w:tab w:val="left" w:pos="5400"/>
        </w:tabs>
      </w:pPr>
      <w:r>
        <w:t>Review of Chapter 4901:1-19 of the</w:t>
      </w:r>
      <w:r>
        <w:tab/>
        <w:t>)</w:t>
      </w:r>
      <w:r>
        <w:tab/>
      </w:r>
      <w:r>
        <w:tab/>
        <w:t>Case No. 17-1945-GA-ORD</w:t>
      </w:r>
    </w:p>
    <w:p w14:paraId="011F82FA" w14:textId="77777777" w:rsidR="00E97537" w:rsidRDefault="00E97537" w:rsidP="00E97537">
      <w:pPr>
        <w:tabs>
          <w:tab w:val="left" w:pos="4500"/>
          <w:tab w:val="left" w:pos="4860"/>
          <w:tab w:val="left" w:pos="5400"/>
        </w:tabs>
      </w:pPr>
      <w:r>
        <w:t>Ohio Administrative Code.</w:t>
      </w:r>
      <w:r>
        <w:tab/>
        <w:t>)</w:t>
      </w:r>
    </w:p>
    <w:p w14:paraId="082FA728" w14:textId="6FA9FADB" w:rsidR="00817EA6" w:rsidRDefault="00817EA6" w:rsidP="00817EA6">
      <w:pPr>
        <w:tabs>
          <w:tab w:val="left" w:pos="-1080"/>
          <w:tab w:val="left" w:pos="-720"/>
          <w:tab w:val="left" w:pos="4680"/>
          <w:tab w:val="left" w:pos="5580"/>
          <w:tab w:val="left" w:pos="5940"/>
        </w:tabs>
        <w:jc w:val="both"/>
        <w:rPr>
          <w:rFonts w:ascii="Trebuchet MS" w:hAnsi="Trebuchet MS"/>
          <w:sz w:val="22"/>
        </w:rPr>
      </w:pPr>
    </w:p>
    <w:p w14:paraId="670988B6" w14:textId="149CC177" w:rsidR="00C026FD" w:rsidRDefault="00C026FD" w:rsidP="00817EA6">
      <w:pPr>
        <w:tabs>
          <w:tab w:val="left" w:pos="-1080"/>
          <w:tab w:val="left" w:pos="-720"/>
          <w:tab w:val="left" w:pos="4680"/>
          <w:tab w:val="left" w:pos="5580"/>
          <w:tab w:val="left" w:pos="5940"/>
        </w:tabs>
        <w:jc w:val="both"/>
        <w:rPr>
          <w:rFonts w:ascii="Trebuchet MS" w:hAnsi="Trebuchet MS"/>
          <w:sz w:val="22"/>
        </w:rPr>
      </w:pPr>
    </w:p>
    <w:p w14:paraId="5CB6B19F" w14:textId="77777777" w:rsidR="00720154" w:rsidRPr="00817EA6" w:rsidRDefault="00720154" w:rsidP="00817EA6">
      <w:pPr>
        <w:tabs>
          <w:tab w:val="left" w:pos="-1080"/>
          <w:tab w:val="left" w:pos="-720"/>
          <w:tab w:val="left" w:pos="4680"/>
          <w:tab w:val="left" w:pos="5580"/>
          <w:tab w:val="left" w:pos="5940"/>
        </w:tabs>
        <w:jc w:val="both"/>
        <w:rPr>
          <w:rFonts w:ascii="Trebuchet MS" w:hAnsi="Trebuchet MS"/>
          <w:sz w:val="22"/>
        </w:rPr>
      </w:pPr>
    </w:p>
    <w:p w14:paraId="272C6DA5" w14:textId="77777777" w:rsidR="00817EA6" w:rsidRPr="00817EA6" w:rsidRDefault="00817EA6" w:rsidP="00817EA6">
      <w:pPr>
        <w:pBdr>
          <w:top w:val="single" w:sz="12" w:space="1" w:color="auto"/>
          <w:bottom w:val="single" w:sz="12" w:space="1" w:color="auto"/>
        </w:pBdr>
        <w:tabs>
          <w:tab w:val="left" w:pos="-1080"/>
          <w:tab w:val="left" w:pos="-720"/>
          <w:tab w:val="left" w:pos="4680"/>
          <w:tab w:val="left" w:pos="5580"/>
          <w:tab w:val="left" w:pos="5940"/>
        </w:tabs>
        <w:jc w:val="center"/>
        <w:rPr>
          <w:b/>
          <w:bCs/>
          <w:sz w:val="18"/>
        </w:rPr>
      </w:pPr>
    </w:p>
    <w:p w14:paraId="6E770AB0" w14:textId="6422EDCB" w:rsidR="00817EA6" w:rsidRPr="00817EA6" w:rsidRDefault="00817EA6" w:rsidP="00817EA6">
      <w:pPr>
        <w:pBdr>
          <w:top w:val="single" w:sz="12" w:space="1" w:color="auto"/>
          <w:bottom w:val="single" w:sz="12" w:space="1" w:color="auto"/>
        </w:pBdr>
        <w:tabs>
          <w:tab w:val="left" w:pos="-1080"/>
          <w:tab w:val="left" w:pos="-720"/>
          <w:tab w:val="left" w:pos="4680"/>
          <w:tab w:val="left" w:pos="5580"/>
          <w:tab w:val="left" w:pos="5940"/>
        </w:tabs>
        <w:jc w:val="center"/>
        <w:rPr>
          <w:b/>
          <w:bCs/>
          <w:smallCaps/>
          <w:sz w:val="28"/>
          <w:szCs w:val="32"/>
        </w:rPr>
      </w:pPr>
      <w:r>
        <w:rPr>
          <w:b/>
          <w:bCs/>
          <w:smallCaps/>
          <w:sz w:val="28"/>
          <w:szCs w:val="32"/>
        </w:rPr>
        <w:t>Reply Comments of</w:t>
      </w:r>
      <w:r w:rsidRPr="00817EA6">
        <w:rPr>
          <w:b/>
          <w:bCs/>
          <w:smallCaps/>
          <w:sz w:val="28"/>
          <w:szCs w:val="32"/>
        </w:rPr>
        <w:t xml:space="preserve"> Ohio Gas Company</w:t>
      </w:r>
    </w:p>
    <w:p w14:paraId="5F8829BA" w14:textId="77777777" w:rsidR="00817EA6" w:rsidRPr="00817EA6" w:rsidRDefault="00817EA6" w:rsidP="00817EA6">
      <w:pPr>
        <w:pBdr>
          <w:top w:val="single" w:sz="12" w:space="1" w:color="auto"/>
          <w:bottom w:val="single" w:sz="12" w:space="1" w:color="auto"/>
        </w:pBdr>
        <w:tabs>
          <w:tab w:val="left" w:pos="-1080"/>
          <w:tab w:val="left" w:pos="-720"/>
          <w:tab w:val="left" w:pos="4680"/>
          <w:tab w:val="left" w:pos="5580"/>
          <w:tab w:val="left" w:pos="5940"/>
        </w:tabs>
        <w:jc w:val="center"/>
        <w:rPr>
          <w:rFonts w:ascii="Trebuchet MS" w:hAnsi="Trebuchet MS"/>
          <w:b/>
          <w:bCs/>
          <w:sz w:val="22"/>
        </w:rPr>
      </w:pPr>
    </w:p>
    <w:p w14:paraId="24E4AF51" w14:textId="73CE9058" w:rsidR="00EE25FF" w:rsidRDefault="00EE25FF" w:rsidP="00817EA6">
      <w:pPr>
        <w:rPr>
          <w:b/>
        </w:rPr>
      </w:pPr>
    </w:p>
    <w:p w14:paraId="56848531" w14:textId="67C8F95D" w:rsidR="00C026FD" w:rsidRDefault="00C026FD" w:rsidP="00817EA6">
      <w:pPr>
        <w:rPr>
          <w:b/>
        </w:rPr>
      </w:pPr>
    </w:p>
    <w:p w14:paraId="241349CA" w14:textId="77777777" w:rsidR="00720154" w:rsidRPr="00817EA6" w:rsidRDefault="00720154" w:rsidP="00817EA6">
      <w:pPr>
        <w:rPr>
          <w:b/>
        </w:rPr>
      </w:pPr>
    </w:p>
    <w:p w14:paraId="38C4758B" w14:textId="0D912480" w:rsidR="00D13563" w:rsidRDefault="00C0540C" w:rsidP="00E34435">
      <w:pPr>
        <w:spacing w:line="480" w:lineRule="auto"/>
        <w:ind w:firstLine="720"/>
        <w:jc w:val="both"/>
      </w:pPr>
      <w:r>
        <w:t xml:space="preserve">Pursuant to the </w:t>
      </w:r>
      <w:r w:rsidR="00B76DD7">
        <w:t>Public Utilities Commission of Ohio</w:t>
      </w:r>
      <w:r>
        <w:t>’s</w:t>
      </w:r>
      <w:r w:rsidR="00B76DD7">
        <w:t xml:space="preserve"> (“Commission”) </w:t>
      </w:r>
      <w:r>
        <w:t>June 13, 2018 Entry, Ohio Gas Company (“</w:t>
      </w:r>
      <w:r w:rsidR="00790460">
        <w:t>Ohio Gas</w:t>
      </w:r>
      <w:r>
        <w:t>”</w:t>
      </w:r>
      <w:r w:rsidR="00F656E4">
        <w:t xml:space="preserve"> or “Company”</w:t>
      </w:r>
      <w:r>
        <w:t xml:space="preserve">) submits these </w:t>
      </w:r>
      <w:r w:rsidR="009D1585">
        <w:t xml:space="preserve">reply </w:t>
      </w:r>
      <w:r>
        <w:t xml:space="preserve">comments to the </w:t>
      </w:r>
      <w:r w:rsidR="00B76DD7">
        <w:t>proposed rule changes to Chapter 4901:1-19, Ohio Administrative Code (“O.A.C.”)</w:t>
      </w:r>
      <w:r w:rsidR="00E97537">
        <w:t>,</w:t>
      </w:r>
      <w:r w:rsidR="009D1585">
        <w:t xml:space="preserve"> and the initial comments addressing those rules</w:t>
      </w:r>
      <w:r w:rsidR="00B76DD7">
        <w:t xml:space="preserve">.  </w:t>
      </w:r>
      <w:r w:rsidR="0053185D">
        <w:t>More specifically, Ohio Gas responds to</w:t>
      </w:r>
      <w:r w:rsidR="00EC7CEC">
        <w:t xml:space="preserve"> </w:t>
      </w:r>
      <w:r w:rsidR="00E97537">
        <w:t xml:space="preserve">the </w:t>
      </w:r>
      <w:r w:rsidR="009D1585">
        <w:t xml:space="preserve">Ohio Partners </w:t>
      </w:r>
      <w:r w:rsidR="00E97537">
        <w:t>f</w:t>
      </w:r>
      <w:r w:rsidR="009D1585">
        <w:t>or Affordable Energy</w:t>
      </w:r>
      <w:r w:rsidR="0053185D">
        <w:t>’s</w:t>
      </w:r>
      <w:r w:rsidR="009D1585">
        <w:t xml:space="preserve"> (“OPAE”)</w:t>
      </w:r>
      <w:r w:rsidR="00DA5D71">
        <w:t xml:space="preserve"> </w:t>
      </w:r>
      <w:r w:rsidR="0053185D">
        <w:t xml:space="preserve">Initial Comments that </w:t>
      </w:r>
      <w:r w:rsidR="00C2180C">
        <w:t>offer</w:t>
      </w:r>
      <w:r w:rsidR="001C24C0">
        <w:t xml:space="preserve"> rule changes which could be read to require</w:t>
      </w:r>
      <w:r w:rsidR="00650D7B">
        <w:t xml:space="preserve"> </w:t>
      </w:r>
      <w:proofErr w:type="gramStart"/>
      <w:r w:rsidR="001C24C0">
        <w:t>all natural</w:t>
      </w:r>
      <w:proofErr w:type="gramEnd"/>
      <w:r w:rsidR="001C24C0">
        <w:t xml:space="preserve"> gas utilities to secure natural gas commodity service for </w:t>
      </w:r>
      <w:r w:rsidR="00E97537">
        <w:t>Percentage of Income Payment Plan (“</w:t>
      </w:r>
      <w:r w:rsidR="001C24C0">
        <w:t>PIPP</w:t>
      </w:r>
      <w:r w:rsidR="00E97537">
        <w:t>”)</w:t>
      </w:r>
      <w:r w:rsidR="001C24C0">
        <w:t xml:space="preserve"> customers through an auction process.</w:t>
      </w:r>
      <w:r w:rsidR="00C2180C">
        <w:t xml:space="preserve"> </w:t>
      </w:r>
      <w:r w:rsidR="001C24C0">
        <w:t xml:space="preserve"> </w:t>
      </w:r>
      <w:r w:rsidR="00B84884">
        <w:t>As discussed in additional detail below, Ohio Gas should not be required to implement a</w:t>
      </w:r>
      <w:r w:rsidR="0053185D">
        <w:t xml:space="preserve">n auction to serve </w:t>
      </w:r>
      <w:r w:rsidR="00C2180C">
        <w:t xml:space="preserve">its </w:t>
      </w:r>
      <w:r w:rsidR="00ED792A">
        <w:t>PIPP</w:t>
      </w:r>
      <w:r w:rsidR="0053185D">
        <w:t xml:space="preserve"> customers.</w:t>
      </w:r>
    </w:p>
    <w:p w14:paraId="6A066768" w14:textId="7863AEF3" w:rsidR="00FF2166" w:rsidRPr="00794FEC" w:rsidRDefault="00A75BA9" w:rsidP="00E12B2A">
      <w:pPr>
        <w:pStyle w:val="Heading1"/>
      </w:pPr>
      <w:r>
        <w:t>BACKGROUND</w:t>
      </w:r>
    </w:p>
    <w:p w14:paraId="6DDDCE53" w14:textId="5E84E929" w:rsidR="00E54729" w:rsidRDefault="00790460" w:rsidP="00E34435">
      <w:pPr>
        <w:spacing w:line="480" w:lineRule="auto"/>
        <w:ind w:firstLine="720"/>
        <w:jc w:val="both"/>
      </w:pPr>
      <w:r>
        <w:t xml:space="preserve">Ohio Gas provides </w:t>
      </w:r>
      <w:r w:rsidR="00BC7023">
        <w:t xml:space="preserve">natural gas </w:t>
      </w:r>
      <w:r>
        <w:t xml:space="preserve">distribution service </w:t>
      </w:r>
      <w:r w:rsidR="00F26367">
        <w:t xml:space="preserve">across six counties in northwest Ohio </w:t>
      </w:r>
      <w:r>
        <w:t xml:space="preserve">to approximately </w:t>
      </w:r>
      <w:r w:rsidR="00B46105">
        <w:t>4</w:t>
      </w:r>
      <w:r w:rsidR="00F15260">
        <w:t>9</w:t>
      </w:r>
      <w:r>
        <w:t>,000 customers</w:t>
      </w:r>
      <w:r w:rsidR="00BC7023">
        <w:t xml:space="preserve">, of which approximately </w:t>
      </w:r>
      <w:r w:rsidR="00BC36B6">
        <w:t>300-400</w:t>
      </w:r>
      <w:r w:rsidR="00BC7023">
        <w:t xml:space="preserve"> are served under the PIPP program.  </w:t>
      </w:r>
    </w:p>
    <w:p w14:paraId="2CAAEDB5" w14:textId="18DEA959" w:rsidR="0047277F" w:rsidRDefault="00BC7023" w:rsidP="00E34435">
      <w:pPr>
        <w:spacing w:line="480" w:lineRule="auto"/>
        <w:ind w:firstLine="720"/>
        <w:jc w:val="both"/>
      </w:pPr>
      <w:r>
        <w:t xml:space="preserve">Ohio Gas does not provide </w:t>
      </w:r>
      <w:r w:rsidR="00C2180C">
        <w:t xml:space="preserve">natural gas </w:t>
      </w:r>
      <w:r>
        <w:t>commodity service to any of its customers.  Almost all of Ohio Gas’s customers are served under community aggregation programs</w:t>
      </w:r>
      <w:r w:rsidR="00955948">
        <w:t>,</w:t>
      </w:r>
      <w:r w:rsidR="0047277F" w:rsidRPr="0047277F">
        <w:t xml:space="preserve"> </w:t>
      </w:r>
      <w:r w:rsidR="0047277F">
        <w:lastRenderedPageBreak/>
        <w:t xml:space="preserve">and </w:t>
      </w:r>
      <w:r w:rsidR="00D578C5">
        <w:t xml:space="preserve">these programs </w:t>
      </w:r>
      <w:r w:rsidR="0047277F">
        <w:t xml:space="preserve">include </w:t>
      </w:r>
      <w:proofErr w:type="gramStart"/>
      <w:r w:rsidR="0047277F">
        <w:t>all of</w:t>
      </w:r>
      <w:proofErr w:type="gramEnd"/>
      <w:r w:rsidR="0047277F">
        <w:t xml:space="preserve"> the Company’s PIPP customers. </w:t>
      </w:r>
      <w:r w:rsidR="00F656E4">
        <w:t xml:space="preserve"> </w:t>
      </w:r>
      <w:r w:rsidR="0047277F">
        <w:t>Customers in the community aggregation programs</w:t>
      </w:r>
      <w:r w:rsidR="00A75BA9">
        <w:t xml:space="preserve"> receive</w:t>
      </w:r>
      <w:r>
        <w:t xml:space="preserve"> </w:t>
      </w:r>
      <w:r w:rsidR="00E54729">
        <w:t xml:space="preserve">transportation service </w:t>
      </w:r>
      <w:r w:rsidR="0047277F">
        <w:t xml:space="preserve">from the Company </w:t>
      </w:r>
      <w:r w:rsidR="00A75BA9">
        <w:t>on an aggregated basis</w:t>
      </w:r>
      <w:r w:rsidR="00BC36B6">
        <w:t xml:space="preserve">.  </w:t>
      </w:r>
      <w:r w:rsidR="00E54729">
        <w:t xml:space="preserve">These community aggregation programs are </w:t>
      </w:r>
      <w:r>
        <w:t>authorized by municipal ordinances</w:t>
      </w:r>
      <w:r w:rsidR="00E54729">
        <w:t xml:space="preserve"> under </w:t>
      </w:r>
      <w:r w:rsidR="00BC36B6">
        <w:t>each municipality’s</w:t>
      </w:r>
      <w:r w:rsidR="00E54729">
        <w:t xml:space="preserve"> Home Rule authority.</w:t>
      </w:r>
      <w:r w:rsidR="0053185D">
        <w:rPr>
          <w:rStyle w:val="FootnoteReference"/>
        </w:rPr>
        <w:footnoteReference w:id="1"/>
      </w:r>
      <w:r w:rsidR="00E54729">
        <w:t xml:space="preserve">  </w:t>
      </w:r>
    </w:p>
    <w:p w14:paraId="09B2FBA5" w14:textId="40A8F424" w:rsidR="00B84884" w:rsidRDefault="008A4D44" w:rsidP="00E34435">
      <w:pPr>
        <w:spacing w:line="480" w:lineRule="auto"/>
        <w:ind w:firstLine="720"/>
        <w:jc w:val="both"/>
      </w:pPr>
      <w:r>
        <w:t>A small number of individual customers take transportation service from Ohio Gas outside of the community aggregation programs and arrange for their own supply of natural gas.</w:t>
      </w:r>
    </w:p>
    <w:p w14:paraId="74540CF7" w14:textId="47A779E7" w:rsidR="00B84884" w:rsidRPr="00E54729" w:rsidRDefault="00B84884" w:rsidP="00E12B2A">
      <w:pPr>
        <w:pStyle w:val="Heading1"/>
      </w:pPr>
      <w:r w:rsidRPr="00E54729">
        <w:t>A</w:t>
      </w:r>
      <w:r w:rsidR="00E34435">
        <w:t>RGUMENT</w:t>
      </w:r>
    </w:p>
    <w:p w14:paraId="0E74578E" w14:textId="52FD9EAE" w:rsidR="00C3198C" w:rsidRDefault="00C3198C" w:rsidP="00E12B2A">
      <w:pPr>
        <w:pStyle w:val="Heading2"/>
      </w:pPr>
      <w:r>
        <w:t xml:space="preserve">Ohio Gas should not be required to implement an auction or </w:t>
      </w:r>
      <w:r w:rsidR="00F656E4">
        <w:t>Request for Proposal (“</w:t>
      </w:r>
      <w:r>
        <w:t>RFP</w:t>
      </w:r>
      <w:r w:rsidR="00F656E4">
        <w:t>”)</w:t>
      </w:r>
      <w:r>
        <w:t xml:space="preserve"> to serve PIPP </w:t>
      </w:r>
      <w:r w:rsidRPr="00E12B2A">
        <w:t>customers</w:t>
      </w:r>
    </w:p>
    <w:p w14:paraId="1CDFFEC3" w14:textId="0E58FC34" w:rsidR="00F96338" w:rsidRDefault="00F96338" w:rsidP="00E34435">
      <w:pPr>
        <w:spacing w:line="480" w:lineRule="auto"/>
        <w:ind w:firstLine="720"/>
        <w:jc w:val="both"/>
      </w:pPr>
      <w:r>
        <w:t>OPAE argues that the Commission should require natural gas companies to implement a</w:t>
      </w:r>
      <w:r w:rsidR="00F15371">
        <w:t>n</w:t>
      </w:r>
      <w:r>
        <w:t xml:space="preserve"> auction to serve</w:t>
      </w:r>
      <w:r w:rsidR="00775E6D">
        <w:t xml:space="preserve"> default customers</w:t>
      </w:r>
      <w:r w:rsidR="00F656E4">
        <w:t>,</w:t>
      </w:r>
      <w:r w:rsidR="00775E6D">
        <w:t xml:space="preserve"> including PIPP customers.</w:t>
      </w:r>
      <w:r w:rsidR="00F15371">
        <w:rPr>
          <w:rStyle w:val="FootnoteReference"/>
        </w:rPr>
        <w:footnoteReference w:id="2"/>
      </w:r>
      <w:r w:rsidR="00775E6D">
        <w:t xml:space="preserve">  </w:t>
      </w:r>
      <w:r w:rsidR="009806B7">
        <w:t xml:space="preserve">Although </w:t>
      </w:r>
      <w:r w:rsidR="00775E6D">
        <w:t>OPAE</w:t>
      </w:r>
      <w:r w:rsidR="009806B7">
        <w:t xml:space="preserve"> focuses its</w:t>
      </w:r>
      <w:r w:rsidR="00775E6D">
        <w:t xml:space="preserve"> argument</w:t>
      </w:r>
      <w:r w:rsidR="00F62D2B">
        <w:t xml:space="preserve">s on the results of </w:t>
      </w:r>
      <w:r w:rsidR="00F656E4">
        <w:t xml:space="preserve">the </w:t>
      </w:r>
      <w:r w:rsidR="00775E6D">
        <w:t>East Ohio Gas Company dba Dominion East Ohio’s (“Dominion”) exit-the-merchant-function plan</w:t>
      </w:r>
      <w:r w:rsidR="00F62D2B">
        <w:t xml:space="preserve">, and OPAE’s perceived inadequacy of that plan, it seeks to extrapolate a proposed remedy to that plan to all natural gas utilities.  More specifically, OPAE asserts that Dominion’s auction-based Standard Choice Offer (“SCO”) </w:t>
      </w:r>
      <w:r w:rsidR="005E3CB7">
        <w:t xml:space="preserve">has </w:t>
      </w:r>
      <w:r w:rsidR="00F62D2B">
        <w:t>at times produced lower prices for customers than the alternative under Dominion’s plan</w:t>
      </w:r>
      <w:r w:rsidR="001C24C0">
        <w:t xml:space="preserve">, which </w:t>
      </w:r>
      <w:r w:rsidR="008C06CD">
        <w:t xml:space="preserve">OPAE claims </w:t>
      </w:r>
      <w:r w:rsidR="001C24C0">
        <w:t xml:space="preserve">denies customers </w:t>
      </w:r>
      <w:r w:rsidR="00D578C5">
        <w:t xml:space="preserve">the opportunity to </w:t>
      </w:r>
      <w:r w:rsidR="001C24C0">
        <w:t>receiv</w:t>
      </w:r>
      <w:r w:rsidR="00D578C5">
        <w:t>e</w:t>
      </w:r>
      <w:r w:rsidR="001C24C0">
        <w:t xml:space="preserve"> </w:t>
      </w:r>
      <w:r w:rsidR="006830EA">
        <w:t xml:space="preserve">the </w:t>
      </w:r>
      <w:r w:rsidR="001C24C0">
        <w:t>market-based pricing supported by Ohio law.</w:t>
      </w:r>
      <w:r w:rsidR="008C06CD">
        <w:rPr>
          <w:rStyle w:val="FootnoteReference"/>
        </w:rPr>
        <w:footnoteReference w:id="3"/>
      </w:r>
      <w:r w:rsidR="001C24C0">
        <w:t xml:space="preserve">  </w:t>
      </w:r>
      <w:r w:rsidR="008C06CD">
        <w:t xml:space="preserve">In support of this </w:t>
      </w:r>
      <w:r w:rsidR="00D578C5">
        <w:t>claim</w:t>
      </w:r>
      <w:r w:rsidR="008C06CD">
        <w:t xml:space="preserve">, OPAE also cites to the Commission’s proposed rule change that would require </w:t>
      </w:r>
      <w:r w:rsidR="008C06CD">
        <w:lastRenderedPageBreak/>
        <w:t>natural gas companies with approved exit-the-merchant-function plans to secure natural gas commodity service through an auction or RFP.</w:t>
      </w:r>
      <w:r w:rsidR="008C06CD">
        <w:rPr>
          <w:rStyle w:val="FootnoteReference"/>
        </w:rPr>
        <w:footnoteReference w:id="4"/>
      </w:r>
      <w:r w:rsidR="008C06CD">
        <w:t xml:space="preserve">  </w:t>
      </w:r>
      <w:r w:rsidR="001C24C0">
        <w:t xml:space="preserve">Because it believes </w:t>
      </w:r>
      <w:r w:rsidR="00F62D2B">
        <w:t xml:space="preserve">that </w:t>
      </w:r>
      <w:r w:rsidR="005E3CB7">
        <w:t>“marke</w:t>
      </w:r>
      <w:r w:rsidR="001C24C0">
        <w:t>t</w:t>
      </w:r>
      <w:r w:rsidR="005E3CB7">
        <w:t>-based pricing can only be achieved through the establishment of the auction-based standard offer as the default service for all customers</w:t>
      </w:r>
      <w:r w:rsidR="001C24C0">
        <w:t>,</w:t>
      </w:r>
      <w:r w:rsidR="005E3CB7">
        <w:t>”</w:t>
      </w:r>
      <w:r w:rsidR="001C24C0">
        <w:t xml:space="preserve"> OPAE urges the Commission to modify its rules in Chapter 4901:1-19, O.A.C., to require natural gas utilities </w:t>
      </w:r>
      <w:r w:rsidR="00F656E4">
        <w:t xml:space="preserve">to </w:t>
      </w:r>
      <w:r w:rsidR="001C24C0">
        <w:t xml:space="preserve">procure natural gas commodity service for  </w:t>
      </w:r>
      <w:r w:rsidR="008C06CD">
        <w:t xml:space="preserve">default customers, including </w:t>
      </w:r>
      <w:r w:rsidR="001C24C0">
        <w:t>PIPP customers</w:t>
      </w:r>
      <w:r w:rsidR="008C06CD">
        <w:t>,</w:t>
      </w:r>
      <w:r w:rsidR="001C24C0">
        <w:t xml:space="preserve"> through an auction</w:t>
      </w:r>
      <w:r w:rsidR="008C06CD">
        <w:t>.</w:t>
      </w:r>
      <w:r w:rsidR="005E3CB7">
        <w:rPr>
          <w:rStyle w:val="FootnoteReference"/>
        </w:rPr>
        <w:footnoteReference w:id="5"/>
      </w:r>
      <w:r w:rsidR="005E3CB7">
        <w:t xml:space="preserve">  OPAE’s </w:t>
      </w:r>
      <w:r w:rsidR="00291281">
        <w:t>position is without merit.</w:t>
      </w:r>
    </w:p>
    <w:p w14:paraId="07604205" w14:textId="1D3D5B11" w:rsidR="005E3CB7" w:rsidRDefault="005E3CB7" w:rsidP="00E34435">
      <w:pPr>
        <w:spacing w:line="480" w:lineRule="auto"/>
        <w:ind w:firstLine="720"/>
        <w:jc w:val="both"/>
      </w:pPr>
      <w:r>
        <w:t xml:space="preserve">Initially, OPAE concedes that it has already sought Commission relief for the very problem it identifies.  </w:t>
      </w:r>
      <w:r w:rsidR="00291281">
        <w:t xml:space="preserve">As noted above, OPAE’s analysis in its initial comments </w:t>
      </w:r>
      <w:r w:rsidR="00650D7B">
        <w:t xml:space="preserve">is tied to a comparison of Dominion’s SCO prices to </w:t>
      </w:r>
      <w:r w:rsidR="008C06CD">
        <w:t>alternative</w:t>
      </w:r>
      <w:r w:rsidR="00650D7B">
        <w:t xml:space="preserve"> price</w:t>
      </w:r>
      <w:r w:rsidR="008C06CD">
        <w:t xml:space="preserve"> options </w:t>
      </w:r>
      <w:r w:rsidR="0047277F">
        <w:t xml:space="preserve">(monthly variable rate or “MVR”) </w:t>
      </w:r>
      <w:r w:rsidR="008C06CD">
        <w:t>established under the exit-the-merchant-function plan</w:t>
      </w:r>
      <w:r w:rsidR="00650D7B">
        <w:t xml:space="preserve">.  </w:t>
      </w:r>
      <w:r w:rsidR="0047277F">
        <w:t>Because OPAE believes that the Dominion MVR prices are unreasonable</w:t>
      </w:r>
      <w:r w:rsidR="00650D7B">
        <w:t>, OPAE notes that it has already requested relief from the Commission in Dominion’s exit-the-merchant-function plan case.</w:t>
      </w:r>
      <w:r w:rsidR="00650D7B">
        <w:rPr>
          <w:rStyle w:val="FootnoteReference"/>
        </w:rPr>
        <w:footnoteReference w:id="6"/>
      </w:r>
      <w:r w:rsidR="00650D7B">
        <w:t xml:space="preserve"> </w:t>
      </w:r>
      <w:r w:rsidR="00291281">
        <w:t xml:space="preserve"> </w:t>
      </w:r>
      <w:r w:rsidR="00C2180C">
        <w:t>OPAE offers</w:t>
      </w:r>
      <w:r w:rsidR="00650D7B">
        <w:t xml:space="preserve"> nothing to support extending a requirement to secure natural gas commodity service for PIPP customers to other natural gas utilities.</w:t>
      </w:r>
    </w:p>
    <w:p w14:paraId="42C755A7" w14:textId="5E32509B" w:rsidR="00E84834" w:rsidRDefault="00E84834" w:rsidP="007102D9">
      <w:pPr>
        <w:spacing w:line="480" w:lineRule="auto"/>
        <w:ind w:firstLine="720"/>
        <w:jc w:val="both"/>
      </w:pPr>
      <w:r>
        <w:t xml:space="preserve">Moreover, </w:t>
      </w:r>
      <w:r w:rsidR="008C06CD">
        <w:t>extending a requirement to secure natural gas commodity service for PIPP customers to Ohio Gas, or other small gas distribution companies, would be unreasonable</w:t>
      </w:r>
      <w:r w:rsidR="00D43D3D">
        <w:t xml:space="preserve"> under either OPAE’s attempt to rewrite the proposed rules or under the proposed draft change</w:t>
      </w:r>
      <w:r w:rsidR="00BF34B8">
        <w:t>s</w:t>
      </w:r>
      <w:r w:rsidR="00D43D3D">
        <w:t xml:space="preserve"> to Rule 4901:1-19-09, O.A.C</w:t>
      </w:r>
      <w:r w:rsidR="008C06CD">
        <w:t>.</w:t>
      </w:r>
      <w:r>
        <w:t xml:space="preserve">  </w:t>
      </w:r>
      <w:r w:rsidR="00131118">
        <w:t>Ohio Gas</w:t>
      </w:r>
      <w:r w:rsidR="008C06CD">
        <w:t>, for example,</w:t>
      </w:r>
      <w:r w:rsidR="00131118">
        <w:t xml:space="preserve"> has approximately 4</w:t>
      </w:r>
      <w:r w:rsidR="00F15260">
        <w:t>9</w:t>
      </w:r>
      <w:r w:rsidR="00131118">
        <w:t>,000 customers</w:t>
      </w:r>
      <w:r w:rsidR="00C81921">
        <w:t>, none of which receive</w:t>
      </w:r>
      <w:r w:rsidR="00D578C5">
        <w:t>s</w:t>
      </w:r>
      <w:r w:rsidR="00C81921">
        <w:t xml:space="preserve"> commodity service from Ohio </w:t>
      </w:r>
      <w:r w:rsidR="00C81921">
        <w:lastRenderedPageBreak/>
        <w:t>Gas</w:t>
      </w:r>
      <w:r w:rsidR="007102D9">
        <w:t>, and only 300 to 400 of these customers participate in PIPP</w:t>
      </w:r>
      <w:r w:rsidR="00C81921">
        <w:t>.  P</w:t>
      </w:r>
      <w:r>
        <w:t>reparing for and implementing</w:t>
      </w:r>
      <w:r w:rsidR="00131118">
        <w:t xml:space="preserve"> </w:t>
      </w:r>
      <w:r w:rsidR="005C1F88">
        <w:t>an</w:t>
      </w:r>
      <w:r w:rsidR="00131118">
        <w:t xml:space="preserve"> auction </w:t>
      </w:r>
      <w:r w:rsidR="00C81921">
        <w:t xml:space="preserve">for a very small number of customers is unlikely to produce benefits </w:t>
      </w:r>
      <w:r w:rsidR="005C1F88">
        <w:t xml:space="preserve">greater than </w:t>
      </w:r>
      <w:r w:rsidR="00C81921">
        <w:t>the costs of implementing such an auction.</w:t>
      </w:r>
      <w:r w:rsidR="00C86986">
        <w:rPr>
          <w:rStyle w:val="FootnoteReference"/>
        </w:rPr>
        <w:footnoteReference w:id="7"/>
      </w:r>
      <w:r w:rsidR="00131118">
        <w:t xml:space="preserve">  </w:t>
      </w:r>
      <w:r w:rsidR="007102D9">
        <w:t xml:space="preserve">Other smaller natural gas utilities are likely to face a similar concern.  The </w:t>
      </w:r>
      <w:r w:rsidR="00D43D3D">
        <w:t>proposed rule changes</w:t>
      </w:r>
      <w:r w:rsidR="007102D9">
        <w:t xml:space="preserve"> would likely result in a more expensive PIPP cost that would be passed on to other customers through the PIPP and </w:t>
      </w:r>
      <w:r w:rsidR="00BF34B8">
        <w:t>Uncollectible Expense (“</w:t>
      </w:r>
      <w:r w:rsidR="007102D9">
        <w:t>UEX</w:t>
      </w:r>
      <w:r w:rsidR="00BF34B8">
        <w:t>”)</w:t>
      </w:r>
      <w:r w:rsidR="007102D9">
        <w:t xml:space="preserve"> riders.  The </w:t>
      </w:r>
      <w:r w:rsidR="00D43D3D">
        <w:t>proposed rule changes</w:t>
      </w:r>
      <w:r w:rsidR="007102D9">
        <w:t xml:space="preserve"> </w:t>
      </w:r>
      <w:r w:rsidR="00C81921">
        <w:t xml:space="preserve">also fail to contemplate what a utility would do if no suppliers participate in the auction, a real possibility </w:t>
      </w:r>
      <w:r w:rsidR="007102D9">
        <w:t xml:space="preserve">for utilities with small customer bases.  Accordingly, the </w:t>
      </w:r>
      <w:r w:rsidR="00D43D3D">
        <w:t>proposed rule changes</w:t>
      </w:r>
      <w:r w:rsidR="007102D9">
        <w:t xml:space="preserve"> should not be implemented.</w:t>
      </w:r>
    </w:p>
    <w:p w14:paraId="567E8B83" w14:textId="5EB0BECF" w:rsidR="00BC36B6" w:rsidRDefault="007102D9" w:rsidP="00D43D3D">
      <w:pPr>
        <w:spacing w:line="480" w:lineRule="auto"/>
        <w:ind w:firstLine="720"/>
        <w:jc w:val="both"/>
      </w:pPr>
      <w:r>
        <w:t xml:space="preserve">If, however, the Commission is inclined to adopt the </w:t>
      </w:r>
      <w:r w:rsidR="00D43D3D">
        <w:t xml:space="preserve">proposed changes offered by OPAE or </w:t>
      </w:r>
      <w:r w:rsidR="00D578C5">
        <w:t xml:space="preserve">contained </w:t>
      </w:r>
      <w:r w:rsidR="00D43D3D">
        <w:t>in draft Rule 4901:1-19-09, O.A.C.,</w:t>
      </w:r>
      <w:r>
        <w:t xml:space="preserve"> </w:t>
      </w:r>
      <w:r w:rsidR="00907FE7">
        <w:t xml:space="preserve">small and mid-size natural gas companies should be exempted from the </w:t>
      </w:r>
      <w:r w:rsidR="00D43D3D">
        <w:t xml:space="preserve">proposed </w:t>
      </w:r>
      <w:r w:rsidR="00907FE7">
        <w:t>rule</w:t>
      </w:r>
      <w:r w:rsidR="00D43D3D">
        <w:t xml:space="preserve"> changes</w:t>
      </w:r>
      <w:r w:rsidR="00D578C5" w:rsidRPr="00D578C5">
        <w:t xml:space="preserve"> </w:t>
      </w:r>
      <w:r w:rsidR="00D578C5">
        <w:t>to prevent customers from incurring unreasonable costs</w:t>
      </w:r>
      <w:r w:rsidR="00907FE7">
        <w:t>.</w:t>
      </w:r>
      <w:r>
        <w:t xml:space="preserve">  </w:t>
      </w:r>
      <w:r w:rsidR="00BC36B6">
        <w:t xml:space="preserve">The Commission has previously </w:t>
      </w:r>
      <w:r w:rsidR="009E4880">
        <w:t>exempted Ohio Gas and other small natural gas companies from i</w:t>
      </w:r>
      <w:r w:rsidR="001C7A69">
        <w:t xml:space="preserve">ts </w:t>
      </w:r>
      <w:r w:rsidR="00BF34B8">
        <w:t>r</w:t>
      </w:r>
      <w:r w:rsidR="001C7A69">
        <w:t>ule requiring the implementation of PIPP arrearage crediting.</w:t>
      </w:r>
      <w:r w:rsidR="00BC36B6">
        <w:rPr>
          <w:rStyle w:val="FootnoteReference"/>
        </w:rPr>
        <w:footnoteReference w:id="8"/>
      </w:r>
      <w:r w:rsidR="00BC36B6">
        <w:t xml:space="preserve">  </w:t>
      </w:r>
      <w:r w:rsidR="001C7A69">
        <w:t>In th</w:t>
      </w:r>
      <w:r w:rsidR="00D43D3D">
        <w:t>e prior</w:t>
      </w:r>
      <w:r w:rsidR="001C7A69">
        <w:t xml:space="preserve"> rulemaking, the Commission recognized that the cost </w:t>
      </w:r>
      <w:r w:rsidR="00843A23">
        <w:t xml:space="preserve">to </w:t>
      </w:r>
      <w:r w:rsidR="009E4880">
        <w:t>these companies</w:t>
      </w:r>
      <w:r w:rsidR="001C7A69">
        <w:t xml:space="preserve"> to implement billing system upgrades</w:t>
      </w:r>
      <w:r w:rsidR="00843A23">
        <w:t>, including the associated</w:t>
      </w:r>
      <w:r w:rsidR="001C7A69">
        <w:t xml:space="preserve"> employee labor costs to accommodate the then newly</w:t>
      </w:r>
      <w:r w:rsidR="009A0777">
        <w:t>-</w:t>
      </w:r>
      <w:r w:rsidR="001C7A69">
        <w:t xml:space="preserve">adopted PIPP arrearage crediting </w:t>
      </w:r>
      <w:r w:rsidR="001C7A69">
        <w:lastRenderedPageBreak/>
        <w:t>requirements for Ohio Gas’s PIPP customers</w:t>
      </w:r>
      <w:r w:rsidR="00843A23">
        <w:t>,</w:t>
      </w:r>
      <w:r w:rsidR="001C7A69">
        <w:t xml:space="preserve"> would</w:t>
      </w:r>
      <w:r w:rsidR="0068341B">
        <w:t xml:space="preserve"> outweigh the benefits for the few customers eligible to receive the benefits.</w:t>
      </w:r>
      <w:r w:rsidR="0068341B">
        <w:rPr>
          <w:rStyle w:val="FootnoteReference"/>
        </w:rPr>
        <w:footnoteReference w:id="9"/>
      </w:r>
      <w:r w:rsidR="0068341B">
        <w:t xml:space="preserve">  </w:t>
      </w:r>
      <w:r w:rsidR="00907FE7">
        <w:t>Ohio Gas does not currently have any customers receiving commodity service from Ohio Gas.  Ohio Gas has very few PIPP customers and</w:t>
      </w:r>
      <w:r w:rsidR="009A0777">
        <w:t>,</w:t>
      </w:r>
      <w:r w:rsidR="00907FE7">
        <w:t xml:space="preserve"> like the </w:t>
      </w:r>
      <w:proofErr w:type="gramStart"/>
      <w:r w:rsidR="00907FE7">
        <w:t>vast majority</w:t>
      </w:r>
      <w:proofErr w:type="gramEnd"/>
      <w:r w:rsidR="00907FE7">
        <w:t xml:space="preserve"> of all of its </w:t>
      </w:r>
      <w:r w:rsidR="001C706C">
        <w:t xml:space="preserve">remaining </w:t>
      </w:r>
      <w:r w:rsidR="00907FE7">
        <w:t>customers</w:t>
      </w:r>
      <w:r w:rsidR="009A0777">
        <w:t>,</w:t>
      </w:r>
      <w:r w:rsidR="00907FE7">
        <w:t xml:space="preserve"> </w:t>
      </w:r>
      <w:r w:rsidR="009E4880">
        <w:t xml:space="preserve">they </w:t>
      </w:r>
      <w:r w:rsidR="00907FE7">
        <w:t xml:space="preserve">are served under community aggregation programs.  </w:t>
      </w:r>
      <w:r w:rsidR="00B15EF8">
        <w:t xml:space="preserve">The possibility that there would be a population of </w:t>
      </w:r>
      <w:r w:rsidR="009E4880">
        <w:t xml:space="preserve">PIPP </w:t>
      </w:r>
      <w:r w:rsidR="00B15EF8">
        <w:t xml:space="preserve">customers significant enough to </w:t>
      </w:r>
      <w:r w:rsidR="00D578C5">
        <w:t xml:space="preserve">permit </w:t>
      </w:r>
      <w:r w:rsidR="009E4880">
        <w:t>Ohio Gas</w:t>
      </w:r>
      <w:r w:rsidR="00B15EF8">
        <w:t xml:space="preserve"> to implement an auction in a cost-effect</w:t>
      </w:r>
      <w:r w:rsidR="009E4880">
        <w:t>ive</w:t>
      </w:r>
      <w:r w:rsidR="00B15EF8">
        <w:t xml:space="preserve"> manner to serve these customers is remote at best.  </w:t>
      </w:r>
      <w:r w:rsidR="0068341B">
        <w:t xml:space="preserve">The Commission </w:t>
      </w:r>
      <w:r w:rsidR="009E4880">
        <w:t xml:space="preserve">should therefore either not adopt the </w:t>
      </w:r>
      <w:r w:rsidR="00D43D3D">
        <w:t>PIPP auction requirement reflected in the draft proposed changes to Rule 4901:1-19-09, O.A.C.</w:t>
      </w:r>
      <w:r w:rsidR="009A0777">
        <w:t>,</w:t>
      </w:r>
      <w:r w:rsidR="00D43D3D">
        <w:t xml:space="preserve"> and in OPAE’s initial comments, </w:t>
      </w:r>
      <w:r w:rsidR="009E4880">
        <w:t>or exempt Ohio Gas and other similarly</w:t>
      </w:r>
      <w:r w:rsidR="009A0777">
        <w:t>-</w:t>
      </w:r>
      <w:r w:rsidR="009E4880">
        <w:t xml:space="preserve">situated natural gas utilities from the proposed changes.  </w:t>
      </w:r>
      <w:r w:rsidR="00B15EF8">
        <w:t xml:space="preserve">To this end, if the Commission were to adopt </w:t>
      </w:r>
      <w:r w:rsidR="00FC1F35">
        <w:t>the</w:t>
      </w:r>
      <w:r w:rsidR="00D43D3D">
        <w:t>se proposed rule changes</w:t>
      </w:r>
      <w:r w:rsidR="00B15EF8">
        <w:t xml:space="preserve">, it should </w:t>
      </w:r>
      <w:r w:rsidR="00375436">
        <w:t xml:space="preserve">exempt small and mid-size natural gas companies of 100,000 customers or less from </w:t>
      </w:r>
      <w:r w:rsidR="00B15EF8">
        <w:t>that requirement.</w:t>
      </w:r>
    </w:p>
    <w:p w14:paraId="44D0BB58" w14:textId="0B52A310" w:rsidR="00F7141A" w:rsidRPr="00233A63" w:rsidRDefault="00F7141A" w:rsidP="00E12B2A">
      <w:pPr>
        <w:pStyle w:val="Heading1"/>
      </w:pPr>
      <w:r w:rsidRPr="00233A63">
        <w:t>Conclusion</w:t>
      </w:r>
    </w:p>
    <w:p w14:paraId="58FAD292" w14:textId="3D94EF14" w:rsidR="00FC1F35" w:rsidRDefault="00D43D3D" w:rsidP="00E34435">
      <w:pPr>
        <w:spacing w:line="480" w:lineRule="auto"/>
        <w:ind w:firstLine="720"/>
        <w:jc w:val="both"/>
      </w:pPr>
      <w:r>
        <w:t>Requiring auctions to serve PIPP customers</w:t>
      </w:r>
      <w:r w:rsidR="00FC1F35">
        <w:t xml:space="preserve"> would likely result in net costs </w:t>
      </w:r>
      <w:r w:rsidR="008468DE">
        <w:t xml:space="preserve">to small and mid-size natural gas utilities </w:t>
      </w:r>
      <w:r w:rsidR="00FC1F35">
        <w:t>due to these utilities</w:t>
      </w:r>
      <w:r w:rsidR="008468DE">
        <w:t>’</w:t>
      </w:r>
      <w:r w:rsidR="00FC1F35">
        <w:t xml:space="preserve"> small customer bases and extremely small PIPP customer base</w:t>
      </w:r>
      <w:r w:rsidR="008468DE">
        <w:t>.  Additional</w:t>
      </w:r>
      <w:r w:rsidR="00843A23">
        <w:t xml:space="preserve"> </w:t>
      </w:r>
      <w:r w:rsidR="008468DE">
        <w:t xml:space="preserve">unreasonable </w:t>
      </w:r>
      <w:r w:rsidR="00843A23">
        <w:t>costs would then be</w:t>
      </w:r>
      <w:r w:rsidR="00FC1F35">
        <w:t xml:space="preserve"> imposed on </w:t>
      </w:r>
      <w:r w:rsidR="00843A23">
        <w:t>other</w:t>
      </w:r>
      <w:r w:rsidR="00FC1F35">
        <w:t xml:space="preserve"> customers through PIPP and UEX riders.  Accordingly, the Commission should either reject </w:t>
      </w:r>
      <w:r w:rsidR="008468DE">
        <w:t>the auction requirement for PIPP customers reflected in OPAE’s initial comments and in t</w:t>
      </w:r>
      <w:r w:rsidR="00FC1F35">
        <w:t>he draft proposed rule change</w:t>
      </w:r>
      <w:r w:rsidR="009A0777">
        <w:t>s</w:t>
      </w:r>
      <w:r w:rsidR="00FC1F35">
        <w:t xml:space="preserve"> in </w:t>
      </w:r>
      <w:r w:rsidR="009A0777">
        <w:t xml:space="preserve">Rule </w:t>
      </w:r>
      <w:r w:rsidR="00FC1F35">
        <w:t xml:space="preserve">4901:1-19-09, O.A.C., or </w:t>
      </w:r>
      <w:r w:rsidR="00FC1F35">
        <w:lastRenderedPageBreak/>
        <w:t xml:space="preserve">exempt natural gas utilities of less than 100,000 customers from </w:t>
      </w:r>
      <w:r w:rsidR="00C2180C">
        <w:t xml:space="preserve">any </w:t>
      </w:r>
      <w:r w:rsidR="00FC1F35">
        <w:t>require</w:t>
      </w:r>
      <w:r w:rsidR="00C2180C">
        <w:t>ment</w:t>
      </w:r>
      <w:r w:rsidR="00FC1F35">
        <w:t xml:space="preserve"> to secure natural gas commodity service for PIPP customers.</w:t>
      </w:r>
    </w:p>
    <w:p w14:paraId="700EA66C" w14:textId="77777777" w:rsidR="00233A63" w:rsidRDefault="00233A63" w:rsidP="00720154">
      <w:pPr>
        <w:ind w:left="4680"/>
        <w:jc w:val="both"/>
        <w:rPr>
          <w:color w:val="000000" w:themeColor="text1"/>
        </w:rPr>
      </w:pPr>
      <w:r>
        <w:rPr>
          <w:color w:val="000000" w:themeColor="text1"/>
        </w:rPr>
        <w:t>Respectfully submitted,</w:t>
      </w:r>
    </w:p>
    <w:p w14:paraId="7D137CC2" w14:textId="77777777" w:rsidR="00233A63" w:rsidRDefault="00233A63" w:rsidP="00720154">
      <w:pPr>
        <w:ind w:left="4680"/>
        <w:jc w:val="both"/>
        <w:rPr>
          <w:color w:val="000000" w:themeColor="text1"/>
        </w:rPr>
      </w:pPr>
    </w:p>
    <w:p w14:paraId="6FA624AC" w14:textId="77777777" w:rsidR="00233A63" w:rsidRDefault="00233A63" w:rsidP="00720154">
      <w:pPr>
        <w:ind w:left="4680"/>
        <w:jc w:val="both"/>
        <w:rPr>
          <w:color w:val="000000" w:themeColor="text1"/>
        </w:rPr>
      </w:pPr>
    </w:p>
    <w:p w14:paraId="53D9C09C" w14:textId="77777777" w:rsidR="00233A63" w:rsidRDefault="00233A63" w:rsidP="00720154">
      <w:pPr>
        <w:ind w:left="4680"/>
        <w:jc w:val="both"/>
        <w:rPr>
          <w:i/>
          <w:color w:val="000000" w:themeColor="text1"/>
        </w:rPr>
      </w:pPr>
      <w:r>
        <w:rPr>
          <w:i/>
          <w:color w:val="000000" w:themeColor="text1"/>
          <w:u w:val="single"/>
        </w:rPr>
        <w:t>/s/ Matthew R. Pritchard</w:t>
      </w:r>
      <w:r>
        <w:rPr>
          <w:i/>
          <w:color w:val="000000" w:themeColor="text1"/>
          <w:u w:val="single"/>
        </w:rPr>
        <w:tab/>
      </w:r>
      <w:r>
        <w:rPr>
          <w:i/>
          <w:color w:val="000000" w:themeColor="text1"/>
          <w:u w:val="single"/>
        </w:rPr>
        <w:tab/>
      </w:r>
      <w:r>
        <w:rPr>
          <w:i/>
          <w:color w:val="000000" w:themeColor="text1"/>
          <w:u w:val="single"/>
        </w:rPr>
        <w:tab/>
      </w:r>
    </w:p>
    <w:p w14:paraId="63BF10B0" w14:textId="77777777" w:rsidR="00233A63" w:rsidRDefault="00233A63" w:rsidP="00720154">
      <w:pPr>
        <w:widowControl w:val="0"/>
        <w:ind w:left="4680"/>
        <w:jc w:val="both"/>
        <w:rPr>
          <w:rFonts w:eastAsia="Calibri"/>
          <w:bCs/>
          <w:color w:val="000000" w:themeColor="text1"/>
          <w:szCs w:val="20"/>
        </w:rPr>
      </w:pPr>
      <w:r>
        <w:rPr>
          <w:rFonts w:eastAsia="Calibri"/>
          <w:bCs/>
          <w:color w:val="000000" w:themeColor="text1"/>
          <w:szCs w:val="20"/>
        </w:rPr>
        <w:t>Frank P. Darr (Reg. No. 0025469)</w:t>
      </w:r>
    </w:p>
    <w:p w14:paraId="33F01EFB" w14:textId="77777777" w:rsidR="00233A63" w:rsidRDefault="00233A63" w:rsidP="00720154">
      <w:pPr>
        <w:widowControl w:val="0"/>
        <w:ind w:left="4680"/>
        <w:jc w:val="both"/>
        <w:rPr>
          <w:rFonts w:eastAsia="Calibri"/>
          <w:bCs/>
          <w:color w:val="000000" w:themeColor="text1"/>
          <w:szCs w:val="20"/>
        </w:rPr>
      </w:pPr>
      <w:r>
        <w:rPr>
          <w:rFonts w:eastAsia="Calibri"/>
          <w:bCs/>
          <w:color w:val="000000" w:themeColor="text1"/>
          <w:szCs w:val="20"/>
        </w:rPr>
        <w:t>Counsel of Record</w:t>
      </w:r>
    </w:p>
    <w:p w14:paraId="1DE1645E" w14:textId="77777777" w:rsidR="00233A63" w:rsidRDefault="00233A63" w:rsidP="00720154">
      <w:pPr>
        <w:widowControl w:val="0"/>
        <w:ind w:left="4680" w:right="-288"/>
        <w:jc w:val="both"/>
        <w:rPr>
          <w:rFonts w:eastAsia="Times New Roman" w:cs="Times New Roman"/>
          <w:color w:val="000000" w:themeColor="text1"/>
          <w:szCs w:val="20"/>
        </w:rPr>
      </w:pPr>
      <w:r>
        <w:rPr>
          <w:rFonts w:cs="Times New Roman"/>
          <w:color w:val="000000" w:themeColor="text1"/>
          <w:szCs w:val="20"/>
        </w:rPr>
        <w:t>Matthew R. Pritchard (Reg. No. 0088070)</w:t>
      </w:r>
    </w:p>
    <w:p w14:paraId="6AD4342D" w14:textId="77777777" w:rsidR="00233A63" w:rsidRDefault="00233A63" w:rsidP="00720154">
      <w:pPr>
        <w:widowControl w:val="0"/>
        <w:ind w:left="4680"/>
        <w:jc w:val="both"/>
        <w:rPr>
          <w:rFonts w:eastAsia="Calibri" w:cs="Arial"/>
          <w:bCs/>
          <w:smallCaps/>
          <w:color w:val="000000" w:themeColor="text1"/>
          <w:szCs w:val="20"/>
        </w:rPr>
      </w:pPr>
      <w:r>
        <w:rPr>
          <w:rFonts w:eastAsia="Calibri"/>
          <w:bCs/>
          <w:smallCaps/>
          <w:color w:val="000000" w:themeColor="text1"/>
          <w:szCs w:val="20"/>
        </w:rPr>
        <w:t xml:space="preserve">McNees Wallace &amp; </w:t>
      </w:r>
      <w:proofErr w:type="spellStart"/>
      <w:r>
        <w:rPr>
          <w:rFonts w:eastAsia="Calibri"/>
          <w:bCs/>
          <w:smallCaps/>
          <w:color w:val="000000" w:themeColor="text1"/>
          <w:szCs w:val="20"/>
        </w:rPr>
        <w:t>Nurick</w:t>
      </w:r>
      <w:proofErr w:type="spellEnd"/>
      <w:r>
        <w:rPr>
          <w:rFonts w:eastAsia="Calibri"/>
          <w:bCs/>
          <w:smallCaps/>
          <w:color w:val="000000" w:themeColor="text1"/>
          <w:szCs w:val="20"/>
        </w:rPr>
        <w:t xml:space="preserve"> LLC</w:t>
      </w:r>
    </w:p>
    <w:p w14:paraId="69E28DDE" w14:textId="77777777" w:rsidR="00233A63" w:rsidRDefault="00233A63" w:rsidP="00720154">
      <w:pPr>
        <w:widowControl w:val="0"/>
        <w:ind w:left="4680"/>
        <w:jc w:val="both"/>
        <w:rPr>
          <w:rFonts w:eastAsia="Calibri"/>
          <w:b/>
          <w:bCs/>
          <w:color w:val="000000" w:themeColor="text1"/>
          <w:szCs w:val="20"/>
        </w:rPr>
      </w:pPr>
      <w:r>
        <w:rPr>
          <w:rFonts w:eastAsia="Calibri"/>
          <w:bCs/>
          <w:color w:val="000000" w:themeColor="text1"/>
          <w:szCs w:val="20"/>
        </w:rPr>
        <w:t>Fifth Third Center</w:t>
      </w:r>
    </w:p>
    <w:p w14:paraId="336970AA" w14:textId="77777777" w:rsidR="00233A63" w:rsidRDefault="00233A63" w:rsidP="00720154">
      <w:pPr>
        <w:widowControl w:val="0"/>
        <w:ind w:left="4680"/>
        <w:jc w:val="both"/>
        <w:rPr>
          <w:rFonts w:eastAsia="Calibri"/>
          <w:b/>
          <w:bCs/>
          <w:color w:val="000000" w:themeColor="text1"/>
          <w:szCs w:val="20"/>
        </w:rPr>
      </w:pPr>
      <w:r>
        <w:rPr>
          <w:rFonts w:eastAsia="Calibri"/>
          <w:bCs/>
          <w:color w:val="000000" w:themeColor="text1"/>
          <w:szCs w:val="20"/>
        </w:rPr>
        <w:t>21 East State Street, 17</w:t>
      </w:r>
      <w:r>
        <w:rPr>
          <w:rFonts w:eastAsia="Calibri"/>
          <w:bCs/>
          <w:color w:val="000000" w:themeColor="text1"/>
          <w:szCs w:val="20"/>
          <w:vertAlign w:val="superscript"/>
        </w:rPr>
        <w:t>TH</w:t>
      </w:r>
      <w:r>
        <w:rPr>
          <w:rFonts w:eastAsia="Calibri"/>
          <w:bCs/>
          <w:color w:val="000000" w:themeColor="text1"/>
          <w:szCs w:val="20"/>
        </w:rPr>
        <w:t xml:space="preserve"> Floor</w:t>
      </w:r>
    </w:p>
    <w:p w14:paraId="6F13FCA0" w14:textId="77777777" w:rsidR="00233A63" w:rsidRDefault="00233A63" w:rsidP="00720154">
      <w:pPr>
        <w:tabs>
          <w:tab w:val="left" w:pos="-1440"/>
          <w:tab w:val="left" w:pos="-720"/>
          <w:tab w:val="left" w:pos="5040"/>
          <w:tab w:val="center" w:pos="7200"/>
        </w:tabs>
        <w:overflowPunct w:val="0"/>
        <w:autoSpaceDE w:val="0"/>
        <w:autoSpaceDN w:val="0"/>
        <w:adjustRightInd w:val="0"/>
        <w:ind w:left="4680"/>
        <w:jc w:val="both"/>
        <w:rPr>
          <w:rFonts w:eastAsia="Calibri"/>
          <w:color w:val="000000" w:themeColor="text1"/>
          <w:szCs w:val="20"/>
        </w:rPr>
      </w:pPr>
      <w:r>
        <w:rPr>
          <w:rFonts w:eastAsia="Calibri"/>
          <w:color w:val="000000" w:themeColor="text1"/>
          <w:szCs w:val="20"/>
        </w:rPr>
        <w:t>Columbus, OH  43215</w:t>
      </w:r>
    </w:p>
    <w:p w14:paraId="6CCF8247" w14:textId="77777777" w:rsidR="00233A63" w:rsidRDefault="00233A63" w:rsidP="00720154">
      <w:pPr>
        <w:tabs>
          <w:tab w:val="left" w:pos="-1440"/>
          <w:tab w:val="left" w:pos="-720"/>
          <w:tab w:val="left" w:pos="5040"/>
          <w:tab w:val="center" w:pos="7200"/>
        </w:tabs>
        <w:overflowPunct w:val="0"/>
        <w:autoSpaceDE w:val="0"/>
        <w:autoSpaceDN w:val="0"/>
        <w:adjustRightInd w:val="0"/>
        <w:ind w:left="4680"/>
        <w:jc w:val="both"/>
        <w:rPr>
          <w:rFonts w:eastAsia="Calibri"/>
          <w:color w:val="000000" w:themeColor="text1"/>
          <w:szCs w:val="20"/>
        </w:rPr>
      </w:pPr>
      <w:r>
        <w:rPr>
          <w:rFonts w:eastAsia="Calibri"/>
          <w:color w:val="000000" w:themeColor="text1"/>
          <w:szCs w:val="20"/>
        </w:rPr>
        <w:t>Telephone</w:t>
      </w:r>
      <w:proofErr w:type="gramStart"/>
      <w:r>
        <w:rPr>
          <w:rFonts w:eastAsia="Calibri"/>
          <w:color w:val="000000" w:themeColor="text1"/>
          <w:szCs w:val="20"/>
        </w:rPr>
        <w:t>:  (</w:t>
      </w:r>
      <w:proofErr w:type="gramEnd"/>
      <w:r>
        <w:rPr>
          <w:rFonts w:eastAsia="Calibri"/>
          <w:color w:val="000000" w:themeColor="text1"/>
          <w:szCs w:val="20"/>
        </w:rPr>
        <w:t>614) 469-8000</w:t>
      </w:r>
    </w:p>
    <w:p w14:paraId="6FC5DD3E" w14:textId="77777777" w:rsidR="00233A63" w:rsidRDefault="00233A63" w:rsidP="00720154">
      <w:pPr>
        <w:tabs>
          <w:tab w:val="left" w:pos="-1440"/>
          <w:tab w:val="left" w:pos="-720"/>
          <w:tab w:val="left" w:pos="5040"/>
          <w:tab w:val="center" w:pos="7200"/>
        </w:tabs>
        <w:overflowPunct w:val="0"/>
        <w:autoSpaceDE w:val="0"/>
        <w:autoSpaceDN w:val="0"/>
        <w:adjustRightInd w:val="0"/>
        <w:ind w:left="4680"/>
        <w:jc w:val="both"/>
        <w:rPr>
          <w:rFonts w:eastAsia="Calibri"/>
          <w:color w:val="000000" w:themeColor="text1"/>
          <w:szCs w:val="20"/>
        </w:rPr>
      </w:pPr>
      <w:r>
        <w:rPr>
          <w:rFonts w:eastAsia="Calibri"/>
          <w:color w:val="000000" w:themeColor="text1"/>
          <w:szCs w:val="20"/>
        </w:rPr>
        <w:t>Telecopier</w:t>
      </w:r>
      <w:proofErr w:type="gramStart"/>
      <w:r>
        <w:rPr>
          <w:rFonts w:eastAsia="Calibri"/>
          <w:color w:val="000000" w:themeColor="text1"/>
          <w:szCs w:val="20"/>
        </w:rPr>
        <w:t>:  (</w:t>
      </w:r>
      <w:proofErr w:type="gramEnd"/>
      <w:r>
        <w:rPr>
          <w:rFonts w:eastAsia="Calibri"/>
          <w:color w:val="000000" w:themeColor="text1"/>
          <w:szCs w:val="20"/>
        </w:rPr>
        <w:t>614) 469-4653</w:t>
      </w:r>
    </w:p>
    <w:p w14:paraId="14C592AE" w14:textId="77777777" w:rsidR="00233A63" w:rsidRDefault="00233A63" w:rsidP="00720154">
      <w:pPr>
        <w:tabs>
          <w:tab w:val="left" w:pos="-1440"/>
          <w:tab w:val="left" w:pos="-720"/>
          <w:tab w:val="left" w:pos="5040"/>
          <w:tab w:val="center" w:pos="7200"/>
        </w:tabs>
        <w:overflowPunct w:val="0"/>
        <w:autoSpaceDE w:val="0"/>
        <w:autoSpaceDN w:val="0"/>
        <w:adjustRightInd w:val="0"/>
        <w:ind w:left="4680"/>
        <w:jc w:val="both"/>
        <w:rPr>
          <w:rFonts w:eastAsia="Calibri"/>
          <w:color w:val="000000" w:themeColor="text1"/>
          <w:szCs w:val="20"/>
        </w:rPr>
      </w:pPr>
      <w:r>
        <w:rPr>
          <w:rFonts w:eastAsia="Calibri"/>
          <w:color w:val="000000" w:themeColor="text1"/>
          <w:szCs w:val="20"/>
        </w:rPr>
        <w:t xml:space="preserve">fdarr@mwncmh.com </w:t>
      </w:r>
    </w:p>
    <w:p w14:paraId="7A98DA20" w14:textId="77777777" w:rsidR="00233A63" w:rsidRDefault="00233A63" w:rsidP="00720154">
      <w:pPr>
        <w:autoSpaceDE w:val="0"/>
        <w:autoSpaceDN w:val="0"/>
        <w:adjustRightInd w:val="0"/>
        <w:ind w:left="4680"/>
        <w:rPr>
          <w:rFonts w:eastAsia="Times New Roman"/>
          <w:bCs/>
          <w:color w:val="000000" w:themeColor="text1"/>
        </w:rPr>
      </w:pPr>
      <w:r>
        <w:rPr>
          <w:bCs/>
          <w:color w:val="000000" w:themeColor="text1"/>
        </w:rPr>
        <w:t xml:space="preserve">mpritchard@mwncmh.com </w:t>
      </w:r>
    </w:p>
    <w:p w14:paraId="54F4F150" w14:textId="77777777" w:rsidR="00233A63" w:rsidRDefault="00233A63" w:rsidP="00720154">
      <w:pPr>
        <w:autoSpaceDE w:val="0"/>
        <w:autoSpaceDN w:val="0"/>
        <w:adjustRightInd w:val="0"/>
        <w:ind w:left="4680"/>
        <w:rPr>
          <w:bCs/>
          <w:color w:val="000000"/>
        </w:rPr>
      </w:pPr>
    </w:p>
    <w:p w14:paraId="53DA7549" w14:textId="77777777" w:rsidR="00233A63" w:rsidRDefault="00233A63" w:rsidP="00720154">
      <w:pPr>
        <w:ind w:left="4680"/>
        <w:jc w:val="both"/>
        <w:rPr>
          <w:rFonts w:ascii="Arial Bold" w:hAnsi="Arial Bold"/>
          <w:b/>
          <w:bCs/>
          <w:smallCaps/>
        </w:rPr>
      </w:pPr>
      <w:r>
        <w:rPr>
          <w:rFonts w:ascii="Arial Bold" w:hAnsi="Arial Bold"/>
          <w:b/>
          <w:smallCaps/>
        </w:rPr>
        <w:t>At</w:t>
      </w:r>
      <w:r>
        <w:rPr>
          <w:rFonts w:ascii="Arial Bold" w:hAnsi="Arial Bold"/>
          <w:b/>
          <w:bCs/>
          <w:smallCaps/>
        </w:rPr>
        <w:t>torneys for Ohio Gas Company</w:t>
      </w:r>
    </w:p>
    <w:p w14:paraId="47464737" w14:textId="77777777" w:rsidR="00F7141A" w:rsidRPr="00F7141A" w:rsidRDefault="00F7141A" w:rsidP="00F7141A">
      <w:pPr>
        <w:spacing w:line="480" w:lineRule="auto"/>
        <w:jc w:val="both"/>
      </w:pPr>
    </w:p>
    <w:p w14:paraId="64377EE0" w14:textId="77777777" w:rsidR="00233A63" w:rsidRDefault="00233A63" w:rsidP="00F7141A">
      <w:pPr>
        <w:spacing w:line="480" w:lineRule="auto"/>
        <w:jc w:val="both"/>
        <w:rPr>
          <w:b/>
        </w:rPr>
        <w:sectPr w:rsidR="00233A63" w:rsidSect="00233A63">
          <w:footerReference w:type="default" r:id="rId14"/>
          <w:footerReference w:type="first" r:id="rId15"/>
          <w:pgSz w:w="12240" w:h="15840" w:code="1"/>
          <w:pgMar w:top="1440" w:right="1440" w:bottom="1440" w:left="1440" w:header="720" w:footer="720" w:gutter="0"/>
          <w:pgNumType w:start="1"/>
          <w:cols w:space="720"/>
          <w:titlePg/>
          <w:docGrid w:linePitch="360"/>
        </w:sectPr>
      </w:pPr>
    </w:p>
    <w:p w14:paraId="345572E0" w14:textId="77777777" w:rsidR="00233A63" w:rsidRDefault="00233A63" w:rsidP="00233A63">
      <w:pPr>
        <w:tabs>
          <w:tab w:val="left" w:pos="2160"/>
          <w:tab w:val="left" w:pos="2280"/>
        </w:tabs>
        <w:spacing w:line="480" w:lineRule="auto"/>
        <w:jc w:val="center"/>
        <w:rPr>
          <w:b/>
          <w:smallCaps/>
          <w:sz w:val="28"/>
          <w:szCs w:val="28"/>
          <w:u w:val="single"/>
        </w:rPr>
      </w:pPr>
      <w:r>
        <w:rPr>
          <w:b/>
          <w:smallCaps/>
          <w:sz w:val="28"/>
          <w:szCs w:val="28"/>
          <w:u w:val="single"/>
        </w:rPr>
        <w:lastRenderedPageBreak/>
        <w:t>Certificate of Service</w:t>
      </w:r>
    </w:p>
    <w:p w14:paraId="4D24DA02" w14:textId="53188EA3" w:rsidR="00233A63" w:rsidRDefault="00233A63" w:rsidP="00953568">
      <w:pPr>
        <w:pStyle w:val="BodyText"/>
        <w:spacing w:after="0" w:line="480" w:lineRule="auto"/>
        <w:ind w:firstLine="720"/>
        <w:jc w:val="both"/>
        <w:rPr>
          <w:rFonts w:ascii="Arial" w:hAnsi="Arial"/>
          <w:sz w:val="24"/>
        </w:rPr>
      </w:pPr>
      <w:r>
        <w:rPr>
          <w:rFonts w:ascii="Arial" w:hAnsi="Arial"/>
          <w:sz w:val="24"/>
        </w:rPr>
        <w:t>In accordance with Rule 4901-1-05, Ohio Administrative Code, the PUCO’s e</w:t>
      </w:r>
      <w:r>
        <w:rPr>
          <w:rFonts w:ascii="Arial" w:hAnsi="Arial"/>
          <w:sz w:val="24"/>
        </w:rPr>
        <w:noBreakHyphen/>
        <w:t xml:space="preserve">filing system will electronically serve notice of the filing of this document upon the following parties.  In addition, I hereby certify that a service copy of the foregoing </w:t>
      </w:r>
      <w:r>
        <w:rPr>
          <w:rFonts w:ascii="Arial" w:hAnsi="Arial"/>
          <w:i/>
          <w:sz w:val="24"/>
        </w:rPr>
        <w:t xml:space="preserve">Reply Comments of Ohio Gas Company </w:t>
      </w:r>
      <w:r>
        <w:rPr>
          <w:rFonts w:ascii="Arial" w:hAnsi="Arial"/>
          <w:sz w:val="24"/>
        </w:rPr>
        <w:t xml:space="preserve">was sent by, or on behalf of, the undersigned counsel for Ohio Gas Company to the following parties of record this </w:t>
      </w:r>
      <w:r w:rsidR="007F787E">
        <w:rPr>
          <w:rFonts w:ascii="Arial" w:hAnsi="Arial"/>
          <w:sz w:val="24"/>
        </w:rPr>
        <w:t>27</w:t>
      </w:r>
      <w:r w:rsidR="007F787E" w:rsidRPr="00E12B2A">
        <w:rPr>
          <w:rFonts w:ascii="Arial" w:hAnsi="Arial"/>
          <w:sz w:val="24"/>
          <w:vertAlign w:val="superscript"/>
        </w:rPr>
        <w:t>th</w:t>
      </w:r>
      <w:r w:rsidR="007F787E">
        <w:rPr>
          <w:rFonts w:ascii="Arial" w:hAnsi="Arial"/>
          <w:sz w:val="24"/>
        </w:rPr>
        <w:t xml:space="preserve"> </w:t>
      </w:r>
      <w:r>
        <w:rPr>
          <w:rFonts w:ascii="Arial" w:hAnsi="Arial"/>
          <w:sz w:val="24"/>
        </w:rPr>
        <w:t xml:space="preserve">day of July 2018, </w:t>
      </w:r>
      <w:r>
        <w:rPr>
          <w:rFonts w:ascii="Arial" w:hAnsi="Arial"/>
          <w:i/>
          <w:sz w:val="24"/>
        </w:rPr>
        <w:t>via</w:t>
      </w:r>
      <w:r>
        <w:rPr>
          <w:rFonts w:ascii="Arial" w:hAnsi="Arial"/>
          <w:sz w:val="24"/>
        </w:rPr>
        <w:t xml:space="preserve"> electronic transmission. </w:t>
      </w:r>
    </w:p>
    <w:p w14:paraId="19CC6861" w14:textId="77777777" w:rsidR="00233A63" w:rsidRDefault="00233A63" w:rsidP="00233A63">
      <w:pPr>
        <w:tabs>
          <w:tab w:val="center" w:pos="7200"/>
          <w:tab w:val="right" w:pos="9360"/>
        </w:tabs>
        <w:ind w:left="5040"/>
        <w:jc w:val="both"/>
        <w:rPr>
          <w:i/>
          <w:u w:val="single"/>
        </w:rPr>
      </w:pPr>
      <w:r>
        <w:rPr>
          <w:i/>
          <w:u w:val="single"/>
        </w:rPr>
        <w:t>/s/ Matthew R. Pritchard</w:t>
      </w:r>
      <w:r>
        <w:rPr>
          <w:i/>
          <w:u w:val="single"/>
        </w:rPr>
        <w:tab/>
      </w:r>
    </w:p>
    <w:p w14:paraId="1CDB2BE2" w14:textId="77777777" w:rsidR="00AF0BEA" w:rsidRDefault="00233A63" w:rsidP="00233A63">
      <w:pPr>
        <w:tabs>
          <w:tab w:val="center" w:pos="7200"/>
          <w:tab w:val="right" w:pos="9360"/>
        </w:tabs>
        <w:ind w:left="5040"/>
        <w:jc w:val="both"/>
        <w:sectPr w:rsidR="00AF0BEA" w:rsidSect="00C0405A">
          <w:pgSz w:w="12240" w:h="15840" w:code="1"/>
          <w:pgMar w:top="1440" w:right="1440" w:bottom="1440" w:left="1440" w:header="720" w:footer="720" w:gutter="0"/>
          <w:cols w:space="720"/>
          <w:titlePg/>
          <w:docGrid w:linePitch="360"/>
        </w:sectPr>
      </w:pPr>
      <w:r>
        <w:t>Matthew R. Pritchard</w:t>
      </w:r>
    </w:p>
    <w:p w14:paraId="51CD090F" w14:textId="2FE26F78" w:rsidR="00233A63" w:rsidRDefault="00233A63" w:rsidP="00233A63">
      <w:pPr>
        <w:tabs>
          <w:tab w:val="center" w:pos="7200"/>
          <w:tab w:val="right" w:pos="9360"/>
        </w:tabs>
        <w:ind w:left="5040"/>
        <w:jc w:val="both"/>
      </w:pPr>
    </w:p>
    <w:p w14:paraId="7E0685F8" w14:textId="77777777" w:rsidR="00AF0BEA" w:rsidRDefault="00AF0BEA" w:rsidP="00796FDE">
      <w:pPr>
        <w:jc w:val="both"/>
        <w:rPr>
          <w:b/>
          <w:sz w:val="20"/>
          <w:szCs w:val="20"/>
        </w:rPr>
        <w:sectPr w:rsidR="00AF0BEA" w:rsidSect="00AF0BEA">
          <w:type w:val="continuous"/>
          <w:pgSz w:w="12240" w:h="15840" w:code="1"/>
          <w:pgMar w:top="1440" w:right="1440" w:bottom="1440" w:left="1440" w:header="720" w:footer="720" w:gutter="0"/>
          <w:cols w:space="720"/>
          <w:titlePg/>
          <w:docGrid w:linePitch="360"/>
        </w:sectPr>
      </w:pPr>
    </w:p>
    <w:p w14:paraId="73EDF4C7" w14:textId="32C9AD35" w:rsidR="00FB16B8" w:rsidRPr="00C026FD" w:rsidRDefault="00FB16B8" w:rsidP="00C026FD">
      <w:pPr>
        <w:jc w:val="both"/>
        <w:rPr>
          <w:rFonts w:cs="Arial"/>
          <w:b/>
          <w:sz w:val="20"/>
          <w:szCs w:val="20"/>
        </w:rPr>
      </w:pPr>
      <w:r w:rsidRPr="00C026FD">
        <w:rPr>
          <w:rFonts w:cs="Arial"/>
          <w:b/>
          <w:sz w:val="20"/>
          <w:szCs w:val="20"/>
        </w:rPr>
        <w:t xml:space="preserve">Mark A. Whitt </w:t>
      </w:r>
      <w:r w:rsidRPr="00C026FD">
        <w:rPr>
          <w:rFonts w:cs="Arial"/>
          <w:sz w:val="20"/>
          <w:szCs w:val="20"/>
        </w:rPr>
        <w:t>(0067996)</w:t>
      </w:r>
    </w:p>
    <w:p w14:paraId="1F092151" w14:textId="5502AE7E" w:rsidR="00FB16B8" w:rsidRPr="00C026FD" w:rsidRDefault="00FB16B8" w:rsidP="00C026FD">
      <w:pPr>
        <w:jc w:val="both"/>
        <w:rPr>
          <w:rFonts w:cs="Arial"/>
          <w:b/>
          <w:sz w:val="20"/>
          <w:szCs w:val="20"/>
        </w:rPr>
      </w:pPr>
      <w:r w:rsidRPr="00C026FD">
        <w:rPr>
          <w:rFonts w:cs="Arial"/>
          <w:b/>
          <w:sz w:val="20"/>
          <w:szCs w:val="20"/>
        </w:rPr>
        <w:t xml:space="preserve">Andrew J. Campbell </w:t>
      </w:r>
      <w:r w:rsidRPr="00C026FD">
        <w:rPr>
          <w:rFonts w:cs="Arial"/>
          <w:sz w:val="20"/>
          <w:szCs w:val="20"/>
        </w:rPr>
        <w:t>(0081485)</w:t>
      </w:r>
    </w:p>
    <w:p w14:paraId="62ED04DF" w14:textId="72BF78AE" w:rsidR="00FB16B8" w:rsidRPr="00C026FD" w:rsidRDefault="00FB16B8" w:rsidP="00C026FD">
      <w:pPr>
        <w:jc w:val="both"/>
        <w:rPr>
          <w:rFonts w:cs="Arial"/>
          <w:b/>
          <w:sz w:val="20"/>
          <w:szCs w:val="20"/>
        </w:rPr>
      </w:pPr>
      <w:r w:rsidRPr="00C026FD">
        <w:rPr>
          <w:rFonts w:cs="Arial"/>
          <w:b/>
          <w:sz w:val="20"/>
          <w:szCs w:val="20"/>
        </w:rPr>
        <w:t xml:space="preserve">Rebekah J. Glover </w:t>
      </w:r>
      <w:r w:rsidRPr="00C026FD">
        <w:rPr>
          <w:rFonts w:cs="Arial"/>
          <w:sz w:val="20"/>
          <w:szCs w:val="20"/>
        </w:rPr>
        <w:t>(0088798)</w:t>
      </w:r>
    </w:p>
    <w:p w14:paraId="3685B05C" w14:textId="194AF9C3" w:rsidR="00FB16B8" w:rsidRPr="00C026FD" w:rsidRDefault="00FB16B8" w:rsidP="00C026FD">
      <w:pPr>
        <w:jc w:val="both"/>
        <w:rPr>
          <w:rFonts w:cs="Arial"/>
          <w:smallCaps/>
          <w:sz w:val="20"/>
          <w:szCs w:val="20"/>
        </w:rPr>
      </w:pPr>
      <w:r w:rsidRPr="00C026FD">
        <w:rPr>
          <w:rFonts w:cs="Arial"/>
          <w:smallCaps/>
          <w:sz w:val="20"/>
          <w:szCs w:val="20"/>
        </w:rPr>
        <w:t>Whitt Sturtevant LLP</w:t>
      </w:r>
    </w:p>
    <w:p w14:paraId="6C5C6F2D" w14:textId="00BDC75B" w:rsidR="00FB16B8" w:rsidRPr="00C026FD" w:rsidRDefault="00796FDE" w:rsidP="00C026FD">
      <w:pPr>
        <w:jc w:val="both"/>
        <w:rPr>
          <w:rFonts w:cs="Arial"/>
          <w:sz w:val="20"/>
          <w:szCs w:val="20"/>
        </w:rPr>
      </w:pPr>
      <w:r w:rsidRPr="00C026FD">
        <w:rPr>
          <w:rFonts w:cs="Arial"/>
          <w:sz w:val="20"/>
          <w:szCs w:val="20"/>
        </w:rPr>
        <w:t>The KeyBank Building, Suite 1590</w:t>
      </w:r>
    </w:p>
    <w:p w14:paraId="0B958B82" w14:textId="06F35D6B" w:rsidR="00796FDE" w:rsidRPr="00C026FD" w:rsidRDefault="00796FDE" w:rsidP="00C026FD">
      <w:pPr>
        <w:jc w:val="both"/>
        <w:rPr>
          <w:rFonts w:cs="Arial"/>
          <w:sz w:val="20"/>
          <w:szCs w:val="20"/>
        </w:rPr>
      </w:pPr>
      <w:r w:rsidRPr="00C026FD">
        <w:rPr>
          <w:rFonts w:cs="Arial"/>
          <w:sz w:val="20"/>
          <w:szCs w:val="20"/>
        </w:rPr>
        <w:t>88 East Broad Street</w:t>
      </w:r>
    </w:p>
    <w:p w14:paraId="41537743" w14:textId="5FB920AE" w:rsidR="00796FDE" w:rsidRPr="00C026FD" w:rsidRDefault="00796FDE" w:rsidP="00C026FD">
      <w:pPr>
        <w:jc w:val="both"/>
        <w:rPr>
          <w:rFonts w:cs="Arial"/>
          <w:sz w:val="20"/>
          <w:szCs w:val="20"/>
        </w:rPr>
      </w:pPr>
      <w:r w:rsidRPr="00C026FD">
        <w:rPr>
          <w:rFonts w:cs="Arial"/>
          <w:sz w:val="20"/>
          <w:szCs w:val="20"/>
        </w:rPr>
        <w:t>Columbus, OH 43215</w:t>
      </w:r>
    </w:p>
    <w:p w14:paraId="5C278CF9" w14:textId="0953F60A" w:rsidR="00796FDE" w:rsidRPr="00C026FD" w:rsidRDefault="00796FDE" w:rsidP="00C026FD">
      <w:pPr>
        <w:jc w:val="both"/>
        <w:rPr>
          <w:rFonts w:cs="Arial"/>
          <w:sz w:val="20"/>
          <w:szCs w:val="20"/>
        </w:rPr>
      </w:pPr>
      <w:r w:rsidRPr="00C026FD">
        <w:rPr>
          <w:rFonts w:cs="Arial"/>
          <w:sz w:val="20"/>
          <w:szCs w:val="20"/>
        </w:rPr>
        <w:t>whitt@whitt-sturtevant.com</w:t>
      </w:r>
    </w:p>
    <w:p w14:paraId="7E964BA8" w14:textId="65ABC174" w:rsidR="00796FDE" w:rsidRPr="00C026FD" w:rsidRDefault="00796FDE" w:rsidP="00C026FD">
      <w:pPr>
        <w:jc w:val="both"/>
        <w:rPr>
          <w:rFonts w:cs="Arial"/>
          <w:sz w:val="20"/>
          <w:szCs w:val="20"/>
        </w:rPr>
      </w:pPr>
      <w:r w:rsidRPr="00C026FD">
        <w:rPr>
          <w:rFonts w:cs="Arial"/>
          <w:sz w:val="20"/>
          <w:szCs w:val="20"/>
        </w:rPr>
        <w:t>campbell@whitt-sturtevant.com</w:t>
      </w:r>
    </w:p>
    <w:p w14:paraId="3B790894" w14:textId="6FEB9A2F" w:rsidR="00796FDE" w:rsidRPr="00C026FD" w:rsidRDefault="00796FDE" w:rsidP="00C026FD">
      <w:pPr>
        <w:jc w:val="both"/>
        <w:rPr>
          <w:rFonts w:cs="Arial"/>
          <w:sz w:val="20"/>
          <w:szCs w:val="20"/>
        </w:rPr>
      </w:pPr>
      <w:r w:rsidRPr="00C026FD">
        <w:rPr>
          <w:rFonts w:cs="Arial"/>
          <w:sz w:val="20"/>
          <w:szCs w:val="20"/>
        </w:rPr>
        <w:t>glover@whitt-sturtevant.com</w:t>
      </w:r>
    </w:p>
    <w:p w14:paraId="49FA45FF" w14:textId="77777777" w:rsidR="00796FDE" w:rsidRPr="00C026FD" w:rsidRDefault="00796FDE" w:rsidP="00C026FD">
      <w:pPr>
        <w:jc w:val="both"/>
        <w:rPr>
          <w:rFonts w:cs="Arial"/>
          <w:sz w:val="20"/>
          <w:szCs w:val="20"/>
        </w:rPr>
      </w:pPr>
    </w:p>
    <w:p w14:paraId="787D2DD7" w14:textId="5DE1A164" w:rsidR="00796FDE" w:rsidRPr="00C026FD" w:rsidRDefault="00796FDE" w:rsidP="00C026FD">
      <w:pPr>
        <w:jc w:val="both"/>
        <w:rPr>
          <w:rFonts w:cs="Arial"/>
          <w:b/>
          <w:smallCaps/>
          <w:sz w:val="20"/>
          <w:szCs w:val="20"/>
        </w:rPr>
      </w:pPr>
      <w:r w:rsidRPr="00C026FD">
        <w:rPr>
          <w:rFonts w:cs="Arial"/>
          <w:b/>
          <w:smallCaps/>
          <w:sz w:val="20"/>
          <w:szCs w:val="20"/>
        </w:rPr>
        <w:t xml:space="preserve">Counsel for the East Ohio Gas Company </w:t>
      </w:r>
    </w:p>
    <w:p w14:paraId="33F95976" w14:textId="77F772FD" w:rsidR="00796FDE" w:rsidRPr="00C026FD" w:rsidRDefault="00796FDE" w:rsidP="00C026FD">
      <w:pPr>
        <w:jc w:val="both"/>
        <w:rPr>
          <w:rFonts w:cs="Arial"/>
          <w:b/>
          <w:smallCaps/>
          <w:sz w:val="20"/>
          <w:szCs w:val="20"/>
        </w:rPr>
      </w:pPr>
      <w:r w:rsidRPr="00C026FD">
        <w:rPr>
          <w:rFonts w:cs="Arial"/>
          <w:b/>
          <w:smallCaps/>
          <w:sz w:val="20"/>
          <w:szCs w:val="20"/>
        </w:rPr>
        <w:t>d/b/a/ Dominion Energy Ohio</w:t>
      </w:r>
    </w:p>
    <w:p w14:paraId="1310D263" w14:textId="7F58BE97" w:rsidR="00FB16B8" w:rsidRPr="00C026FD" w:rsidRDefault="00FB16B8" w:rsidP="00C026FD">
      <w:pPr>
        <w:jc w:val="both"/>
        <w:rPr>
          <w:rFonts w:cs="Arial"/>
          <w:b/>
          <w:sz w:val="20"/>
          <w:szCs w:val="20"/>
        </w:rPr>
      </w:pPr>
    </w:p>
    <w:p w14:paraId="20287021" w14:textId="02510A3E" w:rsidR="00796FDE" w:rsidRPr="00C026FD" w:rsidRDefault="00796FDE" w:rsidP="00C026FD">
      <w:pPr>
        <w:jc w:val="both"/>
        <w:rPr>
          <w:rFonts w:cs="Arial"/>
          <w:b/>
          <w:sz w:val="20"/>
          <w:szCs w:val="20"/>
        </w:rPr>
      </w:pPr>
      <w:r w:rsidRPr="00C026FD">
        <w:rPr>
          <w:rFonts w:cs="Arial"/>
          <w:b/>
          <w:sz w:val="20"/>
          <w:szCs w:val="20"/>
        </w:rPr>
        <w:t xml:space="preserve">Michael J. </w:t>
      </w:r>
      <w:proofErr w:type="spellStart"/>
      <w:r w:rsidRPr="00C026FD">
        <w:rPr>
          <w:rFonts w:cs="Arial"/>
          <w:b/>
          <w:sz w:val="20"/>
          <w:szCs w:val="20"/>
        </w:rPr>
        <w:t>Settineri</w:t>
      </w:r>
      <w:proofErr w:type="spellEnd"/>
      <w:r w:rsidRPr="00C026FD">
        <w:rPr>
          <w:rFonts w:cs="Arial"/>
          <w:b/>
          <w:sz w:val="20"/>
          <w:szCs w:val="20"/>
        </w:rPr>
        <w:t xml:space="preserve"> </w:t>
      </w:r>
      <w:r w:rsidRPr="00C026FD">
        <w:rPr>
          <w:rFonts w:cs="Arial"/>
          <w:sz w:val="20"/>
          <w:szCs w:val="20"/>
        </w:rPr>
        <w:t>(0073369)</w:t>
      </w:r>
    </w:p>
    <w:p w14:paraId="70458A69" w14:textId="33842F1F" w:rsidR="00796FDE" w:rsidRPr="00C026FD" w:rsidRDefault="00796FDE" w:rsidP="00C026FD">
      <w:pPr>
        <w:jc w:val="both"/>
        <w:rPr>
          <w:rFonts w:cs="Arial"/>
          <w:sz w:val="20"/>
          <w:szCs w:val="20"/>
        </w:rPr>
      </w:pPr>
      <w:r w:rsidRPr="00C026FD">
        <w:rPr>
          <w:rFonts w:cs="Arial"/>
          <w:sz w:val="20"/>
          <w:szCs w:val="20"/>
        </w:rPr>
        <w:t>   (Counsel of Record)</w:t>
      </w:r>
    </w:p>
    <w:p w14:paraId="0DBCFACC" w14:textId="5B8F5A64" w:rsidR="00796FDE" w:rsidRPr="00C026FD" w:rsidRDefault="00796FDE" w:rsidP="00C026FD">
      <w:pPr>
        <w:jc w:val="both"/>
        <w:rPr>
          <w:rFonts w:cs="Arial"/>
          <w:b/>
          <w:sz w:val="20"/>
          <w:szCs w:val="20"/>
        </w:rPr>
      </w:pPr>
      <w:r w:rsidRPr="00C026FD">
        <w:rPr>
          <w:rFonts w:cs="Arial"/>
          <w:b/>
          <w:sz w:val="20"/>
          <w:szCs w:val="20"/>
        </w:rPr>
        <w:t xml:space="preserve">Gretchen L. Petrucci </w:t>
      </w:r>
      <w:r w:rsidRPr="00C026FD">
        <w:rPr>
          <w:rFonts w:cs="Arial"/>
          <w:sz w:val="20"/>
          <w:szCs w:val="20"/>
        </w:rPr>
        <w:t>(0046608)</w:t>
      </w:r>
    </w:p>
    <w:p w14:paraId="258B986E" w14:textId="750B6A6C" w:rsidR="00796FDE" w:rsidRPr="00C026FD" w:rsidRDefault="00796FDE" w:rsidP="00C026FD">
      <w:pPr>
        <w:jc w:val="both"/>
        <w:rPr>
          <w:rFonts w:cs="Arial"/>
          <w:smallCaps/>
          <w:sz w:val="20"/>
          <w:szCs w:val="20"/>
        </w:rPr>
      </w:pPr>
      <w:proofErr w:type="spellStart"/>
      <w:r w:rsidRPr="00C026FD">
        <w:rPr>
          <w:rFonts w:cs="Arial"/>
          <w:smallCaps/>
          <w:sz w:val="20"/>
          <w:szCs w:val="20"/>
        </w:rPr>
        <w:t>Vorys</w:t>
      </w:r>
      <w:proofErr w:type="spellEnd"/>
      <w:r w:rsidRPr="00C026FD">
        <w:rPr>
          <w:rFonts w:cs="Arial"/>
          <w:smallCaps/>
          <w:sz w:val="20"/>
          <w:szCs w:val="20"/>
        </w:rPr>
        <w:t xml:space="preserve">, </w:t>
      </w:r>
      <w:proofErr w:type="spellStart"/>
      <w:r w:rsidRPr="00C026FD">
        <w:rPr>
          <w:rFonts w:cs="Arial"/>
          <w:smallCaps/>
          <w:sz w:val="20"/>
          <w:szCs w:val="20"/>
        </w:rPr>
        <w:t>Sater</w:t>
      </w:r>
      <w:proofErr w:type="spellEnd"/>
      <w:r w:rsidRPr="00C026FD">
        <w:rPr>
          <w:rFonts w:cs="Arial"/>
          <w:smallCaps/>
          <w:sz w:val="20"/>
          <w:szCs w:val="20"/>
        </w:rPr>
        <w:t>, Seymour and Pease LLP</w:t>
      </w:r>
    </w:p>
    <w:p w14:paraId="51FEAA9E" w14:textId="66B12E96" w:rsidR="00796FDE" w:rsidRPr="00C026FD" w:rsidRDefault="00796FDE" w:rsidP="00C026FD">
      <w:pPr>
        <w:jc w:val="both"/>
        <w:rPr>
          <w:rFonts w:cs="Arial"/>
          <w:sz w:val="20"/>
          <w:szCs w:val="20"/>
        </w:rPr>
      </w:pPr>
      <w:r w:rsidRPr="00C026FD">
        <w:rPr>
          <w:rFonts w:cs="Arial"/>
          <w:sz w:val="20"/>
          <w:szCs w:val="20"/>
        </w:rPr>
        <w:t>52 E. Gay Street</w:t>
      </w:r>
    </w:p>
    <w:p w14:paraId="36550E74" w14:textId="6F6AEF36" w:rsidR="00796FDE" w:rsidRPr="00C026FD" w:rsidRDefault="00796FDE" w:rsidP="00C026FD">
      <w:pPr>
        <w:jc w:val="both"/>
        <w:rPr>
          <w:rFonts w:cs="Arial"/>
          <w:sz w:val="20"/>
          <w:szCs w:val="20"/>
        </w:rPr>
      </w:pPr>
      <w:r w:rsidRPr="00C026FD">
        <w:rPr>
          <w:rFonts w:cs="Arial"/>
          <w:sz w:val="20"/>
          <w:szCs w:val="20"/>
        </w:rPr>
        <w:t>P.O. Box 1008</w:t>
      </w:r>
    </w:p>
    <w:p w14:paraId="7467E3D9" w14:textId="3CB71FF5" w:rsidR="00796FDE" w:rsidRPr="00C026FD" w:rsidRDefault="00796FDE" w:rsidP="00C026FD">
      <w:pPr>
        <w:jc w:val="both"/>
        <w:rPr>
          <w:rFonts w:cs="Arial"/>
          <w:sz w:val="20"/>
          <w:szCs w:val="20"/>
        </w:rPr>
      </w:pPr>
      <w:r w:rsidRPr="00C026FD">
        <w:rPr>
          <w:rFonts w:cs="Arial"/>
          <w:sz w:val="20"/>
          <w:szCs w:val="20"/>
        </w:rPr>
        <w:t>Columbus, OH 43216-1008</w:t>
      </w:r>
    </w:p>
    <w:p w14:paraId="5851C3CF" w14:textId="437B3140" w:rsidR="00796FDE" w:rsidRPr="00C026FD" w:rsidRDefault="00796FDE" w:rsidP="00C026FD">
      <w:pPr>
        <w:jc w:val="both"/>
        <w:rPr>
          <w:rFonts w:cs="Arial"/>
          <w:sz w:val="20"/>
          <w:szCs w:val="20"/>
        </w:rPr>
      </w:pPr>
      <w:r w:rsidRPr="00C026FD">
        <w:rPr>
          <w:rFonts w:cs="Arial"/>
          <w:sz w:val="20"/>
          <w:szCs w:val="20"/>
        </w:rPr>
        <w:t>mjsettineri@vorys.com</w:t>
      </w:r>
    </w:p>
    <w:p w14:paraId="6A4FA1A2" w14:textId="46427A40" w:rsidR="00796FDE" w:rsidRPr="00C026FD" w:rsidRDefault="00796FDE" w:rsidP="00C026FD">
      <w:pPr>
        <w:jc w:val="both"/>
        <w:rPr>
          <w:rFonts w:cs="Arial"/>
          <w:sz w:val="20"/>
          <w:szCs w:val="20"/>
        </w:rPr>
      </w:pPr>
      <w:r w:rsidRPr="00C026FD">
        <w:rPr>
          <w:rFonts w:cs="Arial"/>
          <w:sz w:val="20"/>
          <w:szCs w:val="20"/>
        </w:rPr>
        <w:t>glpetrucci@vorys.com</w:t>
      </w:r>
    </w:p>
    <w:p w14:paraId="28C44250" w14:textId="77777777" w:rsidR="00796FDE" w:rsidRPr="00C026FD" w:rsidRDefault="00796FDE" w:rsidP="00C026FD">
      <w:pPr>
        <w:jc w:val="both"/>
        <w:rPr>
          <w:rFonts w:cs="Arial"/>
          <w:sz w:val="20"/>
          <w:szCs w:val="20"/>
        </w:rPr>
      </w:pPr>
    </w:p>
    <w:p w14:paraId="47212417" w14:textId="7A1C48A2" w:rsidR="00796FDE" w:rsidRPr="00C026FD" w:rsidRDefault="00796FDE" w:rsidP="00C026FD">
      <w:pPr>
        <w:rPr>
          <w:rFonts w:cs="Arial"/>
          <w:b/>
          <w:smallCaps/>
          <w:sz w:val="20"/>
          <w:szCs w:val="20"/>
        </w:rPr>
      </w:pPr>
      <w:r w:rsidRPr="00C026FD">
        <w:rPr>
          <w:rFonts w:cs="Arial"/>
          <w:b/>
          <w:smallCaps/>
          <w:sz w:val="20"/>
          <w:szCs w:val="20"/>
        </w:rPr>
        <w:t>Counsel for the Retail Energy Supply Association</w:t>
      </w:r>
    </w:p>
    <w:p w14:paraId="3FE29514" w14:textId="77777777" w:rsidR="007F787E" w:rsidRPr="00C026FD" w:rsidRDefault="007F787E" w:rsidP="00C026FD">
      <w:pPr>
        <w:jc w:val="both"/>
        <w:rPr>
          <w:rFonts w:cs="Arial"/>
          <w:sz w:val="20"/>
          <w:szCs w:val="20"/>
        </w:rPr>
      </w:pPr>
    </w:p>
    <w:p w14:paraId="727E0065" w14:textId="77777777" w:rsidR="007F787E" w:rsidRPr="00C026FD" w:rsidRDefault="007F787E" w:rsidP="00C026FD">
      <w:pPr>
        <w:jc w:val="both"/>
        <w:rPr>
          <w:rFonts w:cs="Arial"/>
          <w:b/>
          <w:sz w:val="20"/>
          <w:szCs w:val="20"/>
        </w:rPr>
      </w:pPr>
      <w:r w:rsidRPr="00C026FD">
        <w:rPr>
          <w:rFonts w:cs="Arial"/>
          <w:b/>
          <w:sz w:val="20"/>
          <w:szCs w:val="20"/>
        </w:rPr>
        <w:t xml:space="preserve">Colleen L. Mooney </w:t>
      </w:r>
      <w:r w:rsidRPr="00C026FD">
        <w:rPr>
          <w:rFonts w:cs="Arial"/>
          <w:sz w:val="20"/>
          <w:szCs w:val="20"/>
        </w:rPr>
        <w:t>(0015668)</w:t>
      </w:r>
    </w:p>
    <w:p w14:paraId="66E2249D" w14:textId="77777777" w:rsidR="007F787E" w:rsidRPr="00C026FD" w:rsidRDefault="007F787E" w:rsidP="00C026FD">
      <w:pPr>
        <w:jc w:val="both"/>
        <w:rPr>
          <w:rFonts w:cs="Arial"/>
          <w:smallCaps/>
          <w:sz w:val="20"/>
          <w:szCs w:val="20"/>
        </w:rPr>
      </w:pPr>
      <w:r w:rsidRPr="00C026FD">
        <w:rPr>
          <w:rFonts w:cs="Arial"/>
          <w:smallCaps/>
          <w:sz w:val="20"/>
          <w:szCs w:val="20"/>
        </w:rPr>
        <w:t xml:space="preserve">Ohio Partners for Affordable Energy </w:t>
      </w:r>
    </w:p>
    <w:p w14:paraId="0CA39A0B" w14:textId="77777777" w:rsidR="007F787E" w:rsidRPr="00C026FD" w:rsidRDefault="007F787E" w:rsidP="00C026FD">
      <w:pPr>
        <w:jc w:val="both"/>
        <w:rPr>
          <w:rFonts w:cs="Arial"/>
          <w:sz w:val="20"/>
          <w:szCs w:val="20"/>
        </w:rPr>
      </w:pPr>
      <w:r w:rsidRPr="00C026FD">
        <w:rPr>
          <w:rFonts w:cs="Arial"/>
          <w:sz w:val="20"/>
          <w:szCs w:val="20"/>
        </w:rPr>
        <w:t>P.O. Box 12451</w:t>
      </w:r>
    </w:p>
    <w:p w14:paraId="7B5946E6" w14:textId="77777777" w:rsidR="007F787E" w:rsidRPr="00C026FD" w:rsidRDefault="007F787E" w:rsidP="00C026FD">
      <w:pPr>
        <w:jc w:val="both"/>
        <w:rPr>
          <w:rFonts w:cs="Arial"/>
          <w:sz w:val="20"/>
          <w:szCs w:val="20"/>
        </w:rPr>
      </w:pPr>
      <w:r w:rsidRPr="00C026FD">
        <w:rPr>
          <w:rFonts w:cs="Arial"/>
          <w:sz w:val="20"/>
          <w:szCs w:val="20"/>
        </w:rPr>
        <w:t>Columbus, OH 43212</w:t>
      </w:r>
    </w:p>
    <w:p w14:paraId="2B01DA85" w14:textId="77777777" w:rsidR="007F787E" w:rsidRPr="00C026FD" w:rsidRDefault="007F787E" w:rsidP="00C026FD">
      <w:pPr>
        <w:jc w:val="both"/>
        <w:rPr>
          <w:rFonts w:cs="Arial"/>
          <w:sz w:val="20"/>
          <w:szCs w:val="20"/>
        </w:rPr>
      </w:pPr>
      <w:r w:rsidRPr="00C026FD">
        <w:rPr>
          <w:rFonts w:cs="Arial"/>
          <w:sz w:val="20"/>
          <w:szCs w:val="20"/>
        </w:rPr>
        <w:t>cmooney@ohiopartners.org</w:t>
      </w:r>
    </w:p>
    <w:p w14:paraId="0128E8A0" w14:textId="77777777" w:rsidR="007F787E" w:rsidRPr="00C026FD" w:rsidRDefault="007F787E" w:rsidP="00C026FD">
      <w:pPr>
        <w:jc w:val="both"/>
        <w:rPr>
          <w:rFonts w:cs="Arial"/>
          <w:sz w:val="20"/>
          <w:szCs w:val="20"/>
        </w:rPr>
      </w:pPr>
    </w:p>
    <w:p w14:paraId="19710078" w14:textId="77777777" w:rsidR="007F787E" w:rsidRPr="00C026FD" w:rsidRDefault="007F787E" w:rsidP="00C026FD">
      <w:pPr>
        <w:rPr>
          <w:rFonts w:cs="Arial"/>
          <w:b/>
          <w:smallCaps/>
          <w:sz w:val="20"/>
          <w:szCs w:val="20"/>
        </w:rPr>
      </w:pPr>
      <w:r w:rsidRPr="00C026FD">
        <w:rPr>
          <w:rFonts w:cs="Arial"/>
          <w:b/>
          <w:smallCaps/>
          <w:sz w:val="20"/>
          <w:szCs w:val="20"/>
        </w:rPr>
        <w:t>Counsel for Ohio Partners for Affordable Energy</w:t>
      </w:r>
    </w:p>
    <w:p w14:paraId="20CAE343" w14:textId="1D6B7E8C" w:rsidR="00796FDE" w:rsidRPr="00C026FD" w:rsidRDefault="00AF0BEA" w:rsidP="00C026FD">
      <w:pPr>
        <w:jc w:val="both"/>
        <w:rPr>
          <w:rFonts w:cs="Arial"/>
          <w:sz w:val="20"/>
          <w:szCs w:val="20"/>
        </w:rPr>
      </w:pPr>
      <w:r w:rsidRPr="00C026FD">
        <w:rPr>
          <w:rFonts w:cs="Arial"/>
          <w:sz w:val="20"/>
          <w:szCs w:val="20"/>
        </w:rPr>
        <w:br w:type="column"/>
      </w:r>
      <w:r w:rsidRPr="00C026FD">
        <w:rPr>
          <w:rFonts w:cs="Arial"/>
          <w:sz w:val="20"/>
          <w:szCs w:val="20"/>
        </w:rPr>
        <w:t>BRUCE WESTON (0016973)</w:t>
      </w:r>
    </w:p>
    <w:p w14:paraId="71D9CEEF" w14:textId="35FAA130" w:rsidR="00AF0BEA" w:rsidRPr="00C026FD" w:rsidRDefault="00AF0BEA" w:rsidP="00953568">
      <w:pPr>
        <w:spacing w:after="120"/>
        <w:jc w:val="both"/>
        <w:rPr>
          <w:rFonts w:cs="Arial"/>
          <w:sz w:val="20"/>
          <w:szCs w:val="20"/>
        </w:rPr>
      </w:pPr>
      <w:r w:rsidRPr="00C026FD">
        <w:rPr>
          <w:rFonts w:cs="Arial"/>
          <w:sz w:val="20"/>
          <w:szCs w:val="20"/>
        </w:rPr>
        <w:t>OHIO CONSUMERS’ COUNSEL</w:t>
      </w:r>
    </w:p>
    <w:p w14:paraId="5282C804" w14:textId="10B96FCB" w:rsidR="00AF0BEA" w:rsidRPr="00C026FD" w:rsidRDefault="00AF0BEA" w:rsidP="00C026FD">
      <w:pPr>
        <w:jc w:val="both"/>
        <w:rPr>
          <w:rFonts w:cs="Arial"/>
          <w:b/>
          <w:sz w:val="20"/>
          <w:szCs w:val="20"/>
        </w:rPr>
      </w:pPr>
      <w:r w:rsidRPr="00C026FD">
        <w:rPr>
          <w:rFonts w:cs="Arial"/>
          <w:b/>
          <w:sz w:val="20"/>
          <w:szCs w:val="20"/>
        </w:rPr>
        <w:t xml:space="preserve">Terry L. </w:t>
      </w:r>
      <w:proofErr w:type="spellStart"/>
      <w:r w:rsidRPr="00C026FD">
        <w:rPr>
          <w:rFonts w:cs="Arial"/>
          <w:b/>
          <w:sz w:val="20"/>
          <w:szCs w:val="20"/>
        </w:rPr>
        <w:t>Etter</w:t>
      </w:r>
      <w:proofErr w:type="spellEnd"/>
      <w:r w:rsidRPr="00C026FD">
        <w:rPr>
          <w:rFonts w:cs="Arial"/>
          <w:b/>
          <w:sz w:val="20"/>
          <w:szCs w:val="20"/>
        </w:rPr>
        <w:t xml:space="preserve"> </w:t>
      </w:r>
      <w:r w:rsidRPr="00C026FD">
        <w:rPr>
          <w:rFonts w:cs="Arial"/>
          <w:sz w:val="20"/>
          <w:szCs w:val="20"/>
        </w:rPr>
        <w:t>(0067445)</w:t>
      </w:r>
    </w:p>
    <w:p w14:paraId="350273F2" w14:textId="1D1A09A3" w:rsidR="00AF0BEA" w:rsidRPr="00C026FD" w:rsidRDefault="00AF0BEA" w:rsidP="00C026FD">
      <w:pPr>
        <w:jc w:val="both"/>
        <w:rPr>
          <w:rFonts w:cs="Arial"/>
          <w:sz w:val="20"/>
          <w:szCs w:val="20"/>
        </w:rPr>
      </w:pPr>
      <w:r w:rsidRPr="00C026FD">
        <w:rPr>
          <w:rFonts w:cs="Arial"/>
          <w:sz w:val="20"/>
          <w:szCs w:val="20"/>
        </w:rPr>
        <w:t xml:space="preserve">   (Counsel of Record)</w:t>
      </w:r>
    </w:p>
    <w:p w14:paraId="697A06F6" w14:textId="204B4D6B" w:rsidR="00AF0BEA" w:rsidRDefault="00AF0BEA" w:rsidP="00C026FD">
      <w:pPr>
        <w:jc w:val="both"/>
        <w:rPr>
          <w:rFonts w:cs="Arial"/>
          <w:sz w:val="20"/>
          <w:szCs w:val="20"/>
        </w:rPr>
      </w:pPr>
      <w:r w:rsidRPr="00C026FD">
        <w:rPr>
          <w:rFonts w:cs="Arial"/>
          <w:b/>
          <w:sz w:val="20"/>
          <w:szCs w:val="20"/>
        </w:rPr>
        <w:t xml:space="preserve">Amy </w:t>
      </w:r>
      <w:proofErr w:type="spellStart"/>
      <w:r w:rsidRPr="00C026FD">
        <w:rPr>
          <w:rFonts w:cs="Arial"/>
          <w:b/>
          <w:sz w:val="20"/>
          <w:szCs w:val="20"/>
        </w:rPr>
        <w:t>Botschner</w:t>
      </w:r>
      <w:proofErr w:type="spellEnd"/>
      <w:r w:rsidRPr="00C026FD">
        <w:rPr>
          <w:rFonts w:cs="Arial"/>
          <w:b/>
          <w:sz w:val="20"/>
          <w:szCs w:val="20"/>
        </w:rPr>
        <w:t xml:space="preserve"> O’Brien</w:t>
      </w:r>
      <w:r w:rsidRPr="00C026FD">
        <w:rPr>
          <w:rFonts w:cs="Arial"/>
          <w:sz w:val="20"/>
          <w:szCs w:val="20"/>
        </w:rPr>
        <w:t xml:space="preserve"> (0074423)</w:t>
      </w:r>
    </w:p>
    <w:p w14:paraId="03E5BA4C" w14:textId="7D55ADCA" w:rsidR="00953568" w:rsidRPr="00C026FD" w:rsidRDefault="00953568" w:rsidP="00C026FD">
      <w:pPr>
        <w:jc w:val="both"/>
        <w:rPr>
          <w:rFonts w:cs="Arial"/>
          <w:sz w:val="20"/>
          <w:szCs w:val="20"/>
        </w:rPr>
      </w:pPr>
      <w:r>
        <w:rPr>
          <w:rFonts w:cs="Arial"/>
          <w:sz w:val="20"/>
          <w:szCs w:val="20"/>
        </w:rPr>
        <w:t>Assistant Consumers’ Counsel</w:t>
      </w:r>
    </w:p>
    <w:p w14:paraId="4CFD76A1" w14:textId="4DAE34A5" w:rsidR="00AF0BEA" w:rsidRPr="00C026FD" w:rsidRDefault="00AF0BEA" w:rsidP="00C026FD">
      <w:pPr>
        <w:jc w:val="both"/>
        <w:rPr>
          <w:rFonts w:cs="Arial"/>
          <w:smallCaps/>
          <w:sz w:val="20"/>
          <w:szCs w:val="20"/>
        </w:rPr>
      </w:pPr>
      <w:r w:rsidRPr="00C026FD">
        <w:rPr>
          <w:rFonts w:cs="Arial"/>
          <w:smallCaps/>
          <w:sz w:val="20"/>
          <w:szCs w:val="20"/>
        </w:rPr>
        <w:t>Office of the Ohio Consumers’ Counsel</w:t>
      </w:r>
    </w:p>
    <w:p w14:paraId="2F2673BC" w14:textId="69C09CC6" w:rsidR="00AF0BEA" w:rsidRPr="00C026FD" w:rsidRDefault="00AF0BEA" w:rsidP="00C026FD">
      <w:pPr>
        <w:jc w:val="both"/>
        <w:rPr>
          <w:rFonts w:cs="Arial"/>
          <w:sz w:val="20"/>
          <w:szCs w:val="20"/>
        </w:rPr>
      </w:pPr>
      <w:r w:rsidRPr="00C026FD">
        <w:rPr>
          <w:rFonts w:cs="Arial"/>
          <w:sz w:val="20"/>
          <w:szCs w:val="20"/>
        </w:rPr>
        <w:t>65 East State Street, 7</w:t>
      </w:r>
      <w:r w:rsidRPr="00C026FD">
        <w:rPr>
          <w:rFonts w:cs="Arial"/>
          <w:sz w:val="20"/>
          <w:szCs w:val="20"/>
          <w:vertAlign w:val="superscript"/>
        </w:rPr>
        <w:t>th</w:t>
      </w:r>
      <w:r w:rsidRPr="00C026FD">
        <w:rPr>
          <w:rFonts w:cs="Arial"/>
          <w:sz w:val="20"/>
          <w:szCs w:val="20"/>
        </w:rPr>
        <w:t xml:space="preserve"> Floor</w:t>
      </w:r>
    </w:p>
    <w:p w14:paraId="1D4B3C69" w14:textId="3F1EF43B" w:rsidR="00AF0BEA" w:rsidRPr="00C026FD" w:rsidRDefault="00AF0BEA" w:rsidP="00C026FD">
      <w:pPr>
        <w:jc w:val="both"/>
        <w:rPr>
          <w:rFonts w:cs="Arial"/>
          <w:sz w:val="20"/>
          <w:szCs w:val="20"/>
        </w:rPr>
      </w:pPr>
      <w:r w:rsidRPr="00C026FD">
        <w:rPr>
          <w:rFonts w:cs="Arial"/>
          <w:sz w:val="20"/>
          <w:szCs w:val="20"/>
        </w:rPr>
        <w:t>Columbus, OH 43215-4213</w:t>
      </w:r>
    </w:p>
    <w:p w14:paraId="218C48FD" w14:textId="55EDD6BE" w:rsidR="00AF0BEA" w:rsidRPr="00C026FD" w:rsidRDefault="00AF0BEA" w:rsidP="00C026FD">
      <w:pPr>
        <w:jc w:val="both"/>
        <w:rPr>
          <w:rFonts w:cs="Arial"/>
          <w:sz w:val="20"/>
          <w:szCs w:val="20"/>
        </w:rPr>
      </w:pPr>
      <w:r w:rsidRPr="00C026FD">
        <w:rPr>
          <w:rFonts w:cs="Arial"/>
          <w:sz w:val="20"/>
          <w:szCs w:val="20"/>
        </w:rPr>
        <w:t>terry.etter@occ.ohio.gov</w:t>
      </w:r>
    </w:p>
    <w:p w14:paraId="73DCEE7A" w14:textId="56D52067" w:rsidR="00AF0BEA" w:rsidRPr="00C026FD" w:rsidRDefault="00AF0BEA" w:rsidP="00C026FD">
      <w:pPr>
        <w:jc w:val="both"/>
        <w:rPr>
          <w:rFonts w:cs="Arial"/>
          <w:sz w:val="20"/>
          <w:szCs w:val="20"/>
        </w:rPr>
      </w:pPr>
      <w:r w:rsidRPr="00C026FD">
        <w:rPr>
          <w:rFonts w:cs="Arial"/>
          <w:sz w:val="20"/>
          <w:szCs w:val="20"/>
        </w:rPr>
        <w:t>amy.botschner.obrien@occ.ohio.gov</w:t>
      </w:r>
    </w:p>
    <w:p w14:paraId="46470B0A" w14:textId="4948E0B7" w:rsidR="00AF0BEA" w:rsidRPr="00C026FD" w:rsidRDefault="00AF0BEA" w:rsidP="00C026FD">
      <w:pPr>
        <w:jc w:val="both"/>
        <w:rPr>
          <w:rFonts w:cs="Arial"/>
          <w:sz w:val="20"/>
          <w:szCs w:val="20"/>
        </w:rPr>
      </w:pPr>
    </w:p>
    <w:p w14:paraId="0BE1A965" w14:textId="5A0FBD6F" w:rsidR="00AF0BEA" w:rsidRPr="00C026FD" w:rsidRDefault="00AF0BEA" w:rsidP="00C026FD">
      <w:pPr>
        <w:rPr>
          <w:rFonts w:cs="Arial"/>
          <w:b/>
          <w:smallCaps/>
          <w:sz w:val="20"/>
          <w:szCs w:val="20"/>
        </w:rPr>
      </w:pPr>
      <w:r w:rsidRPr="00C026FD">
        <w:rPr>
          <w:rFonts w:cs="Arial"/>
          <w:b/>
          <w:smallCaps/>
          <w:sz w:val="20"/>
          <w:szCs w:val="20"/>
        </w:rPr>
        <w:t xml:space="preserve">Counsel for the Office of the Ohio Consumers’ Counsel </w:t>
      </w:r>
    </w:p>
    <w:p w14:paraId="3A657052" w14:textId="77777777" w:rsidR="00796FDE" w:rsidRPr="00C026FD" w:rsidRDefault="00796FDE" w:rsidP="00C026FD">
      <w:pPr>
        <w:jc w:val="both"/>
        <w:rPr>
          <w:rFonts w:cs="Arial"/>
          <w:sz w:val="20"/>
          <w:szCs w:val="20"/>
        </w:rPr>
      </w:pPr>
    </w:p>
    <w:p w14:paraId="54C92B93" w14:textId="77777777" w:rsidR="00AF0BEA" w:rsidRPr="00C026FD" w:rsidRDefault="00AF0BEA" w:rsidP="00C026FD">
      <w:pPr>
        <w:jc w:val="both"/>
        <w:rPr>
          <w:rFonts w:eastAsia="Calibri" w:cs="Arial"/>
          <w:b/>
          <w:sz w:val="20"/>
          <w:szCs w:val="20"/>
        </w:rPr>
      </w:pPr>
      <w:r w:rsidRPr="00C026FD">
        <w:rPr>
          <w:rFonts w:eastAsia="Calibri" w:cs="Arial"/>
          <w:b/>
          <w:sz w:val="20"/>
          <w:szCs w:val="20"/>
        </w:rPr>
        <w:t>William L. Wright</w:t>
      </w:r>
    </w:p>
    <w:p w14:paraId="449992C0" w14:textId="77777777" w:rsidR="00AF0BEA" w:rsidRPr="00C026FD" w:rsidRDefault="00AF0BEA" w:rsidP="00C026FD">
      <w:pPr>
        <w:jc w:val="both"/>
        <w:rPr>
          <w:rFonts w:eastAsia="Calibri" w:cs="Arial"/>
          <w:sz w:val="20"/>
          <w:szCs w:val="20"/>
        </w:rPr>
      </w:pPr>
      <w:r w:rsidRPr="00C026FD">
        <w:rPr>
          <w:rFonts w:eastAsia="Calibri" w:cs="Arial"/>
          <w:sz w:val="20"/>
          <w:szCs w:val="20"/>
        </w:rPr>
        <w:t>Chief, Public Utilities Section</w:t>
      </w:r>
    </w:p>
    <w:p w14:paraId="529F9C40" w14:textId="25723DA3" w:rsidR="00AF0BEA" w:rsidRPr="00720154" w:rsidRDefault="00AF0BEA" w:rsidP="00C026FD">
      <w:pPr>
        <w:autoSpaceDE w:val="0"/>
        <w:autoSpaceDN w:val="0"/>
        <w:adjustRightInd w:val="0"/>
        <w:snapToGrid w:val="0"/>
        <w:jc w:val="both"/>
        <w:rPr>
          <w:rFonts w:eastAsia="Calibri" w:cs="Arial"/>
          <w:smallCaps/>
          <w:sz w:val="20"/>
          <w:szCs w:val="20"/>
        </w:rPr>
      </w:pPr>
      <w:r w:rsidRPr="00720154">
        <w:rPr>
          <w:rFonts w:eastAsia="Calibri" w:cs="Arial"/>
          <w:smallCaps/>
          <w:sz w:val="20"/>
          <w:szCs w:val="20"/>
        </w:rPr>
        <w:t xml:space="preserve">Office of </w:t>
      </w:r>
      <w:r w:rsidR="00720154" w:rsidRPr="00720154">
        <w:rPr>
          <w:rFonts w:eastAsia="Calibri" w:cs="Arial"/>
          <w:smallCaps/>
          <w:sz w:val="20"/>
          <w:szCs w:val="20"/>
        </w:rPr>
        <w:t xml:space="preserve">the </w:t>
      </w:r>
      <w:r w:rsidRPr="00720154">
        <w:rPr>
          <w:rFonts w:eastAsia="Calibri" w:cs="Arial"/>
          <w:smallCaps/>
          <w:sz w:val="20"/>
          <w:szCs w:val="20"/>
        </w:rPr>
        <w:t>Attorney General</w:t>
      </w:r>
    </w:p>
    <w:p w14:paraId="503A2E8C" w14:textId="77777777" w:rsidR="00AF0BEA" w:rsidRPr="00C026FD" w:rsidRDefault="00AF0BEA" w:rsidP="00C026FD">
      <w:pPr>
        <w:autoSpaceDE w:val="0"/>
        <w:autoSpaceDN w:val="0"/>
        <w:adjustRightInd w:val="0"/>
        <w:snapToGrid w:val="0"/>
        <w:jc w:val="both"/>
        <w:rPr>
          <w:rFonts w:eastAsia="Calibri" w:cs="Arial"/>
          <w:sz w:val="20"/>
          <w:szCs w:val="20"/>
        </w:rPr>
      </w:pPr>
      <w:r w:rsidRPr="00C026FD">
        <w:rPr>
          <w:rFonts w:eastAsia="Calibri" w:cs="Arial"/>
          <w:sz w:val="20"/>
          <w:szCs w:val="20"/>
        </w:rPr>
        <w:t>30 East Broad Street, 16th Floor</w:t>
      </w:r>
    </w:p>
    <w:p w14:paraId="63188EE4" w14:textId="77777777" w:rsidR="00AF0BEA" w:rsidRPr="00C026FD" w:rsidRDefault="00AF0BEA" w:rsidP="00C026FD">
      <w:pPr>
        <w:autoSpaceDE w:val="0"/>
        <w:autoSpaceDN w:val="0"/>
        <w:adjustRightInd w:val="0"/>
        <w:snapToGrid w:val="0"/>
        <w:jc w:val="both"/>
        <w:rPr>
          <w:rFonts w:eastAsia="Calibri" w:cs="Arial"/>
          <w:sz w:val="20"/>
          <w:szCs w:val="20"/>
        </w:rPr>
      </w:pPr>
      <w:r w:rsidRPr="00C026FD">
        <w:rPr>
          <w:rFonts w:eastAsia="Calibri" w:cs="Arial"/>
          <w:sz w:val="20"/>
          <w:szCs w:val="20"/>
        </w:rPr>
        <w:t>Columbus, OH 43215</w:t>
      </w:r>
    </w:p>
    <w:p w14:paraId="402EBF75" w14:textId="77777777" w:rsidR="00AF0BEA" w:rsidRPr="00C026FD" w:rsidRDefault="00AF0BEA" w:rsidP="00C026FD">
      <w:pPr>
        <w:jc w:val="both"/>
        <w:rPr>
          <w:rFonts w:eastAsia="Calibri" w:cs="Arial"/>
          <w:sz w:val="20"/>
          <w:szCs w:val="20"/>
        </w:rPr>
      </w:pPr>
      <w:r w:rsidRPr="00C026FD">
        <w:rPr>
          <w:rFonts w:eastAsia="Calibri" w:cs="Arial"/>
          <w:sz w:val="20"/>
          <w:szCs w:val="20"/>
        </w:rPr>
        <w:t>william.wright@ohioattorneygeneral.gov</w:t>
      </w:r>
    </w:p>
    <w:p w14:paraId="5C73C44B" w14:textId="77777777" w:rsidR="00AF0BEA" w:rsidRPr="00C026FD" w:rsidRDefault="00AF0BEA" w:rsidP="00C026FD">
      <w:pPr>
        <w:jc w:val="both"/>
        <w:rPr>
          <w:rFonts w:eastAsia="Calibri" w:cs="Arial"/>
          <w:sz w:val="20"/>
          <w:szCs w:val="20"/>
        </w:rPr>
      </w:pPr>
    </w:p>
    <w:p w14:paraId="603E5473" w14:textId="77777777" w:rsidR="00AF0BEA" w:rsidRPr="00C026FD" w:rsidRDefault="00AF0BEA" w:rsidP="00C026FD">
      <w:pPr>
        <w:jc w:val="both"/>
        <w:rPr>
          <w:rFonts w:eastAsia="Calibri" w:cs="Arial"/>
          <w:b/>
          <w:smallCaps/>
          <w:sz w:val="20"/>
          <w:szCs w:val="20"/>
        </w:rPr>
      </w:pPr>
      <w:r w:rsidRPr="00C026FD">
        <w:rPr>
          <w:rFonts w:eastAsia="Calibri" w:cs="Arial"/>
          <w:b/>
          <w:smallCaps/>
          <w:sz w:val="20"/>
          <w:szCs w:val="20"/>
        </w:rPr>
        <w:t>Counsel for the Staff of the Public</w:t>
      </w:r>
    </w:p>
    <w:p w14:paraId="523AAC7F" w14:textId="77777777" w:rsidR="00AF0BEA" w:rsidRPr="00C026FD" w:rsidRDefault="00AF0BEA" w:rsidP="00C026FD">
      <w:pPr>
        <w:jc w:val="both"/>
        <w:rPr>
          <w:rFonts w:eastAsia="Calibri" w:cs="Arial"/>
          <w:b/>
          <w:smallCaps/>
          <w:sz w:val="20"/>
          <w:szCs w:val="20"/>
        </w:rPr>
      </w:pPr>
      <w:r w:rsidRPr="00C026FD">
        <w:rPr>
          <w:rFonts w:eastAsia="Calibri" w:cs="Arial"/>
          <w:b/>
          <w:smallCaps/>
          <w:sz w:val="20"/>
          <w:szCs w:val="20"/>
        </w:rPr>
        <w:t>Utilities Commission of Ohio</w:t>
      </w:r>
    </w:p>
    <w:p w14:paraId="60BDEA05" w14:textId="2AD96B54" w:rsidR="00233A63" w:rsidRPr="00C026FD" w:rsidRDefault="00233A63" w:rsidP="00C026FD">
      <w:pPr>
        <w:jc w:val="both"/>
        <w:rPr>
          <w:rFonts w:cs="Arial"/>
          <w:b/>
          <w:sz w:val="20"/>
          <w:szCs w:val="20"/>
        </w:rPr>
      </w:pPr>
    </w:p>
    <w:p w14:paraId="573A24E5" w14:textId="2BB370E1" w:rsidR="007F787E" w:rsidRPr="00C026FD" w:rsidRDefault="007F787E" w:rsidP="00C026FD">
      <w:pPr>
        <w:rPr>
          <w:rFonts w:cs="Arial"/>
          <w:b/>
          <w:color w:val="000000" w:themeColor="text1"/>
          <w:sz w:val="20"/>
          <w:szCs w:val="20"/>
        </w:rPr>
      </w:pPr>
      <w:r w:rsidRPr="00C026FD">
        <w:rPr>
          <w:rFonts w:cs="Arial"/>
          <w:b/>
          <w:color w:val="000000" w:themeColor="text1"/>
          <w:sz w:val="20"/>
          <w:szCs w:val="20"/>
        </w:rPr>
        <w:t>Sarah Parrot</w:t>
      </w:r>
    </w:p>
    <w:p w14:paraId="6CA64B9E" w14:textId="35571F6C" w:rsidR="007F787E" w:rsidRPr="00C026FD" w:rsidRDefault="007F787E" w:rsidP="00C026FD">
      <w:pPr>
        <w:rPr>
          <w:rFonts w:cs="Arial"/>
          <w:b/>
          <w:color w:val="000000" w:themeColor="text1"/>
          <w:sz w:val="20"/>
          <w:szCs w:val="20"/>
        </w:rPr>
      </w:pPr>
      <w:r w:rsidRPr="00C026FD">
        <w:rPr>
          <w:rFonts w:cs="Arial"/>
          <w:b/>
          <w:color w:val="000000" w:themeColor="text1"/>
          <w:sz w:val="20"/>
          <w:szCs w:val="20"/>
        </w:rPr>
        <w:t xml:space="preserve">Patricia </w:t>
      </w:r>
      <w:proofErr w:type="spellStart"/>
      <w:r w:rsidRPr="00C026FD">
        <w:rPr>
          <w:rFonts w:cs="Arial"/>
          <w:b/>
          <w:color w:val="000000" w:themeColor="text1"/>
          <w:sz w:val="20"/>
          <w:szCs w:val="20"/>
        </w:rPr>
        <w:t>Schabo</w:t>
      </w:r>
      <w:proofErr w:type="spellEnd"/>
    </w:p>
    <w:p w14:paraId="42AFD1DA" w14:textId="77777777" w:rsidR="007F787E" w:rsidRPr="00C026FD" w:rsidRDefault="007F787E" w:rsidP="00C026FD">
      <w:pPr>
        <w:rPr>
          <w:rFonts w:cs="Arial"/>
          <w:color w:val="000000" w:themeColor="text1"/>
          <w:sz w:val="20"/>
          <w:szCs w:val="20"/>
        </w:rPr>
      </w:pPr>
      <w:r w:rsidRPr="00C026FD">
        <w:rPr>
          <w:rFonts w:cs="Arial"/>
          <w:color w:val="000000" w:themeColor="text1"/>
          <w:sz w:val="20"/>
          <w:szCs w:val="20"/>
        </w:rPr>
        <w:t>Attorney Examiners</w:t>
      </w:r>
    </w:p>
    <w:p w14:paraId="6E126FEF" w14:textId="77777777" w:rsidR="007F787E" w:rsidRPr="00720154" w:rsidRDefault="007F787E" w:rsidP="00C026FD">
      <w:pPr>
        <w:rPr>
          <w:rFonts w:cs="Arial"/>
          <w:smallCaps/>
          <w:color w:val="000000" w:themeColor="text1"/>
          <w:sz w:val="20"/>
          <w:szCs w:val="20"/>
        </w:rPr>
      </w:pPr>
      <w:r w:rsidRPr="00720154">
        <w:rPr>
          <w:rFonts w:cs="Arial"/>
          <w:smallCaps/>
          <w:color w:val="000000" w:themeColor="text1"/>
          <w:sz w:val="20"/>
          <w:szCs w:val="20"/>
        </w:rPr>
        <w:t>Public Utilities Commission of Ohio</w:t>
      </w:r>
    </w:p>
    <w:p w14:paraId="545D1890" w14:textId="77777777" w:rsidR="007F787E" w:rsidRPr="00C026FD" w:rsidRDefault="007F787E" w:rsidP="00C026FD">
      <w:pPr>
        <w:rPr>
          <w:rFonts w:cs="Arial"/>
          <w:color w:val="000000" w:themeColor="text1"/>
          <w:sz w:val="20"/>
          <w:szCs w:val="20"/>
        </w:rPr>
      </w:pPr>
      <w:r w:rsidRPr="00C026FD">
        <w:rPr>
          <w:rFonts w:cs="Arial"/>
          <w:color w:val="000000" w:themeColor="text1"/>
          <w:sz w:val="20"/>
          <w:szCs w:val="20"/>
        </w:rPr>
        <w:t>180 E. Broad Street</w:t>
      </w:r>
    </w:p>
    <w:p w14:paraId="12842628" w14:textId="77777777" w:rsidR="007F787E" w:rsidRPr="00C026FD" w:rsidRDefault="007F787E" w:rsidP="00C026FD">
      <w:pPr>
        <w:rPr>
          <w:rFonts w:cs="Arial"/>
          <w:color w:val="000000" w:themeColor="text1"/>
          <w:sz w:val="20"/>
          <w:szCs w:val="20"/>
        </w:rPr>
      </w:pPr>
      <w:r w:rsidRPr="00C026FD">
        <w:rPr>
          <w:rFonts w:cs="Arial"/>
          <w:color w:val="000000" w:themeColor="text1"/>
          <w:sz w:val="20"/>
          <w:szCs w:val="20"/>
        </w:rPr>
        <w:t>Columbus, OH  43215</w:t>
      </w:r>
    </w:p>
    <w:p w14:paraId="72B877D6" w14:textId="01A2240B" w:rsidR="007F787E" w:rsidRPr="00C026FD" w:rsidRDefault="007F787E" w:rsidP="00C026FD">
      <w:pPr>
        <w:rPr>
          <w:rFonts w:cs="Arial"/>
          <w:color w:val="000000" w:themeColor="text1"/>
          <w:sz w:val="20"/>
          <w:szCs w:val="20"/>
        </w:rPr>
      </w:pPr>
      <w:r w:rsidRPr="00C026FD">
        <w:rPr>
          <w:rFonts w:cs="Arial"/>
          <w:color w:val="000000" w:themeColor="text1"/>
          <w:sz w:val="20"/>
          <w:szCs w:val="20"/>
        </w:rPr>
        <w:t>Sarah.parrot@puc.state.oh.us</w:t>
      </w:r>
    </w:p>
    <w:p w14:paraId="29DA4C7F" w14:textId="4DFCF53D" w:rsidR="007F787E" w:rsidRPr="00C026FD" w:rsidRDefault="007F787E" w:rsidP="00C026FD">
      <w:pPr>
        <w:rPr>
          <w:rFonts w:cs="Arial"/>
          <w:color w:val="000000" w:themeColor="text1"/>
          <w:sz w:val="20"/>
          <w:szCs w:val="20"/>
        </w:rPr>
      </w:pPr>
      <w:r w:rsidRPr="00C026FD">
        <w:rPr>
          <w:rFonts w:cs="Arial"/>
          <w:sz w:val="20"/>
          <w:szCs w:val="20"/>
        </w:rPr>
        <w:t>Patricia</w:t>
      </w:r>
      <w:bookmarkStart w:id="0" w:name="_GoBack"/>
      <w:bookmarkEnd w:id="0"/>
      <w:r w:rsidRPr="00C026FD">
        <w:rPr>
          <w:rFonts w:cs="Arial"/>
          <w:sz w:val="20"/>
          <w:szCs w:val="20"/>
        </w:rPr>
        <w:t>.Schabo@puc.state.oh.us</w:t>
      </w:r>
    </w:p>
    <w:p w14:paraId="36B57270" w14:textId="77777777" w:rsidR="007F787E" w:rsidRPr="00C026FD" w:rsidRDefault="007F787E" w:rsidP="00C026FD">
      <w:pPr>
        <w:rPr>
          <w:rFonts w:cs="Arial"/>
          <w:color w:val="000000" w:themeColor="text1"/>
          <w:sz w:val="20"/>
          <w:szCs w:val="20"/>
        </w:rPr>
      </w:pPr>
    </w:p>
    <w:p w14:paraId="71F74636" w14:textId="0532C145" w:rsidR="009A0777" w:rsidRPr="00C026FD" w:rsidRDefault="007F787E" w:rsidP="00C026FD">
      <w:pPr>
        <w:rPr>
          <w:rFonts w:cs="Arial"/>
          <w:b/>
          <w:sz w:val="20"/>
          <w:szCs w:val="20"/>
        </w:rPr>
      </w:pPr>
      <w:r w:rsidRPr="00C026FD">
        <w:rPr>
          <w:rFonts w:cs="Arial"/>
          <w:b/>
          <w:smallCaps/>
          <w:color w:val="000000" w:themeColor="text1"/>
          <w:sz w:val="20"/>
          <w:szCs w:val="20"/>
        </w:rPr>
        <w:t>Attorney Examiners</w:t>
      </w:r>
    </w:p>
    <w:sectPr w:rsidR="009A0777" w:rsidRPr="00C026FD" w:rsidSect="00AF0BEA">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1E58" w14:textId="77777777" w:rsidR="00D43D3D" w:rsidRDefault="00D43D3D" w:rsidP="00482BB8">
      <w:r>
        <w:separator/>
      </w:r>
    </w:p>
  </w:endnote>
  <w:endnote w:type="continuationSeparator" w:id="0">
    <w:p w14:paraId="55F9FBA9" w14:textId="77777777" w:rsidR="00D43D3D" w:rsidRDefault="00D43D3D" w:rsidP="004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5F9A" w14:textId="77777777" w:rsidR="00B52195" w:rsidRDefault="00B5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4548" w14:textId="56A3257A" w:rsidR="00D43D3D" w:rsidRPr="00233A63" w:rsidRDefault="003E3781" w:rsidP="00233A63">
    <w:pPr>
      <w:pStyle w:val="Footer"/>
    </w:pPr>
    <w:r w:rsidRPr="003E3781">
      <w:rPr>
        <w:noProof/>
        <w:vanish/>
        <w:sz w:val="16"/>
      </w:rPr>
      <w:t>{</w:t>
    </w:r>
    <w:r w:rsidRPr="003E3781">
      <w:rPr>
        <w:noProof/>
        <w:sz w:val="16"/>
      </w:rPr>
      <w:t>C0112927:1</w:t>
    </w:r>
    <w:r w:rsidRPr="003E3781">
      <w:rPr>
        <w:noProof/>
        <w:vanish/>
        <w:sz w:val="16"/>
      </w:rPr>
      <w:t>}</w:t>
    </w:r>
    <w:r w:rsidR="00D43D3D">
      <w:tab/>
    </w:r>
    <w:sdt>
      <w:sdtPr>
        <w:id w:val="-1005971394"/>
        <w:docPartObj>
          <w:docPartGallery w:val="Page Numbers (Bottom of Page)"/>
          <w:docPartUnique/>
        </w:docPartObj>
      </w:sdtPr>
      <w:sdtEndPr>
        <w:rPr>
          <w:noProof/>
        </w:rPr>
      </w:sdtEndPr>
      <w:sdtContent>
        <w:r w:rsidR="00D43D3D" w:rsidRPr="00233A63">
          <w:fldChar w:fldCharType="begin"/>
        </w:r>
        <w:r w:rsidR="00D43D3D" w:rsidRPr="00233A63">
          <w:instrText xml:space="preserve"> PAGE   \* MERGEFORMAT </w:instrText>
        </w:r>
        <w:r w:rsidR="00D43D3D" w:rsidRPr="00233A63">
          <w:fldChar w:fldCharType="separate"/>
        </w:r>
        <w:r w:rsidR="00D43D3D" w:rsidRPr="00233A63">
          <w:rPr>
            <w:noProof/>
          </w:rPr>
          <w:t>2</w:t>
        </w:r>
        <w:r w:rsidR="00D43D3D" w:rsidRPr="00233A6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57BB" w14:textId="1394DF6C" w:rsidR="00D43D3D" w:rsidRPr="00482BB8" w:rsidRDefault="003E3781" w:rsidP="00482BB8">
    <w:pPr>
      <w:pStyle w:val="Footer"/>
    </w:pPr>
    <w:r w:rsidRPr="003E3781">
      <w:rPr>
        <w:noProof/>
        <w:vanish/>
        <w:sz w:val="16"/>
      </w:rPr>
      <w:t>{</w:t>
    </w:r>
    <w:r w:rsidRPr="003E3781">
      <w:rPr>
        <w:noProof/>
        <w:sz w:val="16"/>
      </w:rPr>
      <w:t>C0112927:1</w:t>
    </w:r>
    <w:r w:rsidRPr="003E3781">
      <w:rPr>
        <w:noProof/>
        <w:vanish/>
        <w:sz w:val="16"/>
      </w:rPr>
      <w:t>}</w:t>
    </w:r>
    <w:r w:rsidR="00D43D3D">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D2F8" w14:textId="0105572E" w:rsidR="00D43D3D" w:rsidRPr="00E97537" w:rsidRDefault="003E3781" w:rsidP="00233A63">
    <w:pPr>
      <w:pStyle w:val="Footer"/>
      <w:rPr>
        <w:sz w:val="22"/>
        <w:szCs w:val="22"/>
      </w:rPr>
    </w:pPr>
    <w:r w:rsidRPr="003E3781">
      <w:rPr>
        <w:noProof/>
        <w:vanish/>
        <w:sz w:val="16"/>
      </w:rPr>
      <w:t>{</w:t>
    </w:r>
    <w:r w:rsidRPr="003E3781">
      <w:rPr>
        <w:noProof/>
        <w:sz w:val="16"/>
      </w:rPr>
      <w:t>C0112927:1</w:t>
    </w:r>
    <w:r w:rsidRPr="003E3781">
      <w:rPr>
        <w:noProof/>
        <w:vanish/>
        <w:sz w:val="16"/>
      </w:rPr>
      <w:t>}</w:t>
    </w:r>
    <w:r w:rsidR="00D43D3D">
      <w:tab/>
    </w:r>
    <w:sdt>
      <w:sdtPr>
        <w:id w:val="-251744338"/>
        <w:docPartObj>
          <w:docPartGallery w:val="Page Numbers (Bottom of Page)"/>
          <w:docPartUnique/>
        </w:docPartObj>
      </w:sdtPr>
      <w:sdtEndPr>
        <w:rPr>
          <w:noProof/>
          <w:sz w:val="22"/>
          <w:szCs w:val="22"/>
        </w:rPr>
      </w:sdtEndPr>
      <w:sdtContent>
        <w:r w:rsidR="00D43D3D" w:rsidRPr="00E97537">
          <w:rPr>
            <w:sz w:val="22"/>
            <w:szCs w:val="22"/>
          </w:rPr>
          <w:fldChar w:fldCharType="begin"/>
        </w:r>
        <w:r w:rsidR="00D43D3D" w:rsidRPr="00E97537">
          <w:rPr>
            <w:sz w:val="22"/>
            <w:szCs w:val="22"/>
          </w:rPr>
          <w:instrText xml:space="preserve"> PAGE   \* MERGEFORMAT </w:instrText>
        </w:r>
        <w:r w:rsidR="00D43D3D" w:rsidRPr="00E97537">
          <w:rPr>
            <w:sz w:val="22"/>
            <w:szCs w:val="22"/>
          </w:rPr>
          <w:fldChar w:fldCharType="separate"/>
        </w:r>
        <w:r w:rsidR="00E12B2A">
          <w:rPr>
            <w:noProof/>
            <w:sz w:val="22"/>
            <w:szCs w:val="22"/>
          </w:rPr>
          <w:t>3</w:t>
        </w:r>
        <w:r w:rsidR="00D43D3D" w:rsidRPr="00E97537">
          <w:rPr>
            <w:noProof/>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220B" w14:textId="67712367" w:rsidR="00D43D3D" w:rsidRPr="00482BB8" w:rsidRDefault="003E3781" w:rsidP="00482BB8">
    <w:pPr>
      <w:pStyle w:val="Footer"/>
    </w:pPr>
    <w:r w:rsidRPr="003E3781">
      <w:rPr>
        <w:noProof/>
        <w:vanish/>
        <w:sz w:val="16"/>
      </w:rPr>
      <w:t>{</w:t>
    </w:r>
    <w:r w:rsidRPr="003E3781">
      <w:rPr>
        <w:noProof/>
        <w:sz w:val="16"/>
      </w:rPr>
      <w:t>C0112927:1</w:t>
    </w:r>
    <w:r w:rsidRPr="003E3781">
      <w:rPr>
        <w:noProof/>
        <w:vanish/>
        <w:sz w:val="16"/>
      </w:rPr>
      <w:t>}</w:t>
    </w:r>
    <w:r w:rsidR="00D43D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17A6" w14:textId="77777777" w:rsidR="00D43D3D" w:rsidRDefault="00D43D3D" w:rsidP="00482BB8">
      <w:pPr>
        <w:rPr>
          <w:noProof/>
        </w:rPr>
      </w:pPr>
      <w:r>
        <w:rPr>
          <w:noProof/>
        </w:rPr>
        <w:separator/>
      </w:r>
    </w:p>
  </w:footnote>
  <w:footnote w:type="continuationSeparator" w:id="0">
    <w:p w14:paraId="77DF588E" w14:textId="77777777" w:rsidR="00D43D3D" w:rsidRDefault="00D43D3D" w:rsidP="00482BB8">
      <w:r>
        <w:continuationSeparator/>
      </w:r>
    </w:p>
  </w:footnote>
  <w:footnote w:id="1">
    <w:p w14:paraId="7C062FE9" w14:textId="413C9AF2" w:rsidR="00D43D3D" w:rsidRDefault="00D43D3D" w:rsidP="00E34435">
      <w:pPr>
        <w:pStyle w:val="FootnoteText"/>
        <w:spacing w:after="120"/>
      </w:pPr>
      <w:r>
        <w:rPr>
          <w:rStyle w:val="FootnoteReference"/>
        </w:rPr>
        <w:footnoteRef/>
      </w:r>
      <w:r>
        <w:t xml:space="preserve"> </w:t>
      </w:r>
      <w:r w:rsidR="00D578C5">
        <w:t xml:space="preserve">Ohio Const. art. XVIII, </w:t>
      </w:r>
      <w:r w:rsidR="00D578C5">
        <w:rPr>
          <w:rFonts w:cs="Arial"/>
        </w:rPr>
        <w:t>§</w:t>
      </w:r>
      <w:r w:rsidR="00D578C5">
        <w:t xml:space="preserve"> 4.</w:t>
      </w:r>
    </w:p>
  </w:footnote>
  <w:footnote w:id="2">
    <w:p w14:paraId="10FA80B3" w14:textId="2725241D" w:rsidR="00D43D3D" w:rsidRPr="00F15371" w:rsidRDefault="00D43D3D" w:rsidP="00E34435">
      <w:pPr>
        <w:pStyle w:val="FootnoteText"/>
        <w:spacing w:after="120"/>
        <w:jc w:val="both"/>
      </w:pPr>
      <w:r>
        <w:rPr>
          <w:rStyle w:val="FootnoteReference"/>
        </w:rPr>
        <w:footnoteRef/>
      </w:r>
      <w:r>
        <w:t xml:space="preserve"> OPAE Initial Comments, </w:t>
      </w:r>
      <w:r>
        <w:rPr>
          <w:i/>
        </w:rPr>
        <w:t>in passim</w:t>
      </w:r>
      <w:r>
        <w:t xml:space="preserve">; </w:t>
      </w:r>
      <w:r>
        <w:rPr>
          <w:i/>
        </w:rPr>
        <w:t>see also id.</w:t>
      </w:r>
      <w:r>
        <w:t xml:space="preserve"> at 2 (arguing, incorrectly, that Rule 4901:1-19-09</w:t>
      </w:r>
      <w:r w:rsidR="00F656E4">
        <w:t>, O.A.C.,</w:t>
      </w:r>
      <w:r>
        <w:t xml:space="preserve"> already requires an auction for PIPP customers).</w:t>
      </w:r>
    </w:p>
  </w:footnote>
  <w:footnote w:id="3">
    <w:p w14:paraId="532633BB" w14:textId="36D6C99A" w:rsidR="00D43D3D" w:rsidRPr="008C06CD" w:rsidRDefault="00D43D3D" w:rsidP="00AE45B0">
      <w:pPr>
        <w:pStyle w:val="FootnoteText"/>
        <w:spacing w:after="120"/>
      </w:pPr>
      <w:r>
        <w:rPr>
          <w:rStyle w:val="FootnoteReference"/>
        </w:rPr>
        <w:footnoteRef/>
      </w:r>
      <w:r>
        <w:t xml:space="preserve"> </w:t>
      </w:r>
      <w:r>
        <w:rPr>
          <w:i/>
        </w:rPr>
        <w:t>Id.</w:t>
      </w:r>
      <w:r>
        <w:t xml:space="preserve"> at 5-7</w:t>
      </w:r>
      <w:r w:rsidR="00D578C5">
        <w:t>.</w:t>
      </w:r>
    </w:p>
  </w:footnote>
  <w:footnote w:id="4">
    <w:p w14:paraId="52C8C977" w14:textId="7762BC0D" w:rsidR="00D43D3D" w:rsidRPr="008C06CD" w:rsidRDefault="00D43D3D" w:rsidP="006830EA">
      <w:pPr>
        <w:pStyle w:val="FootnoteText"/>
        <w:spacing w:after="120"/>
      </w:pPr>
      <w:r>
        <w:rPr>
          <w:rStyle w:val="FootnoteReference"/>
        </w:rPr>
        <w:footnoteRef/>
      </w:r>
      <w:r>
        <w:t xml:space="preserve"> OPAE Initial Comments at 2 (</w:t>
      </w:r>
      <w:r>
        <w:rPr>
          <w:i/>
        </w:rPr>
        <w:t xml:space="preserve">citing </w:t>
      </w:r>
      <w:r>
        <w:t>Proposed Rule 4901:1-19-09, O.A.C.).</w:t>
      </w:r>
    </w:p>
  </w:footnote>
  <w:footnote w:id="5">
    <w:p w14:paraId="1088E570" w14:textId="1EA97777" w:rsidR="00D43D3D" w:rsidRPr="005E3CB7" w:rsidRDefault="00D43D3D" w:rsidP="00AE45B0">
      <w:pPr>
        <w:pStyle w:val="FootnoteText"/>
        <w:spacing w:after="120"/>
      </w:pPr>
      <w:r>
        <w:rPr>
          <w:rStyle w:val="FootnoteReference"/>
        </w:rPr>
        <w:footnoteRef/>
      </w:r>
      <w:r>
        <w:t xml:space="preserve"> </w:t>
      </w:r>
      <w:r>
        <w:rPr>
          <w:i/>
        </w:rPr>
        <w:t>Id.</w:t>
      </w:r>
      <w:r>
        <w:t xml:space="preserve"> at 5-7.</w:t>
      </w:r>
    </w:p>
  </w:footnote>
  <w:footnote w:id="6">
    <w:p w14:paraId="7EE8A413" w14:textId="3AE1EEEC" w:rsidR="00D43D3D" w:rsidRPr="00650D7B" w:rsidRDefault="00D43D3D" w:rsidP="00AE45B0">
      <w:pPr>
        <w:pStyle w:val="FootnoteText"/>
        <w:spacing w:after="100" w:afterAutospacing="1"/>
      </w:pPr>
      <w:r>
        <w:rPr>
          <w:rStyle w:val="FootnoteReference"/>
        </w:rPr>
        <w:footnoteRef/>
      </w:r>
      <w:r>
        <w:t xml:space="preserve"> </w:t>
      </w:r>
      <w:r>
        <w:rPr>
          <w:i/>
        </w:rPr>
        <w:t>Id</w:t>
      </w:r>
      <w:r>
        <w:t>. at 5.</w:t>
      </w:r>
    </w:p>
  </w:footnote>
  <w:footnote w:id="7">
    <w:p w14:paraId="20CF4C53" w14:textId="78D64DE6" w:rsidR="00D43D3D" w:rsidRPr="00732B42" w:rsidRDefault="00D43D3D" w:rsidP="00E34435">
      <w:pPr>
        <w:pStyle w:val="FootnoteText"/>
        <w:spacing w:after="120"/>
        <w:jc w:val="both"/>
      </w:pPr>
      <w:r>
        <w:rPr>
          <w:rStyle w:val="FootnoteReference"/>
        </w:rPr>
        <w:footnoteRef/>
      </w:r>
      <w:r>
        <w:t xml:space="preserve"> Although Ohio Gas would not expect its costs to oversee an auction to be on the same level as large utilities in the state, the costs would have to be </w:t>
      </w:r>
      <w:r w:rsidRPr="00E12B2A">
        <w:t>orders of magnitude</w:t>
      </w:r>
      <w:r>
        <w:t xml:space="preserve"> less for there to be any prospect of net savings for Ohio Gas’s customers.  For example, in its most recent update to its Auction Cost Recovery Rider, Ohio Power Company identified $98,555 in incremental auction costs for the period of July through September 2018.  </w:t>
      </w:r>
      <w:r>
        <w:rPr>
          <w:i/>
        </w:rPr>
        <w:t>In the Matter of the Alternative Energy Rider and Auction Cost Recovery Rider for Ohio Power Company</w:t>
      </w:r>
      <w:r>
        <w:t xml:space="preserve">, Case </w:t>
      </w:r>
      <w:r w:rsidR="00BF34B8">
        <w:t xml:space="preserve">No. </w:t>
      </w:r>
      <w:r>
        <w:t>15-1052-EL-RDR, 3</w:t>
      </w:r>
      <w:r w:rsidRPr="00732B42">
        <w:rPr>
          <w:vertAlign w:val="superscript"/>
        </w:rPr>
        <w:t>rd</w:t>
      </w:r>
      <w:r>
        <w:t xml:space="preserve"> Quarter Filing (June 1, 2018).  Ohio Gas’s total annual collections under its PIPP Rider have averaged less than $100,000 per year in recent years.</w:t>
      </w:r>
    </w:p>
  </w:footnote>
  <w:footnote w:id="8">
    <w:p w14:paraId="4FBB06CB" w14:textId="7F54FBC5" w:rsidR="00D43D3D" w:rsidRPr="00794FEC" w:rsidRDefault="00D43D3D" w:rsidP="006257A1">
      <w:pPr>
        <w:pStyle w:val="FootnoteText"/>
        <w:spacing w:after="120"/>
        <w:jc w:val="both"/>
      </w:pPr>
      <w:r>
        <w:rPr>
          <w:rStyle w:val="FootnoteReference"/>
        </w:rPr>
        <w:footnoteRef/>
      </w:r>
      <w:r>
        <w:t xml:space="preserve"> </w:t>
      </w:r>
      <w:r>
        <w:rPr>
          <w:i/>
        </w:rPr>
        <w:t>In the Matter of the Commission’s Review of Chapters 4901:1-17 and 4901:1-18, and Rules 4901:1-5-07, 4901:1-10-22, 4901:1-13-11, 4901:1-15-17, 4901:1-21-14, and 4901:1-29-12 of the Ohio Administrative Code</w:t>
      </w:r>
      <w:r>
        <w:t xml:space="preserve">, </w:t>
      </w:r>
      <w:r w:rsidR="00955948">
        <w:t xml:space="preserve">Case No. 08-723-AU-ORD, </w:t>
      </w:r>
      <w:r>
        <w:t>Finding and Order at 51 (Dec. 17, 2008) (“</w:t>
      </w:r>
      <w:r>
        <w:rPr>
          <w:i/>
        </w:rPr>
        <w:t>PIPP Rulemaking</w:t>
      </w:r>
      <w:r>
        <w:t xml:space="preserve">”) (granting exemptions of modified PIPP rules for small gas companies); </w:t>
      </w:r>
      <w:r>
        <w:rPr>
          <w:i/>
        </w:rPr>
        <w:t>PIPP Rulemaking</w:t>
      </w:r>
      <w:r>
        <w:t>, Entry at 8-9 (Aug. 19, 2009) (granting waiver of PIPP arrearage crediting requirements for Ohio Gas).</w:t>
      </w:r>
    </w:p>
  </w:footnote>
  <w:footnote w:id="9">
    <w:p w14:paraId="438C26CA" w14:textId="23932568" w:rsidR="00D43D3D" w:rsidRPr="0068341B" w:rsidRDefault="00D43D3D" w:rsidP="006257A1">
      <w:pPr>
        <w:pStyle w:val="FootnoteText"/>
        <w:spacing w:after="120"/>
        <w:jc w:val="both"/>
        <w:rPr>
          <w:i/>
        </w:rPr>
      </w:pPr>
      <w:r>
        <w:rPr>
          <w:rStyle w:val="FootnoteReference"/>
        </w:rPr>
        <w:footnoteRef/>
      </w:r>
      <w:r>
        <w:t xml:space="preserve"> </w:t>
      </w:r>
      <w:r>
        <w:rPr>
          <w:i/>
        </w:rPr>
        <w:t>PIPP Rulemaking</w:t>
      </w:r>
      <w:r>
        <w:t xml:space="preserve">, Entry at 8 (Aug. 19, 2009).  Ohio Gas’s PIPP customers </w:t>
      </w:r>
      <w:r w:rsidR="00444DCA">
        <w:t xml:space="preserve">have </w:t>
      </w:r>
      <w:r>
        <w:t>also decreased dramatically from around 900 in 2009 to approximately 300-400 today.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FF6A" w14:textId="77777777" w:rsidR="00B52195" w:rsidRDefault="00B5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2B85" w14:textId="77777777" w:rsidR="00B52195" w:rsidRDefault="00B5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F4AB" w14:textId="77777777" w:rsidR="00B52195" w:rsidRDefault="00B5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D26"/>
    <w:multiLevelType w:val="hybridMultilevel"/>
    <w:tmpl w:val="BB10D89E"/>
    <w:name w:val="(Unnamed Numbering Scheme)"/>
    <w:lvl w:ilvl="0" w:tplc="6A524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26900"/>
    <w:multiLevelType w:val="hybridMultilevel"/>
    <w:tmpl w:val="BB10D89E"/>
    <w:lvl w:ilvl="0" w:tplc="6A524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A524D"/>
    <w:multiLevelType w:val="multilevel"/>
    <w:tmpl w:val="23860D28"/>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3" w15:restartNumberingAfterBreak="0">
    <w:nsid w:val="4BFE11F2"/>
    <w:multiLevelType w:val="hybridMultilevel"/>
    <w:tmpl w:val="9A565E32"/>
    <w:lvl w:ilvl="0" w:tplc="054C72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E95717"/>
    <w:multiLevelType w:val="hybridMultilevel"/>
    <w:tmpl w:val="617C5258"/>
    <w:lvl w:ilvl="0" w:tplc="1B6C67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6C21242"/>
    <w:multiLevelType w:val="hybridMultilevel"/>
    <w:tmpl w:val="F7840FE8"/>
    <w:lvl w:ilvl="0" w:tplc="967487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4A21E3"/>
    <w:multiLevelType w:val="hybridMultilevel"/>
    <w:tmpl w:val="9A565E32"/>
    <w:lvl w:ilvl="0" w:tplc="054C72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961A59"/>
    <w:multiLevelType w:val="hybridMultilevel"/>
    <w:tmpl w:val="EAF4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0F"/>
    <w:rsid w:val="00001929"/>
    <w:rsid w:val="00131118"/>
    <w:rsid w:val="001B01A6"/>
    <w:rsid w:val="001C24C0"/>
    <w:rsid w:val="001C706C"/>
    <w:rsid w:val="001C7A69"/>
    <w:rsid w:val="00205010"/>
    <w:rsid w:val="00217E3F"/>
    <w:rsid w:val="00233A63"/>
    <w:rsid w:val="00291281"/>
    <w:rsid w:val="00326D00"/>
    <w:rsid w:val="00375436"/>
    <w:rsid w:val="003E3781"/>
    <w:rsid w:val="00444DCA"/>
    <w:rsid w:val="0047277F"/>
    <w:rsid w:val="00482BB8"/>
    <w:rsid w:val="00496E66"/>
    <w:rsid w:val="004B55CF"/>
    <w:rsid w:val="0053185D"/>
    <w:rsid w:val="00534C9F"/>
    <w:rsid w:val="005725CA"/>
    <w:rsid w:val="005A2491"/>
    <w:rsid w:val="005C1F88"/>
    <w:rsid w:val="005E3CB7"/>
    <w:rsid w:val="005F3EBB"/>
    <w:rsid w:val="006257A1"/>
    <w:rsid w:val="00650D7B"/>
    <w:rsid w:val="00665404"/>
    <w:rsid w:val="006830EA"/>
    <w:rsid w:val="0068341B"/>
    <w:rsid w:val="00687F44"/>
    <w:rsid w:val="006B0D0A"/>
    <w:rsid w:val="006D74B8"/>
    <w:rsid w:val="007102D9"/>
    <w:rsid w:val="00711E5E"/>
    <w:rsid w:val="00720154"/>
    <w:rsid w:val="00724D0F"/>
    <w:rsid w:val="00732B42"/>
    <w:rsid w:val="0076343A"/>
    <w:rsid w:val="00775E6D"/>
    <w:rsid w:val="0078745D"/>
    <w:rsid w:val="00790460"/>
    <w:rsid w:val="00794FEC"/>
    <w:rsid w:val="00795977"/>
    <w:rsid w:val="00796FDE"/>
    <w:rsid w:val="007B0457"/>
    <w:rsid w:val="007F787E"/>
    <w:rsid w:val="00802686"/>
    <w:rsid w:val="00806EF0"/>
    <w:rsid w:val="00810295"/>
    <w:rsid w:val="00817EA6"/>
    <w:rsid w:val="00831ACA"/>
    <w:rsid w:val="00832A15"/>
    <w:rsid w:val="0084111A"/>
    <w:rsid w:val="00843A23"/>
    <w:rsid w:val="008468DE"/>
    <w:rsid w:val="008A4D44"/>
    <w:rsid w:val="008C06CD"/>
    <w:rsid w:val="008E3BF4"/>
    <w:rsid w:val="00907FE7"/>
    <w:rsid w:val="00910C0B"/>
    <w:rsid w:val="00910F9C"/>
    <w:rsid w:val="00953568"/>
    <w:rsid w:val="00955948"/>
    <w:rsid w:val="009806B7"/>
    <w:rsid w:val="0098721E"/>
    <w:rsid w:val="009A0777"/>
    <w:rsid w:val="009B5E55"/>
    <w:rsid w:val="009C6153"/>
    <w:rsid w:val="009D1585"/>
    <w:rsid w:val="009E4880"/>
    <w:rsid w:val="009F0C51"/>
    <w:rsid w:val="00A20656"/>
    <w:rsid w:val="00A754CD"/>
    <w:rsid w:val="00A75BA9"/>
    <w:rsid w:val="00AD3F68"/>
    <w:rsid w:val="00AE45B0"/>
    <w:rsid w:val="00AF0BEA"/>
    <w:rsid w:val="00AF6D2D"/>
    <w:rsid w:val="00B13DCB"/>
    <w:rsid w:val="00B15EF8"/>
    <w:rsid w:val="00B46105"/>
    <w:rsid w:val="00B52117"/>
    <w:rsid w:val="00B52195"/>
    <w:rsid w:val="00B662C4"/>
    <w:rsid w:val="00B76DD7"/>
    <w:rsid w:val="00B84884"/>
    <w:rsid w:val="00B90B48"/>
    <w:rsid w:val="00B966C6"/>
    <w:rsid w:val="00BA74DD"/>
    <w:rsid w:val="00BC36B6"/>
    <w:rsid w:val="00BC7023"/>
    <w:rsid w:val="00BF34B8"/>
    <w:rsid w:val="00C026FD"/>
    <w:rsid w:val="00C0405A"/>
    <w:rsid w:val="00C0540C"/>
    <w:rsid w:val="00C05C11"/>
    <w:rsid w:val="00C2180C"/>
    <w:rsid w:val="00C3198C"/>
    <w:rsid w:val="00C66531"/>
    <w:rsid w:val="00C81921"/>
    <w:rsid w:val="00C86986"/>
    <w:rsid w:val="00D13563"/>
    <w:rsid w:val="00D36265"/>
    <w:rsid w:val="00D42393"/>
    <w:rsid w:val="00D43D3D"/>
    <w:rsid w:val="00D578C5"/>
    <w:rsid w:val="00D61B9E"/>
    <w:rsid w:val="00D8445A"/>
    <w:rsid w:val="00D870BB"/>
    <w:rsid w:val="00DA1038"/>
    <w:rsid w:val="00DA1F72"/>
    <w:rsid w:val="00DA5D71"/>
    <w:rsid w:val="00DF655F"/>
    <w:rsid w:val="00E069C2"/>
    <w:rsid w:val="00E12B2A"/>
    <w:rsid w:val="00E34435"/>
    <w:rsid w:val="00E54729"/>
    <w:rsid w:val="00E84834"/>
    <w:rsid w:val="00E97537"/>
    <w:rsid w:val="00EC4F68"/>
    <w:rsid w:val="00EC7CEC"/>
    <w:rsid w:val="00ED792A"/>
    <w:rsid w:val="00EE25FF"/>
    <w:rsid w:val="00EF4479"/>
    <w:rsid w:val="00F02E7C"/>
    <w:rsid w:val="00F15260"/>
    <w:rsid w:val="00F15371"/>
    <w:rsid w:val="00F26367"/>
    <w:rsid w:val="00F62D2B"/>
    <w:rsid w:val="00F656E4"/>
    <w:rsid w:val="00F7141A"/>
    <w:rsid w:val="00F779F5"/>
    <w:rsid w:val="00F96338"/>
    <w:rsid w:val="00FA206C"/>
    <w:rsid w:val="00FB16B8"/>
    <w:rsid w:val="00FC1F35"/>
    <w:rsid w:val="00FE70A0"/>
    <w:rsid w:val="00F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94B1"/>
  <w15:chartTrackingRefBased/>
  <w15:docId w15:val="{840BADDE-64C8-415E-AF6C-6DC7A60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537"/>
    <w:pPr>
      <w:numPr>
        <w:numId w:val="8"/>
      </w:numPr>
      <w:spacing w:before="240" w:after="360"/>
      <w:jc w:val="both"/>
      <w:outlineLvl w:val="0"/>
    </w:pPr>
    <w:rPr>
      <w:rFonts w:eastAsiaTheme="majorEastAsia" w:cstheme="majorBidi"/>
      <w:b/>
      <w:caps/>
      <w:szCs w:val="32"/>
      <w:u w:val="single"/>
    </w:rPr>
  </w:style>
  <w:style w:type="paragraph" w:styleId="Heading2">
    <w:name w:val="heading 2"/>
    <w:basedOn w:val="Normal"/>
    <w:next w:val="Normal"/>
    <w:link w:val="Heading2Char"/>
    <w:autoRedefine/>
    <w:uiPriority w:val="9"/>
    <w:unhideWhenUsed/>
    <w:qFormat/>
    <w:rsid w:val="00F656E4"/>
    <w:pPr>
      <w:numPr>
        <w:ilvl w:val="1"/>
        <w:numId w:val="8"/>
      </w:numPr>
      <w:tabs>
        <w:tab w:val="left" w:pos="1440"/>
      </w:tabs>
      <w:spacing w:after="240"/>
      <w:jc w:val="both"/>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97537"/>
    <w:pPr>
      <w:numPr>
        <w:ilvl w:val="2"/>
        <w:numId w:val="8"/>
      </w:numPr>
      <w:tabs>
        <w:tab w:val="left" w:pos="2160"/>
      </w:tabs>
      <w:spacing w:after="240"/>
      <w:jc w:val="both"/>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E97537"/>
    <w:pPr>
      <w:numPr>
        <w:ilvl w:val="3"/>
        <w:numId w:val="8"/>
      </w:numPr>
      <w:tabs>
        <w:tab w:val="left" w:pos="2880"/>
      </w:tabs>
      <w:spacing w:after="240"/>
      <w:jc w:val="both"/>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E97537"/>
    <w:pPr>
      <w:numPr>
        <w:ilvl w:val="4"/>
        <w:numId w:val="8"/>
      </w:numPr>
      <w:tabs>
        <w:tab w:val="left" w:pos="3600"/>
      </w:tabs>
      <w:spacing w:after="24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537"/>
    <w:pPr>
      <w:numPr>
        <w:ilvl w:val="5"/>
        <w:numId w:val="8"/>
      </w:numPr>
      <w:tabs>
        <w:tab w:val="left" w:pos="4320"/>
      </w:tabs>
      <w:spacing w:after="240"/>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7537"/>
    <w:pPr>
      <w:numPr>
        <w:ilvl w:val="6"/>
        <w:numId w:val="8"/>
      </w:numPr>
      <w:tabs>
        <w:tab w:val="left" w:pos="5040"/>
      </w:tabs>
      <w:spacing w:after="240"/>
      <w:jc w:val="both"/>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E97537"/>
    <w:pPr>
      <w:numPr>
        <w:ilvl w:val="7"/>
        <w:numId w:val="8"/>
      </w:numPr>
      <w:tabs>
        <w:tab w:val="left" w:pos="5760"/>
      </w:tabs>
      <w:spacing w:after="240"/>
      <w:jc w:val="both"/>
      <w:outlineLvl w:val="7"/>
    </w:pPr>
    <w:rPr>
      <w:rFonts w:asciiTheme="majorHAnsi" w:eastAsiaTheme="majorEastAsia" w:hAnsiTheme="majorHAnsi" w:cstheme="majorBidi"/>
      <w:color w:val="404040" w:themeColor="text1" w:themeTint="BF"/>
      <w:szCs w:val="21"/>
    </w:rPr>
  </w:style>
  <w:style w:type="paragraph" w:styleId="Heading9">
    <w:name w:val="heading 9"/>
    <w:basedOn w:val="Normal"/>
    <w:next w:val="Normal"/>
    <w:link w:val="Heading9Char"/>
    <w:uiPriority w:val="9"/>
    <w:semiHidden/>
    <w:unhideWhenUsed/>
    <w:qFormat/>
    <w:rsid w:val="00E97537"/>
    <w:pPr>
      <w:numPr>
        <w:ilvl w:val="8"/>
        <w:numId w:val="8"/>
      </w:numPr>
      <w:tabs>
        <w:tab w:val="left" w:pos="6480"/>
      </w:tabs>
      <w:spacing w:after="240"/>
      <w:jc w:val="both"/>
      <w:outlineLvl w:val="8"/>
    </w:pPr>
    <w:rPr>
      <w:rFonts w:asciiTheme="majorHAnsi" w:eastAsiaTheme="majorEastAsia" w:hAnsiTheme="majorHAnsi"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BB8"/>
    <w:pPr>
      <w:tabs>
        <w:tab w:val="center" w:pos="4680"/>
        <w:tab w:val="right" w:pos="9360"/>
      </w:tabs>
    </w:pPr>
  </w:style>
  <w:style w:type="character" w:customStyle="1" w:styleId="HeaderChar">
    <w:name w:val="Header Char"/>
    <w:basedOn w:val="DefaultParagraphFont"/>
    <w:link w:val="Header"/>
    <w:uiPriority w:val="99"/>
    <w:rsid w:val="00482BB8"/>
  </w:style>
  <w:style w:type="paragraph" w:styleId="Footer">
    <w:name w:val="footer"/>
    <w:basedOn w:val="Normal"/>
    <w:link w:val="FooterChar"/>
    <w:uiPriority w:val="99"/>
    <w:unhideWhenUsed/>
    <w:rsid w:val="00482BB8"/>
    <w:pPr>
      <w:tabs>
        <w:tab w:val="center" w:pos="4680"/>
        <w:tab w:val="right" w:pos="9360"/>
      </w:tabs>
    </w:pPr>
  </w:style>
  <w:style w:type="character" w:customStyle="1" w:styleId="FooterChar">
    <w:name w:val="Footer Char"/>
    <w:basedOn w:val="DefaultParagraphFont"/>
    <w:link w:val="Footer"/>
    <w:uiPriority w:val="99"/>
    <w:rsid w:val="00482BB8"/>
  </w:style>
  <w:style w:type="paragraph" w:styleId="FootnoteText">
    <w:name w:val="footnote text"/>
    <w:basedOn w:val="Normal"/>
    <w:link w:val="FootnoteTextChar"/>
    <w:uiPriority w:val="99"/>
    <w:semiHidden/>
    <w:unhideWhenUsed/>
    <w:rsid w:val="00C0540C"/>
    <w:rPr>
      <w:sz w:val="20"/>
      <w:szCs w:val="20"/>
    </w:rPr>
  </w:style>
  <w:style w:type="character" w:customStyle="1" w:styleId="FootnoteTextChar">
    <w:name w:val="Footnote Text Char"/>
    <w:basedOn w:val="DefaultParagraphFont"/>
    <w:link w:val="FootnoteText"/>
    <w:uiPriority w:val="99"/>
    <w:semiHidden/>
    <w:rsid w:val="00C0540C"/>
    <w:rPr>
      <w:sz w:val="20"/>
      <w:szCs w:val="20"/>
    </w:rPr>
  </w:style>
  <w:style w:type="character" w:styleId="FootnoteReference">
    <w:name w:val="footnote reference"/>
    <w:basedOn w:val="DefaultParagraphFont"/>
    <w:uiPriority w:val="99"/>
    <w:semiHidden/>
    <w:unhideWhenUsed/>
    <w:rsid w:val="00C0540C"/>
    <w:rPr>
      <w:vertAlign w:val="superscript"/>
    </w:rPr>
  </w:style>
  <w:style w:type="paragraph" w:styleId="ListParagraph">
    <w:name w:val="List Paragraph"/>
    <w:basedOn w:val="Normal"/>
    <w:uiPriority w:val="34"/>
    <w:qFormat/>
    <w:rsid w:val="004B55CF"/>
    <w:pPr>
      <w:ind w:left="720"/>
      <w:contextualSpacing/>
    </w:pPr>
  </w:style>
  <w:style w:type="character" w:customStyle="1" w:styleId="Heading1Char">
    <w:name w:val="Heading 1 Char"/>
    <w:basedOn w:val="DefaultParagraphFont"/>
    <w:link w:val="Heading1"/>
    <w:uiPriority w:val="9"/>
    <w:rsid w:val="00E97537"/>
    <w:rPr>
      <w:rFonts w:eastAsiaTheme="majorEastAsia" w:cstheme="majorBidi"/>
      <w:b/>
      <w:caps/>
      <w:szCs w:val="32"/>
      <w:u w:val="single"/>
    </w:rPr>
  </w:style>
  <w:style w:type="paragraph" w:styleId="Title">
    <w:name w:val="Title"/>
    <w:basedOn w:val="Normal"/>
    <w:link w:val="TitleChar"/>
    <w:qFormat/>
    <w:rsid w:val="00EE25FF"/>
    <w:pPr>
      <w:jc w:val="center"/>
    </w:pPr>
    <w:rPr>
      <w:rFonts w:ascii="Times New Roman" w:eastAsia="Times New Roman" w:hAnsi="Times New Roman" w:cs="Times New Roman"/>
      <w:b/>
      <w:bCs/>
      <w:color w:val="000000"/>
    </w:rPr>
  </w:style>
  <w:style w:type="character" w:customStyle="1" w:styleId="TitleChar">
    <w:name w:val="Title Char"/>
    <w:basedOn w:val="DefaultParagraphFont"/>
    <w:link w:val="Title"/>
    <w:rsid w:val="00EE25FF"/>
    <w:rPr>
      <w:rFonts w:ascii="Times New Roman" w:eastAsia="Times New Roman" w:hAnsi="Times New Roman" w:cs="Times New Roman"/>
      <w:b/>
      <w:bCs/>
      <w:color w:val="000000"/>
    </w:rPr>
  </w:style>
  <w:style w:type="paragraph" w:styleId="Subtitle">
    <w:name w:val="Subtitle"/>
    <w:basedOn w:val="Normal"/>
    <w:link w:val="SubtitleChar"/>
    <w:qFormat/>
    <w:rsid w:val="00EE25FF"/>
    <w:pPr>
      <w:tabs>
        <w:tab w:val="center" w:pos="4680"/>
      </w:tabs>
      <w:jc w:val="center"/>
    </w:pPr>
    <w:rPr>
      <w:rFonts w:eastAsia="Times New Roman" w:cs="Times New Roman"/>
      <w:b/>
      <w:smallCaps/>
      <w:sz w:val="32"/>
      <w:szCs w:val="20"/>
      <w:lang w:val="x-none" w:eastAsia="x-none"/>
    </w:rPr>
  </w:style>
  <w:style w:type="character" w:customStyle="1" w:styleId="SubtitleChar">
    <w:name w:val="Subtitle Char"/>
    <w:basedOn w:val="DefaultParagraphFont"/>
    <w:link w:val="Subtitle"/>
    <w:rsid w:val="00EE25FF"/>
    <w:rPr>
      <w:rFonts w:eastAsia="Times New Roman" w:cs="Times New Roman"/>
      <w:b/>
      <w:smallCaps/>
      <w:sz w:val="32"/>
      <w:szCs w:val="20"/>
      <w:lang w:val="x-none" w:eastAsia="x-none"/>
    </w:rPr>
  </w:style>
  <w:style w:type="paragraph" w:styleId="BodyText">
    <w:name w:val="Body Text"/>
    <w:basedOn w:val="Normal"/>
    <w:link w:val="BodyTextChar"/>
    <w:uiPriority w:val="99"/>
    <w:semiHidden/>
    <w:unhideWhenUsed/>
    <w:rsid w:val="00233A63"/>
    <w:pPr>
      <w:spacing w:after="120"/>
    </w:pPr>
    <w:rPr>
      <w:rFonts w:ascii="Trebuchet MS" w:eastAsia="Times New Roman" w:hAnsi="Trebuchet MS" w:cs="Arial"/>
      <w:color w:val="000000"/>
      <w:sz w:val="22"/>
    </w:rPr>
  </w:style>
  <w:style w:type="character" w:customStyle="1" w:styleId="BodyTextChar">
    <w:name w:val="Body Text Char"/>
    <w:basedOn w:val="DefaultParagraphFont"/>
    <w:link w:val="BodyText"/>
    <w:uiPriority w:val="99"/>
    <w:semiHidden/>
    <w:rsid w:val="00233A63"/>
    <w:rPr>
      <w:rFonts w:ascii="Trebuchet MS" w:eastAsia="Times New Roman" w:hAnsi="Trebuchet MS" w:cs="Arial"/>
      <w:color w:val="000000"/>
      <w:sz w:val="22"/>
    </w:rPr>
  </w:style>
  <w:style w:type="character" w:styleId="Hyperlink">
    <w:name w:val="Hyperlink"/>
    <w:basedOn w:val="DefaultParagraphFont"/>
    <w:uiPriority w:val="99"/>
    <w:unhideWhenUsed/>
    <w:rsid w:val="00D42393"/>
    <w:rPr>
      <w:color w:val="0000FF" w:themeColor="hyperlink"/>
      <w:u w:val="single"/>
    </w:rPr>
  </w:style>
  <w:style w:type="character" w:customStyle="1" w:styleId="UnresolvedMention1">
    <w:name w:val="Unresolved Mention1"/>
    <w:basedOn w:val="DefaultParagraphFont"/>
    <w:uiPriority w:val="99"/>
    <w:semiHidden/>
    <w:unhideWhenUsed/>
    <w:rsid w:val="00D42393"/>
    <w:rPr>
      <w:color w:val="808080"/>
      <w:shd w:val="clear" w:color="auto" w:fill="E6E6E6"/>
    </w:rPr>
  </w:style>
  <w:style w:type="character" w:customStyle="1" w:styleId="Heading2Char">
    <w:name w:val="Heading 2 Char"/>
    <w:basedOn w:val="DefaultParagraphFont"/>
    <w:link w:val="Heading2"/>
    <w:uiPriority w:val="9"/>
    <w:rsid w:val="00F656E4"/>
    <w:rPr>
      <w:rFonts w:eastAsiaTheme="majorEastAsia" w:cstheme="majorBidi"/>
      <w:b/>
      <w:szCs w:val="26"/>
    </w:rPr>
  </w:style>
  <w:style w:type="character" w:customStyle="1" w:styleId="Heading3Char">
    <w:name w:val="Heading 3 Char"/>
    <w:basedOn w:val="DefaultParagraphFont"/>
    <w:link w:val="Heading3"/>
    <w:uiPriority w:val="9"/>
    <w:semiHidden/>
    <w:rsid w:val="00E97537"/>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sid w:val="00E97537"/>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semiHidden/>
    <w:rsid w:val="00E975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75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7537"/>
    <w:rPr>
      <w:rFonts w:asciiTheme="majorHAnsi" w:eastAsiaTheme="majorEastAsia" w:hAnsiTheme="majorHAnsi" w:cstheme="majorBidi"/>
      <w:iCs/>
      <w:color w:val="404040" w:themeColor="text1" w:themeTint="BF"/>
    </w:rPr>
  </w:style>
  <w:style w:type="character" w:customStyle="1" w:styleId="Heading8Char">
    <w:name w:val="Heading 8 Char"/>
    <w:basedOn w:val="DefaultParagraphFont"/>
    <w:link w:val="Heading8"/>
    <w:uiPriority w:val="9"/>
    <w:semiHidden/>
    <w:rsid w:val="00E97537"/>
    <w:rPr>
      <w:rFonts w:asciiTheme="majorHAnsi" w:eastAsiaTheme="majorEastAsia" w:hAnsiTheme="majorHAnsi" w:cstheme="majorBidi"/>
      <w:color w:val="404040" w:themeColor="text1" w:themeTint="BF"/>
      <w:szCs w:val="21"/>
    </w:rPr>
  </w:style>
  <w:style w:type="character" w:customStyle="1" w:styleId="Heading9Char">
    <w:name w:val="Heading 9 Char"/>
    <w:basedOn w:val="DefaultParagraphFont"/>
    <w:link w:val="Heading9"/>
    <w:uiPriority w:val="9"/>
    <w:semiHidden/>
    <w:rsid w:val="00E97537"/>
    <w:rPr>
      <w:rFonts w:asciiTheme="majorHAnsi" w:eastAsiaTheme="majorEastAsia" w:hAnsiTheme="majorHAnsi" w:cstheme="majorBidi"/>
      <w:iCs/>
      <w:color w:val="404040" w:themeColor="text1" w:themeTint="BF"/>
      <w:szCs w:val="21"/>
    </w:rPr>
  </w:style>
  <w:style w:type="paragraph" w:styleId="BalloonText">
    <w:name w:val="Balloon Text"/>
    <w:basedOn w:val="Normal"/>
    <w:link w:val="BalloonTextChar"/>
    <w:uiPriority w:val="99"/>
    <w:semiHidden/>
    <w:unhideWhenUsed/>
    <w:rsid w:val="00E12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772">
      <w:bodyDiv w:val="1"/>
      <w:marLeft w:val="0"/>
      <w:marRight w:val="0"/>
      <w:marTop w:val="0"/>
      <w:marBottom w:val="0"/>
      <w:divBdr>
        <w:top w:val="none" w:sz="0" w:space="0" w:color="auto"/>
        <w:left w:val="none" w:sz="0" w:space="0" w:color="auto"/>
        <w:bottom w:val="none" w:sz="0" w:space="0" w:color="auto"/>
        <w:right w:val="none" w:sz="0" w:space="0" w:color="auto"/>
      </w:divBdr>
    </w:div>
    <w:div w:id="633099789">
      <w:bodyDiv w:val="1"/>
      <w:marLeft w:val="0"/>
      <w:marRight w:val="0"/>
      <w:marTop w:val="0"/>
      <w:marBottom w:val="0"/>
      <w:divBdr>
        <w:top w:val="none" w:sz="0" w:space="0" w:color="auto"/>
        <w:left w:val="none" w:sz="0" w:space="0" w:color="auto"/>
        <w:bottom w:val="none" w:sz="0" w:space="0" w:color="auto"/>
        <w:right w:val="none" w:sz="0" w:space="0" w:color="auto"/>
      </w:divBdr>
    </w:div>
    <w:div w:id="10453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712D-F635-4DC8-B62E-5655C3E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8970</Characters>
  <Application>Microsoft Office Word</Application>
  <DocSecurity>0</DocSecurity>
  <PresentationFormat/>
  <Lines>258</Lines>
  <Paragraphs>113</Paragraphs>
  <ScaleCrop>false</ScaleCrop>
  <HeadingPairs>
    <vt:vector size="2" baseType="variant">
      <vt:variant>
        <vt:lpstr>Title</vt:lpstr>
      </vt:variant>
      <vt:variant>
        <vt:i4>1</vt:i4>
      </vt:variant>
    </vt:vector>
  </HeadingPairs>
  <TitlesOfParts>
    <vt:vector size="1" baseType="lpstr">
      <vt:lpstr>Reply Comments on PIPP Auction Rule Change (17-1945) (C0112927).DOCX</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OhioGasReplyComments.DOCX</dc:title>
  <dc:subject>C0112927:1</dc:subject>
  <dc:creator>Ryan, Debbie</dc:creator>
  <cp:keywords/>
  <dc:description/>
  <cp:lastModifiedBy>Ryan, Debbie</cp:lastModifiedBy>
  <cp:revision>7</cp:revision>
  <cp:lastPrinted>2018-07-26T15:31:00Z</cp:lastPrinted>
  <dcterms:created xsi:type="dcterms:W3CDTF">2018-07-27T13:12:00Z</dcterms:created>
  <dcterms:modified xsi:type="dcterms:W3CDTF">2018-07-27T13:19:00Z</dcterms:modified>
</cp:coreProperties>
</file>