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A97A1E" w:rsidP="00A97A1E" w14:paraId="02C16DFE" w14:textId="77777777">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A97A1E" w:rsidP="00A97A1E" w14:paraId="51A54BAA"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A97A1E" w:rsidP="00A97A1E" w14:paraId="4D54A0E9" w14:textId="77777777">
      <w:pPr>
        <w:pStyle w:val="HTMLPreformatted"/>
        <w:rPr>
          <w:rFonts w:ascii="Times New Roman" w:hAnsi="Times New Roman"/>
          <w:sz w:val="24"/>
        </w:rPr>
      </w:pPr>
    </w:p>
    <w:tbl>
      <w:tblPr>
        <w:tblW w:w="9360" w:type="dxa"/>
        <w:tblLook w:val="01E0"/>
      </w:tblPr>
      <w:tblGrid>
        <w:gridCol w:w="4669"/>
        <w:gridCol w:w="299"/>
        <w:gridCol w:w="3222"/>
        <w:gridCol w:w="1170"/>
      </w:tblGrid>
      <w:tr w14:paraId="702CE41E" w14:textId="77777777" w:rsidTr="00C36B85">
        <w:tblPrEx>
          <w:tblW w:w="9360" w:type="dxa"/>
          <w:tblLook w:val="01E0"/>
        </w:tblPrEx>
        <w:trPr>
          <w:trHeight w:val="807"/>
        </w:trPr>
        <w:tc>
          <w:tcPr>
            <w:tcW w:w="4669" w:type="dxa"/>
            <w:shd w:val="clear" w:color="auto" w:fill="auto"/>
          </w:tcPr>
          <w:p w:rsidR="00A97A1E" w:rsidRPr="00A044B5" w:rsidP="00C36B85" w14:paraId="42ADE78E" w14:textId="77777777">
            <w:pPr>
              <w:pStyle w:val="HTMLPreformatted"/>
              <w:rPr>
                <w:rFonts w:ascii="Times New Roman" w:hAnsi="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Duke Energy Ohio, Inc. for Approval of an Alternative Form of Regulation.</w:t>
            </w:r>
          </w:p>
        </w:tc>
        <w:tc>
          <w:tcPr>
            <w:tcW w:w="299" w:type="dxa"/>
            <w:shd w:val="clear" w:color="auto" w:fill="auto"/>
          </w:tcPr>
          <w:p w:rsidR="00A97A1E" w:rsidRPr="00A044B5" w:rsidP="00C36B85" w14:paraId="2499156B" w14:textId="77777777">
            <w:pPr>
              <w:pStyle w:val="HTMLPreformatted"/>
              <w:rPr>
                <w:rFonts w:ascii="Times New Roman" w:hAnsi="Times New Roman"/>
                <w:sz w:val="24"/>
              </w:rPr>
            </w:pPr>
            <w:r w:rsidRPr="00A044B5">
              <w:rPr>
                <w:rFonts w:ascii="Times New Roman" w:hAnsi="Times New Roman"/>
                <w:sz w:val="24"/>
              </w:rPr>
              <w:t>)</w:t>
            </w:r>
          </w:p>
          <w:p w:rsidR="00A97A1E" w:rsidRPr="00A044B5" w:rsidP="00C36B85" w14:paraId="1FD773C1" w14:textId="77777777">
            <w:pPr>
              <w:pStyle w:val="HTMLPreformatted"/>
              <w:rPr>
                <w:rFonts w:ascii="Times New Roman" w:hAnsi="Times New Roman"/>
                <w:sz w:val="24"/>
              </w:rPr>
            </w:pPr>
            <w:r w:rsidRPr="00A044B5">
              <w:rPr>
                <w:rFonts w:ascii="Times New Roman" w:hAnsi="Times New Roman"/>
                <w:sz w:val="24"/>
              </w:rPr>
              <w:t>)</w:t>
            </w:r>
          </w:p>
          <w:p w:rsidR="00A97A1E" w:rsidRPr="00A044B5" w:rsidP="00C36B85" w14:paraId="27806A56" w14:textId="77777777">
            <w:pPr>
              <w:pStyle w:val="HTMLPreformatted"/>
              <w:rPr>
                <w:rFonts w:ascii="Times New Roman" w:hAnsi="Times New Roman"/>
                <w:sz w:val="24"/>
              </w:rPr>
            </w:pPr>
            <w:r w:rsidRPr="00A044B5">
              <w:rPr>
                <w:rFonts w:ascii="Times New Roman" w:hAnsi="Times New Roman"/>
                <w:sz w:val="24"/>
              </w:rPr>
              <w:t>)</w:t>
            </w:r>
          </w:p>
        </w:tc>
        <w:tc>
          <w:tcPr>
            <w:tcW w:w="3222" w:type="dxa"/>
            <w:shd w:val="clear" w:color="auto" w:fill="auto"/>
          </w:tcPr>
          <w:p w:rsidR="00A97A1E" w:rsidRPr="00A044B5" w:rsidP="00C36B85" w14:paraId="047C3A11" w14:textId="77777777">
            <w:pPr>
              <w:pStyle w:val="HTMLPreformatted"/>
              <w:rPr>
                <w:rFonts w:ascii="Times New Roman" w:hAnsi="Times New Roman"/>
                <w:sz w:val="24"/>
              </w:rPr>
            </w:pPr>
          </w:p>
          <w:p w:rsidR="00A97A1E" w:rsidRPr="00A044B5" w:rsidP="00C36B85" w14:paraId="2CCC42F8" w14:textId="77777777">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19-791-GA-ALT</w:t>
            </w:r>
          </w:p>
          <w:p w:rsidR="00A97A1E" w:rsidRPr="00A044B5" w:rsidP="00C36B85" w14:paraId="3331DEB0" w14:textId="77777777">
            <w:pPr>
              <w:pStyle w:val="HTMLPreformatted"/>
              <w:rPr>
                <w:rFonts w:ascii="Times New Roman" w:hAnsi="Times New Roman"/>
                <w:sz w:val="24"/>
              </w:rPr>
            </w:pPr>
          </w:p>
        </w:tc>
        <w:tc>
          <w:tcPr>
            <w:tcW w:w="1170" w:type="dxa"/>
          </w:tcPr>
          <w:p w:rsidR="00A97A1E" w:rsidRPr="00A044B5" w:rsidP="00C36B85" w14:paraId="1B38E16D" w14:textId="77777777">
            <w:pPr>
              <w:pStyle w:val="HTMLPreformatted"/>
              <w:rPr>
                <w:rFonts w:ascii="Times New Roman" w:hAnsi="Times New Roman"/>
                <w:sz w:val="24"/>
              </w:rPr>
            </w:pPr>
          </w:p>
        </w:tc>
      </w:tr>
    </w:tbl>
    <w:p w:rsidR="00A97A1E" w:rsidP="00A97A1E" w14:paraId="053844B8" w14:textId="77777777">
      <w:pPr>
        <w:pStyle w:val="HTMLPreformatted"/>
        <w:rPr>
          <w:rFonts w:ascii="Times New Roman" w:hAnsi="Times New Roman"/>
          <w:sz w:val="24"/>
        </w:rPr>
      </w:pPr>
    </w:p>
    <w:p w:rsidR="00A97A1E" w:rsidP="00A97A1E" w14:paraId="5AB0F705" w14:textId="77777777">
      <w:pPr>
        <w:pStyle w:val="HTMLPreformatted"/>
        <w:pBdr>
          <w:top w:val="single" w:sz="12" w:space="1" w:color="auto"/>
        </w:pBdr>
        <w:rPr>
          <w:rFonts w:ascii="Times New Roman" w:hAnsi="Times New Roman"/>
          <w:sz w:val="24"/>
        </w:rPr>
      </w:pPr>
    </w:p>
    <w:p w:rsidR="00A97A1E" w:rsidP="00A97A1E" w14:paraId="52017327" w14:textId="77777777">
      <w:pPr>
        <w:jc w:val="center"/>
        <w:rPr>
          <w:b/>
          <w:bCs/>
        </w:rPr>
      </w:pPr>
      <w:r>
        <w:rPr>
          <w:b/>
          <w:bCs/>
        </w:rPr>
        <w:t>OBJECTIONS</w:t>
      </w:r>
    </w:p>
    <w:p w:rsidR="00A97A1E" w:rsidP="00A97A1E" w14:paraId="1CAB6E12" w14:textId="77777777">
      <w:pPr>
        <w:jc w:val="center"/>
        <w:rPr>
          <w:b/>
          <w:bCs/>
        </w:rPr>
      </w:pPr>
      <w:r>
        <w:rPr>
          <w:b/>
          <w:bCs/>
        </w:rPr>
        <w:t>BY</w:t>
      </w:r>
    </w:p>
    <w:p w:rsidR="00A97A1E" w:rsidP="00A97A1E" w14:paraId="77AA6647" w14:textId="77777777">
      <w:pPr>
        <w:jc w:val="center"/>
        <w:rPr>
          <w:b/>
          <w:bCs/>
        </w:rPr>
      </w:pPr>
      <w:r>
        <w:rPr>
          <w:b/>
          <w:bCs/>
        </w:rPr>
        <w:t>THE OFFICE OF THE OHIO CONSUMERS’ COUNSEL</w:t>
      </w:r>
    </w:p>
    <w:p w:rsidR="00A97A1E" w:rsidP="00A97A1E" w14:paraId="5F22A568" w14:textId="77777777">
      <w:pPr>
        <w:pBdr>
          <w:bottom w:val="single" w:sz="12" w:space="1" w:color="auto"/>
        </w:pBdr>
        <w:tabs>
          <w:tab w:val="left" w:pos="4320"/>
        </w:tabs>
      </w:pPr>
    </w:p>
    <w:p w:rsidR="00A97A1E" w:rsidP="00A97A1E" w14:paraId="4F306B1C" w14:textId="77777777">
      <w:pPr>
        <w:tabs>
          <w:tab w:val="left" w:pos="4320"/>
        </w:tabs>
      </w:pPr>
    </w:p>
    <w:p w:rsidR="00E90691" w:rsidP="00A97A1E" w14:paraId="64CB6ED9" w14:textId="77777777">
      <w:pPr>
        <w:pStyle w:val="Footer"/>
        <w:tabs>
          <w:tab w:val="left" w:pos="4320"/>
          <w:tab w:val="clear" w:pos="8640"/>
        </w:tabs>
        <w:spacing w:before="240"/>
        <w:rPr>
          <w:sz w:val="24"/>
          <w:szCs w:val="24"/>
        </w:rPr>
      </w:pPr>
      <w:r>
        <w:rPr>
          <w:sz w:val="24"/>
          <w:szCs w:val="24"/>
        </w:rPr>
        <w:tab/>
      </w:r>
    </w:p>
    <w:p w:rsidR="00E90691" w:rsidP="00A97A1E" w14:paraId="205C2FEE" w14:textId="77777777">
      <w:pPr>
        <w:pStyle w:val="Footer"/>
        <w:tabs>
          <w:tab w:val="left" w:pos="4320"/>
          <w:tab w:val="clear" w:pos="8640"/>
        </w:tabs>
        <w:spacing w:before="240"/>
        <w:rPr>
          <w:sz w:val="24"/>
          <w:szCs w:val="24"/>
        </w:rPr>
      </w:pPr>
    </w:p>
    <w:p w:rsidR="00E00603" w:rsidRPr="00710E80" w:rsidP="00E00603" w14:paraId="0083785A" w14:textId="54258C4B">
      <w:pPr>
        <w:pStyle w:val="BodyTextIndent3"/>
        <w:widowControl w:val="0"/>
        <w:ind w:left="4320"/>
        <w:rPr>
          <w:szCs w:val="24"/>
        </w:rPr>
      </w:pPr>
      <w:r>
        <w:rPr>
          <w:szCs w:val="24"/>
        </w:rPr>
        <w:tab/>
      </w:r>
    </w:p>
    <w:p w:rsidR="00E00603" w:rsidRPr="00710E80" w:rsidP="00E00603" w14:paraId="4EACD788" w14:textId="77777777">
      <w:pPr>
        <w:ind w:left="4320"/>
      </w:pPr>
      <w:r>
        <w:t>Bruce Weston</w:t>
      </w:r>
      <w:r w:rsidRPr="00710E80">
        <w:t xml:space="preserve"> (0016973)</w:t>
      </w:r>
    </w:p>
    <w:p w:rsidR="00E00603" w:rsidRPr="00710E80" w:rsidP="00E00603" w14:paraId="57D55725" w14:textId="77777777">
      <w:pPr>
        <w:tabs>
          <w:tab w:val="left" w:pos="4320"/>
        </w:tabs>
        <w:ind w:left="4320"/>
        <w:rPr>
          <w:szCs w:val="24"/>
        </w:rPr>
      </w:pPr>
      <w:r>
        <w:rPr>
          <w:szCs w:val="24"/>
        </w:rPr>
        <w:t>Ohio Consumers’ Counsel</w:t>
      </w:r>
    </w:p>
    <w:p w:rsidR="00E00603" w:rsidRPr="00710E80" w:rsidP="00E00603" w14:paraId="2E7D0A79" w14:textId="77777777">
      <w:pPr>
        <w:tabs>
          <w:tab w:val="left" w:pos="4320"/>
        </w:tabs>
        <w:ind w:left="4320"/>
        <w:rPr>
          <w:szCs w:val="24"/>
        </w:rPr>
      </w:pPr>
    </w:p>
    <w:p w:rsidR="00E00603" w:rsidP="00E00603" w14:paraId="524F2E89" w14:textId="77777777">
      <w:pPr>
        <w:tabs>
          <w:tab w:val="left" w:pos="4320"/>
        </w:tabs>
        <w:ind w:left="4320"/>
      </w:pPr>
      <w:r w:rsidRPr="00C743FA">
        <w:t>William J. Michael (0070921)</w:t>
      </w:r>
    </w:p>
    <w:p w:rsidR="00E00603" w:rsidP="00E00603" w14:paraId="42B91895" w14:textId="77777777">
      <w:pPr>
        <w:tabs>
          <w:tab w:val="left" w:pos="4320"/>
        </w:tabs>
        <w:ind w:left="4320"/>
        <w:rPr>
          <w:szCs w:val="24"/>
        </w:rPr>
      </w:pPr>
      <w:r>
        <w:rPr>
          <w:szCs w:val="24"/>
        </w:rPr>
        <w:t>Counsel of Record</w:t>
      </w:r>
    </w:p>
    <w:p w:rsidR="00E00603" w:rsidP="00E00603" w14:paraId="51F0EBA9" w14:textId="77777777">
      <w:pPr>
        <w:tabs>
          <w:tab w:val="left" w:pos="4320"/>
        </w:tabs>
        <w:ind w:left="4320"/>
        <w:rPr>
          <w:szCs w:val="24"/>
        </w:rPr>
      </w:pPr>
      <w:r>
        <w:rPr>
          <w:szCs w:val="24"/>
        </w:rPr>
        <w:t>Amy Botschner-O’Brien (0074423)</w:t>
      </w:r>
    </w:p>
    <w:p w:rsidR="00E00603" w:rsidP="00E00603" w14:paraId="228DA2F0" w14:textId="77777777">
      <w:pPr>
        <w:tabs>
          <w:tab w:val="left" w:pos="4320"/>
        </w:tabs>
        <w:ind w:left="4320"/>
        <w:rPr>
          <w:szCs w:val="24"/>
        </w:rPr>
      </w:pPr>
      <w:r>
        <w:rPr>
          <w:szCs w:val="24"/>
        </w:rPr>
        <w:t>Ambrosia E. Logsdon (0096598)</w:t>
      </w:r>
    </w:p>
    <w:p w:rsidR="00E00603" w:rsidP="00E00603" w14:paraId="2EB0A449" w14:textId="77777777">
      <w:pPr>
        <w:tabs>
          <w:tab w:val="left" w:pos="4320"/>
        </w:tabs>
        <w:ind w:left="4320"/>
        <w:rPr>
          <w:szCs w:val="24"/>
        </w:rPr>
      </w:pPr>
      <w:r>
        <w:rPr>
          <w:szCs w:val="24"/>
        </w:rPr>
        <w:t>Assistant Consumers’ Counsel</w:t>
      </w:r>
    </w:p>
    <w:p w:rsidR="00E00603" w:rsidRPr="008A6DE3" w:rsidP="00E00603" w14:paraId="499B48DB" w14:textId="77777777">
      <w:pPr>
        <w:tabs>
          <w:tab w:val="left" w:pos="4320"/>
        </w:tabs>
        <w:ind w:left="4320"/>
        <w:rPr>
          <w:szCs w:val="24"/>
        </w:rPr>
      </w:pPr>
    </w:p>
    <w:p w:rsidR="00E00603" w:rsidRPr="001D7483" w:rsidP="00E00603" w14:paraId="6546C635" w14:textId="77777777">
      <w:pPr>
        <w:ind w:left="3600" w:firstLine="720"/>
        <w:rPr>
          <w:b/>
        </w:rPr>
      </w:pPr>
      <w:r w:rsidRPr="001D7483">
        <w:rPr>
          <w:b/>
        </w:rPr>
        <w:t>Office of the Ohio Consumers’ Counsel</w:t>
      </w:r>
    </w:p>
    <w:p w:rsidR="00E00603" w:rsidRPr="001D7483" w:rsidP="00E00603" w14:paraId="672ED87C" w14:textId="77777777">
      <w:pPr>
        <w:ind w:left="3600" w:firstLine="720"/>
      </w:pPr>
      <w:r w:rsidRPr="001D7483">
        <w:t>65 East State Street, 7th Floor</w:t>
      </w:r>
    </w:p>
    <w:p w:rsidR="00E00603" w:rsidP="00E00603" w14:paraId="0B340935" w14:textId="77777777">
      <w:pPr>
        <w:ind w:left="3600" w:firstLine="720"/>
      </w:pPr>
      <w:r w:rsidRPr="001D7483">
        <w:t>Columbus, Ohio 43215-4213</w:t>
      </w:r>
    </w:p>
    <w:p w:rsidR="00E00603" w:rsidRPr="00C743FA" w:rsidP="00E00603" w14:paraId="6651E8E7" w14:textId="77777777">
      <w:pPr>
        <w:tabs>
          <w:tab w:val="left" w:pos="4320"/>
        </w:tabs>
        <w:ind w:left="4320"/>
      </w:pPr>
      <w:r w:rsidRPr="00C743FA">
        <w:t xml:space="preserve">Telephone </w:t>
      </w:r>
      <w:r>
        <w:t xml:space="preserve">[Michael]: </w:t>
      </w:r>
      <w:r w:rsidRPr="00C743FA">
        <w:t>(614) 466-1291</w:t>
      </w:r>
    </w:p>
    <w:p w:rsidR="00E00603" w:rsidP="00E00603" w14:paraId="6F60DE07" w14:textId="6A1CF255">
      <w:pPr>
        <w:ind w:left="3600" w:firstLine="720"/>
        <w:rPr>
          <w:szCs w:val="24"/>
        </w:rPr>
      </w:pPr>
      <w:r>
        <w:rPr>
          <w:szCs w:val="24"/>
        </w:rPr>
        <w:t>Telephone [Botschner O’Brien]:</w:t>
      </w:r>
    </w:p>
    <w:p w:rsidR="00E00603" w:rsidP="00E00603" w14:paraId="723292E6" w14:textId="77777777">
      <w:pPr>
        <w:autoSpaceDE w:val="0"/>
        <w:autoSpaceDN w:val="0"/>
        <w:adjustRightInd w:val="0"/>
        <w:ind w:left="3600" w:firstLine="720"/>
        <w:rPr>
          <w:szCs w:val="24"/>
        </w:rPr>
      </w:pPr>
      <w:r>
        <w:rPr>
          <w:szCs w:val="24"/>
        </w:rPr>
        <w:t>(614) 466-9575</w:t>
      </w:r>
    </w:p>
    <w:p w:rsidR="00E00603" w:rsidP="00E00603" w14:paraId="193A722D" w14:textId="77777777">
      <w:pPr>
        <w:autoSpaceDE w:val="0"/>
        <w:autoSpaceDN w:val="0"/>
        <w:adjustRightInd w:val="0"/>
        <w:ind w:left="3600" w:firstLine="720"/>
        <w:rPr>
          <w:szCs w:val="24"/>
        </w:rPr>
      </w:pPr>
      <w:r>
        <w:rPr>
          <w:szCs w:val="24"/>
        </w:rPr>
        <w:t>Telephone [Logsdon]: (614) 466-1292</w:t>
      </w:r>
    </w:p>
    <w:p w:rsidR="00E00603" w:rsidRPr="00C743FA" w:rsidP="00E00603" w14:paraId="723ADC1F" w14:textId="77777777">
      <w:pPr>
        <w:ind w:left="4320"/>
      </w:pPr>
      <w:hyperlink r:id="rId6" w:history="1">
        <w:r w:rsidRPr="00C743FA">
          <w:rPr>
            <w:rStyle w:val="Hyperlink"/>
          </w:rPr>
          <w:t>william.michael@occ.ohio.gov</w:t>
        </w:r>
      </w:hyperlink>
    </w:p>
    <w:p w:rsidR="00E00603" w:rsidP="00E00603" w14:paraId="571B7ECE" w14:textId="77777777">
      <w:pPr>
        <w:autoSpaceDE w:val="0"/>
        <w:autoSpaceDN w:val="0"/>
        <w:adjustRightInd w:val="0"/>
        <w:ind w:left="3600" w:firstLine="720"/>
        <w:rPr>
          <w:rStyle w:val="Hyperlink"/>
          <w:szCs w:val="24"/>
        </w:rPr>
      </w:pPr>
      <w:hyperlink r:id="rId7" w:history="1">
        <w:r w:rsidRPr="00295480">
          <w:rPr>
            <w:rStyle w:val="Hyperlink"/>
            <w:szCs w:val="24"/>
          </w:rPr>
          <w:t>amy.botschner.obrien@occ.ohio.gov</w:t>
        </w:r>
      </w:hyperlink>
    </w:p>
    <w:p w:rsidR="00E00603" w:rsidP="00E00603" w14:paraId="54DC9441" w14:textId="77777777">
      <w:pPr>
        <w:ind w:left="4320"/>
        <w:rPr>
          <w:rStyle w:val="Hyperlink"/>
          <w:szCs w:val="24"/>
        </w:rPr>
      </w:pPr>
      <w:hyperlink r:id="rId8" w:history="1">
        <w:r w:rsidRPr="00295480">
          <w:rPr>
            <w:rStyle w:val="Hyperlink"/>
            <w:szCs w:val="24"/>
          </w:rPr>
          <w:t>ambrosia.logsdon@occ.ohio.gov</w:t>
        </w:r>
      </w:hyperlink>
    </w:p>
    <w:p w:rsidR="00E00603" w:rsidP="00E00603" w14:paraId="2D305F46" w14:textId="1D59B82E">
      <w:pPr>
        <w:rPr>
          <w:szCs w:val="24"/>
        </w:rPr>
      </w:pPr>
      <w:r>
        <w:rPr>
          <w:szCs w:val="24"/>
        </w:rPr>
        <w:t>June 22, 2020</w:t>
      </w:r>
      <w:r>
        <w:rPr>
          <w:szCs w:val="24"/>
        </w:rPr>
        <w:tab/>
      </w:r>
      <w:r>
        <w:rPr>
          <w:szCs w:val="24"/>
        </w:rPr>
        <w:tab/>
      </w:r>
      <w:r>
        <w:rPr>
          <w:szCs w:val="24"/>
        </w:rPr>
        <w:tab/>
      </w:r>
      <w:r>
        <w:rPr>
          <w:szCs w:val="24"/>
        </w:rPr>
        <w:tab/>
      </w:r>
      <w:r>
        <w:rPr>
          <w:szCs w:val="24"/>
        </w:rPr>
        <w:tab/>
      </w:r>
      <w:r w:rsidRPr="00710E80">
        <w:rPr>
          <w:szCs w:val="24"/>
        </w:rPr>
        <w:t>(</w:t>
      </w:r>
      <w:r>
        <w:rPr>
          <w:szCs w:val="24"/>
        </w:rPr>
        <w:t>willing to accept service by e-mail</w:t>
      </w:r>
      <w:r w:rsidRPr="00710E80">
        <w:rPr>
          <w:szCs w:val="24"/>
        </w:rPr>
        <w:t>)</w:t>
      </w:r>
    </w:p>
    <w:p w:rsidR="00A97A1E" w:rsidP="00E00603" w14:paraId="529D9747" w14:textId="41D4B2D7">
      <w:pPr>
        <w:pStyle w:val="Footer"/>
        <w:tabs>
          <w:tab w:val="left" w:pos="4320"/>
          <w:tab w:val="clear" w:pos="8640"/>
        </w:tabs>
        <w:spacing w:before="240"/>
        <w:rPr>
          <w:b/>
          <w:bCs/>
          <w:sz w:val="24"/>
        </w:rPr>
      </w:pPr>
      <w:r>
        <w:rPr>
          <w:szCs w:val="24"/>
        </w:rPr>
        <w:br w:type="page"/>
      </w:r>
    </w:p>
    <w:p w:rsidR="00A97A1E" w14:paraId="71A7C3DB" w14:textId="0F0BCBFE">
      <w:pPr>
        <w:pStyle w:val="HTMLPreformatted"/>
        <w:jc w:val="center"/>
        <w:rPr>
          <w:rFonts w:ascii="Times New Roman" w:hAnsi="Times New Roman"/>
          <w:b/>
          <w:bCs/>
          <w:sz w:val="24"/>
        </w:rPr>
        <w:sectPr w:rsidSect="00AB22E0">
          <w:footerReference w:type="default" r:id="rId9"/>
          <w:pgSz w:w="12240" w:h="15840"/>
          <w:pgMar w:top="1440" w:right="1440" w:bottom="1440" w:left="1440" w:header="720" w:footer="720" w:gutter="0"/>
          <w:pgNumType w:start="1"/>
          <w:cols w:space="720"/>
          <w:titlePg/>
          <w:docGrid w:linePitch="326"/>
        </w:sectPr>
      </w:pPr>
    </w:p>
    <w:p w:rsidR="009151FF" w14:paraId="4CB0EE0F" w14:textId="0D1BFC31">
      <w:pPr>
        <w:pStyle w:val="HTMLPreformatted"/>
        <w:jc w:val="center"/>
        <w:rPr>
          <w:rFonts w:ascii="Times New Roman" w:hAnsi="Times New Roman"/>
          <w:b/>
          <w:bCs/>
          <w:sz w:val="24"/>
          <w:u w:val="single"/>
        </w:rPr>
      </w:pPr>
      <w:r w:rsidRPr="009151FF">
        <w:rPr>
          <w:rFonts w:ascii="Times New Roman" w:hAnsi="Times New Roman"/>
          <w:b/>
          <w:bCs/>
          <w:sz w:val="24"/>
          <w:u w:val="single"/>
        </w:rPr>
        <w:t>TABLE OF CONTENTS</w:t>
      </w:r>
    </w:p>
    <w:p w:rsidR="009151FF" w14:paraId="05A68C91" w14:textId="616B42F5">
      <w:pPr>
        <w:pStyle w:val="HTMLPreformatted"/>
        <w:jc w:val="center"/>
        <w:rPr>
          <w:rFonts w:ascii="Times New Roman" w:hAnsi="Times New Roman"/>
          <w:b/>
          <w:bCs/>
          <w:sz w:val="24"/>
          <w:u w:val="single"/>
        </w:rPr>
      </w:pPr>
    </w:p>
    <w:p w:rsidR="009151FF" w:rsidP="009151FF" w14:paraId="6AF49841" w14:textId="73898DE7">
      <w:pPr>
        <w:pStyle w:val="HTMLPreformatted"/>
        <w:jc w:val="right"/>
        <w:rPr>
          <w:rFonts w:ascii="Times New Roman" w:hAnsi="Times New Roman"/>
          <w:b/>
          <w:bCs/>
          <w:sz w:val="24"/>
        </w:rPr>
      </w:pPr>
      <w:r>
        <w:rPr>
          <w:rFonts w:ascii="Times New Roman" w:hAnsi="Times New Roman"/>
          <w:b/>
          <w:bCs/>
          <w:sz w:val="24"/>
        </w:rPr>
        <w:t>PAGE</w:t>
      </w:r>
    </w:p>
    <w:p w:rsidR="00E00603" w:rsidP="009151FF" w14:paraId="7F15CDC0" w14:textId="77777777">
      <w:pPr>
        <w:pStyle w:val="HTMLPreformatted"/>
        <w:jc w:val="right"/>
        <w:rPr>
          <w:rFonts w:ascii="Times New Roman" w:hAnsi="Times New Roman"/>
          <w:b/>
          <w:bCs/>
          <w:sz w:val="24"/>
        </w:rPr>
      </w:pPr>
    </w:p>
    <w:p w:rsidR="004F51C2" w14:paraId="4FA4871E" w14:textId="4AB5B56F">
      <w:pPr>
        <w:pStyle w:val="TOC1"/>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43712723" w:history="1">
        <w:r w:rsidRPr="00065BC2">
          <w:rPr>
            <w:rStyle w:val="Hyperlink"/>
            <w:noProof/>
          </w:rPr>
          <w:t>I.</w:t>
        </w:r>
        <w:r>
          <w:rPr>
            <w:rFonts w:asciiTheme="minorHAnsi" w:eastAsiaTheme="minorEastAsia" w:hAnsiTheme="minorHAnsi" w:cstheme="minorBidi"/>
            <w:noProof/>
            <w:sz w:val="22"/>
            <w:szCs w:val="22"/>
          </w:rPr>
          <w:tab/>
        </w:r>
        <w:r w:rsidRPr="00065BC2">
          <w:rPr>
            <w:rStyle w:val="Hyperlink"/>
            <w:noProof/>
          </w:rPr>
          <w:t>BACKGROUND</w:t>
        </w:r>
        <w:r>
          <w:rPr>
            <w:noProof/>
            <w:webHidden/>
          </w:rPr>
          <w:tab/>
        </w:r>
        <w:r>
          <w:rPr>
            <w:noProof/>
            <w:webHidden/>
          </w:rPr>
          <w:fldChar w:fldCharType="begin"/>
        </w:r>
        <w:r>
          <w:rPr>
            <w:noProof/>
            <w:webHidden/>
          </w:rPr>
          <w:instrText xml:space="preserve"> PAGEREF _Toc43712723 \h </w:instrText>
        </w:r>
        <w:r>
          <w:rPr>
            <w:noProof/>
            <w:webHidden/>
          </w:rPr>
          <w:fldChar w:fldCharType="separate"/>
        </w:r>
        <w:r>
          <w:rPr>
            <w:noProof/>
            <w:webHidden/>
          </w:rPr>
          <w:t>1</w:t>
        </w:r>
        <w:r>
          <w:rPr>
            <w:noProof/>
            <w:webHidden/>
          </w:rPr>
          <w:fldChar w:fldCharType="end"/>
        </w:r>
      </w:hyperlink>
    </w:p>
    <w:p w:rsidR="004F51C2" w14:paraId="75E064EF" w14:textId="6B45203E">
      <w:pPr>
        <w:pStyle w:val="TOC1"/>
        <w:rPr>
          <w:rFonts w:asciiTheme="minorHAnsi" w:eastAsiaTheme="minorEastAsia" w:hAnsiTheme="minorHAnsi" w:cstheme="minorBidi"/>
          <w:noProof/>
          <w:sz w:val="22"/>
          <w:szCs w:val="22"/>
        </w:rPr>
      </w:pPr>
      <w:hyperlink w:anchor="_Toc43712724" w:history="1">
        <w:r w:rsidRPr="00065BC2">
          <w:rPr>
            <w:rStyle w:val="Hyperlink"/>
            <w:noProof/>
          </w:rPr>
          <w:t>II.</w:t>
        </w:r>
        <w:r>
          <w:rPr>
            <w:rFonts w:asciiTheme="minorHAnsi" w:eastAsiaTheme="minorEastAsia" w:hAnsiTheme="minorHAnsi" w:cstheme="minorBidi"/>
            <w:noProof/>
            <w:sz w:val="22"/>
            <w:szCs w:val="22"/>
          </w:rPr>
          <w:tab/>
        </w:r>
        <w:r w:rsidRPr="00065BC2">
          <w:rPr>
            <w:rStyle w:val="Hyperlink"/>
            <w:noProof/>
          </w:rPr>
          <w:t>OBJECTIONS</w:t>
        </w:r>
        <w:r>
          <w:rPr>
            <w:noProof/>
            <w:webHidden/>
          </w:rPr>
          <w:tab/>
        </w:r>
        <w:r>
          <w:rPr>
            <w:noProof/>
            <w:webHidden/>
          </w:rPr>
          <w:fldChar w:fldCharType="begin"/>
        </w:r>
        <w:r>
          <w:rPr>
            <w:noProof/>
            <w:webHidden/>
          </w:rPr>
          <w:instrText xml:space="preserve"> PAGEREF _Toc43712724 \h </w:instrText>
        </w:r>
        <w:r>
          <w:rPr>
            <w:noProof/>
            <w:webHidden/>
          </w:rPr>
          <w:fldChar w:fldCharType="separate"/>
        </w:r>
        <w:r>
          <w:rPr>
            <w:noProof/>
            <w:webHidden/>
          </w:rPr>
          <w:t>4</w:t>
        </w:r>
        <w:r>
          <w:rPr>
            <w:noProof/>
            <w:webHidden/>
          </w:rPr>
          <w:fldChar w:fldCharType="end"/>
        </w:r>
      </w:hyperlink>
    </w:p>
    <w:p w:rsidR="004F51C2" w14:paraId="3C8D1943" w14:textId="5A35C8BD">
      <w:pPr>
        <w:pStyle w:val="TOC2"/>
        <w:rPr>
          <w:rFonts w:asciiTheme="minorHAnsi" w:eastAsiaTheme="minorEastAsia" w:hAnsiTheme="minorHAnsi" w:cstheme="minorBidi"/>
          <w:noProof/>
          <w:sz w:val="22"/>
          <w:szCs w:val="22"/>
        </w:rPr>
      </w:pPr>
      <w:hyperlink w:anchor="_Toc43712725" w:history="1">
        <w:r w:rsidRPr="00065BC2">
          <w:rPr>
            <w:rStyle w:val="Hyperlink"/>
            <w:noProof/>
          </w:rPr>
          <w:t>Objection 1.</w:t>
        </w:r>
        <w:r>
          <w:rPr>
            <w:rFonts w:asciiTheme="minorHAnsi" w:eastAsiaTheme="minorEastAsia" w:hAnsiTheme="minorHAnsi" w:cstheme="minorBidi"/>
            <w:noProof/>
            <w:sz w:val="22"/>
            <w:szCs w:val="22"/>
          </w:rPr>
          <w:tab/>
        </w:r>
        <w:r w:rsidRPr="00065BC2">
          <w:rPr>
            <w:rStyle w:val="Hyperlink"/>
            <w:noProof/>
          </w:rPr>
          <w:t>To protect consumers, the PUCO Staff should have recommended that customers not pay new charges until after the coronavirus emergency is over (and for a reasonable time thereafter).</w:t>
        </w:r>
        <w:r>
          <w:rPr>
            <w:noProof/>
            <w:webHidden/>
          </w:rPr>
          <w:tab/>
        </w:r>
        <w:r>
          <w:rPr>
            <w:noProof/>
            <w:webHidden/>
          </w:rPr>
          <w:fldChar w:fldCharType="begin"/>
        </w:r>
        <w:r>
          <w:rPr>
            <w:noProof/>
            <w:webHidden/>
          </w:rPr>
          <w:instrText xml:space="preserve"> PAGEREF _Toc43712725 \h </w:instrText>
        </w:r>
        <w:r>
          <w:rPr>
            <w:noProof/>
            <w:webHidden/>
          </w:rPr>
          <w:fldChar w:fldCharType="separate"/>
        </w:r>
        <w:r>
          <w:rPr>
            <w:noProof/>
            <w:webHidden/>
          </w:rPr>
          <w:t>4</w:t>
        </w:r>
        <w:r>
          <w:rPr>
            <w:noProof/>
            <w:webHidden/>
          </w:rPr>
          <w:fldChar w:fldCharType="end"/>
        </w:r>
      </w:hyperlink>
    </w:p>
    <w:p w:rsidR="004F51C2" w14:paraId="0C0F03AC" w14:textId="2A15BD5C">
      <w:pPr>
        <w:pStyle w:val="TOC2"/>
        <w:rPr>
          <w:rFonts w:asciiTheme="minorHAnsi" w:eastAsiaTheme="minorEastAsia" w:hAnsiTheme="minorHAnsi" w:cstheme="minorBidi"/>
          <w:noProof/>
          <w:sz w:val="22"/>
          <w:szCs w:val="22"/>
        </w:rPr>
      </w:pPr>
      <w:hyperlink w:anchor="_Toc43712726" w:history="1">
        <w:r w:rsidRPr="00065BC2">
          <w:rPr>
            <w:rStyle w:val="Hyperlink"/>
            <w:noProof/>
          </w:rPr>
          <w:t>Objection 2.</w:t>
        </w:r>
        <w:r>
          <w:rPr>
            <w:rFonts w:asciiTheme="minorHAnsi" w:eastAsiaTheme="minorEastAsia" w:hAnsiTheme="minorHAnsi" w:cstheme="minorBidi"/>
            <w:noProof/>
            <w:sz w:val="22"/>
            <w:szCs w:val="22"/>
          </w:rPr>
          <w:tab/>
        </w:r>
        <w:r w:rsidRPr="00065BC2">
          <w:rPr>
            <w:rStyle w:val="Hyperlink"/>
            <w:noProof/>
          </w:rPr>
          <w:t>The PUCO Staff properly recommended limits on increases to charges to customers under the Cap ex Rider, but to better protect consumers, the limit should be based on annual investment as opposed to a rate cap.</w:t>
        </w:r>
        <w:r>
          <w:rPr>
            <w:noProof/>
            <w:webHidden/>
          </w:rPr>
          <w:tab/>
        </w:r>
        <w:r>
          <w:rPr>
            <w:noProof/>
            <w:webHidden/>
          </w:rPr>
          <w:fldChar w:fldCharType="begin"/>
        </w:r>
        <w:r>
          <w:rPr>
            <w:noProof/>
            <w:webHidden/>
          </w:rPr>
          <w:instrText xml:space="preserve"> PAGEREF _Toc43712726 \h </w:instrText>
        </w:r>
        <w:r>
          <w:rPr>
            <w:noProof/>
            <w:webHidden/>
          </w:rPr>
          <w:fldChar w:fldCharType="separate"/>
        </w:r>
        <w:r>
          <w:rPr>
            <w:noProof/>
            <w:webHidden/>
          </w:rPr>
          <w:t>5</w:t>
        </w:r>
        <w:r>
          <w:rPr>
            <w:noProof/>
            <w:webHidden/>
          </w:rPr>
          <w:fldChar w:fldCharType="end"/>
        </w:r>
      </w:hyperlink>
    </w:p>
    <w:p w:rsidR="004F51C2" w14:paraId="370C9947" w14:textId="343074C5">
      <w:pPr>
        <w:pStyle w:val="TOC2"/>
        <w:rPr>
          <w:rFonts w:asciiTheme="minorHAnsi" w:eastAsiaTheme="minorEastAsia" w:hAnsiTheme="minorHAnsi" w:cstheme="minorBidi"/>
          <w:noProof/>
          <w:sz w:val="22"/>
          <w:szCs w:val="22"/>
        </w:rPr>
      </w:pPr>
      <w:hyperlink w:anchor="_Toc43712727" w:history="1">
        <w:r w:rsidRPr="00065BC2">
          <w:rPr>
            <w:rStyle w:val="Hyperlink"/>
            <w:noProof/>
          </w:rPr>
          <w:t>Objection 3.</w:t>
        </w:r>
        <w:r>
          <w:rPr>
            <w:rFonts w:asciiTheme="minorHAnsi" w:eastAsiaTheme="minorEastAsia" w:hAnsiTheme="minorHAnsi" w:cstheme="minorBidi"/>
            <w:noProof/>
            <w:sz w:val="22"/>
            <w:szCs w:val="22"/>
          </w:rPr>
          <w:tab/>
        </w:r>
        <w:r w:rsidRPr="00065BC2">
          <w:rPr>
            <w:rStyle w:val="Hyperlink"/>
            <w:noProof/>
          </w:rPr>
          <w:t>Instead of recommending that it file an alternative regulation case by December 31, 2024, the PUCO Staff should have recommended that Duke file a base rate case by December 31, 2022.</w:t>
        </w:r>
        <w:r>
          <w:rPr>
            <w:noProof/>
            <w:webHidden/>
          </w:rPr>
          <w:tab/>
        </w:r>
        <w:r>
          <w:rPr>
            <w:noProof/>
            <w:webHidden/>
          </w:rPr>
          <w:fldChar w:fldCharType="begin"/>
        </w:r>
        <w:r>
          <w:rPr>
            <w:noProof/>
            <w:webHidden/>
          </w:rPr>
          <w:instrText xml:space="preserve"> PAGEREF _Toc43712727 \h </w:instrText>
        </w:r>
        <w:r>
          <w:rPr>
            <w:noProof/>
            <w:webHidden/>
          </w:rPr>
          <w:fldChar w:fldCharType="separate"/>
        </w:r>
        <w:r>
          <w:rPr>
            <w:noProof/>
            <w:webHidden/>
          </w:rPr>
          <w:t>7</w:t>
        </w:r>
        <w:r>
          <w:rPr>
            <w:noProof/>
            <w:webHidden/>
          </w:rPr>
          <w:fldChar w:fldCharType="end"/>
        </w:r>
      </w:hyperlink>
    </w:p>
    <w:p w:rsidR="004F51C2" w14:paraId="796110AE" w14:textId="30006238">
      <w:pPr>
        <w:pStyle w:val="TOC2"/>
        <w:rPr>
          <w:rFonts w:asciiTheme="minorHAnsi" w:eastAsiaTheme="minorEastAsia" w:hAnsiTheme="minorHAnsi" w:cstheme="minorBidi"/>
          <w:noProof/>
          <w:sz w:val="22"/>
          <w:szCs w:val="22"/>
        </w:rPr>
      </w:pPr>
      <w:hyperlink w:anchor="_Toc43712728" w:history="1">
        <w:r w:rsidRPr="00065BC2">
          <w:rPr>
            <w:rStyle w:val="Hyperlink"/>
            <w:noProof/>
          </w:rPr>
          <w:t>Objection 4.</w:t>
        </w:r>
        <w:r>
          <w:rPr>
            <w:rFonts w:asciiTheme="minorHAnsi" w:eastAsiaTheme="minorEastAsia" w:hAnsiTheme="minorHAnsi" w:cstheme="minorBidi"/>
            <w:noProof/>
            <w:sz w:val="22"/>
            <w:szCs w:val="22"/>
          </w:rPr>
          <w:tab/>
        </w:r>
        <w:r w:rsidRPr="00065BC2">
          <w:rPr>
            <w:rStyle w:val="Hyperlink"/>
            <w:noProof/>
          </w:rPr>
          <w:t>To protect consumers, any charges to customers under Rider CEP should be calculated using the most recently available customer count.</w:t>
        </w:r>
        <w:r>
          <w:rPr>
            <w:noProof/>
            <w:webHidden/>
          </w:rPr>
          <w:tab/>
        </w:r>
        <w:r>
          <w:rPr>
            <w:noProof/>
            <w:webHidden/>
          </w:rPr>
          <w:fldChar w:fldCharType="begin"/>
        </w:r>
        <w:r>
          <w:rPr>
            <w:noProof/>
            <w:webHidden/>
          </w:rPr>
          <w:instrText xml:space="preserve"> PAGEREF _Toc43712728 \h </w:instrText>
        </w:r>
        <w:r>
          <w:rPr>
            <w:noProof/>
            <w:webHidden/>
          </w:rPr>
          <w:fldChar w:fldCharType="separate"/>
        </w:r>
        <w:r>
          <w:rPr>
            <w:noProof/>
            <w:webHidden/>
          </w:rPr>
          <w:t>7</w:t>
        </w:r>
        <w:r>
          <w:rPr>
            <w:noProof/>
            <w:webHidden/>
          </w:rPr>
          <w:fldChar w:fldCharType="end"/>
        </w:r>
      </w:hyperlink>
    </w:p>
    <w:p w:rsidR="004F51C2" w14:paraId="1BC9E5E3" w14:textId="4E10648F">
      <w:pPr>
        <w:pStyle w:val="TOC2"/>
        <w:rPr>
          <w:rFonts w:asciiTheme="minorHAnsi" w:eastAsiaTheme="minorEastAsia" w:hAnsiTheme="minorHAnsi" w:cstheme="minorBidi"/>
          <w:noProof/>
          <w:sz w:val="22"/>
          <w:szCs w:val="22"/>
        </w:rPr>
      </w:pPr>
      <w:hyperlink w:anchor="_Toc43712729" w:history="1">
        <w:r w:rsidRPr="00065BC2">
          <w:rPr>
            <w:rStyle w:val="Hyperlink"/>
            <w:noProof/>
          </w:rPr>
          <w:t>Objection 5.</w:t>
        </w:r>
        <w:r>
          <w:rPr>
            <w:rFonts w:asciiTheme="minorHAnsi" w:eastAsiaTheme="minorEastAsia" w:hAnsiTheme="minorHAnsi" w:cstheme="minorBidi"/>
            <w:noProof/>
            <w:sz w:val="22"/>
            <w:szCs w:val="22"/>
          </w:rPr>
          <w:tab/>
        </w:r>
        <w:r w:rsidRPr="00065BC2">
          <w:rPr>
            <w:rStyle w:val="Hyperlink"/>
            <w:noProof/>
          </w:rPr>
          <w:t>Duke’s replacement of older infrastructure should result in operational savings, and those operational savings should be passed on to customers through the CEP Rider.</w:t>
        </w:r>
        <w:r>
          <w:rPr>
            <w:noProof/>
            <w:webHidden/>
          </w:rPr>
          <w:tab/>
        </w:r>
        <w:r>
          <w:rPr>
            <w:noProof/>
            <w:webHidden/>
          </w:rPr>
          <w:fldChar w:fldCharType="begin"/>
        </w:r>
        <w:r>
          <w:rPr>
            <w:noProof/>
            <w:webHidden/>
          </w:rPr>
          <w:instrText xml:space="preserve"> PAGEREF _Toc43712729 \h </w:instrText>
        </w:r>
        <w:r>
          <w:rPr>
            <w:noProof/>
            <w:webHidden/>
          </w:rPr>
          <w:fldChar w:fldCharType="separate"/>
        </w:r>
        <w:r>
          <w:rPr>
            <w:noProof/>
            <w:webHidden/>
          </w:rPr>
          <w:t>8</w:t>
        </w:r>
        <w:r>
          <w:rPr>
            <w:noProof/>
            <w:webHidden/>
          </w:rPr>
          <w:fldChar w:fldCharType="end"/>
        </w:r>
      </w:hyperlink>
    </w:p>
    <w:p w:rsidR="004F51C2" w14:paraId="2B8506EA" w14:textId="7C7D12C5">
      <w:pPr>
        <w:pStyle w:val="TOC2"/>
        <w:rPr>
          <w:rFonts w:asciiTheme="minorHAnsi" w:eastAsiaTheme="minorEastAsia" w:hAnsiTheme="minorHAnsi" w:cstheme="minorBidi"/>
          <w:noProof/>
          <w:sz w:val="22"/>
          <w:szCs w:val="22"/>
        </w:rPr>
      </w:pPr>
      <w:hyperlink w:anchor="_Toc43712730" w:history="1">
        <w:r w:rsidRPr="00065BC2">
          <w:rPr>
            <w:rStyle w:val="Hyperlink"/>
            <w:noProof/>
          </w:rPr>
          <w:t>Objection 6.</w:t>
        </w:r>
        <w:r>
          <w:rPr>
            <w:rFonts w:asciiTheme="minorHAnsi" w:eastAsiaTheme="minorEastAsia" w:hAnsiTheme="minorHAnsi" w:cstheme="minorBidi"/>
            <w:noProof/>
            <w:sz w:val="22"/>
            <w:szCs w:val="22"/>
          </w:rPr>
          <w:tab/>
        </w:r>
        <w:r w:rsidRPr="00065BC2">
          <w:rPr>
            <w:rStyle w:val="Hyperlink"/>
            <w:noProof/>
          </w:rPr>
          <w:t>To protect consumers, the PUCO should not authorize Duke to charge customers a 9.16% before tax rate of return on CEP investments.</w:t>
        </w:r>
        <w:r>
          <w:rPr>
            <w:noProof/>
            <w:webHidden/>
          </w:rPr>
          <w:tab/>
        </w:r>
        <w:r>
          <w:rPr>
            <w:noProof/>
            <w:webHidden/>
          </w:rPr>
          <w:fldChar w:fldCharType="begin"/>
        </w:r>
        <w:r>
          <w:rPr>
            <w:noProof/>
            <w:webHidden/>
          </w:rPr>
          <w:instrText xml:space="preserve"> PAGEREF _Toc43712730 \h </w:instrText>
        </w:r>
        <w:r>
          <w:rPr>
            <w:noProof/>
            <w:webHidden/>
          </w:rPr>
          <w:fldChar w:fldCharType="separate"/>
        </w:r>
        <w:r>
          <w:rPr>
            <w:noProof/>
            <w:webHidden/>
          </w:rPr>
          <w:t>9</w:t>
        </w:r>
        <w:r>
          <w:rPr>
            <w:noProof/>
            <w:webHidden/>
          </w:rPr>
          <w:fldChar w:fldCharType="end"/>
        </w:r>
      </w:hyperlink>
    </w:p>
    <w:p w:rsidR="004F51C2" w14:paraId="2967037E" w14:textId="15920677">
      <w:pPr>
        <w:pStyle w:val="TOC1"/>
        <w:rPr>
          <w:rFonts w:asciiTheme="minorHAnsi" w:eastAsiaTheme="minorEastAsia" w:hAnsiTheme="minorHAnsi" w:cstheme="minorBidi"/>
          <w:noProof/>
          <w:sz w:val="22"/>
          <w:szCs w:val="22"/>
        </w:rPr>
      </w:pPr>
      <w:hyperlink w:anchor="_Toc43712731" w:history="1">
        <w:r w:rsidRPr="00065BC2">
          <w:rPr>
            <w:rStyle w:val="Hyperlink"/>
            <w:noProof/>
          </w:rPr>
          <w:t>III.</w:t>
        </w:r>
        <w:r>
          <w:rPr>
            <w:rFonts w:asciiTheme="minorHAnsi" w:eastAsiaTheme="minorEastAsia" w:hAnsiTheme="minorHAnsi" w:cstheme="minorBidi"/>
            <w:noProof/>
            <w:sz w:val="22"/>
            <w:szCs w:val="22"/>
          </w:rPr>
          <w:tab/>
        </w:r>
        <w:r w:rsidRPr="00065BC2">
          <w:rPr>
            <w:rStyle w:val="Hyperlink"/>
            <w:noProof/>
          </w:rPr>
          <w:t>CONCLUSION</w:t>
        </w:r>
        <w:r>
          <w:rPr>
            <w:noProof/>
            <w:webHidden/>
          </w:rPr>
          <w:tab/>
        </w:r>
        <w:r>
          <w:rPr>
            <w:noProof/>
            <w:webHidden/>
          </w:rPr>
          <w:fldChar w:fldCharType="begin"/>
        </w:r>
        <w:r>
          <w:rPr>
            <w:noProof/>
            <w:webHidden/>
          </w:rPr>
          <w:instrText xml:space="preserve"> PAGEREF _Toc43712731 \h </w:instrText>
        </w:r>
        <w:r>
          <w:rPr>
            <w:noProof/>
            <w:webHidden/>
          </w:rPr>
          <w:fldChar w:fldCharType="separate"/>
        </w:r>
        <w:r>
          <w:rPr>
            <w:noProof/>
            <w:webHidden/>
          </w:rPr>
          <w:t>11</w:t>
        </w:r>
        <w:r>
          <w:rPr>
            <w:noProof/>
            <w:webHidden/>
          </w:rPr>
          <w:fldChar w:fldCharType="end"/>
        </w:r>
      </w:hyperlink>
    </w:p>
    <w:p w:rsidR="009151FF" w:rsidRPr="009151FF" w:rsidP="009151FF" w14:paraId="26DF4A82" w14:textId="41A0C4A3">
      <w:pPr>
        <w:pStyle w:val="HTMLPreformatted"/>
        <w:jc w:val="right"/>
        <w:rPr>
          <w:rFonts w:ascii="Times New Roman" w:hAnsi="Times New Roman"/>
          <w:b/>
          <w:bCs/>
          <w:sz w:val="24"/>
        </w:rPr>
      </w:pPr>
      <w:r>
        <w:rPr>
          <w:rFonts w:ascii="Times New Roman" w:hAnsi="Times New Roman"/>
          <w:b/>
          <w:bCs/>
          <w:sz w:val="24"/>
        </w:rPr>
        <w:fldChar w:fldCharType="end"/>
      </w:r>
    </w:p>
    <w:p w:rsidR="009151FF" w14:paraId="1838210C" w14:textId="77777777">
      <w:pPr>
        <w:pStyle w:val="HTMLPreformatted"/>
        <w:jc w:val="center"/>
        <w:rPr>
          <w:rFonts w:ascii="Times New Roman" w:hAnsi="Times New Roman"/>
          <w:b/>
          <w:bCs/>
          <w:sz w:val="24"/>
        </w:rPr>
      </w:pPr>
    </w:p>
    <w:p w:rsidR="009151FF" w14:paraId="0B86317D" w14:textId="3AA99EA6">
      <w:pPr>
        <w:pStyle w:val="HTMLPreformatted"/>
        <w:jc w:val="center"/>
        <w:rPr>
          <w:rFonts w:ascii="Times New Roman" w:hAnsi="Times New Roman"/>
          <w:b/>
          <w:bCs/>
          <w:sz w:val="24"/>
        </w:rPr>
        <w:sectPr w:rsidSect="00964180">
          <w:footerReference w:type="first" r:id="rId10"/>
          <w:pgSz w:w="12240" w:h="15840"/>
          <w:pgMar w:top="1440" w:right="1440" w:bottom="1440" w:left="1440" w:header="720" w:footer="720" w:gutter="0"/>
          <w:pgNumType w:fmt="lowerRoman" w:start="1"/>
          <w:cols w:space="720"/>
          <w:titlePg/>
          <w:docGrid w:linePitch="326"/>
        </w:sectPr>
      </w:pPr>
    </w:p>
    <w:p w:rsidR="00836BDA" w14:paraId="60D81BEB" w14:textId="6A5CF740">
      <w:pPr>
        <w:pStyle w:val="HTMLPreformatted"/>
        <w:jc w:val="center"/>
        <w:rPr>
          <w:rFonts w:ascii="Times New Roman" w:hAnsi="Times New Roman"/>
          <w:b/>
          <w:bCs/>
          <w:sz w:val="24"/>
        </w:rPr>
      </w:pPr>
      <w:r>
        <w:rPr>
          <w:rFonts w:ascii="Times New Roman" w:hAnsi="Times New Roman"/>
          <w:b/>
          <w:bCs/>
          <w:sz w:val="24"/>
        </w:rPr>
        <w:t>BEFORE</w:t>
      </w:r>
    </w:p>
    <w:p w:rsidR="00836BDA" w14:paraId="5DB3FD82" w14:textId="77777777">
      <w:pPr>
        <w:pStyle w:val="HTMLPreformatted"/>
        <w:jc w:val="center"/>
        <w:rPr>
          <w:rFonts w:ascii="Times New Roman" w:hAnsi="Times New Roman"/>
          <w:sz w:val="24"/>
        </w:rPr>
      </w:pPr>
      <w:r>
        <w:rPr>
          <w:rFonts w:ascii="Times New Roman" w:hAnsi="Times New Roman"/>
          <w:b/>
          <w:bCs/>
          <w:sz w:val="24"/>
        </w:rPr>
        <w:t>THE PUBLIC UTILITIES COMMISSION OF OHIO</w:t>
      </w:r>
    </w:p>
    <w:p w:rsidR="00836BDA" w14:paraId="5D11422F" w14:textId="77777777">
      <w:pPr>
        <w:pStyle w:val="HTMLPreformatted"/>
        <w:rPr>
          <w:rFonts w:ascii="Times New Roman" w:hAnsi="Times New Roman"/>
          <w:sz w:val="24"/>
        </w:rPr>
      </w:pPr>
    </w:p>
    <w:tbl>
      <w:tblPr>
        <w:tblW w:w="9360" w:type="dxa"/>
        <w:tblLook w:val="01E0"/>
      </w:tblPr>
      <w:tblGrid>
        <w:gridCol w:w="4669"/>
        <w:gridCol w:w="299"/>
        <w:gridCol w:w="3222"/>
        <w:gridCol w:w="1170"/>
      </w:tblGrid>
      <w:tr w14:paraId="67C05B5D" w14:textId="4713BC5B" w:rsidTr="00B44EBB">
        <w:tblPrEx>
          <w:tblW w:w="9360" w:type="dxa"/>
          <w:tblLook w:val="01E0"/>
        </w:tblPrEx>
        <w:trPr>
          <w:trHeight w:val="807"/>
        </w:trPr>
        <w:tc>
          <w:tcPr>
            <w:tcW w:w="4669" w:type="dxa"/>
            <w:shd w:val="clear" w:color="auto" w:fill="auto"/>
          </w:tcPr>
          <w:p w:rsidR="00963664" w:rsidRPr="00A044B5" w:rsidP="00836BDA" w14:paraId="7A24FCBB" w14:textId="06923074">
            <w:pPr>
              <w:pStyle w:val="HTMLPreformatted"/>
              <w:rPr>
                <w:rFonts w:ascii="Times New Roman" w:hAnsi="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Duke Energy Ohio, Inc. for Approval of an Alternative Form of Regulation.</w:t>
            </w:r>
          </w:p>
        </w:tc>
        <w:tc>
          <w:tcPr>
            <w:tcW w:w="299" w:type="dxa"/>
            <w:shd w:val="clear" w:color="auto" w:fill="auto"/>
          </w:tcPr>
          <w:p w:rsidR="00963664" w:rsidRPr="00A044B5" w14:paraId="78009534" w14:textId="77777777">
            <w:pPr>
              <w:pStyle w:val="HTMLPreformatted"/>
              <w:rPr>
                <w:rFonts w:ascii="Times New Roman" w:hAnsi="Times New Roman"/>
                <w:sz w:val="24"/>
              </w:rPr>
            </w:pPr>
            <w:r w:rsidRPr="00A044B5">
              <w:rPr>
                <w:rFonts w:ascii="Times New Roman" w:hAnsi="Times New Roman"/>
                <w:sz w:val="24"/>
              </w:rPr>
              <w:t>)</w:t>
            </w:r>
          </w:p>
          <w:p w:rsidR="00963664" w:rsidRPr="00A044B5" w14:paraId="4968F516" w14:textId="77777777">
            <w:pPr>
              <w:pStyle w:val="HTMLPreformatted"/>
              <w:rPr>
                <w:rFonts w:ascii="Times New Roman" w:hAnsi="Times New Roman"/>
                <w:sz w:val="24"/>
              </w:rPr>
            </w:pPr>
            <w:r w:rsidRPr="00A044B5">
              <w:rPr>
                <w:rFonts w:ascii="Times New Roman" w:hAnsi="Times New Roman"/>
                <w:sz w:val="24"/>
              </w:rPr>
              <w:t>)</w:t>
            </w:r>
          </w:p>
          <w:p w:rsidR="00963664" w:rsidRPr="00A044B5" w:rsidP="00CB5D16" w14:paraId="5A8F16F2" w14:textId="77777777">
            <w:pPr>
              <w:pStyle w:val="HTMLPreformatted"/>
              <w:rPr>
                <w:rFonts w:ascii="Times New Roman" w:hAnsi="Times New Roman"/>
                <w:sz w:val="24"/>
              </w:rPr>
            </w:pPr>
            <w:r w:rsidRPr="00A044B5">
              <w:rPr>
                <w:rFonts w:ascii="Times New Roman" w:hAnsi="Times New Roman"/>
                <w:sz w:val="24"/>
              </w:rPr>
              <w:t>)</w:t>
            </w:r>
          </w:p>
        </w:tc>
        <w:tc>
          <w:tcPr>
            <w:tcW w:w="3222" w:type="dxa"/>
            <w:shd w:val="clear" w:color="auto" w:fill="auto"/>
          </w:tcPr>
          <w:p w:rsidR="00963664" w:rsidRPr="00A044B5" w14:paraId="3E702678" w14:textId="77777777">
            <w:pPr>
              <w:pStyle w:val="HTMLPreformatted"/>
              <w:rPr>
                <w:rFonts w:ascii="Times New Roman" w:hAnsi="Times New Roman"/>
                <w:sz w:val="24"/>
              </w:rPr>
            </w:pPr>
          </w:p>
          <w:p w:rsidR="00963664" w:rsidRPr="00A044B5" w14:paraId="6F809A4A" w14:textId="315992CE">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19-791-GA-ALT</w:t>
            </w:r>
          </w:p>
          <w:p w:rsidR="00963664" w:rsidRPr="00A044B5" w14:paraId="33ABFAC6" w14:textId="77777777">
            <w:pPr>
              <w:pStyle w:val="HTMLPreformatted"/>
              <w:rPr>
                <w:rFonts w:ascii="Times New Roman" w:hAnsi="Times New Roman"/>
                <w:sz w:val="24"/>
              </w:rPr>
            </w:pPr>
          </w:p>
        </w:tc>
        <w:tc>
          <w:tcPr>
            <w:tcW w:w="1170" w:type="dxa"/>
          </w:tcPr>
          <w:p w:rsidR="00963664" w:rsidRPr="00A044B5" w14:paraId="5B2DC959" w14:textId="77777777">
            <w:pPr>
              <w:pStyle w:val="HTMLPreformatted"/>
              <w:rPr>
                <w:rFonts w:ascii="Times New Roman" w:hAnsi="Times New Roman"/>
                <w:sz w:val="24"/>
              </w:rPr>
            </w:pPr>
          </w:p>
        </w:tc>
      </w:tr>
    </w:tbl>
    <w:p w:rsidR="00836BDA" w14:paraId="597DEC08" w14:textId="77777777">
      <w:pPr>
        <w:pStyle w:val="HTMLPreformatted"/>
        <w:rPr>
          <w:rFonts w:ascii="Times New Roman" w:hAnsi="Times New Roman"/>
          <w:sz w:val="24"/>
        </w:rPr>
      </w:pPr>
    </w:p>
    <w:p w:rsidR="00836BDA" w14:paraId="4ED4C24D" w14:textId="77777777">
      <w:pPr>
        <w:pStyle w:val="HTMLPreformatted"/>
        <w:pBdr>
          <w:top w:val="single" w:sz="12" w:space="1" w:color="auto"/>
        </w:pBdr>
        <w:rPr>
          <w:rFonts w:ascii="Times New Roman" w:hAnsi="Times New Roman"/>
          <w:sz w:val="24"/>
        </w:rPr>
      </w:pPr>
    </w:p>
    <w:p w:rsidR="00836BDA" w14:paraId="532EE42E" w14:textId="77777777">
      <w:pPr>
        <w:jc w:val="center"/>
        <w:rPr>
          <w:b/>
          <w:bCs/>
        </w:rPr>
      </w:pPr>
      <w:r>
        <w:rPr>
          <w:b/>
          <w:bCs/>
        </w:rPr>
        <w:t>OBJECTIONS</w:t>
      </w:r>
    </w:p>
    <w:p w:rsidR="00836BDA" w14:paraId="48F49B3E" w14:textId="77777777">
      <w:pPr>
        <w:jc w:val="center"/>
        <w:rPr>
          <w:b/>
          <w:bCs/>
        </w:rPr>
      </w:pPr>
      <w:r>
        <w:rPr>
          <w:b/>
          <w:bCs/>
        </w:rPr>
        <w:t>BY</w:t>
      </w:r>
    </w:p>
    <w:p w:rsidR="00836BDA" w14:paraId="6AF46DE4" w14:textId="77777777">
      <w:pPr>
        <w:jc w:val="center"/>
        <w:rPr>
          <w:b/>
          <w:bCs/>
        </w:rPr>
      </w:pPr>
      <w:r>
        <w:rPr>
          <w:b/>
          <w:bCs/>
        </w:rPr>
        <w:t>THE OFFICE OF THE OHIO CONSUMERS’ COUNSEL</w:t>
      </w:r>
    </w:p>
    <w:p w:rsidR="00836BDA" w14:paraId="3E28B1E6" w14:textId="77777777">
      <w:pPr>
        <w:pBdr>
          <w:bottom w:val="single" w:sz="12" w:space="1" w:color="auto"/>
        </w:pBdr>
        <w:tabs>
          <w:tab w:val="left" w:pos="4320"/>
        </w:tabs>
      </w:pPr>
    </w:p>
    <w:p w:rsidR="00836BDA" w14:paraId="3A3D97F3" w14:textId="77777777">
      <w:pPr>
        <w:tabs>
          <w:tab w:val="left" w:pos="4320"/>
        </w:tabs>
      </w:pPr>
    </w:p>
    <w:p w:rsidR="00DC61DF" w:rsidP="00CB5D16" w14:paraId="67FB257C" w14:textId="1F442700">
      <w:pPr>
        <w:pStyle w:val="BodyTextIndent3"/>
        <w:widowControl w:val="0"/>
        <w:spacing w:line="480" w:lineRule="auto"/>
      </w:pPr>
      <w:r>
        <w:t>Duke</w:t>
      </w:r>
      <w:r>
        <w:t xml:space="preserve"> Energy Ohio wants to add a new charge to its </w:t>
      </w:r>
      <w:r w:rsidR="00804BE3">
        <w:t>customers’</w:t>
      </w:r>
      <w:r>
        <w:t xml:space="preserve"> bills to pay for capital investments it made from 201</w:t>
      </w:r>
      <w:r>
        <w:t>3</w:t>
      </w:r>
      <w:r>
        <w:t xml:space="preserve"> to 2018. The Public Utilities Commission of Ohio (“PUCO”) should not approve these new charges</w:t>
      </w:r>
      <w:r w:rsidR="00DB2909">
        <w:t xml:space="preserve">. They would be </w:t>
      </w:r>
      <w:r>
        <w:t>nearly $</w:t>
      </w:r>
      <w:r>
        <w:t>45</w:t>
      </w:r>
      <w:r>
        <w:rPr>
          <w:rStyle w:val="FootnoteReference"/>
        </w:rPr>
        <w:footnoteReference w:id="2"/>
      </w:r>
      <w:r>
        <w:t xml:space="preserve"> </w:t>
      </w:r>
      <w:r>
        <w:t>per year for each residential customer</w:t>
      </w:r>
      <w:r w:rsidR="00F87C07">
        <w:t xml:space="preserve"> to start, with annual increases thereafter</w:t>
      </w:r>
      <w:r w:rsidR="00DB2909">
        <w:t xml:space="preserve">. </w:t>
      </w:r>
      <w:r>
        <w:t>Duke</w:t>
      </w:r>
      <w:r w:rsidR="00DB2909">
        <w:t xml:space="preserve"> is asking to increase consumers’ charges </w:t>
      </w:r>
      <w:r>
        <w:t xml:space="preserve">right when </w:t>
      </w:r>
      <w:r w:rsidR="00670DFF">
        <w:t xml:space="preserve">they </w:t>
      </w:r>
      <w:r w:rsidR="00F87C07">
        <w:t xml:space="preserve">are facing the challenges of a once-in-a-lifetime health and financial emergency resulting from the coronavirus. Even in the absence of such emergency, </w:t>
      </w:r>
      <w:r>
        <w:t>Duke</w:t>
      </w:r>
      <w:r w:rsidR="00F87C07">
        <w:t>’s request for these new charges (referred to as the “capital expenditure program rider” or “</w:t>
      </w:r>
      <w:r w:rsidR="00344F0B">
        <w:t xml:space="preserve">Cap ex </w:t>
      </w:r>
      <w:r w:rsidR="00F87C07">
        <w:t xml:space="preserve"> Rider”) should not be approved without certain consumer-protection modifications.</w:t>
      </w:r>
    </w:p>
    <w:p w:rsidR="00F87C07" w14:paraId="28D9E894" w14:textId="16286051">
      <w:pPr>
        <w:pStyle w:val="BodyTextIndent3"/>
        <w:widowControl w:val="0"/>
        <w:spacing w:line="480" w:lineRule="auto"/>
        <w:ind w:right="-312"/>
      </w:pPr>
      <w:r>
        <w:t xml:space="preserve">The Office of the Ohio Consumers’ Counsel (“OCC”) respectfully requests that the PUCO adopt the following recommendations to protect </w:t>
      </w:r>
      <w:r w:rsidR="00F80D21">
        <w:t>Duke</w:t>
      </w:r>
      <w:r>
        <w:t>’s residential customers from paying unjust and unreasonable rates.</w:t>
      </w:r>
    </w:p>
    <w:p w:rsidR="00CB5D16" w:rsidP="00CB5D16" w14:paraId="4ABC4A22" w14:textId="77777777">
      <w:pPr>
        <w:pStyle w:val="BodyTextIndent3"/>
        <w:widowControl w:val="0"/>
        <w:spacing w:line="240" w:lineRule="auto"/>
        <w:ind w:right="-312"/>
      </w:pPr>
    </w:p>
    <w:p w:rsidR="004515C4" w:rsidRPr="004515C4" w:rsidP="00D06DE4" w14:paraId="3474E86C" w14:textId="77777777">
      <w:pPr>
        <w:pStyle w:val="Heading1"/>
      </w:pPr>
      <w:bookmarkStart w:id="1" w:name="_Toc43712723"/>
      <w:r>
        <w:t>I.</w:t>
      </w:r>
      <w:r>
        <w:tab/>
        <w:t>BACKGROUND</w:t>
      </w:r>
      <w:bookmarkEnd w:id="1"/>
    </w:p>
    <w:p w:rsidR="00670DFF" w:rsidP="00CB5D16" w14:paraId="73BA1172" w14:textId="71562793">
      <w:pPr>
        <w:pStyle w:val="BodyTextIndent3"/>
        <w:widowControl w:val="0"/>
        <w:spacing w:line="480" w:lineRule="auto"/>
      </w:pPr>
      <w:r>
        <w:t>Duke</w:t>
      </w:r>
      <w:r w:rsidR="006B45D4">
        <w:t>’s capital expenditure program began in late 201</w:t>
      </w:r>
      <w:r w:rsidR="000C0BF3">
        <w:t>3</w:t>
      </w:r>
      <w:r w:rsidR="006B45D4">
        <w:t xml:space="preserve">. </w:t>
      </w:r>
      <w:r w:rsidR="00DB2909">
        <w:t>From</w:t>
      </w:r>
      <w:r w:rsidR="006B45D4">
        <w:t xml:space="preserve"> 201</w:t>
      </w:r>
      <w:r w:rsidR="000C0BF3">
        <w:t>3</w:t>
      </w:r>
      <w:r w:rsidR="00890AFE">
        <w:t xml:space="preserve"> through 2018</w:t>
      </w:r>
      <w:r w:rsidR="00344F0B">
        <w:t>,</w:t>
      </w:r>
      <w:r w:rsidR="006B45D4">
        <w:t xml:space="preserve"> </w:t>
      </w:r>
      <w:r w:rsidR="00344F0B">
        <w:t xml:space="preserve">Duke </w:t>
      </w:r>
      <w:r w:rsidR="006B45D4">
        <w:t xml:space="preserve">made </w:t>
      </w:r>
      <w:r w:rsidR="009E679F">
        <w:t xml:space="preserve">approximately </w:t>
      </w:r>
      <w:r w:rsidR="006B45D4">
        <w:t>$</w:t>
      </w:r>
      <w:r w:rsidR="00B73016">
        <w:t>341.8</w:t>
      </w:r>
      <w:r w:rsidR="000C0BF3">
        <w:t xml:space="preserve"> </w:t>
      </w:r>
      <w:r w:rsidR="006B45D4">
        <w:t>million in capital investments, including $</w:t>
      </w:r>
      <w:r w:rsidR="001239E4">
        <w:t>32</w:t>
      </w:r>
      <w:r w:rsidR="00E92C3B">
        <w:t>0.9</w:t>
      </w:r>
      <w:r w:rsidR="000C0BF3">
        <w:t xml:space="preserve"> </w:t>
      </w:r>
      <w:r w:rsidR="006B45D4">
        <w:t xml:space="preserve">million on </w:t>
      </w:r>
      <w:r w:rsidR="001239E4">
        <w:t>distribution improvement</w:t>
      </w:r>
      <w:r w:rsidR="006B45D4">
        <w:t xml:space="preserve"> projects</w:t>
      </w:r>
      <w:r w:rsidR="001239E4">
        <w:t xml:space="preserve"> and</w:t>
      </w:r>
      <w:r w:rsidR="006B45D4">
        <w:t xml:space="preserve"> $</w:t>
      </w:r>
      <w:r w:rsidR="003510DE">
        <w:t>20</w:t>
      </w:r>
      <w:r w:rsidR="001239E4">
        <w:t>.9</w:t>
      </w:r>
      <w:r w:rsidR="000C0BF3">
        <w:t xml:space="preserve"> </w:t>
      </w:r>
      <w:r w:rsidR="006B45D4">
        <w:t>million on information technology</w:t>
      </w:r>
      <w:r w:rsidR="00890AFE">
        <w:t xml:space="preserve"> (collectively</w:t>
      </w:r>
      <w:r w:rsidR="00DB2909">
        <w:t>, the</w:t>
      </w:r>
      <w:r w:rsidR="00CB5D16">
        <w:t xml:space="preserve"> </w:t>
      </w:r>
      <w:r w:rsidR="00890AFE">
        <w:t>“CEP Investments”)</w:t>
      </w:r>
      <w:r w:rsidR="006B45D4">
        <w:t>.</w:t>
      </w:r>
      <w:r>
        <w:rPr>
          <w:rStyle w:val="FootnoteReference"/>
        </w:rPr>
        <w:footnoteReference w:id="3"/>
      </w:r>
      <w:r w:rsidR="006B45D4">
        <w:t xml:space="preserve"> Until now, </w:t>
      </w:r>
      <w:r>
        <w:t>Duke</w:t>
      </w:r>
      <w:r w:rsidR="006B45D4">
        <w:t xml:space="preserve"> has been deferring </w:t>
      </w:r>
      <w:r w:rsidR="00890AFE">
        <w:t xml:space="preserve">post in-service carrying costs (“PISCC”) and property tax and depreciation expenses associated with the </w:t>
      </w:r>
      <w:r w:rsidR="00344F0B">
        <w:t>i</w:t>
      </w:r>
      <w:r w:rsidR="00890AFE">
        <w:t>nvestments.</w:t>
      </w:r>
      <w:r>
        <w:rPr>
          <w:rStyle w:val="FootnoteReference"/>
        </w:rPr>
        <w:footnoteReference w:id="4"/>
      </w:r>
      <w:r w:rsidR="00890AFE">
        <w:t xml:space="preserve"> </w:t>
      </w:r>
    </w:p>
    <w:p w:rsidR="006B45D4" w:rsidP="00CB5D16" w14:paraId="04054A8F" w14:textId="7B4EF621">
      <w:pPr>
        <w:pStyle w:val="BodyTextIndent3"/>
        <w:widowControl w:val="0"/>
        <w:spacing w:line="480" w:lineRule="auto"/>
      </w:pPr>
      <w:r>
        <w:t>Duke</w:t>
      </w:r>
      <w:r>
        <w:t xml:space="preserve"> </w:t>
      </w:r>
      <w:r w:rsidR="00B55955">
        <w:t xml:space="preserve">now </w:t>
      </w:r>
      <w:r>
        <w:t>request</w:t>
      </w:r>
      <w:r w:rsidR="00B55955">
        <w:t>s authority</w:t>
      </w:r>
      <w:r>
        <w:t xml:space="preserve"> to begin charging </w:t>
      </w:r>
      <w:r w:rsidR="00890AFE">
        <w:t xml:space="preserve">customers for </w:t>
      </w:r>
      <w:r w:rsidR="00DB2909">
        <w:t xml:space="preserve">the </w:t>
      </w:r>
      <w:r w:rsidR="00890AFE">
        <w:t>C</w:t>
      </w:r>
      <w:r w:rsidR="00344F0B">
        <w:t xml:space="preserve">ap ex </w:t>
      </w:r>
      <w:r w:rsidR="00890AFE">
        <w:t xml:space="preserve">deferrals as well as </w:t>
      </w:r>
      <w:r>
        <w:t xml:space="preserve">a return of </w:t>
      </w:r>
      <w:r w:rsidR="006C187E">
        <w:t xml:space="preserve">and on the </w:t>
      </w:r>
      <w:r>
        <w:t>capital investments</w:t>
      </w:r>
      <w:r w:rsidR="000E6B41">
        <w:t xml:space="preserve"> (totaling $</w:t>
      </w:r>
      <w:r w:rsidR="00EF401F">
        <w:t>297.5</w:t>
      </w:r>
      <w:r w:rsidR="006A3E5B">
        <w:t xml:space="preserve"> </w:t>
      </w:r>
      <w:r w:rsidR="000E6B41">
        <w:t xml:space="preserve">million </w:t>
      </w:r>
      <w:r w:rsidR="006C187E">
        <w:t xml:space="preserve">for the CEP Investments </w:t>
      </w:r>
      <w:r w:rsidR="000E6B41">
        <w:t>after accounting for</w:t>
      </w:r>
      <w:r w:rsidR="004B0245">
        <w:t xml:space="preserve"> </w:t>
      </w:r>
      <w:r w:rsidR="000E6B41">
        <w:t>retirements</w:t>
      </w:r>
      <w:r w:rsidR="00DB2909">
        <w:t>,</w:t>
      </w:r>
      <w:r>
        <w:rPr>
          <w:rStyle w:val="FootnoteReference"/>
        </w:rPr>
        <w:footnoteReference w:id="5"/>
      </w:r>
      <w:r w:rsidR="006C187E">
        <w:t xml:space="preserve"> plus $</w:t>
      </w:r>
      <w:r w:rsidR="00A96522">
        <w:t>45</w:t>
      </w:r>
      <w:r w:rsidR="000C0BF3">
        <w:t xml:space="preserve"> </w:t>
      </w:r>
      <w:r w:rsidR="006C187E">
        <w:t>million for the accrued CEP deferrals</w:t>
      </w:r>
      <w:r>
        <w:rPr>
          <w:rStyle w:val="FootnoteReference"/>
        </w:rPr>
        <w:footnoteReference w:id="6"/>
      </w:r>
      <w:r w:rsidR="000E6B41">
        <w:t>)</w:t>
      </w:r>
      <w:r>
        <w:t xml:space="preserve">. If </w:t>
      </w:r>
      <w:r>
        <w:t>Duke</w:t>
      </w:r>
      <w:r>
        <w:t>’s Application is approved as filed, residential customers will each pay $3.</w:t>
      </w:r>
      <w:r w:rsidR="000C0BF3">
        <w:t xml:space="preserve">72 </w:t>
      </w:r>
      <w:r>
        <w:t xml:space="preserve">per month initially, with higher charges in the future as </w:t>
      </w:r>
      <w:r>
        <w:t>Duke</w:t>
      </w:r>
      <w:r>
        <w:t xml:space="preserve"> continues to make capital investments under its capital expenditure program.</w:t>
      </w:r>
      <w:r>
        <w:rPr>
          <w:rStyle w:val="FootnoteReference"/>
        </w:rPr>
        <w:footnoteReference w:id="7"/>
      </w:r>
      <w:r>
        <w:t xml:space="preserve"> This is equivalent to $</w:t>
      </w:r>
      <w:r w:rsidR="00585818">
        <w:t>18.0</w:t>
      </w:r>
      <w:r>
        <w:t xml:space="preserve"> million in charges to residential customers over a one-year period.</w:t>
      </w:r>
      <w:r>
        <w:rPr>
          <w:rStyle w:val="FootnoteReference"/>
        </w:rPr>
        <w:footnoteReference w:id="8"/>
      </w:r>
      <w:r>
        <w:t xml:space="preserve"> Residential customers would pay nearly </w:t>
      </w:r>
      <w:r w:rsidR="00585818">
        <w:t xml:space="preserve">three-fourths </w:t>
      </w:r>
      <w:r>
        <w:t>of all ca</w:t>
      </w:r>
      <w:r w:rsidR="00565FA7">
        <w:t>pital expenditure program costs.</w:t>
      </w:r>
      <w:r>
        <w:rPr>
          <w:rStyle w:val="FootnoteReference"/>
        </w:rPr>
        <w:footnoteReference w:id="9"/>
      </w:r>
    </w:p>
    <w:p w:rsidR="00472F1B" w:rsidP="00CB5D16" w14:paraId="18B4BEFE" w14:textId="77777777">
      <w:pPr>
        <w:pStyle w:val="BodyTextIndent3"/>
        <w:widowControl w:val="0"/>
        <w:spacing w:line="480" w:lineRule="auto"/>
      </w:pPr>
      <w:r>
        <w:t xml:space="preserve">On behalf of the PUCO Staff, </w:t>
      </w:r>
      <w:r w:rsidR="00975ACE">
        <w:t>Larkin &amp; Associates PLLC</w:t>
      </w:r>
      <w:r>
        <w:t xml:space="preserve"> </w:t>
      </w:r>
      <w:r w:rsidR="004508CD">
        <w:t xml:space="preserve">(“Larkin” or the </w:t>
      </w:r>
      <w:r w:rsidR="00670DFF">
        <w:t>“</w:t>
      </w:r>
      <w:r w:rsidR="004508CD">
        <w:t>Auditor</w:t>
      </w:r>
      <w:r w:rsidR="00670DFF">
        <w:t>”</w:t>
      </w:r>
      <w:r w:rsidR="004508CD">
        <w:t xml:space="preserve">) </w:t>
      </w:r>
      <w:r>
        <w:t xml:space="preserve">performed an audit of </w:t>
      </w:r>
      <w:r w:rsidR="00F80D21">
        <w:t>Duke</w:t>
      </w:r>
      <w:r>
        <w:t>’s capital spending under the capital expenditure program.</w:t>
      </w:r>
      <w:r>
        <w:rPr>
          <w:rStyle w:val="FootnoteReference"/>
        </w:rPr>
        <w:footnoteReference w:id="10"/>
      </w:r>
      <w:r w:rsidR="00BC05C0">
        <w:t xml:space="preserve"> </w:t>
      </w:r>
      <w:r w:rsidR="00975ACE">
        <w:t>Larkin</w:t>
      </w:r>
      <w:r w:rsidR="004508CD">
        <w:t xml:space="preserve"> </w:t>
      </w:r>
      <w:r w:rsidR="00BC05C0">
        <w:t xml:space="preserve">recommended minimal adjustments to </w:t>
      </w:r>
      <w:r w:rsidR="00F80D21">
        <w:t>Duke</w:t>
      </w:r>
      <w:r w:rsidR="00BC05C0">
        <w:t xml:space="preserve">’s Application. In sum, </w:t>
      </w:r>
      <w:r w:rsidR="00975ACE">
        <w:t>Larkin</w:t>
      </w:r>
      <w:r w:rsidR="004508CD">
        <w:t xml:space="preserve"> </w:t>
      </w:r>
      <w:r w:rsidR="00BC05C0">
        <w:t xml:space="preserve">recommended a reduction in the capital expenditure program plant in service balance </w:t>
      </w:r>
      <w:r w:rsidR="006A3E5B">
        <w:t xml:space="preserve">of </w:t>
      </w:r>
      <w:r w:rsidR="00845B4A">
        <w:t>approximately</w:t>
      </w:r>
      <w:r w:rsidR="006A3E5B">
        <w:t xml:space="preserve"> $</w:t>
      </w:r>
      <w:r w:rsidR="00845B4A">
        <w:t>898</w:t>
      </w:r>
      <w:r w:rsidR="00585818">
        <w:t>,000</w:t>
      </w:r>
      <w:r w:rsidR="006A3E5B">
        <w:t>,</w:t>
      </w:r>
      <w:r w:rsidR="00845B4A">
        <w:t xml:space="preserve"> </w:t>
      </w:r>
      <w:r w:rsidR="00BC05C0">
        <w:t>from $</w:t>
      </w:r>
      <w:r w:rsidR="00A3023F">
        <w:t>297.5</w:t>
      </w:r>
      <w:r w:rsidR="00BC05C0">
        <w:t xml:space="preserve"> million to $</w:t>
      </w:r>
      <w:r w:rsidR="00A3023F">
        <w:t>296.6</w:t>
      </w:r>
      <w:r w:rsidR="00BC05C0">
        <w:t xml:space="preserve"> million.</w:t>
      </w:r>
      <w:r>
        <w:rPr>
          <w:rStyle w:val="FootnoteReference"/>
        </w:rPr>
        <w:footnoteReference w:id="11"/>
      </w:r>
      <w:r w:rsidR="00BC05C0">
        <w:t xml:space="preserve"> As a result of </w:t>
      </w:r>
      <w:r w:rsidR="004508CD">
        <w:t>Larkin’s</w:t>
      </w:r>
      <w:r w:rsidR="00BC05C0">
        <w:t xml:space="preserve"> recommendation, charges to </w:t>
      </w:r>
    </w:p>
    <w:p w:rsidR="00472F1B" w14:paraId="1E3456FE" w14:textId="77777777">
      <w:r>
        <w:br w:type="page"/>
      </w:r>
    </w:p>
    <w:p w:rsidR="004515C4" w:rsidP="00472F1B" w14:paraId="5A0A02D3" w14:textId="690FCCE5">
      <w:pPr>
        <w:pStyle w:val="BodyTextIndent3"/>
        <w:widowControl w:val="0"/>
        <w:spacing w:line="480" w:lineRule="auto"/>
        <w:ind w:firstLine="0"/>
      </w:pPr>
      <w:r>
        <w:t>residential customers would be</w:t>
      </w:r>
      <w:r w:rsidR="001E7860">
        <w:t xml:space="preserve"> $3.</w:t>
      </w:r>
      <w:r w:rsidR="001C5E82">
        <w:t xml:space="preserve">68 </w:t>
      </w:r>
      <w:r w:rsidR="001E7860">
        <w:t xml:space="preserve">per month, </w:t>
      </w:r>
      <w:r>
        <w:t xml:space="preserve">just </w:t>
      </w:r>
      <w:r w:rsidR="001C5E82">
        <w:t>four</w:t>
      </w:r>
      <w:r>
        <w:t xml:space="preserve"> cents lower per month as compared to </w:t>
      </w:r>
      <w:r w:rsidR="00F80D21">
        <w:t>Duke</w:t>
      </w:r>
      <w:r>
        <w:t>’s Application.</w:t>
      </w:r>
      <w:r>
        <w:rPr>
          <w:rStyle w:val="FootnoteReference"/>
        </w:rPr>
        <w:footnoteReference w:id="12"/>
      </w:r>
    </w:p>
    <w:p w:rsidR="00BC05C0" w:rsidP="00CB5D16" w14:paraId="4D1B3F4E" w14:textId="41B7B2D3">
      <w:pPr>
        <w:pStyle w:val="BodyTextIndent3"/>
        <w:spacing w:line="480" w:lineRule="auto"/>
      </w:pPr>
      <w:r>
        <w:t xml:space="preserve">The PUCO Staff filed its Staff Report shortly after the Audit Report. In the Staff Report, the PUCO Staff </w:t>
      </w:r>
      <w:r w:rsidR="001E7860">
        <w:t xml:space="preserve">largely adopted the recommendations found in the Audit Report, including </w:t>
      </w:r>
      <w:r w:rsidR="00A777AC">
        <w:t>Larkin</w:t>
      </w:r>
      <w:r w:rsidR="001E7860">
        <w:t xml:space="preserve">’s </w:t>
      </w:r>
      <w:r w:rsidR="006C187E">
        <w:t xml:space="preserve">small adjustments to </w:t>
      </w:r>
      <w:r w:rsidR="00F80D21">
        <w:t>Duke</w:t>
      </w:r>
      <w:r w:rsidR="006C187E">
        <w:t xml:space="preserve">’s proposed </w:t>
      </w:r>
      <w:r w:rsidR="001E7860">
        <w:t xml:space="preserve">charges to customers. </w:t>
      </w:r>
      <w:r w:rsidR="00166062">
        <w:t>W</w:t>
      </w:r>
      <w:r w:rsidR="001E7860">
        <w:t xml:space="preserve">hile OCC objects to some of the </w:t>
      </w:r>
      <w:r w:rsidR="0068432C">
        <w:t xml:space="preserve">PUCO </w:t>
      </w:r>
      <w:r w:rsidR="001E7860">
        <w:t xml:space="preserve"> </w:t>
      </w:r>
      <w:r w:rsidR="0068432C">
        <w:t xml:space="preserve">Staff’s </w:t>
      </w:r>
      <w:r w:rsidR="001E7860">
        <w:t xml:space="preserve">recommendations as discussed below, the Staff Report includes </w:t>
      </w:r>
      <w:r w:rsidR="008E4E01">
        <w:t>various recommendations that would benefit consumers if implemented:</w:t>
      </w:r>
    </w:p>
    <w:p w:rsidR="00BB6930" w:rsidP="006C2EF7" w14:paraId="3F80F31B" w14:textId="77777777">
      <w:pPr>
        <w:pStyle w:val="BodyTextIndent3"/>
        <w:keepLines/>
        <w:numPr>
          <w:ilvl w:val="0"/>
          <w:numId w:val="7"/>
        </w:numPr>
        <w:spacing w:after="240" w:line="240" w:lineRule="auto"/>
        <w:ind w:hanging="720"/>
      </w:pPr>
      <w:r>
        <w:t xml:space="preserve">The PUCO Staff properly </w:t>
      </w:r>
      <w:r w:rsidR="00692EB0">
        <w:t>stated that costs should be controlled and that the PUCO should ensure that customers “are not burdened with excessive and unnecessary plant investments.”</w:t>
      </w:r>
      <w:r>
        <w:rPr>
          <w:rStyle w:val="FootnoteReference"/>
        </w:rPr>
        <w:footnoteReference w:id="13"/>
      </w:r>
    </w:p>
    <w:p w:rsidR="008E4E01" w:rsidP="006C2EF7" w14:paraId="50FB3ABC" w14:textId="77777777">
      <w:pPr>
        <w:pStyle w:val="BodyTextIndent3"/>
        <w:keepLines/>
        <w:numPr>
          <w:ilvl w:val="0"/>
          <w:numId w:val="7"/>
        </w:numPr>
        <w:spacing w:after="240" w:line="240" w:lineRule="auto"/>
        <w:ind w:hanging="720"/>
      </w:pPr>
      <w:r>
        <w:t>The PUCO Staff properly recommended that there be a cap on increases to charges to consumers under Rider CEP (though as discussed below, OCC recommends a modification to the Staff Report’s proposed cap).</w:t>
      </w:r>
      <w:r>
        <w:rPr>
          <w:rStyle w:val="FootnoteReference"/>
        </w:rPr>
        <w:footnoteReference w:id="14"/>
      </w:r>
    </w:p>
    <w:p w:rsidR="0019116F" w:rsidP="006C2EF7" w14:paraId="510915AA" w14:textId="77777777">
      <w:pPr>
        <w:pStyle w:val="BodyTextIndent3"/>
        <w:keepLines/>
        <w:numPr>
          <w:ilvl w:val="0"/>
          <w:numId w:val="7"/>
        </w:numPr>
        <w:spacing w:after="240" w:line="240" w:lineRule="auto"/>
        <w:ind w:hanging="720"/>
      </w:pPr>
      <w:r>
        <w:t>The PUCO Staff properly recommended that charges to consumers under Rider CEP be audited annually.</w:t>
      </w:r>
      <w:r>
        <w:rPr>
          <w:rStyle w:val="FootnoteReference"/>
        </w:rPr>
        <w:footnoteReference w:id="15"/>
      </w:r>
    </w:p>
    <w:p w:rsidR="0019116F" w:rsidP="006C2EF7" w14:paraId="6490ECA7" w14:textId="77777777">
      <w:pPr>
        <w:pStyle w:val="BodyTextIndent3"/>
        <w:keepLines/>
        <w:numPr>
          <w:ilvl w:val="0"/>
          <w:numId w:val="7"/>
        </w:numPr>
        <w:spacing w:after="240" w:line="240" w:lineRule="auto"/>
        <w:ind w:hanging="720"/>
      </w:pPr>
      <w:r>
        <w:t>The PUCO Staff properly recommended that deferral of post in-service carrying costs (“PISCC”), property tax, and depreciation expenses cease once the CEP investments begin to be recovered through rates.</w:t>
      </w:r>
      <w:r>
        <w:rPr>
          <w:rStyle w:val="FootnoteReference"/>
        </w:rPr>
        <w:footnoteReference w:id="16"/>
      </w:r>
    </w:p>
    <w:p w:rsidR="0019116F" w:rsidP="006C2EF7" w14:paraId="26D3B0F7" w14:textId="20D8542B">
      <w:pPr>
        <w:pStyle w:val="BodyTextIndent3"/>
        <w:keepLines/>
        <w:numPr>
          <w:ilvl w:val="0"/>
          <w:numId w:val="7"/>
        </w:numPr>
        <w:spacing w:after="240" w:line="240" w:lineRule="auto"/>
        <w:ind w:hanging="720"/>
      </w:pPr>
      <w:r>
        <w:t xml:space="preserve">The PUCO Staff properly recommended that </w:t>
      </w:r>
      <w:r w:rsidR="00F80D21">
        <w:t>Duke</w:t>
      </w:r>
      <w:r>
        <w:t xml:space="preserve"> be required to maintain adequate records to demonstrate compliance with the Audit Report’s recommendations and that any future base rate filing include information in the application showing that the Audit Report recommendations have been incorporated.</w:t>
      </w:r>
      <w:r>
        <w:rPr>
          <w:rStyle w:val="FootnoteReference"/>
        </w:rPr>
        <w:footnoteReference w:id="17"/>
      </w:r>
    </w:p>
    <w:p w:rsidR="0019116F" w:rsidP="006C2EF7" w14:paraId="2238B598" w14:textId="77777777">
      <w:pPr>
        <w:pStyle w:val="BodyTextIndent3"/>
        <w:keepLines/>
        <w:numPr>
          <w:ilvl w:val="0"/>
          <w:numId w:val="7"/>
        </w:numPr>
        <w:spacing w:after="240" w:line="240" w:lineRule="auto"/>
        <w:ind w:hanging="720"/>
      </w:pPr>
      <w:r>
        <w:t xml:space="preserve">The PUCO Staff properly found that it would be “prudent to monitor measures of profitability of companies that have been granted deferrals </w:t>
      </w:r>
      <w:r w:rsidR="00BB6930">
        <w:t>to determine if immediate regulatory recovery is necessary.”</w:t>
      </w:r>
      <w:r>
        <w:rPr>
          <w:rStyle w:val="FootnoteReference"/>
        </w:rPr>
        <w:footnoteReference w:id="18"/>
      </w:r>
    </w:p>
    <w:p w:rsidR="006C2EF7" w:rsidP="006C2EF7" w14:paraId="749B5518" w14:textId="77777777">
      <w:pPr>
        <w:pStyle w:val="BodyTextIndent3"/>
        <w:keepLines/>
        <w:spacing w:line="240" w:lineRule="auto"/>
        <w:ind w:left="1440" w:firstLine="0"/>
      </w:pPr>
    </w:p>
    <w:p w:rsidR="00B652E1" w:rsidP="00D06DE4" w14:paraId="061C6180" w14:textId="77777777">
      <w:pPr>
        <w:pStyle w:val="Heading1"/>
      </w:pPr>
      <w:bookmarkStart w:id="2" w:name="_Toc43712724"/>
      <w:r>
        <w:t>I</w:t>
      </w:r>
      <w:r>
        <w:t>I.</w:t>
      </w:r>
      <w:r>
        <w:tab/>
        <w:t>OBJECTIONS</w:t>
      </w:r>
      <w:bookmarkEnd w:id="2"/>
    </w:p>
    <w:p w:rsidR="00DC61DF" w:rsidRPr="00B652E1" w:rsidP="00D06DE4" w14:paraId="09D50EA5" w14:textId="13F298AB">
      <w:pPr>
        <w:pStyle w:val="Heading2"/>
        <w:ind w:left="2160" w:hanging="1440"/>
      </w:pPr>
      <w:bookmarkStart w:id="3" w:name="_Toc43712725"/>
      <w:r>
        <w:t>Objection 1.</w:t>
      </w:r>
      <w:r w:rsidR="00D06DE4">
        <w:tab/>
      </w:r>
      <w:r>
        <w:t>T</w:t>
      </w:r>
      <w:r w:rsidR="00E951E8">
        <w:t>o protect consumers, t</w:t>
      </w:r>
      <w:r>
        <w:t xml:space="preserve">he </w:t>
      </w:r>
      <w:r w:rsidR="004F51C2">
        <w:t xml:space="preserve">PUCO </w:t>
      </w:r>
      <w:r>
        <w:t xml:space="preserve">Staff should have recommended </w:t>
      </w:r>
      <w:r w:rsidR="005E23DC">
        <w:t xml:space="preserve">that customers not pay </w:t>
      </w:r>
      <w:r w:rsidR="00E951E8">
        <w:t>new charges until</w:t>
      </w:r>
      <w:r>
        <w:t xml:space="preserve"> after the coronavirus</w:t>
      </w:r>
      <w:r w:rsidR="004B0245">
        <w:t xml:space="preserve"> </w:t>
      </w:r>
      <w:r>
        <w:t>emergency is over</w:t>
      </w:r>
      <w:r w:rsidR="00670DFF">
        <w:t xml:space="preserve"> (and for a reasonable time thereafter)</w:t>
      </w:r>
      <w:r>
        <w:t>.</w:t>
      </w:r>
      <w:bookmarkEnd w:id="3"/>
    </w:p>
    <w:p w:rsidR="00EC7E9F" w:rsidP="00E951E8" w14:paraId="4D9F8AAF" w14:textId="1E5A2EC6">
      <w:pPr>
        <w:pStyle w:val="BodyTextIndent3"/>
        <w:spacing w:line="480" w:lineRule="auto"/>
      </w:pPr>
      <w:r>
        <w:t>Duke</w:t>
      </w:r>
      <w:r w:rsidR="00E951E8">
        <w:t>’s request to add a new charge to customer bills (</w:t>
      </w:r>
      <w:r w:rsidR="00B55955">
        <w:t xml:space="preserve">Cap ex </w:t>
      </w:r>
      <w:r w:rsidR="00E951E8">
        <w:t xml:space="preserve">Rider) was filed before the coronavirus pandemic and ensuing health and financial emergency. Now, however, the PUCO is well aware of the struggles that Ohioans are facing and the struggles they will continue to face even after the formal declaration of emergency ends. </w:t>
      </w:r>
      <w:r>
        <w:t xml:space="preserve">The </w:t>
      </w:r>
      <w:r w:rsidR="0068432C">
        <w:t xml:space="preserve">PUCO </w:t>
      </w:r>
      <w:r>
        <w:t xml:space="preserve">Staff makes no mention of the </w:t>
      </w:r>
      <w:r w:rsidR="003E7A2A">
        <w:t xml:space="preserve">ongoing </w:t>
      </w:r>
      <w:r>
        <w:t>coronavirus</w:t>
      </w:r>
      <w:r w:rsidR="003E7A2A">
        <w:t xml:space="preserve"> pandemic</w:t>
      </w:r>
      <w:r w:rsidR="00166062">
        <w:t>. I</w:t>
      </w:r>
      <w:r>
        <w:t>t should have.</w:t>
      </w:r>
    </w:p>
    <w:p w:rsidR="00D41858" w:rsidP="00E951E8" w14:paraId="7C9844FF" w14:textId="1FF47DC9">
      <w:pPr>
        <w:pStyle w:val="BodyTextIndent3"/>
        <w:spacing w:line="480" w:lineRule="auto"/>
      </w:pPr>
      <w:r>
        <w:t>I</w:t>
      </w:r>
      <w:r w:rsidR="00E951E8">
        <w:t>f the PUCO approves any new charges (whether it be $3.</w:t>
      </w:r>
      <w:r w:rsidR="00CE5201">
        <w:t xml:space="preserve">68 </w:t>
      </w:r>
      <w:r w:rsidR="00E951E8">
        <w:t xml:space="preserve">as proposed in the Staff Report or some other number), it should </w:t>
      </w:r>
      <w:r w:rsidR="005E23DC">
        <w:t xml:space="preserve">not allow </w:t>
      </w:r>
      <w:r w:rsidR="00F80D21">
        <w:t>Duke</w:t>
      </w:r>
      <w:r w:rsidR="005E23DC">
        <w:t xml:space="preserve"> to start charging customers until </w:t>
      </w:r>
      <w:r w:rsidR="00E951E8">
        <w:t>a later date. In this time of emergency due to the coronavirus—where consumers are dealing with lost jobs, lost wages, and associated challenges—increased charges should be deferred with minimal (if any) carrying charges until after the emergency ends (</w:t>
      </w:r>
      <w:r w:rsidR="00091DD7">
        <w:t>and for a reasonable period of time thereafter</w:t>
      </w:r>
      <w:r w:rsidR="00E951E8">
        <w:t xml:space="preserve">). This will </w:t>
      </w:r>
      <w:r w:rsidR="00091DD7">
        <w:t xml:space="preserve">help </w:t>
      </w:r>
      <w:r w:rsidR="00E951E8">
        <w:t>consumers to deal with the impact of the state of emergency and recover from the financial impact it has had and will continue to have</w:t>
      </w:r>
      <w:r w:rsidR="00091DD7">
        <w:t xml:space="preserve"> for years to come</w:t>
      </w:r>
      <w:r w:rsidR="00E951E8">
        <w:t>.</w:t>
      </w:r>
    </w:p>
    <w:p w:rsidR="00D41858" w14:paraId="52589512" w14:textId="77777777">
      <w:r>
        <w:br w:type="page"/>
      </w:r>
    </w:p>
    <w:p w:rsidR="006C2EF7" w:rsidP="00D41858" w14:paraId="789BDA47" w14:textId="2F9AA2FD">
      <w:pPr>
        <w:pStyle w:val="Heading2"/>
        <w:ind w:left="2160" w:hanging="1440"/>
      </w:pPr>
      <w:bookmarkStart w:id="4" w:name="_Toc43712726"/>
      <w:r>
        <w:t>Objection 2.</w:t>
      </w:r>
      <w:r w:rsidR="00D41858">
        <w:tab/>
      </w:r>
      <w:r>
        <w:t xml:space="preserve">The </w:t>
      </w:r>
      <w:r w:rsidR="0068432C">
        <w:t xml:space="preserve">PUCO </w:t>
      </w:r>
      <w:r>
        <w:t xml:space="preserve">Staff properly recommended limits on increases to charges to customers under </w:t>
      </w:r>
      <w:r w:rsidR="00B55955">
        <w:t xml:space="preserve">the Cap ex </w:t>
      </w:r>
      <w:r>
        <w:t xml:space="preserve">Rider, but </w:t>
      </w:r>
      <w:r w:rsidR="00166062">
        <w:t xml:space="preserve">to better protect consumers, </w:t>
      </w:r>
      <w:r>
        <w:t xml:space="preserve">the </w:t>
      </w:r>
      <w:r w:rsidR="00091DD7">
        <w:t xml:space="preserve">limit </w:t>
      </w:r>
      <w:r>
        <w:t>should be based on annual investment as opposed to a rate cap.</w:t>
      </w:r>
      <w:bookmarkEnd w:id="4"/>
    </w:p>
    <w:p w:rsidR="00B652E1" w:rsidP="00CB5D16" w14:paraId="5B4600A9" w14:textId="7DFC1476">
      <w:pPr>
        <w:pStyle w:val="BodyTextIndent3"/>
        <w:widowControl w:val="0"/>
        <w:spacing w:line="480" w:lineRule="auto"/>
      </w:pPr>
      <w:r>
        <w:t xml:space="preserve">The </w:t>
      </w:r>
      <w:r w:rsidR="0068432C">
        <w:t xml:space="preserve">PUCO </w:t>
      </w:r>
      <w:r>
        <w:t>Staff recommends an initial rate of $3.</w:t>
      </w:r>
      <w:r w:rsidR="00D60A7D">
        <w:t xml:space="preserve">68 </w:t>
      </w:r>
      <w:r>
        <w:t xml:space="preserve">per month for residential customers under </w:t>
      </w:r>
      <w:r w:rsidR="00B55955">
        <w:t xml:space="preserve">the Cap ex </w:t>
      </w:r>
      <w:r>
        <w:t>Rider</w:t>
      </w:r>
      <w:r w:rsidR="00EC7E9F">
        <w:t xml:space="preserve"> (</w:t>
      </w:r>
      <w:r w:rsidR="00D60A7D">
        <w:t xml:space="preserve">four </w:t>
      </w:r>
      <w:r w:rsidR="00EC7E9F">
        <w:t xml:space="preserve">cents lower than </w:t>
      </w:r>
      <w:r w:rsidR="00F80D21">
        <w:t>Duke</w:t>
      </w:r>
      <w:r w:rsidR="00EC7E9F">
        <w:t>’s proposed charge of $3.</w:t>
      </w:r>
      <w:r w:rsidR="00D60A7D">
        <w:t xml:space="preserve">72 </w:t>
      </w:r>
      <w:r w:rsidR="00EC7E9F">
        <w:t>per month)</w:t>
      </w:r>
      <w:r>
        <w:t>.</w:t>
      </w:r>
      <w:r>
        <w:rPr>
          <w:rStyle w:val="FootnoteReference"/>
        </w:rPr>
        <w:footnoteReference w:id="19"/>
      </w:r>
      <w:r w:rsidR="00EC7E9F">
        <w:t xml:space="preserve"> </w:t>
      </w:r>
      <w:r w:rsidR="00836BDA">
        <w:t xml:space="preserve">If this recommendation </w:t>
      </w:r>
      <w:r w:rsidR="00091DD7">
        <w:t xml:space="preserve">is </w:t>
      </w:r>
      <w:r w:rsidR="00836BDA">
        <w:t xml:space="preserve">adopted, every residential </w:t>
      </w:r>
      <w:r w:rsidR="00F80D21">
        <w:t>Duke</w:t>
      </w:r>
      <w:r w:rsidR="00836BDA">
        <w:t xml:space="preserve"> customer would pay nearly $</w:t>
      </w:r>
      <w:r w:rsidR="00D60A7D">
        <w:t xml:space="preserve">45 </w:t>
      </w:r>
      <w:r w:rsidR="00836BDA">
        <w:t xml:space="preserve">to </w:t>
      </w:r>
      <w:r w:rsidR="00F80D21">
        <w:t>Duke</w:t>
      </w:r>
      <w:r w:rsidR="00836BDA">
        <w:t xml:space="preserve"> in the first year after approval of the new C</w:t>
      </w:r>
      <w:r w:rsidR="00B55955">
        <w:t xml:space="preserve">ap ex </w:t>
      </w:r>
      <w:r w:rsidR="00836BDA">
        <w:t xml:space="preserve"> Rider surcharge.</w:t>
      </w:r>
      <w:r w:rsidR="00EC7E9F">
        <w:t xml:space="preserve"> </w:t>
      </w:r>
      <w:r w:rsidR="00836BDA">
        <w:t xml:space="preserve">The </w:t>
      </w:r>
      <w:r w:rsidR="0068432C">
        <w:t xml:space="preserve">PUCO </w:t>
      </w:r>
      <w:r w:rsidR="00836BDA">
        <w:t xml:space="preserve">Staff further proposes that </w:t>
      </w:r>
      <w:r w:rsidR="00F80D21">
        <w:t>Duke</w:t>
      </w:r>
      <w:r w:rsidR="00836BDA">
        <w:t xml:space="preserve"> be allowed to increase </w:t>
      </w:r>
      <w:r w:rsidR="00B9184D">
        <w:t>these charges</w:t>
      </w:r>
      <w:r w:rsidR="00836BDA">
        <w:t xml:space="preserve"> by </w:t>
      </w:r>
      <w:r w:rsidR="002812E4">
        <w:t xml:space="preserve">up to </w:t>
      </w:r>
      <w:r w:rsidR="00836BDA">
        <w:t>$1.00 per year</w:t>
      </w:r>
      <w:r w:rsidR="002812E4">
        <w:t>, though it did not explain how that number was derived</w:t>
      </w:r>
      <w:r w:rsidR="00836BDA">
        <w:t>.</w:t>
      </w:r>
      <w:r>
        <w:rPr>
          <w:rStyle w:val="FootnoteReference"/>
        </w:rPr>
        <w:footnoteReference w:id="20"/>
      </w:r>
      <w:r w:rsidR="00836BDA">
        <w:t xml:space="preserve"> </w:t>
      </w:r>
      <w:r w:rsidR="00DB2909">
        <w:t>Nor did</w:t>
      </w:r>
      <w:r w:rsidR="00372DFE">
        <w:t xml:space="preserve"> the </w:t>
      </w:r>
      <w:r w:rsidR="0068432C">
        <w:t xml:space="preserve">PUCO </w:t>
      </w:r>
      <w:r w:rsidR="00372DFE">
        <w:t xml:space="preserve">Staff </w:t>
      </w:r>
      <w:r w:rsidR="00166062">
        <w:t>identify</w:t>
      </w:r>
      <w:r w:rsidR="00372DFE">
        <w:t xml:space="preserve"> how much annual investment its proposed $1.00 per year cap would permit. </w:t>
      </w:r>
      <w:r w:rsidR="00836BDA">
        <w:t>In four years, customers could be paying nearly $</w:t>
      </w:r>
      <w:r w:rsidR="00E56DCA">
        <w:t xml:space="preserve">95 </w:t>
      </w:r>
      <w:r w:rsidR="00836BDA">
        <w:t>per year</w:t>
      </w:r>
      <w:r>
        <w:rPr>
          <w:rStyle w:val="FootnoteReference"/>
        </w:rPr>
        <w:footnoteReference w:id="21"/>
      </w:r>
      <w:r w:rsidR="00836BDA">
        <w:t xml:space="preserve"> under the Rider CEP surcharge if </w:t>
      </w:r>
      <w:r w:rsidR="00372DFE">
        <w:t xml:space="preserve">Staff’s </w:t>
      </w:r>
      <w:r w:rsidR="00836BDA">
        <w:t>recommendation is adopted.</w:t>
      </w:r>
    </w:p>
    <w:p w:rsidR="00DB2909" w:rsidP="00CB5D16" w14:paraId="279440A4" w14:textId="4AA9FD7C">
      <w:pPr>
        <w:pStyle w:val="BodyTextIndent3"/>
        <w:spacing w:line="480" w:lineRule="auto"/>
      </w:pPr>
      <w:r>
        <w:t xml:space="preserve">The </w:t>
      </w:r>
      <w:r w:rsidR="0068432C">
        <w:t xml:space="preserve">PUCO </w:t>
      </w:r>
      <w:r>
        <w:t xml:space="preserve">Staff properly </w:t>
      </w:r>
      <w:r w:rsidR="00372DFE">
        <w:t xml:space="preserve">recognizes </w:t>
      </w:r>
      <w:r>
        <w:t xml:space="preserve">that there </w:t>
      </w:r>
      <w:r w:rsidR="00372DFE">
        <w:t xml:space="preserve">should </w:t>
      </w:r>
      <w:r>
        <w:t xml:space="preserve">be limits on the amount by which charges to customers under Rider CEP can increase each year. But rather than </w:t>
      </w:r>
      <w:r w:rsidR="00AC03B0">
        <w:t>capping the amount of the charge (</w:t>
      </w:r>
      <w:r w:rsidR="00AC03B0">
        <w:rPr>
          <w:i/>
        </w:rPr>
        <w:t>i.e.</w:t>
      </w:r>
      <w:r w:rsidR="00AC03B0">
        <w:t xml:space="preserve">, limiting the increase by </w:t>
      </w:r>
      <w:r w:rsidR="002812E4">
        <w:t xml:space="preserve">up to </w:t>
      </w:r>
      <w:r w:rsidR="00AC03B0">
        <w:t xml:space="preserve">$1.00 as proposed in the Staff Report), there should be a cap on the amount of investment that would be eligible for inclusion in rates under Rider CEP. </w:t>
      </w:r>
      <w:r w:rsidR="00F80D21">
        <w:t>Duke</w:t>
      </w:r>
      <w:r w:rsidR="00372DFE">
        <w:t xml:space="preserve">’s </w:t>
      </w:r>
      <w:r w:rsidR="00FB00E6">
        <w:t xml:space="preserve">total annual capital additions increased by </w:t>
      </w:r>
      <w:r w:rsidR="004414DA">
        <w:t>an astonishing 335%</w:t>
      </w:r>
      <w:r w:rsidR="00FB00E6">
        <w:t>% from the first year of the program in 2</w:t>
      </w:r>
      <w:r>
        <w:t>01</w:t>
      </w:r>
      <w:r w:rsidR="009E38E3">
        <w:t>3</w:t>
      </w:r>
      <w:r>
        <w:t xml:space="preserve"> to 2018.</w:t>
      </w:r>
      <w:r>
        <w:rPr>
          <w:rStyle w:val="FootnoteReference"/>
        </w:rPr>
        <w:footnoteReference w:id="22"/>
      </w:r>
      <w:r>
        <w:t xml:space="preserve"> A</w:t>
      </w:r>
      <w:r w:rsidR="00FB00E6">
        <w:t xml:space="preserve"> cap on </w:t>
      </w:r>
      <w:r w:rsidR="00F80D21">
        <w:t>Duke</w:t>
      </w:r>
      <w:r w:rsidR="00FB00E6">
        <w:t xml:space="preserve">’s annual investments is </w:t>
      </w:r>
      <w:r w:rsidR="00DB61AC">
        <w:t>clearly need</w:t>
      </w:r>
      <w:r w:rsidR="00E56DCA">
        <w:t>ed</w:t>
      </w:r>
      <w:r w:rsidR="00FB00E6">
        <w:t>. And c</w:t>
      </w:r>
      <w:r w:rsidR="002812E4">
        <w:t xml:space="preserve">apping the total investment is preferable </w:t>
      </w:r>
      <w:r w:rsidR="00FB00E6">
        <w:t xml:space="preserve">to a rate cap </w:t>
      </w:r>
      <w:r w:rsidR="002812E4">
        <w:t xml:space="preserve">because it is </w:t>
      </w:r>
      <w:r w:rsidR="00FB00E6">
        <w:t xml:space="preserve">straightforward and </w:t>
      </w:r>
      <w:r w:rsidR="002812E4">
        <w:t xml:space="preserve">easier to track and </w:t>
      </w:r>
      <w:r>
        <w:t>evaluate</w:t>
      </w:r>
      <w:r w:rsidR="00091DD7">
        <w:t xml:space="preserve"> than some arbitrary limit on the monthly charge that consumers are required to pay</w:t>
      </w:r>
      <w:r>
        <w:t>. And</w:t>
      </w:r>
      <w:r w:rsidR="002812E4">
        <w:t xml:space="preserve"> it is not affected by changes in rate design like the number of customers</w:t>
      </w:r>
      <w:r w:rsidR="000623A7">
        <w:t xml:space="preserve"> and would not need to be trued up annually</w:t>
      </w:r>
      <w:r w:rsidR="00166062">
        <w:t>.</w:t>
      </w:r>
    </w:p>
    <w:p w:rsidR="00DB2909" w:rsidP="00CB5D16" w14:paraId="7D80A6F8" w14:textId="28EE9B39">
      <w:pPr>
        <w:pStyle w:val="BodyTextIndent3"/>
        <w:spacing w:line="480" w:lineRule="auto"/>
      </w:pPr>
      <w:r>
        <w:t xml:space="preserve">This approach </w:t>
      </w:r>
      <w:r w:rsidR="00DB61AC">
        <w:t xml:space="preserve">can still </w:t>
      </w:r>
      <w:r>
        <w:t xml:space="preserve">recognize that </w:t>
      </w:r>
      <w:r w:rsidR="00F80D21">
        <w:t>Duke</w:t>
      </w:r>
      <w:r>
        <w:t>’s costs for CEP may increase over time, but it also provides customer</w:t>
      </w:r>
      <w:r w:rsidR="00811286">
        <w:t>s</w:t>
      </w:r>
      <w:r>
        <w:t xml:space="preserve"> protection against over-spending or over-investment considering that </w:t>
      </w:r>
      <w:r w:rsidR="00F80D21">
        <w:t>Duke</w:t>
      </w:r>
      <w:r>
        <w:t xml:space="preserve"> will face next to no regulatory lag on </w:t>
      </w:r>
      <w:r w:rsidR="00091DD7">
        <w:t>collecting from customers a return</w:t>
      </w:r>
      <w:r w:rsidR="004B0245">
        <w:t xml:space="preserve"> </w:t>
      </w:r>
      <w:r>
        <w:t xml:space="preserve">of and on its investments. Historically, regulatory lag has served as a check on utility investments. With the CEP, however, </w:t>
      </w:r>
      <w:r w:rsidR="00811286">
        <w:t xml:space="preserve">there is no regulatory lag, and customers should be protected from </w:t>
      </w:r>
      <w:r w:rsidR="00DB61AC">
        <w:t xml:space="preserve">continued </w:t>
      </w:r>
      <w:r w:rsidR="00811286">
        <w:t>rapid increases in CEP capital investments similar to the</w:t>
      </w:r>
      <w:r>
        <w:t xml:space="preserve"> </w:t>
      </w:r>
      <w:r w:rsidR="00DB61AC">
        <w:t>335</w:t>
      </w:r>
      <w:r>
        <w:t>% increase for 201</w:t>
      </w:r>
      <w:r w:rsidR="00F01CBE">
        <w:t>3</w:t>
      </w:r>
      <w:r>
        <w:t xml:space="preserve"> to 2018.</w:t>
      </w:r>
    </w:p>
    <w:p w:rsidR="00D41858" w:rsidP="00CB5D16" w14:paraId="4B927EAA" w14:textId="68376B11">
      <w:pPr>
        <w:pStyle w:val="BodyTextIndent3"/>
        <w:spacing w:line="480" w:lineRule="auto"/>
      </w:pPr>
      <w:r>
        <w:t>In the alternative, if the PUCO does adopt a rate cap</w:t>
      </w:r>
      <w:r w:rsidR="00091DD7">
        <w:t>, it</w:t>
      </w:r>
      <w:r>
        <w:t xml:space="preserve"> should be lower</w:t>
      </w:r>
      <w:r w:rsidR="00DB2909">
        <w:t xml:space="preserve"> than $1.00. The </w:t>
      </w:r>
      <w:r w:rsidR="0068432C">
        <w:t xml:space="preserve">PUCO </w:t>
      </w:r>
      <w:r w:rsidR="00DB2909">
        <w:t>Staff says that the cap should be “no greater than $1.00 per year for residential customers,</w:t>
      </w:r>
      <w:r w:rsidR="00091DD7">
        <w:t>”</w:t>
      </w:r>
      <w:r w:rsidR="00DB2909">
        <w:t xml:space="preserve"> which suggests that the Staff would be amenable to a lower cap.</w:t>
      </w:r>
      <w:r>
        <w:rPr>
          <w:rStyle w:val="FootnoteReference"/>
        </w:rPr>
        <w:footnoteReference w:id="23"/>
      </w:r>
      <w:r w:rsidR="00DB2909">
        <w:t xml:space="preserve"> The </w:t>
      </w:r>
      <w:r w:rsidR="0068432C">
        <w:t xml:space="preserve">PUCO </w:t>
      </w:r>
      <w:r w:rsidR="00DB2909">
        <w:t xml:space="preserve">Staff likewise says that </w:t>
      </w:r>
      <w:r w:rsidR="00F80D21">
        <w:t>Duke</w:t>
      </w:r>
      <w:r w:rsidR="00DB2909">
        <w:t xml:space="preserve"> should “work with Staff to identify reasonable and meaningful annual caps.”</w:t>
      </w:r>
      <w:r>
        <w:rPr>
          <w:rStyle w:val="FootnoteReference"/>
        </w:rPr>
        <w:footnoteReference w:id="24"/>
      </w:r>
      <w:r w:rsidR="00DB2909">
        <w:t xml:space="preserve"> And while the </w:t>
      </w:r>
      <w:r w:rsidR="0068432C">
        <w:t xml:space="preserve">PUCO </w:t>
      </w:r>
      <w:r w:rsidR="00DB2909">
        <w:t>Staff at one point suggests a $1.00 rate cap, it also acknowledges that a cap on spending, as OCC proposes above, would also protect customers.</w:t>
      </w:r>
      <w:r>
        <w:rPr>
          <w:rStyle w:val="FootnoteReference"/>
        </w:rPr>
        <w:footnoteReference w:id="25"/>
      </w:r>
    </w:p>
    <w:p w:rsidR="00D41858" w14:paraId="426328AA" w14:textId="77777777">
      <w:r>
        <w:br w:type="page"/>
      </w:r>
    </w:p>
    <w:p w:rsidR="00652332" w:rsidP="00472F1B" w14:paraId="4E12224A" w14:textId="1B6058FE">
      <w:pPr>
        <w:pStyle w:val="Heading2"/>
        <w:tabs>
          <w:tab w:val="clear" w:pos="4320"/>
        </w:tabs>
        <w:spacing w:after="0"/>
        <w:ind w:left="2160" w:hanging="1440"/>
      </w:pPr>
      <w:bookmarkStart w:id="6" w:name="_Toc43712727"/>
      <w:r>
        <w:t>Objection 3.</w:t>
      </w:r>
      <w:r w:rsidR="00D41858">
        <w:tab/>
      </w:r>
      <w:r w:rsidR="003E32EE">
        <w:t>Instead of recommending that it file an alternative regulation case by December 31, 2024, t</w:t>
      </w:r>
      <w:r>
        <w:t xml:space="preserve">he </w:t>
      </w:r>
      <w:r w:rsidR="0068432C">
        <w:t xml:space="preserve">PUCO </w:t>
      </w:r>
      <w:r>
        <w:t xml:space="preserve">Staff should have recommended that </w:t>
      </w:r>
      <w:r w:rsidR="00317FBA">
        <w:t xml:space="preserve">Duke file a </w:t>
      </w:r>
      <w:r w:rsidR="003E32EE">
        <w:t xml:space="preserve">base </w:t>
      </w:r>
      <w:r w:rsidR="00317FBA">
        <w:t>rate case by December 31, 2022</w:t>
      </w:r>
      <w:r>
        <w:t>.</w:t>
      </w:r>
      <w:bookmarkEnd w:id="6"/>
    </w:p>
    <w:p w:rsidR="003E32EE" w:rsidP="00F27BDD" w14:paraId="3A176F22" w14:textId="1147641C">
      <w:pPr>
        <w:pStyle w:val="BodyTextIndent3"/>
        <w:keepNext/>
        <w:keepLines/>
      </w:pPr>
      <w:r w:rsidRPr="00963664">
        <w:rPr>
          <w:bCs/>
        </w:rPr>
        <w:t>The PUCO</w:t>
      </w:r>
      <w:r>
        <w:t xml:space="preserve"> Staff recommends that the CEP Rider stop on December 31, 2024 unless Duke files a new alternative rate plan application under R.C. 4929.05 requesting reauthorization for the rider.</w:t>
      </w:r>
      <w:r>
        <w:rPr>
          <w:rStyle w:val="FootnoteReference"/>
        </w:rPr>
        <w:footnoteReference w:id="26"/>
      </w:r>
      <w:r>
        <w:tab/>
      </w:r>
      <w:r w:rsidR="004B0245">
        <w:t xml:space="preserve"> </w:t>
      </w:r>
      <w:r w:rsidR="00D75AE4">
        <w:t>Instead of recommending this, the PUCO Staff should have recommended that Duke has to file a base rate case by December 31, 2022.</w:t>
      </w:r>
    </w:p>
    <w:p w:rsidR="00D75AE4" w:rsidP="00963664" w14:paraId="150BD426" w14:textId="01BF4316">
      <w:pPr>
        <w:pStyle w:val="BodyTextIndent3"/>
        <w:keepNext/>
        <w:keepLines/>
        <w:spacing w:after="240"/>
      </w:pPr>
      <w:r>
        <w:t>A base rate case would assist consumers by</w:t>
      </w:r>
      <w:r w:rsidR="0077423A">
        <w:t xml:space="preserve"> subjecting Duke’s rates to a full and complete review, allowing interested parties to </w:t>
      </w:r>
      <w:r>
        <w:t>identif</w:t>
      </w:r>
      <w:r w:rsidR="0077423A">
        <w:t>y</w:t>
      </w:r>
      <w:r>
        <w:t xml:space="preserve"> an appropriate rate of return on </w:t>
      </w:r>
      <w:r w:rsidR="0077423A">
        <w:t>Duke</w:t>
      </w:r>
      <w:r>
        <w:t>’s rate base, needed adjustments to rate base,</w:t>
      </w:r>
      <w:r w:rsidR="0077423A">
        <w:t xml:space="preserve"> </w:t>
      </w:r>
      <w:r>
        <w:t xml:space="preserve">and operational savings. </w:t>
      </w:r>
      <w:r w:rsidR="004C622A">
        <w:t xml:space="preserve">Further, a base rate case evaluates more than a single issue and considers if utility programs result in </w:t>
      </w:r>
      <w:r w:rsidR="006C58B8">
        <w:t xml:space="preserve">increased revenue or </w:t>
      </w:r>
      <w:r w:rsidR="004C622A">
        <w:t xml:space="preserve">decreased spending.  </w:t>
      </w:r>
      <w:r w:rsidR="0077423A">
        <w:t>Duke’s</w:t>
      </w:r>
      <w:r>
        <w:t xml:space="preserve"> last base rate case was </w:t>
      </w:r>
      <w:r w:rsidR="0077423A">
        <w:t>in 2012.</w:t>
      </w:r>
      <w:r w:rsidR="004B0245">
        <w:t xml:space="preserve"> </w:t>
      </w:r>
      <w:r w:rsidR="0077423A">
        <w:t>Allowing Duke to charge consumers under the CEP Rider (without a</w:t>
      </w:r>
      <w:r w:rsidR="005E2048">
        <w:t>n intervening</w:t>
      </w:r>
      <w:r w:rsidR="0077423A">
        <w:t xml:space="preserve"> base rate case review) means that its </w:t>
      </w:r>
      <w:r w:rsidR="009E7D70">
        <w:t xml:space="preserve">base </w:t>
      </w:r>
      <w:r w:rsidR="0077423A">
        <w:t xml:space="preserve">rates would go unreviewed for </w:t>
      </w:r>
      <w:r w:rsidR="009E7D70">
        <w:t>an undetermined period of time</w:t>
      </w:r>
      <w:r>
        <w:t>. It is unjust and unreasonable to deny</w:t>
      </w:r>
      <w:r w:rsidR="0077423A">
        <w:t xml:space="preserve"> </w:t>
      </w:r>
      <w:r>
        <w:t xml:space="preserve">consumers the benefits of decreased costs in </w:t>
      </w:r>
      <w:r w:rsidR="005E2048">
        <w:t>Duke</w:t>
      </w:r>
      <w:r>
        <w:t xml:space="preserve">’s base rates </w:t>
      </w:r>
      <w:r w:rsidR="009E7D70">
        <w:t>through 2024 and beyond as Staff proposes</w:t>
      </w:r>
      <w:r w:rsidR="0077423A">
        <w:t>.</w:t>
      </w:r>
    </w:p>
    <w:p w:rsidR="00B652E1" w:rsidRPr="003D6749" w:rsidP="00D41858" w14:paraId="44369B1C" w14:textId="3DAC5831">
      <w:pPr>
        <w:pStyle w:val="Heading2"/>
        <w:tabs>
          <w:tab w:val="clear" w:pos="4320"/>
        </w:tabs>
        <w:ind w:left="2160" w:hanging="1440"/>
      </w:pPr>
      <w:bookmarkStart w:id="7" w:name="_Toc43712728"/>
      <w:r>
        <w:t xml:space="preserve">Objection </w:t>
      </w:r>
      <w:r w:rsidR="007F72D1">
        <w:t>4</w:t>
      </w:r>
      <w:r>
        <w:t>.</w:t>
      </w:r>
      <w:r w:rsidR="00D41858">
        <w:tab/>
      </w:r>
      <w:r w:rsidR="00166062">
        <w:t>To protect consumers, a</w:t>
      </w:r>
      <w:r w:rsidR="009649D5">
        <w:t>ny c</w:t>
      </w:r>
      <w:r>
        <w:t>harg</w:t>
      </w:r>
      <w:r w:rsidR="009649D5">
        <w:t>es</w:t>
      </w:r>
      <w:r>
        <w:t xml:space="preserve"> to customers under Rider CEP </w:t>
      </w:r>
      <w:r w:rsidR="009649D5">
        <w:t xml:space="preserve">should be calculated </w:t>
      </w:r>
      <w:r>
        <w:t>using the most recently available customer count.</w:t>
      </w:r>
      <w:bookmarkEnd w:id="7"/>
    </w:p>
    <w:p w:rsidR="003D6749" w:rsidP="00CB5D16" w14:paraId="7DE95A68" w14:textId="46B518BD">
      <w:pPr>
        <w:pStyle w:val="BodyTextIndent3"/>
        <w:widowControl w:val="0"/>
        <w:spacing w:line="480" w:lineRule="auto"/>
      </w:pPr>
      <w:r>
        <w:t>Duke</w:t>
      </w:r>
      <w:r>
        <w:t>’s proposed rate ($3.</w:t>
      </w:r>
      <w:r w:rsidR="004D341F">
        <w:t>72</w:t>
      </w:r>
      <w:r>
        <w:t xml:space="preserve"> per month for each residential customer) is based on the average customer count from 2018.</w:t>
      </w:r>
      <w:r>
        <w:rPr>
          <w:rStyle w:val="FootnoteReference"/>
        </w:rPr>
        <w:footnoteReference w:id="27"/>
      </w:r>
      <w:r>
        <w:t xml:space="preserve"> </w:t>
      </w:r>
      <w:r>
        <w:t>Duke</w:t>
      </w:r>
      <w:r>
        <w:t xml:space="preserve"> counted </w:t>
      </w:r>
      <w:r w:rsidR="00F637A7">
        <w:t>4,836,307</w:t>
      </w:r>
      <w:r>
        <w:t xml:space="preserve"> bills in 2018, which is equivalent to a customer count of </w:t>
      </w:r>
      <w:r w:rsidRPr="00F637A7" w:rsidR="00F637A7">
        <w:t>403</w:t>
      </w:r>
      <w:r w:rsidR="00F637A7">
        <w:t>,</w:t>
      </w:r>
      <w:r w:rsidRPr="00F637A7" w:rsidR="00F637A7">
        <w:t>02</w:t>
      </w:r>
      <w:r w:rsidR="004B460E">
        <w:t>6</w:t>
      </w:r>
      <w:r>
        <w:t>.</w:t>
      </w:r>
      <w:r>
        <w:rPr>
          <w:rStyle w:val="FootnoteReference"/>
        </w:rPr>
        <w:footnoteReference w:id="28"/>
      </w:r>
      <w:r>
        <w:t xml:space="preserve"> </w:t>
      </w:r>
      <w:r w:rsidR="007F72D1">
        <w:t>It appears that the Staff Report used this same number to calculate its proposed rate of $3.</w:t>
      </w:r>
      <w:r w:rsidR="00C5525E">
        <w:t>68</w:t>
      </w:r>
      <w:r w:rsidR="004B460E">
        <w:t xml:space="preserve"> </w:t>
      </w:r>
      <w:r w:rsidR="007F72D1">
        <w:t>per month for each residential customer.</w:t>
      </w:r>
      <w:r>
        <w:rPr>
          <w:rStyle w:val="FootnoteReference"/>
        </w:rPr>
        <w:footnoteReference w:id="29"/>
      </w:r>
      <w:r w:rsidR="009649D5">
        <w:t xml:space="preserve"> The charge to customers under Rider CEP should not be based on total bills from 2018 because this data is outda</w:t>
      </w:r>
      <w:r w:rsidR="00166062">
        <w:t xml:space="preserve">ted. Instead, the most recently </w:t>
      </w:r>
      <w:r w:rsidR="009649D5">
        <w:t>available customer count should be used.</w:t>
      </w:r>
      <w:r>
        <w:rPr>
          <w:rStyle w:val="FootnoteReference"/>
        </w:rPr>
        <w:footnoteReference w:id="30"/>
      </w:r>
      <w:r w:rsidR="009649D5">
        <w:t xml:space="preserve"> For example, t</w:t>
      </w:r>
      <w:r w:rsidR="000D3CB7">
        <w:t xml:space="preserve">he number of bills </w:t>
      </w:r>
      <w:r w:rsidR="007C6B2D">
        <w:t>used to calculate residential consumers’ Rider AMRP rate in Case No. 19-1769-GA-RDR</w:t>
      </w:r>
      <w:r w:rsidR="00E22767">
        <w:t xml:space="preserve">, </w:t>
      </w:r>
      <w:r w:rsidR="007C6B2D">
        <w:t>which was filed on February 26, 2020</w:t>
      </w:r>
      <w:r w:rsidR="00317FBA">
        <w:t>,</w:t>
      </w:r>
      <w:r w:rsidR="00C5525E">
        <w:t xml:space="preserve"> provides a more up to date customer count</w:t>
      </w:r>
      <w:r w:rsidR="00E22767">
        <w:t>.</w:t>
      </w:r>
      <w:r w:rsidR="004B0245">
        <w:t xml:space="preserve"> </w:t>
      </w:r>
      <w:r w:rsidR="00E22767">
        <w:t>The residential bills reported issued in that case was 4,872,985,</w:t>
      </w:r>
      <w:r w:rsidR="004B0245">
        <w:t xml:space="preserve"> </w:t>
      </w:r>
      <w:r w:rsidR="000D3CB7">
        <w:t xml:space="preserve">which is equivalent to a customer count of </w:t>
      </w:r>
      <w:r w:rsidR="00E22767">
        <w:t>406,082</w:t>
      </w:r>
      <w:r w:rsidR="000D3CB7">
        <w:t>.</w:t>
      </w:r>
      <w:r>
        <w:rPr>
          <w:rStyle w:val="FootnoteReference"/>
        </w:rPr>
        <w:footnoteReference w:id="31"/>
      </w:r>
      <w:r w:rsidR="000D3CB7">
        <w:t xml:space="preserve"> </w:t>
      </w:r>
      <w:r w:rsidR="009649D5">
        <w:t xml:space="preserve">This </w:t>
      </w:r>
      <w:r w:rsidR="00E22767">
        <w:t xml:space="preserve">updated customer count </w:t>
      </w:r>
      <w:r w:rsidR="009649D5">
        <w:t xml:space="preserve">would result in a lower rate under either the Application or the Staff Report. When and if the PUCO approves charges to consumers under Rider CEP, </w:t>
      </w:r>
      <w:r>
        <w:t>Duke</w:t>
      </w:r>
      <w:r w:rsidR="009649D5">
        <w:t xml:space="preserve"> should provide to the PUCO Staff the most recently</w:t>
      </w:r>
      <w:r w:rsidR="00166062">
        <w:t xml:space="preserve"> </w:t>
      </w:r>
      <w:r w:rsidR="009649D5">
        <w:t>available customer count, which should then be used to calculate the appropriate rate.</w:t>
      </w:r>
    </w:p>
    <w:p w:rsidR="00DC61DF" w:rsidRPr="0069402D" w:rsidP="00D41858" w14:paraId="7C3E54CB" w14:textId="59701738">
      <w:pPr>
        <w:pStyle w:val="Heading2"/>
        <w:tabs>
          <w:tab w:val="clear" w:pos="4320"/>
        </w:tabs>
        <w:ind w:left="2160" w:hanging="1440"/>
      </w:pPr>
      <w:bookmarkStart w:id="8" w:name="_Toc43712729"/>
      <w:r>
        <w:t>Objection 5</w:t>
      </w:r>
      <w:r w:rsidR="0069402D">
        <w:t>.</w:t>
      </w:r>
      <w:r w:rsidR="00D41858">
        <w:tab/>
      </w:r>
      <w:r w:rsidR="00783C9C">
        <w:t>Duke’s replacement of older infrastructure should result in operational savings, and those operational savings should be passed on to customers through the CEP Rider.</w:t>
      </w:r>
      <w:bookmarkEnd w:id="8"/>
    </w:p>
    <w:p w:rsidR="00EE4D99" w:rsidP="00CB5D16" w14:paraId="4807A1D4" w14:textId="4932A2F8">
      <w:pPr>
        <w:pStyle w:val="BodyTextIndent3"/>
        <w:widowControl w:val="0"/>
        <w:spacing w:line="480" w:lineRule="auto"/>
      </w:pPr>
      <w:r>
        <w:t>From 201</w:t>
      </w:r>
      <w:r w:rsidR="00E85EFF">
        <w:t>3</w:t>
      </w:r>
      <w:r>
        <w:t xml:space="preserve"> to 2018, </w:t>
      </w:r>
      <w:r w:rsidR="00F80D21">
        <w:t>Duke</w:t>
      </w:r>
      <w:r>
        <w:t xml:space="preserve"> spent nearly $</w:t>
      </w:r>
      <w:r w:rsidR="0029641D">
        <w:t>342</w:t>
      </w:r>
      <w:r>
        <w:t xml:space="preserve"> million on capital investments that it seeks to include in Rider CEP.</w:t>
      </w:r>
      <w:r>
        <w:rPr>
          <w:rStyle w:val="FootnoteReference"/>
        </w:rPr>
        <w:footnoteReference w:id="32"/>
      </w:r>
      <w:r w:rsidR="00310E97">
        <w:t xml:space="preserve"> During that period, </w:t>
      </w:r>
      <w:r w:rsidR="00F80D21">
        <w:t>Duke</w:t>
      </w:r>
      <w:r w:rsidR="00310E97">
        <w:t xml:space="preserve"> more than </w:t>
      </w:r>
      <w:r w:rsidR="003F55D1">
        <w:t xml:space="preserve">quadrupled </w:t>
      </w:r>
      <w:r w:rsidR="00310E97">
        <w:t xml:space="preserve">its annual spending on </w:t>
      </w:r>
      <w:r w:rsidR="00F903DE">
        <w:t>distribution improvement</w:t>
      </w:r>
      <w:r>
        <w:t>s</w:t>
      </w:r>
      <w:r w:rsidR="00310E97">
        <w:t xml:space="preserve"> from $</w:t>
      </w:r>
      <w:r w:rsidR="00F903DE">
        <w:t>2</w:t>
      </w:r>
      <w:r w:rsidR="00310E97">
        <w:t>1.9 million in 201</w:t>
      </w:r>
      <w:r w:rsidR="00F903DE">
        <w:t>3</w:t>
      </w:r>
      <w:r w:rsidR="00310E97">
        <w:t xml:space="preserve"> to more than $9</w:t>
      </w:r>
      <w:r w:rsidR="003F55D1">
        <w:t>4</w:t>
      </w:r>
      <w:r w:rsidR="00310E97">
        <w:t>.</w:t>
      </w:r>
      <w:r w:rsidR="003F55D1">
        <w:t>6</w:t>
      </w:r>
      <w:r w:rsidR="00310E97">
        <w:t xml:space="preserve"> million in 2018.</w:t>
      </w:r>
      <w:r>
        <w:rPr>
          <w:rStyle w:val="FootnoteReference"/>
        </w:rPr>
        <w:footnoteReference w:id="33"/>
      </w:r>
      <w:r w:rsidR="00310E97">
        <w:t xml:space="preserve"> With this increased and significant spending on infrastructure, </w:t>
      </w:r>
      <w:r w:rsidR="00F80D21">
        <w:t>Duke</w:t>
      </w:r>
      <w:r w:rsidR="00310E97">
        <w:t xml:space="preserve">’s maintenance and other costs should be lower. In the absence of a base rate case, however, customers will not receive the benefits of such cost reductions. </w:t>
      </w:r>
    </w:p>
    <w:p w:rsidR="00310E97" w:rsidP="00CB5D16" w14:paraId="7E47EA40" w14:textId="7AD83839">
      <w:pPr>
        <w:pStyle w:val="BodyTextIndent3"/>
        <w:widowControl w:val="0"/>
        <w:spacing w:line="480" w:lineRule="auto"/>
      </w:pPr>
      <w:r>
        <w:t xml:space="preserve">If customers are required to pay for this new infrastructure on an expedited basis through Rider CEP, it is only fair that they receive the benefits of such investment (lower maintenance costs) on an expedited basis as well. </w:t>
      </w:r>
      <w:r w:rsidR="00110AAF">
        <w:t xml:space="preserve">Neither the Application nor the Staff Report recommend any credit to customers for operational savings resulting from capital expenditure program investments. But they should have. </w:t>
      </w:r>
      <w:r w:rsidR="00F80D21">
        <w:t>Duke</w:t>
      </w:r>
      <w:r w:rsidR="00A61AFF">
        <w:t xml:space="preserve">’s </w:t>
      </w:r>
      <w:r w:rsidR="005B03B7">
        <w:t>Accelerated Main Replacement</w:t>
      </w:r>
      <w:r w:rsidR="004B0245">
        <w:t xml:space="preserve"> </w:t>
      </w:r>
      <w:r w:rsidR="00A61AFF">
        <w:t>Program</w:t>
      </w:r>
      <w:r w:rsidR="00CA66E5">
        <w:t xml:space="preserve"> (“AMRP”)</w:t>
      </w:r>
      <w:r w:rsidR="00DB2909">
        <w:t xml:space="preserve">, which </w:t>
      </w:r>
      <w:r w:rsidR="00A61AFF">
        <w:t xml:space="preserve">also </w:t>
      </w:r>
      <w:r w:rsidR="00745DF5">
        <w:t xml:space="preserve">involved </w:t>
      </w:r>
      <w:r w:rsidR="00A61AFF">
        <w:t>replacement of pipeline infrastructure</w:t>
      </w:r>
      <w:r w:rsidR="00DB2909">
        <w:t>,</w:t>
      </w:r>
      <w:r w:rsidR="00A61AFF">
        <w:t xml:space="preserve"> </w:t>
      </w:r>
      <w:r w:rsidR="00745DF5">
        <w:t xml:space="preserve">included </w:t>
      </w:r>
      <w:r w:rsidR="00A61AFF">
        <w:t xml:space="preserve">an operation and maintenance savings offset to the </w:t>
      </w:r>
      <w:r w:rsidR="00CA66E5">
        <w:t xml:space="preserve">AMRP </w:t>
      </w:r>
      <w:r w:rsidR="00A61AFF">
        <w:t>Ri</w:t>
      </w:r>
      <w:r w:rsidR="00166062">
        <w:t xml:space="preserve">der. Rider CEP should as well. </w:t>
      </w:r>
      <w:r w:rsidR="00A61AFF">
        <w:t xml:space="preserve">Therefore, </w:t>
      </w:r>
      <w:r w:rsidR="00F80D21">
        <w:t>Duke</w:t>
      </w:r>
      <w:r>
        <w:t xml:space="preserve"> should be required to include an offset</w:t>
      </w:r>
      <w:r w:rsidR="002039DA">
        <w:t xml:space="preserve"> now</w:t>
      </w:r>
      <w:r>
        <w:t xml:space="preserve"> to the Rider CEP revenue requirement for any operational savings resulting from its capital expenditures</w:t>
      </w:r>
      <w:r w:rsidR="00110AAF">
        <w:t xml:space="preserve"> under the capital expenditure program. </w:t>
      </w:r>
    </w:p>
    <w:p w:rsidR="009649D5" w:rsidRPr="009649D5" w:rsidP="00D41858" w14:paraId="27F298DB" w14:textId="2FFEB3E2">
      <w:pPr>
        <w:pStyle w:val="Heading2"/>
        <w:tabs>
          <w:tab w:val="clear" w:pos="4320"/>
        </w:tabs>
        <w:ind w:left="2160" w:hanging="1440"/>
      </w:pPr>
      <w:bookmarkStart w:id="9" w:name="_Toc43712730"/>
      <w:r>
        <w:t>Objection 6.</w:t>
      </w:r>
      <w:r w:rsidR="00D41858">
        <w:tab/>
      </w:r>
      <w:r w:rsidR="00166062">
        <w:t>To protect consumers, t</w:t>
      </w:r>
      <w:r>
        <w:t xml:space="preserve">he PUCO should not authorize </w:t>
      </w:r>
      <w:r w:rsidR="00F80D21">
        <w:t>Duke</w:t>
      </w:r>
      <w:r>
        <w:t xml:space="preserve"> to charge customers a 9.</w:t>
      </w:r>
      <w:r w:rsidR="00C00D93">
        <w:t>16</w:t>
      </w:r>
      <w:r>
        <w:t xml:space="preserve">% </w:t>
      </w:r>
      <w:r w:rsidR="00166062">
        <w:t xml:space="preserve">before tax </w:t>
      </w:r>
      <w:r>
        <w:t>rate of return on CEP investments.</w:t>
      </w:r>
      <w:bookmarkEnd w:id="9"/>
    </w:p>
    <w:p w:rsidR="009649D5" w:rsidP="00CB5D16" w14:paraId="20DEC9ED" w14:textId="53F1C96F">
      <w:pPr>
        <w:pStyle w:val="BodyTextIndent3"/>
        <w:widowControl w:val="0"/>
        <w:spacing w:line="480" w:lineRule="auto"/>
      </w:pPr>
      <w:r>
        <w:t>Duke</w:t>
      </w:r>
      <w:r>
        <w:t xml:space="preserve"> proposed a 9.</w:t>
      </w:r>
      <w:r w:rsidR="00BB1A96">
        <w:t>16</w:t>
      </w:r>
      <w:r>
        <w:t xml:space="preserve">% </w:t>
      </w:r>
      <w:r w:rsidR="00D7695E">
        <w:t xml:space="preserve">pre-tax </w:t>
      </w:r>
      <w:r>
        <w:t>rate of return</w:t>
      </w:r>
      <w:r w:rsidR="00D7695E">
        <w:t xml:space="preserve"> to be charged to customers under Rider CEP, which is based on its </w:t>
      </w:r>
      <w:r w:rsidR="004D2E33">
        <w:t xml:space="preserve">authorized </w:t>
      </w:r>
      <w:r w:rsidR="00D7695E">
        <w:t>rate of return from its last rate case.</w:t>
      </w:r>
      <w:r>
        <w:rPr>
          <w:rStyle w:val="FootnoteReference"/>
        </w:rPr>
        <w:footnoteReference w:id="34"/>
      </w:r>
      <w:r w:rsidR="00D7695E">
        <w:t xml:space="preserve"> </w:t>
      </w:r>
      <w:r w:rsidR="00690416">
        <w:t xml:space="preserve">The </w:t>
      </w:r>
      <w:r w:rsidR="0068432C">
        <w:t xml:space="preserve">PUCO </w:t>
      </w:r>
      <w:r w:rsidR="00690416">
        <w:t>Staff did not recommend any change to this proposed rate,</w:t>
      </w:r>
      <w:r>
        <w:rPr>
          <w:rStyle w:val="FootnoteReference"/>
        </w:rPr>
        <w:footnoteReference w:id="35"/>
      </w:r>
      <w:r w:rsidR="00690416">
        <w:t xml:space="preserve"> and </w:t>
      </w:r>
      <w:r w:rsidR="00DE52D2">
        <w:t xml:space="preserve">neither did </w:t>
      </w:r>
      <w:r w:rsidR="00690416">
        <w:t>the Audit Report</w:t>
      </w:r>
      <w:r>
        <w:rPr>
          <w:rStyle w:val="FootnoteReference"/>
        </w:rPr>
        <w:footnoteReference w:id="36"/>
      </w:r>
      <w:r w:rsidR="00690416">
        <w:t xml:space="preserve"> </w:t>
      </w:r>
      <w:r w:rsidR="00EE4D99">
        <w:t>For the following reasons, t</w:t>
      </w:r>
      <w:r w:rsidR="00D7695E">
        <w:t xml:space="preserve">hat </w:t>
      </w:r>
      <w:r w:rsidR="004D2E33">
        <w:t xml:space="preserve">pre-tax </w:t>
      </w:r>
      <w:r w:rsidR="00D7695E">
        <w:t>rate of return should not be used for Rider CEP.</w:t>
      </w:r>
    </w:p>
    <w:p w:rsidR="00D7695E" w:rsidP="00CB5D16" w14:paraId="1DF53DB3" w14:textId="7B6DD593">
      <w:pPr>
        <w:pStyle w:val="BodyTextIndent3"/>
        <w:widowControl w:val="0"/>
        <w:spacing w:line="480" w:lineRule="auto"/>
      </w:pPr>
      <w:r>
        <w:t xml:space="preserve">First, a utility’s rate of return is intended to reflect the utility’s risk as seen </w:t>
      </w:r>
      <w:r w:rsidR="00166062">
        <w:t>through</w:t>
      </w:r>
      <w:r>
        <w:t xml:space="preserve"> the eyes of an investor. When a utility is allowed to charge customers for capital investments on an accelerated basis through a rider, as opposed to through a rate case, the risk is lower</w:t>
      </w:r>
      <w:r w:rsidR="00690416">
        <w:t xml:space="preserve"> than when capital investments are recovered through a base rate case</w:t>
      </w:r>
      <w:r>
        <w:t>.</w:t>
      </w:r>
      <w:r>
        <w:rPr>
          <w:rStyle w:val="FootnoteReference"/>
        </w:rPr>
        <w:footnoteReference w:id="37"/>
      </w:r>
      <w:r>
        <w:t xml:space="preserve"> Thus, the rate of return should also be lower.</w:t>
      </w:r>
    </w:p>
    <w:p w:rsidR="000520C5" w:rsidP="00CB5D16" w14:paraId="644CC322" w14:textId="3584A46E">
      <w:pPr>
        <w:pStyle w:val="BodyTextIndent3"/>
        <w:spacing w:line="480" w:lineRule="auto"/>
      </w:pPr>
      <w:r>
        <w:t xml:space="preserve">Second, </w:t>
      </w:r>
      <w:r w:rsidR="00F80D21">
        <w:t>Duke</w:t>
      </w:r>
      <w:r>
        <w:t xml:space="preserve">’s last rate case was resolved more than </w:t>
      </w:r>
      <w:r w:rsidR="0083433E">
        <w:t xml:space="preserve">8 </w:t>
      </w:r>
      <w:r>
        <w:t xml:space="preserve">years ago in </w:t>
      </w:r>
      <w:r w:rsidR="0083433E">
        <w:t>2012</w:t>
      </w:r>
      <w:r>
        <w:t>.</w:t>
      </w:r>
      <w:r>
        <w:rPr>
          <w:rStyle w:val="FootnoteReference"/>
        </w:rPr>
        <w:footnoteReference w:id="38"/>
      </w:r>
      <w:r>
        <w:t xml:space="preserve"> Market conditions have changed since </w:t>
      </w:r>
      <w:r w:rsidR="0083433E">
        <w:t>2012</w:t>
      </w:r>
      <w:r>
        <w:t xml:space="preserve">. </w:t>
      </w:r>
      <w:r>
        <w:t xml:space="preserve">In Vectren’s most recent base rate case, resolved less than a year ago, the PUCO approved a 7.48% </w:t>
      </w:r>
      <w:r w:rsidR="00383AE6">
        <w:t xml:space="preserve">after-tax </w:t>
      </w:r>
      <w:r>
        <w:t>rate of return.</w:t>
      </w:r>
      <w:r>
        <w:rPr>
          <w:rStyle w:val="FootnoteReference"/>
        </w:rPr>
        <w:footnoteReference w:id="39"/>
      </w:r>
      <w:r>
        <w:t xml:space="preserve"> The PUCO similarly approved a 7.26% </w:t>
      </w:r>
      <w:r w:rsidR="00383AE6">
        <w:t xml:space="preserve">after-tax </w:t>
      </w:r>
      <w:r>
        <w:t>rate of return for Suburban Natural Gas in 2019.</w:t>
      </w:r>
      <w:r>
        <w:rPr>
          <w:rStyle w:val="FootnoteReference"/>
        </w:rPr>
        <w:footnoteReference w:id="40"/>
      </w:r>
      <w:r>
        <w:t xml:space="preserve"> </w:t>
      </w:r>
      <w:r w:rsidR="00621A3E">
        <w:t xml:space="preserve">These are substantially lower than </w:t>
      </w:r>
      <w:r w:rsidR="00F80D21">
        <w:t>Duke</w:t>
      </w:r>
      <w:r w:rsidR="00621A3E">
        <w:t>’s proposed 9.</w:t>
      </w:r>
      <w:r w:rsidR="00527E2E">
        <w:t>16</w:t>
      </w:r>
      <w:r w:rsidR="00621A3E">
        <w:t xml:space="preserve">% </w:t>
      </w:r>
      <w:r w:rsidR="00383AE6">
        <w:t xml:space="preserve">before-tax </w:t>
      </w:r>
      <w:r w:rsidR="00621A3E">
        <w:t>rate of return</w:t>
      </w:r>
      <w:r w:rsidR="00DB2909">
        <w:t xml:space="preserve">, which </w:t>
      </w:r>
      <w:r w:rsidR="00383AE6">
        <w:t xml:space="preserve">is based an after-tax rate of return of </w:t>
      </w:r>
      <w:r w:rsidR="006C6298">
        <w:t>7.73</w:t>
      </w:r>
      <w:r w:rsidR="00383AE6">
        <w:t xml:space="preserve">% approved in </w:t>
      </w:r>
      <w:r w:rsidR="00487A70">
        <w:t xml:space="preserve">2012 </w:t>
      </w:r>
      <w:r w:rsidR="00383AE6">
        <w:t xml:space="preserve">for </w:t>
      </w:r>
      <w:r w:rsidR="00F80D21">
        <w:t>Duke</w:t>
      </w:r>
      <w:r w:rsidR="00383AE6">
        <w:t>.</w:t>
      </w:r>
      <w:r>
        <w:rPr>
          <w:rStyle w:val="FootnoteReference"/>
        </w:rPr>
        <w:footnoteReference w:id="41"/>
      </w:r>
      <w:r>
        <w:t xml:space="preserve"> </w:t>
      </w:r>
      <w:r w:rsidR="00383AE6">
        <w:t xml:space="preserve">This </w:t>
      </w:r>
      <w:r>
        <w:t>9.</w:t>
      </w:r>
      <w:r w:rsidR="0054518E">
        <w:t>16</w:t>
      </w:r>
      <w:r>
        <w:t xml:space="preserve">% rate of return is particularly unreasonable because it is based on a </w:t>
      </w:r>
      <w:r w:rsidR="0054518E">
        <w:t>5.32</w:t>
      </w:r>
      <w:r>
        <w:t xml:space="preserve">% </w:t>
      </w:r>
      <w:r w:rsidR="00B23552">
        <w:t xml:space="preserve">stipulated </w:t>
      </w:r>
      <w:r>
        <w:t>cost of debt</w:t>
      </w:r>
      <w:r w:rsidR="00621A3E">
        <w:t>,</w:t>
      </w:r>
      <w:r>
        <w:rPr>
          <w:rStyle w:val="FootnoteReference"/>
        </w:rPr>
        <w:footnoteReference w:id="42"/>
      </w:r>
      <w:r w:rsidR="00621A3E">
        <w:t xml:space="preserve"> which exceeds </w:t>
      </w:r>
      <w:r w:rsidR="004D2E33">
        <w:t xml:space="preserve">a reasonable cost of debt under </w:t>
      </w:r>
      <w:r w:rsidR="00621A3E">
        <w:t>the current debt market conditions</w:t>
      </w:r>
      <w:r>
        <w:t>.</w:t>
      </w:r>
      <w:r>
        <w:rPr>
          <w:rStyle w:val="FootnoteReference"/>
        </w:rPr>
        <w:footnoteReference w:id="43"/>
      </w:r>
    </w:p>
    <w:p w:rsidR="00EE4D99" w:rsidP="00EE4D99" w14:paraId="313A898E" w14:textId="4AB29786">
      <w:pPr>
        <w:pStyle w:val="BodyTextIndent3"/>
        <w:spacing w:line="480" w:lineRule="auto"/>
      </w:pPr>
      <w:r>
        <w:t xml:space="preserve">The rate of return for charges to consumers under Rider CEP should be based on current market conditions, including </w:t>
      </w:r>
      <w:r w:rsidR="00F80D21">
        <w:t>Duke</w:t>
      </w:r>
      <w:r>
        <w:t xml:space="preserve">’s </w:t>
      </w:r>
      <w:r w:rsidR="00690416">
        <w:t>current</w:t>
      </w:r>
      <w:r>
        <w:t xml:space="preserve"> cost of debt</w:t>
      </w:r>
      <w:r w:rsidR="00690416">
        <w:t xml:space="preserve"> and</w:t>
      </w:r>
      <w:r>
        <w:t xml:space="preserve"> capital structure, and a reasonable return on equity</w:t>
      </w:r>
      <w:r w:rsidR="00690416">
        <w:t xml:space="preserve"> of no more than 9.60%</w:t>
      </w:r>
      <w:r>
        <w:t>.</w:t>
      </w:r>
      <w:r w:rsidR="00DB2909">
        <w:t xml:space="preserve"> </w:t>
      </w:r>
      <w:r>
        <w:t>The average return on equity for gas utilities in 2019 was 9.71, and that number dropped to 9.35% in the first quarter of 2020.</w:t>
      </w:r>
      <w:r w:rsidRPr="004B41CD">
        <w:rPr>
          <w:rStyle w:val="FootnoteReference"/>
        </w:rPr>
        <w:t xml:space="preserve"> </w:t>
      </w:r>
      <w:r>
        <w:rPr>
          <w:rStyle w:val="FootnoteReference"/>
        </w:rPr>
        <w:footnoteReference w:id="44"/>
      </w:r>
      <w:r>
        <w:t xml:space="preserve"> A reasonable return on equity for Duke’s Rider CEP would therefore be no more than 9.60%. A before-tax rate of return based on OCC’s recommendation can be calculated accordingly</w:t>
      </w:r>
      <w:r w:rsidR="004D2E33">
        <w:t xml:space="preserve"> and it should be applicable to the CEP Rider</w:t>
      </w:r>
      <w:r>
        <w:t>.</w:t>
      </w:r>
      <w:r>
        <w:rPr>
          <w:rStyle w:val="FootnoteReference"/>
        </w:rPr>
        <w:footnoteReference w:id="45"/>
      </w:r>
    </w:p>
    <w:p w:rsidR="00D41858" w14:paraId="05EBF584" w14:textId="5947B114">
      <w:r>
        <w:br w:type="page"/>
      </w:r>
    </w:p>
    <w:p w:rsidR="000520C5" w:rsidRPr="00690416" w:rsidP="00D41858" w14:paraId="48368652" w14:textId="77777777">
      <w:pPr>
        <w:pStyle w:val="Heading1"/>
      </w:pPr>
      <w:bookmarkStart w:id="10" w:name="_Toc43712731"/>
      <w:r>
        <w:t>I</w:t>
      </w:r>
      <w:r w:rsidR="006C2EF7">
        <w:t>I</w:t>
      </w:r>
      <w:r>
        <w:t>I.</w:t>
      </w:r>
      <w:r>
        <w:tab/>
        <w:t>CONCLUSION</w:t>
      </w:r>
      <w:bookmarkEnd w:id="10"/>
    </w:p>
    <w:p w:rsidR="0069402D" w:rsidP="000B2FF8" w14:paraId="6ECBC88F" w14:textId="7A8C418F">
      <w:pPr>
        <w:pStyle w:val="BodyTextIndent3"/>
        <w:widowControl w:val="0"/>
        <w:spacing w:line="480" w:lineRule="auto"/>
      </w:pPr>
      <w:r>
        <w:t>New charges—nearly $</w:t>
      </w:r>
      <w:r w:rsidR="00AA05EE">
        <w:t>45</w:t>
      </w:r>
      <w:r>
        <w:t xml:space="preserve">per year—should not be added to customers’ bills in the middle of the coronavirus pandemic and financial emergency. To protect consumers from paying unreasonable rates under </w:t>
      </w:r>
      <w:r w:rsidR="00F80D21">
        <w:t>Duke</w:t>
      </w:r>
      <w:r>
        <w:t>’s proposed capital expenditure program rider, the PUCO should adopt OCC’s consumer-protection objections.</w:t>
      </w:r>
    </w:p>
    <w:p w:rsidR="00E00603" w:rsidP="00E00603" w14:paraId="697CDDB1" w14:textId="3309C676">
      <w:pPr>
        <w:pStyle w:val="BodyTextIndent3"/>
        <w:widowControl w:val="0"/>
        <w:ind w:left="3600"/>
        <w:rPr>
          <w:szCs w:val="24"/>
        </w:rPr>
      </w:pPr>
      <w:r w:rsidRPr="00710E80">
        <w:rPr>
          <w:szCs w:val="24"/>
        </w:rPr>
        <w:t>Respectfully submitted,</w:t>
      </w:r>
    </w:p>
    <w:p w:rsidR="00E00603" w:rsidRPr="00710E80" w:rsidP="00E00603" w14:paraId="190F718A" w14:textId="77777777">
      <w:pPr>
        <w:pStyle w:val="BodyTextIndent3"/>
        <w:widowControl w:val="0"/>
        <w:ind w:left="3600"/>
        <w:rPr>
          <w:szCs w:val="24"/>
        </w:rPr>
      </w:pPr>
    </w:p>
    <w:p w:rsidR="00E00603" w:rsidRPr="00710E80" w:rsidP="00E00603" w14:paraId="7651CF0D" w14:textId="77777777">
      <w:pPr>
        <w:ind w:left="4320"/>
      </w:pPr>
      <w:r>
        <w:t>Bruce Weston</w:t>
      </w:r>
      <w:r w:rsidRPr="00710E80">
        <w:t xml:space="preserve"> (0016973)</w:t>
      </w:r>
    </w:p>
    <w:p w:rsidR="00E00603" w:rsidRPr="00710E80" w:rsidP="00E00603" w14:paraId="3B811A50" w14:textId="77777777">
      <w:pPr>
        <w:tabs>
          <w:tab w:val="left" w:pos="4320"/>
        </w:tabs>
        <w:ind w:left="4320"/>
        <w:rPr>
          <w:szCs w:val="24"/>
        </w:rPr>
      </w:pPr>
      <w:r>
        <w:rPr>
          <w:szCs w:val="24"/>
        </w:rPr>
        <w:t>Ohio Consumers’ Counsel</w:t>
      </w:r>
    </w:p>
    <w:p w:rsidR="00E00603" w:rsidRPr="00710E80" w:rsidP="00E00603" w14:paraId="62DB3AD0" w14:textId="77777777">
      <w:pPr>
        <w:tabs>
          <w:tab w:val="left" w:pos="4320"/>
        </w:tabs>
        <w:ind w:left="4320"/>
        <w:rPr>
          <w:szCs w:val="24"/>
        </w:rPr>
      </w:pPr>
    </w:p>
    <w:p w:rsidR="00E00603" w:rsidRPr="00974888" w:rsidP="00E00603" w14:paraId="0F6C2FE8" w14:textId="77777777">
      <w:pPr>
        <w:autoSpaceDE w:val="0"/>
        <w:autoSpaceDN w:val="0"/>
        <w:adjustRightInd w:val="0"/>
        <w:ind w:left="4320"/>
        <w:rPr>
          <w:i/>
        </w:rPr>
      </w:pPr>
      <w:r w:rsidRPr="00710E80">
        <w:rPr>
          <w:i/>
          <w:u w:val="single"/>
        </w:rPr>
        <w:t>/s/</w:t>
      </w:r>
      <w:r>
        <w:rPr>
          <w:i/>
          <w:u w:val="single"/>
        </w:rPr>
        <w:t xml:space="preserve"> William J. Michael</w:t>
      </w:r>
      <w:r>
        <w:rPr>
          <w:i/>
          <w:u w:val="single"/>
        </w:rPr>
        <w:tab/>
      </w:r>
      <w:r>
        <w:rPr>
          <w:i/>
          <w:u w:val="single"/>
        </w:rPr>
        <w:tab/>
      </w:r>
      <w:r>
        <w:rPr>
          <w:i/>
          <w:u w:val="single"/>
        </w:rPr>
        <w:tab/>
      </w:r>
    </w:p>
    <w:p w:rsidR="00E00603" w:rsidP="00E00603" w14:paraId="447691CD" w14:textId="77777777">
      <w:pPr>
        <w:tabs>
          <w:tab w:val="left" w:pos="4320"/>
        </w:tabs>
        <w:ind w:left="4320"/>
      </w:pPr>
      <w:r w:rsidRPr="00C743FA">
        <w:t>William J. Michael (0070921)</w:t>
      </w:r>
    </w:p>
    <w:p w:rsidR="00E00603" w:rsidP="00E00603" w14:paraId="13C439FF" w14:textId="77777777">
      <w:pPr>
        <w:tabs>
          <w:tab w:val="left" w:pos="4320"/>
        </w:tabs>
        <w:ind w:left="4320"/>
        <w:rPr>
          <w:szCs w:val="24"/>
        </w:rPr>
      </w:pPr>
      <w:r>
        <w:rPr>
          <w:szCs w:val="24"/>
        </w:rPr>
        <w:t>Counsel of Record</w:t>
      </w:r>
    </w:p>
    <w:p w:rsidR="00E00603" w:rsidP="00E00603" w14:paraId="69F19AEA" w14:textId="77777777">
      <w:pPr>
        <w:tabs>
          <w:tab w:val="left" w:pos="4320"/>
        </w:tabs>
        <w:ind w:left="4320"/>
        <w:rPr>
          <w:szCs w:val="24"/>
        </w:rPr>
      </w:pPr>
      <w:r>
        <w:rPr>
          <w:szCs w:val="24"/>
        </w:rPr>
        <w:t>Amy Botschner-O’Brien (0074423)</w:t>
      </w:r>
    </w:p>
    <w:p w:rsidR="00E00603" w:rsidP="00E00603" w14:paraId="74D0F472" w14:textId="77777777">
      <w:pPr>
        <w:tabs>
          <w:tab w:val="left" w:pos="4320"/>
        </w:tabs>
        <w:ind w:left="4320"/>
        <w:rPr>
          <w:szCs w:val="24"/>
        </w:rPr>
      </w:pPr>
      <w:r>
        <w:rPr>
          <w:szCs w:val="24"/>
        </w:rPr>
        <w:t>Ambrosia E. Logsdon (0096598)</w:t>
      </w:r>
    </w:p>
    <w:p w:rsidR="00E00603" w:rsidP="00E00603" w14:paraId="0F3EB9C5" w14:textId="77777777">
      <w:pPr>
        <w:tabs>
          <w:tab w:val="left" w:pos="4320"/>
        </w:tabs>
        <w:ind w:left="4320"/>
        <w:rPr>
          <w:szCs w:val="24"/>
        </w:rPr>
      </w:pPr>
      <w:r>
        <w:rPr>
          <w:szCs w:val="24"/>
        </w:rPr>
        <w:t>Assistant Consumers’ Counsel</w:t>
      </w:r>
    </w:p>
    <w:p w:rsidR="00E00603" w:rsidRPr="008A6DE3" w:rsidP="00E00603" w14:paraId="746973E2" w14:textId="77777777">
      <w:pPr>
        <w:tabs>
          <w:tab w:val="left" w:pos="4320"/>
        </w:tabs>
        <w:ind w:left="4320"/>
        <w:rPr>
          <w:szCs w:val="24"/>
        </w:rPr>
      </w:pPr>
    </w:p>
    <w:p w:rsidR="00E00603" w:rsidRPr="001D7483" w:rsidP="00E00603" w14:paraId="0C8FA395" w14:textId="77777777">
      <w:pPr>
        <w:ind w:left="3600" w:firstLine="720"/>
        <w:rPr>
          <w:b/>
        </w:rPr>
      </w:pPr>
      <w:r w:rsidRPr="001D7483">
        <w:rPr>
          <w:b/>
        </w:rPr>
        <w:t>Office of the Ohio Consumers’ Counsel</w:t>
      </w:r>
    </w:p>
    <w:p w:rsidR="00E00603" w:rsidRPr="001D7483" w:rsidP="00E00603" w14:paraId="7D8355FB" w14:textId="77777777">
      <w:pPr>
        <w:ind w:left="3600" w:firstLine="720"/>
      </w:pPr>
      <w:r w:rsidRPr="001D7483">
        <w:t>65 East State Street, 7th Floor</w:t>
      </w:r>
    </w:p>
    <w:p w:rsidR="00E00603" w:rsidP="00E00603" w14:paraId="328669A2" w14:textId="77777777">
      <w:pPr>
        <w:ind w:left="3600" w:firstLine="720"/>
      </w:pPr>
      <w:r w:rsidRPr="001D7483">
        <w:t>Columbus, Ohio 43215-4213</w:t>
      </w:r>
    </w:p>
    <w:p w:rsidR="00E00603" w:rsidRPr="00C743FA" w:rsidP="00E00603" w14:paraId="698F319C" w14:textId="77777777">
      <w:pPr>
        <w:tabs>
          <w:tab w:val="left" w:pos="4320"/>
        </w:tabs>
        <w:ind w:left="4320"/>
      </w:pPr>
      <w:r w:rsidRPr="00C743FA">
        <w:t xml:space="preserve">Telephone </w:t>
      </w:r>
      <w:r>
        <w:t xml:space="preserve">[Michael]: </w:t>
      </w:r>
      <w:r w:rsidRPr="00C743FA">
        <w:t>(614) 466-1291</w:t>
      </w:r>
    </w:p>
    <w:p w:rsidR="00E00603" w:rsidP="00E00603" w14:paraId="356F0BA2" w14:textId="77777777">
      <w:pPr>
        <w:ind w:left="3600" w:firstLine="720"/>
        <w:rPr>
          <w:szCs w:val="24"/>
        </w:rPr>
      </w:pPr>
      <w:r>
        <w:rPr>
          <w:szCs w:val="24"/>
        </w:rPr>
        <w:t>Telephone [Botschner-O’Brien]:</w:t>
      </w:r>
    </w:p>
    <w:p w:rsidR="00E00603" w:rsidP="00E00603" w14:paraId="001E1727" w14:textId="77777777">
      <w:pPr>
        <w:autoSpaceDE w:val="0"/>
        <w:autoSpaceDN w:val="0"/>
        <w:adjustRightInd w:val="0"/>
        <w:ind w:left="3600" w:firstLine="720"/>
        <w:rPr>
          <w:szCs w:val="24"/>
        </w:rPr>
      </w:pPr>
      <w:r>
        <w:rPr>
          <w:szCs w:val="24"/>
        </w:rPr>
        <w:t>(614) 466-9575</w:t>
      </w:r>
    </w:p>
    <w:p w:rsidR="00E00603" w:rsidP="00E00603" w14:paraId="1D6AE9B8" w14:textId="77777777">
      <w:pPr>
        <w:autoSpaceDE w:val="0"/>
        <w:autoSpaceDN w:val="0"/>
        <w:adjustRightInd w:val="0"/>
        <w:ind w:left="3600" w:firstLine="720"/>
        <w:rPr>
          <w:szCs w:val="24"/>
        </w:rPr>
      </w:pPr>
      <w:r>
        <w:rPr>
          <w:szCs w:val="24"/>
        </w:rPr>
        <w:t>Telephone [Logsdon]: (614) 466-1292</w:t>
      </w:r>
    </w:p>
    <w:p w:rsidR="00E00603" w:rsidRPr="00C743FA" w:rsidP="00E00603" w14:paraId="2994F450" w14:textId="77777777">
      <w:pPr>
        <w:ind w:left="4320"/>
      </w:pPr>
      <w:hyperlink r:id="rId6" w:history="1">
        <w:r w:rsidRPr="00C743FA">
          <w:rPr>
            <w:rStyle w:val="Hyperlink"/>
          </w:rPr>
          <w:t>william.michael@occ.ohio.gov</w:t>
        </w:r>
      </w:hyperlink>
    </w:p>
    <w:p w:rsidR="00E00603" w:rsidP="00E00603" w14:paraId="526D7954" w14:textId="77777777">
      <w:pPr>
        <w:autoSpaceDE w:val="0"/>
        <w:autoSpaceDN w:val="0"/>
        <w:adjustRightInd w:val="0"/>
        <w:ind w:left="3600" w:firstLine="720"/>
        <w:rPr>
          <w:rStyle w:val="Hyperlink"/>
          <w:szCs w:val="24"/>
        </w:rPr>
      </w:pPr>
      <w:hyperlink r:id="rId7" w:history="1">
        <w:r w:rsidRPr="00295480">
          <w:rPr>
            <w:rStyle w:val="Hyperlink"/>
            <w:szCs w:val="24"/>
          </w:rPr>
          <w:t>amy.botschner.obrien@occ.ohio.gov</w:t>
        </w:r>
      </w:hyperlink>
    </w:p>
    <w:p w:rsidR="00E00603" w:rsidP="00E00603" w14:paraId="4CD4644E" w14:textId="77777777">
      <w:pPr>
        <w:ind w:left="4320"/>
        <w:rPr>
          <w:rStyle w:val="Hyperlink"/>
          <w:szCs w:val="24"/>
        </w:rPr>
      </w:pPr>
      <w:hyperlink r:id="rId8" w:history="1">
        <w:r w:rsidRPr="00295480">
          <w:rPr>
            <w:rStyle w:val="Hyperlink"/>
            <w:szCs w:val="24"/>
          </w:rPr>
          <w:t>ambrosia.logsdon@occ.ohio.gov</w:t>
        </w:r>
      </w:hyperlink>
    </w:p>
    <w:p w:rsidR="00E00603" w:rsidP="00E00603" w14:paraId="0B18E78B" w14:textId="77777777">
      <w:pPr>
        <w:ind w:left="4320"/>
        <w:rPr>
          <w:szCs w:val="24"/>
        </w:rPr>
      </w:pPr>
      <w:r w:rsidRPr="00710E80">
        <w:rPr>
          <w:szCs w:val="24"/>
        </w:rPr>
        <w:t>(</w:t>
      </w:r>
      <w:r>
        <w:rPr>
          <w:szCs w:val="24"/>
        </w:rPr>
        <w:t>willing to accept service by e-mail</w:t>
      </w:r>
      <w:r w:rsidRPr="00710E80">
        <w:rPr>
          <w:szCs w:val="24"/>
        </w:rPr>
        <w:t>)</w:t>
      </w:r>
    </w:p>
    <w:p w:rsidR="00E00603" w:rsidP="00E00603" w14:paraId="4EE2AFBE" w14:textId="7D9823BF">
      <w:pPr>
        <w:pStyle w:val="BodyTextIndent3"/>
        <w:widowControl w:val="0"/>
        <w:ind w:left="3600" w:right="-672"/>
        <w:rPr>
          <w:szCs w:val="24"/>
        </w:rPr>
      </w:pPr>
      <w:r>
        <w:rPr>
          <w:szCs w:val="24"/>
        </w:rPr>
        <w:br w:type="page"/>
      </w:r>
    </w:p>
    <w:p w:rsidR="00836BDA" w14:paraId="79C1A445" w14:textId="77777777">
      <w:pPr>
        <w:jc w:val="center"/>
        <w:rPr>
          <w:b/>
          <w:bCs/>
          <w:u w:val="single"/>
        </w:rPr>
      </w:pPr>
      <w:r>
        <w:rPr>
          <w:b/>
          <w:bCs/>
          <w:u w:val="single"/>
        </w:rPr>
        <w:t>CERTIFICATE OF SERVICE</w:t>
      </w:r>
    </w:p>
    <w:p w:rsidR="00836BDA" w14:paraId="14C7EDBF" w14:textId="25936307">
      <w:pPr>
        <w:spacing w:line="480" w:lineRule="atLeast"/>
      </w:pPr>
      <w:r>
        <w:tab/>
        <w:t>I hereby certify that a copy of th</w:t>
      </w:r>
      <w:r w:rsidR="00DC61DF">
        <w:t xml:space="preserve">ese Objections </w:t>
      </w:r>
      <w:r>
        <w:t xml:space="preserve">was served on the persons stated below </w:t>
      </w:r>
      <w:r w:rsidRPr="009D37EA">
        <w:t xml:space="preserve">via </w:t>
      </w:r>
      <w:r>
        <w:t xml:space="preserve">electronic transmission, this </w:t>
      </w:r>
      <w:r w:rsidR="006A01AD">
        <w:t>22nd</w:t>
      </w:r>
      <w:r>
        <w:t xml:space="preserve"> day of </w:t>
      </w:r>
      <w:r w:rsidR="00DC61DF">
        <w:t>June 2020</w:t>
      </w:r>
      <w:r>
        <w:t>.</w:t>
      </w:r>
    </w:p>
    <w:p w:rsidR="00836BDA" w14:paraId="54F86378" w14:textId="77777777">
      <w:pPr>
        <w:spacing w:line="480" w:lineRule="atLeast"/>
      </w:pPr>
    </w:p>
    <w:p w:rsidR="00836BDA" w:rsidRPr="00460D90" w14:paraId="580CDD71" w14:textId="244C77AD">
      <w:pPr>
        <w:tabs>
          <w:tab w:val="left" w:pos="4320"/>
        </w:tabs>
        <w:rPr>
          <w:iCs/>
          <w:u w:val="single"/>
        </w:rPr>
      </w:pPr>
      <w:r>
        <w:tab/>
      </w:r>
      <w:r>
        <w:rPr>
          <w:i/>
          <w:iCs/>
          <w:u w:val="single"/>
        </w:rPr>
        <w:t>/s</w:t>
      </w:r>
      <w:r w:rsidR="00EF5D89">
        <w:rPr>
          <w:i/>
          <w:iCs/>
          <w:u w:val="single"/>
        </w:rPr>
        <w:t xml:space="preserve"> William J. Michael</w:t>
      </w:r>
      <w:r>
        <w:rPr>
          <w:iCs/>
          <w:u w:val="single"/>
        </w:rPr>
        <w:tab/>
      </w:r>
      <w:r>
        <w:rPr>
          <w:iCs/>
          <w:u w:val="single"/>
        </w:rPr>
        <w:tab/>
      </w:r>
    </w:p>
    <w:p w:rsidR="00836BDA" w14:paraId="009812A5" w14:textId="6FEEA49F">
      <w:pPr>
        <w:tabs>
          <w:tab w:val="left" w:pos="4320"/>
        </w:tabs>
      </w:pPr>
      <w:r>
        <w:tab/>
      </w:r>
      <w:r w:rsidR="00EF5D89">
        <w:t>William J. Michael</w:t>
      </w:r>
    </w:p>
    <w:p w:rsidR="00836BDA" w14:paraId="650FE834" w14:textId="77777777">
      <w:pPr>
        <w:tabs>
          <w:tab w:val="left" w:pos="4320"/>
        </w:tabs>
      </w:pPr>
      <w:r>
        <w:tab/>
        <w:t>Assistant Consumers’ Counsel</w:t>
      </w:r>
    </w:p>
    <w:p w:rsidR="00836BDA" w14:paraId="2E4C0FCC" w14:textId="77777777">
      <w:pPr>
        <w:pStyle w:val="CommentSubject"/>
      </w:pPr>
    </w:p>
    <w:p w:rsidR="002621FF" w:rsidP="002621FF" w14:paraId="1EE97A08" w14:textId="0E8FB561">
      <w:r>
        <w:t>The PUCO’s e-filing system will electronically serve notice of the filing of this document on the following parties:</w:t>
      </w:r>
    </w:p>
    <w:p w:rsidR="00EF5D89" w:rsidP="002621FF" w14:paraId="3A2E0E93" w14:textId="13F1EA0F"/>
    <w:p w:rsidR="00EF5D89" w:rsidP="00EF5D89" w14:paraId="1DA53013" w14:textId="77777777">
      <w:pPr>
        <w:pStyle w:val="CommentText"/>
        <w:jc w:val="center"/>
        <w:rPr>
          <w:b/>
          <w:sz w:val="20"/>
          <w:u w:val="single"/>
        </w:rPr>
      </w:pPr>
      <w:r>
        <w:rPr>
          <w:b/>
          <w:u w:val="single"/>
        </w:rPr>
        <w:t>SERVICE LIST</w:t>
      </w:r>
    </w:p>
    <w:p w:rsidR="00EF5D89" w:rsidP="00EF5D89" w14:paraId="6531FD46" w14:textId="77777777">
      <w:pPr>
        <w:pStyle w:val="CommentText"/>
        <w:jc w:val="center"/>
        <w:rPr>
          <w:b/>
          <w:u w:val="single"/>
        </w:rPr>
      </w:pPr>
    </w:p>
    <w:tbl>
      <w:tblPr>
        <w:tblW w:w="0" w:type="auto"/>
        <w:tblLook w:val="04A0"/>
      </w:tblPr>
      <w:tblGrid>
        <w:gridCol w:w="4315"/>
        <w:gridCol w:w="4315"/>
      </w:tblGrid>
      <w:tr w14:paraId="522DAB2E" w14:textId="77777777" w:rsidTr="00EF5D89">
        <w:tblPrEx>
          <w:tblW w:w="0" w:type="auto"/>
          <w:tblLook w:val="04A0"/>
        </w:tblPrEx>
        <w:tc>
          <w:tcPr>
            <w:tcW w:w="4315" w:type="dxa"/>
          </w:tcPr>
          <w:p w:rsidR="00EF5D89" w14:paraId="49CE655C" w14:textId="58A21270">
            <w:pPr>
              <w:pStyle w:val="CommentText"/>
              <w:widowControl w:val="0"/>
              <w:autoSpaceDE w:val="0"/>
              <w:autoSpaceDN w:val="0"/>
              <w:adjustRightInd w:val="0"/>
              <w:rPr>
                <w:bCs/>
              </w:rPr>
            </w:pPr>
            <w:hyperlink r:id="rId11" w:history="1">
              <w:r w:rsidRPr="001A134B" w:rsidR="00CE7836">
                <w:rPr>
                  <w:rStyle w:val="Hyperlink"/>
                  <w:bCs/>
                </w:rPr>
                <w:t>Steven.Beeler@ohioattorneygeneral.gov</w:t>
              </w:r>
            </w:hyperlink>
          </w:p>
          <w:p w:rsidR="00CE7836" w14:paraId="31585753" w14:textId="77777777">
            <w:pPr>
              <w:pStyle w:val="CommentText"/>
              <w:widowControl w:val="0"/>
              <w:autoSpaceDE w:val="0"/>
              <w:autoSpaceDN w:val="0"/>
              <w:adjustRightInd w:val="0"/>
              <w:rPr>
                <w:bCs/>
              </w:rPr>
            </w:pPr>
          </w:p>
          <w:p w:rsidR="00EF5D89" w14:paraId="0E1348BA" w14:textId="77777777">
            <w:pPr>
              <w:pStyle w:val="CommentText"/>
              <w:widowControl w:val="0"/>
              <w:autoSpaceDE w:val="0"/>
              <w:autoSpaceDN w:val="0"/>
              <w:adjustRightInd w:val="0"/>
              <w:rPr>
                <w:bCs/>
              </w:rPr>
            </w:pPr>
          </w:p>
        </w:tc>
        <w:tc>
          <w:tcPr>
            <w:tcW w:w="4315" w:type="dxa"/>
          </w:tcPr>
          <w:p w:rsidR="00EF5D89" w:rsidP="00CE7836" w14:paraId="14D9B3EE" w14:textId="77777777">
            <w:pPr>
              <w:pStyle w:val="CommentText"/>
              <w:widowControl w:val="0"/>
              <w:autoSpaceDE w:val="0"/>
              <w:autoSpaceDN w:val="0"/>
              <w:adjustRightInd w:val="0"/>
              <w:ind w:left="522"/>
              <w:rPr>
                <w:bCs/>
              </w:rPr>
            </w:pPr>
            <w:hyperlink r:id="rId12" w:history="1">
              <w:r>
                <w:rPr>
                  <w:rStyle w:val="Hyperlink"/>
                  <w:bCs/>
                </w:rPr>
                <w:t>Rocco.dascenzo@duke-energy.com</w:t>
              </w:r>
            </w:hyperlink>
          </w:p>
          <w:p w:rsidR="00EF5D89" w:rsidP="00CE7836" w14:paraId="7ED87950" w14:textId="77777777">
            <w:pPr>
              <w:pStyle w:val="CommentText"/>
              <w:widowControl w:val="0"/>
              <w:autoSpaceDE w:val="0"/>
              <w:autoSpaceDN w:val="0"/>
              <w:adjustRightInd w:val="0"/>
              <w:ind w:left="522"/>
              <w:rPr>
                <w:bCs/>
              </w:rPr>
            </w:pPr>
            <w:hyperlink r:id="rId13" w:history="1">
              <w:r>
                <w:rPr>
                  <w:rStyle w:val="Hyperlink"/>
                  <w:bCs/>
                </w:rPr>
                <w:t>Jeanne.kingery@duke-energy.com</w:t>
              </w:r>
            </w:hyperlink>
          </w:p>
          <w:p w:rsidR="00EF5D89" w:rsidP="00CE7836" w14:paraId="51B2F9AF" w14:textId="77777777">
            <w:pPr>
              <w:pStyle w:val="CommentText"/>
              <w:widowControl w:val="0"/>
              <w:autoSpaceDE w:val="0"/>
              <w:autoSpaceDN w:val="0"/>
              <w:adjustRightInd w:val="0"/>
              <w:ind w:left="522"/>
              <w:rPr>
                <w:bCs/>
              </w:rPr>
            </w:pPr>
            <w:hyperlink r:id="rId14" w:history="1">
              <w:r>
                <w:rPr>
                  <w:rStyle w:val="Hyperlink"/>
                  <w:bCs/>
                </w:rPr>
                <w:t>Elizabeth.watts@duke-energy.com</w:t>
              </w:r>
            </w:hyperlink>
          </w:p>
          <w:p w:rsidR="00EF5D89" w14:paraId="5A217FB8" w14:textId="77777777">
            <w:pPr>
              <w:pStyle w:val="CommentText"/>
              <w:widowControl w:val="0"/>
              <w:autoSpaceDE w:val="0"/>
              <w:autoSpaceDN w:val="0"/>
              <w:adjustRightInd w:val="0"/>
              <w:rPr>
                <w:bCs/>
              </w:rPr>
            </w:pPr>
          </w:p>
        </w:tc>
      </w:tr>
    </w:tbl>
    <w:p w:rsidR="00EF5D89" w:rsidP="00EF5D89" w14:paraId="3D0CEEC9" w14:textId="77777777">
      <w:pPr>
        <w:pStyle w:val="CommentText"/>
        <w:rPr>
          <w:bCs/>
        </w:rPr>
      </w:pPr>
      <w:r>
        <w:rPr>
          <w:bCs/>
        </w:rPr>
        <w:t>Attorney Examiners:</w:t>
      </w:r>
    </w:p>
    <w:p w:rsidR="00EF5D89" w:rsidP="00EF5D89" w14:paraId="34315E27" w14:textId="77777777">
      <w:pPr>
        <w:pStyle w:val="CommentText"/>
        <w:rPr>
          <w:bCs/>
        </w:rPr>
      </w:pPr>
    </w:p>
    <w:p w:rsidR="00EF5D89" w:rsidP="00EF5D89" w14:paraId="64F5BC6E" w14:textId="77777777">
      <w:pPr>
        <w:pStyle w:val="CommentText"/>
        <w:rPr>
          <w:bCs/>
        </w:rPr>
      </w:pPr>
      <w:hyperlink r:id="rId15" w:history="1">
        <w:r>
          <w:rPr>
            <w:rStyle w:val="Hyperlink"/>
            <w:bCs/>
          </w:rPr>
          <w:t>Stacie.cathcart@puco.ohio.gov</w:t>
        </w:r>
      </w:hyperlink>
    </w:p>
    <w:p w:rsidR="00EF5D89" w:rsidP="00EF5D89" w14:paraId="424AC5FE" w14:textId="77777777">
      <w:pPr>
        <w:pStyle w:val="CommentText"/>
        <w:rPr>
          <w:bCs/>
        </w:rPr>
      </w:pPr>
      <w:hyperlink r:id="rId16" w:history="1">
        <w:r>
          <w:rPr>
            <w:rStyle w:val="Hyperlink"/>
            <w:bCs/>
          </w:rPr>
          <w:t>Sarah.parrot@puco.ohio.gov</w:t>
        </w:r>
      </w:hyperlink>
    </w:p>
    <w:p w:rsidR="00EF5D89" w:rsidP="00EF5D89" w14:paraId="499A68AE" w14:textId="77777777">
      <w:pPr>
        <w:pStyle w:val="CommentText"/>
        <w:rPr>
          <w:b/>
          <w:bCs/>
        </w:rPr>
      </w:pPr>
    </w:p>
    <w:p w:rsidR="00EF5D89" w:rsidP="00EF5D89" w14:paraId="43AEB905" w14:textId="77777777">
      <w:pPr>
        <w:jc w:val="both"/>
        <w:rPr>
          <w:b/>
          <w:bCs/>
        </w:rPr>
      </w:pPr>
    </w:p>
    <w:sectPr w:rsidSect="00AB22E0">
      <w:pgSz w:w="12240" w:h="15840"/>
      <w:pgMar w:top="1440" w:right="1440" w:bottom="1440" w:left="1440" w:header="720" w:footer="720" w:gutter="0"/>
      <w:pgNumType w:start="1"/>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59126282"/>
      <w:docPartObj>
        <w:docPartGallery w:val="Page Numbers (Bottom of Page)"/>
        <w:docPartUnique/>
      </w:docPartObj>
    </w:sdtPr>
    <w:sdtEndPr>
      <w:rPr>
        <w:noProof/>
        <w:sz w:val="24"/>
        <w:szCs w:val="24"/>
      </w:rPr>
    </w:sdtEndPr>
    <w:sdtContent>
      <w:p w:rsidR="00DB2909" w:rsidRPr="00FE7F0A" w14:paraId="19480F1D" w14:textId="77777777">
        <w:pPr>
          <w:pStyle w:val="Footer"/>
          <w:jc w:val="center"/>
          <w:rPr>
            <w:sz w:val="24"/>
            <w:szCs w:val="24"/>
          </w:rPr>
        </w:pPr>
        <w:r w:rsidRPr="00FE7F0A">
          <w:rPr>
            <w:sz w:val="24"/>
            <w:szCs w:val="24"/>
          </w:rPr>
          <w:fldChar w:fldCharType="begin"/>
        </w:r>
        <w:r w:rsidRPr="00FE7F0A">
          <w:rPr>
            <w:sz w:val="24"/>
            <w:szCs w:val="24"/>
          </w:rPr>
          <w:instrText xml:space="preserve"> PAGE   \* MERGEFORMAT </w:instrText>
        </w:r>
        <w:r w:rsidRPr="00FE7F0A">
          <w:rPr>
            <w:sz w:val="24"/>
            <w:szCs w:val="24"/>
          </w:rPr>
          <w:fldChar w:fldCharType="separate"/>
        </w:r>
        <w:r w:rsidR="00050391">
          <w:rPr>
            <w:noProof/>
            <w:sz w:val="24"/>
            <w:szCs w:val="24"/>
          </w:rPr>
          <w:t>11</w:t>
        </w:r>
        <w:r w:rsidRPr="00FE7F0A">
          <w:rPr>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75477767"/>
      <w:docPartObj>
        <w:docPartGallery w:val="Page Numbers (Bottom of Page)"/>
        <w:docPartUnique/>
      </w:docPartObj>
    </w:sdtPr>
    <w:sdtEndPr>
      <w:rPr>
        <w:noProof/>
        <w:sz w:val="24"/>
        <w:szCs w:val="24"/>
      </w:rPr>
    </w:sdtEndPr>
    <w:sdtContent>
      <w:p w:rsidR="00964180" w:rsidRPr="00964180" w14:paraId="63A19171" w14:textId="11EBD9C1">
        <w:pPr>
          <w:pStyle w:val="Footer"/>
          <w:jc w:val="center"/>
          <w:rPr>
            <w:sz w:val="24"/>
            <w:szCs w:val="24"/>
          </w:rPr>
        </w:pPr>
        <w:r w:rsidRPr="00964180">
          <w:rPr>
            <w:sz w:val="24"/>
            <w:szCs w:val="24"/>
          </w:rPr>
          <w:fldChar w:fldCharType="begin"/>
        </w:r>
        <w:r w:rsidRPr="00964180">
          <w:rPr>
            <w:sz w:val="24"/>
            <w:szCs w:val="24"/>
          </w:rPr>
          <w:instrText xml:space="preserve"> PAGE   \* MERGEFORMAT </w:instrText>
        </w:r>
        <w:r w:rsidRPr="00964180">
          <w:rPr>
            <w:sz w:val="24"/>
            <w:szCs w:val="24"/>
          </w:rPr>
          <w:fldChar w:fldCharType="separate"/>
        </w:r>
        <w:r w:rsidR="00050391">
          <w:rPr>
            <w:noProof/>
            <w:sz w:val="24"/>
            <w:szCs w:val="24"/>
          </w:rPr>
          <w:t>1</w:t>
        </w:r>
        <w:r w:rsidRPr="00964180">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75BB4" w14:paraId="5B2F2E70" w14:textId="77777777">
      <w:r>
        <w:separator/>
      </w:r>
    </w:p>
  </w:footnote>
  <w:footnote w:type="continuationSeparator" w:id="1">
    <w:p w:rsidR="00D75BB4" w14:paraId="19FAA454" w14:textId="77777777">
      <w:r>
        <w:continuationSeparator/>
      </w:r>
    </w:p>
  </w:footnote>
  <w:footnote w:id="2">
    <w:p w:rsidR="00F80D21" w:rsidRPr="004B0245" w:rsidP="004B0245" w14:paraId="28FA672B" w14:textId="77777777">
      <w:pPr>
        <w:pStyle w:val="FootnoteText"/>
        <w:spacing w:after="120"/>
      </w:pPr>
      <w:r w:rsidRPr="004B0245">
        <w:rPr>
          <w:rStyle w:val="FootnoteReference"/>
        </w:rPr>
        <w:footnoteRef/>
      </w:r>
      <w:r w:rsidRPr="004B0245">
        <w:t xml:space="preserve"> </w:t>
      </w:r>
      <w:r w:rsidRPr="004B0245">
        <w:rPr>
          <w:i/>
          <w:iCs/>
        </w:rPr>
        <w:t>See</w:t>
      </w:r>
      <w:r w:rsidRPr="004B0245">
        <w:t xml:space="preserve"> Application, Proposed Tariff Gas No. 18 at Original Sheet No. 84 ($3.72 a month x 12 months = $44.64).</w:t>
      </w:r>
    </w:p>
  </w:footnote>
  <w:footnote w:id="3">
    <w:p w:rsidR="00DB2909" w:rsidRPr="004B0245" w:rsidP="004B0245" w14:paraId="2954B50A" w14:textId="332E2B06">
      <w:pPr>
        <w:pStyle w:val="FootnoteText"/>
        <w:spacing w:after="120"/>
      </w:pPr>
      <w:r w:rsidRPr="004B0245">
        <w:rPr>
          <w:rStyle w:val="FootnoteReference"/>
        </w:rPr>
        <w:footnoteRef/>
      </w:r>
      <w:r w:rsidRPr="004B0245">
        <w:t xml:space="preserve"> </w:t>
      </w:r>
      <w:r w:rsidRPr="004B0245" w:rsidR="00DB527D">
        <w:rPr>
          <w:i/>
          <w:iCs/>
        </w:rPr>
        <w:t>See</w:t>
      </w:r>
      <w:r w:rsidRPr="004B0245" w:rsidR="00DB527D">
        <w:t xml:space="preserve"> </w:t>
      </w:r>
      <w:r w:rsidRPr="004B0245">
        <w:t xml:space="preserve">Application, Ex. </w:t>
      </w:r>
      <w:r w:rsidRPr="004B0245" w:rsidR="00046310">
        <w:t>J</w:t>
      </w:r>
      <w:r w:rsidRPr="004B0245">
        <w:t xml:space="preserve">, Schedule </w:t>
      </w:r>
      <w:r w:rsidRPr="004B0245" w:rsidR="00046310">
        <w:t>4, Ln. 9</w:t>
      </w:r>
      <w:r w:rsidRPr="004B0245">
        <w:t>.</w:t>
      </w:r>
    </w:p>
  </w:footnote>
  <w:footnote w:id="4">
    <w:p w:rsidR="00FA39F9" w:rsidRPr="004B0245" w:rsidP="004B0245" w14:paraId="14DD119A" w14:textId="30A9F286">
      <w:pPr>
        <w:spacing w:after="120"/>
        <w:rPr>
          <w:sz w:val="20"/>
        </w:rPr>
      </w:pPr>
      <w:r w:rsidRPr="004B0245">
        <w:rPr>
          <w:rStyle w:val="FootnoteReference"/>
          <w:sz w:val="20"/>
        </w:rPr>
        <w:footnoteRef/>
      </w:r>
      <w:r w:rsidRPr="004B0245">
        <w:rPr>
          <w:sz w:val="20"/>
        </w:rPr>
        <w:t xml:space="preserve"> </w:t>
      </w:r>
      <w:r w:rsidRPr="004B0245" w:rsidR="00DB527D">
        <w:rPr>
          <w:i/>
          <w:iCs/>
          <w:sz w:val="20"/>
        </w:rPr>
        <w:t>See</w:t>
      </w:r>
      <w:r w:rsidRPr="004B0245" w:rsidR="00DB527D">
        <w:rPr>
          <w:sz w:val="20"/>
        </w:rPr>
        <w:t xml:space="preserve"> </w:t>
      </w:r>
      <w:r w:rsidRPr="004B0245" w:rsidR="00CD7597">
        <w:rPr>
          <w:i/>
          <w:iCs/>
          <w:sz w:val="20"/>
        </w:rPr>
        <w:t>In the Matter of the Application of the Duke Energy Ohio, Inc. for Approval to Implement a Capital Expenditure Program</w:t>
      </w:r>
      <w:r w:rsidRPr="004B0245" w:rsidR="00CD7597">
        <w:rPr>
          <w:sz w:val="20"/>
        </w:rPr>
        <w:t>, Case No. 13-2417-GA-UNC, et al., Finding and Order at ¶21 (Oct. 1, 2014).</w:t>
      </w:r>
    </w:p>
  </w:footnote>
  <w:footnote w:id="5">
    <w:p w:rsidR="00DB2909" w:rsidRPr="004B0245" w:rsidP="004B0245" w14:paraId="7FF9080C" w14:textId="193E2C66">
      <w:pPr>
        <w:pStyle w:val="FootnoteText"/>
        <w:spacing w:after="120"/>
      </w:pPr>
      <w:r w:rsidRPr="004B0245">
        <w:rPr>
          <w:rStyle w:val="FootnoteReference"/>
        </w:rPr>
        <w:footnoteRef/>
      </w:r>
      <w:r w:rsidRPr="004B0245">
        <w:t xml:space="preserve"> </w:t>
      </w:r>
      <w:r w:rsidRPr="004B0245" w:rsidR="00DB527D">
        <w:rPr>
          <w:i/>
          <w:iCs/>
        </w:rPr>
        <w:t>See</w:t>
      </w:r>
      <w:r w:rsidRPr="004B0245" w:rsidR="00DB527D">
        <w:t xml:space="preserve"> </w:t>
      </w:r>
      <w:r w:rsidRPr="004B0245">
        <w:t xml:space="preserve">Application, Ex. </w:t>
      </w:r>
      <w:r w:rsidRPr="004B0245" w:rsidR="007716EF">
        <w:t>J</w:t>
      </w:r>
      <w:r w:rsidRPr="004B0245">
        <w:t xml:space="preserve">, Schedule </w:t>
      </w:r>
      <w:r w:rsidRPr="004B0245" w:rsidR="001F2A48">
        <w:t>1</w:t>
      </w:r>
      <w:r w:rsidRPr="004B0245">
        <w:t xml:space="preserve"> ($</w:t>
      </w:r>
      <w:r w:rsidRPr="004B0245" w:rsidR="007716EF">
        <w:t>341,830,234</w:t>
      </w:r>
      <w:r w:rsidRPr="004B0245">
        <w:t xml:space="preserve"> in capital additions minus $</w:t>
      </w:r>
      <w:r w:rsidRPr="004B0245" w:rsidR="00C933F0">
        <w:t>44,354,944</w:t>
      </w:r>
      <w:r w:rsidRPr="004B0245">
        <w:t xml:space="preserve"> in retirements).</w:t>
      </w:r>
    </w:p>
  </w:footnote>
  <w:footnote w:id="6">
    <w:p w:rsidR="00DB2909" w:rsidRPr="004B0245" w:rsidP="004B0245" w14:paraId="0FB6C307" w14:textId="18CB2488">
      <w:pPr>
        <w:pStyle w:val="FootnoteText"/>
        <w:spacing w:after="120"/>
      </w:pPr>
      <w:r w:rsidRPr="004B0245">
        <w:rPr>
          <w:rStyle w:val="FootnoteReference"/>
        </w:rPr>
        <w:footnoteRef/>
      </w:r>
      <w:r w:rsidRPr="004B0245">
        <w:t xml:space="preserve"> </w:t>
      </w:r>
      <w:r w:rsidRPr="004B0245" w:rsidR="00DB527D">
        <w:rPr>
          <w:i/>
          <w:iCs/>
        </w:rPr>
        <w:t>See</w:t>
      </w:r>
      <w:r w:rsidRPr="004B0245" w:rsidR="00DB527D">
        <w:t xml:space="preserve"> </w:t>
      </w:r>
      <w:r w:rsidRPr="004B0245" w:rsidR="001B7ED0">
        <w:rPr>
          <w:i/>
          <w:iCs/>
        </w:rPr>
        <w:t>id</w:t>
      </w:r>
      <w:r w:rsidRPr="004B0245" w:rsidR="001B7ED0">
        <w:t>.</w:t>
      </w:r>
      <w:r w:rsidRPr="004B0245">
        <w:t xml:space="preserve">, Schedule </w:t>
      </w:r>
      <w:r w:rsidRPr="004B0245" w:rsidR="00ED6ED2">
        <w:t>3</w:t>
      </w:r>
      <w:r w:rsidRPr="004B0245">
        <w:t>.</w:t>
      </w:r>
    </w:p>
  </w:footnote>
  <w:footnote w:id="7">
    <w:p w:rsidR="00DB2909" w:rsidRPr="004B0245" w:rsidP="004B0245" w14:paraId="71649106" w14:textId="50797057">
      <w:pPr>
        <w:pStyle w:val="FootnoteText"/>
        <w:spacing w:after="120"/>
      </w:pPr>
      <w:r w:rsidRPr="004B0245">
        <w:rPr>
          <w:rStyle w:val="FootnoteReference"/>
        </w:rPr>
        <w:footnoteRef/>
      </w:r>
      <w:r w:rsidRPr="004B0245">
        <w:t xml:space="preserve"> </w:t>
      </w:r>
      <w:r w:rsidRPr="004B0245" w:rsidR="00DB527D">
        <w:rPr>
          <w:i/>
          <w:iCs/>
        </w:rPr>
        <w:t>See</w:t>
      </w:r>
      <w:r w:rsidRPr="004B0245" w:rsidR="00DB527D">
        <w:t xml:space="preserve"> </w:t>
      </w:r>
      <w:r w:rsidRPr="004B0245" w:rsidR="001B7ED0">
        <w:rPr>
          <w:i/>
          <w:iCs/>
        </w:rPr>
        <w:t>id</w:t>
      </w:r>
      <w:r w:rsidRPr="004B0245" w:rsidR="001B7ED0">
        <w:t>.</w:t>
      </w:r>
    </w:p>
  </w:footnote>
  <w:footnote w:id="8">
    <w:p w:rsidR="00DB2909" w:rsidRPr="004B0245" w:rsidP="004B0245" w14:paraId="3A1C76D6" w14:textId="4B742296">
      <w:pPr>
        <w:pStyle w:val="FootnoteText"/>
        <w:spacing w:after="120"/>
      </w:pPr>
      <w:r w:rsidRPr="004B0245">
        <w:rPr>
          <w:rStyle w:val="FootnoteReference"/>
        </w:rPr>
        <w:footnoteRef/>
      </w:r>
      <w:r w:rsidRPr="004B0245">
        <w:t xml:space="preserve"> </w:t>
      </w:r>
      <w:r w:rsidRPr="004B0245" w:rsidR="00DB527D">
        <w:rPr>
          <w:i/>
          <w:iCs/>
        </w:rPr>
        <w:t>See</w:t>
      </w:r>
      <w:r w:rsidRPr="004B0245" w:rsidR="00DB527D">
        <w:t xml:space="preserve"> </w:t>
      </w:r>
      <w:r w:rsidRPr="004B0245" w:rsidR="001B7ED0">
        <w:rPr>
          <w:i/>
          <w:iCs/>
        </w:rPr>
        <w:t>id</w:t>
      </w:r>
      <w:r w:rsidRPr="004B0245" w:rsidR="001B7ED0">
        <w:t>.</w:t>
      </w:r>
    </w:p>
  </w:footnote>
  <w:footnote w:id="9">
    <w:p w:rsidR="00DB2909" w:rsidRPr="004B0245" w:rsidP="004B0245" w14:paraId="7107B9B2" w14:textId="0B3E6D4B">
      <w:pPr>
        <w:pStyle w:val="FootnoteText"/>
        <w:spacing w:after="120"/>
      </w:pPr>
      <w:r w:rsidRPr="004B0245">
        <w:rPr>
          <w:rStyle w:val="FootnoteReference"/>
        </w:rPr>
        <w:footnoteRef/>
      </w:r>
      <w:r w:rsidRPr="004B0245">
        <w:t xml:space="preserve"> </w:t>
      </w:r>
      <w:r w:rsidRPr="004B0245" w:rsidR="00DB527D">
        <w:rPr>
          <w:i/>
          <w:iCs/>
        </w:rPr>
        <w:t>See</w:t>
      </w:r>
      <w:r w:rsidRPr="004B0245" w:rsidR="00DB527D">
        <w:t xml:space="preserve"> </w:t>
      </w:r>
      <w:r w:rsidRPr="004B0245" w:rsidR="001B7ED0">
        <w:rPr>
          <w:i/>
          <w:iCs/>
        </w:rPr>
        <w:t>id</w:t>
      </w:r>
      <w:r w:rsidRPr="004B0245" w:rsidR="001B7ED0">
        <w:t>.</w:t>
      </w:r>
      <w:r w:rsidRPr="004B0245" w:rsidR="009B7885">
        <w:t>, Schedule</w:t>
      </w:r>
      <w:r w:rsidRPr="004B0245" w:rsidR="004B0245">
        <w:t xml:space="preserve"> </w:t>
      </w:r>
      <w:r w:rsidRPr="004B0245" w:rsidR="00ED6ED2">
        <w:t>3</w:t>
      </w:r>
      <w:r w:rsidRPr="004B0245">
        <w:t xml:space="preserve"> (</w:t>
      </w:r>
      <w:r w:rsidRPr="004B0245" w:rsidR="00CE7EE8">
        <w:t>72.35</w:t>
      </w:r>
      <w:r w:rsidRPr="004B0245">
        <w:t>% allocated to residential customers).</w:t>
      </w:r>
    </w:p>
  </w:footnote>
  <w:footnote w:id="10">
    <w:p w:rsidR="00DB2909" w:rsidRPr="004B0245" w:rsidP="004B0245" w14:paraId="506BC638" w14:textId="316CB1E9">
      <w:pPr>
        <w:pStyle w:val="FootnoteText"/>
        <w:spacing w:after="120"/>
      </w:pPr>
      <w:r w:rsidRPr="004B0245">
        <w:rPr>
          <w:rStyle w:val="FootnoteReference"/>
        </w:rPr>
        <w:footnoteRef/>
      </w:r>
      <w:r w:rsidRPr="004B0245">
        <w:t xml:space="preserve"> </w:t>
      </w:r>
      <w:r w:rsidRPr="004B0245" w:rsidR="00EF4431">
        <w:rPr>
          <w:i/>
          <w:iCs/>
        </w:rPr>
        <w:t>See</w:t>
      </w:r>
      <w:r w:rsidRPr="004B0245" w:rsidR="00EF4431">
        <w:t xml:space="preserve"> </w:t>
      </w:r>
      <w:r w:rsidRPr="004B0245">
        <w:t xml:space="preserve">Plant in Service and Capital Spending Audit of the East Ohio Gas Company d/b/a </w:t>
      </w:r>
      <w:r w:rsidRPr="004B0245" w:rsidR="00F80D21">
        <w:t>Duke</w:t>
      </w:r>
      <w:r w:rsidRPr="004B0245">
        <w:t xml:space="preserve"> Energy Ohio (Apr. 27, 2020) (the “Audit” or “Audit Report”).</w:t>
      </w:r>
    </w:p>
  </w:footnote>
  <w:footnote w:id="11">
    <w:p w:rsidR="00DB2909" w:rsidRPr="004B0245" w:rsidP="004B0245" w14:paraId="51A02331" w14:textId="31F2056C">
      <w:pPr>
        <w:pStyle w:val="FootnoteText"/>
        <w:spacing w:after="120"/>
      </w:pPr>
      <w:r w:rsidRPr="004B0245">
        <w:rPr>
          <w:rStyle w:val="FootnoteReference"/>
        </w:rPr>
        <w:footnoteRef/>
      </w:r>
      <w:r w:rsidRPr="004B0245">
        <w:t xml:space="preserve"> </w:t>
      </w:r>
      <w:r w:rsidRPr="004B0245" w:rsidR="00EF4431">
        <w:rPr>
          <w:i/>
          <w:iCs/>
        </w:rPr>
        <w:t>See</w:t>
      </w:r>
      <w:r w:rsidRPr="004B0245" w:rsidR="00EF4431">
        <w:t xml:space="preserve"> </w:t>
      </w:r>
      <w:r w:rsidRPr="004B0245">
        <w:t xml:space="preserve">Audit Report at </w:t>
      </w:r>
      <w:r w:rsidRPr="004B0245" w:rsidR="00A3023F">
        <w:t>5-2</w:t>
      </w:r>
      <w:r w:rsidRPr="004B0245">
        <w:t>.</w:t>
      </w:r>
    </w:p>
  </w:footnote>
  <w:footnote w:id="12">
    <w:p w:rsidR="00DB2909" w:rsidRPr="004B0245" w:rsidP="004B0245" w14:paraId="0772E845" w14:textId="0B551FF6">
      <w:pPr>
        <w:pStyle w:val="FootnoteText"/>
        <w:spacing w:after="120"/>
      </w:pPr>
      <w:r w:rsidRPr="004B0245">
        <w:rPr>
          <w:rStyle w:val="FootnoteReference"/>
        </w:rPr>
        <w:footnoteRef/>
      </w:r>
      <w:r w:rsidRPr="004B0245">
        <w:t xml:space="preserve"> </w:t>
      </w:r>
      <w:r w:rsidRPr="004B0245" w:rsidR="00EF4431">
        <w:rPr>
          <w:i/>
          <w:iCs/>
        </w:rPr>
        <w:t>See</w:t>
      </w:r>
      <w:r w:rsidRPr="004B0245" w:rsidR="00EF4431">
        <w:t xml:space="preserve"> </w:t>
      </w:r>
      <w:r w:rsidRPr="004B0245" w:rsidR="002E466E">
        <w:t xml:space="preserve">A </w:t>
      </w:r>
      <w:r w:rsidRPr="004B0245" w:rsidR="00670DFF">
        <w:t>R</w:t>
      </w:r>
      <w:r w:rsidRPr="004B0245" w:rsidR="002E466E">
        <w:t xml:space="preserve">eport by the </w:t>
      </w:r>
      <w:r w:rsidRPr="004B0245" w:rsidR="00670DFF">
        <w:t>S</w:t>
      </w:r>
      <w:r w:rsidRPr="004B0245" w:rsidR="002E466E">
        <w:t>taff of the Public Utilities Commission of Ohio at 8 (May 22, 2020) (the “Staff Report”).</w:t>
      </w:r>
      <w:r w:rsidRPr="004B0245">
        <w:t xml:space="preserve">at </w:t>
      </w:r>
      <w:r w:rsidRPr="004B0245" w:rsidR="001C5E82">
        <w:t>8</w:t>
      </w:r>
      <w:r w:rsidRPr="004B0245">
        <w:t xml:space="preserve">. </w:t>
      </w:r>
      <w:r w:rsidRPr="004B0245">
        <w:rPr>
          <w:i/>
        </w:rPr>
        <w:t>See also</w:t>
      </w:r>
      <w:r w:rsidRPr="004B0245">
        <w:t xml:space="preserve"> Audit Report, </w:t>
      </w:r>
      <w:r w:rsidRPr="004B0245" w:rsidR="00577D9E">
        <w:t>Attachment LA-1</w:t>
      </w:r>
      <w:r w:rsidRPr="004B0245" w:rsidR="001B1241">
        <w:t>, Page 2</w:t>
      </w:r>
      <w:r w:rsidRPr="004B0245">
        <w:t xml:space="preserve"> (showing </w:t>
      </w:r>
      <w:r w:rsidRPr="004B0245" w:rsidR="00873E47">
        <w:t>Larkin’s</w:t>
      </w:r>
      <w:r w:rsidRPr="004B0245">
        <w:t xml:space="preserve"> revenue requirement adjustment, which can be used to calculate the $3.</w:t>
      </w:r>
      <w:r w:rsidRPr="004B0245" w:rsidR="00577D9E">
        <w:t>68</w:t>
      </w:r>
      <w:r w:rsidRPr="004B0245">
        <w:t xml:space="preserve"> monthly rate for residential customers).</w:t>
      </w:r>
    </w:p>
  </w:footnote>
  <w:footnote w:id="13">
    <w:p w:rsidR="00DB2909" w:rsidRPr="004B0245" w:rsidP="004B0245" w14:paraId="23CA3830" w14:textId="5BB7DDF5">
      <w:pPr>
        <w:pStyle w:val="FootnoteText"/>
        <w:spacing w:after="120"/>
      </w:pPr>
      <w:r w:rsidRPr="004B0245">
        <w:rPr>
          <w:rStyle w:val="FootnoteReference"/>
        </w:rPr>
        <w:footnoteRef/>
      </w:r>
      <w:r w:rsidRPr="004B0245">
        <w:t xml:space="preserve"> </w:t>
      </w:r>
      <w:r w:rsidRPr="004B0245" w:rsidR="00EF4431">
        <w:rPr>
          <w:i/>
          <w:iCs/>
        </w:rPr>
        <w:t>See</w:t>
      </w:r>
      <w:r w:rsidRPr="004B0245" w:rsidR="00EF4431">
        <w:t xml:space="preserve"> </w:t>
      </w:r>
      <w:r w:rsidRPr="004B0245" w:rsidR="009B7885">
        <w:rPr>
          <w:i/>
          <w:iCs/>
        </w:rPr>
        <w:t>id</w:t>
      </w:r>
      <w:r w:rsidRPr="004B0245" w:rsidR="009B7885">
        <w:t>.</w:t>
      </w:r>
      <w:r w:rsidRPr="004B0245" w:rsidR="00B46272">
        <w:t xml:space="preserve"> </w:t>
      </w:r>
      <w:r w:rsidRPr="004B0245">
        <w:t>at 8.</w:t>
      </w:r>
    </w:p>
  </w:footnote>
  <w:footnote w:id="14">
    <w:p w:rsidR="00DB2909" w:rsidRPr="004B0245" w:rsidP="004B0245" w14:paraId="1FDA55CB" w14:textId="7DDA30B4">
      <w:pPr>
        <w:pStyle w:val="FootnoteText"/>
        <w:spacing w:after="120"/>
      </w:pPr>
      <w:r w:rsidRPr="004B0245">
        <w:rPr>
          <w:rStyle w:val="FootnoteReference"/>
        </w:rPr>
        <w:footnoteRef/>
      </w:r>
      <w:r w:rsidRPr="004B0245">
        <w:t xml:space="preserve"> </w:t>
      </w:r>
      <w:r w:rsidRPr="004B0245" w:rsidR="00EF4431">
        <w:rPr>
          <w:i/>
          <w:iCs/>
        </w:rPr>
        <w:t>See</w:t>
      </w:r>
      <w:r w:rsidRPr="004B0245" w:rsidR="00EF4431">
        <w:t xml:space="preserve"> </w:t>
      </w:r>
      <w:r w:rsidRPr="004B0245" w:rsidR="009B7885">
        <w:rPr>
          <w:i/>
          <w:iCs/>
        </w:rPr>
        <w:t>id</w:t>
      </w:r>
      <w:r w:rsidRPr="004B0245" w:rsidR="009B7885">
        <w:t>.</w:t>
      </w:r>
      <w:r w:rsidRPr="004B0245" w:rsidR="00B46272">
        <w:t xml:space="preserve"> </w:t>
      </w:r>
      <w:r w:rsidRPr="004B0245">
        <w:t xml:space="preserve">at 8, </w:t>
      </w:r>
      <w:r w:rsidRPr="004B0245" w:rsidR="003F7142">
        <w:t>9</w:t>
      </w:r>
      <w:r w:rsidRPr="004B0245">
        <w:t>.</w:t>
      </w:r>
    </w:p>
  </w:footnote>
  <w:footnote w:id="15">
    <w:p w:rsidR="00DB2909" w:rsidRPr="004B0245" w:rsidP="004B0245" w14:paraId="161A03BF" w14:textId="1D75BCEF">
      <w:pPr>
        <w:pStyle w:val="FootnoteText"/>
        <w:spacing w:after="120"/>
      </w:pPr>
      <w:r w:rsidRPr="004B0245">
        <w:rPr>
          <w:rStyle w:val="FootnoteReference"/>
        </w:rPr>
        <w:footnoteRef/>
      </w:r>
      <w:r w:rsidRPr="004B0245">
        <w:t xml:space="preserve"> </w:t>
      </w:r>
      <w:r w:rsidRPr="004B0245" w:rsidR="00EF4431">
        <w:rPr>
          <w:i/>
          <w:iCs/>
        </w:rPr>
        <w:t>See</w:t>
      </w:r>
      <w:r w:rsidRPr="004B0245" w:rsidR="00EF4431">
        <w:t xml:space="preserve"> </w:t>
      </w:r>
      <w:r w:rsidRPr="004B0245" w:rsidR="009B7885">
        <w:rPr>
          <w:i/>
          <w:iCs/>
        </w:rPr>
        <w:t>id</w:t>
      </w:r>
      <w:r w:rsidRPr="004B0245" w:rsidR="009B7885">
        <w:t>.</w:t>
      </w:r>
      <w:r w:rsidRPr="004B0245" w:rsidR="00B46272">
        <w:t xml:space="preserve"> </w:t>
      </w:r>
      <w:r w:rsidRPr="004B0245">
        <w:t xml:space="preserve">at </w:t>
      </w:r>
      <w:r w:rsidRPr="004B0245" w:rsidR="00121EDA">
        <w:t>9</w:t>
      </w:r>
      <w:r w:rsidRPr="004B0245">
        <w:t>.</w:t>
      </w:r>
    </w:p>
  </w:footnote>
  <w:footnote w:id="16">
    <w:p w:rsidR="00DB2909" w:rsidRPr="004B0245" w:rsidP="004B0245" w14:paraId="7F0E764C" w14:textId="36F4B6F2">
      <w:pPr>
        <w:pStyle w:val="FootnoteText"/>
        <w:spacing w:after="120"/>
      </w:pPr>
      <w:r w:rsidRPr="004B0245">
        <w:rPr>
          <w:rStyle w:val="FootnoteReference"/>
        </w:rPr>
        <w:footnoteRef/>
      </w:r>
      <w:r w:rsidRPr="004B0245">
        <w:t xml:space="preserve"> </w:t>
      </w:r>
      <w:r w:rsidRPr="004B0245" w:rsidR="00EF4431">
        <w:rPr>
          <w:i/>
          <w:iCs/>
        </w:rPr>
        <w:t>See</w:t>
      </w:r>
      <w:r w:rsidRPr="004B0245" w:rsidR="00EF4431">
        <w:t xml:space="preserve"> </w:t>
      </w:r>
      <w:r w:rsidRPr="004B0245" w:rsidR="009B7885">
        <w:rPr>
          <w:i/>
          <w:iCs/>
        </w:rPr>
        <w:t>id</w:t>
      </w:r>
      <w:r w:rsidRPr="004B0245" w:rsidR="009B7885">
        <w:t>.</w:t>
      </w:r>
    </w:p>
  </w:footnote>
  <w:footnote w:id="17">
    <w:p w:rsidR="00DB2909" w:rsidRPr="004B0245" w:rsidP="004B0245" w14:paraId="68DD3F7D" w14:textId="6240333C">
      <w:pPr>
        <w:pStyle w:val="FootnoteText"/>
        <w:spacing w:after="120"/>
      </w:pPr>
      <w:r w:rsidRPr="004B0245">
        <w:rPr>
          <w:rStyle w:val="FootnoteReference"/>
        </w:rPr>
        <w:footnoteRef/>
      </w:r>
      <w:r w:rsidRPr="004B0245">
        <w:t xml:space="preserve"> </w:t>
      </w:r>
      <w:r w:rsidRPr="004B0245" w:rsidR="00EF4431">
        <w:rPr>
          <w:i/>
          <w:iCs/>
        </w:rPr>
        <w:t>See</w:t>
      </w:r>
      <w:r w:rsidRPr="004B0245" w:rsidR="00EF4431">
        <w:t xml:space="preserve"> </w:t>
      </w:r>
      <w:r w:rsidRPr="004B0245" w:rsidR="009B7885">
        <w:rPr>
          <w:i/>
          <w:iCs/>
        </w:rPr>
        <w:t>id</w:t>
      </w:r>
      <w:r w:rsidRPr="004B0245" w:rsidR="009B7885">
        <w:t>.</w:t>
      </w:r>
      <w:r w:rsidRPr="004B0245" w:rsidR="00B46272">
        <w:t xml:space="preserve"> </w:t>
      </w:r>
      <w:r w:rsidRPr="004B0245">
        <w:t>at 7.</w:t>
      </w:r>
    </w:p>
  </w:footnote>
  <w:footnote w:id="18">
    <w:p w:rsidR="00DB2909" w:rsidRPr="004B0245" w:rsidP="004B0245" w14:paraId="0AD97E3F" w14:textId="562A9BBE">
      <w:pPr>
        <w:pStyle w:val="FootnoteText"/>
        <w:spacing w:after="120"/>
      </w:pPr>
      <w:r w:rsidRPr="004B0245">
        <w:rPr>
          <w:rStyle w:val="FootnoteReference"/>
        </w:rPr>
        <w:footnoteRef/>
      </w:r>
      <w:r w:rsidRPr="004B0245">
        <w:t xml:space="preserve"> </w:t>
      </w:r>
      <w:r w:rsidRPr="004B0245" w:rsidR="00EF4431">
        <w:rPr>
          <w:i/>
          <w:iCs/>
        </w:rPr>
        <w:t>See</w:t>
      </w:r>
      <w:r w:rsidRPr="004B0245" w:rsidR="00EF4431">
        <w:t xml:space="preserve"> </w:t>
      </w:r>
      <w:r w:rsidRPr="004B0245" w:rsidR="009B7885">
        <w:rPr>
          <w:i/>
          <w:iCs/>
        </w:rPr>
        <w:t>id</w:t>
      </w:r>
      <w:r w:rsidRPr="004B0245" w:rsidR="009B7885">
        <w:t>.</w:t>
      </w:r>
      <w:r w:rsidRPr="004B0245" w:rsidR="00B46272">
        <w:t xml:space="preserve"> </w:t>
      </w:r>
      <w:r w:rsidRPr="004B0245" w:rsidR="009B7885">
        <w:t>(</w:t>
      </w:r>
      <w:r w:rsidRPr="004B0245">
        <w:t>The Staff Report, however, did not recommend any adjustment based on this statement</w:t>
      </w:r>
      <w:r w:rsidRPr="004B0245" w:rsidR="009B7885">
        <w:t>)</w:t>
      </w:r>
      <w:r w:rsidRPr="004B0245">
        <w:t>.</w:t>
      </w:r>
    </w:p>
  </w:footnote>
  <w:footnote w:id="19">
    <w:p w:rsidR="00DB2909" w:rsidRPr="004B0245" w:rsidP="004B0245" w14:paraId="561C4E60" w14:textId="4014A002">
      <w:pPr>
        <w:pStyle w:val="FootnoteText"/>
        <w:spacing w:after="120"/>
      </w:pPr>
      <w:r w:rsidRPr="004B0245">
        <w:rPr>
          <w:rStyle w:val="FootnoteReference"/>
        </w:rPr>
        <w:footnoteRef/>
      </w:r>
      <w:r w:rsidRPr="004B0245">
        <w:t xml:space="preserve"> </w:t>
      </w:r>
      <w:r w:rsidRPr="004B0245" w:rsidR="00EF4431">
        <w:rPr>
          <w:i/>
          <w:iCs/>
        </w:rPr>
        <w:t>See</w:t>
      </w:r>
      <w:r w:rsidRPr="004B0245" w:rsidR="00EF4431">
        <w:t xml:space="preserve"> </w:t>
      </w:r>
      <w:r w:rsidRPr="004B0245" w:rsidR="00EF1F4D">
        <w:rPr>
          <w:i/>
          <w:iCs/>
        </w:rPr>
        <w:t>id</w:t>
      </w:r>
      <w:r w:rsidRPr="004B0245" w:rsidR="00EF1F4D">
        <w:t>.</w:t>
      </w:r>
      <w:r w:rsidRPr="004B0245">
        <w:t xml:space="preserve"> at </w:t>
      </w:r>
      <w:r w:rsidRPr="004B0245" w:rsidR="00D60A7D">
        <w:t>8</w:t>
      </w:r>
      <w:r w:rsidRPr="004B0245">
        <w:t>.</w:t>
      </w:r>
    </w:p>
  </w:footnote>
  <w:footnote w:id="20">
    <w:p w:rsidR="00DB2909" w:rsidRPr="004B0245" w:rsidP="004B0245" w14:paraId="16F7A513" w14:textId="4E886735">
      <w:pPr>
        <w:pStyle w:val="FootnoteText"/>
        <w:spacing w:after="120"/>
      </w:pPr>
      <w:r w:rsidRPr="004B0245">
        <w:rPr>
          <w:rStyle w:val="FootnoteReference"/>
        </w:rPr>
        <w:footnoteRef/>
      </w:r>
      <w:r w:rsidRPr="004B0245">
        <w:t xml:space="preserve"> </w:t>
      </w:r>
      <w:r w:rsidRPr="004B0245" w:rsidR="00EF1F4D">
        <w:rPr>
          <w:i/>
          <w:iCs/>
        </w:rPr>
        <w:t>See</w:t>
      </w:r>
      <w:r w:rsidRPr="004B0245" w:rsidR="00EF1F4D">
        <w:t xml:space="preserve"> </w:t>
      </w:r>
      <w:r w:rsidRPr="004B0245" w:rsidR="00EF1F4D">
        <w:rPr>
          <w:i/>
          <w:iCs/>
        </w:rPr>
        <w:t>id</w:t>
      </w:r>
      <w:r w:rsidRPr="004B0245" w:rsidR="00EF1F4D">
        <w:t>.</w:t>
      </w:r>
      <w:r w:rsidRPr="004B0245" w:rsidR="00B46272">
        <w:t xml:space="preserve"> </w:t>
      </w:r>
      <w:r w:rsidRPr="004B0245">
        <w:t xml:space="preserve">at </w:t>
      </w:r>
      <w:r w:rsidRPr="004B0245" w:rsidR="00490641">
        <w:t>9</w:t>
      </w:r>
      <w:r w:rsidRPr="004B0245">
        <w:t>.</w:t>
      </w:r>
    </w:p>
  </w:footnote>
  <w:footnote w:id="21">
    <w:p w:rsidR="00DB2909" w:rsidRPr="004B0245" w:rsidP="004B0245" w14:paraId="35848878" w14:textId="1D569879">
      <w:pPr>
        <w:pStyle w:val="FootnoteText"/>
        <w:spacing w:after="120"/>
      </w:pPr>
      <w:r w:rsidRPr="004B0245">
        <w:rPr>
          <w:rStyle w:val="FootnoteReference"/>
        </w:rPr>
        <w:footnoteRef/>
      </w:r>
      <w:r w:rsidRPr="004B0245">
        <w:t xml:space="preserve"> $3.</w:t>
      </w:r>
      <w:r w:rsidRPr="004B0245" w:rsidR="00490641">
        <w:t xml:space="preserve">72 </w:t>
      </w:r>
      <w:r w:rsidRPr="004B0245">
        <w:t>plus four increases of $1.00 would be $7.</w:t>
      </w:r>
      <w:r w:rsidRPr="004B0245" w:rsidR="00490641">
        <w:t xml:space="preserve">72 </w:t>
      </w:r>
      <w:r w:rsidRPr="004B0245">
        <w:t>per month. That would be $</w:t>
      </w:r>
      <w:r w:rsidRPr="004B0245" w:rsidR="00490641">
        <w:t>92.64</w:t>
      </w:r>
      <w:r w:rsidRPr="004B0245">
        <w:t xml:space="preserve"> per year for each residential customer.</w:t>
      </w:r>
    </w:p>
  </w:footnote>
  <w:footnote w:id="22">
    <w:p w:rsidR="007034CB" w:rsidRPr="004B0245" w:rsidP="004B0245" w14:paraId="439AF4E4" w14:textId="69188200">
      <w:pPr>
        <w:pStyle w:val="FootnoteText"/>
        <w:spacing w:after="120"/>
      </w:pPr>
      <w:r w:rsidRPr="004B0245">
        <w:rPr>
          <w:rStyle w:val="FootnoteReference"/>
        </w:rPr>
        <w:footnoteRef/>
      </w:r>
      <w:r w:rsidRPr="004B0245">
        <w:t xml:space="preserve"> </w:t>
      </w:r>
      <w:r w:rsidRPr="004B0245" w:rsidR="006C30D1">
        <w:rPr>
          <w:i/>
          <w:iCs/>
        </w:rPr>
        <w:t>See</w:t>
      </w:r>
      <w:r w:rsidRPr="004B0245" w:rsidR="006C30D1">
        <w:t xml:space="preserve"> Application, </w:t>
      </w:r>
      <w:r w:rsidRPr="004B0245" w:rsidR="001E7752">
        <w:t xml:space="preserve">Ex. J, </w:t>
      </w:r>
      <w:r w:rsidRPr="004B0245" w:rsidR="006C30D1">
        <w:t>Schedule 4 at 5 (</w:t>
      </w:r>
      <w:r w:rsidRPr="004B0245" w:rsidR="00322B63">
        <w:t xml:space="preserve">Duke’s 2013 capital additions are $21,877,330, and 2018 capital additions are $95,136,703. </w:t>
      </w:r>
      <w:r w:rsidRPr="004B0245" w:rsidR="006A28D3">
        <w:t>(($95,136,703</w:t>
      </w:r>
      <w:bookmarkStart w:id="5" w:name="_Hlk42874366"/>
      <w:r w:rsidRPr="004B0245" w:rsidR="006A28D3">
        <w:t>-$21,877,330</w:t>
      </w:r>
      <w:bookmarkEnd w:id="5"/>
      <w:r w:rsidRPr="004B0245" w:rsidR="006A28D3">
        <w:t>)/</w:t>
      </w:r>
      <w:r w:rsidRPr="004B0245" w:rsidR="006A4ABD">
        <w:t>$</w:t>
      </w:r>
      <w:r w:rsidRPr="004B0245" w:rsidR="00322B63">
        <w:t xml:space="preserve"> </w:t>
      </w:r>
      <w:r w:rsidRPr="004B0245" w:rsidR="004414DA">
        <w:t>21,877,330</w:t>
      </w:r>
      <w:r w:rsidRPr="004B0245" w:rsidR="006A4ABD">
        <w:t>) =</w:t>
      </w:r>
      <w:r w:rsidRPr="004B0245" w:rsidR="00322B63">
        <w:t xml:space="preserve"> </w:t>
      </w:r>
      <w:r w:rsidRPr="004B0245" w:rsidR="00DB61AC">
        <w:t>335</w:t>
      </w:r>
      <w:r w:rsidRPr="004B0245" w:rsidR="00322B63">
        <w:t>%</w:t>
      </w:r>
      <w:r w:rsidRPr="004B0245" w:rsidR="006C30D1">
        <w:t>)</w:t>
      </w:r>
      <w:r w:rsidRPr="004B0245" w:rsidR="006E1F81">
        <w:t>)</w:t>
      </w:r>
      <w:r w:rsidRPr="004B0245" w:rsidR="006A28D3">
        <w:t>.</w:t>
      </w:r>
    </w:p>
  </w:footnote>
  <w:footnote w:id="23">
    <w:p w:rsidR="00DB2909" w:rsidRPr="004B0245" w:rsidP="004B0245" w14:paraId="387430C5" w14:textId="6C4034BB">
      <w:pPr>
        <w:pStyle w:val="FootnoteText"/>
        <w:spacing w:after="120"/>
      </w:pPr>
      <w:r w:rsidRPr="004B0245">
        <w:rPr>
          <w:rStyle w:val="FootnoteReference"/>
        </w:rPr>
        <w:footnoteRef/>
      </w:r>
      <w:r w:rsidRPr="004B0245">
        <w:t xml:space="preserve"> </w:t>
      </w:r>
      <w:r w:rsidRPr="004B0245" w:rsidR="00EF4431">
        <w:rPr>
          <w:i/>
          <w:iCs/>
        </w:rPr>
        <w:t>See</w:t>
      </w:r>
      <w:r w:rsidRPr="004B0245" w:rsidR="00EF4431">
        <w:t xml:space="preserve"> </w:t>
      </w:r>
      <w:r w:rsidRPr="004B0245">
        <w:t xml:space="preserve">Staff Report at </w:t>
      </w:r>
      <w:r w:rsidRPr="004B0245" w:rsidR="00F01CBE">
        <w:t>9</w:t>
      </w:r>
      <w:r w:rsidRPr="004B0245">
        <w:t>.</w:t>
      </w:r>
    </w:p>
  </w:footnote>
  <w:footnote w:id="24">
    <w:p w:rsidR="00DB2909" w:rsidRPr="004B0245" w:rsidP="004B0245" w14:paraId="5C7FD2DA" w14:textId="7633D800">
      <w:pPr>
        <w:pStyle w:val="FootnoteText"/>
        <w:spacing w:after="120"/>
      </w:pPr>
      <w:r w:rsidRPr="004B0245">
        <w:rPr>
          <w:rStyle w:val="FootnoteReference"/>
        </w:rPr>
        <w:footnoteRef/>
      </w:r>
      <w:r w:rsidRPr="004B0245">
        <w:t xml:space="preserve"> </w:t>
      </w:r>
      <w:r w:rsidRPr="004B0245" w:rsidR="00EF4431">
        <w:rPr>
          <w:i/>
          <w:iCs/>
        </w:rPr>
        <w:t>See</w:t>
      </w:r>
      <w:r w:rsidRPr="004B0245" w:rsidR="00EF4431">
        <w:t xml:space="preserve"> </w:t>
      </w:r>
      <w:r w:rsidRPr="004B0245" w:rsidR="00EF1F4D">
        <w:rPr>
          <w:i/>
          <w:iCs/>
        </w:rPr>
        <w:t>id.</w:t>
      </w:r>
      <w:r w:rsidRPr="004B0245">
        <w:t xml:space="preserve"> at 8.</w:t>
      </w:r>
    </w:p>
  </w:footnote>
  <w:footnote w:id="25">
    <w:p w:rsidR="00DB2909" w:rsidRPr="004B0245" w:rsidP="004B0245" w14:paraId="2EC8D481" w14:textId="3DF271C2">
      <w:pPr>
        <w:pStyle w:val="FootnoteText"/>
        <w:spacing w:after="120"/>
      </w:pPr>
      <w:r w:rsidRPr="004B0245">
        <w:rPr>
          <w:rStyle w:val="FootnoteReference"/>
        </w:rPr>
        <w:footnoteRef/>
      </w:r>
      <w:r w:rsidRPr="004B0245">
        <w:t xml:space="preserve"> </w:t>
      </w:r>
      <w:r w:rsidRPr="004B0245">
        <w:rPr>
          <w:i/>
        </w:rPr>
        <w:t>See</w:t>
      </w:r>
      <w:r w:rsidRPr="004B0245">
        <w:t xml:space="preserve"> </w:t>
      </w:r>
      <w:r w:rsidRPr="004B0245" w:rsidR="004B6E66">
        <w:rPr>
          <w:i/>
          <w:iCs/>
        </w:rPr>
        <w:t>id.</w:t>
      </w:r>
      <w:r w:rsidRPr="004B0245" w:rsidR="00D43D6A">
        <w:t xml:space="preserve"> </w:t>
      </w:r>
      <w:r w:rsidRPr="004B0245">
        <w:t>(stating that a cap on “spending, revenue requirement, rate, etc.” could be used “to keep costs under control and to ensure rate payers are not burdened with excessive and unnecessary plant investments”).</w:t>
      </w:r>
    </w:p>
  </w:footnote>
  <w:footnote w:id="26">
    <w:p w:rsidR="003E32EE" w:rsidRPr="004B0245" w:rsidP="004B0245" w14:paraId="4121765B" w14:textId="59E0519B">
      <w:pPr>
        <w:pStyle w:val="FootnoteText"/>
        <w:spacing w:after="120"/>
      </w:pPr>
      <w:r w:rsidRPr="004B0245">
        <w:rPr>
          <w:rStyle w:val="FootnoteReference"/>
        </w:rPr>
        <w:footnoteRef/>
      </w:r>
      <w:r w:rsidRPr="004B0245">
        <w:t xml:space="preserve"> </w:t>
      </w:r>
      <w:r w:rsidRPr="004B0245">
        <w:rPr>
          <w:i/>
          <w:iCs/>
        </w:rPr>
        <w:t xml:space="preserve">See id. </w:t>
      </w:r>
      <w:r w:rsidRPr="004B0245">
        <w:t xml:space="preserve">at </w:t>
      </w:r>
    </w:p>
  </w:footnote>
  <w:footnote w:id="27">
    <w:p w:rsidR="00DB2909" w:rsidRPr="004B0245" w:rsidP="004B0245" w14:paraId="3F0F5DFC" w14:textId="231A9EFA">
      <w:pPr>
        <w:pStyle w:val="FootnoteText"/>
        <w:spacing w:after="120"/>
      </w:pPr>
      <w:r w:rsidRPr="004B0245">
        <w:rPr>
          <w:rStyle w:val="FootnoteReference"/>
        </w:rPr>
        <w:footnoteRef/>
      </w:r>
      <w:r w:rsidRPr="004B0245">
        <w:t xml:space="preserve"> </w:t>
      </w:r>
      <w:r w:rsidRPr="004B0245">
        <w:rPr>
          <w:i/>
        </w:rPr>
        <w:t>See</w:t>
      </w:r>
      <w:r w:rsidRPr="004B0245">
        <w:t xml:space="preserve"> Application, Ex. </w:t>
      </w:r>
      <w:r w:rsidRPr="004B0245" w:rsidR="004D341F">
        <w:t>J</w:t>
      </w:r>
      <w:r w:rsidRPr="004B0245">
        <w:t xml:space="preserve">, </w:t>
      </w:r>
      <w:r w:rsidRPr="004B0245" w:rsidR="00F637A7">
        <w:t>Work Paper 8.6</w:t>
      </w:r>
      <w:r w:rsidRPr="004B0245">
        <w:t>.</w:t>
      </w:r>
    </w:p>
  </w:footnote>
  <w:footnote w:id="28">
    <w:p w:rsidR="00DB2909" w:rsidRPr="004B0245" w:rsidP="004B0245" w14:paraId="4B955082" w14:textId="4F51AD11">
      <w:pPr>
        <w:pStyle w:val="FootnoteText"/>
        <w:spacing w:after="120"/>
      </w:pPr>
      <w:r w:rsidRPr="004B0245">
        <w:rPr>
          <w:rStyle w:val="FootnoteReference"/>
        </w:rPr>
        <w:footnoteRef/>
      </w:r>
      <w:r w:rsidRPr="004B0245">
        <w:t xml:space="preserve"> </w:t>
      </w:r>
      <w:r w:rsidRPr="004B0245" w:rsidR="00F637A7">
        <w:t>4,836,737</w:t>
      </w:r>
      <w:r w:rsidRPr="004B0245">
        <w:t xml:space="preserve"> / 12.</w:t>
      </w:r>
    </w:p>
  </w:footnote>
  <w:footnote w:id="29">
    <w:p w:rsidR="00DB2909" w:rsidRPr="004B0245" w:rsidP="004B0245" w14:paraId="3A3E5B67" w14:textId="77777777">
      <w:pPr>
        <w:pStyle w:val="FootnoteText"/>
        <w:spacing w:after="120"/>
      </w:pPr>
      <w:r w:rsidRPr="004B0245">
        <w:rPr>
          <w:rStyle w:val="FootnoteReference"/>
        </w:rPr>
        <w:footnoteRef/>
      </w:r>
      <w:r w:rsidRPr="004B0245">
        <w:t xml:space="preserve"> </w:t>
      </w:r>
      <w:r w:rsidRPr="004B0245">
        <w:rPr>
          <w:i/>
        </w:rPr>
        <w:t xml:space="preserve">See generally </w:t>
      </w:r>
      <w:r w:rsidRPr="004B0245">
        <w:t>Staff Report (not making any adjustment for customer count).</w:t>
      </w:r>
    </w:p>
  </w:footnote>
  <w:footnote w:id="30">
    <w:p w:rsidR="00783C9C" w:rsidRPr="004B0245" w:rsidP="004B0245" w14:paraId="34CDA2DC" w14:textId="6367501B">
      <w:pPr>
        <w:pStyle w:val="FootnoteText"/>
        <w:spacing w:after="120"/>
      </w:pPr>
      <w:r w:rsidRPr="004B0245">
        <w:rPr>
          <w:rStyle w:val="FootnoteReference"/>
        </w:rPr>
        <w:footnoteRef/>
      </w:r>
      <w:r w:rsidRPr="004B0245">
        <w:t xml:space="preserve"> </w:t>
      </w:r>
      <w:r w:rsidRPr="004B0245">
        <w:rPr>
          <w:i/>
        </w:rPr>
        <w:t>See, e.g.</w:t>
      </w:r>
      <w:r w:rsidRPr="004B0245">
        <w:t xml:space="preserve">, </w:t>
      </w:r>
      <w:r w:rsidRPr="004B0245">
        <w:rPr>
          <w:i/>
        </w:rPr>
        <w:t>In re Suburban Natural Gas Co.</w:t>
      </w:r>
      <w:r w:rsidRPr="004B0245">
        <w:t>, Case No. 18-1205-GA-AIR, Opinion &amp; Order (Sept. 26, 2019) (rates to be recalculated using updated customer counts as new plant is added to rates).</w:t>
      </w:r>
    </w:p>
  </w:footnote>
  <w:footnote w:id="31">
    <w:p w:rsidR="00DB2909" w:rsidRPr="004B0245" w:rsidP="004B0245" w14:paraId="05453F89" w14:textId="66E7EA09">
      <w:pPr>
        <w:pStyle w:val="FootnoteText"/>
        <w:spacing w:after="120"/>
      </w:pPr>
      <w:r w:rsidRPr="004B0245">
        <w:rPr>
          <w:rStyle w:val="FootnoteReference"/>
        </w:rPr>
        <w:footnoteRef/>
      </w:r>
      <w:r w:rsidRPr="004B0245" w:rsidR="004B0245">
        <w:t xml:space="preserve"> </w:t>
      </w:r>
      <w:r w:rsidRPr="004B0245" w:rsidR="005D28C4">
        <w:rPr>
          <w:i/>
        </w:rPr>
        <w:t xml:space="preserve">In the Matter of the Annual Application of Duke Energy Ohio, Inc. for an Adjustment to Rider AMRP Rates, </w:t>
      </w:r>
      <w:r w:rsidRPr="004B0245" w:rsidR="005D28C4">
        <w:rPr>
          <w:iCs/>
        </w:rPr>
        <w:t>Case No. 19-1769-GA-RDR, Duke Application Attachment A, Schedule 14 (Feb</w:t>
      </w:r>
      <w:r w:rsidR="00D73B5B">
        <w:rPr>
          <w:iCs/>
        </w:rPr>
        <w:t>.</w:t>
      </w:r>
      <w:r w:rsidRPr="004B0245" w:rsidR="005D28C4">
        <w:rPr>
          <w:iCs/>
        </w:rPr>
        <w:t xml:space="preserve"> 26, 2020).</w:t>
      </w:r>
    </w:p>
  </w:footnote>
  <w:footnote w:id="32">
    <w:p w:rsidR="00DB2909" w:rsidRPr="004B0245" w:rsidP="004B0245" w14:paraId="4CA31853" w14:textId="68682A5E">
      <w:pPr>
        <w:pStyle w:val="FootnoteText"/>
        <w:spacing w:after="120"/>
      </w:pPr>
      <w:r w:rsidRPr="004B0245">
        <w:rPr>
          <w:rStyle w:val="FootnoteReference"/>
        </w:rPr>
        <w:footnoteRef/>
      </w:r>
      <w:r w:rsidRPr="004B0245">
        <w:t xml:space="preserve"> </w:t>
      </w:r>
      <w:r w:rsidRPr="004B0245" w:rsidR="00EF4431">
        <w:rPr>
          <w:i/>
          <w:iCs/>
        </w:rPr>
        <w:t>See</w:t>
      </w:r>
      <w:r w:rsidRPr="004B0245" w:rsidR="00EF4431">
        <w:t xml:space="preserve"> </w:t>
      </w:r>
      <w:r w:rsidRPr="004B0245">
        <w:t xml:space="preserve">Application, Ex. </w:t>
      </w:r>
      <w:r w:rsidRPr="004B0245" w:rsidR="00A94F45">
        <w:t>J</w:t>
      </w:r>
      <w:r w:rsidRPr="004B0245">
        <w:t xml:space="preserve">, Schedule </w:t>
      </w:r>
      <w:r w:rsidRPr="004B0245" w:rsidR="003534BE">
        <w:t>1</w:t>
      </w:r>
      <w:r w:rsidRPr="004B0245">
        <w:t xml:space="preserve"> ($</w:t>
      </w:r>
      <w:r w:rsidRPr="004B0245" w:rsidR="003534BE">
        <w:t>341,830,234</w:t>
      </w:r>
      <w:r w:rsidRPr="004B0245">
        <w:t xml:space="preserve"> cumulative investment through 12/31/18)</w:t>
      </w:r>
      <w:r w:rsidRPr="004B0245" w:rsidR="00B9184D">
        <w:t>.</w:t>
      </w:r>
    </w:p>
  </w:footnote>
  <w:footnote w:id="33">
    <w:p w:rsidR="00DB2909" w:rsidRPr="004B0245" w:rsidP="004B0245" w14:paraId="27E912C7" w14:textId="05AEE5B1">
      <w:pPr>
        <w:pStyle w:val="FootnoteText"/>
        <w:spacing w:after="120"/>
      </w:pPr>
      <w:r w:rsidRPr="004B0245">
        <w:rPr>
          <w:rStyle w:val="FootnoteReference"/>
        </w:rPr>
        <w:footnoteRef/>
      </w:r>
      <w:r w:rsidRPr="004B0245">
        <w:t xml:space="preserve"> </w:t>
      </w:r>
      <w:r w:rsidRPr="004B0245" w:rsidR="00EF4431">
        <w:rPr>
          <w:i/>
          <w:iCs/>
        </w:rPr>
        <w:t>See</w:t>
      </w:r>
      <w:r w:rsidRPr="004B0245" w:rsidR="00EF4431">
        <w:t xml:space="preserve"> </w:t>
      </w:r>
      <w:r w:rsidRPr="004B0245" w:rsidR="004B6E66">
        <w:rPr>
          <w:i/>
          <w:iCs/>
        </w:rPr>
        <w:t>id.</w:t>
      </w:r>
      <w:r w:rsidRPr="004B0245" w:rsidR="001F6717">
        <w:rPr>
          <w:i/>
          <w:iCs/>
        </w:rPr>
        <w:t>,</w:t>
      </w:r>
      <w:r w:rsidRPr="004B0245" w:rsidR="00744A4E">
        <w:rPr>
          <w:i/>
          <w:iCs/>
        </w:rPr>
        <w:t xml:space="preserve"> </w:t>
      </w:r>
      <w:r w:rsidRPr="004B0245">
        <w:t xml:space="preserve">Schedule </w:t>
      </w:r>
      <w:r w:rsidRPr="004B0245" w:rsidR="003F55D1">
        <w:t>4</w:t>
      </w:r>
      <w:r w:rsidRPr="004B0245">
        <w:t>.</w:t>
      </w:r>
    </w:p>
  </w:footnote>
  <w:footnote w:id="34">
    <w:p w:rsidR="00DB2909" w:rsidRPr="004B0245" w:rsidP="004B0245" w14:paraId="338221FA" w14:textId="21AE7C50">
      <w:pPr>
        <w:pStyle w:val="FootnoteText"/>
        <w:spacing w:after="120"/>
      </w:pPr>
      <w:r w:rsidRPr="004B0245">
        <w:rPr>
          <w:rStyle w:val="FootnoteReference"/>
        </w:rPr>
        <w:footnoteRef/>
      </w:r>
      <w:r w:rsidRPr="004B0245">
        <w:t xml:space="preserve"> </w:t>
      </w:r>
      <w:r w:rsidRPr="004B0245">
        <w:rPr>
          <w:i/>
        </w:rPr>
        <w:t>See</w:t>
      </w:r>
      <w:r w:rsidRPr="004B0245">
        <w:t xml:space="preserve"> Audit Report at </w:t>
      </w:r>
      <w:r w:rsidRPr="004B0245" w:rsidR="00BB1A96">
        <w:t>5-3</w:t>
      </w:r>
      <w:r w:rsidRPr="004B0245">
        <w:t>.</w:t>
      </w:r>
    </w:p>
  </w:footnote>
  <w:footnote w:id="35">
    <w:p w:rsidR="00DB2909" w:rsidRPr="004B0245" w:rsidP="004B0245" w14:paraId="225E4AD0" w14:textId="77777777">
      <w:pPr>
        <w:pStyle w:val="FootnoteText"/>
        <w:spacing w:after="120"/>
      </w:pPr>
      <w:r w:rsidRPr="004B0245">
        <w:rPr>
          <w:rStyle w:val="FootnoteReference"/>
        </w:rPr>
        <w:footnoteRef/>
      </w:r>
      <w:r w:rsidRPr="004B0245">
        <w:t xml:space="preserve"> </w:t>
      </w:r>
      <w:r w:rsidRPr="004B0245">
        <w:rPr>
          <w:i/>
        </w:rPr>
        <w:t xml:space="preserve">See generally </w:t>
      </w:r>
      <w:r w:rsidRPr="004B0245">
        <w:t>Staff Report.</w:t>
      </w:r>
    </w:p>
  </w:footnote>
  <w:footnote w:id="36">
    <w:p w:rsidR="00DB2909" w:rsidRPr="004B0245" w:rsidP="004B0245" w14:paraId="1668E2FC" w14:textId="3DE3C7B4">
      <w:pPr>
        <w:pStyle w:val="FootnoteText"/>
        <w:spacing w:after="120"/>
      </w:pPr>
      <w:r w:rsidRPr="004B0245">
        <w:rPr>
          <w:rStyle w:val="FootnoteReference"/>
        </w:rPr>
        <w:footnoteRef/>
      </w:r>
      <w:r w:rsidRPr="004B0245">
        <w:t xml:space="preserve"> </w:t>
      </w:r>
      <w:r w:rsidRPr="004B0245" w:rsidR="00EF4431">
        <w:rPr>
          <w:i/>
          <w:iCs/>
        </w:rPr>
        <w:t>See</w:t>
      </w:r>
      <w:r w:rsidRPr="004B0245" w:rsidR="00EF4431">
        <w:t xml:space="preserve"> </w:t>
      </w:r>
      <w:r w:rsidRPr="004B0245">
        <w:t xml:space="preserve">Audit Report at </w:t>
      </w:r>
      <w:r w:rsidRPr="004B0245" w:rsidR="007549A5">
        <w:t>5-3</w:t>
      </w:r>
      <w:r w:rsidRPr="004B0245">
        <w:t>.</w:t>
      </w:r>
    </w:p>
  </w:footnote>
  <w:footnote w:id="37">
    <w:p w:rsidR="00EE4D99" w:rsidRPr="004B0245" w:rsidP="004B0245" w14:paraId="3FA77365" w14:textId="231FE5B8">
      <w:pPr>
        <w:pStyle w:val="FootnoteText"/>
        <w:spacing w:after="120"/>
      </w:pPr>
      <w:r w:rsidRPr="004B0245">
        <w:rPr>
          <w:rStyle w:val="FootnoteReference"/>
        </w:rPr>
        <w:footnoteRef/>
      </w:r>
      <w:r w:rsidRPr="004B0245">
        <w:t xml:space="preserve"> </w:t>
      </w:r>
      <w:r w:rsidRPr="004B0245">
        <w:rPr>
          <w:i/>
        </w:rPr>
        <w:t>See, e.g., In re Ohio Power Co.</w:t>
      </w:r>
      <w:r w:rsidRPr="004B0245">
        <w:t xml:space="preserve">, Case No. 13-2385-EL-SSO, Opinion &amp; Order (Feb. 25, 2015) (utility’s proposed return on equity was too high because it did not “adequately account for the Company’s reduced exposure to risk from regulatory lag in light of the DIR and numerous other riders”); </w:t>
      </w:r>
      <w:r w:rsidRPr="004B0245">
        <w:rPr>
          <w:i/>
        </w:rPr>
        <w:t>In re Dayton Power &amp; Light Co.</w:t>
      </w:r>
      <w:r w:rsidRPr="004B0245">
        <w:t>, Case No. 16-395-EL-SSO, Opinion &amp; Order ¶ 115 (Oct. 20, 2017) (“riders allow utilities to maintain reliability by reducing regulatory lag”).</w:t>
      </w:r>
    </w:p>
  </w:footnote>
  <w:footnote w:id="38">
    <w:p w:rsidR="00527E2E" w:rsidRPr="004B0245" w:rsidP="004B0245" w14:paraId="2DFC3C77" w14:textId="6035F90A">
      <w:pPr>
        <w:pStyle w:val="FootnoteText"/>
        <w:spacing w:after="120"/>
      </w:pPr>
      <w:r w:rsidRPr="004B0245">
        <w:rPr>
          <w:rStyle w:val="FootnoteReference"/>
        </w:rPr>
        <w:footnoteRef/>
      </w:r>
      <w:r w:rsidRPr="004B0245">
        <w:t xml:space="preserve"> </w:t>
      </w:r>
      <w:r w:rsidRPr="004B0245">
        <w:rPr>
          <w:i/>
          <w:iCs/>
        </w:rPr>
        <w:t>See</w:t>
      </w:r>
      <w:r w:rsidRPr="004B0245">
        <w:t xml:space="preserve"> Case No. 12-1685-GA-AIR, Opinion &amp; Order (Nov. 13, 2013).</w:t>
      </w:r>
    </w:p>
  </w:footnote>
  <w:footnote w:id="39">
    <w:p w:rsidR="00DB2909" w:rsidRPr="004B0245" w:rsidP="004B0245" w14:paraId="50D893B8" w14:textId="29CC855E">
      <w:pPr>
        <w:pStyle w:val="FootnoteText"/>
        <w:spacing w:after="120"/>
      </w:pPr>
      <w:r w:rsidRPr="004B0245">
        <w:rPr>
          <w:rStyle w:val="FootnoteReference"/>
        </w:rPr>
        <w:footnoteRef/>
      </w:r>
      <w:r w:rsidRPr="004B0245">
        <w:t xml:space="preserve"> </w:t>
      </w:r>
      <w:r w:rsidRPr="004B0245" w:rsidR="00EF4431">
        <w:rPr>
          <w:i/>
          <w:iCs/>
        </w:rPr>
        <w:t>See</w:t>
      </w:r>
      <w:r w:rsidRPr="004B0245" w:rsidR="00EF4431">
        <w:t xml:space="preserve"> </w:t>
      </w:r>
      <w:r w:rsidRPr="004B0245">
        <w:t>Case No. 18-298-GA-AIR, Opinion &amp; Order (Aug. 28, 2019).</w:t>
      </w:r>
    </w:p>
  </w:footnote>
  <w:footnote w:id="40">
    <w:p w:rsidR="00DB2909" w:rsidRPr="004B0245" w:rsidP="004B0245" w14:paraId="1FA7E033" w14:textId="262523C5">
      <w:pPr>
        <w:pStyle w:val="FootnoteText"/>
        <w:spacing w:after="120"/>
      </w:pPr>
      <w:r w:rsidRPr="004B0245">
        <w:rPr>
          <w:rStyle w:val="FootnoteReference"/>
        </w:rPr>
        <w:footnoteRef/>
      </w:r>
      <w:r w:rsidRPr="004B0245">
        <w:t xml:space="preserve"> </w:t>
      </w:r>
      <w:r w:rsidRPr="004B0245" w:rsidR="00EF4431">
        <w:rPr>
          <w:i/>
          <w:iCs/>
        </w:rPr>
        <w:t>See</w:t>
      </w:r>
      <w:r w:rsidRPr="004B0245" w:rsidR="00EF4431">
        <w:t xml:space="preserve"> </w:t>
      </w:r>
      <w:r w:rsidRPr="004B0245">
        <w:t>Case No. 18-1205-GA-AIR, Opinion &amp; Order (Sept. 26, 2019).</w:t>
      </w:r>
    </w:p>
  </w:footnote>
  <w:footnote w:id="41">
    <w:p w:rsidR="00B23552" w:rsidRPr="004B0245" w:rsidP="004B0245" w14:paraId="01EE8D6B" w14:textId="63B49153">
      <w:pPr>
        <w:pStyle w:val="FootnoteText"/>
        <w:spacing w:after="120"/>
      </w:pPr>
      <w:r w:rsidRPr="004B0245">
        <w:rPr>
          <w:rStyle w:val="FootnoteReference"/>
        </w:rPr>
        <w:footnoteRef/>
      </w:r>
      <w:r w:rsidRPr="004B0245">
        <w:t xml:space="preserve"> </w:t>
      </w:r>
      <w:r w:rsidRPr="004B0245">
        <w:rPr>
          <w:i/>
          <w:iCs/>
        </w:rPr>
        <w:t>See</w:t>
      </w:r>
      <w:r w:rsidRPr="004B0245">
        <w:t xml:space="preserve"> Case No. 12-1685-GA-AIR, Opinion &amp; Order at 76 (Nov. 13, 2013).</w:t>
      </w:r>
    </w:p>
  </w:footnote>
  <w:footnote w:id="42">
    <w:p w:rsidR="00B23552" w:rsidRPr="004B0245" w:rsidP="004B0245" w14:paraId="7EB735A7" w14:textId="7AC757D6">
      <w:pPr>
        <w:pStyle w:val="FootnoteText"/>
        <w:spacing w:after="120"/>
      </w:pPr>
      <w:r w:rsidRPr="004B0245">
        <w:rPr>
          <w:rStyle w:val="FootnoteReference"/>
        </w:rPr>
        <w:footnoteRef/>
      </w:r>
      <w:r w:rsidRPr="004B0245">
        <w:t xml:space="preserve"> </w:t>
      </w:r>
      <w:r w:rsidRPr="004B0245">
        <w:rPr>
          <w:i/>
          <w:iCs/>
        </w:rPr>
        <w:t>See</w:t>
      </w:r>
      <w:r w:rsidRPr="004B0245">
        <w:t xml:space="preserve"> </w:t>
      </w:r>
      <w:r w:rsidRPr="004B0245" w:rsidR="001F6717">
        <w:rPr>
          <w:i/>
          <w:iCs/>
        </w:rPr>
        <w:t xml:space="preserve">id. </w:t>
      </w:r>
      <w:r w:rsidRPr="004B0245" w:rsidR="00C921EA">
        <w:t>at 13</w:t>
      </w:r>
      <w:r w:rsidRPr="004B0245">
        <w:t>.</w:t>
      </w:r>
    </w:p>
  </w:footnote>
  <w:footnote w:id="43">
    <w:p w:rsidR="00DB2909" w:rsidRPr="004B0245" w:rsidP="004B0245" w14:paraId="0650BCA7" w14:textId="1BC718F0">
      <w:pPr>
        <w:pStyle w:val="FootnoteText"/>
        <w:spacing w:after="120"/>
      </w:pPr>
      <w:r w:rsidRPr="004B0245">
        <w:rPr>
          <w:rStyle w:val="FootnoteReference"/>
        </w:rPr>
        <w:footnoteRef/>
      </w:r>
      <w:r w:rsidRPr="004B0245">
        <w:t xml:space="preserve"> </w:t>
      </w:r>
      <w:r w:rsidRPr="004B0245" w:rsidR="00EF4431">
        <w:rPr>
          <w:i/>
          <w:iCs/>
        </w:rPr>
        <w:t>See</w:t>
      </w:r>
      <w:r w:rsidRPr="004B0245" w:rsidR="00EF4431">
        <w:t xml:space="preserve"> </w:t>
      </w:r>
      <w:r w:rsidRPr="004B0245">
        <w:t xml:space="preserve">Application, Exhibit </w:t>
      </w:r>
      <w:r w:rsidRPr="004B0245" w:rsidR="006C6298">
        <w:t>J</w:t>
      </w:r>
      <w:r w:rsidRPr="004B0245">
        <w:t xml:space="preserve">, Schedule </w:t>
      </w:r>
      <w:r w:rsidRPr="004B0245" w:rsidR="008F14EB">
        <w:t>1</w:t>
      </w:r>
      <w:r w:rsidRPr="004B0245">
        <w:t>.</w:t>
      </w:r>
    </w:p>
  </w:footnote>
  <w:footnote w:id="44">
    <w:p w:rsidR="00EE4D99" w:rsidRPr="004B0245" w:rsidP="004B0245" w14:paraId="3919D0E4" w14:textId="77777777">
      <w:pPr>
        <w:pStyle w:val="FootnoteText"/>
        <w:spacing w:after="120"/>
      </w:pPr>
      <w:r w:rsidRPr="004B0245">
        <w:rPr>
          <w:rStyle w:val="FootnoteReference"/>
        </w:rPr>
        <w:footnoteRef/>
      </w:r>
      <w:r w:rsidRPr="004B0245">
        <w:t xml:space="preserve"> </w:t>
      </w:r>
      <w:r w:rsidRPr="004B0245">
        <w:rPr>
          <w:i/>
        </w:rPr>
        <w:t>See</w:t>
      </w:r>
      <w:r w:rsidRPr="004B0245">
        <w:t xml:space="preserve"> S&amp;P Global Market Intelligence, RRA Regulatory Focus, Major Rate Case Decisions – January – March 2020 (Apr. 27, 2020).</w:t>
      </w:r>
    </w:p>
  </w:footnote>
  <w:footnote w:id="45">
    <w:p w:rsidR="00050391" w14:paraId="406BDB47" w14:textId="7DC9825C">
      <w:pPr>
        <w:pStyle w:val="FootnoteText"/>
      </w:pPr>
      <w:r>
        <w:rPr>
          <w:rStyle w:val="FootnoteReference"/>
        </w:rPr>
        <w:footnoteRef/>
      </w:r>
      <w:r>
        <w:t xml:space="preserve"> For illustration purpose, </w:t>
      </w:r>
      <w:r w:rsidR="00E20AB0">
        <w:t>given</w:t>
      </w:r>
      <w:r>
        <w:t xml:space="preserve"> a 9.60% return on equity and 5.32% stipulated cost of debt, and using the same capital structure used by Duke, the after-tax rate of return will be 7.60% and the before-tax rate of return will be 9.00%.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4AF00AED"/>
    <w:multiLevelType w:val="hybridMultilevel"/>
    <w:tmpl w:val="A1C0AE8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8DC"/>
    <w:rsid w:val="00031AF6"/>
    <w:rsid w:val="00046310"/>
    <w:rsid w:val="00050391"/>
    <w:rsid w:val="000520C5"/>
    <w:rsid w:val="000623A7"/>
    <w:rsid w:val="00065BC2"/>
    <w:rsid w:val="000773D2"/>
    <w:rsid w:val="00091DD7"/>
    <w:rsid w:val="000B2FF8"/>
    <w:rsid w:val="000C0BF3"/>
    <w:rsid w:val="000D3CB7"/>
    <w:rsid w:val="000E6B41"/>
    <w:rsid w:val="00110AAF"/>
    <w:rsid w:val="00112F23"/>
    <w:rsid w:val="00121EDA"/>
    <w:rsid w:val="001239E4"/>
    <w:rsid w:val="001277C8"/>
    <w:rsid w:val="00166062"/>
    <w:rsid w:val="0019116F"/>
    <w:rsid w:val="001A134B"/>
    <w:rsid w:val="001B1241"/>
    <w:rsid w:val="001B7ED0"/>
    <w:rsid w:val="001C49CB"/>
    <w:rsid w:val="001C5D26"/>
    <w:rsid w:val="001C5E82"/>
    <w:rsid w:val="001D563C"/>
    <w:rsid w:val="001D7483"/>
    <w:rsid w:val="001E7752"/>
    <w:rsid w:val="001E7860"/>
    <w:rsid w:val="001F2A48"/>
    <w:rsid w:val="001F6717"/>
    <w:rsid w:val="002039DA"/>
    <w:rsid w:val="002450F1"/>
    <w:rsid w:val="002527F4"/>
    <w:rsid w:val="002621FF"/>
    <w:rsid w:val="00280058"/>
    <w:rsid w:val="002812E4"/>
    <w:rsid w:val="00295480"/>
    <w:rsid w:val="0029641D"/>
    <w:rsid w:val="002B54B9"/>
    <w:rsid w:val="002D3B14"/>
    <w:rsid w:val="002D784D"/>
    <w:rsid w:val="002E298C"/>
    <w:rsid w:val="002E466E"/>
    <w:rsid w:val="002F4E17"/>
    <w:rsid w:val="00304692"/>
    <w:rsid w:val="00310E97"/>
    <w:rsid w:val="003114ED"/>
    <w:rsid w:val="00317FBA"/>
    <w:rsid w:val="00322B63"/>
    <w:rsid w:val="00330182"/>
    <w:rsid w:val="003373F2"/>
    <w:rsid w:val="00344F0B"/>
    <w:rsid w:val="003510DE"/>
    <w:rsid w:val="003511BF"/>
    <w:rsid w:val="003534BE"/>
    <w:rsid w:val="00372DFE"/>
    <w:rsid w:val="00383AE6"/>
    <w:rsid w:val="003916C0"/>
    <w:rsid w:val="00394C19"/>
    <w:rsid w:val="00395665"/>
    <w:rsid w:val="003C133B"/>
    <w:rsid w:val="003D0C1E"/>
    <w:rsid w:val="003D6749"/>
    <w:rsid w:val="003E32EE"/>
    <w:rsid w:val="003E7A2A"/>
    <w:rsid w:val="003F55D1"/>
    <w:rsid w:val="003F7142"/>
    <w:rsid w:val="00405008"/>
    <w:rsid w:val="0043206A"/>
    <w:rsid w:val="004414DA"/>
    <w:rsid w:val="004508CD"/>
    <w:rsid w:val="004515C4"/>
    <w:rsid w:val="004515F8"/>
    <w:rsid w:val="00451F6A"/>
    <w:rsid w:val="00460D90"/>
    <w:rsid w:val="0047204D"/>
    <w:rsid w:val="00472F1B"/>
    <w:rsid w:val="00487A70"/>
    <w:rsid w:val="00490641"/>
    <w:rsid w:val="004A6D4E"/>
    <w:rsid w:val="004B0245"/>
    <w:rsid w:val="004B41CD"/>
    <w:rsid w:val="004B460E"/>
    <w:rsid w:val="004B6E66"/>
    <w:rsid w:val="004C622A"/>
    <w:rsid w:val="004D0A99"/>
    <w:rsid w:val="004D2E33"/>
    <w:rsid w:val="004D341F"/>
    <w:rsid w:val="004D383E"/>
    <w:rsid w:val="004E497A"/>
    <w:rsid w:val="004F51C2"/>
    <w:rsid w:val="00524818"/>
    <w:rsid w:val="00527E2E"/>
    <w:rsid w:val="00533F8F"/>
    <w:rsid w:val="0054518E"/>
    <w:rsid w:val="005646EA"/>
    <w:rsid w:val="00565FA7"/>
    <w:rsid w:val="00573029"/>
    <w:rsid w:val="00577D9E"/>
    <w:rsid w:val="00585818"/>
    <w:rsid w:val="005A2ED1"/>
    <w:rsid w:val="005B03B7"/>
    <w:rsid w:val="005D000B"/>
    <w:rsid w:val="005D28C4"/>
    <w:rsid w:val="005E1A52"/>
    <w:rsid w:val="005E2048"/>
    <w:rsid w:val="005E23DC"/>
    <w:rsid w:val="00601AB1"/>
    <w:rsid w:val="006026F9"/>
    <w:rsid w:val="00621A3E"/>
    <w:rsid w:val="00652332"/>
    <w:rsid w:val="00661572"/>
    <w:rsid w:val="00670DFF"/>
    <w:rsid w:val="00676A22"/>
    <w:rsid w:val="0068432C"/>
    <w:rsid w:val="00690416"/>
    <w:rsid w:val="00692EB0"/>
    <w:rsid w:val="0069402D"/>
    <w:rsid w:val="006A01AD"/>
    <w:rsid w:val="006A28D3"/>
    <w:rsid w:val="006A3E5B"/>
    <w:rsid w:val="006A4ABD"/>
    <w:rsid w:val="006A7829"/>
    <w:rsid w:val="006B3B51"/>
    <w:rsid w:val="006B45D4"/>
    <w:rsid w:val="006C00DB"/>
    <w:rsid w:val="006C187E"/>
    <w:rsid w:val="006C2EF7"/>
    <w:rsid w:val="006C30D1"/>
    <w:rsid w:val="006C58B8"/>
    <w:rsid w:val="006C6298"/>
    <w:rsid w:val="006D7569"/>
    <w:rsid w:val="006E1F81"/>
    <w:rsid w:val="007034CB"/>
    <w:rsid w:val="00710E80"/>
    <w:rsid w:val="00720E3C"/>
    <w:rsid w:val="00723BD9"/>
    <w:rsid w:val="00744A4E"/>
    <w:rsid w:val="00745DF5"/>
    <w:rsid w:val="0074700C"/>
    <w:rsid w:val="00750D5E"/>
    <w:rsid w:val="00752D5E"/>
    <w:rsid w:val="007549A5"/>
    <w:rsid w:val="007716EF"/>
    <w:rsid w:val="0077423A"/>
    <w:rsid w:val="00783C9C"/>
    <w:rsid w:val="007A1A30"/>
    <w:rsid w:val="007B71AC"/>
    <w:rsid w:val="007C6B2D"/>
    <w:rsid w:val="007D7CBD"/>
    <w:rsid w:val="007F72D1"/>
    <w:rsid w:val="00804BE3"/>
    <w:rsid w:val="00811286"/>
    <w:rsid w:val="0081588D"/>
    <w:rsid w:val="00821F0E"/>
    <w:rsid w:val="008314AA"/>
    <w:rsid w:val="0083433E"/>
    <w:rsid w:val="00836BDA"/>
    <w:rsid w:val="00841E19"/>
    <w:rsid w:val="00845B4A"/>
    <w:rsid w:val="00846631"/>
    <w:rsid w:val="00873E47"/>
    <w:rsid w:val="0088056C"/>
    <w:rsid w:val="00885A7D"/>
    <w:rsid w:val="00890AFE"/>
    <w:rsid w:val="008A6DE3"/>
    <w:rsid w:val="008B1907"/>
    <w:rsid w:val="008B7DBE"/>
    <w:rsid w:val="008C3FFE"/>
    <w:rsid w:val="008D294A"/>
    <w:rsid w:val="008E0F6B"/>
    <w:rsid w:val="008E4E01"/>
    <w:rsid w:val="008E7C88"/>
    <w:rsid w:val="008F14EB"/>
    <w:rsid w:val="0090522F"/>
    <w:rsid w:val="009138DC"/>
    <w:rsid w:val="009151FF"/>
    <w:rsid w:val="00963664"/>
    <w:rsid w:val="00964180"/>
    <w:rsid w:val="009649D5"/>
    <w:rsid w:val="00974888"/>
    <w:rsid w:val="00975ACE"/>
    <w:rsid w:val="009B3F2E"/>
    <w:rsid w:val="009B7885"/>
    <w:rsid w:val="009D37EA"/>
    <w:rsid w:val="009E1326"/>
    <w:rsid w:val="009E38E3"/>
    <w:rsid w:val="009E679F"/>
    <w:rsid w:val="009E7D70"/>
    <w:rsid w:val="00A044B5"/>
    <w:rsid w:val="00A3023F"/>
    <w:rsid w:val="00A45CF7"/>
    <w:rsid w:val="00A61AFF"/>
    <w:rsid w:val="00A777AC"/>
    <w:rsid w:val="00A91671"/>
    <w:rsid w:val="00A94F45"/>
    <w:rsid w:val="00A96522"/>
    <w:rsid w:val="00A97A1E"/>
    <w:rsid w:val="00AA05EE"/>
    <w:rsid w:val="00AB22E0"/>
    <w:rsid w:val="00AB7972"/>
    <w:rsid w:val="00AC03B0"/>
    <w:rsid w:val="00AC4577"/>
    <w:rsid w:val="00AD61C8"/>
    <w:rsid w:val="00AD75AD"/>
    <w:rsid w:val="00B04FE3"/>
    <w:rsid w:val="00B23552"/>
    <w:rsid w:val="00B44EBB"/>
    <w:rsid w:val="00B46272"/>
    <w:rsid w:val="00B55955"/>
    <w:rsid w:val="00B652E1"/>
    <w:rsid w:val="00B73016"/>
    <w:rsid w:val="00B9184D"/>
    <w:rsid w:val="00BA0756"/>
    <w:rsid w:val="00BB1A96"/>
    <w:rsid w:val="00BB309C"/>
    <w:rsid w:val="00BB68F1"/>
    <w:rsid w:val="00BB6930"/>
    <w:rsid w:val="00BC05C0"/>
    <w:rsid w:val="00C00D93"/>
    <w:rsid w:val="00C33CBB"/>
    <w:rsid w:val="00C36B85"/>
    <w:rsid w:val="00C5525E"/>
    <w:rsid w:val="00C65CC3"/>
    <w:rsid w:val="00C743FA"/>
    <w:rsid w:val="00C854C1"/>
    <w:rsid w:val="00C921EA"/>
    <w:rsid w:val="00C933F0"/>
    <w:rsid w:val="00CA66E5"/>
    <w:rsid w:val="00CB2F36"/>
    <w:rsid w:val="00CB5D16"/>
    <w:rsid w:val="00CD673D"/>
    <w:rsid w:val="00CD7597"/>
    <w:rsid w:val="00CE5201"/>
    <w:rsid w:val="00CE7836"/>
    <w:rsid w:val="00CE7EE8"/>
    <w:rsid w:val="00CF3990"/>
    <w:rsid w:val="00CF5A7A"/>
    <w:rsid w:val="00D06DE4"/>
    <w:rsid w:val="00D1700D"/>
    <w:rsid w:val="00D41858"/>
    <w:rsid w:val="00D43D6A"/>
    <w:rsid w:val="00D47ECF"/>
    <w:rsid w:val="00D53C44"/>
    <w:rsid w:val="00D60A7D"/>
    <w:rsid w:val="00D73B5B"/>
    <w:rsid w:val="00D74569"/>
    <w:rsid w:val="00D75AE4"/>
    <w:rsid w:val="00D75BB4"/>
    <w:rsid w:val="00D7695E"/>
    <w:rsid w:val="00DB2909"/>
    <w:rsid w:val="00DB527D"/>
    <w:rsid w:val="00DB61AC"/>
    <w:rsid w:val="00DB6AED"/>
    <w:rsid w:val="00DC61DF"/>
    <w:rsid w:val="00DD0C8B"/>
    <w:rsid w:val="00DE52D2"/>
    <w:rsid w:val="00DE5EA9"/>
    <w:rsid w:val="00E00603"/>
    <w:rsid w:val="00E20AB0"/>
    <w:rsid w:val="00E22767"/>
    <w:rsid w:val="00E56DCA"/>
    <w:rsid w:val="00E85EFF"/>
    <w:rsid w:val="00E90691"/>
    <w:rsid w:val="00E90A07"/>
    <w:rsid w:val="00E92C3B"/>
    <w:rsid w:val="00E951E8"/>
    <w:rsid w:val="00EB4020"/>
    <w:rsid w:val="00EC69C0"/>
    <w:rsid w:val="00EC7E9F"/>
    <w:rsid w:val="00ED6ED2"/>
    <w:rsid w:val="00EE4D99"/>
    <w:rsid w:val="00EF1F4D"/>
    <w:rsid w:val="00EF401F"/>
    <w:rsid w:val="00EF4431"/>
    <w:rsid w:val="00EF5D89"/>
    <w:rsid w:val="00F01CBE"/>
    <w:rsid w:val="00F150C3"/>
    <w:rsid w:val="00F27BDD"/>
    <w:rsid w:val="00F370A4"/>
    <w:rsid w:val="00F5628F"/>
    <w:rsid w:val="00F637A7"/>
    <w:rsid w:val="00F73B61"/>
    <w:rsid w:val="00F80D21"/>
    <w:rsid w:val="00F87C07"/>
    <w:rsid w:val="00F903DE"/>
    <w:rsid w:val="00FA39F9"/>
    <w:rsid w:val="00FB00E6"/>
    <w:rsid w:val="00FC53C2"/>
    <w:rsid w:val="00FC622B"/>
    <w:rsid w:val="00FD6CA5"/>
    <w:rsid w:val="00FE7F0A"/>
    <w:rsid w:val="00FF3307"/>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A1E"/>
    <w:rPr>
      <w:sz w:val="24"/>
    </w:rPr>
  </w:style>
  <w:style w:type="paragraph" w:styleId="Heading1">
    <w:name w:val="heading 1"/>
    <w:basedOn w:val="Normal"/>
    <w:next w:val="Normal"/>
    <w:qFormat/>
    <w:rsid w:val="00D06DE4"/>
    <w:pPr>
      <w:keepNext/>
      <w:spacing w:after="240"/>
      <w:ind w:left="720" w:hanging="720"/>
      <w:outlineLvl w:val="0"/>
    </w:pPr>
    <w:rPr>
      <w:rFonts w:ascii="Times New Roman Bold" w:hAnsi="Times New Roman Bold"/>
      <w:b/>
      <w:szCs w:val="24"/>
    </w:rPr>
  </w:style>
  <w:style w:type="paragraph" w:styleId="Heading2">
    <w:name w:val="heading 2"/>
    <w:basedOn w:val="Normal"/>
    <w:next w:val="Normal"/>
    <w:qFormat/>
    <w:rsid w:val="00D06DE4"/>
    <w:pPr>
      <w:keepNext/>
      <w:tabs>
        <w:tab w:val="left" w:pos="4320"/>
      </w:tabs>
      <w:spacing w:after="240"/>
      <w:ind w:left="5040" w:hanging="4320"/>
      <w:outlineLvl w:val="1"/>
    </w:pPr>
    <w:rPr>
      <w:rFonts w:ascii="Times New Roman Bold" w:hAnsi="Times New Roman Bold"/>
      <w:b/>
    </w:rPr>
  </w:style>
  <w:style w:type="paragraph" w:styleId="Heading3">
    <w:name w:val="heading 3"/>
    <w:basedOn w:val="Normal"/>
    <w:next w:val="Normal"/>
    <w:qFormat/>
    <w:rsid w:val="009138DC"/>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913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9138DC"/>
    <w:pPr>
      <w:tabs>
        <w:tab w:val="center" w:pos="4320"/>
        <w:tab w:val="right" w:pos="8640"/>
      </w:tabs>
    </w:pPr>
    <w:rPr>
      <w:sz w:val="20"/>
    </w:rPr>
  </w:style>
  <w:style w:type="character" w:styleId="Hyperlink">
    <w:name w:val="Hyperlink"/>
    <w:uiPriority w:val="99"/>
    <w:rsid w:val="009138DC"/>
    <w:rPr>
      <w:color w:val="0000FF"/>
      <w:u w:val="single"/>
    </w:rPr>
  </w:style>
  <w:style w:type="paragraph" w:styleId="FootnoteText">
    <w:name w:val="footnote text"/>
    <w:basedOn w:val="Normal"/>
    <w:link w:val="FootnoteTextChar"/>
    <w:semiHidden/>
    <w:rsid w:val="009138DC"/>
    <w:rPr>
      <w:sz w:val="20"/>
    </w:rPr>
  </w:style>
  <w:style w:type="character" w:styleId="FootnoteReference">
    <w:name w:val="footnote reference"/>
    <w:semiHidden/>
    <w:rsid w:val="009138DC"/>
    <w:rPr>
      <w:vertAlign w:val="superscript"/>
    </w:rPr>
  </w:style>
  <w:style w:type="paragraph" w:styleId="BodyTextIndent">
    <w:name w:val="Body Text Indent"/>
    <w:basedOn w:val="Normal"/>
    <w:rsid w:val="009138DC"/>
    <w:pPr>
      <w:spacing w:line="480" w:lineRule="auto"/>
      <w:ind w:firstLine="720"/>
    </w:pPr>
  </w:style>
  <w:style w:type="paragraph" w:styleId="BodyTextIndent3">
    <w:name w:val="Body Text Indent 3"/>
    <w:basedOn w:val="Normal"/>
    <w:link w:val="BodyTextIndent3Char"/>
    <w:rsid w:val="009138DC"/>
    <w:pPr>
      <w:spacing w:line="480" w:lineRule="atLeast"/>
      <w:ind w:firstLine="720"/>
    </w:pPr>
  </w:style>
  <w:style w:type="paragraph" w:styleId="BodyTextIndent2">
    <w:name w:val="Body Text Indent 2"/>
    <w:basedOn w:val="Normal"/>
    <w:rsid w:val="009138DC"/>
    <w:pPr>
      <w:tabs>
        <w:tab w:val="left" w:pos="720"/>
      </w:tabs>
      <w:spacing w:before="240" w:after="240"/>
      <w:ind w:left="1464" w:hanging="744"/>
    </w:pPr>
  </w:style>
  <w:style w:type="character" w:styleId="PageNumber">
    <w:name w:val="page number"/>
    <w:basedOn w:val="DefaultParagraphFont"/>
    <w:rsid w:val="009138DC"/>
  </w:style>
  <w:style w:type="paragraph" w:styleId="BodyText">
    <w:name w:val="Body Text"/>
    <w:basedOn w:val="Normal"/>
    <w:rsid w:val="009138DC"/>
    <w:pPr>
      <w:jc w:val="both"/>
    </w:pPr>
  </w:style>
  <w:style w:type="paragraph" w:styleId="BlockText">
    <w:name w:val="Block Text"/>
    <w:basedOn w:val="Normal"/>
    <w:rsid w:val="009138DC"/>
    <w:pPr>
      <w:ind w:left="1440" w:right="720"/>
    </w:pPr>
  </w:style>
  <w:style w:type="paragraph" w:styleId="EndnoteText">
    <w:name w:val="endnote text"/>
    <w:basedOn w:val="Normal"/>
    <w:semiHidden/>
    <w:rsid w:val="009138DC"/>
    <w:rPr>
      <w:sz w:val="20"/>
    </w:rPr>
  </w:style>
  <w:style w:type="character" w:styleId="EndnoteReference">
    <w:name w:val="endnote reference"/>
    <w:semiHidden/>
    <w:rsid w:val="009138DC"/>
    <w:rPr>
      <w:vertAlign w:val="superscript"/>
    </w:rPr>
  </w:style>
  <w:style w:type="paragraph" w:styleId="BodyText2">
    <w:name w:val="Body Text 2"/>
    <w:basedOn w:val="Normal"/>
    <w:rsid w:val="009138DC"/>
    <w:pPr>
      <w:spacing w:line="480" w:lineRule="auto"/>
      <w:ind w:right="1440"/>
    </w:pPr>
  </w:style>
  <w:style w:type="paragraph" w:styleId="Header">
    <w:name w:val="header"/>
    <w:basedOn w:val="Normal"/>
    <w:rsid w:val="009138DC"/>
    <w:pPr>
      <w:tabs>
        <w:tab w:val="center" w:pos="4320"/>
        <w:tab w:val="right" w:pos="8640"/>
      </w:tabs>
    </w:pPr>
  </w:style>
  <w:style w:type="paragraph" w:styleId="BalloonText">
    <w:name w:val="Balloon Text"/>
    <w:basedOn w:val="Normal"/>
    <w:semiHidden/>
    <w:rsid w:val="009138DC"/>
    <w:rPr>
      <w:rFonts w:ascii="Lucida Grande" w:hAnsi="Lucida Grande"/>
      <w:sz w:val="18"/>
      <w:szCs w:val="18"/>
    </w:rPr>
  </w:style>
  <w:style w:type="character" w:styleId="CommentReference">
    <w:name w:val="annotation reference"/>
    <w:semiHidden/>
    <w:rsid w:val="009138DC"/>
    <w:rPr>
      <w:sz w:val="18"/>
    </w:rPr>
  </w:style>
  <w:style w:type="paragraph" w:styleId="CommentText">
    <w:name w:val="annotation text"/>
    <w:basedOn w:val="Normal"/>
    <w:link w:val="CommentTextChar"/>
    <w:semiHidden/>
    <w:rsid w:val="009138DC"/>
    <w:rPr>
      <w:szCs w:val="24"/>
    </w:rPr>
  </w:style>
  <w:style w:type="paragraph" w:styleId="CommentSubject">
    <w:name w:val="annotation subject"/>
    <w:basedOn w:val="CommentText"/>
    <w:next w:val="CommentText"/>
    <w:semiHidden/>
    <w:rsid w:val="009138DC"/>
    <w:rPr>
      <w:szCs w:val="20"/>
    </w:rPr>
  </w:style>
  <w:style w:type="character" w:styleId="FollowedHyperlink">
    <w:name w:val="FollowedHyperlink"/>
    <w:rsid w:val="009138DC"/>
    <w:rPr>
      <w:color w:val="800080"/>
      <w:u w:val="single"/>
    </w:rPr>
  </w:style>
  <w:style w:type="character" w:customStyle="1" w:styleId="term1">
    <w:name w:val="term1"/>
    <w:rsid w:val="009138DC"/>
    <w:rPr>
      <w:b/>
      <w:bCs/>
    </w:rPr>
  </w:style>
  <w:style w:type="table" w:styleId="TableGrid">
    <w:name w:val="Table Grid"/>
    <w:basedOn w:val="TableNormal"/>
    <w:rsid w:val="00913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9138DC"/>
    <w:pPr>
      <w:suppressAutoHyphens/>
      <w:spacing w:line="480" w:lineRule="atLeast"/>
      <w:ind w:firstLine="720"/>
    </w:pPr>
    <w:rPr>
      <w:lang w:eastAsia="ar-SA"/>
    </w:rPr>
  </w:style>
  <w:style w:type="character" w:customStyle="1" w:styleId="UnresolvedMention1">
    <w:name w:val="Unresolved Mention1"/>
    <w:basedOn w:val="DefaultParagraphFont"/>
    <w:uiPriority w:val="99"/>
    <w:semiHidden/>
    <w:unhideWhenUsed/>
    <w:rsid w:val="00FE7F0A"/>
    <w:rPr>
      <w:color w:val="605E5C"/>
      <w:shd w:val="clear" w:color="auto" w:fill="E1DFDD"/>
    </w:rPr>
  </w:style>
  <w:style w:type="character" w:customStyle="1" w:styleId="FooterChar">
    <w:name w:val="Footer Char"/>
    <w:basedOn w:val="DefaultParagraphFont"/>
    <w:link w:val="Footer"/>
    <w:uiPriority w:val="99"/>
    <w:rsid w:val="00FE7F0A"/>
  </w:style>
  <w:style w:type="character" w:customStyle="1" w:styleId="FootnoteTextChar">
    <w:name w:val="Footnote Text Char"/>
    <w:basedOn w:val="DefaultParagraphFont"/>
    <w:link w:val="FootnoteText"/>
    <w:semiHidden/>
    <w:rsid w:val="00E951E8"/>
  </w:style>
  <w:style w:type="character" w:customStyle="1" w:styleId="BodyTextIndent3Char">
    <w:name w:val="Body Text Indent 3 Char"/>
    <w:basedOn w:val="DefaultParagraphFont"/>
    <w:link w:val="BodyTextIndent3"/>
    <w:rsid w:val="00E951E8"/>
    <w:rPr>
      <w:sz w:val="24"/>
    </w:rPr>
  </w:style>
  <w:style w:type="character" w:customStyle="1" w:styleId="UnresolvedMention2">
    <w:name w:val="Unresolved Mention2"/>
    <w:basedOn w:val="DefaultParagraphFont"/>
    <w:uiPriority w:val="99"/>
    <w:semiHidden/>
    <w:unhideWhenUsed/>
    <w:rsid w:val="00D74569"/>
    <w:rPr>
      <w:color w:val="605E5C"/>
      <w:shd w:val="clear" w:color="auto" w:fill="E1DFDD"/>
    </w:rPr>
  </w:style>
  <w:style w:type="paragraph" w:styleId="NoSpacing">
    <w:name w:val="No Spacing"/>
    <w:uiPriority w:val="1"/>
    <w:qFormat/>
    <w:rsid w:val="005D28C4"/>
    <w:rPr>
      <w:rFonts w:asciiTheme="minorHAnsi" w:eastAsiaTheme="minorHAnsi" w:hAnsiTheme="minorHAnsi" w:cstheme="minorBidi"/>
      <w:sz w:val="22"/>
      <w:szCs w:val="22"/>
    </w:rPr>
  </w:style>
  <w:style w:type="character" w:customStyle="1" w:styleId="UnresolvedMention3">
    <w:name w:val="Unresolved Mention3"/>
    <w:basedOn w:val="DefaultParagraphFont"/>
    <w:uiPriority w:val="99"/>
    <w:semiHidden/>
    <w:unhideWhenUsed/>
    <w:rsid w:val="008C3FFE"/>
    <w:rPr>
      <w:color w:val="605E5C"/>
      <w:shd w:val="clear" w:color="auto" w:fill="E1DFDD"/>
    </w:rPr>
  </w:style>
  <w:style w:type="character" w:customStyle="1" w:styleId="HTMLPreformattedChar">
    <w:name w:val="HTML Preformatted Char"/>
    <w:basedOn w:val="DefaultParagraphFont"/>
    <w:link w:val="HTMLPreformatted"/>
    <w:rsid w:val="00A97A1E"/>
    <w:rPr>
      <w:rFonts w:ascii="Courier New" w:eastAsia="Courier New" w:hAnsi="Courier New" w:cs="Courier New"/>
    </w:rPr>
  </w:style>
  <w:style w:type="paragraph" w:styleId="TOC1">
    <w:name w:val="toc 1"/>
    <w:basedOn w:val="Normal"/>
    <w:next w:val="Normal"/>
    <w:autoRedefine/>
    <w:uiPriority w:val="39"/>
    <w:unhideWhenUsed/>
    <w:rsid w:val="00964180"/>
    <w:pPr>
      <w:tabs>
        <w:tab w:val="decimal" w:leader="dot" w:pos="9360"/>
      </w:tabs>
      <w:spacing w:after="240"/>
      <w:ind w:left="720" w:hanging="720"/>
    </w:pPr>
  </w:style>
  <w:style w:type="paragraph" w:styleId="TOC2">
    <w:name w:val="toc 2"/>
    <w:basedOn w:val="Normal"/>
    <w:next w:val="Normal"/>
    <w:autoRedefine/>
    <w:uiPriority w:val="39"/>
    <w:unhideWhenUsed/>
    <w:rsid w:val="00964180"/>
    <w:pPr>
      <w:tabs>
        <w:tab w:val="left" w:pos="2126"/>
        <w:tab w:val="decimal" w:leader="dot" w:pos="9360"/>
      </w:tabs>
      <w:spacing w:after="240"/>
      <w:ind w:left="1440" w:hanging="720"/>
    </w:pPr>
  </w:style>
  <w:style w:type="paragraph" w:customStyle="1" w:styleId="ROMANNUMERALS">
    <w:name w:val="ROMAN NUMERALS"/>
    <w:basedOn w:val="Normal"/>
    <w:rsid w:val="00E00603"/>
    <w:pPr>
      <w:spacing w:line="480" w:lineRule="auto"/>
      <w:ind w:left="547" w:hanging="547"/>
    </w:pPr>
    <w:rPr>
      <w:b/>
      <w:i/>
      <w:caps/>
    </w:rPr>
  </w:style>
  <w:style w:type="character" w:customStyle="1" w:styleId="CommentTextChar">
    <w:name w:val="Comment Text Char"/>
    <w:basedOn w:val="DefaultParagraphFont"/>
    <w:link w:val="CommentText"/>
    <w:semiHidden/>
    <w:rsid w:val="00EF5D89"/>
    <w:rPr>
      <w:sz w:val="24"/>
      <w:szCs w:val="24"/>
    </w:rPr>
  </w:style>
  <w:style w:type="character" w:customStyle="1" w:styleId="UnresolvedMention">
    <w:name w:val="Unresolved Mention"/>
    <w:basedOn w:val="DefaultParagraphFont"/>
    <w:uiPriority w:val="99"/>
    <w:semiHidden/>
    <w:unhideWhenUsed/>
    <w:rsid w:val="00CE7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yperlink" Target="mailto:Steven.Beeler@ohioattorneygeneral.gov" TargetMode="External" /><Relationship Id="rId12" Type="http://schemas.openxmlformats.org/officeDocument/2006/relationships/hyperlink" Target="mailto:Rocco.dascenzo@duke-energy.com" TargetMode="External" /><Relationship Id="rId13" Type="http://schemas.openxmlformats.org/officeDocument/2006/relationships/hyperlink" Target="mailto:Jeanne.kingery@duke-energy.com" TargetMode="External" /><Relationship Id="rId14" Type="http://schemas.openxmlformats.org/officeDocument/2006/relationships/hyperlink" Target="mailto:Elizabeth.watts@duke-energy.com" TargetMode="External" /><Relationship Id="rId15" Type="http://schemas.openxmlformats.org/officeDocument/2006/relationships/hyperlink" Target="mailto:Stacie.cathcart@puco.ohio.gov" TargetMode="External" /><Relationship Id="rId16" Type="http://schemas.openxmlformats.org/officeDocument/2006/relationships/hyperlink" Target="mailto:Sarah.parrot@puco.ohio.gov" TargetMode="Externa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hyperlink" Target="mailto:amy.botschner.obrien@occ.ohio.gov" TargetMode="External" /><Relationship Id="rId8" Type="http://schemas.openxmlformats.org/officeDocument/2006/relationships/hyperlink" Target="mailto:ambrosia.logsdon@occ.ohio.gov"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BF211B-0B7F-4FA0-A409-6E726B7D1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2936</Words>
  <Characters>16737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19-0791 CEP Objections.mrw.dfs  (00144785.DOCX;1)</vt:lpstr>
    </vt:vector>
  </TitlesOfParts>
  <Company/>
  <LinksUpToDate>false</LinksUpToDate>
  <CharactersWithSpaces>19634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2020-06-22T14:06:01Z</dcterms:created>
  <dcterms:modified xsi:type="dcterms:W3CDTF">2020-06-22T14:06:01Z</dcterms:modified>
</cp:coreProperties>
</file>