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347" w:rsidRDefault="00444347">
      <w:pPr>
        <w:spacing w:line="320" w:lineRule="exact"/>
        <w:jc w:val="center"/>
        <w:outlineLvl w:val="0"/>
        <w:rPr>
          <w:rFonts w:ascii="Palatino Linotype" w:hAnsi="Palatino Linotype"/>
          <w:b/>
          <w:spacing w:val="-12"/>
        </w:rPr>
      </w:pPr>
      <w:r>
        <w:rPr>
          <w:rFonts w:ascii="Palatino Linotype" w:hAnsi="Palatino Linotype"/>
          <w:b/>
          <w:spacing w:val="-12"/>
        </w:rPr>
        <w:t>BEFORE</w:t>
      </w:r>
    </w:p>
    <w:p w:rsidR="00444347" w:rsidRDefault="00444347">
      <w:pPr>
        <w:spacing w:line="320" w:lineRule="exact"/>
        <w:jc w:val="center"/>
        <w:outlineLvl w:val="0"/>
        <w:rPr>
          <w:rFonts w:ascii="Palatino Linotype" w:hAnsi="Palatino Linotype"/>
          <w:b/>
          <w:spacing w:val="-12"/>
        </w:rPr>
      </w:pPr>
      <w:r>
        <w:rPr>
          <w:rFonts w:ascii="Palatino Linotype" w:hAnsi="Palatino Linotype"/>
          <w:b/>
          <w:spacing w:val="-12"/>
        </w:rPr>
        <w:t>THE PUBLIC UTILITIES COMMISSION OF OHIO</w:t>
      </w:r>
    </w:p>
    <w:p w:rsidR="00444347" w:rsidRDefault="00444347">
      <w:pPr>
        <w:spacing w:line="320" w:lineRule="exact"/>
        <w:jc w:val="center"/>
        <w:rPr>
          <w:rFonts w:ascii="Palatino Linotype" w:hAnsi="Palatino Linotype"/>
          <w:b/>
        </w:rPr>
      </w:pPr>
    </w:p>
    <w:p w:rsidR="00444347" w:rsidRDefault="00444347">
      <w:pPr>
        <w:spacing w:line="320" w:lineRule="exact"/>
        <w:jc w:val="center"/>
        <w:rPr>
          <w:rFonts w:ascii="Palatino Linotype" w:hAnsi="Palatino Linotype"/>
          <w:b/>
        </w:rPr>
      </w:pPr>
    </w:p>
    <w:tbl>
      <w:tblPr>
        <w:tblW w:w="8838" w:type="dxa"/>
        <w:tblLayout w:type="fixed"/>
        <w:tblLook w:val="01E0"/>
      </w:tblPr>
      <w:tblGrid>
        <w:gridCol w:w="4248"/>
        <w:gridCol w:w="540"/>
        <w:gridCol w:w="4050"/>
      </w:tblGrid>
      <w:tr w:rsidR="00444347">
        <w:tc>
          <w:tcPr>
            <w:tcW w:w="4248" w:type="dxa"/>
            <w:vMerge w:val="restart"/>
          </w:tcPr>
          <w:p w:rsidR="00444347" w:rsidRDefault="00444347">
            <w:pPr>
              <w:spacing w:line="320" w:lineRule="exact"/>
              <w:jc w:val="both"/>
              <w:rPr>
                <w:rFonts w:ascii="Palatino Linotype" w:hAnsi="Palatino Linotype"/>
              </w:rPr>
            </w:pPr>
            <w:r>
              <w:rPr>
                <w:rFonts w:ascii="Palatino Linotype" w:hAnsi="Palatino Linotype"/>
              </w:rPr>
              <w:t>In the Matter of the Application of Columbia Gas of Ohio, Inc. for A</w:t>
            </w:r>
            <w:r>
              <w:rPr>
                <w:rFonts w:ascii="Palatino Linotype" w:hAnsi="Palatino Linotype"/>
              </w:rPr>
              <w:t>u</w:t>
            </w:r>
            <w:r>
              <w:rPr>
                <w:rFonts w:ascii="Palatino Linotype" w:hAnsi="Palatino Linotype"/>
              </w:rPr>
              <w:t>thority to Defer Environmental Inve</w:t>
            </w:r>
            <w:r>
              <w:rPr>
                <w:rFonts w:ascii="Palatino Linotype" w:hAnsi="Palatino Linotype"/>
              </w:rPr>
              <w:t>s</w:t>
            </w:r>
            <w:r>
              <w:rPr>
                <w:rFonts w:ascii="Palatino Linotype" w:hAnsi="Palatino Linotype"/>
              </w:rPr>
              <w:t>tigation and Remediation Costs</w:t>
            </w:r>
          </w:p>
        </w:tc>
        <w:tc>
          <w:tcPr>
            <w:tcW w:w="540" w:type="dxa"/>
          </w:tcPr>
          <w:p w:rsidR="00444347" w:rsidRDefault="00444347">
            <w:pPr>
              <w:spacing w:line="320" w:lineRule="exact"/>
              <w:jc w:val="center"/>
              <w:rPr>
                <w:rFonts w:ascii="Palatino Linotype" w:hAnsi="Palatino Linotype"/>
              </w:rPr>
            </w:pPr>
            <w:r>
              <w:rPr>
                <w:rFonts w:ascii="Palatino Linotype" w:hAnsi="Palatino Linotype"/>
              </w:rPr>
              <w:t>)</w:t>
            </w:r>
          </w:p>
        </w:tc>
        <w:tc>
          <w:tcPr>
            <w:tcW w:w="4050" w:type="dxa"/>
          </w:tcPr>
          <w:p w:rsidR="00444347" w:rsidRDefault="00444347">
            <w:pPr>
              <w:spacing w:line="320" w:lineRule="exact"/>
              <w:jc w:val="center"/>
              <w:rPr>
                <w:rFonts w:ascii="Palatino Linotype" w:hAnsi="Palatino Linotype"/>
              </w:rPr>
            </w:pPr>
          </w:p>
        </w:tc>
      </w:tr>
      <w:tr w:rsidR="00444347">
        <w:tc>
          <w:tcPr>
            <w:tcW w:w="4248" w:type="dxa"/>
            <w:vMerge/>
          </w:tcPr>
          <w:p w:rsidR="00444347" w:rsidRDefault="00444347">
            <w:pPr>
              <w:spacing w:line="320" w:lineRule="exact"/>
              <w:rPr>
                <w:rFonts w:ascii="Palatino Linotype" w:hAnsi="Palatino Linotype"/>
              </w:rPr>
            </w:pPr>
          </w:p>
        </w:tc>
        <w:tc>
          <w:tcPr>
            <w:tcW w:w="540" w:type="dxa"/>
          </w:tcPr>
          <w:p w:rsidR="00444347" w:rsidRDefault="00444347">
            <w:pPr>
              <w:spacing w:line="320" w:lineRule="exact"/>
              <w:jc w:val="center"/>
              <w:rPr>
                <w:rFonts w:ascii="Palatino Linotype" w:hAnsi="Palatino Linotype"/>
              </w:rPr>
            </w:pPr>
            <w:r>
              <w:rPr>
                <w:rFonts w:ascii="Palatino Linotype" w:hAnsi="Palatino Linotype"/>
              </w:rPr>
              <w:t>)</w:t>
            </w:r>
          </w:p>
        </w:tc>
        <w:tc>
          <w:tcPr>
            <w:tcW w:w="4050" w:type="dxa"/>
          </w:tcPr>
          <w:p w:rsidR="00444347" w:rsidRDefault="00444347">
            <w:pPr>
              <w:spacing w:line="320" w:lineRule="exact"/>
              <w:rPr>
                <w:rFonts w:ascii="Palatino Linotype" w:hAnsi="Palatino Linotype"/>
              </w:rPr>
            </w:pPr>
            <w:r>
              <w:rPr>
                <w:rFonts w:ascii="Palatino Linotype" w:hAnsi="Palatino Linotype"/>
              </w:rPr>
              <w:t>Case No. 08-0606-GA-AAM</w:t>
            </w:r>
          </w:p>
        </w:tc>
      </w:tr>
      <w:tr w:rsidR="00444347">
        <w:tc>
          <w:tcPr>
            <w:tcW w:w="4248" w:type="dxa"/>
            <w:vMerge/>
          </w:tcPr>
          <w:p w:rsidR="00444347" w:rsidRDefault="00444347">
            <w:pPr>
              <w:spacing w:line="320" w:lineRule="exact"/>
              <w:rPr>
                <w:rFonts w:ascii="Palatino Linotype" w:hAnsi="Palatino Linotype"/>
              </w:rPr>
            </w:pPr>
          </w:p>
        </w:tc>
        <w:tc>
          <w:tcPr>
            <w:tcW w:w="540" w:type="dxa"/>
          </w:tcPr>
          <w:p w:rsidR="00444347" w:rsidRDefault="00444347">
            <w:pPr>
              <w:spacing w:line="320" w:lineRule="exact"/>
              <w:jc w:val="center"/>
              <w:rPr>
                <w:rFonts w:ascii="Palatino Linotype" w:hAnsi="Palatino Linotype"/>
              </w:rPr>
            </w:pPr>
            <w:r>
              <w:rPr>
                <w:rFonts w:ascii="Palatino Linotype" w:hAnsi="Palatino Linotype"/>
              </w:rPr>
              <w:t>)</w:t>
            </w:r>
          </w:p>
          <w:p w:rsidR="00444347" w:rsidRDefault="00444347">
            <w:pPr>
              <w:spacing w:line="320" w:lineRule="exact"/>
              <w:jc w:val="center"/>
              <w:rPr>
                <w:rFonts w:ascii="Palatino Linotype" w:hAnsi="Palatino Linotype"/>
              </w:rPr>
            </w:pPr>
            <w:r>
              <w:rPr>
                <w:rFonts w:ascii="Palatino Linotype" w:hAnsi="Palatino Linotype"/>
              </w:rPr>
              <w:t>)</w:t>
            </w:r>
          </w:p>
        </w:tc>
        <w:tc>
          <w:tcPr>
            <w:tcW w:w="4050" w:type="dxa"/>
          </w:tcPr>
          <w:p w:rsidR="00444347" w:rsidRDefault="00444347">
            <w:pPr>
              <w:spacing w:line="320" w:lineRule="exact"/>
              <w:jc w:val="center"/>
              <w:rPr>
                <w:rFonts w:ascii="Palatino Linotype" w:hAnsi="Palatino Linotype"/>
              </w:rPr>
            </w:pPr>
          </w:p>
        </w:tc>
      </w:tr>
    </w:tbl>
    <w:p w:rsidR="00444347" w:rsidRDefault="00444347">
      <w:pPr>
        <w:spacing w:line="320" w:lineRule="exact"/>
        <w:jc w:val="center"/>
        <w:rPr>
          <w:rFonts w:ascii="Palatino Linotype" w:hAnsi="Palatino Linotype"/>
          <w:b/>
        </w:rPr>
      </w:pPr>
    </w:p>
    <w:p w:rsidR="00444347" w:rsidRDefault="00444347">
      <w:pPr>
        <w:spacing w:line="320" w:lineRule="exact"/>
        <w:jc w:val="center"/>
        <w:rPr>
          <w:rFonts w:ascii="Palatino Linotype" w:hAnsi="Palatino Linotype"/>
          <w:b/>
          <w:u w:val="double"/>
        </w:rPr>
      </w:pPr>
      <w:r>
        <w:rPr>
          <w:rFonts w:ascii="Palatino Linotype" w:hAnsi="Palatino Linotype"/>
          <w:b/>
          <w:u w:val="double"/>
        </w:rPr>
        <w:tab/>
      </w:r>
      <w:r>
        <w:rPr>
          <w:rFonts w:ascii="Palatino Linotype" w:hAnsi="Palatino Linotype"/>
          <w:b/>
          <w:u w:val="double"/>
        </w:rPr>
        <w:tab/>
      </w:r>
      <w:r>
        <w:rPr>
          <w:rFonts w:ascii="Palatino Linotype" w:hAnsi="Palatino Linotype"/>
          <w:b/>
          <w:u w:val="double"/>
        </w:rPr>
        <w:tab/>
      </w:r>
      <w:r>
        <w:rPr>
          <w:rFonts w:ascii="Palatino Linotype" w:hAnsi="Palatino Linotype"/>
          <w:b/>
          <w:u w:val="double"/>
        </w:rPr>
        <w:tab/>
      </w:r>
      <w:r>
        <w:rPr>
          <w:rFonts w:ascii="Palatino Linotype" w:hAnsi="Palatino Linotype"/>
          <w:b/>
          <w:u w:val="double"/>
        </w:rPr>
        <w:tab/>
      </w:r>
      <w:r>
        <w:rPr>
          <w:rFonts w:ascii="Palatino Linotype" w:hAnsi="Palatino Linotype"/>
          <w:b/>
          <w:u w:val="double"/>
        </w:rPr>
        <w:tab/>
      </w:r>
      <w:r>
        <w:rPr>
          <w:rFonts w:ascii="Palatino Linotype" w:hAnsi="Palatino Linotype"/>
          <w:b/>
          <w:u w:val="double"/>
        </w:rPr>
        <w:tab/>
      </w:r>
      <w:r>
        <w:rPr>
          <w:rFonts w:ascii="Palatino Linotype" w:hAnsi="Palatino Linotype"/>
          <w:b/>
          <w:u w:val="double"/>
        </w:rPr>
        <w:tab/>
      </w:r>
      <w:r>
        <w:rPr>
          <w:rFonts w:ascii="Palatino Linotype" w:hAnsi="Palatino Linotype"/>
          <w:b/>
          <w:u w:val="double"/>
        </w:rPr>
        <w:tab/>
      </w:r>
    </w:p>
    <w:p w:rsidR="00444347" w:rsidRDefault="00444347">
      <w:pPr>
        <w:spacing w:line="320" w:lineRule="exact"/>
        <w:jc w:val="center"/>
        <w:rPr>
          <w:rFonts w:ascii="Palatino Linotype" w:hAnsi="Palatino Linotype"/>
          <w:b/>
        </w:rPr>
      </w:pPr>
    </w:p>
    <w:p w:rsidR="00444347" w:rsidRDefault="00444347">
      <w:pPr>
        <w:spacing w:line="320" w:lineRule="exact"/>
        <w:jc w:val="center"/>
        <w:rPr>
          <w:rFonts w:ascii="Palatino Linotype" w:hAnsi="Palatino Linotype"/>
          <w:b/>
          <w:spacing w:val="-12"/>
        </w:rPr>
      </w:pPr>
      <w:r>
        <w:rPr>
          <w:rFonts w:ascii="Palatino Linotype" w:hAnsi="Palatino Linotype"/>
          <w:b/>
          <w:spacing w:val="-12"/>
        </w:rPr>
        <w:t>MEMORANDUM CONTRA</w:t>
      </w:r>
    </w:p>
    <w:p w:rsidR="00444347" w:rsidRDefault="00444347">
      <w:pPr>
        <w:spacing w:line="320" w:lineRule="exact"/>
        <w:jc w:val="center"/>
        <w:outlineLvl w:val="0"/>
        <w:rPr>
          <w:rFonts w:ascii="Palatino Linotype" w:hAnsi="Palatino Linotype"/>
          <w:b/>
          <w:spacing w:val="-12"/>
        </w:rPr>
      </w:pPr>
      <w:r>
        <w:rPr>
          <w:rFonts w:ascii="Palatino Linotype" w:hAnsi="Palatino Linotype"/>
          <w:b/>
          <w:spacing w:val="-12"/>
        </w:rPr>
        <w:t>OF COLUMBIA GAS OF OHIO, INC.</w:t>
      </w:r>
    </w:p>
    <w:p w:rsidR="00444347" w:rsidRDefault="00444347">
      <w:pPr>
        <w:spacing w:line="320" w:lineRule="exact"/>
        <w:jc w:val="center"/>
        <w:outlineLvl w:val="0"/>
        <w:rPr>
          <w:rFonts w:ascii="Palatino Linotype" w:hAnsi="Palatino Linotype"/>
          <w:b/>
          <w:spacing w:val="-12"/>
        </w:rPr>
      </w:pPr>
      <w:r>
        <w:rPr>
          <w:rFonts w:ascii="Palatino Linotype" w:hAnsi="Palatino Linotype"/>
          <w:b/>
          <w:spacing w:val="-12"/>
        </w:rPr>
        <w:t>TO THE MOTION TO COMPEL DISCOVERY</w:t>
      </w:r>
    </w:p>
    <w:p w:rsidR="00444347" w:rsidRDefault="00444347">
      <w:pPr>
        <w:spacing w:line="320" w:lineRule="exact"/>
        <w:jc w:val="center"/>
        <w:outlineLvl w:val="0"/>
        <w:rPr>
          <w:rFonts w:ascii="Palatino Linotype" w:hAnsi="Palatino Linotype"/>
          <w:b/>
          <w:spacing w:val="-12"/>
        </w:rPr>
      </w:pPr>
      <w:r>
        <w:rPr>
          <w:rFonts w:ascii="Palatino Linotype" w:hAnsi="Palatino Linotype"/>
          <w:b/>
          <w:spacing w:val="-12"/>
        </w:rPr>
        <w:t>OF THE OFFICE OF THE OHIO CONSUMERS’ COUNSEL</w:t>
      </w:r>
    </w:p>
    <w:p w:rsidR="00444347" w:rsidRDefault="00444347">
      <w:pPr>
        <w:spacing w:line="320" w:lineRule="exact"/>
        <w:jc w:val="center"/>
        <w:rPr>
          <w:rFonts w:ascii="Palatino Linotype" w:hAnsi="Palatino Linotype"/>
          <w:b/>
          <w:u w:val="double"/>
        </w:rPr>
      </w:pPr>
      <w:r>
        <w:rPr>
          <w:rFonts w:ascii="Palatino Linotype" w:hAnsi="Palatino Linotype"/>
          <w:b/>
          <w:u w:val="double"/>
        </w:rPr>
        <w:tab/>
      </w:r>
      <w:r>
        <w:rPr>
          <w:rFonts w:ascii="Palatino Linotype" w:hAnsi="Palatino Linotype"/>
          <w:b/>
          <w:u w:val="double"/>
        </w:rPr>
        <w:tab/>
      </w:r>
      <w:r>
        <w:rPr>
          <w:rFonts w:ascii="Palatino Linotype" w:hAnsi="Palatino Linotype"/>
          <w:b/>
          <w:u w:val="double"/>
        </w:rPr>
        <w:tab/>
      </w:r>
      <w:r>
        <w:rPr>
          <w:rFonts w:ascii="Palatino Linotype" w:hAnsi="Palatino Linotype"/>
          <w:b/>
          <w:u w:val="double"/>
        </w:rPr>
        <w:tab/>
      </w:r>
      <w:r>
        <w:rPr>
          <w:rFonts w:ascii="Palatino Linotype" w:hAnsi="Palatino Linotype"/>
          <w:b/>
          <w:u w:val="double"/>
        </w:rPr>
        <w:tab/>
      </w:r>
      <w:r>
        <w:rPr>
          <w:rFonts w:ascii="Palatino Linotype" w:hAnsi="Palatino Linotype"/>
          <w:b/>
          <w:u w:val="double"/>
        </w:rPr>
        <w:tab/>
      </w:r>
      <w:r>
        <w:rPr>
          <w:rFonts w:ascii="Palatino Linotype" w:hAnsi="Palatino Linotype"/>
          <w:b/>
          <w:u w:val="double"/>
        </w:rPr>
        <w:tab/>
      </w:r>
      <w:r>
        <w:rPr>
          <w:rFonts w:ascii="Palatino Linotype" w:hAnsi="Palatino Linotype"/>
          <w:b/>
          <w:u w:val="double"/>
        </w:rPr>
        <w:tab/>
      </w:r>
      <w:r>
        <w:rPr>
          <w:rFonts w:ascii="Palatino Linotype" w:hAnsi="Palatino Linotype"/>
          <w:b/>
          <w:u w:val="double"/>
        </w:rPr>
        <w:tab/>
      </w:r>
    </w:p>
    <w:p w:rsidR="00444347" w:rsidRDefault="00444347">
      <w:pPr>
        <w:spacing w:line="320" w:lineRule="exact"/>
        <w:jc w:val="center"/>
        <w:rPr>
          <w:rFonts w:ascii="Palatino Linotype" w:hAnsi="Palatino Linotype"/>
          <w:b/>
        </w:rPr>
      </w:pPr>
    </w:p>
    <w:p w:rsidR="00444347" w:rsidRDefault="00444347">
      <w:pPr>
        <w:spacing w:line="320" w:lineRule="exact"/>
        <w:jc w:val="both"/>
        <w:rPr>
          <w:rFonts w:ascii="Palatino Linotype" w:hAnsi="Palatino Linotype"/>
        </w:rPr>
      </w:pPr>
      <w:r>
        <w:rPr>
          <w:rFonts w:ascii="Palatino Linotype" w:hAnsi="Palatino Linotype"/>
        </w:rPr>
        <w:tab/>
        <w:t>On February 27, 2012 the Office of the Ohio Consumers’ Counsel (“OCC”) filed a Motion to Compel Discovery in this docket. The OCC’s Motion should be denied because the discovery propounded by the OCC is moot and lacks rel</w:t>
      </w:r>
      <w:r>
        <w:rPr>
          <w:rFonts w:ascii="Palatino Linotype" w:hAnsi="Palatino Linotype"/>
        </w:rPr>
        <w:t>e</w:t>
      </w:r>
      <w:r>
        <w:rPr>
          <w:rFonts w:ascii="Palatino Linotype" w:hAnsi="Palatino Linotype"/>
        </w:rPr>
        <w:t>vance.</w:t>
      </w:r>
    </w:p>
    <w:p w:rsidR="00444347" w:rsidRDefault="00444347">
      <w:pPr>
        <w:spacing w:line="320" w:lineRule="exact"/>
        <w:jc w:val="both"/>
        <w:rPr>
          <w:rFonts w:ascii="Palatino Linotype" w:hAnsi="Palatino Linotype"/>
        </w:rPr>
      </w:pPr>
    </w:p>
    <w:p w:rsidR="00444347" w:rsidRDefault="00444347">
      <w:pPr>
        <w:spacing w:line="320" w:lineRule="exact"/>
        <w:jc w:val="both"/>
        <w:rPr>
          <w:rFonts w:ascii="Palatino Linotype" w:hAnsi="Palatino Linotype"/>
          <w:b/>
        </w:rPr>
      </w:pPr>
      <w:r>
        <w:rPr>
          <w:rFonts w:ascii="Palatino Linotype" w:hAnsi="Palatino Linotype"/>
          <w:b/>
        </w:rPr>
        <w:t>BACKGROUND</w:t>
      </w:r>
    </w:p>
    <w:p w:rsidR="00444347" w:rsidRDefault="00444347">
      <w:pPr>
        <w:spacing w:line="320" w:lineRule="exact"/>
        <w:jc w:val="both"/>
        <w:rPr>
          <w:rFonts w:ascii="Palatino Linotype" w:hAnsi="Palatino Linotype"/>
        </w:rPr>
      </w:pPr>
    </w:p>
    <w:p w:rsidR="00444347" w:rsidRDefault="00444347">
      <w:pPr>
        <w:spacing w:line="320" w:lineRule="exact"/>
        <w:jc w:val="both"/>
        <w:rPr>
          <w:rFonts w:ascii="Palatino Linotype" w:hAnsi="Palatino Linotype"/>
        </w:rPr>
      </w:pPr>
      <w:r>
        <w:rPr>
          <w:rFonts w:ascii="Palatino Linotype" w:hAnsi="Palatino Linotype"/>
          <w:b/>
        </w:rPr>
        <w:tab/>
      </w:r>
      <w:r>
        <w:rPr>
          <w:rFonts w:ascii="Palatino Linotype" w:hAnsi="Palatino Linotype"/>
        </w:rPr>
        <w:t>On May 19, 2008, Columbia filed its Application in this docket, requesting authority to defer on its books environmental investigation and remediation costs. By Entry dated September 24, 2008, the Commission approved the Appl</w:t>
      </w:r>
      <w:r>
        <w:rPr>
          <w:rFonts w:ascii="Palatino Linotype" w:hAnsi="Palatino Linotype"/>
        </w:rPr>
        <w:t>i</w:t>
      </w:r>
      <w:r>
        <w:rPr>
          <w:rFonts w:ascii="Palatino Linotype" w:hAnsi="Palatino Linotype"/>
        </w:rPr>
        <w:t>cation and established an annual procedure for the recording of accounting d</w:t>
      </w:r>
      <w:r>
        <w:rPr>
          <w:rFonts w:ascii="Palatino Linotype" w:hAnsi="Palatino Linotype"/>
        </w:rPr>
        <w:t>e</w:t>
      </w:r>
      <w:r>
        <w:rPr>
          <w:rFonts w:ascii="Palatino Linotype" w:hAnsi="Palatino Linotype"/>
        </w:rPr>
        <w:t>ferrals for environmental investigation and remediation costs. Paragraph 11 of said Entry provides:</w:t>
      </w:r>
    </w:p>
    <w:p w:rsidR="00444347" w:rsidRDefault="00444347">
      <w:pPr>
        <w:spacing w:line="320" w:lineRule="exact"/>
        <w:jc w:val="both"/>
        <w:rPr>
          <w:rFonts w:ascii="Palatino Linotype" w:hAnsi="Palatino Linotype"/>
        </w:rPr>
      </w:pPr>
    </w:p>
    <w:p w:rsidR="00444347" w:rsidRDefault="00444347">
      <w:pPr>
        <w:spacing w:line="320" w:lineRule="exact"/>
        <w:ind w:left="1440" w:right="720"/>
        <w:jc w:val="both"/>
        <w:rPr>
          <w:rFonts w:ascii="Palatino Linotype" w:hAnsi="Palatino Linotype"/>
        </w:rPr>
      </w:pPr>
      <w:r>
        <w:rPr>
          <w:rFonts w:ascii="Palatino Linotype" w:hAnsi="Palatino Linotype"/>
        </w:rPr>
        <w:t>Prior to their deferral on its books, we require Columbia to make an annual filing in this docket detailing the costs i</w:t>
      </w:r>
      <w:r>
        <w:rPr>
          <w:rFonts w:ascii="Palatino Linotype" w:hAnsi="Palatino Linotype"/>
        </w:rPr>
        <w:t>n</w:t>
      </w:r>
      <w:r>
        <w:rPr>
          <w:rFonts w:ascii="Palatino Linotype" w:hAnsi="Palatino Linotype"/>
        </w:rPr>
        <w:t>curred in the prior 12-month period covered by the deferrals and the total amount deferred to date. Unless the Staff files an objection to any of the requested deferrals within 30 days of the filing, deferral authority shall be considered granted.</w:t>
      </w:r>
    </w:p>
    <w:p w:rsidR="00444347" w:rsidRDefault="00444347">
      <w:pPr>
        <w:spacing w:line="320" w:lineRule="exact"/>
        <w:jc w:val="both"/>
        <w:rPr>
          <w:rFonts w:ascii="Palatino Linotype" w:hAnsi="Palatino Linotype"/>
        </w:rPr>
      </w:pPr>
    </w:p>
    <w:p w:rsidR="00444347" w:rsidRDefault="00444347">
      <w:pPr>
        <w:spacing w:line="320" w:lineRule="exact"/>
        <w:jc w:val="both"/>
        <w:rPr>
          <w:rFonts w:ascii="Palatino Linotype" w:hAnsi="Palatino Linotype"/>
        </w:rPr>
      </w:pPr>
      <w:r>
        <w:rPr>
          <w:rFonts w:ascii="Palatino Linotype" w:hAnsi="Palatino Linotype"/>
        </w:rPr>
        <w:tab/>
        <w:t>Pursuant to the Commission’s September 24, 2008 Entry, Columbia Gas of Ohio, Inc. (“Columbia”) docketed its Annual Deferral Report (“2011 Report”) in this docket on December 6, 2011. In the report, Columbia detailed the deferrals it planned to record for six different environmental remediation projects.</w:t>
      </w:r>
    </w:p>
    <w:p w:rsidR="00444347" w:rsidRDefault="00444347">
      <w:pPr>
        <w:spacing w:line="320" w:lineRule="exact"/>
        <w:jc w:val="both"/>
        <w:rPr>
          <w:rFonts w:ascii="Palatino Linotype" w:hAnsi="Palatino Linotype"/>
        </w:rPr>
      </w:pPr>
    </w:p>
    <w:p w:rsidR="00444347" w:rsidRDefault="00444347">
      <w:pPr>
        <w:spacing w:line="320" w:lineRule="exact"/>
        <w:ind w:firstLine="720"/>
        <w:jc w:val="both"/>
        <w:rPr>
          <w:rFonts w:ascii="Palatino Linotype" w:hAnsi="Palatino Linotype"/>
        </w:rPr>
      </w:pPr>
      <w:r>
        <w:rPr>
          <w:rFonts w:ascii="Palatino Linotype" w:hAnsi="Palatino Linotype"/>
        </w:rPr>
        <w:t>On January 5, 2012, Staff filed its Objections to the 2011 Report. In the O</w:t>
      </w:r>
      <w:r>
        <w:rPr>
          <w:rFonts w:ascii="Palatino Linotype" w:hAnsi="Palatino Linotype"/>
        </w:rPr>
        <w:t>b</w:t>
      </w:r>
      <w:r>
        <w:rPr>
          <w:rFonts w:ascii="Palatino Linotype" w:hAnsi="Palatino Linotype"/>
        </w:rPr>
        <w:t>jections, Staff objected to the booking of deferrals for one of the environmental remediation projects – the Toledo MGP site. The Staff stated that it had no obje</w:t>
      </w:r>
      <w:r>
        <w:rPr>
          <w:rFonts w:ascii="Palatino Linotype" w:hAnsi="Palatino Linotype"/>
        </w:rPr>
        <w:t>c</w:t>
      </w:r>
      <w:r>
        <w:rPr>
          <w:rFonts w:ascii="Palatino Linotype" w:hAnsi="Palatino Linotype"/>
        </w:rPr>
        <w:t>tion to the creation of deferrals for the other five sites.</w:t>
      </w:r>
    </w:p>
    <w:p w:rsidR="00444347" w:rsidRDefault="00444347">
      <w:pPr>
        <w:spacing w:line="320" w:lineRule="exact"/>
        <w:jc w:val="both"/>
        <w:rPr>
          <w:rFonts w:ascii="Palatino Linotype" w:hAnsi="Palatino Linotype"/>
        </w:rPr>
      </w:pPr>
    </w:p>
    <w:p w:rsidR="00444347" w:rsidRDefault="00444347">
      <w:pPr>
        <w:spacing w:line="320" w:lineRule="exact"/>
        <w:jc w:val="both"/>
        <w:rPr>
          <w:rFonts w:ascii="Palatino Linotype" w:hAnsi="Palatino Linotype"/>
          <w:b/>
        </w:rPr>
      </w:pPr>
      <w:r>
        <w:rPr>
          <w:rFonts w:ascii="Palatino Linotype" w:hAnsi="Palatino Linotype"/>
        </w:rPr>
        <w:tab/>
        <w:t>Because the Staff objected to the creation of deferrals for the Toledo MGP project, Columbia did not book any deferrals for this environmental remediation project. To ensure that the record is clear Columbia filed on February 9, 2012 an explanatory supplement to its 2011 Report. In that supplement Columbia e</w:t>
      </w:r>
      <w:r>
        <w:rPr>
          <w:rFonts w:ascii="Palatino Linotype" w:hAnsi="Palatino Linotype"/>
        </w:rPr>
        <w:t>x</w:t>
      </w:r>
      <w:r>
        <w:rPr>
          <w:rFonts w:ascii="Palatino Linotype" w:hAnsi="Palatino Linotype"/>
        </w:rPr>
        <w:t>plained that upon receipt of Staff’s Objections and Columbia’s review thereof, Columbia accepted Staff’s recommendation and reclassified as a capitalized e</w:t>
      </w:r>
      <w:r>
        <w:rPr>
          <w:rFonts w:ascii="Palatino Linotype" w:hAnsi="Palatino Linotype"/>
        </w:rPr>
        <w:t>x</w:t>
      </w:r>
      <w:r>
        <w:rPr>
          <w:rFonts w:ascii="Palatino Linotype" w:hAnsi="Palatino Linotype"/>
        </w:rPr>
        <w:t>penditure the Toledo MGP site investigation and environmental expenses. Ho</w:t>
      </w:r>
      <w:r>
        <w:rPr>
          <w:rFonts w:ascii="Palatino Linotype" w:hAnsi="Palatino Linotype"/>
        </w:rPr>
        <w:t>w</w:t>
      </w:r>
      <w:r>
        <w:rPr>
          <w:rFonts w:ascii="Palatino Linotype" w:hAnsi="Palatino Linotype"/>
        </w:rPr>
        <w:t>ever, pursuant to the procedure established by the Commission’s September 24, 2008 Entry, the remaining deferrals for the other five sites were deemed a</w:t>
      </w:r>
      <w:r>
        <w:rPr>
          <w:rFonts w:ascii="Palatino Linotype" w:hAnsi="Palatino Linotype"/>
        </w:rPr>
        <w:t>p</w:t>
      </w:r>
      <w:r>
        <w:rPr>
          <w:rFonts w:ascii="Palatino Linotype" w:hAnsi="Palatino Linotype"/>
        </w:rPr>
        <w:t>proved on January 6, 2012 and Columbia has recorded those deferrals.</w:t>
      </w:r>
    </w:p>
    <w:p w:rsidR="00444347" w:rsidRDefault="00444347">
      <w:pPr>
        <w:spacing w:line="320" w:lineRule="exact"/>
        <w:jc w:val="both"/>
        <w:rPr>
          <w:rFonts w:ascii="Palatino Linotype" w:hAnsi="Palatino Linotype"/>
          <w:b/>
        </w:rPr>
      </w:pPr>
    </w:p>
    <w:p w:rsidR="00444347" w:rsidRDefault="00444347">
      <w:pPr>
        <w:spacing w:line="320" w:lineRule="exact"/>
        <w:ind w:firstLine="720"/>
        <w:jc w:val="both"/>
        <w:rPr>
          <w:rFonts w:ascii="Palatino Linotype" w:hAnsi="Palatino Linotype"/>
        </w:rPr>
      </w:pPr>
      <w:r>
        <w:rPr>
          <w:rFonts w:ascii="Palatino Linotype" w:hAnsi="Palatino Linotype"/>
        </w:rPr>
        <w:t>The OCC waited until late in the day on December 29, 2011, a mere week before the deadline for Staff to file any objections to the 2011 Report, before it served a set of data requests upon Columbia. As noted in the OCC’s Motion to Compel, responses to the data requests were due on January 23, 2012. Columbia did not respond to the data requests because the deferral issues were resolved on January 6, 2012 – 17 days before the due date for the data requests.</w:t>
      </w:r>
    </w:p>
    <w:p w:rsidR="00444347" w:rsidRDefault="00444347">
      <w:pPr>
        <w:spacing w:line="320" w:lineRule="exact"/>
        <w:ind w:firstLine="720"/>
        <w:jc w:val="both"/>
        <w:rPr>
          <w:rFonts w:ascii="Palatino Linotype" w:hAnsi="Palatino Linotype"/>
        </w:rPr>
      </w:pPr>
    </w:p>
    <w:p w:rsidR="00444347" w:rsidRDefault="00444347">
      <w:pPr>
        <w:spacing w:line="320" w:lineRule="exact"/>
        <w:ind w:firstLine="720"/>
        <w:jc w:val="both"/>
        <w:rPr>
          <w:rFonts w:ascii="Palatino Linotype" w:hAnsi="Palatino Linotype"/>
        </w:rPr>
      </w:pPr>
      <w:r>
        <w:rPr>
          <w:rFonts w:ascii="Palatino Linotype" w:hAnsi="Palatino Linotype"/>
        </w:rPr>
        <w:t>On February 27, 2012 – 52 days after the issues in this case were resolved and 35 days after the due date for discovery responses – the OCC filed its Motion to Compel Discovery.</w:t>
      </w:r>
    </w:p>
    <w:p w:rsidR="00444347" w:rsidRDefault="00444347">
      <w:pPr>
        <w:spacing w:line="320" w:lineRule="exact"/>
        <w:ind w:firstLine="720"/>
        <w:jc w:val="both"/>
        <w:rPr>
          <w:rFonts w:ascii="Palatino Linotype" w:hAnsi="Palatino Linotype"/>
        </w:rPr>
      </w:pPr>
    </w:p>
    <w:p w:rsidR="00444347" w:rsidRDefault="00444347">
      <w:pPr>
        <w:spacing w:line="320" w:lineRule="exact"/>
        <w:jc w:val="both"/>
        <w:rPr>
          <w:rFonts w:ascii="Palatino Linotype" w:hAnsi="Palatino Linotype"/>
          <w:b/>
        </w:rPr>
      </w:pPr>
      <w:r>
        <w:rPr>
          <w:rFonts w:ascii="Palatino Linotype" w:hAnsi="Palatino Linotype"/>
          <w:b/>
        </w:rPr>
        <w:t>ARGUMENT</w:t>
      </w:r>
    </w:p>
    <w:p w:rsidR="00444347" w:rsidRDefault="00444347">
      <w:pPr>
        <w:spacing w:line="320" w:lineRule="exact"/>
        <w:ind w:firstLine="720"/>
        <w:jc w:val="both"/>
        <w:rPr>
          <w:rFonts w:ascii="Palatino Linotype" w:hAnsi="Palatino Linotype"/>
        </w:rPr>
      </w:pPr>
    </w:p>
    <w:p w:rsidR="00444347" w:rsidRDefault="00444347">
      <w:pPr>
        <w:spacing w:line="320" w:lineRule="exact"/>
        <w:ind w:left="1440" w:hanging="720"/>
        <w:jc w:val="both"/>
        <w:rPr>
          <w:rFonts w:ascii="Palatino Linotype" w:hAnsi="Palatino Linotype"/>
          <w:b/>
        </w:rPr>
      </w:pPr>
      <w:r>
        <w:rPr>
          <w:rFonts w:ascii="Palatino Linotype" w:hAnsi="Palatino Linotype"/>
          <w:b/>
        </w:rPr>
        <w:t>1.</w:t>
      </w:r>
      <w:r>
        <w:rPr>
          <w:rFonts w:ascii="Palatino Linotype" w:hAnsi="Palatino Linotype"/>
          <w:b/>
        </w:rPr>
        <w:tab/>
        <w:t>There Is No Obligation To Respond To Data Requests After The Issues In A Case Have Been Resolved</w:t>
      </w:r>
    </w:p>
    <w:p w:rsidR="00444347" w:rsidRDefault="00444347">
      <w:pPr>
        <w:spacing w:line="320" w:lineRule="exact"/>
        <w:ind w:firstLine="720"/>
        <w:jc w:val="both"/>
        <w:rPr>
          <w:rFonts w:ascii="Palatino Linotype" w:hAnsi="Palatino Linotype"/>
        </w:rPr>
      </w:pPr>
    </w:p>
    <w:p w:rsidR="00444347" w:rsidRDefault="00444347">
      <w:pPr>
        <w:spacing w:line="320" w:lineRule="exact"/>
        <w:ind w:firstLine="720"/>
        <w:jc w:val="both"/>
        <w:rPr>
          <w:rFonts w:ascii="Palatino Linotype" w:hAnsi="Palatino Linotype"/>
        </w:rPr>
      </w:pPr>
      <w:r>
        <w:rPr>
          <w:rFonts w:ascii="Palatino Linotype" w:hAnsi="Palatino Linotype"/>
        </w:rPr>
        <w:t>As explained above, the responses to the OCC’s data requests were not due until well after the issues in this matter had been resolved. However, the Commission’s discovery rules impose no obligation for a party to respond to di</w:t>
      </w:r>
      <w:r>
        <w:rPr>
          <w:rFonts w:ascii="Palatino Linotype" w:hAnsi="Palatino Linotype"/>
        </w:rPr>
        <w:t>s</w:t>
      </w:r>
      <w:r>
        <w:rPr>
          <w:rFonts w:ascii="Palatino Linotype" w:hAnsi="Palatino Linotype"/>
        </w:rPr>
        <w:t>covery requests after the issues in a matter have been resolved.</w:t>
      </w:r>
      <w:r>
        <w:rPr>
          <w:rFonts w:ascii="Palatino Linotype" w:hAnsi="Palatino Linotype"/>
          <w:b/>
        </w:rPr>
        <w:t xml:space="preserve"> </w:t>
      </w:r>
      <w:r>
        <w:rPr>
          <w:rFonts w:ascii="Palatino Linotype" w:hAnsi="Palatino Linotype"/>
        </w:rPr>
        <w:t>In fact, the rules contemplate that data requests are only appropriate in cases in which there will be a hearing. In such cases, the rules contemplate that discovery will be co</w:t>
      </w:r>
      <w:r>
        <w:rPr>
          <w:rFonts w:ascii="Palatino Linotype" w:hAnsi="Palatino Linotype"/>
        </w:rPr>
        <w:t>m</w:t>
      </w:r>
      <w:r>
        <w:rPr>
          <w:rFonts w:ascii="Palatino Linotype" w:hAnsi="Palatino Linotype"/>
        </w:rPr>
        <w:t>pleted prior to the hearing.</w:t>
      </w:r>
    </w:p>
    <w:p w:rsidR="00444347" w:rsidRDefault="00444347">
      <w:pPr>
        <w:spacing w:line="320" w:lineRule="exact"/>
        <w:ind w:firstLine="720"/>
        <w:jc w:val="both"/>
        <w:rPr>
          <w:rFonts w:ascii="Palatino Linotype" w:hAnsi="Palatino Linotype"/>
        </w:rPr>
      </w:pPr>
    </w:p>
    <w:p w:rsidR="00444347" w:rsidRDefault="00444347">
      <w:pPr>
        <w:spacing w:line="320" w:lineRule="exact"/>
        <w:ind w:firstLine="720"/>
        <w:jc w:val="both"/>
        <w:rPr>
          <w:rFonts w:ascii="Palatino Linotype" w:hAnsi="Palatino Linotype"/>
        </w:rPr>
      </w:pPr>
      <w:r>
        <w:rPr>
          <w:rFonts w:ascii="Palatino Linotype" w:hAnsi="Palatino Linotype"/>
        </w:rPr>
        <w:t>Discovery in this case was inappropriate in and of itself because there was no hearing. The mere filing of a pleading (e.g., the 2011 Report in this case) does not automatically confer upon intervenors a right to discovery. The rules co</w:t>
      </w:r>
      <w:r>
        <w:rPr>
          <w:rFonts w:ascii="Palatino Linotype" w:hAnsi="Palatino Linotype"/>
        </w:rPr>
        <w:t>n</w:t>
      </w:r>
      <w:r>
        <w:rPr>
          <w:rFonts w:ascii="Palatino Linotype" w:hAnsi="Palatino Linotype"/>
        </w:rPr>
        <w:t>template that discovery should be reserved only for "proceedings" that ult</w:t>
      </w:r>
      <w:r>
        <w:rPr>
          <w:rFonts w:ascii="Palatino Linotype" w:hAnsi="Palatino Linotype"/>
        </w:rPr>
        <w:t>i</w:t>
      </w:r>
      <w:r>
        <w:rPr>
          <w:rFonts w:ascii="Palatino Linotype" w:hAnsi="Palatino Linotype"/>
        </w:rPr>
        <w:t xml:space="preserve">mately result in a hearing. Rule 4901-1-17(A) authorizes discovery "immediately after a proceeding is commenced," but in the very next sentence confirms that "discovery must be completed </w:t>
      </w:r>
      <w:r>
        <w:rPr>
          <w:rFonts w:ascii="Palatino Linotype" w:hAnsi="Palatino Linotype"/>
          <w:i/>
        </w:rPr>
        <w:t>prior to the commencement of the hearing</w:t>
      </w:r>
      <w:r>
        <w:rPr>
          <w:rFonts w:ascii="Palatino Linotype" w:hAnsi="Palatino Linotype"/>
        </w:rPr>
        <w:t>." In this docket, not only was a hearing not scheduled, but pursuant to the procedures established by the Commission in its September 24, 2008 Entry it was apparent that there would be no hearing in this case. This is not at all unusual because this matter involves only accounting authorization – not recovery of any costs.</w:t>
      </w:r>
    </w:p>
    <w:p w:rsidR="00444347" w:rsidRDefault="00444347">
      <w:pPr>
        <w:spacing w:line="320" w:lineRule="exact"/>
        <w:ind w:firstLine="720"/>
        <w:jc w:val="both"/>
        <w:rPr>
          <w:rFonts w:ascii="Palatino Linotype" w:hAnsi="Palatino Linotype"/>
        </w:rPr>
      </w:pPr>
    </w:p>
    <w:p w:rsidR="00444347" w:rsidRDefault="00444347">
      <w:pPr>
        <w:spacing w:line="320" w:lineRule="exact"/>
        <w:ind w:firstLine="720"/>
        <w:jc w:val="both"/>
        <w:rPr>
          <w:rFonts w:ascii="Palatino Linotype" w:hAnsi="Palatino Linotype"/>
        </w:rPr>
      </w:pPr>
      <w:r>
        <w:rPr>
          <w:rFonts w:ascii="Palatino Linotype" w:hAnsi="Palatino Linotype"/>
        </w:rPr>
        <w:t>In a recent rulemaking concerning the Commission's discovery rules, the Commission specifically rejected the idea that every docketed case constitutes a "proceeding" that entitles parties to intervene and conduct discovery. In Case No. 06-685-AU-ORD, the OCC proposed a definition of "proceeding" in Rule 4901-1-01 to encompass "any filing, hearing, investigation, inquiry, or rulemaking which the Commission is required or permitted to make, hold or rule upon."</w:t>
      </w:r>
      <w:r>
        <w:rPr>
          <w:rFonts w:ascii="Palatino Linotype" w:hAnsi="Palatino Linotype"/>
          <w:vertAlign w:val="superscript"/>
        </w:rPr>
        <w:footnoteReference w:id="1"/>
      </w:r>
      <w:r>
        <w:rPr>
          <w:rFonts w:ascii="Palatino Linotype" w:hAnsi="Palatino Linotype"/>
        </w:rPr>
        <w:t xml:space="preserve"> The OCC argued that this change was necessary to allow full participation in all Commi</w:t>
      </w:r>
      <w:r>
        <w:rPr>
          <w:rFonts w:ascii="Palatino Linotype" w:hAnsi="Palatino Linotype"/>
        </w:rPr>
        <w:t>s</w:t>
      </w:r>
      <w:r>
        <w:rPr>
          <w:rFonts w:ascii="Palatino Linotype" w:hAnsi="Palatino Linotype"/>
        </w:rPr>
        <w:t>sion proceedings. The Commission found otherwise, and held:</w:t>
      </w:r>
    </w:p>
    <w:p w:rsidR="00444347" w:rsidRDefault="00444347">
      <w:pPr>
        <w:spacing w:line="320" w:lineRule="exact"/>
        <w:ind w:firstLine="720"/>
        <w:jc w:val="both"/>
        <w:rPr>
          <w:rFonts w:ascii="Palatino Linotype" w:hAnsi="Palatino Linotype"/>
        </w:rPr>
      </w:pPr>
    </w:p>
    <w:p w:rsidR="00444347" w:rsidRDefault="00444347">
      <w:pPr>
        <w:spacing w:line="320" w:lineRule="exact"/>
        <w:ind w:left="1440" w:right="720"/>
        <w:jc w:val="both"/>
        <w:rPr>
          <w:rFonts w:ascii="Palatino Linotype" w:hAnsi="Palatino Linotype"/>
        </w:rPr>
      </w:pPr>
      <w:r>
        <w:rPr>
          <w:rFonts w:ascii="Palatino Linotype" w:hAnsi="Palatino Linotype"/>
        </w:rPr>
        <w:t>The Commission agrees that the proposed definition is overly broad and unnecessary. If OCC's proposal were adopted, any interested person would have the right to i</w:t>
      </w:r>
      <w:r>
        <w:rPr>
          <w:rFonts w:ascii="Palatino Linotype" w:hAnsi="Palatino Linotype"/>
        </w:rPr>
        <w:t>n</w:t>
      </w:r>
      <w:r>
        <w:rPr>
          <w:rFonts w:ascii="Palatino Linotype" w:hAnsi="Palatino Linotype"/>
        </w:rPr>
        <w:t>tervene, conduct discovery, and present evidence in any Commission case. The Commission does not believe that such rights exist. In addition, OCC's proposed definition would eliminate the Commission's discretion to conduct its proceedings in a manner it deems appropriate and would unduly delay the outcome of many cases. This request is d</w:t>
      </w:r>
      <w:r>
        <w:rPr>
          <w:rFonts w:ascii="Palatino Linotype" w:hAnsi="Palatino Linotype"/>
        </w:rPr>
        <w:t>e</w:t>
      </w:r>
      <w:r>
        <w:rPr>
          <w:rFonts w:ascii="Palatino Linotype" w:hAnsi="Palatino Linotype"/>
        </w:rPr>
        <w:t>nied."</w:t>
      </w:r>
      <w:r>
        <w:rPr>
          <w:rFonts w:ascii="Palatino Linotype" w:hAnsi="Palatino Linotype"/>
          <w:vertAlign w:val="superscript"/>
        </w:rPr>
        <w:footnoteReference w:id="2"/>
      </w:r>
    </w:p>
    <w:p w:rsidR="00444347" w:rsidRDefault="00444347">
      <w:pPr>
        <w:spacing w:line="320" w:lineRule="exact"/>
        <w:ind w:firstLine="720"/>
        <w:jc w:val="both"/>
        <w:rPr>
          <w:rFonts w:ascii="Palatino Linotype" w:hAnsi="Palatino Linotype"/>
        </w:rPr>
      </w:pPr>
    </w:p>
    <w:p w:rsidR="00444347" w:rsidRDefault="00444347">
      <w:pPr>
        <w:spacing w:line="320" w:lineRule="exact"/>
        <w:ind w:firstLine="720"/>
        <w:jc w:val="both"/>
        <w:rPr>
          <w:rFonts w:ascii="Palatino Linotype" w:hAnsi="Palatino Linotype"/>
        </w:rPr>
      </w:pPr>
    </w:p>
    <w:p w:rsidR="00444347" w:rsidRDefault="00444347">
      <w:pPr>
        <w:spacing w:line="320" w:lineRule="exact"/>
        <w:ind w:left="1440" w:hanging="720"/>
        <w:jc w:val="both"/>
        <w:rPr>
          <w:rFonts w:ascii="Palatino Linotype" w:hAnsi="Palatino Linotype"/>
          <w:b/>
        </w:rPr>
      </w:pPr>
      <w:r>
        <w:rPr>
          <w:rFonts w:ascii="Palatino Linotype" w:hAnsi="Palatino Linotype"/>
          <w:b/>
        </w:rPr>
        <w:t>2.</w:t>
      </w:r>
      <w:r>
        <w:rPr>
          <w:rFonts w:ascii="Palatino Linotype" w:hAnsi="Palatino Linotype"/>
          <w:b/>
        </w:rPr>
        <w:tab/>
        <w:t xml:space="preserve"> The OCC’s Data Requests And Its Motion To Compel Were U</w:t>
      </w:r>
      <w:r>
        <w:rPr>
          <w:rFonts w:ascii="Palatino Linotype" w:hAnsi="Palatino Linotype"/>
          <w:b/>
        </w:rPr>
        <w:t>n</w:t>
      </w:r>
      <w:r>
        <w:rPr>
          <w:rFonts w:ascii="Palatino Linotype" w:hAnsi="Palatino Linotype"/>
          <w:b/>
        </w:rPr>
        <w:t>timely</w:t>
      </w:r>
    </w:p>
    <w:p w:rsidR="00444347" w:rsidRDefault="00444347">
      <w:pPr>
        <w:spacing w:line="320" w:lineRule="exact"/>
        <w:ind w:firstLine="720"/>
        <w:jc w:val="both"/>
        <w:rPr>
          <w:rFonts w:ascii="Palatino Linotype" w:hAnsi="Palatino Linotype"/>
        </w:rPr>
      </w:pPr>
    </w:p>
    <w:p w:rsidR="00444347" w:rsidRDefault="00444347">
      <w:pPr>
        <w:spacing w:line="320" w:lineRule="exact"/>
        <w:ind w:firstLine="720"/>
        <w:jc w:val="both"/>
        <w:rPr>
          <w:rFonts w:ascii="Palatino Linotype" w:hAnsi="Palatino Linotype"/>
        </w:rPr>
      </w:pPr>
      <w:r>
        <w:rPr>
          <w:rFonts w:ascii="Palatino Linotype" w:hAnsi="Palatino Linotype"/>
        </w:rPr>
        <w:t>As explained above, discovery was inappropriate in this case because there was no hearing. However, even if discovery had been appropriate it would have been incumbent upon the OCC to serve its data requests so that responses would have been due before the expiration of the 30-day limit for Staff obje</w:t>
      </w:r>
      <w:r>
        <w:rPr>
          <w:rFonts w:ascii="Palatino Linotype" w:hAnsi="Palatino Linotype"/>
        </w:rPr>
        <w:t>c</w:t>
      </w:r>
      <w:r>
        <w:rPr>
          <w:rFonts w:ascii="Palatino Linotype" w:hAnsi="Palatino Linotype"/>
        </w:rPr>
        <w:t>tions. Nonetheless, the OCC waited 23 days before it filed its data requests, knowing that any issues related to the 2011 Report would be resolved well before responses would be due. The fact that the discovery became moot because r</w:t>
      </w:r>
      <w:r>
        <w:rPr>
          <w:rFonts w:ascii="Palatino Linotype" w:hAnsi="Palatino Linotype"/>
        </w:rPr>
        <w:t>e</w:t>
      </w:r>
      <w:r>
        <w:rPr>
          <w:rFonts w:ascii="Palatino Linotype" w:hAnsi="Palatino Linotype"/>
        </w:rPr>
        <w:t>sponses were not due until after the Staff objection deadline is solely a result of the OCC’s dilatory discovery efforts.</w:t>
      </w:r>
    </w:p>
    <w:p w:rsidR="00444347" w:rsidRDefault="00444347">
      <w:pPr>
        <w:spacing w:line="320" w:lineRule="exact"/>
        <w:ind w:firstLine="720"/>
        <w:jc w:val="both"/>
        <w:rPr>
          <w:rFonts w:ascii="Palatino Linotype" w:hAnsi="Palatino Linotype"/>
        </w:rPr>
      </w:pPr>
    </w:p>
    <w:p w:rsidR="00444347" w:rsidRDefault="00444347">
      <w:pPr>
        <w:spacing w:line="320" w:lineRule="exact"/>
        <w:ind w:firstLine="720"/>
        <w:jc w:val="both"/>
        <w:rPr>
          <w:rFonts w:ascii="Palatino Linotype" w:hAnsi="Palatino Linotype"/>
        </w:rPr>
      </w:pPr>
      <w:r>
        <w:rPr>
          <w:rFonts w:ascii="Palatino Linotype" w:hAnsi="Palatino Linotype"/>
        </w:rPr>
        <w:t>As a result of the pre-established procedure in this case and the filing of the Staff’s Objections on January 5, 2012, the accounting deferrals were approved for five of Columbia’s six environmental remediation projects. If the OCC felt aggrieved by this result, then it should have filed for rehearing. The deadline for such an application for rehearing was February 6, 2012 (thirty days after January 6, 2012). The OCC did not file an application for rehearing, so matters related to the 2011 Report were resolved as of January 6, 2012, and no discovery responses are required after that date. The OCC’s filing of a Motion to Compel after Jan</w:t>
      </w:r>
      <w:r>
        <w:rPr>
          <w:rFonts w:ascii="Palatino Linotype" w:hAnsi="Palatino Linotype"/>
        </w:rPr>
        <w:t>u</w:t>
      </w:r>
      <w:r>
        <w:rPr>
          <w:rFonts w:ascii="Palatino Linotype" w:hAnsi="Palatino Linotype"/>
        </w:rPr>
        <w:t>ary 6, 2012, is untimely. Discovery after the conclusion of a proceeding serves no practical purpose and is unreasonable and burdensome. This is particularly true in a case that deals only with accounting, and not cost recovery.</w:t>
      </w:r>
    </w:p>
    <w:p w:rsidR="00444347" w:rsidRDefault="00444347">
      <w:pPr>
        <w:spacing w:line="320" w:lineRule="exact"/>
        <w:ind w:firstLine="720"/>
        <w:jc w:val="both"/>
        <w:rPr>
          <w:rFonts w:ascii="Palatino Linotype" w:hAnsi="Palatino Linotype"/>
        </w:rPr>
      </w:pPr>
    </w:p>
    <w:p w:rsidR="00444347" w:rsidRDefault="00444347">
      <w:pPr>
        <w:spacing w:line="320" w:lineRule="exact"/>
        <w:ind w:left="1440" w:hanging="720"/>
        <w:jc w:val="both"/>
        <w:rPr>
          <w:rFonts w:ascii="Palatino Linotype" w:hAnsi="Palatino Linotype"/>
          <w:b/>
        </w:rPr>
      </w:pPr>
      <w:r>
        <w:rPr>
          <w:rFonts w:ascii="Palatino Linotype" w:hAnsi="Palatino Linotype"/>
          <w:b/>
        </w:rPr>
        <w:t>3.</w:t>
      </w:r>
      <w:r>
        <w:rPr>
          <w:rFonts w:ascii="Palatino Linotype" w:hAnsi="Palatino Linotype"/>
          <w:b/>
        </w:rPr>
        <w:tab/>
        <w:t>The OCC’s Data Requests Lack Relevance</w:t>
      </w:r>
    </w:p>
    <w:p w:rsidR="00444347" w:rsidRDefault="00444347">
      <w:pPr>
        <w:spacing w:line="320" w:lineRule="exact"/>
        <w:ind w:firstLine="720"/>
        <w:jc w:val="both"/>
        <w:rPr>
          <w:rFonts w:ascii="Palatino Linotype" w:hAnsi="Palatino Linotype"/>
        </w:rPr>
      </w:pPr>
    </w:p>
    <w:p w:rsidR="00444347" w:rsidRDefault="00444347">
      <w:pPr>
        <w:spacing w:line="320" w:lineRule="exact"/>
        <w:ind w:firstLine="720"/>
        <w:jc w:val="both"/>
        <w:rPr>
          <w:rFonts w:ascii="Palatino Linotype" w:hAnsi="Palatino Linotype"/>
        </w:rPr>
      </w:pPr>
      <w:r>
        <w:rPr>
          <w:rFonts w:ascii="Palatino Linotype" w:hAnsi="Palatino Linotype"/>
        </w:rPr>
        <w:t xml:space="preserve">Not only are the OCC’s data requests inappropriate and untimely, but the data requests lack relevance. This is a case that involves only accounting, and no rate recovery. The OCC’s data requests are more appropriate for a subsequent case in which recovery of costs is at issue. </w:t>
      </w:r>
    </w:p>
    <w:p w:rsidR="00444347" w:rsidRDefault="00444347">
      <w:pPr>
        <w:spacing w:line="320" w:lineRule="exact"/>
        <w:ind w:firstLine="720"/>
        <w:jc w:val="both"/>
        <w:rPr>
          <w:rFonts w:ascii="Palatino Linotype" w:hAnsi="Palatino Linotype"/>
        </w:rPr>
      </w:pPr>
    </w:p>
    <w:p w:rsidR="00444347" w:rsidRDefault="00444347">
      <w:pPr>
        <w:spacing w:line="320" w:lineRule="exact"/>
        <w:ind w:firstLine="720"/>
        <w:jc w:val="both"/>
        <w:rPr>
          <w:rFonts w:ascii="Palatino Linotype" w:hAnsi="Palatino Linotype"/>
        </w:rPr>
      </w:pPr>
      <w:r>
        <w:rPr>
          <w:rFonts w:ascii="Palatino Linotype" w:hAnsi="Palatino Linotype"/>
        </w:rPr>
        <w:t>Furthermore, some of the data requests will now no longer be relevant even in a later case where cost recovery is at issue. OCC interrogatory numbers 19-33, and request to produce numbers 5 and 6 all relate to the Toledo MGP site. As noted earlier herein, pursuant to Staff’s Objections, Columbia did not defer the environmental remediation costs for the Toledo MGP site, and thus at this juncture none of the OCC’s questions related to the Toledo MGP site will ever be relevant.</w:t>
      </w:r>
    </w:p>
    <w:p w:rsidR="00444347" w:rsidRDefault="00444347">
      <w:pPr>
        <w:spacing w:line="320" w:lineRule="exact"/>
        <w:ind w:firstLine="720"/>
        <w:jc w:val="both"/>
        <w:rPr>
          <w:rFonts w:ascii="Palatino Linotype" w:hAnsi="Palatino Linotype"/>
        </w:rPr>
      </w:pPr>
    </w:p>
    <w:p w:rsidR="00444347" w:rsidRDefault="00444347">
      <w:pPr>
        <w:spacing w:line="320" w:lineRule="exact"/>
        <w:ind w:firstLine="720"/>
        <w:jc w:val="both"/>
        <w:rPr>
          <w:rFonts w:ascii="Palatino Linotype" w:hAnsi="Palatino Linotype"/>
        </w:rPr>
      </w:pPr>
      <w:r>
        <w:rPr>
          <w:rFonts w:ascii="Palatino Linotype" w:hAnsi="Palatino Linotype"/>
          <w:b/>
          <w:spacing w:val="-12"/>
        </w:rPr>
        <w:t>WHEREFORE</w:t>
      </w:r>
      <w:r>
        <w:rPr>
          <w:rFonts w:ascii="Palatino Linotype" w:hAnsi="Palatino Linotype"/>
        </w:rPr>
        <w:t>, for the reasons discussed above the Commission should deny the OCC’s Motion to Compel.</w:t>
      </w:r>
    </w:p>
    <w:p w:rsidR="00444347" w:rsidRDefault="00444347">
      <w:pPr>
        <w:spacing w:line="320" w:lineRule="exact"/>
        <w:ind w:firstLine="720"/>
        <w:jc w:val="both"/>
        <w:rPr>
          <w:rFonts w:ascii="Palatino Linotype" w:hAnsi="Palatino Linotype"/>
        </w:rPr>
      </w:pPr>
    </w:p>
    <w:p w:rsidR="00444347" w:rsidRDefault="00444347">
      <w:pPr>
        <w:spacing w:line="320" w:lineRule="exact"/>
        <w:jc w:val="both"/>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Respectfully Submitted,</w:t>
      </w:r>
    </w:p>
    <w:p w:rsidR="00444347" w:rsidRDefault="00444347">
      <w:pPr>
        <w:spacing w:line="320" w:lineRule="exact"/>
        <w:ind w:firstLine="720"/>
        <w:rPr>
          <w:rFonts w:ascii="Palatino Linotype" w:hAnsi="Palatino Linotype"/>
        </w:rPr>
      </w:pPr>
    </w:p>
    <w:p w:rsidR="00444347" w:rsidRDefault="00444347">
      <w:pPr>
        <w:spacing w:line="320" w:lineRule="exact"/>
        <w:ind w:firstLine="720"/>
        <w:rPr>
          <w:rFonts w:ascii="Palatino Linotype" w:hAnsi="Palatino Linotype"/>
          <w:u w:val="single"/>
        </w:rPr>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u w:val="single"/>
        </w:rPr>
        <w:t>/s/ Stephen B. Seiple</w:t>
      </w:r>
      <w:r>
        <w:rPr>
          <w:rFonts w:ascii="Palatino Linotype" w:hAnsi="Palatino Linotype"/>
          <w:u w:val="single"/>
        </w:rPr>
        <w:tab/>
      </w:r>
      <w:r>
        <w:rPr>
          <w:rFonts w:ascii="Palatino Linotype" w:hAnsi="Palatino Linotype"/>
          <w:u w:val="single"/>
        </w:rPr>
        <w:tab/>
      </w:r>
      <w:r>
        <w:rPr>
          <w:rFonts w:ascii="Palatino Linotype" w:hAnsi="Palatino Linotype"/>
          <w:u w:val="single"/>
        </w:rPr>
        <w:tab/>
      </w:r>
      <w:r>
        <w:rPr>
          <w:rFonts w:ascii="Palatino Linotype" w:hAnsi="Palatino Linotype"/>
          <w:u w:val="single"/>
        </w:rPr>
        <w:tab/>
      </w:r>
    </w:p>
    <w:p w:rsidR="00444347" w:rsidRDefault="00444347">
      <w:pPr>
        <w:spacing w:line="320" w:lineRule="exact"/>
        <w:ind w:firstLine="720"/>
        <w:outlineLvl w:val="0"/>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Stephen B. Seiple (Counsel of Record)</w:t>
      </w:r>
    </w:p>
    <w:p w:rsidR="00444347" w:rsidRDefault="00444347">
      <w:pPr>
        <w:spacing w:line="320" w:lineRule="exact"/>
        <w:ind w:firstLine="720"/>
        <w:outlineLvl w:val="0"/>
        <w:rPr>
          <w:rFonts w:ascii="Palatino Linotype" w:hAnsi="Palatino Linotype"/>
        </w:rPr>
      </w:pPr>
    </w:p>
    <w:p w:rsidR="00444347" w:rsidRDefault="00444347">
      <w:pPr>
        <w:spacing w:line="320" w:lineRule="exact"/>
        <w:ind w:firstLine="720"/>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Stephen B. Seiple, Asst. General Counsel</w:t>
      </w:r>
    </w:p>
    <w:p w:rsidR="00444347" w:rsidRDefault="00444347">
      <w:pPr>
        <w:spacing w:line="320" w:lineRule="exact"/>
        <w:ind w:firstLine="4320"/>
        <w:rPr>
          <w:rFonts w:ascii="Palatino Linotype" w:hAnsi="Palatino Linotype"/>
        </w:rPr>
      </w:pPr>
      <w:r>
        <w:rPr>
          <w:rFonts w:ascii="Palatino Linotype" w:hAnsi="Palatino Linotype"/>
        </w:rPr>
        <w:t>Brooke Leslie, Counsel</w:t>
      </w:r>
    </w:p>
    <w:p w:rsidR="00444347" w:rsidRDefault="00444347">
      <w:pPr>
        <w:spacing w:line="320" w:lineRule="exact"/>
        <w:ind w:firstLine="4320"/>
        <w:rPr>
          <w:rFonts w:ascii="Palatino Linotype" w:hAnsi="Palatino Linotype"/>
        </w:rPr>
      </w:pPr>
      <w:r>
        <w:rPr>
          <w:rFonts w:ascii="Palatino Linotype" w:hAnsi="Palatino Linotype"/>
        </w:rPr>
        <w:t>200 Civic Center Drive</w:t>
      </w:r>
    </w:p>
    <w:p w:rsidR="00444347" w:rsidRDefault="00444347">
      <w:pPr>
        <w:spacing w:line="320" w:lineRule="exact"/>
        <w:ind w:firstLine="4320"/>
        <w:rPr>
          <w:rFonts w:ascii="Palatino Linotype" w:hAnsi="Palatino Linotype"/>
        </w:rPr>
      </w:pPr>
      <w:r>
        <w:rPr>
          <w:rFonts w:ascii="Palatino Linotype" w:hAnsi="Palatino Linotype"/>
        </w:rPr>
        <w:t>P. O. Box 117</w:t>
      </w:r>
    </w:p>
    <w:p w:rsidR="00444347" w:rsidRDefault="00444347">
      <w:pPr>
        <w:spacing w:line="320" w:lineRule="exact"/>
        <w:ind w:firstLine="4320"/>
        <w:rPr>
          <w:rFonts w:ascii="Palatino Linotype" w:hAnsi="Palatino Linotype"/>
        </w:rPr>
      </w:pPr>
      <w:r>
        <w:rPr>
          <w:rFonts w:ascii="Palatino Linotype" w:hAnsi="Palatino Linotype"/>
        </w:rPr>
        <w:t>Columbus, Ohio 43216-0117</w:t>
      </w:r>
    </w:p>
    <w:p w:rsidR="00444347" w:rsidRDefault="00444347">
      <w:pPr>
        <w:spacing w:line="320" w:lineRule="exact"/>
        <w:ind w:firstLine="4320"/>
        <w:rPr>
          <w:rFonts w:ascii="Palatino Linotype" w:hAnsi="Palatino Linotype"/>
        </w:rPr>
      </w:pPr>
      <w:r>
        <w:rPr>
          <w:rFonts w:ascii="Palatino Linotype" w:hAnsi="Palatino Linotype"/>
        </w:rPr>
        <w:t>Telephone: (614) 460-4648</w:t>
      </w:r>
    </w:p>
    <w:p w:rsidR="00444347" w:rsidRDefault="00444347">
      <w:pPr>
        <w:spacing w:line="320" w:lineRule="exact"/>
        <w:ind w:firstLine="4320"/>
        <w:rPr>
          <w:rFonts w:ascii="Palatino Linotype" w:hAnsi="Palatino Linotype"/>
        </w:rPr>
      </w:pPr>
      <w:r>
        <w:rPr>
          <w:rFonts w:ascii="Palatino Linotype" w:hAnsi="Palatino Linotype"/>
        </w:rPr>
        <w:t>Fax: (614) 460-6986</w:t>
      </w:r>
    </w:p>
    <w:p w:rsidR="00444347" w:rsidRDefault="00444347">
      <w:pPr>
        <w:spacing w:line="320" w:lineRule="exact"/>
        <w:ind w:firstLine="4320"/>
        <w:rPr>
          <w:rFonts w:ascii="Palatino Linotype" w:hAnsi="Palatino Linotype"/>
        </w:rPr>
      </w:pPr>
      <w:r>
        <w:rPr>
          <w:rFonts w:ascii="Palatino Linotype" w:hAnsi="Palatino Linotype"/>
        </w:rPr>
        <w:t>Email: sseiple@nisource.com</w:t>
      </w:r>
    </w:p>
    <w:p w:rsidR="00444347" w:rsidRDefault="00444347">
      <w:pPr>
        <w:spacing w:line="320" w:lineRule="exact"/>
        <w:rPr>
          <w:rFonts w:ascii="Palatino Linotype" w:hAnsi="Palatino Linotype"/>
        </w:rPr>
      </w:pPr>
    </w:p>
    <w:p w:rsidR="00444347" w:rsidRDefault="00444347">
      <w:pPr>
        <w:spacing w:line="320" w:lineRule="exact"/>
        <w:ind w:firstLine="4320"/>
        <w:outlineLvl w:val="0"/>
        <w:rPr>
          <w:rFonts w:ascii="Palatino Linotype" w:hAnsi="Palatino Linotype"/>
          <w:b/>
        </w:rPr>
      </w:pPr>
      <w:r>
        <w:rPr>
          <w:rFonts w:ascii="Palatino Linotype" w:hAnsi="Palatino Linotype"/>
        </w:rPr>
        <w:t>Attorneys for</w:t>
      </w:r>
    </w:p>
    <w:p w:rsidR="00444347" w:rsidRDefault="00444347">
      <w:pPr>
        <w:spacing w:line="320" w:lineRule="exact"/>
        <w:ind w:left="3060" w:firstLine="630"/>
        <w:jc w:val="center"/>
        <w:rPr>
          <w:rFonts w:ascii="Palatino Linotype" w:hAnsi="Palatino Linotype"/>
          <w:b/>
          <w:bCs/>
        </w:rPr>
      </w:pPr>
      <w:r>
        <w:rPr>
          <w:rFonts w:ascii="Palatino Linotype" w:hAnsi="Palatino Linotype"/>
          <w:b/>
          <w:bCs/>
        </w:rPr>
        <w:t>COLUMBIA</w:t>
      </w:r>
      <w:r>
        <w:rPr>
          <w:rFonts w:ascii="Palatino Linotype" w:hAnsi="Palatino Linotype"/>
          <w:bCs/>
        </w:rPr>
        <w:t xml:space="preserve"> </w:t>
      </w:r>
      <w:r>
        <w:rPr>
          <w:rFonts w:ascii="Palatino Linotype" w:hAnsi="Palatino Linotype"/>
          <w:b/>
          <w:bCs/>
        </w:rPr>
        <w:t>GAS OF OHIO, INC.</w:t>
      </w:r>
    </w:p>
    <w:p w:rsidR="00444347" w:rsidRDefault="00444347">
      <w:pPr>
        <w:spacing w:line="320" w:lineRule="exact"/>
        <w:jc w:val="center"/>
        <w:rPr>
          <w:rFonts w:ascii="Palatino Linotype" w:hAnsi="Palatino Linotype"/>
          <w:b/>
          <w:bCs/>
          <w:spacing w:val="-12"/>
        </w:rPr>
      </w:pPr>
    </w:p>
    <w:p w:rsidR="00444347" w:rsidRDefault="00444347">
      <w:pPr>
        <w:spacing w:line="320" w:lineRule="exact"/>
        <w:jc w:val="center"/>
        <w:rPr>
          <w:rFonts w:ascii="Palatino Linotype" w:hAnsi="Palatino Linotype"/>
          <w:b/>
          <w:bCs/>
          <w:spacing w:val="-12"/>
        </w:rPr>
      </w:pPr>
    </w:p>
    <w:p w:rsidR="00444347" w:rsidRDefault="00444347">
      <w:pPr>
        <w:spacing w:line="320" w:lineRule="exact"/>
        <w:jc w:val="center"/>
        <w:rPr>
          <w:rFonts w:ascii="Palatino Linotype" w:hAnsi="Palatino Linotype"/>
          <w:b/>
          <w:bCs/>
          <w:spacing w:val="-12"/>
        </w:rPr>
      </w:pPr>
      <w:r>
        <w:rPr>
          <w:rFonts w:ascii="Palatino Linotype" w:hAnsi="Palatino Linotype"/>
          <w:b/>
          <w:bCs/>
          <w:spacing w:val="-12"/>
        </w:rPr>
        <w:t>CERTIFICATE OF SERVICE</w:t>
      </w:r>
    </w:p>
    <w:p w:rsidR="00444347" w:rsidRDefault="00444347">
      <w:pPr>
        <w:spacing w:line="320" w:lineRule="exact"/>
        <w:jc w:val="center"/>
        <w:rPr>
          <w:rFonts w:ascii="Palatino Linotype" w:hAnsi="Palatino Linotype"/>
          <w:b/>
          <w:bCs/>
          <w:u w:val="single"/>
        </w:rPr>
      </w:pPr>
    </w:p>
    <w:p w:rsidR="00444347" w:rsidRDefault="00444347">
      <w:pPr>
        <w:spacing w:line="320" w:lineRule="exact"/>
        <w:jc w:val="both"/>
        <w:rPr>
          <w:rFonts w:ascii="Palatino Linotype" w:hAnsi="Palatino Linotype"/>
          <w:bCs/>
        </w:rPr>
      </w:pPr>
      <w:r>
        <w:rPr>
          <w:rFonts w:ascii="Palatino Linotype" w:hAnsi="Palatino Linotype"/>
          <w:bCs/>
        </w:rPr>
        <w:tab/>
        <w:t>I hereby certify that a copy of the foregoing Memorandum Contra of C</w:t>
      </w:r>
      <w:r>
        <w:rPr>
          <w:rFonts w:ascii="Palatino Linotype" w:hAnsi="Palatino Linotype"/>
          <w:bCs/>
        </w:rPr>
        <w:t>o</w:t>
      </w:r>
      <w:r>
        <w:rPr>
          <w:rFonts w:ascii="Palatino Linotype" w:hAnsi="Palatino Linotype"/>
          <w:bCs/>
        </w:rPr>
        <w:t>lumbia Gas of Ohio, Inc. was served upon parties of record by electronic mail this 13</w:t>
      </w:r>
      <w:r>
        <w:rPr>
          <w:rFonts w:ascii="Palatino Linotype" w:hAnsi="Palatino Linotype"/>
          <w:bCs/>
          <w:vertAlign w:val="superscript"/>
        </w:rPr>
        <w:t>th</w:t>
      </w:r>
      <w:r>
        <w:rPr>
          <w:rFonts w:ascii="Palatino Linotype" w:hAnsi="Palatino Linotype"/>
          <w:bCs/>
        </w:rPr>
        <w:t xml:space="preserve"> day of March 2012.</w:t>
      </w:r>
    </w:p>
    <w:p w:rsidR="00444347" w:rsidRDefault="00444347">
      <w:pPr>
        <w:spacing w:line="320" w:lineRule="exact"/>
        <w:rPr>
          <w:rFonts w:ascii="Palatino Linotype" w:hAnsi="Palatino Linotype"/>
          <w:bCs/>
        </w:rPr>
      </w:pPr>
    </w:p>
    <w:p w:rsidR="00444347" w:rsidRDefault="00444347">
      <w:pPr>
        <w:spacing w:line="320" w:lineRule="exact"/>
        <w:rPr>
          <w:rFonts w:ascii="Palatino Linotype" w:hAnsi="Palatino Linotype"/>
          <w:bCs/>
          <w:u w:val="single"/>
        </w:rPr>
      </w:pPr>
      <w:r>
        <w:rPr>
          <w:rFonts w:ascii="Palatino Linotype" w:hAnsi="Palatino Linotype"/>
          <w:bCs/>
        </w:rPr>
        <w:tab/>
      </w:r>
      <w:r>
        <w:rPr>
          <w:rFonts w:ascii="Palatino Linotype" w:hAnsi="Palatino Linotype"/>
          <w:bCs/>
        </w:rPr>
        <w:tab/>
      </w:r>
      <w:r>
        <w:rPr>
          <w:rFonts w:ascii="Palatino Linotype" w:hAnsi="Palatino Linotype"/>
          <w:bCs/>
        </w:rPr>
        <w:tab/>
      </w:r>
      <w:r>
        <w:rPr>
          <w:rFonts w:ascii="Palatino Linotype" w:hAnsi="Palatino Linotype"/>
          <w:bCs/>
        </w:rPr>
        <w:tab/>
      </w:r>
      <w:r>
        <w:rPr>
          <w:rFonts w:ascii="Palatino Linotype" w:hAnsi="Palatino Linotype"/>
          <w:bCs/>
        </w:rPr>
        <w:tab/>
      </w:r>
      <w:r>
        <w:rPr>
          <w:rFonts w:ascii="Palatino Linotype" w:hAnsi="Palatino Linotype"/>
          <w:bCs/>
        </w:rPr>
        <w:tab/>
      </w:r>
      <w:r>
        <w:rPr>
          <w:rFonts w:ascii="Palatino Linotype" w:hAnsi="Palatino Linotype"/>
          <w:bCs/>
          <w:u w:val="single"/>
        </w:rPr>
        <w:t>/s/ Stephen B. Seiple</w:t>
      </w:r>
      <w:r>
        <w:rPr>
          <w:rFonts w:ascii="Palatino Linotype" w:hAnsi="Palatino Linotype"/>
          <w:bCs/>
          <w:u w:val="single"/>
        </w:rPr>
        <w:tab/>
      </w:r>
      <w:r>
        <w:rPr>
          <w:rFonts w:ascii="Palatino Linotype" w:hAnsi="Palatino Linotype"/>
          <w:bCs/>
          <w:u w:val="single"/>
        </w:rPr>
        <w:tab/>
      </w:r>
      <w:r>
        <w:rPr>
          <w:rFonts w:ascii="Palatino Linotype" w:hAnsi="Palatino Linotype"/>
          <w:bCs/>
          <w:u w:val="single"/>
        </w:rPr>
        <w:tab/>
      </w:r>
      <w:r>
        <w:rPr>
          <w:rFonts w:ascii="Palatino Linotype" w:hAnsi="Palatino Linotype"/>
          <w:bCs/>
          <w:u w:val="single"/>
        </w:rPr>
        <w:tab/>
      </w:r>
    </w:p>
    <w:p w:rsidR="00444347" w:rsidRDefault="00444347">
      <w:pPr>
        <w:spacing w:line="320" w:lineRule="exact"/>
        <w:rPr>
          <w:rFonts w:ascii="Palatino Linotype" w:hAnsi="Palatino Linotype"/>
          <w:bCs/>
        </w:rPr>
      </w:pPr>
      <w:r>
        <w:rPr>
          <w:rFonts w:ascii="Palatino Linotype" w:hAnsi="Palatino Linotype"/>
          <w:bCs/>
        </w:rPr>
        <w:tab/>
      </w:r>
      <w:r>
        <w:rPr>
          <w:rFonts w:ascii="Palatino Linotype" w:hAnsi="Palatino Linotype"/>
          <w:bCs/>
        </w:rPr>
        <w:tab/>
      </w:r>
      <w:r>
        <w:rPr>
          <w:rFonts w:ascii="Palatino Linotype" w:hAnsi="Palatino Linotype"/>
          <w:bCs/>
        </w:rPr>
        <w:tab/>
      </w:r>
      <w:r>
        <w:rPr>
          <w:rFonts w:ascii="Palatino Linotype" w:hAnsi="Palatino Linotype"/>
          <w:bCs/>
        </w:rPr>
        <w:tab/>
      </w:r>
      <w:r>
        <w:rPr>
          <w:rFonts w:ascii="Palatino Linotype" w:hAnsi="Palatino Linotype"/>
          <w:bCs/>
        </w:rPr>
        <w:tab/>
      </w:r>
      <w:r>
        <w:rPr>
          <w:rFonts w:ascii="Palatino Linotype" w:hAnsi="Palatino Linotype"/>
          <w:bCs/>
        </w:rPr>
        <w:tab/>
        <w:t>By: Stephen B. Seiple</w:t>
      </w:r>
    </w:p>
    <w:p w:rsidR="00444347" w:rsidRDefault="00444347">
      <w:pPr>
        <w:spacing w:line="320" w:lineRule="exact"/>
        <w:rPr>
          <w:rFonts w:ascii="Palatino Linotype" w:hAnsi="Palatino Linotype"/>
          <w:bCs/>
        </w:rPr>
      </w:pPr>
      <w:r>
        <w:rPr>
          <w:rFonts w:ascii="Palatino Linotype" w:hAnsi="Palatino Linotype"/>
          <w:bCs/>
        </w:rPr>
        <w:tab/>
      </w:r>
      <w:r>
        <w:rPr>
          <w:rFonts w:ascii="Palatino Linotype" w:hAnsi="Palatino Linotype"/>
          <w:bCs/>
        </w:rPr>
        <w:tab/>
      </w:r>
      <w:r>
        <w:rPr>
          <w:rFonts w:ascii="Palatino Linotype" w:hAnsi="Palatino Linotype"/>
          <w:bCs/>
        </w:rPr>
        <w:tab/>
      </w:r>
      <w:r>
        <w:rPr>
          <w:rFonts w:ascii="Palatino Linotype" w:hAnsi="Palatino Linotype"/>
          <w:bCs/>
        </w:rPr>
        <w:tab/>
      </w:r>
      <w:r>
        <w:rPr>
          <w:rFonts w:ascii="Palatino Linotype" w:hAnsi="Palatino Linotype"/>
          <w:bCs/>
        </w:rPr>
        <w:tab/>
      </w:r>
      <w:r>
        <w:rPr>
          <w:rFonts w:ascii="Palatino Linotype" w:hAnsi="Palatino Linotype"/>
          <w:bCs/>
        </w:rPr>
        <w:tab/>
        <w:t>Attorney for Columbia Gas of Ohio, Inc.</w:t>
      </w:r>
    </w:p>
    <w:p w:rsidR="00444347" w:rsidRDefault="00444347">
      <w:pPr>
        <w:spacing w:line="320" w:lineRule="exact"/>
        <w:rPr>
          <w:rFonts w:ascii="Palatino Linotype" w:hAnsi="Palatino Linotype"/>
          <w:bCs/>
        </w:rPr>
      </w:pPr>
      <w:bookmarkStart w:id="0" w:name="_GoBack"/>
      <w:bookmarkEnd w:id="0"/>
    </w:p>
    <w:p w:rsidR="00444347" w:rsidRDefault="00444347">
      <w:pPr>
        <w:spacing w:line="320" w:lineRule="exact"/>
        <w:jc w:val="center"/>
        <w:rPr>
          <w:rFonts w:ascii="Palatino Linotype" w:hAnsi="Palatino Linotype"/>
          <w:b/>
          <w:bCs/>
          <w:spacing w:val="-12"/>
        </w:rPr>
      </w:pPr>
      <w:r>
        <w:rPr>
          <w:rFonts w:ascii="Palatino Linotype" w:hAnsi="Palatino Linotype"/>
          <w:b/>
          <w:bCs/>
          <w:spacing w:val="-12"/>
        </w:rPr>
        <w:t>SERVICE LIST</w:t>
      </w:r>
    </w:p>
    <w:p w:rsidR="00444347" w:rsidRDefault="00444347">
      <w:pPr>
        <w:spacing w:line="320" w:lineRule="exact"/>
        <w:jc w:val="center"/>
        <w:rPr>
          <w:rFonts w:ascii="Palatino Linotype" w:hAnsi="Palatino Linotype"/>
          <w:b/>
          <w:bCs/>
          <w:u w:val="single"/>
        </w:rPr>
      </w:pPr>
    </w:p>
    <w:tbl>
      <w:tblPr>
        <w:tblW w:w="0" w:type="auto"/>
        <w:tblLook w:val="00A0"/>
      </w:tblPr>
      <w:tblGrid>
        <w:gridCol w:w="4428"/>
        <w:gridCol w:w="4428"/>
      </w:tblGrid>
      <w:tr w:rsidR="00444347">
        <w:tc>
          <w:tcPr>
            <w:tcW w:w="4428" w:type="dxa"/>
          </w:tcPr>
          <w:p w:rsidR="00444347" w:rsidRDefault="00444347">
            <w:pPr>
              <w:spacing w:line="320" w:lineRule="exact"/>
              <w:rPr>
                <w:rFonts w:ascii="Palatino Linotype" w:hAnsi="Palatino Linotype"/>
                <w:bCs/>
              </w:rPr>
            </w:pPr>
            <w:r>
              <w:rPr>
                <w:rFonts w:ascii="Palatino Linotype" w:hAnsi="Palatino Linotype"/>
                <w:bCs/>
              </w:rPr>
              <w:t>Larry S. Sauer</w:t>
            </w:r>
          </w:p>
          <w:p w:rsidR="00444347" w:rsidRDefault="00444347">
            <w:pPr>
              <w:spacing w:line="320" w:lineRule="exact"/>
              <w:rPr>
                <w:rFonts w:ascii="Palatino Linotype" w:hAnsi="Palatino Linotype"/>
                <w:bCs/>
              </w:rPr>
            </w:pPr>
            <w:r>
              <w:rPr>
                <w:rFonts w:ascii="Palatino Linotype" w:hAnsi="Palatino Linotype"/>
                <w:bCs/>
              </w:rPr>
              <w:t>Assistant Consumers’ Counsel</w:t>
            </w:r>
          </w:p>
          <w:p w:rsidR="00444347" w:rsidRDefault="00444347">
            <w:pPr>
              <w:spacing w:line="320" w:lineRule="exact"/>
              <w:rPr>
                <w:rFonts w:ascii="Palatino Linotype" w:hAnsi="Palatino Linotype"/>
                <w:bCs/>
              </w:rPr>
            </w:pPr>
            <w:r>
              <w:rPr>
                <w:rFonts w:ascii="Palatino Linotype" w:hAnsi="Palatino Linotype"/>
                <w:bCs/>
              </w:rPr>
              <w:t>Office of the Ohio Consumers’ Counsel</w:t>
            </w:r>
          </w:p>
          <w:p w:rsidR="00444347" w:rsidRDefault="00444347">
            <w:pPr>
              <w:spacing w:line="320" w:lineRule="exact"/>
              <w:rPr>
                <w:rFonts w:ascii="Palatino Linotype" w:hAnsi="Palatino Linotype"/>
                <w:bCs/>
              </w:rPr>
            </w:pPr>
            <w:r>
              <w:rPr>
                <w:rFonts w:ascii="Palatino Linotype" w:hAnsi="Palatino Linotype"/>
                <w:bCs/>
              </w:rPr>
              <w:t>10 West Broad Street, Suite 1800</w:t>
            </w:r>
          </w:p>
          <w:p w:rsidR="00444347" w:rsidRDefault="00444347">
            <w:pPr>
              <w:spacing w:line="320" w:lineRule="exact"/>
              <w:rPr>
                <w:rFonts w:ascii="Palatino Linotype" w:hAnsi="Palatino Linotype"/>
                <w:bCs/>
              </w:rPr>
            </w:pPr>
            <w:r>
              <w:rPr>
                <w:rFonts w:ascii="Palatino Linotype" w:hAnsi="Palatino Linotype"/>
                <w:bCs/>
              </w:rPr>
              <w:t>Columbus, OH 43215-3485</w:t>
            </w:r>
          </w:p>
          <w:p w:rsidR="00444347" w:rsidRDefault="00444347">
            <w:pPr>
              <w:spacing w:line="320" w:lineRule="exact"/>
              <w:rPr>
                <w:rFonts w:ascii="Palatino Linotype" w:hAnsi="Palatino Linotype"/>
                <w:bCs/>
              </w:rPr>
            </w:pPr>
            <w:r>
              <w:rPr>
                <w:rFonts w:ascii="Palatino Linotype" w:hAnsi="Palatino Linotype"/>
                <w:bCs/>
              </w:rPr>
              <w:t>Email: sauer@occ.state.oh.us</w:t>
            </w:r>
          </w:p>
        </w:tc>
        <w:tc>
          <w:tcPr>
            <w:tcW w:w="4428" w:type="dxa"/>
          </w:tcPr>
          <w:p w:rsidR="00444347" w:rsidRDefault="00444347">
            <w:pPr>
              <w:spacing w:line="320" w:lineRule="exact"/>
              <w:rPr>
                <w:rFonts w:ascii="Palatino Linotype" w:hAnsi="Palatino Linotype"/>
                <w:bCs/>
              </w:rPr>
            </w:pPr>
            <w:r>
              <w:rPr>
                <w:rFonts w:ascii="Palatino Linotype" w:hAnsi="Palatino Linotype"/>
                <w:bCs/>
              </w:rPr>
              <w:t>Steven Beeler</w:t>
            </w:r>
          </w:p>
          <w:p w:rsidR="00444347" w:rsidRDefault="00444347">
            <w:pPr>
              <w:spacing w:line="320" w:lineRule="exact"/>
              <w:rPr>
                <w:rFonts w:ascii="Palatino Linotype" w:hAnsi="Palatino Linotype"/>
                <w:bCs/>
              </w:rPr>
            </w:pPr>
            <w:r>
              <w:rPr>
                <w:rFonts w:ascii="Palatino Linotype" w:hAnsi="Palatino Linotype"/>
                <w:bCs/>
              </w:rPr>
              <w:t>Assistant Attorney General</w:t>
            </w:r>
          </w:p>
          <w:p w:rsidR="00444347" w:rsidRDefault="00444347">
            <w:pPr>
              <w:spacing w:line="320" w:lineRule="exact"/>
              <w:rPr>
                <w:rFonts w:ascii="Palatino Linotype" w:hAnsi="Palatino Linotype"/>
                <w:bCs/>
              </w:rPr>
            </w:pPr>
            <w:r>
              <w:rPr>
                <w:rFonts w:ascii="Palatino Linotype" w:hAnsi="Palatino Linotype"/>
                <w:bCs/>
              </w:rPr>
              <w:t>Public Utilities Section</w:t>
            </w:r>
          </w:p>
          <w:p w:rsidR="00444347" w:rsidRDefault="00444347">
            <w:pPr>
              <w:spacing w:line="320" w:lineRule="exact"/>
              <w:rPr>
                <w:rFonts w:ascii="Palatino Linotype" w:hAnsi="Palatino Linotype"/>
                <w:bCs/>
              </w:rPr>
            </w:pPr>
            <w:r>
              <w:rPr>
                <w:rFonts w:ascii="Palatino Linotype" w:hAnsi="Palatino Linotype"/>
                <w:bCs/>
              </w:rPr>
              <w:t>180 East Broad Street, 6</w:t>
            </w:r>
            <w:r>
              <w:rPr>
                <w:rFonts w:ascii="Palatino Linotype" w:hAnsi="Palatino Linotype"/>
                <w:bCs/>
                <w:vertAlign w:val="superscript"/>
              </w:rPr>
              <w:t>th</w:t>
            </w:r>
            <w:r>
              <w:rPr>
                <w:rFonts w:ascii="Palatino Linotype" w:hAnsi="Palatino Linotype"/>
                <w:bCs/>
              </w:rPr>
              <w:t xml:space="preserve"> Fl.</w:t>
            </w:r>
          </w:p>
          <w:p w:rsidR="00444347" w:rsidRDefault="00444347">
            <w:pPr>
              <w:spacing w:line="320" w:lineRule="exact"/>
              <w:rPr>
                <w:rFonts w:ascii="Palatino Linotype" w:hAnsi="Palatino Linotype"/>
                <w:bCs/>
              </w:rPr>
            </w:pPr>
            <w:r>
              <w:rPr>
                <w:rFonts w:ascii="Palatino Linotype" w:hAnsi="Palatino Linotype"/>
                <w:bCs/>
              </w:rPr>
              <w:t>Columbus, OH 43215-3793</w:t>
            </w:r>
          </w:p>
          <w:p w:rsidR="00444347" w:rsidRDefault="00444347">
            <w:pPr>
              <w:spacing w:line="320" w:lineRule="exact"/>
              <w:rPr>
                <w:rFonts w:ascii="Palatino Linotype" w:hAnsi="Palatino Linotype"/>
                <w:bCs/>
              </w:rPr>
            </w:pPr>
            <w:r>
              <w:rPr>
                <w:rFonts w:ascii="Palatino Linotype" w:hAnsi="Palatino Linotype"/>
                <w:bCs/>
              </w:rPr>
              <w:t>Email: steven.beeler@puc.state.oh.us</w:t>
            </w:r>
          </w:p>
        </w:tc>
      </w:tr>
    </w:tbl>
    <w:p w:rsidR="00444347" w:rsidRDefault="00444347">
      <w:pPr>
        <w:spacing w:line="320" w:lineRule="exact"/>
        <w:rPr>
          <w:rFonts w:ascii="Palatino Linotype" w:hAnsi="Palatino Linotype"/>
          <w:b/>
          <w:bCs/>
          <w:spacing w:val="-12"/>
          <w:sz w:val="36"/>
          <w:szCs w:val="36"/>
        </w:rPr>
      </w:pPr>
    </w:p>
    <w:sectPr w:rsidR="00444347" w:rsidSect="00400B50">
      <w:footerReference w:type="default" r:id="rId7"/>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347" w:rsidRDefault="00444347">
      <w:r>
        <w:separator/>
      </w:r>
    </w:p>
  </w:endnote>
  <w:endnote w:type="continuationSeparator" w:id="0">
    <w:p w:rsidR="00444347" w:rsidRDefault="004443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347" w:rsidRDefault="00444347">
    <w:pPr>
      <w:pStyle w:val="Footer"/>
      <w:jc w:val="center"/>
    </w:pPr>
    <w:fldSimple w:instr=" PAGE   \* MERGEFORMAT ">
      <w:r>
        <w:rPr>
          <w:noProof/>
        </w:rPr>
        <w:t>5</w:t>
      </w:r>
    </w:fldSimple>
  </w:p>
  <w:p w:rsidR="00444347" w:rsidRDefault="004443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347" w:rsidRDefault="00444347">
      <w:r>
        <w:separator/>
      </w:r>
    </w:p>
  </w:footnote>
  <w:footnote w:type="continuationSeparator" w:id="0">
    <w:p w:rsidR="00444347" w:rsidRDefault="00444347">
      <w:r>
        <w:continuationSeparator/>
      </w:r>
    </w:p>
  </w:footnote>
  <w:footnote w:id="1">
    <w:p w:rsidR="00444347" w:rsidRDefault="00444347">
      <w:pPr>
        <w:pStyle w:val="FootnoteText"/>
      </w:pPr>
      <w:r>
        <w:rPr>
          <w:rStyle w:val="FootnoteReference"/>
          <w:rFonts w:ascii="Palatino Linotype" w:hAnsi="Palatino Linotype"/>
        </w:rPr>
        <w:footnoteRef/>
      </w:r>
      <w:r>
        <w:rPr>
          <w:rFonts w:ascii="Palatino Linotype" w:hAnsi="Palatino Linotype"/>
        </w:rPr>
        <w:t xml:space="preserve"> Case No. 06-685-AU-ORD, Finding and Order (December 6, 2006) at 3.</w:t>
      </w:r>
    </w:p>
  </w:footnote>
  <w:footnote w:id="2">
    <w:p w:rsidR="00444347" w:rsidRDefault="00444347">
      <w:pPr>
        <w:pStyle w:val="FootnoteText"/>
      </w:pPr>
      <w:r>
        <w:rPr>
          <w:rStyle w:val="FootnoteReference"/>
          <w:rFonts w:ascii="Palatino Linotype" w:hAnsi="Palatino Linotype"/>
        </w:rPr>
        <w:footnoteRef/>
      </w:r>
      <w:r>
        <w:rPr>
          <w:rFonts w:ascii="Palatino Linotype" w:hAnsi="Palatino Linotype"/>
        </w:rPr>
        <w:t xml:space="preserve"> </w:t>
      </w:r>
      <w:r>
        <w:rPr>
          <w:rFonts w:ascii="Palatino Linotype" w:hAnsi="Palatino Linotype"/>
          <w:i/>
        </w:rPr>
        <w:t>Id.</w:t>
      </w:r>
      <w:r>
        <w:rPr>
          <w:rFonts w:ascii="Palatino Linotype" w:hAnsi="Palatino Linotype"/>
        </w:rPr>
        <w:t xml:space="preserve"> At 3-4.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51BF9"/>
    <w:multiLevelType w:val="hybridMultilevel"/>
    <w:tmpl w:val="1618F8AC"/>
    <w:lvl w:ilvl="0" w:tplc="259C2C4E">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48DA1A73"/>
    <w:multiLevelType w:val="hybridMultilevel"/>
    <w:tmpl w:val="EA22AD18"/>
    <w:lvl w:ilvl="0" w:tplc="43CA13D4">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stylePaneFormatFilter w:val="3F01"/>
  <w:defaultTabStop w:val="720"/>
  <w:autoHyphenation/>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4347"/>
    <w:rsid w:val="00400B50"/>
    <w:rsid w:val="0044434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4"/>
      <w:szCs w:val="24"/>
    </w:rPr>
  </w:style>
  <w:style w:type="character" w:styleId="PageNumber">
    <w:name w:val="page number"/>
    <w:basedOn w:val="DefaultParagraphFont"/>
    <w:uiPriority w:val="99"/>
    <w:rPr>
      <w:rFonts w:cs="Times New Roman"/>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444347"/>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sid w:val="00444347"/>
    <w:rPr>
      <w:b/>
      <w:bC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444347"/>
    <w:rPr>
      <w:sz w:val="0"/>
      <w:szCs w:val="0"/>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sid w:val="00444347"/>
    <w:rPr>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444347"/>
    <w:rPr>
      <w:sz w:val="24"/>
      <w:szCs w:val="24"/>
    </w:r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444347"/>
    <w:rPr>
      <w:sz w:val="0"/>
      <w:szCs w:val="0"/>
    </w:rPr>
  </w:style>
  <w:style w:type="character" w:styleId="Hyperlink">
    <w:name w:val="Hyperlink"/>
    <w:basedOn w:val="DefaultParagraphFont"/>
    <w:uiPriority w:val="9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1420</Words>
  <Characters>8098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dc:title>
  <dc:subject/>
  <dc:creator/>
  <cp:keywords/>
  <dc:description/>
  <cp:lastModifiedBy/>
  <cp:revision>2</cp:revision>
  <cp:lastPrinted>2012-03-13T17:22:00Z</cp:lastPrinted>
  <dcterms:created xsi:type="dcterms:W3CDTF">2012-03-13T18:15:00Z</dcterms:created>
  <dcterms:modified xsi:type="dcterms:W3CDTF">2012-03-13T18:15:00Z</dcterms:modified>
</cp:coreProperties>
</file>