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BE" w:rsidRDefault="00781EBE" w:rsidP="00781EBE">
      <w:pPr>
        <w:pStyle w:val="Letter-Date"/>
      </w:pPr>
    </w:p>
    <w:p w:rsidR="008F57A9" w:rsidRDefault="008F57A9" w:rsidP="00781EBE">
      <w:pPr>
        <w:pStyle w:val="Letter-Date"/>
      </w:pPr>
    </w:p>
    <w:p w:rsidR="008F57A9" w:rsidRDefault="008F57A9" w:rsidP="008F57A9">
      <w:pPr>
        <w:ind w:left="5040" w:firstLine="720"/>
        <w:rPr>
          <w:rFonts w:ascii="Arial" w:hAnsi="Arial" w:cs="Arial"/>
          <w:sz w:val="22"/>
        </w:rPr>
      </w:pPr>
      <w:r w:rsidRPr="00106A8C">
        <w:rPr>
          <w:rFonts w:ascii="Arial" w:hAnsi="Arial" w:cs="Arial"/>
          <w:noProof/>
          <w:sz w:val="22"/>
        </w:rPr>
        <mc:AlternateContent>
          <mc:Choice Requires="wps">
            <w:drawing>
              <wp:anchor distT="0" distB="0" distL="114300" distR="114300" simplePos="0" relativeHeight="251667456" behindDoc="0" locked="0" layoutInCell="1" allowOverlap="1" wp14:anchorId="32E24448" wp14:editId="2D623BE6">
                <wp:simplePos x="0" y="0"/>
                <wp:positionH relativeFrom="column">
                  <wp:posOffset>-114300</wp:posOffset>
                </wp:positionH>
                <wp:positionV relativeFrom="paragraph">
                  <wp:posOffset>314325</wp:posOffset>
                </wp:positionV>
                <wp:extent cx="2578608" cy="714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608" cy="714375"/>
                        </a:xfrm>
                        <a:custGeom>
                          <a:avLst/>
                          <a:gdLst>
                            <a:gd name="connsiteX0" fmla="*/ 0 w 2578100"/>
                            <a:gd name="connsiteY0" fmla="*/ 0 h 941705"/>
                            <a:gd name="connsiteX1" fmla="*/ 2578100 w 2578100"/>
                            <a:gd name="connsiteY1" fmla="*/ 0 h 941705"/>
                            <a:gd name="connsiteX2" fmla="*/ 2578100 w 2578100"/>
                            <a:gd name="connsiteY2" fmla="*/ 941705 h 941705"/>
                            <a:gd name="connsiteX3" fmla="*/ 0 w 2578100"/>
                            <a:gd name="connsiteY3" fmla="*/ 941705 h 941705"/>
                            <a:gd name="connsiteX4" fmla="*/ 0 w 2578100"/>
                            <a:gd name="connsiteY4" fmla="*/ 0 h 941705"/>
                            <a:gd name="connsiteX0" fmla="*/ 0 w 2578100"/>
                            <a:gd name="connsiteY0" fmla="*/ 0 h 941705"/>
                            <a:gd name="connsiteX1" fmla="*/ 876300 w 2578100"/>
                            <a:gd name="connsiteY1" fmla="*/ 0 h 941705"/>
                            <a:gd name="connsiteX2" fmla="*/ 2578100 w 2578100"/>
                            <a:gd name="connsiteY2" fmla="*/ 0 h 941705"/>
                            <a:gd name="connsiteX3" fmla="*/ 2578100 w 2578100"/>
                            <a:gd name="connsiteY3" fmla="*/ 941705 h 941705"/>
                            <a:gd name="connsiteX4" fmla="*/ 0 w 2578100"/>
                            <a:gd name="connsiteY4" fmla="*/ 941705 h 941705"/>
                            <a:gd name="connsiteX5" fmla="*/ 0 w 2578100"/>
                            <a:gd name="connsiteY5" fmla="*/ 0 h 941705"/>
                            <a:gd name="connsiteX0" fmla="*/ 0 w 2578100"/>
                            <a:gd name="connsiteY0" fmla="*/ 0 h 941705"/>
                            <a:gd name="connsiteX1" fmla="*/ 876300 w 2578100"/>
                            <a:gd name="connsiteY1" fmla="*/ 0 h 941705"/>
                            <a:gd name="connsiteX2" fmla="*/ 2578100 w 2578100"/>
                            <a:gd name="connsiteY2" fmla="*/ 0 h 941705"/>
                            <a:gd name="connsiteX3" fmla="*/ 2578100 w 2578100"/>
                            <a:gd name="connsiteY3" fmla="*/ 941705 h 941705"/>
                            <a:gd name="connsiteX4" fmla="*/ 0 w 2578100"/>
                            <a:gd name="connsiteY4" fmla="*/ 941705 h 941705"/>
                            <a:gd name="connsiteX5" fmla="*/ 0 w 2578100"/>
                            <a:gd name="connsiteY5" fmla="*/ 0 h 941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78100" h="941705">
                              <a:moveTo>
                                <a:pt x="0" y="0"/>
                              </a:moveTo>
                              <a:lnTo>
                                <a:pt x="876300" y="0"/>
                              </a:lnTo>
                              <a:lnTo>
                                <a:pt x="2578100" y="0"/>
                              </a:lnTo>
                              <a:lnTo>
                                <a:pt x="2578100" y="941705"/>
                              </a:lnTo>
                              <a:lnTo>
                                <a:pt x="0" y="941705"/>
                              </a:lnTo>
                              <a:lnTo>
                                <a:pt x="0" y="0"/>
                              </a:lnTo>
                              <a:close/>
                            </a:path>
                          </a:pathLst>
                        </a:custGeom>
                        <a:solidFill>
                          <a:srgbClr val="FFFFFF"/>
                        </a:solidFill>
                        <a:ln w="9525">
                          <a:noFill/>
                          <a:miter lim="800000"/>
                          <a:headEnd/>
                          <a:tailEnd/>
                        </a:ln>
                      </wps:spPr>
                      <wps:txbx>
                        <w:txbxContent>
                          <w:p w:rsidR="008F57A9" w:rsidRPr="00106A8C" w:rsidRDefault="008F57A9" w:rsidP="008F57A9">
                            <w:pPr>
                              <w:rPr>
                                <w:rFonts w:ascii="Arial" w:hAnsi="Arial" w:cs="Arial"/>
                                <w:b/>
                                <w:i/>
                                <w:sz w:val="16"/>
                                <w:szCs w:val="16"/>
                              </w:rPr>
                            </w:pPr>
                            <w:r w:rsidRPr="00106A8C">
                              <w:rPr>
                                <w:rFonts w:ascii="Arial" w:hAnsi="Arial" w:cs="Arial"/>
                                <w:b/>
                                <w:i/>
                                <w:sz w:val="16"/>
                                <w:szCs w:val="16"/>
                              </w:rPr>
                              <w:t>Julie Dollenmayer</w:t>
                            </w:r>
                          </w:p>
                          <w:p w:rsidR="008F57A9" w:rsidRPr="00106A8C" w:rsidRDefault="008F57A9" w:rsidP="008F57A9">
                            <w:pPr>
                              <w:rPr>
                                <w:rFonts w:ascii="Arial" w:hAnsi="Arial" w:cs="Arial"/>
                                <w:i/>
                                <w:sz w:val="16"/>
                                <w:szCs w:val="16"/>
                              </w:rPr>
                            </w:pPr>
                            <w:r>
                              <w:rPr>
                                <w:rFonts w:ascii="Arial" w:hAnsi="Arial" w:cs="Arial"/>
                                <w:i/>
                                <w:sz w:val="16"/>
                                <w:szCs w:val="16"/>
                              </w:rPr>
                              <w:t xml:space="preserve">Sr. </w:t>
                            </w:r>
                            <w:r w:rsidRPr="00106A8C">
                              <w:rPr>
                                <w:rFonts w:ascii="Arial" w:hAnsi="Arial" w:cs="Arial"/>
                                <w:i/>
                                <w:sz w:val="16"/>
                                <w:szCs w:val="16"/>
                              </w:rPr>
                              <w:t>Corporate &amp; Regulatory Specialist</w:t>
                            </w:r>
                          </w:p>
                          <w:p w:rsidR="008F57A9" w:rsidRPr="00106A8C" w:rsidRDefault="008F57A9" w:rsidP="008F57A9">
                            <w:pPr>
                              <w:rPr>
                                <w:rFonts w:ascii="Arial" w:hAnsi="Arial" w:cs="Arial"/>
                                <w:i/>
                                <w:sz w:val="16"/>
                                <w:szCs w:val="16"/>
                              </w:rPr>
                            </w:pPr>
                            <w:r w:rsidRPr="00106A8C">
                              <w:rPr>
                                <w:rFonts w:ascii="Arial" w:hAnsi="Arial" w:cs="Arial"/>
                                <w:i/>
                                <w:sz w:val="16"/>
                                <w:szCs w:val="16"/>
                              </w:rPr>
                              <w:t>Direct Dial:  513-645-4891</w:t>
                            </w:r>
                          </w:p>
                          <w:p w:rsidR="008F57A9" w:rsidRPr="00106A8C" w:rsidRDefault="008F57A9" w:rsidP="008F57A9">
                            <w:pPr>
                              <w:rPr>
                                <w:rFonts w:ascii="Arial" w:hAnsi="Arial" w:cs="Arial"/>
                                <w:i/>
                                <w:sz w:val="16"/>
                                <w:szCs w:val="16"/>
                              </w:rPr>
                            </w:pPr>
                            <w:r w:rsidRPr="00106A8C">
                              <w:rPr>
                                <w:rFonts w:ascii="Arial" w:hAnsi="Arial" w:cs="Arial"/>
                                <w:i/>
                                <w:sz w:val="16"/>
                                <w:szCs w:val="16"/>
                              </w:rPr>
                              <w:t>Facsimile:  513-645-4960</w:t>
                            </w:r>
                          </w:p>
                          <w:p w:rsidR="008F57A9" w:rsidRPr="00106A8C" w:rsidRDefault="008F57A9" w:rsidP="008F57A9">
                            <w:pPr>
                              <w:rPr>
                                <w:rFonts w:ascii="Arial" w:hAnsi="Arial" w:cs="Arial"/>
                                <w:i/>
                                <w:sz w:val="16"/>
                                <w:szCs w:val="16"/>
                              </w:rPr>
                            </w:pPr>
                            <w:r w:rsidRPr="00106A8C">
                              <w:rPr>
                                <w:rFonts w:ascii="Arial" w:hAnsi="Arial" w:cs="Arial"/>
                                <w:i/>
                                <w:sz w:val="16"/>
                                <w:szCs w:val="16"/>
                              </w:rPr>
                              <w:t>Email: jdollenmayer@pngmail.com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left:0;text-align:left;margin-left:-9pt;margin-top:24.75pt;width:203.0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78100,941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" adj="-11796480,,5400" path="m,l876300,,2578100,r,941705l,941705,,xe" stroked="f">
                <v:stroke joinstyle="miter"/>
                <v:formulas/>
                <v:path o:connecttype="custom" o:connectlocs="0,0;876473,0;2578608,0;2578608,714375;0,714375;0,0" o:connectangles="0,0,0,0,0,0" textboxrect="0,0,2578100,941705"/>
                <v:textbox>
                  <w:txbxContent>
                    <w:p w:rsidR="008F57A9" w:rsidRPr="00106A8C" w:rsidRDefault="008F57A9" w:rsidP="008F57A9">
                      <w:pPr>
                        <w:rPr>
                          <w:rFonts w:ascii="Arial" w:hAnsi="Arial" w:cs="Arial"/>
                          <w:b/>
                          <w:i/>
                          <w:sz w:val="16"/>
                          <w:szCs w:val="16"/>
                        </w:rPr>
                      </w:pPr>
                      <w:r w:rsidRPr="00106A8C">
                        <w:rPr>
                          <w:rFonts w:ascii="Arial" w:hAnsi="Arial" w:cs="Arial"/>
                          <w:b/>
                          <w:i/>
                          <w:sz w:val="16"/>
                          <w:szCs w:val="16"/>
                        </w:rPr>
                        <w:t>Julie Dollenmayer</w:t>
                      </w:r>
                    </w:p>
                    <w:p w:rsidR="008F57A9" w:rsidRPr="00106A8C" w:rsidRDefault="008F57A9" w:rsidP="008F57A9">
                      <w:pPr>
                        <w:rPr>
                          <w:rFonts w:ascii="Arial" w:hAnsi="Arial" w:cs="Arial"/>
                          <w:i/>
                          <w:sz w:val="16"/>
                          <w:szCs w:val="16"/>
                        </w:rPr>
                      </w:pPr>
                      <w:r>
                        <w:rPr>
                          <w:rFonts w:ascii="Arial" w:hAnsi="Arial" w:cs="Arial"/>
                          <w:i/>
                          <w:sz w:val="16"/>
                          <w:szCs w:val="16"/>
                        </w:rPr>
                        <w:t xml:space="preserve">Sr. </w:t>
                      </w:r>
                      <w:r w:rsidRPr="00106A8C">
                        <w:rPr>
                          <w:rFonts w:ascii="Arial" w:hAnsi="Arial" w:cs="Arial"/>
                          <w:i/>
                          <w:sz w:val="16"/>
                          <w:szCs w:val="16"/>
                        </w:rPr>
                        <w:t>Corporate &amp; Regulatory Specialist</w:t>
                      </w:r>
                    </w:p>
                    <w:p w:rsidR="008F57A9" w:rsidRPr="00106A8C" w:rsidRDefault="008F57A9" w:rsidP="008F57A9">
                      <w:pPr>
                        <w:rPr>
                          <w:rFonts w:ascii="Arial" w:hAnsi="Arial" w:cs="Arial"/>
                          <w:i/>
                          <w:sz w:val="16"/>
                          <w:szCs w:val="16"/>
                        </w:rPr>
                      </w:pPr>
                      <w:r w:rsidRPr="00106A8C">
                        <w:rPr>
                          <w:rFonts w:ascii="Arial" w:hAnsi="Arial" w:cs="Arial"/>
                          <w:i/>
                          <w:sz w:val="16"/>
                          <w:szCs w:val="16"/>
                        </w:rPr>
                        <w:t>Direct Dial:  513-645-4891</w:t>
                      </w:r>
                    </w:p>
                    <w:p w:rsidR="008F57A9" w:rsidRPr="00106A8C" w:rsidRDefault="008F57A9" w:rsidP="008F57A9">
                      <w:pPr>
                        <w:rPr>
                          <w:rFonts w:ascii="Arial" w:hAnsi="Arial" w:cs="Arial"/>
                          <w:i/>
                          <w:sz w:val="16"/>
                          <w:szCs w:val="16"/>
                        </w:rPr>
                      </w:pPr>
                      <w:r w:rsidRPr="00106A8C">
                        <w:rPr>
                          <w:rFonts w:ascii="Arial" w:hAnsi="Arial" w:cs="Arial"/>
                          <w:i/>
                          <w:sz w:val="16"/>
                          <w:szCs w:val="16"/>
                        </w:rPr>
                        <w:t>Facsimile:  513-645-4960</w:t>
                      </w:r>
                    </w:p>
                    <w:p w:rsidR="008F57A9" w:rsidRPr="00106A8C" w:rsidRDefault="008F57A9" w:rsidP="008F57A9">
                      <w:pPr>
                        <w:rPr>
                          <w:rFonts w:ascii="Arial" w:hAnsi="Arial" w:cs="Arial"/>
                          <w:i/>
                          <w:sz w:val="16"/>
                          <w:szCs w:val="16"/>
                        </w:rPr>
                      </w:pPr>
                      <w:r w:rsidRPr="00106A8C">
                        <w:rPr>
                          <w:rFonts w:ascii="Arial" w:hAnsi="Arial" w:cs="Arial"/>
                          <w:i/>
                          <w:sz w:val="16"/>
                          <w:szCs w:val="16"/>
                        </w:rPr>
                        <w:t>Email: jdollenmayer@pngmail.com</w:t>
                      </w:r>
                    </w:p>
                  </w:txbxContent>
                </v:textbox>
              </v:shape>
            </w:pict>
          </mc:Fallback>
        </mc:AlternateContent>
      </w:r>
      <w:r>
        <w:rPr>
          <w:noProof/>
        </w:rPr>
        <w:drawing>
          <wp:inline distT="0" distB="0" distL="0" distR="0" wp14:anchorId="2CA0B3CF" wp14:editId="2C1ECA17">
            <wp:extent cx="1504950" cy="704850"/>
            <wp:effectExtent l="0" t="0" r="0" b="0"/>
            <wp:docPr id="9" name="Picture 9" descr="PowerNet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Net Glob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704850"/>
                    </a:xfrm>
                    <a:prstGeom prst="rect">
                      <a:avLst/>
                    </a:prstGeom>
                    <a:noFill/>
                    <a:ln>
                      <a:noFill/>
                    </a:ln>
                  </pic:spPr>
                </pic:pic>
              </a:graphicData>
            </a:graphic>
          </wp:inline>
        </w:drawing>
      </w:r>
    </w:p>
    <w:p w:rsidR="008F57A9" w:rsidRDefault="008F57A9" w:rsidP="008F57A9">
      <w:pPr>
        <w:rPr>
          <w:rFonts w:ascii="Arial" w:hAnsi="Arial" w:cs="Arial"/>
          <w:sz w:val="16"/>
        </w:rPr>
      </w:pPr>
    </w:p>
    <w:p w:rsidR="008F57A9" w:rsidRDefault="008F57A9" w:rsidP="008F57A9">
      <w:pPr>
        <w:rPr>
          <w:rFonts w:ascii="Arial" w:hAnsi="Arial" w:cs="Arial"/>
          <w:i/>
          <w:iCs/>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smartTag w:uri="urn:schemas-microsoft-com:office:smarttags" w:element="Street">
        <w:smartTag w:uri="urn:schemas-microsoft-com:office:smarttags" w:element="address">
          <w:r>
            <w:rPr>
              <w:rFonts w:ascii="Arial" w:hAnsi="Arial" w:cs="Arial"/>
              <w:i/>
              <w:iCs/>
              <w:sz w:val="16"/>
            </w:rPr>
            <w:t>100 Commercial Drive</w:t>
          </w:r>
        </w:smartTag>
      </w:smartTag>
    </w:p>
    <w:p w:rsidR="008F57A9" w:rsidRPr="008F57A9" w:rsidRDefault="008F57A9" w:rsidP="008F57A9">
      <w:pPr>
        <w:pStyle w:val="Heading1"/>
        <w:rPr>
          <w:rFonts w:ascii="Arial" w:hAnsi="Arial" w:cs="Arial"/>
          <w:b w:val="0"/>
          <w:i/>
          <w:iCs/>
          <w:sz w:val="16"/>
        </w:rPr>
      </w:pPr>
      <w:r>
        <w:tab/>
      </w:r>
      <w:r>
        <w:tab/>
      </w:r>
      <w:r>
        <w:tab/>
      </w:r>
      <w:r>
        <w:tab/>
      </w:r>
      <w:r>
        <w:tab/>
      </w:r>
      <w:r>
        <w:tab/>
      </w:r>
      <w:r>
        <w:tab/>
      </w:r>
      <w:r>
        <w:tab/>
      </w:r>
      <w:r>
        <w:tab/>
      </w:r>
      <w:r w:rsidRPr="008F57A9">
        <w:rPr>
          <w:rFonts w:ascii="Arial" w:hAnsi="Arial" w:cs="Arial"/>
          <w:b w:val="0"/>
          <w:sz w:val="16"/>
          <w:szCs w:val="16"/>
        </w:rPr>
        <w:t>Fairfield, OH 45014</w:t>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8F57A9">
        <w:rPr>
          <w:rFonts w:ascii="Arial" w:hAnsi="Arial" w:cs="Arial"/>
          <w:b w:val="0"/>
          <w:i/>
          <w:iCs/>
          <w:sz w:val="16"/>
        </w:rPr>
        <w:t>www.powernetglobal.com</w:t>
      </w:r>
    </w:p>
    <w:p w:rsidR="008F57A9" w:rsidRDefault="008F57A9" w:rsidP="008F57A9">
      <w:pPr>
        <w:jc w:val="center"/>
        <w:rPr>
          <w:rFonts w:ascii="Arial" w:hAnsi="Arial" w:cs="Arial"/>
        </w:rPr>
      </w:pPr>
      <w:bookmarkStart w:id="0" w:name="_GoBack"/>
      <w:bookmarkEnd w:id="0"/>
    </w:p>
    <w:p w:rsidR="00781EBE" w:rsidRDefault="00CA2C3A" w:rsidP="00781EBE">
      <w:pPr>
        <w:pStyle w:val="Letter-Date"/>
      </w:pPr>
      <w:r>
        <w:t>July 2, 2012</w:t>
      </w:r>
    </w:p>
    <w:p w:rsidR="00781EBE" w:rsidRDefault="00781EBE" w:rsidP="00781EBE">
      <w:pPr>
        <w:pStyle w:val="Letter-Date"/>
        <w:spacing w:after="120"/>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781EBE" w:rsidTr="00955F37">
        <w:trPr>
          <w:cantSplit/>
          <w:jc w:val="center"/>
        </w:trPr>
        <w:tc>
          <w:tcPr>
            <w:tcW w:w="5400" w:type="dxa"/>
          </w:tcPr>
          <w:p w:rsidR="00781EBE" w:rsidRDefault="00781EBE" w:rsidP="00955F37">
            <w:pPr>
              <w:pStyle w:val="Letter-InsideAddress"/>
            </w:pPr>
            <w:proofErr w:type="spellStart"/>
            <w:r>
              <w:t>Barcy</w:t>
            </w:r>
            <w:proofErr w:type="spellEnd"/>
            <w:r>
              <w:t xml:space="preserve"> McNeal, Secretary</w:t>
            </w:r>
          </w:p>
          <w:p w:rsidR="00781EBE" w:rsidRDefault="00781EBE" w:rsidP="00955F37">
            <w:pPr>
              <w:pStyle w:val="Letter-InsideAddress"/>
            </w:pPr>
            <w:r>
              <w:t xml:space="preserve">The Public Utilities Commission of </w:t>
            </w:r>
            <w:smartTag w:uri="urn:schemas-microsoft-com:office:smarttags" w:element="State">
              <w:smartTag w:uri="urn:schemas-microsoft-com:office:smarttags" w:element="place">
                <w:r>
                  <w:t>Ohio</w:t>
                </w:r>
              </w:smartTag>
            </w:smartTag>
          </w:p>
          <w:p w:rsidR="00781EBE" w:rsidRDefault="00781EBE" w:rsidP="00955F37">
            <w:pPr>
              <w:pStyle w:val="Letter-InsideAddress"/>
            </w:pPr>
            <w:smartTag w:uri="urn:schemas-microsoft-com:office:smarttags" w:element="Street">
              <w:smartTag w:uri="urn:schemas-microsoft-com:office:smarttags" w:element="address">
                <w:r>
                  <w:t>180 East Broad Street</w:t>
                </w:r>
              </w:smartTag>
            </w:smartTag>
          </w:p>
          <w:p w:rsidR="00781EBE" w:rsidRDefault="00781EBE" w:rsidP="00955F37">
            <w:pPr>
              <w:pStyle w:val="Letter-InsideAddress"/>
            </w:pPr>
            <w:smartTag w:uri="urn:schemas-microsoft-com:office:smarttags" w:element="place">
              <w:smartTag w:uri="urn:schemas:contacts" w:element="nameSuffix">
                <w:r>
                  <w:t>Columbus</w:t>
                </w:r>
              </w:smartTag>
              <w:r>
                <w:t xml:space="preserve">, </w:t>
              </w:r>
              <w:smartTag w:uri="urn:schemas-microsoft-com:office:smarttags" w:element="State">
                <w:r>
                  <w:t>Ohio</w:t>
                </w:r>
              </w:smartTag>
              <w:r>
                <w:t xml:space="preserve"> </w:t>
              </w:r>
              <w:smartTag w:uri="urn:schemas-microsoft-com:office:smarttags" w:element="PostalCode">
                <w:r>
                  <w:t>43215</w:t>
                </w:r>
              </w:smartTag>
            </w:smartTag>
          </w:p>
        </w:tc>
        <w:tc>
          <w:tcPr>
            <w:tcW w:w="3960" w:type="dxa"/>
          </w:tcPr>
          <w:p w:rsidR="00781EBE" w:rsidRDefault="00781EBE" w:rsidP="00955F37"/>
        </w:tc>
      </w:tr>
    </w:tbl>
    <w:p w:rsidR="00781EBE" w:rsidRDefault="00781EBE" w:rsidP="00781EBE">
      <w:pPr>
        <w:pStyle w:val="Letter-Re"/>
        <w:ind w:left="720" w:hanging="730"/>
        <w:rPr>
          <w:szCs w:val="22"/>
          <w:u w:val="single"/>
        </w:rPr>
      </w:pPr>
      <w:r>
        <w:rPr>
          <w:smallCaps/>
        </w:rPr>
        <w:t>Re:</w:t>
      </w:r>
      <w:r>
        <w:tab/>
      </w:r>
      <w:r w:rsidRPr="00896D90">
        <w:t>In the Matter of the</w:t>
      </w:r>
      <w:r>
        <w:t xml:space="preserve"> Application of PNG Telecommunications, Inc. d/b/a PowerNet Global Communications to Modify its Carrier-to-Carrier Services Tariff, PUCO Case No. 90-5</w:t>
      </w:r>
      <w:r w:rsidR="002E590D">
        <w:t>452-TP-TRF, and Case No. 12-1716</w:t>
      </w:r>
      <w:r>
        <w:t>-TP-ATA</w:t>
      </w:r>
    </w:p>
    <w:p w:rsidR="00781EBE" w:rsidRDefault="00781EBE" w:rsidP="00781EBE">
      <w:pPr>
        <w:pStyle w:val="Letter-Salutation"/>
      </w:pPr>
      <w:r>
        <w:t xml:space="preserve">Dear </w:t>
      </w:r>
      <w:smartTag w:uri="urn:schemas:contacts" w:element="title">
        <w:r>
          <w:t>Ms.</w:t>
        </w:r>
      </w:smartTag>
      <w:r>
        <w:t xml:space="preserve"> McNeal:</w:t>
      </w:r>
    </w:p>
    <w:p w:rsidR="00781EBE" w:rsidRPr="004811B0" w:rsidRDefault="00781EBE" w:rsidP="00781EBE">
      <w:pPr>
        <w:pStyle w:val="Letter-Salutation"/>
      </w:pPr>
      <w:r w:rsidRPr="004811B0">
        <w:t>Attache</w:t>
      </w:r>
      <w:r>
        <w:t>d are final tariff pages</w:t>
      </w:r>
      <w:r w:rsidRPr="004811B0">
        <w:t xml:space="preserve"> to be filed on behalf of </w:t>
      </w:r>
      <w:r>
        <w:t>PNG Telecommunications, Inc. d/b/a PowerNet Global Communications</w:t>
      </w:r>
      <w:r w:rsidRPr="004811B0">
        <w:t xml:space="preserve"> in the above-referenced matter.  </w:t>
      </w:r>
    </w:p>
    <w:p w:rsidR="00781EBE" w:rsidRDefault="00781EBE" w:rsidP="00781EBE">
      <w:pPr>
        <w:pStyle w:val="Letter-Salutation"/>
      </w:pPr>
      <w:r>
        <w:t xml:space="preserve">Thank you for your assistance.  If you have any questions, please do not hesitate to call. </w:t>
      </w:r>
    </w:p>
    <w:p w:rsidR="00781EBE" w:rsidRDefault="00781EBE" w:rsidP="00781EBE">
      <w:pPr>
        <w:pStyle w:val="Letter-Closing"/>
        <w:spacing w:after="0"/>
      </w:pPr>
      <w:r>
        <w:t>Very truly yours,</w:t>
      </w:r>
    </w:p>
    <w:p w:rsidR="00781EBE" w:rsidRDefault="00781EBE" w:rsidP="00781EBE">
      <w:pPr>
        <w:pStyle w:val="Letter-Closing"/>
        <w:spacing w:after="0"/>
      </w:pPr>
    </w:p>
    <w:p w:rsidR="00781EBE" w:rsidRDefault="00781EBE" w:rsidP="00781EBE">
      <w:pPr>
        <w:pStyle w:val="Letter-Closing"/>
        <w:spacing w:after="0"/>
      </w:pPr>
    </w:p>
    <w:p w:rsidR="00781EBE" w:rsidRDefault="00781EBE" w:rsidP="00781EBE">
      <w:pPr>
        <w:pStyle w:val="BodyText"/>
        <w:spacing w:after="0"/>
      </w:pPr>
    </w:p>
    <w:p w:rsidR="00781EBE" w:rsidRDefault="00781EBE" w:rsidP="00781EBE">
      <w:pPr>
        <w:pStyle w:val="BodyText"/>
        <w:spacing w:after="0"/>
      </w:pPr>
      <w:r>
        <w:t>/s/ Julie Dollenmayer</w:t>
      </w:r>
    </w:p>
    <w:p w:rsidR="00781EBE" w:rsidRDefault="00781EBE" w:rsidP="00781EBE">
      <w:pPr>
        <w:pStyle w:val="BodyText"/>
        <w:spacing w:after="0"/>
      </w:pPr>
      <w:r>
        <w:t>Julie Dollenmayer, Corporate and Regulatory Specialist</w:t>
      </w:r>
    </w:p>
    <w:p w:rsidR="009876D0" w:rsidRDefault="009876D0" w:rsidP="00781EBE">
      <w:pPr>
        <w:pStyle w:val="BodyText"/>
        <w:spacing w:after="0"/>
        <w:sectPr w:rsidR="009876D0" w:rsidSect="00165C15">
          <w:headerReference w:type="default" r:id="rId8"/>
          <w:footerReference w:type="default" r:id="rId9"/>
          <w:footerReference w:type="first" r:id="rId10"/>
          <w:pgSz w:w="12240" w:h="15840" w:code="1"/>
          <w:pgMar w:top="432" w:right="1440" w:bottom="432" w:left="1440" w:header="720" w:footer="720" w:gutter="0"/>
          <w:cols w:space="720"/>
          <w:titlePg/>
          <w:docGrid w:linePitch="360"/>
        </w:sectPr>
      </w:pPr>
    </w:p>
    <w:p w:rsidR="00781EBE" w:rsidRPr="00EE79E3" w:rsidRDefault="00781EBE" w:rsidP="00781EBE">
      <w:pPr>
        <w:spacing w:after="240"/>
        <w:jc w:val="center"/>
        <w:rPr>
          <w:b/>
          <w:caps/>
          <w:color w:val="000000"/>
        </w:rPr>
      </w:pPr>
      <w:r w:rsidRPr="00EE79E3">
        <w:rPr>
          <w:b/>
          <w:caps/>
          <w:color w:val="000000"/>
        </w:rPr>
        <w:lastRenderedPageBreak/>
        <w:t>CHECK PAGE</w:t>
      </w:r>
    </w:p>
    <w:p w:rsidR="00781EBE" w:rsidRPr="00EE79E3" w:rsidRDefault="00781EBE" w:rsidP="00781EBE">
      <w:pPr>
        <w:spacing w:after="240"/>
        <w:jc w:val="both"/>
        <w:rPr>
          <w:color w:val="000000"/>
        </w:rPr>
      </w:pPr>
      <w:r w:rsidRPr="00EE79E3">
        <w:rPr>
          <w:color w:val="000000"/>
        </w:rPr>
        <w:t>Pages of this Tariff indicated below are effective as of the date shown at the bottom of the respective page(s).  Original and revised pages as named below comprise all changes from the original tariff and are currently in effect as of the date on the bottom of this page.</w:t>
      </w:r>
    </w:p>
    <w:tbl>
      <w:tblPr>
        <w:tblW w:w="9918" w:type="dxa"/>
        <w:tblLook w:val="04A0" w:firstRow="1" w:lastRow="0" w:firstColumn="1" w:lastColumn="0" w:noHBand="0" w:noVBand="1"/>
      </w:tblPr>
      <w:tblGrid>
        <w:gridCol w:w="1596"/>
        <w:gridCol w:w="1932"/>
        <w:gridCol w:w="1260"/>
        <w:gridCol w:w="1710"/>
        <w:gridCol w:w="1482"/>
        <w:gridCol w:w="1938"/>
      </w:tblGrid>
      <w:tr w:rsidR="00781EBE" w:rsidRPr="00EE79E3" w:rsidTr="00955F37">
        <w:tc>
          <w:tcPr>
            <w:tcW w:w="1596" w:type="dxa"/>
            <w:shd w:val="clear" w:color="auto" w:fill="auto"/>
          </w:tcPr>
          <w:p w:rsidR="00781EBE" w:rsidRPr="00EE79E3" w:rsidRDefault="00781EBE" w:rsidP="00955F37">
            <w:pPr>
              <w:spacing w:after="240"/>
              <w:jc w:val="center"/>
              <w:rPr>
                <w:b/>
              </w:rPr>
            </w:pPr>
            <w:r w:rsidRPr="00EE79E3">
              <w:rPr>
                <w:b/>
              </w:rPr>
              <w:t>Page No.</w:t>
            </w:r>
          </w:p>
        </w:tc>
        <w:tc>
          <w:tcPr>
            <w:tcW w:w="1932" w:type="dxa"/>
            <w:shd w:val="clear" w:color="auto" w:fill="auto"/>
          </w:tcPr>
          <w:p w:rsidR="00781EBE" w:rsidRPr="00EE79E3" w:rsidRDefault="00781EBE" w:rsidP="00955F37">
            <w:pPr>
              <w:spacing w:after="240"/>
              <w:jc w:val="center"/>
              <w:rPr>
                <w:b/>
              </w:rPr>
            </w:pPr>
            <w:r w:rsidRPr="00EE79E3">
              <w:rPr>
                <w:b/>
              </w:rPr>
              <w:t>Page Version</w:t>
            </w:r>
          </w:p>
        </w:tc>
        <w:tc>
          <w:tcPr>
            <w:tcW w:w="1260" w:type="dxa"/>
            <w:shd w:val="clear" w:color="auto" w:fill="auto"/>
          </w:tcPr>
          <w:p w:rsidR="00781EBE" w:rsidRPr="00EE79E3" w:rsidRDefault="00781EBE" w:rsidP="00955F37">
            <w:pPr>
              <w:spacing w:after="240"/>
              <w:jc w:val="center"/>
              <w:rPr>
                <w:b/>
              </w:rPr>
            </w:pPr>
            <w:r w:rsidRPr="00EE79E3">
              <w:rPr>
                <w:b/>
              </w:rPr>
              <w:t>Page No.</w:t>
            </w:r>
          </w:p>
        </w:tc>
        <w:tc>
          <w:tcPr>
            <w:tcW w:w="1710" w:type="dxa"/>
            <w:shd w:val="clear" w:color="auto" w:fill="auto"/>
          </w:tcPr>
          <w:p w:rsidR="00781EBE" w:rsidRPr="00EE79E3" w:rsidRDefault="00781EBE" w:rsidP="00955F37">
            <w:pPr>
              <w:spacing w:after="240"/>
              <w:jc w:val="center"/>
              <w:rPr>
                <w:b/>
              </w:rPr>
            </w:pPr>
            <w:r w:rsidRPr="00EE79E3">
              <w:rPr>
                <w:b/>
              </w:rPr>
              <w:t>Page Version</w:t>
            </w:r>
          </w:p>
        </w:tc>
        <w:tc>
          <w:tcPr>
            <w:tcW w:w="1482" w:type="dxa"/>
            <w:shd w:val="clear" w:color="auto" w:fill="auto"/>
          </w:tcPr>
          <w:p w:rsidR="00781EBE" w:rsidRPr="00EE79E3" w:rsidRDefault="00781EBE" w:rsidP="00955F37">
            <w:pPr>
              <w:spacing w:after="240"/>
              <w:jc w:val="center"/>
              <w:rPr>
                <w:b/>
              </w:rPr>
            </w:pPr>
            <w:r w:rsidRPr="00EE79E3">
              <w:rPr>
                <w:b/>
              </w:rPr>
              <w:t>Page No.</w:t>
            </w:r>
          </w:p>
        </w:tc>
        <w:tc>
          <w:tcPr>
            <w:tcW w:w="1938" w:type="dxa"/>
            <w:shd w:val="clear" w:color="auto" w:fill="auto"/>
          </w:tcPr>
          <w:p w:rsidR="00781EBE" w:rsidRPr="00EE79E3" w:rsidRDefault="00781EBE" w:rsidP="00955F37">
            <w:pPr>
              <w:spacing w:after="240"/>
              <w:jc w:val="center"/>
              <w:rPr>
                <w:b/>
              </w:rPr>
            </w:pPr>
            <w:r w:rsidRPr="00EE79E3">
              <w:rPr>
                <w:b/>
              </w:rPr>
              <w:t>Page Version</w:t>
            </w: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31</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61</w:t>
            </w:r>
          </w:p>
        </w:tc>
        <w:tc>
          <w:tcPr>
            <w:tcW w:w="1938" w:type="dxa"/>
            <w:shd w:val="clear" w:color="auto" w:fill="auto"/>
          </w:tcPr>
          <w:p w:rsidR="00781EBE" w:rsidRPr="00EE79E3" w:rsidRDefault="00781EBE" w:rsidP="00955F37">
            <w:pPr>
              <w:jc w:val="center"/>
            </w:pPr>
            <w:r w:rsidRPr="00EE79E3">
              <w:t>Original</w:t>
            </w: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w:t>
            </w:r>
          </w:p>
        </w:tc>
        <w:tc>
          <w:tcPr>
            <w:tcW w:w="1932" w:type="dxa"/>
            <w:shd w:val="clear" w:color="auto" w:fill="auto"/>
          </w:tcPr>
          <w:p w:rsidR="00781EBE" w:rsidRPr="00EE79E3" w:rsidRDefault="00781EBE" w:rsidP="00955F37">
            <w:pPr>
              <w:jc w:val="center"/>
            </w:pPr>
            <w:r>
              <w:t>Second</w:t>
            </w:r>
            <w:r w:rsidRPr="00EE79E3">
              <w:t xml:space="preserve"> Revised*</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32</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62</w:t>
            </w:r>
          </w:p>
        </w:tc>
        <w:tc>
          <w:tcPr>
            <w:tcW w:w="1938" w:type="dxa"/>
            <w:shd w:val="clear" w:color="auto" w:fill="auto"/>
          </w:tcPr>
          <w:p w:rsidR="00781EBE" w:rsidRPr="00EE79E3" w:rsidRDefault="00781EBE" w:rsidP="00955F37">
            <w:pPr>
              <w:jc w:val="center"/>
            </w:pPr>
            <w:r w:rsidRPr="00EE79E3">
              <w:t>Original</w:t>
            </w: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33</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34</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35</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6</w:t>
            </w:r>
          </w:p>
        </w:tc>
        <w:tc>
          <w:tcPr>
            <w:tcW w:w="1932" w:type="dxa"/>
            <w:shd w:val="clear" w:color="auto" w:fill="auto"/>
          </w:tcPr>
          <w:p w:rsidR="00781EBE" w:rsidRPr="00EE79E3" w:rsidRDefault="00781EBE" w:rsidP="00955F37">
            <w:pPr>
              <w:jc w:val="center"/>
            </w:pPr>
            <w:r>
              <w:t>First Revised*</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36</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7</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37</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8</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38</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9</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39</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10</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40</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11</w:t>
            </w:r>
          </w:p>
        </w:tc>
        <w:tc>
          <w:tcPr>
            <w:tcW w:w="1932" w:type="dxa"/>
            <w:shd w:val="clear" w:color="auto" w:fill="auto"/>
          </w:tcPr>
          <w:p w:rsidR="00781EBE" w:rsidRPr="00EE79E3" w:rsidRDefault="00781EBE" w:rsidP="00955F37">
            <w:pPr>
              <w:jc w:val="center"/>
            </w:pPr>
            <w:r>
              <w:t>First Revised*</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41</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12</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42</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13</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43</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14</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44</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15</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45</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16</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46</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17</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47</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18</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48</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19</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49</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20</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50</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21</w:t>
            </w:r>
          </w:p>
        </w:tc>
        <w:tc>
          <w:tcPr>
            <w:tcW w:w="1932" w:type="dxa"/>
            <w:shd w:val="clear" w:color="auto" w:fill="auto"/>
          </w:tcPr>
          <w:p w:rsidR="00781EBE" w:rsidRPr="00EE79E3" w:rsidRDefault="00781EBE" w:rsidP="00955F37">
            <w:pPr>
              <w:jc w:val="center"/>
            </w:pPr>
            <w:r>
              <w:t>First Revised*</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51</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22</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52</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23</w:t>
            </w:r>
          </w:p>
        </w:tc>
        <w:tc>
          <w:tcPr>
            <w:tcW w:w="1932" w:type="dxa"/>
            <w:shd w:val="clear" w:color="auto" w:fill="auto"/>
          </w:tcPr>
          <w:p w:rsidR="00781EBE" w:rsidRPr="00EE79E3" w:rsidRDefault="00781EBE" w:rsidP="00955F37">
            <w:pPr>
              <w:jc w:val="center"/>
            </w:pPr>
            <w:r>
              <w:t>First Revised*</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53</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Pr>
                <w:rFonts w:ascii="Calibri" w:hAnsi="Calibri" w:cs="Calibri"/>
                <w:color w:val="000000"/>
                <w:szCs w:val="22"/>
              </w:rPr>
              <w:t>23.1</w:t>
            </w:r>
          </w:p>
        </w:tc>
        <w:tc>
          <w:tcPr>
            <w:tcW w:w="1932" w:type="dxa"/>
            <w:shd w:val="clear" w:color="auto" w:fill="auto"/>
          </w:tcPr>
          <w:p w:rsidR="00781EBE" w:rsidRPr="00EE79E3" w:rsidRDefault="00781EBE" w:rsidP="00955F37">
            <w:pPr>
              <w:jc w:val="center"/>
            </w:pPr>
            <w:r>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54</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24</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55</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25</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56</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26</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57</w:t>
            </w:r>
          </w:p>
        </w:tc>
        <w:tc>
          <w:tcPr>
            <w:tcW w:w="1710" w:type="dxa"/>
            <w:shd w:val="clear" w:color="auto" w:fill="auto"/>
          </w:tcPr>
          <w:p w:rsidR="00781EBE" w:rsidRPr="00EE79E3" w:rsidRDefault="00781EBE" w:rsidP="00955F37">
            <w:pPr>
              <w:jc w:val="center"/>
            </w:pPr>
            <w:r w:rsidRPr="00EE79E3">
              <w:t xml:space="preserve">First Revised </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27</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58</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28</w:t>
            </w:r>
          </w:p>
        </w:tc>
        <w:tc>
          <w:tcPr>
            <w:tcW w:w="1932" w:type="dxa"/>
            <w:shd w:val="clear" w:color="auto" w:fill="auto"/>
          </w:tcPr>
          <w:p w:rsidR="00781EBE" w:rsidRPr="00EE79E3" w:rsidRDefault="00781EBE" w:rsidP="00955F37">
            <w:pPr>
              <w:jc w:val="center"/>
            </w:pPr>
            <w:r w:rsidRPr="00EE79E3">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59</w:t>
            </w:r>
          </w:p>
        </w:tc>
        <w:tc>
          <w:tcPr>
            <w:tcW w:w="1710" w:type="dxa"/>
            <w:shd w:val="clear" w:color="auto" w:fill="auto"/>
          </w:tcPr>
          <w:p w:rsidR="00781EBE" w:rsidRPr="00EE79E3" w:rsidRDefault="00781EBE" w:rsidP="00955F37">
            <w:pPr>
              <w:jc w:val="center"/>
            </w:pPr>
            <w:r w:rsidRPr="00EE79E3">
              <w:t>Original</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29</w:t>
            </w:r>
          </w:p>
        </w:tc>
        <w:tc>
          <w:tcPr>
            <w:tcW w:w="1932" w:type="dxa"/>
            <w:shd w:val="clear" w:color="auto" w:fill="auto"/>
          </w:tcPr>
          <w:p w:rsidR="00781EBE" w:rsidRPr="00EE79E3" w:rsidRDefault="00781EBE" w:rsidP="00955F37">
            <w:pPr>
              <w:jc w:val="center"/>
            </w:pPr>
            <w:r>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60</w:t>
            </w:r>
          </w:p>
        </w:tc>
        <w:tc>
          <w:tcPr>
            <w:tcW w:w="1710" w:type="dxa"/>
            <w:shd w:val="clear" w:color="auto" w:fill="auto"/>
          </w:tcPr>
          <w:p w:rsidR="00781EBE" w:rsidRPr="00EE79E3" w:rsidRDefault="00781EBE" w:rsidP="00955F37">
            <w:pPr>
              <w:jc w:val="center"/>
            </w:pPr>
            <w:r>
              <w:t>First Revised*</w:t>
            </w: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r w:rsidR="00781EBE" w:rsidRPr="00EE79E3" w:rsidTr="00955F37">
        <w:tc>
          <w:tcPr>
            <w:tcW w:w="1596" w:type="dxa"/>
            <w:shd w:val="clear" w:color="auto" w:fill="auto"/>
          </w:tcPr>
          <w:p w:rsidR="00781EBE" w:rsidRPr="00EE79E3" w:rsidRDefault="00781EBE" w:rsidP="00955F37">
            <w:pPr>
              <w:jc w:val="center"/>
              <w:rPr>
                <w:rFonts w:ascii="Calibri" w:hAnsi="Calibri" w:cs="Calibri"/>
                <w:color w:val="000000"/>
                <w:szCs w:val="22"/>
              </w:rPr>
            </w:pPr>
            <w:r w:rsidRPr="00EE79E3">
              <w:rPr>
                <w:rFonts w:ascii="Calibri" w:hAnsi="Calibri" w:cs="Calibri"/>
                <w:color w:val="000000"/>
                <w:szCs w:val="22"/>
              </w:rPr>
              <w:t>30</w:t>
            </w:r>
          </w:p>
        </w:tc>
        <w:tc>
          <w:tcPr>
            <w:tcW w:w="1932" w:type="dxa"/>
            <w:shd w:val="clear" w:color="auto" w:fill="auto"/>
          </w:tcPr>
          <w:p w:rsidR="00781EBE" w:rsidRPr="00EE79E3" w:rsidRDefault="00781EBE" w:rsidP="00955F37">
            <w:pPr>
              <w:jc w:val="center"/>
            </w:pPr>
            <w:r>
              <w:t>Original</w:t>
            </w:r>
          </w:p>
        </w:tc>
        <w:tc>
          <w:tcPr>
            <w:tcW w:w="1260" w:type="dxa"/>
            <w:shd w:val="clear" w:color="auto" w:fill="auto"/>
          </w:tcPr>
          <w:p w:rsidR="00781EBE" w:rsidRPr="00EE79E3" w:rsidRDefault="00781EBE" w:rsidP="00955F37">
            <w:pPr>
              <w:jc w:val="center"/>
              <w:rPr>
                <w:rFonts w:ascii="Calibri" w:hAnsi="Calibri" w:cs="Calibri"/>
                <w:color w:val="000000"/>
                <w:szCs w:val="22"/>
              </w:rPr>
            </w:pPr>
          </w:p>
        </w:tc>
        <w:tc>
          <w:tcPr>
            <w:tcW w:w="1710" w:type="dxa"/>
            <w:shd w:val="clear" w:color="auto" w:fill="auto"/>
          </w:tcPr>
          <w:p w:rsidR="00781EBE" w:rsidRPr="00EE79E3" w:rsidRDefault="00781EBE" w:rsidP="00955F37">
            <w:pPr>
              <w:jc w:val="center"/>
            </w:pPr>
          </w:p>
        </w:tc>
        <w:tc>
          <w:tcPr>
            <w:tcW w:w="1482" w:type="dxa"/>
            <w:shd w:val="clear" w:color="auto" w:fill="auto"/>
          </w:tcPr>
          <w:p w:rsidR="00781EBE" w:rsidRPr="00EE79E3" w:rsidRDefault="00781EBE" w:rsidP="00955F37">
            <w:pPr>
              <w:jc w:val="both"/>
            </w:pPr>
          </w:p>
        </w:tc>
        <w:tc>
          <w:tcPr>
            <w:tcW w:w="1938" w:type="dxa"/>
            <w:shd w:val="clear" w:color="auto" w:fill="auto"/>
          </w:tcPr>
          <w:p w:rsidR="00781EBE" w:rsidRPr="00EE79E3" w:rsidRDefault="00781EBE" w:rsidP="00955F37">
            <w:pPr>
              <w:jc w:val="both"/>
            </w:pPr>
          </w:p>
        </w:tc>
      </w:tr>
    </w:tbl>
    <w:p w:rsidR="00781EBE" w:rsidRPr="00EE79E3" w:rsidRDefault="00781EBE" w:rsidP="00781EBE">
      <w:pPr>
        <w:jc w:val="both"/>
      </w:pPr>
      <w:r w:rsidRPr="00EE79E3">
        <w:t>*Denotes Revised Tariff Sheet</w:t>
      </w:r>
    </w:p>
    <w:p w:rsidR="00781EBE" w:rsidRPr="00EE79E3" w:rsidRDefault="00781EBE" w:rsidP="00781EBE">
      <w:pPr>
        <w:jc w:val="both"/>
        <w:sectPr w:rsidR="00781EBE" w:rsidRPr="00EE79E3" w:rsidSect="00371804">
          <w:headerReference w:type="default" r:id="rId11"/>
          <w:footerReference w:type="default" r:id="rId12"/>
          <w:pgSz w:w="12240" w:h="15840"/>
          <w:pgMar w:top="1440" w:right="1440" w:bottom="1440" w:left="1440" w:header="720" w:footer="720" w:gutter="0"/>
          <w:cols w:space="720"/>
          <w:docGrid w:linePitch="360"/>
        </w:sectPr>
      </w:pPr>
    </w:p>
    <w:p w:rsidR="00781EBE" w:rsidRDefault="00781EBE" w:rsidP="00781EBE">
      <w:pPr>
        <w:pStyle w:val="Body1default"/>
        <w:ind w:left="90"/>
      </w:pPr>
      <w:r w:rsidRPr="00346B94">
        <w:rPr>
          <w:b/>
        </w:rPr>
        <w:lastRenderedPageBreak/>
        <w:t>Central Office</w:t>
      </w:r>
      <w:r>
        <w:t xml:space="preserve"> - The premises of the Company or another local exchange carrier containing one or more switches where Customer or End User station loops are terminated for purposes of interconnection to other station loops, trunks or access facilities.</w:t>
      </w:r>
    </w:p>
    <w:p w:rsidR="00781EBE" w:rsidRDefault="00781EBE" w:rsidP="00781EBE">
      <w:pPr>
        <w:pStyle w:val="Body1default"/>
        <w:spacing w:after="220"/>
        <w:ind w:left="90"/>
      </w:pPr>
      <w:r w:rsidRPr="00346B94">
        <w:rPr>
          <w:b/>
        </w:rPr>
        <w:t>Channel</w:t>
      </w:r>
      <w:r>
        <w:t xml:space="preserve"> - A communications path between two or more points.</w:t>
      </w:r>
    </w:p>
    <w:p w:rsidR="00781EBE" w:rsidRDefault="00781EBE" w:rsidP="00781EBE">
      <w:pPr>
        <w:pStyle w:val="Body1default"/>
        <w:spacing w:after="220"/>
        <w:ind w:left="90"/>
      </w:pPr>
      <w:r w:rsidRPr="00346B94">
        <w:rPr>
          <w:b/>
        </w:rPr>
        <w:t>CIC</w:t>
      </w:r>
      <w:r>
        <w:t xml:space="preserve"> - An inter-exchange carrier identification code.</w:t>
      </w:r>
    </w:p>
    <w:p w:rsidR="00781EBE" w:rsidRDefault="00781EBE" w:rsidP="00781EBE">
      <w:pPr>
        <w:pStyle w:val="Body1default"/>
        <w:spacing w:after="220"/>
        <w:ind w:left="90"/>
      </w:pPr>
      <w:r w:rsidRPr="00346B94">
        <w:rPr>
          <w:b/>
        </w:rPr>
        <w:t>Commission</w:t>
      </w:r>
      <w:r>
        <w:t xml:space="preserve"> - Refers to the Public Utilities Commission of Ohio, unless otherwise indicated.</w:t>
      </w:r>
    </w:p>
    <w:p w:rsidR="00781EBE" w:rsidRDefault="00781EBE" w:rsidP="00781EBE">
      <w:pPr>
        <w:pStyle w:val="Body1default"/>
        <w:spacing w:after="220"/>
        <w:ind w:left="90"/>
      </w:pPr>
      <w:r w:rsidRPr="00346B94">
        <w:rPr>
          <w:b/>
        </w:rPr>
        <w:t xml:space="preserve">Company, Carrier </w:t>
      </w:r>
      <w:r w:rsidRPr="00951C89">
        <w:t xml:space="preserve">or </w:t>
      </w:r>
      <w:r w:rsidRPr="00346B94">
        <w:rPr>
          <w:b/>
        </w:rPr>
        <w:t>PNG</w:t>
      </w:r>
      <w:r>
        <w:t xml:space="preserve"> - Used throughout this Tariff to indicate PNG Telecommunications, Inc. d/b/a PowerNet Global Communications.</w:t>
      </w:r>
    </w:p>
    <w:p w:rsidR="00781EBE" w:rsidRDefault="00781EBE" w:rsidP="00781EBE">
      <w:pPr>
        <w:pStyle w:val="Body1default"/>
        <w:spacing w:after="220"/>
        <w:ind w:left="90"/>
      </w:pPr>
      <w:r w:rsidRPr="00346B94">
        <w:rPr>
          <w:b/>
        </w:rPr>
        <w:t>Constructive Order</w:t>
      </w:r>
      <w:r>
        <w:t xml:space="preserve"> - Delivery of calls to or acceptance of calls from the Customer's End Users over Company-switched local exchange services constitutes a Constructive Order by the Customer to purchase switched access services as described herein.  Similarly the selection of the Customer by an End User as the End User's PIC constitutes a Constructive Order for switched access by the Customer, CPE - Customer Premises Equipment.  All Terminal Equipment or other communications equipment and/or systems provided by the Customer for use with the Company's facilities and services.</w:t>
      </w:r>
    </w:p>
    <w:p w:rsidR="00781EBE" w:rsidRDefault="00781EBE" w:rsidP="00781EBE">
      <w:pPr>
        <w:pStyle w:val="Body1default"/>
        <w:spacing w:after="220"/>
        <w:ind w:left="90"/>
      </w:pPr>
      <w:r>
        <w:rPr>
          <w:b/>
          <w:noProof/>
        </w:rPr>
        <mc:AlternateContent>
          <mc:Choice Requires="wps">
            <w:drawing>
              <wp:anchor distT="0" distB="0" distL="114300" distR="114300" simplePos="0" relativeHeight="251659264" behindDoc="0" locked="0" layoutInCell="1" allowOverlap="1">
                <wp:simplePos x="0" y="0"/>
                <wp:positionH relativeFrom="column">
                  <wp:posOffset>6804660</wp:posOffset>
                </wp:positionH>
                <wp:positionV relativeFrom="paragraph">
                  <wp:posOffset>67310</wp:posOffset>
                </wp:positionV>
                <wp:extent cx="434340" cy="281940"/>
                <wp:effectExtent l="381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EBE" w:rsidRDefault="00781EBE" w:rsidP="00781EBE">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35.8pt;margin-top:5.3pt;width:34.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iYfgIAAA4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" stroked="f">
                <v:textbox>
                  <w:txbxContent>
                    <w:p w:rsidR="00781EBE" w:rsidRDefault="00781EBE" w:rsidP="00781EBE">
                      <w:r>
                        <w:t>(T)</w:t>
                      </w:r>
                    </w:p>
                  </w:txbxContent>
                </v:textbox>
              </v:shape>
            </w:pict>
          </mc:Fallback>
        </mc:AlternateContent>
      </w:r>
      <w:r w:rsidRPr="00346B94">
        <w:rPr>
          <w:b/>
        </w:rPr>
        <w:t>Customer</w:t>
      </w:r>
      <w:r>
        <w:t xml:space="preserve"> - The person, firm, corporation,  governmental entity, or other entity which subscribes to or uses, and therefore responsible for the payment of charges and compliance with Company’s regulations.  The services offered under this tariff include, but are not limited to, Interexchange Carriers (IXCs), other carriers, or providers that originate and/or terminate Toll VoIP-PSTN Traffic. </w:t>
      </w:r>
    </w:p>
    <w:p w:rsidR="00781EBE" w:rsidRDefault="00781EBE" w:rsidP="00781EBE">
      <w:pPr>
        <w:pStyle w:val="Body1default"/>
        <w:spacing w:after="220"/>
        <w:ind w:left="90"/>
      </w:pPr>
      <w:r w:rsidRPr="00346B94">
        <w:rPr>
          <w:b/>
        </w:rPr>
        <w:t>Customer Premises</w:t>
      </w:r>
      <w:r>
        <w:t xml:space="preserve"> - The premises specified by the Customer for termination of access services.  Typically an Interexchange Carriers Point of Presence.</w:t>
      </w:r>
    </w:p>
    <w:p w:rsidR="00781EBE" w:rsidRDefault="00781EBE" w:rsidP="00781EBE">
      <w:pPr>
        <w:pStyle w:val="Body1default"/>
        <w:spacing w:after="220"/>
        <w:ind w:left="90"/>
      </w:pPr>
      <w:r w:rsidRPr="00346B94">
        <w:rPr>
          <w:b/>
        </w:rPr>
        <w:t>Dedicated Access</w:t>
      </w:r>
      <w:r>
        <w:t xml:space="preserve"> - Where originating or terminating access between an end user and an interexchange carrier are provided via dedicated facilities, circuits or channels.  A method of reaching the Customer's communication and switching systems whereby the End User is connected directly to the Customer's Point of Presence or designate without utilizing the services of the local switched network.</w:t>
      </w:r>
    </w:p>
    <w:p w:rsidR="00781EBE" w:rsidRDefault="00781EBE" w:rsidP="00781EBE">
      <w:pPr>
        <w:pStyle w:val="Body1default"/>
        <w:spacing w:after="220"/>
        <w:ind w:left="90"/>
      </w:pPr>
      <w:r w:rsidRPr="00346B94">
        <w:rPr>
          <w:b/>
        </w:rPr>
        <w:t>DSO</w:t>
      </w:r>
      <w:r>
        <w:t xml:space="preserve"> - Digital Signal Level 0; a dedicated, full duplex digital channel with line speeds of 2.4, 4.8, 9.6, 19.2, 56 or 64 Kbps.</w:t>
      </w:r>
    </w:p>
    <w:p w:rsidR="00781EBE" w:rsidRDefault="00781EBE" w:rsidP="00781EBE">
      <w:pPr>
        <w:pStyle w:val="Body1default"/>
        <w:spacing w:after="220"/>
        <w:ind w:left="90"/>
        <w:sectPr w:rsidR="00781EBE" w:rsidSect="00EE79E3">
          <w:headerReference w:type="default" r:id="rId13"/>
          <w:footerReference w:type="default" r:id="rId14"/>
          <w:pgSz w:w="12240" w:h="15840" w:code="1"/>
          <w:pgMar w:top="720" w:right="990" w:bottom="720" w:left="720" w:header="720" w:footer="720" w:gutter="0"/>
          <w:cols w:space="720"/>
          <w:docGrid w:linePitch="360"/>
        </w:sectPr>
      </w:pPr>
      <w:r w:rsidRPr="00B466EC">
        <w:rPr>
          <w:b/>
        </w:rPr>
        <w:t>DS1</w:t>
      </w:r>
      <w:r>
        <w:t xml:space="preserve"> - Digital Signal Level 1; a dedicated, high capacity, full duplex channel with a line speed of 1.544 Mbps isochronous serial data having a line signal format of either Alternate Mark Inversion (AMI) or Bipolar with 8 Zero Substitution (B8ZS) and either </w:t>
      </w:r>
      <w:proofErr w:type="spellStart"/>
      <w:r>
        <w:t>Superframe</w:t>
      </w:r>
      <w:proofErr w:type="spellEnd"/>
      <w:r>
        <w:t xml:space="preserve"> (D4) or Extended </w:t>
      </w:r>
      <w:proofErr w:type="spellStart"/>
      <w:r>
        <w:t>Superframe</w:t>
      </w:r>
      <w:proofErr w:type="spellEnd"/>
      <w:r>
        <w:t xml:space="preserve"> (ESF) formats.  DS 1 Service has the equivalent capacity of 24 Voice Grade or DSO services.</w:t>
      </w:r>
    </w:p>
    <w:p w:rsidR="00781EBE" w:rsidRDefault="00781EBE" w:rsidP="00781EBE">
      <w:pPr>
        <w:pStyle w:val="Body1default"/>
        <w:spacing w:after="220"/>
        <w:ind w:left="90"/>
      </w:pPr>
    </w:p>
    <w:p w:rsidR="00781EBE" w:rsidRDefault="00781EBE" w:rsidP="00781EBE">
      <w:pPr>
        <w:pStyle w:val="Body1default"/>
      </w:pPr>
      <w:r w:rsidRPr="00163AB4">
        <w:rPr>
          <w:b/>
        </w:rPr>
        <w:t>Terminating Direction</w:t>
      </w:r>
      <w:r>
        <w:t xml:space="preserve"> - The use of Switched Access Service for the completion of calls from a Customer's Point of Presence to an End User Premises.</w:t>
      </w:r>
    </w:p>
    <w:p w:rsidR="00781EBE" w:rsidRDefault="00781EBE" w:rsidP="00781EBE">
      <w:pPr>
        <w:pStyle w:val="Body1default"/>
      </w:pPr>
      <w:r w:rsidRPr="00163AB4">
        <w:rPr>
          <w:b/>
        </w:rPr>
        <w:t>Trunk</w:t>
      </w:r>
      <w:r>
        <w:t xml:space="preserve"> - A communications path connecting two switching systems in a network, used in the establishment of an end-to-end connection.</w:t>
      </w:r>
    </w:p>
    <w:p w:rsidR="00781EBE" w:rsidRDefault="00781EBE" w:rsidP="00781EBE">
      <w:pPr>
        <w:pStyle w:val="Body1default"/>
      </w:pPr>
      <w:r w:rsidRPr="00163AB4">
        <w:rPr>
          <w:b/>
        </w:rPr>
        <w:t>Trunk Group</w:t>
      </w:r>
      <w:r>
        <w:t xml:space="preserve"> - A set of trunks which are traffic engineered as a unit for the establishment of connections between switching systems in which all of the communications paths are interchangeable.</w:t>
      </w:r>
    </w:p>
    <w:p w:rsidR="00781EBE" w:rsidRDefault="00781EBE" w:rsidP="00781EBE">
      <w:pPr>
        <w:pStyle w:val="Body1default"/>
      </w:pPr>
      <w:r w:rsidRPr="00163AB4">
        <w:rPr>
          <w:b/>
        </w:rPr>
        <w:t>V &amp; H Coordinates</w:t>
      </w:r>
      <w:r>
        <w:t xml:space="preserve"> - Geographic points which define the originating and terminating points of a call in mathematical terms so that the airline mileage of the call may be determined.  Call mileage may be used for the purpose of rating calls.</w:t>
      </w:r>
    </w:p>
    <w:p w:rsidR="00781EBE" w:rsidRDefault="00781EBE" w:rsidP="00781EBE">
      <w:pPr>
        <w:pStyle w:val="Body1default"/>
      </w:pPr>
      <w:r>
        <w:rPr>
          <w:b/>
          <w:noProof/>
        </w:rPr>
        <mc:AlternateContent>
          <mc:Choice Requires="wps">
            <w:drawing>
              <wp:anchor distT="0" distB="0" distL="114300" distR="114300" simplePos="0" relativeHeight="251660288" behindDoc="0" locked="0" layoutInCell="1" allowOverlap="1">
                <wp:simplePos x="0" y="0"/>
                <wp:positionH relativeFrom="column">
                  <wp:posOffset>6720840</wp:posOffset>
                </wp:positionH>
                <wp:positionV relativeFrom="paragraph">
                  <wp:posOffset>39370</wp:posOffset>
                </wp:positionV>
                <wp:extent cx="426720" cy="31242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EBE" w:rsidRDefault="00781EBE" w:rsidP="00781EB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9.2pt;margin-top:3.1pt;width:33.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WvgAIAABU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" stroked="f">
                <v:textbox>
                  <w:txbxContent>
                    <w:p w:rsidR="00781EBE" w:rsidRDefault="00781EBE" w:rsidP="00781EBE">
                      <w:r>
                        <w:t>(N)</w:t>
                      </w:r>
                    </w:p>
                  </w:txbxContent>
                </v:textbox>
              </v:shape>
            </w:pict>
          </mc:Fallback>
        </mc:AlternateContent>
      </w:r>
      <w:r w:rsidRPr="00644B52">
        <w:rPr>
          <w:b/>
        </w:rPr>
        <w:t>VoIP-PSTN Traffic</w:t>
      </w:r>
      <w:r>
        <w:rPr>
          <w:b/>
        </w:rPr>
        <w:t xml:space="preserve"> </w:t>
      </w:r>
      <w:r w:rsidRPr="00644B52">
        <w:t>-</w:t>
      </w:r>
      <w:r>
        <w:t xml:space="preserve"> The term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and/or terminates in IP format when it originates from and/or terminates to an end user customer of a service that requires IP-compatible customer premises equipment. </w:t>
      </w:r>
    </w:p>
    <w:p w:rsidR="00781EBE" w:rsidRDefault="00781EBE" w:rsidP="00781EBE">
      <w:pPr>
        <w:tabs>
          <w:tab w:val="left" w:pos="10368"/>
        </w:tabs>
        <w:autoSpaceDE w:val="0"/>
        <w:autoSpaceDN w:val="0"/>
        <w:adjustRightInd w:val="0"/>
        <w:ind w:right="-108"/>
        <w:jc w:val="center"/>
      </w:pPr>
    </w:p>
    <w:p w:rsidR="00781EBE" w:rsidRDefault="00781EBE" w:rsidP="00781EBE">
      <w:pPr>
        <w:autoSpaceDE w:val="0"/>
        <w:autoSpaceDN w:val="0"/>
        <w:adjustRightInd w:val="0"/>
        <w:ind w:right="-108"/>
        <w:sectPr w:rsidR="00781EBE" w:rsidSect="00644B52">
          <w:headerReference w:type="default" r:id="rId15"/>
          <w:footerReference w:type="default" r:id="rId16"/>
          <w:pgSz w:w="12240" w:h="15840" w:code="1"/>
          <w:pgMar w:top="720" w:right="1530" w:bottom="720" w:left="720" w:header="720" w:footer="720" w:gutter="0"/>
          <w:cols w:space="720"/>
          <w:docGrid w:linePitch="360"/>
        </w:sectPr>
      </w:pPr>
    </w:p>
    <w:p w:rsidR="00781EBE" w:rsidRPr="00EE79E3" w:rsidRDefault="00781EBE" w:rsidP="00781EBE">
      <w:pPr>
        <w:tabs>
          <w:tab w:val="left" w:pos="936"/>
        </w:tabs>
        <w:spacing w:after="240"/>
        <w:jc w:val="both"/>
        <w:rPr>
          <w:b/>
          <w:color w:val="000000"/>
        </w:rPr>
      </w:pPr>
      <w:r w:rsidRPr="00EE79E3">
        <w:rPr>
          <w:b/>
          <w:color w:val="000000"/>
        </w:rPr>
        <w:lastRenderedPageBreak/>
        <w:t>2.9.</w:t>
      </w:r>
      <w:r w:rsidRPr="00EE79E3">
        <w:rPr>
          <w:b/>
          <w:color w:val="000000"/>
        </w:rPr>
        <w:tab/>
        <w:t xml:space="preserve">OBLIGATIONS OF THE CUSTOMER, </w:t>
      </w:r>
      <w:r w:rsidRPr="00EE79E3">
        <w:rPr>
          <w:color w:val="000000"/>
        </w:rPr>
        <w:t>Continued</w:t>
      </w:r>
    </w:p>
    <w:p w:rsidR="00781EBE" w:rsidRPr="00EE79E3" w:rsidRDefault="00781EBE" w:rsidP="00781EBE">
      <w:pPr>
        <w:numPr>
          <w:ilvl w:val="2"/>
          <w:numId w:val="0"/>
        </w:numPr>
        <w:tabs>
          <w:tab w:val="num" w:pos="936"/>
        </w:tabs>
        <w:spacing w:after="240"/>
        <w:ind w:left="936" w:hanging="936"/>
        <w:jc w:val="both"/>
        <w:outlineLvl w:val="2"/>
        <w:rPr>
          <w:bCs/>
          <w:color w:val="000000"/>
        </w:rPr>
      </w:pPr>
      <w:r w:rsidRPr="00551FBF">
        <w:rPr>
          <w:b/>
          <w:bCs/>
          <w:color w:val="000000"/>
        </w:rPr>
        <w:t>2.9.2</w:t>
      </w:r>
      <w:r>
        <w:rPr>
          <w:bCs/>
          <w:color w:val="000000"/>
        </w:rPr>
        <w:tab/>
      </w:r>
      <w:r w:rsidRPr="00EE79E3">
        <w:rPr>
          <w:bCs/>
          <w:color w:val="000000"/>
        </w:rPr>
        <w:t>With regard to access services provided by the Company, specific Customer responsibilities include, but are not limited to the following:</w:t>
      </w:r>
    </w:p>
    <w:p w:rsidR="00781EBE" w:rsidRPr="00EE79E3" w:rsidRDefault="00781EBE" w:rsidP="00781EBE">
      <w:pPr>
        <w:numPr>
          <w:ilvl w:val="3"/>
          <w:numId w:val="0"/>
        </w:numPr>
        <w:tabs>
          <w:tab w:val="num" w:pos="1656"/>
        </w:tabs>
        <w:spacing w:after="240"/>
        <w:ind w:left="1656" w:hanging="720"/>
        <w:jc w:val="both"/>
        <w:outlineLvl w:val="3"/>
        <w:rPr>
          <w:bCs/>
          <w:iCs/>
          <w:color w:val="000000"/>
        </w:rPr>
      </w:pPr>
      <w:r>
        <w:rPr>
          <w:bCs/>
          <w:iCs/>
          <w:color w:val="000000"/>
        </w:rPr>
        <w:t>A.</w:t>
      </w:r>
      <w:r>
        <w:rPr>
          <w:bCs/>
          <w:iCs/>
          <w:color w:val="000000"/>
        </w:rPr>
        <w:tab/>
      </w:r>
      <w:r w:rsidRPr="00EE79E3">
        <w:rPr>
          <w:bCs/>
          <w:iCs/>
          <w:color w:val="000000"/>
        </w:rPr>
        <w:t>Design of Customer Services</w:t>
      </w:r>
    </w:p>
    <w:p w:rsidR="00781EBE" w:rsidRPr="00EE79E3" w:rsidRDefault="00781EBE" w:rsidP="00781EBE">
      <w:pPr>
        <w:tabs>
          <w:tab w:val="left" w:pos="1620"/>
        </w:tabs>
        <w:spacing w:after="240"/>
        <w:ind w:left="1656"/>
        <w:jc w:val="both"/>
        <w:rPr>
          <w:color w:val="000000"/>
        </w:rPr>
      </w:pPr>
      <w:r w:rsidRPr="00EE79E3">
        <w:rPr>
          <w:color w:val="000000"/>
        </w:rPr>
        <w:t>The Customer shall be responsible for its own expense for the overall design of its services and for any redesigning or rearrangements of its services which may be required because of changes in facilities, operations or procedures of the Company, minimum protection criteria, or operating or maintenance characteristics of the facilities.</w:t>
      </w:r>
    </w:p>
    <w:p w:rsidR="00781EBE" w:rsidRPr="00EE79E3" w:rsidRDefault="00781EBE" w:rsidP="00781EBE">
      <w:pPr>
        <w:numPr>
          <w:ilvl w:val="3"/>
          <w:numId w:val="0"/>
        </w:numPr>
        <w:tabs>
          <w:tab w:val="num" w:pos="1656"/>
        </w:tabs>
        <w:spacing w:after="240"/>
        <w:ind w:left="1656" w:hanging="720"/>
        <w:jc w:val="both"/>
        <w:outlineLvl w:val="3"/>
        <w:rPr>
          <w:bCs/>
          <w:iCs/>
          <w:color w:val="000000"/>
        </w:rPr>
      </w:pPr>
      <w:r>
        <w:rPr>
          <w:bCs/>
          <w:iCs/>
          <w:color w:val="000000"/>
        </w:rPr>
        <w:t>B.</w:t>
      </w:r>
      <w:r>
        <w:rPr>
          <w:bCs/>
          <w:iCs/>
          <w:color w:val="000000"/>
        </w:rPr>
        <w:tab/>
      </w:r>
      <w:r w:rsidRPr="00EE79E3">
        <w:rPr>
          <w:bCs/>
          <w:iCs/>
          <w:color w:val="000000"/>
        </w:rPr>
        <w:t>Network Contingency Coordination</w:t>
      </w:r>
    </w:p>
    <w:p w:rsidR="00781EBE" w:rsidRPr="00EE79E3" w:rsidRDefault="00781EBE" w:rsidP="00781EBE">
      <w:pPr>
        <w:tabs>
          <w:tab w:val="left" w:pos="1620"/>
        </w:tabs>
        <w:spacing w:after="240"/>
        <w:ind w:left="1656"/>
        <w:jc w:val="both"/>
        <w:rPr>
          <w:color w:val="000000"/>
        </w:rPr>
      </w:pPr>
      <w:r w:rsidRPr="00EE79E3">
        <w:rPr>
          <w:color w:val="000000"/>
        </w:rPr>
        <w:t>The Customer shall, in cooperation with the Company, coordinate in planning the actions to be taken to maintain maximum network capability following natural or man-made disasters which affect telecommunications service.</w:t>
      </w:r>
    </w:p>
    <w:p w:rsidR="00781EBE" w:rsidRPr="00EE79E3" w:rsidRDefault="00781EBE" w:rsidP="00781EBE">
      <w:pPr>
        <w:numPr>
          <w:ilvl w:val="3"/>
          <w:numId w:val="0"/>
        </w:numPr>
        <w:tabs>
          <w:tab w:val="num" w:pos="1656"/>
        </w:tabs>
        <w:spacing w:after="240"/>
        <w:ind w:left="1656" w:hanging="720"/>
        <w:jc w:val="both"/>
        <w:outlineLvl w:val="3"/>
        <w:rPr>
          <w:bCs/>
          <w:iCs/>
          <w:color w:val="000000"/>
        </w:rPr>
      </w:pPr>
      <w:r>
        <w:rPr>
          <w:bCs/>
          <w:iCs/>
          <w:color w:val="000000"/>
        </w:rPr>
        <w:t>C.</w:t>
      </w:r>
      <w:r>
        <w:rPr>
          <w:bCs/>
          <w:iCs/>
          <w:color w:val="000000"/>
        </w:rPr>
        <w:tab/>
      </w:r>
      <w:r w:rsidRPr="00EE79E3">
        <w:rPr>
          <w:bCs/>
          <w:iCs/>
          <w:color w:val="000000"/>
        </w:rPr>
        <w:t>Jurisdictional Reports</w:t>
      </w:r>
    </w:p>
    <w:p w:rsidR="00781EBE" w:rsidRPr="00EE79E3" w:rsidRDefault="00781EBE" w:rsidP="00781EBE">
      <w:pPr>
        <w:tabs>
          <w:tab w:val="left" w:pos="1620"/>
        </w:tabs>
        <w:spacing w:after="240"/>
        <w:ind w:left="1656"/>
        <w:jc w:val="both"/>
        <w:rPr>
          <w:color w:val="000000"/>
        </w:rPr>
      </w:pPr>
      <w:r w:rsidRPr="00EE79E3">
        <w:rPr>
          <w:color w:val="000000"/>
        </w:rPr>
        <w:t>The jurisdictional reporting requirements will be as specified below.  When a Customer orders Access Service, its projected Percent Interstate Usage (PIU) must be provided in whole numbers to the Company.  These whole number percentages will be used by the Company to apportion the use and/or charges between interstate and intrastate until a revised report is received as set forth herein.  Reported or default PIU factors are used only where the call detail is insufficient to determine the appropriate jurisdiction of the traffic.</w:t>
      </w:r>
    </w:p>
    <w:p w:rsidR="00781EBE" w:rsidRPr="00EE79E3" w:rsidRDefault="00781EBE" w:rsidP="00781EBE">
      <w:pPr>
        <w:numPr>
          <w:ilvl w:val="4"/>
          <w:numId w:val="0"/>
        </w:numPr>
        <w:tabs>
          <w:tab w:val="num" w:pos="2376"/>
        </w:tabs>
        <w:spacing w:after="240"/>
        <w:ind w:left="2347" w:hanging="720"/>
        <w:jc w:val="both"/>
        <w:outlineLvl w:val="4"/>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6667500</wp:posOffset>
                </wp:positionH>
                <wp:positionV relativeFrom="paragraph">
                  <wp:posOffset>446405</wp:posOffset>
                </wp:positionV>
                <wp:extent cx="495300" cy="3048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EBE" w:rsidRDefault="00781EBE" w:rsidP="00781EBE">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25pt;margin-top:35.15pt;width:3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" stroked="f">
                <v:textbox>
                  <w:txbxContent>
                    <w:p w:rsidR="00781EBE" w:rsidRDefault="00781EBE" w:rsidP="00781EBE">
                      <w:r>
                        <w:t>(T)</w:t>
                      </w:r>
                    </w:p>
                  </w:txbxContent>
                </v:textbox>
              </v:shape>
            </w:pict>
          </mc:Fallback>
        </mc:AlternateContent>
      </w:r>
      <w:r>
        <w:rPr>
          <w:color w:val="000000"/>
        </w:rPr>
        <w:t>1.</w:t>
      </w:r>
      <w:r>
        <w:rPr>
          <w:color w:val="000000"/>
        </w:rPr>
        <w:tab/>
      </w:r>
      <w:r w:rsidRPr="00EE79E3">
        <w:rPr>
          <w:color w:val="000000"/>
        </w:rPr>
        <w:t>Originating Access:  Originating access minutes consist of traffic originating from the Company Local Switching Center(s).  The Customer must provide the Company with a projected PIU factor on an annual basis.  If no PIU for originating minutes is submitted as spec</w:t>
      </w:r>
      <w:r>
        <w:rPr>
          <w:color w:val="000000"/>
        </w:rPr>
        <w:t>ified herein, a default PIU of 10</w:t>
      </w:r>
      <w:r w:rsidRPr="00EE79E3">
        <w:rPr>
          <w:color w:val="000000"/>
        </w:rPr>
        <w:t>0% will be applied by the Company.</w:t>
      </w:r>
    </w:p>
    <w:p w:rsidR="00781EBE" w:rsidRDefault="00781EBE" w:rsidP="00781EBE">
      <w:pPr>
        <w:numPr>
          <w:ilvl w:val="4"/>
          <w:numId w:val="0"/>
        </w:numPr>
        <w:tabs>
          <w:tab w:val="num" w:pos="2376"/>
        </w:tabs>
        <w:spacing w:after="240"/>
        <w:ind w:left="2347" w:hanging="720"/>
        <w:jc w:val="both"/>
        <w:outlineLvl w:val="4"/>
      </w:pPr>
      <w:r>
        <w:rPr>
          <w:noProof/>
        </w:rPr>
        <mc:AlternateContent>
          <mc:Choice Requires="wps">
            <w:drawing>
              <wp:anchor distT="0" distB="0" distL="114300" distR="114300" simplePos="0" relativeHeight="251661312" behindDoc="0" locked="0" layoutInCell="1" allowOverlap="1">
                <wp:simplePos x="0" y="0"/>
                <wp:positionH relativeFrom="column">
                  <wp:posOffset>6667500</wp:posOffset>
                </wp:positionH>
                <wp:positionV relativeFrom="paragraph">
                  <wp:posOffset>484505</wp:posOffset>
                </wp:positionV>
                <wp:extent cx="411480" cy="289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EBE" w:rsidRDefault="00781EBE" w:rsidP="00781EBE">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25pt;margin-top:38.15pt;width:32.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B7hQIAABU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" stroked="f">
                <v:textbox>
                  <w:txbxContent>
                    <w:p w:rsidR="00781EBE" w:rsidRDefault="00781EBE" w:rsidP="00781EBE">
                      <w:r>
                        <w:t>(T)</w:t>
                      </w:r>
                    </w:p>
                  </w:txbxContent>
                </v:textbox>
              </v:shape>
            </w:pict>
          </mc:Fallback>
        </mc:AlternateContent>
      </w:r>
      <w:r>
        <w:t>2.</w:t>
      </w:r>
      <w:r>
        <w:tab/>
      </w:r>
      <w:r w:rsidRPr="00EE79E3">
        <w:t>Terminating Access:  Terminating access minutes consist of traffic terminating to the Company Local Switching Center(s).  The Customer must provide the Company with a projected PIU factor on an annual basis.  If no PIU for terminating minutes is submitted as spec</w:t>
      </w:r>
      <w:r>
        <w:t>ified herein, a default PIU of 10</w:t>
      </w:r>
      <w:r w:rsidRPr="00EE79E3">
        <w:t>0% will be applied by the Company.</w:t>
      </w:r>
    </w:p>
    <w:p w:rsidR="00781EBE" w:rsidRDefault="00781EBE" w:rsidP="00781EBE">
      <w:pPr>
        <w:numPr>
          <w:ilvl w:val="4"/>
          <w:numId w:val="0"/>
        </w:numPr>
        <w:tabs>
          <w:tab w:val="num" w:pos="2376"/>
        </w:tabs>
        <w:spacing w:after="240"/>
        <w:ind w:left="2347" w:hanging="720"/>
        <w:jc w:val="both"/>
        <w:outlineLvl w:val="4"/>
        <w:sectPr w:rsidR="00781EBE" w:rsidSect="00371804">
          <w:headerReference w:type="default" r:id="rId17"/>
          <w:footerReference w:type="default" r:id="rId18"/>
          <w:pgSz w:w="12240" w:h="15840" w:code="1"/>
          <w:pgMar w:top="720" w:right="1440" w:bottom="720" w:left="720" w:header="720" w:footer="720" w:gutter="0"/>
          <w:cols w:space="720"/>
          <w:docGrid w:linePitch="360"/>
        </w:sectPr>
      </w:pPr>
    </w:p>
    <w:p w:rsidR="00781EBE" w:rsidRPr="00551FBF" w:rsidRDefault="00781EBE" w:rsidP="00781EBE">
      <w:pPr>
        <w:tabs>
          <w:tab w:val="left" w:pos="936"/>
        </w:tabs>
        <w:spacing w:after="240"/>
        <w:jc w:val="both"/>
        <w:rPr>
          <w:b/>
          <w:color w:val="000000"/>
        </w:rPr>
      </w:pPr>
      <w:r w:rsidRPr="00551FBF">
        <w:rPr>
          <w:b/>
          <w:color w:val="000000"/>
        </w:rPr>
        <w:lastRenderedPageBreak/>
        <w:t>2.9.</w:t>
      </w:r>
      <w:r w:rsidRPr="00551FBF">
        <w:rPr>
          <w:b/>
          <w:color w:val="000000"/>
        </w:rPr>
        <w:tab/>
        <w:t>OBLIGATIONS OF THE CUSTOMER</w:t>
      </w:r>
      <w:r w:rsidRPr="00551FBF">
        <w:rPr>
          <w:color w:val="000000"/>
        </w:rPr>
        <w:t>, Continued</w:t>
      </w:r>
    </w:p>
    <w:p w:rsidR="00781EBE" w:rsidRPr="00551FBF" w:rsidRDefault="00781EBE" w:rsidP="00781EBE">
      <w:pPr>
        <w:tabs>
          <w:tab w:val="left" w:pos="936"/>
        </w:tabs>
        <w:spacing w:after="240"/>
        <w:jc w:val="both"/>
        <w:rPr>
          <w:b/>
          <w:color w:val="000000"/>
        </w:rPr>
      </w:pPr>
      <w:r w:rsidRPr="00551FBF">
        <w:rPr>
          <w:b/>
          <w:color w:val="000000"/>
        </w:rPr>
        <w:t>2.9.2.</w:t>
      </w:r>
      <w:r w:rsidRPr="00551FBF">
        <w:rPr>
          <w:b/>
          <w:color w:val="000000"/>
        </w:rPr>
        <w:tab/>
      </w:r>
      <w:r w:rsidRPr="00551FBF">
        <w:rPr>
          <w:color w:val="000000"/>
        </w:rPr>
        <w:t>Continued</w:t>
      </w:r>
    </w:p>
    <w:p w:rsidR="00781EBE" w:rsidRPr="00551FBF" w:rsidRDefault="00781EBE" w:rsidP="00781EBE">
      <w:pPr>
        <w:tabs>
          <w:tab w:val="left" w:pos="1620"/>
        </w:tabs>
        <w:spacing w:after="240"/>
        <w:ind w:left="945"/>
        <w:jc w:val="both"/>
        <w:rPr>
          <w:color w:val="000000"/>
        </w:rPr>
      </w:pPr>
      <w:r w:rsidRPr="00551FBF">
        <w:rPr>
          <w:color w:val="000000"/>
        </w:rPr>
        <w:t>D.</w:t>
      </w:r>
      <w:r w:rsidRPr="00551FBF">
        <w:rPr>
          <w:color w:val="000000"/>
        </w:rPr>
        <w:tab/>
        <w:t>Jurisdictional Audits, Continued</w:t>
      </w:r>
    </w:p>
    <w:p w:rsidR="00781EBE" w:rsidRPr="00551FBF" w:rsidRDefault="00781EBE" w:rsidP="00781EBE">
      <w:pPr>
        <w:numPr>
          <w:ilvl w:val="4"/>
          <w:numId w:val="0"/>
        </w:numPr>
        <w:tabs>
          <w:tab w:val="num" w:pos="2376"/>
        </w:tabs>
        <w:spacing w:after="240"/>
        <w:ind w:left="2347" w:hanging="720"/>
        <w:jc w:val="both"/>
        <w:outlineLvl w:val="4"/>
        <w:rPr>
          <w:color w:val="000000"/>
        </w:rPr>
      </w:pPr>
      <w:r>
        <w:rPr>
          <w:color w:val="000000"/>
        </w:rPr>
        <w:t>4.</w:t>
      </w:r>
      <w:r>
        <w:rPr>
          <w:color w:val="000000"/>
        </w:rPr>
        <w:tab/>
      </w:r>
      <w:r w:rsidRPr="00551FBF">
        <w:rPr>
          <w:color w:val="000000"/>
        </w:rPr>
        <w:t>Should an audit reveal that the misreported percentage(s) of use has resulted in an underpayment of access charges to the Company of five percent or more of the total Switched Access Services bill, the customer shall reimburse the Company for the cost of the audit.  Proof of cost shall be the bills, in reasonable detail submitted to the Company by the auditor.</w:t>
      </w:r>
    </w:p>
    <w:p w:rsidR="00781EBE" w:rsidRDefault="00781EBE" w:rsidP="00781EBE">
      <w:pPr>
        <w:numPr>
          <w:ilvl w:val="4"/>
          <w:numId w:val="0"/>
        </w:numPr>
        <w:tabs>
          <w:tab w:val="num" w:pos="2376"/>
        </w:tabs>
        <w:spacing w:after="240"/>
        <w:ind w:left="2347" w:hanging="720"/>
        <w:jc w:val="both"/>
        <w:outlineLvl w:val="4"/>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6332220</wp:posOffset>
                </wp:positionH>
                <wp:positionV relativeFrom="paragraph">
                  <wp:posOffset>278130</wp:posOffset>
                </wp:positionV>
                <wp:extent cx="449580" cy="31242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EBE" w:rsidRDefault="00781EBE" w:rsidP="00781EB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98.6pt;margin-top:21.9pt;width:35.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" stroked="f">
                <v:textbox>
                  <w:txbxContent>
                    <w:p w:rsidR="00781EBE" w:rsidRDefault="00781EBE" w:rsidP="00781EBE">
                      <w:r>
                        <w:t>(N)</w:t>
                      </w:r>
                    </w:p>
                  </w:txbxContent>
                </v:textbox>
              </v:shape>
            </w:pict>
          </mc:Fallback>
        </mc:AlternateContent>
      </w:r>
      <w:r>
        <w:rPr>
          <w:color w:val="000000"/>
        </w:rPr>
        <w:t>5.</w:t>
      </w:r>
      <w:r>
        <w:rPr>
          <w:color w:val="000000"/>
        </w:rPr>
        <w:tab/>
      </w:r>
      <w:r w:rsidRPr="00551FBF">
        <w:rPr>
          <w:color w:val="000000"/>
        </w:rPr>
        <w:t>audit results to the person designated by the customer to receive such results.</w:t>
      </w:r>
    </w:p>
    <w:p w:rsidR="00781EBE" w:rsidRDefault="00781EBE" w:rsidP="00781EBE">
      <w:pPr>
        <w:numPr>
          <w:ilvl w:val="4"/>
          <w:numId w:val="0"/>
        </w:numPr>
        <w:spacing w:after="240"/>
        <w:ind w:left="1620" w:hanging="630"/>
        <w:jc w:val="both"/>
        <w:outlineLvl w:val="4"/>
        <w:rPr>
          <w:color w:val="000000"/>
        </w:rPr>
      </w:pPr>
      <w:r>
        <w:rPr>
          <w:color w:val="000000"/>
        </w:rPr>
        <w:t>E.</w:t>
      </w:r>
      <w:r>
        <w:rPr>
          <w:color w:val="000000"/>
        </w:rPr>
        <w:tab/>
        <w:t>Identification and Rating of Toll VoIP-PSTN Traffic</w:t>
      </w:r>
    </w:p>
    <w:p w:rsidR="00781EBE" w:rsidRDefault="00781EBE" w:rsidP="00781EBE">
      <w:pPr>
        <w:numPr>
          <w:ilvl w:val="4"/>
          <w:numId w:val="0"/>
        </w:numPr>
        <w:spacing w:after="240"/>
        <w:ind w:left="2160" w:hanging="540"/>
        <w:jc w:val="both"/>
        <w:outlineLvl w:val="4"/>
        <w:rPr>
          <w:color w:val="000000"/>
        </w:rPr>
      </w:pPr>
      <w:r>
        <w:rPr>
          <w:color w:val="000000"/>
        </w:rPr>
        <w:t>1.</w:t>
      </w:r>
      <w:r>
        <w:rPr>
          <w:color w:val="000000"/>
        </w:rPr>
        <w:tab/>
        <w:t xml:space="preserve">VoIP-PSTN Traffic originates and/or terminates in IP format if it originates from and/or terminates to an end-user customer of a service that requires Internet protocol-compatible customer premises equipment.  The transitional </w:t>
      </w:r>
      <w:proofErr w:type="spellStart"/>
      <w:r>
        <w:rPr>
          <w:color w:val="000000"/>
        </w:rPr>
        <w:t>Intercarrier</w:t>
      </w:r>
      <w:proofErr w:type="spellEnd"/>
      <w:r>
        <w:rPr>
          <w:color w:val="000000"/>
        </w:rPr>
        <w:t xml:space="preserve"> Compensation framework for VoIP-PSTN Traffic adopted by the Federal Communications Commission in its Report and Order and Notice of Proposed Rulemaking, WC Docket Nos. 10-90 et al., FCC No. 11-161 (Released Nov. 18, 2011) (“FCC Order”) directed that this intrastate VoIP-PSTN Traffic be billed employing interstate rates.</w:t>
      </w:r>
    </w:p>
    <w:p w:rsidR="00781EBE" w:rsidRPr="00551FBF" w:rsidRDefault="00781EBE" w:rsidP="00781EBE">
      <w:pPr>
        <w:numPr>
          <w:ilvl w:val="4"/>
          <w:numId w:val="0"/>
        </w:numPr>
        <w:spacing w:after="240"/>
        <w:ind w:left="2160" w:hanging="540"/>
        <w:jc w:val="both"/>
        <w:outlineLvl w:val="4"/>
        <w:rPr>
          <w:color w:val="000000"/>
        </w:rPr>
      </w:pPr>
      <w:r>
        <w:rPr>
          <w:b/>
          <w:bCs/>
          <w:noProof/>
          <w:color w:val="000000"/>
          <w:szCs w:val="26"/>
        </w:rPr>
        <mc:AlternateContent>
          <mc:Choice Requires="wps">
            <w:drawing>
              <wp:anchor distT="0" distB="0" distL="114300" distR="114300" simplePos="0" relativeHeight="251665408" behindDoc="0" locked="0" layoutInCell="1" allowOverlap="1">
                <wp:simplePos x="0" y="0"/>
                <wp:positionH relativeFrom="column">
                  <wp:posOffset>6408420</wp:posOffset>
                </wp:positionH>
                <wp:positionV relativeFrom="paragraph">
                  <wp:posOffset>995045</wp:posOffset>
                </wp:positionV>
                <wp:extent cx="449580" cy="312420"/>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EBE" w:rsidRDefault="00781EBE" w:rsidP="00781EB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504.6pt;margin-top:78.35pt;width:35.4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" stroked="f">
                <v:textbox>
                  <w:txbxContent>
                    <w:p w:rsidR="00781EBE" w:rsidRDefault="00781EBE" w:rsidP="00781EBE">
                      <w:r>
                        <w:t>(N)</w:t>
                      </w:r>
                    </w:p>
                  </w:txbxContent>
                </v:textbox>
              </v:shape>
            </w:pict>
          </mc:Fallback>
        </mc:AlternateContent>
      </w:r>
      <w:r>
        <w:rPr>
          <w:color w:val="000000"/>
        </w:rPr>
        <w:t>2.</w:t>
      </w:r>
      <w:r>
        <w:rPr>
          <w:color w:val="000000"/>
        </w:rPr>
        <w:tab/>
        <w:t>The aggregate Switched Access rates in this tariff are the same as the aggregate Interstate rates for Switched Access.  Therefore, no percentage or VoIP factor is necessary to identify and rate Toll Intrastate VoIP traffic, nor are modifications to the rates and/or billing necessary as a result of the Toll VoIP-PSTN provisions of the FCC Order.</w:t>
      </w:r>
    </w:p>
    <w:p w:rsidR="00781EBE" w:rsidRDefault="00781EBE" w:rsidP="00781EBE">
      <w:pPr>
        <w:keepNext/>
        <w:numPr>
          <w:ilvl w:val="1"/>
          <w:numId w:val="0"/>
        </w:numPr>
        <w:tabs>
          <w:tab w:val="num" w:pos="936"/>
        </w:tabs>
        <w:spacing w:after="240"/>
        <w:ind w:left="936" w:hanging="936"/>
        <w:outlineLvl w:val="1"/>
        <w:rPr>
          <w:bCs/>
          <w:color w:val="000000"/>
          <w:szCs w:val="26"/>
        </w:rPr>
      </w:pPr>
      <w:r>
        <w:rPr>
          <w:b/>
          <w:bCs/>
          <w:color w:val="000000"/>
          <w:szCs w:val="26"/>
        </w:rPr>
        <w:tab/>
      </w:r>
      <w:r>
        <w:rPr>
          <w:bCs/>
          <w:color w:val="000000"/>
          <w:szCs w:val="26"/>
        </w:rPr>
        <w:t>F.</w:t>
      </w:r>
      <w:r>
        <w:rPr>
          <w:bCs/>
          <w:color w:val="000000"/>
          <w:szCs w:val="26"/>
        </w:rPr>
        <w:tab/>
      </w:r>
      <w:r>
        <w:rPr>
          <w:bCs/>
          <w:color w:val="000000"/>
          <w:szCs w:val="26"/>
        </w:rPr>
        <w:tab/>
        <w:t>All of the Company’s traffic in Ohio is VoIP.</w:t>
      </w:r>
    </w:p>
    <w:p w:rsidR="00781EBE" w:rsidRPr="004811B0" w:rsidRDefault="00781EBE" w:rsidP="00781EBE">
      <w:pPr>
        <w:spacing w:after="240"/>
        <w:jc w:val="both"/>
        <w:rPr>
          <w:color w:val="000000"/>
        </w:rPr>
      </w:pPr>
    </w:p>
    <w:p w:rsidR="00781EBE" w:rsidRPr="00551FBF" w:rsidRDefault="00781EBE" w:rsidP="00781EBE">
      <w:pPr>
        <w:numPr>
          <w:ilvl w:val="4"/>
          <w:numId w:val="0"/>
        </w:numPr>
        <w:spacing w:after="240"/>
        <w:ind w:left="2160" w:hanging="540"/>
        <w:jc w:val="both"/>
        <w:outlineLvl w:val="4"/>
        <w:rPr>
          <w:color w:val="000000"/>
        </w:rPr>
      </w:pPr>
    </w:p>
    <w:p w:rsidR="00781EBE" w:rsidRDefault="00781EBE" w:rsidP="00781EBE">
      <w:pPr>
        <w:keepNext/>
        <w:numPr>
          <w:ilvl w:val="1"/>
          <w:numId w:val="0"/>
        </w:numPr>
        <w:tabs>
          <w:tab w:val="num" w:pos="936"/>
        </w:tabs>
        <w:spacing w:after="240"/>
        <w:ind w:left="936" w:hanging="936"/>
        <w:outlineLvl w:val="1"/>
        <w:rPr>
          <w:b/>
          <w:bCs/>
          <w:color w:val="000000"/>
          <w:szCs w:val="26"/>
        </w:rPr>
        <w:sectPr w:rsidR="00781EBE" w:rsidSect="00453AA8">
          <w:headerReference w:type="default" r:id="rId19"/>
          <w:footerReference w:type="default" r:id="rId20"/>
          <w:pgSz w:w="12240" w:h="15840" w:code="1"/>
          <w:pgMar w:top="720" w:right="1526" w:bottom="720" w:left="720" w:header="720" w:footer="720" w:gutter="0"/>
          <w:cols w:space="720"/>
          <w:docGrid w:linePitch="360"/>
        </w:sectPr>
      </w:pPr>
    </w:p>
    <w:p w:rsidR="00781EBE" w:rsidRPr="00551FBF" w:rsidRDefault="00781EBE" w:rsidP="00781EBE">
      <w:pPr>
        <w:keepNext/>
        <w:numPr>
          <w:ilvl w:val="1"/>
          <w:numId w:val="0"/>
        </w:numPr>
        <w:tabs>
          <w:tab w:val="num" w:pos="936"/>
        </w:tabs>
        <w:spacing w:after="240"/>
        <w:ind w:left="936" w:hanging="936"/>
        <w:outlineLvl w:val="1"/>
        <w:rPr>
          <w:b/>
          <w:bCs/>
          <w:color w:val="000000"/>
          <w:szCs w:val="26"/>
        </w:rPr>
      </w:pPr>
      <w:r>
        <w:rPr>
          <w:b/>
          <w:bCs/>
          <w:color w:val="000000"/>
          <w:szCs w:val="26"/>
        </w:rPr>
        <w:lastRenderedPageBreak/>
        <w:t>2.10.</w:t>
      </w:r>
      <w:r>
        <w:rPr>
          <w:b/>
          <w:bCs/>
          <w:color w:val="000000"/>
          <w:szCs w:val="26"/>
        </w:rPr>
        <w:tab/>
      </w:r>
      <w:r w:rsidRPr="00551FBF">
        <w:rPr>
          <w:b/>
          <w:bCs/>
          <w:color w:val="000000"/>
          <w:szCs w:val="26"/>
        </w:rPr>
        <w:t>BILLING AND PAYMENT FOR SERVICE</w:t>
      </w:r>
    </w:p>
    <w:p w:rsidR="00781EBE" w:rsidRPr="00551FBF" w:rsidRDefault="00781EBE" w:rsidP="00781EBE">
      <w:pPr>
        <w:numPr>
          <w:ilvl w:val="2"/>
          <w:numId w:val="0"/>
        </w:numPr>
        <w:tabs>
          <w:tab w:val="num" w:pos="936"/>
        </w:tabs>
        <w:spacing w:after="240"/>
        <w:ind w:left="936" w:hanging="936"/>
        <w:jc w:val="both"/>
        <w:outlineLvl w:val="2"/>
        <w:rPr>
          <w:b/>
          <w:bCs/>
          <w:color w:val="000000"/>
        </w:rPr>
      </w:pPr>
      <w:r>
        <w:rPr>
          <w:b/>
          <w:bCs/>
          <w:color w:val="000000"/>
        </w:rPr>
        <w:t>2.10.1.</w:t>
      </w:r>
      <w:r>
        <w:rPr>
          <w:b/>
          <w:bCs/>
          <w:color w:val="000000"/>
        </w:rPr>
        <w:tab/>
      </w:r>
      <w:r w:rsidRPr="00551FBF">
        <w:rPr>
          <w:b/>
          <w:bCs/>
          <w:color w:val="000000"/>
        </w:rPr>
        <w:t>Responsibility for Charges</w:t>
      </w:r>
    </w:p>
    <w:p w:rsidR="00781EBE" w:rsidRPr="00551FBF" w:rsidRDefault="00781EBE" w:rsidP="00781EBE">
      <w:pPr>
        <w:tabs>
          <w:tab w:val="left" w:pos="1620"/>
        </w:tabs>
        <w:spacing w:after="240"/>
        <w:ind w:left="945"/>
        <w:jc w:val="both"/>
        <w:rPr>
          <w:color w:val="000000"/>
        </w:rPr>
      </w:pPr>
      <w:r w:rsidRPr="00551FBF">
        <w:rPr>
          <w:color w:val="000000"/>
        </w:rPr>
        <w:t>The Customer is responsible for payment of all charges for services and equipment furnished to the Customer for transmission of calls via the Company.  In particular and without limitation to the foregoing, the Customer is responsible for any and all cost(s) incurred as the result of.</w:t>
      </w:r>
    </w:p>
    <w:p w:rsidR="00781EBE" w:rsidRPr="00551FBF" w:rsidRDefault="00781EBE" w:rsidP="00781EBE">
      <w:pPr>
        <w:numPr>
          <w:ilvl w:val="3"/>
          <w:numId w:val="0"/>
        </w:numPr>
        <w:tabs>
          <w:tab w:val="num" w:pos="1656"/>
        </w:tabs>
        <w:spacing w:after="240"/>
        <w:ind w:left="1656" w:hanging="720"/>
        <w:jc w:val="both"/>
        <w:outlineLvl w:val="3"/>
        <w:rPr>
          <w:bCs/>
          <w:iCs/>
          <w:color w:val="000000"/>
        </w:rPr>
      </w:pPr>
      <w:r>
        <w:rPr>
          <w:bCs/>
          <w:iCs/>
          <w:color w:val="000000"/>
        </w:rPr>
        <w:t>A.</w:t>
      </w:r>
      <w:r>
        <w:rPr>
          <w:bCs/>
          <w:iCs/>
          <w:color w:val="000000"/>
        </w:rPr>
        <w:tab/>
      </w:r>
      <w:r w:rsidRPr="00551FBF">
        <w:rPr>
          <w:bCs/>
          <w:iCs/>
          <w:color w:val="000000"/>
        </w:rPr>
        <w:t>any delegation of authority resulting in the use of Customer's communications equipment and/or network services which result in the placement of calls via the Company;</w:t>
      </w:r>
    </w:p>
    <w:p w:rsidR="00781EBE" w:rsidRPr="00551FBF" w:rsidRDefault="00781EBE" w:rsidP="00781EBE">
      <w:pPr>
        <w:numPr>
          <w:ilvl w:val="3"/>
          <w:numId w:val="0"/>
        </w:numPr>
        <w:tabs>
          <w:tab w:val="num" w:pos="1656"/>
        </w:tabs>
        <w:spacing w:after="240"/>
        <w:ind w:left="1656" w:hanging="720"/>
        <w:jc w:val="both"/>
        <w:outlineLvl w:val="3"/>
        <w:rPr>
          <w:bCs/>
          <w:iCs/>
          <w:color w:val="000000"/>
        </w:rPr>
      </w:pPr>
      <w:r>
        <w:rPr>
          <w:bCs/>
          <w:iCs/>
          <w:color w:val="000000"/>
        </w:rPr>
        <w:t>B.</w:t>
      </w:r>
      <w:r>
        <w:rPr>
          <w:bCs/>
          <w:iCs/>
          <w:color w:val="000000"/>
        </w:rPr>
        <w:tab/>
      </w:r>
      <w:r w:rsidRPr="00551FBF">
        <w:rPr>
          <w:bCs/>
          <w:iCs/>
          <w:color w:val="000000"/>
        </w:rPr>
        <w:t>any and all use of the service arrangement provided by the Company, including calls which the Customer did not individually authorize;</w:t>
      </w:r>
    </w:p>
    <w:p w:rsidR="00781EBE" w:rsidRPr="00551FBF" w:rsidRDefault="00781EBE" w:rsidP="00781EBE">
      <w:pPr>
        <w:numPr>
          <w:ilvl w:val="3"/>
          <w:numId w:val="0"/>
        </w:numPr>
        <w:tabs>
          <w:tab w:val="num" w:pos="1656"/>
        </w:tabs>
        <w:spacing w:after="240"/>
        <w:ind w:left="1656" w:hanging="720"/>
        <w:jc w:val="both"/>
        <w:outlineLvl w:val="3"/>
        <w:rPr>
          <w:bCs/>
          <w:iCs/>
          <w:color w:val="000000"/>
        </w:rPr>
      </w:pPr>
      <w:r>
        <w:rPr>
          <w:bCs/>
          <w:iCs/>
          <w:color w:val="000000"/>
        </w:rPr>
        <w:t>C.</w:t>
      </w:r>
      <w:r>
        <w:rPr>
          <w:bCs/>
          <w:iCs/>
          <w:color w:val="000000"/>
        </w:rPr>
        <w:tab/>
      </w:r>
      <w:r w:rsidRPr="00551FBF">
        <w:rPr>
          <w:bCs/>
          <w:iCs/>
          <w:color w:val="000000"/>
        </w:rPr>
        <w:t>any calls placed by or through the Customer's equipment via any remote access feature(s);</w:t>
      </w:r>
    </w:p>
    <w:p w:rsidR="00781EBE" w:rsidRPr="00551FBF" w:rsidRDefault="00781EBE" w:rsidP="00781EBE">
      <w:pPr>
        <w:numPr>
          <w:ilvl w:val="2"/>
          <w:numId w:val="0"/>
        </w:numPr>
        <w:tabs>
          <w:tab w:val="num" w:pos="936"/>
        </w:tabs>
        <w:spacing w:after="240"/>
        <w:ind w:left="936" w:hanging="936"/>
        <w:jc w:val="both"/>
        <w:outlineLvl w:val="2"/>
        <w:rPr>
          <w:b/>
          <w:bCs/>
          <w:color w:val="000000"/>
        </w:rPr>
      </w:pPr>
      <w:r>
        <w:rPr>
          <w:b/>
          <w:bCs/>
          <w:color w:val="000000"/>
        </w:rPr>
        <w:t>2.10.2</w:t>
      </w:r>
      <w:r>
        <w:rPr>
          <w:b/>
          <w:bCs/>
          <w:color w:val="000000"/>
        </w:rPr>
        <w:tab/>
      </w:r>
      <w:r w:rsidRPr="00551FBF">
        <w:rPr>
          <w:b/>
          <w:bCs/>
          <w:color w:val="000000"/>
        </w:rPr>
        <w:t>Minimum Period</w:t>
      </w:r>
    </w:p>
    <w:p w:rsidR="00781EBE" w:rsidRDefault="00781EBE" w:rsidP="00781EBE">
      <w:pPr>
        <w:tabs>
          <w:tab w:val="left" w:pos="1620"/>
        </w:tabs>
        <w:spacing w:after="240"/>
        <w:ind w:left="945"/>
        <w:jc w:val="both"/>
        <w:rPr>
          <w:color w:val="000000"/>
        </w:rPr>
        <w:sectPr w:rsidR="00781EBE">
          <w:headerReference w:type="default" r:id="rId21"/>
          <w:footerReference w:type="default" r:id="rId22"/>
          <w:pgSz w:w="12240" w:h="15840"/>
          <w:pgMar w:top="1440" w:right="1440" w:bottom="1440" w:left="1440" w:header="720" w:footer="720" w:gutter="0"/>
          <w:cols w:space="720"/>
          <w:docGrid w:linePitch="360"/>
        </w:sectPr>
      </w:pPr>
      <w:r w:rsidRPr="00551FBF">
        <w:rPr>
          <w:color w:val="000000"/>
        </w:rPr>
        <w:t>The minimum period for which services are provided and for which rates and charges are applicable is one (1) month unless otherwise specified in this tariff or by mutually agreed upon contract.  When a service is discontinued prior to the expiration of the minimum period, charges are applicable, whether the service is used or not.</w:t>
      </w:r>
    </w:p>
    <w:p w:rsidR="00781EBE" w:rsidRPr="00792A19" w:rsidRDefault="00781EBE" w:rsidP="00781EBE">
      <w:pPr>
        <w:tabs>
          <w:tab w:val="left" w:pos="9000"/>
        </w:tabs>
        <w:spacing w:after="240"/>
        <w:ind w:left="9360"/>
        <w:jc w:val="both"/>
        <w:rPr>
          <w:color w:val="000000"/>
        </w:rPr>
      </w:pPr>
      <w:r>
        <w:rPr>
          <w:color w:val="000000"/>
        </w:rPr>
        <w:lastRenderedPageBreak/>
        <w:t>(D)</w:t>
      </w:r>
    </w:p>
    <w:p w:rsidR="00781EBE" w:rsidRPr="004811B0" w:rsidRDefault="00781EBE" w:rsidP="00781EBE">
      <w:pPr>
        <w:tabs>
          <w:tab w:val="left" w:pos="936"/>
        </w:tabs>
        <w:spacing w:after="240"/>
        <w:jc w:val="both"/>
        <w:rPr>
          <w:color w:val="000000"/>
        </w:rPr>
      </w:pPr>
    </w:p>
    <w:p w:rsidR="00781EBE" w:rsidRDefault="00781EBE" w:rsidP="00781EBE">
      <w:pPr>
        <w:tabs>
          <w:tab w:val="left" w:pos="1620"/>
        </w:tabs>
        <w:spacing w:after="240"/>
        <w:ind w:left="945"/>
        <w:jc w:val="both"/>
        <w:rPr>
          <w:color w:val="000000"/>
        </w:rPr>
      </w:pPr>
    </w:p>
    <w:p w:rsidR="00757A43" w:rsidRDefault="008F57A9" w:rsidP="00D83C7D">
      <w:pPr>
        <w:pStyle w:val="Body1default"/>
      </w:pPr>
    </w:p>
    <w:sectPr w:rsidR="00757A43" w:rsidSect="00781EBE">
      <w:headerReference w:type="default" r:id="rId23"/>
      <w:footerReference w:type="default" r:id="rId24"/>
      <w:pgSz w:w="12240" w:h="15840"/>
      <w:pgMar w:top="1440" w:right="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BE" w:rsidRDefault="00781EBE" w:rsidP="00045AAE">
      <w:r>
        <w:separator/>
      </w:r>
    </w:p>
  </w:endnote>
  <w:endnote w:type="continuationSeparator" w:id="0">
    <w:p w:rsidR="00781EBE" w:rsidRDefault="00781EBE"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rsidP="00165C15">
    <w:pPr>
      <w:pStyle w:val="Footer"/>
      <w:rPr>
        <w:sz w:val="18"/>
        <w:szCs w:val="18"/>
      </w:rPr>
    </w:pPr>
    <w:r>
      <w:rPr>
        <w:sz w:val="18"/>
        <w:szCs w:val="18"/>
      </w:rPr>
      <w:t xml:space="preserve">Carolyn.Flahive@ThompsonHine.com </w:t>
    </w:r>
    <w:proofErr w:type="spellStart"/>
    <w:r>
      <w:rPr>
        <w:sz w:val="18"/>
        <w:szCs w:val="18"/>
      </w:rPr>
      <w:t>Ph</w:t>
    </w:r>
    <w:proofErr w:type="spellEnd"/>
    <w:r>
      <w:rPr>
        <w:sz w:val="18"/>
        <w:szCs w:val="18"/>
      </w:rPr>
      <w:t>: 614-469-</w:t>
    </w:r>
    <w:proofErr w:type="gramStart"/>
    <w:r>
      <w:rPr>
        <w:sz w:val="18"/>
        <w:szCs w:val="18"/>
      </w:rPr>
      <w:t>3294  Fax</w:t>
    </w:r>
    <w:proofErr w:type="gramEnd"/>
    <w:r>
      <w:rPr>
        <w:sz w:val="18"/>
        <w:szCs w:val="18"/>
      </w:rPr>
      <w:t xml:space="preserve">:  614-469-3361                                                             </w:t>
    </w:r>
    <w:r w:rsidRPr="00FE2C89">
      <w:rPr>
        <w:rStyle w:val="DocI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2E590D">
    <w:pPr>
      <w:pStyle w:val="Footer"/>
    </w:pPr>
    <w:r>
      <w:rPr>
        <w:rStyle w:val="DocID"/>
      </w:rPr>
      <w:t>710918.1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Pr="00010FF3" w:rsidRDefault="00781EBE" w:rsidP="00371804">
    <w:pPr>
      <w:pBdr>
        <w:top w:val="single" w:sz="4" w:space="1" w:color="auto"/>
      </w:pBdr>
      <w:tabs>
        <w:tab w:val="right" w:pos="9360"/>
      </w:tabs>
      <w:spacing w:before="240"/>
    </w:pPr>
    <w:bookmarkStart w:id="1" w:name="OLE_LINK1"/>
    <w:bookmarkStart w:id="2" w:name="OLE_LINK4"/>
    <w:r w:rsidRPr="00010FF3">
      <w:t xml:space="preserve">Issued: </w:t>
    </w:r>
    <w:r w:rsidR="005E5D07">
      <w:t>J</w:t>
    </w:r>
    <w:r w:rsidR="008C6B25">
      <w:t>uly 2</w:t>
    </w:r>
    <w:r>
      <w:t>, 2012</w:t>
    </w:r>
    <w:r w:rsidRPr="00010FF3">
      <w:tab/>
      <w:t>Effective:</w:t>
    </w:r>
    <w:r w:rsidR="00862467">
      <w:t xml:space="preserve"> July 2</w:t>
    </w:r>
    <w:r>
      <w:t>, 2012</w:t>
    </w:r>
  </w:p>
  <w:p w:rsidR="00781EBE" w:rsidRPr="007640A2" w:rsidRDefault="00781EBE" w:rsidP="00371804">
    <w:pPr>
      <w:tabs>
        <w:tab w:val="left" w:pos="4320"/>
        <w:tab w:val="left" w:pos="8640"/>
      </w:tabs>
      <w:autoSpaceDE w:val="0"/>
      <w:autoSpaceDN w:val="0"/>
      <w:adjustRightInd w:val="0"/>
      <w:jc w:val="center"/>
      <w:rPr>
        <w:color w:val="000000"/>
        <w:sz w:val="22"/>
        <w:szCs w:val="22"/>
      </w:rPr>
    </w:pPr>
    <w:r w:rsidRPr="007640A2">
      <w:rPr>
        <w:color w:val="000000"/>
        <w:sz w:val="22"/>
        <w:szCs w:val="22"/>
      </w:rPr>
      <w:t>In Accordance with Case No. 12-</w:t>
    </w:r>
    <w:r>
      <w:rPr>
        <w:color w:val="000000"/>
        <w:sz w:val="22"/>
        <w:szCs w:val="22"/>
      </w:rPr>
      <w:t>1716</w:t>
    </w:r>
    <w:r w:rsidRPr="007640A2">
      <w:rPr>
        <w:color w:val="000000"/>
        <w:sz w:val="22"/>
        <w:szCs w:val="22"/>
      </w:rPr>
      <w:t>-TP-ATA</w:t>
    </w:r>
  </w:p>
  <w:p w:rsidR="00781EBE" w:rsidRPr="007640A2" w:rsidRDefault="00781EBE" w:rsidP="00371804">
    <w:pPr>
      <w:autoSpaceDE w:val="0"/>
      <w:autoSpaceDN w:val="0"/>
      <w:adjustRightInd w:val="0"/>
      <w:jc w:val="center"/>
      <w:rPr>
        <w:color w:val="000000"/>
        <w:sz w:val="22"/>
        <w:szCs w:val="22"/>
      </w:rPr>
    </w:pPr>
    <w:r w:rsidRPr="007640A2">
      <w:rPr>
        <w:color w:val="000000"/>
        <w:sz w:val="22"/>
        <w:szCs w:val="22"/>
      </w:rPr>
      <w:t>Issued by the Public Utilities Commission of Ohio</w:t>
    </w:r>
  </w:p>
  <w:p w:rsidR="00781EBE" w:rsidRDefault="00781EBE" w:rsidP="00371804">
    <w:pPr>
      <w:autoSpaceDE w:val="0"/>
      <w:autoSpaceDN w:val="0"/>
      <w:adjustRightInd w:val="0"/>
      <w:jc w:val="center"/>
      <w:rPr>
        <w:color w:val="000000"/>
        <w:sz w:val="22"/>
        <w:szCs w:val="22"/>
      </w:rPr>
    </w:pPr>
    <w:r>
      <w:rPr>
        <w:color w:val="000000"/>
        <w:sz w:val="22"/>
        <w:szCs w:val="22"/>
      </w:rPr>
      <w:t>Karen Kovach, General Counsel</w:t>
    </w:r>
  </w:p>
  <w:p w:rsidR="00781EBE" w:rsidRPr="00E00F1D" w:rsidRDefault="00781EBE" w:rsidP="00371804">
    <w:pPr>
      <w:autoSpaceDE w:val="0"/>
      <w:autoSpaceDN w:val="0"/>
      <w:adjustRightInd w:val="0"/>
      <w:jc w:val="center"/>
      <w:rPr>
        <w:color w:val="000000"/>
        <w:sz w:val="22"/>
        <w:szCs w:val="22"/>
      </w:rPr>
    </w:pPr>
    <w:r>
      <w:rPr>
        <w:color w:val="000000"/>
        <w:sz w:val="22"/>
        <w:szCs w:val="22"/>
      </w:rPr>
      <w:t>Cincinnati</w:t>
    </w:r>
    <w:r w:rsidRPr="007640A2">
      <w:rPr>
        <w:color w:val="000000"/>
        <w:sz w:val="22"/>
        <w:szCs w:val="22"/>
      </w:rPr>
      <w:t>, Ohio</w:t>
    </w:r>
    <w:bookmarkEnd w:id="1"/>
    <w:bookmarkEnd w:id="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Pr="00010FF3" w:rsidRDefault="00781EBE" w:rsidP="00752111">
    <w:pPr>
      <w:pBdr>
        <w:top w:val="single" w:sz="4" w:space="1" w:color="auto"/>
      </w:pBdr>
      <w:tabs>
        <w:tab w:val="right" w:pos="9360"/>
      </w:tabs>
      <w:spacing w:before="240"/>
    </w:pPr>
    <w:r w:rsidRPr="00010FF3">
      <w:t xml:space="preserve">Issued: </w:t>
    </w:r>
    <w:r w:rsidR="005E5D07">
      <w:t>J</w:t>
    </w:r>
    <w:r w:rsidR="008C6B25">
      <w:t>uly 2</w:t>
    </w:r>
    <w:r>
      <w:t>, 2012</w:t>
    </w:r>
    <w:r w:rsidRPr="00010FF3">
      <w:tab/>
      <w:t>Effective:</w:t>
    </w:r>
    <w:r w:rsidR="00862467">
      <w:t xml:space="preserve"> July 2</w:t>
    </w:r>
    <w:r>
      <w:t>, 2012</w:t>
    </w:r>
  </w:p>
  <w:p w:rsidR="00781EBE" w:rsidRPr="007640A2" w:rsidRDefault="00781EBE" w:rsidP="00752111">
    <w:pPr>
      <w:tabs>
        <w:tab w:val="left" w:pos="4320"/>
        <w:tab w:val="left" w:pos="8640"/>
      </w:tabs>
      <w:autoSpaceDE w:val="0"/>
      <w:autoSpaceDN w:val="0"/>
      <w:adjustRightInd w:val="0"/>
      <w:jc w:val="center"/>
      <w:rPr>
        <w:color w:val="000000"/>
        <w:sz w:val="22"/>
        <w:szCs w:val="22"/>
      </w:rPr>
    </w:pPr>
    <w:r w:rsidRPr="007640A2">
      <w:rPr>
        <w:color w:val="000000"/>
        <w:sz w:val="22"/>
        <w:szCs w:val="22"/>
      </w:rPr>
      <w:t>In Accordance with Case No. 12-</w:t>
    </w:r>
    <w:r>
      <w:rPr>
        <w:color w:val="000000"/>
        <w:sz w:val="22"/>
        <w:szCs w:val="22"/>
      </w:rPr>
      <w:t>1716</w:t>
    </w:r>
    <w:r w:rsidRPr="007640A2">
      <w:rPr>
        <w:color w:val="000000"/>
        <w:sz w:val="22"/>
        <w:szCs w:val="22"/>
      </w:rPr>
      <w:t>-TP-ATA</w:t>
    </w:r>
  </w:p>
  <w:p w:rsidR="00781EBE" w:rsidRPr="007640A2" w:rsidRDefault="00781EBE" w:rsidP="00752111">
    <w:pPr>
      <w:autoSpaceDE w:val="0"/>
      <w:autoSpaceDN w:val="0"/>
      <w:adjustRightInd w:val="0"/>
      <w:jc w:val="center"/>
      <w:rPr>
        <w:color w:val="000000"/>
        <w:sz w:val="22"/>
        <w:szCs w:val="22"/>
      </w:rPr>
    </w:pPr>
    <w:r w:rsidRPr="007640A2">
      <w:rPr>
        <w:color w:val="000000"/>
        <w:sz w:val="22"/>
        <w:szCs w:val="22"/>
      </w:rPr>
      <w:t>Issued by the Public Utilities Commission of Ohio</w:t>
    </w:r>
  </w:p>
  <w:p w:rsidR="00781EBE" w:rsidRDefault="00781EBE" w:rsidP="00752111">
    <w:pPr>
      <w:autoSpaceDE w:val="0"/>
      <w:autoSpaceDN w:val="0"/>
      <w:adjustRightInd w:val="0"/>
      <w:jc w:val="center"/>
      <w:rPr>
        <w:color w:val="000000"/>
        <w:sz w:val="22"/>
        <w:szCs w:val="22"/>
      </w:rPr>
    </w:pPr>
    <w:r>
      <w:rPr>
        <w:color w:val="000000"/>
        <w:sz w:val="22"/>
        <w:szCs w:val="22"/>
      </w:rPr>
      <w:t>Karen Kovach, General Counsel</w:t>
    </w:r>
  </w:p>
  <w:p w:rsidR="00781EBE" w:rsidRDefault="00781EBE" w:rsidP="00752111">
    <w:pPr>
      <w:tabs>
        <w:tab w:val="center" w:pos="4680"/>
        <w:tab w:val="right" w:pos="9360"/>
      </w:tabs>
      <w:jc w:val="center"/>
    </w:pPr>
    <w:r>
      <w:rPr>
        <w:color w:val="000000"/>
        <w:sz w:val="22"/>
        <w:szCs w:val="22"/>
      </w:rPr>
      <w:t>Cincinnati</w:t>
    </w:r>
    <w:r w:rsidRPr="007640A2">
      <w:rPr>
        <w:color w:val="000000"/>
        <w:sz w:val="22"/>
        <w:szCs w:val="22"/>
      </w:rPr>
      <w:t>,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Pr="00010FF3" w:rsidRDefault="00781EBE" w:rsidP="00752111">
    <w:pPr>
      <w:pBdr>
        <w:top w:val="single" w:sz="4" w:space="1" w:color="auto"/>
      </w:pBdr>
      <w:tabs>
        <w:tab w:val="right" w:pos="9360"/>
      </w:tabs>
      <w:spacing w:before="240"/>
    </w:pPr>
    <w:r w:rsidRPr="00010FF3">
      <w:t xml:space="preserve">Issued: </w:t>
    </w:r>
    <w:r w:rsidR="005E5D07">
      <w:t>J</w:t>
    </w:r>
    <w:r w:rsidR="008C6B25">
      <w:t>uly 2</w:t>
    </w:r>
    <w:r>
      <w:t>, 2012</w:t>
    </w:r>
    <w:r w:rsidRPr="00010FF3">
      <w:tab/>
      <w:t>Effective:</w:t>
    </w:r>
    <w:r w:rsidR="00862467">
      <w:t xml:space="preserve"> July 2</w:t>
    </w:r>
    <w:r>
      <w:t>, 2012</w:t>
    </w:r>
  </w:p>
  <w:p w:rsidR="00781EBE" w:rsidRPr="007640A2" w:rsidRDefault="00781EBE" w:rsidP="00752111">
    <w:pPr>
      <w:tabs>
        <w:tab w:val="left" w:pos="4320"/>
        <w:tab w:val="left" w:pos="8640"/>
      </w:tabs>
      <w:autoSpaceDE w:val="0"/>
      <w:autoSpaceDN w:val="0"/>
      <w:adjustRightInd w:val="0"/>
      <w:jc w:val="center"/>
      <w:rPr>
        <w:color w:val="000000"/>
        <w:sz w:val="22"/>
        <w:szCs w:val="22"/>
      </w:rPr>
    </w:pPr>
    <w:r w:rsidRPr="007640A2">
      <w:rPr>
        <w:color w:val="000000"/>
        <w:sz w:val="22"/>
        <w:szCs w:val="22"/>
      </w:rPr>
      <w:t>In Accordance with Case No. 12-</w:t>
    </w:r>
    <w:r>
      <w:rPr>
        <w:color w:val="000000"/>
        <w:sz w:val="22"/>
        <w:szCs w:val="22"/>
      </w:rPr>
      <w:t>1716</w:t>
    </w:r>
    <w:r w:rsidRPr="007640A2">
      <w:rPr>
        <w:color w:val="000000"/>
        <w:sz w:val="22"/>
        <w:szCs w:val="22"/>
      </w:rPr>
      <w:t>-TP-ATA</w:t>
    </w:r>
  </w:p>
  <w:p w:rsidR="00781EBE" w:rsidRPr="007640A2" w:rsidRDefault="00781EBE" w:rsidP="00752111">
    <w:pPr>
      <w:autoSpaceDE w:val="0"/>
      <w:autoSpaceDN w:val="0"/>
      <w:adjustRightInd w:val="0"/>
      <w:jc w:val="center"/>
      <w:rPr>
        <w:color w:val="000000"/>
        <w:sz w:val="22"/>
        <w:szCs w:val="22"/>
      </w:rPr>
    </w:pPr>
    <w:r w:rsidRPr="007640A2">
      <w:rPr>
        <w:color w:val="000000"/>
        <w:sz w:val="22"/>
        <w:szCs w:val="22"/>
      </w:rPr>
      <w:t>Issued by the Public Utilities Commission of Ohio</w:t>
    </w:r>
  </w:p>
  <w:p w:rsidR="00781EBE" w:rsidRDefault="00781EBE" w:rsidP="00752111">
    <w:pPr>
      <w:autoSpaceDE w:val="0"/>
      <w:autoSpaceDN w:val="0"/>
      <w:adjustRightInd w:val="0"/>
      <w:jc w:val="center"/>
      <w:rPr>
        <w:color w:val="000000"/>
        <w:sz w:val="22"/>
        <w:szCs w:val="22"/>
      </w:rPr>
    </w:pPr>
    <w:r>
      <w:rPr>
        <w:color w:val="000000"/>
        <w:sz w:val="22"/>
        <w:szCs w:val="22"/>
      </w:rPr>
      <w:t>Karen Kovach, General Counsel</w:t>
    </w:r>
  </w:p>
  <w:p w:rsidR="00781EBE" w:rsidRDefault="00781EBE" w:rsidP="00752111">
    <w:pPr>
      <w:tabs>
        <w:tab w:val="center" w:pos="4680"/>
        <w:tab w:val="right" w:pos="9360"/>
      </w:tabs>
      <w:jc w:val="center"/>
    </w:pPr>
    <w:r>
      <w:rPr>
        <w:color w:val="000000"/>
        <w:sz w:val="22"/>
        <w:szCs w:val="22"/>
      </w:rPr>
      <w:t>Cincinnati</w:t>
    </w:r>
    <w:r w:rsidRPr="007640A2">
      <w:rPr>
        <w:color w:val="000000"/>
        <w:sz w:val="22"/>
        <w:szCs w:val="22"/>
      </w:rPr>
      <w:t>,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Pr="00010FF3" w:rsidRDefault="00781EBE" w:rsidP="00752111">
    <w:pPr>
      <w:pBdr>
        <w:top w:val="single" w:sz="4" w:space="1" w:color="auto"/>
      </w:pBdr>
      <w:tabs>
        <w:tab w:val="right" w:pos="9360"/>
      </w:tabs>
      <w:spacing w:before="240"/>
    </w:pPr>
    <w:r w:rsidRPr="00010FF3">
      <w:t xml:space="preserve">Issued: </w:t>
    </w:r>
    <w:r w:rsidR="008C6B25">
      <w:t>July 2</w:t>
    </w:r>
    <w:r>
      <w:t>, 2012</w:t>
    </w:r>
    <w:r w:rsidRPr="00010FF3">
      <w:tab/>
      <w:t>Effective:</w:t>
    </w:r>
    <w:r w:rsidR="00862467">
      <w:t xml:space="preserve"> July 2</w:t>
    </w:r>
    <w:r>
      <w:t>, 2012</w:t>
    </w:r>
  </w:p>
  <w:p w:rsidR="00781EBE" w:rsidRPr="007640A2" w:rsidRDefault="00781EBE" w:rsidP="00752111">
    <w:pPr>
      <w:tabs>
        <w:tab w:val="left" w:pos="4320"/>
        <w:tab w:val="left" w:pos="8640"/>
      </w:tabs>
      <w:autoSpaceDE w:val="0"/>
      <w:autoSpaceDN w:val="0"/>
      <w:adjustRightInd w:val="0"/>
      <w:jc w:val="center"/>
      <w:rPr>
        <w:color w:val="000000"/>
        <w:sz w:val="22"/>
        <w:szCs w:val="22"/>
      </w:rPr>
    </w:pPr>
    <w:r w:rsidRPr="007640A2">
      <w:rPr>
        <w:color w:val="000000"/>
        <w:sz w:val="22"/>
        <w:szCs w:val="22"/>
      </w:rPr>
      <w:t>In Accordance with Case No. 12-</w:t>
    </w:r>
    <w:r>
      <w:rPr>
        <w:color w:val="000000"/>
        <w:sz w:val="22"/>
        <w:szCs w:val="22"/>
      </w:rPr>
      <w:t>1716</w:t>
    </w:r>
    <w:r w:rsidRPr="007640A2">
      <w:rPr>
        <w:color w:val="000000"/>
        <w:sz w:val="22"/>
        <w:szCs w:val="22"/>
      </w:rPr>
      <w:t>-TP-ATA</w:t>
    </w:r>
  </w:p>
  <w:p w:rsidR="00781EBE" w:rsidRPr="007640A2" w:rsidRDefault="00781EBE" w:rsidP="00752111">
    <w:pPr>
      <w:autoSpaceDE w:val="0"/>
      <w:autoSpaceDN w:val="0"/>
      <w:adjustRightInd w:val="0"/>
      <w:jc w:val="center"/>
      <w:rPr>
        <w:color w:val="000000"/>
        <w:sz w:val="22"/>
        <w:szCs w:val="22"/>
      </w:rPr>
    </w:pPr>
    <w:r w:rsidRPr="007640A2">
      <w:rPr>
        <w:color w:val="000000"/>
        <w:sz w:val="22"/>
        <w:szCs w:val="22"/>
      </w:rPr>
      <w:t>Issued by the Public Utilities Commission of Ohio</w:t>
    </w:r>
  </w:p>
  <w:p w:rsidR="00781EBE" w:rsidRDefault="00781EBE" w:rsidP="00752111">
    <w:pPr>
      <w:autoSpaceDE w:val="0"/>
      <w:autoSpaceDN w:val="0"/>
      <w:adjustRightInd w:val="0"/>
      <w:jc w:val="center"/>
      <w:rPr>
        <w:color w:val="000000"/>
        <w:sz w:val="22"/>
        <w:szCs w:val="22"/>
      </w:rPr>
    </w:pPr>
    <w:r>
      <w:rPr>
        <w:color w:val="000000"/>
        <w:sz w:val="22"/>
        <w:szCs w:val="22"/>
      </w:rPr>
      <w:t>Karen Kovach, General Counsel</w:t>
    </w:r>
  </w:p>
  <w:p w:rsidR="00781EBE" w:rsidRDefault="00781EBE" w:rsidP="00752111">
    <w:pPr>
      <w:tabs>
        <w:tab w:val="center" w:pos="4680"/>
        <w:tab w:val="right" w:pos="9360"/>
      </w:tabs>
      <w:jc w:val="center"/>
    </w:pPr>
    <w:r>
      <w:rPr>
        <w:color w:val="000000"/>
        <w:sz w:val="22"/>
        <w:szCs w:val="22"/>
      </w:rPr>
      <w:t>Cincinnati</w:t>
    </w:r>
    <w:r w:rsidRPr="007640A2">
      <w:rPr>
        <w:color w:val="000000"/>
        <w:sz w:val="22"/>
        <w:szCs w:val="22"/>
      </w:rPr>
      <w:t>, Ohio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Pr="00010FF3" w:rsidRDefault="00781EBE" w:rsidP="00752111">
    <w:pPr>
      <w:pBdr>
        <w:top w:val="single" w:sz="4" w:space="1" w:color="auto"/>
      </w:pBdr>
      <w:tabs>
        <w:tab w:val="right" w:pos="9360"/>
      </w:tabs>
      <w:spacing w:before="240"/>
    </w:pPr>
    <w:r w:rsidRPr="00010FF3">
      <w:t xml:space="preserve">Issued: </w:t>
    </w:r>
    <w:r w:rsidR="005E5D07">
      <w:t>Ju</w:t>
    </w:r>
    <w:r w:rsidR="008C6B25">
      <w:t>ly 2</w:t>
    </w:r>
    <w:r>
      <w:t>, 2012</w:t>
    </w:r>
    <w:r w:rsidRPr="00010FF3">
      <w:tab/>
      <w:t>Effective:</w:t>
    </w:r>
    <w:r w:rsidR="00862467">
      <w:t xml:space="preserve">  July 2</w:t>
    </w:r>
    <w:r>
      <w:t>, 2012</w:t>
    </w:r>
  </w:p>
  <w:p w:rsidR="00781EBE" w:rsidRPr="007640A2" w:rsidRDefault="00781EBE" w:rsidP="00752111">
    <w:pPr>
      <w:tabs>
        <w:tab w:val="left" w:pos="4320"/>
        <w:tab w:val="left" w:pos="8640"/>
      </w:tabs>
      <w:autoSpaceDE w:val="0"/>
      <w:autoSpaceDN w:val="0"/>
      <w:adjustRightInd w:val="0"/>
      <w:jc w:val="center"/>
      <w:rPr>
        <w:color w:val="000000"/>
        <w:sz w:val="22"/>
        <w:szCs w:val="22"/>
      </w:rPr>
    </w:pPr>
    <w:r w:rsidRPr="007640A2">
      <w:rPr>
        <w:color w:val="000000"/>
        <w:sz w:val="22"/>
        <w:szCs w:val="22"/>
      </w:rPr>
      <w:t>In Accordance with Case No. 12-</w:t>
    </w:r>
    <w:r>
      <w:rPr>
        <w:color w:val="000000"/>
        <w:sz w:val="22"/>
        <w:szCs w:val="22"/>
      </w:rPr>
      <w:t>1716</w:t>
    </w:r>
    <w:r w:rsidRPr="007640A2">
      <w:rPr>
        <w:color w:val="000000"/>
        <w:sz w:val="22"/>
        <w:szCs w:val="22"/>
      </w:rPr>
      <w:t>-TP-ATA</w:t>
    </w:r>
  </w:p>
  <w:p w:rsidR="00781EBE" w:rsidRPr="007640A2" w:rsidRDefault="00781EBE" w:rsidP="00752111">
    <w:pPr>
      <w:autoSpaceDE w:val="0"/>
      <w:autoSpaceDN w:val="0"/>
      <w:adjustRightInd w:val="0"/>
      <w:jc w:val="center"/>
      <w:rPr>
        <w:color w:val="000000"/>
        <w:sz w:val="22"/>
        <w:szCs w:val="22"/>
      </w:rPr>
    </w:pPr>
    <w:r w:rsidRPr="007640A2">
      <w:rPr>
        <w:color w:val="000000"/>
        <w:sz w:val="22"/>
        <w:szCs w:val="22"/>
      </w:rPr>
      <w:t>Issued by the Public Utilities Commission of Ohio</w:t>
    </w:r>
  </w:p>
  <w:p w:rsidR="00781EBE" w:rsidRDefault="00781EBE" w:rsidP="00752111">
    <w:pPr>
      <w:autoSpaceDE w:val="0"/>
      <w:autoSpaceDN w:val="0"/>
      <w:adjustRightInd w:val="0"/>
      <w:jc w:val="center"/>
      <w:rPr>
        <w:color w:val="000000"/>
        <w:sz w:val="22"/>
        <w:szCs w:val="22"/>
      </w:rPr>
    </w:pPr>
    <w:r>
      <w:rPr>
        <w:color w:val="000000"/>
        <w:sz w:val="22"/>
        <w:szCs w:val="22"/>
      </w:rPr>
      <w:t>Karen Kovach, General Counsel</w:t>
    </w:r>
  </w:p>
  <w:p w:rsidR="00781EBE" w:rsidRDefault="00781EBE" w:rsidP="00752111">
    <w:pPr>
      <w:tabs>
        <w:tab w:val="center" w:pos="4680"/>
        <w:tab w:val="right" w:pos="9360"/>
      </w:tabs>
      <w:jc w:val="center"/>
    </w:pPr>
    <w:r>
      <w:rPr>
        <w:color w:val="000000"/>
        <w:sz w:val="22"/>
        <w:szCs w:val="22"/>
      </w:rPr>
      <w:t>Cincinnati</w:t>
    </w:r>
    <w:r w:rsidRPr="007640A2">
      <w:rPr>
        <w:color w:val="000000"/>
        <w:sz w:val="22"/>
        <w:szCs w:val="22"/>
      </w:rPr>
      <w:t>, Ohio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Pr="00010FF3" w:rsidRDefault="00781EBE" w:rsidP="00752111">
    <w:pPr>
      <w:pBdr>
        <w:top w:val="single" w:sz="4" w:space="1" w:color="auto"/>
      </w:pBdr>
      <w:tabs>
        <w:tab w:val="right" w:pos="9360"/>
      </w:tabs>
      <w:spacing w:before="240"/>
    </w:pPr>
    <w:r w:rsidRPr="00010FF3">
      <w:t xml:space="preserve">Issued: </w:t>
    </w:r>
    <w:r w:rsidR="005E5D07">
      <w:t>J</w:t>
    </w:r>
    <w:r w:rsidR="008C6B25">
      <w:t>uly 2</w:t>
    </w:r>
    <w:r>
      <w:t>, 2012</w:t>
    </w:r>
    <w:r w:rsidRPr="00010FF3">
      <w:tab/>
      <w:t>Effective:</w:t>
    </w:r>
    <w:r w:rsidR="00862467">
      <w:t xml:space="preserve"> July 2</w:t>
    </w:r>
    <w:r>
      <w:t>, 2012</w:t>
    </w:r>
  </w:p>
  <w:p w:rsidR="00781EBE" w:rsidRPr="007640A2" w:rsidRDefault="00781EBE" w:rsidP="00752111">
    <w:pPr>
      <w:tabs>
        <w:tab w:val="left" w:pos="4320"/>
        <w:tab w:val="left" w:pos="8640"/>
      </w:tabs>
      <w:autoSpaceDE w:val="0"/>
      <w:autoSpaceDN w:val="0"/>
      <w:adjustRightInd w:val="0"/>
      <w:jc w:val="center"/>
      <w:rPr>
        <w:color w:val="000000"/>
        <w:sz w:val="22"/>
        <w:szCs w:val="22"/>
      </w:rPr>
    </w:pPr>
    <w:r w:rsidRPr="007640A2">
      <w:rPr>
        <w:color w:val="000000"/>
        <w:sz w:val="22"/>
        <w:szCs w:val="22"/>
      </w:rPr>
      <w:t>In Accordance with Case No. 12-</w:t>
    </w:r>
    <w:r>
      <w:rPr>
        <w:color w:val="000000"/>
        <w:sz w:val="22"/>
        <w:szCs w:val="22"/>
      </w:rPr>
      <w:t>1716</w:t>
    </w:r>
    <w:r w:rsidRPr="007640A2">
      <w:rPr>
        <w:color w:val="000000"/>
        <w:sz w:val="22"/>
        <w:szCs w:val="22"/>
      </w:rPr>
      <w:t>-TP-ATA</w:t>
    </w:r>
  </w:p>
  <w:p w:rsidR="00781EBE" w:rsidRPr="007640A2" w:rsidRDefault="00781EBE" w:rsidP="00752111">
    <w:pPr>
      <w:autoSpaceDE w:val="0"/>
      <w:autoSpaceDN w:val="0"/>
      <w:adjustRightInd w:val="0"/>
      <w:jc w:val="center"/>
      <w:rPr>
        <w:color w:val="000000"/>
        <w:sz w:val="22"/>
        <w:szCs w:val="22"/>
      </w:rPr>
    </w:pPr>
    <w:r w:rsidRPr="007640A2">
      <w:rPr>
        <w:color w:val="000000"/>
        <w:sz w:val="22"/>
        <w:szCs w:val="22"/>
      </w:rPr>
      <w:t>Issued by the Public Utilities Commission of Ohio</w:t>
    </w:r>
  </w:p>
  <w:p w:rsidR="00781EBE" w:rsidRDefault="00781EBE" w:rsidP="00752111">
    <w:pPr>
      <w:autoSpaceDE w:val="0"/>
      <w:autoSpaceDN w:val="0"/>
      <w:adjustRightInd w:val="0"/>
      <w:jc w:val="center"/>
      <w:rPr>
        <w:color w:val="000000"/>
        <w:sz w:val="22"/>
        <w:szCs w:val="22"/>
      </w:rPr>
    </w:pPr>
    <w:r>
      <w:rPr>
        <w:color w:val="000000"/>
        <w:sz w:val="22"/>
        <w:szCs w:val="22"/>
      </w:rPr>
      <w:t>Karen Kovach, General Counsel</w:t>
    </w:r>
  </w:p>
  <w:p w:rsidR="00781EBE" w:rsidRDefault="00781EBE" w:rsidP="00752111">
    <w:pPr>
      <w:tabs>
        <w:tab w:val="center" w:pos="4680"/>
        <w:tab w:val="right" w:pos="9360"/>
      </w:tabs>
      <w:jc w:val="center"/>
    </w:pPr>
    <w:r>
      <w:rPr>
        <w:color w:val="000000"/>
        <w:sz w:val="22"/>
        <w:szCs w:val="22"/>
      </w:rPr>
      <w:t>Cincinnati</w:t>
    </w:r>
    <w:r w:rsidRPr="007640A2">
      <w:rPr>
        <w:color w:val="000000"/>
        <w:sz w:val="22"/>
        <w:szCs w:val="22"/>
      </w:rPr>
      <w:t>, Ohio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Pr="00010FF3" w:rsidRDefault="00781EBE" w:rsidP="00752111">
    <w:pPr>
      <w:pBdr>
        <w:top w:val="single" w:sz="4" w:space="1" w:color="auto"/>
      </w:pBdr>
      <w:tabs>
        <w:tab w:val="right" w:pos="9360"/>
      </w:tabs>
      <w:spacing w:before="240"/>
    </w:pPr>
    <w:r w:rsidRPr="00010FF3">
      <w:t xml:space="preserve">Issued: </w:t>
    </w:r>
    <w:r w:rsidR="005E5D07">
      <w:t>Ju</w:t>
    </w:r>
    <w:r w:rsidR="008C6B25">
      <w:t>ly 2</w:t>
    </w:r>
    <w:r>
      <w:t>, 2012</w:t>
    </w:r>
    <w:r w:rsidRPr="00010FF3">
      <w:tab/>
      <w:t>Effective:</w:t>
    </w:r>
    <w:r w:rsidR="00862467">
      <w:t xml:space="preserve"> July 2</w:t>
    </w:r>
    <w:r>
      <w:t>, 2012</w:t>
    </w:r>
  </w:p>
  <w:p w:rsidR="00781EBE" w:rsidRPr="007640A2" w:rsidRDefault="00781EBE" w:rsidP="00752111">
    <w:pPr>
      <w:tabs>
        <w:tab w:val="left" w:pos="4320"/>
        <w:tab w:val="left" w:pos="8640"/>
      </w:tabs>
      <w:autoSpaceDE w:val="0"/>
      <w:autoSpaceDN w:val="0"/>
      <w:adjustRightInd w:val="0"/>
      <w:jc w:val="center"/>
      <w:rPr>
        <w:color w:val="000000"/>
        <w:sz w:val="22"/>
        <w:szCs w:val="22"/>
      </w:rPr>
    </w:pPr>
    <w:r w:rsidRPr="007640A2">
      <w:rPr>
        <w:color w:val="000000"/>
        <w:sz w:val="22"/>
        <w:szCs w:val="22"/>
      </w:rPr>
      <w:t>In Accordance with Case No. 12-</w:t>
    </w:r>
    <w:r>
      <w:rPr>
        <w:color w:val="000000"/>
        <w:sz w:val="22"/>
        <w:szCs w:val="22"/>
      </w:rPr>
      <w:t>1716</w:t>
    </w:r>
    <w:r w:rsidRPr="007640A2">
      <w:rPr>
        <w:color w:val="000000"/>
        <w:sz w:val="22"/>
        <w:szCs w:val="22"/>
      </w:rPr>
      <w:t>-TP-ATA</w:t>
    </w:r>
  </w:p>
  <w:p w:rsidR="00781EBE" w:rsidRPr="007640A2" w:rsidRDefault="00781EBE" w:rsidP="00752111">
    <w:pPr>
      <w:autoSpaceDE w:val="0"/>
      <w:autoSpaceDN w:val="0"/>
      <w:adjustRightInd w:val="0"/>
      <w:jc w:val="center"/>
      <w:rPr>
        <w:color w:val="000000"/>
        <w:sz w:val="22"/>
        <w:szCs w:val="22"/>
      </w:rPr>
    </w:pPr>
    <w:r w:rsidRPr="007640A2">
      <w:rPr>
        <w:color w:val="000000"/>
        <w:sz w:val="22"/>
        <w:szCs w:val="22"/>
      </w:rPr>
      <w:t>Issued by the Public Utilities Commission of Ohio</w:t>
    </w:r>
  </w:p>
  <w:p w:rsidR="00781EBE" w:rsidRDefault="00781EBE" w:rsidP="00752111">
    <w:pPr>
      <w:autoSpaceDE w:val="0"/>
      <w:autoSpaceDN w:val="0"/>
      <w:adjustRightInd w:val="0"/>
      <w:jc w:val="center"/>
      <w:rPr>
        <w:color w:val="000000"/>
        <w:sz w:val="22"/>
        <w:szCs w:val="22"/>
      </w:rPr>
    </w:pPr>
    <w:r>
      <w:rPr>
        <w:color w:val="000000"/>
        <w:sz w:val="22"/>
        <w:szCs w:val="22"/>
      </w:rPr>
      <w:t>Karen Kovach, General Counsel</w:t>
    </w:r>
  </w:p>
  <w:p w:rsidR="00781EBE" w:rsidRDefault="00781EBE" w:rsidP="00752111">
    <w:pPr>
      <w:tabs>
        <w:tab w:val="center" w:pos="4680"/>
        <w:tab w:val="right" w:pos="9360"/>
      </w:tabs>
      <w:jc w:val="center"/>
    </w:pPr>
    <w:r>
      <w:rPr>
        <w:color w:val="000000"/>
        <w:sz w:val="22"/>
        <w:szCs w:val="22"/>
      </w:rPr>
      <w:t>Cincinnati</w:t>
    </w:r>
    <w:r w:rsidRPr="007640A2">
      <w:rPr>
        <w:color w:val="000000"/>
        <w:sz w:val="22"/>
        <w:szCs w:val="22"/>
      </w:rPr>
      <w:t>,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BE" w:rsidRDefault="00781EBE" w:rsidP="00045AAE">
      <w:r>
        <w:separator/>
      </w:r>
    </w:p>
  </w:footnote>
  <w:footnote w:type="continuationSeparator" w:id="0">
    <w:p w:rsidR="00781EBE" w:rsidRDefault="00781EBE"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pPr>
      <w:pStyle w:val="Header"/>
    </w:pPr>
    <w:r>
      <w:rPr>
        <w:noProof/>
      </w:rPr>
      <mc:AlternateContent>
        <mc:Choice Requires="wps">
          <w:drawing>
            <wp:anchor distT="0" distB="0" distL="114300" distR="114300" simplePos="0" relativeHeight="251659264" behindDoc="0" locked="0" layoutInCell="1" allowOverlap="1" wp14:anchorId="1F7678A0" wp14:editId="1EFE5F87">
              <wp:simplePos x="0" y="0"/>
              <wp:positionH relativeFrom="page">
                <wp:posOffset>914400</wp:posOffset>
              </wp:positionH>
              <wp:positionV relativeFrom="page">
                <wp:posOffset>9180195</wp:posOffset>
              </wp:positionV>
              <wp:extent cx="5943600" cy="0"/>
              <wp:effectExtent l="9525" t="7620"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2.85pt" to="540pt,7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rsidP="00371804">
    <w:pPr>
      <w:pBdr>
        <w:bottom w:val="single" w:sz="4" w:space="1" w:color="auto"/>
      </w:pBdr>
      <w:tabs>
        <w:tab w:val="right" w:pos="9360"/>
      </w:tabs>
    </w:pPr>
    <w:r w:rsidRPr="00010FF3">
      <w:t>PNG Telecommunications</w:t>
    </w:r>
    <w:r w:rsidRPr="00010FF3">
      <w:tab/>
      <w:t>PUCO No. 2</w:t>
    </w:r>
    <w:r w:rsidRPr="00010FF3">
      <w:br/>
      <w:t>d/b/a PowerNet Global Communications</w:t>
    </w:r>
    <w:r w:rsidRPr="00010FF3">
      <w:tab/>
    </w:r>
    <w:r>
      <w:t>Second Revised</w:t>
    </w:r>
    <w:r w:rsidRPr="00010FF3">
      <w:t xml:space="preserve"> Page </w:t>
    </w:r>
    <w:r>
      <w:t>2</w:t>
    </w:r>
  </w:p>
  <w:p w:rsidR="00781EBE" w:rsidRPr="00010FF3" w:rsidRDefault="00781EBE" w:rsidP="00371804">
    <w:pPr>
      <w:pBdr>
        <w:bottom w:val="single" w:sz="4" w:space="1" w:color="auto"/>
      </w:pBdr>
      <w:tabs>
        <w:tab w:val="right" w:pos="9360"/>
      </w:tabs>
      <w:jc w:val="right"/>
    </w:pPr>
    <w:r>
      <w:t>Replaces First Revised Page 2</w:t>
    </w:r>
  </w:p>
  <w:p w:rsidR="00781EBE" w:rsidRDefault="00781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rsidP="00EE79E3">
    <w:pPr>
      <w:pBdr>
        <w:bottom w:val="single" w:sz="4" w:space="1" w:color="auto"/>
      </w:pBdr>
      <w:tabs>
        <w:tab w:val="right" w:pos="9360"/>
      </w:tabs>
      <w:jc w:val="both"/>
    </w:pPr>
    <w:r w:rsidRPr="00EE79E3">
      <w:t>PNG Telecommunications</w:t>
    </w:r>
    <w:r w:rsidRPr="00EE79E3">
      <w:tab/>
      <w:t>PUCO No. 2</w:t>
    </w:r>
    <w:r w:rsidRPr="00EE79E3">
      <w:br/>
      <w:t>d/b/a PowerNet Global Communications</w:t>
    </w:r>
    <w:r w:rsidRPr="00EE79E3">
      <w:tab/>
    </w:r>
    <w:r>
      <w:t>First Revised</w:t>
    </w:r>
    <w:r w:rsidRPr="00EE79E3">
      <w:t xml:space="preserve"> Page </w:t>
    </w:r>
    <w:r>
      <w:t>6</w:t>
    </w:r>
  </w:p>
  <w:p w:rsidR="00781EBE" w:rsidRPr="00EE79E3" w:rsidRDefault="00781EBE" w:rsidP="00EE79E3">
    <w:pPr>
      <w:pBdr>
        <w:bottom w:val="single" w:sz="4" w:space="1" w:color="auto"/>
      </w:pBdr>
      <w:tabs>
        <w:tab w:val="right" w:pos="9360"/>
      </w:tabs>
      <w:jc w:val="both"/>
      <w:rPr>
        <w:noProof/>
      </w:rPr>
    </w:pPr>
    <w:r>
      <w:tab/>
      <w:t>Replaces Original Page 6</w:t>
    </w:r>
  </w:p>
  <w:p w:rsidR="00781EBE" w:rsidRPr="00EE79E3" w:rsidRDefault="00781EBE" w:rsidP="00EE79E3">
    <w:pPr>
      <w:tabs>
        <w:tab w:val="right" w:pos="9360"/>
      </w:tabs>
      <w:jc w:val="both"/>
      <w:rPr>
        <w:noProof/>
      </w:rPr>
    </w:pPr>
  </w:p>
  <w:p w:rsidR="00781EBE" w:rsidRPr="00EE79E3" w:rsidRDefault="00781EBE" w:rsidP="00EE79E3">
    <w:pPr>
      <w:tabs>
        <w:tab w:val="right" w:pos="9360"/>
      </w:tabs>
      <w:jc w:val="center"/>
      <w:rPr>
        <w:noProof/>
      </w:rPr>
    </w:pPr>
    <w:r w:rsidRPr="00EE79E3">
      <w:rPr>
        <w:b/>
        <w:noProof/>
      </w:rPr>
      <w:t>SECTION 1 – DEFINITIONS OF ABBREVIATIONS</w:t>
    </w:r>
    <w:r w:rsidRPr="00EE79E3">
      <w:rPr>
        <w:noProof/>
      </w:rPr>
      <w:t>, Continued</w:t>
    </w:r>
  </w:p>
  <w:p w:rsidR="00781EBE" w:rsidRDefault="00781E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rsidP="00EE79E3">
    <w:pPr>
      <w:pBdr>
        <w:bottom w:val="single" w:sz="4" w:space="1" w:color="auto"/>
      </w:pBdr>
      <w:tabs>
        <w:tab w:val="right" w:pos="9360"/>
      </w:tabs>
      <w:jc w:val="both"/>
    </w:pPr>
    <w:r w:rsidRPr="00EE79E3">
      <w:t>PNG Telecommunications</w:t>
    </w:r>
    <w:r w:rsidRPr="00EE79E3">
      <w:tab/>
      <w:t>PUCO No. 2</w:t>
    </w:r>
    <w:r w:rsidRPr="00EE79E3">
      <w:br/>
      <w:t>d/b/a PowerNet Global Communications</w:t>
    </w:r>
    <w:r w:rsidRPr="00EE79E3">
      <w:tab/>
    </w:r>
    <w:r>
      <w:t>First Revised</w:t>
    </w:r>
    <w:r w:rsidRPr="00EE79E3">
      <w:t xml:space="preserve"> Page </w:t>
    </w:r>
    <w:r>
      <w:t>11</w:t>
    </w:r>
  </w:p>
  <w:p w:rsidR="00781EBE" w:rsidRPr="00EE79E3" w:rsidRDefault="00781EBE" w:rsidP="00EE79E3">
    <w:pPr>
      <w:pBdr>
        <w:bottom w:val="single" w:sz="4" w:space="1" w:color="auto"/>
      </w:pBdr>
      <w:tabs>
        <w:tab w:val="right" w:pos="9360"/>
      </w:tabs>
      <w:jc w:val="both"/>
      <w:rPr>
        <w:noProof/>
      </w:rPr>
    </w:pPr>
    <w:r>
      <w:tab/>
      <w:t>Replaces Original Page 11</w:t>
    </w:r>
  </w:p>
  <w:p w:rsidR="00781EBE" w:rsidRPr="00EE79E3" w:rsidRDefault="00781EBE" w:rsidP="00EE79E3">
    <w:pPr>
      <w:tabs>
        <w:tab w:val="right" w:pos="9360"/>
      </w:tabs>
      <w:jc w:val="both"/>
      <w:rPr>
        <w:noProof/>
      </w:rPr>
    </w:pPr>
  </w:p>
  <w:p w:rsidR="00781EBE" w:rsidRPr="00EE79E3" w:rsidRDefault="00781EBE" w:rsidP="00EE79E3">
    <w:pPr>
      <w:tabs>
        <w:tab w:val="right" w:pos="9360"/>
      </w:tabs>
      <w:jc w:val="center"/>
      <w:rPr>
        <w:noProof/>
      </w:rPr>
    </w:pPr>
    <w:r w:rsidRPr="00EE79E3">
      <w:rPr>
        <w:b/>
        <w:noProof/>
      </w:rPr>
      <w:t>SECTION 1 – DEFINITIONS OF ABBREVIATIONS</w:t>
    </w:r>
    <w:r w:rsidRPr="00EE79E3">
      <w:rPr>
        <w:noProof/>
      </w:rPr>
      <w:t>, Continued</w:t>
    </w:r>
  </w:p>
  <w:p w:rsidR="00781EBE" w:rsidRDefault="00781E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rsidP="00EE79E3">
    <w:pPr>
      <w:pBdr>
        <w:bottom w:val="single" w:sz="4" w:space="1" w:color="auto"/>
      </w:pBdr>
      <w:tabs>
        <w:tab w:val="right" w:pos="9360"/>
      </w:tabs>
      <w:jc w:val="both"/>
    </w:pPr>
    <w:r w:rsidRPr="00EE79E3">
      <w:t>PNG Telecommunications</w:t>
    </w:r>
    <w:r w:rsidRPr="00EE79E3">
      <w:tab/>
      <w:t>PUCO No. 2</w:t>
    </w:r>
    <w:r w:rsidRPr="00EE79E3">
      <w:br/>
      <w:t>d/b/a PowerNet Global Communications</w:t>
    </w:r>
    <w:r w:rsidRPr="00EE79E3">
      <w:tab/>
    </w:r>
    <w:r>
      <w:t>First Revised</w:t>
    </w:r>
    <w:r w:rsidRPr="00EE79E3">
      <w:t xml:space="preserve"> Page </w:t>
    </w:r>
    <w:r>
      <w:t>21</w:t>
    </w:r>
  </w:p>
  <w:p w:rsidR="00781EBE" w:rsidRPr="00EE79E3" w:rsidRDefault="00781EBE" w:rsidP="00EE79E3">
    <w:pPr>
      <w:pBdr>
        <w:bottom w:val="single" w:sz="4" w:space="1" w:color="auto"/>
      </w:pBdr>
      <w:tabs>
        <w:tab w:val="right" w:pos="9360"/>
      </w:tabs>
      <w:jc w:val="both"/>
      <w:rPr>
        <w:noProof/>
      </w:rPr>
    </w:pPr>
    <w:r>
      <w:tab/>
      <w:t>Replaces Original Page 21</w:t>
    </w:r>
  </w:p>
  <w:p w:rsidR="00781EBE" w:rsidRPr="00EE79E3" w:rsidRDefault="00781EBE" w:rsidP="00EE79E3">
    <w:pPr>
      <w:tabs>
        <w:tab w:val="right" w:pos="9360"/>
      </w:tabs>
      <w:jc w:val="both"/>
      <w:rPr>
        <w:noProof/>
      </w:rPr>
    </w:pPr>
  </w:p>
  <w:p w:rsidR="00781EBE" w:rsidRDefault="00781EBE" w:rsidP="00EE79E3">
    <w:pPr>
      <w:tabs>
        <w:tab w:val="right" w:pos="9360"/>
      </w:tabs>
      <w:jc w:val="center"/>
      <w:rPr>
        <w:noProof/>
      </w:rPr>
    </w:pPr>
    <w:r>
      <w:rPr>
        <w:b/>
        <w:noProof/>
      </w:rPr>
      <w:t>SECTION 2</w:t>
    </w:r>
    <w:r w:rsidRPr="00EE79E3">
      <w:rPr>
        <w:b/>
        <w:noProof/>
      </w:rPr>
      <w:t xml:space="preserve"> – </w:t>
    </w:r>
    <w:r>
      <w:rPr>
        <w:b/>
        <w:noProof/>
      </w:rPr>
      <w:t>RULES AND REGULATIONS,</w:t>
    </w:r>
    <w:r w:rsidRPr="00EE79E3">
      <w:rPr>
        <w:noProof/>
      </w:rPr>
      <w:t xml:space="preserve"> Continued</w:t>
    </w:r>
  </w:p>
  <w:p w:rsidR="00781EBE" w:rsidRPr="00EE79E3" w:rsidRDefault="00781EBE" w:rsidP="00EE79E3">
    <w:pPr>
      <w:tabs>
        <w:tab w:val="right" w:pos="9360"/>
      </w:tabs>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rsidP="00EE79E3">
    <w:pPr>
      <w:pBdr>
        <w:bottom w:val="single" w:sz="4" w:space="1" w:color="auto"/>
      </w:pBdr>
      <w:tabs>
        <w:tab w:val="right" w:pos="9360"/>
      </w:tabs>
      <w:jc w:val="both"/>
    </w:pPr>
    <w:r w:rsidRPr="00EE79E3">
      <w:t>PNG Telecommunications</w:t>
    </w:r>
    <w:r w:rsidRPr="00EE79E3">
      <w:tab/>
      <w:t>PUCO No. 2</w:t>
    </w:r>
    <w:r w:rsidRPr="00EE79E3">
      <w:br/>
      <w:t>d/b/a PowerNet Global Communications</w:t>
    </w:r>
    <w:r w:rsidRPr="00EE79E3">
      <w:tab/>
    </w:r>
    <w:r>
      <w:t>First Revised</w:t>
    </w:r>
    <w:r w:rsidRPr="00EE79E3">
      <w:t xml:space="preserve"> Page </w:t>
    </w:r>
    <w:r>
      <w:t>23</w:t>
    </w:r>
  </w:p>
  <w:p w:rsidR="00781EBE" w:rsidRPr="00EE79E3" w:rsidRDefault="00781EBE" w:rsidP="00EE79E3">
    <w:pPr>
      <w:pBdr>
        <w:bottom w:val="single" w:sz="4" w:space="1" w:color="auto"/>
      </w:pBdr>
      <w:tabs>
        <w:tab w:val="right" w:pos="9360"/>
      </w:tabs>
      <w:jc w:val="both"/>
    </w:pPr>
    <w:r>
      <w:tab/>
      <w:t>Replaces Original Page 23</w:t>
    </w:r>
  </w:p>
  <w:p w:rsidR="00781EBE" w:rsidRPr="00EE79E3" w:rsidRDefault="00781EBE" w:rsidP="00EE79E3">
    <w:pPr>
      <w:tabs>
        <w:tab w:val="right" w:pos="9360"/>
      </w:tabs>
      <w:jc w:val="both"/>
      <w:rPr>
        <w:noProof/>
      </w:rPr>
    </w:pPr>
  </w:p>
  <w:p w:rsidR="00781EBE" w:rsidRDefault="00781EBE" w:rsidP="00EE79E3">
    <w:pPr>
      <w:tabs>
        <w:tab w:val="right" w:pos="9360"/>
      </w:tabs>
      <w:jc w:val="center"/>
      <w:rPr>
        <w:noProof/>
      </w:rPr>
    </w:pPr>
    <w:r>
      <w:rPr>
        <w:b/>
        <w:noProof/>
      </w:rPr>
      <w:t>SECTION 2</w:t>
    </w:r>
    <w:r w:rsidRPr="00EE79E3">
      <w:rPr>
        <w:b/>
        <w:noProof/>
      </w:rPr>
      <w:t xml:space="preserve"> – </w:t>
    </w:r>
    <w:r>
      <w:rPr>
        <w:b/>
        <w:noProof/>
      </w:rPr>
      <w:t>RULES AND REGULATIONS,</w:t>
    </w:r>
    <w:r w:rsidRPr="00EE79E3">
      <w:rPr>
        <w:noProof/>
      </w:rPr>
      <w:t xml:space="preserve"> Continued</w:t>
    </w:r>
  </w:p>
  <w:p w:rsidR="00781EBE" w:rsidRPr="00EE79E3" w:rsidRDefault="00781EBE" w:rsidP="00EE79E3">
    <w:pPr>
      <w:tabs>
        <w:tab w:val="right" w:pos="9360"/>
      </w:tabs>
      <w:jc w:val="center"/>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rsidP="00EE79E3">
    <w:pPr>
      <w:pBdr>
        <w:bottom w:val="single" w:sz="4" w:space="1" w:color="auto"/>
      </w:pBdr>
      <w:tabs>
        <w:tab w:val="right" w:pos="9360"/>
      </w:tabs>
      <w:jc w:val="both"/>
    </w:pPr>
    <w:r w:rsidRPr="00EE79E3">
      <w:t>PNG Telecommunications</w:t>
    </w:r>
    <w:r w:rsidRPr="00EE79E3">
      <w:tab/>
      <w:t>PUCO No. 2</w:t>
    </w:r>
    <w:r w:rsidRPr="00EE79E3">
      <w:br/>
      <w:t>d/b/a PowerNet Global Communications</w:t>
    </w:r>
    <w:r w:rsidRPr="00EE79E3">
      <w:tab/>
    </w:r>
    <w:r>
      <w:t xml:space="preserve">Original </w:t>
    </w:r>
    <w:r w:rsidRPr="00EE79E3">
      <w:t xml:space="preserve">Page </w:t>
    </w:r>
    <w:r>
      <w:t>23.1</w:t>
    </w:r>
  </w:p>
  <w:p w:rsidR="00781EBE" w:rsidRPr="00EE79E3" w:rsidRDefault="00781EBE" w:rsidP="00EE79E3">
    <w:pPr>
      <w:pBdr>
        <w:bottom w:val="single" w:sz="4" w:space="1" w:color="auto"/>
      </w:pBdr>
      <w:tabs>
        <w:tab w:val="right" w:pos="9360"/>
      </w:tabs>
      <w:jc w:val="both"/>
    </w:pPr>
    <w:r>
      <w:tab/>
    </w:r>
  </w:p>
  <w:p w:rsidR="00781EBE" w:rsidRPr="00EE79E3" w:rsidRDefault="00781EBE" w:rsidP="00EE79E3">
    <w:pPr>
      <w:tabs>
        <w:tab w:val="right" w:pos="9360"/>
      </w:tabs>
      <w:jc w:val="both"/>
      <w:rPr>
        <w:noProof/>
      </w:rPr>
    </w:pPr>
  </w:p>
  <w:p w:rsidR="00781EBE" w:rsidRDefault="00781EBE" w:rsidP="00EE79E3">
    <w:pPr>
      <w:tabs>
        <w:tab w:val="right" w:pos="9360"/>
      </w:tabs>
      <w:jc w:val="center"/>
      <w:rPr>
        <w:noProof/>
      </w:rPr>
    </w:pPr>
    <w:r>
      <w:rPr>
        <w:b/>
        <w:noProof/>
      </w:rPr>
      <w:t>SECTION 2</w:t>
    </w:r>
    <w:r w:rsidRPr="00EE79E3">
      <w:rPr>
        <w:b/>
        <w:noProof/>
      </w:rPr>
      <w:t xml:space="preserve"> – </w:t>
    </w:r>
    <w:r>
      <w:rPr>
        <w:b/>
        <w:noProof/>
      </w:rPr>
      <w:t>RULES AND REGULATIONS,</w:t>
    </w:r>
    <w:r w:rsidRPr="00EE79E3">
      <w:rPr>
        <w:noProof/>
      </w:rPr>
      <w:t xml:space="preserve"> Continued</w:t>
    </w:r>
  </w:p>
  <w:p w:rsidR="00781EBE" w:rsidRPr="00EE79E3" w:rsidRDefault="00781EBE" w:rsidP="00EE79E3">
    <w:pPr>
      <w:tabs>
        <w:tab w:val="right" w:pos="9360"/>
      </w:tabs>
      <w:jc w:val="center"/>
      <w:rPr>
        <w:noProo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BE" w:rsidRDefault="00781EBE" w:rsidP="00781EBE">
    <w:pPr>
      <w:pBdr>
        <w:bottom w:val="single" w:sz="4" w:space="1" w:color="auto"/>
      </w:pBdr>
      <w:tabs>
        <w:tab w:val="right" w:pos="9360"/>
      </w:tabs>
      <w:jc w:val="both"/>
    </w:pPr>
    <w:r w:rsidRPr="00EE79E3">
      <w:t>PNG Telecommunications</w:t>
    </w:r>
    <w:r w:rsidRPr="00EE79E3">
      <w:tab/>
      <w:t>PUCO No. 2</w:t>
    </w:r>
    <w:r w:rsidRPr="00EE79E3">
      <w:br/>
      <w:t>d/b/a PowerNet Global Communications</w:t>
    </w:r>
    <w:r w:rsidRPr="00EE79E3">
      <w:tab/>
    </w:r>
    <w:r>
      <w:t xml:space="preserve">First Revised </w:t>
    </w:r>
    <w:r w:rsidRPr="00EE79E3">
      <w:t xml:space="preserve">Page </w:t>
    </w:r>
    <w:r>
      <w:t>60</w:t>
    </w:r>
  </w:p>
  <w:p w:rsidR="00781EBE" w:rsidRDefault="00781EBE" w:rsidP="00781EBE">
    <w:pPr>
      <w:pBdr>
        <w:bottom w:val="single" w:sz="4" w:space="1" w:color="auto"/>
      </w:pBdr>
      <w:tabs>
        <w:tab w:val="right" w:pos="9360"/>
      </w:tabs>
      <w:jc w:val="both"/>
    </w:pPr>
    <w:r>
      <w:tab/>
      <w:t>Replaces Original Page 60</w:t>
    </w:r>
  </w:p>
  <w:p w:rsidR="00781EBE" w:rsidRPr="00EE79E3" w:rsidRDefault="00781EBE" w:rsidP="00781EBE">
    <w:pPr>
      <w:pBdr>
        <w:bottom w:val="single" w:sz="4" w:space="1" w:color="auto"/>
      </w:pBdr>
      <w:tabs>
        <w:tab w:val="right" w:pos="9360"/>
      </w:tabs>
      <w:jc w:val="both"/>
    </w:pPr>
    <w:r>
      <w:tab/>
    </w:r>
  </w:p>
  <w:p w:rsidR="00781EBE" w:rsidRPr="00EE79E3" w:rsidRDefault="00781EBE" w:rsidP="00781EBE">
    <w:pPr>
      <w:tabs>
        <w:tab w:val="right" w:pos="9360"/>
      </w:tabs>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BE"/>
    <w:rsid w:val="00045AAE"/>
    <w:rsid w:val="001726D8"/>
    <w:rsid w:val="00255CF7"/>
    <w:rsid w:val="002E590D"/>
    <w:rsid w:val="003265B8"/>
    <w:rsid w:val="003B3E9A"/>
    <w:rsid w:val="003C093F"/>
    <w:rsid w:val="005E5D07"/>
    <w:rsid w:val="006036E6"/>
    <w:rsid w:val="00781EBE"/>
    <w:rsid w:val="00862467"/>
    <w:rsid w:val="008C6B25"/>
    <w:rsid w:val="008F57A9"/>
    <w:rsid w:val="009512CC"/>
    <w:rsid w:val="009876D0"/>
    <w:rsid w:val="00AA2452"/>
    <w:rsid w:val="00C66A5C"/>
    <w:rsid w:val="00C751CB"/>
    <w:rsid w:val="00CA2C3A"/>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title"/>
  <w:smartTagType w:namespaceuri="urn:schemas-microsoft-com:office:smarttags" w:name="PostalCode"/>
  <w:smartTagType w:namespaceuri="urn:schemas:contacts" w:name="nameSuffix"/>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1EBE"/>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paragraph" w:styleId="BodyText">
    <w:name w:val="Body Text"/>
    <w:basedOn w:val="Normal"/>
    <w:link w:val="BodyTextChar"/>
    <w:rsid w:val="00781EBE"/>
    <w:pPr>
      <w:spacing w:after="260"/>
    </w:pPr>
    <w:rPr>
      <w:sz w:val="22"/>
    </w:rPr>
  </w:style>
  <w:style w:type="character" w:customStyle="1" w:styleId="BodyTextChar">
    <w:name w:val="Body Text Char"/>
    <w:basedOn w:val="DefaultParagraphFont"/>
    <w:link w:val="BodyText"/>
    <w:rsid w:val="00781EBE"/>
    <w:rPr>
      <w:rFonts w:eastAsia="Times New Roman" w:cs="Times New Roman"/>
      <w:sz w:val="22"/>
    </w:rPr>
  </w:style>
  <w:style w:type="paragraph" w:customStyle="1" w:styleId="Letter-Date">
    <w:name w:val="Letter - Date"/>
    <w:basedOn w:val="Normal"/>
    <w:rsid w:val="00781EBE"/>
    <w:pPr>
      <w:tabs>
        <w:tab w:val="center" w:pos="4680"/>
        <w:tab w:val="right" w:pos="9360"/>
      </w:tabs>
      <w:spacing w:after="260"/>
    </w:pPr>
    <w:rPr>
      <w:sz w:val="22"/>
    </w:rPr>
  </w:style>
  <w:style w:type="paragraph" w:customStyle="1" w:styleId="Letter-Re">
    <w:name w:val="Letter - Re"/>
    <w:basedOn w:val="Normal"/>
    <w:rsid w:val="00781EBE"/>
    <w:pPr>
      <w:spacing w:after="360"/>
      <w:ind w:left="460" w:hanging="460"/>
    </w:pPr>
    <w:rPr>
      <w:sz w:val="22"/>
    </w:rPr>
  </w:style>
  <w:style w:type="paragraph" w:customStyle="1" w:styleId="Letter-Salutation">
    <w:name w:val="Letter - Salutation"/>
    <w:basedOn w:val="Normal"/>
    <w:rsid w:val="00781EBE"/>
    <w:pPr>
      <w:spacing w:after="260"/>
    </w:pPr>
    <w:rPr>
      <w:sz w:val="22"/>
    </w:rPr>
  </w:style>
  <w:style w:type="paragraph" w:customStyle="1" w:styleId="Letter-Closing">
    <w:name w:val="Letter - Closing"/>
    <w:basedOn w:val="Normal"/>
    <w:rsid w:val="00781EBE"/>
    <w:pPr>
      <w:spacing w:after="1040"/>
    </w:pPr>
    <w:rPr>
      <w:sz w:val="22"/>
    </w:rPr>
  </w:style>
  <w:style w:type="paragraph" w:customStyle="1" w:styleId="Letter-InsideAddress">
    <w:name w:val="Letter - Inside Address"/>
    <w:basedOn w:val="Normal"/>
    <w:rsid w:val="00781EBE"/>
    <w:rPr>
      <w:sz w:val="22"/>
    </w:rPr>
  </w:style>
  <w:style w:type="character" w:customStyle="1" w:styleId="DocID">
    <w:name w:val="DocID"/>
    <w:rsid w:val="00781EBE"/>
    <w:rPr>
      <w:rFonts w:ascii="Times New Roman" w:hAnsi="Times New Roman" w:cs="Times New Roman"/>
      <w:b w:val="0"/>
      <w:i w:val="0"/>
      <w:color w:val="000000"/>
      <w:sz w:val="16"/>
      <w:szCs w:val="18"/>
      <w:u w:val="none"/>
    </w:rPr>
  </w:style>
  <w:style w:type="paragraph" w:styleId="BalloonText">
    <w:name w:val="Balloon Text"/>
    <w:basedOn w:val="Normal"/>
    <w:link w:val="BalloonTextChar"/>
    <w:uiPriority w:val="99"/>
    <w:semiHidden/>
    <w:unhideWhenUsed/>
    <w:rsid w:val="009876D0"/>
    <w:rPr>
      <w:rFonts w:ascii="Tahoma" w:hAnsi="Tahoma" w:cs="Tahoma"/>
      <w:sz w:val="16"/>
      <w:szCs w:val="16"/>
    </w:rPr>
  </w:style>
  <w:style w:type="character" w:customStyle="1" w:styleId="BalloonTextChar">
    <w:name w:val="Balloon Text Char"/>
    <w:basedOn w:val="DefaultParagraphFont"/>
    <w:link w:val="BalloonText"/>
    <w:uiPriority w:val="99"/>
    <w:semiHidden/>
    <w:rsid w:val="009876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1EBE"/>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paragraph" w:styleId="BodyText">
    <w:name w:val="Body Text"/>
    <w:basedOn w:val="Normal"/>
    <w:link w:val="BodyTextChar"/>
    <w:rsid w:val="00781EBE"/>
    <w:pPr>
      <w:spacing w:after="260"/>
    </w:pPr>
    <w:rPr>
      <w:sz w:val="22"/>
    </w:rPr>
  </w:style>
  <w:style w:type="character" w:customStyle="1" w:styleId="BodyTextChar">
    <w:name w:val="Body Text Char"/>
    <w:basedOn w:val="DefaultParagraphFont"/>
    <w:link w:val="BodyText"/>
    <w:rsid w:val="00781EBE"/>
    <w:rPr>
      <w:rFonts w:eastAsia="Times New Roman" w:cs="Times New Roman"/>
      <w:sz w:val="22"/>
    </w:rPr>
  </w:style>
  <w:style w:type="paragraph" w:customStyle="1" w:styleId="Letter-Date">
    <w:name w:val="Letter - Date"/>
    <w:basedOn w:val="Normal"/>
    <w:rsid w:val="00781EBE"/>
    <w:pPr>
      <w:tabs>
        <w:tab w:val="center" w:pos="4680"/>
        <w:tab w:val="right" w:pos="9360"/>
      </w:tabs>
      <w:spacing w:after="260"/>
    </w:pPr>
    <w:rPr>
      <w:sz w:val="22"/>
    </w:rPr>
  </w:style>
  <w:style w:type="paragraph" w:customStyle="1" w:styleId="Letter-Re">
    <w:name w:val="Letter - Re"/>
    <w:basedOn w:val="Normal"/>
    <w:rsid w:val="00781EBE"/>
    <w:pPr>
      <w:spacing w:after="360"/>
      <w:ind w:left="460" w:hanging="460"/>
    </w:pPr>
    <w:rPr>
      <w:sz w:val="22"/>
    </w:rPr>
  </w:style>
  <w:style w:type="paragraph" w:customStyle="1" w:styleId="Letter-Salutation">
    <w:name w:val="Letter - Salutation"/>
    <w:basedOn w:val="Normal"/>
    <w:rsid w:val="00781EBE"/>
    <w:pPr>
      <w:spacing w:after="260"/>
    </w:pPr>
    <w:rPr>
      <w:sz w:val="22"/>
    </w:rPr>
  </w:style>
  <w:style w:type="paragraph" w:customStyle="1" w:styleId="Letter-Closing">
    <w:name w:val="Letter - Closing"/>
    <w:basedOn w:val="Normal"/>
    <w:rsid w:val="00781EBE"/>
    <w:pPr>
      <w:spacing w:after="1040"/>
    </w:pPr>
    <w:rPr>
      <w:sz w:val="22"/>
    </w:rPr>
  </w:style>
  <w:style w:type="paragraph" w:customStyle="1" w:styleId="Letter-InsideAddress">
    <w:name w:val="Letter - Inside Address"/>
    <w:basedOn w:val="Normal"/>
    <w:rsid w:val="00781EBE"/>
    <w:rPr>
      <w:sz w:val="22"/>
    </w:rPr>
  </w:style>
  <w:style w:type="character" w:customStyle="1" w:styleId="DocID">
    <w:name w:val="DocID"/>
    <w:rsid w:val="00781EBE"/>
    <w:rPr>
      <w:rFonts w:ascii="Times New Roman" w:hAnsi="Times New Roman" w:cs="Times New Roman"/>
      <w:b w:val="0"/>
      <w:i w:val="0"/>
      <w:color w:val="000000"/>
      <w:sz w:val="16"/>
      <w:szCs w:val="18"/>
      <w:u w:val="none"/>
    </w:rPr>
  </w:style>
  <w:style w:type="paragraph" w:styleId="BalloonText">
    <w:name w:val="Balloon Text"/>
    <w:basedOn w:val="Normal"/>
    <w:link w:val="BalloonTextChar"/>
    <w:uiPriority w:val="99"/>
    <w:semiHidden/>
    <w:unhideWhenUsed/>
    <w:rsid w:val="009876D0"/>
    <w:rPr>
      <w:rFonts w:ascii="Tahoma" w:hAnsi="Tahoma" w:cs="Tahoma"/>
      <w:sz w:val="16"/>
      <w:szCs w:val="16"/>
    </w:rPr>
  </w:style>
  <w:style w:type="character" w:customStyle="1" w:styleId="BalloonTextChar">
    <w:name w:val="Balloon Text Char"/>
    <w:basedOn w:val="DefaultParagraphFont"/>
    <w:link w:val="BalloonText"/>
    <w:uiPriority w:val="99"/>
    <w:semiHidden/>
    <w:rsid w:val="009876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2012-07-02T13:59:00Z</dcterms:created>
  <dcterms:modified xsi:type="dcterms:W3CDTF">2012-07-02T13:59:00Z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ABAAVOAfoSrQoyx4F1tl3E48PqowwQmyQK7pwwz7ZrMW16dPMw4rgEZjvvVZH/KoXZIT</vt:lpwstr>
  </property>
  <property fmtid="{D5CDD505-2E9C-101B-9397-08002B2CF9AE}" pid="3" name="RESPONSE_SENDER_NAME">
    <vt:lpwstr>gAAAdya76B99d4hLGUR1rQ+8TxTv0GGEPdix</vt:lpwstr>
  </property>
  <property fmtid="{D5CDD505-2E9C-101B-9397-08002B2CF9AE}" pid="4" name="EMAIL_OWNER_ADDRESS">
    <vt:lpwstr>ABAAv4tRYjpfjUvxi2i37xeDoJS25tRz96YhqKp0EnTBVL2TJuOsDRewNnztO5Rd80Lp</vt:lpwstr>
  </property>
</Properties>
</file>