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2B8F6" w14:textId="77777777" w:rsidR="00905A5F" w:rsidRDefault="00E05C6A" w:rsidP="00E05C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BEFORE</w:t>
      </w:r>
      <w:r>
        <w:rPr>
          <w:rFonts w:ascii="Times New Roman" w:hAnsi="Times New Roman" w:cs="Times New Roman"/>
          <w:b/>
        </w:rPr>
        <w:br/>
        <w:t>THE PUBLIC UTILITIES COMMISSION OF OHIO</w:t>
      </w:r>
    </w:p>
    <w:p w14:paraId="4F8E6492" w14:textId="77777777" w:rsidR="00E05C6A" w:rsidRDefault="00E05C6A" w:rsidP="00E05C6A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360"/>
        <w:gridCol w:w="4608"/>
      </w:tblGrid>
      <w:tr w:rsidR="0021224F" w14:paraId="694EA7CB" w14:textId="77777777" w:rsidTr="0021224F">
        <w:tc>
          <w:tcPr>
            <w:tcW w:w="4608" w:type="dxa"/>
          </w:tcPr>
          <w:p w14:paraId="24B51F84" w14:textId="77777777" w:rsidR="0021224F" w:rsidRDefault="0021224F" w:rsidP="00212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 Matter of the Application of The East Ohio Gas Company d/b/a Dominion East Ohio for Approval of Tariffs to Adjust its Automated Meter Reading Cost Recovery Charge and Related Matters.</w:t>
            </w:r>
          </w:p>
          <w:p w14:paraId="5386C2B3" w14:textId="77777777" w:rsidR="0021224F" w:rsidRDefault="0021224F" w:rsidP="00212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3E82C42" w14:textId="77777777" w:rsidR="0021224F" w:rsidRDefault="0021224F" w:rsidP="00212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2CF6DB03" w14:textId="77777777" w:rsidR="0021224F" w:rsidRDefault="0021224F" w:rsidP="00212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153CBF76" w14:textId="77777777" w:rsidR="0021224F" w:rsidRDefault="0021224F" w:rsidP="00212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5689BC47" w14:textId="77777777" w:rsidR="0021224F" w:rsidRDefault="0021224F" w:rsidP="00212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7D08C249" w14:textId="77777777" w:rsidR="0021224F" w:rsidRDefault="0021224F" w:rsidP="00212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54126A32" w14:textId="77777777" w:rsidR="0021224F" w:rsidRDefault="0021224F" w:rsidP="00212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14:paraId="6180EDC8" w14:textId="77777777" w:rsidR="0021224F" w:rsidRDefault="0021224F" w:rsidP="0021224F">
            <w:pPr>
              <w:rPr>
                <w:rFonts w:ascii="Times New Roman" w:hAnsi="Times New Roman" w:cs="Times New Roman"/>
              </w:rPr>
            </w:pPr>
          </w:p>
          <w:p w14:paraId="2A2F07E5" w14:textId="77777777" w:rsidR="0021224F" w:rsidRDefault="0021224F" w:rsidP="0021224F">
            <w:pPr>
              <w:ind w:firstLine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No. 11-5843-GA-RDR</w:t>
            </w:r>
          </w:p>
        </w:tc>
      </w:tr>
      <w:tr w:rsidR="00E05C6A" w14:paraId="5E744B1E" w14:textId="77777777" w:rsidTr="00E05C6A">
        <w:tc>
          <w:tcPr>
            <w:tcW w:w="4608" w:type="dxa"/>
          </w:tcPr>
          <w:p w14:paraId="0987FB27" w14:textId="77777777" w:rsidR="00E05C6A" w:rsidRDefault="00E05C6A" w:rsidP="00A5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0BAC9EE" w14:textId="77777777" w:rsidR="00E05C6A" w:rsidRDefault="00E05C6A" w:rsidP="00212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14:paraId="58E1833B" w14:textId="77777777" w:rsidR="00E05C6A" w:rsidRDefault="00E05C6A" w:rsidP="00A573AD">
            <w:pPr>
              <w:ind w:firstLine="612"/>
              <w:rPr>
                <w:rFonts w:ascii="Times New Roman" w:hAnsi="Times New Roman" w:cs="Times New Roman"/>
              </w:rPr>
            </w:pPr>
          </w:p>
        </w:tc>
      </w:tr>
    </w:tbl>
    <w:p w14:paraId="012AB1AF" w14:textId="14AC26B1" w:rsidR="00E05C6A" w:rsidRDefault="00931881" w:rsidP="00E05C6A">
      <w:pPr>
        <w:jc w:val="center"/>
        <w:rPr>
          <w:rFonts w:ascii="Times New Roman" w:hAnsi="Times New Roman" w:cs="Times New Roman"/>
          <w:b/>
          <w:u w:val="single"/>
        </w:rPr>
      </w:pPr>
      <w:r w:rsidRPr="006E1AA0">
        <w:rPr>
          <w:rFonts w:ascii="Times New Roman" w:hAnsi="Times New Roman" w:cs="Times New Roman"/>
          <w:b/>
        </w:rPr>
        <w:t>MOTION TO STRIKE</w:t>
      </w:r>
      <w:r w:rsidR="00361141">
        <w:rPr>
          <w:rFonts w:ascii="Times New Roman" w:hAnsi="Times New Roman" w:cs="Times New Roman"/>
          <w:b/>
        </w:rPr>
        <w:t xml:space="preserve"> OF</w:t>
      </w:r>
      <w:r w:rsidR="00570596">
        <w:rPr>
          <w:rFonts w:ascii="Times New Roman" w:hAnsi="Times New Roman" w:cs="Times New Roman"/>
          <w:b/>
        </w:rPr>
        <w:br/>
      </w:r>
      <w:r w:rsidR="006E1AA0">
        <w:rPr>
          <w:rFonts w:ascii="Times New Roman" w:hAnsi="Times New Roman" w:cs="Times New Roman"/>
          <w:b/>
          <w:u w:val="single"/>
        </w:rPr>
        <w:t>THE EAST OHIO GAS COMPANY D/B/A DOMINION EAST OHIO</w:t>
      </w:r>
      <w:r w:rsidR="0021224F">
        <w:rPr>
          <w:rFonts w:ascii="Times New Roman" w:hAnsi="Times New Roman" w:cs="Times New Roman"/>
          <w:b/>
          <w:u w:val="single"/>
        </w:rPr>
        <w:br/>
      </w:r>
    </w:p>
    <w:p w14:paraId="01D321EA" w14:textId="2B550023" w:rsidR="003E6D5C" w:rsidRDefault="009A679F" w:rsidP="00361141">
      <w:pPr>
        <w:pStyle w:val="MemoBodyText"/>
      </w:pPr>
      <w:proofErr w:type="gramStart"/>
      <w:r>
        <w:t>Pursuant to</w:t>
      </w:r>
      <w:r w:rsidR="0021224F">
        <w:t xml:space="preserve"> </w:t>
      </w:r>
      <w:r w:rsidR="00570596">
        <w:t>Ohio Admin.</w:t>
      </w:r>
      <w:proofErr w:type="gramEnd"/>
      <w:r w:rsidR="00570596">
        <w:t xml:space="preserve"> Code </w:t>
      </w:r>
      <w:r>
        <w:t>4901-1-12(A)</w:t>
      </w:r>
      <w:r w:rsidR="0021224F">
        <w:t xml:space="preserve">, </w:t>
      </w:r>
      <w:r w:rsidR="00570596">
        <w:t>T</w:t>
      </w:r>
      <w:r w:rsidR="0021224F">
        <w:t xml:space="preserve">he East Ohio Gas Company d/b/a Dominion East Ohio </w:t>
      </w:r>
      <w:r w:rsidR="0052676D">
        <w:t xml:space="preserve">(“DEO”) </w:t>
      </w:r>
      <w:r w:rsidR="0021224F">
        <w:t>hereby files its motion to strike certain comments filed by the Office of the Ohio Consumers’ Counsel</w:t>
      </w:r>
      <w:r w:rsidR="0052676D">
        <w:t xml:space="preserve"> (“OCC”)</w:t>
      </w:r>
      <w:r w:rsidR="0021224F">
        <w:t xml:space="preserve"> and Ohio Partners for Affordable Energy </w:t>
      </w:r>
      <w:r w:rsidR="0052676D">
        <w:t xml:space="preserve">(“OPAE”) </w:t>
      </w:r>
      <w:r>
        <w:t>on April 6, 2012</w:t>
      </w:r>
      <w:r w:rsidR="0021224F">
        <w:t>.  The comments in question begin with Section B on page 3 and continue to the end of page 6.Reasons for granting this motion are set forth in the accompanying memorandum in support.</w:t>
      </w:r>
      <w:r w:rsidR="00570596">
        <w:t xml:space="preserve">  </w:t>
      </w:r>
    </w:p>
    <w:p w14:paraId="562B822C" w14:textId="77777777" w:rsidR="00DC66D7" w:rsidRDefault="00DC66D7" w:rsidP="00361141">
      <w:pPr>
        <w:pStyle w:val="MemoBodyText"/>
      </w:pPr>
    </w:p>
    <w:p w14:paraId="58D83FB8" w14:textId="077CB4AA" w:rsidR="0021224F" w:rsidRDefault="0021224F" w:rsidP="00DC66D7">
      <w:pPr>
        <w:pStyle w:val="MemoBodyText"/>
        <w:tabs>
          <w:tab w:val="left" w:pos="4770"/>
        </w:tabs>
        <w:ind w:firstLine="0"/>
      </w:pPr>
      <w:r>
        <w:t xml:space="preserve">Dated: </w:t>
      </w:r>
      <w:r w:rsidR="00570596">
        <w:t>April 10</w:t>
      </w:r>
      <w:r w:rsidR="009A679F">
        <w:t xml:space="preserve">, </w:t>
      </w:r>
      <w:r w:rsidRPr="0021224F">
        <w:t>2012</w:t>
      </w:r>
      <w:r w:rsidR="00DC66D7">
        <w:tab/>
      </w:r>
      <w:proofErr w:type="gramStart"/>
      <w:r>
        <w:t>Respectfully</w:t>
      </w:r>
      <w:proofErr w:type="gramEnd"/>
      <w:r>
        <w:t xml:space="preserve"> submitted,</w:t>
      </w:r>
    </w:p>
    <w:p w14:paraId="7B114929" w14:textId="77777777" w:rsidR="0021224F" w:rsidRDefault="0021224F" w:rsidP="00DC66D7">
      <w:pPr>
        <w:pStyle w:val="MemoBodyText"/>
        <w:ind w:left="4770" w:firstLine="0"/>
      </w:pPr>
      <w:r>
        <w:rPr>
          <w:u w:val="single"/>
        </w:rPr>
        <w:t>/s/ Mark A. Whitt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30A97F" w14:textId="77777777" w:rsidR="0021224F" w:rsidRDefault="0021224F" w:rsidP="00DC66D7">
      <w:pPr>
        <w:tabs>
          <w:tab w:val="left" w:pos="5040"/>
        </w:tabs>
        <w:ind w:left="4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A. Whitt (Counsel of Record)</w:t>
      </w:r>
    </w:p>
    <w:p w14:paraId="22E353DE" w14:textId="77777777" w:rsidR="0021224F" w:rsidRDefault="0021224F" w:rsidP="00DC66D7">
      <w:pPr>
        <w:tabs>
          <w:tab w:val="left" w:pos="5040"/>
        </w:tabs>
        <w:ind w:left="4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J. Campbell</w:t>
      </w:r>
    </w:p>
    <w:p w14:paraId="06152041" w14:textId="77777777" w:rsidR="0021224F" w:rsidRDefault="0021224F" w:rsidP="00DC66D7">
      <w:pPr>
        <w:tabs>
          <w:tab w:val="left" w:pos="5040"/>
        </w:tabs>
        <w:ind w:left="4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L. Thompson</w:t>
      </w:r>
    </w:p>
    <w:p w14:paraId="7382FE5B" w14:textId="77777777" w:rsidR="0021224F" w:rsidRDefault="0021224F" w:rsidP="00DC66D7">
      <w:pPr>
        <w:tabs>
          <w:tab w:val="left" w:pos="5040"/>
        </w:tabs>
        <w:ind w:left="4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WHITT STURTEVANT LLP</w:t>
      </w:r>
    </w:p>
    <w:p w14:paraId="0364D15D" w14:textId="77777777" w:rsidR="0021224F" w:rsidRDefault="0021224F" w:rsidP="00DC66D7">
      <w:pPr>
        <w:tabs>
          <w:tab w:val="left" w:pos="5040"/>
        </w:tabs>
        <w:ind w:left="4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PNC Plaza, Suite 2020</w:t>
      </w:r>
    </w:p>
    <w:p w14:paraId="4DC08A44" w14:textId="77777777" w:rsidR="0021224F" w:rsidRDefault="0021224F" w:rsidP="00DC66D7">
      <w:pPr>
        <w:tabs>
          <w:tab w:val="left" w:pos="5040"/>
        </w:tabs>
        <w:ind w:left="4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155 East Broad Street</w:t>
      </w:r>
    </w:p>
    <w:p w14:paraId="6E85365B" w14:textId="77777777" w:rsidR="0021224F" w:rsidRDefault="0021224F" w:rsidP="00DC66D7">
      <w:pPr>
        <w:tabs>
          <w:tab w:val="left" w:pos="5040"/>
        </w:tabs>
        <w:ind w:left="4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Columbus, Ohio 43215</w:t>
      </w:r>
    </w:p>
    <w:p w14:paraId="0783313B" w14:textId="77777777" w:rsidR="0021224F" w:rsidRDefault="0021224F" w:rsidP="00DC66D7">
      <w:pPr>
        <w:tabs>
          <w:tab w:val="left" w:pos="5040"/>
        </w:tabs>
        <w:ind w:left="4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(614) 224-3911</w:t>
      </w:r>
    </w:p>
    <w:p w14:paraId="4F0454C3" w14:textId="77777777" w:rsidR="0021224F" w:rsidRDefault="0021224F" w:rsidP="00DC66D7">
      <w:pPr>
        <w:tabs>
          <w:tab w:val="left" w:pos="5040"/>
        </w:tabs>
        <w:ind w:left="4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Facsimile:  (614) 224-3960</w:t>
      </w:r>
    </w:p>
    <w:p w14:paraId="74349CBF" w14:textId="77777777" w:rsidR="0021224F" w:rsidRDefault="0021224F" w:rsidP="00DC66D7">
      <w:pPr>
        <w:tabs>
          <w:tab w:val="left" w:pos="5040"/>
        </w:tabs>
        <w:ind w:left="4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whitt@whitt-sturtevant.com</w:t>
      </w:r>
    </w:p>
    <w:p w14:paraId="216E3869" w14:textId="77777777" w:rsidR="0021224F" w:rsidRDefault="0021224F" w:rsidP="00DC66D7">
      <w:pPr>
        <w:tabs>
          <w:tab w:val="left" w:pos="5040"/>
        </w:tabs>
        <w:ind w:left="4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campbell@whitt-sturtevant.com</w:t>
      </w:r>
    </w:p>
    <w:p w14:paraId="1C76D2B6" w14:textId="77777777" w:rsidR="0021224F" w:rsidRDefault="0021224F" w:rsidP="00DC66D7">
      <w:pPr>
        <w:tabs>
          <w:tab w:val="left" w:pos="5040"/>
        </w:tabs>
        <w:ind w:left="4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thompson@whitt-sturtevant.com</w:t>
      </w:r>
    </w:p>
    <w:p w14:paraId="157E5D4C" w14:textId="77777777" w:rsidR="0021224F" w:rsidRDefault="0021224F" w:rsidP="00DC66D7">
      <w:pPr>
        <w:tabs>
          <w:tab w:val="left" w:pos="5040"/>
        </w:tabs>
        <w:ind w:left="4770"/>
        <w:rPr>
          <w:rFonts w:ascii="Times New Roman" w:hAnsi="Times New Roman" w:cs="Times New Roman"/>
        </w:rPr>
      </w:pPr>
    </w:p>
    <w:p w14:paraId="2BCDE389" w14:textId="783C869B" w:rsidR="00570596" w:rsidRDefault="0021224F" w:rsidP="00DC66D7">
      <w:pPr>
        <w:tabs>
          <w:tab w:val="left" w:pos="5040"/>
        </w:tabs>
        <w:ind w:left="4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ATTORNEYS FOR THE EAST OHIO GAS COMPANY D/B/A DOMINION EAST OHIO</w:t>
      </w:r>
    </w:p>
    <w:p w14:paraId="01DF1A41" w14:textId="77777777" w:rsidR="00665F00" w:rsidRDefault="00665F00" w:rsidP="0021224F">
      <w:pPr>
        <w:tabs>
          <w:tab w:val="left" w:pos="5040"/>
        </w:tabs>
        <w:ind w:left="5040"/>
        <w:rPr>
          <w:rFonts w:ascii="Times New Roman" w:hAnsi="Times New Roman" w:cs="Times New Roman"/>
        </w:rPr>
        <w:sectPr w:rsidR="00665F00" w:rsidSect="0032154A"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7FAC31F" w14:textId="77777777" w:rsidR="006E1AA0" w:rsidRDefault="006E1AA0" w:rsidP="006E1A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BEFORE</w:t>
      </w:r>
      <w:r>
        <w:rPr>
          <w:rFonts w:ascii="Times New Roman" w:hAnsi="Times New Roman" w:cs="Times New Roman"/>
          <w:b/>
        </w:rPr>
        <w:br/>
        <w:t>THE PUBLIC UTILITIES COMMISSION OF OHIO</w:t>
      </w:r>
    </w:p>
    <w:p w14:paraId="5A1C355B" w14:textId="77777777" w:rsidR="006E1AA0" w:rsidRDefault="006E1AA0" w:rsidP="006E1AA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360"/>
        <w:gridCol w:w="4608"/>
      </w:tblGrid>
      <w:tr w:rsidR="006E1AA0" w14:paraId="2852F2E2" w14:textId="77777777" w:rsidTr="006E1AA0">
        <w:tc>
          <w:tcPr>
            <w:tcW w:w="4608" w:type="dxa"/>
          </w:tcPr>
          <w:p w14:paraId="0737CDA3" w14:textId="77777777" w:rsidR="006E1AA0" w:rsidRDefault="006E1AA0" w:rsidP="006E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 Matter of the Application of The East Ohio Gas Company d/b/a Dominion East Ohio for Approval of Tariffs to Adjust its Automated Meter Reading Cost Recovery Charge and Related Matters.</w:t>
            </w:r>
          </w:p>
          <w:p w14:paraId="02D89712" w14:textId="77777777" w:rsidR="006E1AA0" w:rsidRDefault="006E1AA0" w:rsidP="006E1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A285180" w14:textId="77777777" w:rsidR="006E1AA0" w:rsidRDefault="006E1AA0" w:rsidP="006E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07CB6BAE" w14:textId="77777777" w:rsidR="006E1AA0" w:rsidRDefault="006E1AA0" w:rsidP="006E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21EEA3F7" w14:textId="77777777" w:rsidR="006E1AA0" w:rsidRDefault="006E1AA0" w:rsidP="006E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5B150595" w14:textId="77777777" w:rsidR="006E1AA0" w:rsidRDefault="006E1AA0" w:rsidP="006E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50841093" w14:textId="77777777" w:rsidR="006E1AA0" w:rsidRDefault="006E1AA0" w:rsidP="006E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757CC35F" w14:textId="77777777" w:rsidR="006E1AA0" w:rsidRDefault="006E1AA0" w:rsidP="006E1A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14:paraId="4E6009E6" w14:textId="77777777" w:rsidR="006E1AA0" w:rsidRDefault="006E1AA0" w:rsidP="006E1AA0">
            <w:pPr>
              <w:rPr>
                <w:rFonts w:ascii="Times New Roman" w:hAnsi="Times New Roman" w:cs="Times New Roman"/>
              </w:rPr>
            </w:pPr>
          </w:p>
          <w:p w14:paraId="71901412" w14:textId="77777777" w:rsidR="00D62527" w:rsidRDefault="00D62527" w:rsidP="006E1AA0">
            <w:pPr>
              <w:ind w:firstLine="612"/>
              <w:rPr>
                <w:rFonts w:ascii="Times New Roman" w:hAnsi="Times New Roman" w:cs="Times New Roman"/>
              </w:rPr>
            </w:pPr>
          </w:p>
          <w:p w14:paraId="55689618" w14:textId="77777777" w:rsidR="006E1AA0" w:rsidRDefault="006E1AA0" w:rsidP="006E1AA0">
            <w:pPr>
              <w:ind w:firstLine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No. 11-5843-GA-RDR</w:t>
            </w:r>
          </w:p>
        </w:tc>
      </w:tr>
      <w:tr w:rsidR="006E1AA0" w14:paraId="79AE50E1" w14:textId="77777777" w:rsidTr="006E1AA0">
        <w:tc>
          <w:tcPr>
            <w:tcW w:w="4608" w:type="dxa"/>
          </w:tcPr>
          <w:p w14:paraId="113C8B9D" w14:textId="77777777" w:rsidR="006E1AA0" w:rsidRDefault="006E1AA0" w:rsidP="006E1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AC4D2C3" w14:textId="77777777" w:rsidR="006E1AA0" w:rsidRDefault="006E1AA0" w:rsidP="006E1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14:paraId="4BD65CAE" w14:textId="77777777" w:rsidR="006E1AA0" w:rsidRDefault="006E1AA0" w:rsidP="006E1AA0">
            <w:pPr>
              <w:ind w:firstLine="612"/>
              <w:rPr>
                <w:rFonts w:ascii="Times New Roman" w:hAnsi="Times New Roman" w:cs="Times New Roman"/>
              </w:rPr>
            </w:pPr>
          </w:p>
        </w:tc>
      </w:tr>
    </w:tbl>
    <w:p w14:paraId="2F61C77E" w14:textId="7794CE08" w:rsidR="006E1AA0" w:rsidRDefault="006E1AA0" w:rsidP="006E1AA0">
      <w:pPr>
        <w:jc w:val="center"/>
        <w:rPr>
          <w:rFonts w:ascii="Times New Roman" w:hAnsi="Times New Roman" w:cs="Times New Roman"/>
          <w:b/>
          <w:u w:val="single"/>
        </w:rPr>
      </w:pPr>
      <w:r w:rsidRPr="007D41E6">
        <w:rPr>
          <w:rFonts w:ascii="Times New Roman" w:hAnsi="Times New Roman" w:cs="Times New Roman"/>
          <w:b/>
        </w:rPr>
        <w:t xml:space="preserve">MEMORANDUM IN SUPPORT </w:t>
      </w:r>
      <w:r w:rsidR="00EA4A9F">
        <w:rPr>
          <w:rFonts w:ascii="Times New Roman" w:hAnsi="Times New Roman" w:cs="Times New Roman"/>
          <w:b/>
        </w:rPr>
        <w:t xml:space="preserve">OF </w:t>
      </w:r>
      <w:bookmarkStart w:id="0" w:name="_GoBack"/>
      <w:bookmarkEnd w:id="0"/>
      <w:r w:rsidRPr="00361141">
        <w:rPr>
          <w:rFonts w:ascii="Times New Roman" w:hAnsi="Times New Roman" w:cs="Times New Roman"/>
          <w:b/>
        </w:rPr>
        <w:t>MOTION TO STRIKE</w:t>
      </w:r>
      <w:r w:rsidR="00361141" w:rsidRPr="00361141">
        <w:rPr>
          <w:rFonts w:ascii="Times New Roman" w:hAnsi="Times New Roman" w:cs="Times New Roman"/>
          <w:b/>
        </w:rPr>
        <w:t xml:space="preserve"> OF</w:t>
      </w:r>
    </w:p>
    <w:p w14:paraId="76F2FC27" w14:textId="0986E5E2" w:rsidR="00361141" w:rsidRPr="006E1AA0" w:rsidRDefault="00361141" w:rsidP="006E1AA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THE EAST OHIO GAS COMPANY D/B/A DOMINION EAST OHIO</w:t>
      </w:r>
    </w:p>
    <w:p w14:paraId="552EFB13" w14:textId="77777777" w:rsidR="00E05C6A" w:rsidRDefault="00E05C6A" w:rsidP="00E05C6A">
      <w:pPr>
        <w:jc w:val="center"/>
        <w:rPr>
          <w:rFonts w:ascii="Times New Roman" w:hAnsi="Times New Roman" w:cs="Times New Roman"/>
        </w:rPr>
      </w:pPr>
    </w:p>
    <w:p w14:paraId="0662DAA1" w14:textId="77777777" w:rsidR="00C56BDD" w:rsidRDefault="00C56BDD" w:rsidP="006E1AA0">
      <w:pPr>
        <w:pStyle w:val="MemoHeading1"/>
        <w:ind w:left="180"/>
      </w:pPr>
      <w:r>
        <w:t>Introduction</w:t>
      </w:r>
    </w:p>
    <w:p w14:paraId="762265A9" w14:textId="7380CE5B" w:rsidR="009A679F" w:rsidRDefault="0052676D" w:rsidP="006E1AA0">
      <w:pPr>
        <w:pStyle w:val="MemoBodyText"/>
      </w:pPr>
      <w:r>
        <w:t>DEO filed its application in this case on February 28, 2012.  The Commission, through a procedural entry, authorized “</w:t>
      </w:r>
      <w:r w:rsidRPr="009A679F">
        <w:t>Staff and intervenors to file comments on the application</w:t>
      </w:r>
      <w:r>
        <w:t xml:space="preserve">” by April 6, 2012.  </w:t>
      </w:r>
      <w:proofErr w:type="gramStart"/>
      <w:r>
        <w:t>Entry 2 (Mar. 30, 2012).</w:t>
      </w:r>
      <w:proofErr w:type="gramEnd"/>
      <w:r>
        <w:t xml:space="preserve"> OCC and OPAE, who had both intervened, filed joint comments that day.  </w:t>
      </w:r>
      <w:r w:rsidR="006E1AA0">
        <w:t xml:space="preserve">Roughly three-and-a-half pages of </w:t>
      </w:r>
      <w:r w:rsidR="00740044">
        <w:t>their</w:t>
      </w:r>
      <w:r w:rsidR="006E1AA0">
        <w:t xml:space="preserve"> comments are irrelevant to DEO’s application and beyond the authorization of the procedural entry.  </w:t>
      </w:r>
      <w:r w:rsidR="009A679F">
        <w:t xml:space="preserve">They are also entirely misguided.  </w:t>
      </w:r>
      <w:r w:rsidR="006E1AA0">
        <w:t xml:space="preserve">For </w:t>
      </w:r>
      <w:r w:rsidR="00532F95">
        <w:t xml:space="preserve">these </w:t>
      </w:r>
      <w:r w:rsidR="006E1AA0">
        <w:t>reasons</w:t>
      </w:r>
      <w:r w:rsidR="00532F95">
        <w:t>, as</w:t>
      </w:r>
      <w:r w:rsidR="006E1AA0">
        <w:t xml:space="preserve"> discussed </w:t>
      </w:r>
      <w:r w:rsidR="00532F95">
        <w:t xml:space="preserve">more fully </w:t>
      </w:r>
      <w:r w:rsidR="006E1AA0">
        <w:t xml:space="preserve">below, these comments should be stricken from </w:t>
      </w:r>
      <w:proofErr w:type="gramStart"/>
      <w:r>
        <w:t>their</w:t>
      </w:r>
      <w:proofErr w:type="gramEnd"/>
      <w:r>
        <w:t xml:space="preserve"> April 6 filing</w:t>
      </w:r>
      <w:r w:rsidR="006E1AA0">
        <w:t xml:space="preserve">. </w:t>
      </w:r>
    </w:p>
    <w:p w14:paraId="10C1C572" w14:textId="77777777" w:rsidR="006E1AA0" w:rsidRDefault="006E1AA0" w:rsidP="006E1AA0">
      <w:pPr>
        <w:pStyle w:val="MemoHeading1"/>
        <w:ind w:left="180"/>
      </w:pPr>
      <w:r>
        <w:t>Argument</w:t>
      </w:r>
    </w:p>
    <w:p w14:paraId="74C0510C" w14:textId="18FE8910" w:rsidR="00646759" w:rsidRDefault="00646759" w:rsidP="00646759">
      <w:pPr>
        <w:pStyle w:val="MemoHeading2"/>
        <w:ind w:left="720"/>
      </w:pPr>
      <w:r>
        <w:t>OCC</w:t>
      </w:r>
      <w:r w:rsidR="0052676D">
        <w:t xml:space="preserve"> and OPAE</w:t>
      </w:r>
      <w:r>
        <w:t xml:space="preserve">’s comments </w:t>
      </w:r>
      <w:r w:rsidR="0052676D">
        <w:t>address a hypothetical issue outside the scope of this proceeding</w:t>
      </w:r>
      <w:r>
        <w:t>.</w:t>
      </w:r>
    </w:p>
    <w:p w14:paraId="10F220C3" w14:textId="2C159DF2" w:rsidR="006E1AA0" w:rsidRDefault="0052676D" w:rsidP="006E1AA0">
      <w:pPr>
        <w:pStyle w:val="MemoBodyText"/>
      </w:pPr>
      <w:r>
        <w:t>T</w:t>
      </w:r>
      <w:r w:rsidR="00931881">
        <w:t xml:space="preserve">he </w:t>
      </w:r>
      <w:r w:rsidR="006E1AA0">
        <w:t xml:space="preserve">majority </w:t>
      </w:r>
      <w:r w:rsidR="00931881">
        <w:t xml:space="preserve">of </w:t>
      </w:r>
      <w:r>
        <w:t xml:space="preserve">OCC and OPAE’s </w:t>
      </w:r>
      <w:r w:rsidR="00931881">
        <w:t xml:space="preserve">comments </w:t>
      </w:r>
      <w:r>
        <w:t xml:space="preserve">have </w:t>
      </w:r>
      <w:r w:rsidR="00646759">
        <w:t xml:space="preserve">nothing to do with </w:t>
      </w:r>
      <w:r w:rsidR="00931881">
        <w:t xml:space="preserve">this case.  </w:t>
      </w:r>
      <w:r w:rsidR="006E1AA0">
        <w:t xml:space="preserve">In fact, </w:t>
      </w:r>
      <w:r>
        <w:t xml:space="preserve">they have </w:t>
      </w:r>
      <w:r w:rsidR="006E1AA0" w:rsidRPr="006E1AA0">
        <w:rPr>
          <w:i/>
        </w:rPr>
        <w:t xml:space="preserve">no </w:t>
      </w:r>
      <w:r w:rsidR="006E1AA0">
        <w:t xml:space="preserve">comment regarding this case: “OCC </w:t>
      </w:r>
      <w:r>
        <w:t xml:space="preserve">and OPAE have </w:t>
      </w:r>
      <w:r w:rsidR="00931881">
        <w:t>no Comments</w:t>
      </w:r>
      <w:r w:rsidR="00A01F35">
        <w:t xml:space="preserve"> to this particular</w:t>
      </w:r>
      <w:r w:rsidR="00F570C1">
        <w:t xml:space="preserve"> </w:t>
      </w:r>
      <w:r w:rsidR="00A01F35">
        <w:t>A</w:t>
      </w:r>
      <w:r w:rsidR="00F570C1">
        <w:t>pplication</w:t>
      </w:r>
      <w:r w:rsidR="00931881">
        <w:t xml:space="preserve">.”  </w:t>
      </w:r>
      <w:r w:rsidR="00900B2E">
        <w:t>(</w:t>
      </w:r>
      <w:r w:rsidR="00931881">
        <w:t>OCC</w:t>
      </w:r>
      <w:r>
        <w:t xml:space="preserve"> &amp; OPAE</w:t>
      </w:r>
      <w:r w:rsidR="00931881">
        <w:t xml:space="preserve"> C</w:t>
      </w:r>
      <w:r w:rsidR="00900B2E">
        <w:t>omments 3 (capitalization sic).)</w:t>
      </w:r>
      <w:r w:rsidR="00931881">
        <w:t xml:space="preserve">  </w:t>
      </w:r>
    </w:p>
    <w:p w14:paraId="33DFA5CB" w14:textId="2ADC3F1F" w:rsidR="00F570C1" w:rsidRDefault="00931881" w:rsidP="006E1AA0">
      <w:pPr>
        <w:pStyle w:val="MemoBodyText"/>
      </w:pPr>
      <w:r>
        <w:t>That should have been the end of the document</w:t>
      </w:r>
      <w:r w:rsidR="00F570C1">
        <w:t>—“</w:t>
      </w:r>
      <w:r w:rsidR="00A01F35">
        <w:t>this particular</w:t>
      </w:r>
      <w:r w:rsidR="00F570C1">
        <w:t xml:space="preserve"> </w:t>
      </w:r>
      <w:r w:rsidR="00A01F35">
        <w:t>A</w:t>
      </w:r>
      <w:r w:rsidR="00F570C1">
        <w:t xml:space="preserve">pplication” is the only thing OCC </w:t>
      </w:r>
      <w:r w:rsidR="0052676D">
        <w:t xml:space="preserve">and OPAE are </w:t>
      </w:r>
      <w:r w:rsidR="00F570C1">
        <w:t>entitled to comment upon</w:t>
      </w:r>
      <w:r>
        <w:t xml:space="preserve">.  </w:t>
      </w:r>
      <w:r w:rsidR="00F570C1">
        <w:t>The entry authorizing comments stated that April 6 was the “[</w:t>
      </w:r>
      <w:proofErr w:type="gramStart"/>
      <w:r w:rsidR="00F570C1">
        <w:t>d]eadline</w:t>
      </w:r>
      <w:proofErr w:type="gramEnd"/>
      <w:r w:rsidR="00F570C1">
        <w:t xml:space="preserve"> for . . . </w:t>
      </w:r>
      <w:r w:rsidR="00F570C1" w:rsidRPr="00931881">
        <w:t xml:space="preserve">intervenors to file comments </w:t>
      </w:r>
      <w:r w:rsidR="00F570C1" w:rsidRPr="00931881">
        <w:rPr>
          <w:i/>
        </w:rPr>
        <w:t>on the application</w:t>
      </w:r>
      <w:r w:rsidR="00D503BA">
        <w:t xml:space="preserve">,” </w:t>
      </w:r>
      <w:r w:rsidR="00F570C1">
        <w:t xml:space="preserve">which </w:t>
      </w:r>
      <w:r w:rsidR="00D503BA">
        <w:t xml:space="preserve">could </w:t>
      </w:r>
      <w:r w:rsidR="00F570C1">
        <w:t xml:space="preserve">only </w:t>
      </w:r>
      <w:r w:rsidR="00D503BA">
        <w:t xml:space="preserve">have </w:t>
      </w:r>
      <w:r w:rsidR="00F570C1">
        <w:t>mean</w:t>
      </w:r>
      <w:r w:rsidR="00D503BA">
        <w:t>t</w:t>
      </w:r>
      <w:r w:rsidR="00F570C1">
        <w:t xml:space="preserve"> the application filed in </w:t>
      </w:r>
      <w:r w:rsidR="00F570C1">
        <w:rPr>
          <w:i/>
        </w:rPr>
        <w:t xml:space="preserve">this </w:t>
      </w:r>
      <w:r w:rsidR="00C32E15">
        <w:t>case on February 28, 2012.</w:t>
      </w:r>
      <w:r w:rsidR="00F570C1">
        <w:t xml:space="preserve"> </w:t>
      </w:r>
      <w:r w:rsidR="00C32E15">
        <w:t xml:space="preserve"> </w:t>
      </w:r>
      <w:proofErr w:type="gramStart"/>
      <w:r w:rsidR="00D503BA">
        <w:t xml:space="preserve">Entry 2 (Mar. 30, 2012) (emphasis added); </w:t>
      </w:r>
      <w:r w:rsidR="00D503BA">
        <w:rPr>
          <w:i/>
        </w:rPr>
        <w:t>see also id.</w:t>
      </w:r>
      <w:proofErr w:type="gramEnd"/>
      <w:r w:rsidR="00D503BA">
        <w:t xml:space="preserve"> </w:t>
      </w:r>
      <w:proofErr w:type="gramStart"/>
      <w:r w:rsidR="00D503BA">
        <w:t>at</w:t>
      </w:r>
      <w:proofErr w:type="gramEnd"/>
      <w:r w:rsidR="00D503BA">
        <w:t xml:space="preserve"> 1</w:t>
      </w:r>
      <w:r w:rsidR="00F570C1" w:rsidRPr="00931881">
        <w:t>.</w:t>
      </w:r>
      <w:r w:rsidR="00F570C1">
        <w:t xml:space="preserve"> </w:t>
      </w:r>
    </w:p>
    <w:p w14:paraId="25E82521" w14:textId="5D8422CE" w:rsidR="00931881" w:rsidRDefault="003C1D74" w:rsidP="00931881">
      <w:pPr>
        <w:pStyle w:val="MemoBodyText"/>
      </w:pPr>
      <w:r>
        <w:t xml:space="preserve">Nevertheless, </w:t>
      </w:r>
      <w:r w:rsidR="00D503BA">
        <w:t xml:space="preserve">despite </w:t>
      </w:r>
      <w:r>
        <w:t xml:space="preserve">having stated that it has “no Comments,” </w:t>
      </w:r>
      <w:r w:rsidR="00931881">
        <w:t>OCC</w:t>
      </w:r>
      <w:r w:rsidR="0052676D">
        <w:t xml:space="preserve"> and OPAE go</w:t>
      </w:r>
      <w:r w:rsidR="00931881">
        <w:t xml:space="preserve"> on to discuss something that has not happened yet: DEO’s “2012 AMR Pro</w:t>
      </w:r>
      <w:r w:rsidR="00900B2E">
        <w:t>ceeding.”  (OCC</w:t>
      </w:r>
      <w:r w:rsidR="0052676D">
        <w:t xml:space="preserve"> &amp; OPAE</w:t>
      </w:r>
      <w:r w:rsidR="00900B2E">
        <w:t xml:space="preserve"> Comments 3</w:t>
      </w:r>
      <w:r w:rsidR="00931881">
        <w:t xml:space="preserve">.)  </w:t>
      </w:r>
      <w:r w:rsidR="0052676D">
        <w:t xml:space="preserve">They </w:t>
      </w:r>
      <w:r w:rsidR="00931881">
        <w:t xml:space="preserve">then </w:t>
      </w:r>
      <w:r w:rsidR="0052676D">
        <w:t>spend</w:t>
      </w:r>
      <w:r>
        <w:t xml:space="preserve"> the remainder of the document describing</w:t>
      </w:r>
      <w:r w:rsidR="00931881">
        <w:t xml:space="preserve"> </w:t>
      </w:r>
      <w:r w:rsidR="0052676D">
        <w:t xml:space="preserve">their </w:t>
      </w:r>
      <w:r w:rsidR="00931881">
        <w:t xml:space="preserve">position regarding issues that may arise in </w:t>
      </w:r>
      <w:r w:rsidR="0052676D">
        <w:t xml:space="preserve">a </w:t>
      </w:r>
      <w:r w:rsidR="00931881">
        <w:t xml:space="preserve">nonexistent case.  </w:t>
      </w:r>
    </w:p>
    <w:p w14:paraId="55E5284C" w14:textId="73D23D9E" w:rsidR="00CE3536" w:rsidRPr="001F2E44" w:rsidRDefault="00931881" w:rsidP="001F2E44">
      <w:pPr>
        <w:pStyle w:val="MemoBodyText"/>
      </w:pPr>
      <w:r>
        <w:t xml:space="preserve">OCC </w:t>
      </w:r>
      <w:r w:rsidR="0052676D">
        <w:t xml:space="preserve">and OPAE are </w:t>
      </w:r>
      <w:r>
        <w:t xml:space="preserve">entitled to </w:t>
      </w:r>
      <w:r w:rsidR="0052676D">
        <w:t xml:space="preserve">their </w:t>
      </w:r>
      <w:r w:rsidR="00CE3536">
        <w:t>opinions</w:t>
      </w:r>
      <w:r>
        <w:t>, but</w:t>
      </w:r>
      <w:r w:rsidR="00F570C1">
        <w:t xml:space="preserve"> </w:t>
      </w:r>
      <w:r w:rsidR="0021224F">
        <w:t xml:space="preserve">this forum is not </w:t>
      </w:r>
      <w:r w:rsidR="0052676D">
        <w:t xml:space="preserve">their </w:t>
      </w:r>
      <w:r w:rsidR="0021224F">
        <w:t>soapbox</w:t>
      </w:r>
      <w:r>
        <w:t xml:space="preserve">. </w:t>
      </w:r>
      <w:r w:rsidR="00F570C1">
        <w:t xml:space="preserve"> </w:t>
      </w:r>
      <w:r w:rsidR="00CE3536">
        <w:t xml:space="preserve">As </w:t>
      </w:r>
      <w:r w:rsidR="00F570C1">
        <w:t xml:space="preserve">OCC </w:t>
      </w:r>
      <w:r w:rsidR="00795652">
        <w:t>and OPAE acknowledge</w:t>
      </w:r>
      <w:r w:rsidR="00CE3536">
        <w:t xml:space="preserve">, </w:t>
      </w:r>
      <w:r w:rsidR="00795652">
        <w:t xml:space="preserve">their </w:t>
      </w:r>
      <w:r w:rsidR="00CE3536">
        <w:t xml:space="preserve">comments from the beginning of Section B on page 3 to the end of page 6 have nothing to do with </w:t>
      </w:r>
      <w:r w:rsidR="00F570C1">
        <w:t xml:space="preserve">this application.  That being the case, they are irrelevant </w:t>
      </w:r>
      <w:r w:rsidR="00A01F35">
        <w:t xml:space="preserve">and </w:t>
      </w:r>
      <w:r w:rsidR="00F570C1">
        <w:t xml:space="preserve">unauthorized </w:t>
      </w:r>
      <w:r w:rsidR="00A01F35">
        <w:t xml:space="preserve">by the procedural entry </w:t>
      </w:r>
      <w:r w:rsidR="00F570C1">
        <w:t>and should be struck from the record</w:t>
      </w:r>
      <w:r w:rsidR="00CE3536">
        <w:t>.</w:t>
      </w:r>
      <w:r w:rsidR="00A01F35">
        <w:t xml:space="preserve">  </w:t>
      </w:r>
      <w:r w:rsidR="00A01F35">
        <w:rPr>
          <w:i/>
        </w:rPr>
        <w:t>In re Columbus S. Power Co.</w:t>
      </w:r>
      <w:r w:rsidR="00A01F35">
        <w:t>, Case No. 08-917-EL-SSO, Entry 10–12 (July 19, 2011) (granting motion to strike in part; testimony was</w:t>
      </w:r>
      <w:r w:rsidR="00A01F35">
        <w:rPr>
          <w:i/>
        </w:rPr>
        <w:t xml:space="preserve"> </w:t>
      </w:r>
      <w:r w:rsidR="00A01F35">
        <w:t>“</w:t>
      </w:r>
      <w:r w:rsidR="00A01F35" w:rsidRPr="00A01F35">
        <w:t xml:space="preserve">irrelevant and contrary to </w:t>
      </w:r>
      <w:r w:rsidR="00A01F35">
        <w:t xml:space="preserve">[an] </w:t>
      </w:r>
      <w:r w:rsidR="00A01F35" w:rsidRPr="00A01F35">
        <w:t>entry on rehearing and</w:t>
      </w:r>
      <w:r w:rsidR="00A01F35">
        <w:t xml:space="preserve">, therefore, should be stricken”); </w:t>
      </w:r>
      <w:r w:rsidR="00A01F35">
        <w:rPr>
          <w:i/>
        </w:rPr>
        <w:t>In re Complaint of OHIOTELNET.COM v. Windstream Ohio, Inc.</w:t>
      </w:r>
      <w:r w:rsidR="00A01F35">
        <w:t xml:space="preserve">, </w:t>
      </w:r>
      <w:r w:rsidR="00A01F35" w:rsidRPr="00A01F35">
        <w:t>Case No. 09-515-TP-CSS</w:t>
      </w:r>
      <w:r w:rsidR="00A01F35">
        <w:t>, Entry 8 (Dec. 1, 2010) (striking testimony relating to claims that “</w:t>
      </w:r>
      <w:r w:rsidR="00A01F35" w:rsidRPr="00A01F35">
        <w:t>f</w:t>
      </w:r>
      <w:r w:rsidR="00A01F35">
        <w:t>a</w:t>
      </w:r>
      <w:r w:rsidR="00A01F35" w:rsidRPr="00A01F35">
        <w:t xml:space="preserve">ll outside the </w:t>
      </w:r>
      <w:r w:rsidR="00A01F35" w:rsidRPr="00A01F35">
        <w:rPr>
          <w:bCs/>
        </w:rPr>
        <w:t>scope</w:t>
      </w:r>
      <w:r w:rsidR="00A01F35" w:rsidRPr="00A01F35">
        <w:t xml:space="preserve"> of the complaint</w:t>
      </w:r>
      <w:r w:rsidR="00A01F35">
        <w:t>”)</w:t>
      </w:r>
      <w:r w:rsidR="0075093D">
        <w:t xml:space="preserve">; </w:t>
      </w:r>
      <w:r w:rsidR="0075093D">
        <w:rPr>
          <w:i/>
        </w:rPr>
        <w:t>In re Application of Ohio Power Co.</w:t>
      </w:r>
      <w:r w:rsidR="0075093D">
        <w:t xml:space="preserve">, </w:t>
      </w:r>
      <w:r w:rsidR="0075093D" w:rsidRPr="0075093D">
        <w:t>Case No. 11-5333-EL-UNC</w:t>
      </w:r>
      <w:r w:rsidR="0075093D">
        <w:t>,</w:t>
      </w:r>
      <w:r w:rsidR="0075093D">
        <w:rPr>
          <w:i/>
        </w:rPr>
        <w:t xml:space="preserve"> </w:t>
      </w:r>
      <w:r w:rsidR="0075093D">
        <w:t xml:space="preserve">Finding &amp; Order </w:t>
      </w:r>
      <w:r w:rsidR="0075093D" w:rsidRPr="0075093D">
        <w:t>28</w:t>
      </w:r>
      <w:r w:rsidR="0075093D">
        <w:t xml:space="preserve"> (Jan. 23, 2012) (granting OCC’s motion to strike comments that “</w:t>
      </w:r>
      <w:r w:rsidR="0075093D" w:rsidRPr="0075093D">
        <w:t>overstep</w:t>
      </w:r>
      <w:r w:rsidR="0075093D">
        <w:t>[ped]</w:t>
      </w:r>
      <w:r w:rsidR="0075093D" w:rsidRPr="0075093D">
        <w:t xml:space="preserve"> the dictates</w:t>
      </w:r>
      <w:r w:rsidR="0075093D">
        <w:t>” of a stipulation)</w:t>
      </w:r>
      <w:r w:rsidR="001F2E44">
        <w:t xml:space="preserve">; </w:t>
      </w:r>
      <w:r w:rsidR="001F2E44">
        <w:rPr>
          <w:i/>
        </w:rPr>
        <w:t xml:space="preserve">cf. </w:t>
      </w:r>
      <w:r w:rsidR="001F2E44" w:rsidRPr="001F2E44">
        <w:rPr>
          <w:bCs/>
          <w:i/>
        </w:rPr>
        <w:t>Logan v. Cleveland R.</w:t>
      </w:r>
      <w:r w:rsidR="001F2E44">
        <w:rPr>
          <w:bCs/>
          <w:i/>
        </w:rPr>
        <w:t>R.</w:t>
      </w:r>
      <w:r w:rsidR="001F2E44" w:rsidRPr="001F2E44">
        <w:rPr>
          <w:bCs/>
          <w:i/>
        </w:rPr>
        <w:t xml:space="preserve"> Co.</w:t>
      </w:r>
      <w:r w:rsidR="001F2E44" w:rsidRPr="001F2E44">
        <w:rPr>
          <w:bCs/>
        </w:rPr>
        <w:t>, 107 Ohio St. 211, 220 (1923)</w:t>
      </w:r>
      <w:r w:rsidR="001F2E44">
        <w:rPr>
          <w:bCs/>
        </w:rPr>
        <w:t xml:space="preserve"> (“</w:t>
      </w:r>
      <w:r w:rsidR="001F2E44" w:rsidRPr="001F2E44">
        <w:rPr>
          <w:bCs/>
        </w:rPr>
        <w:t>it is often necessary to strike out either partial or entire answers of a witness as irrelevant and unresponsive</w:t>
      </w:r>
      <w:r w:rsidR="001F2E44">
        <w:rPr>
          <w:bCs/>
        </w:rPr>
        <w:t>”)</w:t>
      </w:r>
      <w:r w:rsidR="00A01F35" w:rsidRPr="001F2E44">
        <w:t xml:space="preserve">.  </w:t>
      </w:r>
    </w:p>
    <w:p w14:paraId="5347C61F" w14:textId="3E638852" w:rsidR="00646759" w:rsidRDefault="00CE3536" w:rsidP="00931881">
      <w:pPr>
        <w:pStyle w:val="MemoBodyText"/>
      </w:pPr>
      <w:r>
        <w:t xml:space="preserve">OCC </w:t>
      </w:r>
      <w:r w:rsidR="00795652">
        <w:t xml:space="preserve">and OPAE are </w:t>
      </w:r>
      <w:r>
        <w:t xml:space="preserve">wasting the time and resources of the parties and the Commission. </w:t>
      </w:r>
      <w:r w:rsidR="00F570C1">
        <w:t xml:space="preserve"> </w:t>
      </w:r>
      <w:r w:rsidR="0021224F">
        <w:t xml:space="preserve">Surely </w:t>
      </w:r>
      <w:r w:rsidR="00795652">
        <w:t xml:space="preserve">they know they </w:t>
      </w:r>
      <w:r w:rsidR="0021224F">
        <w:t xml:space="preserve">will have an opportunity to comment on any future AMR application.  </w:t>
      </w:r>
      <w:r w:rsidR="006E1AA0">
        <w:t>But a</w:t>
      </w:r>
      <w:r w:rsidR="0021224F">
        <w:t xml:space="preserve">s irrelevant </w:t>
      </w:r>
      <w:r w:rsidR="006E1AA0">
        <w:t xml:space="preserve">and ill-considered </w:t>
      </w:r>
      <w:r w:rsidR="0021224F">
        <w:t xml:space="preserve">as </w:t>
      </w:r>
      <w:r w:rsidR="00795652">
        <w:t xml:space="preserve">their </w:t>
      </w:r>
      <w:r w:rsidR="0021224F">
        <w:t>commentary might be, it still demands attention and imposes a burden</w:t>
      </w:r>
      <w:r w:rsidR="006E1AA0">
        <w:t xml:space="preserve"> on the parties</w:t>
      </w:r>
      <w:r w:rsidR="0021224F">
        <w:t>—</w:t>
      </w:r>
      <w:r w:rsidR="006E1AA0">
        <w:t xml:space="preserve">as the need to file this motion makes plain.  These are streamlined cases, and instead of </w:t>
      </w:r>
      <w:r w:rsidR="003C1D74">
        <w:t>spending the allotted week</w:t>
      </w:r>
      <w:r w:rsidR="006E1AA0">
        <w:t xml:space="preserve"> to </w:t>
      </w:r>
      <w:r w:rsidR="003C1D74">
        <w:t>determine</w:t>
      </w:r>
      <w:r w:rsidR="006E1AA0">
        <w:t xml:space="preserve"> whether the parties’ positions on </w:t>
      </w:r>
      <w:r w:rsidR="006E1AA0">
        <w:rPr>
          <w:i/>
        </w:rPr>
        <w:t xml:space="preserve">relevant </w:t>
      </w:r>
      <w:r w:rsidR="006E1AA0">
        <w:t xml:space="preserve">issues may </w:t>
      </w:r>
      <w:r w:rsidR="00646759">
        <w:t>be reconcilable</w:t>
      </w:r>
      <w:r w:rsidR="006E1AA0">
        <w:t xml:space="preserve">, DEO must </w:t>
      </w:r>
      <w:r w:rsidR="003C1D74">
        <w:t>also work to ensure</w:t>
      </w:r>
      <w:r w:rsidR="006E1AA0">
        <w:t xml:space="preserve"> that it is not interpreted as consenting either to OCC</w:t>
      </w:r>
      <w:r w:rsidR="00795652">
        <w:t xml:space="preserve"> and OPAE</w:t>
      </w:r>
      <w:r w:rsidR="006E1AA0">
        <w:t xml:space="preserve">’s muddling of this docket or </w:t>
      </w:r>
      <w:r w:rsidR="00D503BA">
        <w:t xml:space="preserve">to </w:t>
      </w:r>
      <w:r w:rsidR="00795652">
        <w:t xml:space="preserve">their </w:t>
      </w:r>
      <w:r w:rsidR="006E1AA0">
        <w:t>misstatement of the issues</w:t>
      </w:r>
      <w:r w:rsidR="0021224F">
        <w:t xml:space="preserve">.  </w:t>
      </w:r>
    </w:p>
    <w:p w14:paraId="03887D4A" w14:textId="0B717D05" w:rsidR="00646759" w:rsidRDefault="006E1AA0" w:rsidP="00931881">
      <w:pPr>
        <w:pStyle w:val="MemoBodyText"/>
      </w:pPr>
      <w:r>
        <w:t xml:space="preserve">The Commission should </w:t>
      </w:r>
      <w:r w:rsidR="00646759">
        <w:t>not allow OCC</w:t>
      </w:r>
      <w:r w:rsidR="00795652">
        <w:t xml:space="preserve"> and OPAE</w:t>
      </w:r>
      <w:r w:rsidR="00646759">
        <w:t xml:space="preserve"> to abuse this forum; it should strike these comments.  </w:t>
      </w:r>
    </w:p>
    <w:p w14:paraId="263B342F" w14:textId="1BD5EA62" w:rsidR="00646759" w:rsidRDefault="00646759" w:rsidP="00646759">
      <w:pPr>
        <w:pStyle w:val="MemoHeading2"/>
        <w:ind w:left="720"/>
      </w:pPr>
      <w:r>
        <w:t>OCC</w:t>
      </w:r>
      <w:r w:rsidR="00795652">
        <w:t xml:space="preserve"> and OPAE</w:t>
      </w:r>
      <w:r>
        <w:t>’s comments are wrong.</w:t>
      </w:r>
    </w:p>
    <w:p w14:paraId="484DC0AC" w14:textId="27620662" w:rsidR="00CE3536" w:rsidRDefault="00646759" w:rsidP="00646759">
      <w:pPr>
        <w:pStyle w:val="MemoBodyText"/>
      </w:pPr>
      <w:r>
        <w:t>As discussed above, this is not the time or the place to discuss issues that may arise in future case</w:t>
      </w:r>
      <w:r w:rsidR="00D503BA">
        <w:t>s</w:t>
      </w:r>
      <w:r>
        <w:t xml:space="preserve">.  But in the event the Commission allows </w:t>
      </w:r>
      <w:r w:rsidR="00710762">
        <w:t>OCC</w:t>
      </w:r>
      <w:r w:rsidR="00795652">
        <w:t xml:space="preserve"> and OPAE</w:t>
      </w:r>
      <w:r w:rsidR="00710762">
        <w:t>’s</w:t>
      </w:r>
      <w:r w:rsidR="003C1D74">
        <w:t xml:space="preserve"> comments to stand, DEO will respond</w:t>
      </w:r>
      <w:r w:rsidR="00D503BA">
        <w:t xml:space="preserve"> to ensure it preserves its objection and position</w:t>
      </w:r>
      <w:r w:rsidR="003C1D74">
        <w:t>.</w:t>
      </w:r>
    </w:p>
    <w:p w14:paraId="362667C0" w14:textId="4541CE17" w:rsidR="003C1D74" w:rsidRPr="00FB03E6" w:rsidRDefault="00795652" w:rsidP="00646759">
      <w:pPr>
        <w:pStyle w:val="MemoBodyText"/>
      </w:pPr>
      <w:r>
        <w:t>Their</w:t>
      </w:r>
      <w:r w:rsidR="00D503BA">
        <w:t xml:space="preserve"> comments concern</w:t>
      </w:r>
      <w:r w:rsidR="00710762">
        <w:t xml:space="preserve"> </w:t>
      </w:r>
      <w:r w:rsidR="00FB03E6">
        <w:t xml:space="preserve">operations-and-maintenance (“O&amp;M”) </w:t>
      </w:r>
      <w:r w:rsidR="00710762">
        <w:t>cost savings related</w:t>
      </w:r>
      <w:r w:rsidR="003C1D74">
        <w:t xml:space="preserve"> to meter reading.  OCC</w:t>
      </w:r>
      <w:r w:rsidRPr="00795652">
        <w:t xml:space="preserve"> </w:t>
      </w:r>
      <w:r>
        <w:t>and OPAE assert</w:t>
      </w:r>
      <w:r w:rsidR="003C1D74">
        <w:t xml:space="preserve"> that DEO “has changed its past position” regarding </w:t>
      </w:r>
      <w:r w:rsidR="00710762">
        <w:t>the</w:t>
      </w:r>
      <w:r w:rsidR="003C1D74">
        <w:t xml:space="preserve"> savings </w:t>
      </w:r>
      <w:r w:rsidR="00710762">
        <w:t xml:space="preserve">that </w:t>
      </w:r>
      <w:r w:rsidR="003C1D74">
        <w:t>could be</w:t>
      </w:r>
      <w:r>
        <w:t xml:space="preserve"> achieved</w:t>
      </w:r>
      <w:r w:rsidR="005C1BE1">
        <w:t xml:space="preserve"> by the AMR program</w:t>
      </w:r>
      <w:r w:rsidR="00FB03E6">
        <w:t>.  (OCC</w:t>
      </w:r>
      <w:r>
        <w:t xml:space="preserve"> &amp; OPAE</w:t>
      </w:r>
      <w:r w:rsidR="00FB03E6">
        <w:t xml:space="preserve"> Comments 4.)  What was that “past position”?  According to OCC</w:t>
      </w:r>
      <w:r w:rsidRPr="00795652">
        <w:t xml:space="preserve"> </w:t>
      </w:r>
      <w:r>
        <w:t>and OPAE</w:t>
      </w:r>
      <w:r w:rsidR="00FB03E6">
        <w:t xml:space="preserve">, </w:t>
      </w:r>
      <w:r w:rsidR="003C1D74">
        <w:t xml:space="preserve">DEO “had estimated that customers should receive the benefit </w:t>
      </w:r>
      <w:r w:rsidR="00FB03E6">
        <w:t>of meter reading O&amp;M costs in an amount [sic] $11.2 million between 2009 and 2012.”  (</w:t>
      </w:r>
      <w:r w:rsidR="00FB03E6">
        <w:rPr>
          <w:i/>
        </w:rPr>
        <w:t>Id</w:t>
      </w:r>
      <w:r w:rsidR="00FB03E6">
        <w:t xml:space="preserve">. (footnote omitted).)  Notably missing from that sentence are quotation marks.  DEO </w:t>
      </w:r>
      <w:r w:rsidR="00D503BA">
        <w:t xml:space="preserve">has </w:t>
      </w:r>
      <w:r w:rsidR="00FB03E6">
        <w:t xml:space="preserve">never made such a claim.  OCC </w:t>
      </w:r>
      <w:r>
        <w:t>and OPAE extrapolate</w:t>
      </w:r>
      <w:r w:rsidR="00FB03E6">
        <w:t xml:space="preserve"> it from a data request DEO provided to Staff </w:t>
      </w:r>
      <w:r w:rsidR="00D503BA">
        <w:t xml:space="preserve">in 2007 </w:t>
      </w:r>
      <w:r w:rsidR="00FB03E6">
        <w:t>during DEO’s last base rate case.  (</w:t>
      </w:r>
      <w:r w:rsidR="00FB03E6">
        <w:rPr>
          <w:i/>
        </w:rPr>
        <w:t xml:space="preserve">See id. </w:t>
      </w:r>
      <w:r w:rsidR="00FB03E6">
        <w:t xml:space="preserve">n.9.)  </w:t>
      </w:r>
    </w:p>
    <w:p w14:paraId="1A655D4F" w14:textId="24776120" w:rsidR="00E65E5E" w:rsidRDefault="001D00A8" w:rsidP="00E65E5E">
      <w:pPr>
        <w:pStyle w:val="MemoBodyText"/>
      </w:pPr>
      <w:r>
        <w:t xml:space="preserve">The irony is that while </w:t>
      </w:r>
      <w:r w:rsidR="00FB03E6">
        <w:t xml:space="preserve">DEO’s </w:t>
      </w:r>
      <w:r w:rsidR="00E65E5E">
        <w:t xml:space="preserve">position has not changed, </w:t>
      </w:r>
      <w:r w:rsidR="00333499">
        <w:t>OCC</w:t>
      </w:r>
      <w:r w:rsidR="00795652" w:rsidRPr="00795652">
        <w:t xml:space="preserve"> </w:t>
      </w:r>
      <w:r w:rsidR="00795652">
        <w:t>and OPAE</w:t>
      </w:r>
      <w:r w:rsidR="00E65E5E">
        <w:t xml:space="preserve">’s </w:t>
      </w:r>
      <w:proofErr w:type="gramStart"/>
      <w:r w:rsidR="00E65E5E">
        <w:t>has</w:t>
      </w:r>
      <w:proofErr w:type="gramEnd"/>
      <w:r w:rsidR="00333499">
        <w:t xml:space="preserve">. </w:t>
      </w:r>
      <w:r w:rsidR="00795652">
        <w:t xml:space="preserve"> </w:t>
      </w:r>
      <w:r w:rsidR="00E65E5E">
        <w:t>OCC</w:t>
      </w:r>
      <w:r w:rsidR="00795652" w:rsidRPr="00795652">
        <w:t xml:space="preserve"> </w:t>
      </w:r>
      <w:r w:rsidR="00795652">
        <w:t>and OPAE,</w:t>
      </w:r>
      <w:r w:rsidR="00D503BA">
        <w:t xml:space="preserve"> with DEO,</w:t>
      </w:r>
      <w:r w:rsidR="00E65E5E">
        <w:t xml:space="preserve"> signed </w:t>
      </w:r>
      <w:r w:rsidR="00333499">
        <w:t xml:space="preserve">the Stipulation </w:t>
      </w:r>
      <w:r w:rsidR="0001031B">
        <w:t>that authorized the AMR program</w:t>
      </w:r>
      <w:r w:rsidR="00710762">
        <w:t xml:space="preserve"> and settled this issue</w:t>
      </w:r>
      <w:r w:rsidR="0001031B">
        <w:t xml:space="preserve">. </w:t>
      </w:r>
      <w:r w:rsidR="00D503BA">
        <w:t xml:space="preserve"> T</w:t>
      </w:r>
      <w:r w:rsidR="0001031B">
        <w:t xml:space="preserve">he Stipulation, </w:t>
      </w:r>
      <w:r w:rsidR="00D503BA">
        <w:t xml:space="preserve">as </w:t>
      </w:r>
      <w:r w:rsidR="00710762">
        <w:t>the Commission</w:t>
      </w:r>
      <w:r w:rsidR="00D503BA">
        <w:t xml:space="preserve"> explained in the order approving it,</w:t>
      </w:r>
      <w:r w:rsidR="00710762">
        <w:t xml:space="preserve"> </w:t>
      </w:r>
      <w:r w:rsidR="00E65E5E">
        <w:t xml:space="preserve">required </w:t>
      </w:r>
      <w:r w:rsidR="00E65E5E" w:rsidRPr="00506326">
        <w:t xml:space="preserve">DEO </w:t>
      </w:r>
      <w:r w:rsidR="00E65E5E">
        <w:t>“</w:t>
      </w:r>
      <w:r w:rsidR="00E65E5E" w:rsidRPr="00506326">
        <w:t xml:space="preserve">to develop an appropriate baseline from which meter reading and call center savings will be determined and </w:t>
      </w:r>
      <w:r w:rsidR="00E65E5E" w:rsidRPr="00506326">
        <w:rPr>
          <w:i/>
        </w:rPr>
        <w:t xml:space="preserve">such quantifiable savings </w:t>
      </w:r>
      <w:r w:rsidR="00E65E5E" w:rsidRPr="00506326">
        <w:t>shall be credited to amounts that would otherwise be recovered through the AMR costs recovery charge.</w:t>
      </w:r>
      <w:r w:rsidR="00E65E5E">
        <w:t xml:space="preserve">”  </w:t>
      </w:r>
      <w:proofErr w:type="gramStart"/>
      <w:r w:rsidR="00E65E5E">
        <w:t>Case No. 07-829-GA-AIR, Opin.</w:t>
      </w:r>
      <w:proofErr w:type="gramEnd"/>
      <w:r w:rsidR="00E65E5E">
        <w:t xml:space="preserve"> </w:t>
      </w:r>
      <w:proofErr w:type="gramStart"/>
      <w:r w:rsidR="00E65E5E">
        <w:t>&amp; Order 13 (Oct. 15, 2008) (emphasis added).</w:t>
      </w:r>
      <w:proofErr w:type="gramEnd"/>
      <w:r w:rsidR="00E65E5E">
        <w:t xml:space="preserve">  </w:t>
      </w:r>
      <w:r w:rsidR="0001031B">
        <w:t xml:space="preserve">Thus, </w:t>
      </w:r>
      <w:r w:rsidR="00710762">
        <w:t xml:space="preserve">while </w:t>
      </w:r>
      <w:r w:rsidR="0001031B">
        <w:t>the O</w:t>
      </w:r>
      <w:r w:rsidR="00E65E5E">
        <w:t xml:space="preserve">rder </w:t>
      </w:r>
      <w:r w:rsidR="00710762">
        <w:t xml:space="preserve">specifically </w:t>
      </w:r>
      <w:r w:rsidR="00E65E5E">
        <w:t>addressed cost savings</w:t>
      </w:r>
      <w:r w:rsidR="00710762">
        <w:t xml:space="preserve">, it </w:t>
      </w:r>
      <w:r w:rsidR="00E65E5E">
        <w:t xml:space="preserve">plainly did </w:t>
      </w:r>
      <w:r w:rsidR="00E65E5E" w:rsidRPr="00E65E5E">
        <w:rPr>
          <w:i/>
        </w:rPr>
        <w:t xml:space="preserve">not </w:t>
      </w:r>
      <w:r w:rsidR="00E65E5E">
        <w:t xml:space="preserve">attribute to </w:t>
      </w:r>
      <w:r w:rsidR="0001031B">
        <w:t xml:space="preserve">or require from </w:t>
      </w:r>
      <w:r w:rsidR="00E65E5E">
        <w:t>DEO a</w:t>
      </w:r>
      <w:r w:rsidR="00D503BA">
        <w:t xml:space="preserve">n </w:t>
      </w:r>
      <w:r w:rsidR="00795652">
        <w:t>exact calculation of cost savings that would be achieved five years hence</w:t>
      </w:r>
      <w:r w:rsidR="00E65E5E">
        <w:t xml:space="preserve">.  If the order had imputed such a promise to DEO, DEO could </w:t>
      </w:r>
      <w:r w:rsidR="00D503BA">
        <w:t xml:space="preserve">(and likely would) </w:t>
      </w:r>
      <w:r w:rsidR="00E65E5E">
        <w:t xml:space="preserve">have sought rehearing.  But </w:t>
      </w:r>
      <w:r w:rsidR="00D503BA">
        <w:t>the</w:t>
      </w:r>
      <w:r w:rsidR="00E65E5E">
        <w:t xml:space="preserve"> </w:t>
      </w:r>
      <w:r w:rsidR="00D503BA">
        <w:t xml:space="preserve">order </w:t>
      </w:r>
      <w:r w:rsidR="00E65E5E">
        <w:t>did not</w:t>
      </w:r>
      <w:r w:rsidR="00D503BA">
        <w:t xml:space="preserve"> impute such a promise</w:t>
      </w:r>
      <w:r w:rsidR="0001031B">
        <w:t xml:space="preserve">, </w:t>
      </w:r>
      <w:r w:rsidR="00E65E5E">
        <w:t xml:space="preserve">and </w:t>
      </w:r>
      <w:r w:rsidR="00395F3D">
        <w:t xml:space="preserve">OCC, OPAE, and </w:t>
      </w:r>
      <w:r w:rsidR="00E65E5E">
        <w:t xml:space="preserve">Staff </w:t>
      </w:r>
      <w:r w:rsidR="00395F3D">
        <w:t xml:space="preserve">did not seek </w:t>
      </w:r>
      <w:r w:rsidR="00E65E5E">
        <w:t>rehearing</w:t>
      </w:r>
      <w:r w:rsidR="00710762">
        <w:t xml:space="preserve"> </w:t>
      </w:r>
      <w:r w:rsidR="00D503BA">
        <w:t>to question the lack of such a condition</w:t>
      </w:r>
      <w:r w:rsidR="00E65E5E">
        <w:t xml:space="preserve">.  </w:t>
      </w:r>
      <w:r w:rsidR="00D503BA">
        <w:t xml:space="preserve">That settled the </w:t>
      </w:r>
      <w:r w:rsidR="00E65E5E">
        <w:t xml:space="preserve">question, and it is far too late to revisit it now.  </w:t>
      </w:r>
    </w:p>
    <w:p w14:paraId="709AF4EF" w14:textId="12D5CBB0" w:rsidR="00333499" w:rsidRDefault="00E65E5E" w:rsidP="00646759">
      <w:pPr>
        <w:pStyle w:val="MemoBodyText"/>
      </w:pPr>
      <w:r>
        <w:t xml:space="preserve">Indeed, the Commission has already </w:t>
      </w:r>
      <w:r w:rsidR="0001031B">
        <w:t>re</w:t>
      </w:r>
      <w:r>
        <w:t xml:space="preserve">visited </w:t>
      </w:r>
      <w:r w:rsidR="0001031B">
        <w:t xml:space="preserve">this issue once and </w:t>
      </w:r>
      <w:r>
        <w:t xml:space="preserve">rejected </w:t>
      </w:r>
      <w:r w:rsidR="0001031B">
        <w:t>OCC</w:t>
      </w:r>
      <w:r w:rsidR="00395F3D">
        <w:t xml:space="preserve"> and OPAE</w:t>
      </w:r>
      <w:r w:rsidR="0001031B">
        <w:t>’s argument</w:t>
      </w:r>
      <w:r>
        <w:t>.  Two years ago, in Case No. 09-1875</w:t>
      </w:r>
      <w:r w:rsidR="0001031B">
        <w:t>-GA-UNC</w:t>
      </w:r>
      <w:r>
        <w:t>, the Commission stated, “</w:t>
      </w:r>
      <w:r w:rsidRPr="00333499">
        <w:t xml:space="preserve">The stipulation in the DEO Distribution Rate Case </w:t>
      </w:r>
      <w:r>
        <w:t>cl</w:t>
      </w:r>
      <w:r w:rsidRPr="00333499">
        <w:t xml:space="preserve">early states that AMR installation costs would be offset </w:t>
      </w:r>
      <w:r w:rsidRPr="00333499">
        <w:rPr>
          <w:i/>
        </w:rPr>
        <w:t>only by quantifiable savings</w:t>
      </w:r>
      <w:r w:rsidRPr="00333499">
        <w:t xml:space="preserve">. </w:t>
      </w:r>
      <w:r>
        <w:t xml:space="preserve"> OCC’</w:t>
      </w:r>
      <w:r w:rsidRPr="00333499">
        <w:t xml:space="preserve">s proposal in favor of imputed savings </w:t>
      </w:r>
      <w:r>
        <w:t xml:space="preserve">[based on DEO’s 2007 estimate] </w:t>
      </w:r>
      <w:r w:rsidRPr="00333499">
        <w:t>does not comport with either the stipulation approved in the rate case or the stipulation approved by the Commission in the 2008 AMR Case.</w:t>
      </w:r>
      <w:r>
        <w:t xml:space="preserve">”  </w:t>
      </w:r>
      <w:r w:rsidRPr="00E65E5E">
        <w:t xml:space="preserve">Opin. </w:t>
      </w:r>
      <w:proofErr w:type="gramStart"/>
      <w:r w:rsidRPr="00E65E5E">
        <w:t xml:space="preserve">&amp; Order </w:t>
      </w:r>
      <w:r>
        <w:t>7 (May 5, 2010) (emphasis added).</w:t>
      </w:r>
      <w:proofErr w:type="gramEnd"/>
      <w:r>
        <w:t xml:space="preserve">  </w:t>
      </w:r>
      <w:r w:rsidR="00E86951">
        <w:t xml:space="preserve">This issue has been settled twice now.  </w:t>
      </w:r>
      <w:r w:rsidR="0001031B">
        <w:t xml:space="preserve">Perhaps </w:t>
      </w:r>
      <w:r w:rsidR="00710762">
        <w:t xml:space="preserve">the </w:t>
      </w:r>
      <w:r w:rsidR="0001031B">
        <w:t>third time will be the charm</w:t>
      </w:r>
      <w:r w:rsidR="00E86951">
        <w:t xml:space="preserve">.  </w:t>
      </w:r>
    </w:p>
    <w:p w14:paraId="06CC06FC" w14:textId="10B74041" w:rsidR="00795652" w:rsidRDefault="0001031B" w:rsidP="00D503BA">
      <w:pPr>
        <w:pStyle w:val="MemoBodyText"/>
      </w:pPr>
      <w:r>
        <w:t>Thus, contrary to OCC</w:t>
      </w:r>
      <w:r w:rsidR="00395F3D">
        <w:t xml:space="preserve"> and OPAE</w:t>
      </w:r>
      <w:r>
        <w:t xml:space="preserve">’s comments, </w:t>
      </w:r>
      <w:r w:rsidR="00F340FD">
        <w:t>DEO’s position</w:t>
      </w:r>
      <w:r w:rsidR="00E86951">
        <w:t xml:space="preserve"> </w:t>
      </w:r>
      <w:r w:rsidR="00F340FD">
        <w:t>has been clear, unchanged, and endorsed by the Commission since the AMR program was approved</w:t>
      </w:r>
      <w:r w:rsidR="00E86951">
        <w:t>: cost recove</w:t>
      </w:r>
      <w:r w:rsidR="00FF0560">
        <w:t>ry may be offset by quantified</w:t>
      </w:r>
      <w:r w:rsidR="00E86951">
        <w:t xml:space="preserve"> savings, not the punitive application of a misunderstood discovery response. </w:t>
      </w:r>
      <w:r>
        <w:t xml:space="preserve"> And </w:t>
      </w:r>
      <w:r w:rsidR="00E86951">
        <w:t xml:space="preserve">DEO’s </w:t>
      </w:r>
      <w:r>
        <w:t xml:space="preserve">understanding of </w:t>
      </w:r>
      <w:r w:rsidR="00FF0560">
        <w:t xml:space="preserve">the pertinent </w:t>
      </w:r>
      <w:r>
        <w:t xml:space="preserve">discovery response has not changed either. </w:t>
      </w:r>
      <w:r w:rsidR="00E34903">
        <w:t xml:space="preserve"> Again in </w:t>
      </w:r>
      <w:r w:rsidR="00D503BA">
        <w:t xml:space="preserve">Case </w:t>
      </w:r>
      <w:r w:rsidR="00F340FD">
        <w:t>No. 09-1875</w:t>
      </w:r>
      <w:r w:rsidR="00FB03E6">
        <w:t>, Vicki Friscic</w:t>
      </w:r>
      <w:r w:rsidR="00F340FD">
        <w:t xml:space="preserve">, DEO’s director of regulatory </w:t>
      </w:r>
      <w:r w:rsidR="00532F95">
        <w:t xml:space="preserve">and </w:t>
      </w:r>
      <w:r w:rsidR="00F340FD">
        <w:t>pricing,</w:t>
      </w:r>
      <w:r w:rsidR="00FB03E6">
        <w:t xml:space="preserve"> explained that </w:t>
      </w:r>
      <w:r w:rsidR="00F340FD">
        <w:t>each</w:t>
      </w:r>
      <w:r w:rsidR="00D503BA">
        <w:t xml:space="preserve"> annual</w:t>
      </w:r>
      <w:r w:rsidR="00F340FD">
        <w:t xml:space="preserve"> projection in DEO’s 2007 discovery response was </w:t>
      </w:r>
      <w:r w:rsidR="00FB03E6">
        <w:t>“</w:t>
      </w:r>
      <w:r w:rsidR="00F340FD" w:rsidRPr="00F340FD">
        <w:t>a</w:t>
      </w:r>
      <w:r w:rsidR="00F340FD">
        <w:t xml:space="preserve"> </w:t>
      </w:r>
      <w:r w:rsidR="00F340FD" w:rsidRPr="00F340FD">
        <w:t>cumulative number</w:t>
      </w:r>
      <w:r>
        <w:t>,</w:t>
      </w:r>
      <w:r w:rsidR="00FB03E6">
        <w:t>”</w:t>
      </w:r>
      <w:r>
        <w:t xml:space="preserve"> not incremental each year</w:t>
      </w:r>
      <w:r w:rsidR="004700E2">
        <w:t>.</w:t>
      </w:r>
      <w:r w:rsidR="00F340FD">
        <w:t xml:space="preserve">  </w:t>
      </w:r>
      <w:proofErr w:type="gramStart"/>
      <w:r w:rsidR="004700E2">
        <w:t>Case No. 09-1875, Hrg. Tr. 51 (filed: April 12, 2010).</w:t>
      </w:r>
      <w:proofErr w:type="gramEnd"/>
      <w:r w:rsidR="004700E2">
        <w:t xml:space="preserve">  </w:t>
      </w:r>
      <w:r w:rsidR="00E34903">
        <w:t>In fact, t</w:t>
      </w:r>
      <w:r w:rsidR="004700E2">
        <w:t xml:space="preserve">his </w:t>
      </w:r>
      <w:r w:rsidR="00E34903">
        <w:t xml:space="preserve">precise point </w:t>
      </w:r>
      <w:r w:rsidR="004700E2">
        <w:t xml:space="preserve">was made clear by questions to Ms. Friscic from one of the authors of </w:t>
      </w:r>
      <w:r w:rsidR="00E34903">
        <w:t xml:space="preserve">OCC and OPAE’s present filing.  That filing asserts that </w:t>
      </w:r>
      <w:r w:rsidR="0027557B">
        <w:t xml:space="preserve">Ms. Friscic, in Case No. 09-1875, </w:t>
      </w:r>
      <w:r w:rsidR="00E34903">
        <w:t>made “no attempt to argue that the estimated meter reading O&amp;M cost savings were to be cumulative</w:t>
      </w:r>
      <w:r w:rsidR="0027557B">
        <w:t>.</w:t>
      </w:r>
      <w:r w:rsidR="00395F3D">
        <w:t xml:space="preserve">” </w:t>
      </w:r>
      <w:r w:rsidR="0027557B">
        <w:t xml:space="preserve"> </w:t>
      </w:r>
      <w:r w:rsidR="00395F3D">
        <w:t xml:space="preserve">(OCC &amp; OPAE Comments </w:t>
      </w:r>
      <w:r w:rsidR="00E34903" w:rsidRPr="00E34903">
        <w:t>6</w:t>
      </w:r>
      <w:r w:rsidR="0027557B">
        <w:t>.</w:t>
      </w:r>
      <w:r w:rsidR="00E34903" w:rsidRPr="00E34903">
        <w:t xml:space="preserve">) </w:t>
      </w:r>
      <w:r w:rsidR="0027557B">
        <w:t xml:space="preserve"> B</w:t>
      </w:r>
      <w:r w:rsidR="00E34903">
        <w:t xml:space="preserve">ut the </w:t>
      </w:r>
      <w:r w:rsidR="0027557B">
        <w:t xml:space="preserve">hearing </w:t>
      </w:r>
      <w:r w:rsidR="00E34903">
        <w:t xml:space="preserve">transcript </w:t>
      </w:r>
      <w:r w:rsidR="0027557B">
        <w:t xml:space="preserve">in that case </w:t>
      </w:r>
      <w:r w:rsidR="00E34903">
        <w:t>tells a different story</w:t>
      </w:r>
      <w:r w:rsidR="0027557B">
        <w:t xml:space="preserve">.  In answering questions about the specific discovery response cited in the April 6 comments, </w:t>
      </w:r>
      <w:r w:rsidR="0027557B">
        <w:rPr>
          <w:i/>
        </w:rPr>
        <w:t xml:space="preserve">see </w:t>
      </w:r>
      <w:r w:rsidR="0027557B">
        <w:t xml:space="preserve">Hrg. Tr. 39, Ms. Friscic explained to counsel for OCC that the estimated savings </w:t>
      </w:r>
      <w:r w:rsidR="0027557B" w:rsidRPr="005C1BE1">
        <w:t>were</w:t>
      </w:r>
      <w:r w:rsidR="0027557B" w:rsidRPr="0027557B">
        <w:rPr>
          <w:i/>
        </w:rPr>
        <w:t xml:space="preserve"> </w:t>
      </w:r>
      <w:r w:rsidR="0027557B">
        <w:t>cumulative</w:t>
      </w:r>
      <w:r w:rsidR="00E34903">
        <w:t>:</w:t>
      </w:r>
    </w:p>
    <w:p w14:paraId="4F1ABD0E" w14:textId="71A24ABC" w:rsidR="004700E2" w:rsidRPr="004700E2" w:rsidRDefault="004700E2" w:rsidP="004700E2">
      <w:pPr>
        <w:pStyle w:val="MemoBodyText"/>
        <w:spacing w:after="240" w:line="240" w:lineRule="auto"/>
        <w:ind w:left="1440" w:right="1440" w:firstLine="0"/>
      </w:pPr>
      <w:r w:rsidRPr="004700E2">
        <w:t>Q.   Then for the 2010 it lists 1.3 million.</w:t>
      </w:r>
      <w:r>
        <w:t xml:space="preserve">  </w:t>
      </w:r>
      <w:r w:rsidRPr="004700E2">
        <w:t>Is</w:t>
      </w:r>
      <w:r>
        <w:t xml:space="preserve"> it your understanding that that’</w:t>
      </w:r>
      <w:r w:rsidRPr="004700E2">
        <w:t>s a cumulative</w:t>
      </w:r>
      <w:r>
        <w:t xml:space="preserve"> number or that’</w:t>
      </w:r>
      <w:r w:rsidRPr="004700E2">
        <w:t>s a separate number?</w:t>
      </w:r>
    </w:p>
    <w:p w14:paraId="2551C3F3" w14:textId="716C5998" w:rsidR="004700E2" w:rsidRDefault="004700E2" w:rsidP="004700E2">
      <w:pPr>
        <w:pStyle w:val="MemoBodyText"/>
        <w:spacing w:after="240" w:line="240" w:lineRule="auto"/>
        <w:ind w:left="1440" w:right="1440" w:firstLine="0"/>
      </w:pPr>
      <w:r w:rsidRPr="004700E2">
        <w:t>A.   It</w:t>
      </w:r>
      <w:r>
        <w:t>’s my understanding that that’</w:t>
      </w:r>
      <w:r w:rsidRPr="004700E2">
        <w:t>s a</w:t>
      </w:r>
      <w:r>
        <w:t xml:space="preserve"> </w:t>
      </w:r>
      <w:r w:rsidRPr="004700E2">
        <w:t>cumulative number.</w:t>
      </w:r>
    </w:p>
    <w:p w14:paraId="235C2429" w14:textId="77777777" w:rsidR="004700E2" w:rsidRDefault="004700E2" w:rsidP="004700E2">
      <w:pPr>
        <w:pStyle w:val="MemoBodyText"/>
        <w:spacing w:after="240" w:line="240" w:lineRule="auto"/>
        <w:ind w:left="1440" w:right="1440" w:firstLine="0"/>
      </w:pPr>
      <w:r w:rsidRPr="004700E2">
        <w:t>Q.   So then for 2011 the 2,950,000 would be</w:t>
      </w:r>
      <w:r>
        <w:t xml:space="preserve"> cumulative for the </w:t>
      </w:r>
      <w:r w:rsidRPr="004700E2">
        <w:t>three years and then in turn for</w:t>
      </w:r>
      <w:r>
        <w:t xml:space="preserve"> </w:t>
      </w:r>
      <w:r w:rsidRPr="004700E2">
        <w:t>2012 would be the cumulative for the four.</w:t>
      </w:r>
    </w:p>
    <w:p w14:paraId="32303679" w14:textId="20319D5A" w:rsidR="004700E2" w:rsidRDefault="004700E2" w:rsidP="004700E2">
      <w:pPr>
        <w:pStyle w:val="MemoBodyText"/>
        <w:spacing w:after="240" w:line="240" w:lineRule="auto"/>
        <w:ind w:left="1440" w:right="1440" w:firstLine="0"/>
      </w:pPr>
      <w:r>
        <w:t>A.   Yes, that’</w:t>
      </w:r>
      <w:r w:rsidRPr="004700E2">
        <w:t>s my understanding.</w:t>
      </w:r>
    </w:p>
    <w:p w14:paraId="37C62D24" w14:textId="3C682B80" w:rsidR="00532F95" w:rsidRDefault="0027557B" w:rsidP="004700E2">
      <w:pPr>
        <w:pStyle w:val="MemoBodyText"/>
        <w:ind w:firstLine="0"/>
      </w:pPr>
      <w:r w:rsidRPr="0027557B">
        <w:rPr>
          <w:i/>
        </w:rPr>
        <w:t>Id</w:t>
      </w:r>
      <w:r w:rsidR="00E34903">
        <w:t>.</w:t>
      </w:r>
      <w:r>
        <w:t xml:space="preserve"> at</w:t>
      </w:r>
      <w:r w:rsidR="00E34903">
        <w:t xml:space="preserve"> </w:t>
      </w:r>
      <w:r w:rsidR="004700E2">
        <w:t>51–52</w:t>
      </w:r>
      <w:r w:rsidR="00E86951">
        <w:t xml:space="preserve">.  </w:t>
      </w:r>
      <w:r w:rsidR="004700E2">
        <w:t xml:space="preserve">Lest there be </w:t>
      </w:r>
      <w:r w:rsidR="0001031B">
        <w:t xml:space="preserve">any doubt, </w:t>
      </w:r>
      <w:r w:rsidR="00E86951">
        <w:t>the Commission</w:t>
      </w:r>
      <w:r w:rsidR="0001031B">
        <w:t xml:space="preserve"> </w:t>
      </w:r>
      <w:r w:rsidR="00E86951">
        <w:t xml:space="preserve">specifically </w:t>
      </w:r>
      <w:r w:rsidR="0001031B">
        <w:t xml:space="preserve">recognized DEO’s position </w:t>
      </w:r>
      <w:r w:rsidR="00710762">
        <w:t xml:space="preserve">that </w:t>
      </w:r>
      <w:r w:rsidR="0001031B">
        <w:t xml:space="preserve">the </w:t>
      </w:r>
      <w:r w:rsidR="00710762">
        <w:t xml:space="preserve">discovery </w:t>
      </w:r>
      <w:r w:rsidR="0001031B">
        <w:t>response described “cumulative savings</w:t>
      </w:r>
      <w:r w:rsidR="00E86951">
        <w:t>.</w:t>
      </w:r>
      <w:r w:rsidR="0001031B">
        <w:t>”</w:t>
      </w:r>
      <w:r w:rsidR="00E86951">
        <w:t xml:space="preserve">  </w:t>
      </w:r>
      <w:proofErr w:type="gramStart"/>
      <w:r w:rsidR="0001031B" w:rsidRPr="0001031B">
        <w:rPr>
          <w:i/>
        </w:rPr>
        <w:t>S</w:t>
      </w:r>
      <w:r w:rsidR="0001031B">
        <w:rPr>
          <w:i/>
        </w:rPr>
        <w:t xml:space="preserve">ee </w:t>
      </w:r>
      <w:r w:rsidR="0001031B">
        <w:t xml:space="preserve">Order 6 </w:t>
      </w:r>
      <w:r w:rsidR="0001031B">
        <w:rPr>
          <w:i/>
        </w:rPr>
        <w:t xml:space="preserve">and </w:t>
      </w:r>
      <w:r w:rsidR="00710762">
        <w:t>Entry on Rehearing 7.</w:t>
      </w:r>
      <w:proofErr w:type="gramEnd"/>
      <w:r w:rsidR="00710762">
        <w:t xml:space="preserve">  </w:t>
      </w:r>
    </w:p>
    <w:p w14:paraId="28576718" w14:textId="2E996913" w:rsidR="00FF0560" w:rsidRDefault="00333499" w:rsidP="00646759">
      <w:pPr>
        <w:pStyle w:val="MemoBodyText"/>
      </w:pPr>
      <w:r>
        <w:t>Finally, le</w:t>
      </w:r>
      <w:r w:rsidR="0001031B">
        <w:t xml:space="preserve">aving all the prior proceedings, </w:t>
      </w:r>
      <w:r>
        <w:t>settlements</w:t>
      </w:r>
      <w:r w:rsidR="0001031B">
        <w:t>, and testimony</w:t>
      </w:r>
      <w:r>
        <w:t xml:space="preserve"> aside</w:t>
      </w:r>
      <w:r w:rsidR="00506326">
        <w:t xml:space="preserve">, </w:t>
      </w:r>
      <w:r w:rsidR="00E65E5E">
        <w:t xml:space="preserve">consider the hay </w:t>
      </w:r>
      <w:r w:rsidR="00506326">
        <w:t>OCC</w:t>
      </w:r>
      <w:r w:rsidR="00395F3D">
        <w:t xml:space="preserve"> and OPAE</w:t>
      </w:r>
      <w:r w:rsidR="00506326">
        <w:t xml:space="preserve"> </w:t>
      </w:r>
      <w:r w:rsidR="00395F3D">
        <w:t xml:space="preserve">are </w:t>
      </w:r>
      <w:r w:rsidR="00506326">
        <w:t xml:space="preserve">trying to make </w:t>
      </w:r>
      <w:r w:rsidR="00E65E5E">
        <w:t xml:space="preserve">of a single </w:t>
      </w:r>
      <w:r w:rsidR="00506326">
        <w:t>discovery response</w:t>
      </w:r>
      <w:r w:rsidR="00740044">
        <w:t xml:space="preserve"> submitted during DEO’s last base rate case</w:t>
      </w:r>
      <w:r w:rsidR="00E65E5E">
        <w:t xml:space="preserve">. </w:t>
      </w:r>
      <w:r w:rsidR="0001031B">
        <w:t xml:space="preserve"> </w:t>
      </w:r>
      <w:r w:rsidR="00FB03E6">
        <w:t>DEO made its best effort to answer a difficult question that</w:t>
      </w:r>
      <w:r w:rsidR="00E65E5E">
        <w:t xml:space="preserve"> </w:t>
      </w:r>
      <w:r w:rsidR="00FB03E6">
        <w:t xml:space="preserve">required it to make numerous assumptions and </w:t>
      </w:r>
      <w:r w:rsidR="00506326">
        <w:t>(</w:t>
      </w:r>
      <w:r w:rsidR="00FB03E6">
        <w:t>literally</w:t>
      </w:r>
      <w:r w:rsidR="00506326">
        <w:t>)</w:t>
      </w:r>
      <w:r w:rsidR="00FB03E6">
        <w:t xml:space="preserve"> to predict the future</w:t>
      </w:r>
      <w:r w:rsidR="00E65E5E">
        <w:t xml:space="preserve"> several years out</w:t>
      </w:r>
      <w:r w:rsidR="00FB03E6">
        <w:t>.</w:t>
      </w:r>
      <w:r w:rsidR="00506326">
        <w:t xml:space="preserve">  DEO’s best efforts </w:t>
      </w:r>
      <w:r w:rsidR="0001031B">
        <w:t xml:space="preserve">turned out to be </w:t>
      </w:r>
      <w:r w:rsidR="00506326">
        <w:t>very good indeed—the company came within</w:t>
      </w:r>
      <w:r w:rsidR="00D503BA">
        <w:t xml:space="preserve"> a few percentage points</w:t>
      </w:r>
      <w:r w:rsidR="00506326">
        <w:t xml:space="preserve"> of the mark</w:t>
      </w:r>
      <w:r w:rsidR="00900B2E">
        <w:t xml:space="preserve"> and saved</w:t>
      </w:r>
      <w:r w:rsidR="00D503BA">
        <w:t xml:space="preserve"> </w:t>
      </w:r>
      <w:r w:rsidR="00D503BA" w:rsidRPr="00D503BA">
        <w:rPr>
          <w:i/>
        </w:rPr>
        <w:t xml:space="preserve">more </w:t>
      </w:r>
      <w:r w:rsidR="00D503BA">
        <w:t>than it had estimated</w:t>
      </w:r>
      <w:r w:rsidR="00506326">
        <w:t xml:space="preserve">.  But even if it had </w:t>
      </w:r>
      <w:r w:rsidR="00E65E5E">
        <w:t>missed the mark</w:t>
      </w:r>
      <w:r w:rsidR="00506326">
        <w:t xml:space="preserve">, that would not justify penalizing DEO—if </w:t>
      </w:r>
      <w:r>
        <w:t xml:space="preserve">disallowance </w:t>
      </w:r>
      <w:r w:rsidR="00506326">
        <w:t xml:space="preserve">is the price of </w:t>
      </w:r>
      <w:r>
        <w:t xml:space="preserve">a good-faith misestimation, </w:t>
      </w:r>
      <w:r w:rsidR="00506326">
        <w:t>it will distort the discovery process</w:t>
      </w:r>
      <w:r>
        <w:t>,</w:t>
      </w:r>
      <w:r w:rsidR="00506326">
        <w:t xml:space="preserve"> affect the incentive for companies to give forthright estimates of future performance</w:t>
      </w:r>
      <w:r>
        <w:t>, and deprive the Commission and Staff of valuable information</w:t>
      </w:r>
      <w:r w:rsidR="00506326">
        <w:t xml:space="preserve">. </w:t>
      </w:r>
      <w:r w:rsidR="00E65E5E">
        <w:t xml:space="preserve"> </w:t>
      </w:r>
    </w:p>
    <w:p w14:paraId="4E1246B6" w14:textId="0E41218C" w:rsidR="00506326" w:rsidRDefault="00532F95" w:rsidP="00506326">
      <w:pPr>
        <w:pStyle w:val="MemoBodyText"/>
      </w:pPr>
      <w:r>
        <w:t>T</w:t>
      </w:r>
      <w:r w:rsidR="00506326">
        <w:t xml:space="preserve">he question is not whether DEO </w:t>
      </w:r>
      <w:r w:rsidR="00900B2E">
        <w:t>achieved clairvoyance</w:t>
      </w:r>
      <w:r w:rsidR="00506326">
        <w:t xml:space="preserve"> in November 2007, but whether it reasonably implemented its program and </w:t>
      </w:r>
      <w:r w:rsidR="00E65E5E">
        <w:t xml:space="preserve">achieved reasonably </w:t>
      </w:r>
      <w:r w:rsidR="00506326">
        <w:t>available cost-savings.</w:t>
      </w:r>
      <w:r w:rsidR="00FF0560">
        <w:t xml:space="preserve"> </w:t>
      </w:r>
      <w:r w:rsidR="00333499">
        <w:t xml:space="preserve"> </w:t>
      </w:r>
      <w:r w:rsidR="00FF0560">
        <w:t xml:space="preserve">OCC </w:t>
      </w:r>
      <w:r w:rsidR="00395F3D">
        <w:t>and OPAE have</w:t>
      </w:r>
      <w:r w:rsidR="00FF0560">
        <w:t xml:space="preserve"> raised no doubts on the latter question.  </w:t>
      </w:r>
      <w:r w:rsidR="0063021A">
        <w:t>The reality is that DEO has realized for its customers millions of dollars in cost savings</w:t>
      </w:r>
      <w:r w:rsidR="008C5699">
        <w:t xml:space="preserve"> over the life of the program, in addition to improved service and many other benefits, all of which will continue to be enjoyed into the future</w:t>
      </w:r>
      <w:r w:rsidR="0063021A">
        <w:t>.</w:t>
      </w:r>
      <w:r w:rsidR="00FF0560">
        <w:t xml:space="preserve"> </w:t>
      </w:r>
    </w:p>
    <w:p w14:paraId="2AC3DDB1" w14:textId="5B85FB99" w:rsidR="00A975C4" w:rsidRDefault="00710762" w:rsidP="00710762">
      <w:pPr>
        <w:pStyle w:val="MemoHeading1"/>
      </w:pPr>
      <w:r>
        <w:t>Conclusion</w:t>
      </w:r>
    </w:p>
    <w:p w14:paraId="3DCF79F2" w14:textId="73B0B6B9" w:rsidR="00710762" w:rsidRPr="00710762" w:rsidRDefault="00710762" w:rsidP="00710762">
      <w:pPr>
        <w:pStyle w:val="MemoBodyText"/>
      </w:pPr>
      <w:r>
        <w:t xml:space="preserve">For the foregoing reasons, the Commission should strike </w:t>
      </w:r>
      <w:r w:rsidR="00FF0560">
        <w:t xml:space="preserve">from the record </w:t>
      </w:r>
      <w:r>
        <w:t>OCC</w:t>
      </w:r>
      <w:r w:rsidR="00395F3D">
        <w:t xml:space="preserve"> and OPAE</w:t>
      </w:r>
      <w:r>
        <w:t>’s comments</w:t>
      </w:r>
      <w:r w:rsidR="00FF0560">
        <w:t xml:space="preserve"> beginning with Section B on page 3 and continuing to the end of page 6. </w:t>
      </w:r>
    </w:p>
    <w:p w14:paraId="10106AD8" w14:textId="77777777" w:rsidR="00A975C4" w:rsidRDefault="00A975C4" w:rsidP="0032154A">
      <w:pPr>
        <w:tabs>
          <w:tab w:val="left" w:pos="5040"/>
        </w:tabs>
        <w:rPr>
          <w:rFonts w:ascii="Times New Roman" w:hAnsi="Times New Roman" w:cs="Times New Roman"/>
        </w:rPr>
      </w:pPr>
    </w:p>
    <w:p w14:paraId="243A2137" w14:textId="1CFBD7CE" w:rsidR="00FF0560" w:rsidRDefault="00FF0560" w:rsidP="0006328B">
      <w:pPr>
        <w:pStyle w:val="MemoBodyText"/>
        <w:tabs>
          <w:tab w:val="left" w:pos="4770"/>
        </w:tabs>
        <w:ind w:firstLine="0"/>
      </w:pPr>
      <w:r>
        <w:t xml:space="preserve">Dated: </w:t>
      </w:r>
      <w:r w:rsidR="00570596">
        <w:t>April 10</w:t>
      </w:r>
      <w:r w:rsidR="009A679F">
        <w:t xml:space="preserve">, </w:t>
      </w:r>
      <w:r w:rsidRPr="0021224F">
        <w:t>2012</w:t>
      </w:r>
      <w:r w:rsidR="0006328B">
        <w:tab/>
      </w:r>
      <w:proofErr w:type="gramStart"/>
      <w:r>
        <w:t>Respectfully</w:t>
      </w:r>
      <w:proofErr w:type="gramEnd"/>
      <w:r>
        <w:t xml:space="preserve"> submitted,</w:t>
      </w:r>
    </w:p>
    <w:p w14:paraId="6519102C" w14:textId="77777777" w:rsidR="00FF0560" w:rsidRDefault="00FF0560" w:rsidP="0006328B">
      <w:pPr>
        <w:pStyle w:val="MemoBodyText"/>
        <w:ind w:left="4770" w:firstLine="0"/>
      </w:pPr>
      <w:r>
        <w:rPr>
          <w:u w:val="single"/>
        </w:rPr>
        <w:t>/s/ Mark A. Whitt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8E55FC" w14:textId="77777777" w:rsidR="00FF0560" w:rsidRDefault="00FF0560" w:rsidP="0006328B">
      <w:pPr>
        <w:tabs>
          <w:tab w:val="left" w:pos="5040"/>
        </w:tabs>
        <w:ind w:left="4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A. Whitt (Counsel of Record)</w:t>
      </w:r>
    </w:p>
    <w:p w14:paraId="28854A8A" w14:textId="77777777" w:rsidR="00FF0560" w:rsidRDefault="00FF0560" w:rsidP="0006328B">
      <w:pPr>
        <w:tabs>
          <w:tab w:val="left" w:pos="5040"/>
        </w:tabs>
        <w:ind w:left="4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J. Campbell</w:t>
      </w:r>
    </w:p>
    <w:p w14:paraId="1C894722" w14:textId="77777777" w:rsidR="00FF0560" w:rsidRDefault="00FF0560" w:rsidP="0006328B">
      <w:pPr>
        <w:tabs>
          <w:tab w:val="left" w:pos="5040"/>
        </w:tabs>
        <w:ind w:left="4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L. Thompson</w:t>
      </w:r>
    </w:p>
    <w:p w14:paraId="597AA344" w14:textId="77777777" w:rsidR="00FF0560" w:rsidRDefault="00FF0560" w:rsidP="0006328B">
      <w:pPr>
        <w:tabs>
          <w:tab w:val="left" w:pos="5040"/>
        </w:tabs>
        <w:ind w:left="4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WHITT STURTEVANT LLP</w:t>
      </w:r>
    </w:p>
    <w:p w14:paraId="50D63F38" w14:textId="77777777" w:rsidR="00FF0560" w:rsidRDefault="00FF0560" w:rsidP="0006328B">
      <w:pPr>
        <w:tabs>
          <w:tab w:val="left" w:pos="5040"/>
        </w:tabs>
        <w:ind w:left="4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PNC Plaza, Suite 2020</w:t>
      </w:r>
    </w:p>
    <w:p w14:paraId="4644272D" w14:textId="77777777" w:rsidR="00FF0560" w:rsidRDefault="00FF0560" w:rsidP="0006328B">
      <w:pPr>
        <w:tabs>
          <w:tab w:val="left" w:pos="5040"/>
        </w:tabs>
        <w:ind w:left="4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155 East Broad Street</w:t>
      </w:r>
    </w:p>
    <w:p w14:paraId="3F9FCF66" w14:textId="77777777" w:rsidR="00FF0560" w:rsidRDefault="00FF0560" w:rsidP="0006328B">
      <w:pPr>
        <w:tabs>
          <w:tab w:val="left" w:pos="5040"/>
        </w:tabs>
        <w:ind w:left="4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Columbus, Ohio 43215</w:t>
      </w:r>
    </w:p>
    <w:p w14:paraId="70E46507" w14:textId="77777777" w:rsidR="00FF0560" w:rsidRDefault="00FF0560" w:rsidP="0006328B">
      <w:pPr>
        <w:tabs>
          <w:tab w:val="left" w:pos="5040"/>
        </w:tabs>
        <w:ind w:left="4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(614) 224-3911</w:t>
      </w:r>
    </w:p>
    <w:p w14:paraId="0504A9BE" w14:textId="77777777" w:rsidR="00FF0560" w:rsidRDefault="00FF0560" w:rsidP="0006328B">
      <w:pPr>
        <w:tabs>
          <w:tab w:val="left" w:pos="5040"/>
        </w:tabs>
        <w:ind w:left="4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Facsimile:  (614) 224-3960</w:t>
      </w:r>
    </w:p>
    <w:p w14:paraId="1EF09C97" w14:textId="77777777" w:rsidR="00FF0560" w:rsidRDefault="00FF0560" w:rsidP="0006328B">
      <w:pPr>
        <w:tabs>
          <w:tab w:val="left" w:pos="5040"/>
        </w:tabs>
        <w:ind w:left="4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whitt@whitt-sturtevant.com</w:t>
      </w:r>
    </w:p>
    <w:p w14:paraId="0FB41A09" w14:textId="77777777" w:rsidR="00FF0560" w:rsidRDefault="00FF0560" w:rsidP="0006328B">
      <w:pPr>
        <w:tabs>
          <w:tab w:val="left" w:pos="5040"/>
        </w:tabs>
        <w:ind w:left="4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campbell@whitt-sturtevant.com</w:t>
      </w:r>
    </w:p>
    <w:p w14:paraId="0B578232" w14:textId="77777777" w:rsidR="00FF0560" w:rsidRDefault="00FF0560" w:rsidP="0006328B">
      <w:pPr>
        <w:tabs>
          <w:tab w:val="left" w:pos="5040"/>
        </w:tabs>
        <w:ind w:left="4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thompson@whitt-sturtevant.com</w:t>
      </w:r>
    </w:p>
    <w:p w14:paraId="372A711C" w14:textId="77777777" w:rsidR="00FF0560" w:rsidRDefault="00FF0560" w:rsidP="0006328B">
      <w:pPr>
        <w:tabs>
          <w:tab w:val="left" w:pos="5040"/>
        </w:tabs>
        <w:ind w:left="4770"/>
        <w:rPr>
          <w:rFonts w:ascii="Times New Roman" w:hAnsi="Times New Roman" w:cs="Times New Roman"/>
        </w:rPr>
      </w:pPr>
    </w:p>
    <w:p w14:paraId="72421ACE" w14:textId="77777777" w:rsidR="00FF0560" w:rsidRDefault="00FF0560" w:rsidP="0006328B">
      <w:pPr>
        <w:tabs>
          <w:tab w:val="left" w:pos="5040"/>
        </w:tabs>
        <w:ind w:left="4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ATTORNEYS FOR THE EAST OHIO GAS COMPANY D/B/A DOMINION EAST OHIO</w:t>
      </w:r>
    </w:p>
    <w:p w14:paraId="5DFEF0D8" w14:textId="77777777" w:rsidR="00665F00" w:rsidRDefault="00665F00" w:rsidP="00FF0560">
      <w:pPr>
        <w:tabs>
          <w:tab w:val="left" w:pos="5040"/>
        </w:tabs>
        <w:ind w:left="5040"/>
        <w:rPr>
          <w:rFonts w:ascii="Times New Roman" w:hAnsi="Times New Roman" w:cs="Times New Roman"/>
        </w:rPr>
        <w:sectPr w:rsidR="00665F00" w:rsidSect="00665F00"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338E4246" w14:textId="77777777" w:rsidR="00A8215C" w:rsidRDefault="00A8215C" w:rsidP="00A821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CERTIFICATE OF SERVICE</w:t>
      </w:r>
    </w:p>
    <w:p w14:paraId="739153F7" w14:textId="77777777" w:rsidR="00A8215C" w:rsidRDefault="00A8215C" w:rsidP="00A8215C">
      <w:pPr>
        <w:jc w:val="center"/>
        <w:rPr>
          <w:rFonts w:ascii="Times New Roman" w:hAnsi="Times New Roman" w:cs="Times New Roman"/>
        </w:rPr>
      </w:pPr>
    </w:p>
    <w:p w14:paraId="294F1116" w14:textId="516FBCCA" w:rsidR="00A8215C" w:rsidRDefault="00A8215C" w:rsidP="00A8215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hereby certify that a copy of the</w:t>
      </w:r>
      <w:r w:rsidR="009A679F">
        <w:rPr>
          <w:rFonts w:ascii="Times New Roman" w:hAnsi="Times New Roman" w:cs="Times New Roman"/>
        </w:rPr>
        <w:t xml:space="preserve"> foregoing Motion to </w:t>
      </w:r>
      <w:proofErr w:type="gramStart"/>
      <w:r w:rsidR="009A679F">
        <w:rPr>
          <w:rFonts w:ascii="Times New Roman" w:hAnsi="Times New Roman" w:cs="Times New Roman"/>
        </w:rPr>
        <w:t>Strike</w:t>
      </w:r>
      <w:proofErr w:type="gramEnd"/>
      <w:r w:rsidR="009A679F">
        <w:rPr>
          <w:rFonts w:ascii="Times New Roman" w:hAnsi="Times New Roman" w:cs="Times New Roman"/>
        </w:rPr>
        <w:t xml:space="preserve"> </w:t>
      </w:r>
      <w:r w:rsidR="00570596">
        <w:rPr>
          <w:rFonts w:ascii="Times New Roman" w:hAnsi="Times New Roman" w:cs="Times New Roman"/>
        </w:rPr>
        <w:t xml:space="preserve">and </w:t>
      </w:r>
      <w:r w:rsidR="009A679F">
        <w:rPr>
          <w:rFonts w:ascii="Times New Roman" w:hAnsi="Times New Roman" w:cs="Times New Roman"/>
        </w:rPr>
        <w:t>Memorandum in Support</w:t>
      </w:r>
      <w:r w:rsidR="00C56BDD" w:rsidRPr="00C56B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was served by electronic mail this </w:t>
      </w:r>
      <w:r w:rsidR="00570596">
        <w:rPr>
          <w:rFonts w:ascii="Times New Roman" w:hAnsi="Times New Roman" w:cs="Times New Roman"/>
        </w:rPr>
        <w:t>10</w:t>
      </w:r>
      <w:r w:rsidR="009A679F">
        <w:rPr>
          <w:rFonts w:ascii="Times New Roman" w:hAnsi="Times New Roman" w:cs="Times New Roman"/>
        </w:rPr>
        <w:t xml:space="preserve">th </w:t>
      </w:r>
      <w:r>
        <w:rPr>
          <w:rFonts w:ascii="Times New Roman" w:hAnsi="Times New Roman" w:cs="Times New Roman"/>
        </w:rPr>
        <w:t xml:space="preserve">day of </w:t>
      </w:r>
      <w:r w:rsidR="009A679F">
        <w:rPr>
          <w:rFonts w:ascii="Times New Roman" w:hAnsi="Times New Roman" w:cs="Times New Roman"/>
        </w:rPr>
        <w:t>April</w:t>
      </w:r>
      <w:r>
        <w:rPr>
          <w:rFonts w:ascii="Times New Roman" w:hAnsi="Times New Roman" w:cs="Times New Roman"/>
        </w:rPr>
        <w:t xml:space="preserve">, </w:t>
      </w:r>
      <w:r w:rsidR="009A679F">
        <w:rPr>
          <w:rFonts w:ascii="Times New Roman" w:hAnsi="Times New Roman" w:cs="Times New Roman"/>
        </w:rPr>
        <w:t xml:space="preserve">2012, </w:t>
      </w:r>
      <w:r w:rsidRPr="00C56BDD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34DB1" w14:paraId="7FF58817" w14:textId="77777777" w:rsidTr="00A8215C">
        <w:tc>
          <w:tcPr>
            <w:tcW w:w="4788" w:type="dxa"/>
          </w:tcPr>
          <w:p w14:paraId="43750E44" w14:textId="48246E5C" w:rsidR="00834DB1" w:rsidRPr="00834DB1" w:rsidRDefault="00665F00" w:rsidP="00834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Devin </w:t>
            </w:r>
            <w:r w:rsidR="0079633E">
              <w:rPr>
                <w:rFonts w:ascii="Times New Roman" w:hAnsi="Times New Roman" w:cs="Times New Roman"/>
              </w:rPr>
              <w:t>D. Parram</w:t>
            </w:r>
          </w:p>
          <w:p w14:paraId="7CB11EBE" w14:textId="77777777" w:rsidR="00834DB1" w:rsidRPr="00834DB1" w:rsidRDefault="00834DB1" w:rsidP="00834DB1">
            <w:pPr>
              <w:pStyle w:val="CommentSubject"/>
            </w:pPr>
            <w:r w:rsidRPr="00834DB1">
              <w:t>Attorney General’s Office</w:t>
            </w:r>
          </w:p>
          <w:p w14:paraId="31F54946" w14:textId="77777777" w:rsidR="00834DB1" w:rsidRPr="00834DB1" w:rsidRDefault="00834DB1" w:rsidP="00834DB1">
            <w:pPr>
              <w:rPr>
                <w:rFonts w:ascii="Times New Roman" w:hAnsi="Times New Roman" w:cs="Times New Roman"/>
              </w:rPr>
            </w:pPr>
            <w:r w:rsidRPr="00834DB1">
              <w:rPr>
                <w:rFonts w:ascii="Times New Roman" w:hAnsi="Times New Roman" w:cs="Times New Roman"/>
              </w:rPr>
              <w:t>Public Utilities Section</w:t>
            </w:r>
          </w:p>
          <w:p w14:paraId="2A08CBC9" w14:textId="77777777" w:rsidR="00834DB1" w:rsidRPr="00834DB1" w:rsidRDefault="00834DB1" w:rsidP="00834DB1">
            <w:pPr>
              <w:rPr>
                <w:rFonts w:ascii="Times New Roman" w:hAnsi="Times New Roman" w:cs="Times New Roman"/>
              </w:rPr>
            </w:pPr>
            <w:r w:rsidRPr="00834DB1">
              <w:rPr>
                <w:rFonts w:ascii="Times New Roman" w:hAnsi="Times New Roman" w:cs="Times New Roman"/>
              </w:rPr>
              <w:t>180 East Broad Street, 6</w:t>
            </w:r>
            <w:r w:rsidRPr="00834DB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34DB1">
              <w:rPr>
                <w:rFonts w:ascii="Times New Roman" w:hAnsi="Times New Roman" w:cs="Times New Roman"/>
              </w:rPr>
              <w:t xml:space="preserve"> Floor</w:t>
            </w:r>
          </w:p>
          <w:p w14:paraId="2E7EB131" w14:textId="77777777" w:rsidR="00834DB1" w:rsidRPr="00834DB1" w:rsidRDefault="00834DB1" w:rsidP="00834DB1">
            <w:pPr>
              <w:rPr>
                <w:rFonts w:ascii="Times New Roman" w:hAnsi="Times New Roman" w:cs="Times New Roman"/>
              </w:rPr>
            </w:pPr>
            <w:r w:rsidRPr="00834DB1">
              <w:rPr>
                <w:rFonts w:ascii="Times New Roman" w:hAnsi="Times New Roman" w:cs="Times New Roman"/>
              </w:rPr>
              <w:t>Columbus, Ohio 43215</w:t>
            </w:r>
          </w:p>
          <w:p w14:paraId="07B98458" w14:textId="4091B6DB" w:rsidR="00834DB1" w:rsidRPr="00834DB1" w:rsidRDefault="0079633E" w:rsidP="00834DB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devin.parram</w:t>
            </w:r>
            <w:r w:rsidR="00834DB1" w:rsidRPr="00834DB1">
              <w:rPr>
                <w:rFonts w:ascii="Times New Roman" w:hAnsi="Times New Roman" w:cs="Times New Roman"/>
              </w:rPr>
              <w:t>@puc.state.oh.us</w:t>
            </w:r>
            <w:proofErr w:type="gramEnd"/>
          </w:p>
          <w:p w14:paraId="594F3143" w14:textId="38B644AA" w:rsidR="00834DB1" w:rsidRDefault="00834DB1" w:rsidP="00A82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04A61232" w14:textId="40DF1897" w:rsidR="00834DB1" w:rsidRPr="00834DB1" w:rsidRDefault="00834DB1" w:rsidP="00834DB1">
            <w:pPr>
              <w:rPr>
                <w:rFonts w:ascii="Times New Roman" w:hAnsi="Times New Roman" w:cs="Times New Roman"/>
              </w:rPr>
            </w:pPr>
            <w:r w:rsidRPr="00834DB1">
              <w:rPr>
                <w:rFonts w:ascii="Times New Roman" w:hAnsi="Times New Roman" w:cs="Times New Roman"/>
              </w:rPr>
              <w:t>Joseph P. Serio</w:t>
            </w:r>
          </w:p>
          <w:p w14:paraId="257CF4D8" w14:textId="77777777" w:rsidR="00834DB1" w:rsidRPr="00834DB1" w:rsidRDefault="00834DB1" w:rsidP="00834DB1">
            <w:pPr>
              <w:rPr>
                <w:rFonts w:ascii="Times New Roman" w:hAnsi="Times New Roman" w:cs="Times New Roman"/>
              </w:rPr>
            </w:pPr>
            <w:r w:rsidRPr="00834DB1">
              <w:rPr>
                <w:rFonts w:ascii="Times New Roman" w:hAnsi="Times New Roman" w:cs="Times New Roman"/>
              </w:rPr>
              <w:t>Office of the Ohio Consumers’ Counsel</w:t>
            </w:r>
          </w:p>
          <w:p w14:paraId="45C9D8F0" w14:textId="77777777" w:rsidR="00834DB1" w:rsidRPr="00834DB1" w:rsidRDefault="00834DB1" w:rsidP="00834DB1">
            <w:pPr>
              <w:rPr>
                <w:rFonts w:ascii="Times New Roman" w:hAnsi="Times New Roman" w:cs="Times New Roman"/>
              </w:rPr>
            </w:pPr>
            <w:r w:rsidRPr="00834DB1">
              <w:rPr>
                <w:rFonts w:ascii="Times New Roman" w:hAnsi="Times New Roman" w:cs="Times New Roman"/>
              </w:rPr>
              <w:t>10 West Broad Street, Suite 1800</w:t>
            </w:r>
          </w:p>
          <w:p w14:paraId="6B943A30" w14:textId="77777777" w:rsidR="00834DB1" w:rsidRPr="00834DB1" w:rsidRDefault="00834DB1" w:rsidP="00834DB1">
            <w:pPr>
              <w:rPr>
                <w:rFonts w:ascii="Times New Roman" w:hAnsi="Times New Roman" w:cs="Times New Roman"/>
              </w:rPr>
            </w:pPr>
            <w:r w:rsidRPr="00834DB1">
              <w:rPr>
                <w:rFonts w:ascii="Times New Roman" w:hAnsi="Times New Roman" w:cs="Times New Roman"/>
              </w:rPr>
              <w:t>Columbus, Ohio 43215-3485</w:t>
            </w:r>
          </w:p>
          <w:p w14:paraId="1BEF2805" w14:textId="77777777" w:rsidR="00834DB1" w:rsidRPr="00834DB1" w:rsidRDefault="00834DB1" w:rsidP="00834DB1">
            <w:pPr>
              <w:rPr>
                <w:rFonts w:ascii="Times New Roman" w:hAnsi="Times New Roman" w:cs="Times New Roman"/>
              </w:rPr>
            </w:pPr>
            <w:r w:rsidRPr="00834DB1">
              <w:rPr>
                <w:rFonts w:ascii="Times New Roman" w:hAnsi="Times New Roman" w:cs="Times New Roman"/>
              </w:rPr>
              <w:t>serio@occ.state.oh.us</w:t>
            </w:r>
          </w:p>
          <w:p w14:paraId="4E21C0FD" w14:textId="1FAC7928" w:rsidR="00834DB1" w:rsidRDefault="00834DB1" w:rsidP="00A8215C">
            <w:pPr>
              <w:rPr>
                <w:rFonts w:ascii="Times New Roman" w:hAnsi="Times New Roman" w:cs="Times New Roman"/>
              </w:rPr>
            </w:pPr>
          </w:p>
        </w:tc>
      </w:tr>
      <w:tr w:rsidR="00834DB1" w:rsidRPr="00834DB1" w14:paraId="187FDE02" w14:textId="77777777" w:rsidTr="00A8215C">
        <w:tc>
          <w:tcPr>
            <w:tcW w:w="4788" w:type="dxa"/>
          </w:tcPr>
          <w:p w14:paraId="2167CD34" w14:textId="77777777" w:rsidR="00834DB1" w:rsidRPr="00834DB1" w:rsidRDefault="00834DB1" w:rsidP="00834DB1">
            <w:pPr>
              <w:rPr>
                <w:rFonts w:ascii="Times New Roman" w:hAnsi="Times New Roman" w:cs="Times New Roman"/>
              </w:rPr>
            </w:pPr>
            <w:r w:rsidRPr="00834DB1">
              <w:rPr>
                <w:rFonts w:ascii="Times New Roman" w:hAnsi="Times New Roman" w:cs="Times New Roman"/>
              </w:rPr>
              <w:t>Colleen L. Mooney</w:t>
            </w:r>
          </w:p>
          <w:p w14:paraId="2638006F" w14:textId="77777777" w:rsidR="00834DB1" w:rsidRPr="00834DB1" w:rsidRDefault="00834DB1" w:rsidP="00834DB1">
            <w:pPr>
              <w:rPr>
                <w:rFonts w:ascii="Times New Roman" w:hAnsi="Times New Roman" w:cs="Times New Roman"/>
              </w:rPr>
            </w:pPr>
            <w:r w:rsidRPr="00834DB1">
              <w:rPr>
                <w:rFonts w:ascii="Times New Roman" w:hAnsi="Times New Roman" w:cs="Times New Roman"/>
              </w:rPr>
              <w:t>Ohio Partners for Affordable Energy</w:t>
            </w:r>
          </w:p>
          <w:p w14:paraId="4D75732C" w14:textId="77777777" w:rsidR="00834DB1" w:rsidRPr="00834DB1" w:rsidRDefault="00834DB1" w:rsidP="00834DB1">
            <w:pPr>
              <w:rPr>
                <w:rFonts w:ascii="Times New Roman" w:hAnsi="Times New Roman" w:cs="Times New Roman"/>
              </w:rPr>
            </w:pPr>
            <w:r w:rsidRPr="00834DB1">
              <w:rPr>
                <w:rFonts w:ascii="Times New Roman" w:hAnsi="Times New Roman" w:cs="Times New Roman"/>
              </w:rPr>
              <w:t>231 West Lima Street</w:t>
            </w:r>
          </w:p>
          <w:p w14:paraId="281268F9" w14:textId="0242627A" w:rsidR="00834DB1" w:rsidRPr="00834DB1" w:rsidRDefault="00665F00" w:rsidP="00834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Findlay, Ohio </w:t>
            </w:r>
            <w:r w:rsidR="00834DB1" w:rsidRPr="00834DB1">
              <w:rPr>
                <w:rFonts w:ascii="Times New Roman" w:hAnsi="Times New Roman" w:cs="Times New Roman"/>
              </w:rPr>
              <w:t xml:space="preserve">45840 </w:t>
            </w:r>
          </w:p>
          <w:p w14:paraId="6551E016" w14:textId="252F4CEC" w:rsidR="00834DB1" w:rsidRPr="00834DB1" w:rsidRDefault="00834DB1" w:rsidP="00834DB1">
            <w:pPr>
              <w:rPr>
                <w:rFonts w:ascii="Times New Roman" w:hAnsi="Times New Roman" w:cs="Times New Roman"/>
              </w:rPr>
            </w:pPr>
            <w:r w:rsidRPr="00834DB1">
              <w:rPr>
                <w:rFonts w:ascii="Times New Roman" w:hAnsi="Times New Roman" w:cs="Times New Roman"/>
              </w:rPr>
              <w:t>cmooney2@columbus.rr.com</w:t>
            </w:r>
          </w:p>
          <w:p w14:paraId="7B3A3B58" w14:textId="77777777" w:rsidR="00834DB1" w:rsidRPr="00834DB1" w:rsidRDefault="00834DB1" w:rsidP="00834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04039536" w14:textId="77777777" w:rsidR="00834DB1" w:rsidRPr="00834DB1" w:rsidRDefault="00834DB1" w:rsidP="00834DB1">
            <w:pPr>
              <w:rPr>
                <w:rFonts w:ascii="Times New Roman" w:hAnsi="Times New Roman" w:cs="Times New Roman"/>
              </w:rPr>
            </w:pPr>
          </w:p>
        </w:tc>
      </w:tr>
    </w:tbl>
    <w:p w14:paraId="0972E6ED" w14:textId="77777777" w:rsidR="00A8215C" w:rsidRPr="00A8215C" w:rsidRDefault="00A8215C" w:rsidP="00A8215C">
      <w:pPr>
        <w:spacing w:line="480" w:lineRule="auto"/>
        <w:rPr>
          <w:rFonts w:ascii="Times New Roman" w:hAnsi="Times New Roman" w:cs="Times New Roman"/>
        </w:rPr>
      </w:pPr>
    </w:p>
    <w:p w14:paraId="1811BC49" w14:textId="07E631DC" w:rsidR="00E05C6A" w:rsidRDefault="00665F00" w:rsidP="00A8215C">
      <w:pPr>
        <w:ind w:left="477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/s/ Mark A. Whitt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B70FA1B" w14:textId="77777777" w:rsidR="00A8215C" w:rsidRPr="00A8215C" w:rsidRDefault="00A8215C" w:rsidP="00A8215C">
      <w:pPr>
        <w:ind w:left="4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the Attorneys for The East Ohio Gas Company d/b/a Dominion East Ohio</w:t>
      </w:r>
    </w:p>
    <w:sectPr w:rsidR="00A8215C" w:rsidRPr="00A8215C" w:rsidSect="00665F00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500BA" w14:textId="77777777" w:rsidR="00740044" w:rsidRDefault="00740044" w:rsidP="0032154A">
      <w:r>
        <w:separator/>
      </w:r>
    </w:p>
  </w:endnote>
  <w:endnote w:type="continuationSeparator" w:id="0">
    <w:p w14:paraId="76B46BBD" w14:textId="77777777" w:rsidR="00740044" w:rsidRDefault="00740044" w:rsidP="0032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144A9" w14:textId="77777777" w:rsidR="00740044" w:rsidRPr="0032154A" w:rsidRDefault="00740044" w:rsidP="0032154A">
    <w:pPr>
      <w:pStyle w:val="Footer"/>
      <w:jc w:val="center"/>
      <w:rPr>
        <w:rFonts w:ascii="Times New Roman" w:hAnsi="Times New Roman" w:cs="Times New Roman"/>
      </w:rPr>
    </w:pPr>
    <w:r w:rsidRPr="0032154A">
      <w:rPr>
        <w:rStyle w:val="PageNumber"/>
        <w:rFonts w:ascii="Times New Roman" w:hAnsi="Times New Roman" w:cs="Times New Roman"/>
      </w:rPr>
      <w:fldChar w:fldCharType="begin"/>
    </w:r>
    <w:r w:rsidRPr="0032154A">
      <w:rPr>
        <w:rStyle w:val="PageNumber"/>
        <w:rFonts w:ascii="Times New Roman" w:hAnsi="Times New Roman" w:cs="Times New Roman"/>
      </w:rPr>
      <w:instrText xml:space="preserve"> PAGE </w:instrText>
    </w:r>
    <w:r w:rsidRPr="0032154A">
      <w:rPr>
        <w:rStyle w:val="PageNumber"/>
        <w:rFonts w:ascii="Times New Roman" w:hAnsi="Times New Roman" w:cs="Times New Roman"/>
      </w:rPr>
      <w:fldChar w:fldCharType="separate"/>
    </w:r>
    <w:r w:rsidR="00EA4A9F">
      <w:rPr>
        <w:rStyle w:val="PageNumber"/>
        <w:rFonts w:ascii="Times New Roman" w:hAnsi="Times New Roman" w:cs="Times New Roman"/>
        <w:noProof/>
      </w:rPr>
      <w:t>2</w:t>
    </w:r>
    <w:r w:rsidRPr="0032154A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7E9DA" w14:textId="77777777" w:rsidR="00740044" w:rsidRDefault="00740044" w:rsidP="0032154A">
      <w:r>
        <w:separator/>
      </w:r>
    </w:p>
  </w:footnote>
  <w:footnote w:type="continuationSeparator" w:id="0">
    <w:p w14:paraId="7B4F4ED2" w14:textId="77777777" w:rsidR="00740044" w:rsidRDefault="00740044" w:rsidP="00321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8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6809CB"/>
    <w:multiLevelType w:val="hybridMultilevel"/>
    <w:tmpl w:val="229C0D86"/>
    <w:lvl w:ilvl="0" w:tplc="330E1A34">
      <w:start w:val="1"/>
      <w:numFmt w:val="lowerLetter"/>
      <w:pStyle w:val="MemoHeading4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4712ED"/>
    <w:multiLevelType w:val="multilevel"/>
    <w:tmpl w:val="4B9C2F10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>
    <w:nsid w:val="479D279F"/>
    <w:multiLevelType w:val="hybridMultilevel"/>
    <w:tmpl w:val="E88CFC60"/>
    <w:lvl w:ilvl="0" w:tplc="9B8CCB08">
      <w:start w:val="1"/>
      <w:numFmt w:val="decimal"/>
      <w:pStyle w:val="MemoHeading3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C47F2B"/>
    <w:multiLevelType w:val="hybridMultilevel"/>
    <w:tmpl w:val="C458F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B04AB"/>
    <w:multiLevelType w:val="hybridMultilevel"/>
    <w:tmpl w:val="80141E10"/>
    <w:lvl w:ilvl="0" w:tplc="21B0D708">
      <w:start w:val="1"/>
      <w:numFmt w:val="upperRoman"/>
      <w:pStyle w:val="MemoHeading1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F1AB6"/>
    <w:multiLevelType w:val="hybridMultilevel"/>
    <w:tmpl w:val="A74CB9AC"/>
    <w:lvl w:ilvl="0" w:tplc="6CBAA0CE">
      <w:start w:val="1"/>
      <w:numFmt w:val="upperLetter"/>
      <w:pStyle w:val="MemoHeading2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81"/>
    <w:rsid w:val="0001031B"/>
    <w:rsid w:val="000127D6"/>
    <w:rsid w:val="00020DF7"/>
    <w:rsid w:val="000213CC"/>
    <w:rsid w:val="0002146F"/>
    <w:rsid w:val="0006328B"/>
    <w:rsid w:val="0007068D"/>
    <w:rsid w:val="000A288D"/>
    <w:rsid w:val="000B3928"/>
    <w:rsid w:val="000C463A"/>
    <w:rsid w:val="000D6365"/>
    <w:rsid w:val="000E56C8"/>
    <w:rsid w:val="00115568"/>
    <w:rsid w:val="001C04B0"/>
    <w:rsid w:val="001C5A8F"/>
    <w:rsid w:val="001C75E2"/>
    <w:rsid w:val="001D00A8"/>
    <w:rsid w:val="001F2E44"/>
    <w:rsid w:val="00200600"/>
    <w:rsid w:val="0021224F"/>
    <w:rsid w:val="0022361A"/>
    <w:rsid w:val="0027557B"/>
    <w:rsid w:val="002A5ACF"/>
    <w:rsid w:val="002C52DA"/>
    <w:rsid w:val="00314522"/>
    <w:rsid w:val="0032154A"/>
    <w:rsid w:val="00321A8D"/>
    <w:rsid w:val="00326992"/>
    <w:rsid w:val="00333499"/>
    <w:rsid w:val="003355C7"/>
    <w:rsid w:val="00361141"/>
    <w:rsid w:val="00395F3D"/>
    <w:rsid w:val="003C1D74"/>
    <w:rsid w:val="003E6D5C"/>
    <w:rsid w:val="0044167D"/>
    <w:rsid w:val="004700E2"/>
    <w:rsid w:val="00472357"/>
    <w:rsid w:val="004773F5"/>
    <w:rsid w:val="004A0D8B"/>
    <w:rsid w:val="004D37FA"/>
    <w:rsid w:val="00506326"/>
    <w:rsid w:val="0052676D"/>
    <w:rsid w:val="00532F95"/>
    <w:rsid w:val="005353F0"/>
    <w:rsid w:val="00547FE7"/>
    <w:rsid w:val="0055112A"/>
    <w:rsid w:val="00554664"/>
    <w:rsid w:val="00570596"/>
    <w:rsid w:val="005A317E"/>
    <w:rsid w:val="005A4751"/>
    <w:rsid w:val="005B111C"/>
    <w:rsid w:val="005B6400"/>
    <w:rsid w:val="005C1BE1"/>
    <w:rsid w:val="005C32EE"/>
    <w:rsid w:val="005D368E"/>
    <w:rsid w:val="00600B90"/>
    <w:rsid w:val="0063021A"/>
    <w:rsid w:val="00644998"/>
    <w:rsid w:val="006456C7"/>
    <w:rsid w:val="00646759"/>
    <w:rsid w:val="006558AB"/>
    <w:rsid w:val="00657CEE"/>
    <w:rsid w:val="00665F00"/>
    <w:rsid w:val="00697433"/>
    <w:rsid w:val="006D0B91"/>
    <w:rsid w:val="006D28C1"/>
    <w:rsid w:val="006E03F9"/>
    <w:rsid w:val="006E1AA0"/>
    <w:rsid w:val="00710762"/>
    <w:rsid w:val="0071539B"/>
    <w:rsid w:val="0072150D"/>
    <w:rsid w:val="00721C9A"/>
    <w:rsid w:val="0072651D"/>
    <w:rsid w:val="00740044"/>
    <w:rsid w:val="0075093D"/>
    <w:rsid w:val="00795652"/>
    <w:rsid w:val="0079633E"/>
    <w:rsid w:val="007979E0"/>
    <w:rsid w:val="007D41E6"/>
    <w:rsid w:val="007F3219"/>
    <w:rsid w:val="007F4B37"/>
    <w:rsid w:val="007F7BF5"/>
    <w:rsid w:val="00804023"/>
    <w:rsid w:val="00834DB1"/>
    <w:rsid w:val="00836971"/>
    <w:rsid w:val="008554E9"/>
    <w:rsid w:val="00873F93"/>
    <w:rsid w:val="00877A88"/>
    <w:rsid w:val="00890483"/>
    <w:rsid w:val="008A5BCF"/>
    <w:rsid w:val="008A7499"/>
    <w:rsid w:val="008B32AE"/>
    <w:rsid w:val="008C1D84"/>
    <w:rsid w:val="008C357A"/>
    <w:rsid w:val="008C5699"/>
    <w:rsid w:val="008E7532"/>
    <w:rsid w:val="00900B2E"/>
    <w:rsid w:val="00905A5F"/>
    <w:rsid w:val="00914D4F"/>
    <w:rsid w:val="00925ED3"/>
    <w:rsid w:val="00931881"/>
    <w:rsid w:val="00937130"/>
    <w:rsid w:val="009601B6"/>
    <w:rsid w:val="00975368"/>
    <w:rsid w:val="00996F91"/>
    <w:rsid w:val="009A409D"/>
    <w:rsid w:val="009A679F"/>
    <w:rsid w:val="009B1541"/>
    <w:rsid w:val="009B4728"/>
    <w:rsid w:val="009C02F1"/>
    <w:rsid w:val="009C37E8"/>
    <w:rsid w:val="009C386A"/>
    <w:rsid w:val="009C3876"/>
    <w:rsid w:val="009E6F3C"/>
    <w:rsid w:val="00A01F35"/>
    <w:rsid w:val="00A11350"/>
    <w:rsid w:val="00A32837"/>
    <w:rsid w:val="00A35B7B"/>
    <w:rsid w:val="00A404A4"/>
    <w:rsid w:val="00A43054"/>
    <w:rsid w:val="00A465E0"/>
    <w:rsid w:val="00A54C4E"/>
    <w:rsid w:val="00A573AD"/>
    <w:rsid w:val="00A60317"/>
    <w:rsid w:val="00A77EE5"/>
    <w:rsid w:val="00A8215C"/>
    <w:rsid w:val="00A95046"/>
    <w:rsid w:val="00A975C4"/>
    <w:rsid w:val="00AA3D1D"/>
    <w:rsid w:val="00AB1388"/>
    <w:rsid w:val="00AD1445"/>
    <w:rsid w:val="00AF001A"/>
    <w:rsid w:val="00B0188B"/>
    <w:rsid w:val="00B133A1"/>
    <w:rsid w:val="00B22994"/>
    <w:rsid w:val="00B253E4"/>
    <w:rsid w:val="00B566FB"/>
    <w:rsid w:val="00B6183A"/>
    <w:rsid w:val="00B85C90"/>
    <w:rsid w:val="00B948BC"/>
    <w:rsid w:val="00B97FCD"/>
    <w:rsid w:val="00BA2274"/>
    <w:rsid w:val="00BB286F"/>
    <w:rsid w:val="00BE6588"/>
    <w:rsid w:val="00C07D65"/>
    <w:rsid w:val="00C246CC"/>
    <w:rsid w:val="00C32E15"/>
    <w:rsid w:val="00C46F19"/>
    <w:rsid w:val="00C56BDD"/>
    <w:rsid w:val="00C67A12"/>
    <w:rsid w:val="00C67AF7"/>
    <w:rsid w:val="00C96B44"/>
    <w:rsid w:val="00CB6AD0"/>
    <w:rsid w:val="00CD56B4"/>
    <w:rsid w:val="00CE3536"/>
    <w:rsid w:val="00D02712"/>
    <w:rsid w:val="00D503BA"/>
    <w:rsid w:val="00D62527"/>
    <w:rsid w:val="00D73201"/>
    <w:rsid w:val="00D76BD9"/>
    <w:rsid w:val="00D86C75"/>
    <w:rsid w:val="00D874A1"/>
    <w:rsid w:val="00D93E59"/>
    <w:rsid w:val="00DC66D7"/>
    <w:rsid w:val="00DF7BDE"/>
    <w:rsid w:val="00E05C6A"/>
    <w:rsid w:val="00E105F8"/>
    <w:rsid w:val="00E34903"/>
    <w:rsid w:val="00E40A14"/>
    <w:rsid w:val="00E62E7B"/>
    <w:rsid w:val="00E65E5E"/>
    <w:rsid w:val="00E86951"/>
    <w:rsid w:val="00EA4A9F"/>
    <w:rsid w:val="00EE4CDB"/>
    <w:rsid w:val="00F02EF6"/>
    <w:rsid w:val="00F06866"/>
    <w:rsid w:val="00F16639"/>
    <w:rsid w:val="00F24A15"/>
    <w:rsid w:val="00F340FD"/>
    <w:rsid w:val="00F570C1"/>
    <w:rsid w:val="00F75A1E"/>
    <w:rsid w:val="00F82D76"/>
    <w:rsid w:val="00FA437D"/>
    <w:rsid w:val="00FB03E6"/>
    <w:rsid w:val="00FB7943"/>
    <w:rsid w:val="00F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0B2A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73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133A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5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54A"/>
  </w:style>
  <w:style w:type="paragraph" w:styleId="Footer">
    <w:name w:val="footer"/>
    <w:basedOn w:val="Normal"/>
    <w:link w:val="FooterChar"/>
    <w:uiPriority w:val="99"/>
    <w:unhideWhenUsed/>
    <w:rsid w:val="003215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54A"/>
  </w:style>
  <w:style w:type="character" w:styleId="PageNumber">
    <w:name w:val="page number"/>
    <w:basedOn w:val="DefaultParagraphFont"/>
    <w:uiPriority w:val="99"/>
    <w:semiHidden/>
    <w:unhideWhenUsed/>
    <w:rsid w:val="0032154A"/>
  </w:style>
  <w:style w:type="character" w:styleId="Hyperlink">
    <w:name w:val="Hyperlink"/>
    <w:basedOn w:val="DefaultParagraphFont"/>
    <w:unhideWhenUsed/>
    <w:rsid w:val="0032154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601B6"/>
  </w:style>
  <w:style w:type="character" w:customStyle="1" w:styleId="FootnoteTextChar">
    <w:name w:val="Footnote Text Char"/>
    <w:basedOn w:val="DefaultParagraphFont"/>
    <w:link w:val="FootnoteText"/>
    <w:uiPriority w:val="99"/>
    <w:rsid w:val="009601B6"/>
  </w:style>
  <w:style w:type="character" w:styleId="FootnoteReference">
    <w:name w:val="footnote reference"/>
    <w:basedOn w:val="DefaultParagraphFont"/>
    <w:uiPriority w:val="99"/>
    <w:unhideWhenUsed/>
    <w:rsid w:val="009601B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97F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97FCD"/>
  </w:style>
  <w:style w:type="character" w:customStyle="1" w:styleId="Heading2Char">
    <w:name w:val="Heading 2 Char"/>
    <w:basedOn w:val="DefaultParagraphFont"/>
    <w:link w:val="Heading2"/>
    <w:uiPriority w:val="9"/>
    <w:rsid w:val="00B133A1"/>
    <w:rPr>
      <w:rFonts w:ascii="Times" w:hAnsi="Times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47235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A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12"/>
    <w:rPr>
      <w:rFonts w:ascii="Lucida Grande" w:hAnsi="Lucida Grande" w:cs="Lucida Grande"/>
      <w:sz w:val="18"/>
      <w:szCs w:val="18"/>
    </w:rPr>
  </w:style>
  <w:style w:type="paragraph" w:customStyle="1" w:styleId="MemoHeading2">
    <w:name w:val="Memo Heading 2"/>
    <w:basedOn w:val="ListParagraph"/>
    <w:next w:val="MemoBodyText"/>
    <w:qFormat/>
    <w:rsid w:val="0052676D"/>
    <w:pPr>
      <w:keepNext/>
      <w:numPr>
        <w:numId w:val="1"/>
      </w:numPr>
      <w:spacing w:after="240"/>
    </w:pPr>
    <w:rPr>
      <w:rFonts w:ascii="Times New Roman" w:hAnsi="Times New Roman" w:cs="Times New Roman"/>
      <w:b/>
    </w:rPr>
  </w:style>
  <w:style w:type="paragraph" w:customStyle="1" w:styleId="MemoHeading1">
    <w:name w:val="Memo Heading 1"/>
    <w:basedOn w:val="Normal"/>
    <w:next w:val="MemoBodyText"/>
    <w:qFormat/>
    <w:rsid w:val="00D503BA"/>
    <w:pPr>
      <w:keepNext/>
      <w:numPr>
        <w:numId w:val="2"/>
      </w:numPr>
      <w:spacing w:line="480" w:lineRule="auto"/>
      <w:ind w:left="734" w:hanging="187"/>
      <w:jc w:val="center"/>
    </w:pPr>
    <w:rPr>
      <w:rFonts w:ascii="Times New Roman" w:hAnsi="Times New Roman" w:cs="Times New Roman"/>
      <w:b/>
      <w:bCs/>
      <w:caps/>
    </w:rPr>
  </w:style>
  <w:style w:type="paragraph" w:customStyle="1" w:styleId="MemoBodyText">
    <w:name w:val="Memo Body Text"/>
    <w:basedOn w:val="Normal"/>
    <w:qFormat/>
    <w:rsid w:val="00A573AD"/>
    <w:pPr>
      <w:spacing w:line="480" w:lineRule="auto"/>
      <w:ind w:firstLine="720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573A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MemoHeading3">
    <w:name w:val="Memo Heading 3"/>
    <w:basedOn w:val="MemoBodyText"/>
    <w:next w:val="MemoBodyText"/>
    <w:qFormat/>
    <w:rsid w:val="00C56BDD"/>
    <w:pPr>
      <w:numPr>
        <w:numId w:val="4"/>
      </w:numPr>
      <w:ind w:left="1800" w:hanging="720"/>
    </w:pPr>
    <w:rPr>
      <w:b/>
    </w:rPr>
  </w:style>
  <w:style w:type="paragraph" w:customStyle="1" w:styleId="MemoHeading4">
    <w:name w:val="Memo Heading 4"/>
    <w:basedOn w:val="MemoBodyText"/>
    <w:next w:val="MemoBodyText"/>
    <w:qFormat/>
    <w:rsid w:val="00C56BDD"/>
    <w:pPr>
      <w:numPr>
        <w:numId w:val="5"/>
      </w:numPr>
      <w:ind w:left="2520" w:hanging="720"/>
    </w:pPr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D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DB1"/>
  </w:style>
  <w:style w:type="paragraph" w:styleId="CommentSubject">
    <w:name w:val="annotation subject"/>
    <w:basedOn w:val="CommentText"/>
    <w:next w:val="CommentText"/>
    <w:link w:val="CommentSubjectChar"/>
    <w:semiHidden/>
    <w:rsid w:val="00834DB1"/>
    <w:rPr>
      <w:rFonts w:ascii="Times New Roman" w:eastAsia="Times New Roman" w:hAnsi="Times New Roman" w:cs="Times New Roman"/>
    </w:rPr>
  </w:style>
  <w:style w:type="character" w:customStyle="1" w:styleId="CommentSubjectChar">
    <w:name w:val="Comment Subject Char"/>
    <w:basedOn w:val="CommentTextChar"/>
    <w:link w:val="CommentSubject"/>
    <w:semiHidden/>
    <w:rsid w:val="00834DB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73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133A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5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54A"/>
  </w:style>
  <w:style w:type="paragraph" w:styleId="Footer">
    <w:name w:val="footer"/>
    <w:basedOn w:val="Normal"/>
    <w:link w:val="FooterChar"/>
    <w:uiPriority w:val="99"/>
    <w:unhideWhenUsed/>
    <w:rsid w:val="003215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54A"/>
  </w:style>
  <w:style w:type="character" w:styleId="PageNumber">
    <w:name w:val="page number"/>
    <w:basedOn w:val="DefaultParagraphFont"/>
    <w:uiPriority w:val="99"/>
    <w:semiHidden/>
    <w:unhideWhenUsed/>
    <w:rsid w:val="0032154A"/>
  </w:style>
  <w:style w:type="character" w:styleId="Hyperlink">
    <w:name w:val="Hyperlink"/>
    <w:basedOn w:val="DefaultParagraphFont"/>
    <w:unhideWhenUsed/>
    <w:rsid w:val="0032154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601B6"/>
  </w:style>
  <w:style w:type="character" w:customStyle="1" w:styleId="FootnoteTextChar">
    <w:name w:val="Footnote Text Char"/>
    <w:basedOn w:val="DefaultParagraphFont"/>
    <w:link w:val="FootnoteText"/>
    <w:uiPriority w:val="99"/>
    <w:rsid w:val="009601B6"/>
  </w:style>
  <w:style w:type="character" w:styleId="FootnoteReference">
    <w:name w:val="footnote reference"/>
    <w:basedOn w:val="DefaultParagraphFont"/>
    <w:uiPriority w:val="99"/>
    <w:unhideWhenUsed/>
    <w:rsid w:val="009601B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97F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97FCD"/>
  </w:style>
  <w:style w:type="character" w:customStyle="1" w:styleId="Heading2Char">
    <w:name w:val="Heading 2 Char"/>
    <w:basedOn w:val="DefaultParagraphFont"/>
    <w:link w:val="Heading2"/>
    <w:uiPriority w:val="9"/>
    <w:rsid w:val="00B133A1"/>
    <w:rPr>
      <w:rFonts w:ascii="Times" w:hAnsi="Times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47235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A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12"/>
    <w:rPr>
      <w:rFonts w:ascii="Lucida Grande" w:hAnsi="Lucida Grande" w:cs="Lucida Grande"/>
      <w:sz w:val="18"/>
      <w:szCs w:val="18"/>
    </w:rPr>
  </w:style>
  <w:style w:type="paragraph" w:customStyle="1" w:styleId="MemoHeading2">
    <w:name w:val="Memo Heading 2"/>
    <w:basedOn w:val="ListParagraph"/>
    <w:next w:val="MemoBodyText"/>
    <w:qFormat/>
    <w:rsid w:val="0052676D"/>
    <w:pPr>
      <w:keepNext/>
      <w:numPr>
        <w:numId w:val="1"/>
      </w:numPr>
      <w:spacing w:after="240"/>
    </w:pPr>
    <w:rPr>
      <w:rFonts w:ascii="Times New Roman" w:hAnsi="Times New Roman" w:cs="Times New Roman"/>
      <w:b/>
    </w:rPr>
  </w:style>
  <w:style w:type="paragraph" w:customStyle="1" w:styleId="MemoHeading1">
    <w:name w:val="Memo Heading 1"/>
    <w:basedOn w:val="Normal"/>
    <w:next w:val="MemoBodyText"/>
    <w:qFormat/>
    <w:rsid w:val="00D503BA"/>
    <w:pPr>
      <w:keepNext/>
      <w:numPr>
        <w:numId w:val="2"/>
      </w:numPr>
      <w:spacing w:line="480" w:lineRule="auto"/>
      <w:ind w:left="734" w:hanging="187"/>
      <w:jc w:val="center"/>
    </w:pPr>
    <w:rPr>
      <w:rFonts w:ascii="Times New Roman" w:hAnsi="Times New Roman" w:cs="Times New Roman"/>
      <w:b/>
      <w:bCs/>
      <w:caps/>
    </w:rPr>
  </w:style>
  <w:style w:type="paragraph" w:customStyle="1" w:styleId="MemoBodyText">
    <w:name w:val="Memo Body Text"/>
    <w:basedOn w:val="Normal"/>
    <w:qFormat/>
    <w:rsid w:val="00A573AD"/>
    <w:pPr>
      <w:spacing w:line="480" w:lineRule="auto"/>
      <w:ind w:firstLine="720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573A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MemoHeading3">
    <w:name w:val="Memo Heading 3"/>
    <w:basedOn w:val="MemoBodyText"/>
    <w:next w:val="MemoBodyText"/>
    <w:qFormat/>
    <w:rsid w:val="00C56BDD"/>
    <w:pPr>
      <w:numPr>
        <w:numId w:val="4"/>
      </w:numPr>
      <w:ind w:left="1800" w:hanging="720"/>
    </w:pPr>
    <w:rPr>
      <w:b/>
    </w:rPr>
  </w:style>
  <w:style w:type="paragraph" w:customStyle="1" w:styleId="MemoHeading4">
    <w:name w:val="Memo Heading 4"/>
    <w:basedOn w:val="MemoBodyText"/>
    <w:next w:val="MemoBodyText"/>
    <w:qFormat/>
    <w:rsid w:val="00C56BDD"/>
    <w:pPr>
      <w:numPr>
        <w:numId w:val="5"/>
      </w:numPr>
      <w:ind w:left="2520" w:hanging="720"/>
    </w:pPr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D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DB1"/>
  </w:style>
  <w:style w:type="paragraph" w:styleId="CommentSubject">
    <w:name w:val="annotation subject"/>
    <w:basedOn w:val="CommentText"/>
    <w:next w:val="CommentText"/>
    <w:link w:val="CommentSubjectChar"/>
    <w:semiHidden/>
    <w:rsid w:val="00834DB1"/>
    <w:rPr>
      <w:rFonts w:ascii="Times New Roman" w:eastAsia="Times New Roman" w:hAnsi="Times New Roman" w:cs="Times New Roman"/>
    </w:rPr>
  </w:style>
  <w:style w:type="character" w:customStyle="1" w:styleId="CommentSubjectChar">
    <w:name w:val="Comment Subject Char"/>
    <w:basedOn w:val="CommentTextChar"/>
    <w:link w:val="CommentSubject"/>
    <w:semiHidden/>
    <w:rsid w:val="00834DB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ampbell:Library:Application%20Support:Microsoft:Office:User%20Templates:My%20Templates:Mo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2A53C6-BD6C-7B44-8DEA-8A16F6FC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 Template.dotx</Template>
  <TotalTime>0</TotalTime>
  <Pages>8</Pages>
  <Words>1975</Words>
  <Characters>10332</Characters>
  <Application>Microsoft Macintosh Word</Application>
  <DocSecurity>0</DocSecurity>
  <Lines>252</Lines>
  <Paragraphs>92</Paragraphs>
  <ScaleCrop>false</ScaleCrop>
  <Company/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 Sturtevant</dc:creator>
  <cp:keywords/>
  <dc:description/>
  <cp:lastModifiedBy>Melissa Thompson</cp:lastModifiedBy>
  <cp:revision>2</cp:revision>
  <cp:lastPrinted>2012-04-10T20:39:00Z</cp:lastPrinted>
  <dcterms:created xsi:type="dcterms:W3CDTF">2012-04-10T21:08:00Z</dcterms:created>
  <dcterms:modified xsi:type="dcterms:W3CDTF">2012-04-10T21:08:00Z</dcterms:modified>
</cp:coreProperties>
</file>