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42644F" w:rsidRPr="00CC5BA7" w:rsidP="008C3C24">
      <w:pPr>
        <w:autoSpaceDE w:val="0"/>
        <w:autoSpaceDN w:val="0"/>
        <w:adjustRightInd w:val="0"/>
        <w:spacing w:after="0" w:line="240" w:lineRule="auto"/>
        <w:jc w:val="center"/>
        <w:rPr>
          <w:b/>
        </w:rPr>
      </w:pPr>
      <w:bookmarkStart w:id="0" w:name="_GoBack"/>
      <w:bookmarkEnd w:id="0"/>
      <w:r w:rsidRPr="00CC5BA7">
        <w:rPr>
          <w:b/>
        </w:rPr>
        <w:t>BEFORE</w:t>
      </w:r>
    </w:p>
    <w:p w:rsidR="00CA6B85" w:rsidRPr="00CC5BA7" w:rsidP="00076F41">
      <w:pPr>
        <w:autoSpaceDE w:val="0"/>
        <w:autoSpaceDN w:val="0"/>
        <w:adjustRightInd w:val="0"/>
        <w:spacing w:after="0" w:line="240" w:lineRule="auto"/>
        <w:jc w:val="center"/>
        <w:rPr>
          <w:b/>
        </w:rPr>
      </w:pPr>
      <w:r w:rsidRPr="00CC5BA7">
        <w:rPr>
          <w:b/>
        </w:rPr>
        <w:t>THE PUBLIC UTILITIES COMMISSION OF OHIO</w:t>
      </w:r>
    </w:p>
    <w:p w:rsidR="00CA6B85" w:rsidRPr="00CC5BA7" w:rsidP="00CA6B85">
      <w:pPr>
        <w:autoSpaceDE w:val="0"/>
        <w:autoSpaceDN w:val="0"/>
        <w:adjustRightInd w:val="0"/>
        <w:spacing w:after="0" w:line="240" w:lineRule="auto"/>
        <w:ind w:left="14" w:right="-14"/>
        <w:jc w:val="center"/>
        <w:rPr>
          <w:b/>
        </w:rPr>
      </w:pP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234"/>
        <w:gridCol w:w="296"/>
        <w:gridCol w:w="4096"/>
      </w:tblGrid>
      <w:tr w:rsidTr="005F5A72">
        <w:tblPrEx>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1296"/>
        </w:trPr>
        <w:tc>
          <w:tcPr>
            <w:tcW w:w="4330" w:type="dxa"/>
          </w:tcPr>
          <w:p w:rsidR="008A3117" w:rsidRPr="00CC5BA7" w:rsidP="00760F18">
            <w:pPr>
              <w:autoSpaceDE w:val="0"/>
              <w:autoSpaceDN w:val="0"/>
              <w:adjustRightInd w:val="0"/>
              <w:spacing w:after="0" w:line="240" w:lineRule="auto"/>
              <w:rPr>
                <w:rStyle w:val="DefaultParagraphFont"/>
                <w:rFonts w:eastAsiaTheme="minorHAnsi"/>
                <w:sz w:val="24"/>
                <w:szCs w:val="24"/>
                <w:lang w:val="en-US" w:eastAsia="en-US" w:bidi="ar-SA"/>
              </w:rPr>
            </w:pPr>
            <w:r w:rsidRPr="00CC5BA7">
              <w:rPr>
                <w:rFonts w:eastAsiaTheme="minorHAnsi"/>
                <w:sz w:val="24"/>
                <w:szCs w:val="24"/>
                <w:lang w:val="en-US" w:eastAsia="en-US" w:bidi="ar-SA"/>
              </w:rPr>
              <w:t xml:space="preserve">Petition of Communications Workers of America for a Public, On-The-Record Commission Investigation of the Adequacy and Reliability of Service Provided by AT&amp;T Services Inc. </w:t>
            </w:r>
          </w:p>
        </w:tc>
        <w:tc>
          <w:tcPr>
            <w:tcW w:w="282" w:type="dxa"/>
          </w:tcPr>
          <w:p w:rsidR="006E516B" w:rsidRPr="00CC5BA7" w:rsidP="006E516B">
            <w:pPr>
              <w:autoSpaceDE w:val="0"/>
              <w:autoSpaceDN w:val="0"/>
              <w:adjustRightInd w:val="0"/>
              <w:spacing w:after="0" w:line="240" w:lineRule="auto"/>
              <w:ind w:right="-14"/>
              <w:rPr>
                <w:rStyle w:val="DefaultParagraphFont"/>
                <w:rFonts w:eastAsiaTheme="minorHAnsi"/>
                <w:sz w:val="24"/>
                <w:szCs w:val="24"/>
                <w:lang w:val="en-US" w:eastAsia="en-US" w:bidi="ar-SA"/>
              </w:rPr>
            </w:pPr>
            <w:r w:rsidRPr="00CC5BA7">
              <w:rPr>
                <w:rFonts w:eastAsiaTheme="minorHAnsi"/>
                <w:sz w:val="24"/>
                <w:szCs w:val="24"/>
                <w:lang w:val="en-US" w:eastAsia="en-US" w:bidi="ar-SA"/>
              </w:rPr>
              <w:t>) ) ) ) )</w:t>
            </w:r>
          </w:p>
          <w:p w:rsidR="006E516B" w:rsidRPr="00CC5BA7" w:rsidP="006E516B">
            <w:pPr>
              <w:autoSpaceDE w:val="0"/>
              <w:autoSpaceDN w:val="0"/>
              <w:adjustRightInd w:val="0"/>
              <w:spacing w:after="0" w:line="240" w:lineRule="auto"/>
              <w:ind w:right="-14"/>
              <w:rPr>
                <w:rStyle w:val="DefaultParagraphFont"/>
                <w:rFonts w:eastAsiaTheme="minorHAnsi"/>
                <w:sz w:val="24"/>
                <w:szCs w:val="24"/>
                <w:lang w:val="en-US" w:eastAsia="en-US" w:bidi="ar-SA"/>
              </w:rPr>
            </w:pPr>
          </w:p>
        </w:tc>
        <w:tc>
          <w:tcPr>
            <w:tcW w:w="4230" w:type="dxa"/>
          </w:tcPr>
          <w:p w:rsidR="006E516B" w:rsidRPr="00CC5BA7" w:rsidP="006E516B">
            <w:pPr>
              <w:autoSpaceDE w:val="0"/>
              <w:autoSpaceDN w:val="0"/>
              <w:adjustRightInd w:val="0"/>
              <w:spacing w:after="0" w:line="240" w:lineRule="auto"/>
              <w:ind w:right="-14"/>
              <w:rPr>
                <w:rStyle w:val="DefaultParagraphFont"/>
                <w:rFonts w:eastAsiaTheme="minorHAnsi"/>
                <w:sz w:val="24"/>
                <w:szCs w:val="24"/>
                <w:lang w:val="en-US" w:eastAsia="en-US" w:bidi="ar-SA"/>
              </w:rPr>
            </w:pPr>
          </w:p>
          <w:p w:rsidR="006E516B" w:rsidRPr="00CC5BA7" w:rsidP="006E516B">
            <w:pPr>
              <w:autoSpaceDE w:val="0"/>
              <w:autoSpaceDN w:val="0"/>
              <w:adjustRightInd w:val="0"/>
              <w:spacing w:after="0" w:line="240" w:lineRule="auto"/>
              <w:ind w:right="-14"/>
              <w:rPr>
                <w:rStyle w:val="DefaultParagraphFont"/>
                <w:rFonts w:eastAsiaTheme="minorHAnsi"/>
                <w:sz w:val="24"/>
                <w:szCs w:val="24"/>
                <w:lang w:val="en-US" w:eastAsia="en-US" w:bidi="ar-SA"/>
              </w:rPr>
            </w:pPr>
          </w:p>
          <w:p w:rsidR="006E516B" w:rsidRPr="00CC5BA7" w:rsidP="006E516B">
            <w:pPr>
              <w:autoSpaceDE w:val="0"/>
              <w:autoSpaceDN w:val="0"/>
              <w:adjustRightInd w:val="0"/>
              <w:spacing w:after="0" w:line="240" w:lineRule="auto"/>
              <w:ind w:right="-14"/>
              <w:rPr>
                <w:rStyle w:val="DefaultParagraphFont"/>
                <w:rFonts w:eastAsiaTheme="minorHAnsi"/>
                <w:sz w:val="24"/>
                <w:szCs w:val="24"/>
                <w:lang w:val="en-US" w:eastAsia="en-US" w:bidi="ar-SA"/>
              </w:rPr>
            </w:pPr>
            <w:r w:rsidRPr="00CC5BA7">
              <w:rPr>
                <w:rFonts w:eastAsiaTheme="minorHAnsi"/>
                <w:sz w:val="24"/>
                <w:szCs w:val="24"/>
                <w:lang w:val="en-US" w:eastAsia="en-US" w:bidi="ar-SA"/>
              </w:rPr>
              <w:t>Case No. 19-1314-TP-CSS</w:t>
            </w:r>
          </w:p>
          <w:p w:rsidR="006E516B" w:rsidRPr="00CC5BA7" w:rsidP="006E516B">
            <w:pPr>
              <w:autoSpaceDE w:val="0"/>
              <w:autoSpaceDN w:val="0"/>
              <w:adjustRightInd w:val="0"/>
              <w:spacing w:after="0" w:line="240" w:lineRule="auto"/>
              <w:ind w:right="-14"/>
              <w:rPr>
                <w:rStyle w:val="DefaultParagraphFont"/>
                <w:rFonts w:eastAsiaTheme="minorHAnsi"/>
                <w:sz w:val="24"/>
                <w:szCs w:val="24"/>
                <w:lang w:val="en-US" w:eastAsia="en-US" w:bidi="ar-SA"/>
              </w:rPr>
            </w:pPr>
          </w:p>
          <w:p w:rsidR="006E516B" w:rsidRPr="00CC5BA7" w:rsidP="006E516B">
            <w:pPr>
              <w:autoSpaceDE w:val="0"/>
              <w:autoSpaceDN w:val="0"/>
              <w:adjustRightInd w:val="0"/>
              <w:spacing w:after="0" w:line="240" w:lineRule="auto"/>
              <w:ind w:right="-14"/>
              <w:rPr>
                <w:rStyle w:val="DefaultParagraphFont"/>
                <w:rFonts w:eastAsiaTheme="minorHAnsi"/>
                <w:sz w:val="24"/>
                <w:szCs w:val="24"/>
                <w:lang w:val="en-US" w:eastAsia="en-US" w:bidi="ar-SA"/>
              </w:rPr>
            </w:pPr>
          </w:p>
        </w:tc>
      </w:tr>
    </w:tbl>
    <w:p w:rsidR="0042644F" w:rsidRPr="00CC5BA7" w:rsidP="001D6531">
      <w:pPr>
        <w:autoSpaceDE w:val="0"/>
        <w:autoSpaceDN w:val="0"/>
        <w:adjustRightInd w:val="0"/>
        <w:spacing w:after="0" w:line="480" w:lineRule="auto"/>
        <w:ind w:left="14" w:right="-14"/>
      </w:pPr>
      <w:r w:rsidRPr="00CC5BA7">
        <w:t>________________________________________________________________________</w:t>
      </w:r>
    </w:p>
    <w:p w:rsidR="006E516B" w:rsidRPr="00CC5BA7" w:rsidP="006E516B">
      <w:pPr>
        <w:autoSpaceDE w:val="0"/>
        <w:autoSpaceDN w:val="0"/>
        <w:adjustRightInd w:val="0"/>
        <w:spacing w:after="0" w:line="240" w:lineRule="auto"/>
        <w:jc w:val="center"/>
        <w:rPr>
          <w:b/>
        </w:rPr>
      </w:pPr>
      <w:r w:rsidRPr="00CC5BA7">
        <w:rPr>
          <w:b/>
        </w:rPr>
        <w:t>MEMORANDUM CONTRA CWA’S MOTION FOR VOLUNTARY DISMISSAL OF COMPLAINT REGARDING THE ADEQUACY OF AT&amp;T OHIO’S FACILITIES FOR SERVING CONSUMERS</w:t>
      </w:r>
    </w:p>
    <w:p w:rsidR="006E516B" w:rsidRPr="00CC5BA7" w:rsidP="006E516B">
      <w:pPr>
        <w:autoSpaceDE w:val="0"/>
        <w:autoSpaceDN w:val="0"/>
        <w:adjustRightInd w:val="0"/>
        <w:spacing w:after="0" w:line="240" w:lineRule="auto"/>
        <w:jc w:val="center"/>
        <w:rPr>
          <w:b/>
        </w:rPr>
      </w:pPr>
      <w:r w:rsidRPr="00CC5BA7">
        <w:rPr>
          <w:b/>
        </w:rPr>
        <w:t>BY</w:t>
      </w:r>
    </w:p>
    <w:p w:rsidR="006E516B" w:rsidRPr="00CC5BA7" w:rsidP="006E516B">
      <w:pPr>
        <w:autoSpaceDE w:val="0"/>
        <w:autoSpaceDN w:val="0"/>
        <w:adjustRightInd w:val="0"/>
        <w:spacing w:after="0" w:line="240" w:lineRule="auto"/>
        <w:jc w:val="center"/>
        <w:rPr>
          <w:b/>
        </w:rPr>
      </w:pPr>
      <w:r w:rsidRPr="00CC5BA7">
        <w:rPr>
          <w:b/>
        </w:rPr>
        <w:t>THE OFFICE OF THE OHIO CONSUMERS’ COUNSEL</w:t>
      </w:r>
    </w:p>
    <w:p w:rsidR="00CA6B85" w:rsidRPr="00CC5BA7" w:rsidP="00CA6B85">
      <w:pPr>
        <w:autoSpaceDE w:val="0"/>
        <w:autoSpaceDN w:val="0"/>
        <w:adjustRightInd w:val="0"/>
        <w:spacing w:after="0" w:line="240" w:lineRule="auto"/>
        <w:ind w:left="14" w:right="-14"/>
        <w:jc w:val="both"/>
      </w:pPr>
      <w:r w:rsidRPr="00CC5BA7">
        <w:t>________________________________________________________________________</w:t>
      </w:r>
    </w:p>
    <w:p w:rsidR="00175D24" w:rsidRPr="00CC5BA7" w:rsidP="005A7ACB">
      <w:pPr>
        <w:spacing w:after="0" w:line="240" w:lineRule="auto"/>
        <w:ind w:firstLine="720"/>
      </w:pPr>
    </w:p>
    <w:p w:rsidR="0013148E" w:rsidRPr="00CC5BA7" w:rsidP="00CC5BA7">
      <w:pPr>
        <w:pStyle w:val="Heading1"/>
        <w:spacing w:before="0"/>
        <w:rPr>
          <w:rFonts w:ascii="Times New Roman" w:hAnsi="Times New Roman"/>
          <w:szCs w:val="24"/>
        </w:rPr>
      </w:pPr>
      <w:bookmarkStart w:id="1" w:name="_Toc13753778"/>
      <w:r w:rsidRPr="00CC5BA7">
        <w:rPr>
          <w:rFonts w:ascii="Times New Roman" w:hAnsi="Times New Roman"/>
          <w:szCs w:val="24"/>
        </w:rPr>
        <w:t>INTRODUCTION</w:t>
      </w:r>
      <w:bookmarkEnd w:id="1"/>
    </w:p>
    <w:p w:rsidR="00FD0A5D" w:rsidRPr="00CC5BA7" w:rsidP="00CC5BA7">
      <w:pPr>
        <w:spacing w:after="0" w:line="240" w:lineRule="auto"/>
      </w:pPr>
    </w:p>
    <w:p w:rsidR="00987EE5" w:rsidRPr="00CC5BA7" w:rsidP="005F5A72">
      <w:pPr>
        <w:spacing w:after="0" w:line="480" w:lineRule="auto"/>
        <w:ind w:firstLine="720"/>
      </w:pPr>
      <w:r w:rsidRPr="00CC5BA7">
        <w:t>On July 12, 2019, the Communications Workers of America (“CWA”) filed a Complaint against AT&amp;T Ohio, alleging 25 instances where AT&amp;T Ohio failed to maintain its physical plant and facilities as required by Ohio law for telephone service to consumers.</w:t>
      </w:r>
      <w:r>
        <w:rPr>
          <w:rStyle w:val="FootnoteReference"/>
        </w:rPr>
        <w:footnoteReference w:id="3"/>
      </w:r>
      <w:r w:rsidRPr="00CC5BA7">
        <w:t xml:space="preserve"> CWA further alleged the existence of many more violations of service standards by AT&amp;T Ohio, which the CWA claims it cannot divulge without violating AT&amp;T Ohio’s Code of Business Conduct.</w:t>
      </w:r>
      <w:r>
        <w:rPr>
          <w:rStyle w:val="FootnoteReference"/>
        </w:rPr>
        <w:footnoteReference w:id="4"/>
      </w:r>
      <w:r w:rsidRPr="00CC5BA7">
        <w:t xml:space="preserve"> According to the CWA, AT&amp;T Ohio’s facilities are so deteriorated that “the safety of AT&amp;T’s employees and the public is being jeopardized every day.”</w:t>
      </w:r>
      <w:r>
        <w:rPr>
          <w:rStyle w:val="FootnoteReference"/>
        </w:rPr>
        <w:footnoteReference w:id="5"/>
      </w:r>
      <w:r w:rsidRPr="00CC5BA7">
        <w:t xml:space="preserve">  Accordingly, CWA asked the Public Utilities Commission of </w:t>
      </w:r>
      <w:r w:rsidRPr="00CC5BA7">
        <w:t>Ohio (“PUCO”) to initiate a “comprehensive, state-wide investigation” into the adequacy and reliability of AT&amp;T Ohio’s facilities and services for consumers.</w:t>
      </w:r>
      <w:r>
        <w:rPr>
          <w:rStyle w:val="FootnoteReference"/>
        </w:rPr>
        <w:footnoteReference w:id="6"/>
      </w:r>
      <w:r w:rsidRPr="00CC5BA7">
        <w:t xml:space="preserve"> </w:t>
      </w:r>
    </w:p>
    <w:p w:rsidR="00C64E8F" w:rsidRPr="00CC5BA7" w:rsidP="002945A2">
      <w:pPr>
        <w:spacing w:after="0" w:line="480" w:lineRule="auto"/>
        <w:ind w:firstLine="720"/>
      </w:pPr>
      <w:r w:rsidRPr="00CC5BA7">
        <w:t>On July 2, 2019, AT&amp;T Ohio filed its Motion to Dismiss the Complaint, asserting that it had repaired nearly all the 25 violations alleged in CWA’s pleading and would complete the remaining repairs by August 1, 2019.</w:t>
      </w:r>
      <w:r>
        <w:rPr>
          <w:rStyle w:val="FootnoteReference"/>
        </w:rPr>
        <w:footnoteReference w:id="7"/>
      </w:r>
      <w:r w:rsidRPr="00CC5BA7">
        <w:t xml:space="preserve"> On August 6, 2019, CWA filed a motion to voluntarily dismiss the Complaint. CWA stated it had verified that AT&amp;T Ohio had remedied or had taken “reasonable steps to remedy all issues identified in the instant Petition.”</w:t>
      </w:r>
      <w:r>
        <w:rPr>
          <w:rStyle w:val="FootnoteReference"/>
        </w:rPr>
        <w:footnoteReference w:id="8"/>
      </w:r>
    </w:p>
    <w:p w:rsidR="00A66C6D" w:rsidRPr="00CC5BA7" w:rsidP="002945A2">
      <w:pPr>
        <w:spacing w:after="0" w:line="480" w:lineRule="auto"/>
        <w:ind w:firstLine="720"/>
      </w:pPr>
      <w:r w:rsidRPr="00CC5BA7">
        <w:t>The Office of the Ohio Consumers’ Counsel (“OCC”), which represents AT&amp;T Ohio’s residential utility customers,</w:t>
      </w:r>
      <w:r>
        <w:rPr>
          <w:rStyle w:val="FootnoteReference"/>
        </w:rPr>
        <w:footnoteReference w:id="9"/>
      </w:r>
      <w:r w:rsidRPr="00CC5BA7">
        <w:t xml:space="preserve"> asks the PUCO to take steps to ensure consumer protection before any dismissal of CWA’s motion. Even if AT&amp;T Ohio repaired the facilities specifically identified in the Complaint, the CWA alleged many more violations that it would not divulge for fear of violating AT&amp;T Ohio’s Code of Business Conduct. The PUCO should investigate any and all alleged violations. For consumer protection, the PUCO should initiate the investigation of AT&amp;T Ohio’s service quality that CWA requested.</w:t>
      </w:r>
      <w:r>
        <w:rPr>
          <w:rStyle w:val="FootnoteReference"/>
        </w:rPr>
        <w:footnoteReference w:id="10"/>
      </w:r>
    </w:p>
    <w:p w:rsidR="00A66C6D" w:rsidRPr="00CC5BA7">
      <w:r w:rsidRPr="00CC5BA7">
        <w:br w:type="page"/>
      </w:r>
    </w:p>
    <w:p w:rsidR="00FD0A5D" w:rsidRPr="00CC5BA7" w:rsidP="00CC5BA7">
      <w:pPr>
        <w:pStyle w:val="Heading1"/>
        <w:spacing w:before="0"/>
        <w:rPr>
          <w:rFonts w:ascii="Times New Roman" w:hAnsi="Times New Roman"/>
          <w:szCs w:val="24"/>
        </w:rPr>
      </w:pPr>
      <w:r w:rsidRPr="00CC5BA7">
        <w:rPr>
          <w:rFonts w:ascii="Times New Roman" w:hAnsi="Times New Roman"/>
          <w:szCs w:val="24"/>
        </w:rPr>
        <w:t>THE BELL FOR CONSUMER PROTECTION THAT CWA RANG CANNOT NOW BE UN-RUNG BY A SIMPLE DISMISSAL OF THE CWA COMPLAINT; THE PUCO INVESTIGATION SOUGHT BY CWA SHOULD BE CONDUCTED FOR consumers.</w:t>
      </w:r>
    </w:p>
    <w:p w:rsidR="00B5775C" w:rsidRPr="00CC5BA7" w:rsidP="00CC5BA7">
      <w:pPr>
        <w:pStyle w:val="Heading1"/>
        <w:numPr>
          <w:ilvl w:val="0"/>
          <w:numId w:val="0"/>
        </w:numPr>
        <w:spacing w:before="0"/>
        <w:ind w:left="720"/>
        <w:rPr>
          <w:rFonts w:ascii="Times New Roman" w:hAnsi="Times New Roman"/>
          <w:szCs w:val="24"/>
        </w:rPr>
      </w:pPr>
      <w:r w:rsidRPr="00CC5BA7">
        <w:rPr>
          <w:rFonts w:ascii="Times New Roman" w:hAnsi="Times New Roman"/>
          <w:szCs w:val="24"/>
        </w:rPr>
        <w:t xml:space="preserve"> </w:t>
      </w:r>
    </w:p>
    <w:p w:rsidR="001913D3" w:rsidRPr="00CC5BA7" w:rsidP="00A66C6D">
      <w:pPr>
        <w:pStyle w:val="Heading2"/>
        <w:rPr>
          <w:rFonts w:ascii="Times New Roman" w:hAnsi="Times New Roman" w:cs="Times New Roman"/>
          <w:szCs w:val="24"/>
        </w:rPr>
      </w:pPr>
      <w:bookmarkStart w:id="2" w:name="_Toc13753781"/>
      <w:r w:rsidRPr="00CC5BA7">
        <w:rPr>
          <w:rFonts w:ascii="Times New Roman" w:hAnsi="Times New Roman" w:cs="Times New Roman"/>
          <w:szCs w:val="24"/>
        </w:rPr>
        <w:t>A.</w:t>
      </w:r>
      <w:r w:rsidRPr="00CC5BA7">
        <w:rPr>
          <w:rFonts w:ascii="Times New Roman" w:hAnsi="Times New Roman" w:cs="Times New Roman"/>
          <w:szCs w:val="24"/>
        </w:rPr>
        <w:tab/>
        <w:t>CWA’s Complaint more than establishes the need for a PUCO investigation into the adequacy and reliability of AT&amp;T Ohio’s telephone service.</w:t>
      </w:r>
      <w:bookmarkEnd w:id="2"/>
    </w:p>
    <w:p w:rsidR="00CA6FDD" w:rsidRPr="00CC5BA7" w:rsidP="00CA6FDD">
      <w:pPr>
        <w:spacing w:after="0" w:line="480" w:lineRule="auto"/>
        <w:ind w:firstLine="720"/>
        <w:rPr>
          <w:color w:val="373739"/>
        </w:rPr>
      </w:pPr>
      <w:r w:rsidRPr="00CC5BA7">
        <w:t xml:space="preserve">The PUCO stated its standard for reviewing a motion to dismiss in </w:t>
      </w:r>
      <w:r w:rsidRPr="00CC5BA7">
        <w:rPr>
          <w:i/>
        </w:rPr>
        <w:t>OCC v. Dominion Retail</w:t>
      </w:r>
      <w:r w:rsidRPr="00CC5BA7">
        <w:t>.</w:t>
      </w:r>
      <w:r>
        <w:rPr>
          <w:rStyle w:val="FootnoteReference"/>
        </w:rPr>
        <w:footnoteReference w:id="11"/>
      </w:r>
      <w:r w:rsidRPr="00CC5BA7">
        <w:t xml:space="preserve"> There, the PUCO stated: “[W]</w:t>
      </w:r>
      <w:r w:rsidRPr="00CC5BA7">
        <w:rPr>
          <w:color w:val="373739"/>
        </w:rPr>
        <w:t xml:space="preserve">hen a motion to dismiss is being considered, all material allegations of the </w:t>
      </w:r>
      <w:r w:rsidRPr="00CC5BA7">
        <w:rPr>
          <w:rStyle w:val="sssh"/>
          <w:color w:val="373739"/>
        </w:rPr>
        <w:t>complaint</w:t>
      </w:r>
      <w:r w:rsidRPr="00CC5BA7">
        <w:rPr>
          <w:color w:val="373739"/>
        </w:rPr>
        <w:t xml:space="preserve"> must be accepted as true and construed in favor of the complaining party.”</w:t>
      </w:r>
      <w:r>
        <w:rPr>
          <w:rStyle w:val="FootnoteReference"/>
          <w:color w:val="373739"/>
        </w:rPr>
        <w:footnoteReference w:id="12"/>
      </w:r>
      <w:r w:rsidRPr="00CC5BA7">
        <w:rPr>
          <w:color w:val="373739"/>
        </w:rPr>
        <w:t xml:space="preserve"> Under this standard of review, even where the Complainant has moved to dismiss, the PUCO should not dismiss the Complaint.</w:t>
      </w:r>
    </w:p>
    <w:p w:rsidR="00CA6FDD" w:rsidRPr="00CC5BA7" w:rsidP="0051563A">
      <w:pPr>
        <w:spacing w:after="0" w:line="480" w:lineRule="auto"/>
        <w:ind w:firstLine="720"/>
        <w:rPr>
          <w:color w:val="373739"/>
        </w:rPr>
      </w:pPr>
      <w:r w:rsidRPr="00CC5BA7">
        <w:rPr>
          <w:color w:val="373739"/>
        </w:rPr>
        <w:t>Despite CWA’s motion to voluntarily dismiss the Complaint, the PUCO should initiate the investigation of AT&amp;T Ohio’s facilities sought by CWA.</w:t>
      </w:r>
      <w:r>
        <w:rPr>
          <w:rStyle w:val="FootnoteReference"/>
          <w:color w:val="373739"/>
        </w:rPr>
        <w:footnoteReference w:id="13"/>
      </w:r>
      <w:r w:rsidRPr="00CC5BA7">
        <w:rPr>
          <w:color w:val="373739"/>
        </w:rPr>
        <w:t xml:space="preserve"> CWA specifically identified 25 instances of facilities throughout Ohio in major disrepair.</w:t>
      </w:r>
      <w:r>
        <w:rPr>
          <w:rStyle w:val="FootnoteReference"/>
          <w:color w:val="373739"/>
        </w:rPr>
        <w:footnoteReference w:id="14"/>
      </w:r>
      <w:r w:rsidRPr="00CC5BA7">
        <w:rPr>
          <w:color w:val="373739"/>
        </w:rPr>
        <w:t xml:space="preserve">  CWA now asserts that these violations have </w:t>
      </w:r>
      <w:r>
        <w:rPr>
          <w:color w:val="373739"/>
        </w:rPr>
        <w:t xml:space="preserve">been </w:t>
      </w:r>
      <w:r w:rsidRPr="00CC5BA7">
        <w:rPr>
          <w:color w:val="373739"/>
        </w:rPr>
        <w:t xml:space="preserve">or will be remedied. But the Complaint alleged additional violations </w:t>
      </w:r>
      <w:r>
        <w:rPr>
          <w:color w:val="373739"/>
        </w:rPr>
        <w:t>that</w:t>
      </w:r>
      <w:r w:rsidRPr="00CC5BA7">
        <w:rPr>
          <w:color w:val="373739"/>
        </w:rPr>
        <w:t xml:space="preserve"> the CWA would not disclose because of restrictions in AT&amp;T Ohio’s Code of Business Conduct.</w:t>
      </w:r>
      <w:r>
        <w:rPr>
          <w:rStyle w:val="FootnoteReference"/>
          <w:color w:val="373739"/>
        </w:rPr>
        <w:footnoteReference w:id="15"/>
      </w:r>
      <w:r w:rsidRPr="00CC5BA7">
        <w:rPr>
          <w:color w:val="373739"/>
        </w:rPr>
        <w:t xml:space="preserve"> In addition to impeding or impairing consumers’ telephone service, the CWA alleges that some of these additional violations “pose a safety hazard to employees and the public”.</w:t>
      </w:r>
      <w:r>
        <w:rPr>
          <w:rStyle w:val="FootnoteReference"/>
          <w:color w:val="373739"/>
        </w:rPr>
        <w:footnoteReference w:id="16"/>
      </w:r>
      <w:r w:rsidRPr="00CC5BA7">
        <w:rPr>
          <w:color w:val="373739"/>
        </w:rPr>
        <w:t xml:space="preserve"> The PUCO should not risk the public’s physical safety and residential customers’ service quality because AT&amp;T Ohio considers its information to be confidential.</w:t>
      </w:r>
      <w:r>
        <w:rPr>
          <w:rStyle w:val="FootnoteReference"/>
          <w:color w:val="373739"/>
        </w:rPr>
        <w:footnoteReference w:id="17"/>
      </w:r>
    </w:p>
    <w:p w:rsidR="00120CF1" w:rsidRPr="00CC5BA7" w:rsidP="00120CF1">
      <w:pPr>
        <w:spacing w:after="0" w:line="480" w:lineRule="auto"/>
        <w:ind w:firstLine="720"/>
      </w:pPr>
      <w:r w:rsidRPr="00CC5BA7">
        <w:t>In addition to the allegations discussed above, CWA alleges that the PUCO has received over 6,000 informal customer complaints from AT&amp;T Ohio’s customers since 2016.</w:t>
      </w:r>
      <w:r>
        <w:rPr>
          <w:rStyle w:val="FootnoteReference"/>
        </w:rPr>
        <w:footnoteReference w:id="18"/>
      </w:r>
      <w:r w:rsidRPr="00CC5BA7">
        <w:t xml:space="preserve"> This provides more reason for the PUCO to grant the investigation of AT&amp;T’s service that CWA sought. </w:t>
      </w:r>
    </w:p>
    <w:p w:rsidR="001C6778" w:rsidRPr="00CC5BA7" w:rsidP="00A66C6D">
      <w:pPr>
        <w:pStyle w:val="Heading2"/>
        <w:rPr>
          <w:rFonts w:ascii="Times New Roman" w:hAnsi="Times New Roman" w:cs="Times New Roman"/>
          <w:szCs w:val="24"/>
        </w:rPr>
      </w:pPr>
      <w:bookmarkStart w:id="3" w:name="_Toc13753782"/>
      <w:r w:rsidRPr="00CC5BA7">
        <w:rPr>
          <w:rFonts w:ascii="Times New Roman" w:hAnsi="Times New Roman" w:cs="Times New Roman"/>
          <w:szCs w:val="24"/>
        </w:rPr>
        <w:t>B.</w:t>
      </w:r>
      <w:r w:rsidRPr="00CC5BA7">
        <w:rPr>
          <w:rFonts w:ascii="Times New Roman" w:hAnsi="Times New Roman" w:cs="Times New Roman"/>
          <w:szCs w:val="24"/>
        </w:rPr>
        <w:tab/>
        <w:t>The PUCO has statutory authority to investigate whether AT&amp;T Ohio’s facilities</w:t>
      </w:r>
      <w:r>
        <w:rPr>
          <w:rFonts w:ascii="Times New Roman" w:hAnsi="Times New Roman" w:cs="Times New Roman"/>
          <w:szCs w:val="24"/>
        </w:rPr>
        <w:t xml:space="preserve"> are inadequate or</w:t>
      </w:r>
      <w:r w:rsidRPr="00CC5BA7">
        <w:rPr>
          <w:rFonts w:ascii="Times New Roman" w:hAnsi="Times New Roman" w:cs="Times New Roman"/>
          <w:szCs w:val="24"/>
        </w:rPr>
        <w:t xml:space="preserve"> “pose a safety hazard to employees and the public</w:t>
      </w:r>
      <w:r>
        <w:rPr>
          <w:rFonts w:ascii="Times New Roman" w:hAnsi="Times New Roman" w:cs="Times New Roman"/>
          <w:szCs w:val="24"/>
        </w:rPr>
        <w:t>,</w:t>
      </w:r>
      <w:r w:rsidRPr="00CC5BA7">
        <w:rPr>
          <w:rFonts w:ascii="Times New Roman" w:hAnsi="Times New Roman" w:cs="Times New Roman"/>
          <w:szCs w:val="24"/>
        </w:rPr>
        <w:t>”</w:t>
      </w:r>
      <w:r>
        <w:rPr>
          <w:rFonts w:ascii="Times New Roman" w:hAnsi="Times New Roman" w:cs="Times New Roman"/>
          <w:szCs w:val="24"/>
        </w:rPr>
        <w:t xml:space="preserve"> as alleged by CWA.</w:t>
      </w:r>
      <w:r>
        <w:rPr>
          <w:rStyle w:val="FootnoteReference"/>
          <w:rFonts w:ascii="Times New Roman" w:hAnsi="Times New Roman" w:cs="Times New Roman"/>
          <w:szCs w:val="24"/>
        </w:rPr>
        <w:footnoteReference w:id="19"/>
      </w:r>
      <w:bookmarkEnd w:id="3"/>
      <w:r w:rsidRPr="00CC5BA7">
        <w:rPr>
          <w:rFonts w:ascii="Times New Roman" w:hAnsi="Times New Roman" w:cs="Times New Roman"/>
          <w:szCs w:val="24"/>
        </w:rPr>
        <w:t xml:space="preserve"> </w:t>
      </w:r>
    </w:p>
    <w:p w:rsidR="00A66C6D" w:rsidRPr="00CC5BA7" w:rsidP="00CC5BA7">
      <w:pPr>
        <w:spacing w:after="0" w:line="480" w:lineRule="auto"/>
        <w:ind w:firstLine="720"/>
      </w:pPr>
      <w:bookmarkStart w:id="4" w:name="_Toc13753783"/>
      <w:r w:rsidRPr="00CC5BA7">
        <w:t>The PUCO has authority under R.C. § 4927.19(A)-(B) to “investigate or examine the books, records, or practices of any telephone company… [and] investigate or inspect the plant and facility of any telephone company” that is the subject of a consumer complaint concerning basic service, as acknowledged by AT&amp;T.</w:t>
      </w:r>
      <w:r>
        <w:rPr>
          <w:rStyle w:val="FootnoteReference"/>
        </w:rPr>
        <w:footnoteReference w:id="20"/>
      </w:r>
      <w:r w:rsidRPr="00CC5BA7">
        <w:t xml:space="preserve"> AT&amp;T Ohio is a telephone company that the PUCO can “investigate” or “examine” pursuant to R.C. § 4927.19(A)-(B). The PUCO also has the authority to investigate AT&amp;T Ohio’s facilities and service quality issues notwithstanding AT&amp;T Ohio’s Code of Business Conduct with AT&amp;T Ohio employees.  </w:t>
      </w:r>
    </w:p>
    <w:p w:rsidR="00CC5BA7" w:rsidRPr="00CC5BA7" w:rsidP="00CC5BA7">
      <w:pPr>
        <w:spacing w:after="0" w:line="240" w:lineRule="auto"/>
        <w:ind w:firstLine="720"/>
      </w:pPr>
    </w:p>
    <w:p w:rsidR="00CB335A" w:rsidRPr="00CC5BA7" w:rsidP="00CC5BA7">
      <w:pPr>
        <w:pStyle w:val="Heading1"/>
        <w:spacing w:before="0"/>
        <w:rPr>
          <w:rFonts w:ascii="Times New Roman" w:eastAsia="Calibri" w:hAnsi="Times New Roman"/>
          <w:szCs w:val="24"/>
        </w:rPr>
      </w:pPr>
      <w:r w:rsidRPr="00CC5BA7">
        <w:rPr>
          <w:rFonts w:ascii="Times New Roman" w:eastAsia="Calibri" w:hAnsi="Times New Roman"/>
          <w:szCs w:val="24"/>
        </w:rPr>
        <w:t>CONCLUSION</w:t>
      </w:r>
      <w:bookmarkEnd w:id="4"/>
      <w:r w:rsidRPr="00CC5BA7">
        <w:rPr>
          <w:rFonts w:ascii="Times New Roman" w:eastAsia="Calibri" w:hAnsi="Times New Roman"/>
          <w:szCs w:val="24"/>
        </w:rPr>
        <w:t xml:space="preserve"> </w:t>
      </w:r>
    </w:p>
    <w:p w:rsidR="00CC5BA7" w:rsidRPr="00CC5BA7" w:rsidP="00CC5BA7">
      <w:pPr>
        <w:spacing w:after="0" w:line="240" w:lineRule="auto"/>
      </w:pPr>
    </w:p>
    <w:p w:rsidR="00CB335A" w:rsidRPr="00CC5BA7" w:rsidP="00971EB1">
      <w:pPr>
        <w:spacing w:after="0" w:line="480" w:lineRule="auto"/>
        <w:ind w:firstLine="720"/>
        <w:rPr>
          <w:rFonts w:eastAsia="Calibri"/>
        </w:rPr>
      </w:pPr>
      <w:r w:rsidRPr="00CC5BA7">
        <w:rPr>
          <w:rFonts w:eastAsia="Calibri"/>
        </w:rPr>
        <w:t>CWA raised concerns about inadequate facilities in AT&amp;T Ohio’s network for serving consumers. CWA now asserts that AT&amp;T Ohio has remedied (or will remedy) for consumers the alleged substandard facilities identified in its Complaint. That could be a good result. But the gravity of CWA’s concerns and the numbers of consumers who could be affected by inadequate facilities compel the exercise of the PUCO’s regulatory authority for action to ensure consumer protection. The PUCO should conduct for consumers the comprehensive and statewide investigation of AT&amp;T Ohio’s facilities that CWA requested in its Complaint.</w:t>
      </w:r>
    </w:p>
    <w:p w:rsidR="005269CC" w:rsidRPr="00CC5BA7" w:rsidP="00630094">
      <w:pPr>
        <w:ind w:left="3600" w:firstLine="720"/>
      </w:pPr>
      <w:r w:rsidRPr="00CC5BA7">
        <w:t>Respectfully submitted,</w:t>
      </w:r>
    </w:p>
    <w:p w:rsidR="005269CC" w:rsidRPr="00CC5BA7" w:rsidP="00630094">
      <w:pPr>
        <w:pStyle w:val="Footer"/>
        <w:tabs>
          <w:tab w:val="left" w:pos="4320"/>
        </w:tabs>
        <w:ind w:left="4320"/>
      </w:pPr>
      <w:r w:rsidRPr="00CC5BA7">
        <w:t>Bruce Weston (0016973)</w:t>
      </w:r>
    </w:p>
    <w:p w:rsidR="005269CC" w:rsidRPr="00CC5BA7" w:rsidP="00630094">
      <w:pPr>
        <w:pStyle w:val="Footer"/>
        <w:tabs>
          <w:tab w:val="left" w:pos="4320"/>
        </w:tabs>
        <w:spacing w:after="120"/>
        <w:ind w:left="4320"/>
      </w:pPr>
      <w:r w:rsidRPr="00CC5BA7">
        <w:t>Ohio Consumers’ Counsel</w:t>
      </w:r>
    </w:p>
    <w:p w:rsidR="00553D9A" w:rsidRPr="00CC5BA7" w:rsidP="00630094">
      <w:pPr>
        <w:tabs>
          <w:tab w:val="left" w:pos="4320"/>
        </w:tabs>
        <w:spacing w:after="0"/>
        <w:ind w:left="4320"/>
        <w:rPr>
          <w:i/>
          <w:u w:val="single"/>
        </w:rPr>
      </w:pPr>
    </w:p>
    <w:p w:rsidR="0037013A" w:rsidRPr="00CC5BA7" w:rsidP="00630094">
      <w:pPr>
        <w:tabs>
          <w:tab w:val="left" w:pos="4320"/>
        </w:tabs>
        <w:spacing w:after="0"/>
        <w:ind w:left="4320"/>
        <w:rPr>
          <w:u w:val="single"/>
        </w:rPr>
      </w:pPr>
      <w:r w:rsidRPr="00CC5BA7">
        <w:rPr>
          <w:i/>
          <w:u w:val="single"/>
        </w:rPr>
        <w:t>/s/ Angela O’Brien</w:t>
      </w:r>
      <w:r w:rsidRPr="00CC5BA7">
        <w:rPr>
          <w:u w:val="single"/>
        </w:rPr>
        <w:t xml:space="preserve">                    </w:t>
      </w:r>
    </w:p>
    <w:p w:rsidR="00686839" w:rsidRPr="00CC5BA7" w:rsidP="00793F24">
      <w:pPr>
        <w:tabs>
          <w:tab w:val="left" w:pos="4320"/>
        </w:tabs>
        <w:spacing w:after="0" w:line="240" w:lineRule="auto"/>
        <w:ind w:left="4320"/>
      </w:pPr>
      <w:r w:rsidRPr="00CC5BA7">
        <w:t xml:space="preserve">Angela O’Brien (0097579) </w:t>
      </w:r>
    </w:p>
    <w:p w:rsidR="005269CC" w:rsidRPr="00CC5BA7" w:rsidP="00793F24">
      <w:pPr>
        <w:tabs>
          <w:tab w:val="left" w:pos="4320"/>
        </w:tabs>
        <w:spacing w:after="0" w:line="240" w:lineRule="auto"/>
        <w:ind w:left="4320"/>
      </w:pPr>
      <w:r w:rsidRPr="00CC5BA7">
        <w:t xml:space="preserve">Counsel of Record </w:t>
      </w:r>
    </w:p>
    <w:p w:rsidR="00686839" w:rsidP="00793F24">
      <w:pPr>
        <w:spacing w:after="0" w:line="240" w:lineRule="auto"/>
        <w:ind w:left="4320"/>
      </w:pPr>
      <w:r w:rsidRPr="00CC5BA7">
        <w:t xml:space="preserve">David Bergmann (0009991) </w:t>
      </w:r>
      <w:r w:rsidRPr="00CC5BA7">
        <w:br/>
        <w:t xml:space="preserve">Terry Etter (0067445) </w:t>
      </w:r>
      <w:r w:rsidRPr="00CC5BA7">
        <w:br/>
        <w:t xml:space="preserve">Assistant Consumers’ Counsel </w:t>
      </w:r>
    </w:p>
    <w:p w:rsidR="00CC5BA7" w:rsidRPr="00CC5BA7" w:rsidP="00793F24">
      <w:pPr>
        <w:spacing w:after="0" w:line="240" w:lineRule="auto"/>
        <w:ind w:left="4320"/>
      </w:pPr>
    </w:p>
    <w:p w:rsidR="00CC5BA7" w:rsidP="00CC5BA7">
      <w:pPr>
        <w:spacing w:after="0" w:line="240" w:lineRule="auto"/>
        <w:ind w:left="4320"/>
      </w:pPr>
      <w:r w:rsidRPr="00CC5BA7">
        <w:rPr>
          <w:b/>
          <w:bCs/>
        </w:rPr>
        <w:t xml:space="preserve">Office of the Ohio Consumers’ Counsel </w:t>
      </w:r>
      <w:r w:rsidRPr="00CC5BA7">
        <w:rPr>
          <w:b/>
          <w:bCs/>
        </w:rPr>
        <w:br/>
      </w:r>
      <w:r w:rsidRPr="00CC5BA7">
        <w:t xml:space="preserve">65 East State Street, 7th Floor </w:t>
      </w:r>
      <w:r w:rsidRPr="00CC5BA7">
        <w:br/>
        <w:t xml:space="preserve">Columbus, Ohio 43215-4213 </w:t>
      </w:r>
      <w:r w:rsidRPr="00CC5BA7">
        <w:br/>
        <w:t xml:space="preserve">Telephone [O’Brien]: (614) 466-9531 Telephone [Bergmann] (614) 466-9569 Telephone [Etter]: (614) 466-7964 </w:t>
      </w:r>
      <w:r>
        <w:fldChar w:fldCharType="begin"/>
      </w:r>
      <w:r>
        <w:instrText xml:space="preserve"> HYPERLINK "mailto:Angela.obrien@occ.ohio.gov" </w:instrText>
      </w:r>
      <w:r>
        <w:fldChar w:fldCharType="separate"/>
      </w:r>
      <w:r w:rsidRPr="00C73E58" w:rsidR="00E36611">
        <w:rPr>
          <w:rStyle w:val="Hyperlink"/>
        </w:rPr>
        <w:t>Angela.obrien@occ.ohio.gov</w:t>
      </w:r>
      <w:r>
        <w:fldChar w:fldCharType="end"/>
      </w:r>
    </w:p>
    <w:p w:rsidR="00CC5BA7" w:rsidP="00CC5BA7">
      <w:pPr>
        <w:spacing w:after="0" w:line="240" w:lineRule="auto"/>
        <w:ind w:left="4320"/>
      </w:pPr>
      <w:r>
        <w:fldChar w:fldCharType="begin"/>
      </w:r>
      <w:r>
        <w:instrText xml:space="preserve"> HYPERLINK "mailto:David.bergmann@occ.ohio.gov" </w:instrText>
      </w:r>
      <w:r>
        <w:fldChar w:fldCharType="separate"/>
      </w:r>
      <w:r w:rsidRPr="00C73E58" w:rsidR="00E36611">
        <w:rPr>
          <w:rStyle w:val="Hyperlink"/>
        </w:rPr>
        <w:t>David.bergmann@occ.ohio.gov</w:t>
      </w:r>
      <w:r>
        <w:fldChar w:fldCharType="end"/>
      </w:r>
    </w:p>
    <w:p w:rsidR="00E36611" w:rsidP="00CC5BA7">
      <w:pPr>
        <w:spacing w:after="0" w:line="240" w:lineRule="auto"/>
        <w:ind w:left="4320"/>
      </w:pPr>
      <w:r>
        <w:fldChar w:fldCharType="begin"/>
      </w:r>
      <w:r>
        <w:instrText xml:space="preserve"> HYPERLINK "mailto:Terry.etter@occ.ohio.gov" </w:instrText>
      </w:r>
      <w:r>
        <w:fldChar w:fldCharType="separate"/>
      </w:r>
      <w:r w:rsidRPr="00C73E58">
        <w:rPr>
          <w:rStyle w:val="Hyperlink"/>
        </w:rPr>
        <w:t>Terry.etter@occ.ohio.gov</w:t>
      </w:r>
      <w:r>
        <w:fldChar w:fldCharType="end"/>
      </w:r>
    </w:p>
    <w:p w:rsidR="00553D9A" w:rsidRPr="00CC5BA7" w:rsidP="00CC5BA7">
      <w:pPr>
        <w:spacing w:after="0" w:line="240" w:lineRule="auto"/>
        <w:ind w:left="4320"/>
      </w:pPr>
      <w:r w:rsidRPr="00CC5BA7">
        <w:t>(willing to accept service by e-mail)</w:t>
      </w:r>
      <w:r w:rsidRPr="00CC5BA7">
        <w:br w:type="page"/>
      </w:r>
    </w:p>
    <w:p w:rsidR="00A70DAB" w:rsidRPr="00CC5BA7" w:rsidP="00A70DAB">
      <w:pPr>
        <w:spacing w:line="480" w:lineRule="auto"/>
        <w:ind w:left="3600" w:hanging="3600"/>
        <w:jc w:val="center"/>
        <w:rPr>
          <w:rFonts w:eastAsia="Times New Roman"/>
        </w:rPr>
      </w:pPr>
      <w:r w:rsidRPr="00CC5BA7">
        <w:rPr>
          <w:rFonts w:eastAsia="Times New Roman"/>
          <w:b/>
        </w:rPr>
        <w:t>CERTIFICATE OF SERVICE</w:t>
      </w:r>
    </w:p>
    <w:p w:rsidR="00A70DAB" w:rsidRPr="00CC5BA7" w:rsidP="00A70DAB">
      <w:pPr>
        <w:spacing w:after="0" w:line="480" w:lineRule="auto"/>
        <w:rPr>
          <w:rFonts w:eastAsia="Times New Roman"/>
        </w:rPr>
      </w:pPr>
      <w:r w:rsidRPr="00CC5BA7">
        <w:rPr>
          <w:rFonts w:eastAsia="Times New Roman"/>
        </w:rPr>
        <w:tab/>
        <w:t>I hereby certify that a copy of the foregoing</w:t>
      </w:r>
      <w:r w:rsidRPr="00CC5BA7">
        <w:rPr>
          <w:rFonts w:eastAsia="Times New Roman"/>
          <w:b/>
        </w:rPr>
        <w:t xml:space="preserve"> </w:t>
      </w:r>
      <w:r w:rsidRPr="00CC5BA7">
        <w:rPr>
          <w:rFonts w:eastAsia="Times New Roman"/>
        </w:rPr>
        <w:t>Memorandum Contra was served by electronic mail to the persons listed below, on this 13</w:t>
      </w:r>
      <w:r w:rsidRPr="00CC5BA7">
        <w:rPr>
          <w:rFonts w:eastAsia="Times New Roman"/>
          <w:vertAlign w:val="superscript"/>
        </w:rPr>
        <w:t>th</w:t>
      </w:r>
      <w:r w:rsidRPr="00CC5BA7">
        <w:rPr>
          <w:rFonts w:eastAsia="Times New Roman"/>
        </w:rPr>
        <w:t xml:space="preserve"> day of August 2019. </w:t>
      </w:r>
    </w:p>
    <w:p w:rsidR="00A70DAB" w:rsidRPr="00CC5BA7" w:rsidP="00A70DAB">
      <w:pPr>
        <w:tabs>
          <w:tab w:val="left" w:pos="1440"/>
          <w:tab w:val="left" w:pos="2016"/>
        </w:tabs>
        <w:spacing w:after="0" w:line="480" w:lineRule="atLeast"/>
        <w:rPr>
          <w:rFonts w:eastAsia="Times New Roman"/>
        </w:rPr>
      </w:pPr>
    </w:p>
    <w:p w:rsidR="00D83141" w:rsidRPr="00CC5BA7" w:rsidP="00793F24">
      <w:pPr>
        <w:tabs>
          <w:tab w:val="left" w:pos="4320"/>
        </w:tabs>
        <w:spacing w:after="0" w:line="240" w:lineRule="auto"/>
        <w:ind w:left="4320"/>
        <w:rPr>
          <w:u w:val="single"/>
        </w:rPr>
      </w:pPr>
      <w:r w:rsidRPr="00CC5BA7">
        <w:rPr>
          <w:i/>
          <w:u w:val="single"/>
        </w:rPr>
        <w:t>/s/ Angela O’Brien</w:t>
      </w:r>
      <w:r w:rsidRPr="00CC5BA7">
        <w:rPr>
          <w:u w:val="single"/>
        </w:rPr>
        <w:t xml:space="preserve">                    </w:t>
      </w:r>
    </w:p>
    <w:p w:rsidR="00A70DAB" w:rsidRPr="00CC5BA7" w:rsidP="00186DC1">
      <w:pPr>
        <w:tabs>
          <w:tab w:val="left" w:pos="4320"/>
        </w:tabs>
        <w:spacing w:after="0" w:line="240" w:lineRule="auto"/>
        <w:rPr>
          <w:rFonts w:eastAsia="Times New Roman"/>
        </w:rPr>
      </w:pPr>
      <w:r w:rsidRPr="00CC5BA7">
        <w:rPr>
          <w:rFonts w:eastAsia="Times New Roman"/>
        </w:rPr>
        <w:tab/>
        <w:t>Angela O’Brien</w:t>
      </w:r>
    </w:p>
    <w:p w:rsidR="00A70DAB" w:rsidRPr="00CC5BA7">
      <w:pPr>
        <w:tabs>
          <w:tab w:val="left" w:pos="4320"/>
        </w:tabs>
        <w:spacing w:after="0" w:line="240" w:lineRule="auto"/>
        <w:rPr>
          <w:rFonts w:eastAsia="Times New Roman"/>
        </w:rPr>
      </w:pPr>
      <w:r w:rsidRPr="00CC5BA7">
        <w:rPr>
          <w:rFonts w:eastAsia="Times New Roman"/>
        </w:rPr>
        <w:tab/>
        <w:t>Assistant Consumers’ Counsel</w:t>
      </w:r>
    </w:p>
    <w:p w:rsidR="00A70DAB" w:rsidRPr="00CC5BA7" w:rsidP="00A70DAB">
      <w:pPr>
        <w:tabs>
          <w:tab w:val="left" w:pos="0"/>
          <w:tab w:val="left" w:pos="720"/>
          <w:tab w:val="left" w:pos="4320"/>
        </w:tabs>
        <w:spacing w:after="0" w:line="480" w:lineRule="auto"/>
        <w:rPr>
          <w:rFonts w:eastAsia="Times New Roman"/>
        </w:rPr>
      </w:pPr>
      <w:r w:rsidRPr="00CC5BA7">
        <w:rPr>
          <w:rFonts w:eastAsia="Times New Roman"/>
        </w:rPr>
        <w:tab/>
      </w:r>
      <w:r w:rsidRPr="00CC5BA7">
        <w:rPr>
          <w:rFonts w:eastAsia="Times New Roman"/>
        </w:rPr>
        <w:tab/>
      </w:r>
    </w:p>
    <w:p w:rsidR="002352ED" w:rsidRPr="00CC5BA7" w:rsidP="00A70DAB">
      <w:pPr>
        <w:tabs>
          <w:tab w:val="left" w:pos="0"/>
          <w:tab w:val="left" w:pos="720"/>
          <w:tab w:val="left" w:pos="4320"/>
        </w:tabs>
        <w:spacing w:after="0" w:line="480" w:lineRule="auto"/>
        <w:rPr>
          <w:rFonts w:eastAsia="Times New Roman"/>
        </w:rPr>
      </w:pPr>
    </w:p>
    <w:p w:rsidR="00A70DAB" w:rsidRPr="000547EB" w:rsidP="00A70DAB">
      <w:pPr>
        <w:tabs>
          <w:tab w:val="left" w:pos="0"/>
          <w:tab w:val="left" w:pos="720"/>
          <w:tab w:val="left" w:pos="4320"/>
        </w:tabs>
        <w:spacing w:after="0" w:line="480" w:lineRule="auto"/>
        <w:jc w:val="center"/>
        <w:rPr>
          <w:rFonts w:eastAsia="Times New Roman"/>
          <w:b/>
        </w:rPr>
      </w:pPr>
      <w:r w:rsidRPr="000547EB">
        <w:rPr>
          <w:rFonts w:eastAsia="Times New Roman"/>
          <w:b/>
        </w:rPr>
        <w:t>SERVICE LIST</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E06F48">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2352ED" w:rsidRPr="000547EB" w:rsidP="00E06F48">
            <w:pPr>
              <w:pStyle w:val="BodyText"/>
              <w:spacing w:after="0" w:line="240" w:lineRule="auto"/>
              <w:jc w:val="both"/>
              <w:rPr>
                <w:rStyle w:val="DefaultParagraphFont"/>
                <w:rFonts w:eastAsia="Times New Roman"/>
                <w:bCs/>
                <w:sz w:val="24"/>
                <w:szCs w:val="24"/>
                <w:lang w:val="en-US" w:eastAsia="en-US" w:bidi="ar-SA"/>
              </w:rPr>
            </w:pPr>
            <w:r w:rsidRPr="000547EB">
              <w:rPr>
                <w:rFonts w:eastAsia="Times New Roman"/>
                <w:bCs/>
                <w:color w:val="0000FF"/>
                <w:sz w:val="24"/>
                <w:szCs w:val="24"/>
                <w:lang w:val="en-US" w:eastAsia="en-US" w:bidi="ar-SA"/>
              </w:rPr>
              <w:t>John.jones@ohioattorneygeneral.gov</w:t>
            </w:r>
          </w:p>
          <w:p w:rsidR="002352ED" w:rsidRPr="000547EB" w:rsidP="00E06F48">
            <w:pPr>
              <w:pStyle w:val="BodyText"/>
              <w:spacing w:after="0" w:line="240" w:lineRule="auto"/>
              <w:jc w:val="both"/>
              <w:rPr>
                <w:rStyle w:val="DefaultParagraphFont"/>
                <w:rFonts w:eastAsia="Times New Roman"/>
                <w:sz w:val="24"/>
                <w:szCs w:val="24"/>
                <w:lang w:val="en-US" w:eastAsia="en-US" w:bidi="ar-SA"/>
              </w:rPr>
            </w:pPr>
            <w:r w:rsidRPr="000547EB">
              <w:rPr>
                <w:rFonts w:eastAsia="Times New Roman"/>
                <w:color w:val="0000FF"/>
                <w:sz w:val="24"/>
                <w:szCs w:val="24"/>
                <w:lang w:val="en-US" w:eastAsia="en-US" w:bidi="ar-SA"/>
              </w:rPr>
              <w:t>mrharris@cwa-union.org</w:t>
            </w:r>
          </w:p>
          <w:p w:rsidR="00CC5BA7" w:rsidRPr="000547EB" w:rsidP="00E06F48">
            <w:pPr>
              <w:pStyle w:val="BodyText"/>
              <w:spacing w:after="0" w:line="240" w:lineRule="auto"/>
              <w:jc w:val="both"/>
              <w:rPr>
                <w:rStyle w:val="DefaultParagraphFont"/>
                <w:rFonts w:eastAsia="Times New Roman"/>
                <w:sz w:val="24"/>
                <w:szCs w:val="24"/>
                <w:lang w:val="en-US" w:eastAsia="en-US" w:bidi="ar-SA"/>
              </w:rPr>
            </w:pPr>
          </w:p>
          <w:p w:rsidR="00CC5BA7" w:rsidRPr="000547EB" w:rsidP="00E06F48">
            <w:pPr>
              <w:pStyle w:val="BodyText"/>
              <w:spacing w:after="0" w:line="240" w:lineRule="auto"/>
              <w:jc w:val="both"/>
              <w:rPr>
                <w:rStyle w:val="DefaultParagraphFont"/>
                <w:rFonts w:eastAsia="Times New Roman"/>
                <w:sz w:val="24"/>
                <w:szCs w:val="24"/>
                <w:lang w:val="en-US" w:eastAsia="en-US" w:bidi="ar-SA"/>
              </w:rPr>
            </w:pPr>
            <w:r w:rsidRPr="000547EB">
              <w:rPr>
                <w:rFonts w:eastAsia="Times New Roman"/>
                <w:sz w:val="24"/>
                <w:szCs w:val="24"/>
                <w:lang w:val="en-US" w:eastAsia="en-US" w:bidi="ar-SA"/>
              </w:rPr>
              <w:t>Attorney Examiner:</w:t>
            </w:r>
          </w:p>
          <w:p w:rsidR="00CC5BA7" w:rsidRPr="000547EB" w:rsidP="00E06F48">
            <w:pPr>
              <w:pStyle w:val="BodyText"/>
              <w:spacing w:after="0" w:line="240" w:lineRule="auto"/>
              <w:jc w:val="both"/>
              <w:rPr>
                <w:rStyle w:val="DefaultParagraphFont"/>
                <w:rFonts w:eastAsia="Times New Roman"/>
                <w:sz w:val="24"/>
                <w:szCs w:val="24"/>
                <w:lang w:val="en-US" w:eastAsia="en-US" w:bidi="ar-SA"/>
              </w:rPr>
            </w:pPr>
          </w:p>
          <w:p w:rsidR="00CC5BA7" w:rsidRPr="000547EB" w:rsidP="00E06F48">
            <w:pPr>
              <w:pStyle w:val="BodyText"/>
              <w:spacing w:after="0" w:line="240" w:lineRule="auto"/>
              <w:jc w:val="both"/>
              <w:rPr>
                <w:rStyle w:val="DefaultParagraphFont"/>
                <w:rFonts w:eastAsia="Times New Roman"/>
                <w:sz w:val="24"/>
                <w:szCs w:val="24"/>
                <w:lang w:val="en-US" w:eastAsia="en-US" w:bidi="ar-SA"/>
              </w:rPr>
            </w:pPr>
            <w:r>
              <w:fldChar w:fldCharType="begin"/>
            </w:r>
            <w:r>
              <w:rPr>
                <w:rFonts w:eastAsia="Times New Roman"/>
                <w:sz w:val="20"/>
                <w:szCs w:val="20"/>
                <w:lang w:val="en-US" w:eastAsia="en-US" w:bidi="ar-SA"/>
              </w:rPr>
              <w:instrText xml:space="preserve"> HYPERLINK "mailto:Anna.sanyal@puco.ohio.gov" </w:instrText>
            </w:r>
            <w:r>
              <w:fldChar w:fldCharType="separate"/>
            </w:r>
            <w:r w:rsidRPr="000547EB" w:rsidR="000547EB">
              <w:rPr>
                <w:rStyle w:val="Hyperlink"/>
                <w:rFonts w:eastAsia="Times New Roman"/>
                <w:color w:val="0000FF" w:themeColor="hyperlink"/>
                <w:sz w:val="24"/>
                <w:szCs w:val="24"/>
                <w:u w:val="single"/>
                <w:lang w:val="en-US" w:eastAsia="en-US" w:bidi="ar-SA"/>
              </w:rPr>
              <w:t>Anna.sanyal@puco.ohio.gov</w:t>
            </w:r>
            <w:r>
              <w:fldChar w:fldCharType="end"/>
            </w:r>
          </w:p>
          <w:p w:rsidR="000547EB" w:rsidRPr="000547EB" w:rsidP="00E06F48">
            <w:pPr>
              <w:pStyle w:val="BodyText"/>
              <w:spacing w:after="0" w:line="240" w:lineRule="auto"/>
              <w:jc w:val="both"/>
              <w:rPr>
                <w:rStyle w:val="DefaultParagraphFont"/>
                <w:rFonts w:eastAsia="Times New Roman"/>
                <w:sz w:val="24"/>
                <w:szCs w:val="24"/>
                <w:lang w:val="en-US" w:eastAsia="en-US" w:bidi="ar-SA"/>
              </w:rPr>
            </w:pPr>
          </w:p>
          <w:p w:rsidR="00CC5BA7" w:rsidRPr="000547EB" w:rsidP="00E06F48">
            <w:pPr>
              <w:pStyle w:val="BodyText"/>
              <w:spacing w:after="0" w:line="240" w:lineRule="auto"/>
              <w:jc w:val="both"/>
              <w:rPr>
                <w:rStyle w:val="DefaultParagraphFont"/>
                <w:rFonts w:eastAsia="Times New Roman"/>
                <w:sz w:val="24"/>
                <w:szCs w:val="24"/>
                <w:lang w:val="en-US" w:eastAsia="en-US" w:bidi="ar-SA"/>
              </w:rPr>
            </w:pPr>
          </w:p>
          <w:p w:rsidR="002352ED" w:rsidRPr="000547EB" w:rsidP="00E06F48">
            <w:pPr>
              <w:pStyle w:val="BodyText"/>
              <w:spacing w:after="0" w:line="240" w:lineRule="auto"/>
              <w:jc w:val="both"/>
              <w:rPr>
                <w:rStyle w:val="DefaultParagraphFont"/>
                <w:rFonts w:eastAsia="Times New Roman"/>
                <w:bCs/>
                <w:sz w:val="24"/>
                <w:szCs w:val="24"/>
                <w:lang w:val="en-US" w:eastAsia="en-US" w:bidi="ar-SA"/>
              </w:rPr>
            </w:pPr>
          </w:p>
        </w:tc>
        <w:tc>
          <w:tcPr>
            <w:tcW w:w="4315" w:type="dxa"/>
          </w:tcPr>
          <w:p w:rsidR="002352ED" w:rsidRPr="000547EB" w:rsidP="00E06F48">
            <w:pPr>
              <w:pStyle w:val="BodyText"/>
              <w:spacing w:after="0" w:line="240" w:lineRule="auto"/>
              <w:ind w:left="1422"/>
              <w:jc w:val="both"/>
              <w:rPr>
                <w:rStyle w:val="DefaultParagraphFont"/>
                <w:rFonts w:eastAsia="Times New Roman"/>
                <w:color w:val="0000FF"/>
                <w:sz w:val="24"/>
                <w:szCs w:val="24"/>
                <w:lang w:val="en-US" w:eastAsia="en-US" w:bidi="ar-SA"/>
              </w:rPr>
            </w:pPr>
            <w:r w:rsidRPr="000547EB">
              <w:rPr>
                <w:rFonts w:eastAsia="Times New Roman"/>
                <w:color w:val="0000FF"/>
                <w:sz w:val="24"/>
                <w:szCs w:val="24"/>
                <w:lang w:val="en-US" w:eastAsia="en-US" w:bidi="ar-SA"/>
              </w:rPr>
              <w:t>mo2753@att.com</w:t>
            </w:r>
          </w:p>
          <w:p w:rsidR="002352ED" w:rsidRPr="000547EB" w:rsidP="00E06F48">
            <w:pPr>
              <w:pStyle w:val="BodyText"/>
              <w:spacing w:after="0" w:line="240" w:lineRule="auto"/>
              <w:jc w:val="both"/>
              <w:rPr>
                <w:rStyle w:val="DefaultParagraphFont"/>
                <w:rFonts w:eastAsia="Times New Roman"/>
                <w:bCs/>
                <w:sz w:val="24"/>
                <w:szCs w:val="24"/>
                <w:lang w:val="en-US" w:eastAsia="en-US" w:bidi="ar-SA"/>
              </w:rPr>
            </w:pPr>
          </w:p>
        </w:tc>
      </w:tr>
    </w:tbl>
    <w:tbl>
      <w:tblPr>
        <w:tblW w:w="11883" w:type="dxa"/>
        <w:tblInd w:w="0" w:type="dxa"/>
        <w:tblCellMar>
          <w:top w:w="0" w:type="dxa"/>
          <w:left w:w="108" w:type="dxa"/>
          <w:bottom w:w="0" w:type="dxa"/>
          <w:right w:w="108" w:type="dxa"/>
        </w:tblCellMar>
        <w:tblLook w:val="04A0"/>
      </w:tblPr>
      <w:tblGrid>
        <w:gridCol w:w="5941"/>
        <w:gridCol w:w="5942"/>
      </w:tblGrid>
      <w:tr w:rsidTr="00F3280C">
        <w:tblPrEx>
          <w:tblW w:w="11883" w:type="dxa"/>
          <w:tblInd w:w="0" w:type="dxa"/>
          <w:tblCellMar>
            <w:top w:w="0" w:type="dxa"/>
            <w:left w:w="108" w:type="dxa"/>
            <w:bottom w:w="0" w:type="dxa"/>
            <w:right w:w="108" w:type="dxa"/>
          </w:tblCellMar>
          <w:tblLook w:val="04A0"/>
        </w:tblPrEx>
        <w:tc>
          <w:tcPr>
            <w:tcW w:w="4428" w:type="dxa"/>
            <w:shd w:val="clear" w:color="auto" w:fill="auto"/>
          </w:tcPr>
          <w:p w:rsidR="00A70DAB" w:rsidRPr="000547EB" w:rsidP="00A70DAB">
            <w:pPr>
              <w:tabs>
                <w:tab w:val="left" w:pos="0"/>
                <w:tab w:val="left" w:pos="720"/>
                <w:tab w:val="left" w:pos="4320"/>
              </w:tabs>
              <w:spacing w:after="0" w:line="240" w:lineRule="auto"/>
              <w:rPr>
                <w:rStyle w:val="DefaultParagraphFont"/>
                <w:rFonts w:eastAsia="Times New Roman"/>
                <w:sz w:val="24"/>
                <w:szCs w:val="24"/>
                <w:lang w:val="en-US" w:eastAsia="en-US" w:bidi="ar-SA"/>
              </w:rPr>
            </w:pPr>
          </w:p>
        </w:tc>
        <w:tc>
          <w:tcPr>
            <w:tcW w:w="4428" w:type="dxa"/>
            <w:shd w:val="clear" w:color="auto" w:fill="auto"/>
          </w:tcPr>
          <w:p w:rsidR="001F41A7" w:rsidRPr="000547EB" w:rsidP="00A70DAB">
            <w:pPr>
              <w:tabs>
                <w:tab w:val="left" w:pos="522"/>
                <w:tab w:val="left" w:pos="720"/>
                <w:tab w:val="left" w:pos="4320"/>
              </w:tabs>
              <w:spacing w:after="0" w:line="240" w:lineRule="auto"/>
              <w:rPr>
                <w:rStyle w:val="DefaultParagraphFont"/>
                <w:rFonts w:eastAsia="Times New Roman"/>
                <w:color w:val="0000FF"/>
                <w:sz w:val="24"/>
                <w:szCs w:val="24"/>
                <w:u w:val="single"/>
                <w:lang w:val="en-US" w:eastAsia="en-US" w:bidi="ar-SA"/>
              </w:rPr>
            </w:pPr>
          </w:p>
        </w:tc>
      </w:tr>
    </w:tbl>
    <w:p w:rsidR="00766541" w:rsidRPr="00CC5BA7"/>
    <w:sectPr w:rsidSect="00BF7201">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7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57062292"/>
      <w:docPartObj>
        <w:docPartGallery w:val="Page Numbers (Bottom of Page)"/>
        <w:docPartUnique/>
      </w:docPartObj>
    </w:sdtPr>
    <w:sdtEndPr>
      <w:rPr>
        <w:noProof/>
      </w:rPr>
    </w:sdtEndPr>
    <w:sdtContent>
      <w:p w:rsidR="00590CA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590C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0CAC">
    <w:pPr>
      <w:pStyle w:val="Footer"/>
      <w:jc w:val="center"/>
    </w:pPr>
  </w:p>
  <w:p w:rsidR="00590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0492" w:rsidP="004D17A3">
      <w:pPr>
        <w:spacing w:after="0" w:line="240" w:lineRule="auto"/>
      </w:pPr>
      <w:r>
        <w:separator/>
      </w:r>
    </w:p>
  </w:footnote>
  <w:footnote w:type="continuationSeparator" w:id="1">
    <w:p w:rsidR="00F60492" w:rsidP="004D17A3">
      <w:pPr>
        <w:spacing w:after="0" w:line="240" w:lineRule="auto"/>
      </w:pPr>
      <w:r>
        <w:continuationSeparator/>
      </w:r>
    </w:p>
  </w:footnote>
  <w:footnote w:type="continuationNotice" w:id="2">
    <w:p w:rsidR="00F60492">
      <w:pPr>
        <w:spacing w:after="0" w:line="240" w:lineRule="auto"/>
      </w:pPr>
    </w:p>
  </w:footnote>
  <w:footnote w:id="3">
    <w:p w:rsidR="00760F18" w:rsidP="00760F18">
      <w:pPr>
        <w:pStyle w:val="FootnoteText"/>
      </w:pPr>
      <w:r>
        <w:rPr>
          <w:rStyle w:val="FootnoteReference"/>
        </w:rPr>
        <w:footnoteRef/>
      </w:r>
      <w:r>
        <w:t xml:space="preserve"> </w:t>
      </w:r>
      <w:r w:rsidRPr="00383662">
        <w:rPr>
          <w:i/>
          <w:iCs/>
        </w:rPr>
        <w:t>See, e.g</w:t>
      </w:r>
      <w:r>
        <w:t>., Complaint, ¶¶ 7-8, 17.</w:t>
      </w:r>
    </w:p>
  </w:footnote>
  <w:footnote w:id="4">
    <w:p w:rsidR="005326BB" w:rsidP="005326BB">
      <w:pPr>
        <w:pStyle w:val="FootnoteText"/>
      </w:pPr>
      <w:r>
        <w:rPr>
          <w:rStyle w:val="FootnoteReference"/>
        </w:rPr>
        <w:footnoteRef/>
      </w:r>
      <w:r>
        <w:t xml:space="preserve"> </w:t>
      </w:r>
      <w:r>
        <w:rPr>
          <w:i/>
          <w:iCs/>
        </w:rPr>
        <w:t xml:space="preserve">Id., </w:t>
      </w:r>
      <w:r>
        <w:t>¶¶ 23-27.</w:t>
      </w:r>
    </w:p>
  </w:footnote>
  <w:footnote w:id="5">
    <w:p w:rsidR="00D4209A" w:rsidRPr="00AE3D26" w:rsidP="00D4209A">
      <w:pPr>
        <w:pStyle w:val="FootnoteText"/>
      </w:pPr>
      <w:r>
        <w:rPr>
          <w:rStyle w:val="FootnoteReference"/>
        </w:rPr>
        <w:footnoteRef/>
      </w:r>
      <w:r>
        <w:t xml:space="preserve"> </w:t>
      </w:r>
      <w:r>
        <w:rPr>
          <w:i/>
        </w:rPr>
        <w:t>Id.</w:t>
      </w:r>
      <w:r>
        <w:t>, ¶15.</w:t>
      </w:r>
    </w:p>
  </w:footnote>
  <w:footnote w:id="6">
    <w:p w:rsidR="00862D76" w:rsidRPr="00862D76">
      <w:pPr>
        <w:pStyle w:val="FootnoteText"/>
      </w:pPr>
      <w:r>
        <w:rPr>
          <w:rStyle w:val="FootnoteReference"/>
        </w:rPr>
        <w:footnoteRef/>
      </w:r>
      <w:r>
        <w:t xml:space="preserve"> </w:t>
      </w:r>
      <w:r>
        <w:rPr>
          <w:i/>
          <w:iCs/>
        </w:rPr>
        <w:t>Id.,</w:t>
      </w:r>
      <w:r>
        <w:t xml:space="preserve"> ¶21.</w:t>
      </w:r>
    </w:p>
  </w:footnote>
  <w:footnote w:id="7">
    <w:p w:rsidR="00FA3E43">
      <w:pPr>
        <w:pStyle w:val="FootnoteText"/>
      </w:pPr>
      <w:r>
        <w:rPr>
          <w:rStyle w:val="FootnoteReference"/>
        </w:rPr>
        <w:footnoteRef/>
      </w:r>
      <w:r>
        <w:t xml:space="preserve"> AT&amp;T Motion to Dismiss (July 2, 2019) at 3. </w:t>
      </w:r>
    </w:p>
  </w:footnote>
  <w:footnote w:id="8">
    <w:p w:rsidR="00FA3E43">
      <w:pPr>
        <w:pStyle w:val="FootnoteText"/>
      </w:pPr>
      <w:r>
        <w:rPr>
          <w:rStyle w:val="FootnoteReference"/>
        </w:rPr>
        <w:footnoteRef/>
      </w:r>
      <w:r>
        <w:t xml:space="preserve"> CWA Motion at 1.</w:t>
      </w:r>
    </w:p>
  </w:footnote>
  <w:footnote w:id="9">
    <w:p w:rsidR="00AE0C80">
      <w:pPr>
        <w:pStyle w:val="FootnoteText"/>
      </w:pPr>
      <w:r>
        <w:rPr>
          <w:rStyle w:val="FootnoteReference"/>
        </w:rPr>
        <w:footnoteRef/>
      </w:r>
      <w:r>
        <w:t xml:space="preserve"> OCC Motion to Intervene (July 5, 2019).</w:t>
      </w:r>
    </w:p>
  </w:footnote>
  <w:footnote w:id="10">
    <w:p w:rsidR="00A55661">
      <w:pPr>
        <w:pStyle w:val="FootnoteText"/>
      </w:pPr>
      <w:r>
        <w:rPr>
          <w:rStyle w:val="FootnoteReference"/>
        </w:rPr>
        <w:footnoteRef/>
      </w:r>
      <w:r>
        <w:t xml:space="preserve"> Complaint, ¶21.</w:t>
      </w:r>
    </w:p>
  </w:footnote>
  <w:footnote w:id="11">
    <w:p w:rsidR="00CA6FDD" w:rsidP="00CA6FDD">
      <w:pPr>
        <w:pStyle w:val="FootnoteText"/>
      </w:pPr>
      <w:r>
        <w:rPr>
          <w:rStyle w:val="FootnoteReference"/>
        </w:rPr>
        <w:footnoteRef/>
      </w:r>
      <w:r>
        <w:t xml:space="preserve"> </w:t>
      </w:r>
      <w:r w:rsidRPr="00E16D6A">
        <w:rPr>
          <w:i/>
        </w:rPr>
        <w:t>OCC v. Dominion Retail</w:t>
      </w:r>
      <w:r>
        <w:t xml:space="preserve">, Case No. 09-257-GA-CSS, Entry (July 1, 2009) at 3, citing </w:t>
      </w:r>
      <w:r w:rsidRPr="00E16D6A">
        <w:rPr>
          <w:rStyle w:val="ssit1"/>
          <w:rFonts w:cs="Times New Roman"/>
          <w:color w:val="373739"/>
          <w:szCs w:val="20"/>
        </w:rPr>
        <w:t xml:space="preserve">In the Matter of the </w:t>
      </w:r>
      <w:r w:rsidRPr="00E16D6A">
        <w:rPr>
          <w:rStyle w:val="sssh"/>
          <w:rFonts w:cs="Times New Roman"/>
          <w:i/>
          <w:iCs/>
          <w:color w:val="373739"/>
          <w:szCs w:val="20"/>
        </w:rPr>
        <w:t>Complaint</w:t>
      </w:r>
      <w:r w:rsidRPr="00E16D6A">
        <w:rPr>
          <w:rStyle w:val="ssit1"/>
          <w:rFonts w:cs="Times New Roman"/>
          <w:color w:val="373739"/>
          <w:szCs w:val="20"/>
        </w:rPr>
        <w:t xml:space="preserve"> of XO Ohio, Inc. v. City of Upper Arlington</w:t>
      </w:r>
      <w:r w:rsidRPr="00E16D6A">
        <w:rPr>
          <w:rFonts w:cs="Times New Roman"/>
          <w:color w:val="373739"/>
          <w:szCs w:val="20"/>
        </w:rPr>
        <w:t>, Case No. 03-870-AU-PWC, Entry on Rehearing (July 1, 2003).</w:t>
      </w:r>
    </w:p>
  </w:footnote>
  <w:footnote w:id="12">
    <w:p w:rsidR="00CA6FDD" w:rsidRPr="00197B17" w:rsidP="00CA6FDD">
      <w:pPr>
        <w:pStyle w:val="FootnoteText"/>
        <w:rPr>
          <w:i/>
          <w:iCs/>
        </w:rPr>
      </w:pPr>
      <w:r>
        <w:rPr>
          <w:rStyle w:val="FootnoteReference"/>
        </w:rPr>
        <w:footnoteRef/>
      </w:r>
      <w:r>
        <w:t xml:space="preserve"> </w:t>
      </w:r>
      <w:r>
        <w:rPr>
          <w:i/>
          <w:iCs/>
        </w:rPr>
        <w:t>Id.</w:t>
      </w:r>
    </w:p>
  </w:footnote>
  <w:footnote w:id="13">
    <w:p w:rsidR="00966E9D" w:rsidRPr="00966E9D">
      <w:pPr>
        <w:pStyle w:val="FootnoteText"/>
      </w:pPr>
      <w:r>
        <w:rPr>
          <w:rStyle w:val="FootnoteReference"/>
        </w:rPr>
        <w:footnoteRef/>
      </w:r>
      <w:r>
        <w:t xml:space="preserve"> </w:t>
      </w:r>
      <w:r>
        <w:rPr>
          <w:i/>
          <w:iCs/>
        </w:rPr>
        <w:t>See</w:t>
      </w:r>
      <w:r>
        <w:t xml:space="preserve"> Ohio Adm. Code 4901:1-6-03(C).</w:t>
      </w:r>
    </w:p>
  </w:footnote>
  <w:footnote w:id="14">
    <w:p w:rsidR="00CA6FDD" w:rsidP="00CA6FDD">
      <w:pPr>
        <w:pStyle w:val="FootnoteText"/>
      </w:pPr>
      <w:r>
        <w:rPr>
          <w:rStyle w:val="FootnoteReference"/>
        </w:rPr>
        <w:footnoteRef/>
      </w:r>
      <w:r>
        <w:t xml:space="preserve"> Complaint, ¶17.</w:t>
      </w:r>
    </w:p>
  </w:footnote>
  <w:footnote w:id="15">
    <w:p w:rsidR="00CA6FDD" w:rsidP="00CA6FDD">
      <w:pPr>
        <w:pStyle w:val="FootnoteText"/>
      </w:pPr>
      <w:r>
        <w:rPr>
          <w:rStyle w:val="FootnoteReference"/>
        </w:rPr>
        <w:footnoteRef/>
      </w:r>
      <w:r>
        <w:t xml:space="preserve"> </w:t>
      </w:r>
      <w:r>
        <w:rPr>
          <w:i/>
          <w:iCs/>
        </w:rPr>
        <w:t xml:space="preserve">Id., </w:t>
      </w:r>
      <w:r>
        <w:t>¶16.</w:t>
      </w:r>
    </w:p>
  </w:footnote>
  <w:footnote w:id="16">
    <w:p w:rsidR="003F4B1E" w:rsidRPr="00CD04FB">
      <w:pPr>
        <w:pStyle w:val="FootnoteText"/>
        <w:rPr>
          <w:iCs/>
        </w:rPr>
      </w:pPr>
      <w:r>
        <w:rPr>
          <w:rStyle w:val="FootnoteReference"/>
        </w:rPr>
        <w:footnoteRef/>
      </w:r>
      <w:r>
        <w:t xml:space="preserve"> </w:t>
      </w:r>
      <w:r>
        <w:rPr>
          <w:i/>
          <w:iCs/>
        </w:rPr>
        <w:t>Id.</w:t>
      </w:r>
      <w:r>
        <w:rPr>
          <w:iCs/>
        </w:rPr>
        <w:t>, ¶26.</w:t>
      </w:r>
    </w:p>
  </w:footnote>
  <w:footnote w:id="17">
    <w:p w:rsidR="00A55661" w:rsidRPr="00A55661">
      <w:pPr>
        <w:pStyle w:val="FootnoteText"/>
      </w:pPr>
      <w:r>
        <w:rPr>
          <w:rStyle w:val="FootnoteReference"/>
        </w:rPr>
        <w:footnoteRef/>
      </w:r>
      <w:r>
        <w:t xml:space="preserve"> </w:t>
      </w:r>
      <w:r>
        <w:rPr>
          <w:i/>
        </w:rPr>
        <w:t xml:space="preserve">Id., </w:t>
      </w:r>
      <w:r>
        <w:t>¶¶25-26.</w:t>
      </w:r>
    </w:p>
  </w:footnote>
  <w:footnote w:id="18">
    <w:p w:rsidR="00C01AA1" w:rsidRPr="005E39A2" w:rsidP="00C01AA1">
      <w:pPr>
        <w:pStyle w:val="FootnoteText"/>
        <w:rPr>
          <w:iCs/>
        </w:rPr>
      </w:pPr>
      <w:r>
        <w:rPr>
          <w:rStyle w:val="FootnoteReference"/>
        </w:rPr>
        <w:footnoteRef/>
      </w:r>
      <w:r>
        <w:t xml:space="preserve"> </w:t>
      </w:r>
      <w:r>
        <w:rPr>
          <w:i/>
          <w:iCs/>
        </w:rPr>
        <w:t>Id.,</w:t>
      </w:r>
      <w:r>
        <w:rPr>
          <w:iCs/>
        </w:rPr>
        <w:t xml:space="preserve"> ¶20.</w:t>
      </w:r>
    </w:p>
  </w:footnote>
  <w:footnote w:id="19">
    <w:p w:rsidR="00CD04FB" w:rsidRPr="006A2AB5">
      <w:pPr>
        <w:pStyle w:val="FootnoteText"/>
      </w:pPr>
      <w:r>
        <w:rPr>
          <w:rStyle w:val="FootnoteReference"/>
        </w:rPr>
        <w:footnoteRef/>
      </w:r>
      <w:r>
        <w:t xml:space="preserve"> </w:t>
      </w:r>
      <w:r>
        <w:rPr>
          <w:i/>
        </w:rPr>
        <w:t>Id.</w:t>
      </w:r>
      <w:r>
        <w:t>, ¶26.</w:t>
      </w:r>
    </w:p>
  </w:footnote>
  <w:footnote w:id="20">
    <w:p w:rsidR="00927CFE">
      <w:pPr>
        <w:pStyle w:val="FootnoteText"/>
      </w:pPr>
      <w:r>
        <w:rPr>
          <w:rStyle w:val="FootnoteReference"/>
        </w:rPr>
        <w:footnoteRef/>
      </w:r>
      <w:r>
        <w:t xml:space="preserve"> AT&amp;T Motion to Dismiss (July 2, 2019) at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7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7A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7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3A08D2B8"/>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88F46AB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56EE5524"/>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EE296FC"/>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5C5834BE"/>
    <w:lvl w:ilvl="0">
      <w:start w:val="1"/>
      <w:numFmt w:val="decimal"/>
      <w:lvlText w:val="%1."/>
      <w:lvlJc w:val="left"/>
      <w:pPr>
        <w:tabs>
          <w:tab w:val="num" w:pos="360"/>
        </w:tabs>
        <w:ind w:left="360" w:hanging="360"/>
      </w:pPr>
    </w:lvl>
  </w:abstractNum>
  <w:abstractNum w:abstractNumId="5">
    <w:nsid w:val="FFFFFF89"/>
    <w:multiLevelType w:val="singleLevel"/>
    <w:tmpl w:val="FD927ABE"/>
    <w:lvl w:ilvl="0">
      <w:start w:val="1"/>
      <w:numFmt w:val="bullet"/>
      <w:lvlText w:val=""/>
      <w:lvlJc w:val="left"/>
      <w:pPr>
        <w:tabs>
          <w:tab w:val="num" w:pos="360"/>
        </w:tabs>
        <w:ind w:left="360" w:hanging="360"/>
      </w:pPr>
      <w:rPr>
        <w:rFonts w:ascii="Symbol" w:hAnsi="Symbol" w:hint="default"/>
      </w:rPr>
    </w:lvl>
  </w:abstractNum>
  <w:abstractNum w:abstractNumId="6">
    <w:nsid w:val="0DDD1B79"/>
    <w:multiLevelType w:val="hybridMultilevel"/>
    <w:tmpl w:val="323469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E2056B2"/>
    <w:multiLevelType w:val="hybridMultilevel"/>
    <w:tmpl w:val="98661B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F0A57B9"/>
    <w:multiLevelType w:val="hybridMultilevel"/>
    <w:tmpl w:val="C666DE74"/>
    <w:lvl w:ilvl="0">
      <w:start w:val="1"/>
      <w:numFmt w:val="upperRoman"/>
      <w:pStyle w:val="Heading1"/>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9AA7C3D"/>
    <w:multiLevelType w:val="hybridMultilevel"/>
    <w:tmpl w:val="CFCC6C00"/>
    <w:lvl w:ilvl="0">
      <w:start w:val="1"/>
      <w:numFmt w:val="decimal"/>
      <w:lvlText w:val="%1."/>
      <w:lvlJc w:val="left"/>
      <w:pPr>
        <w:ind w:left="360" w:hanging="360"/>
      </w:pPr>
      <w:rPr>
        <w:rFonts w:ascii="Times New Roman" w:hAnsi="Times New Roman" w:hint="default"/>
        <w:b w:val="0"/>
        <w:sz w:val="24"/>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CEB4C4E"/>
    <w:multiLevelType w:val="hybridMultilevel"/>
    <w:tmpl w:val="0F20ADFC"/>
    <w:lvl w:ilvl="0">
      <w:start w:val="5"/>
      <w:numFmt w:val="decimal"/>
      <w:lvlText w:val="%1."/>
      <w:lvlJc w:val="left"/>
      <w:pPr>
        <w:ind w:left="126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1">
    <w:nsid w:val="40E42AA0"/>
    <w:multiLevelType w:val="hybridMultilevel"/>
    <w:tmpl w:val="87BEFF20"/>
    <w:lvl w:ilvl="0">
      <w:start w:val="1"/>
      <w:numFmt w:val="decimal"/>
      <w:lvlText w:val="%1."/>
      <w:lvlJc w:val="left"/>
      <w:pPr>
        <w:ind w:left="63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A4D7A8C"/>
    <w:multiLevelType w:val="hybridMultilevel"/>
    <w:tmpl w:val="E3DE38B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3" w:hAnsi="Wingdings 3"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31E386A"/>
    <w:multiLevelType w:val="hybridMultilevel"/>
    <w:tmpl w:val="9C640FB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3" w:hAnsi="Wingdings 3"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8D74AB7"/>
    <w:multiLevelType w:val="hybridMultilevel"/>
    <w:tmpl w:val="D2E889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3" w:hAnsi="Wingdings 3"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9AE1137"/>
    <w:multiLevelType w:val="hybridMultilevel"/>
    <w:tmpl w:val="2E52441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10"/>
  </w:num>
  <w:num w:numId="3">
    <w:abstractNumId w:val="11"/>
  </w:num>
  <w:num w:numId="4">
    <w:abstractNumId w:val="13"/>
  </w:num>
  <w:num w:numId="5">
    <w:abstractNumId w:val="6"/>
  </w:num>
  <w:num w:numId="6">
    <w:abstractNumId w:val="14"/>
  </w:num>
  <w:num w:numId="7">
    <w:abstractNumId w:val="12"/>
  </w:num>
  <w:num w:numId="8">
    <w:abstractNumId w:val="7"/>
  </w:num>
  <w:num w:numId="9">
    <w:abstractNumId w:val="5"/>
  </w:num>
  <w:num w:numId="10">
    <w:abstractNumId w:val="3"/>
  </w:num>
  <w:num w:numId="11">
    <w:abstractNumId w:val="2"/>
  </w:num>
  <w:num w:numId="12">
    <w:abstractNumId w:val="1"/>
  </w:num>
  <w:num w:numId="13">
    <w:abstractNumId w:val="0"/>
  </w:num>
  <w:num w:numId="14">
    <w:abstractNumId w:val="4"/>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rawingGridHorizontalSpacing w:val="12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D9A"/>
  </w:style>
  <w:style w:type="paragraph" w:styleId="Heading1">
    <w:name w:val="heading 1"/>
    <w:basedOn w:val="Normal"/>
    <w:next w:val="Normal"/>
    <w:link w:val="Heading1Char"/>
    <w:autoRedefine/>
    <w:qFormat/>
    <w:rsid w:val="00A4403D"/>
    <w:pPr>
      <w:keepNext/>
      <w:numPr>
        <w:numId w:val="16"/>
      </w:numPr>
      <w:spacing w:before="240" w:after="0" w:line="240" w:lineRule="auto"/>
      <w:outlineLvl w:val="0"/>
    </w:pPr>
    <w:rPr>
      <w:rFonts w:ascii="Times New Roman Bold" w:eastAsia="Times New Roman" w:hAnsi="Times New Roman Bold"/>
      <w:b/>
      <w:bCs/>
      <w:caps/>
      <w:kern w:val="32"/>
      <w:szCs w:val="32"/>
    </w:rPr>
  </w:style>
  <w:style w:type="paragraph" w:styleId="Heading2">
    <w:name w:val="heading 2"/>
    <w:basedOn w:val="Normal"/>
    <w:next w:val="Normal"/>
    <w:link w:val="Heading2Char"/>
    <w:autoRedefine/>
    <w:uiPriority w:val="9"/>
    <w:unhideWhenUsed/>
    <w:qFormat/>
    <w:rsid w:val="00A66C6D"/>
    <w:pPr>
      <w:keepNext/>
      <w:keepLines/>
      <w:spacing w:after="240" w:line="240" w:lineRule="auto"/>
      <w:ind w:left="1440" w:hanging="720"/>
      <w:outlineLvl w:val="1"/>
    </w:pPr>
    <w:rPr>
      <w:rFonts w:ascii="Times New Roman Bold" w:hAnsi="Times New Roman Bold" w:eastAsiaTheme="majorEastAsia" w:cstheme="majorBidi"/>
      <w:b/>
      <w:bCs/>
      <w:szCs w:val="26"/>
    </w:rPr>
  </w:style>
  <w:style w:type="paragraph" w:styleId="Heading3">
    <w:name w:val="heading 3"/>
    <w:basedOn w:val="Normal"/>
    <w:next w:val="Normal"/>
    <w:link w:val="Heading3Char"/>
    <w:autoRedefine/>
    <w:uiPriority w:val="9"/>
    <w:semiHidden/>
    <w:unhideWhenUsed/>
    <w:qFormat/>
    <w:rsid w:val="00553D9A"/>
    <w:pPr>
      <w:keepNext/>
      <w:keepLines/>
      <w:spacing w:after="240" w:line="240" w:lineRule="auto"/>
      <w:ind w:left="2160" w:hanging="720"/>
      <w:outlineLvl w:val="2"/>
    </w:pPr>
    <w:rPr>
      <w:rFonts w:ascii="Times New Roman Bold" w:hAnsi="Times New Roman Bold"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
    <w:basedOn w:val="Normal"/>
    <w:link w:val="FootnoteTextChar"/>
    <w:uiPriority w:val="99"/>
    <w:unhideWhenUsed/>
    <w:rsid w:val="00093DC4"/>
    <w:pPr>
      <w:spacing w:before="120" w:after="0" w:line="240" w:lineRule="auto"/>
    </w:pPr>
    <w:rPr>
      <w:rFonts w:cstheme="minorBidi"/>
      <w:sz w:val="20"/>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basedOn w:val="DefaultParagraphFont"/>
    <w:link w:val="FootnoteText"/>
    <w:uiPriority w:val="99"/>
    <w:rsid w:val="00093DC4"/>
    <w:rPr>
      <w:rFonts w:cstheme="minorBidi"/>
      <w:sz w:val="20"/>
    </w:rPr>
  </w:style>
  <w:style w:type="character" w:styleId="FootnoteReference">
    <w:name w:val="footnote reference"/>
    <w:basedOn w:val="DefaultParagraphFont"/>
    <w:uiPriority w:val="99"/>
    <w:semiHidden/>
    <w:unhideWhenUsed/>
    <w:rsid w:val="004D17A3"/>
    <w:rPr>
      <w:vertAlign w:val="superscript"/>
    </w:rPr>
  </w:style>
  <w:style w:type="paragraph" w:styleId="ListParagraph">
    <w:name w:val="List Paragraph"/>
    <w:basedOn w:val="Normal"/>
    <w:uiPriority w:val="34"/>
    <w:qFormat/>
    <w:rsid w:val="004D17A3"/>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4D17A3"/>
    <w:rPr>
      <w:color w:val="0000FF" w:themeColor="hyperlink"/>
      <w:u w:val="single"/>
    </w:rPr>
  </w:style>
  <w:style w:type="character" w:styleId="CommentReference">
    <w:name w:val="annotation reference"/>
    <w:basedOn w:val="DefaultParagraphFont"/>
    <w:uiPriority w:val="99"/>
    <w:semiHidden/>
    <w:unhideWhenUsed/>
    <w:rsid w:val="00E87502"/>
    <w:rPr>
      <w:sz w:val="16"/>
      <w:szCs w:val="16"/>
    </w:rPr>
  </w:style>
  <w:style w:type="paragraph" w:styleId="CommentText">
    <w:name w:val="annotation text"/>
    <w:basedOn w:val="Normal"/>
    <w:link w:val="CommentTextChar"/>
    <w:uiPriority w:val="99"/>
    <w:semiHidden/>
    <w:unhideWhenUsed/>
    <w:rsid w:val="00E87502"/>
    <w:pPr>
      <w:spacing w:line="240" w:lineRule="auto"/>
    </w:pPr>
    <w:rPr>
      <w:sz w:val="20"/>
      <w:szCs w:val="20"/>
    </w:rPr>
  </w:style>
  <w:style w:type="character" w:customStyle="1" w:styleId="CommentTextChar">
    <w:name w:val="Comment Text Char"/>
    <w:basedOn w:val="DefaultParagraphFont"/>
    <w:link w:val="CommentText"/>
    <w:uiPriority w:val="99"/>
    <w:semiHidden/>
    <w:rsid w:val="00E87502"/>
    <w:rPr>
      <w:sz w:val="20"/>
      <w:szCs w:val="20"/>
    </w:rPr>
  </w:style>
  <w:style w:type="paragraph" w:styleId="CommentSubject">
    <w:name w:val="annotation subject"/>
    <w:basedOn w:val="CommentText"/>
    <w:next w:val="CommentText"/>
    <w:link w:val="CommentSubjectChar"/>
    <w:uiPriority w:val="99"/>
    <w:semiHidden/>
    <w:unhideWhenUsed/>
    <w:rsid w:val="00E87502"/>
    <w:rPr>
      <w:b/>
      <w:bCs/>
    </w:rPr>
  </w:style>
  <w:style w:type="character" w:customStyle="1" w:styleId="CommentSubjectChar">
    <w:name w:val="Comment Subject Char"/>
    <w:basedOn w:val="CommentTextChar"/>
    <w:link w:val="CommentSubject"/>
    <w:uiPriority w:val="99"/>
    <w:semiHidden/>
    <w:rsid w:val="00E87502"/>
    <w:rPr>
      <w:b/>
      <w:bCs/>
      <w:sz w:val="20"/>
      <w:szCs w:val="20"/>
    </w:rPr>
  </w:style>
  <w:style w:type="paragraph" w:styleId="BalloonText">
    <w:name w:val="Balloon Text"/>
    <w:basedOn w:val="Normal"/>
    <w:link w:val="BalloonTextChar"/>
    <w:uiPriority w:val="99"/>
    <w:semiHidden/>
    <w:unhideWhenUsed/>
    <w:rsid w:val="00E87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502"/>
    <w:rPr>
      <w:rFonts w:ascii="Tahoma" w:hAnsi="Tahoma" w:cs="Tahoma"/>
      <w:sz w:val="16"/>
      <w:szCs w:val="16"/>
    </w:rPr>
  </w:style>
  <w:style w:type="paragraph" w:styleId="Header">
    <w:name w:val="header"/>
    <w:basedOn w:val="Normal"/>
    <w:link w:val="HeaderChar"/>
    <w:uiPriority w:val="99"/>
    <w:unhideWhenUsed/>
    <w:rsid w:val="00015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F1"/>
  </w:style>
  <w:style w:type="paragraph" w:styleId="Footer">
    <w:name w:val="footer"/>
    <w:basedOn w:val="Normal"/>
    <w:link w:val="FooterChar"/>
    <w:uiPriority w:val="99"/>
    <w:unhideWhenUsed/>
    <w:rsid w:val="00015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F1"/>
  </w:style>
  <w:style w:type="character" w:customStyle="1" w:styleId="apple-converted-space">
    <w:name w:val="apple-converted-space"/>
    <w:basedOn w:val="DefaultParagraphFont"/>
    <w:rsid w:val="00F9285A"/>
  </w:style>
  <w:style w:type="character" w:customStyle="1" w:styleId="Heading1Char">
    <w:name w:val="Heading 1 Char"/>
    <w:basedOn w:val="DefaultParagraphFont"/>
    <w:link w:val="Heading1"/>
    <w:rsid w:val="00A4403D"/>
    <w:rPr>
      <w:rFonts w:ascii="Times New Roman Bold" w:eastAsia="Times New Roman" w:hAnsi="Times New Roman Bold"/>
      <w:b/>
      <w:bCs/>
      <w:caps/>
      <w:kern w:val="32"/>
      <w:szCs w:val="32"/>
    </w:rPr>
  </w:style>
  <w:style w:type="paragraph" w:styleId="Revision">
    <w:name w:val="Revision"/>
    <w:hidden/>
    <w:uiPriority w:val="99"/>
    <w:semiHidden/>
    <w:rsid w:val="002D06D5"/>
    <w:pPr>
      <w:spacing w:after="0" w:line="240" w:lineRule="auto"/>
    </w:pPr>
  </w:style>
  <w:style w:type="character" w:customStyle="1" w:styleId="hvr">
    <w:name w:val="hvr"/>
    <w:basedOn w:val="DefaultParagraphFont"/>
    <w:rsid w:val="009B5571"/>
  </w:style>
  <w:style w:type="character" w:customStyle="1" w:styleId="Heading2Char">
    <w:name w:val="Heading 2 Char"/>
    <w:basedOn w:val="DefaultParagraphFont"/>
    <w:link w:val="Heading2"/>
    <w:uiPriority w:val="9"/>
    <w:rsid w:val="00A66C6D"/>
    <w:rPr>
      <w:rFonts w:ascii="Times New Roman Bold" w:hAnsi="Times New Roman Bold" w:eastAsiaTheme="majorEastAsia" w:cstheme="majorBidi"/>
      <w:b/>
      <w:bCs/>
      <w:szCs w:val="26"/>
    </w:rPr>
  </w:style>
  <w:style w:type="paragraph" w:styleId="NormalWeb">
    <w:name w:val="Normal (Web)"/>
    <w:basedOn w:val="Normal"/>
    <w:uiPriority w:val="99"/>
    <w:unhideWhenUsed/>
    <w:rsid w:val="008F3C22"/>
    <w:pPr>
      <w:spacing w:before="100" w:beforeAutospacing="1" w:after="100" w:afterAutospacing="1" w:line="240" w:lineRule="auto"/>
    </w:pPr>
    <w:rPr>
      <w:rFonts w:eastAsia="Times New Roman"/>
    </w:rPr>
  </w:style>
  <w:style w:type="character" w:customStyle="1" w:styleId="sspagshow">
    <w:name w:val="ss_pag_show"/>
    <w:basedOn w:val="DefaultParagraphFont"/>
    <w:rsid w:val="00BF1368"/>
  </w:style>
  <w:style w:type="character" w:customStyle="1" w:styleId="sssh">
    <w:name w:val="ss_sh"/>
    <w:basedOn w:val="DefaultParagraphFont"/>
    <w:rsid w:val="006A5601"/>
  </w:style>
  <w:style w:type="character" w:customStyle="1" w:styleId="sspagshow1">
    <w:name w:val="ss_pag_show1"/>
    <w:basedOn w:val="DefaultParagraphFont"/>
    <w:rsid w:val="006A5601"/>
    <w:rPr>
      <w:b/>
      <w:bCs/>
    </w:rPr>
  </w:style>
  <w:style w:type="character" w:customStyle="1" w:styleId="ssit1">
    <w:name w:val="ss_it1"/>
    <w:basedOn w:val="DefaultParagraphFont"/>
    <w:rsid w:val="006A5601"/>
    <w:rPr>
      <w:i/>
      <w:iCs/>
    </w:rPr>
  </w:style>
  <w:style w:type="character" w:customStyle="1" w:styleId="Heading3Char">
    <w:name w:val="Heading 3 Char"/>
    <w:basedOn w:val="DefaultParagraphFont"/>
    <w:link w:val="Heading3"/>
    <w:uiPriority w:val="9"/>
    <w:semiHidden/>
    <w:rsid w:val="00553D9A"/>
    <w:rPr>
      <w:rFonts w:ascii="Times New Roman Bold" w:hAnsi="Times New Roman Bold" w:eastAsiaTheme="majorEastAsia" w:cstheme="majorBidi"/>
      <w:b/>
      <w:bCs/>
    </w:rPr>
  </w:style>
  <w:style w:type="paragraph" w:styleId="TOC1">
    <w:name w:val="toc 1"/>
    <w:basedOn w:val="Normal"/>
    <w:next w:val="Normal"/>
    <w:autoRedefine/>
    <w:uiPriority w:val="39"/>
    <w:unhideWhenUsed/>
    <w:qFormat/>
    <w:rsid w:val="00553D9A"/>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553D9A"/>
    <w:pPr>
      <w:tabs>
        <w:tab w:val="decimal" w:leader="dot" w:pos="8640"/>
      </w:tabs>
      <w:spacing w:after="240" w:line="240" w:lineRule="auto"/>
      <w:ind w:left="1440" w:hanging="720"/>
    </w:pPr>
  </w:style>
  <w:style w:type="paragraph" w:styleId="TOC3">
    <w:name w:val="toc 3"/>
    <w:basedOn w:val="Normal"/>
    <w:next w:val="Normal"/>
    <w:autoRedefine/>
    <w:uiPriority w:val="39"/>
    <w:semiHidden/>
    <w:unhideWhenUsed/>
    <w:qFormat/>
    <w:rsid w:val="00553D9A"/>
    <w:pPr>
      <w:tabs>
        <w:tab w:val="decimal" w:leader="dot" w:pos="8640"/>
      </w:tabs>
      <w:spacing w:after="240" w:line="240" w:lineRule="auto"/>
      <w:ind w:left="2160" w:hanging="720"/>
    </w:pPr>
  </w:style>
  <w:style w:type="character" w:customStyle="1" w:styleId="UnresolvedMention1">
    <w:name w:val="Unresolved Mention1"/>
    <w:basedOn w:val="DefaultParagraphFont"/>
    <w:uiPriority w:val="99"/>
    <w:semiHidden/>
    <w:unhideWhenUsed/>
    <w:rsid w:val="002E0D75"/>
    <w:rPr>
      <w:color w:val="605E5C"/>
      <w:shd w:val="clear" w:color="auto" w:fill="E1DFDD"/>
    </w:rPr>
  </w:style>
  <w:style w:type="paragraph" w:styleId="BodyText">
    <w:name w:val="Body Text"/>
    <w:basedOn w:val="Normal"/>
    <w:link w:val="BodyTextChar"/>
    <w:rsid w:val="002352ED"/>
    <w:pPr>
      <w:spacing w:after="0" w:line="240" w:lineRule="auto"/>
      <w:jc w:val="both"/>
    </w:pPr>
    <w:rPr>
      <w:rFonts w:eastAsia="Times New Roman"/>
      <w:szCs w:val="20"/>
    </w:rPr>
  </w:style>
  <w:style w:type="character" w:customStyle="1" w:styleId="BodyTextChar">
    <w:name w:val="Body Text Char"/>
    <w:basedOn w:val="DefaultParagraphFont"/>
    <w:link w:val="BodyText"/>
    <w:rsid w:val="002352ED"/>
    <w:rPr>
      <w:rFonts w:eastAsia="Times New Roman"/>
      <w:szCs w:val="20"/>
    </w:rPr>
  </w:style>
  <w:style w:type="table" w:customStyle="1" w:styleId="TableGrid1">
    <w:name w:val="Table Grid1"/>
    <w:basedOn w:val="TableNormal"/>
    <w:next w:val="TableGrid"/>
    <w:rsid w:val="002352E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rsid w:val="00E36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2019-08-13T21:09:59Z</dcterms:created>
  <dcterms:modified xsi:type="dcterms:W3CDTF">2019-08-13T21:09:59Z</dcterms:modified>
</cp:coreProperties>
</file>