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F7C82" w:rsidP="008F7C82" w14:paraId="7014C499"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BEFORE </w:t>
      </w:r>
    </w:p>
    <w:p w:rsidR="008F7C82" w:rsidP="008F7C82" w14:paraId="67C70C6D"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8F7C82" w:rsidP="00283B25" w14:paraId="5A34B2B3" w14:textId="77777777">
      <w:pPr>
        <w:spacing w:after="0"/>
        <w:jc w:val="center"/>
        <w:rPr>
          <w:rFonts w:ascii="Times New Roman" w:hAnsi="Times New Roman" w:cs="Times New Roman"/>
          <w:b/>
          <w:bCs/>
          <w:sz w:val="24"/>
          <w:szCs w:val="24"/>
        </w:rPr>
      </w:pPr>
    </w:p>
    <w:tbl>
      <w:tblPr>
        <w:tblW w:w="9162" w:type="dxa"/>
        <w:tblInd w:w="108" w:type="dxa"/>
        <w:tblLook w:val="01E0"/>
      </w:tblPr>
      <w:tblGrid>
        <w:gridCol w:w="4392"/>
        <w:gridCol w:w="360"/>
        <w:gridCol w:w="4410"/>
      </w:tblGrid>
      <w:tr w14:paraId="5EB4D1B2" w14:textId="77777777" w:rsidTr="00283B25">
        <w:tblPrEx>
          <w:tblW w:w="9162" w:type="dxa"/>
          <w:tblInd w:w="108" w:type="dxa"/>
          <w:tblLook w:val="01E0"/>
        </w:tblPrEx>
        <w:trPr>
          <w:trHeight w:val="4976"/>
        </w:trPr>
        <w:tc>
          <w:tcPr>
            <w:tcW w:w="4392" w:type="dxa"/>
          </w:tcPr>
          <w:p w:rsidR="008F7C82" w:rsidP="008F7C82" w14:paraId="32B85598" w14:textId="77777777">
            <w:pPr>
              <w:spacing w:after="0"/>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its Electric Security Plan.</w:t>
            </w:r>
          </w:p>
          <w:p w:rsidR="008F7C82" w:rsidP="008F7C82" w14:paraId="64B87684" w14:textId="77777777">
            <w:pPr>
              <w:spacing w:after="0"/>
              <w:rPr>
                <w:rFonts w:ascii="Times New Roman" w:hAnsi="Times New Roman" w:cs="Times New Roman"/>
                <w:sz w:val="24"/>
                <w:szCs w:val="24"/>
              </w:rPr>
            </w:pPr>
          </w:p>
          <w:p w:rsidR="008F7C82" w:rsidP="008F7C82" w14:paraId="13A79F0A" w14:textId="77777777">
            <w:pPr>
              <w:spacing w:after="0"/>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Revised Tariffs.</w:t>
            </w:r>
          </w:p>
          <w:p w:rsidR="008F7C82" w:rsidP="008F7C82" w14:paraId="208D0A7E" w14:textId="77777777">
            <w:pPr>
              <w:spacing w:after="0"/>
              <w:rPr>
                <w:rFonts w:ascii="Times New Roman" w:hAnsi="Times New Roman" w:cs="Times New Roman"/>
                <w:sz w:val="24"/>
                <w:szCs w:val="24"/>
              </w:rPr>
            </w:pPr>
          </w:p>
          <w:p w:rsidR="008F7C82" w:rsidP="008F7C82" w14:paraId="5DD83EAA" w14:textId="77777777">
            <w:pPr>
              <w:spacing w:after="0"/>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Certain Accounting Authority Pursuant to Ohio Rev. Code Section 4905.13.</w:t>
            </w:r>
          </w:p>
          <w:p w:rsidR="008F7C82" w:rsidP="008F7C82" w14:paraId="4BE8F71E" w14:textId="77777777">
            <w:pPr>
              <w:spacing w:after="0"/>
              <w:rPr>
                <w:rFonts w:ascii="Times New Roman" w:hAnsi="Times New Roman" w:cs="Times New Roman"/>
                <w:sz w:val="24"/>
                <w:szCs w:val="24"/>
              </w:rPr>
            </w:pPr>
          </w:p>
          <w:p w:rsidR="008F7C82" w:rsidP="008F7C82" w14:paraId="435D214D" w14:textId="77777777">
            <w:pPr>
              <w:spacing w:after="0"/>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its Amended Corporate Separation Plan.</w:t>
            </w:r>
          </w:p>
        </w:tc>
        <w:tc>
          <w:tcPr>
            <w:tcW w:w="360" w:type="dxa"/>
          </w:tcPr>
          <w:p w:rsidR="008F7C82" w:rsidP="008F7C82" w14:paraId="66D353EC"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5447737A"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5425FAFE"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501ABCC9" w14:textId="77777777">
            <w:pPr>
              <w:spacing w:after="0"/>
              <w:rPr>
                <w:rFonts w:ascii="Times New Roman" w:hAnsi="Times New Roman" w:cs="Times New Roman"/>
                <w:sz w:val="24"/>
                <w:szCs w:val="24"/>
              </w:rPr>
            </w:pPr>
          </w:p>
          <w:p w:rsidR="008F7C82" w:rsidP="008F7C82" w14:paraId="2CC9550B"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42D061A9"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4F3F61FE"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4D9F1FB2" w14:textId="77777777">
            <w:pPr>
              <w:spacing w:after="0"/>
              <w:rPr>
                <w:rFonts w:ascii="Times New Roman" w:hAnsi="Times New Roman" w:cs="Times New Roman"/>
                <w:sz w:val="24"/>
                <w:szCs w:val="24"/>
              </w:rPr>
            </w:pPr>
          </w:p>
          <w:p w:rsidR="008F7C82" w:rsidP="008F7C82" w14:paraId="6C8FC202"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6212B877"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033BA33F"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21F25E96"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6A236AE5"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6BC8D231" w14:textId="77777777">
            <w:pPr>
              <w:spacing w:after="0"/>
              <w:rPr>
                <w:rFonts w:ascii="Times New Roman" w:hAnsi="Times New Roman" w:cs="Times New Roman"/>
                <w:sz w:val="24"/>
                <w:szCs w:val="24"/>
              </w:rPr>
            </w:pPr>
          </w:p>
          <w:p w:rsidR="008F7C82" w:rsidP="008F7C82" w14:paraId="12349D70"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07887A14"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19C00113" w14:textId="77777777">
            <w:pPr>
              <w:spacing w:after="0"/>
              <w:rPr>
                <w:rFonts w:ascii="Times New Roman" w:hAnsi="Times New Roman" w:cs="Times New Roman"/>
                <w:sz w:val="24"/>
                <w:szCs w:val="24"/>
              </w:rPr>
            </w:pPr>
            <w:r>
              <w:rPr>
                <w:rFonts w:ascii="Times New Roman" w:hAnsi="Times New Roman" w:cs="Times New Roman"/>
                <w:sz w:val="24"/>
                <w:szCs w:val="24"/>
              </w:rPr>
              <w:t>)</w:t>
            </w:r>
          </w:p>
          <w:p w:rsidR="008F7C82" w:rsidP="008F7C82" w14:paraId="75F5E507" w14:textId="77777777">
            <w:pPr>
              <w:spacing w:after="0"/>
              <w:rPr>
                <w:rFonts w:ascii="Times New Roman" w:hAnsi="Times New Roman" w:cs="Times New Roman"/>
                <w:sz w:val="24"/>
                <w:szCs w:val="24"/>
              </w:rPr>
            </w:pPr>
            <w:r>
              <w:rPr>
                <w:rFonts w:ascii="Times New Roman" w:hAnsi="Times New Roman" w:cs="Times New Roman"/>
                <w:sz w:val="24"/>
                <w:szCs w:val="24"/>
              </w:rPr>
              <w:t>)</w:t>
            </w:r>
          </w:p>
        </w:tc>
        <w:tc>
          <w:tcPr>
            <w:tcW w:w="4410" w:type="dxa"/>
          </w:tcPr>
          <w:p w:rsidR="008F7C82" w:rsidP="008F7C82" w14:paraId="75604768" w14:textId="77777777">
            <w:pPr>
              <w:spacing w:after="0"/>
              <w:rPr>
                <w:rFonts w:ascii="Times New Roman" w:hAnsi="Times New Roman" w:cs="Times New Roman"/>
                <w:sz w:val="24"/>
                <w:szCs w:val="24"/>
              </w:rPr>
            </w:pPr>
          </w:p>
          <w:p w:rsidR="008F7C82" w:rsidP="008F7C82" w14:paraId="09A06961" w14:textId="77777777">
            <w:pPr>
              <w:spacing w:after="0"/>
              <w:rPr>
                <w:rFonts w:ascii="Times New Roman" w:hAnsi="Times New Roman" w:cs="Times New Roman"/>
                <w:sz w:val="24"/>
                <w:szCs w:val="24"/>
              </w:rPr>
            </w:pPr>
            <w:r>
              <w:rPr>
                <w:rFonts w:ascii="Times New Roman" w:hAnsi="Times New Roman" w:cs="Times New Roman"/>
                <w:sz w:val="24"/>
                <w:szCs w:val="24"/>
              </w:rPr>
              <w:t>Case No. 08-1094-EL-SSO</w:t>
            </w:r>
          </w:p>
          <w:p w:rsidR="008F7C82" w:rsidP="008F7C82" w14:paraId="69F766CF" w14:textId="77777777">
            <w:pPr>
              <w:spacing w:after="0"/>
              <w:rPr>
                <w:rFonts w:ascii="Times New Roman" w:hAnsi="Times New Roman" w:cs="Times New Roman"/>
                <w:sz w:val="24"/>
                <w:szCs w:val="24"/>
              </w:rPr>
            </w:pPr>
          </w:p>
          <w:p w:rsidR="008F7C82" w:rsidP="008F7C82" w14:paraId="532FF25B" w14:textId="77777777">
            <w:pPr>
              <w:spacing w:after="0"/>
              <w:rPr>
                <w:rFonts w:ascii="Times New Roman" w:hAnsi="Times New Roman" w:cs="Times New Roman"/>
                <w:sz w:val="24"/>
                <w:szCs w:val="24"/>
              </w:rPr>
            </w:pPr>
          </w:p>
          <w:p w:rsidR="008F7C82" w:rsidP="008F7C82" w14:paraId="7171811F" w14:textId="77777777">
            <w:pPr>
              <w:spacing w:after="0"/>
              <w:rPr>
                <w:rFonts w:ascii="Times New Roman" w:hAnsi="Times New Roman" w:cs="Times New Roman"/>
                <w:sz w:val="24"/>
                <w:szCs w:val="24"/>
              </w:rPr>
            </w:pPr>
          </w:p>
          <w:p w:rsidR="008F7C82" w:rsidP="008F7C82" w14:paraId="2A7369F7" w14:textId="77777777">
            <w:pPr>
              <w:spacing w:after="0"/>
              <w:rPr>
                <w:rFonts w:ascii="Times New Roman" w:hAnsi="Times New Roman" w:cs="Times New Roman"/>
                <w:sz w:val="24"/>
                <w:szCs w:val="24"/>
              </w:rPr>
            </w:pPr>
            <w:r>
              <w:rPr>
                <w:rFonts w:ascii="Times New Roman" w:hAnsi="Times New Roman" w:cs="Times New Roman"/>
                <w:sz w:val="24"/>
                <w:szCs w:val="24"/>
              </w:rPr>
              <w:t>Case No. 08-1095-EL-ATA</w:t>
            </w:r>
          </w:p>
          <w:p w:rsidR="008F7C82" w:rsidP="008F7C82" w14:paraId="28B4EB32" w14:textId="77777777">
            <w:pPr>
              <w:spacing w:after="0"/>
              <w:rPr>
                <w:rFonts w:ascii="Times New Roman" w:hAnsi="Times New Roman" w:cs="Times New Roman"/>
                <w:sz w:val="24"/>
                <w:szCs w:val="24"/>
              </w:rPr>
            </w:pPr>
          </w:p>
          <w:p w:rsidR="008F7C82" w:rsidP="008F7C82" w14:paraId="3FAF9510" w14:textId="77777777">
            <w:pPr>
              <w:spacing w:after="0"/>
              <w:rPr>
                <w:rFonts w:ascii="Times New Roman" w:hAnsi="Times New Roman" w:cs="Times New Roman"/>
                <w:sz w:val="24"/>
                <w:szCs w:val="24"/>
              </w:rPr>
            </w:pPr>
          </w:p>
          <w:p w:rsidR="008F7C82" w:rsidP="008F7C82" w14:paraId="4DF64D9F" w14:textId="77777777">
            <w:pPr>
              <w:spacing w:after="0"/>
              <w:rPr>
                <w:rFonts w:ascii="Times New Roman" w:hAnsi="Times New Roman" w:cs="Times New Roman"/>
                <w:sz w:val="24"/>
                <w:szCs w:val="24"/>
              </w:rPr>
            </w:pPr>
          </w:p>
          <w:p w:rsidR="008F7C82" w:rsidP="008F7C82" w14:paraId="7D0C992F" w14:textId="77777777">
            <w:pPr>
              <w:spacing w:after="0"/>
              <w:rPr>
                <w:rFonts w:ascii="Times New Roman" w:hAnsi="Times New Roman" w:cs="Times New Roman"/>
                <w:sz w:val="24"/>
                <w:szCs w:val="24"/>
              </w:rPr>
            </w:pPr>
          </w:p>
          <w:p w:rsidR="008F7C82" w:rsidP="008F7C82" w14:paraId="675DAAC4" w14:textId="77777777">
            <w:pPr>
              <w:spacing w:after="0"/>
              <w:rPr>
                <w:rFonts w:ascii="Times New Roman" w:hAnsi="Times New Roman" w:cs="Times New Roman"/>
                <w:sz w:val="24"/>
                <w:szCs w:val="24"/>
              </w:rPr>
            </w:pPr>
            <w:r>
              <w:rPr>
                <w:rFonts w:ascii="Times New Roman" w:hAnsi="Times New Roman" w:cs="Times New Roman"/>
                <w:sz w:val="24"/>
                <w:szCs w:val="24"/>
              </w:rPr>
              <w:t>Case No. 08-1096-EL-AAM</w:t>
            </w:r>
          </w:p>
          <w:p w:rsidR="008F7C82" w:rsidP="008F7C82" w14:paraId="0F6D0370" w14:textId="77777777">
            <w:pPr>
              <w:spacing w:after="0"/>
              <w:rPr>
                <w:rFonts w:ascii="Times New Roman" w:hAnsi="Times New Roman" w:cs="Times New Roman"/>
                <w:sz w:val="24"/>
                <w:szCs w:val="24"/>
              </w:rPr>
            </w:pPr>
          </w:p>
          <w:p w:rsidR="008F7C82" w:rsidP="008F7C82" w14:paraId="6429982E" w14:textId="77777777">
            <w:pPr>
              <w:spacing w:after="0"/>
              <w:rPr>
                <w:rFonts w:ascii="Times New Roman" w:hAnsi="Times New Roman" w:cs="Times New Roman"/>
                <w:sz w:val="24"/>
                <w:szCs w:val="24"/>
              </w:rPr>
            </w:pPr>
          </w:p>
          <w:p w:rsidR="008F7C82" w:rsidP="008F7C82" w14:paraId="2AC01B44" w14:textId="77777777">
            <w:pPr>
              <w:spacing w:after="0"/>
              <w:rPr>
                <w:rFonts w:ascii="Times New Roman" w:hAnsi="Times New Roman" w:cs="Times New Roman"/>
                <w:sz w:val="24"/>
                <w:szCs w:val="24"/>
              </w:rPr>
            </w:pPr>
          </w:p>
          <w:p w:rsidR="008F7C82" w:rsidP="008F7C82" w14:paraId="26E2D187" w14:textId="77777777">
            <w:pPr>
              <w:spacing w:after="0"/>
              <w:rPr>
                <w:rFonts w:ascii="Times New Roman" w:hAnsi="Times New Roman" w:cs="Times New Roman"/>
                <w:sz w:val="24"/>
                <w:szCs w:val="24"/>
              </w:rPr>
            </w:pPr>
          </w:p>
          <w:p w:rsidR="008F7C82" w:rsidP="008F7C82" w14:paraId="668CE901" w14:textId="77777777">
            <w:pPr>
              <w:spacing w:after="0"/>
              <w:rPr>
                <w:rFonts w:ascii="Times New Roman" w:hAnsi="Times New Roman" w:cs="Times New Roman"/>
                <w:sz w:val="24"/>
                <w:szCs w:val="24"/>
              </w:rPr>
            </w:pPr>
            <w:r>
              <w:rPr>
                <w:rFonts w:ascii="Times New Roman" w:hAnsi="Times New Roman" w:cs="Times New Roman"/>
                <w:sz w:val="24"/>
                <w:szCs w:val="24"/>
              </w:rPr>
              <w:t>Case No. 08-1097-EL-UNC</w:t>
            </w:r>
          </w:p>
          <w:p w:rsidR="008F7C82" w:rsidP="008F7C82" w14:paraId="46D3B7B6" w14:textId="77777777">
            <w:pPr>
              <w:spacing w:after="0"/>
              <w:rPr>
                <w:rFonts w:ascii="Times New Roman" w:hAnsi="Times New Roman" w:cs="Times New Roman"/>
                <w:sz w:val="24"/>
                <w:szCs w:val="24"/>
              </w:rPr>
            </w:pPr>
          </w:p>
          <w:p w:rsidR="008F7C82" w:rsidP="008F7C82" w14:paraId="433B8D9E" w14:textId="77777777">
            <w:pPr>
              <w:spacing w:after="0"/>
              <w:rPr>
                <w:rFonts w:ascii="Times New Roman" w:hAnsi="Times New Roman" w:cs="Times New Roman"/>
                <w:sz w:val="24"/>
                <w:szCs w:val="24"/>
              </w:rPr>
            </w:pPr>
          </w:p>
        </w:tc>
      </w:tr>
    </w:tbl>
    <w:p w:rsidR="008F7C82" w:rsidP="008F7C82" w14:paraId="59DD77B3" w14:textId="77777777">
      <w:pPr>
        <w:pStyle w:val="HTMLPreformatted"/>
        <w:pBdr>
          <w:bottom w:val="single" w:sz="12" w:space="1" w:color="auto"/>
        </w:pBd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F7C82" w:rsidP="008F7C82" w14:paraId="2045E64C" w14:textId="77777777">
      <w:pPr>
        <w:contextualSpacing/>
        <w:jc w:val="center"/>
        <w:rPr>
          <w:rFonts w:cs="Times New Roman"/>
          <w:b/>
          <w:szCs w:val="24"/>
        </w:rPr>
      </w:pPr>
    </w:p>
    <w:p w:rsidR="008F7C82" w:rsidP="008F7C82" w14:paraId="34A0A40A" w14:textId="06903650">
      <w:pPr>
        <w:spacing w:after="0"/>
        <w:jc w:val="center"/>
        <w:rPr>
          <w:rFonts w:ascii="Times New Roman" w:hAnsi="Times New Roman" w:cs="Times New Roman"/>
          <w:b/>
          <w:bCs/>
          <w:sz w:val="24"/>
          <w:szCs w:val="24"/>
        </w:rPr>
      </w:pPr>
      <w:r>
        <w:rPr>
          <w:rFonts w:ascii="Times New Roman" w:hAnsi="Times New Roman" w:cs="Times New Roman"/>
          <w:b/>
          <w:bCs/>
          <w:sz w:val="24"/>
          <w:szCs w:val="24"/>
        </w:rPr>
        <w:t>REPLY IN SUPPORT OF MOTION FOR PROCEDURAL SCHEDULE</w:t>
      </w:r>
      <w:r w:rsidR="00AD5486">
        <w:rPr>
          <w:rFonts w:ascii="Times New Roman" w:hAnsi="Times New Roman" w:cs="Times New Roman"/>
          <w:b/>
          <w:bCs/>
          <w:sz w:val="24"/>
          <w:szCs w:val="24"/>
        </w:rPr>
        <w:t xml:space="preserve"> PER OCC’S WITHRAWAL FROM SETTLEMENT</w:t>
      </w:r>
      <w:r w:rsidR="004B37CE">
        <w:rPr>
          <w:rFonts w:ascii="Times New Roman" w:hAnsi="Times New Roman" w:cs="Times New Roman"/>
          <w:b/>
          <w:bCs/>
          <w:sz w:val="24"/>
          <w:szCs w:val="24"/>
        </w:rPr>
        <w:t xml:space="preserve"> AFTER ANTI-CONSUMER MODIFICATION</w:t>
      </w:r>
      <w:r w:rsidR="006740F0">
        <w:rPr>
          <w:rFonts w:ascii="Times New Roman" w:hAnsi="Times New Roman" w:cs="Times New Roman"/>
          <w:b/>
          <w:bCs/>
          <w:sz w:val="24"/>
          <w:szCs w:val="24"/>
        </w:rPr>
        <w:t xml:space="preserve"> DENYING A RATE FREEZE</w:t>
      </w:r>
      <w:r w:rsidR="004B37CE">
        <w:rPr>
          <w:rFonts w:ascii="Times New Roman" w:hAnsi="Times New Roman" w:cs="Times New Roman"/>
          <w:b/>
          <w:bCs/>
          <w:sz w:val="24"/>
          <w:szCs w:val="24"/>
        </w:rPr>
        <w:t xml:space="preserve"> </w:t>
      </w:r>
    </w:p>
    <w:p w:rsidR="008F7C82" w:rsidP="008F7C82" w14:paraId="11C1D07A" w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BY</w:t>
      </w:r>
    </w:p>
    <w:p w:rsidR="008F7C82" w:rsidP="008F7C82" w14:paraId="53679EAD" w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8F7C82" w:rsidP="008F7C82" w14:paraId="493F4231" w14:textId="77777777">
      <w:pPr>
        <w:pBdr>
          <w:bottom w:val="single" w:sz="12" w:space="1" w:color="auto"/>
        </w:pBdr>
        <w:contextualSpacing/>
        <w:jc w:val="center"/>
        <w:rPr>
          <w:rFonts w:cs="Times New Roman"/>
          <w:b/>
          <w:szCs w:val="24"/>
        </w:rPr>
      </w:pPr>
    </w:p>
    <w:p w:rsidR="008F7C82" w:rsidP="008F7C82" w14:paraId="1ADB287F" w14:textId="77777777">
      <w:pPr>
        <w:pStyle w:val="BodyText"/>
        <w:rPr>
          <w:b/>
          <w:sz w:val="20"/>
        </w:rPr>
      </w:pPr>
    </w:p>
    <w:p w:rsidR="00815CAD" w14:paraId="04925483" w14:textId="42EE364C">
      <w:pPr>
        <w:pStyle w:val="Heading1"/>
      </w:pPr>
      <w:r>
        <w:t>I.</w:t>
      </w:r>
      <w:r>
        <w:tab/>
        <w:t>Background</w:t>
      </w:r>
    </w:p>
    <w:p w:rsidR="00EE1708" w:rsidP="00315435" w14:paraId="0479FC61" w14:textId="77777777">
      <w:pPr>
        <w:spacing w:after="0" w:line="480" w:lineRule="auto"/>
        <w:ind w:firstLine="360"/>
        <w:rPr>
          <w:rFonts w:ascii="Times New Roman" w:hAnsi="Times New Roman" w:cs="Times New Roman"/>
          <w:sz w:val="24"/>
          <w:szCs w:val="24"/>
        </w:rPr>
        <w:sectPr w:rsidSect="00283B25">
          <w:footerReference w:type="default" r:id="rId6"/>
          <w:pgSz w:w="12240" w:h="15840"/>
          <w:pgMar w:top="1440" w:right="1440" w:bottom="1440" w:left="1440" w:header="720" w:footer="720" w:gutter="0"/>
          <w:pgNumType w:start="2"/>
          <w:cols w:space="720"/>
          <w:docGrid w:linePitch="360"/>
        </w:sectPr>
      </w:pPr>
      <w:r>
        <w:rPr>
          <w:rFonts w:ascii="Times New Roman" w:hAnsi="Times New Roman" w:cs="Times New Roman"/>
          <w:sz w:val="24"/>
          <w:szCs w:val="24"/>
        </w:rPr>
        <w:t xml:space="preserve">On September 10, 2021, the Office of the Ohio Consumers’ Counsel (“OCC”) filed to protect consumers </w:t>
      </w:r>
      <w:r w:rsidR="003F4C02">
        <w:rPr>
          <w:rFonts w:ascii="Times New Roman" w:hAnsi="Times New Roman" w:cs="Times New Roman"/>
          <w:sz w:val="24"/>
          <w:szCs w:val="24"/>
        </w:rPr>
        <w:t>with its</w:t>
      </w:r>
      <w:r w:rsidR="00B23450">
        <w:rPr>
          <w:rFonts w:ascii="Times New Roman" w:hAnsi="Times New Roman" w:cs="Times New Roman"/>
          <w:sz w:val="24"/>
          <w:szCs w:val="24"/>
        </w:rPr>
        <w:t xml:space="preserve"> notice to withdraw from and terminate a </w:t>
      </w:r>
      <w:r>
        <w:rPr>
          <w:rFonts w:ascii="Times New Roman" w:hAnsi="Times New Roman" w:cs="Times New Roman"/>
          <w:sz w:val="24"/>
          <w:szCs w:val="24"/>
        </w:rPr>
        <w:t xml:space="preserve">2009 </w:t>
      </w:r>
      <w:r w:rsidR="00B23450">
        <w:rPr>
          <w:rFonts w:ascii="Times New Roman" w:hAnsi="Times New Roman" w:cs="Times New Roman"/>
          <w:sz w:val="24"/>
          <w:szCs w:val="24"/>
        </w:rPr>
        <w:t xml:space="preserve">PUCO-approved </w:t>
      </w:r>
      <w:r>
        <w:rPr>
          <w:rFonts w:ascii="Times New Roman" w:hAnsi="Times New Roman" w:cs="Times New Roman"/>
          <w:sz w:val="24"/>
          <w:szCs w:val="24"/>
        </w:rPr>
        <w:t xml:space="preserve">Settlement </w:t>
      </w:r>
      <w:r w:rsidR="00B23450">
        <w:rPr>
          <w:rFonts w:ascii="Times New Roman" w:hAnsi="Times New Roman" w:cs="Times New Roman"/>
          <w:sz w:val="24"/>
          <w:szCs w:val="24"/>
        </w:rPr>
        <w:t>that</w:t>
      </w:r>
      <w:r>
        <w:rPr>
          <w:rFonts w:ascii="Times New Roman" w:hAnsi="Times New Roman" w:cs="Times New Roman"/>
          <w:sz w:val="24"/>
          <w:szCs w:val="24"/>
        </w:rPr>
        <w:t xml:space="preserve"> Dayton Power and Light</w:t>
      </w:r>
      <w:r w:rsidR="00B23450">
        <w:rPr>
          <w:rFonts w:ascii="Times New Roman" w:hAnsi="Times New Roman" w:cs="Times New Roman"/>
          <w:sz w:val="24"/>
          <w:szCs w:val="24"/>
        </w:rPr>
        <w:t xml:space="preserve"> currently </w:t>
      </w:r>
      <w:r w:rsidR="006740F0">
        <w:rPr>
          <w:rFonts w:ascii="Times New Roman" w:hAnsi="Times New Roman" w:cs="Times New Roman"/>
          <w:sz w:val="24"/>
          <w:szCs w:val="24"/>
        </w:rPr>
        <w:t xml:space="preserve">uses to </w:t>
      </w:r>
      <w:r w:rsidR="00B23450">
        <w:rPr>
          <w:rFonts w:ascii="Times New Roman" w:hAnsi="Times New Roman" w:cs="Times New Roman"/>
          <w:sz w:val="24"/>
          <w:szCs w:val="24"/>
        </w:rPr>
        <w:t>charge its customers</w:t>
      </w:r>
      <w:r w:rsidR="0086537F">
        <w:rPr>
          <w:rFonts w:ascii="Times New Roman" w:hAnsi="Times New Roman" w:cs="Times New Roman"/>
          <w:sz w:val="24"/>
          <w:szCs w:val="24"/>
        </w:rPr>
        <w:t>.</w:t>
      </w:r>
      <w:r>
        <w:rPr>
          <w:rFonts w:ascii="Times New Roman" w:hAnsi="Times New Roman" w:cs="Times New Roman"/>
          <w:sz w:val="24"/>
          <w:szCs w:val="24"/>
        </w:rPr>
        <w:t xml:space="preserve"> </w:t>
      </w:r>
      <w:r w:rsidR="003F4C02">
        <w:rPr>
          <w:rFonts w:ascii="Times New Roman" w:hAnsi="Times New Roman" w:cs="Times New Roman"/>
          <w:sz w:val="24"/>
          <w:szCs w:val="24"/>
        </w:rPr>
        <w:t xml:space="preserve">OCC exercised its withdrawal </w:t>
      </w:r>
      <w:r w:rsidR="007C7442">
        <w:rPr>
          <w:rFonts w:ascii="Times New Roman" w:hAnsi="Times New Roman" w:cs="Times New Roman"/>
          <w:sz w:val="24"/>
          <w:szCs w:val="24"/>
        </w:rPr>
        <w:t xml:space="preserve">and termination </w:t>
      </w:r>
      <w:r w:rsidR="003F4C02">
        <w:rPr>
          <w:rFonts w:ascii="Times New Roman" w:hAnsi="Times New Roman" w:cs="Times New Roman"/>
          <w:sz w:val="24"/>
          <w:szCs w:val="24"/>
        </w:rPr>
        <w:t xml:space="preserve">rights under the Settlement after the PUCO materially modified the Settlement by failing to require DP&amp;L to keep its </w:t>
      </w:r>
      <w:r w:rsidR="007C3430">
        <w:rPr>
          <w:rFonts w:ascii="Times New Roman" w:hAnsi="Times New Roman" w:cs="Times New Roman"/>
          <w:sz w:val="24"/>
          <w:szCs w:val="24"/>
        </w:rPr>
        <w:t xml:space="preserve">rate-freeze commitment to not raise its </w:t>
      </w:r>
      <w:r w:rsidR="003F4C02">
        <w:rPr>
          <w:rFonts w:ascii="Times New Roman" w:hAnsi="Times New Roman" w:cs="Times New Roman"/>
          <w:sz w:val="24"/>
          <w:szCs w:val="24"/>
        </w:rPr>
        <w:t>distribution rate</w:t>
      </w:r>
      <w:r w:rsidR="007C3430">
        <w:rPr>
          <w:rFonts w:ascii="Times New Roman" w:hAnsi="Times New Roman" w:cs="Times New Roman"/>
          <w:sz w:val="24"/>
          <w:szCs w:val="24"/>
        </w:rPr>
        <w:t>s</w:t>
      </w:r>
      <w:r w:rsidR="003F4C02">
        <w:rPr>
          <w:rFonts w:ascii="Times New Roman" w:hAnsi="Times New Roman" w:cs="Times New Roman"/>
          <w:sz w:val="24"/>
          <w:szCs w:val="24"/>
        </w:rPr>
        <w:t>.</w:t>
      </w:r>
      <w:r w:rsidR="00386C5D">
        <w:rPr>
          <w:rFonts w:ascii="Times New Roman" w:hAnsi="Times New Roman" w:cs="Times New Roman"/>
          <w:sz w:val="24"/>
          <w:szCs w:val="24"/>
        </w:rPr>
        <w:t xml:space="preserve"> </w:t>
      </w:r>
      <w:r>
        <w:rPr>
          <w:rFonts w:ascii="Times New Roman" w:hAnsi="Times New Roman" w:cs="Times New Roman"/>
          <w:sz w:val="24"/>
          <w:szCs w:val="24"/>
        </w:rPr>
        <w:t xml:space="preserve">Shortly thereafter, OCC </w:t>
      </w:r>
      <w:r w:rsidR="003F4C02">
        <w:rPr>
          <w:rFonts w:ascii="Times New Roman" w:hAnsi="Times New Roman" w:cs="Times New Roman"/>
          <w:sz w:val="24"/>
          <w:szCs w:val="24"/>
        </w:rPr>
        <w:t xml:space="preserve">asked </w:t>
      </w:r>
      <w:r>
        <w:rPr>
          <w:rFonts w:ascii="Times New Roman" w:hAnsi="Times New Roman" w:cs="Times New Roman"/>
          <w:sz w:val="24"/>
          <w:szCs w:val="24"/>
        </w:rPr>
        <w:t xml:space="preserve">the PUCO </w:t>
      </w:r>
      <w:r w:rsidR="003F4C02">
        <w:rPr>
          <w:rFonts w:ascii="Times New Roman" w:hAnsi="Times New Roman" w:cs="Times New Roman"/>
          <w:sz w:val="24"/>
          <w:szCs w:val="24"/>
        </w:rPr>
        <w:t xml:space="preserve">to </w:t>
      </w:r>
      <w:r w:rsidR="00B23450">
        <w:rPr>
          <w:rFonts w:ascii="Times New Roman" w:hAnsi="Times New Roman" w:cs="Times New Roman"/>
          <w:sz w:val="24"/>
          <w:szCs w:val="24"/>
        </w:rPr>
        <w:t>carry out its duty</w:t>
      </w:r>
      <w:r w:rsidR="003F4C02">
        <w:rPr>
          <w:rFonts w:ascii="Times New Roman" w:hAnsi="Times New Roman" w:cs="Times New Roman"/>
          <w:sz w:val="24"/>
          <w:szCs w:val="24"/>
        </w:rPr>
        <w:t xml:space="preserve"> under the </w:t>
      </w:r>
    </w:p>
    <w:p w:rsidR="0094279D" w:rsidP="00EE1708" w14:paraId="5F8F5A32" w14:textId="7E6BB3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Settlement </w:t>
      </w:r>
      <w:r w:rsidR="00386C5D">
        <w:rPr>
          <w:rFonts w:ascii="Times New Roman" w:hAnsi="Times New Roman" w:cs="Times New Roman"/>
          <w:sz w:val="24"/>
          <w:szCs w:val="24"/>
        </w:rPr>
        <w:t>to</w:t>
      </w:r>
      <w:r w:rsidR="007C3430">
        <w:rPr>
          <w:rFonts w:ascii="Times New Roman" w:hAnsi="Times New Roman" w:cs="Times New Roman"/>
          <w:sz w:val="24"/>
          <w:szCs w:val="24"/>
        </w:rPr>
        <w:t xml:space="preserve"> “</w:t>
      </w:r>
      <w:r w:rsidR="00386C5D">
        <w:rPr>
          <w:rFonts w:ascii="Times New Roman" w:hAnsi="Times New Roman" w:cs="Times New Roman"/>
          <w:sz w:val="24"/>
          <w:szCs w:val="24"/>
        </w:rPr>
        <w:t>convene</w:t>
      </w:r>
      <w:r w:rsidR="00B23450">
        <w:rPr>
          <w:rFonts w:ascii="Times New Roman" w:hAnsi="Times New Roman" w:cs="Times New Roman"/>
          <w:sz w:val="24"/>
          <w:szCs w:val="24"/>
        </w:rPr>
        <w:t xml:space="preserve"> an</w:t>
      </w:r>
      <w:r w:rsidR="00315435">
        <w:rPr>
          <w:rFonts w:ascii="Times New Roman" w:hAnsi="Times New Roman" w:cs="Times New Roman"/>
          <w:sz w:val="24"/>
          <w:szCs w:val="24"/>
        </w:rPr>
        <w:t xml:space="preserve"> </w:t>
      </w:r>
      <w:r w:rsidR="00B23450">
        <w:rPr>
          <w:rFonts w:ascii="Times New Roman" w:hAnsi="Times New Roman" w:cs="Times New Roman"/>
          <w:sz w:val="24"/>
          <w:szCs w:val="24"/>
        </w:rPr>
        <w:t>evidentiary hearing’</w:t>
      </w:r>
      <w:r w:rsidR="00386C5D">
        <w:rPr>
          <w:rFonts w:ascii="Times New Roman" w:hAnsi="Times New Roman" w:cs="Times New Roman"/>
          <w:sz w:val="24"/>
          <w:szCs w:val="24"/>
        </w:rPr>
        <w:t xml:space="preserve"> </w:t>
      </w:r>
      <w:r w:rsidR="00B23450">
        <w:rPr>
          <w:rFonts w:ascii="Times New Roman" w:hAnsi="Times New Roman" w:cs="Times New Roman"/>
          <w:sz w:val="24"/>
          <w:szCs w:val="24"/>
        </w:rPr>
        <w:t xml:space="preserve">so that parties will have the </w:t>
      </w:r>
      <w:r w:rsidR="00283B25">
        <w:rPr>
          <w:rFonts w:ascii="Times New Roman" w:hAnsi="Times New Roman" w:cs="Times New Roman"/>
          <w:sz w:val="24"/>
          <w:szCs w:val="24"/>
        </w:rPr>
        <w:t xml:space="preserve">opportunity to </w:t>
      </w:r>
      <w:r w:rsidR="00B23450">
        <w:rPr>
          <w:rFonts w:ascii="Times New Roman" w:hAnsi="Times New Roman" w:cs="Times New Roman"/>
          <w:sz w:val="24"/>
          <w:szCs w:val="24"/>
        </w:rPr>
        <w:t>retry the proceeding “as if this Stipulation had never been executed.”</w:t>
      </w:r>
      <w:r>
        <w:rPr>
          <w:rStyle w:val="FootnoteReference"/>
          <w:rFonts w:ascii="Times New Roman" w:hAnsi="Times New Roman" w:cs="Times New Roman"/>
          <w:sz w:val="24"/>
          <w:szCs w:val="24"/>
        </w:rPr>
        <w:footnoteReference w:id="2"/>
      </w:r>
    </w:p>
    <w:p w:rsidR="00815CAD" w:rsidP="0094279D" w14:paraId="7CC0D4DE" w14:textId="3BCCF0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that end, OCC moved for the Commission to adopt the following procedural schedule: </w:t>
      </w:r>
    </w:p>
    <w:p w:rsidR="00815CAD" w14:paraId="0CB33A18" w14:textId="77777777">
      <w:pPr>
        <w:pStyle w:val="ListParagraph"/>
        <w:numPr>
          <w:ilvl w:val="0"/>
          <w:numId w:val="2"/>
        </w:numPr>
        <w:spacing w:line="480" w:lineRule="auto"/>
        <w:ind w:left="2160" w:hanging="720"/>
        <w:rPr>
          <w:rFonts w:ascii="Times New Roman" w:hAnsi="Times New Roman" w:cs="Times New Roman"/>
          <w:sz w:val="24"/>
          <w:szCs w:val="24"/>
        </w:rPr>
      </w:pPr>
      <w:r>
        <w:rPr>
          <w:rFonts w:ascii="Times New Roman" w:hAnsi="Times New Roman" w:cs="Times New Roman"/>
          <w:sz w:val="24"/>
          <w:szCs w:val="24"/>
        </w:rPr>
        <w:t>Discovery Response Period: 7 calendar days</w:t>
      </w:r>
    </w:p>
    <w:p w:rsidR="00815CAD" w14:paraId="52C85E7E" w14:textId="77777777">
      <w:pPr>
        <w:pStyle w:val="ListParagraph"/>
        <w:numPr>
          <w:ilvl w:val="0"/>
          <w:numId w:val="2"/>
        </w:numPr>
        <w:spacing w:line="48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OCC testimony due: January 14, 2022 </w:t>
      </w:r>
    </w:p>
    <w:p w:rsidR="00815CAD" w14:paraId="6BDDF551" w14:textId="77777777">
      <w:pPr>
        <w:pStyle w:val="ListParagraph"/>
        <w:numPr>
          <w:ilvl w:val="0"/>
          <w:numId w:val="2"/>
        </w:numPr>
        <w:spacing w:line="48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Prehearing Conference: January 21, 2022 </w:t>
      </w:r>
    </w:p>
    <w:p w:rsidR="00815CAD" w:rsidP="0094279D" w14:paraId="3D1913B2" w14:textId="77777777">
      <w:pPr>
        <w:pStyle w:val="ListParagraph"/>
        <w:numPr>
          <w:ilvl w:val="0"/>
          <w:numId w:val="2"/>
        </w:numPr>
        <w:spacing w:after="0" w:line="480" w:lineRule="auto"/>
        <w:ind w:left="2160" w:hanging="720"/>
        <w:rPr>
          <w:rFonts w:ascii="Times New Roman" w:hAnsi="Times New Roman" w:cs="Times New Roman"/>
          <w:sz w:val="24"/>
          <w:szCs w:val="24"/>
        </w:rPr>
      </w:pPr>
      <w:r>
        <w:rPr>
          <w:rFonts w:ascii="Times New Roman" w:hAnsi="Times New Roman" w:cs="Times New Roman"/>
          <w:sz w:val="24"/>
          <w:szCs w:val="24"/>
        </w:rPr>
        <w:t>Evidentiary Hearing: January 28, 2022</w:t>
      </w:r>
    </w:p>
    <w:p w:rsidR="00815CAD" w:rsidP="00283B25" w14:paraId="06156377" w14:textId="3761C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memorandum contra, DP&amp;L asks that the PUCO hold OCC’s motion for a procedural schedule in abeyance until the PUCO rules on its motion to strike OCC’s Notice.</w:t>
      </w:r>
      <w:r>
        <w:rPr>
          <w:rStyle w:val="FootnoteReference"/>
          <w:rFonts w:ascii="Times New Roman" w:hAnsi="Times New Roman" w:cs="Times New Roman"/>
          <w:sz w:val="24"/>
          <w:szCs w:val="24"/>
        </w:rPr>
        <w:footnoteReference w:id="3"/>
      </w:r>
      <w:r w:rsidR="00386C5D">
        <w:rPr>
          <w:rFonts w:ascii="Times New Roman" w:hAnsi="Times New Roman" w:cs="Times New Roman"/>
          <w:sz w:val="24"/>
          <w:szCs w:val="24"/>
        </w:rPr>
        <w:t xml:space="preserve"> </w:t>
      </w:r>
      <w:r>
        <w:rPr>
          <w:rFonts w:ascii="Times New Roman" w:hAnsi="Times New Roman" w:cs="Times New Roman"/>
          <w:sz w:val="24"/>
          <w:szCs w:val="24"/>
        </w:rPr>
        <w:t>DP&amp;L says that if the PUCO denies its motion to strike, the PUCO should set a date for DP&amp;L to file supplemental testimony and deny OCC’s request that the time for responding to discovery should be reduced to seven days.</w:t>
      </w:r>
      <w:r>
        <w:rPr>
          <w:rStyle w:val="FootnoteReference"/>
          <w:rFonts w:ascii="Times New Roman" w:hAnsi="Times New Roman" w:cs="Times New Roman"/>
          <w:sz w:val="24"/>
          <w:szCs w:val="24"/>
        </w:rPr>
        <w:footnoteReference w:id="4"/>
      </w:r>
      <w:r w:rsidR="00386C5D">
        <w:rPr>
          <w:rFonts w:ascii="Times New Roman" w:hAnsi="Times New Roman" w:cs="Times New Roman"/>
          <w:sz w:val="24"/>
          <w:szCs w:val="24"/>
        </w:rPr>
        <w:t xml:space="preserve"> </w:t>
      </w:r>
    </w:p>
    <w:p w:rsidR="00815CAD" w:rsidP="00283B25" w14:paraId="7D9590DD" w14:textId="62B119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consumers are the aggrieved party here, not DP&amp;L.  </w:t>
      </w:r>
      <w:r w:rsidR="00283B25">
        <w:rPr>
          <w:rFonts w:ascii="Times New Roman" w:hAnsi="Times New Roman" w:cs="Times New Roman"/>
          <w:sz w:val="24"/>
          <w:szCs w:val="24"/>
        </w:rPr>
        <w:t>DP&amp;L’s Memorandum Contra should be rejected, and</w:t>
      </w:r>
      <w:r w:rsidR="008A79EE">
        <w:rPr>
          <w:rFonts w:ascii="Times New Roman" w:hAnsi="Times New Roman" w:cs="Times New Roman"/>
          <w:sz w:val="24"/>
          <w:szCs w:val="24"/>
        </w:rPr>
        <w:t xml:space="preserve"> </w:t>
      </w:r>
      <w:r w:rsidR="00283B25">
        <w:rPr>
          <w:rFonts w:ascii="Times New Roman" w:hAnsi="Times New Roman" w:cs="Times New Roman"/>
          <w:sz w:val="24"/>
          <w:szCs w:val="24"/>
        </w:rPr>
        <w:t>OCC’s motion for a procedural schedule</w:t>
      </w:r>
      <w:r w:rsidR="00A53E1E">
        <w:rPr>
          <w:rFonts w:ascii="Times New Roman" w:hAnsi="Times New Roman" w:cs="Times New Roman"/>
          <w:sz w:val="24"/>
          <w:szCs w:val="24"/>
        </w:rPr>
        <w:t xml:space="preserve"> should be </w:t>
      </w:r>
      <w:r w:rsidR="00283B25">
        <w:rPr>
          <w:rFonts w:ascii="Times New Roman" w:hAnsi="Times New Roman" w:cs="Times New Roman"/>
          <w:sz w:val="24"/>
          <w:szCs w:val="24"/>
        </w:rPr>
        <w:t xml:space="preserve">granted, to protect consumers. </w:t>
      </w:r>
    </w:p>
    <w:p w:rsidR="0094279D" w:rsidP="0094279D" w14:paraId="3470A831" w14:textId="77777777">
      <w:pPr>
        <w:spacing w:after="0" w:line="240" w:lineRule="auto"/>
        <w:ind w:firstLine="720"/>
        <w:rPr>
          <w:rFonts w:ascii="Times New Roman" w:hAnsi="Times New Roman" w:cs="Times New Roman"/>
          <w:sz w:val="24"/>
          <w:szCs w:val="24"/>
        </w:rPr>
      </w:pPr>
    </w:p>
    <w:p w:rsidR="00815CAD" w14:paraId="6DE356CF" w14:textId="6D498FD3">
      <w:pPr>
        <w:pStyle w:val="Heading1"/>
      </w:pPr>
      <w:r>
        <w:t>II.</w:t>
      </w:r>
      <w:r>
        <w:tab/>
        <w:t>Recommendations</w:t>
      </w:r>
    </w:p>
    <w:p w:rsidR="00815CAD" w14:paraId="45862C06" w14:textId="686A0F42">
      <w:pPr>
        <w:pStyle w:val="Heading2"/>
        <w:numPr>
          <w:ilvl w:val="0"/>
          <w:numId w:val="5"/>
        </w:numPr>
        <w:ind w:left="1440" w:hanging="720"/>
      </w:pPr>
      <w:r>
        <w:t xml:space="preserve">In the interest of consumer justice, OCC’s motion for a procedural schedule should </w:t>
      </w:r>
      <w:r w:rsidR="00C06B22">
        <w:t xml:space="preserve">be granted and </w:t>
      </w:r>
      <w:r>
        <w:t>not held in abeyance.</w:t>
      </w:r>
    </w:p>
    <w:p w:rsidR="00A53E1E" w:rsidP="0094279D" w14:paraId="52CE864D" w14:textId="4EA6CA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no reason to hold OCC’s motion for a procedural schedule in abeyance.</w:t>
      </w:r>
      <w:r w:rsidR="00386C5D">
        <w:rPr>
          <w:rFonts w:ascii="Times New Roman" w:hAnsi="Times New Roman" w:cs="Times New Roman"/>
          <w:sz w:val="24"/>
          <w:szCs w:val="24"/>
        </w:rPr>
        <w:t xml:space="preserve"> </w:t>
      </w:r>
      <w:r w:rsidR="00C06B22">
        <w:rPr>
          <w:rFonts w:ascii="Times New Roman" w:hAnsi="Times New Roman" w:cs="Times New Roman"/>
          <w:sz w:val="24"/>
          <w:szCs w:val="24"/>
        </w:rPr>
        <w:t>That is e</w:t>
      </w:r>
      <w:r w:rsidR="00AE799F">
        <w:rPr>
          <w:rFonts w:ascii="Times New Roman" w:hAnsi="Times New Roman" w:cs="Times New Roman"/>
          <w:sz w:val="24"/>
          <w:szCs w:val="24"/>
        </w:rPr>
        <w:t xml:space="preserve">specially </w:t>
      </w:r>
      <w:r w:rsidR="00C06B22">
        <w:rPr>
          <w:rFonts w:ascii="Times New Roman" w:hAnsi="Times New Roman" w:cs="Times New Roman"/>
          <w:sz w:val="24"/>
          <w:szCs w:val="24"/>
        </w:rPr>
        <w:t xml:space="preserve">so </w:t>
      </w:r>
      <w:r w:rsidR="00AE799F">
        <w:rPr>
          <w:rFonts w:ascii="Times New Roman" w:hAnsi="Times New Roman" w:cs="Times New Roman"/>
          <w:sz w:val="24"/>
          <w:szCs w:val="24"/>
        </w:rPr>
        <w:t xml:space="preserve">since the PUCO has not </w:t>
      </w:r>
      <w:r w:rsidR="007C7442">
        <w:rPr>
          <w:rFonts w:ascii="Times New Roman" w:hAnsi="Times New Roman" w:cs="Times New Roman"/>
          <w:sz w:val="24"/>
          <w:szCs w:val="24"/>
        </w:rPr>
        <w:t>ordered DP&amp;L to stop charging consumers under the Settlement after OCC terminated it</w:t>
      </w:r>
      <w:r w:rsidR="00054D77">
        <w:rPr>
          <w:rFonts w:ascii="Times New Roman" w:hAnsi="Times New Roman" w:cs="Times New Roman"/>
          <w:sz w:val="24"/>
          <w:szCs w:val="24"/>
        </w:rPr>
        <w:t>.</w:t>
      </w:r>
      <w:r w:rsidR="00AE799F">
        <w:rPr>
          <w:rFonts w:ascii="Times New Roman" w:hAnsi="Times New Roman" w:cs="Times New Roman"/>
          <w:sz w:val="24"/>
          <w:szCs w:val="24"/>
        </w:rPr>
        <w:t xml:space="preserve"> Without such a ruling, consumers </w:t>
      </w:r>
      <w:r w:rsidR="00E25E55">
        <w:rPr>
          <w:rFonts w:ascii="Times New Roman" w:hAnsi="Times New Roman" w:cs="Times New Roman"/>
          <w:sz w:val="24"/>
          <w:szCs w:val="24"/>
        </w:rPr>
        <w:t>could</w:t>
      </w:r>
      <w:r w:rsidR="00C06B22">
        <w:rPr>
          <w:rFonts w:ascii="Times New Roman" w:hAnsi="Times New Roman" w:cs="Times New Roman"/>
          <w:sz w:val="24"/>
          <w:szCs w:val="24"/>
        </w:rPr>
        <w:t xml:space="preserve"> be made to</w:t>
      </w:r>
      <w:r w:rsidR="00AE799F">
        <w:rPr>
          <w:rFonts w:ascii="Times New Roman" w:hAnsi="Times New Roman" w:cs="Times New Roman"/>
          <w:sz w:val="24"/>
          <w:szCs w:val="24"/>
        </w:rPr>
        <w:t xml:space="preserve"> pay rates that are null and void </w:t>
      </w:r>
      <w:r w:rsidR="00E25E55">
        <w:rPr>
          <w:rFonts w:ascii="Times New Roman" w:hAnsi="Times New Roman" w:cs="Times New Roman"/>
          <w:sz w:val="24"/>
          <w:szCs w:val="24"/>
        </w:rPr>
        <w:t>now that the Settlement has been terminated</w:t>
      </w:r>
      <w:r w:rsidR="00AE799F">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386C5D">
        <w:rPr>
          <w:rFonts w:ascii="Times New Roman" w:hAnsi="Times New Roman" w:cs="Times New Roman"/>
          <w:sz w:val="24"/>
          <w:szCs w:val="24"/>
        </w:rPr>
        <w:t xml:space="preserve"> </w:t>
      </w:r>
      <w:r w:rsidR="00C06B22">
        <w:rPr>
          <w:rFonts w:ascii="Times New Roman" w:hAnsi="Times New Roman" w:cs="Times New Roman"/>
          <w:sz w:val="24"/>
          <w:szCs w:val="24"/>
        </w:rPr>
        <w:t>DP&amp;L has a history of charging Dayton-area consumers for hundreds of millions of dollars in fees that later were found to be unlawful (such as the infamous distribution modernization rider and nebulous charges for stability)</w:t>
      </w:r>
      <w:r w:rsidR="008F458B">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386C5D">
        <w:rPr>
          <w:rFonts w:ascii="Times New Roman" w:hAnsi="Times New Roman" w:cs="Times New Roman"/>
          <w:sz w:val="24"/>
          <w:szCs w:val="24"/>
        </w:rPr>
        <w:t xml:space="preserve"> </w:t>
      </w:r>
    </w:p>
    <w:p w:rsidR="00815CAD" w:rsidP="00283B25" w14:paraId="730D55BA" w14:textId="722AAB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described in detail in OCC’s Notice, the PUCO failed to adopt the 2009 Settlement in its entirety and without material modification by failing to preserve </w:t>
      </w:r>
      <w:r w:rsidR="00C06B22">
        <w:rPr>
          <w:rFonts w:ascii="Times New Roman" w:hAnsi="Times New Roman" w:cs="Times New Roman"/>
          <w:sz w:val="24"/>
          <w:szCs w:val="24"/>
        </w:rPr>
        <w:t>OCC’s bargained-for rate freeze in</w:t>
      </w:r>
      <w:r>
        <w:rPr>
          <w:rFonts w:ascii="Times New Roman" w:hAnsi="Times New Roman" w:cs="Times New Roman"/>
          <w:sz w:val="24"/>
          <w:szCs w:val="24"/>
        </w:rPr>
        <w:t xml:space="preserve"> </w:t>
      </w:r>
      <w:r w:rsidR="00C06B22">
        <w:rPr>
          <w:rFonts w:ascii="Times New Roman" w:hAnsi="Times New Roman" w:cs="Times New Roman"/>
          <w:sz w:val="24"/>
          <w:szCs w:val="24"/>
        </w:rPr>
        <w:t xml:space="preserve">that </w:t>
      </w:r>
      <w:r>
        <w:rPr>
          <w:rFonts w:ascii="Times New Roman" w:hAnsi="Times New Roman" w:cs="Times New Roman"/>
          <w:sz w:val="24"/>
          <w:szCs w:val="24"/>
        </w:rPr>
        <w:t>Settlement.</w:t>
      </w:r>
      <w:r>
        <w:rPr>
          <w:rStyle w:val="FootnoteReference"/>
          <w:rFonts w:ascii="Times New Roman" w:hAnsi="Times New Roman" w:cs="Times New Roman"/>
          <w:sz w:val="24"/>
          <w:szCs w:val="24"/>
        </w:rPr>
        <w:footnoteReference w:id="7"/>
      </w:r>
      <w:r w:rsidR="00386C5D">
        <w:rPr>
          <w:rFonts w:ascii="Times New Roman" w:hAnsi="Times New Roman" w:cs="Times New Roman"/>
          <w:sz w:val="24"/>
          <w:szCs w:val="24"/>
        </w:rPr>
        <w:t xml:space="preserve"> </w:t>
      </w:r>
      <w:r>
        <w:rPr>
          <w:rFonts w:ascii="Times New Roman" w:hAnsi="Times New Roman" w:cs="Times New Roman"/>
          <w:sz w:val="24"/>
          <w:szCs w:val="24"/>
        </w:rPr>
        <w:t>As a result, OCC met the conditions under the 2009 Settlement to terminate and withdraw from the Settlement – and did terminate and withdraw from the Settlement.</w:t>
      </w:r>
      <w:r>
        <w:rPr>
          <w:rStyle w:val="FootnoteReference"/>
          <w:rFonts w:ascii="Times New Roman" w:hAnsi="Times New Roman" w:cs="Times New Roman"/>
          <w:sz w:val="24"/>
          <w:szCs w:val="24"/>
        </w:rPr>
        <w:footnoteReference w:id="8"/>
      </w:r>
      <w:r w:rsidR="00386C5D">
        <w:rPr>
          <w:rFonts w:ascii="Times New Roman" w:hAnsi="Times New Roman" w:cs="Times New Roman"/>
          <w:sz w:val="24"/>
          <w:szCs w:val="24"/>
        </w:rPr>
        <w:t xml:space="preserve"> </w:t>
      </w:r>
      <w:r>
        <w:rPr>
          <w:rFonts w:ascii="Times New Roman" w:hAnsi="Times New Roman" w:cs="Times New Roman"/>
          <w:sz w:val="24"/>
          <w:szCs w:val="24"/>
        </w:rPr>
        <w:t>The 2009 Settlement sets forth the procedure if a signatory party withdraws from the Settlement.</w:t>
      </w:r>
      <w:r w:rsidR="00386C5D">
        <w:rPr>
          <w:rFonts w:ascii="Times New Roman" w:hAnsi="Times New Roman" w:cs="Times New Roman"/>
          <w:sz w:val="24"/>
          <w:szCs w:val="24"/>
        </w:rPr>
        <w:t xml:space="preserve"> </w:t>
      </w:r>
      <w:r>
        <w:rPr>
          <w:rFonts w:ascii="Times New Roman" w:hAnsi="Times New Roman" w:cs="Times New Roman"/>
          <w:sz w:val="24"/>
          <w:szCs w:val="24"/>
        </w:rPr>
        <w:t>The Settlement’s required procedure is that the PUCO “</w:t>
      </w:r>
      <w:r>
        <w:rPr>
          <w:rFonts w:ascii="Times New Roman" w:hAnsi="Times New Roman" w:cs="Times New Roman"/>
          <w:i/>
          <w:iCs/>
          <w:sz w:val="24"/>
          <w:szCs w:val="24"/>
        </w:rPr>
        <w:t>will</w:t>
      </w:r>
      <w:r>
        <w:rPr>
          <w:rFonts w:ascii="Times New Roman" w:hAnsi="Times New Roman" w:cs="Times New Roman"/>
          <w:sz w:val="24"/>
          <w:szCs w:val="24"/>
        </w:rPr>
        <w:t xml:space="preserve"> convene an evidentiary hearing . . . .”</w:t>
      </w:r>
      <w:r>
        <w:rPr>
          <w:rStyle w:val="FootnoteReference"/>
          <w:rFonts w:ascii="Times New Roman" w:hAnsi="Times New Roman" w:cs="Times New Roman"/>
          <w:sz w:val="24"/>
          <w:szCs w:val="24"/>
        </w:rPr>
        <w:footnoteReference w:id="9"/>
      </w:r>
    </w:p>
    <w:p w:rsidR="00815CAD" w:rsidP="00283B25" w14:paraId="619EAF3D" w14:textId="067F6A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there is every reason for the PUCO to adopt OCC’s </w:t>
      </w:r>
      <w:r w:rsidR="00A53E1E">
        <w:rPr>
          <w:rFonts w:ascii="Times New Roman" w:hAnsi="Times New Roman" w:cs="Times New Roman"/>
          <w:sz w:val="24"/>
          <w:szCs w:val="24"/>
        </w:rPr>
        <w:t xml:space="preserve">suggested </w:t>
      </w:r>
      <w:r>
        <w:rPr>
          <w:rFonts w:ascii="Times New Roman" w:hAnsi="Times New Roman" w:cs="Times New Roman"/>
          <w:sz w:val="24"/>
          <w:szCs w:val="24"/>
        </w:rPr>
        <w:t>procedural schedule.</w:t>
      </w:r>
      <w:r w:rsidR="00386C5D">
        <w:rPr>
          <w:rFonts w:ascii="Times New Roman" w:hAnsi="Times New Roman" w:cs="Times New Roman"/>
          <w:sz w:val="24"/>
          <w:szCs w:val="24"/>
        </w:rPr>
        <w:t xml:space="preserve"> </w:t>
      </w:r>
      <w:r>
        <w:rPr>
          <w:rFonts w:ascii="Times New Roman" w:hAnsi="Times New Roman" w:cs="Times New Roman"/>
          <w:sz w:val="24"/>
          <w:szCs w:val="24"/>
        </w:rPr>
        <w:t xml:space="preserve">The PUCO materially modified the Settlement that OCC signed, </w:t>
      </w:r>
      <w:r w:rsidR="00C06B22">
        <w:rPr>
          <w:rFonts w:ascii="Times New Roman" w:hAnsi="Times New Roman" w:cs="Times New Roman"/>
          <w:sz w:val="24"/>
          <w:szCs w:val="24"/>
        </w:rPr>
        <w:t xml:space="preserve">improperly </w:t>
      </w:r>
      <w:r>
        <w:rPr>
          <w:rFonts w:ascii="Times New Roman" w:hAnsi="Times New Roman" w:cs="Times New Roman"/>
          <w:sz w:val="24"/>
          <w:szCs w:val="24"/>
        </w:rPr>
        <w:t>relieving DP&amp;L of its agreement to freeze distribution rates during the electric security plan</w:t>
      </w:r>
      <w:r w:rsidR="00C06B22">
        <w:rPr>
          <w:rFonts w:ascii="Times New Roman" w:hAnsi="Times New Roman" w:cs="Times New Roman"/>
          <w:sz w:val="24"/>
          <w:szCs w:val="24"/>
        </w:rPr>
        <w:t>.</w:t>
      </w:r>
      <w:r>
        <w:rPr>
          <w:rFonts w:ascii="Times New Roman" w:hAnsi="Times New Roman" w:cs="Times New Roman"/>
          <w:sz w:val="24"/>
          <w:szCs w:val="24"/>
        </w:rPr>
        <w:t xml:space="preserve"> </w:t>
      </w:r>
      <w:r w:rsidR="00C06B22">
        <w:rPr>
          <w:rFonts w:ascii="Times New Roman" w:hAnsi="Times New Roman" w:cs="Times New Roman"/>
          <w:sz w:val="24"/>
          <w:szCs w:val="24"/>
        </w:rPr>
        <w:t xml:space="preserve">That </w:t>
      </w:r>
      <w:r>
        <w:rPr>
          <w:rFonts w:ascii="Times New Roman" w:hAnsi="Times New Roman" w:cs="Times New Roman"/>
          <w:sz w:val="24"/>
          <w:szCs w:val="24"/>
        </w:rPr>
        <w:t>was a key consumer protection</w:t>
      </w:r>
      <w:r w:rsidR="00C06B22">
        <w:rPr>
          <w:rFonts w:ascii="Times New Roman" w:hAnsi="Times New Roman" w:cs="Times New Roman"/>
          <w:sz w:val="24"/>
          <w:szCs w:val="24"/>
        </w:rPr>
        <w:t xml:space="preserve"> against more DP&amp;L rate increases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To protect consumers, OCC applied for rehearing from that decision.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815CAD" w:rsidP="00283B25" w14:paraId="1FB59BF1" w14:textId="4B66AA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00054D77">
        <w:rPr>
          <w:rFonts w:ascii="Times New Roman" w:hAnsi="Times New Roman" w:cs="Times New Roman"/>
          <w:sz w:val="24"/>
          <w:szCs w:val="24"/>
        </w:rPr>
        <w:t>December 18, 2019, the PUCO failed to adopt th</w:t>
      </w:r>
      <w:r w:rsidR="00C34671">
        <w:rPr>
          <w:rFonts w:ascii="Times New Roman" w:hAnsi="Times New Roman" w:cs="Times New Roman"/>
          <w:sz w:val="24"/>
          <w:szCs w:val="24"/>
        </w:rPr>
        <w:t>e</w:t>
      </w:r>
      <w:r w:rsidR="00054D77">
        <w:rPr>
          <w:rFonts w:ascii="Times New Roman" w:hAnsi="Times New Roman" w:cs="Times New Roman"/>
          <w:sz w:val="24"/>
          <w:szCs w:val="24"/>
        </w:rPr>
        <w:t xml:space="preserve"> rate freeze provision of the 2009 Settlement, thus rejecting or modify it by ruling that DP&amp;L did not have</w:t>
      </w:r>
      <w:r w:rsidR="00C34671">
        <w:rPr>
          <w:rFonts w:ascii="Times New Roman" w:hAnsi="Times New Roman" w:cs="Times New Roman"/>
          <w:sz w:val="24"/>
          <w:szCs w:val="24"/>
        </w:rPr>
        <w:t xml:space="preserve"> </w:t>
      </w:r>
      <w:r w:rsidR="00054D77">
        <w:rPr>
          <w:rFonts w:ascii="Times New Roman" w:hAnsi="Times New Roman" w:cs="Times New Roman"/>
          <w:sz w:val="24"/>
          <w:szCs w:val="24"/>
        </w:rPr>
        <w:t>to honor its distribution rate freeze while ESPI was in effec</w:t>
      </w:r>
      <w:r w:rsidR="00C34671">
        <w:rPr>
          <w:rFonts w:ascii="Times New Roman" w:hAnsi="Times New Roman" w:cs="Times New Roman"/>
          <w:sz w:val="24"/>
          <w:szCs w:val="24"/>
        </w:rPr>
        <w:t>t</w:t>
      </w:r>
      <w:r w:rsidR="00054D77">
        <w:rPr>
          <w:rFonts w:ascii="Times New Roman" w:hAnsi="Times New Roman" w:cs="Times New Roman"/>
          <w:sz w:val="24"/>
          <w:szCs w:val="24"/>
        </w:rPr>
        <w:t>.</w:t>
      </w:r>
      <w:r w:rsidR="00386C5D">
        <w:rPr>
          <w:rFonts w:ascii="Times New Roman" w:hAnsi="Times New Roman" w:cs="Times New Roman"/>
          <w:sz w:val="24"/>
          <w:szCs w:val="24"/>
        </w:rPr>
        <w:t xml:space="preserve"> </w:t>
      </w:r>
      <w:r w:rsidR="00054D77">
        <w:rPr>
          <w:rFonts w:ascii="Times New Roman" w:hAnsi="Times New Roman" w:cs="Times New Roman"/>
          <w:sz w:val="24"/>
          <w:szCs w:val="24"/>
        </w:rPr>
        <w:t xml:space="preserve">OCC sought rehearing from the PUCO’s December 18, 2019 ruling. On </w:t>
      </w:r>
      <w:r>
        <w:rPr>
          <w:rFonts w:ascii="Times New Roman" w:hAnsi="Times New Roman" w:cs="Times New Roman"/>
          <w:sz w:val="24"/>
          <w:szCs w:val="24"/>
        </w:rPr>
        <w:t xml:space="preserve">June 16, 2021, </w:t>
      </w:r>
      <w:r w:rsidRPr="00315435">
        <w:rPr>
          <w:rFonts w:ascii="Times New Roman" w:hAnsi="Times New Roman" w:cs="Times New Roman"/>
          <w:i/>
          <w:iCs/>
          <w:sz w:val="24"/>
          <w:szCs w:val="24"/>
        </w:rPr>
        <w:t>sixteen long months</w:t>
      </w:r>
      <w:r>
        <w:rPr>
          <w:rFonts w:ascii="Times New Roman" w:hAnsi="Times New Roman" w:cs="Times New Roman"/>
          <w:sz w:val="24"/>
          <w:szCs w:val="24"/>
        </w:rPr>
        <w:t xml:space="preserve"> after OCC’s rehearing request and</w:t>
      </w:r>
      <w:r w:rsidR="00C06B22">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C06B22">
        <w:rPr>
          <w:rFonts w:ascii="Times New Roman" w:hAnsi="Times New Roman" w:cs="Times New Roman"/>
          <w:sz w:val="24"/>
          <w:szCs w:val="24"/>
        </w:rPr>
        <w:t xml:space="preserve">after </w:t>
      </w:r>
      <w:r>
        <w:rPr>
          <w:rFonts w:ascii="Times New Roman" w:hAnsi="Times New Roman" w:cs="Times New Roman"/>
          <w:sz w:val="24"/>
          <w:szCs w:val="24"/>
        </w:rPr>
        <w:t>OCC fil</w:t>
      </w:r>
      <w:r w:rsidR="00C06B22">
        <w:rPr>
          <w:rFonts w:ascii="Times New Roman" w:hAnsi="Times New Roman" w:cs="Times New Roman"/>
          <w:sz w:val="24"/>
          <w:szCs w:val="24"/>
        </w:rPr>
        <w:t>ed</w:t>
      </w:r>
      <w:r w:rsidR="00935CFD">
        <w:rPr>
          <w:rFonts w:ascii="Times New Roman" w:hAnsi="Times New Roman" w:cs="Times New Roman"/>
          <w:sz w:val="24"/>
          <w:szCs w:val="24"/>
        </w:rPr>
        <w:t xml:space="preserve"> for</w:t>
      </w:r>
      <w:r>
        <w:rPr>
          <w:rFonts w:ascii="Times New Roman" w:hAnsi="Times New Roman" w:cs="Times New Roman"/>
          <w:sz w:val="24"/>
          <w:szCs w:val="24"/>
        </w:rPr>
        <w:t xml:space="preserve"> a writ at the Supreme Court,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PUCO belatedly issued an Entry on Rehearing. In its Fifth Entry on Rehearing, it granted in part, and denied in part, OCC’s rehearing requests. The PUCO’s June 16, 2021 Entry, with its new rulings, including its ruling granting rehearing (in part), modified the PUCO’s </w:t>
      </w:r>
      <w:r w:rsidR="00054D77">
        <w:rPr>
          <w:rFonts w:ascii="Times New Roman" w:hAnsi="Times New Roman" w:cs="Times New Roman"/>
          <w:sz w:val="24"/>
          <w:szCs w:val="24"/>
        </w:rPr>
        <w:t>December 18, 2019 ruling</w:t>
      </w:r>
      <w:r>
        <w:rPr>
          <w:rFonts w:ascii="Times New Roman" w:hAnsi="Times New Roman" w:cs="Times New Roman"/>
          <w:sz w:val="24"/>
          <w:szCs w:val="24"/>
        </w:rPr>
        <w:t>. Those modifications spurred additional applications for rehearing by DP&amp;L and OCC. On August 11, 2021, the PUCO issued a final rehearing order where it disposed of both DP&amp;L’s and OCC’s application for rehearing, ending the rehearing process.</w:t>
      </w:r>
      <w:r w:rsidR="00386C5D">
        <w:rPr>
          <w:rFonts w:ascii="Times New Roman" w:hAnsi="Times New Roman" w:cs="Times New Roman"/>
          <w:sz w:val="24"/>
          <w:szCs w:val="24"/>
        </w:rPr>
        <w:t xml:space="preserve"> </w:t>
      </w:r>
    </w:p>
    <w:p w:rsidR="00815CAD" w:rsidP="00283B25" w14:paraId="152C2BCB" w14:textId="62E8AE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being denied access to judicial review and consumer justice by the PUCO’s </w:t>
      </w:r>
      <w:r w:rsidR="00A53E1E">
        <w:rPr>
          <w:rFonts w:ascii="Times New Roman" w:hAnsi="Times New Roman" w:cs="Times New Roman"/>
          <w:sz w:val="24"/>
          <w:szCs w:val="24"/>
        </w:rPr>
        <w:t xml:space="preserve">unreasonable and costly </w:t>
      </w:r>
      <w:r>
        <w:rPr>
          <w:rFonts w:ascii="Times New Roman" w:hAnsi="Times New Roman" w:cs="Times New Roman"/>
          <w:sz w:val="24"/>
          <w:szCs w:val="24"/>
        </w:rPr>
        <w:t xml:space="preserve">rehearing delay, OCC and the consumers it represents finally have an opportunity </w:t>
      </w:r>
      <w:r w:rsidR="00EB366B">
        <w:rPr>
          <w:rFonts w:ascii="Times New Roman" w:hAnsi="Times New Roman" w:cs="Times New Roman"/>
          <w:sz w:val="24"/>
          <w:szCs w:val="24"/>
        </w:rPr>
        <w:t>for some</w:t>
      </w:r>
      <w:r>
        <w:rPr>
          <w:rFonts w:ascii="Times New Roman" w:hAnsi="Times New Roman" w:cs="Times New Roman"/>
          <w:sz w:val="24"/>
          <w:szCs w:val="24"/>
        </w:rPr>
        <w:t xml:space="preserve"> justice.</w:t>
      </w:r>
      <w:r w:rsidR="00386C5D">
        <w:rPr>
          <w:rFonts w:ascii="Times New Roman" w:hAnsi="Times New Roman" w:cs="Times New Roman"/>
          <w:sz w:val="24"/>
          <w:szCs w:val="24"/>
        </w:rPr>
        <w:t xml:space="preserve"> </w:t>
      </w:r>
      <w:r>
        <w:rPr>
          <w:rFonts w:ascii="Times New Roman" w:hAnsi="Times New Roman" w:cs="Times New Roman"/>
          <w:sz w:val="24"/>
          <w:szCs w:val="24"/>
        </w:rPr>
        <w:t>Justice delayed</w:t>
      </w:r>
      <w:r w:rsidR="00A53E1E">
        <w:rPr>
          <w:rFonts w:ascii="Times New Roman" w:hAnsi="Times New Roman" w:cs="Times New Roman"/>
          <w:sz w:val="24"/>
          <w:szCs w:val="24"/>
        </w:rPr>
        <w:t xml:space="preserve"> is justice denied.</w:t>
      </w:r>
      <w:r w:rsidR="00386C5D">
        <w:rPr>
          <w:rFonts w:ascii="Times New Roman" w:hAnsi="Times New Roman" w:cs="Times New Roman"/>
          <w:sz w:val="24"/>
          <w:szCs w:val="24"/>
        </w:rPr>
        <w:t xml:space="preserve"> </w:t>
      </w:r>
      <w:r w:rsidR="00EB366B">
        <w:rPr>
          <w:rFonts w:ascii="Times New Roman" w:hAnsi="Times New Roman" w:cs="Times New Roman"/>
          <w:sz w:val="24"/>
          <w:szCs w:val="24"/>
        </w:rPr>
        <w:t>That is e</w:t>
      </w:r>
      <w:r w:rsidR="00A53E1E">
        <w:rPr>
          <w:rFonts w:ascii="Times New Roman" w:hAnsi="Times New Roman" w:cs="Times New Roman"/>
          <w:sz w:val="24"/>
          <w:szCs w:val="24"/>
        </w:rPr>
        <w:t>specially</w:t>
      </w:r>
      <w:r w:rsidR="00EB366B">
        <w:rPr>
          <w:rFonts w:ascii="Times New Roman" w:hAnsi="Times New Roman" w:cs="Times New Roman"/>
          <w:sz w:val="24"/>
          <w:szCs w:val="24"/>
        </w:rPr>
        <w:t xml:space="preserve"> so</w:t>
      </w:r>
      <w:r w:rsidR="00A53E1E">
        <w:rPr>
          <w:rFonts w:ascii="Times New Roman" w:hAnsi="Times New Roman" w:cs="Times New Roman"/>
          <w:sz w:val="24"/>
          <w:szCs w:val="24"/>
        </w:rPr>
        <w:t xml:space="preserve"> for consumers who must continue to pay unjust and unreasonable </w:t>
      </w:r>
      <w:r w:rsidR="0086537F">
        <w:rPr>
          <w:rFonts w:ascii="Times New Roman" w:hAnsi="Times New Roman" w:cs="Times New Roman"/>
          <w:sz w:val="24"/>
          <w:szCs w:val="24"/>
        </w:rPr>
        <w:t xml:space="preserve">ESP I </w:t>
      </w:r>
      <w:r w:rsidR="00A53E1E">
        <w:rPr>
          <w:rFonts w:ascii="Times New Roman" w:hAnsi="Times New Roman" w:cs="Times New Roman"/>
          <w:sz w:val="24"/>
          <w:szCs w:val="24"/>
        </w:rPr>
        <w:t xml:space="preserve">rates –rates which </w:t>
      </w:r>
      <w:r w:rsidR="00EB366B">
        <w:rPr>
          <w:rFonts w:ascii="Times New Roman" w:hAnsi="Times New Roman" w:cs="Times New Roman"/>
          <w:sz w:val="24"/>
          <w:szCs w:val="24"/>
        </w:rPr>
        <w:t xml:space="preserve">DP&amp;L can be expected to claim are not </w:t>
      </w:r>
      <w:r w:rsidR="00A53E1E">
        <w:rPr>
          <w:rFonts w:ascii="Times New Roman" w:hAnsi="Times New Roman" w:cs="Times New Roman"/>
          <w:sz w:val="24"/>
          <w:szCs w:val="24"/>
        </w:rPr>
        <w:t>refund</w:t>
      </w:r>
      <w:r w:rsidR="00EB366B">
        <w:rPr>
          <w:rFonts w:ascii="Times New Roman" w:hAnsi="Times New Roman" w:cs="Times New Roman"/>
          <w:sz w:val="24"/>
          <w:szCs w:val="24"/>
        </w:rPr>
        <w:t>able</w:t>
      </w:r>
      <w:r w:rsidR="00A53E1E">
        <w:rPr>
          <w:rFonts w:ascii="Times New Roman" w:hAnsi="Times New Roman" w:cs="Times New Roman"/>
          <w:sz w:val="24"/>
          <w:szCs w:val="24"/>
        </w:rPr>
        <w:t xml:space="preserve"> to consumers even if the Ohio Supreme Court determines the rates charged to consumers were unreasonable and unlawful. </w:t>
      </w:r>
      <w:r>
        <w:rPr>
          <w:rFonts w:ascii="Times New Roman" w:hAnsi="Times New Roman" w:cs="Times New Roman"/>
          <w:sz w:val="24"/>
          <w:szCs w:val="24"/>
        </w:rPr>
        <w:t>OCC’s motion for a procedural schedule should not be held in abeyance.</w:t>
      </w:r>
    </w:p>
    <w:p w:rsidR="00815CAD" w14:paraId="5A98C9E9" w14:textId="13875CE6">
      <w:pPr>
        <w:pStyle w:val="Heading2"/>
        <w:ind w:left="1440" w:hanging="720"/>
      </w:pPr>
      <w:r>
        <w:t>B.</w:t>
      </w:r>
      <w:r>
        <w:tab/>
        <w:t xml:space="preserve">In consumers’ interest, </w:t>
      </w:r>
      <w:r w:rsidR="00EB366B">
        <w:t xml:space="preserve">any </w:t>
      </w:r>
      <w:r>
        <w:t>supplemental testimony</w:t>
      </w:r>
      <w:r w:rsidR="00EB366B">
        <w:t xml:space="preserve"> by DP&amp;L should be due</w:t>
      </w:r>
      <w:r>
        <w:t xml:space="preserve"> by December 27, 2021</w:t>
      </w:r>
      <w:r w:rsidR="00EB366B">
        <w:t>,</w:t>
      </w:r>
      <w:r>
        <w:t xml:space="preserve"> and the response time for discovery should be se</w:t>
      </w:r>
      <w:r w:rsidR="00DF5140">
        <w:t>v</w:t>
      </w:r>
      <w:r>
        <w:t>en days.</w:t>
      </w:r>
    </w:p>
    <w:p w:rsidR="00815CAD" w:rsidP="00283B25" w14:paraId="3286CE35" w14:textId="42DAD3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DP&amp;L says that it should be permitted to file supplemental testimony, it does not propose a date for doing so.</w:t>
      </w:r>
      <w:r w:rsidR="00386C5D">
        <w:rPr>
          <w:rFonts w:ascii="Times New Roman" w:hAnsi="Times New Roman" w:cs="Times New Roman"/>
          <w:sz w:val="24"/>
          <w:szCs w:val="24"/>
        </w:rPr>
        <w:t xml:space="preserve"> </w:t>
      </w:r>
      <w:r>
        <w:rPr>
          <w:rFonts w:ascii="Times New Roman" w:hAnsi="Times New Roman" w:cs="Times New Roman"/>
          <w:sz w:val="24"/>
          <w:szCs w:val="24"/>
        </w:rPr>
        <w:t xml:space="preserve">In the interest of consumer justice and in light of the long delay described above, OCC proposes that </w:t>
      </w:r>
      <w:r w:rsidR="00EB366B">
        <w:rPr>
          <w:rFonts w:ascii="Times New Roman" w:hAnsi="Times New Roman" w:cs="Times New Roman"/>
          <w:sz w:val="24"/>
          <w:szCs w:val="24"/>
        </w:rPr>
        <w:t xml:space="preserve">any </w:t>
      </w:r>
      <w:r>
        <w:rPr>
          <w:rFonts w:ascii="Times New Roman" w:hAnsi="Times New Roman" w:cs="Times New Roman"/>
          <w:sz w:val="24"/>
          <w:szCs w:val="24"/>
        </w:rPr>
        <w:t>DP&amp;L supplemental testimony</w:t>
      </w:r>
      <w:r w:rsidR="00EB366B">
        <w:rPr>
          <w:rFonts w:ascii="Times New Roman" w:hAnsi="Times New Roman" w:cs="Times New Roman"/>
          <w:sz w:val="24"/>
          <w:szCs w:val="24"/>
        </w:rPr>
        <w:t xml:space="preserve"> should be due</w:t>
      </w:r>
      <w:r>
        <w:rPr>
          <w:rFonts w:ascii="Times New Roman" w:hAnsi="Times New Roman" w:cs="Times New Roman"/>
          <w:sz w:val="24"/>
          <w:szCs w:val="24"/>
        </w:rPr>
        <w:t xml:space="preserve"> by December 27, 2021.</w:t>
      </w:r>
      <w:r w:rsidR="00386C5D">
        <w:rPr>
          <w:rFonts w:ascii="Times New Roman" w:hAnsi="Times New Roman" w:cs="Times New Roman"/>
          <w:sz w:val="24"/>
          <w:szCs w:val="24"/>
        </w:rPr>
        <w:t xml:space="preserve"> </w:t>
      </w:r>
      <w:r>
        <w:rPr>
          <w:rFonts w:ascii="Times New Roman" w:hAnsi="Times New Roman" w:cs="Times New Roman"/>
          <w:sz w:val="24"/>
          <w:szCs w:val="24"/>
        </w:rPr>
        <w:t xml:space="preserve">This would give DP&amp;L sufficient time to prepare </w:t>
      </w:r>
      <w:r w:rsidR="00EB366B">
        <w:rPr>
          <w:rFonts w:ascii="Times New Roman" w:hAnsi="Times New Roman" w:cs="Times New Roman"/>
          <w:sz w:val="24"/>
          <w:szCs w:val="24"/>
        </w:rPr>
        <w:t xml:space="preserve">any </w:t>
      </w:r>
      <w:r>
        <w:rPr>
          <w:rFonts w:ascii="Times New Roman" w:hAnsi="Times New Roman" w:cs="Times New Roman"/>
          <w:sz w:val="24"/>
          <w:szCs w:val="24"/>
        </w:rPr>
        <w:t>supplemental testimony</w:t>
      </w:r>
      <w:r w:rsidR="00EE1708">
        <w:rPr>
          <w:rFonts w:ascii="Times New Roman" w:hAnsi="Times New Roman" w:cs="Times New Roman"/>
          <w:sz w:val="24"/>
          <w:szCs w:val="24"/>
        </w:rPr>
        <w:t xml:space="preserve"> </w:t>
      </w:r>
      <w:r w:rsidR="00EB366B">
        <w:rPr>
          <w:rFonts w:ascii="Times New Roman" w:hAnsi="Times New Roman" w:cs="Times New Roman"/>
          <w:sz w:val="24"/>
          <w:szCs w:val="24"/>
        </w:rPr>
        <w:t xml:space="preserve">and give </w:t>
      </w:r>
      <w:r>
        <w:rPr>
          <w:rFonts w:ascii="Times New Roman" w:hAnsi="Times New Roman" w:cs="Times New Roman"/>
          <w:sz w:val="24"/>
          <w:szCs w:val="24"/>
        </w:rPr>
        <w:t xml:space="preserve">OCC sufficient time </w:t>
      </w:r>
      <w:r w:rsidR="00EB366B">
        <w:rPr>
          <w:rFonts w:ascii="Times New Roman" w:hAnsi="Times New Roman" w:cs="Times New Roman"/>
          <w:sz w:val="24"/>
          <w:szCs w:val="24"/>
        </w:rPr>
        <w:t xml:space="preserve">under R.C. 4903.082 </w:t>
      </w:r>
      <w:r>
        <w:rPr>
          <w:rFonts w:ascii="Times New Roman" w:hAnsi="Times New Roman" w:cs="Times New Roman"/>
          <w:sz w:val="24"/>
          <w:szCs w:val="24"/>
        </w:rPr>
        <w:t>to conduct discovery (so long as discovery response time is reduced to seven days</w:t>
      </w:r>
      <w:r w:rsidR="00EB366B">
        <w:rPr>
          <w:rFonts w:ascii="Times New Roman" w:hAnsi="Times New Roman" w:cs="Times New Roman"/>
          <w:sz w:val="24"/>
          <w:szCs w:val="24"/>
        </w:rPr>
        <w:t xml:space="preserve"> and consumers receive other due process).</w:t>
      </w:r>
    </w:p>
    <w:p w:rsidR="00815CAD" w:rsidP="00283B25" w14:paraId="78A18391" w14:textId="55DA4C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Attorney Examiner clearly has the authority to shorten or enlarge the time period for discovery,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and should do so here.</w:t>
      </w:r>
      <w:r w:rsidR="00386C5D">
        <w:rPr>
          <w:rFonts w:ascii="Times New Roman" w:hAnsi="Times New Roman" w:cs="Times New Roman"/>
          <w:sz w:val="24"/>
          <w:szCs w:val="24"/>
        </w:rPr>
        <w:t xml:space="preserve"> </w:t>
      </w:r>
      <w:r>
        <w:rPr>
          <w:rFonts w:ascii="Times New Roman" w:hAnsi="Times New Roman" w:cs="Times New Roman"/>
          <w:sz w:val="24"/>
          <w:szCs w:val="24"/>
        </w:rPr>
        <w:t xml:space="preserve">A shortened discovery response time will allow the parties a fair opportunity to conduct a full investigation of the important issues involved in this proceeding. </w:t>
      </w:r>
    </w:p>
    <w:p w:rsidR="00815CAD" w:rsidP="00283B25" w14:paraId="67415A58" w14:textId="2BD53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shortened discovery response period is not a novel concept. The PUCO has frequently shortened discovery response periods in its proceedings.</w:t>
      </w:r>
      <w:r>
        <w:rPr>
          <w:rStyle w:val="FootnoteReference"/>
          <w:rFonts w:ascii="Times New Roman" w:hAnsi="Times New Roman" w:cs="Times New Roman"/>
          <w:sz w:val="24"/>
          <w:szCs w:val="24"/>
        </w:rPr>
        <w:footnoteReference w:id="14"/>
      </w:r>
      <w:r w:rsidR="00B053EB">
        <w:rPr>
          <w:rFonts w:ascii="Times New Roman" w:hAnsi="Times New Roman" w:cs="Times New Roman"/>
          <w:sz w:val="24"/>
          <w:szCs w:val="24"/>
        </w:rPr>
        <w:t xml:space="preserve"> </w:t>
      </w:r>
      <w:r>
        <w:rPr>
          <w:rFonts w:ascii="Times New Roman" w:hAnsi="Times New Roman" w:cs="Times New Roman"/>
          <w:sz w:val="24"/>
          <w:szCs w:val="24"/>
        </w:rPr>
        <w:t xml:space="preserve">Shortening discovery response time is consistent with PUCO Entries in similar cases where the time period to respond to discovery was shortened. In those Entries, the PUCO stated: </w:t>
      </w:r>
    </w:p>
    <w:p w:rsidR="00815CAD" w14:paraId="5133C7CC" w14:textId="52F4B1EE">
      <w:pPr>
        <w:ind w:left="1440" w:right="720"/>
        <w:rPr>
          <w:rFonts w:ascii="Times New Roman" w:hAnsi="Times New Roman" w:cs="Times New Roman"/>
          <w:sz w:val="24"/>
          <w:szCs w:val="24"/>
        </w:rPr>
      </w:pPr>
      <w:r>
        <w:rPr>
          <w:rFonts w:ascii="Times New Roman" w:hAnsi="Times New Roman" w:cs="Times New Roman"/>
          <w:sz w:val="24"/>
          <w:szCs w:val="24"/>
        </w:rPr>
        <w:t>Due to the abbreviated period for the start of the hearing, response time for discovery should be shortened * * *. Discovery requests and replies shall be made by hand delivery, email or telefax. An attorney serving a discovery request shall attempt to contact the attorney upon whom the discovery request will be served in advance to advise him or her that the request will be forthcoming. To the extent a party has difficulty responding to a discovery request * * *, counsel for the parties can discuss the problem and work out a mutually satisfactory solution.</w:t>
      </w:r>
      <w:r>
        <w:rPr>
          <w:rStyle w:val="FootnoteReference"/>
          <w:rFonts w:ascii="Times New Roman" w:hAnsi="Times New Roman" w:cs="Times New Roman"/>
          <w:sz w:val="24"/>
          <w:szCs w:val="24"/>
        </w:rPr>
        <w:footnoteReference w:id="15"/>
      </w:r>
      <w:r w:rsidR="00386C5D">
        <w:rPr>
          <w:rFonts w:ascii="Times New Roman" w:hAnsi="Times New Roman" w:cs="Times New Roman"/>
          <w:sz w:val="24"/>
          <w:szCs w:val="24"/>
        </w:rPr>
        <w:t xml:space="preserve"> </w:t>
      </w:r>
    </w:p>
    <w:p w:rsidR="00815CAD" w14:paraId="4A84B12E" w14:textId="677ED718">
      <w:pPr>
        <w:spacing w:line="480" w:lineRule="auto"/>
        <w:ind w:firstLine="720"/>
        <w:rPr>
          <w:rFonts w:ascii="Times New Roman" w:hAnsi="Times New Roman" w:cs="Times New Roman"/>
          <w:sz w:val="24"/>
          <w:szCs w:val="24"/>
        </w:rPr>
      </w:pPr>
      <w:r>
        <w:rPr>
          <w:rFonts w:ascii="Times New Roman" w:hAnsi="Times New Roman" w:cs="Times New Roman"/>
          <w:sz w:val="24"/>
          <w:szCs w:val="24"/>
        </w:rPr>
        <w:t>OCC’s proposed discovery response period is necessary to permit parties time to prepare while keeping this case on-track for consumer justice.</w:t>
      </w:r>
    </w:p>
    <w:p w:rsidR="00815CAD" w14:paraId="5F8E03E8" w14:textId="77777777">
      <w:pPr>
        <w:pStyle w:val="Heading1"/>
      </w:pPr>
      <w:r>
        <w:t>III.</w:t>
      </w:r>
      <w:r>
        <w:tab/>
        <w:t>Conclusion</w:t>
      </w:r>
    </w:p>
    <w:p w:rsidR="00283B25" w:rsidP="004A460B" w14:paraId="2306FBDF" w14:textId="7A3A47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Dayton-area c</w:t>
      </w:r>
      <w:r>
        <w:rPr>
          <w:rFonts w:ascii="Times New Roman" w:hAnsi="Times New Roman" w:cs="Times New Roman"/>
          <w:sz w:val="24"/>
          <w:szCs w:val="24"/>
        </w:rPr>
        <w:t>onsumers have</w:t>
      </w:r>
      <w:r>
        <w:rPr>
          <w:rFonts w:ascii="Times New Roman" w:hAnsi="Times New Roman" w:cs="Times New Roman"/>
          <w:sz w:val="24"/>
          <w:szCs w:val="24"/>
        </w:rPr>
        <w:t xml:space="preserve"> been made to</w:t>
      </w:r>
      <w:r>
        <w:rPr>
          <w:rFonts w:ascii="Times New Roman" w:hAnsi="Times New Roman" w:cs="Times New Roman"/>
          <w:sz w:val="24"/>
          <w:szCs w:val="24"/>
        </w:rPr>
        <w:t xml:space="preserve"> wait for justice </w:t>
      </w:r>
      <w:r>
        <w:rPr>
          <w:rFonts w:ascii="Times New Roman" w:hAnsi="Times New Roman" w:cs="Times New Roman"/>
          <w:sz w:val="24"/>
          <w:szCs w:val="24"/>
        </w:rPr>
        <w:t>too long</w:t>
      </w:r>
      <w:r>
        <w:rPr>
          <w:rFonts w:ascii="Times New Roman" w:hAnsi="Times New Roman" w:cs="Times New Roman"/>
          <w:sz w:val="24"/>
          <w:szCs w:val="24"/>
        </w:rPr>
        <w:t>.</w:t>
      </w:r>
      <w:r w:rsidR="00386C5D">
        <w:rPr>
          <w:rFonts w:ascii="Times New Roman" w:hAnsi="Times New Roman" w:cs="Times New Roman"/>
          <w:sz w:val="24"/>
          <w:szCs w:val="24"/>
        </w:rPr>
        <w:t xml:space="preserve"> </w:t>
      </w:r>
      <w:r>
        <w:rPr>
          <w:rFonts w:ascii="Times New Roman" w:hAnsi="Times New Roman" w:cs="Times New Roman"/>
          <w:sz w:val="24"/>
          <w:szCs w:val="24"/>
        </w:rPr>
        <w:t>OCC’s proposed procedural schedule is fair, just, and reasonable.</w:t>
      </w:r>
      <w:r w:rsidR="00386C5D">
        <w:rPr>
          <w:rFonts w:ascii="Times New Roman" w:hAnsi="Times New Roman" w:cs="Times New Roman"/>
          <w:sz w:val="24"/>
          <w:szCs w:val="24"/>
        </w:rPr>
        <w:t xml:space="preserve"> </w:t>
      </w:r>
      <w:r>
        <w:rPr>
          <w:rFonts w:ascii="Times New Roman" w:hAnsi="Times New Roman" w:cs="Times New Roman"/>
          <w:sz w:val="24"/>
          <w:szCs w:val="24"/>
        </w:rPr>
        <w:t>It should be adopted.</w:t>
      </w:r>
    </w:p>
    <w:p w:rsidR="008F7C82" w:rsidP="008F7C82" w14:paraId="15A3BB34" w14:textId="77777777">
      <w:pPr>
        <w:ind w:left="3600" w:firstLine="720"/>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8F7C82" w:rsidP="008F7C82" w14:paraId="63D1534C" w14:textId="77777777">
      <w:pPr>
        <w:tabs>
          <w:tab w:val="left" w:pos="4320"/>
        </w:tabs>
        <w:spacing w:after="0"/>
        <w:ind w:left="4320"/>
        <w:rPr>
          <w:rFonts w:ascii="Times New Roman" w:hAnsi="Times New Roman" w:cs="Times New Roman"/>
          <w:sz w:val="24"/>
          <w:szCs w:val="24"/>
        </w:rPr>
      </w:pPr>
      <w:r>
        <w:rPr>
          <w:rFonts w:ascii="Times New Roman" w:hAnsi="Times New Roman" w:cs="Times New Roman"/>
          <w:sz w:val="24"/>
          <w:szCs w:val="24"/>
        </w:rPr>
        <w:t>Bruce Weston (0016973)</w:t>
      </w:r>
    </w:p>
    <w:p w:rsidR="008F7C82" w:rsidP="008F7C82" w14:paraId="70756B30" w14:textId="77777777">
      <w:pPr>
        <w:tabs>
          <w:tab w:val="left" w:pos="4320"/>
        </w:tabs>
        <w:spacing w:after="0"/>
        <w:ind w:left="4320"/>
        <w:rPr>
          <w:rFonts w:ascii="Times New Roman" w:hAnsi="Times New Roman" w:cs="Times New Roman"/>
          <w:sz w:val="24"/>
          <w:szCs w:val="24"/>
        </w:rPr>
      </w:pPr>
      <w:r>
        <w:rPr>
          <w:rFonts w:ascii="Times New Roman" w:hAnsi="Times New Roman" w:cs="Times New Roman"/>
          <w:sz w:val="24"/>
          <w:szCs w:val="24"/>
        </w:rPr>
        <w:t>Ohio Consumers’ Counsel</w:t>
      </w:r>
    </w:p>
    <w:p w:rsidR="008F7C82" w:rsidP="008F7C82" w14:paraId="639E15CF" w14:textId="77777777">
      <w:pPr>
        <w:tabs>
          <w:tab w:val="left" w:pos="4320"/>
        </w:tabs>
        <w:spacing w:after="0"/>
        <w:ind w:left="4320"/>
        <w:rPr>
          <w:rFonts w:ascii="Times New Roman" w:hAnsi="Times New Roman" w:cs="Times New Roman"/>
          <w:sz w:val="24"/>
          <w:szCs w:val="24"/>
        </w:rPr>
      </w:pPr>
    </w:p>
    <w:p w:rsidR="008F7C82" w:rsidP="008F7C82" w14:paraId="42B78C54" w14:textId="77777777">
      <w:pPr>
        <w:tabs>
          <w:tab w:val="left" w:pos="4320"/>
        </w:tabs>
        <w:spacing w:after="0"/>
        <w:ind w:left="4320" w:right="-180"/>
        <w:rPr>
          <w:rFonts w:ascii="Times New Roman" w:hAnsi="Times New Roman" w:cs="Times New Roman"/>
          <w:i/>
          <w:iCs/>
          <w:sz w:val="24"/>
          <w:szCs w:val="24"/>
          <w:u w:val="single"/>
        </w:rPr>
      </w:pPr>
      <w:r>
        <w:rPr>
          <w:rFonts w:ascii="Times New Roman" w:hAnsi="Times New Roman" w:cs="Times New Roman"/>
          <w:i/>
          <w:iCs/>
          <w:sz w:val="24"/>
          <w:szCs w:val="24"/>
          <w:u w:val="single"/>
        </w:rPr>
        <w:t>/s/ Maureen R. Willis</w:t>
      </w:r>
    </w:p>
    <w:p w:rsidR="008F7C82" w:rsidP="008F7C82" w14:paraId="168F3C19" w14:textId="77777777">
      <w:pPr>
        <w:tabs>
          <w:tab w:val="left" w:pos="4320"/>
        </w:tabs>
        <w:spacing w:after="0"/>
        <w:ind w:left="4320" w:right="-180"/>
        <w:rPr>
          <w:rFonts w:ascii="Times New Roman" w:hAnsi="Times New Roman" w:cs="Times New Roman"/>
          <w:sz w:val="24"/>
          <w:szCs w:val="24"/>
        </w:rPr>
      </w:pPr>
      <w:r>
        <w:rPr>
          <w:rFonts w:ascii="Times New Roman" w:hAnsi="Times New Roman" w:cs="Times New Roman"/>
          <w:sz w:val="24"/>
          <w:szCs w:val="24"/>
        </w:rPr>
        <w:t>Maureen R. Willis (0020847)</w:t>
      </w:r>
    </w:p>
    <w:p w:rsidR="008F7C82" w:rsidP="008F7C82" w14:paraId="10014CCC" w14:textId="77777777">
      <w:pPr>
        <w:tabs>
          <w:tab w:val="left" w:pos="4320"/>
        </w:tabs>
        <w:spacing w:after="0"/>
        <w:ind w:left="4320" w:right="-180"/>
        <w:rPr>
          <w:rFonts w:ascii="Times New Roman" w:hAnsi="Times New Roman" w:cs="Times New Roman"/>
          <w:sz w:val="24"/>
          <w:szCs w:val="24"/>
        </w:rPr>
      </w:pPr>
      <w:r>
        <w:rPr>
          <w:rFonts w:ascii="Times New Roman" w:hAnsi="Times New Roman" w:cs="Times New Roman"/>
          <w:sz w:val="24"/>
          <w:szCs w:val="24"/>
        </w:rPr>
        <w:t>Counsel of Record</w:t>
      </w:r>
    </w:p>
    <w:p w:rsidR="008F7C82" w:rsidP="008F7C82" w14:paraId="1CEBED0D" w14:textId="77777777">
      <w:pPr>
        <w:tabs>
          <w:tab w:val="left" w:pos="4320"/>
        </w:tabs>
        <w:spacing w:after="0"/>
        <w:ind w:left="4320" w:right="-180"/>
        <w:rPr>
          <w:rFonts w:ascii="Times New Roman" w:hAnsi="Times New Roman" w:cs="Times New Roman"/>
          <w:sz w:val="24"/>
          <w:szCs w:val="24"/>
        </w:rPr>
      </w:pPr>
      <w:r>
        <w:rPr>
          <w:rFonts w:ascii="Times New Roman" w:hAnsi="Times New Roman" w:cs="Times New Roman"/>
          <w:sz w:val="24"/>
          <w:szCs w:val="24"/>
        </w:rPr>
        <w:t>Christopher Healey (0086027)</w:t>
      </w:r>
    </w:p>
    <w:p w:rsidR="008F7C82" w:rsidP="008F7C82" w14:paraId="21F1D561" w14:textId="77777777">
      <w:pPr>
        <w:tabs>
          <w:tab w:val="left" w:pos="4320"/>
        </w:tabs>
        <w:spacing w:after="0"/>
        <w:ind w:left="4320" w:right="-180"/>
        <w:rPr>
          <w:rFonts w:ascii="Times New Roman" w:hAnsi="Times New Roman" w:cs="Times New Roman"/>
          <w:sz w:val="24"/>
          <w:szCs w:val="24"/>
        </w:rPr>
      </w:pPr>
      <w:r>
        <w:rPr>
          <w:rFonts w:ascii="Times New Roman" w:hAnsi="Times New Roman" w:cs="Times New Roman"/>
          <w:sz w:val="24"/>
          <w:szCs w:val="24"/>
        </w:rPr>
        <w:t>William J. Michael (0070921)</w:t>
      </w:r>
    </w:p>
    <w:p w:rsidR="008F7C82" w:rsidP="008F7C82" w14:paraId="5593B2EB" w14:textId="374E49A9">
      <w:pPr>
        <w:spacing w:after="0"/>
        <w:ind w:left="3600" w:firstLine="720"/>
        <w:rPr>
          <w:rFonts w:ascii="Times New Roman" w:hAnsi="Times New Roman" w:cs="Times New Roman"/>
          <w:sz w:val="24"/>
          <w:szCs w:val="24"/>
        </w:rPr>
      </w:pPr>
      <w:r>
        <w:rPr>
          <w:rFonts w:ascii="Times New Roman" w:hAnsi="Times New Roman" w:cs="Times New Roman"/>
          <w:sz w:val="24"/>
          <w:szCs w:val="24"/>
        </w:rPr>
        <w:t xml:space="preserve">Assistant Consumers’ Counsel </w:t>
      </w:r>
    </w:p>
    <w:p w:rsidR="004A460B" w:rsidP="008F7C82" w14:paraId="516CB647" w14:textId="77777777">
      <w:pPr>
        <w:spacing w:after="0"/>
        <w:ind w:left="3600" w:firstLine="720"/>
        <w:rPr>
          <w:rFonts w:ascii="Times New Roman" w:hAnsi="Times New Roman" w:cs="Times New Roman"/>
          <w:sz w:val="24"/>
          <w:szCs w:val="24"/>
        </w:rPr>
      </w:pPr>
    </w:p>
    <w:p w:rsidR="008F7C82" w:rsidP="008F7C82" w14:paraId="288B8B9E" w14:textId="77777777">
      <w:pPr>
        <w:spacing w:after="0"/>
        <w:ind w:left="3600" w:firstLine="720"/>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8F7C82" w:rsidP="008F7C82" w14:paraId="0C77F190" w14:textId="77777777">
      <w:pPr>
        <w:pStyle w:val="PlainText"/>
        <w:ind w:left="3600" w:firstLine="720"/>
        <w:rPr>
          <w:rFonts w:ascii="Times New Roman" w:hAnsi="Times New Roman" w:cs="Times New Roman"/>
          <w:sz w:val="24"/>
          <w:szCs w:val="24"/>
        </w:rPr>
      </w:pPr>
      <w:r>
        <w:rPr>
          <w:rFonts w:ascii="Times New Roman" w:hAnsi="Times New Roman" w:cs="Times New Roman"/>
          <w:sz w:val="24"/>
          <w:szCs w:val="24"/>
        </w:rPr>
        <w:t>65 East State Street, 7th Floor</w:t>
      </w:r>
    </w:p>
    <w:p w:rsidR="008F7C82" w:rsidP="008F7C82" w14:paraId="707AC786" w14:textId="77777777">
      <w:pPr>
        <w:pStyle w:val="PlainText"/>
        <w:ind w:left="3600" w:firstLine="720"/>
        <w:rPr>
          <w:rFonts w:ascii="Times New Roman" w:hAnsi="Times New Roman" w:cs="Times New Roman"/>
          <w:sz w:val="24"/>
          <w:szCs w:val="24"/>
        </w:rPr>
      </w:pPr>
      <w:r>
        <w:rPr>
          <w:rFonts w:ascii="Times New Roman" w:hAnsi="Times New Roman" w:cs="Times New Roman"/>
          <w:sz w:val="24"/>
          <w:szCs w:val="24"/>
        </w:rPr>
        <w:t>Columbus, Ohio 43215-4213</w:t>
      </w:r>
    </w:p>
    <w:p w:rsidR="008F7C82" w:rsidP="008F7C82" w14:paraId="314551F2" w14:textId="77777777">
      <w:pPr>
        <w:adjustRightInd w:val="0"/>
        <w:spacing w:after="0"/>
        <w:ind w:left="4320"/>
        <w:rPr>
          <w:rFonts w:ascii="Times New Roman" w:hAnsi="Times New Roman" w:cs="Times New Roman"/>
          <w:sz w:val="24"/>
          <w:szCs w:val="24"/>
        </w:rPr>
      </w:pPr>
      <w:r>
        <w:rPr>
          <w:rFonts w:ascii="Times New Roman" w:hAnsi="Times New Roman" w:cs="Times New Roman"/>
          <w:sz w:val="24"/>
          <w:szCs w:val="24"/>
        </w:rPr>
        <w:t>Telephone: Willis (614) 466-9567</w:t>
      </w:r>
    </w:p>
    <w:p w:rsidR="008F7C82" w:rsidP="008F7C82" w14:paraId="4B658AE7" w14:textId="77777777">
      <w:pPr>
        <w:adjustRightInd w:val="0"/>
        <w:spacing w:after="0"/>
        <w:ind w:left="4320"/>
        <w:rPr>
          <w:rFonts w:ascii="Times New Roman" w:hAnsi="Times New Roman" w:cs="Times New Roman"/>
          <w:sz w:val="24"/>
          <w:szCs w:val="24"/>
        </w:rPr>
      </w:pPr>
      <w:r>
        <w:rPr>
          <w:rFonts w:ascii="Times New Roman" w:hAnsi="Times New Roman" w:cs="Times New Roman"/>
          <w:sz w:val="24"/>
          <w:szCs w:val="24"/>
        </w:rPr>
        <w:t>Telephone: Healey (614) 466-9571</w:t>
      </w:r>
    </w:p>
    <w:p w:rsidR="008F7C82" w:rsidP="008F7C82" w14:paraId="118E9F88" w14:textId="77777777">
      <w:pPr>
        <w:adjustRightInd w:val="0"/>
        <w:spacing w:after="0"/>
        <w:ind w:left="4320"/>
        <w:rPr>
          <w:rFonts w:ascii="Times New Roman" w:hAnsi="Times New Roman" w:cs="Times New Roman"/>
          <w:sz w:val="24"/>
          <w:szCs w:val="24"/>
        </w:rPr>
      </w:pPr>
      <w:r>
        <w:rPr>
          <w:rFonts w:ascii="Times New Roman" w:hAnsi="Times New Roman" w:cs="Times New Roman"/>
          <w:sz w:val="24"/>
          <w:szCs w:val="24"/>
        </w:rPr>
        <w:t>Telephone: Michael (614) 466-1291</w:t>
      </w:r>
    </w:p>
    <w:p w:rsidR="008F7C82" w:rsidRPr="008F7C82" w:rsidP="008F7C82" w14:paraId="278ACF31" w14:textId="77777777">
      <w:pPr>
        <w:spacing w:after="0"/>
        <w:ind w:left="4320"/>
        <w:rPr>
          <w:rFonts w:ascii="Times New Roman" w:hAnsi="Times New Roman" w:cs="Times New Roman"/>
          <w:sz w:val="24"/>
          <w:szCs w:val="24"/>
        </w:rPr>
      </w:pPr>
      <w:hyperlink r:id="rId7" w:history="1">
        <w:r w:rsidRPr="008F7C82">
          <w:rPr>
            <w:rStyle w:val="Hyperlink"/>
            <w:rFonts w:ascii="Times New Roman" w:hAnsi="Times New Roman" w:cs="Times New Roman"/>
            <w:sz w:val="24"/>
            <w:szCs w:val="24"/>
          </w:rPr>
          <w:t>maureen.willis@occ.ohio.gov</w:t>
        </w:r>
      </w:hyperlink>
      <w:r w:rsidRPr="008F7C82">
        <w:rPr>
          <w:rFonts w:ascii="Times New Roman" w:hAnsi="Times New Roman" w:cs="Times New Roman"/>
          <w:sz w:val="24"/>
          <w:szCs w:val="24"/>
        </w:rPr>
        <w:t xml:space="preserve"> </w:t>
      </w:r>
    </w:p>
    <w:p w:rsidR="008F7C82" w:rsidRPr="008F7C82" w:rsidP="008F7C82" w14:paraId="133B59C7" w14:textId="77777777">
      <w:pPr>
        <w:spacing w:after="0"/>
        <w:ind w:left="4320"/>
        <w:rPr>
          <w:rFonts w:ascii="Times New Roman" w:hAnsi="Times New Roman" w:cs="Times New Roman"/>
          <w:sz w:val="24"/>
          <w:szCs w:val="24"/>
        </w:rPr>
      </w:pPr>
      <w:hyperlink r:id="rId8" w:history="1">
        <w:r w:rsidRPr="008F7C82">
          <w:rPr>
            <w:rStyle w:val="Hyperlink"/>
            <w:rFonts w:ascii="Times New Roman" w:hAnsi="Times New Roman" w:cs="Times New Roman"/>
            <w:sz w:val="24"/>
            <w:szCs w:val="24"/>
          </w:rPr>
          <w:t>christopher.healey@occ.ohio.gov</w:t>
        </w:r>
      </w:hyperlink>
    </w:p>
    <w:p w:rsidR="008F7C82" w:rsidRPr="008F7C82" w:rsidP="008F7C82" w14:paraId="66EFEC00" w14:textId="77777777">
      <w:pPr>
        <w:spacing w:after="0"/>
        <w:ind w:left="4320"/>
        <w:rPr>
          <w:rFonts w:ascii="Times New Roman" w:hAnsi="Times New Roman" w:cs="Times New Roman"/>
          <w:sz w:val="24"/>
          <w:szCs w:val="24"/>
        </w:rPr>
      </w:pPr>
      <w:hyperlink r:id="rId9" w:history="1">
        <w:r w:rsidRPr="008F7C82">
          <w:rPr>
            <w:rStyle w:val="Hyperlink"/>
            <w:rFonts w:ascii="Times New Roman" w:hAnsi="Times New Roman" w:cs="Times New Roman"/>
            <w:sz w:val="24"/>
            <w:szCs w:val="24"/>
          </w:rPr>
          <w:t>william.michael@occ.ohio.gov</w:t>
        </w:r>
      </w:hyperlink>
    </w:p>
    <w:p w:rsidR="008F7C82" w:rsidP="008F7C82" w14:paraId="1D3DAB7F" w14:textId="77777777">
      <w:pPr>
        <w:spacing w:after="0"/>
        <w:rPr>
          <w:color w:val="424242"/>
          <w:sz w:val="19"/>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(willing to accept service by e-mail)</w:t>
      </w:r>
      <w:r>
        <w:rPr>
          <w:color w:val="424242"/>
          <w:sz w:val="19"/>
        </w:rPr>
        <w:br w:type="page"/>
      </w:r>
    </w:p>
    <w:p w:rsidR="008F7C82" w:rsidP="008F7C82" w14:paraId="61E8E566" w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CERTIFICATE OF SERVICE</w:t>
      </w:r>
    </w:p>
    <w:p w:rsidR="008F7C82" w:rsidP="008F7C82" w14:paraId="52CCAB66" w14:textId="6CC7DC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hereby certify that a copy of the foregoing Reply was electronically served via electric transmission on the persons stated below this </w:t>
      </w:r>
      <w:r w:rsidR="0094279D">
        <w:rPr>
          <w:rFonts w:ascii="Times New Roman" w:hAnsi="Times New Roman" w:cs="Times New Roman"/>
          <w:sz w:val="24"/>
          <w:szCs w:val="24"/>
        </w:rPr>
        <w:t>7th</w:t>
      </w:r>
      <w:r>
        <w:rPr>
          <w:rFonts w:ascii="Times New Roman" w:hAnsi="Times New Roman" w:cs="Times New Roman"/>
          <w:sz w:val="24"/>
          <w:szCs w:val="24"/>
        </w:rPr>
        <w:t xml:space="preserve"> day of October 2021.</w:t>
      </w:r>
    </w:p>
    <w:p w:rsidR="008F7C82" w:rsidP="008F7C82" w14:paraId="10D845DE" w14:textId="777777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Maureen R. Willis</w:t>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8F7C82" w:rsidP="008F7C82" w14:paraId="53FD1902" w14:textId="77777777">
      <w:pPr>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Maureen R. Willis</w:t>
      </w:r>
    </w:p>
    <w:p w:rsidR="008F7C82" w:rsidP="008F7C82" w14:paraId="2FB546E2" w14:textId="77777777">
      <w:pPr>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Counsel of Record</w:t>
      </w:r>
    </w:p>
    <w:p w:rsidR="008F7C82" w:rsidP="008F7C82" w14:paraId="586D07D1" w14:textId="77777777">
      <w:pPr>
        <w:pStyle w:val="CommentText"/>
        <w:jc w:val="center"/>
        <w:rPr>
          <w:b/>
          <w:sz w:val="24"/>
          <w:szCs w:val="24"/>
          <w:u w:val="single"/>
        </w:rPr>
      </w:pPr>
    </w:p>
    <w:p w:rsidR="008F7C82" w:rsidP="008F7C82" w14:paraId="69D1D436" w14:textId="77777777">
      <w:pPr>
        <w:rPr>
          <w:rFonts w:ascii="Times New Roman" w:hAnsi="Times New Roman" w:cs="Times New Roman"/>
          <w:sz w:val="24"/>
          <w:szCs w:val="24"/>
        </w:rPr>
      </w:pPr>
      <w:r>
        <w:rPr>
          <w:rFonts w:ascii="Times New Roman" w:hAnsi="Times New Roman" w:cs="Times New Roman"/>
          <w:sz w:val="24"/>
          <w:szCs w:val="24"/>
        </w:rPr>
        <w:t>The PUCO’s e-filing system will electronically serve notice of the filing of this document on the following parties:</w:t>
      </w:r>
    </w:p>
    <w:p w:rsidR="008F7C82" w:rsidP="008F7C82" w14:paraId="31C6FC0D" w14:textId="77777777">
      <w:pPr>
        <w:pStyle w:val="CommentText"/>
        <w:jc w:val="center"/>
        <w:rPr>
          <w:b/>
          <w:sz w:val="24"/>
          <w:szCs w:val="24"/>
          <w:u w:val="single"/>
        </w:rPr>
      </w:pPr>
    </w:p>
    <w:p w:rsidR="008F7C82" w:rsidP="008F7C82" w14:paraId="39C04FCC" w14:textId="77777777">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LIST</w:t>
      </w:r>
    </w:p>
    <w:tbl>
      <w:tblPr>
        <w:tblW w:w="0" w:type="auto"/>
        <w:tblLook w:val="04A0"/>
      </w:tblPr>
      <w:tblGrid>
        <w:gridCol w:w="9092"/>
      </w:tblGrid>
      <w:tr w14:paraId="5BC6211E" w14:textId="77777777" w:rsidTr="008F7C82">
        <w:tblPrEx>
          <w:tblW w:w="0" w:type="auto"/>
          <w:tblLook w:val="04A0"/>
        </w:tblPrEx>
        <w:tc>
          <w:tcPr>
            <w:tcW w:w="9092" w:type="dxa"/>
            <w:shd w:val="clear" w:color="auto" w:fill="auto"/>
          </w:tcPr>
          <w:tbl>
            <w:tblPr>
              <w:tblW w:w="8876" w:type="dxa"/>
              <w:tblLook w:val="04A0"/>
            </w:tblPr>
            <w:tblGrid>
              <w:gridCol w:w="4449"/>
              <w:gridCol w:w="4427"/>
            </w:tblGrid>
            <w:tr w14:paraId="1D3F4127" w14:textId="77777777" w:rsidTr="00F400DE">
              <w:tblPrEx>
                <w:tblW w:w="8876" w:type="dxa"/>
                <w:tblLook w:val="04A0"/>
              </w:tblPrEx>
              <w:tc>
                <w:tcPr>
                  <w:tcW w:w="4449" w:type="dxa"/>
                  <w:shd w:val="clear" w:color="auto" w:fill="auto"/>
                </w:tcPr>
                <w:p w:rsidR="008F7C82" w:rsidP="008F7C82" w14:paraId="2C7E00BB" w14:textId="77777777">
                  <w:pPr>
                    <w:adjustRightInd w:val="0"/>
                    <w:spacing w:after="0" w:line="240" w:lineRule="auto"/>
                    <w:rPr>
                      <w:rFonts w:ascii="Times New Roman" w:eastAsia="Times New Roman" w:hAnsi="Times New Roman" w:cs="Times New Roman"/>
                      <w:sz w:val="24"/>
                      <w:szCs w:val="24"/>
                    </w:rPr>
                  </w:pPr>
                  <w:hyperlink r:id="rId10" w:history="1">
                    <w:r>
                      <w:rPr>
                        <w:rFonts w:ascii="Times New Roman" w:eastAsia="Times New Roman" w:hAnsi="Times New Roman" w:cs="Times New Roman"/>
                        <w:color w:val="0000FF"/>
                        <w:sz w:val="24"/>
                        <w:szCs w:val="24"/>
                        <w:u w:val="single"/>
                      </w:rPr>
                      <w:t>Thomas.Lindgren@ohioAGO.gov</w:t>
                    </w:r>
                  </w:hyperlink>
                  <w:r>
                    <w:rPr>
                      <w:rFonts w:ascii="Times New Roman" w:eastAsia="Times New Roman" w:hAnsi="Times New Roman" w:cs="Times New Roman"/>
                      <w:sz w:val="24"/>
                      <w:szCs w:val="24"/>
                    </w:rPr>
                    <w:t xml:space="preserve"> </w:t>
                  </w:r>
                </w:p>
                <w:p w:rsidR="008F7C82" w:rsidP="008F7C82" w14:paraId="78EECEB0" w14:textId="77777777">
                  <w:pPr>
                    <w:adjustRightInd w:val="0"/>
                    <w:spacing w:after="0" w:line="240" w:lineRule="auto"/>
                    <w:rPr>
                      <w:rFonts w:ascii="Times New Roman" w:eastAsia="Times New Roman" w:hAnsi="Times New Roman" w:cs="Times New Roman"/>
                      <w:sz w:val="24"/>
                      <w:szCs w:val="24"/>
                    </w:rPr>
                  </w:pPr>
                  <w:hyperlink r:id="rId11" w:history="1">
                    <w:r>
                      <w:rPr>
                        <w:rFonts w:ascii="Times New Roman" w:eastAsia="Times New Roman" w:hAnsi="Times New Roman" w:cs="Times New Roman"/>
                        <w:color w:val="0000FF"/>
                        <w:sz w:val="24"/>
                        <w:szCs w:val="24"/>
                        <w:u w:val="single"/>
                      </w:rPr>
                      <w:t>djireland@ficlaw.com</w:t>
                    </w:r>
                  </w:hyperlink>
                </w:p>
                <w:p w:rsidR="008F7C82" w:rsidP="008F7C82" w14:paraId="7C7C1E16" w14:textId="77777777">
                  <w:pPr>
                    <w:adjustRightInd w:val="0"/>
                    <w:spacing w:after="0" w:line="240" w:lineRule="auto"/>
                    <w:rPr>
                      <w:rFonts w:ascii="Times New Roman" w:eastAsia="Times New Roman" w:hAnsi="Times New Roman" w:cs="Times New Roman"/>
                      <w:color w:val="0000FF"/>
                      <w:sz w:val="24"/>
                      <w:szCs w:val="24"/>
                      <w:u w:val="single"/>
                    </w:rPr>
                  </w:pPr>
                  <w:hyperlink r:id="rId12" w:history="1">
                    <w:r>
                      <w:rPr>
                        <w:rFonts w:ascii="Times New Roman" w:eastAsia="Times New Roman" w:hAnsi="Times New Roman" w:cs="Times New Roman"/>
                        <w:color w:val="0000FF"/>
                        <w:sz w:val="24"/>
                        <w:szCs w:val="24"/>
                        <w:u w:val="single"/>
                      </w:rPr>
                      <w:t>jsharkey@ficlaw.com</w:t>
                    </w:r>
                  </w:hyperlink>
                </w:p>
                <w:p w:rsidR="008F7C82" w:rsidP="008F7C82" w14:paraId="409B1E6A" w14:textId="77777777">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chollon@ficlaw.com</w:t>
                  </w:r>
                </w:p>
                <w:p w:rsidR="008F7C82" w:rsidRPr="00EE1708" w:rsidP="008F7C82" w14:paraId="19EA9C0E" w14:textId="77777777">
                  <w:pPr>
                    <w:tabs>
                      <w:tab w:val="left" w:pos="4320"/>
                    </w:tabs>
                    <w:spacing w:after="0" w:line="240" w:lineRule="auto"/>
                    <w:rPr>
                      <w:rFonts w:ascii="Times New Roman" w:eastAsia="Times New Roman" w:hAnsi="Times New Roman" w:cs="Times New Roman"/>
                      <w:color w:val="0000FF"/>
                      <w:sz w:val="24"/>
                      <w:szCs w:val="24"/>
                    </w:rPr>
                  </w:pPr>
                  <w:hyperlink r:id="rId13" w:history="1">
                    <w:r w:rsidRPr="00EE1708">
                      <w:rPr>
                        <w:rStyle w:val="Hyperlink"/>
                        <w:rFonts w:ascii="Times New Roman" w:eastAsia="Times New Roman" w:hAnsi="Times New Roman" w:cs="Times New Roman"/>
                        <w:sz w:val="24"/>
                        <w:szCs w:val="24"/>
                      </w:rPr>
                      <w:t>joliker@igsenergy.com</w:t>
                    </w:r>
                  </w:hyperlink>
                  <w:r w:rsidRPr="00EE1708">
                    <w:rPr>
                      <w:rFonts w:ascii="Times New Roman" w:eastAsia="Times New Roman" w:hAnsi="Times New Roman" w:cs="Times New Roman"/>
                      <w:color w:val="0000FF"/>
                      <w:sz w:val="24"/>
                      <w:szCs w:val="24"/>
                    </w:rPr>
                    <w:t xml:space="preserve"> </w:t>
                  </w:r>
                </w:p>
                <w:p w:rsidR="008F7C82" w:rsidP="008F7C82" w14:paraId="58718CDE" w14:textId="77777777">
                  <w:pPr>
                    <w:adjustRightInd w:val="0"/>
                    <w:spacing w:after="0" w:line="240" w:lineRule="auto"/>
                    <w:rPr>
                      <w:rFonts w:ascii="Times New Roman" w:eastAsia="Times New Roman" w:hAnsi="Times New Roman" w:cs="Times New Roman"/>
                      <w:sz w:val="24"/>
                      <w:szCs w:val="24"/>
                    </w:rPr>
                  </w:pPr>
                  <w:hyperlink r:id="rId14" w:history="1">
                    <w:r>
                      <w:rPr>
                        <w:rFonts w:ascii="Times New Roman" w:eastAsia="Times New Roman" w:hAnsi="Times New Roman" w:cs="Times New Roman"/>
                        <w:color w:val="0000FF"/>
                        <w:sz w:val="24"/>
                        <w:szCs w:val="24"/>
                        <w:u w:val="single"/>
                      </w:rPr>
                      <w:t>Ned.Ford@fuse.net</w:t>
                    </w:r>
                  </w:hyperlink>
                </w:p>
                <w:p w:rsidR="008F7C82" w:rsidP="008F7C82" w14:paraId="1735FAF1" w14:textId="77777777">
                  <w:pPr>
                    <w:adjustRightInd w:val="0"/>
                    <w:spacing w:after="0" w:line="240" w:lineRule="auto"/>
                    <w:rPr>
                      <w:rFonts w:ascii="Times New Roman" w:eastAsia="Times New Roman" w:hAnsi="Times New Roman" w:cs="Times New Roman"/>
                      <w:color w:val="0000FF"/>
                      <w:sz w:val="24"/>
                      <w:szCs w:val="24"/>
                      <w:u w:val="single"/>
                    </w:rPr>
                  </w:pPr>
                  <w:hyperlink r:id="rId15" w:history="1">
                    <w:r>
                      <w:rPr>
                        <w:rFonts w:ascii="Times New Roman" w:eastAsia="Times New Roman" w:hAnsi="Times New Roman" w:cs="Times New Roman"/>
                        <w:color w:val="0000FF"/>
                        <w:sz w:val="24"/>
                        <w:szCs w:val="24"/>
                        <w:u w:val="single"/>
                      </w:rPr>
                      <w:t>mjsettineri@vorys.com</w:t>
                    </w:r>
                  </w:hyperlink>
                </w:p>
                <w:p w:rsidR="008F7C82" w:rsidP="008F7C82" w14:paraId="0CE89E4F" w14:textId="5E088973">
                  <w:pPr>
                    <w:adjustRightInd w:val="0"/>
                    <w:spacing w:after="0" w:line="240" w:lineRule="auto"/>
                    <w:rPr>
                      <w:rFonts w:ascii="Times New Roman" w:eastAsia="Times New Roman" w:hAnsi="Times New Roman" w:cs="Times New Roman"/>
                      <w:color w:val="0000FF"/>
                      <w:sz w:val="24"/>
                      <w:szCs w:val="24"/>
                      <w:u w:val="single"/>
                    </w:rPr>
                  </w:pPr>
                  <w:hyperlink r:id="rId16" w:history="1">
                    <w:r>
                      <w:rPr>
                        <w:rFonts w:ascii="Times New Roman" w:eastAsia="Times New Roman" w:hAnsi="Times New Roman" w:cs="Times New Roman"/>
                        <w:color w:val="0000FF"/>
                        <w:sz w:val="24"/>
                        <w:szCs w:val="24"/>
                        <w:u w:val="single"/>
                      </w:rPr>
                      <w:t>glpetrucci@vorys.com</w:t>
                    </w:r>
                  </w:hyperlink>
                </w:p>
                <w:p w:rsidR="00EE1708" w:rsidP="008F7C82" w14:paraId="088DEDF4" w14:textId="23161240">
                  <w:pPr>
                    <w:adjustRightInd w:val="0"/>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u w:val="single"/>
                    </w:rPr>
                    <w:t>fdarr2019@gmail.com</w:t>
                  </w:r>
                </w:p>
                <w:p w:rsidR="008F7C82" w:rsidP="008F7C82" w14:paraId="530DFD5D" w14:textId="77777777">
                  <w:pPr>
                    <w:adjustRightInd w:val="0"/>
                    <w:spacing w:after="0" w:line="240" w:lineRule="auto"/>
                    <w:rPr>
                      <w:rFonts w:ascii="Times New Roman" w:eastAsia="Times New Roman" w:hAnsi="Times New Roman" w:cs="Times New Roman"/>
                      <w:sz w:val="24"/>
                      <w:szCs w:val="24"/>
                    </w:rPr>
                  </w:pPr>
                  <w:hyperlink r:id="rId17" w:history="1">
                    <w:r>
                      <w:rPr>
                        <w:rFonts w:ascii="Times New Roman" w:eastAsia="Times New Roman" w:hAnsi="Times New Roman" w:cs="Times New Roman"/>
                        <w:color w:val="0000FF"/>
                        <w:sz w:val="24"/>
                        <w:szCs w:val="24"/>
                        <w:u w:val="single"/>
                      </w:rPr>
                      <w:t>Bojko@carpenterlipps.com</w:t>
                    </w:r>
                  </w:hyperlink>
                  <w:r>
                    <w:rPr>
                      <w:rFonts w:ascii="Times New Roman" w:eastAsia="Times New Roman" w:hAnsi="Times New Roman" w:cs="Times New Roman"/>
                      <w:sz w:val="24"/>
                      <w:szCs w:val="24"/>
                    </w:rPr>
                    <w:t xml:space="preserve"> </w:t>
                  </w:r>
                </w:p>
                <w:p w:rsidR="008F7C82" w:rsidP="008F7C82" w14:paraId="5ABDA942" w14:textId="77777777">
                  <w:pPr>
                    <w:adjustRightInd w:val="0"/>
                    <w:spacing w:after="0" w:line="240" w:lineRule="auto"/>
                    <w:rPr>
                      <w:rFonts w:ascii="Times New Roman" w:eastAsia="Times New Roman" w:hAnsi="Times New Roman" w:cs="Times New Roman"/>
                      <w:sz w:val="24"/>
                      <w:szCs w:val="24"/>
                    </w:rPr>
                  </w:pPr>
                  <w:hyperlink r:id="rId18" w:history="1">
                    <w:r>
                      <w:rPr>
                        <w:rFonts w:ascii="Times New Roman" w:eastAsia="Times New Roman" w:hAnsi="Times New Roman" w:cs="Times New Roman"/>
                        <w:color w:val="0000FF"/>
                        <w:sz w:val="24"/>
                        <w:szCs w:val="24"/>
                        <w:u w:val="single"/>
                      </w:rPr>
                      <w:t>paul@carpenterlipps.com</w:t>
                    </w:r>
                  </w:hyperlink>
                </w:p>
                <w:p w:rsidR="008F7C82" w:rsidP="008F7C82" w14:paraId="391325F7" w14:textId="77777777">
                  <w:pPr>
                    <w:adjustRightInd w:val="0"/>
                    <w:spacing w:after="0" w:line="240" w:lineRule="auto"/>
                    <w:rPr>
                      <w:rFonts w:ascii="Times New Roman" w:eastAsia="Times New Roman" w:hAnsi="Times New Roman" w:cs="Times New Roman"/>
                      <w:sz w:val="24"/>
                      <w:szCs w:val="24"/>
                    </w:rPr>
                  </w:pPr>
                  <w:hyperlink r:id="rId19" w:history="1">
                    <w:r>
                      <w:rPr>
                        <w:rFonts w:ascii="Times New Roman" w:eastAsia="Times New Roman" w:hAnsi="Times New Roman" w:cs="Times New Roman"/>
                        <w:color w:val="0000FF"/>
                        <w:sz w:val="24"/>
                        <w:szCs w:val="24"/>
                        <w:u w:val="single"/>
                      </w:rPr>
                      <w:t>slesser@beneschlaw.com</w:t>
                    </w:r>
                  </w:hyperlink>
                </w:p>
                <w:p w:rsidR="008F7C82" w:rsidP="008F7C82" w14:paraId="2EA4382B" w14:textId="77777777">
                  <w:pPr>
                    <w:adjustRightInd w:val="0"/>
                    <w:spacing w:after="0" w:line="240" w:lineRule="auto"/>
                    <w:rPr>
                      <w:rFonts w:ascii="Times New Roman" w:eastAsia="Times New Roman" w:hAnsi="Times New Roman" w:cs="Times New Roman"/>
                      <w:sz w:val="24"/>
                      <w:szCs w:val="24"/>
                    </w:rPr>
                  </w:pPr>
                  <w:hyperlink r:id="rId20" w:history="1">
                    <w:r>
                      <w:rPr>
                        <w:rFonts w:ascii="Times New Roman" w:eastAsia="Times New Roman" w:hAnsi="Times New Roman" w:cs="Times New Roman"/>
                        <w:color w:val="0000FF"/>
                        <w:sz w:val="24"/>
                        <w:szCs w:val="24"/>
                        <w:u w:val="single"/>
                      </w:rPr>
                      <w:t>mkeaney@beneschlaw.com</w:t>
                    </w:r>
                  </w:hyperlink>
                </w:p>
                <w:p w:rsidR="008F7C82" w:rsidP="008F7C82" w14:paraId="6D0B8F60" w14:textId="77777777">
                  <w:pPr>
                    <w:adjustRightInd w:val="0"/>
                    <w:spacing w:after="0" w:line="240" w:lineRule="auto"/>
                    <w:rPr>
                      <w:rFonts w:ascii="Times New Roman" w:eastAsia="Times New Roman" w:hAnsi="Times New Roman" w:cs="Times New Roman"/>
                      <w:sz w:val="24"/>
                      <w:szCs w:val="24"/>
                    </w:rPr>
                  </w:pPr>
                  <w:hyperlink r:id="rId21" w:history="1">
                    <w:r>
                      <w:rPr>
                        <w:rFonts w:ascii="Times New Roman" w:eastAsia="Times New Roman" w:hAnsi="Times New Roman" w:cs="Times New Roman"/>
                        <w:color w:val="0000FF"/>
                        <w:sz w:val="24"/>
                        <w:szCs w:val="24"/>
                        <w:u w:val="single"/>
                      </w:rPr>
                      <w:t>talexander@beneschlaw.com</w:t>
                    </w:r>
                  </w:hyperlink>
                  <w:r>
                    <w:rPr>
                      <w:rFonts w:ascii="Times New Roman" w:eastAsia="Times New Roman" w:hAnsi="Times New Roman" w:cs="Times New Roman"/>
                      <w:sz w:val="24"/>
                      <w:szCs w:val="24"/>
                    </w:rPr>
                    <w:t xml:space="preserve"> </w:t>
                  </w:r>
                </w:p>
                <w:p w:rsidR="008F7C82" w:rsidP="008F7C82" w14:paraId="6F885A32" w14:textId="77777777">
                  <w:pPr>
                    <w:adjustRightInd w:val="0"/>
                    <w:spacing w:after="0" w:line="240" w:lineRule="auto"/>
                    <w:rPr>
                      <w:rFonts w:ascii="Times New Roman" w:eastAsia="Times New Roman" w:hAnsi="Times New Roman" w:cs="Times New Roman"/>
                      <w:sz w:val="24"/>
                      <w:szCs w:val="24"/>
                    </w:rPr>
                  </w:pPr>
                  <w:hyperlink r:id="rId22" w:history="1">
                    <w:r>
                      <w:rPr>
                        <w:rFonts w:ascii="Times New Roman" w:eastAsia="Times New Roman" w:hAnsi="Times New Roman" w:cs="Times New Roman"/>
                        <w:color w:val="0000FF"/>
                        <w:sz w:val="24"/>
                        <w:szCs w:val="24"/>
                        <w:u w:val="single"/>
                      </w:rPr>
                      <w:t>mswhite@igsenergy.com</w:t>
                    </w:r>
                  </w:hyperlink>
                  <w:r>
                    <w:rPr>
                      <w:rFonts w:ascii="Times New Roman" w:eastAsia="Times New Roman" w:hAnsi="Times New Roman" w:cs="Times New Roman"/>
                      <w:sz w:val="24"/>
                      <w:szCs w:val="24"/>
                    </w:rPr>
                    <w:t xml:space="preserve"> </w:t>
                  </w:r>
                </w:p>
                <w:p w:rsidR="008F7C82" w:rsidP="008F7C82" w14:paraId="5CF927F9" w14:textId="77777777">
                  <w:pPr>
                    <w:adjustRightInd w:val="0"/>
                    <w:spacing w:after="0" w:line="240" w:lineRule="auto"/>
                    <w:rPr>
                      <w:rFonts w:ascii="Times New Roman" w:eastAsia="Times New Roman" w:hAnsi="Times New Roman" w:cs="Times New Roman"/>
                      <w:sz w:val="24"/>
                      <w:szCs w:val="24"/>
                    </w:rPr>
                  </w:pPr>
                  <w:hyperlink r:id="rId23" w:history="1">
                    <w:r>
                      <w:rPr>
                        <w:rFonts w:ascii="Times New Roman" w:eastAsia="Times New Roman" w:hAnsi="Times New Roman" w:cs="Times New Roman"/>
                        <w:color w:val="0000FF"/>
                        <w:sz w:val="24"/>
                        <w:szCs w:val="24"/>
                        <w:u w:val="single"/>
                      </w:rPr>
                      <w:t>dborchers@bricker.com</w:t>
                    </w:r>
                  </w:hyperlink>
                </w:p>
                <w:p w:rsidR="008F7C82" w:rsidP="008F7C82" w14:paraId="5D7F6661" w14:textId="77777777">
                  <w:pPr>
                    <w:adjustRightInd w:val="0"/>
                    <w:spacing w:after="0" w:line="240" w:lineRule="auto"/>
                    <w:rPr>
                      <w:rFonts w:ascii="Times New Roman" w:eastAsia="Times New Roman" w:hAnsi="Times New Roman" w:cs="Times New Roman"/>
                      <w:sz w:val="24"/>
                      <w:szCs w:val="24"/>
                    </w:rPr>
                  </w:pPr>
                  <w:hyperlink r:id="rId24" w:history="1">
                    <w:r>
                      <w:rPr>
                        <w:rFonts w:ascii="Times New Roman" w:eastAsia="Times New Roman" w:hAnsi="Times New Roman" w:cs="Times New Roman"/>
                        <w:color w:val="0000FF"/>
                        <w:sz w:val="24"/>
                        <w:szCs w:val="24"/>
                        <w:u w:val="single"/>
                      </w:rPr>
                      <w:t>dparram@bricker.com</w:t>
                    </w:r>
                  </w:hyperlink>
                </w:p>
                <w:p w:rsidR="008F7C82" w:rsidP="00F400DE" w14:paraId="7B8778CB" w14:textId="6F9F2AE5">
                  <w:pPr>
                    <w:adjustRightInd w:val="0"/>
                    <w:rPr>
                      <w:rFonts w:ascii="Times New Roman" w:eastAsia="Times New Roman" w:hAnsi="Times New Roman" w:cs="Times New Roman"/>
                      <w:sz w:val="24"/>
                      <w:szCs w:val="24"/>
                    </w:rPr>
                  </w:pPr>
                  <w:hyperlink r:id="rId25" w:history="1">
                    <w:r w:rsidRPr="00F00AAF" w:rsidR="00EE1708">
                      <w:rPr>
                        <w:rStyle w:val="Hyperlink"/>
                        <w:rFonts w:ascii="Times New Roman" w:eastAsia="Times New Roman" w:hAnsi="Times New Roman" w:cs="Times New Roman"/>
                        <w:sz w:val="24"/>
                        <w:szCs w:val="24"/>
                      </w:rPr>
                      <w:t>michael.schuler@aes.com</w:t>
                    </w:r>
                  </w:hyperlink>
                </w:p>
                <w:p w:rsidR="00EE1708" w:rsidP="00F400DE" w14:paraId="5E2C84DA" w14:textId="77777777">
                  <w:pPr>
                    <w:adjustRightInd w:val="0"/>
                    <w:rPr>
                      <w:rFonts w:ascii="Times New Roman" w:eastAsia="Times New Roman" w:hAnsi="Times New Roman" w:cs="Times New Roman"/>
                      <w:sz w:val="24"/>
                      <w:szCs w:val="24"/>
                    </w:rPr>
                  </w:pPr>
                </w:p>
                <w:p w:rsidR="008F7C82" w:rsidP="00F400DE" w14:paraId="1731F09F" w14:textId="77777777">
                  <w:pPr>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General:</w:t>
                  </w:r>
                </w:p>
                <w:p w:rsidR="008F7C82" w:rsidP="00F400DE" w14:paraId="71E8B463" w14:textId="77777777">
                  <w:pPr>
                    <w:adjustRightInd w:val="0"/>
                    <w:rPr>
                      <w:rFonts w:ascii="Times New Roman" w:eastAsia="Times New Roman" w:hAnsi="Times New Roman" w:cs="Times New Roman"/>
                      <w:color w:val="0000FF"/>
                      <w:sz w:val="24"/>
                      <w:szCs w:val="24"/>
                      <w:u w:val="single"/>
                    </w:rPr>
                  </w:pPr>
                  <w:hyperlink r:id="rId26" w:history="1">
                    <w:r>
                      <w:rPr>
                        <w:rFonts w:ascii="Times New Roman" w:eastAsia="Times New Roman" w:hAnsi="Times New Roman" w:cs="Times New Roman"/>
                        <w:color w:val="0000FF"/>
                        <w:sz w:val="24"/>
                        <w:szCs w:val="24"/>
                        <w:u w:val="single"/>
                      </w:rPr>
                      <w:t>Gregory.Price@puco.ohio.gov</w:t>
                    </w:r>
                  </w:hyperlink>
                </w:p>
                <w:p w:rsidR="008F7C82" w:rsidP="00F400DE" w14:paraId="075D35C0" w14:textId="77777777">
                  <w:pPr>
                    <w:adjustRightInd w:val="0"/>
                    <w:rPr>
                      <w:rFonts w:ascii="Times New Roman" w:eastAsia="Times New Roman" w:hAnsi="Times New Roman" w:cs="Times New Roman"/>
                      <w:sz w:val="24"/>
                      <w:szCs w:val="24"/>
                    </w:rPr>
                  </w:pPr>
                </w:p>
              </w:tc>
              <w:tc>
                <w:tcPr>
                  <w:tcW w:w="4427" w:type="dxa"/>
                  <w:shd w:val="clear" w:color="auto" w:fill="auto"/>
                </w:tcPr>
                <w:p w:rsidR="008F7C82" w:rsidP="008F7C82" w14:paraId="1DE3BCED" w14:textId="77777777">
                  <w:pPr>
                    <w:adjustRightInd w:val="0"/>
                    <w:spacing w:after="0"/>
                    <w:rPr>
                      <w:rFonts w:ascii="Times New Roman" w:eastAsia="Times New Roman" w:hAnsi="Times New Roman" w:cs="Times New Roman"/>
                      <w:sz w:val="24"/>
                      <w:szCs w:val="24"/>
                    </w:rPr>
                  </w:pPr>
                  <w:hyperlink r:id="rId27" w:history="1">
                    <w:r>
                      <w:rPr>
                        <w:rFonts w:ascii="Times New Roman" w:eastAsia="Times New Roman" w:hAnsi="Times New Roman" w:cs="Times New Roman"/>
                        <w:color w:val="0000FF"/>
                        <w:sz w:val="24"/>
                        <w:szCs w:val="24"/>
                        <w:u w:val="single"/>
                      </w:rPr>
                      <w:t>Jeanne.kingery@duke-energy.com</w:t>
                    </w:r>
                  </w:hyperlink>
                  <w:r>
                    <w:rPr>
                      <w:rFonts w:ascii="Times New Roman" w:eastAsia="Times New Roman" w:hAnsi="Times New Roman" w:cs="Times New Roman"/>
                      <w:sz w:val="24"/>
                      <w:szCs w:val="24"/>
                    </w:rPr>
                    <w:t xml:space="preserve"> </w:t>
                  </w:r>
                </w:p>
                <w:p w:rsidR="008F7C82" w:rsidP="008F7C82" w14:paraId="44D39016" w14:textId="77777777">
                  <w:pPr>
                    <w:adjustRightInd w:val="0"/>
                    <w:spacing w:after="0"/>
                    <w:rPr>
                      <w:rFonts w:ascii="Times New Roman" w:eastAsia="Times New Roman" w:hAnsi="Times New Roman" w:cs="Times New Roman"/>
                      <w:sz w:val="24"/>
                      <w:szCs w:val="24"/>
                    </w:rPr>
                  </w:pPr>
                  <w:hyperlink r:id="rId28" w:history="1">
                    <w:r>
                      <w:rPr>
                        <w:rFonts w:ascii="Times New Roman" w:eastAsia="Times New Roman" w:hAnsi="Times New Roman" w:cs="Times New Roman"/>
                        <w:color w:val="0000FF"/>
                        <w:sz w:val="24"/>
                        <w:szCs w:val="24"/>
                        <w:u w:val="single"/>
                      </w:rPr>
                      <w:t>haydenm@firstenergycorp.com</w:t>
                    </w:r>
                  </w:hyperlink>
                  <w:r>
                    <w:rPr>
                      <w:rFonts w:ascii="Times New Roman" w:eastAsia="Times New Roman" w:hAnsi="Times New Roman" w:cs="Times New Roman"/>
                      <w:sz w:val="24"/>
                      <w:szCs w:val="24"/>
                    </w:rPr>
                    <w:t xml:space="preserve"> </w:t>
                  </w:r>
                </w:p>
                <w:p w:rsidR="008F7C82" w:rsidP="008F7C82" w14:paraId="034B7A7B" w14:textId="77777777">
                  <w:pPr>
                    <w:adjustRightInd w:val="0"/>
                    <w:spacing w:after="0"/>
                    <w:rPr>
                      <w:rFonts w:ascii="Times New Roman" w:eastAsia="Times New Roman" w:hAnsi="Times New Roman" w:cs="Times New Roman"/>
                      <w:sz w:val="24"/>
                      <w:szCs w:val="24"/>
                    </w:rPr>
                  </w:pPr>
                  <w:hyperlink r:id="rId29" w:history="1">
                    <w:r>
                      <w:rPr>
                        <w:rFonts w:ascii="Times New Roman" w:eastAsia="Times New Roman" w:hAnsi="Times New Roman" w:cs="Times New Roman"/>
                        <w:color w:val="0000FF"/>
                        <w:sz w:val="24"/>
                        <w:szCs w:val="24"/>
                        <w:u w:val="single"/>
                      </w:rPr>
                      <w:t>mjsatterwhite@aep.com</w:t>
                    </w:r>
                  </w:hyperlink>
                </w:p>
                <w:p w:rsidR="008F7C82" w:rsidP="008F7C82" w14:paraId="01A67609" w14:textId="77777777">
                  <w:pPr>
                    <w:adjustRightInd w:val="0"/>
                    <w:spacing w:after="0"/>
                    <w:rPr>
                      <w:rFonts w:ascii="Times New Roman" w:eastAsia="Times New Roman" w:hAnsi="Times New Roman" w:cs="Times New Roman"/>
                      <w:sz w:val="24"/>
                      <w:szCs w:val="24"/>
                    </w:rPr>
                  </w:pPr>
                  <w:hyperlink r:id="rId30" w:history="1">
                    <w:r>
                      <w:rPr>
                        <w:rFonts w:ascii="Times New Roman" w:eastAsia="Times New Roman" w:hAnsi="Times New Roman" w:cs="Times New Roman"/>
                        <w:color w:val="0000FF"/>
                        <w:sz w:val="24"/>
                        <w:szCs w:val="24"/>
                        <w:u w:val="single"/>
                      </w:rPr>
                      <w:t>stnourse@aep.com</w:t>
                    </w:r>
                  </w:hyperlink>
                  <w:r>
                    <w:rPr>
                      <w:rFonts w:ascii="Times New Roman" w:eastAsia="Times New Roman" w:hAnsi="Times New Roman" w:cs="Times New Roman"/>
                      <w:sz w:val="24"/>
                      <w:szCs w:val="24"/>
                    </w:rPr>
                    <w:t xml:space="preserve"> </w:t>
                  </w:r>
                </w:p>
                <w:p w:rsidR="008F7C82" w:rsidP="008F7C82" w14:paraId="6A0AF755" w14:textId="77777777">
                  <w:pPr>
                    <w:adjustRightInd w:val="0"/>
                    <w:spacing w:after="0"/>
                    <w:rPr>
                      <w:rFonts w:ascii="Times New Roman" w:eastAsia="Times New Roman" w:hAnsi="Times New Roman" w:cs="Times New Roman"/>
                      <w:color w:val="0000FF"/>
                      <w:sz w:val="24"/>
                      <w:szCs w:val="24"/>
                      <w:u w:val="single"/>
                      <w:lang w:val="de-DE"/>
                    </w:rPr>
                  </w:pPr>
                  <w:hyperlink r:id="rId31" w:history="1">
                    <w:r>
                      <w:rPr>
                        <w:rFonts w:ascii="Times New Roman" w:eastAsia="Times New Roman" w:hAnsi="Times New Roman" w:cs="Times New Roman"/>
                        <w:color w:val="0000FF"/>
                        <w:sz w:val="24"/>
                        <w:szCs w:val="24"/>
                        <w:u w:val="single"/>
                        <w:lang w:val="de-DE"/>
                      </w:rPr>
                      <w:t>henryeckhart@aol.com</w:t>
                    </w:r>
                  </w:hyperlink>
                </w:p>
                <w:p w:rsidR="008F7C82" w:rsidP="008F7C82" w14:paraId="41BF7454" w14:textId="77777777">
                  <w:pPr>
                    <w:adjustRightInd w:val="0"/>
                    <w:spacing w:after="0"/>
                    <w:rPr>
                      <w:rFonts w:ascii="Times New Roman" w:eastAsia="Times New Roman" w:hAnsi="Times New Roman" w:cs="Times New Roman"/>
                      <w:sz w:val="24"/>
                      <w:szCs w:val="24"/>
                      <w:lang w:val="de-DE"/>
                    </w:rPr>
                  </w:pPr>
                  <w:r>
                    <w:rPr>
                      <w:rFonts w:ascii="Times New Roman" w:eastAsia="Times New Roman" w:hAnsi="Times New Roman" w:cs="Times New Roman"/>
                      <w:color w:val="0000FF"/>
                      <w:sz w:val="24"/>
                      <w:szCs w:val="24"/>
                      <w:u w:val="single"/>
                      <w:lang w:val="de-DE"/>
                    </w:rPr>
                    <w:t>michael.nugent@igs.com</w:t>
                  </w:r>
                </w:p>
                <w:p w:rsidR="008F7C82" w:rsidP="008F7C82" w14:paraId="68DE9C4B" w14:textId="77777777">
                  <w:pPr>
                    <w:spacing w:after="0"/>
                    <w:rPr>
                      <w:rFonts w:ascii="Times New Roman" w:eastAsia="Times New Roman" w:hAnsi="Times New Roman" w:cs="Times New Roman"/>
                      <w:sz w:val="24"/>
                      <w:szCs w:val="24"/>
                    </w:rPr>
                  </w:pPr>
                  <w:hyperlink r:id="rId32" w:history="1">
                    <w:r>
                      <w:rPr>
                        <w:rFonts w:ascii="Times New Roman" w:eastAsia="Times New Roman" w:hAnsi="Times New Roman" w:cs="Times New Roman"/>
                        <w:color w:val="0000FF"/>
                        <w:sz w:val="24"/>
                        <w:szCs w:val="24"/>
                        <w:u w:val="single"/>
                      </w:rPr>
                      <w:t>dboehm@bkllawfirm.com</w:t>
                    </w:r>
                  </w:hyperlink>
                </w:p>
                <w:p w:rsidR="008F7C82" w:rsidP="008F7C82" w14:paraId="3F1EEB06" w14:textId="77777777">
                  <w:pPr>
                    <w:spacing w:after="0"/>
                    <w:rPr>
                      <w:rFonts w:ascii="Times New Roman" w:eastAsia="Times New Roman" w:hAnsi="Times New Roman" w:cs="Times New Roman"/>
                      <w:sz w:val="24"/>
                      <w:szCs w:val="24"/>
                    </w:rPr>
                  </w:pPr>
                  <w:hyperlink r:id="rId33" w:history="1">
                    <w:r>
                      <w:rPr>
                        <w:rFonts w:ascii="Times New Roman" w:eastAsia="Times New Roman" w:hAnsi="Times New Roman" w:cs="Times New Roman"/>
                        <w:color w:val="0000FF"/>
                        <w:sz w:val="24"/>
                        <w:szCs w:val="24"/>
                        <w:u w:val="single"/>
                      </w:rPr>
                      <w:t>mkurtz@bkllawfirm.com</w:t>
                    </w:r>
                  </w:hyperlink>
                </w:p>
                <w:p w:rsidR="008F7C82" w:rsidP="008F7C82" w14:paraId="202B0FBC" w14:textId="77777777">
                  <w:pPr>
                    <w:spacing w:after="0"/>
                    <w:rPr>
                      <w:rFonts w:ascii="Times New Roman" w:eastAsia="Times New Roman" w:hAnsi="Times New Roman" w:cs="Times New Roman"/>
                      <w:sz w:val="24"/>
                      <w:szCs w:val="24"/>
                    </w:rPr>
                  </w:pPr>
                  <w:hyperlink r:id="rId34" w:history="1">
                    <w:r>
                      <w:rPr>
                        <w:rFonts w:ascii="Times New Roman" w:eastAsia="Times New Roman" w:hAnsi="Times New Roman" w:cs="Times New Roman"/>
                        <w:color w:val="0000FF"/>
                        <w:sz w:val="24"/>
                        <w:szCs w:val="24"/>
                        <w:u w:val="single"/>
                      </w:rPr>
                      <w:t>jkylercohn@bkllawfirm.com</w:t>
                    </w:r>
                  </w:hyperlink>
                  <w:r>
                    <w:rPr>
                      <w:rFonts w:ascii="Times New Roman" w:eastAsia="Times New Roman" w:hAnsi="Times New Roman" w:cs="Times New Roman"/>
                      <w:sz w:val="24"/>
                      <w:szCs w:val="24"/>
                    </w:rPr>
                    <w:t xml:space="preserve"> </w:t>
                  </w:r>
                </w:p>
                <w:p w:rsidR="008F7C82" w:rsidP="008F7C82" w14:paraId="2F076EDF" w14:textId="77777777">
                  <w:pPr>
                    <w:spacing w:after="0"/>
                    <w:rPr>
                      <w:rFonts w:ascii="Times New Roman" w:eastAsia="Times New Roman" w:hAnsi="Times New Roman" w:cs="Times New Roman"/>
                      <w:color w:val="0000FF"/>
                      <w:sz w:val="24"/>
                      <w:szCs w:val="24"/>
                      <w:u w:val="single"/>
                    </w:rPr>
                  </w:pPr>
                  <w:hyperlink r:id="rId35" w:history="1">
                    <w:r>
                      <w:rPr>
                        <w:rFonts w:ascii="Times New Roman" w:eastAsia="Times New Roman" w:hAnsi="Times New Roman" w:cs="Times New Roman"/>
                        <w:color w:val="0000FF"/>
                        <w:sz w:val="24"/>
                        <w:szCs w:val="24"/>
                        <w:u w:val="single"/>
                      </w:rPr>
                      <w:t>Cynthia.brady@constellation.com</w:t>
                    </w:r>
                  </w:hyperlink>
                </w:p>
                <w:p w:rsidR="008F7C82" w:rsidP="008F7C82" w14:paraId="4B35371B" w14:textId="77777777">
                  <w:pPr>
                    <w:spacing w:after="0"/>
                    <w:rPr>
                      <w:rFonts w:ascii="Times New Roman" w:eastAsia="Times New Roman" w:hAnsi="Times New Roman" w:cs="Times New Roman"/>
                      <w:sz w:val="24"/>
                      <w:szCs w:val="24"/>
                    </w:rPr>
                  </w:pPr>
                  <w:hyperlink r:id="rId36" w:history="1">
                    <w:r>
                      <w:rPr>
                        <w:rFonts w:ascii="Times New Roman" w:eastAsia="Times New Roman" w:hAnsi="Times New Roman" w:cs="Times New Roman"/>
                        <w:color w:val="0000FF"/>
                        <w:sz w:val="24"/>
                        <w:szCs w:val="24"/>
                        <w:u w:val="single"/>
                      </w:rPr>
                      <w:t>David.fein@constellation.com</w:t>
                    </w:r>
                  </w:hyperlink>
                </w:p>
                <w:p w:rsidR="008F7C82" w:rsidP="008F7C82" w14:paraId="538FD555" w14:textId="77777777">
                  <w:pPr>
                    <w:adjustRightInd w:val="0"/>
                    <w:spacing w:after="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tdougherty@theOEC.org</w:t>
                  </w:r>
                </w:p>
                <w:p w:rsidR="008F7C82" w:rsidP="008F7C82" w14:paraId="4FF80581" w14:textId="77777777">
                  <w:pPr>
                    <w:adjustRightInd w:val="0"/>
                    <w:spacing w:after="0"/>
                    <w:rPr>
                      <w:rFonts w:ascii="Times New Roman" w:eastAsia="Times New Roman" w:hAnsi="Times New Roman" w:cs="Times New Roman"/>
                      <w:sz w:val="24"/>
                      <w:szCs w:val="24"/>
                    </w:rPr>
                  </w:pPr>
                  <w:hyperlink r:id="rId37" w:history="1">
                    <w:r>
                      <w:rPr>
                        <w:rFonts w:ascii="Times New Roman" w:eastAsia="Times New Roman" w:hAnsi="Times New Roman" w:cs="Times New Roman"/>
                        <w:color w:val="0000FF"/>
                        <w:sz w:val="24"/>
                        <w:szCs w:val="24"/>
                        <w:u w:val="single"/>
                      </w:rPr>
                      <w:t>njohnson@theoec.org</w:t>
                    </w:r>
                  </w:hyperlink>
                  <w:r>
                    <w:rPr>
                      <w:rFonts w:ascii="Times New Roman" w:eastAsia="Times New Roman" w:hAnsi="Times New Roman" w:cs="Times New Roman"/>
                      <w:sz w:val="24"/>
                      <w:szCs w:val="24"/>
                    </w:rPr>
                    <w:t xml:space="preserve"> </w:t>
                  </w:r>
                </w:p>
                <w:p w:rsidR="008F7C82" w:rsidP="008F7C82" w14:paraId="78F807B7" w14:textId="77777777">
                  <w:pPr>
                    <w:adjustRightInd w:val="0"/>
                    <w:spacing w:after="0"/>
                    <w:rPr>
                      <w:rFonts w:ascii="Times New Roman" w:eastAsia="Times New Roman" w:hAnsi="Times New Roman" w:cs="Times New Roman"/>
                      <w:sz w:val="24"/>
                      <w:szCs w:val="24"/>
                    </w:rPr>
                  </w:pPr>
                  <w:hyperlink r:id="rId38" w:history="1">
                    <w:r>
                      <w:rPr>
                        <w:rFonts w:ascii="Times New Roman" w:eastAsia="Times New Roman" w:hAnsi="Times New Roman" w:cs="Times New Roman"/>
                        <w:color w:val="0000FF"/>
                        <w:sz w:val="24"/>
                        <w:szCs w:val="24"/>
                        <w:u w:val="single"/>
                      </w:rPr>
                      <w:t>Williams.toddm@gmail.com</w:t>
                    </w:r>
                  </w:hyperlink>
                </w:p>
                <w:p w:rsidR="008F7C82" w:rsidP="008F7C82" w14:paraId="5E4D0039" w14:textId="77777777">
                  <w:pPr>
                    <w:adjustRightInd w:val="0"/>
                    <w:spacing w:after="0"/>
                    <w:rPr>
                      <w:rFonts w:ascii="Times New Roman" w:eastAsia="Times New Roman" w:hAnsi="Times New Roman" w:cs="Times New Roman"/>
                      <w:sz w:val="24"/>
                      <w:szCs w:val="24"/>
                    </w:rPr>
                  </w:pPr>
                  <w:hyperlink r:id="rId39" w:history="1">
                    <w:r>
                      <w:rPr>
                        <w:rFonts w:ascii="Times New Roman" w:eastAsia="Times New Roman" w:hAnsi="Times New Roman" w:cs="Times New Roman"/>
                        <w:color w:val="0000FF"/>
                        <w:sz w:val="24"/>
                        <w:szCs w:val="24"/>
                        <w:u w:val="single"/>
                      </w:rPr>
                      <w:t>ejacobs@ablelaw.org</w:t>
                    </w:r>
                  </w:hyperlink>
                </w:p>
                <w:p w:rsidR="008F7C82" w:rsidP="008F7C82" w14:paraId="4B0E7794" w14:textId="77777777">
                  <w:pPr>
                    <w:adjustRightInd w:val="0"/>
                    <w:spacing w:after="0"/>
                    <w:rPr>
                      <w:rFonts w:ascii="Times New Roman" w:eastAsia="Times New Roman" w:hAnsi="Times New Roman" w:cs="Times New Roman"/>
                      <w:color w:val="0000FF"/>
                      <w:sz w:val="24"/>
                      <w:szCs w:val="24"/>
                      <w:u w:val="single"/>
                    </w:rPr>
                  </w:pPr>
                  <w:hyperlink r:id="rId40" w:history="1">
                    <w:r>
                      <w:rPr>
                        <w:rFonts w:ascii="Times New Roman" w:eastAsia="Times New Roman" w:hAnsi="Times New Roman" w:cs="Times New Roman"/>
                        <w:color w:val="0000FF"/>
                        <w:sz w:val="24"/>
                        <w:szCs w:val="24"/>
                        <w:u w:val="single"/>
                      </w:rPr>
                      <w:t>stephen.chriss@wal-mart.com</w:t>
                    </w:r>
                  </w:hyperlink>
                </w:p>
                <w:p w:rsidR="008F7C82" w:rsidP="008F7C82" w14:paraId="050E3FB0" w14:textId="77777777">
                  <w:pPr>
                    <w:adjustRightInd w:val="0"/>
                    <w:spacing w:after="0"/>
                    <w:rPr>
                      <w:rFonts w:ascii="Times New Roman" w:eastAsia="Times New Roman" w:hAnsi="Times New Roman" w:cs="Times New Roman"/>
                      <w:color w:val="0563C2"/>
                      <w:sz w:val="24"/>
                      <w:szCs w:val="24"/>
                    </w:rPr>
                  </w:pPr>
                  <w:hyperlink r:id="rId41" w:history="1">
                    <w:r>
                      <w:rPr>
                        <w:rFonts w:ascii="Times New Roman" w:eastAsia="Times New Roman" w:hAnsi="Times New Roman" w:cs="Times New Roman"/>
                        <w:color w:val="0000FF"/>
                        <w:sz w:val="24"/>
                        <w:szCs w:val="24"/>
                        <w:u w:val="single"/>
                      </w:rPr>
                      <w:t>rdove@keglerbrown.com</w:t>
                    </w:r>
                  </w:hyperlink>
                </w:p>
                <w:p w:rsidR="008F7C82" w:rsidP="008F7C82" w14:paraId="0EADEB07" w14:textId="77777777">
                  <w:pPr>
                    <w:adjustRightInd w:val="0"/>
                    <w:spacing w:after="0"/>
                    <w:rPr>
                      <w:rFonts w:ascii="Times New Roman" w:eastAsia="Times New Roman" w:hAnsi="Times New Roman" w:cs="Times New Roman"/>
                      <w:sz w:val="24"/>
                      <w:szCs w:val="24"/>
                    </w:rPr>
                  </w:pPr>
                  <w:hyperlink r:id="rId42" w:history="1">
                    <w:r>
                      <w:rPr>
                        <w:rFonts w:ascii="Times New Roman" w:eastAsia="Times New Roman" w:hAnsi="Times New Roman" w:cs="Times New Roman"/>
                        <w:color w:val="0000FF"/>
                        <w:sz w:val="24"/>
                        <w:szCs w:val="24"/>
                        <w:u w:val="single"/>
                      </w:rPr>
                      <w:t>fykes@whitt-sturtevant.com</w:t>
                    </w:r>
                  </w:hyperlink>
                  <w:r>
                    <w:rPr>
                      <w:rFonts w:ascii="Times New Roman" w:eastAsia="Times New Roman" w:hAnsi="Times New Roman" w:cs="Times New Roman"/>
                      <w:sz w:val="24"/>
                      <w:szCs w:val="24"/>
                    </w:rPr>
                    <w:t xml:space="preserve"> </w:t>
                  </w:r>
                </w:p>
                <w:p w:rsidR="008F7C82" w:rsidP="008F7C82" w14:paraId="411E25D6" w14:textId="77777777">
                  <w:pPr>
                    <w:adjustRightInd w:val="0"/>
                    <w:spacing w:after="0"/>
                    <w:rPr>
                      <w:rFonts w:ascii="Times New Roman" w:eastAsia="Times New Roman" w:hAnsi="Times New Roman" w:cs="Times New Roman"/>
                      <w:color w:val="0000FF"/>
                      <w:sz w:val="24"/>
                      <w:szCs w:val="24"/>
                      <w:u w:val="single"/>
                    </w:rPr>
                  </w:pPr>
                  <w:hyperlink r:id="rId43" w:history="1">
                    <w:r>
                      <w:rPr>
                        <w:rFonts w:ascii="Times New Roman" w:eastAsia="Times New Roman" w:hAnsi="Times New Roman" w:cs="Times New Roman"/>
                        <w:color w:val="0000FF"/>
                        <w:sz w:val="24"/>
                        <w:szCs w:val="24"/>
                        <w:u w:val="single"/>
                      </w:rPr>
                      <w:t>whitt@whitt-sturtevant.com</w:t>
                    </w:r>
                  </w:hyperlink>
                </w:p>
                <w:p w:rsidR="008F7C82" w:rsidP="008F7C82" w14:paraId="3C9E68B8" w14:textId="77777777">
                  <w:pPr>
                    <w:adjustRightInd w:val="0"/>
                    <w:spacing w:after="0"/>
                    <w:rPr>
                      <w:rFonts w:ascii="Times New Roman" w:eastAsia="Times New Roman" w:hAnsi="Times New Roman" w:cs="Times New Roman"/>
                      <w:color w:val="0000FF"/>
                      <w:sz w:val="24"/>
                      <w:szCs w:val="24"/>
                      <w:u w:val="single"/>
                    </w:rPr>
                  </w:pPr>
                  <w:hyperlink r:id="rId44" w:history="1">
                    <w:r>
                      <w:rPr>
                        <w:rFonts w:ascii="Times New Roman" w:eastAsia="Times New Roman" w:hAnsi="Times New Roman" w:cs="Times New Roman"/>
                        <w:color w:val="0000FF"/>
                        <w:sz w:val="24"/>
                        <w:szCs w:val="24"/>
                        <w:u w:val="single"/>
                      </w:rPr>
                      <w:t>mpritchard@mcneeslaw.com</w:t>
                    </w:r>
                  </w:hyperlink>
                </w:p>
                <w:p w:rsidR="008F7C82" w:rsidP="008F7C82" w14:paraId="24243CDA" w14:textId="77777777">
                  <w:pPr>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rglover@mcneeslaw.com</w:t>
                  </w:r>
                </w:p>
              </w:tc>
            </w:tr>
          </w:tbl>
          <w:p w:rsidR="008F7C82" w:rsidP="00F400DE" w14:paraId="1EB3335C" w14:textId="77777777">
            <w:pPr>
              <w:adjustRightInd w:val="0"/>
              <w:rPr>
                <w:rFonts w:ascii="Times New Roman" w:eastAsia="Times New Roman" w:hAnsi="Times New Roman" w:cs="Times New Roman"/>
                <w:sz w:val="24"/>
                <w:szCs w:val="24"/>
              </w:rPr>
            </w:pPr>
          </w:p>
        </w:tc>
      </w:tr>
    </w:tbl>
    <w:p w:rsidR="008F7C82" w:rsidP="008F7C82" w14:paraId="5AF16DCA" w14:textId="77777777">
      <w:pPr>
        <w:rPr>
          <w:rFonts w:ascii="Times New Roman" w:hAnsi="Times New Roman" w:cs="Times New Roman"/>
          <w:sz w:val="24"/>
          <w:szCs w:val="24"/>
        </w:rPr>
      </w:pPr>
    </w:p>
    <w:p w:rsidR="008F7C82" w:rsidP="008F7C82" w14:paraId="7B0DBBD1" w14:textId="77777777">
      <w:pPr>
        <w:pStyle w:val="BodyText"/>
        <w:rPr>
          <w:sz w:val="20"/>
        </w:rPr>
      </w:pPr>
    </w:p>
    <w:p w:rsidR="008F7C82" w:rsidP="008F7C82" w14:paraId="58EB2E2C" w14:textId="77777777">
      <w:pPr>
        <w:pStyle w:val="BodyText"/>
        <w:rPr>
          <w:sz w:val="20"/>
        </w:rPr>
      </w:pPr>
    </w:p>
    <w:p w:rsidR="008F7C82" w:rsidP="008F7C82" w14:paraId="51572187" w14:textId="77777777">
      <w:pPr>
        <w:pStyle w:val="BodyText"/>
        <w:rPr>
          <w:sz w:val="20"/>
        </w:rPr>
      </w:pPr>
    </w:p>
    <w:p w:rsidR="008F7C82" w14:paraId="4B54F765" w14:textId="77777777">
      <w:pPr>
        <w:spacing w:line="480" w:lineRule="auto"/>
        <w:ind w:firstLine="360"/>
        <w:rPr>
          <w:rFonts w:ascii="Times New Roman" w:hAnsi="Times New Roman" w:cs="Times New Roman"/>
          <w:sz w:val="24"/>
          <w:szCs w:val="24"/>
        </w:rPr>
      </w:pPr>
    </w:p>
    <w:sectPr w:rsidSect="00283B25">
      <w:footerReference w:type="default" r:id="rId45"/>
      <w:pgSz w:w="12240" w:h="15840"/>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79D" w:rsidRPr="0094279D" w14:paraId="7B885F80" w14:textId="18F74575">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5017583"/>
      <w:docPartObj>
        <w:docPartGallery w:val="Page Numbers (Bottom of Page)"/>
        <w:docPartUnique/>
      </w:docPartObj>
    </w:sdtPr>
    <w:sdtEndPr>
      <w:rPr>
        <w:rFonts w:ascii="Times New Roman" w:hAnsi="Times New Roman" w:cs="Times New Roman"/>
        <w:noProof/>
        <w:sz w:val="24"/>
        <w:szCs w:val="24"/>
      </w:rPr>
    </w:sdtEndPr>
    <w:sdtContent>
      <w:p w:rsidR="00EE1708" w:rsidRPr="00EE1708" w14:paraId="3CAA3A52" w14:textId="3FDBB6BA">
        <w:pPr>
          <w:pStyle w:val="Footer"/>
          <w:jc w:val="center"/>
          <w:rPr>
            <w:rFonts w:ascii="Times New Roman" w:hAnsi="Times New Roman" w:cs="Times New Roman"/>
            <w:sz w:val="24"/>
            <w:szCs w:val="24"/>
          </w:rPr>
        </w:pPr>
        <w:r w:rsidRPr="00EE1708">
          <w:rPr>
            <w:rFonts w:ascii="Times New Roman" w:hAnsi="Times New Roman" w:cs="Times New Roman"/>
            <w:sz w:val="24"/>
            <w:szCs w:val="24"/>
          </w:rPr>
          <w:fldChar w:fldCharType="begin"/>
        </w:r>
        <w:r w:rsidRPr="00EE1708">
          <w:rPr>
            <w:rFonts w:ascii="Times New Roman" w:hAnsi="Times New Roman" w:cs="Times New Roman"/>
            <w:sz w:val="24"/>
            <w:szCs w:val="24"/>
          </w:rPr>
          <w:instrText xml:space="preserve"> PAGE   \* MERGEFORMAT </w:instrText>
        </w:r>
        <w:r w:rsidRPr="00EE1708">
          <w:rPr>
            <w:rFonts w:ascii="Times New Roman" w:hAnsi="Times New Roman" w:cs="Times New Roman"/>
            <w:sz w:val="24"/>
            <w:szCs w:val="24"/>
          </w:rPr>
          <w:fldChar w:fldCharType="separate"/>
        </w:r>
        <w:r w:rsidRPr="00EE1708">
          <w:rPr>
            <w:rFonts w:ascii="Times New Roman" w:hAnsi="Times New Roman" w:cs="Times New Roman"/>
            <w:noProof/>
            <w:sz w:val="24"/>
            <w:szCs w:val="24"/>
          </w:rPr>
          <w:t>2</w:t>
        </w:r>
        <w:r w:rsidRPr="00EE170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6022" w14:paraId="44D98C74" w14:textId="77777777">
      <w:pPr>
        <w:spacing w:after="0" w:line="240" w:lineRule="auto"/>
      </w:pPr>
      <w:r>
        <w:separator/>
      </w:r>
    </w:p>
  </w:footnote>
  <w:footnote w:type="continuationSeparator" w:id="1">
    <w:p w:rsidR="00D56022" w14:paraId="12F7F464" w14:textId="77777777">
      <w:pPr>
        <w:spacing w:after="0" w:line="240" w:lineRule="auto"/>
      </w:pPr>
      <w:r>
        <w:continuationSeparator/>
      </w:r>
    </w:p>
  </w:footnote>
  <w:footnote w:id="2">
    <w:p w:rsidR="00977EE3" w:rsidRPr="00B3453D" w:rsidP="00EE1708" w14:paraId="03528A39" w14:textId="77777777">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w:t>
      </w:r>
      <w:r w:rsidRPr="00B3453D">
        <w:rPr>
          <w:rFonts w:ascii="Times New Roman" w:hAnsi="Times New Roman" w:cs="Times New Roman"/>
          <w:i/>
          <w:iCs/>
        </w:rPr>
        <w:t>In the Matter of the Application of the Dayton Power and Light Company for approval of Its Electric Security Plan</w:t>
      </w:r>
      <w:r w:rsidRPr="00B3453D">
        <w:rPr>
          <w:rFonts w:ascii="Times New Roman" w:hAnsi="Times New Roman" w:cs="Times New Roman"/>
        </w:rPr>
        <w:t>, Case No. 08-1094-EL-SSO, Stipulation and Recommendation at ¶37 (Feb. 24, 2009).</w:t>
      </w:r>
    </w:p>
  </w:footnote>
  <w:footnote w:id="3">
    <w:p w:rsidR="00815CAD" w:rsidRPr="00B3453D" w:rsidP="00EE1708" w14:paraId="438689F3" w14:textId="3DB5DE51">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w:t>
      </w:r>
      <w:r w:rsidRPr="00B3453D">
        <w:rPr>
          <w:rFonts w:ascii="Times New Roman" w:hAnsi="Times New Roman" w:cs="Times New Roman"/>
          <w:i/>
          <w:iCs/>
        </w:rPr>
        <w:t>Id.</w:t>
      </w:r>
      <w:r w:rsidRPr="00B3453D">
        <w:rPr>
          <w:rFonts w:ascii="Times New Roman" w:hAnsi="Times New Roman" w:cs="Times New Roman"/>
        </w:rPr>
        <w:t>, The Dayton Power and Light Company D/B/A AES Ohio's Memorandum In Opposition To Office Of The Ohio Consumers' Counsel's Motion For A Procedural Schedule at 2 (Sept</w:t>
      </w:r>
      <w:r w:rsidR="00EE1708">
        <w:rPr>
          <w:rFonts w:ascii="Times New Roman" w:hAnsi="Times New Roman" w:cs="Times New Roman"/>
        </w:rPr>
        <w:t>.</w:t>
      </w:r>
      <w:r w:rsidRPr="00B3453D">
        <w:rPr>
          <w:rFonts w:ascii="Times New Roman" w:hAnsi="Times New Roman" w:cs="Times New Roman"/>
        </w:rPr>
        <w:t xml:space="preserve"> 30, 2021).</w:t>
      </w:r>
    </w:p>
  </w:footnote>
  <w:footnote w:id="4">
    <w:p w:rsidR="00815CAD" w:rsidRPr="00B3453D" w:rsidP="00EE1708" w14:paraId="1B671A0D" w14:textId="77777777">
      <w:pPr>
        <w:pStyle w:val="FootnoteText"/>
        <w:spacing w:after="120"/>
        <w:rPr>
          <w:rFonts w:ascii="Times New Roman" w:hAnsi="Times New Roman" w:cs="Times New Roman"/>
          <w:i/>
          <w:iCs/>
        </w:rPr>
      </w:pPr>
      <w:r w:rsidRPr="00B3453D">
        <w:rPr>
          <w:rStyle w:val="FootnoteReference"/>
          <w:rFonts w:ascii="Times New Roman" w:hAnsi="Times New Roman" w:cs="Times New Roman"/>
        </w:rPr>
        <w:footnoteRef/>
      </w:r>
      <w:r w:rsidRPr="00B3453D">
        <w:rPr>
          <w:rFonts w:ascii="Times New Roman" w:hAnsi="Times New Roman" w:cs="Times New Roman"/>
        </w:rPr>
        <w:t xml:space="preserve"> </w:t>
      </w:r>
      <w:r w:rsidRPr="00B3453D">
        <w:rPr>
          <w:rFonts w:ascii="Times New Roman" w:hAnsi="Times New Roman" w:cs="Times New Roman"/>
          <w:i/>
          <w:iCs/>
        </w:rPr>
        <w:t>Id.</w:t>
      </w:r>
    </w:p>
  </w:footnote>
  <w:footnote w:id="5">
    <w:p w:rsidR="00AE799F" w:rsidRPr="00B3453D" w:rsidP="00EE1708" w14:paraId="77AA5225" w14:textId="3D43B2E2">
      <w:pPr>
        <w:pStyle w:val="FootnoteText"/>
        <w:spacing w:after="120"/>
        <w:rPr>
          <w:rFonts w:ascii="Times New Roman" w:hAnsi="Times New Roman"/>
        </w:rPr>
      </w:pPr>
      <w:r w:rsidRPr="00B3453D">
        <w:rPr>
          <w:rStyle w:val="FootnoteReference"/>
          <w:rFonts w:ascii="Times New Roman" w:hAnsi="Times New Roman"/>
        </w:rPr>
        <w:footnoteRef/>
      </w:r>
      <w:r w:rsidRPr="00B3453D">
        <w:rPr>
          <w:rFonts w:ascii="Times New Roman" w:hAnsi="Times New Roman"/>
        </w:rPr>
        <w:t xml:space="preserve"> </w:t>
      </w:r>
      <w:r w:rsidRPr="00B3453D" w:rsidR="007C7442">
        <w:rPr>
          <w:rFonts w:ascii="Times New Roman" w:hAnsi="Times New Roman" w:cs="Times New Roman"/>
        </w:rPr>
        <w:t>Settlement at ¶37.</w:t>
      </w:r>
    </w:p>
  </w:footnote>
  <w:footnote w:id="6">
    <w:p w:rsidR="008F458B" w:rsidRPr="00B3453D" w:rsidP="00EE1708" w14:paraId="191667C7" w14:textId="731E5AAE">
      <w:pPr>
        <w:pStyle w:val="FootnoteText"/>
        <w:spacing w:after="120"/>
        <w:rPr>
          <w:rFonts w:ascii="Times New Roman" w:hAnsi="Times New Roman" w:cs="Times New Roman"/>
        </w:rPr>
      </w:pPr>
      <w:r w:rsidRPr="00B3453D">
        <w:rPr>
          <w:rStyle w:val="FootnoteReference"/>
          <w:rFonts w:ascii="Times New Roman" w:hAnsi="Times New Roman"/>
        </w:rPr>
        <w:footnoteRef/>
      </w:r>
      <w:r w:rsidRPr="00B3453D">
        <w:rPr>
          <w:rFonts w:ascii="Times New Roman" w:hAnsi="Times New Roman"/>
        </w:rPr>
        <w:t xml:space="preserve"> </w:t>
      </w:r>
      <w:r w:rsidRPr="00B3453D" w:rsidR="007C7442">
        <w:rPr>
          <w:rFonts w:ascii="Times New Roman" w:hAnsi="Times New Roman" w:cs="Times New Roman"/>
        </w:rPr>
        <w:t>After both were declared unlawful, Consumers have been denied $330 million in refunds in connection with DP&amp;L’s so-called “Stability Charge” and $218 million in connection with DP&amp;L’s so-called “Distribution Modernization Rider.”</w:t>
      </w:r>
      <w:r w:rsidRPr="00B3453D" w:rsidR="00386C5D">
        <w:rPr>
          <w:rFonts w:ascii="Times New Roman" w:hAnsi="Times New Roman" w:cs="Times New Roman"/>
        </w:rPr>
        <w:t xml:space="preserve"> </w:t>
      </w:r>
      <w:r w:rsidRPr="00B3453D" w:rsidR="00733864">
        <w:rPr>
          <w:rFonts w:ascii="Times New Roman" w:hAnsi="Times New Roman" w:cs="Times New Roman"/>
          <w:i/>
          <w:iCs/>
        </w:rPr>
        <w:t xml:space="preserve">See </w:t>
      </w:r>
      <w:r w:rsidRPr="00B3453D" w:rsidR="00191BB3">
        <w:rPr>
          <w:rFonts w:ascii="Times New Roman" w:hAnsi="Times New Roman" w:cs="Times New Roman"/>
          <w:i/>
          <w:iCs/>
        </w:rPr>
        <w:t>In re Application of Dayton Power &amp; Light Co.</w:t>
      </w:r>
      <w:r w:rsidRPr="00B3453D" w:rsidR="00191BB3">
        <w:rPr>
          <w:rFonts w:ascii="Times New Roman" w:hAnsi="Times New Roman" w:cs="Times New Roman"/>
        </w:rPr>
        <w:t xml:space="preserve">, 147 Ohio St.3d 166 (2016) (stability charge unlawful); </w:t>
      </w:r>
      <w:r w:rsidRPr="00B3453D" w:rsidR="00191BB3">
        <w:rPr>
          <w:rFonts w:ascii="Times New Roman" w:hAnsi="Times New Roman" w:cs="Times New Roman"/>
          <w:i/>
          <w:iCs/>
        </w:rPr>
        <w:t xml:space="preserve">In the Matter of the Application of </w:t>
      </w:r>
      <w:r w:rsidRPr="00B3453D" w:rsidR="00191BB3">
        <w:rPr>
          <w:rFonts w:ascii="Times New Roman" w:hAnsi="Times New Roman" w:cs="Times New Roman"/>
          <w:i/>
        </w:rPr>
        <w:t>Dayton Power &amp; Light Co. to Establish a Standard Service Offer in the Form of an Electric Security Plan</w:t>
      </w:r>
      <w:r w:rsidRPr="00B3453D" w:rsidR="00191BB3">
        <w:rPr>
          <w:rFonts w:ascii="Times New Roman" w:hAnsi="Times New Roman" w:cs="Times New Roman"/>
          <w:iCs/>
        </w:rPr>
        <w:t>, Case No. 16-395-EL-SSO, Supplemental Opinion and Order (Nov</w:t>
      </w:r>
      <w:r w:rsidR="00EE1708">
        <w:rPr>
          <w:rFonts w:ascii="Times New Roman" w:hAnsi="Times New Roman" w:cs="Times New Roman"/>
          <w:iCs/>
        </w:rPr>
        <w:t>.</w:t>
      </w:r>
      <w:r w:rsidRPr="00B3453D" w:rsidR="00191BB3">
        <w:rPr>
          <w:rFonts w:ascii="Times New Roman" w:hAnsi="Times New Roman" w:cs="Times New Roman"/>
          <w:iCs/>
        </w:rPr>
        <w:t xml:space="preserve"> 21, 2109) at para. 110 (DMR unlawful).</w:t>
      </w:r>
      <w:r w:rsidRPr="00B3453D" w:rsidR="00191BB3">
        <w:rPr>
          <w:rFonts w:ascii="Times New Roman" w:hAnsi="Times New Roman" w:cs="Times New Roman"/>
        </w:rPr>
        <w:t xml:space="preserve"> </w:t>
      </w:r>
    </w:p>
  </w:footnote>
  <w:footnote w:id="7">
    <w:p w:rsidR="00815CAD" w:rsidRPr="00B3453D" w:rsidP="00EE1708" w14:paraId="5D5F3857" w14:textId="77777777">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OCC’s Notice at 3-7.</w:t>
      </w:r>
    </w:p>
  </w:footnote>
  <w:footnote w:id="8">
    <w:p w:rsidR="00815CAD" w:rsidRPr="00B3453D" w:rsidP="00EE1708" w14:paraId="290156B8" w14:textId="77777777">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w:t>
      </w:r>
      <w:r w:rsidRPr="00B3453D">
        <w:rPr>
          <w:rFonts w:ascii="Times New Roman" w:hAnsi="Times New Roman" w:cs="Times New Roman"/>
          <w:i/>
          <w:iCs/>
        </w:rPr>
        <w:t xml:space="preserve">Id. </w:t>
      </w:r>
      <w:r w:rsidRPr="00B3453D">
        <w:rPr>
          <w:rFonts w:ascii="Times New Roman" w:hAnsi="Times New Roman" w:cs="Times New Roman"/>
        </w:rPr>
        <w:t>at 7-9.</w:t>
      </w:r>
    </w:p>
  </w:footnote>
  <w:footnote w:id="9">
    <w:p w:rsidR="00815CAD" w:rsidRPr="00B3453D" w:rsidP="00EE1708" w14:paraId="3368A703" w14:textId="084C9424">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Settlement at ¶37.</w:t>
      </w:r>
    </w:p>
  </w:footnote>
  <w:footnote w:id="10">
    <w:p w:rsidR="00815CAD" w:rsidRPr="00B3453D" w:rsidP="00EE1708" w14:paraId="50DBF395" w14:textId="77777777">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Second Finding and Order (Dec. 18, 2019).</w:t>
      </w:r>
    </w:p>
  </w:footnote>
  <w:footnote w:id="11">
    <w:p w:rsidR="00815CAD" w:rsidRPr="00B3453D" w:rsidP="00EE1708" w14:paraId="211C7EA3" w14:textId="77777777">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OCC Application for Rehearing (Jan. 17, 2020).</w:t>
      </w:r>
    </w:p>
  </w:footnote>
  <w:footnote w:id="12">
    <w:p w:rsidR="00815CAD" w:rsidRPr="00B3453D" w:rsidP="00EE1708" w14:paraId="5D32EF15" w14:textId="5C398668">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w:t>
      </w:r>
      <w:r w:rsidRPr="00B3453D">
        <w:rPr>
          <w:rFonts w:ascii="Times New Roman" w:hAnsi="Times New Roman" w:cs="Times New Roman"/>
          <w:i/>
          <w:iCs/>
        </w:rPr>
        <w:t>State ex rel Office of the Ohio Consumers’ Counsel v. Jenifer French, et al.</w:t>
      </w:r>
      <w:r w:rsidRPr="00B3453D">
        <w:rPr>
          <w:rFonts w:ascii="Times New Roman" w:hAnsi="Times New Roman" w:cs="Times New Roman"/>
        </w:rPr>
        <w:t>, S.Ct. 2021-0456, Complaint in procedendo (Apr. 14, 2021). The Court denied the writ after the PUCO filed a motion to dismiss, following the PUCO’s ruling on OCC’s application for rehearing in the Fifth Entry on Rehearing. 202</w:t>
      </w:r>
      <w:r w:rsidR="00C86FD2">
        <w:rPr>
          <w:rFonts w:ascii="Times New Roman" w:hAnsi="Times New Roman" w:cs="Times New Roman"/>
        </w:rPr>
        <w:t>1</w:t>
      </w:r>
      <w:r w:rsidRPr="00B3453D">
        <w:rPr>
          <w:rFonts w:ascii="Times New Roman" w:hAnsi="Times New Roman" w:cs="Times New Roman"/>
        </w:rPr>
        <w:t>-Ohio-2795.</w:t>
      </w:r>
    </w:p>
  </w:footnote>
  <w:footnote w:id="13">
    <w:p w:rsidR="00815CAD" w:rsidRPr="00B3453D" w:rsidP="00EE1708" w14:paraId="060AD77E" w14:textId="77777777">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Ohio Adm. Code 4901-1-17(G).</w:t>
      </w:r>
    </w:p>
  </w:footnote>
  <w:footnote w:id="14">
    <w:p w:rsidR="00B053EB" w:rsidP="00EE1708" w14:paraId="2DBA4CD8" w14:textId="25E6373F">
      <w:pPr>
        <w:spacing w:after="120"/>
      </w:pPr>
      <w:r w:rsidRPr="00B053EB">
        <w:rPr>
          <w:rStyle w:val="FootnoteReference"/>
          <w:rFonts w:ascii="Times New Roman" w:hAnsi="Times New Roman" w:cs="Times New Roman"/>
          <w:sz w:val="20"/>
          <w:szCs w:val="20"/>
        </w:rPr>
        <w:footnoteRef/>
      </w:r>
      <w:r w:rsidRPr="00B053EB">
        <w:rPr>
          <w:rFonts w:ascii="Times New Roman" w:hAnsi="Times New Roman" w:cs="Times New Roman"/>
          <w:sz w:val="20"/>
          <w:szCs w:val="20"/>
        </w:rPr>
        <w:t xml:space="preserve"> </w:t>
      </w:r>
      <w:bookmarkStart w:id="0" w:name="_Hlk84409472"/>
      <w:r w:rsidRPr="00B3453D">
        <w:rPr>
          <w:rFonts w:ascii="Times New Roman" w:hAnsi="Times New Roman" w:cs="Times New Roman"/>
          <w:bCs/>
          <w:i/>
          <w:iCs/>
          <w:sz w:val="20"/>
          <w:szCs w:val="20"/>
        </w:rPr>
        <w:t>See, e.g., In the Matter of the Application of Ohio Edison Company, the Cleveland Electric Illuminating Company, and the Toledo Edison Company for Authority to Provide for a Standard Service Offer</w:t>
      </w:r>
      <w:r w:rsidRPr="00B3453D">
        <w:rPr>
          <w:rFonts w:ascii="Times New Roman" w:hAnsi="Times New Roman" w:cs="Times New Roman"/>
          <w:bCs/>
          <w:sz w:val="20"/>
          <w:szCs w:val="20"/>
        </w:rPr>
        <w:t>, Case No. 14-1297-EL-SSO, Transcript from June 2, 2015 Conference at 96 (reducing discovery response time to seven days in light of hearing schedule);</w:t>
      </w:r>
      <w:r w:rsidRPr="00B3453D">
        <w:rPr>
          <w:rFonts w:ascii="Times New Roman" w:hAnsi="Times New Roman" w:cs="Times New Roman"/>
          <w:sz w:val="20"/>
          <w:szCs w:val="20"/>
        </w:rPr>
        <w:t xml:space="preserve"> </w:t>
      </w:r>
      <w:r w:rsidRPr="00B3453D">
        <w:rPr>
          <w:rFonts w:ascii="Times New Roman" w:hAnsi="Times New Roman" w:cs="Times New Roman"/>
          <w:bCs/>
          <w:i/>
          <w:iCs/>
          <w:color w:val="212121"/>
          <w:sz w:val="20"/>
          <w:szCs w:val="20"/>
        </w:rPr>
        <w:t>In the Matter of the Commission Review of the Capacity Charges of Ohio Power Company and Columbus Southern Power Company</w:t>
      </w:r>
      <w:r w:rsidRPr="00B3453D">
        <w:rPr>
          <w:rFonts w:ascii="Times New Roman" w:hAnsi="Times New Roman" w:cs="Times New Roman"/>
          <w:bCs/>
          <w:color w:val="212121"/>
          <w:sz w:val="20"/>
          <w:szCs w:val="20"/>
        </w:rPr>
        <w:t>, Case No. 10-2929-EL-UNC, Entry (Mar</w:t>
      </w:r>
      <w:r>
        <w:rPr>
          <w:rFonts w:ascii="Times New Roman" w:hAnsi="Times New Roman" w:cs="Times New Roman"/>
          <w:bCs/>
          <w:color w:val="212121"/>
          <w:sz w:val="20"/>
          <w:szCs w:val="20"/>
        </w:rPr>
        <w:t>.</w:t>
      </w:r>
      <w:r w:rsidRPr="00B3453D">
        <w:rPr>
          <w:rFonts w:ascii="Times New Roman" w:hAnsi="Times New Roman" w:cs="Times New Roman"/>
          <w:bCs/>
          <w:color w:val="212121"/>
          <w:sz w:val="20"/>
          <w:szCs w:val="20"/>
        </w:rPr>
        <w:t xml:space="preserve"> 23, 2012) (reducing discovery response time to seven days “in fairness to all the parties and to facilitate the efficient and timely consideration of the issues.”</w:t>
      </w:r>
      <w:r w:rsidR="00C86FD2">
        <w:rPr>
          <w:rFonts w:ascii="Times New Roman" w:hAnsi="Times New Roman" w:cs="Times New Roman"/>
          <w:bCs/>
          <w:color w:val="212121"/>
          <w:sz w:val="20"/>
          <w:szCs w:val="20"/>
        </w:rPr>
        <w:t>)</w:t>
      </w:r>
      <w:r w:rsidRPr="00B3453D">
        <w:rPr>
          <w:rFonts w:ascii="Times New Roman" w:hAnsi="Times New Roman" w:cs="Times New Roman"/>
          <w:bCs/>
          <w:color w:val="212121"/>
          <w:sz w:val="20"/>
          <w:szCs w:val="20"/>
        </w:rPr>
        <w:t xml:space="preserve">; </w:t>
      </w:r>
      <w:r w:rsidRPr="00B3453D">
        <w:rPr>
          <w:rFonts w:ascii="Times New Roman" w:hAnsi="Times New Roman" w:cs="Times New Roman"/>
          <w:bCs/>
          <w:i/>
          <w:iCs/>
          <w:color w:val="212121"/>
          <w:sz w:val="20"/>
          <w:szCs w:val="20"/>
        </w:rPr>
        <w:t>In the Matter of the Application of Duke Energy Ohio, Inc. for an Increase in Electric Distribution Rates, et al.</w:t>
      </w:r>
      <w:r w:rsidRPr="00B3453D">
        <w:rPr>
          <w:rFonts w:ascii="Times New Roman" w:hAnsi="Times New Roman" w:cs="Times New Roman"/>
          <w:bCs/>
          <w:color w:val="212121"/>
          <w:sz w:val="20"/>
          <w:szCs w:val="20"/>
        </w:rPr>
        <w:t xml:space="preserve">, Case Nos. 17-32-EL-AIR, </w:t>
      </w:r>
      <w:r w:rsidRPr="00B3453D">
        <w:rPr>
          <w:rFonts w:ascii="Times New Roman" w:hAnsi="Times New Roman" w:cs="Times New Roman"/>
          <w:bCs/>
          <w:i/>
          <w:iCs/>
          <w:color w:val="212121"/>
          <w:sz w:val="20"/>
          <w:szCs w:val="20"/>
        </w:rPr>
        <w:t>et al.</w:t>
      </w:r>
      <w:r w:rsidRPr="00B3453D">
        <w:rPr>
          <w:rFonts w:ascii="Times New Roman" w:hAnsi="Times New Roman" w:cs="Times New Roman"/>
          <w:bCs/>
          <w:color w:val="212121"/>
          <w:sz w:val="20"/>
          <w:szCs w:val="20"/>
        </w:rPr>
        <w:t>, Entry (May 9, 2018) (reducing discovery response time to seven days).</w:t>
      </w:r>
      <w:bookmarkEnd w:id="0"/>
    </w:p>
  </w:footnote>
  <w:footnote w:id="15">
    <w:p w:rsidR="00815CAD" w:rsidRPr="00B3453D" w:rsidP="00EE1708" w14:paraId="68F9AE99" w14:textId="1B7F7157">
      <w:pPr>
        <w:pStyle w:val="FootnoteText"/>
        <w:spacing w:after="120"/>
        <w:rPr>
          <w:rFonts w:ascii="Times New Roman" w:hAnsi="Times New Roman" w:cs="Times New Roman"/>
        </w:rPr>
      </w:pPr>
      <w:r w:rsidRPr="00B3453D">
        <w:rPr>
          <w:rStyle w:val="FootnoteReference"/>
          <w:rFonts w:ascii="Times New Roman" w:hAnsi="Times New Roman" w:cs="Times New Roman"/>
        </w:rPr>
        <w:footnoteRef/>
      </w:r>
      <w:r w:rsidRPr="00B3453D">
        <w:rPr>
          <w:rFonts w:ascii="Times New Roman" w:hAnsi="Times New Roman" w:cs="Times New Roman"/>
        </w:rPr>
        <w:t xml:space="preserve"> </w:t>
      </w:r>
      <w:r w:rsidRPr="00B3453D">
        <w:rPr>
          <w:rFonts w:ascii="Times New Roman" w:hAnsi="Times New Roman" w:cs="Times New Roman"/>
          <w:i/>
          <w:iCs/>
        </w:rPr>
        <w:t>In the Matter of the Applications of Ohio Edison Company, The Cleveland Electric Illuminating Company, and the Toledo Edison Company for Authority to Continue and Modify Certain Regulatory Accounting Practices and Procedures, for Tariff Approvals and to Establish Rates and Other Charges Including Regulatory Transition Charges Following the Market Development Period</w:t>
      </w:r>
      <w:r w:rsidRPr="00B3453D">
        <w:rPr>
          <w:rFonts w:ascii="Times New Roman" w:hAnsi="Times New Roman" w:cs="Times New Roman"/>
        </w:rPr>
        <w:t>, Case No. 03-2144-EL-ATA, et al., Entry at 5 (Oct. 28, 2003);</w:t>
      </w:r>
      <w:r w:rsidRPr="00B3453D">
        <w:rPr>
          <w:rFonts w:ascii="Times New Roman" w:hAnsi="Times New Roman" w:cs="Times New Roman"/>
          <w:i/>
          <w:iCs/>
        </w:rPr>
        <w:t xml:space="preserve"> In the Matter of the Continuation of the Rate Freeze and Extension of the Market Development Period for the Dayton Power and Light Company</w:t>
      </w:r>
      <w:r w:rsidRPr="00B3453D">
        <w:rPr>
          <w:rFonts w:ascii="Times New Roman" w:hAnsi="Times New Roman" w:cs="Times New Roman"/>
        </w:rPr>
        <w:t>, Case No. 02-2779-ELATA, et al., Entry at 2 (Apr. 1,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690714"/>
    <w:multiLevelType w:val="hybridMultilevel"/>
    <w:tmpl w:val="ED96331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B637695"/>
    <w:multiLevelType w:val="hybridMultilevel"/>
    <w:tmpl w:val="F286AC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0DA3E38"/>
    <w:multiLevelType w:val="hybridMultilevel"/>
    <w:tmpl w:val="5FA261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5496C3F"/>
    <w:multiLevelType w:val="hybridMultilevel"/>
    <w:tmpl w:val="B63A64C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26C6ECB"/>
    <w:multiLevelType w:val="hybridMultilevel"/>
    <w:tmpl w:val="8FFC45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AD"/>
    <w:rsid w:val="000315DF"/>
    <w:rsid w:val="00054D77"/>
    <w:rsid w:val="00093511"/>
    <w:rsid w:val="00191BB3"/>
    <w:rsid w:val="001F4DFF"/>
    <w:rsid w:val="00224E84"/>
    <w:rsid w:val="00283B25"/>
    <w:rsid w:val="00315435"/>
    <w:rsid w:val="00386C5D"/>
    <w:rsid w:val="003A75CD"/>
    <w:rsid w:val="003F4C02"/>
    <w:rsid w:val="004475B0"/>
    <w:rsid w:val="004A2232"/>
    <w:rsid w:val="004A460B"/>
    <w:rsid w:val="004B37CE"/>
    <w:rsid w:val="0060606B"/>
    <w:rsid w:val="0062222C"/>
    <w:rsid w:val="006318FC"/>
    <w:rsid w:val="00646A2A"/>
    <w:rsid w:val="006740F0"/>
    <w:rsid w:val="00733864"/>
    <w:rsid w:val="0078266B"/>
    <w:rsid w:val="007A044A"/>
    <w:rsid w:val="007C3430"/>
    <w:rsid w:val="007C7442"/>
    <w:rsid w:val="007E6604"/>
    <w:rsid w:val="00815CAD"/>
    <w:rsid w:val="0086537F"/>
    <w:rsid w:val="008A79EE"/>
    <w:rsid w:val="008F0955"/>
    <w:rsid w:val="008F458B"/>
    <w:rsid w:val="008F7C82"/>
    <w:rsid w:val="00935CFD"/>
    <w:rsid w:val="0094279D"/>
    <w:rsid w:val="009427FD"/>
    <w:rsid w:val="0095290E"/>
    <w:rsid w:val="00977EE3"/>
    <w:rsid w:val="00A53E1E"/>
    <w:rsid w:val="00AA4A1B"/>
    <w:rsid w:val="00AD5486"/>
    <w:rsid w:val="00AE460B"/>
    <w:rsid w:val="00AE799F"/>
    <w:rsid w:val="00B053EB"/>
    <w:rsid w:val="00B23450"/>
    <w:rsid w:val="00B3453D"/>
    <w:rsid w:val="00B67FBD"/>
    <w:rsid w:val="00C06B22"/>
    <w:rsid w:val="00C260AB"/>
    <w:rsid w:val="00C34671"/>
    <w:rsid w:val="00C86FD2"/>
    <w:rsid w:val="00D56022"/>
    <w:rsid w:val="00DC6BD7"/>
    <w:rsid w:val="00DF5140"/>
    <w:rsid w:val="00E15091"/>
    <w:rsid w:val="00E25E55"/>
    <w:rsid w:val="00E50EA9"/>
    <w:rsid w:val="00EB366B"/>
    <w:rsid w:val="00EE1708"/>
    <w:rsid w:val="00F00AAF"/>
    <w:rsid w:val="00F400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Times New Roman Bold" w:hAnsi="Times New Roman Bold" w:eastAsiaTheme="majorEastAsia" w:cstheme="majorBidi"/>
      <w:b/>
      <w:caps/>
      <w:sz w:val="24"/>
      <w:szCs w:val="32"/>
    </w:rPr>
  </w:style>
  <w:style w:type="paragraph" w:styleId="Heading2">
    <w:name w:val="heading 2"/>
    <w:basedOn w:val="Normal"/>
    <w:next w:val="Normal"/>
    <w:link w:val="Heading2Char"/>
    <w:uiPriority w:val="9"/>
    <w:unhideWhenUsed/>
    <w:qFormat/>
    <w:pPr>
      <w:keepNext/>
      <w:keepLines/>
      <w:spacing w:after="240" w:line="240" w:lineRule="auto"/>
      <w:outlineLvl w:val="1"/>
    </w:pPr>
    <w:rPr>
      <w:rFonts w:ascii="Times New Roman Bold" w:hAnsi="Times New Roman Bold"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imes New Roman Bold" w:hAnsi="Times New Roman Bold" w:eastAsiaTheme="majorEastAsia" w:cstheme="majorBidi"/>
      <w:b/>
      <w:caps/>
      <w:sz w:val="24"/>
      <w:szCs w:val="32"/>
    </w:rPr>
  </w:style>
  <w:style w:type="character" w:customStyle="1" w:styleId="Heading2Char">
    <w:name w:val="Heading 2 Char"/>
    <w:basedOn w:val="DefaultParagraphFont"/>
    <w:link w:val="Heading2"/>
    <w:uiPriority w:val="9"/>
    <w:rPr>
      <w:rFonts w:ascii="Times New Roman Bold" w:hAnsi="Times New Roman Bold" w:eastAsiaTheme="majorEastAsia" w:cstheme="majorBidi"/>
      <w:b/>
      <w:sz w:val="24"/>
      <w:szCs w:val="26"/>
    </w:rPr>
  </w:style>
  <w:style w:type="paragraph" w:styleId="BodyText">
    <w:name w:val="Body Text"/>
    <w:basedOn w:val="Normal"/>
    <w:link w:val="BodyTextChar"/>
    <w:uiPriority w:val="1"/>
    <w:qFormat/>
    <w:rsid w:val="008F7C82"/>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8F7C82"/>
    <w:rPr>
      <w:rFonts w:ascii="Arial" w:eastAsia="Arial" w:hAnsi="Arial" w:cs="Arial"/>
      <w:sz w:val="23"/>
      <w:szCs w:val="23"/>
    </w:rPr>
  </w:style>
  <w:style w:type="paragraph" w:styleId="HTMLPreformatted">
    <w:name w:val="HTML Preformatted"/>
    <w:basedOn w:val="Normal"/>
    <w:link w:val="HTMLPreformattedChar"/>
    <w:rsid w:val="008F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F7C82"/>
    <w:rPr>
      <w:rFonts w:ascii="Courier New" w:eastAsia="Courier New" w:hAnsi="Courier New" w:cs="Courier New"/>
      <w:sz w:val="20"/>
      <w:szCs w:val="20"/>
    </w:rPr>
  </w:style>
  <w:style w:type="character" w:styleId="Hyperlink">
    <w:name w:val="Hyperlink"/>
    <w:uiPriority w:val="99"/>
    <w:rsid w:val="008F7C82"/>
    <w:rPr>
      <w:color w:val="0000FF"/>
      <w:u w:val="single"/>
    </w:rPr>
  </w:style>
  <w:style w:type="paragraph" w:styleId="PlainText">
    <w:name w:val="Plain Text"/>
    <w:basedOn w:val="Normal"/>
    <w:link w:val="PlainTextChar"/>
    <w:uiPriority w:val="99"/>
    <w:semiHidden/>
    <w:unhideWhenUsed/>
    <w:rsid w:val="008F7C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7C82"/>
    <w:rPr>
      <w:rFonts w:ascii="Calibri" w:hAnsi="Calibri"/>
      <w:szCs w:val="21"/>
    </w:rPr>
  </w:style>
  <w:style w:type="paragraph" w:styleId="CommentText">
    <w:name w:val="annotation text"/>
    <w:basedOn w:val="Normal"/>
    <w:link w:val="CommentTextChar"/>
    <w:uiPriority w:val="99"/>
    <w:rsid w:val="008F7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7C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8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B25"/>
  </w:style>
  <w:style w:type="paragraph" w:styleId="Footer">
    <w:name w:val="footer"/>
    <w:basedOn w:val="Normal"/>
    <w:link w:val="FooterChar"/>
    <w:uiPriority w:val="99"/>
    <w:unhideWhenUsed/>
    <w:rsid w:val="0028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B25"/>
  </w:style>
  <w:style w:type="character" w:styleId="CommentReference">
    <w:name w:val="annotation reference"/>
    <w:basedOn w:val="DefaultParagraphFont"/>
    <w:uiPriority w:val="99"/>
    <w:semiHidden/>
    <w:unhideWhenUsed/>
    <w:rsid w:val="003F4C02"/>
    <w:rPr>
      <w:sz w:val="16"/>
      <w:szCs w:val="16"/>
    </w:rPr>
  </w:style>
  <w:style w:type="paragraph" w:styleId="CommentSubject">
    <w:name w:val="annotation subject"/>
    <w:basedOn w:val="CommentText"/>
    <w:next w:val="CommentText"/>
    <w:link w:val="CommentSubjectChar"/>
    <w:uiPriority w:val="99"/>
    <w:semiHidden/>
    <w:unhideWhenUsed/>
    <w:rsid w:val="003F4C0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4C0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F4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DFF"/>
    <w:rPr>
      <w:sz w:val="20"/>
      <w:szCs w:val="20"/>
    </w:rPr>
  </w:style>
  <w:style w:type="character" w:styleId="EndnoteReference">
    <w:name w:val="endnote reference"/>
    <w:basedOn w:val="DefaultParagraphFont"/>
    <w:uiPriority w:val="99"/>
    <w:semiHidden/>
    <w:unhideWhenUsed/>
    <w:rsid w:val="001F4DFF"/>
    <w:rPr>
      <w:vertAlign w:val="superscript"/>
    </w:rPr>
  </w:style>
  <w:style w:type="paragraph" w:styleId="BalloonText">
    <w:name w:val="Balloon Text"/>
    <w:basedOn w:val="Normal"/>
    <w:link w:val="BalloonTextChar"/>
    <w:uiPriority w:val="99"/>
    <w:semiHidden/>
    <w:unhideWhenUsed/>
    <w:rsid w:val="00AD54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486"/>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EE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cfaruki@ficlaw.com" TargetMode="External" /><Relationship Id="rId12" Type="http://schemas.openxmlformats.org/officeDocument/2006/relationships/hyperlink" Target="mailto:jsharkey@ficlaw.com" TargetMode="External" /><Relationship Id="rId13" Type="http://schemas.openxmlformats.org/officeDocument/2006/relationships/hyperlink" Target="mailto:joliker@igsenergy.com" TargetMode="External" /><Relationship Id="rId14" Type="http://schemas.openxmlformats.org/officeDocument/2006/relationships/hyperlink" Target="mailto:Ned.Ford@fuse.net" TargetMode="External" /><Relationship Id="rId15" Type="http://schemas.openxmlformats.org/officeDocument/2006/relationships/hyperlink" Target="mailto:mjsettineri@vorys.com" TargetMode="External" /><Relationship Id="rId16" Type="http://schemas.openxmlformats.org/officeDocument/2006/relationships/hyperlink" Target="mailto:glpetrucci@vorys.com" TargetMode="External" /><Relationship Id="rId17" Type="http://schemas.openxmlformats.org/officeDocument/2006/relationships/hyperlink" Target="mailto:bojko@carpenterlipps.com" TargetMode="External" /><Relationship Id="rId18" Type="http://schemas.openxmlformats.org/officeDocument/2006/relationships/hyperlink" Target="mailto:paul@carpenterlipps.com" TargetMode="External" /><Relationship Id="rId19" Type="http://schemas.openxmlformats.org/officeDocument/2006/relationships/hyperlink" Target="mailto:slesser@beneschlaw.com" TargetMode="External" /><Relationship Id="rId2" Type="http://schemas.openxmlformats.org/officeDocument/2006/relationships/settings" Target="settings.xml" /><Relationship Id="rId20" Type="http://schemas.openxmlformats.org/officeDocument/2006/relationships/hyperlink" Target="mailto:mkeaney@beneschlaw.com" TargetMode="External" /><Relationship Id="rId21" Type="http://schemas.openxmlformats.org/officeDocument/2006/relationships/hyperlink" Target="mailto:talexander@beneschlaw.com" TargetMode="External" /><Relationship Id="rId22" Type="http://schemas.openxmlformats.org/officeDocument/2006/relationships/hyperlink" Target="mailto:mswhite@igsenergy.com" TargetMode="External" /><Relationship Id="rId23" Type="http://schemas.openxmlformats.org/officeDocument/2006/relationships/hyperlink" Target="mailto:dborchers@bricker.com" TargetMode="External" /><Relationship Id="rId24" Type="http://schemas.openxmlformats.org/officeDocument/2006/relationships/hyperlink" Target="mailto:dparram@bricker.com" TargetMode="External" /><Relationship Id="rId25" Type="http://schemas.openxmlformats.org/officeDocument/2006/relationships/hyperlink" Target="mailto:michael.schuler@aes.com" TargetMode="External" /><Relationship Id="rId26" Type="http://schemas.openxmlformats.org/officeDocument/2006/relationships/hyperlink" Target="mailto:Gregory.Price@puco.ohio.gov" TargetMode="External" /><Relationship Id="rId27" Type="http://schemas.openxmlformats.org/officeDocument/2006/relationships/hyperlink" Target="mailto:Jeanne.kingery@duke-energy.com" TargetMode="External" /><Relationship Id="rId28" Type="http://schemas.openxmlformats.org/officeDocument/2006/relationships/hyperlink" Target="mailto:haydenm@firstenergycorp.com" TargetMode="External" /><Relationship Id="rId29" Type="http://schemas.openxmlformats.org/officeDocument/2006/relationships/hyperlink" Target="mailto:mjsatterwhite@aep.com" TargetMode="External" /><Relationship Id="rId3" Type="http://schemas.openxmlformats.org/officeDocument/2006/relationships/webSettings" Target="webSettings.xml" /><Relationship Id="rId30" Type="http://schemas.openxmlformats.org/officeDocument/2006/relationships/hyperlink" Target="mailto:stnourse@aep.com" TargetMode="External" /><Relationship Id="rId31" Type="http://schemas.openxmlformats.org/officeDocument/2006/relationships/hyperlink" Target="mailto:henryeckhart@aol.com" TargetMode="External" /><Relationship Id="rId32" Type="http://schemas.openxmlformats.org/officeDocument/2006/relationships/hyperlink" Target="mailto:dboehm@bkllawfirm.com" TargetMode="External" /><Relationship Id="rId33" Type="http://schemas.openxmlformats.org/officeDocument/2006/relationships/hyperlink" Target="mailto:mkurtz@bkllawfirm.com" TargetMode="External" /><Relationship Id="rId34" Type="http://schemas.openxmlformats.org/officeDocument/2006/relationships/hyperlink" Target="mailto:jkylercohn@bkllawfirm.com" TargetMode="External" /><Relationship Id="rId35" Type="http://schemas.openxmlformats.org/officeDocument/2006/relationships/hyperlink" Target="mailto:Cynthia.brady@constellation.com" TargetMode="External" /><Relationship Id="rId36" Type="http://schemas.openxmlformats.org/officeDocument/2006/relationships/hyperlink" Target="mailto:David.fein@constellation.com" TargetMode="External" /><Relationship Id="rId37" Type="http://schemas.openxmlformats.org/officeDocument/2006/relationships/hyperlink" Target="mailto:njohnson@theoec.org" TargetMode="External" /><Relationship Id="rId38" Type="http://schemas.openxmlformats.org/officeDocument/2006/relationships/hyperlink" Target="mailto:Williams.toddm@gmail.com" TargetMode="External" /><Relationship Id="rId39" Type="http://schemas.openxmlformats.org/officeDocument/2006/relationships/hyperlink" Target="mailto:ejacobs@ablelaw.org" TargetMode="External" /><Relationship Id="rId4" Type="http://schemas.openxmlformats.org/officeDocument/2006/relationships/fontTable" Target="fontTable.xml" /><Relationship Id="rId40" Type="http://schemas.openxmlformats.org/officeDocument/2006/relationships/hyperlink" Target="mailto:stephen.chriss@wal-mart.com" TargetMode="External" /><Relationship Id="rId41" Type="http://schemas.openxmlformats.org/officeDocument/2006/relationships/hyperlink" Target="mailto:rdove@keglerbrown.com" TargetMode="External" /><Relationship Id="rId42" Type="http://schemas.openxmlformats.org/officeDocument/2006/relationships/hyperlink" Target="mailto:fykes@whitt-sturtevant.com" TargetMode="External" /><Relationship Id="rId43" Type="http://schemas.openxmlformats.org/officeDocument/2006/relationships/hyperlink" Target="mailto:whitt@whitt-sturtevant.com" TargetMode="External" /><Relationship Id="rId44" Type="http://schemas.openxmlformats.org/officeDocument/2006/relationships/hyperlink" Target="mailto:mpritchard@mcneeslaw.com" TargetMode="External" /><Relationship Id="rId45" Type="http://schemas.openxmlformats.org/officeDocument/2006/relationships/footer" Target="footer2.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maureen.willis@occ.ohio.gov" TargetMode="External" /><Relationship Id="rId8" Type="http://schemas.openxmlformats.org/officeDocument/2006/relationships/hyperlink" Target="mailto:christopher.healey@occ.ohio.gov" TargetMode="Externa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CAD5-AA03-4C89-B759-146AF753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2021-10-07T17:04:47Z</dcterms:created>
  <dcterms:modified xsi:type="dcterms:W3CDTF">2021-10-07T17:04:47Z</dcterms:modified>
</cp:coreProperties>
</file>