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A55" w:rsidRDefault="00CD7A55" w:rsidP="005E6EA6">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CD7A55" w:rsidRDefault="00CD7A55" w:rsidP="005E6EA6">
      <w:pPr>
        <w:pStyle w:val="HTMLPreformatted"/>
        <w:jc w:val="center"/>
        <w:rPr>
          <w:rFonts w:ascii="Times New Roman" w:hAnsi="Times New Roman"/>
          <w:sz w:val="24"/>
        </w:rPr>
      </w:pPr>
      <w:r>
        <w:rPr>
          <w:rFonts w:ascii="Times New Roman" w:hAnsi="Times New Roman"/>
          <w:b/>
          <w:bCs/>
          <w:sz w:val="24"/>
        </w:rPr>
        <w:t>THE PUBLIC UTILITIES COMMISSION OF OHIO</w:t>
      </w:r>
    </w:p>
    <w:p w:rsidR="00CD7A55" w:rsidRDefault="00CD7A55" w:rsidP="00A57413">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CD7A55" w:rsidTr="00260C55">
        <w:trPr>
          <w:trHeight w:val="807"/>
        </w:trPr>
        <w:tc>
          <w:tcPr>
            <w:tcW w:w="4332" w:type="dxa"/>
          </w:tcPr>
          <w:p w:rsidR="00CD7A55" w:rsidRPr="009B1F15" w:rsidRDefault="00CD7A55" w:rsidP="00A57413">
            <w:pPr>
              <w:autoSpaceDE w:val="0"/>
              <w:autoSpaceDN w:val="0"/>
              <w:adjustRightInd w:val="0"/>
              <w:rPr>
                <w:rFonts w:ascii="Times New Roman" w:hAnsi="Times New Roman" w:cs="Times New Roman"/>
                <w:sz w:val="24"/>
                <w:szCs w:val="24"/>
              </w:rPr>
            </w:pPr>
            <w:r w:rsidRPr="009B1F15">
              <w:rPr>
                <w:rFonts w:ascii="Times New Roman" w:hAnsi="Times New Roman" w:cs="Times New Roman"/>
                <w:sz w:val="24"/>
                <w:szCs w:val="24"/>
              </w:rPr>
              <w:t>In the Matter of the Application Seeking Approval of Ohio Power Company’s Proposal to Enter into an Affiliate Power Purchase Agreement in the Power Purchase Agreement Rider.</w:t>
            </w:r>
          </w:p>
          <w:p w:rsidR="00CD7A55" w:rsidRPr="009B1F15" w:rsidRDefault="00CD7A55" w:rsidP="00A57413">
            <w:pPr>
              <w:autoSpaceDE w:val="0"/>
              <w:autoSpaceDN w:val="0"/>
              <w:adjustRightInd w:val="0"/>
              <w:rPr>
                <w:rFonts w:ascii="Times New Roman" w:hAnsi="Times New Roman" w:cs="Times New Roman"/>
                <w:sz w:val="24"/>
                <w:szCs w:val="24"/>
              </w:rPr>
            </w:pPr>
            <w:r w:rsidRPr="009B1F15">
              <w:rPr>
                <w:rFonts w:ascii="Times New Roman" w:hAnsi="Times New Roman" w:cs="Times New Roman"/>
                <w:sz w:val="24"/>
                <w:szCs w:val="24"/>
              </w:rPr>
              <w:t xml:space="preserve">In the Matter of the Application of Ohio Power Company for Approval of Certain Accounting Authority. </w:t>
            </w:r>
          </w:p>
          <w:p w:rsidR="00CD7A55" w:rsidRDefault="00CD7A55" w:rsidP="00A57413">
            <w:pPr>
              <w:pStyle w:val="HTMLPreformatted"/>
              <w:rPr>
                <w:rFonts w:ascii="Times New Roman" w:hAnsi="Times New Roman"/>
                <w:sz w:val="24"/>
                <w:szCs w:val="24"/>
              </w:rPr>
            </w:pPr>
          </w:p>
        </w:tc>
        <w:tc>
          <w:tcPr>
            <w:tcW w:w="360" w:type="dxa"/>
          </w:tcPr>
          <w:p w:rsidR="00CD7A55" w:rsidRDefault="00CD7A55" w:rsidP="00A57413">
            <w:pPr>
              <w:pStyle w:val="HTMLPreformatted"/>
              <w:rPr>
                <w:rFonts w:ascii="Times New Roman" w:hAnsi="Times New Roman"/>
                <w:sz w:val="24"/>
              </w:rPr>
            </w:pPr>
            <w:r>
              <w:rPr>
                <w:rFonts w:ascii="Times New Roman" w:hAnsi="Times New Roman"/>
                <w:sz w:val="24"/>
              </w:rPr>
              <w:t>)</w:t>
            </w:r>
          </w:p>
          <w:p w:rsidR="00CD7A55" w:rsidRDefault="00CD7A55" w:rsidP="00A57413">
            <w:pPr>
              <w:pStyle w:val="HTMLPreformatted"/>
              <w:rPr>
                <w:rFonts w:ascii="Times New Roman" w:hAnsi="Times New Roman"/>
                <w:sz w:val="24"/>
              </w:rPr>
            </w:pPr>
            <w:r>
              <w:rPr>
                <w:rFonts w:ascii="Times New Roman" w:hAnsi="Times New Roman"/>
                <w:sz w:val="24"/>
              </w:rPr>
              <w:t>)</w:t>
            </w:r>
          </w:p>
          <w:p w:rsidR="00CD7A55" w:rsidRDefault="00CD7A55" w:rsidP="00A57413">
            <w:pPr>
              <w:pStyle w:val="HTMLPreformatted"/>
              <w:rPr>
                <w:rFonts w:ascii="Times New Roman" w:hAnsi="Times New Roman"/>
                <w:sz w:val="24"/>
              </w:rPr>
            </w:pPr>
            <w:r>
              <w:rPr>
                <w:rFonts w:ascii="Times New Roman" w:hAnsi="Times New Roman"/>
                <w:sz w:val="24"/>
              </w:rPr>
              <w:t>)</w:t>
            </w:r>
          </w:p>
          <w:p w:rsidR="00CD7A55" w:rsidRDefault="00CD7A55" w:rsidP="00A57413">
            <w:pPr>
              <w:pStyle w:val="HTMLPreformatted"/>
              <w:rPr>
                <w:rFonts w:ascii="Times New Roman" w:hAnsi="Times New Roman"/>
                <w:sz w:val="24"/>
              </w:rPr>
            </w:pPr>
            <w:r>
              <w:rPr>
                <w:rFonts w:ascii="Times New Roman" w:hAnsi="Times New Roman"/>
                <w:sz w:val="24"/>
              </w:rPr>
              <w:t>)</w:t>
            </w:r>
          </w:p>
          <w:p w:rsidR="00CD7A55" w:rsidRDefault="00CD7A55" w:rsidP="00A57413">
            <w:pPr>
              <w:pStyle w:val="HTMLPreformatted"/>
              <w:rPr>
                <w:rFonts w:ascii="Times New Roman" w:hAnsi="Times New Roman"/>
                <w:sz w:val="24"/>
              </w:rPr>
            </w:pPr>
            <w:r>
              <w:rPr>
                <w:rFonts w:ascii="Times New Roman" w:hAnsi="Times New Roman"/>
                <w:sz w:val="24"/>
              </w:rPr>
              <w:t>)</w:t>
            </w:r>
          </w:p>
          <w:p w:rsidR="0020495B" w:rsidRDefault="0020495B" w:rsidP="00A57413">
            <w:pPr>
              <w:pStyle w:val="HTMLPreformatted"/>
              <w:rPr>
                <w:rFonts w:ascii="Times New Roman" w:hAnsi="Times New Roman"/>
                <w:sz w:val="24"/>
              </w:rPr>
            </w:pPr>
            <w:r>
              <w:rPr>
                <w:rFonts w:ascii="Times New Roman" w:hAnsi="Times New Roman"/>
                <w:sz w:val="24"/>
              </w:rPr>
              <w:t>)</w:t>
            </w:r>
          </w:p>
          <w:p w:rsidR="00CD7A55" w:rsidRDefault="0020495B" w:rsidP="00A57413">
            <w:pPr>
              <w:pStyle w:val="HTMLPreformatted"/>
              <w:rPr>
                <w:rFonts w:ascii="Times New Roman" w:hAnsi="Times New Roman"/>
                <w:sz w:val="24"/>
              </w:rPr>
            </w:pPr>
            <w:r>
              <w:rPr>
                <w:rFonts w:ascii="Times New Roman" w:hAnsi="Times New Roman"/>
                <w:sz w:val="24"/>
              </w:rPr>
              <w:t>)</w:t>
            </w:r>
          </w:p>
          <w:p w:rsidR="00CD7A55" w:rsidRDefault="00CD7A55" w:rsidP="00A57413">
            <w:pPr>
              <w:pStyle w:val="HTMLPreformatted"/>
              <w:rPr>
                <w:rFonts w:ascii="Times New Roman" w:hAnsi="Times New Roman"/>
                <w:sz w:val="24"/>
              </w:rPr>
            </w:pPr>
            <w:r>
              <w:rPr>
                <w:rFonts w:ascii="Times New Roman" w:hAnsi="Times New Roman"/>
                <w:sz w:val="24"/>
              </w:rPr>
              <w:t>)</w:t>
            </w:r>
          </w:p>
          <w:p w:rsidR="00CD7A55" w:rsidRDefault="00CD7A55" w:rsidP="00A57413">
            <w:pPr>
              <w:pStyle w:val="HTMLPreformatted"/>
              <w:rPr>
                <w:rFonts w:ascii="Times New Roman" w:hAnsi="Times New Roman"/>
                <w:sz w:val="24"/>
              </w:rPr>
            </w:pPr>
            <w:r>
              <w:rPr>
                <w:rFonts w:ascii="Times New Roman" w:hAnsi="Times New Roman"/>
                <w:sz w:val="24"/>
              </w:rPr>
              <w:t>)</w:t>
            </w:r>
          </w:p>
          <w:p w:rsidR="00CD7A55" w:rsidRDefault="00CD7A55" w:rsidP="00A57413">
            <w:pPr>
              <w:pStyle w:val="HTMLPreformatted"/>
              <w:rPr>
                <w:rFonts w:ascii="Times New Roman" w:hAnsi="Times New Roman"/>
                <w:sz w:val="24"/>
              </w:rPr>
            </w:pPr>
            <w:r>
              <w:rPr>
                <w:rFonts w:ascii="Times New Roman" w:hAnsi="Times New Roman"/>
                <w:sz w:val="24"/>
              </w:rPr>
              <w:t>)</w:t>
            </w:r>
          </w:p>
        </w:tc>
        <w:tc>
          <w:tcPr>
            <w:tcW w:w="4400" w:type="dxa"/>
          </w:tcPr>
          <w:p w:rsidR="00CD7A55" w:rsidRDefault="00CD7A55" w:rsidP="00A57413">
            <w:pPr>
              <w:pStyle w:val="HTMLPreformatted"/>
              <w:rPr>
                <w:rFonts w:ascii="Times New Roman" w:hAnsi="Times New Roman"/>
                <w:sz w:val="24"/>
              </w:rPr>
            </w:pPr>
          </w:p>
          <w:p w:rsidR="004900D9" w:rsidRDefault="004900D9" w:rsidP="00A57413">
            <w:pPr>
              <w:pStyle w:val="HTMLPreformatted"/>
              <w:rPr>
                <w:rFonts w:ascii="Times New Roman" w:hAnsi="Times New Roman"/>
                <w:sz w:val="24"/>
              </w:rPr>
            </w:pPr>
          </w:p>
          <w:p w:rsidR="00CD7A55" w:rsidRDefault="00CD7A55" w:rsidP="00A57413">
            <w:pPr>
              <w:pStyle w:val="HTMLPreformatted"/>
              <w:rPr>
                <w:rFonts w:ascii="Times New Roman" w:hAnsi="Times New Roman"/>
                <w:sz w:val="24"/>
              </w:rPr>
            </w:pPr>
            <w:r>
              <w:rPr>
                <w:rFonts w:ascii="Times New Roman" w:hAnsi="Times New Roman"/>
                <w:sz w:val="24"/>
              </w:rPr>
              <w:t>Case No. 14-1693-EL-RDR</w:t>
            </w:r>
          </w:p>
          <w:p w:rsidR="00CD7A55" w:rsidRDefault="00CD7A55" w:rsidP="00A57413">
            <w:pPr>
              <w:pStyle w:val="HTMLPreformatted"/>
              <w:rPr>
                <w:rFonts w:ascii="Times New Roman" w:hAnsi="Times New Roman"/>
                <w:sz w:val="24"/>
              </w:rPr>
            </w:pPr>
          </w:p>
          <w:p w:rsidR="00CD7A55" w:rsidRDefault="00CD7A55" w:rsidP="00A57413">
            <w:pPr>
              <w:pStyle w:val="HTMLPreformatted"/>
              <w:rPr>
                <w:rFonts w:ascii="Times New Roman" w:hAnsi="Times New Roman"/>
                <w:sz w:val="24"/>
              </w:rPr>
            </w:pPr>
          </w:p>
          <w:p w:rsidR="00CD7A55" w:rsidRDefault="00CD7A55" w:rsidP="00A57413">
            <w:pPr>
              <w:pStyle w:val="HTMLPreformatted"/>
              <w:rPr>
                <w:rFonts w:ascii="Times New Roman" w:hAnsi="Times New Roman"/>
                <w:sz w:val="24"/>
              </w:rPr>
            </w:pPr>
          </w:p>
          <w:p w:rsidR="00CD7A55" w:rsidRDefault="00CD7A55" w:rsidP="00A57413">
            <w:pPr>
              <w:pStyle w:val="HTMLPreformatted"/>
              <w:rPr>
                <w:rFonts w:ascii="Times New Roman" w:hAnsi="Times New Roman"/>
                <w:sz w:val="24"/>
              </w:rPr>
            </w:pPr>
          </w:p>
          <w:p w:rsidR="00CD7A55" w:rsidRDefault="00CD7A55" w:rsidP="00A57413">
            <w:pPr>
              <w:pStyle w:val="HTMLPreformatted"/>
              <w:rPr>
                <w:rFonts w:ascii="Times New Roman" w:hAnsi="Times New Roman"/>
                <w:sz w:val="24"/>
              </w:rPr>
            </w:pPr>
            <w:r>
              <w:rPr>
                <w:rFonts w:ascii="Times New Roman" w:hAnsi="Times New Roman"/>
                <w:sz w:val="24"/>
              </w:rPr>
              <w:t>Case No. 14-1694-EL-AAM</w:t>
            </w:r>
          </w:p>
          <w:p w:rsidR="00CD7A55" w:rsidRDefault="00CD7A55" w:rsidP="00A57413">
            <w:pPr>
              <w:pStyle w:val="HTMLPreformatted"/>
              <w:rPr>
                <w:rFonts w:ascii="Times New Roman" w:hAnsi="Times New Roman"/>
                <w:sz w:val="24"/>
              </w:rPr>
            </w:pPr>
          </w:p>
        </w:tc>
      </w:tr>
    </w:tbl>
    <w:p w:rsidR="00CD7A55" w:rsidRDefault="00CD7A55" w:rsidP="00A57413">
      <w:pPr>
        <w:pStyle w:val="HTMLPreformatted"/>
        <w:pBdr>
          <w:bottom w:val="single" w:sz="12" w:space="1" w:color="auto"/>
        </w:pBdr>
        <w:rPr>
          <w:rFonts w:ascii="Times New Roman" w:hAnsi="Times New Roman"/>
          <w:b/>
          <w:bCs/>
          <w:sz w:val="24"/>
        </w:rPr>
      </w:pPr>
    </w:p>
    <w:p w:rsidR="00CD7A55" w:rsidRDefault="00CD7A55" w:rsidP="00A57413">
      <w:pPr>
        <w:pStyle w:val="HTMLPreformatted"/>
        <w:rPr>
          <w:rFonts w:ascii="Times New Roman" w:hAnsi="Times New Roman"/>
          <w:b/>
          <w:bCs/>
          <w:i/>
          <w:sz w:val="24"/>
        </w:rPr>
      </w:pPr>
    </w:p>
    <w:p w:rsidR="00CD7A55" w:rsidRDefault="00CD7A55" w:rsidP="005B2A32">
      <w:pPr>
        <w:pStyle w:val="HTMLPreformatted"/>
        <w:jc w:val="center"/>
        <w:rPr>
          <w:rFonts w:ascii="Times New Roman" w:hAnsi="Times New Roman"/>
          <w:b/>
          <w:bCs/>
          <w:sz w:val="24"/>
        </w:rPr>
      </w:pPr>
      <w:r>
        <w:rPr>
          <w:rFonts w:ascii="Times New Roman" w:hAnsi="Times New Roman"/>
          <w:b/>
          <w:bCs/>
          <w:sz w:val="24"/>
        </w:rPr>
        <w:t>INITIAL POST-HEARING BRIEF</w:t>
      </w:r>
    </w:p>
    <w:p w:rsidR="00CD7A55" w:rsidRDefault="00CD7A55" w:rsidP="005B2A32">
      <w:pPr>
        <w:pStyle w:val="HTMLPreformatted"/>
        <w:jc w:val="center"/>
        <w:rPr>
          <w:rFonts w:ascii="Times New Roman" w:hAnsi="Times New Roman"/>
          <w:b/>
          <w:bCs/>
          <w:sz w:val="24"/>
        </w:rPr>
      </w:pPr>
      <w:r>
        <w:rPr>
          <w:rFonts w:ascii="Times New Roman" w:hAnsi="Times New Roman"/>
          <w:b/>
          <w:bCs/>
          <w:sz w:val="24"/>
        </w:rPr>
        <w:t>BY</w:t>
      </w:r>
    </w:p>
    <w:p w:rsidR="00CD7A55" w:rsidRDefault="00CD7A55" w:rsidP="005B2A32">
      <w:pPr>
        <w:pStyle w:val="HTMLPreformatted"/>
        <w:jc w:val="center"/>
        <w:rPr>
          <w:rFonts w:ascii="Times New Roman" w:hAnsi="Times New Roman"/>
          <w:b/>
          <w:bCs/>
          <w:sz w:val="24"/>
        </w:rPr>
      </w:pPr>
      <w:r>
        <w:rPr>
          <w:rFonts w:ascii="Times New Roman" w:hAnsi="Times New Roman"/>
          <w:b/>
          <w:bCs/>
          <w:sz w:val="24"/>
        </w:rPr>
        <w:t>THE OFFICE OF THE OHIO CONSUMERS’ COUNSEL</w:t>
      </w:r>
    </w:p>
    <w:p w:rsidR="00F96CC1" w:rsidRDefault="00F96CC1" w:rsidP="005B2A32">
      <w:pPr>
        <w:pStyle w:val="HTMLPreformatted"/>
        <w:jc w:val="center"/>
        <w:rPr>
          <w:rFonts w:ascii="Times New Roman" w:hAnsi="Times New Roman"/>
          <w:b/>
          <w:bCs/>
          <w:sz w:val="24"/>
        </w:rPr>
      </w:pPr>
      <w:r>
        <w:rPr>
          <w:rFonts w:ascii="Times New Roman" w:hAnsi="Times New Roman"/>
          <w:b/>
          <w:bCs/>
          <w:sz w:val="24"/>
        </w:rPr>
        <w:t>APPALACHIAN PEACE AND JUSTICE NETWORK</w:t>
      </w:r>
    </w:p>
    <w:p w:rsidR="00CD7A55" w:rsidRDefault="00CD7A55" w:rsidP="00A57413">
      <w:pPr>
        <w:pStyle w:val="HTMLPreformatted"/>
        <w:pBdr>
          <w:bottom w:val="single" w:sz="12" w:space="1" w:color="auto"/>
        </w:pBdr>
        <w:rPr>
          <w:rFonts w:ascii="Times New Roman" w:hAnsi="Times New Roman"/>
          <w:b/>
          <w:bCs/>
          <w:sz w:val="24"/>
        </w:rPr>
      </w:pPr>
    </w:p>
    <w:p w:rsidR="00DB1632" w:rsidRPr="0033749E" w:rsidRDefault="00DB1632" w:rsidP="00A57413">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A7755A">
        <w:rPr>
          <w:rFonts w:ascii="Times New Roman" w:hAnsi="Times New Roman" w:cs="Times New Roman"/>
          <w:sz w:val="24"/>
        </w:rPr>
        <w:tab/>
      </w:r>
      <w:r w:rsidR="00A7755A">
        <w:rPr>
          <w:rFonts w:ascii="Times New Roman" w:hAnsi="Times New Roman" w:cs="Times New Roman"/>
          <w:sz w:val="24"/>
        </w:rPr>
        <w:tab/>
      </w:r>
      <w:r w:rsidR="00A7755A">
        <w:rPr>
          <w:rFonts w:ascii="Times New Roman" w:hAnsi="Times New Roman" w:cs="Times New Roman"/>
          <w:sz w:val="24"/>
        </w:rPr>
        <w:tab/>
      </w:r>
      <w:r w:rsidR="00A7755A">
        <w:rPr>
          <w:rFonts w:ascii="Times New Roman" w:hAnsi="Times New Roman" w:cs="Times New Roman"/>
          <w:sz w:val="24"/>
        </w:rPr>
        <w:tab/>
      </w:r>
      <w:r w:rsidR="00A7755A">
        <w:rPr>
          <w:rFonts w:ascii="Times New Roman" w:hAnsi="Times New Roman" w:cs="Times New Roman"/>
          <w:sz w:val="24"/>
        </w:rPr>
        <w:tab/>
      </w:r>
      <w:r w:rsidR="00A7755A">
        <w:rPr>
          <w:rFonts w:ascii="Times New Roman" w:hAnsi="Times New Roman" w:cs="Times New Roman"/>
          <w:sz w:val="24"/>
        </w:rPr>
        <w:tab/>
      </w:r>
      <w:r w:rsidRPr="0033749E">
        <w:rPr>
          <w:rFonts w:ascii="Times New Roman" w:hAnsi="Times New Roman" w:cs="Times New Roman"/>
          <w:sz w:val="24"/>
        </w:rPr>
        <w:t>Bruce J. Weston (0016973)</w:t>
      </w:r>
    </w:p>
    <w:p w:rsidR="00DB1632" w:rsidRPr="0033749E" w:rsidRDefault="00DB1632" w:rsidP="00A57413">
      <w:pPr>
        <w:spacing w:after="0" w:line="240" w:lineRule="auto"/>
        <w:rPr>
          <w:rFonts w:ascii="Times New Roman" w:hAnsi="Times New Roman" w:cs="Times New Roman"/>
          <w:sz w:val="24"/>
        </w:rPr>
      </w:pPr>
      <w:r w:rsidRPr="0033749E">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873041">
        <w:rPr>
          <w:rFonts w:ascii="Times New Roman" w:hAnsi="Times New Roman" w:cs="Times New Roman"/>
          <w:sz w:val="24"/>
        </w:rPr>
        <w:t xml:space="preserve">OHIO </w:t>
      </w:r>
      <w:r>
        <w:rPr>
          <w:rFonts w:ascii="Times New Roman" w:hAnsi="Times New Roman" w:cs="Times New Roman"/>
          <w:sz w:val="24"/>
        </w:rPr>
        <w:t>CONSUMERS’ COUNSEL</w:t>
      </w:r>
    </w:p>
    <w:p w:rsidR="00DB1632" w:rsidRPr="0033749E" w:rsidRDefault="00DB1632" w:rsidP="00A57413">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DB1632" w:rsidRDefault="00DB1632" w:rsidP="00A57413">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William J. Michael (0070921)</w:t>
      </w:r>
    </w:p>
    <w:p w:rsidR="00DB1632" w:rsidRDefault="00DB1632" w:rsidP="00A57413">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Counsel of Record</w:t>
      </w:r>
    </w:p>
    <w:p w:rsidR="00DB1632" w:rsidRDefault="00DB1632" w:rsidP="00A57413">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Jodi J. Bair (0062921)</w:t>
      </w:r>
    </w:p>
    <w:p w:rsidR="00DB1632" w:rsidRDefault="00DB1632" w:rsidP="00A57413">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Kevin F. Moore (0089228)</w:t>
      </w:r>
    </w:p>
    <w:p w:rsidR="00DB1632" w:rsidRDefault="00DB1632" w:rsidP="00A57413">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Assistant Consumers’ Counsel</w:t>
      </w:r>
    </w:p>
    <w:p w:rsidR="00DB1632" w:rsidRDefault="00DB1632" w:rsidP="00A57413">
      <w:pPr>
        <w:spacing w:after="0" w:line="240" w:lineRule="auto"/>
        <w:rPr>
          <w:rFonts w:ascii="Times New Roman" w:hAnsi="Times New Roman" w:cs="Times New Roman"/>
          <w:sz w:val="24"/>
        </w:rPr>
      </w:pPr>
    </w:p>
    <w:p w:rsidR="00DB1632" w:rsidRPr="00CD7A55" w:rsidRDefault="00DB1632" w:rsidP="00A57413">
      <w:pPr>
        <w:spacing w:after="0" w:line="24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CD7A55">
        <w:rPr>
          <w:rFonts w:ascii="Times New Roman" w:hAnsi="Times New Roman" w:cs="Times New Roman"/>
          <w:b/>
          <w:sz w:val="24"/>
        </w:rPr>
        <w:t>Office of the Ohio Consumers’ Counsel</w:t>
      </w:r>
    </w:p>
    <w:p w:rsidR="00DB1632" w:rsidRDefault="00DB1632" w:rsidP="00A57413">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10 W. Broad Street, Suite 1800</w:t>
      </w:r>
    </w:p>
    <w:p w:rsidR="00DB1632" w:rsidRDefault="00DB1632" w:rsidP="00A57413">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Columbus, Ohio 43215-3485</w:t>
      </w:r>
    </w:p>
    <w:p w:rsidR="00DB1632" w:rsidRDefault="00DB1632" w:rsidP="00A57413">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Telephone [Michael]: 614-466-1291</w:t>
      </w:r>
    </w:p>
    <w:p w:rsidR="00DB1632" w:rsidRDefault="00DB1632" w:rsidP="00A57413">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Telephone [Bair]: 614-466-9559</w:t>
      </w:r>
    </w:p>
    <w:p w:rsidR="00DB1632" w:rsidRDefault="00DB1632" w:rsidP="00A57413">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Telephone [Moore]: 614-466-2965</w:t>
      </w:r>
    </w:p>
    <w:p w:rsidR="00DB1632" w:rsidRDefault="00DB1632" w:rsidP="00A57413">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hyperlink r:id="rId8" w:history="1">
        <w:r w:rsidRPr="006D4DB2">
          <w:rPr>
            <w:rStyle w:val="Hyperlink"/>
            <w:rFonts w:ascii="Times New Roman" w:hAnsi="Times New Roman" w:cs="Times New Roman"/>
            <w:sz w:val="24"/>
          </w:rPr>
          <w:t>William.michael@occ.ohio.gov</w:t>
        </w:r>
      </w:hyperlink>
    </w:p>
    <w:p w:rsidR="00DB1632" w:rsidRDefault="00DB1632" w:rsidP="00A57413">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(will accept service via email)</w:t>
      </w:r>
    </w:p>
    <w:p w:rsidR="00DB1632" w:rsidRDefault="00DB1632" w:rsidP="00A57413">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hyperlink r:id="rId9" w:history="1">
        <w:r w:rsidRPr="006D4DB2">
          <w:rPr>
            <w:rStyle w:val="Hyperlink"/>
            <w:rFonts w:ascii="Times New Roman" w:hAnsi="Times New Roman" w:cs="Times New Roman"/>
            <w:sz w:val="24"/>
          </w:rPr>
          <w:t>Jodi.bair@occ.ohio.gov</w:t>
        </w:r>
      </w:hyperlink>
    </w:p>
    <w:p w:rsidR="00DB1632" w:rsidRDefault="00DB1632" w:rsidP="00A57413">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(will accept service via email)</w:t>
      </w:r>
    </w:p>
    <w:p w:rsidR="00DB1632" w:rsidRDefault="00DB1632" w:rsidP="00A57413">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hyperlink r:id="rId10" w:history="1">
        <w:r w:rsidRPr="006D4DB2">
          <w:rPr>
            <w:rStyle w:val="Hyperlink"/>
            <w:rFonts w:ascii="Times New Roman" w:hAnsi="Times New Roman" w:cs="Times New Roman"/>
            <w:sz w:val="24"/>
          </w:rPr>
          <w:t>kevin.moore@occ.ohio.gov</w:t>
        </w:r>
      </w:hyperlink>
    </w:p>
    <w:p w:rsidR="00DB1632" w:rsidRDefault="00DB1632" w:rsidP="00A57413">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(will accept service via email)</w:t>
      </w:r>
    </w:p>
    <w:p w:rsidR="00DB1632" w:rsidRDefault="00DB1632" w:rsidP="00A57413">
      <w:pPr>
        <w:spacing w:after="0" w:line="240" w:lineRule="auto"/>
        <w:rPr>
          <w:rFonts w:ascii="Times New Roman" w:hAnsi="Times New Roman" w:cs="Times New Roman"/>
          <w:sz w:val="24"/>
        </w:rPr>
      </w:pPr>
    </w:p>
    <w:p w:rsidR="00873041" w:rsidRDefault="00873041">
      <w:pPr>
        <w:rPr>
          <w:rFonts w:ascii="Times New Roman" w:hAnsi="Times New Roman" w:cs="Times New Roman"/>
          <w:sz w:val="24"/>
          <w:szCs w:val="24"/>
        </w:rPr>
      </w:pPr>
      <w:r>
        <w:rPr>
          <w:rFonts w:ascii="Times New Roman" w:hAnsi="Times New Roman" w:cs="Times New Roman"/>
          <w:sz w:val="24"/>
          <w:szCs w:val="24"/>
        </w:rPr>
        <w:br w:type="page"/>
      </w:r>
    </w:p>
    <w:p w:rsidR="00DD77F9" w:rsidRDefault="00DD77F9" w:rsidP="009F59F4">
      <w:pPr>
        <w:autoSpaceDE w:val="0"/>
        <w:autoSpaceDN w:val="0"/>
        <w:adjustRightInd w:val="0"/>
        <w:spacing w:after="0" w:line="240" w:lineRule="auto"/>
        <w:ind w:left="4320"/>
        <w:rPr>
          <w:rFonts w:ascii="Times New Roman" w:hAnsi="Times New Roman" w:cs="Times New Roman"/>
          <w:sz w:val="24"/>
          <w:szCs w:val="24"/>
        </w:rPr>
      </w:pPr>
      <w:r>
        <w:rPr>
          <w:rFonts w:ascii="Times New Roman" w:hAnsi="Times New Roman" w:cs="Times New Roman"/>
          <w:sz w:val="24"/>
          <w:szCs w:val="24"/>
        </w:rPr>
        <w:lastRenderedPageBreak/>
        <w:t>Dane Stinson (0019101)</w:t>
      </w:r>
    </w:p>
    <w:p w:rsidR="00DD77F9" w:rsidRDefault="00DD77F9" w:rsidP="009F59F4">
      <w:pPr>
        <w:autoSpaceDE w:val="0"/>
        <w:autoSpaceDN w:val="0"/>
        <w:adjustRightInd w:val="0"/>
        <w:spacing w:after="0" w:line="240" w:lineRule="auto"/>
        <w:ind w:left="4320"/>
        <w:rPr>
          <w:rFonts w:ascii="Times New Roman" w:hAnsi="Times New Roman" w:cs="Times New Roman"/>
          <w:sz w:val="24"/>
          <w:szCs w:val="24"/>
        </w:rPr>
      </w:pPr>
      <w:r>
        <w:rPr>
          <w:rFonts w:ascii="Times New Roman" w:hAnsi="Times New Roman" w:cs="Times New Roman"/>
          <w:sz w:val="24"/>
          <w:szCs w:val="24"/>
        </w:rPr>
        <w:t>Bricker &amp; Eckler LLP</w:t>
      </w:r>
    </w:p>
    <w:p w:rsidR="00DD77F9" w:rsidRDefault="00DD77F9" w:rsidP="009F59F4">
      <w:pPr>
        <w:autoSpaceDE w:val="0"/>
        <w:autoSpaceDN w:val="0"/>
        <w:adjustRightInd w:val="0"/>
        <w:spacing w:after="0" w:line="240" w:lineRule="auto"/>
        <w:ind w:left="4320"/>
        <w:rPr>
          <w:rFonts w:ascii="Times New Roman" w:hAnsi="Times New Roman" w:cs="Times New Roman"/>
          <w:sz w:val="24"/>
          <w:szCs w:val="24"/>
        </w:rPr>
      </w:pPr>
      <w:r>
        <w:rPr>
          <w:rFonts w:ascii="Times New Roman" w:hAnsi="Times New Roman" w:cs="Times New Roman"/>
          <w:sz w:val="24"/>
          <w:szCs w:val="24"/>
        </w:rPr>
        <w:t>100 S. Third St.</w:t>
      </w:r>
    </w:p>
    <w:p w:rsidR="00DD77F9" w:rsidRDefault="00DD77F9" w:rsidP="009F59F4">
      <w:pPr>
        <w:autoSpaceDE w:val="0"/>
        <w:autoSpaceDN w:val="0"/>
        <w:adjustRightInd w:val="0"/>
        <w:spacing w:after="0" w:line="240" w:lineRule="auto"/>
        <w:ind w:left="4320"/>
        <w:rPr>
          <w:rFonts w:ascii="Times New Roman" w:hAnsi="Times New Roman" w:cs="Times New Roman"/>
          <w:sz w:val="24"/>
          <w:szCs w:val="24"/>
        </w:rPr>
      </w:pPr>
      <w:r>
        <w:rPr>
          <w:rFonts w:ascii="Times New Roman" w:hAnsi="Times New Roman" w:cs="Times New Roman"/>
          <w:sz w:val="24"/>
          <w:szCs w:val="24"/>
        </w:rPr>
        <w:t>Columbus, OH 43215</w:t>
      </w:r>
    </w:p>
    <w:p w:rsidR="00DD77F9" w:rsidRDefault="00DD77F9" w:rsidP="009F59F4">
      <w:pPr>
        <w:autoSpaceDE w:val="0"/>
        <w:autoSpaceDN w:val="0"/>
        <w:adjustRightInd w:val="0"/>
        <w:spacing w:after="0" w:line="240" w:lineRule="auto"/>
        <w:ind w:left="4320"/>
        <w:rPr>
          <w:rFonts w:ascii="Times New Roman" w:hAnsi="Times New Roman" w:cs="Times New Roman"/>
          <w:sz w:val="24"/>
          <w:szCs w:val="24"/>
        </w:rPr>
      </w:pPr>
      <w:r>
        <w:rPr>
          <w:rFonts w:ascii="Times New Roman" w:hAnsi="Times New Roman" w:cs="Times New Roman"/>
          <w:sz w:val="24"/>
          <w:szCs w:val="24"/>
        </w:rPr>
        <w:t>Phone:  (614) 227-2300</w:t>
      </w:r>
    </w:p>
    <w:p w:rsidR="00DD77F9" w:rsidRDefault="00AB6E95" w:rsidP="009F59F4">
      <w:pPr>
        <w:autoSpaceDE w:val="0"/>
        <w:autoSpaceDN w:val="0"/>
        <w:adjustRightInd w:val="0"/>
        <w:spacing w:after="0" w:line="240" w:lineRule="auto"/>
        <w:ind w:left="4320"/>
        <w:rPr>
          <w:rStyle w:val="Hyperlink"/>
          <w:rFonts w:ascii="Times New Roman" w:hAnsi="Times New Roman" w:cs="Times New Roman"/>
          <w:sz w:val="24"/>
          <w:szCs w:val="24"/>
        </w:rPr>
      </w:pPr>
      <w:hyperlink r:id="rId11" w:history="1">
        <w:r w:rsidR="00DD77F9" w:rsidRPr="008D2359">
          <w:rPr>
            <w:rStyle w:val="Hyperlink"/>
            <w:rFonts w:ascii="Times New Roman" w:hAnsi="Times New Roman" w:cs="Times New Roman"/>
            <w:sz w:val="24"/>
            <w:szCs w:val="24"/>
          </w:rPr>
          <w:t>dstinson@bricker.com</w:t>
        </w:r>
      </w:hyperlink>
    </w:p>
    <w:p w:rsidR="00742312" w:rsidRPr="00742312" w:rsidRDefault="00742312" w:rsidP="009F59F4">
      <w:pPr>
        <w:autoSpaceDE w:val="0"/>
        <w:autoSpaceDN w:val="0"/>
        <w:adjustRightInd w:val="0"/>
        <w:spacing w:after="0" w:line="240" w:lineRule="auto"/>
        <w:ind w:left="4320"/>
        <w:rPr>
          <w:rFonts w:ascii="Times New Roman" w:hAnsi="Times New Roman" w:cs="Times New Roman"/>
          <w:sz w:val="24"/>
          <w:szCs w:val="24"/>
        </w:rPr>
      </w:pPr>
      <w:r w:rsidRPr="00742312">
        <w:rPr>
          <w:rStyle w:val="Hyperlink"/>
          <w:rFonts w:ascii="Times New Roman" w:hAnsi="Times New Roman" w:cs="Times New Roman"/>
          <w:color w:val="auto"/>
          <w:sz w:val="24"/>
          <w:szCs w:val="24"/>
          <w:u w:val="none"/>
        </w:rPr>
        <w:t>(will accept service via email)</w:t>
      </w:r>
    </w:p>
    <w:p w:rsidR="00DD77F9" w:rsidRDefault="00DD77F9" w:rsidP="009F59F4">
      <w:pPr>
        <w:autoSpaceDE w:val="0"/>
        <w:autoSpaceDN w:val="0"/>
        <w:adjustRightInd w:val="0"/>
        <w:spacing w:after="0" w:line="240" w:lineRule="auto"/>
        <w:ind w:left="4320"/>
        <w:rPr>
          <w:rFonts w:ascii="Times New Roman" w:hAnsi="Times New Roman" w:cs="Times New Roman"/>
          <w:sz w:val="24"/>
          <w:szCs w:val="24"/>
        </w:rPr>
      </w:pPr>
    </w:p>
    <w:p w:rsidR="00DD77F9" w:rsidRPr="007A7205" w:rsidRDefault="00DD77F9" w:rsidP="009F59F4">
      <w:pPr>
        <w:autoSpaceDE w:val="0"/>
        <w:autoSpaceDN w:val="0"/>
        <w:adjustRightInd w:val="0"/>
        <w:spacing w:after="0" w:line="240" w:lineRule="auto"/>
        <w:ind w:left="4320"/>
        <w:rPr>
          <w:rFonts w:ascii="Times New Roman" w:hAnsi="Times New Roman" w:cs="Times New Roman"/>
          <w:i/>
          <w:sz w:val="24"/>
          <w:szCs w:val="24"/>
        </w:rPr>
      </w:pPr>
      <w:r w:rsidRPr="007A7205">
        <w:rPr>
          <w:rFonts w:ascii="Times New Roman" w:hAnsi="Times New Roman" w:cs="Times New Roman"/>
          <w:i/>
          <w:sz w:val="24"/>
          <w:szCs w:val="24"/>
        </w:rPr>
        <w:t xml:space="preserve">Outside Counsel for the Office of </w:t>
      </w:r>
    </w:p>
    <w:p w:rsidR="00DD77F9" w:rsidRDefault="00DD77F9" w:rsidP="009F59F4">
      <w:pPr>
        <w:autoSpaceDE w:val="0"/>
        <w:autoSpaceDN w:val="0"/>
        <w:adjustRightInd w:val="0"/>
        <w:spacing w:after="0" w:line="240" w:lineRule="auto"/>
        <w:ind w:left="4320"/>
        <w:rPr>
          <w:rFonts w:ascii="Times New Roman" w:hAnsi="Times New Roman" w:cs="Times New Roman"/>
          <w:sz w:val="24"/>
          <w:szCs w:val="24"/>
        </w:rPr>
      </w:pPr>
      <w:r w:rsidRPr="007A7205">
        <w:rPr>
          <w:rFonts w:ascii="Times New Roman" w:hAnsi="Times New Roman" w:cs="Times New Roman"/>
          <w:i/>
          <w:sz w:val="24"/>
          <w:szCs w:val="24"/>
        </w:rPr>
        <w:t>The Ohio Consumers’ Counsel</w:t>
      </w:r>
    </w:p>
    <w:p w:rsidR="00DD77F9" w:rsidRDefault="00DD77F9" w:rsidP="009F59F4">
      <w:pPr>
        <w:autoSpaceDE w:val="0"/>
        <w:autoSpaceDN w:val="0"/>
        <w:adjustRightInd w:val="0"/>
        <w:spacing w:after="0" w:line="240" w:lineRule="auto"/>
        <w:ind w:left="4320"/>
        <w:rPr>
          <w:rFonts w:ascii="Times New Roman" w:hAnsi="Times New Roman" w:cs="Times New Roman"/>
          <w:sz w:val="24"/>
          <w:szCs w:val="24"/>
        </w:rPr>
      </w:pPr>
    </w:p>
    <w:p w:rsidR="00DD77F9" w:rsidRDefault="00DD77F9" w:rsidP="009F59F4">
      <w:pPr>
        <w:autoSpaceDE w:val="0"/>
        <w:autoSpaceDN w:val="0"/>
        <w:adjustRightInd w:val="0"/>
        <w:spacing w:after="0" w:line="240" w:lineRule="auto"/>
        <w:ind w:left="4320"/>
        <w:rPr>
          <w:rFonts w:ascii="Times New Roman" w:hAnsi="Times New Roman" w:cs="Times New Roman"/>
          <w:sz w:val="24"/>
          <w:szCs w:val="24"/>
        </w:rPr>
      </w:pPr>
    </w:p>
    <w:p w:rsidR="00DD77F9" w:rsidRDefault="00DD77F9" w:rsidP="009F59F4">
      <w:pPr>
        <w:autoSpaceDE w:val="0"/>
        <w:autoSpaceDN w:val="0"/>
        <w:adjustRightInd w:val="0"/>
        <w:spacing w:after="0" w:line="240" w:lineRule="auto"/>
        <w:ind w:left="4320"/>
        <w:rPr>
          <w:rFonts w:ascii="Times New Roman" w:hAnsi="Times New Roman" w:cs="Times New Roman"/>
          <w:sz w:val="24"/>
          <w:szCs w:val="24"/>
        </w:rPr>
      </w:pPr>
    </w:p>
    <w:p w:rsidR="00DD77F9" w:rsidRDefault="00DD77F9" w:rsidP="009F59F4">
      <w:pPr>
        <w:autoSpaceDE w:val="0"/>
        <w:autoSpaceDN w:val="0"/>
        <w:adjustRightInd w:val="0"/>
        <w:spacing w:after="0" w:line="240" w:lineRule="auto"/>
        <w:ind w:left="4320"/>
        <w:rPr>
          <w:rFonts w:ascii="Times New Roman" w:hAnsi="Times New Roman" w:cs="Times New Roman"/>
          <w:sz w:val="24"/>
          <w:szCs w:val="24"/>
        </w:rPr>
      </w:pPr>
    </w:p>
    <w:p w:rsidR="009F59F4" w:rsidRPr="00941ED6" w:rsidRDefault="009F59F4" w:rsidP="009F59F4">
      <w:pPr>
        <w:autoSpaceDE w:val="0"/>
        <w:autoSpaceDN w:val="0"/>
        <w:adjustRightInd w:val="0"/>
        <w:spacing w:after="0" w:line="240" w:lineRule="auto"/>
        <w:ind w:left="4320"/>
        <w:rPr>
          <w:rFonts w:ascii="Times New Roman" w:hAnsi="Times New Roman" w:cs="Times New Roman"/>
          <w:sz w:val="24"/>
          <w:szCs w:val="24"/>
        </w:rPr>
      </w:pPr>
      <w:r w:rsidRPr="00941ED6">
        <w:rPr>
          <w:rFonts w:ascii="Times New Roman" w:hAnsi="Times New Roman" w:cs="Times New Roman"/>
          <w:sz w:val="24"/>
          <w:szCs w:val="24"/>
        </w:rPr>
        <w:t>Michael R. Smalz, Counsel of Record</w:t>
      </w:r>
    </w:p>
    <w:p w:rsidR="009F59F4" w:rsidRPr="00941ED6" w:rsidRDefault="009F59F4" w:rsidP="009F59F4">
      <w:pPr>
        <w:autoSpaceDE w:val="0"/>
        <w:autoSpaceDN w:val="0"/>
        <w:adjustRightInd w:val="0"/>
        <w:spacing w:after="0" w:line="240" w:lineRule="auto"/>
        <w:ind w:left="4320"/>
        <w:rPr>
          <w:rFonts w:ascii="Times New Roman" w:hAnsi="Times New Roman" w:cs="Times New Roman"/>
          <w:sz w:val="24"/>
          <w:szCs w:val="24"/>
        </w:rPr>
      </w:pPr>
      <w:r w:rsidRPr="00941ED6">
        <w:rPr>
          <w:rFonts w:ascii="Times New Roman" w:hAnsi="Times New Roman" w:cs="Times New Roman"/>
          <w:sz w:val="24"/>
          <w:szCs w:val="24"/>
        </w:rPr>
        <w:t>(Attorney Registration No. 0041897)</w:t>
      </w:r>
    </w:p>
    <w:p w:rsidR="009F59F4" w:rsidRPr="00941ED6" w:rsidRDefault="009F59F4" w:rsidP="009F59F4">
      <w:pPr>
        <w:autoSpaceDE w:val="0"/>
        <w:autoSpaceDN w:val="0"/>
        <w:adjustRightInd w:val="0"/>
        <w:spacing w:after="0" w:line="240" w:lineRule="auto"/>
        <w:ind w:left="4320"/>
        <w:rPr>
          <w:rFonts w:ascii="Times New Roman" w:hAnsi="Times New Roman" w:cs="Times New Roman"/>
          <w:sz w:val="24"/>
          <w:szCs w:val="24"/>
        </w:rPr>
      </w:pPr>
      <w:r w:rsidRPr="00941ED6">
        <w:rPr>
          <w:rFonts w:ascii="Times New Roman" w:hAnsi="Times New Roman" w:cs="Times New Roman"/>
          <w:sz w:val="24"/>
          <w:szCs w:val="24"/>
        </w:rPr>
        <w:t>Ohio Poverty Law Center</w:t>
      </w:r>
    </w:p>
    <w:p w:rsidR="009F59F4" w:rsidRPr="00941ED6" w:rsidRDefault="009F59F4" w:rsidP="009F59F4">
      <w:pPr>
        <w:autoSpaceDE w:val="0"/>
        <w:autoSpaceDN w:val="0"/>
        <w:adjustRightInd w:val="0"/>
        <w:spacing w:after="0" w:line="240" w:lineRule="auto"/>
        <w:ind w:left="4320"/>
        <w:rPr>
          <w:rFonts w:ascii="Times New Roman" w:hAnsi="Times New Roman" w:cs="Times New Roman"/>
          <w:sz w:val="24"/>
          <w:szCs w:val="24"/>
        </w:rPr>
      </w:pPr>
      <w:r w:rsidRPr="00941ED6">
        <w:rPr>
          <w:rFonts w:ascii="Times New Roman" w:hAnsi="Times New Roman" w:cs="Times New Roman"/>
          <w:sz w:val="24"/>
          <w:szCs w:val="24"/>
        </w:rPr>
        <w:t>555 Buttles Avenue</w:t>
      </w:r>
    </w:p>
    <w:p w:rsidR="009F59F4" w:rsidRPr="00941ED6" w:rsidRDefault="009F59F4" w:rsidP="009F59F4">
      <w:pPr>
        <w:autoSpaceDE w:val="0"/>
        <w:autoSpaceDN w:val="0"/>
        <w:adjustRightInd w:val="0"/>
        <w:spacing w:after="0" w:line="240" w:lineRule="auto"/>
        <w:ind w:left="4320"/>
        <w:rPr>
          <w:rFonts w:ascii="Times New Roman" w:hAnsi="Times New Roman" w:cs="Times New Roman"/>
          <w:sz w:val="24"/>
          <w:szCs w:val="24"/>
        </w:rPr>
      </w:pPr>
      <w:r w:rsidRPr="00941ED6">
        <w:rPr>
          <w:rFonts w:ascii="Times New Roman" w:hAnsi="Times New Roman" w:cs="Times New Roman"/>
          <w:sz w:val="24"/>
          <w:szCs w:val="24"/>
        </w:rPr>
        <w:t>Columbus, OH 3215-1137</w:t>
      </w:r>
    </w:p>
    <w:p w:rsidR="009F59F4" w:rsidRPr="00941ED6" w:rsidRDefault="009F59F4" w:rsidP="009F59F4">
      <w:pPr>
        <w:autoSpaceDE w:val="0"/>
        <w:autoSpaceDN w:val="0"/>
        <w:adjustRightInd w:val="0"/>
        <w:spacing w:after="0" w:line="240" w:lineRule="auto"/>
        <w:ind w:left="4320"/>
        <w:rPr>
          <w:rFonts w:ascii="Times New Roman" w:hAnsi="Times New Roman" w:cs="Times New Roman"/>
          <w:sz w:val="24"/>
          <w:szCs w:val="24"/>
        </w:rPr>
      </w:pPr>
      <w:r w:rsidRPr="00941ED6">
        <w:rPr>
          <w:rFonts w:ascii="Times New Roman" w:hAnsi="Times New Roman" w:cs="Times New Roman"/>
          <w:sz w:val="24"/>
          <w:szCs w:val="24"/>
        </w:rPr>
        <w:t>Telephone: (614) 824-2502</w:t>
      </w:r>
    </w:p>
    <w:p w:rsidR="009F59F4" w:rsidRDefault="009F59F4" w:rsidP="009F59F4">
      <w:pPr>
        <w:autoSpaceDE w:val="0"/>
        <w:autoSpaceDN w:val="0"/>
        <w:adjustRightInd w:val="0"/>
        <w:spacing w:after="0" w:line="240" w:lineRule="auto"/>
        <w:ind w:left="4320"/>
        <w:rPr>
          <w:rFonts w:ascii="Times New Roman" w:hAnsi="Times New Roman" w:cs="Times New Roman"/>
          <w:sz w:val="24"/>
          <w:szCs w:val="24"/>
        </w:rPr>
      </w:pPr>
      <w:r w:rsidRPr="00941ED6">
        <w:rPr>
          <w:rFonts w:ascii="Times New Roman" w:hAnsi="Times New Roman" w:cs="Times New Roman"/>
          <w:sz w:val="24"/>
          <w:szCs w:val="24"/>
        </w:rPr>
        <w:t xml:space="preserve">e-mail: </w:t>
      </w:r>
      <w:hyperlink r:id="rId12" w:history="1">
        <w:r w:rsidR="00941ED6" w:rsidRPr="003C0F23">
          <w:rPr>
            <w:rStyle w:val="Hyperlink"/>
            <w:rFonts w:ascii="Times New Roman" w:hAnsi="Times New Roman" w:cs="Times New Roman"/>
            <w:sz w:val="24"/>
            <w:szCs w:val="24"/>
          </w:rPr>
          <w:t>msmalz@ohiopovertylaw.org</w:t>
        </w:r>
      </w:hyperlink>
    </w:p>
    <w:p w:rsidR="009F59F4" w:rsidRDefault="00DD77F9" w:rsidP="00DD7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February 1, 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59F4" w:rsidRPr="00941ED6">
        <w:rPr>
          <w:rFonts w:ascii="Times New Roman" w:hAnsi="Times New Roman" w:cs="Times New Roman"/>
          <w:sz w:val="24"/>
          <w:szCs w:val="24"/>
        </w:rPr>
        <w:t>(willing to accept email service)</w:t>
      </w:r>
    </w:p>
    <w:p w:rsidR="00B36B93" w:rsidRDefault="00B36B93" w:rsidP="009F59F4">
      <w:pPr>
        <w:spacing w:after="0" w:line="240" w:lineRule="auto"/>
        <w:ind w:left="4320"/>
        <w:rPr>
          <w:rFonts w:ascii="Times New Roman" w:hAnsi="Times New Roman" w:cs="Times New Roman"/>
          <w:sz w:val="24"/>
          <w:szCs w:val="24"/>
        </w:rPr>
      </w:pPr>
    </w:p>
    <w:p w:rsidR="00B36B93" w:rsidRPr="00941ED6" w:rsidRDefault="00B36B93" w:rsidP="009F59F4">
      <w:pPr>
        <w:spacing w:after="0" w:line="240" w:lineRule="auto"/>
        <w:ind w:left="4320"/>
        <w:rPr>
          <w:rFonts w:ascii="Times New Roman" w:hAnsi="Times New Roman" w:cs="Times New Roman"/>
          <w:sz w:val="24"/>
        </w:rPr>
        <w:sectPr w:rsidR="00B36B93" w:rsidRPr="00941ED6" w:rsidSect="00AA2FFB">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pgNumType w:start="1"/>
          <w:cols w:space="720"/>
          <w:docGrid w:linePitch="360"/>
        </w:sectPr>
      </w:pPr>
    </w:p>
    <w:p w:rsidR="00DB1632" w:rsidRPr="00ED3489" w:rsidRDefault="00DB1632" w:rsidP="004A5F54">
      <w:pPr>
        <w:spacing w:after="0" w:line="240" w:lineRule="auto"/>
        <w:jc w:val="center"/>
        <w:rPr>
          <w:rFonts w:ascii="Times New Roman" w:hAnsi="Times New Roman" w:cs="Times New Roman"/>
          <w:b/>
          <w:sz w:val="24"/>
          <w:u w:val="single"/>
        </w:rPr>
      </w:pPr>
      <w:r w:rsidRPr="00ED3489">
        <w:rPr>
          <w:rFonts w:ascii="Times New Roman" w:hAnsi="Times New Roman" w:cs="Times New Roman"/>
          <w:b/>
          <w:sz w:val="24"/>
          <w:u w:val="single"/>
        </w:rPr>
        <w:t>TABLE OF CONTENTS</w:t>
      </w:r>
    </w:p>
    <w:p w:rsidR="00DB1632" w:rsidRDefault="00ED3489" w:rsidP="004A5F54">
      <w:pPr>
        <w:spacing w:after="0" w:line="240" w:lineRule="auto"/>
        <w:jc w:val="right"/>
        <w:rPr>
          <w:rFonts w:ascii="Times New Roman" w:hAnsi="Times New Roman" w:cs="Times New Roman"/>
          <w:b/>
          <w:sz w:val="24"/>
        </w:rPr>
      </w:pPr>
      <w:r w:rsidRPr="00ED3489">
        <w:rPr>
          <w:rFonts w:ascii="Times New Roman" w:hAnsi="Times New Roman" w:cs="Times New Roman"/>
          <w:b/>
          <w:sz w:val="24"/>
        </w:rPr>
        <w:t>PAGE</w:t>
      </w:r>
    </w:p>
    <w:p w:rsidR="00ED3489" w:rsidRPr="00ED3489" w:rsidRDefault="00ED3489" w:rsidP="004A5F54">
      <w:pPr>
        <w:spacing w:after="0" w:line="240" w:lineRule="auto"/>
        <w:jc w:val="right"/>
        <w:rPr>
          <w:rFonts w:ascii="Times New Roman" w:hAnsi="Times New Roman" w:cs="Times New Roman"/>
          <w:b/>
          <w:sz w:val="24"/>
        </w:rPr>
      </w:pPr>
    </w:p>
    <w:p w:rsidR="00BF587E" w:rsidRDefault="00BF587E" w:rsidP="00A57413">
      <w:pPr>
        <w:pStyle w:val="HTMLPreformatted"/>
        <w:rPr>
          <w:rFonts w:ascii="Times New Roman" w:hAnsi="Times New Roman"/>
          <w:b/>
          <w:bCs/>
          <w:sz w:val="24"/>
        </w:rPr>
      </w:pPr>
    </w:p>
    <w:p w:rsidR="0020495B" w:rsidRDefault="006A0B34">
      <w:pPr>
        <w:pStyle w:val="TOC1"/>
        <w:rPr>
          <w:rFonts w:asciiTheme="minorHAnsi" w:hAnsiTheme="minorHAnsi"/>
          <w:noProof/>
          <w:sz w:val="22"/>
        </w:rPr>
      </w:pPr>
      <w:r>
        <w:rPr>
          <w:b/>
          <w:bCs/>
        </w:rPr>
        <w:fldChar w:fldCharType="begin"/>
      </w:r>
      <w:r w:rsidR="008E5B8E">
        <w:rPr>
          <w:b/>
          <w:bCs/>
        </w:rPr>
        <w:instrText xml:space="preserve"> TOC \o "1-6" \h \z \u </w:instrText>
      </w:r>
      <w:r>
        <w:rPr>
          <w:b/>
          <w:bCs/>
        </w:rPr>
        <w:fldChar w:fldCharType="separate"/>
      </w:r>
      <w:hyperlink w:anchor="_Toc442104122" w:history="1">
        <w:r w:rsidR="0020495B" w:rsidRPr="006E10E7">
          <w:rPr>
            <w:rStyle w:val="Hyperlink"/>
            <w:noProof/>
          </w:rPr>
          <w:t>I.</w:t>
        </w:r>
        <w:r w:rsidR="0020495B">
          <w:rPr>
            <w:rFonts w:asciiTheme="minorHAnsi" w:hAnsiTheme="minorHAnsi"/>
            <w:noProof/>
            <w:sz w:val="22"/>
          </w:rPr>
          <w:tab/>
        </w:r>
        <w:r w:rsidR="0020495B" w:rsidRPr="006E10E7">
          <w:rPr>
            <w:rStyle w:val="Hyperlink"/>
            <w:noProof/>
          </w:rPr>
          <w:t>INTRODUCTION</w:t>
        </w:r>
        <w:r w:rsidR="0020495B">
          <w:rPr>
            <w:noProof/>
            <w:webHidden/>
          </w:rPr>
          <w:tab/>
        </w:r>
        <w:r w:rsidR="0020495B">
          <w:rPr>
            <w:noProof/>
            <w:webHidden/>
          </w:rPr>
          <w:fldChar w:fldCharType="begin"/>
        </w:r>
        <w:r w:rsidR="0020495B">
          <w:rPr>
            <w:noProof/>
            <w:webHidden/>
          </w:rPr>
          <w:instrText xml:space="preserve"> PAGEREF _Toc442104122 \h </w:instrText>
        </w:r>
        <w:r w:rsidR="0020495B">
          <w:rPr>
            <w:noProof/>
            <w:webHidden/>
          </w:rPr>
        </w:r>
        <w:r w:rsidR="0020495B">
          <w:rPr>
            <w:noProof/>
            <w:webHidden/>
          </w:rPr>
          <w:fldChar w:fldCharType="separate"/>
        </w:r>
        <w:r w:rsidR="007110F2">
          <w:rPr>
            <w:noProof/>
            <w:webHidden/>
          </w:rPr>
          <w:t>2</w:t>
        </w:r>
        <w:r w:rsidR="0020495B">
          <w:rPr>
            <w:noProof/>
            <w:webHidden/>
          </w:rPr>
          <w:fldChar w:fldCharType="end"/>
        </w:r>
      </w:hyperlink>
    </w:p>
    <w:p w:rsidR="0020495B" w:rsidRDefault="00AB6E95">
      <w:pPr>
        <w:pStyle w:val="TOC1"/>
        <w:rPr>
          <w:rFonts w:asciiTheme="minorHAnsi" w:hAnsiTheme="minorHAnsi"/>
          <w:noProof/>
          <w:sz w:val="22"/>
        </w:rPr>
      </w:pPr>
      <w:hyperlink w:anchor="_Toc442104123" w:history="1">
        <w:r w:rsidR="0020495B" w:rsidRPr="006E10E7">
          <w:rPr>
            <w:rStyle w:val="Hyperlink"/>
            <w:noProof/>
          </w:rPr>
          <w:t>II.</w:t>
        </w:r>
        <w:r w:rsidR="0020495B">
          <w:rPr>
            <w:rFonts w:asciiTheme="minorHAnsi" w:hAnsiTheme="minorHAnsi"/>
            <w:noProof/>
            <w:sz w:val="22"/>
          </w:rPr>
          <w:tab/>
        </w:r>
        <w:r w:rsidR="0020495B" w:rsidRPr="006E10E7">
          <w:rPr>
            <w:rStyle w:val="Hyperlink"/>
            <w:noProof/>
          </w:rPr>
          <w:t>EXECUTIVE SUMMARY</w:t>
        </w:r>
        <w:r w:rsidR="0020495B">
          <w:rPr>
            <w:noProof/>
            <w:webHidden/>
          </w:rPr>
          <w:tab/>
        </w:r>
        <w:r w:rsidR="0020495B">
          <w:rPr>
            <w:noProof/>
            <w:webHidden/>
          </w:rPr>
          <w:fldChar w:fldCharType="begin"/>
        </w:r>
        <w:r w:rsidR="0020495B">
          <w:rPr>
            <w:noProof/>
            <w:webHidden/>
          </w:rPr>
          <w:instrText xml:space="preserve"> PAGEREF _Toc442104123 \h </w:instrText>
        </w:r>
        <w:r w:rsidR="0020495B">
          <w:rPr>
            <w:noProof/>
            <w:webHidden/>
          </w:rPr>
        </w:r>
        <w:r w:rsidR="0020495B">
          <w:rPr>
            <w:noProof/>
            <w:webHidden/>
          </w:rPr>
          <w:fldChar w:fldCharType="separate"/>
        </w:r>
        <w:r w:rsidR="007110F2">
          <w:rPr>
            <w:noProof/>
            <w:webHidden/>
          </w:rPr>
          <w:t>4</w:t>
        </w:r>
        <w:r w:rsidR="0020495B">
          <w:rPr>
            <w:noProof/>
            <w:webHidden/>
          </w:rPr>
          <w:fldChar w:fldCharType="end"/>
        </w:r>
      </w:hyperlink>
    </w:p>
    <w:p w:rsidR="0020495B" w:rsidRDefault="00AB6E95">
      <w:pPr>
        <w:pStyle w:val="TOC1"/>
        <w:rPr>
          <w:rFonts w:asciiTheme="minorHAnsi" w:hAnsiTheme="minorHAnsi"/>
          <w:noProof/>
          <w:sz w:val="22"/>
        </w:rPr>
      </w:pPr>
      <w:hyperlink w:anchor="_Toc442104124" w:history="1">
        <w:r w:rsidR="0020495B" w:rsidRPr="006E10E7">
          <w:rPr>
            <w:rStyle w:val="Hyperlink"/>
            <w:noProof/>
          </w:rPr>
          <w:t>III.</w:t>
        </w:r>
        <w:r w:rsidR="0020495B">
          <w:rPr>
            <w:rFonts w:asciiTheme="minorHAnsi" w:hAnsiTheme="minorHAnsi"/>
            <w:noProof/>
            <w:sz w:val="22"/>
          </w:rPr>
          <w:tab/>
        </w:r>
        <w:r w:rsidR="0020495B" w:rsidRPr="006E10E7">
          <w:rPr>
            <w:rStyle w:val="Hyperlink"/>
            <w:noProof/>
          </w:rPr>
          <w:t>BACKGROUND</w:t>
        </w:r>
        <w:r w:rsidR="0020495B">
          <w:rPr>
            <w:noProof/>
            <w:webHidden/>
          </w:rPr>
          <w:tab/>
        </w:r>
        <w:r w:rsidR="0020495B">
          <w:rPr>
            <w:noProof/>
            <w:webHidden/>
          </w:rPr>
          <w:fldChar w:fldCharType="begin"/>
        </w:r>
        <w:r w:rsidR="0020495B">
          <w:rPr>
            <w:noProof/>
            <w:webHidden/>
          </w:rPr>
          <w:instrText xml:space="preserve"> PAGEREF _Toc442104124 \h </w:instrText>
        </w:r>
        <w:r w:rsidR="0020495B">
          <w:rPr>
            <w:noProof/>
            <w:webHidden/>
          </w:rPr>
        </w:r>
        <w:r w:rsidR="0020495B">
          <w:rPr>
            <w:noProof/>
            <w:webHidden/>
          </w:rPr>
          <w:fldChar w:fldCharType="separate"/>
        </w:r>
        <w:r w:rsidR="007110F2">
          <w:rPr>
            <w:noProof/>
            <w:webHidden/>
          </w:rPr>
          <w:t>7</w:t>
        </w:r>
        <w:r w:rsidR="0020495B">
          <w:rPr>
            <w:noProof/>
            <w:webHidden/>
          </w:rPr>
          <w:fldChar w:fldCharType="end"/>
        </w:r>
      </w:hyperlink>
    </w:p>
    <w:p w:rsidR="0020495B" w:rsidRDefault="00AB6E95">
      <w:pPr>
        <w:pStyle w:val="TOC2"/>
        <w:tabs>
          <w:tab w:val="left" w:pos="1440"/>
        </w:tabs>
        <w:rPr>
          <w:rFonts w:asciiTheme="minorHAnsi" w:hAnsiTheme="minorHAnsi" w:cstheme="minorBidi"/>
          <w:noProof/>
          <w:sz w:val="22"/>
          <w:szCs w:val="22"/>
        </w:rPr>
      </w:pPr>
      <w:hyperlink w:anchor="_Toc442104125" w:history="1">
        <w:r w:rsidR="0020495B" w:rsidRPr="006E10E7">
          <w:rPr>
            <w:rStyle w:val="Hyperlink"/>
            <w:noProof/>
          </w:rPr>
          <w:t>A.</w:t>
        </w:r>
        <w:r w:rsidR="0020495B">
          <w:rPr>
            <w:rFonts w:asciiTheme="minorHAnsi" w:hAnsiTheme="minorHAnsi" w:cstheme="minorBidi"/>
            <w:noProof/>
            <w:sz w:val="22"/>
            <w:szCs w:val="22"/>
          </w:rPr>
          <w:tab/>
        </w:r>
        <w:r w:rsidR="0020495B" w:rsidRPr="006E10E7">
          <w:rPr>
            <w:rStyle w:val="Hyperlink"/>
            <w:noProof/>
          </w:rPr>
          <w:t>The Ohio General Assembly chose competition to protect consumers.</w:t>
        </w:r>
        <w:r w:rsidR="0020495B">
          <w:rPr>
            <w:noProof/>
            <w:webHidden/>
          </w:rPr>
          <w:tab/>
        </w:r>
        <w:r w:rsidR="0020495B">
          <w:rPr>
            <w:noProof/>
            <w:webHidden/>
          </w:rPr>
          <w:fldChar w:fldCharType="begin"/>
        </w:r>
        <w:r w:rsidR="0020495B">
          <w:rPr>
            <w:noProof/>
            <w:webHidden/>
          </w:rPr>
          <w:instrText xml:space="preserve"> PAGEREF _Toc442104125 \h </w:instrText>
        </w:r>
        <w:r w:rsidR="0020495B">
          <w:rPr>
            <w:noProof/>
            <w:webHidden/>
          </w:rPr>
        </w:r>
        <w:r w:rsidR="0020495B">
          <w:rPr>
            <w:noProof/>
            <w:webHidden/>
          </w:rPr>
          <w:fldChar w:fldCharType="separate"/>
        </w:r>
        <w:r w:rsidR="007110F2">
          <w:rPr>
            <w:noProof/>
            <w:webHidden/>
          </w:rPr>
          <w:t>7</w:t>
        </w:r>
        <w:r w:rsidR="0020495B">
          <w:rPr>
            <w:noProof/>
            <w:webHidden/>
          </w:rPr>
          <w:fldChar w:fldCharType="end"/>
        </w:r>
      </w:hyperlink>
    </w:p>
    <w:p w:rsidR="0020495B" w:rsidRDefault="00AB6E95">
      <w:pPr>
        <w:pStyle w:val="TOC2"/>
        <w:tabs>
          <w:tab w:val="left" w:pos="1440"/>
        </w:tabs>
        <w:rPr>
          <w:rFonts w:asciiTheme="minorHAnsi" w:hAnsiTheme="minorHAnsi" w:cstheme="minorBidi"/>
          <w:noProof/>
          <w:sz w:val="22"/>
          <w:szCs w:val="22"/>
        </w:rPr>
      </w:pPr>
      <w:hyperlink w:anchor="_Toc442104126" w:history="1">
        <w:r w:rsidR="0020495B" w:rsidRPr="006E10E7">
          <w:rPr>
            <w:rStyle w:val="Hyperlink"/>
            <w:noProof/>
          </w:rPr>
          <w:t>B.</w:t>
        </w:r>
        <w:r w:rsidR="0020495B">
          <w:rPr>
            <w:rFonts w:asciiTheme="minorHAnsi" w:hAnsiTheme="minorHAnsi" w:cstheme="minorBidi"/>
            <w:noProof/>
            <w:sz w:val="22"/>
            <w:szCs w:val="22"/>
          </w:rPr>
          <w:tab/>
        </w:r>
        <w:r w:rsidR="0020495B" w:rsidRPr="006E10E7">
          <w:rPr>
            <w:rStyle w:val="Hyperlink"/>
            <w:noProof/>
          </w:rPr>
          <w:t>The PUCO denied AEP Ohio’s initial request for a PPA Rider because it was uncertain if the PPA Rider would provide consumer benefits commensurate with potential costs.</w:t>
        </w:r>
        <w:r w:rsidR="0020495B">
          <w:rPr>
            <w:noProof/>
            <w:webHidden/>
          </w:rPr>
          <w:tab/>
        </w:r>
        <w:r w:rsidR="0020495B">
          <w:rPr>
            <w:noProof/>
            <w:webHidden/>
          </w:rPr>
          <w:fldChar w:fldCharType="begin"/>
        </w:r>
        <w:r w:rsidR="0020495B">
          <w:rPr>
            <w:noProof/>
            <w:webHidden/>
          </w:rPr>
          <w:instrText xml:space="preserve"> PAGEREF _Toc442104126 \h </w:instrText>
        </w:r>
        <w:r w:rsidR="0020495B">
          <w:rPr>
            <w:noProof/>
            <w:webHidden/>
          </w:rPr>
        </w:r>
        <w:r w:rsidR="0020495B">
          <w:rPr>
            <w:noProof/>
            <w:webHidden/>
          </w:rPr>
          <w:fldChar w:fldCharType="separate"/>
        </w:r>
        <w:r w:rsidR="007110F2">
          <w:rPr>
            <w:noProof/>
            <w:webHidden/>
          </w:rPr>
          <w:t>8</w:t>
        </w:r>
        <w:r w:rsidR="0020495B">
          <w:rPr>
            <w:noProof/>
            <w:webHidden/>
          </w:rPr>
          <w:fldChar w:fldCharType="end"/>
        </w:r>
      </w:hyperlink>
    </w:p>
    <w:p w:rsidR="0020495B" w:rsidRDefault="00AB6E95">
      <w:pPr>
        <w:pStyle w:val="TOC2"/>
        <w:tabs>
          <w:tab w:val="left" w:pos="1440"/>
        </w:tabs>
        <w:rPr>
          <w:rFonts w:asciiTheme="minorHAnsi" w:hAnsiTheme="minorHAnsi" w:cstheme="minorBidi"/>
          <w:noProof/>
          <w:sz w:val="22"/>
          <w:szCs w:val="22"/>
        </w:rPr>
      </w:pPr>
      <w:hyperlink w:anchor="_Toc442104127" w:history="1">
        <w:r w:rsidR="0020495B" w:rsidRPr="006E10E7">
          <w:rPr>
            <w:rStyle w:val="Hyperlink"/>
            <w:noProof/>
          </w:rPr>
          <w:t>C.</w:t>
        </w:r>
        <w:r w:rsidR="0020495B">
          <w:rPr>
            <w:rFonts w:asciiTheme="minorHAnsi" w:hAnsiTheme="minorHAnsi" w:cstheme="minorBidi"/>
            <w:noProof/>
            <w:sz w:val="22"/>
            <w:szCs w:val="22"/>
          </w:rPr>
          <w:tab/>
        </w:r>
        <w:r w:rsidR="0020495B" w:rsidRPr="006E10E7">
          <w:rPr>
            <w:rStyle w:val="Hyperlink"/>
            <w:noProof/>
          </w:rPr>
          <w:t>AEP Ohio files the Joint Stipulation.</w:t>
        </w:r>
        <w:r w:rsidR="0020495B">
          <w:rPr>
            <w:noProof/>
            <w:webHidden/>
          </w:rPr>
          <w:tab/>
        </w:r>
        <w:r w:rsidR="0020495B">
          <w:rPr>
            <w:noProof/>
            <w:webHidden/>
          </w:rPr>
          <w:fldChar w:fldCharType="begin"/>
        </w:r>
        <w:r w:rsidR="0020495B">
          <w:rPr>
            <w:noProof/>
            <w:webHidden/>
          </w:rPr>
          <w:instrText xml:space="preserve"> PAGEREF _Toc442104127 \h </w:instrText>
        </w:r>
        <w:r w:rsidR="0020495B">
          <w:rPr>
            <w:noProof/>
            <w:webHidden/>
          </w:rPr>
        </w:r>
        <w:r w:rsidR="0020495B">
          <w:rPr>
            <w:noProof/>
            <w:webHidden/>
          </w:rPr>
          <w:fldChar w:fldCharType="separate"/>
        </w:r>
        <w:r w:rsidR="007110F2">
          <w:rPr>
            <w:noProof/>
            <w:webHidden/>
          </w:rPr>
          <w:t>12</w:t>
        </w:r>
        <w:r w:rsidR="0020495B">
          <w:rPr>
            <w:noProof/>
            <w:webHidden/>
          </w:rPr>
          <w:fldChar w:fldCharType="end"/>
        </w:r>
      </w:hyperlink>
    </w:p>
    <w:p w:rsidR="0020495B" w:rsidRDefault="00AB6E95">
      <w:pPr>
        <w:pStyle w:val="TOC2"/>
        <w:tabs>
          <w:tab w:val="left" w:pos="1440"/>
        </w:tabs>
        <w:rPr>
          <w:rFonts w:asciiTheme="minorHAnsi" w:hAnsiTheme="minorHAnsi" w:cstheme="minorBidi"/>
          <w:noProof/>
          <w:sz w:val="22"/>
          <w:szCs w:val="22"/>
        </w:rPr>
      </w:pPr>
      <w:hyperlink w:anchor="_Toc442104128" w:history="1">
        <w:r w:rsidR="0020495B" w:rsidRPr="006E10E7">
          <w:rPr>
            <w:rStyle w:val="Hyperlink"/>
            <w:noProof/>
          </w:rPr>
          <w:t>D.</w:t>
        </w:r>
        <w:r w:rsidR="0020495B">
          <w:rPr>
            <w:rFonts w:asciiTheme="minorHAnsi" w:hAnsiTheme="minorHAnsi" w:cstheme="minorBidi"/>
            <w:noProof/>
            <w:sz w:val="22"/>
            <w:szCs w:val="22"/>
          </w:rPr>
          <w:tab/>
        </w:r>
        <w:r w:rsidR="0020495B" w:rsidRPr="006E10E7">
          <w:rPr>
            <w:rStyle w:val="Hyperlink"/>
            <w:noProof/>
          </w:rPr>
          <w:t>Matters for the PUCO’s determination.</w:t>
        </w:r>
        <w:r w:rsidR="0020495B">
          <w:rPr>
            <w:noProof/>
            <w:webHidden/>
          </w:rPr>
          <w:tab/>
        </w:r>
        <w:r w:rsidR="0020495B">
          <w:rPr>
            <w:noProof/>
            <w:webHidden/>
          </w:rPr>
          <w:fldChar w:fldCharType="begin"/>
        </w:r>
        <w:r w:rsidR="0020495B">
          <w:rPr>
            <w:noProof/>
            <w:webHidden/>
          </w:rPr>
          <w:instrText xml:space="preserve"> PAGEREF _Toc442104128 \h </w:instrText>
        </w:r>
        <w:r w:rsidR="0020495B">
          <w:rPr>
            <w:noProof/>
            <w:webHidden/>
          </w:rPr>
        </w:r>
        <w:r w:rsidR="0020495B">
          <w:rPr>
            <w:noProof/>
            <w:webHidden/>
          </w:rPr>
          <w:fldChar w:fldCharType="separate"/>
        </w:r>
        <w:r w:rsidR="007110F2">
          <w:rPr>
            <w:noProof/>
            <w:webHidden/>
          </w:rPr>
          <w:t>13</w:t>
        </w:r>
        <w:r w:rsidR="0020495B">
          <w:rPr>
            <w:noProof/>
            <w:webHidden/>
          </w:rPr>
          <w:fldChar w:fldCharType="end"/>
        </w:r>
      </w:hyperlink>
    </w:p>
    <w:p w:rsidR="0020495B" w:rsidRDefault="00AB6E95">
      <w:pPr>
        <w:pStyle w:val="TOC1"/>
        <w:rPr>
          <w:rFonts w:asciiTheme="minorHAnsi" w:hAnsiTheme="minorHAnsi"/>
          <w:noProof/>
          <w:sz w:val="22"/>
        </w:rPr>
      </w:pPr>
      <w:hyperlink w:anchor="_Toc442104129" w:history="1">
        <w:r w:rsidR="0020495B" w:rsidRPr="006E10E7">
          <w:rPr>
            <w:rStyle w:val="Hyperlink"/>
            <w:noProof/>
          </w:rPr>
          <w:t>IV.</w:t>
        </w:r>
        <w:r w:rsidR="0020495B">
          <w:rPr>
            <w:rFonts w:asciiTheme="minorHAnsi" w:hAnsiTheme="minorHAnsi"/>
            <w:noProof/>
            <w:sz w:val="22"/>
          </w:rPr>
          <w:tab/>
        </w:r>
        <w:r w:rsidR="0020495B" w:rsidRPr="006E10E7">
          <w:rPr>
            <w:rStyle w:val="Hyperlink"/>
            <w:noProof/>
          </w:rPr>
          <w:t>STANDARD OF REVIEW</w:t>
        </w:r>
        <w:r w:rsidR="0020495B">
          <w:rPr>
            <w:noProof/>
            <w:webHidden/>
          </w:rPr>
          <w:tab/>
        </w:r>
        <w:r w:rsidR="0020495B">
          <w:rPr>
            <w:noProof/>
            <w:webHidden/>
          </w:rPr>
          <w:fldChar w:fldCharType="begin"/>
        </w:r>
        <w:r w:rsidR="0020495B">
          <w:rPr>
            <w:noProof/>
            <w:webHidden/>
          </w:rPr>
          <w:instrText xml:space="preserve"> PAGEREF _Toc442104129 \h </w:instrText>
        </w:r>
        <w:r w:rsidR="0020495B">
          <w:rPr>
            <w:noProof/>
            <w:webHidden/>
          </w:rPr>
        </w:r>
        <w:r w:rsidR="0020495B">
          <w:rPr>
            <w:noProof/>
            <w:webHidden/>
          </w:rPr>
          <w:fldChar w:fldCharType="separate"/>
        </w:r>
        <w:r w:rsidR="007110F2">
          <w:rPr>
            <w:noProof/>
            <w:webHidden/>
          </w:rPr>
          <w:t>13</w:t>
        </w:r>
        <w:r w:rsidR="0020495B">
          <w:rPr>
            <w:noProof/>
            <w:webHidden/>
          </w:rPr>
          <w:fldChar w:fldCharType="end"/>
        </w:r>
      </w:hyperlink>
    </w:p>
    <w:p w:rsidR="0020495B" w:rsidRDefault="00AB6E95">
      <w:pPr>
        <w:pStyle w:val="TOC1"/>
        <w:rPr>
          <w:rFonts w:asciiTheme="minorHAnsi" w:hAnsiTheme="minorHAnsi"/>
          <w:noProof/>
          <w:sz w:val="22"/>
        </w:rPr>
      </w:pPr>
      <w:hyperlink w:anchor="_Toc442104130" w:history="1">
        <w:r w:rsidR="0020495B" w:rsidRPr="006E10E7">
          <w:rPr>
            <w:rStyle w:val="Hyperlink"/>
            <w:noProof/>
          </w:rPr>
          <w:t>V.</w:t>
        </w:r>
        <w:r w:rsidR="0020495B">
          <w:rPr>
            <w:rFonts w:asciiTheme="minorHAnsi" w:hAnsiTheme="minorHAnsi"/>
            <w:noProof/>
            <w:sz w:val="22"/>
          </w:rPr>
          <w:tab/>
        </w:r>
        <w:r w:rsidR="0020495B" w:rsidRPr="006E10E7">
          <w:rPr>
            <w:rStyle w:val="Hyperlink"/>
            <w:noProof/>
          </w:rPr>
          <w:t>RECOMMENDATIONS</w:t>
        </w:r>
        <w:r w:rsidR="0020495B">
          <w:rPr>
            <w:noProof/>
            <w:webHidden/>
          </w:rPr>
          <w:tab/>
        </w:r>
        <w:r w:rsidR="0020495B">
          <w:rPr>
            <w:noProof/>
            <w:webHidden/>
          </w:rPr>
          <w:fldChar w:fldCharType="begin"/>
        </w:r>
        <w:r w:rsidR="0020495B">
          <w:rPr>
            <w:noProof/>
            <w:webHidden/>
          </w:rPr>
          <w:instrText xml:space="preserve"> PAGEREF _Toc442104130 \h </w:instrText>
        </w:r>
        <w:r w:rsidR="0020495B">
          <w:rPr>
            <w:noProof/>
            <w:webHidden/>
          </w:rPr>
        </w:r>
        <w:r w:rsidR="0020495B">
          <w:rPr>
            <w:noProof/>
            <w:webHidden/>
          </w:rPr>
          <w:fldChar w:fldCharType="separate"/>
        </w:r>
        <w:r w:rsidR="007110F2">
          <w:rPr>
            <w:noProof/>
            <w:webHidden/>
          </w:rPr>
          <w:t>16</w:t>
        </w:r>
        <w:r w:rsidR="0020495B">
          <w:rPr>
            <w:noProof/>
            <w:webHidden/>
          </w:rPr>
          <w:fldChar w:fldCharType="end"/>
        </w:r>
      </w:hyperlink>
    </w:p>
    <w:p w:rsidR="0020495B" w:rsidRDefault="00AB6E95">
      <w:pPr>
        <w:pStyle w:val="TOC2"/>
        <w:tabs>
          <w:tab w:val="left" w:pos="1440"/>
        </w:tabs>
        <w:rPr>
          <w:rFonts w:asciiTheme="minorHAnsi" w:hAnsiTheme="minorHAnsi" w:cstheme="minorBidi"/>
          <w:noProof/>
          <w:sz w:val="22"/>
          <w:szCs w:val="22"/>
        </w:rPr>
      </w:pPr>
      <w:hyperlink w:anchor="_Toc442104131" w:history="1">
        <w:r w:rsidR="0020495B" w:rsidRPr="006E10E7">
          <w:rPr>
            <w:rStyle w:val="Hyperlink"/>
            <w:noProof/>
          </w:rPr>
          <w:t>A.</w:t>
        </w:r>
        <w:r w:rsidR="0020495B">
          <w:rPr>
            <w:rFonts w:asciiTheme="minorHAnsi" w:hAnsiTheme="minorHAnsi" w:cstheme="minorBidi"/>
            <w:noProof/>
            <w:sz w:val="22"/>
            <w:szCs w:val="22"/>
          </w:rPr>
          <w:tab/>
        </w:r>
        <w:r w:rsidR="0020495B" w:rsidRPr="006E10E7">
          <w:rPr>
            <w:rStyle w:val="Hyperlink"/>
            <w:noProof/>
          </w:rPr>
          <w:t>The core responsibility of FERC, not the PUCO, is to protect consumers by overseeing the nation’s wholesale electric markets; the PUCO is without jurisdiction under federal law and state law to approve the PPA Rider.</w:t>
        </w:r>
        <w:r w:rsidR="0020495B">
          <w:rPr>
            <w:noProof/>
            <w:webHidden/>
          </w:rPr>
          <w:tab/>
        </w:r>
        <w:r w:rsidR="0020495B">
          <w:rPr>
            <w:noProof/>
            <w:webHidden/>
          </w:rPr>
          <w:fldChar w:fldCharType="begin"/>
        </w:r>
        <w:r w:rsidR="0020495B">
          <w:rPr>
            <w:noProof/>
            <w:webHidden/>
          </w:rPr>
          <w:instrText xml:space="preserve"> PAGEREF _Toc442104131 \h </w:instrText>
        </w:r>
        <w:r w:rsidR="0020495B">
          <w:rPr>
            <w:noProof/>
            <w:webHidden/>
          </w:rPr>
        </w:r>
        <w:r w:rsidR="0020495B">
          <w:rPr>
            <w:noProof/>
            <w:webHidden/>
          </w:rPr>
          <w:fldChar w:fldCharType="separate"/>
        </w:r>
        <w:r w:rsidR="007110F2">
          <w:rPr>
            <w:noProof/>
            <w:webHidden/>
          </w:rPr>
          <w:t>16</w:t>
        </w:r>
        <w:r w:rsidR="0020495B">
          <w:rPr>
            <w:noProof/>
            <w:webHidden/>
          </w:rPr>
          <w:fldChar w:fldCharType="end"/>
        </w:r>
      </w:hyperlink>
    </w:p>
    <w:p w:rsidR="0020495B" w:rsidRDefault="00AB6E95">
      <w:pPr>
        <w:pStyle w:val="TOC3"/>
        <w:tabs>
          <w:tab w:val="left" w:pos="2160"/>
        </w:tabs>
        <w:rPr>
          <w:rFonts w:asciiTheme="minorHAnsi" w:hAnsiTheme="minorHAnsi"/>
          <w:noProof/>
          <w:sz w:val="22"/>
        </w:rPr>
      </w:pPr>
      <w:hyperlink w:anchor="_Toc442104132" w:history="1">
        <w:r w:rsidR="0020495B" w:rsidRPr="006E10E7">
          <w:rPr>
            <w:rStyle w:val="Hyperlink"/>
            <w:noProof/>
            <w:lang w:bidi="hi-IN"/>
          </w:rPr>
          <w:t>1.</w:t>
        </w:r>
        <w:r w:rsidR="0020495B">
          <w:rPr>
            <w:rFonts w:asciiTheme="minorHAnsi" w:hAnsiTheme="minorHAnsi"/>
            <w:noProof/>
            <w:sz w:val="22"/>
          </w:rPr>
          <w:tab/>
        </w:r>
        <w:r w:rsidR="0020495B" w:rsidRPr="006E10E7">
          <w:rPr>
            <w:rStyle w:val="Hyperlink"/>
            <w:noProof/>
            <w:lang w:bidi="hi-IN"/>
          </w:rPr>
          <w:t>It is necessary and appropriate for the PUCO to decide if it has jurisdiction in the first instance.</w:t>
        </w:r>
        <w:r w:rsidR="0020495B">
          <w:rPr>
            <w:noProof/>
            <w:webHidden/>
          </w:rPr>
          <w:tab/>
        </w:r>
        <w:r w:rsidR="0020495B">
          <w:rPr>
            <w:noProof/>
            <w:webHidden/>
          </w:rPr>
          <w:fldChar w:fldCharType="begin"/>
        </w:r>
        <w:r w:rsidR="0020495B">
          <w:rPr>
            <w:noProof/>
            <w:webHidden/>
          </w:rPr>
          <w:instrText xml:space="preserve"> PAGEREF _Toc442104132 \h </w:instrText>
        </w:r>
        <w:r w:rsidR="0020495B">
          <w:rPr>
            <w:noProof/>
            <w:webHidden/>
          </w:rPr>
        </w:r>
        <w:r w:rsidR="0020495B">
          <w:rPr>
            <w:noProof/>
            <w:webHidden/>
          </w:rPr>
          <w:fldChar w:fldCharType="separate"/>
        </w:r>
        <w:r w:rsidR="007110F2">
          <w:rPr>
            <w:noProof/>
            <w:webHidden/>
          </w:rPr>
          <w:t>16</w:t>
        </w:r>
        <w:r w:rsidR="0020495B">
          <w:rPr>
            <w:noProof/>
            <w:webHidden/>
          </w:rPr>
          <w:fldChar w:fldCharType="end"/>
        </w:r>
      </w:hyperlink>
    </w:p>
    <w:p w:rsidR="0020495B" w:rsidRDefault="00AB6E95">
      <w:pPr>
        <w:pStyle w:val="TOC3"/>
        <w:tabs>
          <w:tab w:val="left" w:pos="2160"/>
        </w:tabs>
        <w:rPr>
          <w:rFonts w:asciiTheme="minorHAnsi" w:hAnsiTheme="minorHAnsi"/>
          <w:noProof/>
          <w:sz w:val="22"/>
        </w:rPr>
      </w:pPr>
      <w:hyperlink w:anchor="_Toc442104133" w:history="1">
        <w:r w:rsidR="0020495B" w:rsidRPr="006E10E7">
          <w:rPr>
            <w:rStyle w:val="Hyperlink"/>
            <w:noProof/>
            <w:lang w:bidi="hi-IN"/>
          </w:rPr>
          <w:t>2.</w:t>
        </w:r>
        <w:r w:rsidR="0020495B">
          <w:rPr>
            <w:rFonts w:asciiTheme="minorHAnsi" w:hAnsiTheme="minorHAnsi"/>
            <w:noProof/>
            <w:sz w:val="22"/>
          </w:rPr>
          <w:tab/>
        </w:r>
        <w:r w:rsidR="0020495B" w:rsidRPr="006E10E7">
          <w:rPr>
            <w:rStyle w:val="Hyperlink"/>
            <w:noProof/>
            <w:lang w:bidi="hi-IN"/>
          </w:rPr>
          <w:t>FERC has exclusive jurisdiction over wholesale energy transactions as a matter of federal law.</w:t>
        </w:r>
        <w:r w:rsidR="0020495B">
          <w:rPr>
            <w:noProof/>
            <w:webHidden/>
          </w:rPr>
          <w:tab/>
        </w:r>
        <w:r w:rsidR="0020495B">
          <w:rPr>
            <w:noProof/>
            <w:webHidden/>
          </w:rPr>
          <w:fldChar w:fldCharType="begin"/>
        </w:r>
        <w:r w:rsidR="0020495B">
          <w:rPr>
            <w:noProof/>
            <w:webHidden/>
          </w:rPr>
          <w:instrText xml:space="preserve"> PAGEREF _Toc442104133 \h </w:instrText>
        </w:r>
        <w:r w:rsidR="0020495B">
          <w:rPr>
            <w:noProof/>
            <w:webHidden/>
          </w:rPr>
        </w:r>
        <w:r w:rsidR="0020495B">
          <w:rPr>
            <w:noProof/>
            <w:webHidden/>
          </w:rPr>
          <w:fldChar w:fldCharType="separate"/>
        </w:r>
        <w:r w:rsidR="007110F2">
          <w:rPr>
            <w:noProof/>
            <w:webHidden/>
          </w:rPr>
          <w:t>17</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134" w:history="1">
        <w:r w:rsidR="0020495B" w:rsidRPr="006E10E7">
          <w:rPr>
            <w:rStyle w:val="Hyperlink"/>
            <w:noProof/>
            <w:lang w:bidi="hi-IN"/>
          </w:rPr>
          <w:t>a.</w:t>
        </w:r>
        <w:r w:rsidR="0020495B">
          <w:rPr>
            <w:rFonts w:asciiTheme="minorHAnsi" w:hAnsiTheme="minorHAnsi"/>
            <w:noProof/>
            <w:sz w:val="22"/>
          </w:rPr>
          <w:tab/>
        </w:r>
        <w:r w:rsidR="0020495B" w:rsidRPr="006E10E7">
          <w:rPr>
            <w:rStyle w:val="Hyperlink"/>
            <w:noProof/>
            <w:lang w:bidi="hi-IN"/>
          </w:rPr>
          <w:t>Field preemption under the Federal Power Act.</w:t>
        </w:r>
        <w:r w:rsidR="0020495B">
          <w:rPr>
            <w:noProof/>
            <w:webHidden/>
          </w:rPr>
          <w:tab/>
        </w:r>
        <w:r w:rsidR="0020495B">
          <w:rPr>
            <w:noProof/>
            <w:webHidden/>
          </w:rPr>
          <w:fldChar w:fldCharType="begin"/>
        </w:r>
        <w:r w:rsidR="0020495B">
          <w:rPr>
            <w:noProof/>
            <w:webHidden/>
          </w:rPr>
          <w:instrText xml:space="preserve"> PAGEREF _Toc442104134 \h </w:instrText>
        </w:r>
        <w:r w:rsidR="0020495B">
          <w:rPr>
            <w:noProof/>
            <w:webHidden/>
          </w:rPr>
        </w:r>
        <w:r w:rsidR="0020495B">
          <w:rPr>
            <w:noProof/>
            <w:webHidden/>
          </w:rPr>
          <w:fldChar w:fldCharType="separate"/>
        </w:r>
        <w:r w:rsidR="007110F2">
          <w:rPr>
            <w:noProof/>
            <w:webHidden/>
          </w:rPr>
          <w:t>18</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135" w:history="1">
        <w:r w:rsidR="0020495B" w:rsidRPr="006E10E7">
          <w:rPr>
            <w:rStyle w:val="Hyperlink"/>
            <w:noProof/>
            <w:lang w:bidi="hi-IN"/>
          </w:rPr>
          <w:t>b.</w:t>
        </w:r>
        <w:r w:rsidR="0020495B">
          <w:rPr>
            <w:rFonts w:asciiTheme="minorHAnsi" w:hAnsiTheme="minorHAnsi"/>
            <w:noProof/>
            <w:sz w:val="22"/>
          </w:rPr>
          <w:tab/>
        </w:r>
        <w:r w:rsidR="0020495B" w:rsidRPr="006E10E7">
          <w:rPr>
            <w:rStyle w:val="Hyperlink"/>
            <w:noProof/>
            <w:lang w:bidi="hi-IN"/>
          </w:rPr>
          <w:t>Conflict preemption under the Federal Power Act.</w:t>
        </w:r>
        <w:r w:rsidR="0020495B">
          <w:rPr>
            <w:noProof/>
            <w:webHidden/>
          </w:rPr>
          <w:tab/>
        </w:r>
        <w:r w:rsidR="0020495B">
          <w:rPr>
            <w:noProof/>
            <w:webHidden/>
          </w:rPr>
          <w:fldChar w:fldCharType="begin"/>
        </w:r>
        <w:r w:rsidR="0020495B">
          <w:rPr>
            <w:noProof/>
            <w:webHidden/>
          </w:rPr>
          <w:instrText xml:space="preserve"> PAGEREF _Toc442104135 \h </w:instrText>
        </w:r>
        <w:r w:rsidR="0020495B">
          <w:rPr>
            <w:noProof/>
            <w:webHidden/>
          </w:rPr>
        </w:r>
        <w:r w:rsidR="0020495B">
          <w:rPr>
            <w:noProof/>
            <w:webHidden/>
          </w:rPr>
          <w:fldChar w:fldCharType="separate"/>
        </w:r>
        <w:r w:rsidR="007110F2">
          <w:rPr>
            <w:noProof/>
            <w:webHidden/>
          </w:rPr>
          <w:t>19</w:t>
        </w:r>
        <w:r w:rsidR="0020495B">
          <w:rPr>
            <w:noProof/>
            <w:webHidden/>
          </w:rPr>
          <w:fldChar w:fldCharType="end"/>
        </w:r>
      </w:hyperlink>
    </w:p>
    <w:p w:rsidR="0020495B" w:rsidRDefault="00AB6E95">
      <w:pPr>
        <w:pStyle w:val="TOC3"/>
        <w:tabs>
          <w:tab w:val="left" w:pos="2160"/>
        </w:tabs>
        <w:rPr>
          <w:rFonts w:asciiTheme="minorHAnsi" w:hAnsiTheme="minorHAnsi"/>
          <w:noProof/>
          <w:sz w:val="22"/>
        </w:rPr>
      </w:pPr>
      <w:hyperlink w:anchor="_Toc442104136" w:history="1">
        <w:r w:rsidR="0020495B" w:rsidRPr="006E10E7">
          <w:rPr>
            <w:rStyle w:val="Hyperlink"/>
            <w:noProof/>
            <w:lang w:bidi="hi-IN"/>
          </w:rPr>
          <w:t>3.</w:t>
        </w:r>
        <w:r w:rsidR="0020495B">
          <w:rPr>
            <w:rFonts w:asciiTheme="minorHAnsi" w:hAnsiTheme="minorHAnsi"/>
            <w:noProof/>
            <w:sz w:val="22"/>
          </w:rPr>
          <w:tab/>
        </w:r>
        <w:r w:rsidR="0020495B" w:rsidRPr="006E10E7">
          <w:rPr>
            <w:rStyle w:val="Hyperlink"/>
            <w:noProof/>
            <w:lang w:bidi="hi-IN"/>
          </w:rPr>
          <w:t xml:space="preserve">The PUCO’s jurisdiction is field preempted because, under the PPA Rider, the PJM market participant (AEP Ohio) would </w:t>
        </w:r>
        <w:r w:rsidR="0020495B">
          <w:rPr>
            <w:rStyle w:val="Hyperlink"/>
            <w:noProof/>
            <w:lang w:bidi="hi-IN"/>
          </w:rPr>
          <w:br/>
        </w:r>
        <w:r w:rsidR="0020495B" w:rsidRPr="006E10E7">
          <w:rPr>
            <w:rStyle w:val="Hyperlink"/>
            <w:noProof/>
            <w:lang w:bidi="hi-IN"/>
          </w:rPr>
          <w:t>receive a fixed sum for energy and capacity sold on the PJM markets.</w:t>
        </w:r>
        <w:r w:rsidR="0020495B">
          <w:rPr>
            <w:noProof/>
            <w:webHidden/>
          </w:rPr>
          <w:tab/>
        </w:r>
        <w:r w:rsidR="0020495B">
          <w:rPr>
            <w:noProof/>
            <w:webHidden/>
          </w:rPr>
          <w:fldChar w:fldCharType="begin"/>
        </w:r>
        <w:r w:rsidR="0020495B">
          <w:rPr>
            <w:noProof/>
            <w:webHidden/>
          </w:rPr>
          <w:instrText xml:space="preserve"> PAGEREF _Toc442104136 \h </w:instrText>
        </w:r>
        <w:r w:rsidR="0020495B">
          <w:rPr>
            <w:noProof/>
            <w:webHidden/>
          </w:rPr>
        </w:r>
        <w:r w:rsidR="0020495B">
          <w:rPr>
            <w:noProof/>
            <w:webHidden/>
          </w:rPr>
          <w:fldChar w:fldCharType="separate"/>
        </w:r>
        <w:r w:rsidR="007110F2">
          <w:rPr>
            <w:noProof/>
            <w:webHidden/>
          </w:rPr>
          <w:t>20</w:t>
        </w:r>
        <w:r w:rsidR="0020495B">
          <w:rPr>
            <w:noProof/>
            <w:webHidden/>
          </w:rPr>
          <w:fldChar w:fldCharType="end"/>
        </w:r>
      </w:hyperlink>
    </w:p>
    <w:p w:rsidR="0020495B" w:rsidRDefault="00AB6E95">
      <w:pPr>
        <w:pStyle w:val="TOC3"/>
        <w:tabs>
          <w:tab w:val="left" w:pos="2160"/>
        </w:tabs>
        <w:rPr>
          <w:rFonts w:asciiTheme="minorHAnsi" w:hAnsiTheme="minorHAnsi"/>
          <w:noProof/>
          <w:sz w:val="22"/>
        </w:rPr>
      </w:pPr>
      <w:hyperlink w:anchor="_Toc442104137" w:history="1">
        <w:r w:rsidR="0020495B" w:rsidRPr="006E10E7">
          <w:rPr>
            <w:rStyle w:val="Hyperlink"/>
            <w:noProof/>
            <w:lang w:bidi="hi-IN"/>
          </w:rPr>
          <w:t>4.</w:t>
        </w:r>
        <w:r w:rsidR="0020495B">
          <w:rPr>
            <w:rFonts w:asciiTheme="minorHAnsi" w:hAnsiTheme="minorHAnsi"/>
            <w:noProof/>
            <w:sz w:val="22"/>
          </w:rPr>
          <w:tab/>
        </w:r>
        <w:r w:rsidR="0020495B" w:rsidRPr="006E10E7">
          <w:rPr>
            <w:rStyle w:val="Hyperlink"/>
            <w:noProof/>
            <w:lang w:bidi="hi-IN"/>
          </w:rPr>
          <w:t>The PUCO’s jurisdiction is conflict preempted because AEP Ohio’s proposal would distort PJM’s auction price signals.</w:t>
        </w:r>
        <w:r w:rsidR="0020495B">
          <w:rPr>
            <w:noProof/>
            <w:webHidden/>
          </w:rPr>
          <w:tab/>
        </w:r>
        <w:r w:rsidR="0020495B">
          <w:rPr>
            <w:noProof/>
            <w:webHidden/>
          </w:rPr>
          <w:fldChar w:fldCharType="begin"/>
        </w:r>
        <w:r w:rsidR="0020495B">
          <w:rPr>
            <w:noProof/>
            <w:webHidden/>
          </w:rPr>
          <w:instrText xml:space="preserve"> PAGEREF _Toc442104137 \h </w:instrText>
        </w:r>
        <w:r w:rsidR="0020495B">
          <w:rPr>
            <w:noProof/>
            <w:webHidden/>
          </w:rPr>
        </w:r>
        <w:r w:rsidR="0020495B">
          <w:rPr>
            <w:noProof/>
            <w:webHidden/>
          </w:rPr>
          <w:fldChar w:fldCharType="separate"/>
        </w:r>
        <w:r w:rsidR="007110F2">
          <w:rPr>
            <w:noProof/>
            <w:webHidden/>
          </w:rPr>
          <w:t>22</w:t>
        </w:r>
        <w:r w:rsidR="0020495B">
          <w:rPr>
            <w:noProof/>
            <w:webHidden/>
          </w:rPr>
          <w:fldChar w:fldCharType="end"/>
        </w:r>
      </w:hyperlink>
    </w:p>
    <w:p w:rsidR="0020495B" w:rsidRDefault="00AB6E95">
      <w:pPr>
        <w:pStyle w:val="TOC3"/>
        <w:tabs>
          <w:tab w:val="left" w:pos="2160"/>
        </w:tabs>
        <w:rPr>
          <w:rFonts w:asciiTheme="minorHAnsi" w:hAnsiTheme="minorHAnsi"/>
          <w:noProof/>
          <w:sz w:val="22"/>
        </w:rPr>
      </w:pPr>
      <w:hyperlink w:anchor="_Toc442104138" w:history="1">
        <w:r w:rsidR="0020495B" w:rsidRPr="006E10E7">
          <w:rPr>
            <w:rStyle w:val="Hyperlink"/>
            <w:noProof/>
            <w:lang w:bidi="hi-IN"/>
          </w:rPr>
          <w:t>5.</w:t>
        </w:r>
        <w:r w:rsidR="0020495B">
          <w:rPr>
            <w:rFonts w:asciiTheme="minorHAnsi" w:hAnsiTheme="minorHAnsi"/>
            <w:noProof/>
            <w:sz w:val="22"/>
          </w:rPr>
          <w:tab/>
        </w:r>
        <w:r w:rsidR="0020495B" w:rsidRPr="006E10E7">
          <w:rPr>
            <w:rStyle w:val="Hyperlink"/>
            <w:noProof/>
            <w:lang w:bidi="hi-IN"/>
          </w:rPr>
          <w:t>The PUCO also lacks jurisdiction under state law.</w:t>
        </w:r>
        <w:r w:rsidR="0020495B">
          <w:rPr>
            <w:noProof/>
            <w:webHidden/>
          </w:rPr>
          <w:tab/>
        </w:r>
        <w:r w:rsidR="0020495B">
          <w:rPr>
            <w:noProof/>
            <w:webHidden/>
          </w:rPr>
          <w:fldChar w:fldCharType="begin"/>
        </w:r>
        <w:r w:rsidR="0020495B">
          <w:rPr>
            <w:noProof/>
            <w:webHidden/>
          </w:rPr>
          <w:instrText xml:space="preserve"> PAGEREF _Toc442104138 \h </w:instrText>
        </w:r>
        <w:r w:rsidR="0020495B">
          <w:rPr>
            <w:noProof/>
            <w:webHidden/>
          </w:rPr>
        </w:r>
        <w:r w:rsidR="0020495B">
          <w:rPr>
            <w:noProof/>
            <w:webHidden/>
          </w:rPr>
          <w:fldChar w:fldCharType="separate"/>
        </w:r>
        <w:r w:rsidR="007110F2">
          <w:rPr>
            <w:noProof/>
            <w:webHidden/>
          </w:rPr>
          <w:t>24</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139" w:history="1">
        <w:r w:rsidR="0020495B" w:rsidRPr="006E10E7">
          <w:rPr>
            <w:rStyle w:val="Hyperlink"/>
            <w:b/>
            <w:noProof/>
            <w:lang w:bidi="hi-IN"/>
          </w:rPr>
          <w:t>a</w:t>
        </w:r>
        <w:r w:rsidR="0020495B" w:rsidRPr="006E10E7">
          <w:rPr>
            <w:rStyle w:val="Hyperlink"/>
            <w:noProof/>
            <w:lang w:bidi="hi-IN"/>
          </w:rPr>
          <w:t>.</w:t>
        </w:r>
        <w:r w:rsidR="0020495B">
          <w:rPr>
            <w:rFonts w:asciiTheme="minorHAnsi" w:hAnsiTheme="minorHAnsi"/>
            <w:noProof/>
            <w:sz w:val="22"/>
          </w:rPr>
          <w:tab/>
        </w:r>
        <w:r w:rsidR="0020495B" w:rsidRPr="006E10E7">
          <w:rPr>
            <w:rStyle w:val="Hyperlink"/>
            <w:noProof/>
            <w:lang w:bidi="hi-IN"/>
          </w:rPr>
          <w:t>The PUCO lacks jurisdiction to approve the PPA Rider since it would functionally set wholesale prices.</w:t>
        </w:r>
        <w:r w:rsidR="0020495B">
          <w:rPr>
            <w:noProof/>
            <w:webHidden/>
          </w:rPr>
          <w:tab/>
        </w:r>
        <w:r w:rsidR="0020495B">
          <w:rPr>
            <w:noProof/>
            <w:webHidden/>
          </w:rPr>
          <w:fldChar w:fldCharType="begin"/>
        </w:r>
        <w:r w:rsidR="0020495B">
          <w:rPr>
            <w:noProof/>
            <w:webHidden/>
          </w:rPr>
          <w:instrText xml:space="preserve"> PAGEREF _Toc442104139 \h </w:instrText>
        </w:r>
        <w:r w:rsidR="0020495B">
          <w:rPr>
            <w:noProof/>
            <w:webHidden/>
          </w:rPr>
        </w:r>
        <w:r w:rsidR="0020495B">
          <w:rPr>
            <w:noProof/>
            <w:webHidden/>
          </w:rPr>
          <w:fldChar w:fldCharType="separate"/>
        </w:r>
        <w:r w:rsidR="007110F2">
          <w:rPr>
            <w:noProof/>
            <w:webHidden/>
          </w:rPr>
          <w:t>25</w:t>
        </w:r>
        <w:r w:rsidR="0020495B">
          <w:rPr>
            <w:noProof/>
            <w:webHidden/>
          </w:rPr>
          <w:fldChar w:fldCharType="end"/>
        </w:r>
      </w:hyperlink>
    </w:p>
    <w:p w:rsidR="0020495B" w:rsidRDefault="00AB6E95">
      <w:pPr>
        <w:pStyle w:val="TOC5"/>
        <w:tabs>
          <w:tab w:val="left" w:pos="3600"/>
        </w:tabs>
        <w:rPr>
          <w:rFonts w:asciiTheme="minorHAnsi" w:hAnsiTheme="minorHAnsi" w:cstheme="minorBidi"/>
          <w:noProof/>
          <w:sz w:val="22"/>
          <w:szCs w:val="22"/>
        </w:rPr>
      </w:pPr>
      <w:hyperlink w:anchor="_Toc442104140" w:history="1">
        <w:r w:rsidR="0020495B" w:rsidRPr="006E10E7">
          <w:rPr>
            <w:rStyle w:val="Hyperlink"/>
            <w:noProof/>
          </w:rPr>
          <w:t>i.</w:t>
        </w:r>
        <w:r w:rsidR="0020495B">
          <w:rPr>
            <w:rFonts w:asciiTheme="minorHAnsi" w:hAnsiTheme="minorHAnsi" w:cstheme="minorBidi"/>
            <w:noProof/>
            <w:sz w:val="22"/>
            <w:szCs w:val="22"/>
          </w:rPr>
          <w:tab/>
        </w:r>
        <w:r w:rsidR="0020495B" w:rsidRPr="006E10E7">
          <w:rPr>
            <w:rStyle w:val="Hyperlink"/>
            <w:noProof/>
          </w:rPr>
          <w:t>The General Assembly has expressly limited the PUCO’s subject matter jurisdiction to “retail” electric service.</w:t>
        </w:r>
        <w:r w:rsidR="0020495B">
          <w:rPr>
            <w:noProof/>
            <w:webHidden/>
          </w:rPr>
          <w:tab/>
        </w:r>
        <w:r w:rsidR="0020495B">
          <w:rPr>
            <w:noProof/>
            <w:webHidden/>
          </w:rPr>
          <w:fldChar w:fldCharType="begin"/>
        </w:r>
        <w:r w:rsidR="0020495B">
          <w:rPr>
            <w:noProof/>
            <w:webHidden/>
          </w:rPr>
          <w:instrText xml:space="preserve"> PAGEREF _Toc442104140 \h </w:instrText>
        </w:r>
        <w:r w:rsidR="0020495B">
          <w:rPr>
            <w:noProof/>
            <w:webHidden/>
          </w:rPr>
        </w:r>
        <w:r w:rsidR="0020495B">
          <w:rPr>
            <w:noProof/>
            <w:webHidden/>
          </w:rPr>
          <w:fldChar w:fldCharType="separate"/>
        </w:r>
        <w:r w:rsidR="007110F2">
          <w:rPr>
            <w:noProof/>
            <w:webHidden/>
          </w:rPr>
          <w:t>25</w:t>
        </w:r>
        <w:r w:rsidR="0020495B">
          <w:rPr>
            <w:noProof/>
            <w:webHidden/>
          </w:rPr>
          <w:fldChar w:fldCharType="end"/>
        </w:r>
      </w:hyperlink>
    </w:p>
    <w:p w:rsidR="0020495B" w:rsidRDefault="00AB6E95">
      <w:pPr>
        <w:pStyle w:val="TOC5"/>
        <w:tabs>
          <w:tab w:val="left" w:pos="3600"/>
        </w:tabs>
        <w:rPr>
          <w:rFonts w:asciiTheme="minorHAnsi" w:hAnsiTheme="minorHAnsi" w:cstheme="minorBidi"/>
          <w:noProof/>
          <w:sz w:val="22"/>
          <w:szCs w:val="22"/>
        </w:rPr>
      </w:pPr>
      <w:hyperlink w:anchor="_Toc442104141" w:history="1">
        <w:r w:rsidR="0020495B" w:rsidRPr="006E10E7">
          <w:rPr>
            <w:rStyle w:val="Hyperlink"/>
            <w:noProof/>
          </w:rPr>
          <w:t>ii.</w:t>
        </w:r>
        <w:r w:rsidR="0020495B">
          <w:rPr>
            <w:rFonts w:asciiTheme="minorHAnsi" w:hAnsiTheme="minorHAnsi" w:cstheme="minorBidi"/>
            <w:noProof/>
            <w:sz w:val="22"/>
            <w:szCs w:val="22"/>
          </w:rPr>
          <w:tab/>
        </w:r>
        <w:r w:rsidR="0020495B" w:rsidRPr="006E10E7">
          <w:rPr>
            <w:rStyle w:val="Hyperlink"/>
            <w:noProof/>
          </w:rPr>
          <w:t>The PUCO has jurisdiction over retail electric service; the PPA Rider is not for retail electric service.</w:t>
        </w:r>
        <w:r w:rsidR="0020495B">
          <w:rPr>
            <w:noProof/>
            <w:webHidden/>
          </w:rPr>
          <w:tab/>
        </w:r>
        <w:r w:rsidR="0020495B">
          <w:rPr>
            <w:noProof/>
            <w:webHidden/>
          </w:rPr>
          <w:fldChar w:fldCharType="begin"/>
        </w:r>
        <w:r w:rsidR="0020495B">
          <w:rPr>
            <w:noProof/>
            <w:webHidden/>
          </w:rPr>
          <w:instrText xml:space="preserve"> PAGEREF _Toc442104141 \h </w:instrText>
        </w:r>
        <w:r w:rsidR="0020495B">
          <w:rPr>
            <w:noProof/>
            <w:webHidden/>
          </w:rPr>
        </w:r>
        <w:r w:rsidR="0020495B">
          <w:rPr>
            <w:noProof/>
            <w:webHidden/>
          </w:rPr>
          <w:fldChar w:fldCharType="separate"/>
        </w:r>
        <w:r w:rsidR="007110F2">
          <w:rPr>
            <w:noProof/>
            <w:webHidden/>
          </w:rPr>
          <w:t>26</w:t>
        </w:r>
        <w:r w:rsidR="0020495B">
          <w:rPr>
            <w:noProof/>
            <w:webHidden/>
          </w:rPr>
          <w:fldChar w:fldCharType="end"/>
        </w:r>
      </w:hyperlink>
    </w:p>
    <w:p w:rsidR="0020495B" w:rsidRDefault="00AB6E95">
      <w:pPr>
        <w:pStyle w:val="TOC5"/>
        <w:tabs>
          <w:tab w:val="left" w:pos="3600"/>
        </w:tabs>
        <w:rPr>
          <w:rFonts w:asciiTheme="minorHAnsi" w:hAnsiTheme="minorHAnsi" w:cstheme="minorBidi"/>
          <w:noProof/>
          <w:sz w:val="22"/>
          <w:szCs w:val="22"/>
        </w:rPr>
      </w:pPr>
      <w:hyperlink w:anchor="_Toc442104142" w:history="1">
        <w:r w:rsidR="0020495B" w:rsidRPr="006E10E7">
          <w:rPr>
            <w:rStyle w:val="Hyperlink"/>
            <w:noProof/>
          </w:rPr>
          <w:t>iii.</w:t>
        </w:r>
        <w:r w:rsidR="0020495B">
          <w:rPr>
            <w:rFonts w:asciiTheme="minorHAnsi" w:hAnsiTheme="minorHAnsi" w:cstheme="minorBidi"/>
            <w:noProof/>
            <w:sz w:val="22"/>
            <w:szCs w:val="22"/>
          </w:rPr>
          <w:tab/>
        </w:r>
        <w:r w:rsidR="0020495B" w:rsidRPr="006E10E7">
          <w:rPr>
            <w:rStyle w:val="Hyperlink"/>
            <w:noProof/>
          </w:rPr>
          <w:t xml:space="preserve">Approving the PPA Rider proposal would involve the PUCO in supplementing the PJM wholesale auction clearing price and, thus, exceed its subject matter jurisdiction by functionally setting </w:t>
        </w:r>
        <w:r w:rsidR="0020495B">
          <w:rPr>
            <w:rStyle w:val="Hyperlink"/>
            <w:noProof/>
          </w:rPr>
          <w:br/>
        </w:r>
        <w:r w:rsidR="0020495B" w:rsidRPr="006E10E7">
          <w:rPr>
            <w:rStyle w:val="Hyperlink"/>
            <w:noProof/>
          </w:rPr>
          <w:t>wholesale prices to consumers.</w:t>
        </w:r>
        <w:r w:rsidR="0020495B">
          <w:rPr>
            <w:noProof/>
            <w:webHidden/>
          </w:rPr>
          <w:tab/>
        </w:r>
        <w:r w:rsidR="0020495B">
          <w:rPr>
            <w:noProof/>
            <w:webHidden/>
          </w:rPr>
          <w:fldChar w:fldCharType="begin"/>
        </w:r>
        <w:r w:rsidR="0020495B">
          <w:rPr>
            <w:noProof/>
            <w:webHidden/>
          </w:rPr>
          <w:instrText xml:space="preserve"> PAGEREF _Toc442104142 \h </w:instrText>
        </w:r>
        <w:r w:rsidR="0020495B">
          <w:rPr>
            <w:noProof/>
            <w:webHidden/>
          </w:rPr>
        </w:r>
        <w:r w:rsidR="0020495B">
          <w:rPr>
            <w:noProof/>
            <w:webHidden/>
          </w:rPr>
          <w:fldChar w:fldCharType="separate"/>
        </w:r>
        <w:r w:rsidR="007110F2">
          <w:rPr>
            <w:noProof/>
            <w:webHidden/>
          </w:rPr>
          <w:t>27</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143" w:history="1">
        <w:r w:rsidR="0020495B" w:rsidRPr="006E10E7">
          <w:rPr>
            <w:rStyle w:val="Hyperlink"/>
            <w:noProof/>
            <w:lang w:bidi="hi-IN"/>
          </w:rPr>
          <w:t>b.</w:t>
        </w:r>
        <w:r w:rsidR="0020495B">
          <w:rPr>
            <w:rFonts w:asciiTheme="minorHAnsi" w:hAnsiTheme="minorHAnsi"/>
            <w:noProof/>
            <w:sz w:val="22"/>
          </w:rPr>
          <w:tab/>
        </w:r>
        <w:r w:rsidR="0020495B" w:rsidRPr="006E10E7">
          <w:rPr>
            <w:rStyle w:val="Hyperlink"/>
            <w:noProof/>
            <w:lang w:bidi="hi-IN"/>
          </w:rPr>
          <w:t>The PUCO lacks jurisdiction to approve the PPA Rider because it would fundamentally change the competitive environment established by S.B. 3.</w:t>
        </w:r>
        <w:r w:rsidR="0020495B">
          <w:rPr>
            <w:noProof/>
            <w:webHidden/>
          </w:rPr>
          <w:tab/>
        </w:r>
        <w:r w:rsidR="0020495B">
          <w:rPr>
            <w:noProof/>
            <w:webHidden/>
          </w:rPr>
          <w:fldChar w:fldCharType="begin"/>
        </w:r>
        <w:r w:rsidR="0020495B">
          <w:rPr>
            <w:noProof/>
            <w:webHidden/>
          </w:rPr>
          <w:instrText xml:space="preserve"> PAGEREF _Toc442104143 \h </w:instrText>
        </w:r>
        <w:r w:rsidR="0020495B">
          <w:rPr>
            <w:noProof/>
            <w:webHidden/>
          </w:rPr>
        </w:r>
        <w:r w:rsidR="0020495B">
          <w:rPr>
            <w:noProof/>
            <w:webHidden/>
          </w:rPr>
          <w:fldChar w:fldCharType="separate"/>
        </w:r>
        <w:r w:rsidR="007110F2">
          <w:rPr>
            <w:noProof/>
            <w:webHidden/>
          </w:rPr>
          <w:t>28</w:t>
        </w:r>
        <w:r w:rsidR="0020495B">
          <w:rPr>
            <w:noProof/>
            <w:webHidden/>
          </w:rPr>
          <w:fldChar w:fldCharType="end"/>
        </w:r>
      </w:hyperlink>
    </w:p>
    <w:p w:rsidR="0020495B" w:rsidRDefault="00AB6E95">
      <w:pPr>
        <w:pStyle w:val="TOC2"/>
        <w:tabs>
          <w:tab w:val="left" w:pos="1440"/>
        </w:tabs>
        <w:rPr>
          <w:rFonts w:asciiTheme="minorHAnsi" w:hAnsiTheme="minorHAnsi" w:cstheme="minorBidi"/>
          <w:noProof/>
          <w:sz w:val="22"/>
          <w:szCs w:val="22"/>
        </w:rPr>
      </w:pPr>
      <w:hyperlink w:anchor="_Toc442104144" w:history="1">
        <w:r w:rsidR="0020495B" w:rsidRPr="006E10E7">
          <w:rPr>
            <w:rStyle w:val="Hyperlink"/>
            <w:noProof/>
          </w:rPr>
          <w:t>B.</w:t>
        </w:r>
        <w:r w:rsidR="0020495B">
          <w:rPr>
            <w:rFonts w:asciiTheme="minorHAnsi" w:hAnsiTheme="minorHAnsi" w:cstheme="minorBidi"/>
            <w:noProof/>
            <w:sz w:val="22"/>
            <w:szCs w:val="22"/>
          </w:rPr>
          <w:tab/>
        </w:r>
        <w:r w:rsidR="0020495B" w:rsidRPr="006E10E7">
          <w:rPr>
            <w:rStyle w:val="Hyperlink"/>
            <w:noProof/>
          </w:rPr>
          <w:t xml:space="preserve">The PUCO should protect consumers by rejecting the onerous terms of </w:t>
        </w:r>
        <w:r w:rsidR="0020495B">
          <w:rPr>
            <w:rStyle w:val="Hyperlink"/>
            <w:noProof/>
          </w:rPr>
          <w:br/>
        </w:r>
        <w:r w:rsidR="0020495B" w:rsidRPr="006E10E7">
          <w:rPr>
            <w:rStyle w:val="Hyperlink"/>
            <w:noProof/>
          </w:rPr>
          <w:t>the Joint Stipulation, based on evidence by the Consumers’ Counsel and others.</w:t>
        </w:r>
        <w:r w:rsidR="0020495B">
          <w:rPr>
            <w:noProof/>
            <w:webHidden/>
          </w:rPr>
          <w:tab/>
        </w:r>
        <w:r w:rsidR="0020495B">
          <w:rPr>
            <w:noProof/>
            <w:webHidden/>
          </w:rPr>
          <w:fldChar w:fldCharType="begin"/>
        </w:r>
        <w:r w:rsidR="0020495B">
          <w:rPr>
            <w:noProof/>
            <w:webHidden/>
          </w:rPr>
          <w:instrText xml:space="preserve"> PAGEREF _Toc442104144 \h </w:instrText>
        </w:r>
        <w:r w:rsidR="0020495B">
          <w:rPr>
            <w:noProof/>
            <w:webHidden/>
          </w:rPr>
        </w:r>
        <w:r w:rsidR="0020495B">
          <w:rPr>
            <w:noProof/>
            <w:webHidden/>
          </w:rPr>
          <w:fldChar w:fldCharType="separate"/>
        </w:r>
        <w:r w:rsidR="007110F2">
          <w:rPr>
            <w:noProof/>
            <w:webHidden/>
          </w:rPr>
          <w:t>30</w:t>
        </w:r>
        <w:r w:rsidR="0020495B">
          <w:rPr>
            <w:noProof/>
            <w:webHidden/>
          </w:rPr>
          <w:fldChar w:fldCharType="end"/>
        </w:r>
      </w:hyperlink>
    </w:p>
    <w:p w:rsidR="0020495B" w:rsidRDefault="00AB6E95">
      <w:pPr>
        <w:pStyle w:val="TOC3"/>
        <w:tabs>
          <w:tab w:val="left" w:pos="2160"/>
        </w:tabs>
        <w:rPr>
          <w:rFonts w:asciiTheme="minorHAnsi" w:hAnsiTheme="minorHAnsi"/>
          <w:noProof/>
          <w:sz w:val="22"/>
        </w:rPr>
      </w:pPr>
      <w:hyperlink w:anchor="_Toc442104145" w:history="1">
        <w:r w:rsidR="0020495B" w:rsidRPr="006E10E7">
          <w:rPr>
            <w:rStyle w:val="Hyperlink"/>
            <w:noProof/>
            <w:lang w:bidi="hi-IN"/>
          </w:rPr>
          <w:t>1.</w:t>
        </w:r>
        <w:r w:rsidR="0020495B">
          <w:rPr>
            <w:rFonts w:asciiTheme="minorHAnsi" w:hAnsiTheme="minorHAnsi"/>
            <w:noProof/>
            <w:sz w:val="22"/>
          </w:rPr>
          <w:tab/>
        </w:r>
        <w:r w:rsidR="0020495B" w:rsidRPr="006E10E7">
          <w:rPr>
            <w:rStyle w:val="Hyperlink"/>
            <w:noProof/>
            <w:lang w:bidi="hi-IN"/>
          </w:rPr>
          <w:t xml:space="preserve">The Joint Stipulation should be rejected in favor of protecting </w:t>
        </w:r>
        <w:r w:rsidR="0020495B">
          <w:rPr>
            <w:rStyle w:val="Hyperlink"/>
            <w:noProof/>
            <w:lang w:bidi="hi-IN"/>
          </w:rPr>
          <w:br/>
        </w:r>
        <w:r w:rsidR="0020495B" w:rsidRPr="006E10E7">
          <w:rPr>
            <w:rStyle w:val="Hyperlink"/>
            <w:noProof/>
            <w:lang w:bidi="hi-IN"/>
          </w:rPr>
          <w:t>Ohio consumers because AEP Ohio and the Signatory Parties failed to meet their burden of proof.</w:t>
        </w:r>
        <w:r w:rsidR="0020495B">
          <w:rPr>
            <w:noProof/>
            <w:webHidden/>
          </w:rPr>
          <w:tab/>
        </w:r>
        <w:r w:rsidR="0020495B">
          <w:rPr>
            <w:noProof/>
            <w:webHidden/>
          </w:rPr>
          <w:fldChar w:fldCharType="begin"/>
        </w:r>
        <w:r w:rsidR="0020495B">
          <w:rPr>
            <w:noProof/>
            <w:webHidden/>
          </w:rPr>
          <w:instrText xml:space="preserve"> PAGEREF _Toc442104145 \h </w:instrText>
        </w:r>
        <w:r w:rsidR="0020495B">
          <w:rPr>
            <w:noProof/>
            <w:webHidden/>
          </w:rPr>
        </w:r>
        <w:r w:rsidR="0020495B">
          <w:rPr>
            <w:noProof/>
            <w:webHidden/>
          </w:rPr>
          <w:fldChar w:fldCharType="separate"/>
        </w:r>
        <w:r w:rsidR="007110F2">
          <w:rPr>
            <w:noProof/>
            <w:webHidden/>
          </w:rPr>
          <w:t>30</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146" w:history="1">
        <w:r w:rsidR="0020495B" w:rsidRPr="006E10E7">
          <w:rPr>
            <w:rStyle w:val="Hyperlink"/>
            <w:noProof/>
            <w:lang w:bidi="hi-IN"/>
          </w:rPr>
          <w:t>a.</w:t>
        </w:r>
        <w:r w:rsidR="0020495B">
          <w:rPr>
            <w:rFonts w:asciiTheme="minorHAnsi" w:hAnsiTheme="minorHAnsi"/>
            <w:noProof/>
            <w:sz w:val="22"/>
          </w:rPr>
          <w:tab/>
        </w:r>
        <w:r w:rsidR="0020495B" w:rsidRPr="006E10E7">
          <w:rPr>
            <w:rStyle w:val="Hyperlink"/>
            <w:noProof/>
            <w:lang w:bidi="hi-IN"/>
          </w:rPr>
          <w:t>The Joint Stipulation cannot be adopted unless it, as a package, is in the public interest; but AEP Ohio did not prove that it meets the public interest.</w:t>
        </w:r>
        <w:r w:rsidR="0020495B">
          <w:rPr>
            <w:noProof/>
            <w:webHidden/>
          </w:rPr>
          <w:tab/>
        </w:r>
        <w:r w:rsidR="0020495B">
          <w:rPr>
            <w:noProof/>
            <w:webHidden/>
          </w:rPr>
          <w:fldChar w:fldCharType="begin"/>
        </w:r>
        <w:r w:rsidR="0020495B">
          <w:rPr>
            <w:noProof/>
            <w:webHidden/>
          </w:rPr>
          <w:instrText xml:space="preserve"> PAGEREF _Toc442104146 \h </w:instrText>
        </w:r>
        <w:r w:rsidR="0020495B">
          <w:rPr>
            <w:noProof/>
            <w:webHidden/>
          </w:rPr>
        </w:r>
        <w:r w:rsidR="0020495B">
          <w:rPr>
            <w:noProof/>
            <w:webHidden/>
          </w:rPr>
          <w:fldChar w:fldCharType="separate"/>
        </w:r>
        <w:r w:rsidR="007110F2">
          <w:rPr>
            <w:noProof/>
            <w:webHidden/>
          </w:rPr>
          <w:t>31</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147" w:history="1">
        <w:r w:rsidR="0020495B" w:rsidRPr="006E10E7">
          <w:rPr>
            <w:rStyle w:val="Hyperlink"/>
            <w:noProof/>
            <w:lang w:bidi="hi-IN"/>
          </w:rPr>
          <w:t>b.</w:t>
        </w:r>
        <w:r w:rsidR="0020495B">
          <w:rPr>
            <w:rFonts w:asciiTheme="minorHAnsi" w:hAnsiTheme="minorHAnsi"/>
            <w:noProof/>
            <w:sz w:val="22"/>
          </w:rPr>
          <w:tab/>
        </w:r>
        <w:r w:rsidR="0020495B" w:rsidRPr="006E10E7">
          <w:rPr>
            <w:rStyle w:val="Hyperlink"/>
            <w:noProof/>
            <w:lang w:bidi="hi-IN"/>
          </w:rPr>
          <w:t>Under the first and third prongs of the settlement test, the Joint Stipulation cannot be adopted unless it is the product of serious bargaining among knowledgeable, diverse parties and as a package is in the public interest; but the many unknowns mean that AEP Ohio did not meet its burden of proof.</w:t>
        </w:r>
        <w:r w:rsidR="0020495B">
          <w:rPr>
            <w:noProof/>
            <w:webHidden/>
          </w:rPr>
          <w:tab/>
        </w:r>
        <w:r w:rsidR="0020495B">
          <w:rPr>
            <w:noProof/>
            <w:webHidden/>
          </w:rPr>
          <w:fldChar w:fldCharType="begin"/>
        </w:r>
        <w:r w:rsidR="0020495B">
          <w:rPr>
            <w:noProof/>
            <w:webHidden/>
          </w:rPr>
          <w:instrText xml:space="preserve"> PAGEREF _Toc442104147 \h </w:instrText>
        </w:r>
        <w:r w:rsidR="0020495B">
          <w:rPr>
            <w:noProof/>
            <w:webHidden/>
          </w:rPr>
        </w:r>
        <w:r w:rsidR="0020495B">
          <w:rPr>
            <w:noProof/>
            <w:webHidden/>
          </w:rPr>
          <w:fldChar w:fldCharType="separate"/>
        </w:r>
        <w:r w:rsidR="007110F2">
          <w:rPr>
            <w:noProof/>
            <w:webHidden/>
          </w:rPr>
          <w:t>32</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148" w:history="1">
        <w:r w:rsidR="0020495B" w:rsidRPr="006E10E7">
          <w:rPr>
            <w:rStyle w:val="Hyperlink"/>
            <w:noProof/>
            <w:lang w:bidi="hi-IN"/>
          </w:rPr>
          <w:t>c.</w:t>
        </w:r>
        <w:r w:rsidR="0020495B">
          <w:rPr>
            <w:rFonts w:asciiTheme="minorHAnsi" w:hAnsiTheme="minorHAnsi"/>
            <w:noProof/>
            <w:sz w:val="22"/>
          </w:rPr>
          <w:tab/>
        </w:r>
        <w:r w:rsidR="0020495B" w:rsidRPr="006E10E7">
          <w:rPr>
            <w:rStyle w:val="Hyperlink"/>
            <w:noProof/>
            <w:lang w:bidi="hi-IN"/>
          </w:rPr>
          <w:t xml:space="preserve">Under the first and third prongs of the settlement test, the Joint Stipulation cannot be adopted unless it is the product of serious bargaining among knowledgeable, diverse parties and, as a package, be the in public interest; but </w:t>
        </w:r>
        <w:r w:rsidR="0020495B">
          <w:rPr>
            <w:rStyle w:val="Hyperlink"/>
            <w:noProof/>
            <w:lang w:bidi="hi-IN"/>
          </w:rPr>
          <w:br/>
        </w:r>
        <w:r w:rsidR="0020495B" w:rsidRPr="006E10E7">
          <w:rPr>
            <w:rStyle w:val="Hyperlink"/>
            <w:noProof/>
            <w:lang w:bidi="hi-IN"/>
          </w:rPr>
          <w:t>AEP Ohio failed its burden to prove it.</w:t>
        </w:r>
        <w:r w:rsidR="0020495B">
          <w:rPr>
            <w:noProof/>
            <w:webHidden/>
          </w:rPr>
          <w:tab/>
        </w:r>
        <w:r w:rsidR="0020495B">
          <w:rPr>
            <w:noProof/>
            <w:webHidden/>
          </w:rPr>
          <w:fldChar w:fldCharType="begin"/>
        </w:r>
        <w:r w:rsidR="0020495B">
          <w:rPr>
            <w:noProof/>
            <w:webHidden/>
          </w:rPr>
          <w:instrText xml:space="preserve"> PAGEREF _Toc442104148 \h </w:instrText>
        </w:r>
        <w:r w:rsidR="0020495B">
          <w:rPr>
            <w:noProof/>
            <w:webHidden/>
          </w:rPr>
        </w:r>
        <w:r w:rsidR="0020495B">
          <w:rPr>
            <w:noProof/>
            <w:webHidden/>
          </w:rPr>
          <w:fldChar w:fldCharType="separate"/>
        </w:r>
        <w:r w:rsidR="007110F2">
          <w:rPr>
            <w:noProof/>
            <w:webHidden/>
          </w:rPr>
          <w:t>37</w:t>
        </w:r>
        <w:r w:rsidR="0020495B">
          <w:rPr>
            <w:noProof/>
            <w:webHidden/>
          </w:rPr>
          <w:fldChar w:fldCharType="end"/>
        </w:r>
      </w:hyperlink>
    </w:p>
    <w:p w:rsidR="0020495B" w:rsidRDefault="0020495B">
      <w:pPr>
        <w:rPr>
          <w:rStyle w:val="Hyperlink"/>
          <w:rFonts w:ascii="Times New Roman" w:hAnsi="Times New Roman"/>
          <w:noProof/>
          <w:sz w:val="24"/>
        </w:rPr>
      </w:pPr>
      <w:r>
        <w:rPr>
          <w:rStyle w:val="Hyperlink"/>
          <w:noProof/>
        </w:rPr>
        <w:br w:type="page"/>
      </w:r>
    </w:p>
    <w:p w:rsidR="0020495B" w:rsidRDefault="00AB6E95">
      <w:pPr>
        <w:pStyle w:val="TOC4"/>
        <w:tabs>
          <w:tab w:val="left" w:pos="2880"/>
        </w:tabs>
        <w:rPr>
          <w:rFonts w:asciiTheme="minorHAnsi" w:hAnsiTheme="minorHAnsi"/>
          <w:noProof/>
          <w:sz w:val="22"/>
        </w:rPr>
      </w:pPr>
      <w:hyperlink w:anchor="_Toc442104149" w:history="1">
        <w:r w:rsidR="0020495B" w:rsidRPr="006E10E7">
          <w:rPr>
            <w:rStyle w:val="Hyperlink"/>
            <w:noProof/>
            <w:lang w:bidi="hi-IN"/>
          </w:rPr>
          <w:t>d.</w:t>
        </w:r>
        <w:r w:rsidR="0020495B">
          <w:rPr>
            <w:rFonts w:asciiTheme="minorHAnsi" w:hAnsiTheme="minorHAnsi"/>
            <w:noProof/>
            <w:sz w:val="22"/>
          </w:rPr>
          <w:tab/>
        </w:r>
        <w:r w:rsidR="0020495B" w:rsidRPr="006E10E7">
          <w:rPr>
            <w:rStyle w:val="Hyperlink"/>
            <w:noProof/>
            <w:lang w:bidi="hi-IN"/>
          </w:rPr>
          <w:t xml:space="preserve">Under the second prong of the settlement test, the Joint Stipulation cannot be adopted unless there is no violation of regulatory principles; the settlement fails the test because there are terms that would violate regulatory </w:t>
        </w:r>
        <w:r w:rsidR="0020495B">
          <w:rPr>
            <w:rStyle w:val="Hyperlink"/>
            <w:noProof/>
            <w:lang w:bidi="hi-IN"/>
          </w:rPr>
          <w:br/>
        </w:r>
        <w:r w:rsidR="0020495B" w:rsidRPr="006E10E7">
          <w:rPr>
            <w:rStyle w:val="Hyperlink"/>
            <w:noProof/>
            <w:lang w:bidi="hi-IN"/>
          </w:rPr>
          <w:t>principles.</w:t>
        </w:r>
        <w:r w:rsidR="0020495B">
          <w:rPr>
            <w:noProof/>
            <w:webHidden/>
          </w:rPr>
          <w:tab/>
        </w:r>
        <w:r w:rsidR="0020495B">
          <w:rPr>
            <w:noProof/>
            <w:webHidden/>
          </w:rPr>
          <w:fldChar w:fldCharType="begin"/>
        </w:r>
        <w:r w:rsidR="0020495B">
          <w:rPr>
            <w:noProof/>
            <w:webHidden/>
          </w:rPr>
          <w:instrText xml:space="preserve"> PAGEREF _Toc442104149 \h </w:instrText>
        </w:r>
        <w:r w:rsidR="0020495B">
          <w:rPr>
            <w:noProof/>
            <w:webHidden/>
          </w:rPr>
        </w:r>
        <w:r w:rsidR="0020495B">
          <w:rPr>
            <w:noProof/>
            <w:webHidden/>
          </w:rPr>
          <w:fldChar w:fldCharType="separate"/>
        </w:r>
        <w:r w:rsidR="007110F2">
          <w:rPr>
            <w:noProof/>
            <w:webHidden/>
          </w:rPr>
          <w:t>42</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150" w:history="1">
        <w:r w:rsidR="0020495B" w:rsidRPr="006E10E7">
          <w:rPr>
            <w:rStyle w:val="Hyperlink"/>
            <w:noProof/>
            <w:lang w:bidi="hi-IN"/>
          </w:rPr>
          <w:t>e.</w:t>
        </w:r>
        <w:r w:rsidR="0020495B">
          <w:rPr>
            <w:rFonts w:asciiTheme="minorHAnsi" w:hAnsiTheme="minorHAnsi"/>
            <w:noProof/>
            <w:sz w:val="22"/>
          </w:rPr>
          <w:tab/>
        </w:r>
        <w:r w:rsidR="0020495B" w:rsidRPr="006E10E7">
          <w:rPr>
            <w:rStyle w:val="Hyperlink"/>
            <w:noProof/>
            <w:lang w:bidi="hi-IN"/>
          </w:rPr>
          <w:t xml:space="preserve">Under the third prong of the settlement test, the Joint Stipulation cannot be adopted unless it, as a package, benefits consumers and is in the public interest; the settlement fails the test because AEP Ohio did not prove </w:t>
        </w:r>
        <w:r w:rsidR="0020495B">
          <w:rPr>
            <w:rStyle w:val="Hyperlink"/>
            <w:noProof/>
            <w:lang w:bidi="hi-IN"/>
          </w:rPr>
          <w:br/>
        </w:r>
        <w:r w:rsidR="0020495B" w:rsidRPr="006E10E7">
          <w:rPr>
            <w:rStyle w:val="Hyperlink"/>
            <w:noProof/>
            <w:lang w:bidi="hi-IN"/>
          </w:rPr>
          <w:t>it.</w:t>
        </w:r>
        <w:r w:rsidR="0020495B">
          <w:rPr>
            <w:noProof/>
            <w:webHidden/>
          </w:rPr>
          <w:tab/>
        </w:r>
        <w:r w:rsidR="0020495B">
          <w:rPr>
            <w:noProof/>
            <w:webHidden/>
          </w:rPr>
          <w:fldChar w:fldCharType="begin"/>
        </w:r>
        <w:r w:rsidR="0020495B">
          <w:rPr>
            <w:noProof/>
            <w:webHidden/>
          </w:rPr>
          <w:instrText xml:space="preserve"> PAGEREF _Toc442104150 \h </w:instrText>
        </w:r>
        <w:r w:rsidR="0020495B">
          <w:rPr>
            <w:noProof/>
            <w:webHidden/>
          </w:rPr>
        </w:r>
        <w:r w:rsidR="0020495B">
          <w:rPr>
            <w:noProof/>
            <w:webHidden/>
          </w:rPr>
          <w:fldChar w:fldCharType="separate"/>
        </w:r>
        <w:r w:rsidR="007110F2">
          <w:rPr>
            <w:noProof/>
            <w:webHidden/>
          </w:rPr>
          <w:t>43</w:t>
        </w:r>
        <w:r w:rsidR="0020495B">
          <w:rPr>
            <w:noProof/>
            <w:webHidden/>
          </w:rPr>
          <w:fldChar w:fldCharType="end"/>
        </w:r>
      </w:hyperlink>
    </w:p>
    <w:p w:rsidR="0020495B" w:rsidRDefault="00AB6E95">
      <w:pPr>
        <w:pStyle w:val="TOC3"/>
        <w:tabs>
          <w:tab w:val="left" w:pos="2160"/>
        </w:tabs>
        <w:rPr>
          <w:rFonts w:asciiTheme="minorHAnsi" w:hAnsiTheme="minorHAnsi"/>
          <w:noProof/>
          <w:sz w:val="22"/>
        </w:rPr>
      </w:pPr>
      <w:hyperlink w:anchor="_Toc442104151" w:history="1">
        <w:r w:rsidR="0020495B" w:rsidRPr="006E10E7">
          <w:rPr>
            <w:rStyle w:val="Hyperlink"/>
            <w:noProof/>
            <w:lang w:bidi="hi-IN"/>
          </w:rPr>
          <w:t>2.</w:t>
        </w:r>
        <w:r w:rsidR="0020495B">
          <w:rPr>
            <w:rFonts w:asciiTheme="minorHAnsi" w:hAnsiTheme="minorHAnsi"/>
            <w:noProof/>
            <w:sz w:val="22"/>
          </w:rPr>
          <w:tab/>
        </w:r>
        <w:r w:rsidR="0020495B" w:rsidRPr="006E10E7">
          <w:rPr>
            <w:rStyle w:val="Hyperlink"/>
            <w:noProof/>
            <w:lang w:bidi="hi-IN"/>
          </w:rPr>
          <w:t>Testimony on behalf of OCC justifies rejecting the Joint Stipulation.</w:t>
        </w:r>
        <w:r w:rsidR="0020495B">
          <w:rPr>
            <w:noProof/>
            <w:webHidden/>
          </w:rPr>
          <w:tab/>
        </w:r>
        <w:r w:rsidR="0020495B">
          <w:rPr>
            <w:noProof/>
            <w:webHidden/>
          </w:rPr>
          <w:fldChar w:fldCharType="begin"/>
        </w:r>
        <w:r w:rsidR="0020495B">
          <w:rPr>
            <w:noProof/>
            <w:webHidden/>
          </w:rPr>
          <w:instrText xml:space="preserve"> PAGEREF _Toc442104151 \h </w:instrText>
        </w:r>
        <w:r w:rsidR="0020495B">
          <w:rPr>
            <w:noProof/>
            <w:webHidden/>
          </w:rPr>
        </w:r>
        <w:r w:rsidR="0020495B">
          <w:rPr>
            <w:noProof/>
            <w:webHidden/>
          </w:rPr>
          <w:fldChar w:fldCharType="separate"/>
        </w:r>
        <w:r w:rsidR="007110F2">
          <w:rPr>
            <w:noProof/>
            <w:webHidden/>
          </w:rPr>
          <w:t>45</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152" w:history="1">
        <w:r w:rsidR="0020495B" w:rsidRPr="006E10E7">
          <w:rPr>
            <w:rStyle w:val="Hyperlink"/>
            <w:noProof/>
            <w:lang w:bidi="hi-IN"/>
          </w:rPr>
          <w:t>a.</w:t>
        </w:r>
        <w:r w:rsidR="0020495B">
          <w:rPr>
            <w:rFonts w:asciiTheme="minorHAnsi" w:hAnsiTheme="minorHAnsi"/>
            <w:noProof/>
            <w:sz w:val="22"/>
          </w:rPr>
          <w:tab/>
        </w:r>
        <w:r w:rsidR="0020495B" w:rsidRPr="006E10E7">
          <w:rPr>
            <w:rStyle w:val="Hyperlink"/>
            <w:noProof/>
            <w:lang w:bidi="hi-IN"/>
          </w:rPr>
          <w:t>The Joint Stipulation is a bad deal for consumers, and should be rejected under all three prongs of the PUCO’s test, based on OCC’s and others’ testimony.</w:t>
        </w:r>
        <w:r w:rsidR="0020495B">
          <w:rPr>
            <w:noProof/>
            <w:webHidden/>
          </w:rPr>
          <w:tab/>
        </w:r>
        <w:r w:rsidR="0020495B">
          <w:rPr>
            <w:noProof/>
            <w:webHidden/>
          </w:rPr>
          <w:fldChar w:fldCharType="begin"/>
        </w:r>
        <w:r w:rsidR="0020495B">
          <w:rPr>
            <w:noProof/>
            <w:webHidden/>
          </w:rPr>
          <w:instrText xml:space="preserve"> PAGEREF _Toc442104152 \h </w:instrText>
        </w:r>
        <w:r w:rsidR="0020495B">
          <w:rPr>
            <w:noProof/>
            <w:webHidden/>
          </w:rPr>
        </w:r>
        <w:r w:rsidR="0020495B">
          <w:rPr>
            <w:noProof/>
            <w:webHidden/>
          </w:rPr>
          <w:fldChar w:fldCharType="separate"/>
        </w:r>
        <w:r w:rsidR="007110F2">
          <w:rPr>
            <w:noProof/>
            <w:webHidden/>
          </w:rPr>
          <w:t>45</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153" w:history="1">
        <w:r w:rsidR="0020495B" w:rsidRPr="006E10E7">
          <w:rPr>
            <w:rStyle w:val="Hyperlink"/>
            <w:noProof/>
            <w:lang w:bidi="hi-IN"/>
          </w:rPr>
          <w:t>b.</w:t>
        </w:r>
        <w:r w:rsidR="0020495B">
          <w:rPr>
            <w:rFonts w:asciiTheme="minorHAnsi" w:hAnsiTheme="minorHAnsi"/>
            <w:noProof/>
            <w:sz w:val="22"/>
          </w:rPr>
          <w:tab/>
        </w:r>
        <w:r w:rsidR="0020495B" w:rsidRPr="006E10E7">
          <w:rPr>
            <w:rStyle w:val="Hyperlink"/>
            <w:noProof/>
            <w:lang w:bidi="hi-IN"/>
          </w:rPr>
          <w:t>Under the first and third prongs of the settlement test, the Joint Stipulation cannot be adopted unless it is the product of serious bargaining among knowledgeable, diverse parties and as a package is in the public interest; it fails</w:t>
        </w:r>
        <w:r w:rsidR="0020495B">
          <w:rPr>
            <w:rStyle w:val="Hyperlink"/>
            <w:noProof/>
            <w:lang w:bidi="hi-IN"/>
          </w:rPr>
          <w:br/>
        </w:r>
        <w:r w:rsidR="0020495B" w:rsidRPr="006E10E7">
          <w:rPr>
            <w:rStyle w:val="Hyperlink"/>
            <w:noProof/>
            <w:lang w:bidi="hi-IN"/>
          </w:rPr>
          <w:t xml:space="preserve"> the test.</w:t>
        </w:r>
        <w:r w:rsidR="0020495B">
          <w:rPr>
            <w:noProof/>
            <w:webHidden/>
          </w:rPr>
          <w:tab/>
        </w:r>
        <w:r w:rsidR="0020495B">
          <w:rPr>
            <w:noProof/>
            <w:webHidden/>
          </w:rPr>
          <w:fldChar w:fldCharType="begin"/>
        </w:r>
        <w:r w:rsidR="0020495B">
          <w:rPr>
            <w:noProof/>
            <w:webHidden/>
          </w:rPr>
          <w:instrText xml:space="preserve"> PAGEREF _Toc442104153 \h </w:instrText>
        </w:r>
        <w:r w:rsidR="0020495B">
          <w:rPr>
            <w:noProof/>
            <w:webHidden/>
          </w:rPr>
        </w:r>
        <w:r w:rsidR="0020495B">
          <w:rPr>
            <w:noProof/>
            <w:webHidden/>
          </w:rPr>
          <w:fldChar w:fldCharType="separate"/>
        </w:r>
        <w:r w:rsidR="007110F2">
          <w:rPr>
            <w:noProof/>
            <w:webHidden/>
          </w:rPr>
          <w:t>47</w:t>
        </w:r>
        <w:r w:rsidR="0020495B">
          <w:rPr>
            <w:noProof/>
            <w:webHidden/>
          </w:rPr>
          <w:fldChar w:fldCharType="end"/>
        </w:r>
      </w:hyperlink>
    </w:p>
    <w:p w:rsidR="0020495B" w:rsidRDefault="00AB6E95">
      <w:pPr>
        <w:pStyle w:val="TOC5"/>
        <w:tabs>
          <w:tab w:val="left" w:pos="3600"/>
        </w:tabs>
        <w:rPr>
          <w:rFonts w:asciiTheme="minorHAnsi" w:hAnsiTheme="minorHAnsi" w:cstheme="minorBidi"/>
          <w:noProof/>
          <w:sz w:val="22"/>
          <w:szCs w:val="22"/>
        </w:rPr>
      </w:pPr>
      <w:hyperlink w:anchor="_Toc442104154" w:history="1">
        <w:r w:rsidR="0020495B" w:rsidRPr="006E10E7">
          <w:rPr>
            <w:rStyle w:val="Hyperlink"/>
            <w:noProof/>
          </w:rPr>
          <w:t>i.</w:t>
        </w:r>
        <w:r w:rsidR="0020495B">
          <w:rPr>
            <w:rFonts w:asciiTheme="minorHAnsi" w:hAnsiTheme="minorHAnsi" w:cstheme="minorBidi"/>
            <w:noProof/>
            <w:sz w:val="22"/>
            <w:szCs w:val="22"/>
          </w:rPr>
          <w:tab/>
        </w:r>
        <w:r w:rsidR="0020495B" w:rsidRPr="006E10E7">
          <w:rPr>
            <w:rStyle w:val="Hyperlink"/>
            <w:noProof/>
          </w:rPr>
          <w:t>The settlement’s proposed conversion of coal-fired generation to natural gas lacks important details pertaining to costs to consumers.</w:t>
        </w:r>
        <w:r w:rsidR="0020495B">
          <w:rPr>
            <w:noProof/>
            <w:webHidden/>
          </w:rPr>
          <w:tab/>
        </w:r>
        <w:r w:rsidR="0020495B">
          <w:rPr>
            <w:noProof/>
            <w:webHidden/>
          </w:rPr>
          <w:fldChar w:fldCharType="begin"/>
        </w:r>
        <w:r w:rsidR="0020495B">
          <w:rPr>
            <w:noProof/>
            <w:webHidden/>
          </w:rPr>
          <w:instrText xml:space="preserve"> PAGEREF _Toc442104154 \h </w:instrText>
        </w:r>
        <w:r w:rsidR="0020495B">
          <w:rPr>
            <w:noProof/>
            <w:webHidden/>
          </w:rPr>
        </w:r>
        <w:r w:rsidR="0020495B">
          <w:rPr>
            <w:noProof/>
            <w:webHidden/>
          </w:rPr>
          <w:fldChar w:fldCharType="separate"/>
        </w:r>
        <w:r w:rsidR="007110F2">
          <w:rPr>
            <w:noProof/>
            <w:webHidden/>
          </w:rPr>
          <w:t>47</w:t>
        </w:r>
        <w:r w:rsidR="0020495B">
          <w:rPr>
            <w:noProof/>
            <w:webHidden/>
          </w:rPr>
          <w:fldChar w:fldCharType="end"/>
        </w:r>
      </w:hyperlink>
    </w:p>
    <w:p w:rsidR="0020495B" w:rsidRDefault="00AB6E95">
      <w:pPr>
        <w:pStyle w:val="TOC5"/>
        <w:tabs>
          <w:tab w:val="left" w:pos="3600"/>
        </w:tabs>
        <w:rPr>
          <w:rFonts w:asciiTheme="minorHAnsi" w:hAnsiTheme="minorHAnsi" w:cstheme="minorBidi"/>
          <w:noProof/>
          <w:sz w:val="22"/>
          <w:szCs w:val="22"/>
        </w:rPr>
      </w:pPr>
      <w:hyperlink w:anchor="_Toc442104155" w:history="1">
        <w:r w:rsidR="0020495B" w:rsidRPr="006E10E7">
          <w:rPr>
            <w:rStyle w:val="Hyperlink"/>
            <w:noProof/>
          </w:rPr>
          <w:t>ii.</w:t>
        </w:r>
        <w:r w:rsidR="0020495B">
          <w:rPr>
            <w:rFonts w:asciiTheme="minorHAnsi" w:hAnsiTheme="minorHAnsi" w:cstheme="minorBidi"/>
            <w:noProof/>
            <w:sz w:val="22"/>
            <w:szCs w:val="22"/>
          </w:rPr>
          <w:tab/>
        </w:r>
        <w:r w:rsidR="0020495B" w:rsidRPr="006E10E7">
          <w:rPr>
            <w:rStyle w:val="Hyperlink"/>
            <w:noProof/>
          </w:rPr>
          <w:t>Marketers IGS and Direct Energy have negotiated an artificial increase to what consumers pay for AEP Ohio’s standard offer; that is bad.</w:t>
        </w:r>
        <w:r w:rsidR="0020495B">
          <w:rPr>
            <w:noProof/>
            <w:webHidden/>
          </w:rPr>
          <w:tab/>
        </w:r>
        <w:r w:rsidR="0020495B">
          <w:rPr>
            <w:noProof/>
            <w:webHidden/>
          </w:rPr>
          <w:fldChar w:fldCharType="begin"/>
        </w:r>
        <w:r w:rsidR="0020495B">
          <w:rPr>
            <w:noProof/>
            <w:webHidden/>
          </w:rPr>
          <w:instrText xml:space="preserve"> PAGEREF _Toc442104155 \h </w:instrText>
        </w:r>
        <w:r w:rsidR="0020495B">
          <w:rPr>
            <w:noProof/>
            <w:webHidden/>
          </w:rPr>
        </w:r>
        <w:r w:rsidR="0020495B">
          <w:rPr>
            <w:noProof/>
            <w:webHidden/>
          </w:rPr>
          <w:fldChar w:fldCharType="separate"/>
        </w:r>
        <w:r w:rsidR="007110F2">
          <w:rPr>
            <w:noProof/>
            <w:webHidden/>
          </w:rPr>
          <w:t>48</w:t>
        </w:r>
        <w:r w:rsidR="0020495B">
          <w:rPr>
            <w:noProof/>
            <w:webHidden/>
          </w:rPr>
          <w:fldChar w:fldCharType="end"/>
        </w:r>
      </w:hyperlink>
    </w:p>
    <w:p w:rsidR="0020495B" w:rsidRDefault="00AB6E95">
      <w:pPr>
        <w:pStyle w:val="TOC5"/>
        <w:tabs>
          <w:tab w:val="left" w:pos="3600"/>
        </w:tabs>
        <w:rPr>
          <w:rFonts w:asciiTheme="minorHAnsi" w:hAnsiTheme="minorHAnsi" w:cstheme="minorBidi"/>
          <w:noProof/>
          <w:sz w:val="22"/>
          <w:szCs w:val="22"/>
        </w:rPr>
      </w:pPr>
      <w:hyperlink w:anchor="_Toc442104156" w:history="1">
        <w:r w:rsidR="0020495B" w:rsidRPr="006E10E7">
          <w:rPr>
            <w:rStyle w:val="Hyperlink"/>
            <w:noProof/>
          </w:rPr>
          <w:t>iii.</w:t>
        </w:r>
        <w:r w:rsidR="0020495B">
          <w:rPr>
            <w:rFonts w:asciiTheme="minorHAnsi" w:hAnsiTheme="minorHAnsi" w:cstheme="minorBidi"/>
            <w:noProof/>
            <w:sz w:val="22"/>
            <w:szCs w:val="22"/>
          </w:rPr>
          <w:tab/>
        </w:r>
        <w:r w:rsidR="0020495B" w:rsidRPr="006E10E7">
          <w:rPr>
            <w:rStyle w:val="Hyperlink"/>
            <w:noProof/>
          </w:rPr>
          <w:t>Cash or cash equivalents were provided to certain Signatory Parties to induce their signature on the Joint Stipulation – with other people (consumers) paying for much of it; the settlement thus fails the third prong of the test.</w:t>
        </w:r>
        <w:r w:rsidR="0020495B">
          <w:rPr>
            <w:noProof/>
            <w:webHidden/>
          </w:rPr>
          <w:tab/>
        </w:r>
        <w:r w:rsidR="0020495B">
          <w:rPr>
            <w:noProof/>
            <w:webHidden/>
          </w:rPr>
          <w:fldChar w:fldCharType="begin"/>
        </w:r>
        <w:r w:rsidR="0020495B">
          <w:rPr>
            <w:noProof/>
            <w:webHidden/>
          </w:rPr>
          <w:instrText xml:space="preserve"> PAGEREF _Toc442104156 \h </w:instrText>
        </w:r>
        <w:r w:rsidR="0020495B">
          <w:rPr>
            <w:noProof/>
            <w:webHidden/>
          </w:rPr>
        </w:r>
        <w:r w:rsidR="0020495B">
          <w:rPr>
            <w:noProof/>
            <w:webHidden/>
          </w:rPr>
          <w:fldChar w:fldCharType="separate"/>
        </w:r>
        <w:r w:rsidR="007110F2">
          <w:rPr>
            <w:noProof/>
            <w:webHidden/>
          </w:rPr>
          <w:t>51</w:t>
        </w:r>
        <w:r w:rsidR="0020495B">
          <w:rPr>
            <w:noProof/>
            <w:webHidden/>
          </w:rPr>
          <w:fldChar w:fldCharType="end"/>
        </w:r>
      </w:hyperlink>
    </w:p>
    <w:p w:rsidR="0020495B" w:rsidRDefault="00AB6E95">
      <w:pPr>
        <w:pStyle w:val="TOC5"/>
        <w:tabs>
          <w:tab w:val="left" w:pos="3600"/>
        </w:tabs>
        <w:rPr>
          <w:rFonts w:asciiTheme="minorHAnsi" w:hAnsiTheme="minorHAnsi" w:cstheme="minorBidi"/>
          <w:noProof/>
          <w:sz w:val="22"/>
          <w:szCs w:val="22"/>
        </w:rPr>
      </w:pPr>
      <w:hyperlink w:anchor="_Toc442104157" w:history="1">
        <w:r w:rsidR="0020495B" w:rsidRPr="006E10E7">
          <w:rPr>
            <w:rStyle w:val="Hyperlink"/>
            <w:noProof/>
          </w:rPr>
          <w:t>iv.</w:t>
        </w:r>
        <w:r w:rsidR="0020495B">
          <w:rPr>
            <w:rFonts w:asciiTheme="minorHAnsi" w:hAnsiTheme="minorHAnsi" w:cstheme="minorBidi"/>
            <w:noProof/>
            <w:sz w:val="22"/>
            <w:szCs w:val="22"/>
          </w:rPr>
          <w:tab/>
        </w:r>
        <w:r w:rsidR="0020495B" w:rsidRPr="006E10E7">
          <w:rPr>
            <w:rStyle w:val="Hyperlink"/>
            <w:noProof/>
          </w:rPr>
          <w:t>The settlement term for 900 mw of wind and solar renewable generation resources will undoubtedly come at a hefty price for consumers; that is unfortunate.</w:t>
        </w:r>
        <w:r w:rsidR="0020495B">
          <w:rPr>
            <w:noProof/>
            <w:webHidden/>
          </w:rPr>
          <w:tab/>
        </w:r>
        <w:r w:rsidR="0020495B">
          <w:rPr>
            <w:noProof/>
            <w:webHidden/>
          </w:rPr>
          <w:fldChar w:fldCharType="begin"/>
        </w:r>
        <w:r w:rsidR="0020495B">
          <w:rPr>
            <w:noProof/>
            <w:webHidden/>
          </w:rPr>
          <w:instrText xml:space="preserve"> PAGEREF _Toc442104157 \h </w:instrText>
        </w:r>
        <w:r w:rsidR="0020495B">
          <w:rPr>
            <w:noProof/>
            <w:webHidden/>
          </w:rPr>
        </w:r>
        <w:r w:rsidR="0020495B">
          <w:rPr>
            <w:noProof/>
            <w:webHidden/>
          </w:rPr>
          <w:fldChar w:fldCharType="separate"/>
        </w:r>
        <w:r w:rsidR="007110F2">
          <w:rPr>
            <w:noProof/>
            <w:webHidden/>
          </w:rPr>
          <w:t>52</w:t>
        </w:r>
        <w:r w:rsidR="0020495B">
          <w:rPr>
            <w:noProof/>
            <w:webHidden/>
          </w:rPr>
          <w:fldChar w:fldCharType="end"/>
        </w:r>
      </w:hyperlink>
    </w:p>
    <w:p w:rsidR="0020495B" w:rsidRDefault="00AB6E95">
      <w:pPr>
        <w:pStyle w:val="TOC5"/>
        <w:tabs>
          <w:tab w:val="left" w:pos="3600"/>
        </w:tabs>
        <w:rPr>
          <w:rFonts w:asciiTheme="minorHAnsi" w:hAnsiTheme="minorHAnsi" w:cstheme="minorBidi"/>
          <w:noProof/>
          <w:sz w:val="22"/>
          <w:szCs w:val="22"/>
        </w:rPr>
      </w:pPr>
      <w:hyperlink w:anchor="_Toc442104158" w:history="1">
        <w:r w:rsidR="0020495B" w:rsidRPr="006E10E7">
          <w:rPr>
            <w:rStyle w:val="Hyperlink"/>
            <w:noProof/>
          </w:rPr>
          <w:t>v.</w:t>
        </w:r>
        <w:r w:rsidR="0020495B">
          <w:rPr>
            <w:rFonts w:asciiTheme="minorHAnsi" w:hAnsiTheme="minorHAnsi" w:cstheme="minorBidi"/>
            <w:noProof/>
            <w:sz w:val="22"/>
            <w:szCs w:val="22"/>
          </w:rPr>
          <w:tab/>
        </w:r>
        <w:r w:rsidR="0020495B" w:rsidRPr="006E10E7">
          <w:rPr>
            <w:rStyle w:val="Hyperlink"/>
            <w:noProof/>
          </w:rPr>
          <w:t>The Joint Stipulation fails the first prong of the settlement test because it is inherently uncertain.</w:t>
        </w:r>
        <w:r w:rsidR="0020495B">
          <w:rPr>
            <w:noProof/>
            <w:webHidden/>
          </w:rPr>
          <w:tab/>
        </w:r>
        <w:r w:rsidR="0020495B">
          <w:rPr>
            <w:noProof/>
            <w:webHidden/>
          </w:rPr>
          <w:fldChar w:fldCharType="begin"/>
        </w:r>
        <w:r w:rsidR="0020495B">
          <w:rPr>
            <w:noProof/>
            <w:webHidden/>
          </w:rPr>
          <w:instrText xml:space="preserve"> PAGEREF _Toc442104158 \h </w:instrText>
        </w:r>
        <w:r w:rsidR="0020495B">
          <w:rPr>
            <w:noProof/>
            <w:webHidden/>
          </w:rPr>
        </w:r>
        <w:r w:rsidR="0020495B">
          <w:rPr>
            <w:noProof/>
            <w:webHidden/>
          </w:rPr>
          <w:fldChar w:fldCharType="separate"/>
        </w:r>
        <w:r w:rsidR="007110F2">
          <w:rPr>
            <w:noProof/>
            <w:webHidden/>
          </w:rPr>
          <w:t>53</w:t>
        </w:r>
        <w:r w:rsidR="0020495B">
          <w:rPr>
            <w:noProof/>
            <w:webHidden/>
          </w:rPr>
          <w:fldChar w:fldCharType="end"/>
        </w:r>
      </w:hyperlink>
    </w:p>
    <w:p w:rsidR="0020495B" w:rsidRDefault="00AB6E95">
      <w:pPr>
        <w:pStyle w:val="TOC5"/>
        <w:tabs>
          <w:tab w:val="left" w:pos="3600"/>
        </w:tabs>
        <w:rPr>
          <w:rFonts w:asciiTheme="minorHAnsi" w:hAnsiTheme="minorHAnsi" w:cstheme="minorBidi"/>
          <w:noProof/>
          <w:sz w:val="22"/>
          <w:szCs w:val="22"/>
        </w:rPr>
      </w:pPr>
      <w:hyperlink w:anchor="_Toc442104159" w:history="1">
        <w:r w:rsidR="0020495B" w:rsidRPr="006E10E7">
          <w:rPr>
            <w:rStyle w:val="Hyperlink"/>
            <w:noProof/>
          </w:rPr>
          <w:t>vi.</w:t>
        </w:r>
        <w:r w:rsidR="0020495B">
          <w:rPr>
            <w:rFonts w:asciiTheme="minorHAnsi" w:hAnsiTheme="minorHAnsi" w:cstheme="minorBidi"/>
            <w:noProof/>
            <w:sz w:val="22"/>
            <w:szCs w:val="22"/>
          </w:rPr>
          <w:tab/>
        </w:r>
        <w:r w:rsidR="0020495B" w:rsidRPr="006E10E7">
          <w:rPr>
            <w:rStyle w:val="Hyperlink"/>
            <w:noProof/>
          </w:rPr>
          <w:t>The Joint Stipulation fails the settlement test because it runs counter to the intention of deregulation.</w:t>
        </w:r>
        <w:r w:rsidR="0020495B">
          <w:rPr>
            <w:noProof/>
            <w:webHidden/>
          </w:rPr>
          <w:tab/>
        </w:r>
        <w:r w:rsidR="0020495B">
          <w:rPr>
            <w:noProof/>
            <w:webHidden/>
          </w:rPr>
          <w:fldChar w:fldCharType="begin"/>
        </w:r>
        <w:r w:rsidR="0020495B">
          <w:rPr>
            <w:noProof/>
            <w:webHidden/>
          </w:rPr>
          <w:instrText xml:space="preserve"> PAGEREF _Toc442104159 \h </w:instrText>
        </w:r>
        <w:r w:rsidR="0020495B">
          <w:rPr>
            <w:noProof/>
            <w:webHidden/>
          </w:rPr>
        </w:r>
        <w:r w:rsidR="0020495B">
          <w:rPr>
            <w:noProof/>
            <w:webHidden/>
          </w:rPr>
          <w:fldChar w:fldCharType="separate"/>
        </w:r>
        <w:r w:rsidR="007110F2">
          <w:rPr>
            <w:noProof/>
            <w:webHidden/>
          </w:rPr>
          <w:t>54</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160" w:history="1">
        <w:r w:rsidR="0020495B" w:rsidRPr="006E10E7">
          <w:rPr>
            <w:rStyle w:val="Hyperlink"/>
            <w:noProof/>
            <w:lang w:bidi="hi-IN"/>
          </w:rPr>
          <w:t>c.</w:t>
        </w:r>
        <w:r w:rsidR="0020495B">
          <w:rPr>
            <w:rFonts w:asciiTheme="minorHAnsi" w:hAnsiTheme="minorHAnsi"/>
            <w:noProof/>
            <w:sz w:val="22"/>
          </w:rPr>
          <w:tab/>
        </w:r>
        <w:r w:rsidR="0020495B" w:rsidRPr="006E10E7">
          <w:rPr>
            <w:rStyle w:val="Hyperlink"/>
            <w:noProof/>
            <w:lang w:bidi="hi-IN"/>
          </w:rPr>
          <w:t xml:space="preserve">The Joint Stipulation should not be considered as a </w:t>
        </w:r>
        <w:r w:rsidR="0020495B">
          <w:rPr>
            <w:rStyle w:val="Hyperlink"/>
            <w:noProof/>
            <w:lang w:bidi="hi-IN"/>
          </w:rPr>
          <w:br/>
        </w:r>
        <w:r w:rsidR="0020495B" w:rsidRPr="006E10E7">
          <w:rPr>
            <w:rStyle w:val="Hyperlink"/>
            <w:noProof/>
            <w:lang w:bidi="hi-IN"/>
          </w:rPr>
          <w:t>package under the PUCO’s three-prong standard for considering settlements.</w:t>
        </w:r>
        <w:r w:rsidR="0020495B">
          <w:rPr>
            <w:noProof/>
            <w:webHidden/>
          </w:rPr>
          <w:tab/>
        </w:r>
        <w:r w:rsidR="0020495B">
          <w:rPr>
            <w:noProof/>
            <w:webHidden/>
          </w:rPr>
          <w:fldChar w:fldCharType="begin"/>
        </w:r>
        <w:r w:rsidR="0020495B">
          <w:rPr>
            <w:noProof/>
            <w:webHidden/>
          </w:rPr>
          <w:instrText xml:space="preserve"> PAGEREF _Toc442104160 \h </w:instrText>
        </w:r>
        <w:r w:rsidR="0020495B">
          <w:rPr>
            <w:noProof/>
            <w:webHidden/>
          </w:rPr>
        </w:r>
        <w:r w:rsidR="0020495B">
          <w:rPr>
            <w:noProof/>
            <w:webHidden/>
          </w:rPr>
          <w:fldChar w:fldCharType="separate"/>
        </w:r>
        <w:r w:rsidR="007110F2">
          <w:rPr>
            <w:noProof/>
            <w:webHidden/>
          </w:rPr>
          <w:t>55</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161" w:history="1">
        <w:r w:rsidR="0020495B" w:rsidRPr="006E10E7">
          <w:rPr>
            <w:rStyle w:val="Hyperlink"/>
            <w:noProof/>
            <w:lang w:bidi="hi-IN"/>
          </w:rPr>
          <w:t>d.</w:t>
        </w:r>
        <w:r w:rsidR="0020495B">
          <w:rPr>
            <w:rFonts w:asciiTheme="minorHAnsi" w:hAnsiTheme="minorHAnsi"/>
            <w:noProof/>
            <w:sz w:val="22"/>
          </w:rPr>
          <w:tab/>
        </w:r>
        <w:r w:rsidR="0020495B" w:rsidRPr="006E10E7">
          <w:rPr>
            <w:rStyle w:val="Hyperlink"/>
            <w:noProof/>
            <w:lang w:bidi="hi-IN"/>
          </w:rPr>
          <w:t>The Joint Stipulation is too costly and, thus, it is not, as a package, in the public interest; OCC’s and others’ testimony demonstrates that it hurts consumers.</w:t>
        </w:r>
        <w:r w:rsidR="0020495B">
          <w:rPr>
            <w:noProof/>
            <w:webHidden/>
          </w:rPr>
          <w:tab/>
        </w:r>
        <w:r w:rsidR="0020495B">
          <w:rPr>
            <w:noProof/>
            <w:webHidden/>
          </w:rPr>
          <w:fldChar w:fldCharType="begin"/>
        </w:r>
        <w:r w:rsidR="0020495B">
          <w:rPr>
            <w:noProof/>
            <w:webHidden/>
          </w:rPr>
          <w:instrText xml:space="preserve"> PAGEREF _Toc442104161 \h </w:instrText>
        </w:r>
        <w:r w:rsidR="0020495B">
          <w:rPr>
            <w:noProof/>
            <w:webHidden/>
          </w:rPr>
        </w:r>
        <w:r w:rsidR="0020495B">
          <w:rPr>
            <w:noProof/>
            <w:webHidden/>
          </w:rPr>
          <w:fldChar w:fldCharType="separate"/>
        </w:r>
        <w:r w:rsidR="007110F2">
          <w:rPr>
            <w:noProof/>
            <w:webHidden/>
          </w:rPr>
          <w:t>55</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162" w:history="1">
        <w:r w:rsidR="0020495B" w:rsidRPr="006E10E7">
          <w:rPr>
            <w:rStyle w:val="Hyperlink"/>
            <w:noProof/>
            <w:lang w:bidi="hi-IN"/>
          </w:rPr>
          <w:t>e.</w:t>
        </w:r>
        <w:r w:rsidR="0020495B">
          <w:rPr>
            <w:rFonts w:asciiTheme="minorHAnsi" w:hAnsiTheme="minorHAnsi"/>
            <w:noProof/>
            <w:sz w:val="22"/>
          </w:rPr>
          <w:tab/>
        </w:r>
        <w:r w:rsidR="0020495B" w:rsidRPr="006E10E7">
          <w:rPr>
            <w:rStyle w:val="Hyperlink"/>
            <w:noProof/>
            <w:lang w:bidi="hi-IN"/>
          </w:rPr>
          <w:t xml:space="preserve">The Joint Stipulation fails the three-prong test, is a compilation of signature inducements to Signatory </w:t>
        </w:r>
        <w:r w:rsidR="0020495B">
          <w:rPr>
            <w:rStyle w:val="Hyperlink"/>
            <w:noProof/>
            <w:lang w:bidi="hi-IN"/>
          </w:rPr>
          <w:br/>
        </w:r>
        <w:r w:rsidR="0020495B" w:rsidRPr="006E10E7">
          <w:rPr>
            <w:rStyle w:val="Hyperlink"/>
            <w:noProof/>
            <w:lang w:bidi="hi-IN"/>
          </w:rPr>
          <w:t xml:space="preserve">Parties, and fails the MRO v. ESP test – all to </w:t>
        </w:r>
        <w:r w:rsidR="0020495B">
          <w:rPr>
            <w:rStyle w:val="Hyperlink"/>
            <w:noProof/>
            <w:lang w:bidi="hi-IN"/>
          </w:rPr>
          <w:br/>
        </w:r>
        <w:r w:rsidR="0020495B" w:rsidRPr="006E10E7">
          <w:rPr>
            <w:rStyle w:val="Hyperlink"/>
            <w:noProof/>
            <w:lang w:bidi="hi-IN"/>
          </w:rPr>
          <w:t>consumers’ detriment.</w:t>
        </w:r>
        <w:r w:rsidR="0020495B">
          <w:rPr>
            <w:noProof/>
            <w:webHidden/>
          </w:rPr>
          <w:tab/>
        </w:r>
        <w:r w:rsidR="0020495B">
          <w:rPr>
            <w:noProof/>
            <w:webHidden/>
          </w:rPr>
          <w:fldChar w:fldCharType="begin"/>
        </w:r>
        <w:r w:rsidR="0020495B">
          <w:rPr>
            <w:noProof/>
            <w:webHidden/>
          </w:rPr>
          <w:instrText xml:space="preserve"> PAGEREF _Toc442104162 \h </w:instrText>
        </w:r>
        <w:r w:rsidR="0020495B">
          <w:rPr>
            <w:noProof/>
            <w:webHidden/>
          </w:rPr>
        </w:r>
        <w:r w:rsidR="0020495B">
          <w:rPr>
            <w:noProof/>
            <w:webHidden/>
          </w:rPr>
          <w:fldChar w:fldCharType="separate"/>
        </w:r>
        <w:r w:rsidR="007110F2">
          <w:rPr>
            <w:noProof/>
            <w:webHidden/>
          </w:rPr>
          <w:t>59</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163" w:history="1">
        <w:r w:rsidR="0020495B" w:rsidRPr="006E10E7">
          <w:rPr>
            <w:rStyle w:val="Hyperlink"/>
            <w:noProof/>
            <w:lang w:bidi="hi-IN"/>
          </w:rPr>
          <w:t>f.</w:t>
        </w:r>
        <w:r w:rsidR="0020495B">
          <w:rPr>
            <w:rFonts w:asciiTheme="minorHAnsi" w:hAnsiTheme="minorHAnsi"/>
            <w:noProof/>
            <w:sz w:val="22"/>
          </w:rPr>
          <w:tab/>
        </w:r>
        <w:r w:rsidR="0020495B" w:rsidRPr="006E10E7">
          <w:rPr>
            <w:rStyle w:val="Hyperlink"/>
            <w:noProof/>
            <w:lang w:bidi="hi-IN"/>
          </w:rPr>
          <w:t xml:space="preserve">The Joint Stipulation’s rate design violates important regulatory principles, harms consumers with </w:t>
        </w:r>
        <w:r w:rsidR="0020495B">
          <w:rPr>
            <w:rStyle w:val="Hyperlink"/>
            <w:noProof/>
            <w:lang w:bidi="hi-IN"/>
          </w:rPr>
          <w:br/>
        </w:r>
        <w:r w:rsidR="0020495B" w:rsidRPr="006E10E7">
          <w:rPr>
            <w:rStyle w:val="Hyperlink"/>
            <w:noProof/>
            <w:lang w:bidi="hi-IN"/>
          </w:rPr>
          <w:t>unreasonable prices, and thus fails the settlement test as OCC’s evidence shows.</w:t>
        </w:r>
        <w:r w:rsidR="0020495B">
          <w:rPr>
            <w:noProof/>
            <w:webHidden/>
          </w:rPr>
          <w:tab/>
        </w:r>
        <w:r w:rsidR="0020495B">
          <w:rPr>
            <w:noProof/>
            <w:webHidden/>
          </w:rPr>
          <w:fldChar w:fldCharType="begin"/>
        </w:r>
        <w:r w:rsidR="0020495B">
          <w:rPr>
            <w:noProof/>
            <w:webHidden/>
          </w:rPr>
          <w:instrText xml:space="preserve"> PAGEREF _Toc442104163 \h </w:instrText>
        </w:r>
        <w:r w:rsidR="0020495B">
          <w:rPr>
            <w:noProof/>
            <w:webHidden/>
          </w:rPr>
        </w:r>
        <w:r w:rsidR="0020495B">
          <w:rPr>
            <w:noProof/>
            <w:webHidden/>
          </w:rPr>
          <w:fldChar w:fldCharType="separate"/>
        </w:r>
        <w:r w:rsidR="007110F2">
          <w:rPr>
            <w:noProof/>
            <w:webHidden/>
          </w:rPr>
          <w:t>68</w:t>
        </w:r>
        <w:r w:rsidR="0020495B">
          <w:rPr>
            <w:noProof/>
            <w:webHidden/>
          </w:rPr>
          <w:fldChar w:fldCharType="end"/>
        </w:r>
      </w:hyperlink>
    </w:p>
    <w:p w:rsidR="0020495B" w:rsidRDefault="00AB6E95">
      <w:pPr>
        <w:pStyle w:val="TOC2"/>
        <w:tabs>
          <w:tab w:val="left" w:pos="1440"/>
        </w:tabs>
        <w:rPr>
          <w:rFonts w:asciiTheme="minorHAnsi" w:hAnsiTheme="minorHAnsi" w:cstheme="minorBidi"/>
          <w:noProof/>
          <w:sz w:val="22"/>
          <w:szCs w:val="22"/>
        </w:rPr>
      </w:pPr>
      <w:hyperlink w:anchor="_Toc442104164" w:history="1">
        <w:r w:rsidR="0020495B" w:rsidRPr="006E10E7">
          <w:rPr>
            <w:rStyle w:val="Hyperlink"/>
            <w:noProof/>
          </w:rPr>
          <w:t>C.</w:t>
        </w:r>
        <w:r w:rsidR="0020495B">
          <w:rPr>
            <w:rFonts w:asciiTheme="minorHAnsi" w:hAnsiTheme="minorHAnsi" w:cstheme="minorBidi"/>
            <w:noProof/>
            <w:sz w:val="22"/>
            <w:szCs w:val="22"/>
          </w:rPr>
          <w:tab/>
        </w:r>
        <w:r w:rsidR="0020495B" w:rsidRPr="006E10E7">
          <w:rPr>
            <w:rStyle w:val="Hyperlink"/>
            <w:noProof/>
          </w:rPr>
          <w:t xml:space="preserve">AEP Ohio’s Amended Application/Modified Amended Application </w:t>
        </w:r>
        <w:r w:rsidR="0020495B">
          <w:rPr>
            <w:rStyle w:val="Hyperlink"/>
            <w:noProof/>
          </w:rPr>
          <w:br/>
        </w:r>
        <w:r w:rsidR="0020495B" w:rsidRPr="006E10E7">
          <w:rPr>
            <w:rStyle w:val="Hyperlink"/>
            <w:noProof/>
          </w:rPr>
          <w:t>would harm consumers and should be rejected based on the record evidence from AEP Ohio’s own case.</w:t>
        </w:r>
        <w:r w:rsidR="0020495B">
          <w:rPr>
            <w:noProof/>
            <w:webHidden/>
          </w:rPr>
          <w:tab/>
        </w:r>
        <w:r w:rsidR="0020495B">
          <w:rPr>
            <w:noProof/>
            <w:webHidden/>
          </w:rPr>
          <w:fldChar w:fldCharType="begin"/>
        </w:r>
        <w:r w:rsidR="0020495B">
          <w:rPr>
            <w:noProof/>
            <w:webHidden/>
          </w:rPr>
          <w:instrText xml:space="preserve"> PAGEREF _Toc442104164 \h </w:instrText>
        </w:r>
        <w:r w:rsidR="0020495B">
          <w:rPr>
            <w:noProof/>
            <w:webHidden/>
          </w:rPr>
        </w:r>
        <w:r w:rsidR="0020495B">
          <w:rPr>
            <w:noProof/>
            <w:webHidden/>
          </w:rPr>
          <w:fldChar w:fldCharType="separate"/>
        </w:r>
        <w:r w:rsidR="007110F2">
          <w:rPr>
            <w:noProof/>
            <w:webHidden/>
          </w:rPr>
          <w:t>69</w:t>
        </w:r>
        <w:r w:rsidR="0020495B">
          <w:rPr>
            <w:noProof/>
            <w:webHidden/>
          </w:rPr>
          <w:fldChar w:fldCharType="end"/>
        </w:r>
      </w:hyperlink>
    </w:p>
    <w:p w:rsidR="0020495B" w:rsidRDefault="00AB6E95">
      <w:pPr>
        <w:pStyle w:val="TOC3"/>
        <w:tabs>
          <w:tab w:val="left" w:pos="2160"/>
        </w:tabs>
        <w:rPr>
          <w:rFonts w:asciiTheme="minorHAnsi" w:hAnsiTheme="minorHAnsi"/>
          <w:noProof/>
          <w:sz w:val="22"/>
        </w:rPr>
      </w:pPr>
      <w:hyperlink w:anchor="_Toc442104165" w:history="1">
        <w:r w:rsidR="0020495B" w:rsidRPr="006E10E7">
          <w:rPr>
            <w:rStyle w:val="Hyperlink"/>
            <w:rFonts w:eastAsiaTheme="majorEastAsia"/>
            <w:noProof/>
            <w:lang w:bidi="hi-IN"/>
          </w:rPr>
          <w:t>1.</w:t>
        </w:r>
        <w:r w:rsidR="0020495B">
          <w:rPr>
            <w:rFonts w:asciiTheme="minorHAnsi" w:hAnsiTheme="minorHAnsi"/>
            <w:noProof/>
            <w:sz w:val="22"/>
          </w:rPr>
          <w:tab/>
        </w:r>
        <w:r w:rsidR="0020495B" w:rsidRPr="006E10E7">
          <w:rPr>
            <w:rStyle w:val="Hyperlink"/>
            <w:rFonts w:eastAsiaTheme="majorEastAsia"/>
            <w:bCs/>
            <w:noProof/>
            <w:lang w:bidi="hi-IN"/>
          </w:rPr>
          <w:t xml:space="preserve">AEP Ohio seeks corporate welfare from Ohioans, without </w:t>
        </w:r>
        <w:r w:rsidR="0020495B">
          <w:rPr>
            <w:rStyle w:val="Hyperlink"/>
            <w:rFonts w:eastAsiaTheme="majorEastAsia"/>
            <w:bCs/>
            <w:noProof/>
            <w:lang w:bidi="hi-IN"/>
          </w:rPr>
          <w:br/>
        </w:r>
        <w:r w:rsidR="0020495B" w:rsidRPr="006E10E7">
          <w:rPr>
            <w:rStyle w:val="Hyperlink"/>
            <w:rFonts w:eastAsiaTheme="majorEastAsia"/>
            <w:bCs/>
            <w:noProof/>
            <w:lang w:bidi="hi-IN"/>
          </w:rPr>
          <w:t>proving financial distress.</w:t>
        </w:r>
        <w:r w:rsidR="0020495B">
          <w:rPr>
            <w:noProof/>
            <w:webHidden/>
          </w:rPr>
          <w:tab/>
        </w:r>
        <w:r w:rsidR="0020495B">
          <w:rPr>
            <w:noProof/>
            <w:webHidden/>
          </w:rPr>
          <w:fldChar w:fldCharType="begin"/>
        </w:r>
        <w:r w:rsidR="0020495B">
          <w:rPr>
            <w:noProof/>
            <w:webHidden/>
          </w:rPr>
          <w:instrText xml:space="preserve"> PAGEREF _Toc442104165 \h </w:instrText>
        </w:r>
        <w:r w:rsidR="0020495B">
          <w:rPr>
            <w:noProof/>
            <w:webHidden/>
          </w:rPr>
        </w:r>
        <w:r w:rsidR="0020495B">
          <w:rPr>
            <w:noProof/>
            <w:webHidden/>
          </w:rPr>
          <w:fldChar w:fldCharType="separate"/>
        </w:r>
        <w:r w:rsidR="007110F2">
          <w:rPr>
            <w:noProof/>
            <w:webHidden/>
          </w:rPr>
          <w:t>70</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166" w:history="1">
        <w:r w:rsidR="0020495B" w:rsidRPr="006E10E7">
          <w:rPr>
            <w:rStyle w:val="Hyperlink"/>
            <w:noProof/>
            <w:lang w:bidi="hi-IN"/>
          </w:rPr>
          <w:t>a.</w:t>
        </w:r>
        <w:r w:rsidR="0020495B">
          <w:rPr>
            <w:rFonts w:asciiTheme="minorHAnsi" w:hAnsiTheme="minorHAnsi"/>
            <w:noProof/>
            <w:sz w:val="22"/>
          </w:rPr>
          <w:tab/>
        </w:r>
        <w:r w:rsidR="0020495B" w:rsidRPr="006E10E7">
          <w:rPr>
            <w:rStyle w:val="Hyperlink"/>
            <w:noProof/>
            <w:lang w:bidi="hi-IN"/>
          </w:rPr>
          <w:t xml:space="preserve">AEP’s assets are increasing substantially in value, and </w:t>
        </w:r>
        <w:r w:rsidR="0020495B">
          <w:rPr>
            <w:rStyle w:val="Hyperlink"/>
            <w:noProof/>
            <w:lang w:bidi="hi-IN"/>
          </w:rPr>
          <w:br/>
        </w:r>
        <w:r w:rsidR="0020495B" w:rsidRPr="006E10E7">
          <w:rPr>
            <w:rStyle w:val="Hyperlink"/>
            <w:noProof/>
            <w:lang w:bidi="hi-IN"/>
          </w:rPr>
          <w:t>the PPA Units are positioned to compete.</w:t>
        </w:r>
        <w:r w:rsidR="0020495B">
          <w:rPr>
            <w:noProof/>
            <w:webHidden/>
          </w:rPr>
          <w:tab/>
        </w:r>
        <w:r w:rsidR="0020495B">
          <w:rPr>
            <w:noProof/>
            <w:webHidden/>
          </w:rPr>
          <w:fldChar w:fldCharType="begin"/>
        </w:r>
        <w:r w:rsidR="0020495B">
          <w:rPr>
            <w:noProof/>
            <w:webHidden/>
          </w:rPr>
          <w:instrText xml:space="preserve"> PAGEREF _Toc442104166 \h </w:instrText>
        </w:r>
        <w:r w:rsidR="0020495B">
          <w:rPr>
            <w:noProof/>
            <w:webHidden/>
          </w:rPr>
        </w:r>
        <w:r w:rsidR="0020495B">
          <w:rPr>
            <w:noProof/>
            <w:webHidden/>
          </w:rPr>
          <w:fldChar w:fldCharType="separate"/>
        </w:r>
        <w:r w:rsidR="007110F2">
          <w:rPr>
            <w:noProof/>
            <w:webHidden/>
          </w:rPr>
          <w:t>71</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167" w:history="1">
        <w:r w:rsidR="0020495B" w:rsidRPr="006E10E7">
          <w:rPr>
            <w:rStyle w:val="Hyperlink"/>
            <w:noProof/>
            <w:lang w:bidi="hi-IN"/>
          </w:rPr>
          <w:t>b.</w:t>
        </w:r>
        <w:r w:rsidR="0020495B">
          <w:rPr>
            <w:rFonts w:asciiTheme="minorHAnsi" w:hAnsiTheme="minorHAnsi"/>
            <w:noProof/>
            <w:sz w:val="22"/>
          </w:rPr>
          <w:tab/>
        </w:r>
        <w:r w:rsidR="0020495B" w:rsidRPr="006E10E7">
          <w:rPr>
            <w:rStyle w:val="Hyperlink"/>
            <w:noProof/>
            <w:lang w:bidi="hi-IN"/>
          </w:rPr>
          <w:t>AEP Ohio’s finances are such that it does not need a customer-funded bailout provided by the PPA Rider.</w:t>
        </w:r>
        <w:r w:rsidR="0020495B">
          <w:rPr>
            <w:noProof/>
            <w:webHidden/>
          </w:rPr>
          <w:tab/>
        </w:r>
        <w:r w:rsidR="0020495B">
          <w:rPr>
            <w:noProof/>
            <w:webHidden/>
          </w:rPr>
          <w:fldChar w:fldCharType="begin"/>
        </w:r>
        <w:r w:rsidR="0020495B">
          <w:rPr>
            <w:noProof/>
            <w:webHidden/>
          </w:rPr>
          <w:instrText xml:space="preserve"> PAGEREF _Toc442104167 \h </w:instrText>
        </w:r>
        <w:r w:rsidR="0020495B">
          <w:rPr>
            <w:noProof/>
            <w:webHidden/>
          </w:rPr>
        </w:r>
        <w:r w:rsidR="0020495B">
          <w:rPr>
            <w:noProof/>
            <w:webHidden/>
          </w:rPr>
          <w:fldChar w:fldCharType="separate"/>
        </w:r>
        <w:r w:rsidR="007110F2">
          <w:rPr>
            <w:noProof/>
            <w:webHidden/>
          </w:rPr>
          <w:t>72</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168" w:history="1">
        <w:r w:rsidR="0020495B" w:rsidRPr="006E10E7">
          <w:rPr>
            <w:rStyle w:val="Hyperlink"/>
            <w:noProof/>
            <w:lang w:bidi="hi-IN"/>
          </w:rPr>
          <w:t>c.</w:t>
        </w:r>
        <w:r w:rsidR="0020495B">
          <w:rPr>
            <w:rFonts w:asciiTheme="minorHAnsi" w:hAnsiTheme="minorHAnsi"/>
            <w:noProof/>
            <w:sz w:val="22"/>
          </w:rPr>
          <w:tab/>
        </w:r>
        <w:r w:rsidR="0020495B" w:rsidRPr="006E10E7">
          <w:rPr>
            <w:rStyle w:val="Hyperlink"/>
            <w:noProof/>
            <w:lang w:bidi="hi-IN"/>
          </w:rPr>
          <w:t>A subsidy from consumers is not necessary to profitably operate the PPA Units.</w:t>
        </w:r>
        <w:r w:rsidR="0020495B">
          <w:rPr>
            <w:noProof/>
            <w:webHidden/>
          </w:rPr>
          <w:tab/>
        </w:r>
        <w:r w:rsidR="0020495B">
          <w:rPr>
            <w:noProof/>
            <w:webHidden/>
          </w:rPr>
          <w:fldChar w:fldCharType="begin"/>
        </w:r>
        <w:r w:rsidR="0020495B">
          <w:rPr>
            <w:noProof/>
            <w:webHidden/>
          </w:rPr>
          <w:instrText xml:space="preserve"> PAGEREF _Toc442104168 \h </w:instrText>
        </w:r>
        <w:r w:rsidR="0020495B">
          <w:rPr>
            <w:noProof/>
            <w:webHidden/>
          </w:rPr>
        </w:r>
        <w:r w:rsidR="0020495B">
          <w:rPr>
            <w:noProof/>
            <w:webHidden/>
          </w:rPr>
          <w:fldChar w:fldCharType="separate"/>
        </w:r>
        <w:r w:rsidR="007110F2">
          <w:rPr>
            <w:noProof/>
            <w:webHidden/>
          </w:rPr>
          <w:t>73</w:t>
        </w:r>
        <w:r w:rsidR="0020495B">
          <w:rPr>
            <w:noProof/>
            <w:webHidden/>
          </w:rPr>
          <w:fldChar w:fldCharType="end"/>
        </w:r>
      </w:hyperlink>
    </w:p>
    <w:p w:rsidR="0020495B" w:rsidRDefault="00AB6E95">
      <w:pPr>
        <w:pStyle w:val="TOC3"/>
        <w:tabs>
          <w:tab w:val="left" w:pos="2160"/>
        </w:tabs>
        <w:rPr>
          <w:rFonts w:asciiTheme="minorHAnsi" w:hAnsiTheme="minorHAnsi"/>
          <w:noProof/>
          <w:sz w:val="22"/>
        </w:rPr>
      </w:pPr>
      <w:hyperlink w:anchor="_Toc442104169" w:history="1">
        <w:r w:rsidR="0020495B" w:rsidRPr="006E10E7">
          <w:rPr>
            <w:rStyle w:val="Hyperlink"/>
            <w:noProof/>
            <w:lang w:bidi="hi-IN"/>
          </w:rPr>
          <w:t>2.</w:t>
        </w:r>
        <w:r w:rsidR="0020495B">
          <w:rPr>
            <w:rFonts w:asciiTheme="minorHAnsi" w:hAnsiTheme="minorHAnsi"/>
            <w:noProof/>
            <w:sz w:val="22"/>
          </w:rPr>
          <w:tab/>
        </w:r>
        <w:r w:rsidR="0020495B" w:rsidRPr="006E10E7">
          <w:rPr>
            <w:rStyle w:val="Hyperlink"/>
            <w:noProof/>
            <w:lang w:bidi="hi-IN"/>
          </w:rPr>
          <w:t>PJM, not the PUCO, is responsible for electric generation reliability.</w:t>
        </w:r>
        <w:r w:rsidR="0020495B">
          <w:rPr>
            <w:noProof/>
            <w:webHidden/>
          </w:rPr>
          <w:tab/>
        </w:r>
        <w:r w:rsidR="0020495B">
          <w:rPr>
            <w:noProof/>
            <w:webHidden/>
          </w:rPr>
          <w:fldChar w:fldCharType="begin"/>
        </w:r>
        <w:r w:rsidR="0020495B">
          <w:rPr>
            <w:noProof/>
            <w:webHidden/>
          </w:rPr>
          <w:instrText xml:space="preserve"> PAGEREF _Toc442104169 \h </w:instrText>
        </w:r>
        <w:r w:rsidR="0020495B">
          <w:rPr>
            <w:noProof/>
            <w:webHidden/>
          </w:rPr>
        </w:r>
        <w:r w:rsidR="0020495B">
          <w:rPr>
            <w:noProof/>
            <w:webHidden/>
          </w:rPr>
          <w:fldChar w:fldCharType="separate"/>
        </w:r>
        <w:r w:rsidR="007110F2">
          <w:rPr>
            <w:noProof/>
            <w:webHidden/>
          </w:rPr>
          <w:t>76</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170" w:history="1">
        <w:r w:rsidR="0020495B" w:rsidRPr="006E10E7">
          <w:rPr>
            <w:rStyle w:val="Hyperlink"/>
            <w:noProof/>
            <w:lang w:bidi="hi-IN"/>
          </w:rPr>
          <w:t>a.</w:t>
        </w:r>
        <w:r w:rsidR="0020495B">
          <w:rPr>
            <w:rFonts w:asciiTheme="minorHAnsi" w:hAnsiTheme="minorHAnsi"/>
            <w:noProof/>
            <w:sz w:val="22"/>
          </w:rPr>
          <w:tab/>
        </w:r>
        <w:r w:rsidR="0020495B" w:rsidRPr="006E10E7">
          <w:rPr>
            <w:rStyle w:val="Hyperlink"/>
            <w:noProof/>
            <w:lang w:bidi="hi-IN"/>
          </w:rPr>
          <w:t xml:space="preserve">PJM is ensuring resource adequacy for the protection of Ohio and other electric consumers, despite what appears </w:t>
        </w:r>
        <w:r w:rsidR="0020495B">
          <w:rPr>
            <w:rStyle w:val="Hyperlink"/>
            <w:noProof/>
            <w:lang w:bidi="hi-IN"/>
          </w:rPr>
          <w:br/>
        </w:r>
        <w:r w:rsidR="0020495B" w:rsidRPr="006E10E7">
          <w:rPr>
            <w:rStyle w:val="Hyperlink"/>
            <w:noProof/>
            <w:lang w:bidi="hi-IN"/>
          </w:rPr>
          <w:t>to be AEP Ohio messaging otherwise.</w:t>
        </w:r>
        <w:r w:rsidR="0020495B">
          <w:rPr>
            <w:noProof/>
            <w:webHidden/>
          </w:rPr>
          <w:tab/>
        </w:r>
        <w:r w:rsidR="0020495B">
          <w:rPr>
            <w:noProof/>
            <w:webHidden/>
          </w:rPr>
          <w:fldChar w:fldCharType="begin"/>
        </w:r>
        <w:r w:rsidR="0020495B">
          <w:rPr>
            <w:noProof/>
            <w:webHidden/>
          </w:rPr>
          <w:instrText xml:space="preserve"> PAGEREF _Toc442104170 \h </w:instrText>
        </w:r>
        <w:r w:rsidR="0020495B">
          <w:rPr>
            <w:noProof/>
            <w:webHidden/>
          </w:rPr>
        </w:r>
        <w:r w:rsidR="0020495B">
          <w:rPr>
            <w:noProof/>
            <w:webHidden/>
          </w:rPr>
          <w:fldChar w:fldCharType="separate"/>
        </w:r>
        <w:r w:rsidR="007110F2">
          <w:rPr>
            <w:noProof/>
            <w:webHidden/>
          </w:rPr>
          <w:t>76</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171" w:history="1">
        <w:r w:rsidR="0020495B" w:rsidRPr="006E10E7">
          <w:rPr>
            <w:rStyle w:val="Hyperlink"/>
            <w:noProof/>
            <w:lang w:bidi="hi-IN"/>
          </w:rPr>
          <w:t>b.</w:t>
        </w:r>
        <w:r w:rsidR="0020495B">
          <w:rPr>
            <w:rFonts w:asciiTheme="minorHAnsi" w:hAnsiTheme="minorHAnsi"/>
            <w:noProof/>
            <w:sz w:val="22"/>
          </w:rPr>
          <w:tab/>
        </w:r>
        <w:r w:rsidR="0020495B" w:rsidRPr="006E10E7">
          <w:rPr>
            <w:rStyle w:val="Hyperlink"/>
            <w:noProof/>
            <w:lang w:bidi="hi-IN"/>
          </w:rPr>
          <w:t xml:space="preserve">Part of AEP’s messaging seems to be that the PPA Units are needed by Ohioans and might close without a PPA.  </w:t>
        </w:r>
        <w:r w:rsidR="0020495B">
          <w:rPr>
            <w:rStyle w:val="Hyperlink"/>
            <w:noProof/>
            <w:lang w:bidi="hi-IN"/>
          </w:rPr>
          <w:br/>
        </w:r>
        <w:r w:rsidR="0020495B" w:rsidRPr="006E10E7">
          <w:rPr>
            <w:rStyle w:val="Hyperlink"/>
            <w:noProof/>
            <w:lang w:bidi="hi-IN"/>
          </w:rPr>
          <w:t>But the plants will not necessarily be closed.</w:t>
        </w:r>
        <w:r w:rsidR="0020495B">
          <w:rPr>
            <w:noProof/>
            <w:webHidden/>
          </w:rPr>
          <w:tab/>
        </w:r>
        <w:r w:rsidR="0020495B">
          <w:rPr>
            <w:noProof/>
            <w:webHidden/>
          </w:rPr>
          <w:fldChar w:fldCharType="begin"/>
        </w:r>
        <w:r w:rsidR="0020495B">
          <w:rPr>
            <w:noProof/>
            <w:webHidden/>
          </w:rPr>
          <w:instrText xml:space="preserve"> PAGEREF _Toc442104171 \h </w:instrText>
        </w:r>
        <w:r w:rsidR="0020495B">
          <w:rPr>
            <w:noProof/>
            <w:webHidden/>
          </w:rPr>
        </w:r>
        <w:r w:rsidR="0020495B">
          <w:rPr>
            <w:noProof/>
            <w:webHidden/>
          </w:rPr>
          <w:fldChar w:fldCharType="separate"/>
        </w:r>
        <w:r w:rsidR="007110F2">
          <w:rPr>
            <w:noProof/>
            <w:webHidden/>
          </w:rPr>
          <w:t>77</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172" w:history="1">
        <w:r w:rsidR="0020495B" w:rsidRPr="006E10E7">
          <w:rPr>
            <w:rStyle w:val="Hyperlink"/>
            <w:noProof/>
            <w:lang w:bidi="hi-IN"/>
          </w:rPr>
          <w:t>c.</w:t>
        </w:r>
        <w:r w:rsidR="0020495B">
          <w:rPr>
            <w:rFonts w:asciiTheme="minorHAnsi" w:hAnsiTheme="minorHAnsi"/>
            <w:noProof/>
            <w:sz w:val="22"/>
          </w:rPr>
          <w:tab/>
        </w:r>
        <w:r w:rsidR="0020495B" w:rsidRPr="006E10E7">
          <w:rPr>
            <w:rStyle w:val="Hyperlink"/>
            <w:noProof/>
            <w:lang w:bidi="hi-IN"/>
          </w:rPr>
          <w:t xml:space="preserve">AEP Ohio insinuates that it needs Ohio government to </w:t>
        </w:r>
        <w:r w:rsidR="0020495B">
          <w:rPr>
            <w:rStyle w:val="Hyperlink"/>
            <w:noProof/>
            <w:lang w:bidi="hi-IN"/>
          </w:rPr>
          <w:br/>
        </w:r>
        <w:r w:rsidR="0020495B" w:rsidRPr="006E10E7">
          <w:rPr>
            <w:rStyle w:val="Hyperlink"/>
            <w:noProof/>
            <w:lang w:bidi="hi-IN"/>
          </w:rPr>
          <w:t>act to increase supply diversity.  But that’s not true and supply diversity is increasing on its own in any event.</w:t>
        </w:r>
        <w:r w:rsidR="0020495B">
          <w:rPr>
            <w:noProof/>
            <w:webHidden/>
          </w:rPr>
          <w:tab/>
        </w:r>
        <w:r w:rsidR="0020495B">
          <w:rPr>
            <w:noProof/>
            <w:webHidden/>
          </w:rPr>
          <w:fldChar w:fldCharType="begin"/>
        </w:r>
        <w:r w:rsidR="0020495B">
          <w:rPr>
            <w:noProof/>
            <w:webHidden/>
          </w:rPr>
          <w:instrText xml:space="preserve"> PAGEREF _Toc442104172 \h </w:instrText>
        </w:r>
        <w:r w:rsidR="0020495B">
          <w:rPr>
            <w:noProof/>
            <w:webHidden/>
          </w:rPr>
        </w:r>
        <w:r w:rsidR="0020495B">
          <w:rPr>
            <w:noProof/>
            <w:webHidden/>
          </w:rPr>
          <w:fldChar w:fldCharType="separate"/>
        </w:r>
        <w:r w:rsidR="007110F2">
          <w:rPr>
            <w:noProof/>
            <w:webHidden/>
          </w:rPr>
          <w:t>78</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173" w:history="1">
        <w:r w:rsidR="0020495B" w:rsidRPr="006E10E7">
          <w:rPr>
            <w:rStyle w:val="Hyperlink"/>
            <w:noProof/>
            <w:lang w:bidi="hi-IN"/>
          </w:rPr>
          <w:t>d.</w:t>
        </w:r>
        <w:r w:rsidR="0020495B">
          <w:rPr>
            <w:rFonts w:asciiTheme="minorHAnsi" w:hAnsiTheme="minorHAnsi"/>
            <w:noProof/>
            <w:sz w:val="22"/>
          </w:rPr>
          <w:tab/>
        </w:r>
        <w:r w:rsidR="0020495B" w:rsidRPr="006E10E7">
          <w:rPr>
            <w:rStyle w:val="Hyperlink"/>
            <w:noProof/>
            <w:lang w:bidi="hi-IN"/>
          </w:rPr>
          <w:t>AEP Ohio’s analysis of the cost impact for consumers on the transmission system is not credible.</w:t>
        </w:r>
        <w:r w:rsidR="0020495B">
          <w:rPr>
            <w:noProof/>
            <w:webHidden/>
          </w:rPr>
          <w:tab/>
        </w:r>
        <w:r w:rsidR="0020495B">
          <w:rPr>
            <w:noProof/>
            <w:webHidden/>
          </w:rPr>
          <w:fldChar w:fldCharType="begin"/>
        </w:r>
        <w:r w:rsidR="0020495B">
          <w:rPr>
            <w:noProof/>
            <w:webHidden/>
          </w:rPr>
          <w:instrText xml:space="preserve"> PAGEREF _Toc442104173 \h </w:instrText>
        </w:r>
        <w:r w:rsidR="0020495B">
          <w:rPr>
            <w:noProof/>
            <w:webHidden/>
          </w:rPr>
        </w:r>
        <w:r w:rsidR="0020495B">
          <w:rPr>
            <w:noProof/>
            <w:webHidden/>
          </w:rPr>
          <w:fldChar w:fldCharType="separate"/>
        </w:r>
        <w:r w:rsidR="007110F2">
          <w:rPr>
            <w:noProof/>
            <w:webHidden/>
          </w:rPr>
          <w:t>79</w:t>
        </w:r>
        <w:r w:rsidR="0020495B">
          <w:rPr>
            <w:noProof/>
            <w:webHidden/>
          </w:rPr>
          <w:fldChar w:fldCharType="end"/>
        </w:r>
      </w:hyperlink>
    </w:p>
    <w:p w:rsidR="0020495B" w:rsidRDefault="00AB6E95">
      <w:pPr>
        <w:pStyle w:val="TOC3"/>
        <w:tabs>
          <w:tab w:val="left" w:pos="2160"/>
        </w:tabs>
        <w:rPr>
          <w:rFonts w:asciiTheme="minorHAnsi" w:hAnsiTheme="minorHAnsi"/>
          <w:noProof/>
          <w:sz w:val="22"/>
        </w:rPr>
      </w:pPr>
      <w:hyperlink w:anchor="_Toc442104174" w:history="1">
        <w:r w:rsidR="0020495B" w:rsidRPr="006E10E7">
          <w:rPr>
            <w:rStyle w:val="Hyperlink"/>
            <w:noProof/>
            <w:lang w:bidi="hi-IN"/>
          </w:rPr>
          <w:t>3.</w:t>
        </w:r>
        <w:r w:rsidR="0020495B">
          <w:rPr>
            <w:rFonts w:asciiTheme="minorHAnsi" w:hAnsiTheme="minorHAnsi"/>
            <w:noProof/>
            <w:sz w:val="22"/>
          </w:rPr>
          <w:tab/>
        </w:r>
        <w:r w:rsidR="0020495B" w:rsidRPr="006E10E7">
          <w:rPr>
            <w:rStyle w:val="Hyperlink"/>
            <w:noProof/>
            <w:lang w:bidi="hi-IN"/>
          </w:rPr>
          <w:t>AEP Ohio has not shown, and cannot show, that the PPA Units are compliant with current environmental regulations or a plan for complying with pending environmental regulations.  That is concerning because Ohio consumers could be tapped for subsidizing costly power plant environmental upgrades.</w:t>
        </w:r>
        <w:r w:rsidR="0020495B">
          <w:rPr>
            <w:noProof/>
            <w:webHidden/>
          </w:rPr>
          <w:tab/>
        </w:r>
        <w:r w:rsidR="0020495B">
          <w:rPr>
            <w:noProof/>
            <w:webHidden/>
          </w:rPr>
          <w:fldChar w:fldCharType="begin"/>
        </w:r>
        <w:r w:rsidR="0020495B">
          <w:rPr>
            <w:noProof/>
            <w:webHidden/>
          </w:rPr>
          <w:instrText xml:space="preserve"> PAGEREF _Toc442104174 \h </w:instrText>
        </w:r>
        <w:r w:rsidR="0020495B">
          <w:rPr>
            <w:noProof/>
            <w:webHidden/>
          </w:rPr>
        </w:r>
        <w:r w:rsidR="0020495B">
          <w:rPr>
            <w:noProof/>
            <w:webHidden/>
          </w:rPr>
          <w:fldChar w:fldCharType="separate"/>
        </w:r>
        <w:r w:rsidR="007110F2">
          <w:rPr>
            <w:noProof/>
            <w:webHidden/>
          </w:rPr>
          <w:t>81</w:t>
        </w:r>
        <w:r w:rsidR="0020495B">
          <w:rPr>
            <w:noProof/>
            <w:webHidden/>
          </w:rPr>
          <w:fldChar w:fldCharType="end"/>
        </w:r>
      </w:hyperlink>
    </w:p>
    <w:p w:rsidR="0020495B" w:rsidRDefault="00AB6E95">
      <w:pPr>
        <w:pStyle w:val="TOC3"/>
        <w:tabs>
          <w:tab w:val="left" w:pos="2160"/>
        </w:tabs>
        <w:rPr>
          <w:rFonts w:asciiTheme="minorHAnsi" w:hAnsiTheme="minorHAnsi"/>
          <w:noProof/>
          <w:sz w:val="22"/>
        </w:rPr>
      </w:pPr>
      <w:hyperlink w:anchor="_Toc442104175" w:history="1">
        <w:r w:rsidR="0020495B" w:rsidRPr="006E10E7">
          <w:rPr>
            <w:rStyle w:val="Hyperlink"/>
            <w:noProof/>
            <w:lang w:bidi="hi-IN"/>
          </w:rPr>
          <w:t>4.</w:t>
        </w:r>
        <w:r w:rsidR="0020495B">
          <w:rPr>
            <w:rFonts w:asciiTheme="minorHAnsi" w:hAnsiTheme="minorHAnsi"/>
            <w:noProof/>
            <w:sz w:val="22"/>
          </w:rPr>
          <w:tab/>
        </w:r>
        <w:r w:rsidR="0020495B" w:rsidRPr="006E10E7">
          <w:rPr>
            <w:rStyle w:val="Hyperlink"/>
            <w:noProof/>
            <w:lang w:bidi="hi-IN"/>
          </w:rPr>
          <w:t xml:space="preserve">AEP Ohio has advanced claims about the economic impact of closing the power plants (not that there is any conclusion that </w:t>
        </w:r>
        <w:r w:rsidR="0020495B">
          <w:rPr>
            <w:rStyle w:val="Hyperlink"/>
            <w:noProof/>
            <w:lang w:bidi="hi-IN"/>
          </w:rPr>
          <w:br/>
        </w:r>
        <w:r w:rsidR="0020495B" w:rsidRPr="006E10E7">
          <w:rPr>
            <w:rStyle w:val="Hyperlink"/>
            <w:noProof/>
            <w:lang w:bidi="hi-IN"/>
          </w:rPr>
          <w:t xml:space="preserve">the power plants would close), without offering credible </w:t>
        </w:r>
        <w:r w:rsidR="0020495B">
          <w:rPr>
            <w:rStyle w:val="Hyperlink"/>
            <w:noProof/>
            <w:lang w:bidi="hi-IN"/>
          </w:rPr>
          <w:br/>
        </w:r>
        <w:r w:rsidR="0020495B" w:rsidRPr="006E10E7">
          <w:rPr>
            <w:rStyle w:val="Hyperlink"/>
            <w:noProof/>
            <w:lang w:bidi="hi-IN"/>
          </w:rPr>
          <w:t>evidence regarding economic impact.</w:t>
        </w:r>
        <w:r w:rsidR="0020495B">
          <w:rPr>
            <w:noProof/>
            <w:webHidden/>
          </w:rPr>
          <w:tab/>
        </w:r>
        <w:r w:rsidR="0020495B">
          <w:rPr>
            <w:noProof/>
            <w:webHidden/>
          </w:rPr>
          <w:fldChar w:fldCharType="begin"/>
        </w:r>
        <w:r w:rsidR="0020495B">
          <w:rPr>
            <w:noProof/>
            <w:webHidden/>
          </w:rPr>
          <w:instrText xml:space="preserve"> PAGEREF _Toc442104175 \h </w:instrText>
        </w:r>
        <w:r w:rsidR="0020495B">
          <w:rPr>
            <w:noProof/>
            <w:webHidden/>
          </w:rPr>
        </w:r>
        <w:r w:rsidR="0020495B">
          <w:rPr>
            <w:noProof/>
            <w:webHidden/>
          </w:rPr>
          <w:fldChar w:fldCharType="separate"/>
        </w:r>
        <w:r w:rsidR="007110F2">
          <w:rPr>
            <w:noProof/>
            <w:webHidden/>
          </w:rPr>
          <w:t>83</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176" w:history="1">
        <w:r w:rsidR="0020495B" w:rsidRPr="006E10E7">
          <w:rPr>
            <w:rStyle w:val="Hyperlink"/>
            <w:noProof/>
            <w:lang w:bidi="hi-IN"/>
          </w:rPr>
          <w:t>a.</w:t>
        </w:r>
        <w:r w:rsidR="0020495B">
          <w:rPr>
            <w:rFonts w:asciiTheme="minorHAnsi" w:hAnsiTheme="minorHAnsi"/>
            <w:noProof/>
            <w:sz w:val="22"/>
          </w:rPr>
          <w:tab/>
        </w:r>
        <w:r w:rsidR="0020495B" w:rsidRPr="006E10E7">
          <w:rPr>
            <w:rStyle w:val="Hyperlink"/>
            <w:noProof/>
            <w:lang w:bidi="hi-IN"/>
          </w:rPr>
          <w:t>AEP Ohio Witness Allen is not qualified to render an opinion on AEP’s economic analysis.</w:t>
        </w:r>
        <w:r w:rsidR="0020495B">
          <w:rPr>
            <w:noProof/>
            <w:webHidden/>
          </w:rPr>
          <w:tab/>
        </w:r>
        <w:r w:rsidR="0020495B">
          <w:rPr>
            <w:noProof/>
            <w:webHidden/>
          </w:rPr>
          <w:fldChar w:fldCharType="begin"/>
        </w:r>
        <w:r w:rsidR="0020495B">
          <w:rPr>
            <w:noProof/>
            <w:webHidden/>
          </w:rPr>
          <w:instrText xml:space="preserve"> PAGEREF _Toc442104176 \h </w:instrText>
        </w:r>
        <w:r w:rsidR="0020495B">
          <w:rPr>
            <w:noProof/>
            <w:webHidden/>
          </w:rPr>
        </w:r>
        <w:r w:rsidR="0020495B">
          <w:rPr>
            <w:noProof/>
            <w:webHidden/>
          </w:rPr>
          <w:fldChar w:fldCharType="separate"/>
        </w:r>
        <w:r w:rsidR="007110F2">
          <w:rPr>
            <w:noProof/>
            <w:webHidden/>
          </w:rPr>
          <w:t>84</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177" w:history="1">
        <w:r w:rsidR="0020495B" w:rsidRPr="006E10E7">
          <w:rPr>
            <w:rStyle w:val="Hyperlink"/>
            <w:noProof/>
            <w:lang w:bidi="hi-IN"/>
          </w:rPr>
          <w:t>b.</w:t>
        </w:r>
        <w:r w:rsidR="0020495B">
          <w:rPr>
            <w:rFonts w:asciiTheme="minorHAnsi" w:hAnsiTheme="minorHAnsi"/>
            <w:noProof/>
            <w:sz w:val="22"/>
          </w:rPr>
          <w:tab/>
        </w:r>
        <w:r w:rsidR="0020495B" w:rsidRPr="006E10E7">
          <w:rPr>
            <w:rStyle w:val="Hyperlink"/>
            <w:noProof/>
            <w:lang w:bidi="hi-IN"/>
          </w:rPr>
          <w:t xml:space="preserve">AEP Ohio Witness Allen should have the requisite expertise and involvement to opine on economic </w:t>
        </w:r>
        <w:r w:rsidR="0020495B">
          <w:rPr>
            <w:rStyle w:val="Hyperlink"/>
            <w:noProof/>
            <w:lang w:bidi="hi-IN"/>
          </w:rPr>
          <w:br/>
        </w:r>
        <w:r w:rsidR="0020495B" w:rsidRPr="006E10E7">
          <w:rPr>
            <w:rStyle w:val="Hyperlink"/>
            <w:noProof/>
            <w:lang w:bidi="hi-IN"/>
          </w:rPr>
          <w:t>analysis, but he doesn’t.</w:t>
        </w:r>
        <w:r w:rsidR="0020495B">
          <w:rPr>
            <w:noProof/>
            <w:webHidden/>
          </w:rPr>
          <w:tab/>
        </w:r>
        <w:r w:rsidR="0020495B">
          <w:rPr>
            <w:noProof/>
            <w:webHidden/>
          </w:rPr>
          <w:fldChar w:fldCharType="begin"/>
        </w:r>
        <w:r w:rsidR="0020495B">
          <w:rPr>
            <w:noProof/>
            <w:webHidden/>
          </w:rPr>
          <w:instrText xml:space="preserve"> PAGEREF _Toc442104177 \h </w:instrText>
        </w:r>
        <w:r w:rsidR="0020495B">
          <w:rPr>
            <w:noProof/>
            <w:webHidden/>
          </w:rPr>
        </w:r>
        <w:r w:rsidR="0020495B">
          <w:rPr>
            <w:noProof/>
            <w:webHidden/>
          </w:rPr>
          <w:fldChar w:fldCharType="separate"/>
        </w:r>
        <w:r w:rsidR="007110F2">
          <w:rPr>
            <w:noProof/>
            <w:webHidden/>
          </w:rPr>
          <w:t>85</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178" w:history="1">
        <w:r w:rsidR="0020495B" w:rsidRPr="006E10E7">
          <w:rPr>
            <w:rStyle w:val="Hyperlink"/>
            <w:noProof/>
            <w:lang w:bidi="hi-IN"/>
          </w:rPr>
          <w:t>c.</w:t>
        </w:r>
        <w:r w:rsidR="0020495B">
          <w:rPr>
            <w:rFonts w:asciiTheme="minorHAnsi" w:hAnsiTheme="minorHAnsi"/>
            <w:noProof/>
            <w:sz w:val="22"/>
          </w:rPr>
          <w:tab/>
        </w:r>
        <w:r w:rsidR="0020495B" w:rsidRPr="006E10E7">
          <w:rPr>
            <w:rStyle w:val="Hyperlink"/>
            <w:noProof/>
            <w:lang w:bidi="hi-IN"/>
          </w:rPr>
          <w:t xml:space="preserve">AEP Ohio Witness Allen did not focus on electricity </w:t>
        </w:r>
        <w:r w:rsidR="0020495B">
          <w:rPr>
            <w:rStyle w:val="Hyperlink"/>
            <w:noProof/>
            <w:lang w:bidi="hi-IN"/>
          </w:rPr>
          <w:br/>
        </w:r>
        <w:r w:rsidR="0020495B" w:rsidRPr="006E10E7">
          <w:rPr>
            <w:rStyle w:val="Hyperlink"/>
            <w:noProof/>
            <w:lang w:bidi="hi-IN"/>
          </w:rPr>
          <w:t xml:space="preserve">prices.  The Ohio General Assembly focused on </w:t>
        </w:r>
        <w:r w:rsidR="0020495B">
          <w:rPr>
            <w:rStyle w:val="Hyperlink"/>
            <w:noProof/>
            <w:lang w:bidi="hi-IN"/>
          </w:rPr>
          <w:br/>
        </w:r>
        <w:r w:rsidR="0020495B" w:rsidRPr="006E10E7">
          <w:rPr>
            <w:rStyle w:val="Hyperlink"/>
            <w:noProof/>
            <w:lang w:bidi="hi-IN"/>
          </w:rPr>
          <w:t>electricity prices.</w:t>
        </w:r>
        <w:r w:rsidR="0020495B">
          <w:rPr>
            <w:noProof/>
            <w:webHidden/>
          </w:rPr>
          <w:tab/>
        </w:r>
        <w:r w:rsidR="0020495B">
          <w:rPr>
            <w:noProof/>
            <w:webHidden/>
          </w:rPr>
          <w:fldChar w:fldCharType="begin"/>
        </w:r>
        <w:r w:rsidR="0020495B">
          <w:rPr>
            <w:noProof/>
            <w:webHidden/>
          </w:rPr>
          <w:instrText xml:space="preserve"> PAGEREF _Toc442104178 \h </w:instrText>
        </w:r>
        <w:r w:rsidR="0020495B">
          <w:rPr>
            <w:noProof/>
            <w:webHidden/>
          </w:rPr>
        </w:r>
        <w:r w:rsidR="0020495B">
          <w:rPr>
            <w:noProof/>
            <w:webHidden/>
          </w:rPr>
          <w:fldChar w:fldCharType="separate"/>
        </w:r>
        <w:r w:rsidR="007110F2">
          <w:rPr>
            <w:noProof/>
            <w:webHidden/>
          </w:rPr>
          <w:t>87</w:t>
        </w:r>
        <w:r w:rsidR="0020495B">
          <w:rPr>
            <w:noProof/>
            <w:webHidden/>
          </w:rPr>
          <w:fldChar w:fldCharType="end"/>
        </w:r>
      </w:hyperlink>
    </w:p>
    <w:p w:rsidR="0020495B" w:rsidRDefault="00AB6E95">
      <w:pPr>
        <w:pStyle w:val="TOC3"/>
        <w:tabs>
          <w:tab w:val="left" w:pos="2160"/>
        </w:tabs>
        <w:rPr>
          <w:rFonts w:asciiTheme="minorHAnsi" w:hAnsiTheme="minorHAnsi"/>
          <w:noProof/>
          <w:sz w:val="22"/>
        </w:rPr>
      </w:pPr>
      <w:hyperlink w:anchor="_Toc442104179" w:history="1">
        <w:r w:rsidR="0020495B" w:rsidRPr="006E10E7">
          <w:rPr>
            <w:rStyle w:val="Hyperlink"/>
            <w:noProof/>
            <w:lang w:bidi="hi-IN"/>
          </w:rPr>
          <w:t>5.</w:t>
        </w:r>
        <w:r w:rsidR="0020495B">
          <w:rPr>
            <w:rFonts w:asciiTheme="minorHAnsi" w:hAnsiTheme="minorHAnsi"/>
            <w:noProof/>
            <w:sz w:val="22"/>
          </w:rPr>
          <w:tab/>
        </w:r>
        <w:r w:rsidR="0020495B" w:rsidRPr="006E10E7">
          <w:rPr>
            <w:rStyle w:val="Hyperlink"/>
            <w:noProof/>
            <w:lang w:bidi="hi-IN"/>
          </w:rPr>
          <w:t xml:space="preserve">AEP Ohio’s proposal should, but did not, provide for rigorous PUCO oversight, full information sharing, and allocating </w:t>
        </w:r>
        <w:r w:rsidR="001D77BB">
          <w:rPr>
            <w:rStyle w:val="Hyperlink"/>
            <w:noProof/>
            <w:lang w:bidi="hi-IN"/>
          </w:rPr>
          <w:br/>
        </w:r>
        <w:r w:rsidR="0020495B" w:rsidRPr="006E10E7">
          <w:rPr>
            <w:rStyle w:val="Hyperlink"/>
            <w:noProof/>
            <w:lang w:bidi="hi-IN"/>
          </w:rPr>
          <w:t xml:space="preserve">financial risk as required by the PUCO -- thus opening the door </w:t>
        </w:r>
        <w:r w:rsidR="001D77BB">
          <w:rPr>
            <w:rStyle w:val="Hyperlink"/>
            <w:noProof/>
            <w:lang w:bidi="hi-IN"/>
          </w:rPr>
          <w:br/>
        </w:r>
        <w:r w:rsidR="0020495B" w:rsidRPr="006E10E7">
          <w:rPr>
            <w:rStyle w:val="Hyperlink"/>
            <w:noProof/>
            <w:lang w:bidi="hi-IN"/>
          </w:rPr>
          <w:t>to consumer harm.</w:t>
        </w:r>
        <w:r w:rsidR="0020495B">
          <w:rPr>
            <w:noProof/>
            <w:webHidden/>
          </w:rPr>
          <w:tab/>
        </w:r>
        <w:r w:rsidR="0020495B">
          <w:rPr>
            <w:noProof/>
            <w:webHidden/>
          </w:rPr>
          <w:fldChar w:fldCharType="begin"/>
        </w:r>
        <w:r w:rsidR="0020495B">
          <w:rPr>
            <w:noProof/>
            <w:webHidden/>
          </w:rPr>
          <w:instrText xml:space="preserve"> PAGEREF _Toc442104179 \h </w:instrText>
        </w:r>
        <w:r w:rsidR="0020495B">
          <w:rPr>
            <w:noProof/>
            <w:webHidden/>
          </w:rPr>
        </w:r>
        <w:r w:rsidR="0020495B">
          <w:rPr>
            <w:noProof/>
            <w:webHidden/>
          </w:rPr>
          <w:fldChar w:fldCharType="separate"/>
        </w:r>
        <w:r w:rsidR="007110F2">
          <w:rPr>
            <w:noProof/>
            <w:webHidden/>
          </w:rPr>
          <w:t>88</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180" w:history="1">
        <w:r w:rsidR="0020495B" w:rsidRPr="006E10E7">
          <w:rPr>
            <w:rStyle w:val="Hyperlink"/>
            <w:noProof/>
            <w:lang w:bidi="hi-IN"/>
          </w:rPr>
          <w:t>a.</w:t>
        </w:r>
        <w:r w:rsidR="0020495B">
          <w:rPr>
            <w:rFonts w:asciiTheme="minorHAnsi" w:hAnsiTheme="minorHAnsi"/>
            <w:noProof/>
            <w:sz w:val="22"/>
          </w:rPr>
          <w:tab/>
        </w:r>
        <w:r w:rsidR="0020495B" w:rsidRPr="006E10E7">
          <w:rPr>
            <w:rStyle w:val="Hyperlink"/>
            <w:noProof/>
            <w:lang w:bidi="hi-IN"/>
          </w:rPr>
          <w:t>AEP Ohio does not provide for rigorous oversight, thus increasing risk to consumers.</w:t>
        </w:r>
        <w:r w:rsidR="0020495B">
          <w:rPr>
            <w:noProof/>
            <w:webHidden/>
          </w:rPr>
          <w:tab/>
        </w:r>
        <w:r w:rsidR="0020495B">
          <w:rPr>
            <w:noProof/>
            <w:webHidden/>
          </w:rPr>
          <w:fldChar w:fldCharType="begin"/>
        </w:r>
        <w:r w:rsidR="0020495B">
          <w:rPr>
            <w:noProof/>
            <w:webHidden/>
          </w:rPr>
          <w:instrText xml:space="preserve"> PAGEREF _Toc442104180 \h </w:instrText>
        </w:r>
        <w:r w:rsidR="0020495B">
          <w:rPr>
            <w:noProof/>
            <w:webHidden/>
          </w:rPr>
        </w:r>
        <w:r w:rsidR="0020495B">
          <w:rPr>
            <w:noProof/>
            <w:webHidden/>
          </w:rPr>
          <w:fldChar w:fldCharType="separate"/>
        </w:r>
        <w:r w:rsidR="007110F2">
          <w:rPr>
            <w:noProof/>
            <w:webHidden/>
          </w:rPr>
          <w:t>88</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181" w:history="1">
        <w:r w:rsidR="0020495B" w:rsidRPr="006E10E7">
          <w:rPr>
            <w:rStyle w:val="Hyperlink"/>
            <w:noProof/>
            <w:lang w:bidi="hi-IN"/>
          </w:rPr>
          <w:t>b.</w:t>
        </w:r>
        <w:r w:rsidR="0020495B">
          <w:rPr>
            <w:rFonts w:asciiTheme="minorHAnsi" w:hAnsiTheme="minorHAnsi"/>
            <w:noProof/>
            <w:sz w:val="22"/>
          </w:rPr>
          <w:tab/>
        </w:r>
        <w:r w:rsidR="0020495B" w:rsidRPr="006E10E7">
          <w:rPr>
            <w:rStyle w:val="Hyperlink"/>
            <w:noProof/>
            <w:lang w:bidi="hi-IN"/>
          </w:rPr>
          <w:t xml:space="preserve">There should be transparency and information disclosure </w:t>
        </w:r>
        <w:r w:rsidR="001D77BB">
          <w:rPr>
            <w:rStyle w:val="Hyperlink"/>
            <w:noProof/>
            <w:lang w:bidi="hi-IN"/>
          </w:rPr>
          <w:br/>
        </w:r>
        <w:r w:rsidR="0020495B" w:rsidRPr="006E10E7">
          <w:rPr>
            <w:rStyle w:val="Hyperlink"/>
            <w:noProof/>
            <w:lang w:bidi="hi-IN"/>
          </w:rPr>
          <w:t xml:space="preserve">in the processes of the AEP Ohio proposal, but AEP </w:t>
        </w:r>
        <w:r w:rsidR="001D77BB">
          <w:rPr>
            <w:rStyle w:val="Hyperlink"/>
            <w:noProof/>
            <w:lang w:bidi="hi-IN"/>
          </w:rPr>
          <w:br/>
        </w:r>
        <w:r w:rsidR="0020495B" w:rsidRPr="006E10E7">
          <w:rPr>
            <w:rStyle w:val="Hyperlink"/>
            <w:noProof/>
            <w:lang w:bidi="hi-IN"/>
          </w:rPr>
          <w:t>Ohio does not commit to adequate transparency and information-sharing, thus increasing risk to consumers.</w:t>
        </w:r>
        <w:r w:rsidR="0020495B">
          <w:rPr>
            <w:noProof/>
            <w:webHidden/>
          </w:rPr>
          <w:tab/>
        </w:r>
        <w:r w:rsidR="0020495B">
          <w:rPr>
            <w:noProof/>
            <w:webHidden/>
          </w:rPr>
          <w:fldChar w:fldCharType="begin"/>
        </w:r>
        <w:r w:rsidR="0020495B">
          <w:rPr>
            <w:noProof/>
            <w:webHidden/>
          </w:rPr>
          <w:instrText xml:space="preserve"> PAGEREF _Toc442104181 \h </w:instrText>
        </w:r>
        <w:r w:rsidR="0020495B">
          <w:rPr>
            <w:noProof/>
            <w:webHidden/>
          </w:rPr>
        </w:r>
        <w:r w:rsidR="0020495B">
          <w:rPr>
            <w:noProof/>
            <w:webHidden/>
          </w:rPr>
          <w:fldChar w:fldCharType="separate"/>
        </w:r>
        <w:r w:rsidR="007110F2">
          <w:rPr>
            <w:noProof/>
            <w:webHidden/>
          </w:rPr>
          <w:t>89</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182" w:history="1">
        <w:r w:rsidR="0020495B" w:rsidRPr="006E10E7">
          <w:rPr>
            <w:rStyle w:val="Hyperlink"/>
            <w:noProof/>
            <w:lang w:bidi="hi-IN"/>
          </w:rPr>
          <w:t>c.</w:t>
        </w:r>
        <w:r w:rsidR="0020495B">
          <w:rPr>
            <w:rFonts w:asciiTheme="minorHAnsi" w:hAnsiTheme="minorHAnsi"/>
            <w:noProof/>
            <w:sz w:val="22"/>
          </w:rPr>
          <w:tab/>
        </w:r>
        <w:r w:rsidR="0020495B" w:rsidRPr="006E10E7">
          <w:rPr>
            <w:rStyle w:val="Hyperlink"/>
            <w:noProof/>
            <w:lang w:bidi="hi-IN"/>
          </w:rPr>
          <w:t>AEP Ohio does not properly allocate financial risk, thus increasing risk to consumers.</w:t>
        </w:r>
        <w:r w:rsidR="0020495B">
          <w:rPr>
            <w:noProof/>
            <w:webHidden/>
          </w:rPr>
          <w:tab/>
        </w:r>
        <w:r w:rsidR="0020495B">
          <w:rPr>
            <w:noProof/>
            <w:webHidden/>
          </w:rPr>
          <w:fldChar w:fldCharType="begin"/>
        </w:r>
        <w:r w:rsidR="0020495B">
          <w:rPr>
            <w:noProof/>
            <w:webHidden/>
          </w:rPr>
          <w:instrText xml:space="preserve"> PAGEREF _Toc442104182 \h </w:instrText>
        </w:r>
        <w:r w:rsidR="0020495B">
          <w:rPr>
            <w:noProof/>
            <w:webHidden/>
          </w:rPr>
        </w:r>
        <w:r w:rsidR="0020495B">
          <w:rPr>
            <w:noProof/>
            <w:webHidden/>
          </w:rPr>
          <w:fldChar w:fldCharType="separate"/>
        </w:r>
        <w:r w:rsidR="007110F2">
          <w:rPr>
            <w:noProof/>
            <w:webHidden/>
          </w:rPr>
          <w:t>90</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183" w:history="1">
        <w:r w:rsidR="0020495B" w:rsidRPr="006E10E7">
          <w:rPr>
            <w:rStyle w:val="Hyperlink"/>
            <w:noProof/>
            <w:lang w:bidi="hi-IN"/>
          </w:rPr>
          <w:t>d.</w:t>
        </w:r>
        <w:r w:rsidR="0020495B">
          <w:rPr>
            <w:rFonts w:asciiTheme="minorHAnsi" w:hAnsiTheme="minorHAnsi"/>
            <w:noProof/>
            <w:sz w:val="22"/>
          </w:rPr>
          <w:tab/>
        </w:r>
        <w:r w:rsidR="0020495B" w:rsidRPr="006E10E7">
          <w:rPr>
            <w:rStyle w:val="Hyperlink"/>
            <w:noProof/>
            <w:lang w:bidi="hi-IN"/>
          </w:rPr>
          <w:t xml:space="preserve">All financial risk would be on consumers, exactly where </w:t>
        </w:r>
        <w:r w:rsidR="001D77BB">
          <w:rPr>
            <w:rStyle w:val="Hyperlink"/>
            <w:noProof/>
            <w:lang w:bidi="hi-IN"/>
          </w:rPr>
          <w:br/>
        </w:r>
        <w:r w:rsidR="0020495B" w:rsidRPr="006E10E7">
          <w:rPr>
            <w:rStyle w:val="Hyperlink"/>
            <w:noProof/>
            <w:lang w:bidi="hi-IN"/>
          </w:rPr>
          <w:t>it should not be.  In markets (and in good regulation), investors take risks, not consumers.</w:t>
        </w:r>
        <w:r w:rsidR="0020495B">
          <w:rPr>
            <w:noProof/>
            <w:webHidden/>
          </w:rPr>
          <w:tab/>
        </w:r>
        <w:r w:rsidR="0020495B">
          <w:rPr>
            <w:noProof/>
            <w:webHidden/>
          </w:rPr>
          <w:fldChar w:fldCharType="begin"/>
        </w:r>
        <w:r w:rsidR="0020495B">
          <w:rPr>
            <w:noProof/>
            <w:webHidden/>
          </w:rPr>
          <w:instrText xml:space="preserve"> PAGEREF _Toc442104183 \h </w:instrText>
        </w:r>
        <w:r w:rsidR="0020495B">
          <w:rPr>
            <w:noProof/>
            <w:webHidden/>
          </w:rPr>
        </w:r>
        <w:r w:rsidR="0020495B">
          <w:rPr>
            <w:noProof/>
            <w:webHidden/>
          </w:rPr>
          <w:fldChar w:fldCharType="separate"/>
        </w:r>
        <w:r w:rsidR="007110F2">
          <w:rPr>
            <w:noProof/>
            <w:webHidden/>
          </w:rPr>
          <w:t>93</w:t>
        </w:r>
        <w:r w:rsidR="0020495B">
          <w:rPr>
            <w:noProof/>
            <w:webHidden/>
          </w:rPr>
          <w:fldChar w:fldCharType="end"/>
        </w:r>
      </w:hyperlink>
    </w:p>
    <w:p w:rsidR="0020495B" w:rsidRDefault="00AB6E95">
      <w:pPr>
        <w:pStyle w:val="TOC2"/>
        <w:tabs>
          <w:tab w:val="left" w:pos="1440"/>
        </w:tabs>
        <w:rPr>
          <w:rFonts w:asciiTheme="minorHAnsi" w:hAnsiTheme="minorHAnsi" w:cstheme="minorBidi"/>
          <w:noProof/>
          <w:sz w:val="22"/>
          <w:szCs w:val="22"/>
        </w:rPr>
      </w:pPr>
      <w:hyperlink w:anchor="_Toc442104184" w:history="1">
        <w:r w:rsidR="0020495B" w:rsidRPr="006E10E7">
          <w:rPr>
            <w:rStyle w:val="Hyperlink"/>
            <w:noProof/>
          </w:rPr>
          <w:t>D.</w:t>
        </w:r>
        <w:r w:rsidR="0020495B">
          <w:rPr>
            <w:rFonts w:asciiTheme="minorHAnsi" w:hAnsiTheme="minorHAnsi" w:cstheme="minorBidi"/>
            <w:noProof/>
            <w:sz w:val="22"/>
            <w:szCs w:val="22"/>
          </w:rPr>
          <w:tab/>
        </w:r>
        <w:r w:rsidR="0020495B" w:rsidRPr="006E10E7">
          <w:rPr>
            <w:rStyle w:val="Hyperlink"/>
            <w:noProof/>
          </w:rPr>
          <w:t>Rejecting the Amended Application/Modified Amended Application is confirmed by, and independently justified by, OCC’s evidence.</w:t>
        </w:r>
        <w:r w:rsidR="0020495B">
          <w:rPr>
            <w:noProof/>
            <w:webHidden/>
          </w:rPr>
          <w:tab/>
        </w:r>
        <w:r w:rsidR="0020495B">
          <w:rPr>
            <w:noProof/>
            <w:webHidden/>
          </w:rPr>
          <w:fldChar w:fldCharType="begin"/>
        </w:r>
        <w:r w:rsidR="0020495B">
          <w:rPr>
            <w:noProof/>
            <w:webHidden/>
          </w:rPr>
          <w:instrText xml:space="preserve"> PAGEREF _Toc442104184 \h </w:instrText>
        </w:r>
        <w:r w:rsidR="0020495B">
          <w:rPr>
            <w:noProof/>
            <w:webHidden/>
          </w:rPr>
        </w:r>
        <w:r w:rsidR="0020495B">
          <w:rPr>
            <w:noProof/>
            <w:webHidden/>
          </w:rPr>
          <w:fldChar w:fldCharType="separate"/>
        </w:r>
        <w:r w:rsidR="007110F2">
          <w:rPr>
            <w:noProof/>
            <w:webHidden/>
          </w:rPr>
          <w:t>95</w:t>
        </w:r>
        <w:r w:rsidR="0020495B">
          <w:rPr>
            <w:noProof/>
            <w:webHidden/>
          </w:rPr>
          <w:fldChar w:fldCharType="end"/>
        </w:r>
      </w:hyperlink>
    </w:p>
    <w:p w:rsidR="0020495B" w:rsidRDefault="00AB6E95">
      <w:pPr>
        <w:pStyle w:val="TOC3"/>
        <w:tabs>
          <w:tab w:val="left" w:pos="2160"/>
        </w:tabs>
        <w:rPr>
          <w:rFonts w:asciiTheme="minorHAnsi" w:hAnsiTheme="minorHAnsi"/>
          <w:noProof/>
          <w:sz w:val="22"/>
        </w:rPr>
      </w:pPr>
      <w:hyperlink w:anchor="_Toc442104185" w:history="1">
        <w:r w:rsidR="0020495B" w:rsidRPr="006E10E7">
          <w:rPr>
            <w:rStyle w:val="Hyperlink"/>
            <w:noProof/>
            <w:lang w:bidi="hi-IN"/>
          </w:rPr>
          <w:t xml:space="preserve">1. </w:t>
        </w:r>
        <w:r w:rsidR="0020495B">
          <w:rPr>
            <w:rFonts w:asciiTheme="minorHAnsi" w:hAnsiTheme="minorHAnsi"/>
            <w:noProof/>
            <w:sz w:val="22"/>
          </w:rPr>
          <w:tab/>
        </w:r>
        <w:r w:rsidR="0020495B" w:rsidRPr="006E10E7">
          <w:rPr>
            <w:rStyle w:val="Hyperlink"/>
            <w:noProof/>
            <w:lang w:bidi="hi-IN"/>
          </w:rPr>
          <w:t xml:space="preserve">By subsidizing the PPA Units’ operating and capital costs, the </w:t>
        </w:r>
        <w:r w:rsidR="001D77BB">
          <w:rPr>
            <w:rStyle w:val="Hyperlink"/>
            <w:noProof/>
            <w:lang w:bidi="hi-IN"/>
          </w:rPr>
          <w:br/>
        </w:r>
        <w:r w:rsidR="0020495B" w:rsidRPr="006E10E7">
          <w:rPr>
            <w:rStyle w:val="Hyperlink"/>
            <w:noProof/>
            <w:lang w:bidi="hi-IN"/>
          </w:rPr>
          <w:t>PPA Rider shifts all risks of their continued operation to AEP Ohio’s captive customers, contrary to Ohio law and distorting</w:t>
        </w:r>
        <w:r w:rsidR="001D77BB">
          <w:rPr>
            <w:rStyle w:val="Hyperlink"/>
            <w:noProof/>
            <w:lang w:bidi="hi-IN"/>
          </w:rPr>
          <w:br/>
        </w:r>
        <w:r w:rsidR="0020495B" w:rsidRPr="006E10E7">
          <w:rPr>
            <w:rStyle w:val="Hyperlink"/>
            <w:noProof/>
            <w:lang w:bidi="hi-IN"/>
          </w:rPr>
          <w:t xml:space="preserve"> the PJM markets.</w:t>
        </w:r>
        <w:r w:rsidR="0020495B">
          <w:rPr>
            <w:noProof/>
            <w:webHidden/>
          </w:rPr>
          <w:tab/>
        </w:r>
        <w:r w:rsidR="0020495B">
          <w:rPr>
            <w:noProof/>
            <w:webHidden/>
          </w:rPr>
          <w:fldChar w:fldCharType="begin"/>
        </w:r>
        <w:r w:rsidR="0020495B">
          <w:rPr>
            <w:noProof/>
            <w:webHidden/>
          </w:rPr>
          <w:instrText xml:space="preserve"> PAGEREF _Toc442104185 \h </w:instrText>
        </w:r>
        <w:r w:rsidR="0020495B">
          <w:rPr>
            <w:noProof/>
            <w:webHidden/>
          </w:rPr>
        </w:r>
        <w:r w:rsidR="0020495B">
          <w:rPr>
            <w:noProof/>
            <w:webHidden/>
          </w:rPr>
          <w:fldChar w:fldCharType="separate"/>
        </w:r>
        <w:r w:rsidR="007110F2">
          <w:rPr>
            <w:noProof/>
            <w:webHidden/>
          </w:rPr>
          <w:t>95</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186" w:history="1">
        <w:r w:rsidR="0020495B" w:rsidRPr="006E10E7">
          <w:rPr>
            <w:rStyle w:val="Hyperlink"/>
            <w:noProof/>
            <w:lang w:bidi="hi-IN"/>
          </w:rPr>
          <w:t>a.</w:t>
        </w:r>
        <w:r w:rsidR="0020495B">
          <w:rPr>
            <w:rFonts w:asciiTheme="minorHAnsi" w:hAnsiTheme="minorHAnsi"/>
            <w:noProof/>
            <w:sz w:val="22"/>
          </w:rPr>
          <w:tab/>
        </w:r>
        <w:r w:rsidR="0020495B" w:rsidRPr="006E10E7">
          <w:rPr>
            <w:rStyle w:val="Hyperlink"/>
            <w:noProof/>
            <w:lang w:bidi="hi-IN"/>
          </w:rPr>
          <w:t>AEP Ohio’s PPA Rider proposal is antithetical to the competitive market created by the General Assembly.</w:t>
        </w:r>
        <w:r w:rsidR="0020495B">
          <w:rPr>
            <w:noProof/>
            <w:webHidden/>
          </w:rPr>
          <w:tab/>
        </w:r>
        <w:r w:rsidR="0020495B">
          <w:rPr>
            <w:noProof/>
            <w:webHidden/>
          </w:rPr>
          <w:fldChar w:fldCharType="begin"/>
        </w:r>
        <w:r w:rsidR="0020495B">
          <w:rPr>
            <w:noProof/>
            <w:webHidden/>
          </w:rPr>
          <w:instrText xml:space="preserve"> PAGEREF _Toc442104186 \h </w:instrText>
        </w:r>
        <w:r w:rsidR="0020495B">
          <w:rPr>
            <w:noProof/>
            <w:webHidden/>
          </w:rPr>
        </w:r>
        <w:r w:rsidR="0020495B">
          <w:rPr>
            <w:noProof/>
            <w:webHidden/>
          </w:rPr>
          <w:fldChar w:fldCharType="separate"/>
        </w:r>
        <w:r w:rsidR="007110F2">
          <w:rPr>
            <w:noProof/>
            <w:webHidden/>
          </w:rPr>
          <w:t>96</w:t>
        </w:r>
        <w:r w:rsidR="0020495B">
          <w:rPr>
            <w:noProof/>
            <w:webHidden/>
          </w:rPr>
          <w:fldChar w:fldCharType="end"/>
        </w:r>
      </w:hyperlink>
    </w:p>
    <w:p w:rsidR="0020495B" w:rsidRDefault="00AB6E95">
      <w:pPr>
        <w:pStyle w:val="TOC5"/>
        <w:tabs>
          <w:tab w:val="left" w:pos="3600"/>
        </w:tabs>
        <w:rPr>
          <w:rFonts w:asciiTheme="minorHAnsi" w:hAnsiTheme="minorHAnsi" w:cstheme="minorBidi"/>
          <w:noProof/>
          <w:sz w:val="22"/>
          <w:szCs w:val="22"/>
        </w:rPr>
      </w:pPr>
      <w:hyperlink w:anchor="_Toc442104187" w:history="1">
        <w:r w:rsidR="0020495B" w:rsidRPr="006E10E7">
          <w:rPr>
            <w:rStyle w:val="Hyperlink"/>
            <w:noProof/>
          </w:rPr>
          <w:t>i.</w:t>
        </w:r>
        <w:r w:rsidR="0020495B">
          <w:rPr>
            <w:rFonts w:asciiTheme="minorHAnsi" w:hAnsiTheme="minorHAnsi" w:cstheme="minorBidi"/>
            <w:noProof/>
            <w:sz w:val="22"/>
            <w:szCs w:val="22"/>
          </w:rPr>
          <w:tab/>
        </w:r>
        <w:r w:rsidR="0020495B" w:rsidRPr="006E10E7">
          <w:rPr>
            <w:rStyle w:val="Hyperlink"/>
            <w:noProof/>
          </w:rPr>
          <w:t xml:space="preserve">Under R.C. 4928.38, AEP Ohio may no longer receive transition revenues and “shall be fully on </w:t>
        </w:r>
        <w:r w:rsidR="001D77BB">
          <w:rPr>
            <w:rStyle w:val="Hyperlink"/>
            <w:noProof/>
          </w:rPr>
          <w:br/>
        </w:r>
        <w:r w:rsidR="0020495B" w:rsidRPr="006E10E7">
          <w:rPr>
            <w:rStyle w:val="Hyperlink"/>
            <w:noProof/>
          </w:rPr>
          <w:t>its own in the competitive market.”</w:t>
        </w:r>
        <w:r w:rsidR="0020495B">
          <w:rPr>
            <w:noProof/>
            <w:webHidden/>
          </w:rPr>
          <w:tab/>
        </w:r>
        <w:r w:rsidR="0020495B">
          <w:rPr>
            <w:noProof/>
            <w:webHidden/>
          </w:rPr>
          <w:fldChar w:fldCharType="begin"/>
        </w:r>
        <w:r w:rsidR="0020495B">
          <w:rPr>
            <w:noProof/>
            <w:webHidden/>
          </w:rPr>
          <w:instrText xml:space="preserve"> PAGEREF _Toc442104187 \h </w:instrText>
        </w:r>
        <w:r w:rsidR="0020495B">
          <w:rPr>
            <w:noProof/>
            <w:webHidden/>
          </w:rPr>
        </w:r>
        <w:r w:rsidR="0020495B">
          <w:rPr>
            <w:noProof/>
            <w:webHidden/>
          </w:rPr>
          <w:fldChar w:fldCharType="separate"/>
        </w:r>
        <w:r w:rsidR="007110F2">
          <w:rPr>
            <w:noProof/>
            <w:webHidden/>
          </w:rPr>
          <w:t>96</w:t>
        </w:r>
        <w:r w:rsidR="0020495B">
          <w:rPr>
            <w:noProof/>
            <w:webHidden/>
          </w:rPr>
          <w:fldChar w:fldCharType="end"/>
        </w:r>
      </w:hyperlink>
    </w:p>
    <w:p w:rsidR="0020495B" w:rsidRDefault="00AB6E95">
      <w:pPr>
        <w:pStyle w:val="TOC5"/>
        <w:tabs>
          <w:tab w:val="left" w:pos="3600"/>
        </w:tabs>
        <w:rPr>
          <w:rFonts w:asciiTheme="minorHAnsi" w:hAnsiTheme="minorHAnsi" w:cstheme="minorBidi"/>
          <w:noProof/>
          <w:sz w:val="22"/>
          <w:szCs w:val="22"/>
        </w:rPr>
      </w:pPr>
      <w:hyperlink w:anchor="_Toc442104188" w:history="1">
        <w:r w:rsidR="0020495B" w:rsidRPr="006E10E7">
          <w:rPr>
            <w:rStyle w:val="Hyperlink"/>
            <w:noProof/>
          </w:rPr>
          <w:t>ii.</w:t>
        </w:r>
        <w:r w:rsidR="0020495B">
          <w:rPr>
            <w:rFonts w:asciiTheme="minorHAnsi" w:hAnsiTheme="minorHAnsi" w:cstheme="minorBidi"/>
            <w:noProof/>
            <w:sz w:val="22"/>
            <w:szCs w:val="22"/>
          </w:rPr>
          <w:tab/>
        </w:r>
        <w:r w:rsidR="0020495B" w:rsidRPr="006E10E7">
          <w:rPr>
            <w:rStyle w:val="Hyperlink"/>
            <w:noProof/>
          </w:rPr>
          <w:t>Neither AEP nor AEPGR should be permitted to use government regulation to collect additional revenues from captive consumers.</w:t>
        </w:r>
        <w:r w:rsidR="0020495B">
          <w:rPr>
            <w:noProof/>
            <w:webHidden/>
          </w:rPr>
          <w:tab/>
        </w:r>
        <w:r w:rsidR="0020495B">
          <w:rPr>
            <w:noProof/>
            <w:webHidden/>
          </w:rPr>
          <w:fldChar w:fldCharType="begin"/>
        </w:r>
        <w:r w:rsidR="0020495B">
          <w:rPr>
            <w:noProof/>
            <w:webHidden/>
          </w:rPr>
          <w:instrText xml:space="preserve"> PAGEREF _Toc442104188 \h </w:instrText>
        </w:r>
        <w:r w:rsidR="0020495B">
          <w:rPr>
            <w:noProof/>
            <w:webHidden/>
          </w:rPr>
        </w:r>
        <w:r w:rsidR="0020495B">
          <w:rPr>
            <w:noProof/>
            <w:webHidden/>
          </w:rPr>
          <w:fldChar w:fldCharType="separate"/>
        </w:r>
        <w:r w:rsidR="007110F2">
          <w:rPr>
            <w:noProof/>
            <w:webHidden/>
          </w:rPr>
          <w:t>98</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189" w:history="1">
        <w:r w:rsidR="0020495B" w:rsidRPr="006E10E7">
          <w:rPr>
            <w:rStyle w:val="Hyperlink"/>
            <w:noProof/>
            <w:lang w:bidi="hi-IN"/>
          </w:rPr>
          <w:t>b.</w:t>
        </w:r>
        <w:r w:rsidR="0020495B">
          <w:rPr>
            <w:rFonts w:asciiTheme="minorHAnsi" w:hAnsiTheme="minorHAnsi"/>
            <w:noProof/>
            <w:sz w:val="22"/>
          </w:rPr>
          <w:tab/>
        </w:r>
        <w:r w:rsidR="0020495B" w:rsidRPr="006E10E7">
          <w:rPr>
            <w:rStyle w:val="Hyperlink"/>
            <w:noProof/>
            <w:lang w:bidi="hi-IN"/>
          </w:rPr>
          <w:t>The PPA Rider cross-subsidizes generation contrary to state policy and consumer interests.</w:t>
        </w:r>
        <w:r w:rsidR="0020495B">
          <w:rPr>
            <w:noProof/>
            <w:webHidden/>
          </w:rPr>
          <w:tab/>
        </w:r>
        <w:r w:rsidR="0020495B">
          <w:rPr>
            <w:noProof/>
            <w:webHidden/>
          </w:rPr>
          <w:fldChar w:fldCharType="begin"/>
        </w:r>
        <w:r w:rsidR="0020495B">
          <w:rPr>
            <w:noProof/>
            <w:webHidden/>
          </w:rPr>
          <w:instrText xml:space="preserve"> PAGEREF _Toc442104189 \h </w:instrText>
        </w:r>
        <w:r w:rsidR="0020495B">
          <w:rPr>
            <w:noProof/>
            <w:webHidden/>
          </w:rPr>
        </w:r>
        <w:r w:rsidR="0020495B">
          <w:rPr>
            <w:noProof/>
            <w:webHidden/>
          </w:rPr>
          <w:fldChar w:fldCharType="separate"/>
        </w:r>
        <w:r w:rsidR="007110F2">
          <w:rPr>
            <w:noProof/>
            <w:webHidden/>
          </w:rPr>
          <w:t>100</w:t>
        </w:r>
        <w:r w:rsidR="0020495B">
          <w:rPr>
            <w:noProof/>
            <w:webHidden/>
          </w:rPr>
          <w:fldChar w:fldCharType="end"/>
        </w:r>
      </w:hyperlink>
    </w:p>
    <w:p w:rsidR="0020495B" w:rsidRDefault="00AB6E95">
      <w:pPr>
        <w:pStyle w:val="TOC3"/>
        <w:tabs>
          <w:tab w:val="left" w:pos="2160"/>
        </w:tabs>
        <w:rPr>
          <w:rFonts w:asciiTheme="minorHAnsi" w:hAnsiTheme="minorHAnsi"/>
          <w:noProof/>
          <w:sz w:val="22"/>
        </w:rPr>
      </w:pPr>
      <w:hyperlink w:anchor="_Toc442104190" w:history="1">
        <w:r w:rsidR="0020495B" w:rsidRPr="006E10E7">
          <w:rPr>
            <w:rStyle w:val="Hyperlink"/>
            <w:noProof/>
            <w:lang w:bidi="hi-IN"/>
          </w:rPr>
          <w:t>2.</w:t>
        </w:r>
        <w:r w:rsidR="0020495B">
          <w:rPr>
            <w:rFonts w:asciiTheme="minorHAnsi" w:hAnsiTheme="minorHAnsi"/>
            <w:noProof/>
            <w:sz w:val="22"/>
          </w:rPr>
          <w:tab/>
        </w:r>
        <w:r w:rsidR="0020495B" w:rsidRPr="006E10E7">
          <w:rPr>
            <w:rStyle w:val="Hyperlink"/>
            <w:noProof/>
            <w:lang w:bidi="hi-IN"/>
          </w:rPr>
          <w:t>AEP Ohio’s proposal is too costly for consumers and is unnecessary.</w:t>
        </w:r>
        <w:r w:rsidR="0020495B">
          <w:rPr>
            <w:noProof/>
            <w:webHidden/>
          </w:rPr>
          <w:tab/>
        </w:r>
        <w:r w:rsidR="0020495B">
          <w:rPr>
            <w:noProof/>
            <w:webHidden/>
          </w:rPr>
          <w:fldChar w:fldCharType="begin"/>
        </w:r>
        <w:r w:rsidR="0020495B">
          <w:rPr>
            <w:noProof/>
            <w:webHidden/>
          </w:rPr>
          <w:instrText xml:space="preserve"> PAGEREF _Toc442104190 \h </w:instrText>
        </w:r>
        <w:r w:rsidR="0020495B">
          <w:rPr>
            <w:noProof/>
            <w:webHidden/>
          </w:rPr>
        </w:r>
        <w:r w:rsidR="0020495B">
          <w:rPr>
            <w:noProof/>
            <w:webHidden/>
          </w:rPr>
          <w:fldChar w:fldCharType="separate"/>
        </w:r>
        <w:r w:rsidR="007110F2">
          <w:rPr>
            <w:noProof/>
            <w:webHidden/>
          </w:rPr>
          <w:t>101</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191" w:history="1">
        <w:r w:rsidR="0020495B" w:rsidRPr="006E10E7">
          <w:rPr>
            <w:rStyle w:val="Hyperlink"/>
            <w:noProof/>
            <w:lang w:bidi="hi-IN"/>
          </w:rPr>
          <w:t>a.</w:t>
        </w:r>
        <w:r w:rsidR="0020495B">
          <w:rPr>
            <w:rFonts w:asciiTheme="minorHAnsi" w:hAnsiTheme="minorHAnsi"/>
            <w:noProof/>
            <w:sz w:val="22"/>
          </w:rPr>
          <w:tab/>
        </w:r>
        <w:r w:rsidR="0020495B" w:rsidRPr="006E10E7">
          <w:rPr>
            <w:rStyle w:val="Hyperlink"/>
            <w:noProof/>
            <w:lang w:bidi="hi-IN"/>
          </w:rPr>
          <w:t xml:space="preserve">AEP Ohio’s projections are wrong, and consumers will unlawfully and unreasonably be made to pay for AEP Ohio’s overstated estimates of the benefits of its </w:t>
        </w:r>
        <w:r w:rsidR="001D77BB">
          <w:rPr>
            <w:rStyle w:val="Hyperlink"/>
            <w:noProof/>
            <w:lang w:bidi="hi-IN"/>
          </w:rPr>
          <w:br/>
        </w:r>
        <w:r w:rsidR="0020495B" w:rsidRPr="006E10E7">
          <w:rPr>
            <w:rStyle w:val="Hyperlink"/>
            <w:noProof/>
            <w:lang w:bidi="hi-IN"/>
          </w:rPr>
          <w:t>proposal.</w:t>
        </w:r>
        <w:r w:rsidR="0020495B">
          <w:rPr>
            <w:noProof/>
            <w:webHidden/>
          </w:rPr>
          <w:tab/>
        </w:r>
        <w:r w:rsidR="0020495B">
          <w:rPr>
            <w:noProof/>
            <w:webHidden/>
          </w:rPr>
          <w:fldChar w:fldCharType="begin"/>
        </w:r>
        <w:r w:rsidR="0020495B">
          <w:rPr>
            <w:noProof/>
            <w:webHidden/>
          </w:rPr>
          <w:instrText xml:space="preserve"> PAGEREF _Toc442104191 \h </w:instrText>
        </w:r>
        <w:r w:rsidR="0020495B">
          <w:rPr>
            <w:noProof/>
            <w:webHidden/>
          </w:rPr>
        </w:r>
        <w:r w:rsidR="0020495B">
          <w:rPr>
            <w:noProof/>
            <w:webHidden/>
          </w:rPr>
          <w:fldChar w:fldCharType="separate"/>
        </w:r>
        <w:r w:rsidR="007110F2">
          <w:rPr>
            <w:noProof/>
            <w:webHidden/>
          </w:rPr>
          <w:t>101</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192" w:history="1">
        <w:r w:rsidR="0020495B" w:rsidRPr="006E10E7">
          <w:rPr>
            <w:rStyle w:val="Hyperlink"/>
            <w:noProof/>
            <w:lang w:bidi="hi-IN"/>
          </w:rPr>
          <w:t>b.</w:t>
        </w:r>
        <w:r w:rsidR="0020495B">
          <w:rPr>
            <w:rFonts w:asciiTheme="minorHAnsi" w:hAnsiTheme="minorHAnsi"/>
            <w:noProof/>
            <w:sz w:val="22"/>
          </w:rPr>
          <w:tab/>
        </w:r>
        <w:r w:rsidR="0020495B" w:rsidRPr="006E10E7">
          <w:rPr>
            <w:rStyle w:val="Hyperlink"/>
            <w:noProof/>
            <w:lang w:bidi="hi-IN"/>
          </w:rPr>
          <w:t>The PPA Rider’s purported value as a hedge is greatly overstated by AEP Ohio, and the Rider would add to volatility to consumers’ detriment.</w:t>
        </w:r>
        <w:r w:rsidR="0020495B">
          <w:rPr>
            <w:noProof/>
            <w:webHidden/>
          </w:rPr>
          <w:tab/>
        </w:r>
        <w:r w:rsidR="0020495B">
          <w:rPr>
            <w:noProof/>
            <w:webHidden/>
          </w:rPr>
          <w:fldChar w:fldCharType="begin"/>
        </w:r>
        <w:r w:rsidR="0020495B">
          <w:rPr>
            <w:noProof/>
            <w:webHidden/>
          </w:rPr>
          <w:instrText xml:space="preserve"> PAGEREF _Toc442104192 \h </w:instrText>
        </w:r>
        <w:r w:rsidR="0020495B">
          <w:rPr>
            <w:noProof/>
            <w:webHidden/>
          </w:rPr>
        </w:r>
        <w:r w:rsidR="0020495B">
          <w:rPr>
            <w:noProof/>
            <w:webHidden/>
          </w:rPr>
          <w:fldChar w:fldCharType="separate"/>
        </w:r>
        <w:r w:rsidR="007110F2">
          <w:rPr>
            <w:noProof/>
            <w:webHidden/>
          </w:rPr>
          <w:t>103</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193" w:history="1">
        <w:r w:rsidR="0020495B" w:rsidRPr="006E10E7">
          <w:rPr>
            <w:rStyle w:val="Hyperlink"/>
            <w:noProof/>
            <w:lang w:bidi="hi-IN"/>
          </w:rPr>
          <w:t>c.</w:t>
        </w:r>
        <w:r w:rsidR="0020495B">
          <w:rPr>
            <w:rFonts w:asciiTheme="minorHAnsi" w:hAnsiTheme="minorHAnsi"/>
            <w:noProof/>
            <w:sz w:val="22"/>
          </w:rPr>
          <w:tab/>
        </w:r>
        <w:r w:rsidR="0020495B" w:rsidRPr="006E10E7">
          <w:rPr>
            <w:rStyle w:val="Hyperlink"/>
            <w:noProof/>
            <w:lang w:bidi="hi-IN"/>
          </w:rPr>
          <w:t>AEP Ohio Witness Bletzacker’s rebuttal falls short.</w:t>
        </w:r>
        <w:r w:rsidR="0020495B">
          <w:rPr>
            <w:noProof/>
            <w:webHidden/>
          </w:rPr>
          <w:tab/>
        </w:r>
        <w:r w:rsidR="0020495B">
          <w:rPr>
            <w:noProof/>
            <w:webHidden/>
          </w:rPr>
          <w:fldChar w:fldCharType="begin"/>
        </w:r>
        <w:r w:rsidR="0020495B">
          <w:rPr>
            <w:noProof/>
            <w:webHidden/>
          </w:rPr>
          <w:instrText xml:space="preserve"> PAGEREF _Toc442104193 \h </w:instrText>
        </w:r>
        <w:r w:rsidR="0020495B">
          <w:rPr>
            <w:noProof/>
            <w:webHidden/>
          </w:rPr>
        </w:r>
        <w:r w:rsidR="0020495B">
          <w:rPr>
            <w:noProof/>
            <w:webHidden/>
          </w:rPr>
          <w:fldChar w:fldCharType="separate"/>
        </w:r>
        <w:r w:rsidR="007110F2">
          <w:rPr>
            <w:noProof/>
            <w:webHidden/>
          </w:rPr>
          <w:t>105</w:t>
        </w:r>
        <w:r w:rsidR="0020495B">
          <w:rPr>
            <w:noProof/>
            <w:webHidden/>
          </w:rPr>
          <w:fldChar w:fldCharType="end"/>
        </w:r>
      </w:hyperlink>
    </w:p>
    <w:p w:rsidR="0020495B" w:rsidRDefault="00AB6E95">
      <w:pPr>
        <w:pStyle w:val="TOC3"/>
        <w:tabs>
          <w:tab w:val="left" w:pos="2160"/>
        </w:tabs>
        <w:rPr>
          <w:rFonts w:asciiTheme="minorHAnsi" w:hAnsiTheme="minorHAnsi"/>
          <w:noProof/>
          <w:sz w:val="22"/>
        </w:rPr>
      </w:pPr>
      <w:hyperlink w:anchor="_Toc442104194" w:history="1">
        <w:r w:rsidR="0020495B" w:rsidRPr="006E10E7">
          <w:rPr>
            <w:rStyle w:val="Hyperlink"/>
            <w:noProof/>
            <w:lang w:bidi="hi-IN"/>
          </w:rPr>
          <w:t>3.</w:t>
        </w:r>
        <w:r w:rsidR="0020495B">
          <w:rPr>
            <w:rFonts w:asciiTheme="minorHAnsi" w:hAnsiTheme="minorHAnsi"/>
            <w:noProof/>
            <w:sz w:val="22"/>
          </w:rPr>
          <w:tab/>
        </w:r>
        <w:r w:rsidR="0020495B" w:rsidRPr="006E10E7">
          <w:rPr>
            <w:rStyle w:val="Hyperlink"/>
            <w:noProof/>
            <w:lang w:bidi="hi-IN"/>
          </w:rPr>
          <w:t xml:space="preserve">The PPA Rider subsidy would undermine the PJM energy </w:t>
        </w:r>
        <w:r w:rsidR="001D77BB">
          <w:rPr>
            <w:rStyle w:val="Hyperlink"/>
            <w:noProof/>
            <w:lang w:bidi="hi-IN"/>
          </w:rPr>
          <w:br/>
        </w:r>
        <w:r w:rsidR="0020495B" w:rsidRPr="006E10E7">
          <w:rPr>
            <w:rStyle w:val="Hyperlink"/>
            <w:noProof/>
            <w:lang w:bidi="hi-IN"/>
          </w:rPr>
          <w:t>market by permitting AEP Ohio to develop offer strategies that will harm its captive customers.</w:t>
        </w:r>
        <w:r w:rsidR="0020495B">
          <w:rPr>
            <w:noProof/>
            <w:webHidden/>
          </w:rPr>
          <w:tab/>
        </w:r>
        <w:r w:rsidR="0020495B">
          <w:rPr>
            <w:noProof/>
            <w:webHidden/>
          </w:rPr>
          <w:fldChar w:fldCharType="begin"/>
        </w:r>
        <w:r w:rsidR="0020495B">
          <w:rPr>
            <w:noProof/>
            <w:webHidden/>
          </w:rPr>
          <w:instrText xml:space="preserve"> PAGEREF _Toc442104194 \h </w:instrText>
        </w:r>
        <w:r w:rsidR="0020495B">
          <w:rPr>
            <w:noProof/>
            <w:webHidden/>
          </w:rPr>
        </w:r>
        <w:r w:rsidR="0020495B">
          <w:rPr>
            <w:noProof/>
            <w:webHidden/>
          </w:rPr>
          <w:fldChar w:fldCharType="separate"/>
        </w:r>
        <w:r w:rsidR="007110F2">
          <w:rPr>
            <w:noProof/>
            <w:webHidden/>
          </w:rPr>
          <w:t>106</w:t>
        </w:r>
        <w:r w:rsidR="0020495B">
          <w:rPr>
            <w:noProof/>
            <w:webHidden/>
          </w:rPr>
          <w:fldChar w:fldCharType="end"/>
        </w:r>
      </w:hyperlink>
    </w:p>
    <w:p w:rsidR="0020495B" w:rsidRDefault="00AB6E95">
      <w:pPr>
        <w:pStyle w:val="TOC3"/>
        <w:tabs>
          <w:tab w:val="left" w:pos="2160"/>
        </w:tabs>
        <w:rPr>
          <w:rFonts w:asciiTheme="minorHAnsi" w:hAnsiTheme="minorHAnsi"/>
          <w:noProof/>
          <w:sz w:val="22"/>
        </w:rPr>
      </w:pPr>
      <w:hyperlink w:anchor="_Toc442104195" w:history="1">
        <w:r w:rsidR="0020495B" w:rsidRPr="006E10E7">
          <w:rPr>
            <w:rStyle w:val="Hyperlink"/>
            <w:noProof/>
            <w:lang w:bidi="hi-IN"/>
          </w:rPr>
          <w:t>4.</w:t>
        </w:r>
        <w:r w:rsidR="0020495B">
          <w:rPr>
            <w:rFonts w:asciiTheme="minorHAnsi" w:hAnsiTheme="minorHAnsi"/>
            <w:noProof/>
            <w:sz w:val="22"/>
          </w:rPr>
          <w:tab/>
        </w:r>
        <w:r w:rsidR="0020495B" w:rsidRPr="006E10E7">
          <w:rPr>
            <w:rStyle w:val="Hyperlink"/>
            <w:noProof/>
            <w:lang w:bidi="hi-IN"/>
          </w:rPr>
          <w:t>The PPA Rider subsidy would harm consumers by undermining the PJM capacity market, where AEP could operate plants with immunity (funded by consumers) from downsides in market forces.</w:t>
        </w:r>
        <w:r w:rsidR="0020495B">
          <w:rPr>
            <w:noProof/>
            <w:webHidden/>
          </w:rPr>
          <w:tab/>
        </w:r>
        <w:r w:rsidR="0020495B">
          <w:rPr>
            <w:noProof/>
            <w:webHidden/>
          </w:rPr>
          <w:fldChar w:fldCharType="begin"/>
        </w:r>
        <w:r w:rsidR="0020495B">
          <w:rPr>
            <w:noProof/>
            <w:webHidden/>
          </w:rPr>
          <w:instrText xml:space="preserve"> PAGEREF _Toc442104195 \h </w:instrText>
        </w:r>
        <w:r w:rsidR="0020495B">
          <w:rPr>
            <w:noProof/>
            <w:webHidden/>
          </w:rPr>
        </w:r>
        <w:r w:rsidR="0020495B">
          <w:rPr>
            <w:noProof/>
            <w:webHidden/>
          </w:rPr>
          <w:fldChar w:fldCharType="separate"/>
        </w:r>
        <w:r w:rsidR="007110F2">
          <w:rPr>
            <w:noProof/>
            <w:webHidden/>
          </w:rPr>
          <w:t>108</w:t>
        </w:r>
        <w:r w:rsidR="0020495B">
          <w:rPr>
            <w:noProof/>
            <w:webHidden/>
          </w:rPr>
          <w:fldChar w:fldCharType="end"/>
        </w:r>
      </w:hyperlink>
    </w:p>
    <w:p w:rsidR="0020495B" w:rsidRDefault="00AB6E95">
      <w:pPr>
        <w:pStyle w:val="TOC3"/>
        <w:tabs>
          <w:tab w:val="left" w:pos="2160"/>
        </w:tabs>
        <w:rPr>
          <w:rFonts w:asciiTheme="minorHAnsi" w:hAnsiTheme="minorHAnsi"/>
          <w:noProof/>
          <w:sz w:val="22"/>
        </w:rPr>
      </w:pPr>
      <w:hyperlink w:anchor="_Toc442104196" w:history="1">
        <w:r w:rsidR="0020495B" w:rsidRPr="006E10E7">
          <w:rPr>
            <w:rStyle w:val="Hyperlink"/>
            <w:noProof/>
            <w:lang w:bidi="hi-IN"/>
          </w:rPr>
          <w:t>5.</w:t>
        </w:r>
        <w:r w:rsidR="0020495B">
          <w:rPr>
            <w:rFonts w:asciiTheme="minorHAnsi" w:hAnsiTheme="minorHAnsi"/>
            <w:noProof/>
            <w:sz w:val="22"/>
          </w:rPr>
          <w:tab/>
        </w:r>
        <w:r w:rsidR="0020495B" w:rsidRPr="006E10E7">
          <w:rPr>
            <w:rStyle w:val="Hyperlink"/>
            <w:noProof/>
            <w:lang w:bidi="hi-IN"/>
          </w:rPr>
          <w:t xml:space="preserve">Non-PPA Units’ participation in PJM provides additional incentives for AEP Ohio to develop offer strategies that will </w:t>
        </w:r>
        <w:r w:rsidR="001D77BB">
          <w:rPr>
            <w:rStyle w:val="Hyperlink"/>
            <w:noProof/>
            <w:lang w:bidi="hi-IN"/>
          </w:rPr>
          <w:br/>
        </w:r>
        <w:r w:rsidR="0020495B" w:rsidRPr="006E10E7">
          <w:rPr>
            <w:rStyle w:val="Hyperlink"/>
            <w:noProof/>
            <w:lang w:bidi="hi-IN"/>
          </w:rPr>
          <w:t>harm captive customers.</w:t>
        </w:r>
        <w:r w:rsidR="0020495B">
          <w:rPr>
            <w:noProof/>
            <w:webHidden/>
          </w:rPr>
          <w:tab/>
        </w:r>
        <w:r w:rsidR="0020495B">
          <w:rPr>
            <w:noProof/>
            <w:webHidden/>
          </w:rPr>
          <w:fldChar w:fldCharType="begin"/>
        </w:r>
        <w:r w:rsidR="0020495B">
          <w:rPr>
            <w:noProof/>
            <w:webHidden/>
          </w:rPr>
          <w:instrText xml:space="preserve"> PAGEREF _Toc442104196 \h </w:instrText>
        </w:r>
        <w:r w:rsidR="0020495B">
          <w:rPr>
            <w:noProof/>
            <w:webHidden/>
          </w:rPr>
        </w:r>
        <w:r w:rsidR="0020495B">
          <w:rPr>
            <w:noProof/>
            <w:webHidden/>
          </w:rPr>
          <w:fldChar w:fldCharType="separate"/>
        </w:r>
        <w:r w:rsidR="007110F2">
          <w:rPr>
            <w:noProof/>
            <w:webHidden/>
          </w:rPr>
          <w:t>110</w:t>
        </w:r>
        <w:r w:rsidR="0020495B">
          <w:rPr>
            <w:noProof/>
            <w:webHidden/>
          </w:rPr>
          <w:fldChar w:fldCharType="end"/>
        </w:r>
      </w:hyperlink>
    </w:p>
    <w:p w:rsidR="0020495B" w:rsidRDefault="00AB6E95">
      <w:pPr>
        <w:pStyle w:val="TOC3"/>
        <w:tabs>
          <w:tab w:val="left" w:pos="2160"/>
        </w:tabs>
        <w:rPr>
          <w:rFonts w:asciiTheme="minorHAnsi" w:hAnsiTheme="minorHAnsi"/>
          <w:noProof/>
          <w:sz w:val="22"/>
        </w:rPr>
      </w:pPr>
      <w:hyperlink w:anchor="_Toc442104197" w:history="1">
        <w:r w:rsidR="0020495B" w:rsidRPr="006E10E7">
          <w:rPr>
            <w:rStyle w:val="Hyperlink"/>
            <w:noProof/>
            <w:lang w:bidi="hi-IN"/>
          </w:rPr>
          <w:t>6.</w:t>
        </w:r>
        <w:r w:rsidR="0020495B">
          <w:rPr>
            <w:rFonts w:asciiTheme="minorHAnsi" w:hAnsiTheme="minorHAnsi"/>
            <w:noProof/>
            <w:sz w:val="22"/>
          </w:rPr>
          <w:tab/>
        </w:r>
        <w:r w:rsidR="0020495B" w:rsidRPr="006E10E7">
          <w:rPr>
            <w:rStyle w:val="Hyperlink"/>
            <w:noProof/>
            <w:lang w:bidi="hi-IN"/>
          </w:rPr>
          <w:t>The PPA Rider subsidy harms consumers by disincenting AEP Ohio from controlling the PPA Units’ costs.</w:t>
        </w:r>
        <w:r w:rsidR="0020495B">
          <w:rPr>
            <w:noProof/>
            <w:webHidden/>
          </w:rPr>
          <w:tab/>
        </w:r>
        <w:r w:rsidR="0020495B">
          <w:rPr>
            <w:noProof/>
            <w:webHidden/>
          </w:rPr>
          <w:fldChar w:fldCharType="begin"/>
        </w:r>
        <w:r w:rsidR="0020495B">
          <w:rPr>
            <w:noProof/>
            <w:webHidden/>
          </w:rPr>
          <w:instrText xml:space="preserve"> PAGEREF _Toc442104197 \h </w:instrText>
        </w:r>
        <w:r w:rsidR="0020495B">
          <w:rPr>
            <w:noProof/>
            <w:webHidden/>
          </w:rPr>
        </w:r>
        <w:r w:rsidR="0020495B">
          <w:rPr>
            <w:noProof/>
            <w:webHidden/>
          </w:rPr>
          <w:fldChar w:fldCharType="separate"/>
        </w:r>
        <w:r w:rsidR="007110F2">
          <w:rPr>
            <w:noProof/>
            <w:webHidden/>
          </w:rPr>
          <w:t>111</w:t>
        </w:r>
        <w:r w:rsidR="0020495B">
          <w:rPr>
            <w:noProof/>
            <w:webHidden/>
          </w:rPr>
          <w:fldChar w:fldCharType="end"/>
        </w:r>
      </w:hyperlink>
    </w:p>
    <w:p w:rsidR="0020495B" w:rsidRDefault="00AB6E95">
      <w:pPr>
        <w:pStyle w:val="TOC3"/>
        <w:tabs>
          <w:tab w:val="left" w:pos="2160"/>
        </w:tabs>
        <w:rPr>
          <w:rFonts w:asciiTheme="minorHAnsi" w:hAnsiTheme="minorHAnsi"/>
          <w:noProof/>
          <w:sz w:val="22"/>
        </w:rPr>
      </w:pPr>
      <w:hyperlink w:anchor="_Toc442104198" w:history="1">
        <w:r w:rsidR="0020495B" w:rsidRPr="006E10E7">
          <w:rPr>
            <w:rStyle w:val="Hyperlink"/>
            <w:noProof/>
            <w:lang w:bidi="hi-IN"/>
          </w:rPr>
          <w:t>7.</w:t>
        </w:r>
        <w:r w:rsidR="0020495B">
          <w:rPr>
            <w:rFonts w:asciiTheme="minorHAnsi" w:hAnsiTheme="minorHAnsi"/>
            <w:noProof/>
            <w:sz w:val="22"/>
          </w:rPr>
          <w:tab/>
        </w:r>
        <w:r w:rsidR="0020495B" w:rsidRPr="006E10E7">
          <w:rPr>
            <w:rStyle w:val="Hyperlink"/>
            <w:noProof/>
            <w:lang w:bidi="hi-IN"/>
          </w:rPr>
          <w:t xml:space="preserve">The Amended Application/Modified Amended Application </w:t>
        </w:r>
        <w:r w:rsidR="001D77BB">
          <w:rPr>
            <w:rStyle w:val="Hyperlink"/>
            <w:noProof/>
            <w:lang w:bidi="hi-IN"/>
          </w:rPr>
          <w:br/>
        </w:r>
        <w:r w:rsidR="0020495B" w:rsidRPr="006E10E7">
          <w:rPr>
            <w:rStyle w:val="Hyperlink"/>
            <w:noProof/>
            <w:lang w:bidi="hi-IN"/>
          </w:rPr>
          <w:t>should be denied because AEP Ohio has not met its burden of proof on the factors in the ESP III Opinion and Order.</w:t>
        </w:r>
        <w:r w:rsidR="0020495B">
          <w:rPr>
            <w:noProof/>
            <w:webHidden/>
          </w:rPr>
          <w:tab/>
        </w:r>
        <w:r w:rsidR="0020495B">
          <w:rPr>
            <w:noProof/>
            <w:webHidden/>
          </w:rPr>
          <w:fldChar w:fldCharType="begin"/>
        </w:r>
        <w:r w:rsidR="0020495B">
          <w:rPr>
            <w:noProof/>
            <w:webHidden/>
          </w:rPr>
          <w:instrText xml:space="preserve"> PAGEREF _Toc442104198 \h </w:instrText>
        </w:r>
        <w:r w:rsidR="0020495B">
          <w:rPr>
            <w:noProof/>
            <w:webHidden/>
          </w:rPr>
        </w:r>
        <w:r w:rsidR="0020495B">
          <w:rPr>
            <w:noProof/>
            <w:webHidden/>
          </w:rPr>
          <w:fldChar w:fldCharType="separate"/>
        </w:r>
        <w:r w:rsidR="007110F2">
          <w:rPr>
            <w:noProof/>
            <w:webHidden/>
          </w:rPr>
          <w:t>112</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199" w:history="1">
        <w:r w:rsidR="0020495B" w:rsidRPr="006E10E7">
          <w:rPr>
            <w:rStyle w:val="Hyperlink"/>
            <w:noProof/>
            <w:lang w:bidi="hi-IN"/>
          </w:rPr>
          <w:t>a.</w:t>
        </w:r>
        <w:r w:rsidR="0020495B">
          <w:rPr>
            <w:rFonts w:asciiTheme="minorHAnsi" w:hAnsiTheme="minorHAnsi"/>
            <w:noProof/>
            <w:sz w:val="22"/>
          </w:rPr>
          <w:tab/>
        </w:r>
        <w:r w:rsidR="0020495B" w:rsidRPr="006E10E7">
          <w:rPr>
            <w:rStyle w:val="Hyperlink"/>
            <w:noProof/>
            <w:lang w:bidi="hi-IN"/>
          </w:rPr>
          <w:t>AEP Ohio has not demonstrated a financial need for the PPA Units.</w:t>
        </w:r>
        <w:r w:rsidR="0020495B">
          <w:rPr>
            <w:noProof/>
            <w:webHidden/>
          </w:rPr>
          <w:tab/>
        </w:r>
        <w:r w:rsidR="0020495B">
          <w:rPr>
            <w:noProof/>
            <w:webHidden/>
          </w:rPr>
          <w:fldChar w:fldCharType="begin"/>
        </w:r>
        <w:r w:rsidR="0020495B">
          <w:rPr>
            <w:noProof/>
            <w:webHidden/>
          </w:rPr>
          <w:instrText xml:space="preserve"> PAGEREF _Toc442104199 \h </w:instrText>
        </w:r>
        <w:r w:rsidR="0020495B">
          <w:rPr>
            <w:noProof/>
            <w:webHidden/>
          </w:rPr>
        </w:r>
        <w:r w:rsidR="0020495B">
          <w:rPr>
            <w:noProof/>
            <w:webHidden/>
          </w:rPr>
          <w:fldChar w:fldCharType="separate"/>
        </w:r>
        <w:r w:rsidR="007110F2">
          <w:rPr>
            <w:noProof/>
            <w:webHidden/>
          </w:rPr>
          <w:t>112</w:t>
        </w:r>
        <w:r w:rsidR="0020495B">
          <w:rPr>
            <w:noProof/>
            <w:webHidden/>
          </w:rPr>
          <w:fldChar w:fldCharType="end"/>
        </w:r>
      </w:hyperlink>
    </w:p>
    <w:p w:rsidR="0020495B" w:rsidRDefault="00AB6E95">
      <w:pPr>
        <w:pStyle w:val="TOC5"/>
        <w:tabs>
          <w:tab w:val="left" w:pos="3600"/>
        </w:tabs>
        <w:rPr>
          <w:rFonts w:asciiTheme="minorHAnsi" w:hAnsiTheme="minorHAnsi" w:cstheme="minorBidi"/>
          <w:noProof/>
          <w:sz w:val="22"/>
          <w:szCs w:val="22"/>
        </w:rPr>
      </w:pPr>
      <w:hyperlink w:anchor="_Toc442104200" w:history="1">
        <w:r w:rsidR="0020495B" w:rsidRPr="006E10E7">
          <w:rPr>
            <w:rStyle w:val="Hyperlink"/>
            <w:noProof/>
          </w:rPr>
          <w:t>i.</w:t>
        </w:r>
        <w:r w:rsidR="0020495B">
          <w:rPr>
            <w:rFonts w:asciiTheme="minorHAnsi" w:hAnsiTheme="minorHAnsi" w:cstheme="minorBidi"/>
            <w:noProof/>
            <w:sz w:val="22"/>
            <w:szCs w:val="22"/>
          </w:rPr>
          <w:tab/>
        </w:r>
        <w:r w:rsidR="0020495B" w:rsidRPr="006E10E7">
          <w:rPr>
            <w:rStyle w:val="Hyperlink"/>
            <w:noProof/>
          </w:rPr>
          <w:t>There are more market-based alternatives to the PPA Rider.</w:t>
        </w:r>
        <w:r w:rsidR="0020495B">
          <w:rPr>
            <w:noProof/>
            <w:webHidden/>
          </w:rPr>
          <w:tab/>
        </w:r>
        <w:r w:rsidR="0020495B">
          <w:rPr>
            <w:noProof/>
            <w:webHidden/>
          </w:rPr>
          <w:fldChar w:fldCharType="begin"/>
        </w:r>
        <w:r w:rsidR="0020495B">
          <w:rPr>
            <w:noProof/>
            <w:webHidden/>
          </w:rPr>
          <w:instrText xml:space="preserve"> PAGEREF _Toc442104200 \h </w:instrText>
        </w:r>
        <w:r w:rsidR="0020495B">
          <w:rPr>
            <w:noProof/>
            <w:webHidden/>
          </w:rPr>
        </w:r>
        <w:r w:rsidR="0020495B">
          <w:rPr>
            <w:noProof/>
            <w:webHidden/>
          </w:rPr>
          <w:fldChar w:fldCharType="separate"/>
        </w:r>
        <w:r w:rsidR="007110F2">
          <w:rPr>
            <w:noProof/>
            <w:webHidden/>
          </w:rPr>
          <w:t>113</w:t>
        </w:r>
        <w:r w:rsidR="0020495B">
          <w:rPr>
            <w:noProof/>
            <w:webHidden/>
          </w:rPr>
          <w:fldChar w:fldCharType="end"/>
        </w:r>
      </w:hyperlink>
    </w:p>
    <w:p w:rsidR="0020495B" w:rsidRDefault="00AB6E95">
      <w:pPr>
        <w:pStyle w:val="TOC6"/>
        <w:tabs>
          <w:tab w:val="left" w:pos="4320"/>
        </w:tabs>
        <w:rPr>
          <w:rFonts w:asciiTheme="minorHAnsi" w:hAnsiTheme="minorHAnsi"/>
          <w:noProof/>
          <w:sz w:val="22"/>
        </w:rPr>
      </w:pPr>
      <w:hyperlink w:anchor="_Toc442104201" w:history="1">
        <w:r w:rsidR="0020495B" w:rsidRPr="006E10E7">
          <w:rPr>
            <w:rStyle w:val="Hyperlink"/>
            <w:noProof/>
          </w:rPr>
          <w:t>(a)</w:t>
        </w:r>
        <w:r w:rsidR="0020495B">
          <w:rPr>
            <w:rFonts w:asciiTheme="minorHAnsi" w:hAnsiTheme="minorHAnsi"/>
            <w:noProof/>
            <w:sz w:val="22"/>
          </w:rPr>
          <w:tab/>
        </w:r>
        <w:r w:rsidR="0020495B" w:rsidRPr="006E10E7">
          <w:rPr>
            <w:rStyle w:val="Hyperlink"/>
            <w:noProof/>
          </w:rPr>
          <w:t>Bi-lateral contracts.</w:t>
        </w:r>
        <w:r w:rsidR="0020495B">
          <w:rPr>
            <w:noProof/>
            <w:webHidden/>
          </w:rPr>
          <w:tab/>
        </w:r>
        <w:r w:rsidR="0020495B">
          <w:rPr>
            <w:noProof/>
            <w:webHidden/>
          </w:rPr>
          <w:fldChar w:fldCharType="begin"/>
        </w:r>
        <w:r w:rsidR="0020495B">
          <w:rPr>
            <w:noProof/>
            <w:webHidden/>
          </w:rPr>
          <w:instrText xml:space="preserve"> PAGEREF _Toc442104201 \h </w:instrText>
        </w:r>
        <w:r w:rsidR="0020495B">
          <w:rPr>
            <w:noProof/>
            <w:webHidden/>
          </w:rPr>
        </w:r>
        <w:r w:rsidR="0020495B">
          <w:rPr>
            <w:noProof/>
            <w:webHidden/>
          </w:rPr>
          <w:fldChar w:fldCharType="separate"/>
        </w:r>
        <w:r w:rsidR="007110F2">
          <w:rPr>
            <w:noProof/>
            <w:webHidden/>
          </w:rPr>
          <w:t>113</w:t>
        </w:r>
        <w:r w:rsidR="0020495B">
          <w:rPr>
            <w:noProof/>
            <w:webHidden/>
          </w:rPr>
          <w:fldChar w:fldCharType="end"/>
        </w:r>
      </w:hyperlink>
    </w:p>
    <w:p w:rsidR="0020495B" w:rsidRDefault="00AB6E95">
      <w:pPr>
        <w:pStyle w:val="TOC6"/>
        <w:tabs>
          <w:tab w:val="left" w:pos="4320"/>
        </w:tabs>
        <w:rPr>
          <w:rFonts w:asciiTheme="minorHAnsi" w:hAnsiTheme="minorHAnsi"/>
          <w:noProof/>
          <w:sz w:val="22"/>
        </w:rPr>
      </w:pPr>
      <w:hyperlink w:anchor="_Toc442104202" w:history="1">
        <w:r w:rsidR="0020495B" w:rsidRPr="006E10E7">
          <w:rPr>
            <w:rStyle w:val="Hyperlink"/>
            <w:noProof/>
          </w:rPr>
          <w:t>(b)</w:t>
        </w:r>
        <w:r w:rsidR="0020495B">
          <w:rPr>
            <w:rFonts w:asciiTheme="minorHAnsi" w:hAnsiTheme="minorHAnsi"/>
            <w:noProof/>
            <w:sz w:val="22"/>
          </w:rPr>
          <w:tab/>
        </w:r>
        <w:r w:rsidR="0020495B" w:rsidRPr="006E10E7">
          <w:rPr>
            <w:rStyle w:val="Hyperlink"/>
            <w:noProof/>
          </w:rPr>
          <w:t>Private financing.</w:t>
        </w:r>
        <w:r w:rsidR="0020495B">
          <w:rPr>
            <w:noProof/>
            <w:webHidden/>
          </w:rPr>
          <w:tab/>
        </w:r>
        <w:r w:rsidR="0020495B">
          <w:rPr>
            <w:noProof/>
            <w:webHidden/>
          </w:rPr>
          <w:fldChar w:fldCharType="begin"/>
        </w:r>
        <w:r w:rsidR="0020495B">
          <w:rPr>
            <w:noProof/>
            <w:webHidden/>
          </w:rPr>
          <w:instrText xml:space="preserve"> PAGEREF _Toc442104202 \h </w:instrText>
        </w:r>
        <w:r w:rsidR="0020495B">
          <w:rPr>
            <w:noProof/>
            <w:webHidden/>
          </w:rPr>
        </w:r>
        <w:r w:rsidR="0020495B">
          <w:rPr>
            <w:noProof/>
            <w:webHidden/>
          </w:rPr>
          <w:fldChar w:fldCharType="separate"/>
        </w:r>
        <w:r w:rsidR="007110F2">
          <w:rPr>
            <w:noProof/>
            <w:webHidden/>
          </w:rPr>
          <w:t>115</w:t>
        </w:r>
        <w:r w:rsidR="0020495B">
          <w:rPr>
            <w:noProof/>
            <w:webHidden/>
          </w:rPr>
          <w:fldChar w:fldCharType="end"/>
        </w:r>
      </w:hyperlink>
    </w:p>
    <w:p w:rsidR="0020495B" w:rsidRDefault="00AB6E95">
      <w:pPr>
        <w:pStyle w:val="TOC5"/>
        <w:tabs>
          <w:tab w:val="left" w:pos="3600"/>
        </w:tabs>
        <w:rPr>
          <w:rFonts w:asciiTheme="minorHAnsi" w:hAnsiTheme="minorHAnsi" w:cstheme="minorBidi"/>
          <w:noProof/>
          <w:sz w:val="22"/>
          <w:szCs w:val="22"/>
        </w:rPr>
      </w:pPr>
      <w:hyperlink w:anchor="_Toc442104203" w:history="1">
        <w:r w:rsidR="0020495B" w:rsidRPr="006E10E7">
          <w:rPr>
            <w:rStyle w:val="Hyperlink"/>
            <w:noProof/>
          </w:rPr>
          <w:t>ii.</w:t>
        </w:r>
        <w:r w:rsidR="0020495B">
          <w:rPr>
            <w:rFonts w:asciiTheme="minorHAnsi" w:hAnsiTheme="minorHAnsi" w:cstheme="minorBidi"/>
            <w:noProof/>
            <w:sz w:val="22"/>
            <w:szCs w:val="22"/>
          </w:rPr>
          <w:tab/>
        </w:r>
        <w:r w:rsidR="0020495B" w:rsidRPr="006E10E7">
          <w:rPr>
            <w:rStyle w:val="Hyperlink"/>
            <w:noProof/>
          </w:rPr>
          <w:t xml:space="preserve">AEP Ohio’s proposed return on equity (profit) is unjust, unreasonable, unprecedented, and </w:t>
        </w:r>
        <w:r w:rsidR="001D77BB">
          <w:rPr>
            <w:rStyle w:val="Hyperlink"/>
            <w:noProof/>
          </w:rPr>
          <w:br/>
        </w:r>
        <w:r w:rsidR="0020495B" w:rsidRPr="006E10E7">
          <w:rPr>
            <w:rStyle w:val="Hyperlink"/>
            <w:noProof/>
          </w:rPr>
          <w:t>harmful to consumers.</w:t>
        </w:r>
        <w:r w:rsidR="0020495B">
          <w:rPr>
            <w:noProof/>
            <w:webHidden/>
          </w:rPr>
          <w:tab/>
        </w:r>
        <w:r w:rsidR="0020495B">
          <w:rPr>
            <w:noProof/>
            <w:webHidden/>
          </w:rPr>
          <w:fldChar w:fldCharType="begin"/>
        </w:r>
        <w:r w:rsidR="0020495B">
          <w:rPr>
            <w:noProof/>
            <w:webHidden/>
          </w:rPr>
          <w:instrText xml:space="preserve"> PAGEREF _Toc442104203 \h </w:instrText>
        </w:r>
        <w:r w:rsidR="0020495B">
          <w:rPr>
            <w:noProof/>
            <w:webHidden/>
          </w:rPr>
        </w:r>
        <w:r w:rsidR="0020495B">
          <w:rPr>
            <w:noProof/>
            <w:webHidden/>
          </w:rPr>
          <w:fldChar w:fldCharType="separate"/>
        </w:r>
        <w:r w:rsidR="007110F2">
          <w:rPr>
            <w:noProof/>
            <w:webHidden/>
          </w:rPr>
          <w:t>116</w:t>
        </w:r>
        <w:r w:rsidR="0020495B">
          <w:rPr>
            <w:noProof/>
            <w:webHidden/>
          </w:rPr>
          <w:fldChar w:fldCharType="end"/>
        </w:r>
      </w:hyperlink>
    </w:p>
    <w:p w:rsidR="0020495B" w:rsidRDefault="00AB6E95">
      <w:pPr>
        <w:pStyle w:val="TOC6"/>
        <w:tabs>
          <w:tab w:val="left" w:pos="4320"/>
        </w:tabs>
        <w:rPr>
          <w:rFonts w:asciiTheme="minorHAnsi" w:hAnsiTheme="minorHAnsi"/>
          <w:noProof/>
          <w:sz w:val="22"/>
        </w:rPr>
      </w:pPr>
      <w:hyperlink w:anchor="_Toc442104204" w:history="1">
        <w:r w:rsidR="0020495B" w:rsidRPr="006E10E7">
          <w:rPr>
            <w:rStyle w:val="Hyperlink"/>
            <w:noProof/>
          </w:rPr>
          <w:t>(a)</w:t>
        </w:r>
        <w:r w:rsidR="0020495B">
          <w:rPr>
            <w:rFonts w:asciiTheme="minorHAnsi" w:hAnsiTheme="minorHAnsi"/>
            <w:noProof/>
            <w:sz w:val="22"/>
          </w:rPr>
          <w:tab/>
        </w:r>
        <w:r w:rsidR="0020495B" w:rsidRPr="006E10E7">
          <w:rPr>
            <w:rStyle w:val="Hyperlink"/>
            <w:noProof/>
          </w:rPr>
          <w:t>Traditional concepts of return on equity (profit) for regulated utilities are inapplicable here.</w:t>
        </w:r>
        <w:r w:rsidR="0020495B">
          <w:rPr>
            <w:noProof/>
            <w:webHidden/>
          </w:rPr>
          <w:tab/>
        </w:r>
        <w:r w:rsidR="0020495B">
          <w:rPr>
            <w:noProof/>
            <w:webHidden/>
          </w:rPr>
          <w:fldChar w:fldCharType="begin"/>
        </w:r>
        <w:r w:rsidR="0020495B">
          <w:rPr>
            <w:noProof/>
            <w:webHidden/>
          </w:rPr>
          <w:instrText xml:space="preserve"> PAGEREF _Toc442104204 \h </w:instrText>
        </w:r>
        <w:r w:rsidR="0020495B">
          <w:rPr>
            <w:noProof/>
            <w:webHidden/>
          </w:rPr>
        </w:r>
        <w:r w:rsidR="0020495B">
          <w:rPr>
            <w:noProof/>
            <w:webHidden/>
          </w:rPr>
          <w:fldChar w:fldCharType="separate"/>
        </w:r>
        <w:r w:rsidR="007110F2">
          <w:rPr>
            <w:noProof/>
            <w:webHidden/>
          </w:rPr>
          <w:t>116</w:t>
        </w:r>
        <w:r w:rsidR="0020495B">
          <w:rPr>
            <w:noProof/>
            <w:webHidden/>
          </w:rPr>
          <w:fldChar w:fldCharType="end"/>
        </w:r>
      </w:hyperlink>
    </w:p>
    <w:p w:rsidR="0020495B" w:rsidRDefault="00AB6E95">
      <w:pPr>
        <w:pStyle w:val="TOC6"/>
        <w:tabs>
          <w:tab w:val="left" w:pos="4320"/>
        </w:tabs>
        <w:rPr>
          <w:rFonts w:asciiTheme="minorHAnsi" w:hAnsiTheme="minorHAnsi"/>
          <w:noProof/>
          <w:sz w:val="22"/>
        </w:rPr>
      </w:pPr>
      <w:hyperlink w:anchor="_Toc442104205" w:history="1">
        <w:r w:rsidR="0020495B" w:rsidRPr="006E10E7">
          <w:rPr>
            <w:rStyle w:val="Hyperlink"/>
            <w:noProof/>
          </w:rPr>
          <w:t>(b)</w:t>
        </w:r>
        <w:r w:rsidR="0020495B">
          <w:rPr>
            <w:rFonts w:asciiTheme="minorHAnsi" w:hAnsiTheme="minorHAnsi"/>
            <w:noProof/>
            <w:sz w:val="22"/>
          </w:rPr>
          <w:tab/>
        </w:r>
        <w:r w:rsidR="0020495B" w:rsidRPr="006E10E7">
          <w:rPr>
            <w:rStyle w:val="Hyperlink"/>
            <w:noProof/>
          </w:rPr>
          <w:t xml:space="preserve">The proposed return on equity (profit) is overstated, unreasonable, and will </w:t>
        </w:r>
        <w:r w:rsidR="001D77BB">
          <w:rPr>
            <w:rStyle w:val="Hyperlink"/>
            <w:noProof/>
          </w:rPr>
          <w:br/>
        </w:r>
        <w:r w:rsidR="0020495B" w:rsidRPr="006E10E7">
          <w:rPr>
            <w:rStyle w:val="Hyperlink"/>
            <w:noProof/>
          </w:rPr>
          <w:t>therefore harm consumers.</w:t>
        </w:r>
        <w:r w:rsidR="0020495B">
          <w:rPr>
            <w:noProof/>
            <w:webHidden/>
          </w:rPr>
          <w:tab/>
        </w:r>
        <w:r w:rsidR="0020495B">
          <w:rPr>
            <w:noProof/>
            <w:webHidden/>
          </w:rPr>
          <w:fldChar w:fldCharType="begin"/>
        </w:r>
        <w:r w:rsidR="0020495B">
          <w:rPr>
            <w:noProof/>
            <w:webHidden/>
          </w:rPr>
          <w:instrText xml:space="preserve"> PAGEREF _Toc442104205 \h </w:instrText>
        </w:r>
        <w:r w:rsidR="0020495B">
          <w:rPr>
            <w:noProof/>
            <w:webHidden/>
          </w:rPr>
        </w:r>
        <w:r w:rsidR="0020495B">
          <w:rPr>
            <w:noProof/>
            <w:webHidden/>
          </w:rPr>
          <w:fldChar w:fldCharType="separate"/>
        </w:r>
        <w:r w:rsidR="007110F2">
          <w:rPr>
            <w:noProof/>
            <w:webHidden/>
          </w:rPr>
          <w:t>118</w:t>
        </w:r>
        <w:r w:rsidR="0020495B">
          <w:rPr>
            <w:noProof/>
            <w:webHidden/>
          </w:rPr>
          <w:fldChar w:fldCharType="end"/>
        </w:r>
      </w:hyperlink>
    </w:p>
    <w:p w:rsidR="0020495B" w:rsidRDefault="00AB6E95">
      <w:pPr>
        <w:pStyle w:val="TOC6"/>
        <w:tabs>
          <w:tab w:val="left" w:pos="4320"/>
        </w:tabs>
        <w:rPr>
          <w:rFonts w:asciiTheme="minorHAnsi" w:hAnsiTheme="minorHAnsi"/>
          <w:noProof/>
          <w:sz w:val="22"/>
        </w:rPr>
      </w:pPr>
      <w:hyperlink w:anchor="_Toc442104206" w:history="1">
        <w:r w:rsidR="0020495B" w:rsidRPr="006E10E7">
          <w:rPr>
            <w:rStyle w:val="Hyperlink"/>
            <w:noProof/>
          </w:rPr>
          <w:t>(c)</w:t>
        </w:r>
        <w:r w:rsidR="0020495B">
          <w:rPr>
            <w:rFonts w:asciiTheme="minorHAnsi" w:hAnsiTheme="minorHAnsi"/>
            <w:noProof/>
            <w:sz w:val="22"/>
          </w:rPr>
          <w:tab/>
        </w:r>
        <w:r w:rsidR="0020495B" w:rsidRPr="006E10E7">
          <w:rPr>
            <w:rStyle w:val="Hyperlink"/>
            <w:noProof/>
          </w:rPr>
          <w:t>Any profit should be set as low as possible, and no higher than AEPGR’s average cost of debt.</w:t>
        </w:r>
        <w:r w:rsidR="0020495B">
          <w:rPr>
            <w:noProof/>
            <w:webHidden/>
          </w:rPr>
          <w:tab/>
        </w:r>
        <w:r w:rsidR="0020495B">
          <w:rPr>
            <w:noProof/>
            <w:webHidden/>
          </w:rPr>
          <w:fldChar w:fldCharType="begin"/>
        </w:r>
        <w:r w:rsidR="0020495B">
          <w:rPr>
            <w:noProof/>
            <w:webHidden/>
          </w:rPr>
          <w:instrText xml:space="preserve"> PAGEREF _Toc442104206 \h </w:instrText>
        </w:r>
        <w:r w:rsidR="0020495B">
          <w:rPr>
            <w:noProof/>
            <w:webHidden/>
          </w:rPr>
        </w:r>
        <w:r w:rsidR="0020495B">
          <w:rPr>
            <w:noProof/>
            <w:webHidden/>
          </w:rPr>
          <w:fldChar w:fldCharType="separate"/>
        </w:r>
        <w:r w:rsidR="007110F2">
          <w:rPr>
            <w:noProof/>
            <w:webHidden/>
          </w:rPr>
          <w:t>120</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207" w:history="1">
        <w:r w:rsidR="0020495B" w:rsidRPr="006E10E7">
          <w:rPr>
            <w:rStyle w:val="Hyperlink"/>
            <w:noProof/>
            <w:lang w:bidi="hi-IN"/>
          </w:rPr>
          <w:t>b.</w:t>
        </w:r>
        <w:r w:rsidR="0020495B">
          <w:rPr>
            <w:rFonts w:asciiTheme="minorHAnsi" w:hAnsiTheme="minorHAnsi"/>
            <w:noProof/>
            <w:sz w:val="22"/>
          </w:rPr>
          <w:tab/>
        </w:r>
        <w:r w:rsidR="0020495B" w:rsidRPr="006E10E7">
          <w:rPr>
            <w:rStyle w:val="Hyperlink"/>
            <w:noProof/>
            <w:lang w:bidi="hi-IN"/>
          </w:rPr>
          <w:t>AEP Ohio has not demonstrated the necessity of the PPA Units in light of reliability concerns, including supply diversity.</w:t>
        </w:r>
        <w:r w:rsidR="0020495B">
          <w:rPr>
            <w:noProof/>
            <w:webHidden/>
          </w:rPr>
          <w:tab/>
        </w:r>
        <w:r w:rsidR="0020495B">
          <w:rPr>
            <w:noProof/>
            <w:webHidden/>
          </w:rPr>
          <w:fldChar w:fldCharType="begin"/>
        </w:r>
        <w:r w:rsidR="0020495B">
          <w:rPr>
            <w:noProof/>
            <w:webHidden/>
          </w:rPr>
          <w:instrText xml:space="preserve"> PAGEREF _Toc442104207 \h </w:instrText>
        </w:r>
        <w:r w:rsidR="0020495B">
          <w:rPr>
            <w:noProof/>
            <w:webHidden/>
          </w:rPr>
        </w:r>
        <w:r w:rsidR="0020495B">
          <w:rPr>
            <w:noProof/>
            <w:webHidden/>
          </w:rPr>
          <w:fldChar w:fldCharType="separate"/>
        </w:r>
        <w:r w:rsidR="007110F2">
          <w:rPr>
            <w:noProof/>
            <w:webHidden/>
          </w:rPr>
          <w:t>121</w:t>
        </w:r>
        <w:r w:rsidR="0020495B">
          <w:rPr>
            <w:noProof/>
            <w:webHidden/>
          </w:rPr>
          <w:fldChar w:fldCharType="end"/>
        </w:r>
      </w:hyperlink>
    </w:p>
    <w:p w:rsidR="0020495B" w:rsidRDefault="00AB6E95">
      <w:pPr>
        <w:pStyle w:val="TOC5"/>
        <w:tabs>
          <w:tab w:val="left" w:pos="3600"/>
        </w:tabs>
        <w:rPr>
          <w:rFonts w:asciiTheme="minorHAnsi" w:hAnsiTheme="minorHAnsi" w:cstheme="minorBidi"/>
          <w:noProof/>
          <w:sz w:val="22"/>
          <w:szCs w:val="22"/>
        </w:rPr>
      </w:pPr>
      <w:hyperlink w:anchor="_Toc442104208" w:history="1">
        <w:r w:rsidR="0020495B" w:rsidRPr="006E10E7">
          <w:rPr>
            <w:rStyle w:val="Hyperlink"/>
            <w:noProof/>
          </w:rPr>
          <w:t>i.</w:t>
        </w:r>
        <w:r w:rsidR="0020495B">
          <w:rPr>
            <w:rFonts w:asciiTheme="minorHAnsi" w:hAnsiTheme="minorHAnsi" w:cstheme="minorBidi"/>
            <w:noProof/>
            <w:sz w:val="22"/>
            <w:szCs w:val="22"/>
          </w:rPr>
          <w:tab/>
        </w:r>
        <w:r w:rsidR="0020495B" w:rsidRPr="006E10E7">
          <w:rPr>
            <w:rStyle w:val="Hyperlink"/>
            <w:noProof/>
          </w:rPr>
          <w:t>Contrary to AEP Ohio’s assertions, PJM is successfully maintaining resource adequacy.</w:t>
        </w:r>
        <w:r w:rsidR="0020495B">
          <w:rPr>
            <w:noProof/>
            <w:webHidden/>
          </w:rPr>
          <w:tab/>
        </w:r>
        <w:r w:rsidR="0020495B">
          <w:rPr>
            <w:noProof/>
            <w:webHidden/>
          </w:rPr>
          <w:fldChar w:fldCharType="begin"/>
        </w:r>
        <w:r w:rsidR="0020495B">
          <w:rPr>
            <w:noProof/>
            <w:webHidden/>
          </w:rPr>
          <w:instrText xml:space="preserve"> PAGEREF _Toc442104208 \h </w:instrText>
        </w:r>
        <w:r w:rsidR="0020495B">
          <w:rPr>
            <w:noProof/>
            <w:webHidden/>
          </w:rPr>
        </w:r>
        <w:r w:rsidR="0020495B">
          <w:rPr>
            <w:noProof/>
            <w:webHidden/>
          </w:rPr>
          <w:fldChar w:fldCharType="separate"/>
        </w:r>
        <w:r w:rsidR="007110F2">
          <w:rPr>
            <w:noProof/>
            <w:webHidden/>
          </w:rPr>
          <w:t>121</w:t>
        </w:r>
        <w:r w:rsidR="0020495B">
          <w:rPr>
            <w:noProof/>
            <w:webHidden/>
          </w:rPr>
          <w:fldChar w:fldCharType="end"/>
        </w:r>
      </w:hyperlink>
    </w:p>
    <w:p w:rsidR="0020495B" w:rsidRDefault="00AB6E95">
      <w:pPr>
        <w:pStyle w:val="TOC5"/>
        <w:tabs>
          <w:tab w:val="left" w:pos="3600"/>
        </w:tabs>
        <w:rPr>
          <w:rFonts w:asciiTheme="minorHAnsi" w:hAnsiTheme="minorHAnsi" w:cstheme="minorBidi"/>
          <w:noProof/>
          <w:sz w:val="22"/>
          <w:szCs w:val="22"/>
        </w:rPr>
      </w:pPr>
      <w:hyperlink w:anchor="_Toc442104209" w:history="1">
        <w:r w:rsidR="0020495B" w:rsidRPr="006E10E7">
          <w:rPr>
            <w:rStyle w:val="Hyperlink"/>
            <w:noProof/>
          </w:rPr>
          <w:t>ii.</w:t>
        </w:r>
        <w:r w:rsidR="0020495B">
          <w:rPr>
            <w:rFonts w:asciiTheme="minorHAnsi" w:hAnsiTheme="minorHAnsi" w:cstheme="minorBidi"/>
            <w:noProof/>
            <w:sz w:val="22"/>
            <w:szCs w:val="22"/>
          </w:rPr>
          <w:tab/>
        </w:r>
        <w:r w:rsidR="0020495B" w:rsidRPr="006E10E7">
          <w:rPr>
            <w:rStyle w:val="Hyperlink"/>
            <w:noProof/>
          </w:rPr>
          <w:t>AEP Ohio inappropriately focuses on plant retirements in discussing reliability.</w:t>
        </w:r>
        <w:r w:rsidR="0020495B">
          <w:rPr>
            <w:noProof/>
            <w:webHidden/>
          </w:rPr>
          <w:tab/>
        </w:r>
        <w:r w:rsidR="0020495B">
          <w:rPr>
            <w:noProof/>
            <w:webHidden/>
          </w:rPr>
          <w:fldChar w:fldCharType="begin"/>
        </w:r>
        <w:r w:rsidR="0020495B">
          <w:rPr>
            <w:noProof/>
            <w:webHidden/>
          </w:rPr>
          <w:instrText xml:space="preserve"> PAGEREF _Toc442104209 \h </w:instrText>
        </w:r>
        <w:r w:rsidR="0020495B">
          <w:rPr>
            <w:noProof/>
            <w:webHidden/>
          </w:rPr>
        </w:r>
        <w:r w:rsidR="0020495B">
          <w:rPr>
            <w:noProof/>
            <w:webHidden/>
          </w:rPr>
          <w:fldChar w:fldCharType="separate"/>
        </w:r>
        <w:r w:rsidR="007110F2">
          <w:rPr>
            <w:noProof/>
            <w:webHidden/>
          </w:rPr>
          <w:t>123</w:t>
        </w:r>
        <w:r w:rsidR="0020495B">
          <w:rPr>
            <w:noProof/>
            <w:webHidden/>
          </w:rPr>
          <w:fldChar w:fldCharType="end"/>
        </w:r>
      </w:hyperlink>
    </w:p>
    <w:p w:rsidR="0020495B" w:rsidRDefault="00AB6E95">
      <w:pPr>
        <w:pStyle w:val="TOC6"/>
        <w:tabs>
          <w:tab w:val="left" w:pos="4320"/>
        </w:tabs>
        <w:rPr>
          <w:rFonts w:asciiTheme="minorHAnsi" w:hAnsiTheme="minorHAnsi"/>
          <w:noProof/>
          <w:sz w:val="22"/>
        </w:rPr>
      </w:pPr>
      <w:hyperlink w:anchor="_Toc442104210" w:history="1">
        <w:r w:rsidR="0020495B" w:rsidRPr="006E10E7">
          <w:rPr>
            <w:rStyle w:val="Hyperlink"/>
            <w:noProof/>
          </w:rPr>
          <w:t>(a)</w:t>
        </w:r>
        <w:r w:rsidR="0020495B">
          <w:rPr>
            <w:rFonts w:asciiTheme="minorHAnsi" w:hAnsiTheme="minorHAnsi"/>
            <w:noProof/>
            <w:sz w:val="22"/>
          </w:rPr>
          <w:tab/>
        </w:r>
        <w:r w:rsidR="0020495B" w:rsidRPr="006E10E7">
          <w:rPr>
            <w:rStyle w:val="Hyperlink"/>
            <w:noProof/>
          </w:rPr>
          <w:t xml:space="preserve">The PPA Units do not contribute to </w:t>
        </w:r>
        <w:r w:rsidR="001D77BB">
          <w:rPr>
            <w:rStyle w:val="Hyperlink"/>
            <w:noProof/>
          </w:rPr>
          <w:br/>
        </w:r>
        <w:r w:rsidR="0020495B" w:rsidRPr="006E10E7">
          <w:rPr>
            <w:rStyle w:val="Hyperlink"/>
            <w:noProof/>
          </w:rPr>
          <w:t>supply diversity.</w:t>
        </w:r>
        <w:r w:rsidR="0020495B">
          <w:rPr>
            <w:noProof/>
            <w:webHidden/>
          </w:rPr>
          <w:tab/>
        </w:r>
        <w:r w:rsidR="0020495B">
          <w:rPr>
            <w:noProof/>
            <w:webHidden/>
          </w:rPr>
          <w:fldChar w:fldCharType="begin"/>
        </w:r>
        <w:r w:rsidR="0020495B">
          <w:rPr>
            <w:noProof/>
            <w:webHidden/>
          </w:rPr>
          <w:instrText xml:space="preserve"> PAGEREF _Toc442104210 \h </w:instrText>
        </w:r>
        <w:r w:rsidR="0020495B">
          <w:rPr>
            <w:noProof/>
            <w:webHidden/>
          </w:rPr>
        </w:r>
        <w:r w:rsidR="0020495B">
          <w:rPr>
            <w:noProof/>
            <w:webHidden/>
          </w:rPr>
          <w:fldChar w:fldCharType="separate"/>
        </w:r>
        <w:r w:rsidR="007110F2">
          <w:rPr>
            <w:noProof/>
            <w:webHidden/>
          </w:rPr>
          <w:t>124</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211" w:history="1">
        <w:r w:rsidR="0020495B" w:rsidRPr="006E10E7">
          <w:rPr>
            <w:rStyle w:val="Hyperlink"/>
            <w:noProof/>
            <w:lang w:bidi="hi-IN"/>
          </w:rPr>
          <w:t>c.</w:t>
        </w:r>
        <w:r w:rsidR="0020495B">
          <w:rPr>
            <w:rFonts w:asciiTheme="minorHAnsi" w:hAnsiTheme="minorHAnsi"/>
            <w:noProof/>
            <w:sz w:val="22"/>
          </w:rPr>
          <w:tab/>
        </w:r>
        <w:r w:rsidR="0020495B" w:rsidRPr="006E10E7">
          <w:rPr>
            <w:rStyle w:val="Hyperlink"/>
            <w:noProof/>
            <w:lang w:bidi="hi-IN"/>
          </w:rPr>
          <w:t xml:space="preserve">AEP Ohio has not shown, and cannot show, </w:t>
        </w:r>
        <w:r w:rsidR="001D77BB">
          <w:rPr>
            <w:rStyle w:val="Hyperlink"/>
            <w:noProof/>
            <w:lang w:bidi="hi-IN"/>
          </w:rPr>
          <w:br/>
        </w:r>
        <w:r w:rsidR="0020495B" w:rsidRPr="006E10E7">
          <w:rPr>
            <w:rStyle w:val="Hyperlink"/>
            <w:noProof/>
            <w:lang w:bidi="hi-IN"/>
          </w:rPr>
          <w:t>environmental compliance.</w:t>
        </w:r>
        <w:r w:rsidR="0020495B">
          <w:rPr>
            <w:noProof/>
            <w:webHidden/>
          </w:rPr>
          <w:tab/>
        </w:r>
        <w:r w:rsidR="0020495B">
          <w:rPr>
            <w:noProof/>
            <w:webHidden/>
          </w:rPr>
          <w:fldChar w:fldCharType="begin"/>
        </w:r>
        <w:r w:rsidR="0020495B">
          <w:rPr>
            <w:noProof/>
            <w:webHidden/>
          </w:rPr>
          <w:instrText xml:space="preserve"> PAGEREF _Toc442104211 \h </w:instrText>
        </w:r>
        <w:r w:rsidR="0020495B">
          <w:rPr>
            <w:noProof/>
            <w:webHidden/>
          </w:rPr>
        </w:r>
        <w:r w:rsidR="0020495B">
          <w:rPr>
            <w:noProof/>
            <w:webHidden/>
          </w:rPr>
          <w:fldChar w:fldCharType="separate"/>
        </w:r>
        <w:r w:rsidR="007110F2">
          <w:rPr>
            <w:noProof/>
            <w:webHidden/>
          </w:rPr>
          <w:t>124</w:t>
        </w:r>
        <w:r w:rsidR="0020495B">
          <w:rPr>
            <w:noProof/>
            <w:webHidden/>
          </w:rPr>
          <w:fldChar w:fldCharType="end"/>
        </w:r>
      </w:hyperlink>
    </w:p>
    <w:p w:rsidR="0020495B" w:rsidRDefault="00AB6E95">
      <w:pPr>
        <w:pStyle w:val="TOC5"/>
        <w:tabs>
          <w:tab w:val="left" w:pos="3600"/>
        </w:tabs>
        <w:rPr>
          <w:rFonts w:asciiTheme="minorHAnsi" w:hAnsiTheme="minorHAnsi" w:cstheme="minorBidi"/>
          <w:noProof/>
          <w:sz w:val="22"/>
          <w:szCs w:val="22"/>
        </w:rPr>
      </w:pPr>
      <w:hyperlink w:anchor="_Toc442104212" w:history="1">
        <w:r w:rsidR="0020495B" w:rsidRPr="006E10E7">
          <w:rPr>
            <w:rStyle w:val="Hyperlink"/>
            <w:noProof/>
          </w:rPr>
          <w:t>i.</w:t>
        </w:r>
        <w:r w:rsidR="0020495B">
          <w:rPr>
            <w:rFonts w:asciiTheme="minorHAnsi" w:hAnsiTheme="minorHAnsi" w:cstheme="minorBidi"/>
            <w:noProof/>
            <w:sz w:val="22"/>
            <w:szCs w:val="22"/>
          </w:rPr>
          <w:tab/>
        </w:r>
        <w:r w:rsidR="0020495B" w:rsidRPr="006E10E7">
          <w:rPr>
            <w:rStyle w:val="Hyperlink"/>
            <w:noProof/>
          </w:rPr>
          <w:t>AEP Ohio’s consideration of 316(b), Coal Combustion Residuals, and Effluent Limitations Guidelines is inadequate, incomplete, and insufficient.</w:t>
        </w:r>
        <w:r w:rsidR="0020495B">
          <w:rPr>
            <w:noProof/>
            <w:webHidden/>
          </w:rPr>
          <w:tab/>
        </w:r>
        <w:r w:rsidR="0020495B">
          <w:rPr>
            <w:noProof/>
            <w:webHidden/>
          </w:rPr>
          <w:fldChar w:fldCharType="begin"/>
        </w:r>
        <w:r w:rsidR="0020495B">
          <w:rPr>
            <w:noProof/>
            <w:webHidden/>
          </w:rPr>
          <w:instrText xml:space="preserve"> PAGEREF _Toc442104212 \h </w:instrText>
        </w:r>
        <w:r w:rsidR="0020495B">
          <w:rPr>
            <w:noProof/>
            <w:webHidden/>
          </w:rPr>
        </w:r>
        <w:r w:rsidR="0020495B">
          <w:rPr>
            <w:noProof/>
            <w:webHidden/>
          </w:rPr>
          <w:fldChar w:fldCharType="separate"/>
        </w:r>
        <w:r w:rsidR="007110F2">
          <w:rPr>
            <w:noProof/>
            <w:webHidden/>
          </w:rPr>
          <w:t>126</w:t>
        </w:r>
        <w:r w:rsidR="0020495B">
          <w:rPr>
            <w:noProof/>
            <w:webHidden/>
          </w:rPr>
          <w:fldChar w:fldCharType="end"/>
        </w:r>
      </w:hyperlink>
    </w:p>
    <w:p w:rsidR="0020495B" w:rsidRDefault="00AB6E95">
      <w:pPr>
        <w:pStyle w:val="TOC5"/>
        <w:tabs>
          <w:tab w:val="left" w:pos="3600"/>
        </w:tabs>
        <w:rPr>
          <w:rFonts w:asciiTheme="minorHAnsi" w:hAnsiTheme="minorHAnsi" w:cstheme="minorBidi"/>
          <w:noProof/>
          <w:sz w:val="22"/>
          <w:szCs w:val="22"/>
        </w:rPr>
      </w:pPr>
      <w:hyperlink w:anchor="_Toc442104213" w:history="1">
        <w:r w:rsidR="0020495B" w:rsidRPr="006E10E7">
          <w:rPr>
            <w:rStyle w:val="Hyperlink"/>
            <w:noProof/>
          </w:rPr>
          <w:t>ii.</w:t>
        </w:r>
        <w:r w:rsidR="0020495B">
          <w:rPr>
            <w:rFonts w:asciiTheme="minorHAnsi" w:hAnsiTheme="minorHAnsi" w:cstheme="minorBidi"/>
            <w:noProof/>
            <w:sz w:val="22"/>
            <w:szCs w:val="22"/>
          </w:rPr>
          <w:tab/>
        </w:r>
        <w:r w:rsidR="0020495B" w:rsidRPr="006E10E7">
          <w:rPr>
            <w:rStyle w:val="Hyperlink"/>
            <w:noProof/>
          </w:rPr>
          <w:t xml:space="preserve">AEP Ohio’s consideration of National Ambient </w:t>
        </w:r>
        <w:r w:rsidR="001D77BB">
          <w:rPr>
            <w:rStyle w:val="Hyperlink"/>
            <w:noProof/>
          </w:rPr>
          <w:br/>
        </w:r>
        <w:r w:rsidR="0020495B" w:rsidRPr="006E10E7">
          <w:rPr>
            <w:rStyle w:val="Hyperlink"/>
            <w:noProof/>
          </w:rPr>
          <w:t xml:space="preserve">Air Quality Standards and Cross State Air </w:t>
        </w:r>
        <w:r w:rsidR="001D77BB">
          <w:rPr>
            <w:rStyle w:val="Hyperlink"/>
            <w:noProof/>
          </w:rPr>
          <w:br/>
        </w:r>
        <w:r w:rsidR="0020495B" w:rsidRPr="006E10E7">
          <w:rPr>
            <w:rStyle w:val="Hyperlink"/>
            <w:noProof/>
          </w:rPr>
          <w:t>Pollution Rule is inadequate, incomplete, and insufficient.</w:t>
        </w:r>
        <w:r w:rsidR="0020495B">
          <w:rPr>
            <w:noProof/>
            <w:webHidden/>
          </w:rPr>
          <w:tab/>
        </w:r>
        <w:r w:rsidR="0020495B">
          <w:rPr>
            <w:noProof/>
            <w:webHidden/>
          </w:rPr>
          <w:fldChar w:fldCharType="begin"/>
        </w:r>
        <w:r w:rsidR="0020495B">
          <w:rPr>
            <w:noProof/>
            <w:webHidden/>
          </w:rPr>
          <w:instrText xml:space="preserve"> PAGEREF _Toc442104213 \h </w:instrText>
        </w:r>
        <w:r w:rsidR="0020495B">
          <w:rPr>
            <w:noProof/>
            <w:webHidden/>
          </w:rPr>
        </w:r>
        <w:r w:rsidR="0020495B">
          <w:rPr>
            <w:noProof/>
            <w:webHidden/>
          </w:rPr>
          <w:fldChar w:fldCharType="separate"/>
        </w:r>
        <w:r w:rsidR="007110F2">
          <w:rPr>
            <w:noProof/>
            <w:webHidden/>
          </w:rPr>
          <w:t>127</w:t>
        </w:r>
        <w:r w:rsidR="0020495B">
          <w:rPr>
            <w:noProof/>
            <w:webHidden/>
          </w:rPr>
          <w:fldChar w:fldCharType="end"/>
        </w:r>
      </w:hyperlink>
    </w:p>
    <w:p w:rsidR="0020495B" w:rsidRDefault="00AB6E95">
      <w:pPr>
        <w:pStyle w:val="TOC5"/>
        <w:tabs>
          <w:tab w:val="left" w:pos="3600"/>
        </w:tabs>
        <w:rPr>
          <w:rFonts w:asciiTheme="minorHAnsi" w:hAnsiTheme="minorHAnsi" w:cstheme="minorBidi"/>
          <w:noProof/>
          <w:sz w:val="22"/>
          <w:szCs w:val="22"/>
        </w:rPr>
      </w:pPr>
      <w:hyperlink w:anchor="_Toc442104214" w:history="1">
        <w:r w:rsidR="0020495B" w:rsidRPr="006E10E7">
          <w:rPr>
            <w:rStyle w:val="Hyperlink"/>
            <w:noProof/>
          </w:rPr>
          <w:t>iii.</w:t>
        </w:r>
        <w:r w:rsidR="0020495B">
          <w:rPr>
            <w:rFonts w:asciiTheme="minorHAnsi" w:hAnsiTheme="minorHAnsi" w:cstheme="minorBidi"/>
            <w:noProof/>
            <w:sz w:val="22"/>
            <w:szCs w:val="22"/>
          </w:rPr>
          <w:tab/>
        </w:r>
        <w:r w:rsidR="0020495B" w:rsidRPr="006E10E7">
          <w:rPr>
            <w:rStyle w:val="Hyperlink"/>
            <w:noProof/>
          </w:rPr>
          <w:t>AEP Ohio’s consideration of the Clean Power Plan is inadequate, incomplete, and insufficient, further opening the door to additional charges to consumers.</w:t>
        </w:r>
        <w:r w:rsidR="0020495B">
          <w:rPr>
            <w:noProof/>
            <w:webHidden/>
          </w:rPr>
          <w:tab/>
        </w:r>
        <w:r w:rsidR="0020495B">
          <w:rPr>
            <w:noProof/>
            <w:webHidden/>
          </w:rPr>
          <w:fldChar w:fldCharType="begin"/>
        </w:r>
        <w:r w:rsidR="0020495B">
          <w:rPr>
            <w:noProof/>
            <w:webHidden/>
          </w:rPr>
          <w:instrText xml:space="preserve"> PAGEREF _Toc442104214 \h </w:instrText>
        </w:r>
        <w:r w:rsidR="0020495B">
          <w:rPr>
            <w:noProof/>
            <w:webHidden/>
          </w:rPr>
        </w:r>
        <w:r w:rsidR="0020495B">
          <w:rPr>
            <w:noProof/>
            <w:webHidden/>
          </w:rPr>
          <w:fldChar w:fldCharType="separate"/>
        </w:r>
        <w:r w:rsidR="007110F2">
          <w:rPr>
            <w:noProof/>
            <w:webHidden/>
          </w:rPr>
          <w:t>129</w:t>
        </w:r>
        <w:r w:rsidR="0020495B">
          <w:rPr>
            <w:noProof/>
            <w:webHidden/>
          </w:rPr>
          <w:fldChar w:fldCharType="end"/>
        </w:r>
      </w:hyperlink>
    </w:p>
    <w:p w:rsidR="0020495B" w:rsidRDefault="00AB6E95">
      <w:pPr>
        <w:pStyle w:val="TOC5"/>
        <w:tabs>
          <w:tab w:val="left" w:pos="3600"/>
        </w:tabs>
        <w:rPr>
          <w:rFonts w:asciiTheme="minorHAnsi" w:hAnsiTheme="minorHAnsi" w:cstheme="minorBidi"/>
          <w:noProof/>
          <w:sz w:val="22"/>
          <w:szCs w:val="22"/>
        </w:rPr>
      </w:pPr>
      <w:hyperlink w:anchor="_Toc442104215" w:history="1">
        <w:r w:rsidR="0020495B" w:rsidRPr="006E10E7">
          <w:rPr>
            <w:rStyle w:val="Hyperlink"/>
            <w:noProof/>
          </w:rPr>
          <w:t>iv.</w:t>
        </w:r>
        <w:r w:rsidR="0020495B">
          <w:rPr>
            <w:rFonts w:asciiTheme="minorHAnsi" w:hAnsiTheme="minorHAnsi" w:cstheme="minorBidi"/>
            <w:noProof/>
            <w:sz w:val="22"/>
            <w:szCs w:val="22"/>
          </w:rPr>
          <w:tab/>
        </w:r>
        <w:r w:rsidR="0020495B" w:rsidRPr="006E10E7">
          <w:rPr>
            <w:rStyle w:val="Hyperlink"/>
            <w:noProof/>
          </w:rPr>
          <w:t>AEP Ohio has assumed little short-term risk, and disregarded the long-term risk to the detriment of consumers.</w:t>
        </w:r>
        <w:r w:rsidR="0020495B">
          <w:rPr>
            <w:noProof/>
            <w:webHidden/>
          </w:rPr>
          <w:tab/>
        </w:r>
        <w:r w:rsidR="0020495B">
          <w:rPr>
            <w:noProof/>
            <w:webHidden/>
          </w:rPr>
          <w:fldChar w:fldCharType="begin"/>
        </w:r>
        <w:r w:rsidR="0020495B">
          <w:rPr>
            <w:noProof/>
            <w:webHidden/>
          </w:rPr>
          <w:instrText xml:space="preserve"> PAGEREF _Toc442104215 \h </w:instrText>
        </w:r>
        <w:r w:rsidR="0020495B">
          <w:rPr>
            <w:noProof/>
            <w:webHidden/>
          </w:rPr>
        </w:r>
        <w:r w:rsidR="0020495B">
          <w:rPr>
            <w:noProof/>
            <w:webHidden/>
          </w:rPr>
          <w:fldChar w:fldCharType="separate"/>
        </w:r>
        <w:r w:rsidR="007110F2">
          <w:rPr>
            <w:noProof/>
            <w:webHidden/>
          </w:rPr>
          <w:t>129</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216" w:history="1">
        <w:r w:rsidR="0020495B" w:rsidRPr="006E10E7">
          <w:rPr>
            <w:rStyle w:val="Hyperlink"/>
            <w:noProof/>
            <w:lang w:bidi="hi-IN"/>
          </w:rPr>
          <w:t>d.</w:t>
        </w:r>
        <w:r w:rsidR="0020495B">
          <w:rPr>
            <w:rFonts w:asciiTheme="minorHAnsi" w:hAnsiTheme="minorHAnsi"/>
            <w:noProof/>
            <w:sz w:val="22"/>
          </w:rPr>
          <w:tab/>
        </w:r>
        <w:r w:rsidR="0020495B" w:rsidRPr="006E10E7">
          <w:rPr>
            <w:rStyle w:val="Hyperlink"/>
            <w:noProof/>
            <w:lang w:bidi="hi-IN"/>
          </w:rPr>
          <w:t>OCC Witness Dormady confirms that AEP Ohio’s “evidence” on economic impact is unreliable.</w:t>
        </w:r>
        <w:r w:rsidR="0020495B">
          <w:rPr>
            <w:noProof/>
            <w:webHidden/>
          </w:rPr>
          <w:tab/>
        </w:r>
        <w:r w:rsidR="0020495B">
          <w:rPr>
            <w:noProof/>
            <w:webHidden/>
          </w:rPr>
          <w:fldChar w:fldCharType="begin"/>
        </w:r>
        <w:r w:rsidR="0020495B">
          <w:rPr>
            <w:noProof/>
            <w:webHidden/>
          </w:rPr>
          <w:instrText xml:space="preserve"> PAGEREF _Toc442104216 \h </w:instrText>
        </w:r>
        <w:r w:rsidR="0020495B">
          <w:rPr>
            <w:noProof/>
            <w:webHidden/>
          </w:rPr>
        </w:r>
        <w:r w:rsidR="0020495B">
          <w:rPr>
            <w:noProof/>
            <w:webHidden/>
          </w:rPr>
          <w:fldChar w:fldCharType="separate"/>
        </w:r>
        <w:r w:rsidR="007110F2">
          <w:rPr>
            <w:noProof/>
            <w:webHidden/>
          </w:rPr>
          <w:t>130</w:t>
        </w:r>
        <w:r w:rsidR="0020495B">
          <w:rPr>
            <w:noProof/>
            <w:webHidden/>
          </w:rPr>
          <w:fldChar w:fldCharType="end"/>
        </w:r>
      </w:hyperlink>
    </w:p>
    <w:p w:rsidR="0020495B" w:rsidRDefault="00AB6E95">
      <w:pPr>
        <w:pStyle w:val="TOC5"/>
        <w:tabs>
          <w:tab w:val="left" w:pos="3600"/>
        </w:tabs>
        <w:rPr>
          <w:rFonts w:asciiTheme="minorHAnsi" w:hAnsiTheme="minorHAnsi" w:cstheme="minorBidi"/>
          <w:noProof/>
          <w:sz w:val="22"/>
          <w:szCs w:val="22"/>
        </w:rPr>
      </w:pPr>
      <w:hyperlink w:anchor="_Toc442104217" w:history="1">
        <w:r w:rsidR="0020495B" w:rsidRPr="006E10E7">
          <w:rPr>
            <w:rStyle w:val="Hyperlink"/>
            <w:noProof/>
          </w:rPr>
          <w:t>i.</w:t>
        </w:r>
        <w:r w:rsidR="0020495B">
          <w:rPr>
            <w:rFonts w:asciiTheme="minorHAnsi" w:hAnsiTheme="minorHAnsi" w:cstheme="minorBidi"/>
            <w:noProof/>
            <w:sz w:val="22"/>
            <w:szCs w:val="22"/>
          </w:rPr>
          <w:tab/>
        </w:r>
        <w:r w:rsidR="0020495B" w:rsidRPr="006E10E7">
          <w:rPr>
            <w:rStyle w:val="Hyperlink"/>
            <w:noProof/>
          </w:rPr>
          <w:t xml:space="preserve">AEP Ohio’s reliance on the economic base </w:t>
        </w:r>
        <w:r w:rsidR="001D77BB">
          <w:rPr>
            <w:rStyle w:val="Hyperlink"/>
            <w:noProof/>
          </w:rPr>
          <w:br/>
        </w:r>
        <w:r w:rsidR="0020495B" w:rsidRPr="006E10E7">
          <w:rPr>
            <w:rStyle w:val="Hyperlink"/>
            <w:noProof/>
          </w:rPr>
          <w:t>model is misplaced.</w:t>
        </w:r>
        <w:r w:rsidR="0020495B">
          <w:rPr>
            <w:noProof/>
            <w:webHidden/>
          </w:rPr>
          <w:tab/>
        </w:r>
        <w:r w:rsidR="0020495B">
          <w:rPr>
            <w:noProof/>
            <w:webHidden/>
          </w:rPr>
          <w:fldChar w:fldCharType="begin"/>
        </w:r>
        <w:r w:rsidR="0020495B">
          <w:rPr>
            <w:noProof/>
            <w:webHidden/>
          </w:rPr>
          <w:instrText xml:space="preserve"> PAGEREF _Toc442104217 \h </w:instrText>
        </w:r>
        <w:r w:rsidR="0020495B">
          <w:rPr>
            <w:noProof/>
            <w:webHidden/>
          </w:rPr>
        </w:r>
        <w:r w:rsidR="0020495B">
          <w:rPr>
            <w:noProof/>
            <w:webHidden/>
          </w:rPr>
          <w:fldChar w:fldCharType="separate"/>
        </w:r>
        <w:r w:rsidR="007110F2">
          <w:rPr>
            <w:noProof/>
            <w:webHidden/>
          </w:rPr>
          <w:t>130</w:t>
        </w:r>
        <w:r w:rsidR="0020495B">
          <w:rPr>
            <w:noProof/>
            <w:webHidden/>
          </w:rPr>
          <w:fldChar w:fldCharType="end"/>
        </w:r>
      </w:hyperlink>
    </w:p>
    <w:p w:rsidR="0020495B" w:rsidRDefault="00AB6E95">
      <w:pPr>
        <w:pStyle w:val="TOC5"/>
        <w:tabs>
          <w:tab w:val="left" w:pos="3600"/>
        </w:tabs>
        <w:rPr>
          <w:rFonts w:asciiTheme="minorHAnsi" w:hAnsiTheme="minorHAnsi" w:cstheme="minorBidi"/>
          <w:noProof/>
          <w:sz w:val="22"/>
          <w:szCs w:val="22"/>
        </w:rPr>
      </w:pPr>
      <w:hyperlink w:anchor="_Toc442104218" w:history="1">
        <w:r w:rsidR="0020495B" w:rsidRPr="006E10E7">
          <w:rPr>
            <w:rStyle w:val="Hyperlink"/>
            <w:noProof/>
          </w:rPr>
          <w:t>ii.</w:t>
        </w:r>
        <w:r w:rsidR="0020495B">
          <w:rPr>
            <w:rFonts w:asciiTheme="minorHAnsi" w:hAnsiTheme="minorHAnsi" w:cstheme="minorBidi"/>
            <w:noProof/>
            <w:sz w:val="22"/>
            <w:szCs w:val="22"/>
          </w:rPr>
          <w:tab/>
        </w:r>
        <w:r w:rsidR="0020495B" w:rsidRPr="006E10E7">
          <w:rPr>
            <w:rStyle w:val="Hyperlink"/>
            <w:noProof/>
          </w:rPr>
          <w:t xml:space="preserve">The economic base model does not address, and cannot address, the effect of a change in </w:t>
        </w:r>
        <w:r w:rsidR="001D77BB">
          <w:rPr>
            <w:rStyle w:val="Hyperlink"/>
            <w:noProof/>
          </w:rPr>
          <w:br/>
        </w:r>
        <w:r w:rsidR="0020495B" w:rsidRPr="006E10E7">
          <w:rPr>
            <w:rStyle w:val="Hyperlink"/>
            <w:noProof/>
          </w:rPr>
          <w:t xml:space="preserve">electricity prices and associated harm to </w:t>
        </w:r>
        <w:r w:rsidR="001D77BB">
          <w:rPr>
            <w:rStyle w:val="Hyperlink"/>
            <w:noProof/>
          </w:rPr>
          <w:br/>
        </w:r>
        <w:r w:rsidR="0020495B" w:rsidRPr="006E10E7">
          <w:rPr>
            <w:rStyle w:val="Hyperlink"/>
            <w:noProof/>
          </w:rPr>
          <w:t>consumers.</w:t>
        </w:r>
        <w:r w:rsidR="0020495B">
          <w:rPr>
            <w:noProof/>
            <w:webHidden/>
          </w:rPr>
          <w:tab/>
        </w:r>
        <w:r w:rsidR="0020495B">
          <w:rPr>
            <w:noProof/>
            <w:webHidden/>
          </w:rPr>
          <w:fldChar w:fldCharType="begin"/>
        </w:r>
        <w:r w:rsidR="0020495B">
          <w:rPr>
            <w:noProof/>
            <w:webHidden/>
          </w:rPr>
          <w:instrText xml:space="preserve"> PAGEREF _Toc442104218 \h </w:instrText>
        </w:r>
        <w:r w:rsidR="0020495B">
          <w:rPr>
            <w:noProof/>
            <w:webHidden/>
          </w:rPr>
        </w:r>
        <w:r w:rsidR="0020495B">
          <w:rPr>
            <w:noProof/>
            <w:webHidden/>
          </w:rPr>
          <w:fldChar w:fldCharType="separate"/>
        </w:r>
        <w:r w:rsidR="007110F2">
          <w:rPr>
            <w:noProof/>
            <w:webHidden/>
          </w:rPr>
          <w:t>136</w:t>
        </w:r>
        <w:r w:rsidR="0020495B">
          <w:rPr>
            <w:noProof/>
            <w:webHidden/>
          </w:rPr>
          <w:fldChar w:fldCharType="end"/>
        </w:r>
      </w:hyperlink>
    </w:p>
    <w:p w:rsidR="0020495B" w:rsidRDefault="00AB6E95">
      <w:pPr>
        <w:pStyle w:val="TOC5"/>
        <w:tabs>
          <w:tab w:val="left" w:pos="3600"/>
        </w:tabs>
        <w:rPr>
          <w:rFonts w:asciiTheme="minorHAnsi" w:hAnsiTheme="minorHAnsi" w:cstheme="minorBidi"/>
          <w:noProof/>
          <w:sz w:val="22"/>
          <w:szCs w:val="22"/>
        </w:rPr>
      </w:pPr>
      <w:hyperlink w:anchor="_Toc442104219" w:history="1">
        <w:r w:rsidR="0020495B" w:rsidRPr="006E10E7">
          <w:rPr>
            <w:rStyle w:val="Hyperlink"/>
            <w:noProof/>
          </w:rPr>
          <w:t>iii.</w:t>
        </w:r>
        <w:r w:rsidR="0020495B">
          <w:rPr>
            <w:rFonts w:asciiTheme="minorHAnsi" w:hAnsiTheme="minorHAnsi" w:cstheme="minorBidi"/>
            <w:noProof/>
            <w:sz w:val="22"/>
            <w:szCs w:val="22"/>
          </w:rPr>
          <w:tab/>
        </w:r>
        <w:r w:rsidR="0020495B" w:rsidRPr="006E10E7">
          <w:rPr>
            <w:rStyle w:val="Hyperlink"/>
            <w:noProof/>
          </w:rPr>
          <w:t xml:space="preserve">The economic base model does not address, and cannot address, the effect of future carbon costs </w:t>
        </w:r>
        <w:r w:rsidR="001D77BB">
          <w:rPr>
            <w:rStyle w:val="Hyperlink"/>
            <w:noProof/>
          </w:rPr>
          <w:br/>
        </w:r>
        <w:r w:rsidR="0020495B" w:rsidRPr="006E10E7">
          <w:rPr>
            <w:rStyle w:val="Hyperlink"/>
            <w:noProof/>
          </w:rPr>
          <w:t>and associated harm to consumers.</w:t>
        </w:r>
        <w:r w:rsidR="0020495B">
          <w:rPr>
            <w:noProof/>
            <w:webHidden/>
          </w:rPr>
          <w:tab/>
        </w:r>
        <w:r w:rsidR="0020495B">
          <w:rPr>
            <w:noProof/>
            <w:webHidden/>
          </w:rPr>
          <w:fldChar w:fldCharType="begin"/>
        </w:r>
        <w:r w:rsidR="0020495B">
          <w:rPr>
            <w:noProof/>
            <w:webHidden/>
          </w:rPr>
          <w:instrText xml:space="preserve"> PAGEREF _Toc442104219 \h </w:instrText>
        </w:r>
        <w:r w:rsidR="0020495B">
          <w:rPr>
            <w:noProof/>
            <w:webHidden/>
          </w:rPr>
        </w:r>
        <w:r w:rsidR="0020495B">
          <w:rPr>
            <w:noProof/>
            <w:webHidden/>
          </w:rPr>
          <w:fldChar w:fldCharType="separate"/>
        </w:r>
        <w:r w:rsidR="007110F2">
          <w:rPr>
            <w:noProof/>
            <w:webHidden/>
          </w:rPr>
          <w:t>136</w:t>
        </w:r>
        <w:r w:rsidR="0020495B">
          <w:rPr>
            <w:noProof/>
            <w:webHidden/>
          </w:rPr>
          <w:fldChar w:fldCharType="end"/>
        </w:r>
      </w:hyperlink>
    </w:p>
    <w:p w:rsidR="0020495B" w:rsidRDefault="00AB6E95">
      <w:pPr>
        <w:pStyle w:val="TOC5"/>
        <w:tabs>
          <w:tab w:val="left" w:pos="3600"/>
        </w:tabs>
        <w:rPr>
          <w:rFonts w:asciiTheme="minorHAnsi" w:hAnsiTheme="minorHAnsi" w:cstheme="minorBidi"/>
          <w:noProof/>
          <w:sz w:val="22"/>
          <w:szCs w:val="22"/>
        </w:rPr>
      </w:pPr>
      <w:hyperlink w:anchor="_Toc442104220" w:history="1">
        <w:r w:rsidR="0020495B" w:rsidRPr="006E10E7">
          <w:rPr>
            <w:rStyle w:val="Hyperlink"/>
            <w:noProof/>
          </w:rPr>
          <w:t>iv.</w:t>
        </w:r>
        <w:r w:rsidR="0020495B">
          <w:rPr>
            <w:rFonts w:asciiTheme="minorHAnsi" w:hAnsiTheme="minorHAnsi" w:cstheme="minorBidi"/>
            <w:noProof/>
            <w:sz w:val="22"/>
            <w:szCs w:val="22"/>
          </w:rPr>
          <w:tab/>
        </w:r>
        <w:r w:rsidR="0020495B" w:rsidRPr="006E10E7">
          <w:rPr>
            <w:rStyle w:val="Hyperlink"/>
            <w:noProof/>
          </w:rPr>
          <w:t>AEP Ohio’s attempt to rebut OCC Witness Dormady’s testimony fails.</w:t>
        </w:r>
        <w:r w:rsidR="0020495B">
          <w:rPr>
            <w:noProof/>
            <w:webHidden/>
          </w:rPr>
          <w:tab/>
        </w:r>
        <w:r w:rsidR="0020495B">
          <w:rPr>
            <w:noProof/>
            <w:webHidden/>
          </w:rPr>
          <w:fldChar w:fldCharType="begin"/>
        </w:r>
        <w:r w:rsidR="0020495B">
          <w:rPr>
            <w:noProof/>
            <w:webHidden/>
          </w:rPr>
          <w:instrText xml:space="preserve"> PAGEREF _Toc442104220 \h </w:instrText>
        </w:r>
        <w:r w:rsidR="0020495B">
          <w:rPr>
            <w:noProof/>
            <w:webHidden/>
          </w:rPr>
        </w:r>
        <w:r w:rsidR="0020495B">
          <w:rPr>
            <w:noProof/>
            <w:webHidden/>
          </w:rPr>
          <w:fldChar w:fldCharType="separate"/>
        </w:r>
        <w:r w:rsidR="007110F2">
          <w:rPr>
            <w:noProof/>
            <w:webHidden/>
          </w:rPr>
          <w:t>138</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221" w:history="1">
        <w:r w:rsidR="0020495B" w:rsidRPr="006E10E7">
          <w:rPr>
            <w:rStyle w:val="Hyperlink"/>
            <w:noProof/>
            <w:lang w:bidi="hi-IN"/>
          </w:rPr>
          <w:t>e.</w:t>
        </w:r>
        <w:r w:rsidR="0020495B">
          <w:rPr>
            <w:rFonts w:asciiTheme="minorHAnsi" w:hAnsiTheme="minorHAnsi"/>
            <w:noProof/>
            <w:sz w:val="22"/>
          </w:rPr>
          <w:tab/>
        </w:r>
        <w:r w:rsidR="0020495B" w:rsidRPr="006E10E7">
          <w:rPr>
            <w:rStyle w:val="Hyperlink"/>
            <w:noProof/>
            <w:lang w:bidi="hi-IN"/>
          </w:rPr>
          <w:t>AEP Ohio’s vague promises of limited review of revenue and cost data does not satisfy the requirement of providing the PUCO with rigorous oversight, thus increasing consumer risk.</w:t>
        </w:r>
        <w:r w:rsidR="0020495B">
          <w:rPr>
            <w:noProof/>
            <w:webHidden/>
          </w:rPr>
          <w:tab/>
        </w:r>
        <w:r w:rsidR="0020495B">
          <w:rPr>
            <w:noProof/>
            <w:webHidden/>
          </w:rPr>
          <w:fldChar w:fldCharType="begin"/>
        </w:r>
        <w:r w:rsidR="0020495B">
          <w:rPr>
            <w:noProof/>
            <w:webHidden/>
          </w:rPr>
          <w:instrText xml:space="preserve"> PAGEREF _Toc442104221 \h </w:instrText>
        </w:r>
        <w:r w:rsidR="0020495B">
          <w:rPr>
            <w:noProof/>
            <w:webHidden/>
          </w:rPr>
        </w:r>
        <w:r w:rsidR="0020495B">
          <w:rPr>
            <w:noProof/>
            <w:webHidden/>
          </w:rPr>
          <w:fldChar w:fldCharType="separate"/>
        </w:r>
        <w:r w:rsidR="007110F2">
          <w:rPr>
            <w:noProof/>
            <w:webHidden/>
          </w:rPr>
          <w:t>140</w:t>
        </w:r>
        <w:r w:rsidR="0020495B">
          <w:rPr>
            <w:noProof/>
            <w:webHidden/>
          </w:rPr>
          <w:fldChar w:fldCharType="end"/>
        </w:r>
      </w:hyperlink>
    </w:p>
    <w:p w:rsidR="00C419C8" w:rsidRDefault="00C419C8">
      <w:pPr>
        <w:rPr>
          <w:rStyle w:val="Hyperlink"/>
          <w:rFonts w:ascii="Times New Roman" w:hAnsi="Times New Roman"/>
          <w:noProof/>
          <w:sz w:val="24"/>
        </w:rPr>
      </w:pPr>
      <w:r>
        <w:rPr>
          <w:rStyle w:val="Hyperlink"/>
          <w:noProof/>
        </w:rPr>
        <w:br w:type="page"/>
      </w:r>
    </w:p>
    <w:p w:rsidR="0020495B" w:rsidRDefault="00AB6E95">
      <w:pPr>
        <w:pStyle w:val="TOC4"/>
        <w:tabs>
          <w:tab w:val="left" w:pos="2880"/>
        </w:tabs>
        <w:rPr>
          <w:rFonts w:asciiTheme="minorHAnsi" w:hAnsiTheme="minorHAnsi"/>
          <w:noProof/>
          <w:sz w:val="22"/>
        </w:rPr>
      </w:pPr>
      <w:hyperlink w:anchor="_Toc442104222" w:history="1">
        <w:r w:rsidR="0020495B" w:rsidRPr="006E10E7">
          <w:rPr>
            <w:rStyle w:val="Hyperlink"/>
            <w:noProof/>
            <w:lang w:bidi="hi-IN"/>
          </w:rPr>
          <w:t>f.</w:t>
        </w:r>
        <w:r w:rsidR="0020495B">
          <w:rPr>
            <w:rFonts w:asciiTheme="minorHAnsi" w:hAnsiTheme="minorHAnsi"/>
            <w:noProof/>
            <w:sz w:val="22"/>
          </w:rPr>
          <w:tab/>
        </w:r>
        <w:r w:rsidR="0020495B" w:rsidRPr="006E10E7">
          <w:rPr>
            <w:rStyle w:val="Hyperlink"/>
            <w:noProof/>
            <w:lang w:bidi="hi-IN"/>
          </w:rPr>
          <w:t xml:space="preserve">AEP Ohio’s commitment to share “pertinent aspects of the Power Purchase Agreement with AEPGR” does not meet the requirement of full information sharing, thus </w:t>
        </w:r>
        <w:r w:rsidR="00C419C8">
          <w:rPr>
            <w:rStyle w:val="Hyperlink"/>
            <w:noProof/>
            <w:lang w:bidi="hi-IN"/>
          </w:rPr>
          <w:br/>
        </w:r>
        <w:r w:rsidR="0020495B" w:rsidRPr="006E10E7">
          <w:rPr>
            <w:rStyle w:val="Hyperlink"/>
            <w:noProof/>
            <w:lang w:bidi="hi-IN"/>
          </w:rPr>
          <w:t>increasing consumer risk.</w:t>
        </w:r>
        <w:r w:rsidR="0020495B">
          <w:rPr>
            <w:noProof/>
            <w:webHidden/>
          </w:rPr>
          <w:tab/>
        </w:r>
        <w:r w:rsidR="0020495B">
          <w:rPr>
            <w:noProof/>
            <w:webHidden/>
          </w:rPr>
          <w:fldChar w:fldCharType="begin"/>
        </w:r>
        <w:r w:rsidR="0020495B">
          <w:rPr>
            <w:noProof/>
            <w:webHidden/>
          </w:rPr>
          <w:instrText xml:space="preserve"> PAGEREF _Toc442104222 \h </w:instrText>
        </w:r>
        <w:r w:rsidR="0020495B">
          <w:rPr>
            <w:noProof/>
            <w:webHidden/>
          </w:rPr>
        </w:r>
        <w:r w:rsidR="0020495B">
          <w:rPr>
            <w:noProof/>
            <w:webHidden/>
          </w:rPr>
          <w:fldChar w:fldCharType="separate"/>
        </w:r>
        <w:r w:rsidR="007110F2">
          <w:rPr>
            <w:noProof/>
            <w:webHidden/>
          </w:rPr>
          <w:t>141</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223" w:history="1">
        <w:r w:rsidR="0020495B" w:rsidRPr="006E10E7">
          <w:rPr>
            <w:rStyle w:val="Hyperlink"/>
            <w:noProof/>
            <w:lang w:bidi="hi-IN"/>
          </w:rPr>
          <w:t>g.</w:t>
        </w:r>
        <w:r w:rsidR="0020495B">
          <w:rPr>
            <w:rFonts w:asciiTheme="minorHAnsi" w:hAnsiTheme="minorHAnsi"/>
            <w:noProof/>
            <w:sz w:val="22"/>
          </w:rPr>
          <w:tab/>
        </w:r>
        <w:r w:rsidR="0020495B" w:rsidRPr="006E10E7">
          <w:rPr>
            <w:rStyle w:val="Hyperlink"/>
            <w:noProof/>
            <w:lang w:bidi="hi-IN"/>
          </w:rPr>
          <w:t>The potential for disallowing Power Purchase Agreement costs does not constitute the sharing of financial risks for the protection of consumers.</w:t>
        </w:r>
        <w:r w:rsidR="0020495B">
          <w:rPr>
            <w:noProof/>
            <w:webHidden/>
          </w:rPr>
          <w:tab/>
        </w:r>
        <w:r w:rsidR="0020495B">
          <w:rPr>
            <w:noProof/>
            <w:webHidden/>
          </w:rPr>
          <w:fldChar w:fldCharType="begin"/>
        </w:r>
        <w:r w:rsidR="0020495B">
          <w:rPr>
            <w:noProof/>
            <w:webHidden/>
          </w:rPr>
          <w:instrText xml:space="preserve"> PAGEREF _Toc442104223 \h </w:instrText>
        </w:r>
        <w:r w:rsidR="0020495B">
          <w:rPr>
            <w:noProof/>
            <w:webHidden/>
          </w:rPr>
        </w:r>
        <w:r w:rsidR="0020495B">
          <w:rPr>
            <w:noProof/>
            <w:webHidden/>
          </w:rPr>
          <w:fldChar w:fldCharType="separate"/>
        </w:r>
        <w:r w:rsidR="007110F2">
          <w:rPr>
            <w:noProof/>
            <w:webHidden/>
          </w:rPr>
          <w:t>142</w:t>
        </w:r>
        <w:r w:rsidR="0020495B">
          <w:rPr>
            <w:noProof/>
            <w:webHidden/>
          </w:rPr>
          <w:fldChar w:fldCharType="end"/>
        </w:r>
      </w:hyperlink>
    </w:p>
    <w:p w:rsidR="0020495B" w:rsidRDefault="00AB6E95">
      <w:pPr>
        <w:pStyle w:val="TOC2"/>
        <w:tabs>
          <w:tab w:val="left" w:pos="1440"/>
        </w:tabs>
        <w:rPr>
          <w:rFonts w:asciiTheme="minorHAnsi" w:hAnsiTheme="minorHAnsi" w:cstheme="minorBidi"/>
          <w:noProof/>
          <w:sz w:val="22"/>
          <w:szCs w:val="22"/>
        </w:rPr>
      </w:pPr>
      <w:hyperlink w:anchor="_Toc442104224" w:history="1">
        <w:r w:rsidR="0020495B" w:rsidRPr="006E10E7">
          <w:rPr>
            <w:rStyle w:val="Hyperlink"/>
            <w:noProof/>
          </w:rPr>
          <w:t>E.</w:t>
        </w:r>
        <w:r w:rsidR="0020495B">
          <w:rPr>
            <w:rFonts w:asciiTheme="minorHAnsi" w:hAnsiTheme="minorHAnsi" w:cstheme="minorBidi"/>
            <w:noProof/>
            <w:sz w:val="22"/>
            <w:szCs w:val="22"/>
          </w:rPr>
          <w:tab/>
        </w:r>
        <w:r w:rsidR="0020495B" w:rsidRPr="006E10E7">
          <w:rPr>
            <w:rStyle w:val="Hyperlink"/>
            <w:noProof/>
          </w:rPr>
          <w:t xml:space="preserve">The PUCO should require AEP Ohio to demonstrate compliance with additional factors for the benefit of consumers before even considering approving the Amended Application/Modified Amended </w:t>
        </w:r>
        <w:r w:rsidR="00C419C8">
          <w:rPr>
            <w:rStyle w:val="Hyperlink"/>
            <w:noProof/>
          </w:rPr>
          <w:br/>
        </w:r>
        <w:r w:rsidR="0020495B" w:rsidRPr="006E10E7">
          <w:rPr>
            <w:rStyle w:val="Hyperlink"/>
            <w:noProof/>
          </w:rPr>
          <w:t>Application.</w:t>
        </w:r>
        <w:r w:rsidR="0020495B">
          <w:rPr>
            <w:noProof/>
            <w:webHidden/>
          </w:rPr>
          <w:tab/>
        </w:r>
        <w:r w:rsidR="0020495B">
          <w:rPr>
            <w:noProof/>
            <w:webHidden/>
          </w:rPr>
          <w:fldChar w:fldCharType="begin"/>
        </w:r>
        <w:r w:rsidR="0020495B">
          <w:rPr>
            <w:noProof/>
            <w:webHidden/>
          </w:rPr>
          <w:instrText xml:space="preserve"> PAGEREF _Toc442104224 \h </w:instrText>
        </w:r>
        <w:r w:rsidR="0020495B">
          <w:rPr>
            <w:noProof/>
            <w:webHidden/>
          </w:rPr>
        </w:r>
        <w:r w:rsidR="0020495B">
          <w:rPr>
            <w:noProof/>
            <w:webHidden/>
          </w:rPr>
          <w:fldChar w:fldCharType="separate"/>
        </w:r>
        <w:r w:rsidR="007110F2">
          <w:rPr>
            <w:noProof/>
            <w:webHidden/>
          </w:rPr>
          <w:t>144</w:t>
        </w:r>
        <w:r w:rsidR="0020495B">
          <w:rPr>
            <w:noProof/>
            <w:webHidden/>
          </w:rPr>
          <w:fldChar w:fldCharType="end"/>
        </w:r>
      </w:hyperlink>
    </w:p>
    <w:p w:rsidR="0020495B" w:rsidRDefault="00AB6E95">
      <w:pPr>
        <w:pStyle w:val="TOC3"/>
        <w:tabs>
          <w:tab w:val="left" w:pos="2160"/>
        </w:tabs>
        <w:rPr>
          <w:rFonts w:asciiTheme="minorHAnsi" w:hAnsiTheme="minorHAnsi"/>
          <w:noProof/>
          <w:sz w:val="22"/>
        </w:rPr>
      </w:pPr>
      <w:hyperlink w:anchor="_Toc442104225" w:history="1">
        <w:r w:rsidR="0020495B" w:rsidRPr="006E10E7">
          <w:rPr>
            <w:rStyle w:val="Hyperlink"/>
            <w:noProof/>
            <w:lang w:bidi="hi-IN"/>
          </w:rPr>
          <w:t>1.</w:t>
        </w:r>
        <w:r w:rsidR="0020495B">
          <w:rPr>
            <w:rFonts w:asciiTheme="minorHAnsi" w:hAnsiTheme="minorHAnsi"/>
            <w:noProof/>
            <w:sz w:val="22"/>
          </w:rPr>
          <w:tab/>
        </w:r>
        <w:r w:rsidR="0020495B" w:rsidRPr="006E10E7">
          <w:rPr>
            <w:rStyle w:val="Hyperlink"/>
            <w:noProof/>
            <w:lang w:bidi="hi-IN"/>
          </w:rPr>
          <w:t>The PUCO must consider the PPA Rider’s potential costs/detriments to customers.</w:t>
        </w:r>
        <w:r w:rsidR="0020495B">
          <w:rPr>
            <w:noProof/>
            <w:webHidden/>
          </w:rPr>
          <w:tab/>
        </w:r>
        <w:r w:rsidR="0020495B">
          <w:rPr>
            <w:noProof/>
            <w:webHidden/>
          </w:rPr>
          <w:fldChar w:fldCharType="begin"/>
        </w:r>
        <w:r w:rsidR="0020495B">
          <w:rPr>
            <w:noProof/>
            <w:webHidden/>
          </w:rPr>
          <w:instrText xml:space="preserve"> PAGEREF _Toc442104225 \h </w:instrText>
        </w:r>
        <w:r w:rsidR="0020495B">
          <w:rPr>
            <w:noProof/>
            <w:webHidden/>
          </w:rPr>
        </w:r>
        <w:r w:rsidR="0020495B">
          <w:rPr>
            <w:noProof/>
            <w:webHidden/>
          </w:rPr>
          <w:fldChar w:fldCharType="separate"/>
        </w:r>
        <w:r w:rsidR="007110F2">
          <w:rPr>
            <w:noProof/>
            <w:webHidden/>
          </w:rPr>
          <w:t>145</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226" w:history="1">
        <w:r w:rsidR="0020495B" w:rsidRPr="006E10E7">
          <w:rPr>
            <w:rStyle w:val="Hyperlink"/>
            <w:noProof/>
            <w:lang w:bidi="hi-IN"/>
          </w:rPr>
          <w:t>a.</w:t>
        </w:r>
        <w:r w:rsidR="0020495B">
          <w:rPr>
            <w:rFonts w:asciiTheme="minorHAnsi" w:hAnsiTheme="minorHAnsi"/>
            <w:noProof/>
            <w:sz w:val="22"/>
          </w:rPr>
          <w:tab/>
        </w:r>
        <w:r w:rsidR="0020495B" w:rsidRPr="006E10E7">
          <w:rPr>
            <w:rStyle w:val="Hyperlink"/>
            <w:noProof/>
            <w:lang w:bidi="hi-IN"/>
          </w:rPr>
          <w:t xml:space="preserve">AEP Ohio should be required to provide an assessment </w:t>
        </w:r>
        <w:r w:rsidR="00C419C8">
          <w:rPr>
            <w:rStyle w:val="Hyperlink"/>
            <w:noProof/>
            <w:lang w:bidi="hi-IN"/>
          </w:rPr>
          <w:br/>
        </w:r>
        <w:r w:rsidR="0020495B" w:rsidRPr="006E10E7">
          <w:rPr>
            <w:rStyle w:val="Hyperlink"/>
            <w:noProof/>
            <w:lang w:bidi="hi-IN"/>
          </w:rPr>
          <w:t xml:space="preserve">of the Power Purchase Agreement and PPA Rider under independently produced future price scenarios so </w:t>
        </w:r>
        <w:r w:rsidR="00C419C8">
          <w:rPr>
            <w:rStyle w:val="Hyperlink"/>
            <w:noProof/>
            <w:lang w:bidi="hi-IN"/>
          </w:rPr>
          <w:br/>
        </w:r>
        <w:r w:rsidR="0020495B" w:rsidRPr="006E10E7">
          <w:rPr>
            <w:rStyle w:val="Hyperlink"/>
            <w:noProof/>
            <w:lang w:bidi="hi-IN"/>
          </w:rPr>
          <w:t>consumer interests are adequately protected.</w:t>
        </w:r>
        <w:r w:rsidR="0020495B">
          <w:rPr>
            <w:noProof/>
            <w:webHidden/>
          </w:rPr>
          <w:tab/>
        </w:r>
        <w:r w:rsidR="0020495B">
          <w:rPr>
            <w:noProof/>
            <w:webHidden/>
          </w:rPr>
          <w:fldChar w:fldCharType="begin"/>
        </w:r>
        <w:r w:rsidR="0020495B">
          <w:rPr>
            <w:noProof/>
            <w:webHidden/>
          </w:rPr>
          <w:instrText xml:space="preserve"> PAGEREF _Toc442104226 \h </w:instrText>
        </w:r>
        <w:r w:rsidR="0020495B">
          <w:rPr>
            <w:noProof/>
            <w:webHidden/>
          </w:rPr>
        </w:r>
        <w:r w:rsidR="0020495B">
          <w:rPr>
            <w:noProof/>
            <w:webHidden/>
          </w:rPr>
          <w:fldChar w:fldCharType="separate"/>
        </w:r>
        <w:r w:rsidR="007110F2">
          <w:rPr>
            <w:noProof/>
            <w:webHidden/>
          </w:rPr>
          <w:t>145</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227" w:history="1">
        <w:r w:rsidR="0020495B" w:rsidRPr="006E10E7">
          <w:rPr>
            <w:rStyle w:val="Hyperlink"/>
            <w:noProof/>
            <w:lang w:bidi="hi-IN"/>
          </w:rPr>
          <w:t>b.</w:t>
        </w:r>
        <w:r w:rsidR="0020495B">
          <w:rPr>
            <w:rFonts w:asciiTheme="minorHAnsi" w:hAnsiTheme="minorHAnsi"/>
            <w:noProof/>
            <w:sz w:val="22"/>
          </w:rPr>
          <w:tab/>
        </w:r>
        <w:r w:rsidR="0020495B" w:rsidRPr="006E10E7">
          <w:rPr>
            <w:rStyle w:val="Hyperlink"/>
            <w:noProof/>
            <w:lang w:bidi="hi-IN"/>
          </w:rPr>
          <w:t>The PUCO also should consider how AEP Ohio’s offer strategy into PJM affects customers.</w:t>
        </w:r>
        <w:r w:rsidR="0020495B">
          <w:rPr>
            <w:noProof/>
            <w:webHidden/>
          </w:rPr>
          <w:tab/>
        </w:r>
        <w:r w:rsidR="0020495B">
          <w:rPr>
            <w:noProof/>
            <w:webHidden/>
          </w:rPr>
          <w:fldChar w:fldCharType="begin"/>
        </w:r>
        <w:r w:rsidR="0020495B">
          <w:rPr>
            <w:noProof/>
            <w:webHidden/>
          </w:rPr>
          <w:instrText xml:space="preserve"> PAGEREF _Toc442104227 \h </w:instrText>
        </w:r>
        <w:r w:rsidR="0020495B">
          <w:rPr>
            <w:noProof/>
            <w:webHidden/>
          </w:rPr>
        </w:r>
        <w:r w:rsidR="0020495B">
          <w:rPr>
            <w:noProof/>
            <w:webHidden/>
          </w:rPr>
          <w:fldChar w:fldCharType="separate"/>
        </w:r>
        <w:r w:rsidR="007110F2">
          <w:rPr>
            <w:noProof/>
            <w:webHidden/>
          </w:rPr>
          <w:t>147</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228" w:history="1">
        <w:r w:rsidR="0020495B" w:rsidRPr="006E10E7">
          <w:rPr>
            <w:rStyle w:val="Hyperlink"/>
            <w:noProof/>
            <w:lang w:bidi="hi-IN"/>
          </w:rPr>
          <w:t>c.</w:t>
        </w:r>
        <w:r w:rsidR="0020495B">
          <w:rPr>
            <w:rFonts w:asciiTheme="minorHAnsi" w:hAnsiTheme="minorHAnsi"/>
            <w:noProof/>
            <w:sz w:val="22"/>
          </w:rPr>
          <w:tab/>
        </w:r>
        <w:r w:rsidR="0020495B" w:rsidRPr="006E10E7">
          <w:rPr>
            <w:rStyle w:val="Hyperlink"/>
            <w:noProof/>
            <w:lang w:bidi="hi-IN"/>
          </w:rPr>
          <w:t>The PUCO should consider the incentives, or lack thereof, for AEP Ohio to control the cost of the PPA Units so consumer interests are protected.</w:t>
        </w:r>
        <w:r w:rsidR="0020495B">
          <w:rPr>
            <w:noProof/>
            <w:webHidden/>
          </w:rPr>
          <w:tab/>
        </w:r>
        <w:r w:rsidR="0020495B">
          <w:rPr>
            <w:noProof/>
            <w:webHidden/>
          </w:rPr>
          <w:fldChar w:fldCharType="begin"/>
        </w:r>
        <w:r w:rsidR="0020495B">
          <w:rPr>
            <w:noProof/>
            <w:webHidden/>
          </w:rPr>
          <w:instrText xml:space="preserve"> PAGEREF _Toc442104228 \h </w:instrText>
        </w:r>
        <w:r w:rsidR="0020495B">
          <w:rPr>
            <w:noProof/>
            <w:webHidden/>
          </w:rPr>
        </w:r>
        <w:r w:rsidR="0020495B">
          <w:rPr>
            <w:noProof/>
            <w:webHidden/>
          </w:rPr>
          <w:fldChar w:fldCharType="separate"/>
        </w:r>
        <w:r w:rsidR="007110F2">
          <w:rPr>
            <w:noProof/>
            <w:webHidden/>
          </w:rPr>
          <w:t>148</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229" w:history="1">
        <w:r w:rsidR="0020495B" w:rsidRPr="006E10E7">
          <w:rPr>
            <w:rStyle w:val="Hyperlink"/>
            <w:noProof/>
            <w:lang w:bidi="hi-IN"/>
          </w:rPr>
          <w:t>d.</w:t>
        </w:r>
        <w:r w:rsidR="0020495B">
          <w:rPr>
            <w:rFonts w:asciiTheme="minorHAnsi" w:hAnsiTheme="minorHAnsi"/>
            <w:noProof/>
            <w:sz w:val="22"/>
          </w:rPr>
          <w:tab/>
        </w:r>
        <w:r w:rsidR="0020495B" w:rsidRPr="006E10E7">
          <w:rPr>
            <w:rStyle w:val="Hyperlink"/>
            <w:noProof/>
            <w:lang w:bidi="hi-IN"/>
          </w:rPr>
          <w:t xml:space="preserve">The PUCO should consider the incentives, or lack thereof, for AEP Ohio and AEPGR to make rational retirement decisions pertaining to the PPA Units so consumer </w:t>
        </w:r>
        <w:r w:rsidR="00C419C8">
          <w:rPr>
            <w:rStyle w:val="Hyperlink"/>
            <w:noProof/>
            <w:lang w:bidi="hi-IN"/>
          </w:rPr>
          <w:br/>
        </w:r>
        <w:r w:rsidR="0020495B" w:rsidRPr="006E10E7">
          <w:rPr>
            <w:rStyle w:val="Hyperlink"/>
            <w:noProof/>
            <w:lang w:bidi="hi-IN"/>
          </w:rPr>
          <w:t>interests are protected.</w:t>
        </w:r>
        <w:r w:rsidR="0020495B">
          <w:rPr>
            <w:noProof/>
            <w:webHidden/>
          </w:rPr>
          <w:tab/>
        </w:r>
        <w:r w:rsidR="0020495B">
          <w:rPr>
            <w:noProof/>
            <w:webHidden/>
          </w:rPr>
          <w:fldChar w:fldCharType="begin"/>
        </w:r>
        <w:r w:rsidR="0020495B">
          <w:rPr>
            <w:noProof/>
            <w:webHidden/>
          </w:rPr>
          <w:instrText xml:space="preserve"> PAGEREF _Toc442104229 \h </w:instrText>
        </w:r>
        <w:r w:rsidR="0020495B">
          <w:rPr>
            <w:noProof/>
            <w:webHidden/>
          </w:rPr>
        </w:r>
        <w:r w:rsidR="0020495B">
          <w:rPr>
            <w:noProof/>
            <w:webHidden/>
          </w:rPr>
          <w:fldChar w:fldCharType="separate"/>
        </w:r>
        <w:r w:rsidR="007110F2">
          <w:rPr>
            <w:noProof/>
            <w:webHidden/>
          </w:rPr>
          <w:t>149</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230" w:history="1">
        <w:r w:rsidR="0020495B" w:rsidRPr="006E10E7">
          <w:rPr>
            <w:rStyle w:val="Hyperlink"/>
            <w:noProof/>
            <w:lang w:bidi="hi-IN"/>
          </w:rPr>
          <w:t>e.</w:t>
        </w:r>
        <w:r w:rsidR="0020495B">
          <w:rPr>
            <w:rFonts w:asciiTheme="minorHAnsi" w:hAnsiTheme="minorHAnsi"/>
            <w:noProof/>
            <w:sz w:val="22"/>
          </w:rPr>
          <w:tab/>
        </w:r>
        <w:r w:rsidR="0020495B" w:rsidRPr="006E10E7">
          <w:rPr>
            <w:rStyle w:val="Hyperlink"/>
            <w:noProof/>
            <w:lang w:bidi="hi-IN"/>
          </w:rPr>
          <w:t xml:space="preserve">The PUCO should consider the economic impact of </w:t>
        </w:r>
        <w:r w:rsidR="00C419C8">
          <w:rPr>
            <w:rStyle w:val="Hyperlink"/>
            <w:noProof/>
            <w:lang w:bidi="hi-IN"/>
          </w:rPr>
          <w:br/>
        </w:r>
        <w:r w:rsidR="0020495B" w:rsidRPr="006E10E7">
          <w:rPr>
            <w:rStyle w:val="Hyperlink"/>
            <w:noProof/>
            <w:lang w:bidi="hi-IN"/>
          </w:rPr>
          <w:t xml:space="preserve">higher retail rates that would be imposed on AEP </w:t>
        </w:r>
        <w:r w:rsidR="00C419C8">
          <w:rPr>
            <w:rStyle w:val="Hyperlink"/>
            <w:noProof/>
            <w:lang w:bidi="hi-IN"/>
          </w:rPr>
          <w:br/>
        </w:r>
        <w:r w:rsidR="0020495B" w:rsidRPr="006E10E7">
          <w:rPr>
            <w:rStyle w:val="Hyperlink"/>
            <w:noProof/>
            <w:lang w:bidi="hi-IN"/>
          </w:rPr>
          <w:t>Ohio’s captive customers.</w:t>
        </w:r>
        <w:r w:rsidR="0020495B">
          <w:rPr>
            <w:noProof/>
            <w:webHidden/>
          </w:rPr>
          <w:tab/>
        </w:r>
        <w:r w:rsidR="0020495B">
          <w:rPr>
            <w:noProof/>
            <w:webHidden/>
          </w:rPr>
          <w:fldChar w:fldCharType="begin"/>
        </w:r>
        <w:r w:rsidR="0020495B">
          <w:rPr>
            <w:noProof/>
            <w:webHidden/>
          </w:rPr>
          <w:instrText xml:space="preserve"> PAGEREF _Toc442104230 \h </w:instrText>
        </w:r>
        <w:r w:rsidR="0020495B">
          <w:rPr>
            <w:noProof/>
            <w:webHidden/>
          </w:rPr>
        </w:r>
        <w:r w:rsidR="0020495B">
          <w:rPr>
            <w:noProof/>
            <w:webHidden/>
          </w:rPr>
          <w:fldChar w:fldCharType="separate"/>
        </w:r>
        <w:r w:rsidR="007110F2">
          <w:rPr>
            <w:noProof/>
            <w:webHidden/>
          </w:rPr>
          <w:t>150</w:t>
        </w:r>
        <w:r w:rsidR="0020495B">
          <w:rPr>
            <w:noProof/>
            <w:webHidden/>
          </w:rPr>
          <w:fldChar w:fldCharType="end"/>
        </w:r>
      </w:hyperlink>
    </w:p>
    <w:p w:rsidR="0020495B" w:rsidRDefault="00AB6E95">
      <w:pPr>
        <w:pStyle w:val="TOC3"/>
        <w:tabs>
          <w:tab w:val="left" w:pos="2160"/>
        </w:tabs>
        <w:rPr>
          <w:rFonts w:asciiTheme="minorHAnsi" w:hAnsiTheme="minorHAnsi"/>
          <w:noProof/>
          <w:sz w:val="22"/>
        </w:rPr>
      </w:pPr>
      <w:hyperlink w:anchor="_Toc442104231" w:history="1">
        <w:r w:rsidR="0020495B" w:rsidRPr="006E10E7">
          <w:rPr>
            <w:rStyle w:val="Hyperlink"/>
            <w:noProof/>
            <w:lang w:bidi="hi-IN"/>
          </w:rPr>
          <w:t>2.</w:t>
        </w:r>
        <w:r w:rsidR="0020495B">
          <w:rPr>
            <w:rFonts w:asciiTheme="minorHAnsi" w:hAnsiTheme="minorHAnsi"/>
            <w:noProof/>
            <w:sz w:val="22"/>
          </w:rPr>
          <w:tab/>
        </w:r>
        <w:r w:rsidR="0020495B" w:rsidRPr="006E10E7">
          <w:rPr>
            <w:rStyle w:val="Hyperlink"/>
            <w:noProof/>
            <w:lang w:bidi="hi-IN"/>
          </w:rPr>
          <w:t xml:space="preserve">The PUCO should consider the cost of achieving the same </w:t>
        </w:r>
        <w:r w:rsidR="00C419C8">
          <w:rPr>
            <w:rStyle w:val="Hyperlink"/>
            <w:noProof/>
            <w:lang w:bidi="hi-IN"/>
          </w:rPr>
          <w:br/>
        </w:r>
        <w:r w:rsidR="0020495B" w:rsidRPr="006E10E7">
          <w:rPr>
            <w:rStyle w:val="Hyperlink"/>
            <w:noProof/>
            <w:lang w:bidi="hi-IN"/>
          </w:rPr>
          <w:t>benefits that the PPAs and PPA Rider provide compared to alternatives that could provide greater benefits to consumers.</w:t>
        </w:r>
        <w:r w:rsidR="0020495B">
          <w:rPr>
            <w:noProof/>
            <w:webHidden/>
          </w:rPr>
          <w:tab/>
        </w:r>
        <w:r w:rsidR="0020495B">
          <w:rPr>
            <w:noProof/>
            <w:webHidden/>
          </w:rPr>
          <w:fldChar w:fldCharType="begin"/>
        </w:r>
        <w:r w:rsidR="0020495B">
          <w:rPr>
            <w:noProof/>
            <w:webHidden/>
          </w:rPr>
          <w:instrText xml:space="preserve"> PAGEREF _Toc442104231 \h </w:instrText>
        </w:r>
        <w:r w:rsidR="0020495B">
          <w:rPr>
            <w:noProof/>
            <w:webHidden/>
          </w:rPr>
        </w:r>
        <w:r w:rsidR="0020495B">
          <w:rPr>
            <w:noProof/>
            <w:webHidden/>
          </w:rPr>
          <w:fldChar w:fldCharType="separate"/>
        </w:r>
        <w:r w:rsidR="007110F2">
          <w:rPr>
            <w:noProof/>
            <w:webHidden/>
          </w:rPr>
          <w:t>152</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232" w:history="1">
        <w:r w:rsidR="0020495B" w:rsidRPr="006E10E7">
          <w:rPr>
            <w:rStyle w:val="Hyperlink"/>
            <w:noProof/>
            <w:lang w:bidi="hi-IN"/>
          </w:rPr>
          <w:t>a.</w:t>
        </w:r>
        <w:r w:rsidR="0020495B">
          <w:rPr>
            <w:rFonts w:asciiTheme="minorHAnsi" w:hAnsiTheme="minorHAnsi"/>
            <w:noProof/>
            <w:sz w:val="22"/>
          </w:rPr>
          <w:tab/>
        </w:r>
        <w:r w:rsidR="0020495B" w:rsidRPr="006E10E7">
          <w:rPr>
            <w:rStyle w:val="Hyperlink"/>
            <w:noProof/>
            <w:lang w:bidi="hi-IN"/>
          </w:rPr>
          <w:t>The PUCO could consider an analysis of a least-cost combination of new and existing generation and/or transmission assets to protect consumer interests.</w:t>
        </w:r>
        <w:r w:rsidR="0020495B">
          <w:rPr>
            <w:noProof/>
            <w:webHidden/>
          </w:rPr>
          <w:tab/>
        </w:r>
        <w:r w:rsidR="0020495B">
          <w:rPr>
            <w:noProof/>
            <w:webHidden/>
          </w:rPr>
          <w:fldChar w:fldCharType="begin"/>
        </w:r>
        <w:r w:rsidR="0020495B">
          <w:rPr>
            <w:noProof/>
            <w:webHidden/>
          </w:rPr>
          <w:instrText xml:space="preserve"> PAGEREF _Toc442104232 \h </w:instrText>
        </w:r>
        <w:r w:rsidR="0020495B">
          <w:rPr>
            <w:noProof/>
            <w:webHidden/>
          </w:rPr>
        </w:r>
        <w:r w:rsidR="0020495B">
          <w:rPr>
            <w:noProof/>
            <w:webHidden/>
          </w:rPr>
          <w:fldChar w:fldCharType="separate"/>
        </w:r>
        <w:r w:rsidR="007110F2">
          <w:rPr>
            <w:noProof/>
            <w:webHidden/>
          </w:rPr>
          <w:t>152</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233" w:history="1">
        <w:r w:rsidR="0020495B" w:rsidRPr="006E10E7">
          <w:rPr>
            <w:rStyle w:val="Hyperlink"/>
            <w:noProof/>
            <w:lang w:bidi="hi-IN"/>
          </w:rPr>
          <w:t>b.</w:t>
        </w:r>
        <w:r w:rsidR="0020495B">
          <w:rPr>
            <w:rFonts w:asciiTheme="minorHAnsi" w:hAnsiTheme="minorHAnsi"/>
            <w:noProof/>
            <w:sz w:val="22"/>
          </w:rPr>
          <w:tab/>
        </w:r>
        <w:r w:rsidR="0020495B" w:rsidRPr="006E10E7">
          <w:rPr>
            <w:rStyle w:val="Hyperlink"/>
            <w:noProof/>
            <w:lang w:bidi="hi-IN"/>
          </w:rPr>
          <w:t>The PUCO could consider the cost of achieving price stability through competitive solicitation to protect consumer interests.</w:t>
        </w:r>
        <w:r w:rsidR="0020495B">
          <w:rPr>
            <w:noProof/>
            <w:webHidden/>
          </w:rPr>
          <w:tab/>
        </w:r>
        <w:r w:rsidR="0020495B">
          <w:rPr>
            <w:noProof/>
            <w:webHidden/>
          </w:rPr>
          <w:fldChar w:fldCharType="begin"/>
        </w:r>
        <w:r w:rsidR="0020495B">
          <w:rPr>
            <w:noProof/>
            <w:webHidden/>
          </w:rPr>
          <w:instrText xml:space="preserve"> PAGEREF _Toc442104233 \h </w:instrText>
        </w:r>
        <w:r w:rsidR="0020495B">
          <w:rPr>
            <w:noProof/>
            <w:webHidden/>
          </w:rPr>
        </w:r>
        <w:r w:rsidR="0020495B">
          <w:rPr>
            <w:noProof/>
            <w:webHidden/>
          </w:rPr>
          <w:fldChar w:fldCharType="separate"/>
        </w:r>
        <w:r w:rsidR="007110F2">
          <w:rPr>
            <w:noProof/>
            <w:webHidden/>
          </w:rPr>
          <w:t>153</w:t>
        </w:r>
        <w:r w:rsidR="0020495B">
          <w:rPr>
            <w:noProof/>
            <w:webHidden/>
          </w:rPr>
          <w:fldChar w:fldCharType="end"/>
        </w:r>
      </w:hyperlink>
    </w:p>
    <w:p w:rsidR="0020495B" w:rsidRDefault="00AB6E95">
      <w:pPr>
        <w:pStyle w:val="TOC4"/>
        <w:tabs>
          <w:tab w:val="left" w:pos="2880"/>
        </w:tabs>
        <w:rPr>
          <w:rFonts w:asciiTheme="minorHAnsi" w:hAnsiTheme="minorHAnsi"/>
          <w:noProof/>
          <w:sz w:val="22"/>
        </w:rPr>
      </w:pPr>
      <w:hyperlink w:anchor="_Toc442104234" w:history="1">
        <w:r w:rsidR="0020495B" w:rsidRPr="006E10E7">
          <w:rPr>
            <w:rStyle w:val="Hyperlink"/>
            <w:noProof/>
            <w:lang w:bidi="hi-IN"/>
          </w:rPr>
          <w:t>c.</w:t>
        </w:r>
        <w:r w:rsidR="0020495B">
          <w:rPr>
            <w:rFonts w:asciiTheme="minorHAnsi" w:hAnsiTheme="minorHAnsi"/>
            <w:noProof/>
            <w:sz w:val="22"/>
          </w:rPr>
          <w:tab/>
        </w:r>
        <w:r w:rsidR="0020495B" w:rsidRPr="006E10E7">
          <w:rPr>
            <w:rStyle w:val="Hyperlink"/>
            <w:noProof/>
            <w:lang w:bidi="hi-IN"/>
          </w:rPr>
          <w:t>The PUCO could consider the cost of meeting current and expected environmental regulation with generation and/or transmission alternatives to the PPAs and PPA Rider to protect consumer interests.</w:t>
        </w:r>
        <w:r w:rsidR="0020495B">
          <w:rPr>
            <w:noProof/>
            <w:webHidden/>
          </w:rPr>
          <w:tab/>
        </w:r>
        <w:r w:rsidR="0020495B">
          <w:rPr>
            <w:noProof/>
            <w:webHidden/>
          </w:rPr>
          <w:fldChar w:fldCharType="begin"/>
        </w:r>
        <w:r w:rsidR="0020495B">
          <w:rPr>
            <w:noProof/>
            <w:webHidden/>
          </w:rPr>
          <w:instrText xml:space="preserve"> PAGEREF _Toc442104234 \h </w:instrText>
        </w:r>
        <w:r w:rsidR="0020495B">
          <w:rPr>
            <w:noProof/>
            <w:webHidden/>
          </w:rPr>
        </w:r>
        <w:r w:rsidR="0020495B">
          <w:rPr>
            <w:noProof/>
            <w:webHidden/>
          </w:rPr>
          <w:fldChar w:fldCharType="separate"/>
        </w:r>
        <w:r w:rsidR="007110F2">
          <w:rPr>
            <w:noProof/>
            <w:webHidden/>
          </w:rPr>
          <w:t>153</w:t>
        </w:r>
        <w:r w:rsidR="0020495B">
          <w:rPr>
            <w:noProof/>
            <w:webHidden/>
          </w:rPr>
          <w:fldChar w:fldCharType="end"/>
        </w:r>
      </w:hyperlink>
    </w:p>
    <w:p w:rsidR="0020495B" w:rsidRDefault="00AB6E95">
      <w:pPr>
        <w:pStyle w:val="TOC2"/>
        <w:tabs>
          <w:tab w:val="left" w:pos="1440"/>
        </w:tabs>
        <w:rPr>
          <w:rFonts w:asciiTheme="minorHAnsi" w:hAnsiTheme="minorHAnsi" w:cstheme="minorBidi"/>
          <w:noProof/>
          <w:sz w:val="22"/>
          <w:szCs w:val="22"/>
        </w:rPr>
      </w:pPr>
      <w:hyperlink w:anchor="_Toc442104235" w:history="1">
        <w:r w:rsidR="0020495B" w:rsidRPr="006E10E7">
          <w:rPr>
            <w:rStyle w:val="Hyperlink"/>
            <w:noProof/>
          </w:rPr>
          <w:t>F.</w:t>
        </w:r>
        <w:r w:rsidR="0020495B">
          <w:rPr>
            <w:rFonts w:asciiTheme="minorHAnsi" w:hAnsiTheme="minorHAnsi" w:cstheme="minorBidi"/>
            <w:noProof/>
            <w:sz w:val="22"/>
            <w:szCs w:val="22"/>
          </w:rPr>
          <w:tab/>
        </w:r>
        <w:r w:rsidR="0020495B" w:rsidRPr="006E10E7">
          <w:rPr>
            <w:rStyle w:val="Hyperlink"/>
            <w:noProof/>
          </w:rPr>
          <w:t xml:space="preserve">The considerable uncertainty and the potential for consumer harm </w:t>
        </w:r>
        <w:r w:rsidR="00C419C8">
          <w:rPr>
            <w:rStyle w:val="Hyperlink"/>
            <w:noProof/>
          </w:rPr>
          <w:br/>
        </w:r>
        <w:r w:rsidR="0020495B" w:rsidRPr="006E10E7">
          <w:rPr>
            <w:rStyle w:val="Hyperlink"/>
            <w:noProof/>
          </w:rPr>
          <w:t xml:space="preserve">created by AEP Ohio’s PPA Rider proposal confronting the PUCO in </w:t>
        </w:r>
        <w:r w:rsidR="00C419C8">
          <w:rPr>
            <w:rStyle w:val="Hyperlink"/>
            <w:noProof/>
          </w:rPr>
          <w:br/>
        </w:r>
        <w:r w:rsidR="0020495B" w:rsidRPr="006E10E7">
          <w:rPr>
            <w:rStyle w:val="Hyperlink"/>
            <w:noProof/>
          </w:rPr>
          <w:t>ESP III still exists here.</w:t>
        </w:r>
        <w:r w:rsidR="0020495B">
          <w:rPr>
            <w:noProof/>
            <w:webHidden/>
          </w:rPr>
          <w:tab/>
        </w:r>
        <w:r w:rsidR="0020495B">
          <w:rPr>
            <w:noProof/>
            <w:webHidden/>
          </w:rPr>
          <w:fldChar w:fldCharType="begin"/>
        </w:r>
        <w:r w:rsidR="0020495B">
          <w:rPr>
            <w:noProof/>
            <w:webHidden/>
          </w:rPr>
          <w:instrText xml:space="preserve"> PAGEREF _Toc442104235 \h </w:instrText>
        </w:r>
        <w:r w:rsidR="0020495B">
          <w:rPr>
            <w:noProof/>
            <w:webHidden/>
          </w:rPr>
        </w:r>
        <w:r w:rsidR="0020495B">
          <w:rPr>
            <w:noProof/>
            <w:webHidden/>
          </w:rPr>
          <w:fldChar w:fldCharType="separate"/>
        </w:r>
        <w:r w:rsidR="007110F2">
          <w:rPr>
            <w:noProof/>
            <w:webHidden/>
          </w:rPr>
          <w:t>154</w:t>
        </w:r>
        <w:r w:rsidR="0020495B">
          <w:rPr>
            <w:noProof/>
            <w:webHidden/>
          </w:rPr>
          <w:fldChar w:fldCharType="end"/>
        </w:r>
      </w:hyperlink>
    </w:p>
    <w:p w:rsidR="0020495B" w:rsidRDefault="00AB6E95">
      <w:pPr>
        <w:pStyle w:val="TOC2"/>
        <w:tabs>
          <w:tab w:val="left" w:pos="1440"/>
        </w:tabs>
        <w:rPr>
          <w:rFonts w:asciiTheme="minorHAnsi" w:hAnsiTheme="minorHAnsi" w:cstheme="minorBidi"/>
          <w:noProof/>
          <w:sz w:val="22"/>
          <w:szCs w:val="22"/>
        </w:rPr>
      </w:pPr>
      <w:hyperlink w:anchor="_Toc442104236" w:history="1">
        <w:r w:rsidR="0020495B" w:rsidRPr="006E10E7">
          <w:rPr>
            <w:rStyle w:val="Hyperlink"/>
            <w:noProof/>
          </w:rPr>
          <w:t>G.</w:t>
        </w:r>
        <w:r w:rsidR="0020495B">
          <w:rPr>
            <w:rFonts w:asciiTheme="minorHAnsi" w:hAnsiTheme="minorHAnsi" w:cstheme="minorBidi"/>
            <w:noProof/>
            <w:sz w:val="22"/>
            <w:szCs w:val="22"/>
          </w:rPr>
          <w:tab/>
        </w:r>
        <w:r w:rsidR="0020495B" w:rsidRPr="006E10E7">
          <w:rPr>
            <w:rStyle w:val="Hyperlink"/>
            <w:noProof/>
          </w:rPr>
          <w:t>Staff’s alternative recommendations have the same problems underlying Staff’s recommendation to deny the Amended Application.</w:t>
        </w:r>
        <w:r w:rsidR="0020495B">
          <w:rPr>
            <w:noProof/>
            <w:webHidden/>
          </w:rPr>
          <w:tab/>
        </w:r>
        <w:r w:rsidR="0020495B">
          <w:rPr>
            <w:noProof/>
            <w:webHidden/>
          </w:rPr>
          <w:fldChar w:fldCharType="begin"/>
        </w:r>
        <w:r w:rsidR="0020495B">
          <w:rPr>
            <w:noProof/>
            <w:webHidden/>
          </w:rPr>
          <w:instrText xml:space="preserve"> PAGEREF _Toc442104236 \h </w:instrText>
        </w:r>
        <w:r w:rsidR="0020495B">
          <w:rPr>
            <w:noProof/>
            <w:webHidden/>
          </w:rPr>
        </w:r>
        <w:r w:rsidR="0020495B">
          <w:rPr>
            <w:noProof/>
            <w:webHidden/>
          </w:rPr>
          <w:fldChar w:fldCharType="separate"/>
        </w:r>
        <w:r w:rsidR="007110F2">
          <w:rPr>
            <w:noProof/>
            <w:webHidden/>
          </w:rPr>
          <w:t>157</w:t>
        </w:r>
        <w:r w:rsidR="0020495B">
          <w:rPr>
            <w:noProof/>
            <w:webHidden/>
          </w:rPr>
          <w:fldChar w:fldCharType="end"/>
        </w:r>
      </w:hyperlink>
    </w:p>
    <w:p w:rsidR="0020495B" w:rsidRDefault="00AB6E95">
      <w:pPr>
        <w:pStyle w:val="TOC2"/>
        <w:tabs>
          <w:tab w:val="left" w:pos="1440"/>
        </w:tabs>
        <w:rPr>
          <w:rFonts w:asciiTheme="minorHAnsi" w:hAnsiTheme="minorHAnsi" w:cstheme="minorBidi"/>
          <w:noProof/>
          <w:sz w:val="22"/>
          <w:szCs w:val="22"/>
        </w:rPr>
      </w:pPr>
      <w:hyperlink w:anchor="_Toc442104237" w:history="1">
        <w:r w:rsidR="0020495B" w:rsidRPr="006E10E7">
          <w:rPr>
            <w:rStyle w:val="Hyperlink"/>
            <w:noProof/>
          </w:rPr>
          <w:t>H.</w:t>
        </w:r>
        <w:r w:rsidR="0020495B">
          <w:rPr>
            <w:rFonts w:asciiTheme="minorHAnsi" w:hAnsiTheme="minorHAnsi" w:cstheme="minorBidi"/>
            <w:noProof/>
            <w:sz w:val="22"/>
            <w:szCs w:val="22"/>
          </w:rPr>
          <w:tab/>
        </w:r>
        <w:r w:rsidR="0020495B" w:rsidRPr="006E10E7">
          <w:rPr>
            <w:rStyle w:val="Hyperlink"/>
            <w:noProof/>
          </w:rPr>
          <w:t xml:space="preserve">The Amended Application/Modified Amended Application must be rejected because including its costs would cause AEP Ohio’s ESP to </w:t>
        </w:r>
        <w:r w:rsidR="00C419C8">
          <w:rPr>
            <w:rStyle w:val="Hyperlink"/>
            <w:noProof/>
          </w:rPr>
          <w:br/>
        </w:r>
        <w:r w:rsidR="0020495B" w:rsidRPr="006E10E7">
          <w:rPr>
            <w:rStyle w:val="Hyperlink"/>
            <w:noProof/>
          </w:rPr>
          <w:t>fail the ESP v. MRO test.</w:t>
        </w:r>
        <w:r w:rsidR="0020495B">
          <w:rPr>
            <w:noProof/>
            <w:webHidden/>
          </w:rPr>
          <w:tab/>
        </w:r>
        <w:r w:rsidR="0020495B">
          <w:rPr>
            <w:noProof/>
            <w:webHidden/>
          </w:rPr>
          <w:fldChar w:fldCharType="begin"/>
        </w:r>
        <w:r w:rsidR="0020495B">
          <w:rPr>
            <w:noProof/>
            <w:webHidden/>
          </w:rPr>
          <w:instrText xml:space="preserve"> PAGEREF _Toc442104237 \h </w:instrText>
        </w:r>
        <w:r w:rsidR="0020495B">
          <w:rPr>
            <w:noProof/>
            <w:webHidden/>
          </w:rPr>
        </w:r>
        <w:r w:rsidR="0020495B">
          <w:rPr>
            <w:noProof/>
            <w:webHidden/>
          </w:rPr>
          <w:fldChar w:fldCharType="separate"/>
        </w:r>
        <w:r w:rsidR="007110F2">
          <w:rPr>
            <w:noProof/>
            <w:webHidden/>
          </w:rPr>
          <w:t>160</w:t>
        </w:r>
        <w:r w:rsidR="0020495B">
          <w:rPr>
            <w:noProof/>
            <w:webHidden/>
          </w:rPr>
          <w:fldChar w:fldCharType="end"/>
        </w:r>
      </w:hyperlink>
    </w:p>
    <w:p w:rsidR="0020495B" w:rsidRDefault="00AB6E95">
      <w:pPr>
        <w:pStyle w:val="TOC2"/>
        <w:tabs>
          <w:tab w:val="left" w:pos="1440"/>
        </w:tabs>
        <w:rPr>
          <w:rFonts w:asciiTheme="minorHAnsi" w:hAnsiTheme="minorHAnsi" w:cstheme="minorBidi"/>
          <w:noProof/>
          <w:sz w:val="22"/>
          <w:szCs w:val="22"/>
        </w:rPr>
      </w:pPr>
      <w:hyperlink w:anchor="_Toc442104238" w:history="1">
        <w:r w:rsidR="0020495B" w:rsidRPr="006E10E7">
          <w:rPr>
            <w:rStyle w:val="Hyperlink"/>
            <w:noProof/>
          </w:rPr>
          <w:t>I.</w:t>
        </w:r>
        <w:r w:rsidR="0020495B">
          <w:rPr>
            <w:rFonts w:asciiTheme="minorHAnsi" w:hAnsiTheme="minorHAnsi" w:cstheme="minorBidi"/>
            <w:noProof/>
            <w:sz w:val="22"/>
            <w:szCs w:val="22"/>
          </w:rPr>
          <w:tab/>
        </w:r>
        <w:r w:rsidR="0020495B" w:rsidRPr="006E10E7">
          <w:rPr>
            <w:rStyle w:val="Hyperlink"/>
            <w:noProof/>
          </w:rPr>
          <w:t xml:space="preserve">The Commission should reverse certain rulings that were wrongly </w:t>
        </w:r>
        <w:r w:rsidR="00C419C8">
          <w:rPr>
            <w:rStyle w:val="Hyperlink"/>
            <w:noProof/>
          </w:rPr>
          <w:br/>
        </w:r>
        <w:r w:rsidR="0020495B" w:rsidRPr="006E10E7">
          <w:rPr>
            <w:rStyle w:val="Hyperlink"/>
            <w:noProof/>
          </w:rPr>
          <w:t>decided during the evidentiary hearing on the Joint Stipulation.</w:t>
        </w:r>
        <w:r w:rsidR="0020495B">
          <w:rPr>
            <w:noProof/>
            <w:webHidden/>
          </w:rPr>
          <w:tab/>
        </w:r>
        <w:r w:rsidR="0020495B">
          <w:rPr>
            <w:noProof/>
            <w:webHidden/>
          </w:rPr>
          <w:fldChar w:fldCharType="begin"/>
        </w:r>
        <w:r w:rsidR="0020495B">
          <w:rPr>
            <w:noProof/>
            <w:webHidden/>
          </w:rPr>
          <w:instrText xml:space="preserve"> PAGEREF _Toc442104238 \h </w:instrText>
        </w:r>
        <w:r w:rsidR="0020495B">
          <w:rPr>
            <w:noProof/>
            <w:webHidden/>
          </w:rPr>
        </w:r>
        <w:r w:rsidR="0020495B">
          <w:rPr>
            <w:noProof/>
            <w:webHidden/>
          </w:rPr>
          <w:fldChar w:fldCharType="separate"/>
        </w:r>
        <w:r w:rsidR="007110F2">
          <w:rPr>
            <w:noProof/>
            <w:webHidden/>
          </w:rPr>
          <w:t>163</w:t>
        </w:r>
        <w:r w:rsidR="0020495B">
          <w:rPr>
            <w:noProof/>
            <w:webHidden/>
          </w:rPr>
          <w:fldChar w:fldCharType="end"/>
        </w:r>
      </w:hyperlink>
    </w:p>
    <w:p w:rsidR="0020495B" w:rsidRDefault="00AB6E95">
      <w:pPr>
        <w:pStyle w:val="TOC3"/>
        <w:tabs>
          <w:tab w:val="left" w:pos="2160"/>
        </w:tabs>
        <w:rPr>
          <w:rFonts w:asciiTheme="minorHAnsi" w:hAnsiTheme="minorHAnsi"/>
          <w:noProof/>
          <w:sz w:val="22"/>
        </w:rPr>
      </w:pPr>
      <w:hyperlink w:anchor="_Toc442104239" w:history="1">
        <w:r w:rsidR="0020495B" w:rsidRPr="006E10E7">
          <w:rPr>
            <w:rStyle w:val="Hyperlink"/>
            <w:noProof/>
            <w:lang w:bidi="hi-IN"/>
          </w:rPr>
          <w:t>1.</w:t>
        </w:r>
        <w:r w:rsidR="0020495B">
          <w:rPr>
            <w:rFonts w:asciiTheme="minorHAnsi" w:hAnsiTheme="minorHAnsi"/>
            <w:noProof/>
            <w:sz w:val="22"/>
          </w:rPr>
          <w:tab/>
        </w:r>
        <w:r w:rsidR="0020495B" w:rsidRPr="006E10E7">
          <w:rPr>
            <w:rStyle w:val="Hyperlink"/>
            <w:noProof/>
            <w:lang w:bidi="hi-IN"/>
          </w:rPr>
          <w:t>Settlement discussion confidentiality privilege is limited in scope and inapplicable to the questions asked during the evidentiary hearing by non-Signatory Parties.</w:t>
        </w:r>
        <w:r w:rsidR="0020495B">
          <w:rPr>
            <w:noProof/>
            <w:webHidden/>
          </w:rPr>
          <w:tab/>
        </w:r>
        <w:r w:rsidR="0020495B">
          <w:rPr>
            <w:noProof/>
            <w:webHidden/>
          </w:rPr>
          <w:fldChar w:fldCharType="begin"/>
        </w:r>
        <w:r w:rsidR="0020495B">
          <w:rPr>
            <w:noProof/>
            <w:webHidden/>
          </w:rPr>
          <w:instrText xml:space="preserve"> PAGEREF _Toc442104239 \h </w:instrText>
        </w:r>
        <w:r w:rsidR="0020495B">
          <w:rPr>
            <w:noProof/>
            <w:webHidden/>
          </w:rPr>
        </w:r>
        <w:r w:rsidR="0020495B">
          <w:rPr>
            <w:noProof/>
            <w:webHidden/>
          </w:rPr>
          <w:fldChar w:fldCharType="separate"/>
        </w:r>
        <w:r w:rsidR="007110F2">
          <w:rPr>
            <w:noProof/>
            <w:webHidden/>
          </w:rPr>
          <w:t>164</w:t>
        </w:r>
        <w:r w:rsidR="0020495B">
          <w:rPr>
            <w:noProof/>
            <w:webHidden/>
          </w:rPr>
          <w:fldChar w:fldCharType="end"/>
        </w:r>
      </w:hyperlink>
    </w:p>
    <w:p w:rsidR="0020495B" w:rsidRDefault="00AB6E95">
      <w:pPr>
        <w:pStyle w:val="TOC3"/>
        <w:tabs>
          <w:tab w:val="left" w:pos="2160"/>
        </w:tabs>
        <w:rPr>
          <w:rFonts w:asciiTheme="minorHAnsi" w:hAnsiTheme="minorHAnsi"/>
          <w:noProof/>
          <w:sz w:val="22"/>
        </w:rPr>
      </w:pPr>
      <w:hyperlink w:anchor="_Toc442104240" w:history="1">
        <w:r w:rsidR="0020495B" w:rsidRPr="006E10E7">
          <w:rPr>
            <w:rStyle w:val="Hyperlink"/>
            <w:noProof/>
            <w:lang w:bidi="hi-IN"/>
          </w:rPr>
          <w:t>2.</w:t>
        </w:r>
        <w:r w:rsidR="0020495B">
          <w:rPr>
            <w:rFonts w:asciiTheme="minorHAnsi" w:hAnsiTheme="minorHAnsi"/>
            <w:noProof/>
            <w:sz w:val="22"/>
          </w:rPr>
          <w:tab/>
        </w:r>
        <w:r w:rsidR="0020495B" w:rsidRPr="006E10E7">
          <w:rPr>
            <w:rStyle w:val="Hyperlink"/>
            <w:noProof/>
            <w:lang w:bidi="hi-IN"/>
          </w:rPr>
          <w:t xml:space="preserve">Hearing testimony, and other evidence submitted for the </w:t>
        </w:r>
        <w:r w:rsidR="00C419C8">
          <w:rPr>
            <w:rStyle w:val="Hyperlink"/>
            <w:noProof/>
            <w:lang w:bidi="hi-IN"/>
          </w:rPr>
          <w:br/>
        </w:r>
        <w:r w:rsidR="0020495B" w:rsidRPr="006E10E7">
          <w:rPr>
            <w:rStyle w:val="Hyperlink"/>
            <w:noProof/>
            <w:lang w:bidi="hi-IN"/>
          </w:rPr>
          <w:t>PUCO’s consideration, should not be limited to that which signatory parties choose to submit.</w:t>
        </w:r>
        <w:r w:rsidR="0020495B">
          <w:rPr>
            <w:noProof/>
            <w:webHidden/>
          </w:rPr>
          <w:tab/>
        </w:r>
        <w:r w:rsidR="0020495B">
          <w:rPr>
            <w:noProof/>
            <w:webHidden/>
          </w:rPr>
          <w:fldChar w:fldCharType="begin"/>
        </w:r>
        <w:r w:rsidR="0020495B">
          <w:rPr>
            <w:noProof/>
            <w:webHidden/>
          </w:rPr>
          <w:instrText xml:space="preserve"> PAGEREF _Toc442104240 \h </w:instrText>
        </w:r>
        <w:r w:rsidR="0020495B">
          <w:rPr>
            <w:noProof/>
            <w:webHidden/>
          </w:rPr>
        </w:r>
        <w:r w:rsidR="0020495B">
          <w:rPr>
            <w:noProof/>
            <w:webHidden/>
          </w:rPr>
          <w:fldChar w:fldCharType="separate"/>
        </w:r>
        <w:r w:rsidR="007110F2">
          <w:rPr>
            <w:noProof/>
            <w:webHidden/>
          </w:rPr>
          <w:t>168</w:t>
        </w:r>
        <w:r w:rsidR="0020495B">
          <w:rPr>
            <w:noProof/>
            <w:webHidden/>
          </w:rPr>
          <w:fldChar w:fldCharType="end"/>
        </w:r>
      </w:hyperlink>
    </w:p>
    <w:p w:rsidR="0020495B" w:rsidRDefault="00AB6E95">
      <w:pPr>
        <w:pStyle w:val="TOC3"/>
        <w:tabs>
          <w:tab w:val="left" w:pos="2160"/>
        </w:tabs>
        <w:rPr>
          <w:rFonts w:asciiTheme="minorHAnsi" w:hAnsiTheme="minorHAnsi"/>
          <w:noProof/>
          <w:sz w:val="22"/>
        </w:rPr>
      </w:pPr>
      <w:hyperlink w:anchor="_Toc442104241" w:history="1">
        <w:r w:rsidR="0020495B" w:rsidRPr="006E10E7">
          <w:rPr>
            <w:rStyle w:val="Hyperlink"/>
            <w:noProof/>
            <w:lang w:bidi="hi-IN"/>
          </w:rPr>
          <w:t>3.</w:t>
        </w:r>
        <w:r w:rsidR="0020495B">
          <w:rPr>
            <w:rFonts w:asciiTheme="minorHAnsi" w:hAnsiTheme="minorHAnsi"/>
            <w:noProof/>
            <w:sz w:val="22"/>
          </w:rPr>
          <w:tab/>
        </w:r>
        <w:r w:rsidR="0020495B" w:rsidRPr="006E10E7">
          <w:rPr>
            <w:rStyle w:val="Hyperlink"/>
            <w:noProof/>
            <w:lang w:bidi="hi-IN"/>
          </w:rPr>
          <w:t xml:space="preserve">AEP Ohio Witness Allen should not have been permitted to </w:t>
        </w:r>
        <w:r w:rsidR="00C419C8">
          <w:rPr>
            <w:rStyle w:val="Hyperlink"/>
            <w:noProof/>
            <w:lang w:bidi="hi-IN"/>
          </w:rPr>
          <w:br/>
        </w:r>
        <w:r w:rsidR="0020495B" w:rsidRPr="006E10E7">
          <w:rPr>
            <w:rStyle w:val="Hyperlink"/>
            <w:noProof/>
            <w:lang w:bidi="hi-IN"/>
          </w:rPr>
          <w:t>testify about the alleged economic analysis attached to his testimony because he was unqualified to do so.</w:t>
        </w:r>
        <w:r w:rsidR="0020495B">
          <w:rPr>
            <w:noProof/>
            <w:webHidden/>
          </w:rPr>
          <w:tab/>
        </w:r>
        <w:r w:rsidR="0020495B">
          <w:rPr>
            <w:noProof/>
            <w:webHidden/>
          </w:rPr>
          <w:fldChar w:fldCharType="begin"/>
        </w:r>
        <w:r w:rsidR="0020495B">
          <w:rPr>
            <w:noProof/>
            <w:webHidden/>
          </w:rPr>
          <w:instrText xml:space="preserve"> PAGEREF _Toc442104241 \h </w:instrText>
        </w:r>
        <w:r w:rsidR="0020495B">
          <w:rPr>
            <w:noProof/>
            <w:webHidden/>
          </w:rPr>
        </w:r>
        <w:r w:rsidR="0020495B">
          <w:rPr>
            <w:noProof/>
            <w:webHidden/>
          </w:rPr>
          <w:fldChar w:fldCharType="separate"/>
        </w:r>
        <w:r w:rsidR="007110F2">
          <w:rPr>
            <w:noProof/>
            <w:webHidden/>
          </w:rPr>
          <w:t>170</w:t>
        </w:r>
        <w:r w:rsidR="0020495B">
          <w:rPr>
            <w:noProof/>
            <w:webHidden/>
          </w:rPr>
          <w:fldChar w:fldCharType="end"/>
        </w:r>
      </w:hyperlink>
    </w:p>
    <w:p w:rsidR="0020495B" w:rsidRDefault="00AB6E95">
      <w:pPr>
        <w:pStyle w:val="TOC1"/>
        <w:rPr>
          <w:rFonts w:asciiTheme="minorHAnsi" w:hAnsiTheme="minorHAnsi"/>
          <w:noProof/>
          <w:sz w:val="22"/>
        </w:rPr>
      </w:pPr>
      <w:hyperlink w:anchor="_Toc442104242" w:history="1">
        <w:r w:rsidR="0020495B" w:rsidRPr="006E10E7">
          <w:rPr>
            <w:rStyle w:val="Hyperlink"/>
            <w:noProof/>
          </w:rPr>
          <w:t>VI.</w:t>
        </w:r>
        <w:r w:rsidR="0020495B">
          <w:rPr>
            <w:rFonts w:asciiTheme="minorHAnsi" w:hAnsiTheme="minorHAnsi"/>
            <w:noProof/>
            <w:sz w:val="22"/>
          </w:rPr>
          <w:tab/>
        </w:r>
        <w:r w:rsidR="0020495B" w:rsidRPr="006E10E7">
          <w:rPr>
            <w:rStyle w:val="Hyperlink"/>
            <w:noProof/>
          </w:rPr>
          <w:t>CONCLUSION</w:t>
        </w:r>
        <w:r w:rsidR="0020495B">
          <w:rPr>
            <w:noProof/>
            <w:webHidden/>
          </w:rPr>
          <w:tab/>
        </w:r>
        <w:r w:rsidR="0020495B">
          <w:rPr>
            <w:noProof/>
            <w:webHidden/>
          </w:rPr>
          <w:fldChar w:fldCharType="begin"/>
        </w:r>
        <w:r w:rsidR="0020495B">
          <w:rPr>
            <w:noProof/>
            <w:webHidden/>
          </w:rPr>
          <w:instrText xml:space="preserve"> PAGEREF _Toc442104242 \h </w:instrText>
        </w:r>
        <w:r w:rsidR="0020495B">
          <w:rPr>
            <w:noProof/>
            <w:webHidden/>
          </w:rPr>
        </w:r>
        <w:r w:rsidR="0020495B">
          <w:rPr>
            <w:noProof/>
            <w:webHidden/>
          </w:rPr>
          <w:fldChar w:fldCharType="separate"/>
        </w:r>
        <w:r w:rsidR="007110F2">
          <w:rPr>
            <w:noProof/>
            <w:webHidden/>
          </w:rPr>
          <w:t>171</w:t>
        </w:r>
        <w:r w:rsidR="0020495B">
          <w:rPr>
            <w:noProof/>
            <w:webHidden/>
          </w:rPr>
          <w:fldChar w:fldCharType="end"/>
        </w:r>
      </w:hyperlink>
    </w:p>
    <w:p w:rsidR="00DD77F9" w:rsidRDefault="006A0B34" w:rsidP="00A57413">
      <w:pPr>
        <w:pStyle w:val="HTMLPreformatted"/>
        <w:rPr>
          <w:rFonts w:ascii="Times New Roman" w:eastAsiaTheme="minorHAnsi" w:hAnsi="Times New Roman" w:cstheme="minorBidi"/>
          <w:b/>
          <w:bCs/>
          <w:sz w:val="24"/>
          <w:szCs w:val="22"/>
        </w:rPr>
        <w:sectPr w:rsidR="00DD77F9" w:rsidSect="00AA2FFB">
          <w:footerReference w:type="default" r:id="rId19"/>
          <w:pgSz w:w="12240" w:h="15840"/>
          <w:pgMar w:top="1440" w:right="1800" w:bottom="1440" w:left="1800" w:header="720" w:footer="720" w:gutter="0"/>
          <w:pgNumType w:fmt="lowerRoman" w:start="1"/>
          <w:cols w:space="720"/>
          <w:docGrid w:linePitch="360"/>
        </w:sectPr>
      </w:pPr>
      <w:r>
        <w:rPr>
          <w:rFonts w:ascii="Times New Roman" w:eastAsiaTheme="minorHAnsi" w:hAnsi="Times New Roman" w:cstheme="minorBidi"/>
          <w:b/>
          <w:bCs/>
          <w:sz w:val="24"/>
          <w:szCs w:val="22"/>
        </w:rPr>
        <w:fldChar w:fldCharType="end"/>
      </w:r>
    </w:p>
    <w:p w:rsidR="0033749E" w:rsidRDefault="0033749E" w:rsidP="007B31CB">
      <w:pPr>
        <w:pStyle w:val="HTMLPreformatted"/>
        <w:jc w:val="center"/>
        <w:rPr>
          <w:rFonts w:ascii="Times New Roman" w:hAnsi="Times New Roman"/>
          <w:b/>
          <w:bCs/>
          <w:sz w:val="24"/>
        </w:rPr>
      </w:pPr>
      <w:r>
        <w:rPr>
          <w:rFonts w:ascii="Times New Roman" w:hAnsi="Times New Roman"/>
          <w:b/>
          <w:bCs/>
          <w:sz w:val="24"/>
        </w:rPr>
        <w:t>BEFORE</w:t>
      </w:r>
    </w:p>
    <w:p w:rsidR="0033749E" w:rsidRDefault="0033749E" w:rsidP="007B31CB">
      <w:pPr>
        <w:pStyle w:val="HTMLPreformatted"/>
        <w:jc w:val="center"/>
        <w:rPr>
          <w:rFonts w:ascii="Times New Roman" w:hAnsi="Times New Roman"/>
          <w:sz w:val="24"/>
        </w:rPr>
      </w:pPr>
      <w:r>
        <w:rPr>
          <w:rFonts w:ascii="Times New Roman" w:hAnsi="Times New Roman"/>
          <w:b/>
          <w:bCs/>
          <w:sz w:val="24"/>
        </w:rPr>
        <w:t>THE PUBLIC UTILITIES COMMISSION OF OHIO</w:t>
      </w:r>
    </w:p>
    <w:p w:rsidR="0033749E" w:rsidRDefault="0033749E" w:rsidP="00A57413">
      <w:pPr>
        <w:pStyle w:val="HTMLPreformatted"/>
        <w:rPr>
          <w:rFonts w:ascii="Times New Roman" w:hAnsi="Times New Roman"/>
          <w:sz w:val="24"/>
        </w:rPr>
      </w:pPr>
    </w:p>
    <w:tbl>
      <w:tblPr>
        <w:tblW w:w="9061" w:type="dxa"/>
        <w:tblLook w:val="01E0" w:firstRow="1" w:lastRow="1" w:firstColumn="1" w:lastColumn="1" w:noHBand="0" w:noVBand="0"/>
      </w:tblPr>
      <w:tblGrid>
        <w:gridCol w:w="4317"/>
        <w:gridCol w:w="359"/>
        <w:gridCol w:w="4385"/>
      </w:tblGrid>
      <w:tr w:rsidR="0033749E" w:rsidTr="00CD7A55">
        <w:trPr>
          <w:trHeight w:val="3100"/>
        </w:trPr>
        <w:tc>
          <w:tcPr>
            <w:tcW w:w="4317" w:type="dxa"/>
          </w:tcPr>
          <w:p w:rsidR="0033749E" w:rsidRPr="00D91309" w:rsidRDefault="0033749E" w:rsidP="00A57413">
            <w:pPr>
              <w:autoSpaceDE w:val="0"/>
              <w:autoSpaceDN w:val="0"/>
              <w:adjustRightInd w:val="0"/>
              <w:rPr>
                <w:rFonts w:ascii="Times New Roman" w:hAnsi="Times New Roman" w:cs="Times New Roman"/>
                <w:sz w:val="24"/>
                <w:szCs w:val="24"/>
              </w:rPr>
            </w:pPr>
            <w:r w:rsidRPr="00D91309">
              <w:rPr>
                <w:rFonts w:ascii="Times New Roman" w:hAnsi="Times New Roman" w:cs="Times New Roman"/>
                <w:sz w:val="24"/>
                <w:szCs w:val="24"/>
              </w:rPr>
              <w:t>In the Matter of the Application Seeking Approval of Ohio Power Company’s Proposal to Enter into an Affiliate Power Purchase Agreement in the Power Purchase Agreement Rider.</w:t>
            </w:r>
          </w:p>
          <w:p w:rsidR="0033749E" w:rsidRPr="00D91309" w:rsidRDefault="0033749E" w:rsidP="00A57413">
            <w:pPr>
              <w:autoSpaceDE w:val="0"/>
              <w:autoSpaceDN w:val="0"/>
              <w:adjustRightInd w:val="0"/>
              <w:rPr>
                <w:rFonts w:ascii="Times New Roman" w:hAnsi="Times New Roman" w:cs="Times New Roman"/>
                <w:sz w:val="24"/>
                <w:szCs w:val="24"/>
              </w:rPr>
            </w:pPr>
            <w:r w:rsidRPr="00D91309">
              <w:rPr>
                <w:rFonts w:ascii="Times New Roman" w:hAnsi="Times New Roman" w:cs="Times New Roman"/>
                <w:sz w:val="24"/>
                <w:szCs w:val="24"/>
              </w:rPr>
              <w:t>In the Matter of the Application of Ohio Power Company for Approval o</w:t>
            </w:r>
            <w:r w:rsidR="00DB1632">
              <w:rPr>
                <w:rFonts w:ascii="Times New Roman" w:hAnsi="Times New Roman" w:cs="Times New Roman"/>
                <w:sz w:val="24"/>
                <w:szCs w:val="24"/>
              </w:rPr>
              <w:t>f Certain Accounting Authority.</w:t>
            </w:r>
          </w:p>
        </w:tc>
        <w:tc>
          <w:tcPr>
            <w:tcW w:w="359" w:type="dxa"/>
          </w:tcPr>
          <w:p w:rsidR="00856315" w:rsidRDefault="00D520AE" w:rsidP="00A57413">
            <w:pPr>
              <w:pStyle w:val="HTMLPreformatted"/>
              <w:rPr>
                <w:rFonts w:ascii="Times New Roman" w:hAnsi="Times New Roman"/>
                <w:sz w:val="24"/>
              </w:rPr>
            </w:pPr>
            <w:r>
              <w:rPr>
                <w:rFonts w:ascii="Times New Roman" w:hAnsi="Times New Roman"/>
                <w:sz w:val="24"/>
              </w:rPr>
              <w:t>)</w:t>
            </w:r>
          </w:p>
          <w:p w:rsidR="00D520AE" w:rsidRDefault="00D520AE" w:rsidP="00A57413">
            <w:pPr>
              <w:pStyle w:val="HTMLPreformatted"/>
              <w:rPr>
                <w:rFonts w:ascii="Times New Roman" w:hAnsi="Times New Roman"/>
                <w:sz w:val="24"/>
              </w:rPr>
            </w:pPr>
            <w:r>
              <w:rPr>
                <w:rFonts w:ascii="Times New Roman" w:hAnsi="Times New Roman"/>
                <w:sz w:val="24"/>
              </w:rPr>
              <w:t>)</w:t>
            </w:r>
          </w:p>
          <w:p w:rsidR="00D520AE" w:rsidRDefault="00D520AE" w:rsidP="00A57413">
            <w:pPr>
              <w:pStyle w:val="HTMLPreformatted"/>
              <w:rPr>
                <w:rFonts w:ascii="Times New Roman" w:hAnsi="Times New Roman"/>
                <w:sz w:val="24"/>
              </w:rPr>
            </w:pPr>
            <w:r>
              <w:rPr>
                <w:rFonts w:ascii="Times New Roman" w:hAnsi="Times New Roman"/>
                <w:sz w:val="24"/>
              </w:rPr>
              <w:t>)</w:t>
            </w:r>
          </w:p>
          <w:p w:rsidR="00D520AE" w:rsidRDefault="00D520AE" w:rsidP="00A57413">
            <w:pPr>
              <w:pStyle w:val="HTMLPreformatted"/>
              <w:rPr>
                <w:rFonts w:ascii="Times New Roman" w:hAnsi="Times New Roman"/>
                <w:sz w:val="24"/>
              </w:rPr>
            </w:pPr>
            <w:r>
              <w:rPr>
                <w:rFonts w:ascii="Times New Roman" w:hAnsi="Times New Roman"/>
                <w:sz w:val="24"/>
              </w:rPr>
              <w:t>)</w:t>
            </w:r>
          </w:p>
          <w:p w:rsidR="00D520AE" w:rsidRDefault="00D520AE" w:rsidP="00A57413">
            <w:pPr>
              <w:pStyle w:val="HTMLPreformatted"/>
              <w:rPr>
                <w:rFonts w:ascii="Times New Roman" w:hAnsi="Times New Roman"/>
                <w:sz w:val="24"/>
              </w:rPr>
            </w:pPr>
            <w:r>
              <w:rPr>
                <w:rFonts w:ascii="Times New Roman" w:hAnsi="Times New Roman"/>
                <w:sz w:val="24"/>
              </w:rPr>
              <w:t>)</w:t>
            </w:r>
          </w:p>
          <w:p w:rsidR="00D520AE" w:rsidRDefault="001D77BB" w:rsidP="00A57413">
            <w:pPr>
              <w:pStyle w:val="HTMLPreformatted"/>
              <w:rPr>
                <w:rFonts w:ascii="Times New Roman" w:hAnsi="Times New Roman"/>
                <w:sz w:val="24"/>
              </w:rPr>
            </w:pPr>
            <w:r>
              <w:rPr>
                <w:rFonts w:ascii="Times New Roman" w:hAnsi="Times New Roman"/>
                <w:sz w:val="24"/>
              </w:rPr>
              <w:t>)</w:t>
            </w:r>
          </w:p>
          <w:p w:rsidR="00D520AE" w:rsidRDefault="00D520AE" w:rsidP="00A57413">
            <w:pPr>
              <w:pStyle w:val="HTMLPreformatted"/>
              <w:rPr>
                <w:rFonts w:ascii="Times New Roman" w:hAnsi="Times New Roman"/>
                <w:sz w:val="24"/>
              </w:rPr>
            </w:pPr>
            <w:r>
              <w:rPr>
                <w:rFonts w:ascii="Times New Roman" w:hAnsi="Times New Roman"/>
                <w:sz w:val="24"/>
              </w:rPr>
              <w:t>)</w:t>
            </w:r>
          </w:p>
          <w:p w:rsidR="00D520AE" w:rsidRDefault="00D520AE" w:rsidP="00A57413">
            <w:pPr>
              <w:pStyle w:val="HTMLPreformatted"/>
              <w:rPr>
                <w:rFonts w:ascii="Times New Roman" w:hAnsi="Times New Roman"/>
                <w:sz w:val="24"/>
              </w:rPr>
            </w:pPr>
            <w:r>
              <w:rPr>
                <w:rFonts w:ascii="Times New Roman" w:hAnsi="Times New Roman"/>
                <w:sz w:val="24"/>
              </w:rPr>
              <w:t>)</w:t>
            </w:r>
          </w:p>
          <w:p w:rsidR="00D520AE" w:rsidRDefault="00D520AE" w:rsidP="00A57413">
            <w:pPr>
              <w:pStyle w:val="HTMLPreformatted"/>
              <w:rPr>
                <w:rFonts w:ascii="Times New Roman" w:hAnsi="Times New Roman"/>
                <w:sz w:val="24"/>
              </w:rPr>
            </w:pPr>
            <w:r>
              <w:rPr>
                <w:rFonts w:ascii="Times New Roman" w:hAnsi="Times New Roman"/>
                <w:sz w:val="24"/>
              </w:rPr>
              <w:t>)</w:t>
            </w:r>
          </w:p>
          <w:p w:rsidR="00D520AE" w:rsidRDefault="00D520AE" w:rsidP="00A57413">
            <w:pPr>
              <w:pStyle w:val="HTMLPreformatted"/>
              <w:rPr>
                <w:rFonts w:ascii="Times New Roman" w:hAnsi="Times New Roman"/>
                <w:sz w:val="24"/>
              </w:rPr>
            </w:pPr>
            <w:r>
              <w:rPr>
                <w:rFonts w:ascii="Times New Roman" w:hAnsi="Times New Roman"/>
                <w:sz w:val="24"/>
              </w:rPr>
              <w:t>)</w:t>
            </w:r>
          </w:p>
          <w:p w:rsidR="00D520AE" w:rsidRDefault="00D520AE" w:rsidP="00A57413">
            <w:pPr>
              <w:pStyle w:val="HTMLPreformatted"/>
              <w:rPr>
                <w:rFonts w:ascii="Times New Roman" w:hAnsi="Times New Roman"/>
                <w:sz w:val="24"/>
              </w:rPr>
            </w:pPr>
          </w:p>
        </w:tc>
        <w:tc>
          <w:tcPr>
            <w:tcW w:w="4385" w:type="dxa"/>
          </w:tcPr>
          <w:p w:rsidR="0033749E" w:rsidRDefault="0033749E" w:rsidP="00A57413">
            <w:pPr>
              <w:pStyle w:val="HTMLPreformatted"/>
              <w:rPr>
                <w:rFonts w:ascii="Times New Roman" w:hAnsi="Times New Roman"/>
                <w:sz w:val="24"/>
              </w:rPr>
            </w:pPr>
          </w:p>
          <w:p w:rsidR="004900D9" w:rsidRDefault="004900D9" w:rsidP="00A57413">
            <w:pPr>
              <w:pStyle w:val="HTMLPreformatted"/>
              <w:rPr>
                <w:rFonts w:ascii="Times New Roman" w:hAnsi="Times New Roman"/>
                <w:sz w:val="24"/>
              </w:rPr>
            </w:pPr>
          </w:p>
          <w:p w:rsidR="0033749E" w:rsidRDefault="0033749E" w:rsidP="00A57413">
            <w:pPr>
              <w:pStyle w:val="HTMLPreformatted"/>
              <w:rPr>
                <w:rFonts w:ascii="Times New Roman" w:hAnsi="Times New Roman"/>
                <w:sz w:val="24"/>
              </w:rPr>
            </w:pPr>
            <w:r>
              <w:rPr>
                <w:rFonts w:ascii="Times New Roman" w:hAnsi="Times New Roman"/>
                <w:sz w:val="24"/>
              </w:rPr>
              <w:t>Case No. 14-1693-EL-RDR</w:t>
            </w:r>
          </w:p>
          <w:p w:rsidR="0033749E" w:rsidRDefault="0033749E" w:rsidP="00A57413">
            <w:pPr>
              <w:pStyle w:val="HTMLPreformatted"/>
              <w:rPr>
                <w:rFonts w:ascii="Times New Roman" w:hAnsi="Times New Roman"/>
                <w:sz w:val="24"/>
              </w:rPr>
            </w:pPr>
          </w:p>
          <w:p w:rsidR="0033749E" w:rsidRDefault="0033749E" w:rsidP="00A57413">
            <w:pPr>
              <w:pStyle w:val="HTMLPreformatted"/>
              <w:rPr>
                <w:rFonts w:ascii="Times New Roman" w:hAnsi="Times New Roman"/>
                <w:sz w:val="24"/>
              </w:rPr>
            </w:pPr>
          </w:p>
          <w:p w:rsidR="0033749E" w:rsidRDefault="0033749E" w:rsidP="00A57413">
            <w:pPr>
              <w:pStyle w:val="HTMLPreformatted"/>
              <w:rPr>
                <w:rFonts w:ascii="Times New Roman" w:hAnsi="Times New Roman"/>
                <w:sz w:val="24"/>
              </w:rPr>
            </w:pPr>
          </w:p>
          <w:p w:rsidR="0033749E" w:rsidRDefault="0033749E" w:rsidP="00A57413">
            <w:pPr>
              <w:pStyle w:val="HTMLPreformatted"/>
              <w:rPr>
                <w:rFonts w:ascii="Times New Roman" w:hAnsi="Times New Roman"/>
                <w:sz w:val="24"/>
              </w:rPr>
            </w:pPr>
          </w:p>
          <w:p w:rsidR="00A7755A" w:rsidRDefault="00A7755A" w:rsidP="00A57413">
            <w:pPr>
              <w:pStyle w:val="HTMLPreformatted"/>
              <w:rPr>
                <w:rFonts w:ascii="Times New Roman" w:hAnsi="Times New Roman"/>
                <w:sz w:val="24"/>
              </w:rPr>
            </w:pPr>
            <w:r>
              <w:rPr>
                <w:rFonts w:ascii="Times New Roman" w:hAnsi="Times New Roman"/>
                <w:sz w:val="24"/>
              </w:rPr>
              <w:t>Case No. 14-1694-EL-AAM</w:t>
            </w:r>
          </w:p>
          <w:p w:rsidR="0033749E" w:rsidRDefault="0033749E" w:rsidP="00A57413">
            <w:pPr>
              <w:pStyle w:val="HTMLPreformatted"/>
              <w:rPr>
                <w:rFonts w:ascii="Times New Roman" w:hAnsi="Times New Roman"/>
                <w:sz w:val="24"/>
              </w:rPr>
            </w:pPr>
          </w:p>
        </w:tc>
      </w:tr>
    </w:tbl>
    <w:p w:rsidR="0033749E" w:rsidRDefault="0033749E" w:rsidP="00A57413">
      <w:pPr>
        <w:pStyle w:val="HTMLPreformatted"/>
        <w:pBdr>
          <w:bottom w:val="single" w:sz="12" w:space="1" w:color="auto"/>
        </w:pBdr>
        <w:rPr>
          <w:rFonts w:ascii="Times New Roman" w:hAnsi="Times New Roman"/>
          <w:b/>
          <w:bCs/>
          <w:sz w:val="24"/>
        </w:rPr>
      </w:pPr>
    </w:p>
    <w:p w:rsidR="0033749E" w:rsidRDefault="0033749E" w:rsidP="00A57413">
      <w:pPr>
        <w:pStyle w:val="HTMLPreformatted"/>
        <w:rPr>
          <w:rFonts w:ascii="Times New Roman" w:hAnsi="Times New Roman"/>
          <w:b/>
          <w:bCs/>
          <w:i/>
          <w:sz w:val="24"/>
        </w:rPr>
      </w:pPr>
    </w:p>
    <w:p w:rsidR="0033749E" w:rsidRDefault="00E93200" w:rsidP="007B31CB">
      <w:pPr>
        <w:pStyle w:val="HTMLPreformatted"/>
        <w:jc w:val="center"/>
        <w:rPr>
          <w:rFonts w:ascii="Times New Roman" w:hAnsi="Times New Roman"/>
          <w:b/>
          <w:bCs/>
          <w:sz w:val="24"/>
        </w:rPr>
      </w:pPr>
      <w:r>
        <w:rPr>
          <w:rFonts w:ascii="Times New Roman" w:hAnsi="Times New Roman"/>
          <w:b/>
          <w:bCs/>
          <w:sz w:val="24"/>
        </w:rPr>
        <w:t xml:space="preserve">JOINT </w:t>
      </w:r>
      <w:r w:rsidR="0033749E">
        <w:rPr>
          <w:rFonts w:ascii="Times New Roman" w:hAnsi="Times New Roman"/>
          <w:b/>
          <w:bCs/>
          <w:sz w:val="24"/>
        </w:rPr>
        <w:t>POST-HEARING BRIEF</w:t>
      </w:r>
    </w:p>
    <w:p w:rsidR="0033749E" w:rsidRDefault="0033749E" w:rsidP="007B31CB">
      <w:pPr>
        <w:pStyle w:val="HTMLPreformatted"/>
        <w:jc w:val="center"/>
        <w:rPr>
          <w:rFonts w:ascii="Times New Roman" w:hAnsi="Times New Roman"/>
          <w:b/>
          <w:bCs/>
          <w:sz w:val="24"/>
        </w:rPr>
      </w:pPr>
      <w:r>
        <w:rPr>
          <w:rFonts w:ascii="Times New Roman" w:hAnsi="Times New Roman"/>
          <w:b/>
          <w:bCs/>
          <w:sz w:val="24"/>
        </w:rPr>
        <w:t>BY</w:t>
      </w:r>
    </w:p>
    <w:p w:rsidR="0033749E" w:rsidRDefault="0033749E" w:rsidP="007B31CB">
      <w:pPr>
        <w:pStyle w:val="HTMLPreformatted"/>
        <w:jc w:val="center"/>
        <w:rPr>
          <w:rFonts w:ascii="Times New Roman" w:hAnsi="Times New Roman"/>
          <w:b/>
          <w:bCs/>
          <w:sz w:val="24"/>
        </w:rPr>
      </w:pPr>
      <w:r>
        <w:rPr>
          <w:rFonts w:ascii="Times New Roman" w:hAnsi="Times New Roman"/>
          <w:b/>
          <w:bCs/>
          <w:sz w:val="24"/>
        </w:rPr>
        <w:t>THE OFFICE OF THE OHIO CONSUMERS’ COUNSEL</w:t>
      </w:r>
    </w:p>
    <w:p w:rsidR="00DD77F9" w:rsidRDefault="00DD77F9" w:rsidP="007B31CB">
      <w:pPr>
        <w:pStyle w:val="HTMLPreformatted"/>
        <w:jc w:val="center"/>
        <w:rPr>
          <w:rFonts w:ascii="Times New Roman" w:hAnsi="Times New Roman"/>
          <w:b/>
          <w:bCs/>
          <w:sz w:val="24"/>
        </w:rPr>
      </w:pPr>
      <w:r>
        <w:rPr>
          <w:rFonts w:ascii="Times New Roman" w:hAnsi="Times New Roman"/>
          <w:b/>
          <w:bCs/>
          <w:sz w:val="24"/>
        </w:rPr>
        <w:t>AND</w:t>
      </w:r>
    </w:p>
    <w:p w:rsidR="00F96CC1" w:rsidRDefault="00F96CC1" w:rsidP="007B31CB">
      <w:pPr>
        <w:pStyle w:val="HTMLPreformatted"/>
        <w:jc w:val="center"/>
        <w:rPr>
          <w:rFonts w:ascii="Times New Roman" w:hAnsi="Times New Roman"/>
          <w:b/>
          <w:bCs/>
          <w:sz w:val="24"/>
        </w:rPr>
      </w:pPr>
      <w:r>
        <w:rPr>
          <w:rFonts w:ascii="Times New Roman" w:hAnsi="Times New Roman"/>
          <w:b/>
          <w:bCs/>
          <w:sz w:val="24"/>
        </w:rPr>
        <w:t>APPALACHIAN PEACE AND JUSTICE NETWORK</w:t>
      </w:r>
    </w:p>
    <w:p w:rsidR="0033749E" w:rsidRDefault="0033749E" w:rsidP="00211CAA">
      <w:pPr>
        <w:pStyle w:val="HTMLPreformatted"/>
        <w:pBdr>
          <w:bottom w:val="single" w:sz="12" w:space="1" w:color="auto"/>
        </w:pBdr>
        <w:rPr>
          <w:rFonts w:ascii="Times New Roman" w:hAnsi="Times New Roman"/>
          <w:b/>
          <w:bCs/>
          <w:sz w:val="24"/>
        </w:rPr>
      </w:pPr>
    </w:p>
    <w:p w:rsidR="00DB1632" w:rsidRDefault="00DB1632" w:rsidP="001D77BB">
      <w:pPr>
        <w:pStyle w:val="Heading1"/>
      </w:pPr>
    </w:p>
    <w:p w:rsidR="00FF5A05" w:rsidRDefault="000E59DD" w:rsidP="00211CA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w:t>
      </w:r>
      <w:r w:rsidR="00A2609E">
        <w:rPr>
          <w:rFonts w:ascii="Times New Roman" w:hAnsi="Times New Roman" w:cs="Times New Roman"/>
          <w:sz w:val="24"/>
          <w:szCs w:val="24"/>
        </w:rPr>
        <w:t xml:space="preserve"> </w:t>
      </w:r>
      <w:r w:rsidR="00526BFE">
        <w:rPr>
          <w:rFonts w:ascii="Times New Roman" w:hAnsi="Times New Roman" w:cs="Times New Roman"/>
          <w:sz w:val="24"/>
          <w:szCs w:val="24"/>
        </w:rPr>
        <w:t xml:space="preserve">radical </w:t>
      </w:r>
      <w:r w:rsidR="0003548F">
        <w:rPr>
          <w:rFonts w:ascii="Times New Roman" w:hAnsi="Times New Roman" w:cs="Times New Roman"/>
          <w:sz w:val="24"/>
          <w:szCs w:val="24"/>
        </w:rPr>
        <w:t>reversal</w:t>
      </w:r>
      <w:r w:rsidR="00526BFE">
        <w:rPr>
          <w:rFonts w:ascii="Times New Roman" w:hAnsi="Times New Roman" w:cs="Times New Roman"/>
          <w:sz w:val="24"/>
          <w:szCs w:val="24"/>
        </w:rPr>
        <w:t xml:space="preserve"> </w:t>
      </w:r>
      <w:r w:rsidR="0003548F">
        <w:rPr>
          <w:rFonts w:ascii="Times New Roman" w:hAnsi="Times New Roman" w:cs="Times New Roman"/>
          <w:sz w:val="24"/>
          <w:szCs w:val="24"/>
        </w:rPr>
        <w:t>of</w:t>
      </w:r>
      <w:r w:rsidR="00526BFE">
        <w:rPr>
          <w:rFonts w:ascii="Times New Roman" w:hAnsi="Times New Roman" w:cs="Times New Roman"/>
          <w:sz w:val="24"/>
          <w:szCs w:val="24"/>
        </w:rPr>
        <w:t xml:space="preserve"> Ohio’s </w:t>
      </w:r>
      <w:r w:rsidR="0003548F">
        <w:rPr>
          <w:rFonts w:ascii="Times New Roman" w:hAnsi="Times New Roman" w:cs="Times New Roman"/>
          <w:sz w:val="24"/>
          <w:szCs w:val="24"/>
        </w:rPr>
        <w:t xml:space="preserve">progress </w:t>
      </w:r>
      <w:r w:rsidR="0035390B">
        <w:rPr>
          <w:rFonts w:ascii="Times New Roman" w:hAnsi="Times New Roman" w:cs="Times New Roman"/>
          <w:sz w:val="24"/>
          <w:szCs w:val="24"/>
        </w:rPr>
        <w:t>to</w:t>
      </w:r>
      <w:r w:rsidR="0003548F">
        <w:rPr>
          <w:rFonts w:ascii="Times New Roman" w:hAnsi="Times New Roman" w:cs="Times New Roman"/>
          <w:sz w:val="24"/>
          <w:szCs w:val="24"/>
        </w:rPr>
        <w:t>ward electric</w:t>
      </w:r>
      <w:r w:rsidR="0035390B">
        <w:rPr>
          <w:rFonts w:ascii="Times New Roman" w:hAnsi="Times New Roman" w:cs="Times New Roman"/>
          <w:sz w:val="24"/>
          <w:szCs w:val="24"/>
        </w:rPr>
        <w:t xml:space="preserve"> markets</w:t>
      </w:r>
      <w:r>
        <w:rPr>
          <w:rFonts w:ascii="Times New Roman" w:hAnsi="Times New Roman" w:cs="Times New Roman"/>
          <w:sz w:val="24"/>
          <w:szCs w:val="24"/>
        </w:rPr>
        <w:t xml:space="preserve">, AEP Ohio </w:t>
      </w:r>
      <w:r w:rsidR="00FE68B4">
        <w:rPr>
          <w:rFonts w:ascii="Times New Roman" w:hAnsi="Times New Roman" w:cs="Times New Roman"/>
          <w:sz w:val="24"/>
          <w:szCs w:val="24"/>
        </w:rPr>
        <w:t>offers up a settlement that could</w:t>
      </w:r>
      <w:r>
        <w:rPr>
          <w:rFonts w:ascii="Times New Roman" w:hAnsi="Times New Roman" w:cs="Times New Roman"/>
          <w:sz w:val="24"/>
          <w:szCs w:val="24"/>
        </w:rPr>
        <w:t xml:space="preserve"> add $700 </w:t>
      </w:r>
      <w:r w:rsidR="0003548F">
        <w:rPr>
          <w:rFonts w:ascii="Times New Roman" w:hAnsi="Times New Roman" w:cs="Times New Roman"/>
          <w:sz w:val="24"/>
          <w:szCs w:val="24"/>
        </w:rPr>
        <w:t>(</w:t>
      </w:r>
      <w:r w:rsidR="00FE68B4">
        <w:rPr>
          <w:rFonts w:ascii="Times New Roman" w:hAnsi="Times New Roman" w:cs="Times New Roman"/>
          <w:sz w:val="24"/>
          <w:szCs w:val="24"/>
        </w:rPr>
        <w:t xml:space="preserve">or much </w:t>
      </w:r>
      <w:r>
        <w:rPr>
          <w:rFonts w:ascii="Times New Roman" w:hAnsi="Times New Roman" w:cs="Times New Roman"/>
          <w:sz w:val="24"/>
          <w:szCs w:val="24"/>
        </w:rPr>
        <w:t>more</w:t>
      </w:r>
      <w:r w:rsidR="0003548F">
        <w:rPr>
          <w:rFonts w:ascii="Times New Roman" w:hAnsi="Times New Roman" w:cs="Times New Roman"/>
          <w:sz w:val="24"/>
          <w:szCs w:val="24"/>
        </w:rPr>
        <w:t>)</w:t>
      </w:r>
      <w:r>
        <w:rPr>
          <w:rFonts w:ascii="Times New Roman" w:hAnsi="Times New Roman" w:cs="Times New Roman"/>
          <w:sz w:val="24"/>
          <w:szCs w:val="24"/>
        </w:rPr>
        <w:t xml:space="preserve"> to </w:t>
      </w:r>
      <w:r w:rsidR="005F715F">
        <w:rPr>
          <w:rFonts w:ascii="Times New Roman" w:hAnsi="Times New Roman" w:cs="Times New Roman"/>
          <w:sz w:val="24"/>
          <w:szCs w:val="24"/>
        </w:rPr>
        <w:t>1.</w:t>
      </w:r>
      <w:r w:rsidR="00113933">
        <w:rPr>
          <w:rFonts w:ascii="Times New Roman" w:hAnsi="Times New Roman" w:cs="Times New Roman"/>
          <w:sz w:val="24"/>
          <w:szCs w:val="24"/>
        </w:rPr>
        <w:t>3</w:t>
      </w:r>
      <w:r w:rsidR="005F715F">
        <w:rPr>
          <w:rFonts w:ascii="Times New Roman" w:hAnsi="Times New Roman" w:cs="Times New Roman"/>
          <w:sz w:val="24"/>
          <w:szCs w:val="24"/>
        </w:rPr>
        <w:t xml:space="preserve"> million Ohioans’</w:t>
      </w:r>
      <w:r>
        <w:rPr>
          <w:rFonts w:ascii="Times New Roman" w:hAnsi="Times New Roman" w:cs="Times New Roman"/>
          <w:sz w:val="24"/>
          <w:szCs w:val="24"/>
        </w:rPr>
        <w:t xml:space="preserve"> </w:t>
      </w:r>
      <w:r w:rsidR="00FE68B4">
        <w:rPr>
          <w:rFonts w:ascii="Times New Roman" w:hAnsi="Times New Roman" w:cs="Times New Roman"/>
          <w:sz w:val="24"/>
          <w:szCs w:val="24"/>
        </w:rPr>
        <w:t xml:space="preserve">electric </w:t>
      </w:r>
      <w:r>
        <w:rPr>
          <w:rFonts w:ascii="Times New Roman" w:hAnsi="Times New Roman" w:cs="Times New Roman"/>
          <w:sz w:val="24"/>
          <w:szCs w:val="24"/>
        </w:rPr>
        <w:t>bills</w:t>
      </w:r>
      <w:r w:rsidR="00124C12">
        <w:rPr>
          <w:rFonts w:ascii="Times New Roman" w:hAnsi="Times New Roman" w:cs="Times New Roman"/>
          <w:sz w:val="24"/>
          <w:szCs w:val="24"/>
        </w:rPr>
        <w:t xml:space="preserve"> to subsidize</w:t>
      </w:r>
      <w:r>
        <w:rPr>
          <w:rFonts w:ascii="Times New Roman" w:hAnsi="Times New Roman" w:cs="Times New Roman"/>
          <w:sz w:val="24"/>
          <w:szCs w:val="24"/>
        </w:rPr>
        <w:t xml:space="preserve"> aging </w:t>
      </w:r>
      <w:r w:rsidR="00BC7FF5">
        <w:rPr>
          <w:rFonts w:ascii="Times New Roman" w:hAnsi="Times New Roman" w:cs="Times New Roman"/>
          <w:sz w:val="24"/>
          <w:szCs w:val="24"/>
        </w:rPr>
        <w:t xml:space="preserve">deregulated </w:t>
      </w:r>
      <w:r>
        <w:rPr>
          <w:rFonts w:ascii="Times New Roman" w:hAnsi="Times New Roman" w:cs="Times New Roman"/>
          <w:sz w:val="24"/>
          <w:szCs w:val="24"/>
        </w:rPr>
        <w:t>power plants.</w:t>
      </w:r>
      <w:r w:rsidR="00F43E65">
        <w:rPr>
          <w:rFonts w:ascii="Times New Roman" w:hAnsi="Times New Roman" w:cs="Times New Roman"/>
          <w:sz w:val="24"/>
          <w:szCs w:val="24"/>
        </w:rPr>
        <w:t xml:space="preserve">  And</w:t>
      </w:r>
      <w:r w:rsidR="00422A7A">
        <w:rPr>
          <w:rFonts w:ascii="Times New Roman" w:hAnsi="Times New Roman" w:cs="Times New Roman"/>
          <w:sz w:val="24"/>
          <w:szCs w:val="24"/>
        </w:rPr>
        <w:t xml:space="preserve"> </w:t>
      </w:r>
      <w:r w:rsidR="00F43E65">
        <w:rPr>
          <w:rFonts w:ascii="Times New Roman" w:hAnsi="Times New Roman" w:cs="Times New Roman"/>
          <w:sz w:val="24"/>
          <w:szCs w:val="24"/>
        </w:rPr>
        <w:t xml:space="preserve">as testament to what is possible using other people’s money, </w:t>
      </w:r>
      <w:r w:rsidR="00997668">
        <w:rPr>
          <w:rFonts w:ascii="Times New Roman" w:hAnsi="Times New Roman" w:cs="Times New Roman"/>
          <w:sz w:val="24"/>
          <w:szCs w:val="24"/>
        </w:rPr>
        <w:t xml:space="preserve">this </w:t>
      </w:r>
      <w:r w:rsidR="00422A7A">
        <w:rPr>
          <w:rFonts w:ascii="Times New Roman" w:hAnsi="Times New Roman" w:cs="Times New Roman"/>
          <w:sz w:val="24"/>
          <w:szCs w:val="24"/>
        </w:rPr>
        <w:t>subsidy charge</w:t>
      </w:r>
      <w:r w:rsidR="00FE68B4">
        <w:rPr>
          <w:rFonts w:ascii="Times New Roman" w:hAnsi="Times New Roman" w:cs="Times New Roman"/>
          <w:sz w:val="24"/>
          <w:szCs w:val="24"/>
        </w:rPr>
        <w:t xml:space="preserve"> is just one </w:t>
      </w:r>
      <w:r w:rsidR="004F7B70">
        <w:rPr>
          <w:rFonts w:ascii="Times New Roman" w:hAnsi="Times New Roman" w:cs="Times New Roman"/>
          <w:sz w:val="24"/>
          <w:szCs w:val="24"/>
        </w:rPr>
        <w:t>settlement term</w:t>
      </w:r>
      <w:r w:rsidR="00422A7A">
        <w:rPr>
          <w:rFonts w:ascii="Times New Roman" w:hAnsi="Times New Roman" w:cs="Times New Roman"/>
          <w:sz w:val="24"/>
          <w:szCs w:val="24"/>
        </w:rPr>
        <w:t xml:space="preserve"> among others</w:t>
      </w:r>
      <w:r w:rsidR="004F7B70">
        <w:rPr>
          <w:rFonts w:ascii="Times New Roman" w:hAnsi="Times New Roman" w:cs="Times New Roman"/>
          <w:sz w:val="24"/>
          <w:szCs w:val="24"/>
        </w:rPr>
        <w:t xml:space="preserve"> that would</w:t>
      </w:r>
      <w:r w:rsidR="00FE68B4">
        <w:rPr>
          <w:rFonts w:ascii="Times New Roman" w:hAnsi="Times New Roman" w:cs="Times New Roman"/>
          <w:sz w:val="24"/>
          <w:szCs w:val="24"/>
        </w:rPr>
        <w:t xml:space="preserve"> cost </w:t>
      </w:r>
      <w:r w:rsidR="0050275E">
        <w:rPr>
          <w:rFonts w:ascii="Times New Roman" w:hAnsi="Times New Roman" w:cs="Times New Roman"/>
          <w:sz w:val="24"/>
          <w:szCs w:val="24"/>
        </w:rPr>
        <w:t xml:space="preserve">hard-working </w:t>
      </w:r>
      <w:r w:rsidR="00FE68B4">
        <w:rPr>
          <w:rFonts w:ascii="Times New Roman" w:hAnsi="Times New Roman" w:cs="Times New Roman"/>
          <w:sz w:val="24"/>
          <w:szCs w:val="24"/>
        </w:rPr>
        <w:t>Ohioans</w:t>
      </w:r>
      <w:r w:rsidR="00F43E65">
        <w:rPr>
          <w:rFonts w:ascii="Times New Roman" w:hAnsi="Times New Roman" w:cs="Times New Roman"/>
          <w:sz w:val="24"/>
          <w:szCs w:val="24"/>
        </w:rPr>
        <w:t xml:space="preserve"> dearly</w:t>
      </w:r>
      <w:r w:rsidR="00FE68B4">
        <w:rPr>
          <w:rFonts w:ascii="Times New Roman" w:hAnsi="Times New Roman" w:cs="Times New Roman"/>
          <w:sz w:val="24"/>
          <w:szCs w:val="24"/>
        </w:rPr>
        <w:t>.</w:t>
      </w:r>
      <w:r>
        <w:rPr>
          <w:rFonts w:ascii="Times New Roman" w:hAnsi="Times New Roman" w:cs="Times New Roman"/>
          <w:sz w:val="24"/>
          <w:szCs w:val="24"/>
        </w:rPr>
        <w:t xml:space="preserve">  </w:t>
      </w:r>
      <w:r w:rsidR="00CC06B3">
        <w:rPr>
          <w:rFonts w:ascii="Times New Roman" w:hAnsi="Times New Roman" w:cs="Times New Roman"/>
          <w:sz w:val="24"/>
          <w:szCs w:val="24"/>
        </w:rPr>
        <w:t>AEP Ohio</w:t>
      </w:r>
      <w:r w:rsidR="003462C0">
        <w:rPr>
          <w:rFonts w:ascii="Times New Roman" w:hAnsi="Times New Roman" w:cs="Times New Roman"/>
          <w:sz w:val="24"/>
          <w:szCs w:val="24"/>
        </w:rPr>
        <w:t xml:space="preserve">’s customers </w:t>
      </w:r>
      <w:r w:rsidR="00570F8D">
        <w:rPr>
          <w:rFonts w:ascii="Times New Roman" w:hAnsi="Times New Roman" w:cs="Times New Roman"/>
          <w:sz w:val="24"/>
          <w:szCs w:val="24"/>
        </w:rPr>
        <w:t xml:space="preserve">already </w:t>
      </w:r>
      <w:r w:rsidR="003462C0">
        <w:rPr>
          <w:rFonts w:ascii="Times New Roman" w:hAnsi="Times New Roman" w:cs="Times New Roman"/>
          <w:sz w:val="24"/>
          <w:szCs w:val="24"/>
        </w:rPr>
        <w:t xml:space="preserve">pay the highest electric rates in the </w:t>
      </w:r>
      <w:r w:rsidR="00124C12">
        <w:rPr>
          <w:rFonts w:ascii="Times New Roman" w:hAnsi="Times New Roman" w:cs="Times New Roman"/>
          <w:sz w:val="24"/>
          <w:szCs w:val="24"/>
        </w:rPr>
        <w:t>state.</w:t>
      </w:r>
    </w:p>
    <w:p w:rsidR="001D77BB" w:rsidRDefault="00F369B9" w:rsidP="00422A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PUCO Staff </w:t>
      </w:r>
      <w:r w:rsidR="004671C8">
        <w:rPr>
          <w:rFonts w:ascii="Times New Roman" w:hAnsi="Times New Roman" w:cs="Times New Roman"/>
          <w:sz w:val="24"/>
          <w:szCs w:val="24"/>
        </w:rPr>
        <w:t>Witness</w:t>
      </w:r>
      <w:r>
        <w:rPr>
          <w:rFonts w:ascii="Times New Roman" w:hAnsi="Times New Roman" w:cs="Times New Roman"/>
          <w:sz w:val="24"/>
          <w:szCs w:val="24"/>
        </w:rPr>
        <w:t xml:space="preserve"> Choueiki testified that </w:t>
      </w:r>
      <w:r w:rsidR="004671C8">
        <w:rPr>
          <w:rFonts w:ascii="Times New Roman" w:hAnsi="Times New Roman" w:cs="Times New Roman"/>
          <w:sz w:val="24"/>
          <w:szCs w:val="24"/>
        </w:rPr>
        <w:t xml:space="preserve">Staff </w:t>
      </w:r>
      <w:r>
        <w:rPr>
          <w:rFonts w:ascii="Times New Roman" w:hAnsi="Times New Roman" w:cs="Times New Roman"/>
          <w:sz w:val="24"/>
          <w:szCs w:val="24"/>
        </w:rPr>
        <w:t>“</w:t>
      </w:r>
      <w:r w:rsidR="004671C8">
        <w:rPr>
          <w:rFonts w:ascii="Times New Roman" w:hAnsi="Times New Roman" w:cs="Times New Roman"/>
          <w:sz w:val="24"/>
          <w:szCs w:val="24"/>
        </w:rPr>
        <w:t xml:space="preserve">believe[s] we are in a competitive market.  It's a fully functionally </w:t>
      </w:r>
      <w:r w:rsidR="00F5296A" w:rsidRPr="00D91BC5">
        <w:rPr>
          <w:rFonts w:ascii="Times New Roman" w:hAnsi="Times New Roman" w:cs="Times New Roman"/>
          <w:sz w:val="24"/>
          <w:szCs w:val="24"/>
        </w:rPr>
        <w:t>c</w:t>
      </w:r>
      <w:r w:rsidR="004671C8">
        <w:rPr>
          <w:rFonts w:ascii="Times New Roman" w:hAnsi="Times New Roman" w:cs="Times New Roman"/>
          <w:sz w:val="24"/>
          <w:szCs w:val="24"/>
        </w:rPr>
        <w:t>ompetitive market in Ohio, a generation service, so there is no need for anything else on the generation side.</w:t>
      </w:r>
      <w:r w:rsidR="00D91BC5">
        <w:rPr>
          <w:rFonts w:ascii="Times New Roman" w:hAnsi="Times New Roman" w:cs="Times New Roman"/>
          <w:sz w:val="24"/>
          <w:szCs w:val="24"/>
        </w:rPr>
        <w:t>”</w:t>
      </w:r>
      <w:r w:rsidR="004671C8">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ED129E">
        <w:rPr>
          <w:rFonts w:ascii="Times New Roman" w:hAnsi="Times New Roman" w:cs="Times New Roman"/>
          <w:sz w:val="24"/>
          <w:szCs w:val="24"/>
        </w:rPr>
        <w:t xml:space="preserve"> </w:t>
      </w:r>
    </w:p>
    <w:p w:rsidR="00741062" w:rsidRDefault="00ED129E" w:rsidP="00190FE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gets worse for Ohioans.   </w:t>
      </w:r>
      <w:r w:rsidR="00845451">
        <w:rPr>
          <w:rFonts w:ascii="Times New Roman" w:hAnsi="Times New Roman" w:cs="Times New Roman"/>
          <w:sz w:val="24"/>
          <w:szCs w:val="24"/>
        </w:rPr>
        <w:t>There is</w:t>
      </w:r>
      <w:r w:rsidR="00C2532A">
        <w:rPr>
          <w:rFonts w:ascii="Times New Roman" w:hAnsi="Times New Roman" w:cs="Times New Roman"/>
          <w:sz w:val="24"/>
          <w:szCs w:val="24"/>
        </w:rPr>
        <w:t xml:space="preserve"> t</w:t>
      </w:r>
      <w:r w:rsidR="002E75F4">
        <w:rPr>
          <w:rFonts w:ascii="Times New Roman" w:hAnsi="Times New Roman" w:cs="Times New Roman"/>
          <w:sz w:val="24"/>
          <w:szCs w:val="24"/>
        </w:rPr>
        <w:t xml:space="preserve">he </w:t>
      </w:r>
      <w:r w:rsidR="00C2532A">
        <w:rPr>
          <w:rFonts w:ascii="Times New Roman" w:hAnsi="Times New Roman" w:cs="Times New Roman"/>
          <w:sz w:val="24"/>
          <w:szCs w:val="24"/>
        </w:rPr>
        <w:t xml:space="preserve">testimony of the </w:t>
      </w:r>
      <w:r w:rsidR="00814F86">
        <w:rPr>
          <w:rFonts w:ascii="Times New Roman" w:hAnsi="Times New Roman" w:cs="Times New Roman"/>
          <w:sz w:val="24"/>
          <w:szCs w:val="24"/>
        </w:rPr>
        <w:t>PJM Independent Market M</w:t>
      </w:r>
      <w:r w:rsidR="002E75F4">
        <w:rPr>
          <w:rFonts w:ascii="Times New Roman" w:hAnsi="Times New Roman" w:cs="Times New Roman"/>
          <w:sz w:val="24"/>
          <w:szCs w:val="24"/>
        </w:rPr>
        <w:t>onitor</w:t>
      </w:r>
      <w:r w:rsidR="00AE4AA0">
        <w:rPr>
          <w:rFonts w:ascii="Times New Roman" w:hAnsi="Times New Roman" w:cs="Times New Roman"/>
          <w:sz w:val="24"/>
          <w:szCs w:val="24"/>
        </w:rPr>
        <w:t xml:space="preserve">. </w:t>
      </w:r>
      <w:r w:rsidR="00D91BC5">
        <w:rPr>
          <w:rFonts w:ascii="Times New Roman" w:hAnsi="Times New Roman" w:cs="Times New Roman"/>
          <w:sz w:val="24"/>
          <w:szCs w:val="24"/>
        </w:rPr>
        <w:t xml:space="preserve"> </w:t>
      </w:r>
      <w:r w:rsidR="00AE4AA0">
        <w:rPr>
          <w:rFonts w:ascii="Times New Roman" w:hAnsi="Times New Roman" w:cs="Times New Roman"/>
          <w:sz w:val="24"/>
          <w:szCs w:val="24"/>
        </w:rPr>
        <w:t>He warned</w:t>
      </w:r>
      <w:r w:rsidR="002E75F4">
        <w:rPr>
          <w:rFonts w:ascii="Times New Roman" w:hAnsi="Times New Roman" w:cs="Times New Roman"/>
          <w:sz w:val="24"/>
          <w:szCs w:val="24"/>
        </w:rPr>
        <w:t xml:space="preserve"> </w:t>
      </w:r>
      <w:r w:rsidR="00AE4AA0">
        <w:rPr>
          <w:rFonts w:ascii="Times New Roman" w:hAnsi="Times New Roman" w:cs="Times New Roman"/>
          <w:sz w:val="24"/>
          <w:szCs w:val="24"/>
        </w:rPr>
        <w:t>of</w:t>
      </w:r>
      <w:r w:rsidR="00C2532A">
        <w:rPr>
          <w:rFonts w:ascii="Times New Roman" w:hAnsi="Times New Roman" w:cs="Times New Roman"/>
          <w:sz w:val="24"/>
          <w:szCs w:val="24"/>
        </w:rPr>
        <w:t xml:space="preserve"> </w:t>
      </w:r>
      <w:r w:rsidR="00AE4AA0">
        <w:rPr>
          <w:rFonts w:ascii="Times New Roman" w:hAnsi="Times New Roman" w:cs="Times New Roman"/>
          <w:sz w:val="24"/>
          <w:szCs w:val="24"/>
        </w:rPr>
        <w:t>his</w:t>
      </w:r>
      <w:r w:rsidR="002E75F4">
        <w:rPr>
          <w:rFonts w:ascii="Times New Roman" w:hAnsi="Times New Roman" w:cs="Times New Roman"/>
          <w:sz w:val="24"/>
          <w:szCs w:val="24"/>
        </w:rPr>
        <w:t xml:space="preserve"> </w:t>
      </w:r>
      <w:r w:rsidR="00AE4AA0">
        <w:rPr>
          <w:rFonts w:ascii="Times New Roman" w:hAnsi="Times New Roman" w:cs="Times New Roman"/>
          <w:sz w:val="24"/>
          <w:szCs w:val="24"/>
        </w:rPr>
        <w:t>intention to</w:t>
      </w:r>
      <w:r w:rsidR="002E75F4">
        <w:rPr>
          <w:rFonts w:ascii="Times New Roman" w:hAnsi="Times New Roman" w:cs="Times New Roman"/>
          <w:sz w:val="24"/>
          <w:szCs w:val="24"/>
        </w:rPr>
        <w:t xml:space="preserve"> prevent </w:t>
      </w:r>
      <w:r w:rsidR="00AE4AA0">
        <w:rPr>
          <w:rFonts w:ascii="Times New Roman" w:hAnsi="Times New Roman" w:cs="Times New Roman"/>
          <w:sz w:val="24"/>
          <w:szCs w:val="24"/>
        </w:rPr>
        <w:t xml:space="preserve">subsidized </w:t>
      </w:r>
      <w:r w:rsidR="00F63009">
        <w:rPr>
          <w:rFonts w:ascii="Times New Roman" w:hAnsi="Times New Roman" w:cs="Times New Roman"/>
          <w:sz w:val="24"/>
          <w:szCs w:val="24"/>
        </w:rPr>
        <w:t xml:space="preserve">AEP </w:t>
      </w:r>
      <w:r w:rsidR="00AE4AA0">
        <w:rPr>
          <w:rFonts w:ascii="Times New Roman" w:hAnsi="Times New Roman" w:cs="Times New Roman"/>
          <w:sz w:val="24"/>
          <w:szCs w:val="24"/>
        </w:rPr>
        <w:t xml:space="preserve">power </w:t>
      </w:r>
      <w:r w:rsidR="002E75F4">
        <w:rPr>
          <w:rFonts w:ascii="Times New Roman" w:hAnsi="Times New Roman" w:cs="Times New Roman"/>
          <w:sz w:val="24"/>
          <w:szCs w:val="24"/>
        </w:rPr>
        <w:t>from harming the nation’s competitive electric markets</w:t>
      </w:r>
      <w:r w:rsidR="00C2532A">
        <w:rPr>
          <w:rFonts w:ascii="Times New Roman" w:hAnsi="Times New Roman" w:cs="Times New Roman"/>
          <w:sz w:val="24"/>
          <w:szCs w:val="24"/>
        </w:rPr>
        <w:t>.</w:t>
      </w:r>
      <w:r w:rsidR="00D91BC5">
        <w:rPr>
          <w:rFonts w:ascii="Times New Roman" w:hAnsi="Times New Roman" w:cs="Times New Roman"/>
          <w:sz w:val="24"/>
          <w:szCs w:val="24"/>
        </w:rPr>
        <w:t xml:space="preserve"> </w:t>
      </w:r>
      <w:r w:rsidR="002E75F4">
        <w:rPr>
          <w:rFonts w:ascii="Times New Roman" w:hAnsi="Times New Roman" w:cs="Times New Roman"/>
          <w:sz w:val="24"/>
          <w:szCs w:val="24"/>
        </w:rPr>
        <w:t xml:space="preserve"> </w:t>
      </w:r>
      <w:r w:rsidR="009928B7">
        <w:rPr>
          <w:rFonts w:ascii="Times New Roman" w:hAnsi="Times New Roman" w:cs="Times New Roman"/>
          <w:sz w:val="24"/>
          <w:szCs w:val="24"/>
        </w:rPr>
        <w:t xml:space="preserve">If </w:t>
      </w:r>
      <w:r w:rsidR="00814F86">
        <w:rPr>
          <w:rFonts w:ascii="Times New Roman" w:hAnsi="Times New Roman" w:cs="Times New Roman"/>
          <w:sz w:val="24"/>
          <w:szCs w:val="24"/>
        </w:rPr>
        <w:t>the Market Monitor succeeds</w:t>
      </w:r>
      <w:r w:rsidR="009928B7">
        <w:rPr>
          <w:rFonts w:ascii="Times New Roman" w:hAnsi="Times New Roman" w:cs="Times New Roman"/>
          <w:sz w:val="24"/>
          <w:szCs w:val="24"/>
        </w:rPr>
        <w:t xml:space="preserve">, </w:t>
      </w:r>
      <w:r w:rsidR="004B358D">
        <w:rPr>
          <w:rFonts w:ascii="Times New Roman" w:hAnsi="Times New Roman" w:cs="Times New Roman"/>
          <w:sz w:val="24"/>
          <w:szCs w:val="24"/>
        </w:rPr>
        <w:t>Ohioans</w:t>
      </w:r>
      <w:r w:rsidR="009928B7">
        <w:rPr>
          <w:rFonts w:ascii="Times New Roman" w:hAnsi="Times New Roman" w:cs="Times New Roman"/>
          <w:sz w:val="24"/>
          <w:szCs w:val="24"/>
        </w:rPr>
        <w:t xml:space="preserve"> </w:t>
      </w:r>
      <w:r w:rsidR="00FE68B4">
        <w:rPr>
          <w:rFonts w:ascii="Times New Roman" w:hAnsi="Times New Roman" w:cs="Times New Roman"/>
          <w:sz w:val="24"/>
          <w:szCs w:val="24"/>
        </w:rPr>
        <w:t xml:space="preserve">could bear </w:t>
      </w:r>
      <w:r w:rsidR="00B9212A">
        <w:rPr>
          <w:rFonts w:ascii="Times New Roman" w:hAnsi="Times New Roman" w:cs="Times New Roman"/>
          <w:sz w:val="24"/>
          <w:szCs w:val="24"/>
        </w:rPr>
        <w:t>charges</w:t>
      </w:r>
      <w:r w:rsidR="009361BA">
        <w:rPr>
          <w:rFonts w:ascii="Times New Roman" w:hAnsi="Times New Roman" w:cs="Times New Roman"/>
          <w:sz w:val="24"/>
          <w:szCs w:val="24"/>
        </w:rPr>
        <w:t xml:space="preserve"> much greater than $700 </w:t>
      </w:r>
      <w:r w:rsidR="00FE68B4">
        <w:rPr>
          <w:rFonts w:ascii="Times New Roman" w:hAnsi="Times New Roman" w:cs="Times New Roman"/>
          <w:sz w:val="24"/>
          <w:szCs w:val="24"/>
        </w:rPr>
        <w:t>each</w:t>
      </w:r>
      <w:r w:rsidR="00814F86">
        <w:rPr>
          <w:rFonts w:ascii="Times New Roman" w:hAnsi="Times New Roman" w:cs="Times New Roman"/>
          <w:sz w:val="24"/>
          <w:szCs w:val="24"/>
        </w:rPr>
        <w:t xml:space="preserve">, because AEP’s power plants might not clear in the market.  And without clearing, the power plants would </w:t>
      </w:r>
      <w:r w:rsidR="00845451">
        <w:rPr>
          <w:rFonts w:ascii="Times New Roman" w:hAnsi="Times New Roman" w:cs="Times New Roman"/>
          <w:sz w:val="24"/>
          <w:szCs w:val="24"/>
        </w:rPr>
        <w:t xml:space="preserve">not </w:t>
      </w:r>
      <w:r w:rsidR="00814F86">
        <w:rPr>
          <w:rFonts w:ascii="Times New Roman" w:hAnsi="Times New Roman" w:cs="Times New Roman"/>
          <w:sz w:val="24"/>
          <w:szCs w:val="24"/>
        </w:rPr>
        <w:t>receive revenue</w:t>
      </w:r>
      <w:r w:rsidR="00BE1CE2">
        <w:rPr>
          <w:rFonts w:ascii="Times New Roman" w:hAnsi="Times New Roman" w:cs="Times New Roman"/>
          <w:sz w:val="24"/>
          <w:szCs w:val="24"/>
        </w:rPr>
        <w:t>.</w:t>
      </w:r>
      <w:r w:rsidR="00814F86">
        <w:rPr>
          <w:rFonts w:ascii="Times New Roman" w:hAnsi="Times New Roman" w:cs="Times New Roman"/>
          <w:sz w:val="24"/>
          <w:szCs w:val="24"/>
        </w:rPr>
        <w:t xml:space="preserve"> </w:t>
      </w:r>
      <w:r w:rsidR="00BE1CE2">
        <w:rPr>
          <w:rFonts w:ascii="Times New Roman" w:hAnsi="Times New Roman" w:cs="Times New Roman"/>
          <w:sz w:val="24"/>
          <w:szCs w:val="24"/>
        </w:rPr>
        <w:t xml:space="preserve"> </w:t>
      </w:r>
      <w:r w:rsidR="00D91BC5">
        <w:rPr>
          <w:rFonts w:ascii="Times New Roman" w:hAnsi="Times New Roman" w:cs="Times New Roman"/>
          <w:sz w:val="24"/>
          <w:szCs w:val="24"/>
        </w:rPr>
        <w:t>C</w:t>
      </w:r>
      <w:r w:rsidR="00814F86">
        <w:rPr>
          <w:rFonts w:ascii="Times New Roman" w:hAnsi="Times New Roman" w:cs="Times New Roman"/>
          <w:sz w:val="24"/>
          <w:szCs w:val="24"/>
        </w:rPr>
        <w:t xml:space="preserve">onsumers would </w:t>
      </w:r>
      <w:r w:rsidR="00BE1CE2">
        <w:rPr>
          <w:rFonts w:ascii="Times New Roman" w:hAnsi="Times New Roman" w:cs="Times New Roman"/>
          <w:sz w:val="24"/>
          <w:szCs w:val="24"/>
        </w:rPr>
        <w:t>pay</w:t>
      </w:r>
      <w:r w:rsidR="00814F86">
        <w:rPr>
          <w:rFonts w:ascii="Times New Roman" w:hAnsi="Times New Roman" w:cs="Times New Roman"/>
          <w:sz w:val="24"/>
          <w:szCs w:val="24"/>
        </w:rPr>
        <w:t xml:space="preserve"> </w:t>
      </w:r>
      <w:r w:rsidR="00433C5D">
        <w:rPr>
          <w:rFonts w:ascii="Times New Roman" w:hAnsi="Times New Roman" w:cs="Times New Roman"/>
          <w:sz w:val="24"/>
          <w:szCs w:val="24"/>
        </w:rPr>
        <w:t xml:space="preserve">much </w:t>
      </w:r>
      <w:r w:rsidR="00814F86">
        <w:rPr>
          <w:rFonts w:ascii="Times New Roman" w:hAnsi="Times New Roman" w:cs="Times New Roman"/>
          <w:sz w:val="24"/>
          <w:szCs w:val="24"/>
        </w:rPr>
        <w:t xml:space="preserve">more </w:t>
      </w:r>
      <w:r w:rsidR="00BE1CE2">
        <w:rPr>
          <w:rFonts w:ascii="Times New Roman" w:hAnsi="Times New Roman" w:cs="Times New Roman"/>
          <w:sz w:val="24"/>
          <w:szCs w:val="24"/>
        </w:rPr>
        <w:t>in</w:t>
      </w:r>
      <w:r w:rsidR="00814F86">
        <w:rPr>
          <w:rFonts w:ascii="Times New Roman" w:hAnsi="Times New Roman" w:cs="Times New Roman"/>
          <w:sz w:val="24"/>
          <w:szCs w:val="24"/>
        </w:rPr>
        <w:t xml:space="preserve"> </w:t>
      </w:r>
      <w:r w:rsidR="00BE1CE2">
        <w:rPr>
          <w:rFonts w:ascii="Times New Roman" w:hAnsi="Times New Roman" w:cs="Times New Roman"/>
          <w:sz w:val="24"/>
          <w:szCs w:val="24"/>
        </w:rPr>
        <w:t>subsidies</w:t>
      </w:r>
      <w:r w:rsidR="009361BA">
        <w:rPr>
          <w:rFonts w:ascii="Times New Roman" w:hAnsi="Times New Roman" w:cs="Times New Roman"/>
          <w:sz w:val="24"/>
          <w:szCs w:val="24"/>
        </w:rPr>
        <w:t>.</w:t>
      </w:r>
      <w:r w:rsidR="0012503D">
        <w:rPr>
          <w:rStyle w:val="FootnoteReference"/>
          <w:rFonts w:ascii="Times New Roman" w:hAnsi="Times New Roman" w:cs="Times New Roman"/>
          <w:sz w:val="24"/>
          <w:szCs w:val="24"/>
        </w:rPr>
        <w:footnoteReference w:id="2"/>
      </w:r>
      <w:r w:rsidR="00570F8D">
        <w:rPr>
          <w:rFonts w:ascii="Times New Roman" w:hAnsi="Times New Roman" w:cs="Times New Roman"/>
          <w:sz w:val="24"/>
          <w:szCs w:val="24"/>
        </w:rPr>
        <w:t xml:space="preserve"> </w:t>
      </w:r>
      <w:r w:rsidR="003462C0">
        <w:rPr>
          <w:rFonts w:ascii="Times New Roman" w:hAnsi="Times New Roman" w:cs="Times New Roman"/>
          <w:sz w:val="24"/>
          <w:szCs w:val="24"/>
        </w:rPr>
        <w:t xml:space="preserve"> </w:t>
      </w:r>
    </w:p>
    <w:p w:rsidR="000322AF" w:rsidRDefault="000322AF" w:rsidP="00190FE1">
      <w:pPr>
        <w:spacing w:after="0" w:line="240" w:lineRule="auto"/>
        <w:ind w:firstLine="720"/>
        <w:rPr>
          <w:rFonts w:ascii="Times New Roman" w:hAnsi="Times New Roman" w:cs="Times New Roman"/>
          <w:sz w:val="24"/>
          <w:szCs w:val="24"/>
        </w:rPr>
      </w:pPr>
    </w:p>
    <w:p w:rsidR="00BB20AC" w:rsidRDefault="00BB20AC" w:rsidP="00190FE1">
      <w:pPr>
        <w:pStyle w:val="Heading1"/>
        <w:numPr>
          <w:ilvl w:val="0"/>
          <w:numId w:val="24"/>
        </w:numPr>
        <w:spacing w:line="480" w:lineRule="auto"/>
        <w:ind w:left="720"/>
      </w:pPr>
      <w:bookmarkStart w:id="1" w:name="_Toc442104122"/>
      <w:r w:rsidRPr="00951324">
        <w:t>INTRODUCTION</w:t>
      </w:r>
      <w:bookmarkEnd w:id="1"/>
    </w:p>
    <w:p w:rsidR="00124C12" w:rsidRDefault="00C61A1E" w:rsidP="00190FE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Earl</w:t>
      </w:r>
      <w:r w:rsidR="00AC6CA0">
        <w:rPr>
          <w:rFonts w:ascii="Times New Roman" w:hAnsi="Times New Roman" w:cs="Times New Roman"/>
          <w:sz w:val="24"/>
          <w:szCs w:val="24"/>
        </w:rPr>
        <w:t>y</w:t>
      </w:r>
      <w:r>
        <w:rPr>
          <w:rFonts w:ascii="Times New Roman" w:hAnsi="Times New Roman" w:cs="Times New Roman"/>
          <w:sz w:val="24"/>
          <w:szCs w:val="24"/>
        </w:rPr>
        <w:t xml:space="preserve"> in</w:t>
      </w:r>
      <w:r w:rsidR="008913D3">
        <w:rPr>
          <w:rFonts w:ascii="Times New Roman" w:hAnsi="Times New Roman" w:cs="Times New Roman"/>
          <w:sz w:val="24"/>
          <w:szCs w:val="24"/>
        </w:rPr>
        <w:t xml:space="preserve"> this proceeding</w:t>
      </w:r>
      <w:r w:rsidR="007B1B35">
        <w:rPr>
          <w:rFonts w:ascii="Times New Roman" w:hAnsi="Times New Roman" w:cs="Times New Roman"/>
          <w:sz w:val="24"/>
          <w:szCs w:val="24"/>
        </w:rPr>
        <w:t>,</w:t>
      </w:r>
      <w:r w:rsidR="008913D3">
        <w:rPr>
          <w:rFonts w:ascii="Times New Roman" w:hAnsi="Times New Roman" w:cs="Times New Roman"/>
          <w:sz w:val="24"/>
          <w:szCs w:val="24"/>
        </w:rPr>
        <w:t xml:space="preserve"> </w:t>
      </w:r>
      <w:r w:rsidR="007B1B35">
        <w:rPr>
          <w:rFonts w:ascii="Times New Roman" w:hAnsi="Times New Roman" w:cs="Times New Roman"/>
          <w:sz w:val="24"/>
          <w:szCs w:val="24"/>
        </w:rPr>
        <w:t>AEP Ohio (“</w:t>
      </w:r>
      <w:r w:rsidR="0012503D">
        <w:rPr>
          <w:rFonts w:ascii="Times New Roman" w:hAnsi="Times New Roman" w:cs="Times New Roman"/>
          <w:sz w:val="24"/>
          <w:szCs w:val="24"/>
        </w:rPr>
        <w:t>AEP Ohio</w:t>
      </w:r>
      <w:r w:rsidR="007B1B35">
        <w:rPr>
          <w:rFonts w:ascii="Times New Roman" w:hAnsi="Times New Roman" w:cs="Times New Roman"/>
          <w:sz w:val="24"/>
          <w:szCs w:val="24"/>
        </w:rPr>
        <w:t xml:space="preserve">” or </w:t>
      </w:r>
      <w:r w:rsidR="00D91BC5">
        <w:rPr>
          <w:rFonts w:ascii="Times New Roman" w:hAnsi="Times New Roman" w:cs="Times New Roman"/>
          <w:sz w:val="24"/>
          <w:szCs w:val="24"/>
        </w:rPr>
        <w:t>“</w:t>
      </w:r>
      <w:r w:rsidR="007B1B35">
        <w:rPr>
          <w:rFonts w:ascii="Times New Roman" w:hAnsi="Times New Roman" w:cs="Times New Roman"/>
          <w:sz w:val="24"/>
          <w:szCs w:val="24"/>
        </w:rPr>
        <w:t>Utility”)</w:t>
      </w:r>
      <w:r w:rsidR="0012503D">
        <w:rPr>
          <w:rFonts w:ascii="Times New Roman" w:hAnsi="Times New Roman" w:cs="Times New Roman"/>
          <w:sz w:val="24"/>
          <w:szCs w:val="24"/>
        </w:rPr>
        <w:t xml:space="preserve"> </w:t>
      </w:r>
      <w:r w:rsidR="00CC06B3">
        <w:rPr>
          <w:rFonts w:ascii="Times New Roman" w:hAnsi="Times New Roman" w:cs="Times New Roman"/>
          <w:sz w:val="24"/>
          <w:szCs w:val="24"/>
        </w:rPr>
        <w:t>ask</w:t>
      </w:r>
      <w:r w:rsidR="000E5DB5">
        <w:rPr>
          <w:rFonts w:ascii="Times New Roman" w:hAnsi="Times New Roman" w:cs="Times New Roman"/>
          <w:sz w:val="24"/>
          <w:szCs w:val="24"/>
        </w:rPr>
        <w:t>ed</w:t>
      </w:r>
      <w:r w:rsidR="00CC06B3">
        <w:rPr>
          <w:rFonts w:ascii="Times New Roman" w:hAnsi="Times New Roman" w:cs="Times New Roman"/>
          <w:sz w:val="24"/>
          <w:szCs w:val="24"/>
        </w:rPr>
        <w:t xml:space="preserve"> the </w:t>
      </w:r>
      <w:r w:rsidR="007B1B35">
        <w:rPr>
          <w:rFonts w:ascii="Times New Roman" w:hAnsi="Times New Roman" w:cs="Times New Roman"/>
          <w:sz w:val="24"/>
          <w:szCs w:val="24"/>
        </w:rPr>
        <w:t>Public Utilities Commission of Ohio (“</w:t>
      </w:r>
      <w:r w:rsidR="00054CAA">
        <w:rPr>
          <w:rFonts w:ascii="Times New Roman" w:hAnsi="Times New Roman" w:cs="Times New Roman"/>
          <w:sz w:val="24"/>
          <w:szCs w:val="24"/>
        </w:rPr>
        <w:t>PUCO</w:t>
      </w:r>
      <w:r w:rsidR="007B1B35">
        <w:rPr>
          <w:rFonts w:ascii="Times New Roman" w:hAnsi="Times New Roman" w:cs="Times New Roman"/>
          <w:sz w:val="24"/>
          <w:szCs w:val="24"/>
        </w:rPr>
        <w:t>”)</w:t>
      </w:r>
      <w:r w:rsidR="00CC06B3">
        <w:rPr>
          <w:rFonts w:ascii="Times New Roman" w:hAnsi="Times New Roman" w:cs="Times New Roman"/>
          <w:sz w:val="24"/>
          <w:szCs w:val="24"/>
        </w:rPr>
        <w:t xml:space="preserve"> to provide</w:t>
      </w:r>
      <w:r w:rsidR="007B1B35">
        <w:rPr>
          <w:rFonts w:ascii="Times New Roman" w:hAnsi="Times New Roman" w:cs="Times New Roman"/>
          <w:sz w:val="24"/>
          <w:szCs w:val="24"/>
        </w:rPr>
        <w:t xml:space="preserve"> affiliated</w:t>
      </w:r>
      <w:r w:rsidR="00CC06B3">
        <w:rPr>
          <w:rFonts w:ascii="Times New Roman" w:hAnsi="Times New Roman" w:cs="Times New Roman"/>
          <w:sz w:val="24"/>
          <w:szCs w:val="24"/>
        </w:rPr>
        <w:t xml:space="preserve"> coal-fired generators </w:t>
      </w:r>
      <w:r w:rsidR="003F1A46">
        <w:rPr>
          <w:rFonts w:ascii="Times New Roman" w:hAnsi="Times New Roman" w:cs="Times New Roman"/>
          <w:sz w:val="24"/>
          <w:szCs w:val="24"/>
        </w:rPr>
        <w:t>(“PPA Units”)</w:t>
      </w:r>
      <w:r w:rsidR="007B1B35">
        <w:rPr>
          <w:rFonts w:ascii="Times New Roman" w:hAnsi="Times New Roman" w:cs="Times New Roman"/>
          <w:sz w:val="24"/>
          <w:szCs w:val="24"/>
        </w:rPr>
        <w:t xml:space="preserve"> </w:t>
      </w:r>
      <w:r w:rsidR="00CC06B3">
        <w:rPr>
          <w:rFonts w:ascii="Times New Roman" w:hAnsi="Times New Roman" w:cs="Times New Roman"/>
          <w:sz w:val="24"/>
          <w:szCs w:val="24"/>
        </w:rPr>
        <w:t>with a predictable source of revenue</w:t>
      </w:r>
      <w:r w:rsidR="00D411DC">
        <w:rPr>
          <w:rFonts w:ascii="Times New Roman" w:hAnsi="Times New Roman" w:cs="Times New Roman"/>
          <w:sz w:val="24"/>
          <w:szCs w:val="24"/>
        </w:rPr>
        <w:t>.</w:t>
      </w:r>
      <w:r w:rsidR="0012503D">
        <w:rPr>
          <w:rFonts w:ascii="Times New Roman" w:hAnsi="Times New Roman" w:cs="Times New Roman"/>
          <w:sz w:val="24"/>
          <w:szCs w:val="24"/>
        </w:rPr>
        <w:t xml:space="preserve">  </w:t>
      </w:r>
      <w:r w:rsidR="002258BA">
        <w:rPr>
          <w:rFonts w:ascii="Times New Roman" w:hAnsi="Times New Roman" w:cs="Times New Roman"/>
          <w:sz w:val="24"/>
          <w:szCs w:val="24"/>
        </w:rPr>
        <w:t xml:space="preserve">Unfortunately for Ohio consumers, they are </w:t>
      </w:r>
      <w:r w:rsidR="00687692">
        <w:rPr>
          <w:rFonts w:ascii="Times New Roman" w:hAnsi="Times New Roman" w:cs="Times New Roman"/>
          <w:sz w:val="24"/>
          <w:szCs w:val="24"/>
        </w:rPr>
        <w:t xml:space="preserve">the ones </w:t>
      </w:r>
      <w:r w:rsidR="008A17EB">
        <w:rPr>
          <w:rFonts w:ascii="Times New Roman" w:hAnsi="Times New Roman" w:cs="Times New Roman"/>
          <w:sz w:val="24"/>
          <w:szCs w:val="24"/>
        </w:rPr>
        <w:t xml:space="preserve">tapped </w:t>
      </w:r>
      <w:r w:rsidR="002258BA">
        <w:rPr>
          <w:rFonts w:ascii="Times New Roman" w:hAnsi="Times New Roman" w:cs="Times New Roman"/>
          <w:sz w:val="24"/>
          <w:szCs w:val="24"/>
        </w:rPr>
        <w:t>to be this</w:t>
      </w:r>
      <w:r w:rsidR="00D411DC">
        <w:rPr>
          <w:rFonts w:ascii="Times New Roman" w:hAnsi="Times New Roman" w:cs="Times New Roman"/>
          <w:sz w:val="24"/>
          <w:szCs w:val="24"/>
        </w:rPr>
        <w:t xml:space="preserve"> predictable source of revenue</w:t>
      </w:r>
      <w:r w:rsidR="002258BA">
        <w:rPr>
          <w:rFonts w:ascii="Times New Roman" w:hAnsi="Times New Roman" w:cs="Times New Roman"/>
          <w:sz w:val="24"/>
          <w:szCs w:val="24"/>
        </w:rPr>
        <w:t>.</w:t>
      </w:r>
      <w:r w:rsidR="00EF0935">
        <w:rPr>
          <w:rFonts w:ascii="Times New Roman" w:hAnsi="Times New Roman" w:cs="Times New Roman"/>
          <w:sz w:val="24"/>
          <w:szCs w:val="24"/>
        </w:rPr>
        <w:t xml:space="preserve"> </w:t>
      </w:r>
      <w:r w:rsidR="003F0FD5">
        <w:rPr>
          <w:rFonts w:ascii="Times New Roman" w:hAnsi="Times New Roman" w:cs="Times New Roman"/>
          <w:sz w:val="24"/>
          <w:szCs w:val="24"/>
        </w:rPr>
        <w:t xml:space="preserve"> </w:t>
      </w:r>
    </w:p>
    <w:p w:rsidR="00124C12" w:rsidRDefault="00554D60" w:rsidP="00190FE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Oddly, </w:t>
      </w:r>
      <w:r w:rsidR="00EB18A9">
        <w:rPr>
          <w:rFonts w:ascii="Times New Roman" w:hAnsi="Times New Roman" w:cs="Times New Roman"/>
          <w:sz w:val="24"/>
          <w:szCs w:val="24"/>
        </w:rPr>
        <w:t xml:space="preserve">AEP Ohio </w:t>
      </w:r>
      <w:r>
        <w:rPr>
          <w:rFonts w:ascii="Times New Roman" w:hAnsi="Times New Roman" w:cs="Times New Roman"/>
          <w:sz w:val="24"/>
          <w:szCs w:val="24"/>
        </w:rPr>
        <w:t>has made this “ask” of state government</w:t>
      </w:r>
      <w:r w:rsidR="00EB18A9">
        <w:rPr>
          <w:rFonts w:ascii="Times New Roman" w:hAnsi="Times New Roman" w:cs="Times New Roman"/>
          <w:sz w:val="24"/>
          <w:szCs w:val="24"/>
        </w:rPr>
        <w:t xml:space="preserve"> </w:t>
      </w:r>
      <w:r>
        <w:rPr>
          <w:rFonts w:ascii="Times New Roman" w:hAnsi="Times New Roman" w:cs="Times New Roman"/>
          <w:sz w:val="24"/>
          <w:szCs w:val="24"/>
        </w:rPr>
        <w:t xml:space="preserve">despite its </w:t>
      </w:r>
      <w:r w:rsidR="00EB18A9">
        <w:rPr>
          <w:rFonts w:ascii="Times New Roman" w:hAnsi="Times New Roman" w:cs="Times New Roman"/>
          <w:sz w:val="24"/>
          <w:szCs w:val="24"/>
        </w:rPr>
        <w:t>recent and repeated represent</w:t>
      </w:r>
      <w:r>
        <w:rPr>
          <w:rFonts w:ascii="Times New Roman" w:hAnsi="Times New Roman" w:cs="Times New Roman"/>
          <w:sz w:val="24"/>
          <w:szCs w:val="24"/>
        </w:rPr>
        <w:t>ations</w:t>
      </w:r>
      <w:r w:rsidR="00EB18A9">
        <w:rPr>
          <w:rFonts w:ascii="Times New Roman" w:hAnsi="Times New Roman" w:cs="Times New Roman"/>
          <w:sz w:val="24"/>
          <w:szCs w:val="24"/>
        </w:rPr>
        <w:t xml:space="preserve"> that the PPA Units are well positioned from a cost and operational perspective to participate in the competitive market.  </w:t>
      </w:r>
      <w:r>
        <w:rPr>
          <w:rFonts w:ascii="Times New Roman" w:hAnsi="Times New Roman" w:cs="Times New Roman"/>
          <w:sz w:val="24"/>
          <w:szCs w:val="24"/>
        </w:rPr>
        <w:t xml:space="preserve">Indeed, </w:t>
      </w:r>
      <w:r w:rsidR="00EB18A9">
        <w:rPr>
          <w:rFonts w:ascii="Times New Roman" w:hAnsi="Times New Roman" w:cs="Times New Roman"/>
          <w:sz w:val="24"/>
          <w:szCs w:val="24"/>
        </w:rPr>
        <w:t xml:space="preserve">AEP Ohio has </w:t>
      </w:r>
      <w:r w:rsidR="006C4EBC">
        <w:rPr>
          <w:rFonts w:ascii="Times New Roman" w:hAnsi="Times New Roman" w:cs="Times New Roman"/>
          <w:sz w:val="24"/>
          <w:szCs w:val="24"/>
        </w:rPr>
        <w:t>a</w:t>
      </w:r>
      <w:r w:rsidR="002E1C0A">
        <w:rPr>
          <w:rFonts w:ascii="Times New Roman" w:hAnsi="Times New Roman" w:cs="Times New Roman"/>
          <w:sz w:val="24"/>
          <w:szCs w:val="24"/>
        </w:rPr>
        <w:t xml:space="preserve">sked the PUCO to rely on an AEP </w:t>
      </w:r>
      <w:r w:rsidR="006C4EBC">
        <w:rPr>
          <w:rFonts w:ascii="Times New Roman" w:hAnsi="Times New Roman" w:cs="Times New Roman"/>
          <w:sz w:val="24"/>
          <w:szCs w:val="24"/>
        </w:rPr>
        <w:t>Ohio forecast showing</w:t>
      </w:r>
      <w:r w:rsidR="00EB18A9">
        <w:rPr>
          <w:rFonts w:ascii="Times New Roman" w:hAnsi="Times New Roman" w:cs="Times New Roman"/>
          <w:sz w:val="24"/>
          <w:szCs w:val="24"/>
        </w:rPr>
        <w:t xml:space="preserve"> that the PPA Units will be profitable each year from 2016 to 2024.  In light of </w:t>
      </w:r>
      <w:r w:rsidR="00F36276">
        <w:rPr>
          <w:rFonts w:ascii="Times New Roman" w:hAnsi="Times New Roman" w:cs="Times New Roman"/>
          <w:sz w:val="24"/>
          <w:szCs w:val="24"/>
        </w:rPr>
        <w:t xml:space="preserve">the </w:t>
      </w:r>
      <w:r w:rsidR="00EB18A9">
        <w:rPr>
          <w:rFonts w:ascii="Times New Roman" w:hAnsi="Times New Roman" w:cs="Times New Roman"/>
          <w:sz w:val="24"/>
          <w:szCs w:val="24"/>
        </w:rPr>
        <w:t>evidence, the PUCO finds itself in the position</w:t>
      </w:r>
      <w:r w:rsidR="00F36276">
        <w:rPr>
          <w:rFonts w:ascii="Times New Roman" w:hAnsi="Times New Roman" w:cs="Times New Roman"/>
          <w:sz w:val="24"/>
          <w:szCs w:val="24"/>
        </w:rPr>
        <w:t xml:space="preserve"> of having </w:t>
      </w:r>
      <w:r>
        <w:rPr>
          <w:rFonts w:ascii="Times New Roman" w:hAnsi="Times New Roman" w:cs="Times New Roman"/>
          <w:sz w:val="24"/>
          <w:szCs w:val="24"/>
        </w:rPr>
        <w:t xml:space="preserve">evidence from </w:t>
      </w:r>
      <w:r w:rsidR="006C4EBC">
        <w:rPr>
          <w:rFonts w:ascii="Times New Roman" w:hAnsi="Times New Roman" w:cs="Times New Roman"/>
          <w:sz w:val="24"/>
          <w:szCs w:val="24"/>
        </w:rPr>
        <w:t>all the</w:t>
      </w:r>
      <w:r w:rsidR="00F36276">
        <w:rPr>
          <w:rFonts w:ascii="Times New Roman" w:hAnsi="Times New Roman" w:cs="Times New Roman"/>
          <w:sz w:val="24"/>
          <w:szCs w:val="24"/>
        </w:rPr>
        <w:t xml:space="preserve"> parties</w:t>
      </w:r>
      <w:r w:rsidR="00D54234">
        <w:rPr>
          <w:rFonts w:ascii="Times New Roman" w:hAnsi="Times New Roman" w:cs="Times New Roman"/>
          <w:sz w:val="24"/>
          <w:szCs w:val="24"/>
        </w:rPr>
        <w:t xml:space="preserve"> </w:t>
      </w:r>
      <w:r w:rsidR="00F36276">
        <w:rPr>
          <w:rFonts w:ascii="Times New Roman" w:hAnsi="Times New Roman" w:cs="Times New Roman"/>
          <w:sz w:val="24"/>
          <w:szCs w:val="24"/>
        </w:rPr>
        <w:t xml:space="preserve">– AEP Ohio, </w:t>
      </w:r>
      <w:r w:rsidR="00AE56FA">
        <w:rPr>
          <w:rFonts w:ascii="Times New Roman" w:hAnsi="Times New Roman" w:cs="Times New Roman"/>
          <w:sz w:val="24"/>
          <w:szCs w:val="24"/>
        </w:rPr>
        <w:t xml:space="preserve">the Office of the </w:t>
      </w:r>
      <w:r w:rsidR="00F36276">
        <w:rPr>
          <w:rFonts w:ascii="Times New Roman" w:hAnsi="Times New Roman" w:cs="Times New Roman"/>
          <w:sz w:val="24"/>
          <w:szCs w:val="24"/>
        </w:rPr>
        <w:t>Ohio Consumers’ Counsel (“OCC”), and other</w:t>
      </w:r>
      <w:r>
        <w:rPr>
          <w:rFonts w:ascii="Times New Roman" w:hAnsi="Times New Roman" w:cs="Times New Roman"/>
          <w:sz w:val="24"/>
          <w:szCs w:val="24"/>
        </w:rPr>
        <w:t>s</w:t>
      </w:r>
      <w:r w:rsidR="00D91BC5">
        <w:rPr>
          <w:rFonts w:ascii="Times New Roman" w:hAnsi="Times New Roman" w:cs="Times New Roman"/>
          <w:sz w:val="24"/>
          <w:szCs w:val="24"/>
        </w:rPr>
        <w:t xml:space="preserve"> – </w:t>
      </w:r>
      <w:r w:rsidR="0040636B">
        <w:rPr>
          <w:rFonts w:ascii="Times New Roman" w:hAnsi="Times New Roman" w:cs="Times New Roman"/>
          <w:sz w:val="24"/>
          <w:szCs w:val="24"/>
        </w:rPr>
        <w:t xml:space="preserve">that </w:t>
      </w:r>
      <w:r w:rsidR="00F36276">
        <w:rPr>
          <w:rFonts w:ascii="Times New Roman" w:hAnsi="Times New Roman" w:cs="Times New Roman"/>
          <w:sz w:val="24"/>
          <w:szCs w:val="24"/>
        </w:rPr>
        <w:t>points in the same direction:  Denial.</w:t>
      </w:r>
    </w:p>
    <w:p w:rsidR="00F44710" w:rsidRDefault="00BF045A" w:rsidP="00A574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Later</w:t>
      </w:r>
      <w:r w:rsidR="008913D3">
        <w:rPr>
          <w:rFonts w:ascii="Times New Roman" w:hAnsi="Times New Roman" w:cs="Times New Roman"/>
          <w:sz w:val="24"/>
          <w:szCs w:val="24"/>
        </w:rPr>
        <w:t>, AEP Ohio</w:t>
      </w:r>
      <w:r>
        <w:rPr>
          <w:rFonts w:ascii="Times New Roman" w:hAnsi="Times New Roman" w:cs="Times New Roman"/>
          <w:sz w:val="24"/>
          <w:szCs w:val="24"/>
        </w:rPr>
        <w:t xml:space="preserve">, in effect, </w:t>
      </w:r>
      <w:r w:rsidR="008913D3">
        <w:rPr>
          <w:rFonts w:ascii="Times New Roman" w:hAnsi="Times New Roman" w:cs="Times New Roman"/>
          <w:sz w:val="24"/>
          <w:szCs w:val="24"/>
        </w:rPr>
        <w:t>acknowledged the overwhelming evidence supporting den</w:t>
      </w:r>
      <w:r>
        <w:rPr>
          <w:rFonts w:ascii="Times New Roman" w:hAnsi="Times New Roman" w:cs="Times New Roman"/>
          <w:sz w:val="24"/>
          <w:szCs w:val="24"/>
        </w:rPr>
        <w:t>ial of</w:t>
      </w:r>
      <w:r w:rsidR="008913D3">
        <w:rPr>
          <w:rFonts w:ascii="Times New Roman" w:hAnsi="Times New Roman" w:cs="Times New Roman"/>
          <w:sz w:val="24"/>
          <w:szCs w:val="24"/>
        </w:rPr>
        <w:t xml:space="preserve"> the Amended Application.  It filed a Joint Stipulation and Recommendation (“Joint Stipulation”</w:t>
      </w:r>
      <w:r w:rsidR="00C61A1E">
        <w:rPr>
          <w:rFonts w:ascii="Times New Roman" w:hAnsi="Times New Roman" w:cs="Times New Roman"/>
          <w:sz w:val="24"/>
          <w:szCs w:val="24"/>
        </w:rPr>
        <w:t xml:space="preserve"> or “settlement”</w:t>
      </w:r>
      <w:r w:rsidR="008913D3">
        <w:rPr>
          <w:rFonts w:ascii="Times New Roman" w:hAnsi="Times New Roman" w:cs="Times New Roman"/>
          <w:sz w:val="24"/>
          <w:szCs w:val="24"/>
        </w:rPr>
        <w:t xml:space="preserve">) with ten signatory parties (“Signatory Parties”).  According to AEP Ohio, the Joint Stipulation is offered as </w:t>
      </w:r>
      <w:r w:rsidR="00283B0B">
        <w:rPr>
          <w:rFonts w:ascii="Times New Roman" w:hAnsi="Times New Roman" w:cs="Times New Roman"/>
          <w:sz w:val="24"/>
          <w:szCs w:val="24"/>
        </w:rPr>
        <w:t>a modification</w:t>
      </w:r>
      <w:r w:rsidR="008913D3">
        <w:rPr>
          <w:rFonts w:ascii="Times New Roman" w:hAnsi="Times New Roman" w:cs="Times New Roman"/>
          <w:sz w:val="24"/>
          <w:szCs w:val="24"/>
        </w:rPr>
        <w:t xml:space="preserve"> to the Amended Application</w:t>
      </w:r>
      <w:r w:rsidR="00283B0B">
        <w:rPr>
          <w:rFonts w:ascii="Times New Roman" w:hAnsi="Times New Roman" w:cs="Times New Roman"/>
          <w:sz w:val="24"/>
          <w:szCs w:val="24"/>
        </w:rPr>
        <w:t xml:space="preserve"> (“Modified Amended Application”)</w:t>
      </w:r>
      <w:r w:rsidR="00F47E76">
        <w:rPr>
          <w:rFonts w:ascii="Times New Roman" w:hAnsi="Times New Roman" w:cs="Times New Roman"/>
          <w:sz w:val="24"/>
          <w:szCs w:val="24"/>
        </w:rPr>
        <w:t xml:space="preserve"> – though it still contains the PPA Rider</w:t>
      </w:r>
      <w:r>
        <w:rPr>
          <w:rFonts w:ascii="Times New Roman" w:hAnsi="Times New Roman" w:cs="Times New Roman"/>
          <w:sz w:val="24"/>
          <w:szCs w:val="24"/>
        </w:rPr>
        <w:t xml:space="preserve"> that is </w:t>
      </w:r>
      <w:r w:rsidR="000D5D69">
        <w:rPr>
          <w:rFonts w:ascii="Times New Roman" w:hAnsi="Times New Roman" w:cs="Times New Roman"/>
          <w:sz w:val="24"/>
          <w:szCs w:val="24"/>
        </w:rPr>
        <w:t>to</w:t>
      </w:r>
      <w:r>
        <w:rPr>
          <w:rFonts w:ascii="Times New Roman" w:hAnsi="Times New Roman" w:cs="Times New Roman"/>
          <w:sz w:val="24"/>
          <w:szCs w:val="24"/>
        </w:rPr>
        <w:t>o costly for consumers</w:t>
      </w:r>
      <w:r w:rsidR="008913D3">
        <w:rPr>
          <w:rFonts w:ascii="Times New Roman" w:hAnsi="Times New Roman" w:cs="Times New Roman"/>
          <w:sz w:val="24"/>
          <w:szCs w:val="24"/>
        </w:rPr>
        <w:t>.</w:t>
      </w:r>
      <w:r w:rsidR="00283B0B">
        <w:rPr>
          <w:rStyle w:val="FootnoteReference"/>
          <w:rFonts w:ascii="Times New Roman" w:hAnsi="Times New Roman" w:cs="Times New Roman"/>
          <w:sz w:val="24"/>
          <w:szCs w:val="24"/>
        </w:rPr>
        <w:footnoteReference w:id="3"/>
      </w:r>
      <w:r w:rsidR="008913D3">
        <w:rPr>
          <w:rFonts w:ascii="Times New Roman" w:hAnsi="Times New Roman" w:cs="Times New Roman"/>
          <w:sz w:val="24"/>
          <w:szCs w:val="24"/>
        </w:rPr>
        <w:t xml:space="preserve">  </w:t>
      </w:r>
    </w:p>
    <w:p w:rsidR="00081EBB" w:rsidRDefault="00C354CD" w:rsidP="00A574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the Joint Stipulation is a vague, ambiguous </w:t>
      </w:r>
      <w:r w:rsidR="00F44710">
        <w:rPr>
          <w:rFonts w:ascii="Times New Roman" w:hAnsi="Times New Roman" w:cs="Times New Roman"/>
          <w:sz w:val="24"/>
          <w:szCs w:val="24"/>
        </w:rPr>
        <w:t xml:space="preserve">hodgepodge of a </w:t>
      </w:r>
      <w:r>
        <w:rPr>
          <w:rFonts w:ascii="Times New Roman" w:hAnsi="Times New Roman" w:cs="Times New Roman"/>
          <w:sz w:val="24"/>
          <w:szCs w:val="24"/>
        </w:rPr>
        <w:t xml:space="preserve">document </w:t>
      </w:r>
      <w:r w:rsidR="000E5DB5">
        <w:rPr>
          <w:rFonts w:ascii="Times New Roman" w:hAnsi="Times New Roman" w:cs="Times New Roman"/>
          <w:sz w:val="24"/>
          <w:szCs w:val="24"/>
        </w:rPr>
        <w:t xml:space="preserve">full of contingent promises </w:t>
      </w:r>
      <w:r>
        <w:rPr>
          <w:rFonts w:ascii="Times New Roman" w:hAnsi="Times New Roman" w:cs="Times New Roman"/>
          <w:sz w:val="24"/>
          <w:szCs w:val="24"/>
        </w:rPr>
        <w:t>that leave</w:t>
      </w:r>
      <w:r w:rsidR="00D54234">
        <w:rPr>
          <w:rFonts w:ascii="Times New Roman" w:hAnsi="Times New Roman" w:cs="Times New Roman"/>
          <w:sz w:val="24"/>
          <w:szCs w:val="24"/>
        </w:rPr>
        <w:t>s</w:t>
      </w:r>
      <w:r>
        <w:rPr>
          <w:rFonts w:ascii="Times New Roman" w:hAnsi="Times New Roman" w:cs="Times New Roman"/>
          <w:sz w:val="24"/>
          <w:szCs w:val="24"/>
        </w:rPr>
        <w:t xml:space="preserve"> implementation details for future resolution</w:t>
      </w:r>
      <w:r w:rsidR="000E5DB5">
        <w:rPr>
          <w:rFonts w:ascii="Times New Roman" w:hAnsi="Times New Roman" w:cs="Times New Roman"/>
          <w:sz w:val="24"/>
          <w:szCs w:val="24"/>
        </w:rPr>
        <w:t>.</w:t>
      </w:r>
      <w:r w:rsidR="00081EBB">
        <w:rPr>
          <w:rStyle w:val="FootnoteReference"/>
          <w:rFonts w:ascii="Times New Roman" w:hAnsi="Times New Roman" w:cs="Times New Roman"/>
          <w:sz w:val="24"/>
          <w:szCs w:val="24"/>
        </w:rPr>
        <w:footnoteReference w:id="4"/>
      </w:r>
      <w:r w:rsidR="00081EBB">
        <w:rPr>
          <w:rFonts w:ascii="Times New Roman" w:hAnsi="Times New Roman" w:cs="Times New Roman"/>
          <w:sz w:val="24"/>
          <w:szCs w:val="24"/>
        </w:rPr>
        <w:t xml:space="preserve"> </w:t>
      </w:r>
      <w:r w:rsidR="00EF0935">
        <w:rPr>
          <w:rFonts w:ascii="Times New Roman" w:hAnsi="Times New Roman" w:cs="Times New Roman"/>
          <w:sz w:val="24"/>
          <w:szCs w:val="24"/>
        </w:rPr>
        <w:t xml:space="preserve"> </w:t>
      </w:r>
      <w:r w:rsidR="00F47E76">
        <w:rPr>
          <w:rFonts w:ascii="Times New Roman" w:hAnsi="Times New Roman" w:cs="Times New Roman"/>
          <w:sz w:val="24"/>
          <w:szCs w:val="24"/>
        </w:rPr>
        <w:t xml:space="preserve">It will plunge the PUCO and consumers of all kind into an endless wave of litigation.  </w:t>
      </w:r>
      <w:r w:rsidR="000E5DB5">
        <w:rPr>
          <w:rFonts w:ascii="Times New Roman" w:hAnsi="Times New Roman" w:cs="Times New Roman"/>
          <w:sz w:val="24"/>
          <w:szCs w:val="24"/>
        </w:rPr>
        <w:t>It</w:t>
      </w:r>
      <w:r>
        <w:rPr>
          <w:rFonts w:ascii="Times New Roman" w:hAnsi="Times New Roman" w:cs="Times New Roman"/>
          <w:sz w:val="24"/>
          <w:szCs w:val="24"/>
        </w:rPr>
        <w:t xml:space="preserve"> contains little more than “commitments” to make future filings that may or may not result in actual programs.  </w:t>
      </w:r>
      <w:r w:rsidR="00081EBB">
        <w:rPr>
          <w:rFonts w:ascii="Times New Roman" w:hAnsi="Times New Roman" w:cs="Times New Roman"/>
          <w:sz w:val="24"/>
          <w:szCs w:val="24"/>
        </w:rPr>
        <w:t>And</w:t>
      </w:r>
      <w:r w:rsidR="008913D3">
        <w:rPr>
          <w:rFonts w:ascii="Times New Roman" w:hAnsi="Times New Roman" w:cs="Times New Roman"/>
          <w:sz w:val="24"/>
          <w:szCs w:val="24"/>
        </w:rPr>
        <w:t xml:space="preserve"> were AEP Ohio’s own financial forecast of the </w:t>
      </w:r>
      <w:r w:rsidR="00283B0B">
        <w:rPr>
          <w:rFonts w:ascii="Times New Roman" w:hAnsi="Times New Roman" w:cs="Times New Roman"/>
          <w:sz w:val="24"/>
          <w:szCs w:val="24"/>
        </w:rPr>
        <w:t xml:space="preserve">Modified </w:t>
      </w:r>
      <w:r w:rsidR="008913D3">
        <w:rPr>
          <w:rFonts w:ascii="Times New Roman" w:hAnsi="Times New Roman" w:cs="Times New Roman"/>
          <w:sz w:val="24"/>
          <w:szCs w:val="24"/>
        </w:rPr>
        <w:t>Amended Application</w:t>
      </w:r>
      <w:r w:rsidR="00283B0B">
        <w:rPr>
          <w:rFonts w:ascii="Times New Roman" w:hAnsi="Times New Roman" w:cs="Times New Roman"/>
          <w:sz w:val="24"/>
          <w:szCs w:val="24"/>
        </w:rPr>
        <w:t xml:space="preserve"> to be</w:t>
      </w:r>
      <w:r w:rsidR="008913D3">
        <w:rPr>
          <w:rFonts w:ascii="Times New Roman" w:hAnsi="Times New Roman" w:cs="Times New Roman"/>
          <w:sz w:val="24"/>
          <w:szCs w:val="24"/>
        </w:rPr>
        <w:t xml:space="preserve"> believed, consumers would actually be </w:t>
      </w:r>
      <w:r w:rsidR="008913D3">
        <w:rPr>
          <w:rFonts w:ascii="Times New Roman" w:hAnsi="Times New Roman" w:cs="Times New Roman"/>
          <w:i/>
          <w:sz w:val="24"/>
          <w:szCs w:val="24"/>
        </w:rPr>
        <w:t xml:space="preserve">worse off </w:t>
      </w:r>
      <w:r w:rsidR="008913D3">
        <w:rPr>
          <w:rFonts w:ascii="Times New Roman" w:hAnsi="Times New Roman" w:cs="Times New Roman"/>
          <w:sz w:val="24"/>
          <w:szCs w:val="24"/>
        </w:rPr>
        <w:t xml:space="preserve">under </w:t>
      </w:r>
      <w:r w:rsidR="00283B0B">
        <w:rPr>
          <w:rFonts w:ascii="Times New Roman" w:hAnsi="Times New Roman" w:cs="Times New Roman"/>
          <w:sz w:val="24"/>
          <w:szCs w:val="24"/>
        </w:rPr>
        <w:t>the Modified Amended Application</w:t>
      </w:r>
      <w:r>
        <w:rPr>
          <w:rFonts w:ascii="Times New Roman" w:hAnsi="Times New Roman" w:cs="Times New Roman"/>
          <w:sz w:val="24"/>
          <w:szCs w:val="24"/>
        </w:rPr>
        <w:t xml:space="preserve"> as a direct result of the Joint Stipulation</w:t>
      </w:r>
      <w:r w:rsidR="00283B0B">
        <w:rPr>
          <w:rFonts w:ascii="Times New Roman" w:hAnsi="Times New Roman" w:cs="Times New Roman"/>
          <w:sz w:val="24"/>
          <w:szCs w:val="24"/>
        </w:rPr>
        <w:t>.  Accordingly, the Joint Stipulation should be rejected.</w:t>
      </w:r>
      <w:r>
        <w:rPr>
          <w:rFonts w:ascii="Times New Roman" w:hAnsi="Times New Roman" w:cs="Times New Roman"/>
          <w:sz w:val="24"/>
          <w:szCs w:val="24"/>
        </w:rPr>
        <w:t xml:space="preserve">  </w:t>
      </w:r>
    </w:p>
    <w:p w:rsidR="00D520AE" w:rsidRDefault="00C354CD" w:rsidP="00176F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Regardless of whether the PUCO accepts the Joint Stipulation and decides this matter based on the Modified Amended Application, or rejects the Joint Stipulation and decides this matter based on the Amended Application, AEP Ohio’s proposal should be rejected. </w:t>
      </w:r>
      <w:r w:rsidR="00081EBB">
        <w:rPr>
          <w:rFonts w:ascii="Times New Roman" w:hAnsi="Times New Roman" w:cs="Times New Roman"/>
          <w:sz w:val="24"/>
          <w:szCs w:val="24"/>
        </w:rPr>
        <w:t xml:space="preserve"> </w:t>
      </w:r>
      <w:r w:rsidR="00875E64">
        <w:rPr>
          <w:rFonts w:ascii="Times New Roman" w:hAnsi="Times New Roman" w:cs="Times New Roman"/>
          <w:sz w:val="24"/>
          <w:szCs w:val="24"/>
        </w:rPr>
        <w:t xml:space="preserve">AEP Ohio’s own evidence confirms that </w:t>
      </w:r>
      <w:r w:rsidR="007D674E">
        <w:rPr>
          <w:rFonts w:ascii="Times New Roman" w:hAnsi="Times New Roman" w:cs="Times New Roman"/>
          <w:sz w:val="24"/>
          <w:szCs w:val="24"/>
        </w:rPr>
        <w:t>the</w:t>
      </w:r>
      <w:r w:rsidR="00875E64">
        <w:rPr>
          <w:rFonts w:ascii="Times New Roman" w:hAnsi="Times New Roman" w:cs="Times New Roman"/>
          <w:sz w:val="24"/>
          <w:szCs w:val="24"/>
        </w:rPr>
        <w:t xml:space="preserve"> Amended Application</w:t>
      </w:r>
      <w:r w:rsidR="00081EBB">
        <w:rPr>
          <w:rFonts w:ascii="Times New Roman" w:hAnsi="Times New Roman" w:cs="Times New Roman"/>
          <w:sz w:val="24"/>
          <w:szCs w:val="24"/>
        </w:rPr>
        <w:t>, and the Modified Amended Application,</w:t>
      </w:r>
      <w:r w:rsidR="00875E64">
        <w:rPr>
          <w:rFonts w:ascii="Times New Roman" w:hAnsi="Times New Roman" w:cs="Times New Roman"/>
          <w:sz w:val="24"/>
          <w:szCs w:val="24"/>
        </w:rPr>
        <w:t xml:space="preserve"> should</w:t>
      </w:r>
      <w:r w:rsidR="007D7CEE">
        <w:rPr>
          <w:rFonts w:ascii="Times New Roman" w:hAnsi="Times New Roman" w:cs="Times New Roman"/>
          <w:sz w:val="24"/>
          <w:szCs w:val="24"/>
        </w:rPr>
        <w:t xml:space="preserve"> both</w:t>
      </w:r>
      <w:r w:rsidR="00875E64">
        <w:rPr>
          <w:rFonts w:ascii="Times New Roman" w:hAnsi="Times New Roman" w:cs="Times New Roman"/>
          <w:sz w:val="24"/>
          <w:szCs w:val="24"/>
        </w:rPr>
        <w:t xml:space="preserve"> be denied based on the factors the PUCO established in AEP Ohio’s ESP III case.</w:t>
      </w:r>
      <w:r w:rsidR="00875E64">
        <w:rPr>
          <w:rStyle w:val="FootnoteReference"/>
          <w:rFonts w:ascii="Times New Roman" w:hAnsi="Times New Roman" w:cs="Times New Roman"/>
          <w:sz w:val="24"/>
          <w:szCs w:val="24"/>
        </w:rPr>
        <w:footnoteReference w:id="5"/>
      </w:r>
      <w:r w:rsidR="00875E64">
        <w:rPr>
          <w:rFonts w:ascii="Times New Roman" w:hAnsi="Times New Roman" w:cs="Times New Roman"/>
          <w:sz w:val="24"/>
          <w:szCs w:val="24"/>
        </w:rPr>
        <w:t xml:space="preserve">  That result is confirmed by, and independently justified by, OCC’s evidence.  At the very least, the PUCO is in no better position </w:t>
      </w:r>
      <w:r w:rsidR="00B564DC">
        <w:rPr>
          <w:rFonts w:ascii="Times New Roman" w:hAnsi="Times New Roman" w:cs="Times New Roman"/>
          <w:sz w:val="24"/>
          <w:szCs w:val="24"/>
        </w:rPr>
        <w:t xml:space="preserve">now </w:t>
      </w:r>
    </w:p>
    <w:p w:rsidR="00D520AE" w:rsidRDefault="00D520AE">
      <w:pPr>
        <w:rPr>
          <w:rFonts w:ascii="Times New Roman" w:hAnsi="Times New Roman" w:cs="Times New Roman"/>
          <w:sz w:val="24"/>
          <w:szCs w:val="24"/>
        </w:rPr>
      </w:pPr>
      <w:r>
        <w:rPr>
          <w:rFonts w:ascii="Times New Roman" w:hAnsi="Times New Roman" w:cs="Times New Roman"/>
          <w:sz w:val="24"/>
          <w:szCs w:val="24"/>
        </w:rPr>
        <w:br w:type="page"/>
      </w:r>
    </w:p>
    <w:p w:rsidR="00176F14" w:rsidRDefault="00875E64" w:rsidP="00D520AE">
      <w:pPr>
        <w:spacing w:after="0" w:line="480" w:lineRule="auto"/>
        <w:rPr>
          <w:rFonts w:ascii="Times New Roman" w:hAnsi="Times New Roman" w:cs="Times New Roman"/>
          <w:sz w:val="24"/>
          <w:szCs w:val="24"/>
        </w:rPr>
      </w:pPr>
      <w:r>
        <w:rPr>
          <w:rFonts w:ascii="Times New Roman" w:hAnsi="Times New Roman" w:cs="Times New Roman"/>
          <w:sz w:val="24"/>
          <w:szCs w:val="24"/>
        </w:rPr>
        <w:t>than when it originally denied cost recovery through the PPA Rider proposed in ESP III.</w:t>
      </w:r>
      <w:r>
        <w:rPr>
          <w:rStyle w:val="FootnoteReference"/>
          <w:rFonts w:ascii="Times New Roman" w:hAnsi="Times New Roman" w:cs="Times New Roman"/>
          <w:sz w:val="24"/>
          <w:szCs w:val="24"/>
        </w:rPr>
        <w:footnoteReference w:id="6"/>
      </w:r>
      <w:r w:rsidR="00D411DC">
        <w:rPr>
          <w:rFonts w:ascii="Times New Roman" w:hAnsi="Times New Roman" w:cs="Times New Roman"/>
          <w:sz w:val="24"/>
          <w:szCs w:val="24"/>
        </w:rPr>
        <w:t xml:space="preserve">  It should therefore deny the Amended Application </w:t>
      </w:r>
      <w:r w:rsidR="00081EBB">
        <w:rPr>
          <w:rFonts w:ascii="Times New Roman" w:hAnsi="Times New Roman" w:cs="Times New Roman"/>
          <w:sz w:val="24"/>
          <w:szCs w:val="24"/>
        </w:rPr>
        <w:t xml:space="preserve">or, if the Joint Stipulation is approved, </w:t>
      </w:r>
      <w:r w:rsidR="00BE1CE2">
        <w:rPr>
          <w:rFonts w:ascii="Times New Roman" w:hAnsi="Times New Roman" w:cs="Times New Roman"/>
          <w:sz w:val="24"/>
          <w:szCs w:val="24"/>
        </w:rPr>
        <w:t xml:space="preserve">deny </w:t>
      </w:r>
      <w:r w:rsidR="00081EBB">
        <w:rPr>
          <w:rFonts w:ascii="Times New Roman" w:hAnsi="Times New Roman" w:cs="Times New Roman"/>
          <w:sz w:val="24"/>
          <w:szCs w:val="24"/>
        </w:rPr>
        <w:t>the Modified Amended Application</w:t>
      </w:r>
      <w:r w:rsidR="00D411DC">
        <w:rPr>
          <w:rFonts w:ascii="Times New Roman" w:hAnsi="Times New Roman" w:cs="Times New Roman"/>
          <w:sz w:val="24"/>
          <w:szCs w:val="24"/>
        </w:rPr>
        <w:t>.</w:t>
      </w:r>
    </w:p>
    <w:p w:rsidR="00390AD5" w:rsidRDefault="00390AD5" w:rsidP="00390AD5">
      <w:pPr>
        <w:spacing w:after="0" w:line="240" w:lineRule="auto"/>
        <w:ind w:firstLine="720"/>
        <w:rPr>
          <w:rFonts w:ascii="Times New Roman" w:hAnsi="Times New Roman" w:cs="Times New Roman"/>
          <w:sz w:val="24"/>
          <w:szCs w:val="24"/>
        </w:rPr>
      </w:pPr>
    </w:p>
    <w:p w:rsidR="00176F14" w:rsidRDefault="00390AD5" w:rsidP="001D77BB">
      <w:pPr>
        <w:pStyle w:val="Heading1"/>
        <w:spacing w:after="240"/>
      </w:pPr>
      <w:bookmarkStart w:id="2" w:name="_Toc442104123"/>
      <w:r>
        <w:t>II.</w:t>
      </w:r>
      <w:r>
        <w:tab/>
      </w:r>
      <w:r w:rsidR="00176F14">
        <w:t>EXECUTIVE SUMMARY</w:t>
      </w:r>
      <w:bookmarkEnd w:id="2"/>
    </w:p>
    <w:p w:rsidR="00FE746F" w:rsidRDefault="00FE746F" w:rsidP="001D77B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must first confront the issue of whether it has jurisdiction</w:t>
      </w:r>
      <w:r w:rsidR="00A43E4E">
        <w:rPr>
          <w:rFonts w:ascii="Times New Roman" w:hAnsi="Times New Roman" w:cs="Times New Roman"/>
          <w:sz w:val="24"/>
          <w:szCs w:val="24"/>
        </w:rPr>
        <w:t xml:space="preserve"> to, among other things, grant this application and impose these charges on Ohioans</w:t>
      </w:r>
      <w:r>
        <w:rPr>
          <w:rFonts w:ascii="Times New Roman" w:hAnsi="Times New Roman" w:cs="Times New Roman"/>
          <w:sz w:val="24"/>
          <w:szCs w:val="24"/>
        </w:rPr>
        <w:t>.</w:t>
      </w:r>
      <w:r w:rsidR="00144044">
        <w:rPr>
          <w:rFonts w:ascii="Times New Roman" w:hAnsi="Times New Roman" w:cs="Times New Roman"/>
          <w:sz w:val="24"/>
          <w:szCs w:val="24"/>
        </w:rPr>
        <w:t xml:space="preserve">  It does not.</w:t>
      </w:r>
      <w:r>
        <w:rPr>
          <w:rFonts w:ascii="Times New Roman" w:hAnsi="Times New Roman" w:cs="Times New Roman"/>
          <w:sz w:val="24"/>
          <w:szCs w:val="24"/>
        </w:rPr>
        <w:t xml:space="preserve">  </w:t>
      </w:r>
      <w:r w:rsidR="00144044">
        <w:rPr>
          <w:rFonts w:ascii="Times New Roman" w:hAnsi="Times New Roman" w:cs="Times New Roman"/>
          <w:sz w:val="24"/>
          <w:szCs w:val="24"/>
        </w:rPr>
        <w:t xml:space="preserve">Federal law preempts the PUCO from </w:t>
      </w:r>
      <w:r>
        <w:rPr>
          <w:rFonts w:ascii="Times New Roman" w:hAnsi="Times New Roman" w:cs="Times New Roman"/>
          <w:sz w:val="24"/>
          <w:szCs w:val="24"/>
        </w:rPr>
        <w:t>set</w:t>
      </w:r>
      <w:r w:rsidR="00144044">
        <w:rPr>
          <w:rFonts w:ascii="Times New Roman" w:hAnsi="Times New Roman" w:cs="Times New Roman"/>
          <w:sz w:val="24"/>
          <w:szCs w:val="24"/>
        </w:rPr>
        <w:t>ting</w:t>
      </w:r>
      <w:r>
        <w:rPr>
          <w:rFonts w:ascii="Times New Roman" w:hAnsi="Times New Roman" w:cs="Times New Roman"/>
          <w:sz w:val="24"/>
          <w:szCs w:val="24"/>
        </w:rPr>
        <w:t xml:space="preserve"> the price received by the entity</w:t>
      </w:r>
      <w:r w:rsidR="00144044">
        <w:rPr>
          <w:rFonts w:ascii="Times New Roman" w:hAnsi="Times New Roman" w:cs="Times New Roman"/>
          <w:sz w:val="24"/>
          <w:szCs w:val="24"/>
        </w:rPr>
        <w:t xml:space="preserve"> (</w:t>
      </w:r>
      <w:r w:rsidR="00D54234">
        <w:rPr>
          <w:rFonts w:ascii="Times New Roman" w:hAnsi="Times New Roman" w:cs="Times New Roman"/>
          <w:sz w:val="24"/>
          <w:szCs w:val="24"/>
        </w:rPr>
        <w:t>AEP Ohio</w:t>
      </w:r>
      <w:r w:rsidR="00144044">
        <w:rPr>
          <w:rFonts w:ascii="Times New Roman" w:hAnsi="Times New Roman" w:cs="Times New Roman"/>
          <w:sz w:val="24"/>
          <w:szCs w:val="24"/>
        </w:rPr>
        <w:t>)</w:t>
      </w:r>
      <w:r>
        <w:rPr>
          <w:rFonts w:ascii="Times New Roman" w:hAnsi="Times New Roman" w:cs="Times New Roman"/>
          <w:sz w:val="24"/>
          <w:szCs w:val="24"/>
        </w:rPr>
        <w:t xml:space="preserve"> participating in the wholesale market</w:t>
      </w:r>
      <w:r w:rsidR="00266070">
        <w:rPr>
          <w:rFonts w:ascii="Times New Roman" w:hAnsi="Times New Roman" w:cs="Times New Roman"/>
          <w:sz w:val="24"/>
          <w:szCs w:val="24"/>
        </w:rPr>
        <w:t xml:space="preserve"> at the cost of the PPA</w:t>
      </w:r>
      <w:r>
        <w:rPr>
          <w:rFonts w:ascii="Times New Roman" w:hAnsi="Times New Roman" w:cs="Times New Roman"/>
          <w:sz w:val="24"/>
          <w:szCs w:val="24"/>
        </w:rPr>
        <w:t>.  The PUCO’s jurisdiction is also preempted by federal law because the PPA Rider proposal will distort competitive market</w:t>
      </w:r>
      <w:r w:rsidR="007C21B1">
        <w:rPr>
          <w:rFonts w:ascii="Times New Roman" w:hAnsi="Times New Roman" w:cs="Times New Roman"/>
          <w:sz w:val="24"/>
          <w:szCs w:val="24"/>
        </w:rPr>
        <w:t>s</w:t>
      </w:r>
      <w:r>
        <w:rPr>
          <w:rFonts w:ascii="Times New Roman" w:hAnsi="Times New Roman" w:cs="Times New Roman"/>
          <w:sz w:val="24"/>
          <w:szCs w:val="24"/>
        </w:rPr>
        <w:t xml:space="preserve"> for wholesale power.</w:t>
      </w:r>
      <w:r w:rsidR="009A4D03">
        <w:rPr>
          <w:rFonts w:ascii="Times New Roman" w:hAnsi="Times New Roman" w:cs="Times New Roman"/>
          <w:sz w:val="24"/>
          <w:szCs w:val="24"/>
        </w:rPr>
        <w:t xml:space="preserve">  </w:t>
      </w:r>
      <w:r w:rsidR="00BE1CE2">
        <w:rPr>
          <w:rFonts w:ascii="Times New Roman" w:hAnsi="Times New Roman" w:cs="Times New Roman"/>
          <w:sz w:val="24"/>
          <w:szCs w:val="24"/>
        </w:rPr>
        <w:t xml:space="preserve">Indeed, FERC last week requested comment on whether it should review the AEP Ohio and FirstEnergy power purchase agreements.  </w:t>
      </w:r>
      <w:r w:rsidR="009A4D03">
        <w:rPr>
          <w:rFonts w:ascii="Times New Roman" w:hAnsi="Times New Roman" w:cs="Times New Roman"/>
          <w:sz w:val="24"/>
          <w:szCs w:val="24"/>
        </w:rPr>
        <w:t>For similar reasons, the PUCO is without jurisdiction under state law.</w:t>
      </w:r>
    </w:p>
    <w:p w:rsidR="00F540D5" w:rsidRDefault="00176F14" w:rsidP="001D77B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the evidentiary hearing on the Amended Application, AEP Ohio filed a Joint Stipulation.  Thus, the PUCO must first decide if it should approve the Joint Stipulation.</w:t>
      </w:r>
      <w:r w:rsidR="00F540D5">
        <w:rPr>
          <w:rFonts w:ascii="Times New Roman" w:hAnsi="Times New Roman" w:cs="Times New Roman"/>
          <w:sz w:val="24"/>
          <w:szCs w:val="24"/>
        </w:rPr>
        <w:t xml:space="preserve">  If it does, the PUCO must then decide on the Modified Amended Application.  If it does not, the PUCO must decide on the Amended Application.</w:t>
      </w:r>
    </w:p>
    <w:p w:rsidR="00266070" w:rsidRDefault="00F540D5" w:rsidP="00390A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Joint Stipulation should not be approved</w:t>
      </w:r>
      <w:r w:rsidR="00FE746F">
        <w:rPr>
          <w:rFonts w:ascii="Times New Roman" w:hAnsi="Times New Roman" w:cs="Times New Roman"/>
          <w:sz w:val="24"/>
          <w:szCs w:val="24"/>
        </w:rPr>
        <w:t xml:space="preserve"> based on AEP Ohio’s own evidence</w:t>
      </w:r>
      <w:r>
        <w:rPr>
          <w:rFonts w:ascii="Times New Roman" w:hAnsi="Times New Roman" w:cs="Times New Roman"/>
          <w:sz w:val="24"/>
          <w:szCs w:val="24"/>
        </w:rPr>
        <w:t xml:space="preserve">.  Were the PUCO to believe AEP Ohio’s own testimony, consumers would be </w:t>
      </w:r>
      <w:r w:rsidRPr="00F540D5">
        <w:rPr>
          <w:rFonts w:ascii="Times New Roman" w:hAnsi="Times New Roman" w:cs="Times New Roman"/>
          <w:i/>
          <w:sz w:val="24"/>
          <w:szCs w:val="24"/>
        </w:rPr>
        <w:t>worse off</w:t>
      </w:r>
      <w:r>
        <w:rPr>
          <w:rFonts w:ascii="Times New Roman" w:hAnsi="Times New Roman" w:cs="Times New Roman"/>
          <w:sz w:val="24"/>
          <w:szCs w:val="24"/>
        </w:rPr>
        <w:t xml:space="preserve"> due to provisions in the Joint Stipulation </w:t>
      </w:r>
      <w:r w:rsidRPr="00F540D5">
        <w:rPr>
          <w:rFonts w:ascii="Times New Roman" w:hAnsi="Times New Roman" w:cs="Times New Roman"/>
          <w:i/>
          <w:sz w:val="24"/>
          <w:szCs w:val="24"/>
        </w:rPr>
        <w:t>other than</w:t>
      </w:r>
      <w:r>
        <w:rPr>
          <w:rFonts w:ascii="Times New Roman" w:hAnsi="Times New Roman" w:cs="Times New Roman"/>
          <w:sz w:val="24"/>
          <w:szCs w:val="24"/>
        </w:rPr>
        <w:t xml:space="preserve"> the PPA Rider.  There is so much uncertainty about the Joint Stipulation that it could not have been the product of serious bargaining among knowledgeable parties or be in the public interest.  Further, the Joint Stipulation is so vague and ambiguous that it could not have been the product of serious bargaining among knowledgeable parties or be in the public interest.</w:t>
      </w:r>
      <w:r w:rsidR="00903611">
        <w:rPr>
          <w:rFonts w:ascii="Times New Roman" w:hAnsi="Times New Roman" w:cs="Times New Roman"/>
          <w:sz w:val="24"/>
          <w:szCs w:val="24"/>
        </w:rPr>
        <w:t xml:space="preserve">  </w:t>
      </w:r>
      <w:r w:rsidR="00266070">
        <w:rPr>
          <w:rFonts w:ascii="Times New Roman" w:hAnsi="Times New Roman" w:cs="Times New Roman"/>
          <w:sz w:val="24"/>
          <w:szCs w:val="24"/>
        </w:rPr>
        <w:t>Signatory Parties footnoted out of material provisions of the Joint Stipulation</w:t>
      </w:r>
      <w:r w:rsidR="0064262A">
        <w:rPr>
          <w:rFonts w:ascii="Times New Roman" w:hAnsi="Times New Roman" w:cs="Times New Roman"/>
          <w:sz w:val="24"/>
          <w:szCs w:val="24"/>
        </w:rPr>
        <w:t xml:space="preserve">, which causes it to fail the </w:t>
      </w:r>
      <w:r w:rsidR="000D5D69">
        <w:rPr>
          <w:rFonts w:ascii="Times New Roman" w:hAnsi="Times New Roman" w:cs="Times New Roman"/>
          <w:sz w:val="24"/>
          <w:szCs w:val="24"/>
        </w:rPr>
        <w:t xml:space="preserve">three-prong </w:t>
      </w:r>
      <w:r w:rsidR="0064262A">
        <w:rPr>
          <w:rFonts w:ascii="Times New Roman" w:hAnsi="Times New Roman" w:cs="Times New Roman"/>
          <w:sz w:val="24"/>
          <w:szCs w:val="24"/>
        </w:rPr>
        <w:t>test that the PUCO has historically applied to stipulations.</w:t>
      </w:r>
      <w:r w:rsidR="00266070">
        <w:rPr>
          <w:rFonts w:ascii="Times New Roman" w:hAnsi="Times New Roman" w:cs="Times New Roman"/>
          <w:sz w:val="24"/>
          <w:szCs w:val="24"/>
        </w:rPr>
        <w:t xml:space="preserve"> </w:t>
      </w:r>
      <w:r w:rsidR="0064262A">
        <w:rPr>
          <w:rFonts w:ascii="Times New Roman" w:hAnsi="Times New Roman" w:cs="Times New Roman"/>
          <w:sz w:val="24"/>
          <w:szCs w:val="24"/>
        </w:rPr>
        <w:t xml:space="preserve"> T</w:t>
      </w:r>
      <w:r w:rsidR="00266070">
        <w:rPr>
          <w:rFonts w:ascii="Times New Roman" w:hAnsi="Times New Roman" w:cs="Times New Roman"/>
          <w:sz w:val="24"/>
          <w:szCs w:val="24"/>
        </w:rPr>
        <w:t xml:space="preserve">he standards by which AEP Ohio’s conduct under </w:t>
      </w:r>
      <w:r w:rsidR="0064262A">
        <w:rPr>
          <w:rFonts w:ascii="Times New Roman" w:hAnsi="Times New Roman" w:cs="Times New Roman"/>
          <w:sz w:val="24"/>
          <w:szCs w:val="24"/>
        </w:rPr>
        <w:t>the Joint Stipulation</w:t>
      </w:r>
      <w:r w:rsidR="00266070">
        <w:rPr>
          <w:rFonts w:ascii="Times New Roman" w:hAnsi="Times New Roman" w:cs="Times New Roman"/>
          <w:sz w:val="24"/>
          <w:szCs w:val="24"/>
        </w:rPr>
        <w:t xml:space="preserve"> will be measured are so hollow that </w:t>
      </w:r>
      <w:r w:rsidR="0064262A">
        <w:rPr>
          <w:rFonts w:ascii="Times New Roman" w:hAnsi="Times New Roman" w:cs="Times New Roman"/>
          <w:sz w:val="24"/>
          <w:szCs w:val="24"/>
        </w:rPr>
        <w:t>it</w:t>
      </w:r>
      <w:r w:rsidR="00266070">
        <w:rPr>
          <w:rFonts w:ascii="Times New Roman" w:hAnsi="Times New Roman" w:cs="Times New Roman"/>
          <w:sz w:val="24"/>
          <w:szCs w:val="24"/>
        </w:rPr>
        <w:t xml:space="preserve"> cannot pass </w:t>
      </w:r>
      <w:r w:rsidR="0064262A">
        <w:rPr>
          <w:rFonts w:ascii="Times New Roman" w:hAnsi="Times New Roman" w:cs="Times New Roman"/>
          <w:sz w:val="24"/>
          <w:szCs w:val="24"/>
        </w:rPr>
        <w:t>that historical test</w:t>
      </w:r>
      <w:r w:rsidR="00266070">
        <w:rPr>
          <w:rFonts w:ascii="Times New Roman" w:hAnsi="Times New Roman" w:cs="Times New Roman"/>
          <w:sz w:val="24"/>
          <w:szCs w:val="24"/>
        </w:rPr>
        <w:t xml:space="preserve">.  It will plunge the PUCO and consumers of all types into an endless wave of litigation.  </w:t>
      </w:r>
      <w:r w:rsidR="00903611">
        <w:rPr>
          <w:rFonts w:ascii="Times New Roman" w:hAnsi="Times New Roman" w:cs="Times New Roman"/>
          <w:sz w:val="24"/>
          <w:szCs w:val="24"/>
        </w:rPr>
        <w:t xml:space="preserve">As a matter of regulatory principle and policy, the PUCO should require more certainty and clarity </w:t>
      </w:r>
      <w:r w:rsidR="004E4E11">
        <w:rPr>
          <w:rFonts w:ascii="Times New Roman" w:hAnsi="Times New Roman" w:cs="Times New Roman"/>
          <w:sz w:val="24"/>
          <w:szCs w:val="24"/>
        </w:rPr>
        <w:t>in</w:t>
      </w:r>
      <w:r w:rsidR="00903611">
        <w:rPr>
          <w:rFonts w:ascii="Times New Roman" w:hAnsi="Times New Roman" w:cs="Times New Roman"/>
          <w:sz w:val="24"/>
          <w:szCs w:val="24"/>
        </w:rPr>
        <w:t xml:space="preserve"> a stipulation.</w:t>
      </w:r>
      <w:r w:rsidR="00FE746F">
        <w:rPr>
          <w:rFonts w:ascii="Times New Roman" w:hAnsi="Times New Roman" w:cs="Times New Roman"/>
          <w:sz w:val="24"/>
          <w:szCs w:val="24"/>
        </w:rPr>
        <w:t xml:space="preserve">  </w:t>
      </w:r>
    </w:p>
    <w:p w:rsidR="00FE746F" w:rsidRDefault="00FE746F" w:rsidP="00176F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Joint Stipulation is flush with “commitments” – contingent commitments, at that – and short on actually implementing programs.  Such should not suffice as a matter of regulatory principle and policy and public interest considerations.  And the Joint Stipulation is unnecessary to </w:t>
      </w:r>
      <w:r w:rsidR="00266070">
        <w:rPr>
          <w:rFonts w:ascii="Times New Roman" w:hAnsi="Times New Roman" w:cs="Times New Roman"/>
          <w:sz w:val="24"/>
          <w:szCs w:val="24"/>
        </w:rPr>
        <w:t xml:space="preserve">the purported benefits therein – the PPA Rider is not necessary to achieving alleged hedging benefits – </w:t>
      </w:r>
      <w:r>
        <w:rPr>
          <w:rFonts w:ascii="Times New Roman" w:hAnsi="Times New Roman" w:cs="Times New Roman"/>
          <w:sz w:val="24"/>
          <w:szCs w:val="24"/>
        </w:rPr>
        <w:t>which are otherwise overstated.  Were this not enough, AEP Ohio has failed to meet its burden of showing that the PPA Rider is in the public interest under the factors established in the PUCO’s ESP III Opinion and Order.</w:t>
      </w:r>
    </w:p>
    <w:p w:rsidR="00AD0C34" w:rsidRDefault="00FE746F" w:rsidP="00176F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OCC’s evidence confirms, and independently justifies, rejecting the Joint Stipulation</w:t>
      </w:r>
      <w:r w:rsidR="000D5D69">
        <w:rPr>
          <w:rFonts w:ascii="Times New Roman" w:hAnsi="Times New Roman" w:cs="Times New Roman"/>
          <w:sz w:val="24"/>
          <w:szCs w:val="24"/>
        </w:rPr>
        <w:t xml:space="preserve"> under the PUCO’s three-prong test</w:t>
      </w:r>
      <w:r>
        <w:rPr>
          <w:rFonts w:ascii="Times New Roman" w:hAnsi="Times New Roman" w:cs="Times New Roman"/>
          <w:sz w:val="24"/>
          <w:szCs w:val="24"/>
        </w:rPr>
        <w:t>.</w:t>
      </w:r>
      <w:r w:rsidR="00AD0C34">
        <w:rPr>
          <w:rFonts w:ascii="Times New Roman" w:hAnsi="Times New Roman" w:cs="Times New Roman"/>
          <w:sz w:val="24"/>
          <w:szCs w:val="24"/>
        </w:rPr>
        <w:t xml:space="preserve">  Its programs will cost consumers </w:t>
      </w:r>
      <w:r w:rsidR="007C21B1">
        <w:rPr>
          <w:rFonts w:ascii="Times New Roman" w:hAnsi="Times New Roman" w:cs="Times New Roman"/>
          <w:sz w:val="24"/>
          <w:szCs w:val="24"/>
        </w:rPr>
        <w:t xml:space="preserve">at least </w:t>
      </w:r>
      <w:r w:rsidR="00AD0C34">
        <w:rPr>
          <w:rFonts w:ascii="Times New Roman" w:hAnsi="Times New Roman" w:cs="Times New Roman"/>
          <w:sz w:val="24"/>
          <w:szCs w:val="24"/>
        </w:rPr>
        <w:t xml:space="preserve">$2 billion with no corresponding consumer benefit.  It was not the product of serious bargaining among knowledgeable parties, it violates regulatory principles and practices, and is not in the public interest.  The Joint Stipulation is a compilation of </w:t>
      </w:r>
      <w:r w:rsidR="007C21B1">
        <w:rPr>
          <w:rFonts w:ascii="Times New Roman" w:hAnsi="Times New Roman" w:cs="Times New Roman"/>
          <w:sz w:val="24"/>
          <w:szCs w:val="24"/>
        </w:rPr>
        <w:t xml:space="preserve">special interest </w:t>
      </w:r>
      <w:r w:rsidR="00AD0C34">
        <w:rPr>
          <w:rFonts w:ascii="Times New Roman" w:hAnsi="Times New Roman" w:cs="Times New Roman"/>
          <w:sz w:val="24"/>
          <w:szCs w:val="24"/>
        </w:rPr>
        <w:t>handouts.  Further, its rate design is fundamentally flawed.  In addition to these considerations, approving the Joint Stipulation would necessitate rejecting the Modified Amended Application because it would cause ESP III to fail the MRO v. ESP test</w:t>
      </w:r>
      <w:r w:rsidR="007C21B1">
        <w:rPr>
          <w:rFonts w:ascii="Times New Roman" w:hAnsi="Times New Roman" w:cs="Times New Roman"/>
          <w:sz w:val="24"/>
          <w:szCs w:val="24"/>
        </w:rPr>
        <w:t xml:space="preserve"> to the detriment of consumers</w:t>
      </w:r>
      <w:r w:rsidR="00AD0C34">
        <w:rPr>
          <w:rFonts w:ascii="Times New Roman" w:hAnsi="Times New Roman" w:cs="Times New Roman"/>
          <w:sz w:val="24"/>
          <w:szCs w:val="24"/>
        </w:rPr>
        <w:t>.</w:t>
      </w:r>
    </w:p>
    <w:p w:rsidR="00374987" w:rsidRDefault="00AD0C34" w:rsidP="00176F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Irrespective of whether the PUCO examines the Amended Application or the Modified Amended Application, </w:t>
      </w:r>
      <w:r w:rsidR="0064262A">
        <w:rPr>
          <w:rFonts w:ascii="Times New Roman" w:hAnsi="Times New Roman" w:cs="Times New Roman"/>
          <w:sz w:val="24"/>
          <w:szCs w:val="24"/>
        </w:rPr>
        <w:t xml:space="preserve">and irrespective of whose evidence the PUCO believes, </w:t>
      </w:r>
      <w:r w:rsidR="00034FC7">
        <w:rPr>
          <w:rFonts w:ascii="Times New Roman" w:hAnsi="Times New Roman" w:cs="Times New Roman"/>
          <w:sz w:val="24"/>
          <w:szCs w:val="24"/>
        </w:rPr>
        <w:t>only</w:t>
      </w:r>
      <w:r>
        <w:rPr>
          <w:rFonts w:ascii="Times New Roman" w:hAnsi="Times New Roman" w:cs="Times New Roman"/>
          <w:sz w:val="24"/>
          <w:szCs w:val="24"/>
        </w:rPr>
        <w:t xml:space="preserve"> one result can be reached:  Denial.  </w:t>
      </w:r>
      <w:r w:rsidR="000D5D69">
        <w:rPr>
          <w:rFonts w:ascii="Times New Roman" w:hAnsi="Times New Roman" w:cs="Times New Roman"/>
          <w:sz w:val="24"/>
          <w:szCs w:val="24"/>
        </w:rPr>
        <w:t>The four factors the PUCO established in AEP ESP III cannot be met</w:t>
      </w:r>
      <w:r w:rsidR="0003180C">
        <w:rPr>
          <w:rFonts w:ascii="Times New Roman" w:hAnsi="Times New Roman" w:cs="Times New Roman"/>
          <w:sz w:val="24"/>
          <w:szCs w:val="24"/>
        </w:rPr>
        <w:t xml:space="preserve">. </w:t>
      </w:r>
      <w:r>
        <w:rPr>
          <w:rFonts w:ascii="Times New Roman" w:hAnsi="Times New Roman" w:cs="Times New Roman"/>
          <w:sz w:val="24"/>
          <w:szCs w:val="24"/>
        </w:rPr>
        <w:t xml:space="preserve">The PPA Units are not in financial trouble.  In fact, according to AEP, they are all profitable.  The PPA Units are not necessary for reliability or fuel diversity.  The system is already reliable, with a healthy </w:t>
      </w:r>
      <w:r w:rsidR="007C21B1">
        <w:rPr>
          <w:rFonts w:ascii="Times New Roman" w:hAnsi="Times New Roman" w:cs="Times New Roman"/>
          <w:sz w:val="24"/>
          <w:szCs w:val="24"/>
        </w:rPr>
        <w:t xml:space="preserve">reserve </w:t>
      </w:r>
      <w:r>
        <w:rPr>
          <w:rFonts w:ascii="Times New Roman" w:hAnsi="Times New Roman" w:cs="Times New Roman"/>
          <w:sz w:val="24"/>
          <w:szCs w:val="24"/>
        </w:rPr>
        <w:t>margin above what is necessary, and the market is diversifying fuel sources on its own.  The environmental regulatory regime is so dynamic, and is in so much flux, that when it comes to the PPA Units’ environmental compliance there is only one certainty:  uncertainty.  And there is no reliable evidence before the PUCO regarding the effect on electricity prices were the PPA Units to close or the corresponding impact on Ohio’s economy.</w:t>
      </w:r>
      <w:r w:rsidR="00266070">
        <w:rPr>
          <w:rFonts w:ascii="Times New Roman" w:hAnsi="Times New Roman" w:cs="Times New Roman"/>
          <w:sz w:val="24"/>
          <w:szCs w:val="24"/>
        </w:rPr>
        <w:t xml:space="preserve">  Additionally, the Amended Application and the Modified Amended Application would have to be rejected because they would cause ESP III to fail the MRO v. ESP test.</w:t>
      </w:r>
    </w:p>
    <w:p w:rsidR="00374987" w:rsidRDefault="00374987" w:rsidP="0037498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Though the record is sufficient to deny AEP Ohio’s proposals, it is not sufficient to approve them.  Material evidence was excluded from the record based on </w:t>
      </w:r>
      <w:r w:rsidR="00BE1CE2">
        <w:rPr>
          <w:rFonts w:ascii="Times New Roman" w:hAnsi="Times New Roman" w:cs="Times New Roman"/>
          <w:sz w:val="24"/>
          <w:szCs w:val="24"/>
        </w:rPr>
        <w:t>inappropriate</w:t>
      </w:r>
      <w:r>
        <w:rPr>
          <w:rFonts w:ascii="Times New Roman" w:hAnsi="Times New Roman" w:cs="Times New Roman"/>
          <w:sz w:val="24"/>
          <w:szCs w:val="24"/>
        </w:rPr>
        <w:t xml:space="preserve"> rulings.  Such rulings </w:t>
      </w:r>
      <w:r w:rsidR="009A4D03">
        <w:rPr>
          <w:rFonts w:ascii="Times New Roman" w:hAnsi="Times New Roman" w:cs="Times New Roman"/>
          <w:sz w:val="24"/>
          <w:szCs w:val="24"/>
        </w:rPr>
        <w:t>w</w:t>
      </w:r>
      <w:r>
        <w:rPr>
          <w:rFonts w:ascii="Times New Roman" w:hAnsi="Times New Roman" w:cs="Times New Roman"/>
          <w:sz w:val="24"/>
          <w:szCs w:val="24"/>
        </w:rPr>
        <w:t>ould have far-reaching, prejudicial impacts.  The PUCO should reverse those ruling</w:t>
      </w:r>
      <w:r w:rsidR="004E4E11">
        <w:rPr>
          <w:rFonts w:ascii="Times New Roman" w:hAnsi="Times New Roman" w:cs="Times New Roman"/>
          <w:sz w:val="24"/>
          <w:szCs w:val="24"/>
        </w:rPr>
        <w:t>s</w:t>
      </w:r>
      <w:r>
        <w:rPr>
          <w:rFonts w:ascii="Times New Roman" w:hAnsi="Times New Roman" w:cs="Times New Roman"/>
          <w:sz w:val="24"/>
          <w:szCs w:val="24"/>
        </w:rPr>
        <w:t xml:space="preserve"> and re-open this matter so that it can reach a decision based on a full, complete, accurate record.</w:t>
      </w:r>
      <w:bookmarkStart w:id="3" w:name="_Toc435428191"/>
    </w:p>
    <w:p w:rsidR="00390AD5" w:rsidRDefault="00390AD5" w:rsidP="00390AD5">
      <w:pPr>
        <w:spacing w:after="0" w:line="240" w:lineRule="auto"/>
        <w:ind w:firstLine="720"/>
        <w:rPr>
          <w:rFonts w:ascii="Times New Roman" w:hAnsi="Times New Roman" w:cs="Times New Roman"/>
          <w:sz w:val="24"/>
          <w:szCs w:val="24"/>
        </w:rPr>
      </w:pPr>
    </w:p>
    <w:p w:rsidR="000322AF" w:rsidRDefault="000322AF">
      <w:pPr>
        <w:rPr>
          <w:rFonts w:ascii="Times New Roman Bold" w:eastAsiaTheme="majorEastAsia" w:hAnsi="Times New Roman Bold" w:cstheme="majorBidi"/>
          <w:b/>
          <w:bCs/>
          <w:caps/>
          <w:sz w:val="24"/>
          <w:szCs w:val="28"/>
        </w:rPr>
      </w:pPr>
      <w:r>
        <w:br w:type="page"/>
      </w:r>
    </w:p>
    <w:p w:rsidR="00C129FD" w:rsidRDefault="00390AD5" w:rsidP="001D77BB">
      <w:pPr>
        <w:pStyle w:val="Heading1"/>
      </w:pPr>
      <w:bookmarkStart w:id="4" w:name="_Toc442104124"/>
      <w:r>
        <w:t>I</w:t>
      </w:r>
      <w:r w:rsidR="00951324" w:rsidRPr="00374987">
        <w:t>II.</w:t>
      </w:r>
      <w:r w:rsidR="00951324" w:rsidRPr="00374987">
        <w:tab/>
      </w:r>
      <w:r w:rsidR="00EE4742" w:rsidRPr="00374987">
        <w:t>BACKGROUND</w:t>
      </w:r>
      <w:bookmarkEnd w:id="3"/>
      <w:bookmarkEnd w:id="4"/>
    </w:p>
    <w:p w:rsidR="00EF0935" w:rsidRPr="00EF0935" w:rsidRDefault="00EF0935" w:rsidP="00EF0935">
      <w:pPr>
        <w:spacing w:after="0" w:line="240" w:lineRule="auto"/>
      </w:pPr>
    </w:p>
    <w:p w:rsidR="00124FCE" w:rsidRPr="00951324" w:rsidRDefault="00951324" w:rsidP="00EF0935">
      <w:pPr>
        <w:pStyle w:val="Heading2"/>
        <w:spacing w:after="0"/>
      </w:pPr>
      <w:bookmarkStart w:id="5" w:name="_Toc435428192"/>
      <w:bookmarkStart w:id="6" w:name="_Toc442104125"/>
      <w:r>
        <w:t>A.</w:t>
      </w:r>
      <w:r>
        <w:tab/>
      </w:r>
      <w:r w:rsidR="00C84002">
        <w:t xml:space="preserve">The </w:t>
      </w:r>
      <w:r w:rsidR="00380F28">
        <w:t xml:space="preserve">Ohio </w:t>
      </w:r>
      <w:r w:rsidR="00D411DC">
        <w:t>G</w:t>
      </w:r>
      <w:r w:rsidR="00380F28">
        <w:t xml:space="preserve">eneral </w:t>
      </w:r>
      <w:r w:rsidR="00D411DC">
        <w:t>A</w:t>
      </w:r>
      <w:r w:rsidR="00380F28">
        <w:t xml:space="preserve">ssembly chose competition </w:t>
      </w:r>
      <w:r w:rsidR="00F23EE9">
        <w:t>to protect consumers</w:t>
      </w:r>
      <w:bookmarkEnd w:id="5"/>
      <w:r w:rsidR="00020AF0">
        <w:t>.</w:t>
      </w:r>
      <w:bookmarkEnd w:id="6"/>
    </w:p>
    <w:p w:rsidR="00EF0935" w:rsidRDefault="00EF0935" w:rsidP="00EF0935">
      <w:pPr>
        <w:autoSpaceDE w:val="0"/>
        <w:autoSpaceDN w:val="0"/>
        <w:adjustRightInd w:val="0"/>
        <w:spacing w:after="0" w:line="240" w:lineRule="auto"/>
        <w:ind w:firstLine="720"/>
        <w:rPr>
          <w:rFonts w:ascii="Times New Roman" w:hAnsi="Times New Roman" w:cs="Times New Roman"/>
          <w:color w:val="000000"/>
          <w:sz w:val="24"/>
          <w:szCs w:val="24"/>
        </w:rPr>
      </w:pPr>
    </w:p>
    <w:p w:rsidR="00C84002" w:rsidRDefault="00A6371D" w:rsidP="00390AD5">
      <w:pPr>
        <w:autoSpaceDE w:val="0"/>
        <w:autoSpaceDN w:val="0"/>
        <w:adjustRightInd w:val="0"/>
        <w:spacing w:after="0" w:line="480" w:lineRule="auto"/>
        <w:ind w:firstLine="720"/>
        <w:rPr>
          <w:rFonts w:ascii="Times New Roman" w:hAnsi="Times New Roman" w:cs="Times New Roman"/>
          <w:color w:val="000000"/>
          <w:sz w:val="24"/>
          <w:szCs w:val="24"/>
        </w:rPr>
      </w:pPr>
      <w:r w:rsidRPr="00A6371D">
        <w:rPr>
          <w:rFonts w:ascii="Times New Roman" w:hAnsi="Times New Roman" w:cs="Times New Roman"/>
          <w:color w:val="000000"/>
          <w:sz w:val="24"/>
          <w:szCs w:val="24"/>
        </w:rPr>
        <w:t xml:space="preserve">In </w:t>
      </w:r>
      <w:r w:rsidR="003F0FD5">
        <w:rPr>
          <w:rFonts w:ascii="Times New Roman" w:hAnsi="Times New Roman" w:cs="Times New Roman"/>
          <w:color w:val="000000"/>
          <w:sz w:val="24"/>
          <w:szCs w:val="24"/>
        </w:rPr>
        <w:t>Senate Bill 3 (“S.B. 3”)</w:t>
      </w:r>
      <w:r w:rsidRPr="00A6371D">
        <w:rPr>
          <w:rFonts w:ascii="Times New Roman" w:hAnsi="Times New Roman" w:cs="Times New Roman"/>
          <w:color w:val="000000"/>
          <w:sz w:val="24"/>
          <w:szCs w:val="24"/>
        </w:rPr>
        <w:t xml:space="preserve">, </w:t>
      </w:r>
      <w:r w:rsidR="00C84002">
        <w:rPr>
          <w:rFonts w:ascii="Times New Roman" w:hAnsi="Times New Roman" w:cs="Times New Roman"/>
          <w:color w:val="000000"/>
          <w:sz w:val="24"/>
          <w:szCs w:val="24"/>
        </w:rPr>
        <w:t xml:space="preserve">the </w:t>
      </w:r>
      <w:r w:rsidRPr="00A6371D">
        <w:rPr>
          <w:rFonts w:ascii="Times New Roman" w:hAnsi="Times New Roman" w:cs="Times New Roman"/>
          <w:color w:val="000000"/>
          <w:sz w:val="24"/>
          <w:szCs w:val="24"/>
        </w:rPr>
        <w:t xml:space="preserve">Ohio General Assembly adopted a comprehensive statutory </w:t>
      </w:r>
      <w:r w:rsidR="007C21B1">
        <w:rPr>
          <w:rFonts w:ascii="Times New Roman" w:hAnsi="Times New Roman" w:cs="Times New Roman"/>
          <w:color w:val="000000"/>
          <w:sz w:val="24"/>
          <w:szCs w:val="24"/>
        </w:rPr>
        <w:t>plan</w:t>
      </w:r>
      <w:r w:rsidRPr="00A6371D">
        <w:rPr>
          <w:rFonts w:ascii="Times New Roman" w:hAnsi="Times New Roman" w:cs="Times New Roman"/>
          <w:color w:val="000000"/>
          <w:sz w:val="24"/>
          <w:szCs w:val="24"/>
        </w:rPr>
        <w:t xml:space="preserve"> to facilitate and encourage competition in the retail electric market</w:t>
      </w:r>
      <w:r w:rsidR="00F23EE9">
        <w:rPr>
          <w:rFonts w:ascii="Times New Roman" w:hAnsi="Times New Roman" w:cs="Times New Roman"/>
          <w:color w:val="000000"/>
          <w:sz w:val="24"/>
          <w:szCs w:val="24"/>
        </w:rPr>
        <w:t xml:space="preserve"> as a means to protect consumers from increasing electric rates</w:t>
      </w:r>
      <w:r w:rsidRPr="00A6371D">
        <w:rPr>
          <w:rFonts w:ascii="Times New Roman" w:hAnsi="Times New Roman" w:cs="Times New Roman"/>
          <w:color w:val="000000"/>
          <w:sz w:val="24"/>
          <w:szCs w:val="24"/>
        </w:rPr>
        <w:t>.</w:t>
      </w:r>
      <w:r w:rsidRPr="00A6371D">
        <w:rPr>
          <w:rStyle w:val="FootnoteReference"/>
          <w:rFonts w:ascii="Times New Roman" w:hAnsi="Times New Roman" w:cs="Times New Roman"/>
          <w:color w:val="000000"/>
          <w:sz w:val="24"/>
          <w:szCs w:val="24"/>
        </w:rPr>
        <w:footnoteReference w:id="7"/>
      </w:r>
      <w:r w:rsidRPr="00A6371D">
        <w:rPr>
          <w:rFonts w:ascii="Times New Roman" w:hAnsi="Times New Roman" w:cs="Times New Roman"/>
          <w:color w:val="000000"/>
          <w:sz w:val="24"/>
          <w:szCs w:val="24"/>
        </w:rPr>
        <w:t xml:space="preserve">  It also recognized that things could change as competition matured.  </w:t>
      </w:r>
    </w:p>
    <w:p w:rsidR="00A6371D" w:rsidRPr="00A6371D" w:rsidRDefault="00A6371D" w:rsidP="00390AD5">
      <w:pPr>
        <w:autoSpaceDE w:val="0"/>
        <w:autoSpaceDN w:val="0"/>
        <w:adjustRightInd w:val="0"/>
        <w:spacing w:after="0" w:line="480" w:lineRule="auto"/>
        <w:ind w:firstLine="720"/>
        <w:rPr>
          <w:rFonts w:ascii="Times New Roman" w:hAnsi="Times New Roman" w:cs="Times New Roman"/>
          <w:color w:val="000000"/>
          <w:sz w:val="24"/>
          <w:szCs w:val="24"/>
        </w:rPr>
      </w:pPr>
      <w:r w:rsidRPr="00A6371D">
        <w:rPr>
          <w:rFonts w:ascii="Times New Roman" w:hAnsi="Times New Roman" w:cs="Times New Roman"/>
          <w:color w:val="000000"/>
          <w:sz w:val="24"/>
          <w:szCs w:val="24"/>
        </w:rPr>
        <w:t>As competition evolved, the Ohio Supreme Court noted that things were not proceeding as expected.</w:t>
      </w:r>
      <w:r w:rsidRPr="00A6371D">
        <w:rPr>
          <w:rStyle w:val="FootnoteReference"/>
          <w:rFonts w:ascii="Times New Roman" w:hAnsi="Times New Roman" w:cs="Times New Roman"/>
          <w:color w:val="000000"/>
          <w:sz w:val="24"/>
          <w:szCs w:val="24"/>
        </w:rPr>
        <w:footnoteReference w:id="8"/>
      </w:r>
      <w:r w:rsidRPr="00A6371D">
        <w:rPr>
          <w:rFonts w:ascii="Times New Roman" w:hAnsi="Times New Roman" w:cs="Times New Roman"/>
          <w:color w:val="000000"/>
          <w:sz w:val="24"/>
          <w:szCs w:val="24"/>
        </w:rPr>
        <w:t xml:space="preserve"> </w:t>
      </w:r>
      <w:r w:rsidR="00211CAA">
        <w:rPr>
          <w:rFonts w:ascii="Times New Roman" w:hAnsi="Times New Roman" w:cs="Times New Roman"/>
          <w:color w:val="000000"/>
          <w:sz w:val="24"/>
          <w:szCs w:val="24"/>
        </w:rPr>
        <w:t xml:space="preserve"> </w:t>
      </w:r>
      <w:r w:rsidRPr="00A6371D">
        <w:rPr>
          <w:rFonts w:ascii="Times New Roman" w:hAnsi="Times New Roman" w:cs="Times New Roman"/>
          <w:color w:val="000000"/>
          <w:sz w:val="24"/>
          <w:szCs w:val="24"/>
        </w:rPr>
        <w:t>The PUCO and utilities responded with rate plans not expressly contemplated by statute.</w:t>
      </w:r>
      <w:r w:rsidRPr="00A6371D">
        <w:rPr>
          <w:rStyle w:val="FootnoteReference"/>
          <w:rFonts w:ascii="Times New Roman" w:hAnsi="Times New Roman" w:cs="Times New Roman"/>
          <w:color w:val="000000"/>
          <w:sz w:val="24"/>
          <w:szCs w:val="24"/>
        </w:rPr>
        <w:footnoteReference w:id="9"/>
      </w:r>
      <w:r w:rsidRPr="00A6371D">
        <w:rPr>
          <w:rFonts w:ascii="Times New Roman" w:hAnsi="Times New Roman" w:cs="Times New Roman"/>
          <w:color w:val="000000"/>
          <w:sz w:val="24"/>
          <w:szCs w:val="24"/>
        </w:rPr>
        <w:t xml:space="preserve">  Having to review such plans, the Ohio Supreme Court acknowledged the primary role the Ohio General Assembly had to play (and intended to play) in connection with S.B. 3, and asserted that additional legislative action might be required.</w:t>
      </w:r>
      <w:r w:rsidRPr="00A6371D">
        <w:rPr>
          <w:rStyle w:val="FootnoteReference"/>
          <w:rFonts w:ascii="Times New Roman" w:hAnsi="Times New Roman" w:cs="Times New Roman"/>
          <w:color w:val="000000"/>
          <w:sz w:val="24"/>
          <w:szCs w:val="24"/>
        </w:rPr>
        <w:footnoteReference w:id="10"/>
      </w:r>
      <w:r w:rsidRPr="00A6371D">
        <w:rPr>
          <w:rFonts w:ascii="Times New Roman" w:hAnsi="Times New Roman" w:cs="Times New Roman"/>
          <w:color w:val="000000"/>
          <w:sz w:val="24"/>
          <w:szCs w:val="24"/>
        </w:rPr>
        <w:t xml:space="preserve">  </w:t>
      </w:r>
    </w:p>
    <w:p w:rsidR="003F0FD5" w:rsidRPr="003F0FD5" w:rsidRDefault="00A6371D" w:rsidP="00390AD5">
      <w:pPr>
        <w:autoSpaceDE w:val="0"/>
        <w:autoSpaceDN w:val="0"/>
        <w:adjustRightInd w:val="0"/>
        <w:spacing w:after="0" w:line="480" w:lineRule="auto"/>
        <w:ind w:firstLine="720"/>
        <w:rPr>
          <w:rFonts w:ascii="Times New Roman" w:hAnsi="Times New Roman" w:cs="Times New Roman"/>
          <w:color w:val="000000"/>
          <w:sz w:val="24"/>
          <w:szCs w:val="24"/>
        </w:rPr>
      </w:pPr>
      <w:r w:rsidRPr="00A6371D">
        <w:rPr>
          <w:rFonts w:ascii="Times New Roman" w:hAnsi="Times New Roman" w:cs="Times New Roman"/>
          <w:color w:val="000000"/>
          <w:sz w:val="24"/>
          <w:szCs w:val="24"/>
        </w:rPr>
        <w:t xml:space="preserve">Affirming its intended role in making any adjustments to S.B. 3, the General Assembly responded with </w:t>
      </w:r>
      <w:r w:rsidR="003F0FD5">
        <w:rPr>
          <w:rFonts w:ascii="Times New Roman" w:hAnsi="Times New Roman" w:cs="Times New Roman"/>
          <w:color w:val="000000"/>
          <w:sz w:val="24"/>
          <w:szCs w:val="24"/>
        </w:rPr>
        <w:t>Senate Bill 221 (“S.B. 221”)</w:t>
      </w:r>
      <w:r w:rsidRPr="00A6371D">
        <w:rPr>
          <w:rFonts w:ascii="Times New Roman" w:hAnsi="Times New Roman" w:cs="Times New Roman"/>
          <w:color w:val="000000"/>
          <w:sz w:val="24"/>
          <w:szCs w:val="24"/>
        </w:rPr>
        <w:t>.  Broadly speaking, it required electric distribution utilities to provide consumers with a standard service offer</w:t>
      </w:r>
      <w:r w:rsidR="003F0FD5">
        <w:rPr>
          <w:rFonts w:ascii="Times New Roman" w:hAnsi="Times New Roman" w:cs="Times New Roman"/>
          <w:color w:val="000000"/>
          <w:sz w:val="24"/>
          <w:szCs w:val="24"/>
        </w:rPr>
        <w:t xml:space="preserve"> (“SSO”)</w:t>
      </w:r>
      <w:r w:rsidRPr="00A6371D">
        <w:rPr>
          <w:rFonts w:ascii="Times New Roman" w:hAnsi="Times New Roman" w:cs="Times New Roman"/>
          <w:color w:val="000000"/>
          <w:sz w:val="24"/>
          <w:szCs w:val="24"/>
        </w:rPr>
        <w:t>.</w:t>
      </w:r>
      <w:r w:rsidRPr="00A6371D">
        <w:rPr>
          <w:rStyle w:val="FootnoteReference"/>
          <w:rFonts w:ascii="Times New Roman" w:hAnsi="Times New Roman" w:cs="Times New Roman"/>
          <w:color w:val="000000"/>
          <w:sz w:val="24"/>
          <w:szCs w:val="24"/>
        </w:rPr>
        <w:footnoteReference w:id="11"/>
      </w:r>
      <w:r w:rsidRPr="00A6371D">
        <w:rPr>
          <w:rFonts w:ascii="Times New Roman" w:hAnsi="Times New Roman" w:cs="Times New Roman"/>
          <w:color w:val="000000"/>
          <w:sz w:val="24"/>
          <w:szCs w:val="24"/>
        </w:rPr>
        <w:t xml:space="preserve">  The Ohio General Assembly adhered to its belief in competition with S.B. 221 and provided that electric distribution utilities had to fulfill this requirement with a market rate offer</w:t>
      </w:r>
      <w:r w:rsidR="003F0FD5">
        <w:rPr>
          <w:rFonts w:ascii="Times New Roman" w:hAnsi="Times New Roman" w:cs="Times New Roman"/>
          <w:color w:val="000000"/>
          <w:sz w:val="24"/>
          <w:szCs w:val="24"/>
        </w:rPr>
        <w:t xml:space="preserve"> (“MRO”)</w:t>
      </w:r>
      <w:r w:rsidRPr="00A6371D">
        <w:rPr>
          <w:rStyle w:val="FootnoteReference"/>
          <w:rFonts w:ascii="Times New Roman" w:hAnsi="Times New Roman" w:cs="Times New Roman"/>
          <w:color w:val="000000"/>
          <w:sz w:val="24"/>
          <w:szCs w:val="24"/>
        </w:rPr>
        <w:footnoteReference w:id="12"/>
      </w:r>
      <w:r w:rsidRPr="00A6371D">
        <w:rPr>
          <w:rFonts w:ascii="Times New Roman" w:hAnsi="Times New Roman" w:cs="Times New Roman"/>
          <w:color w:val="000000"/>
          <w:sz w:val="24"/>
          <w:szCs w:val="24"/>
        </w:rPr>
        <w:t xml:space="preserve"> unless they could show that an electric security plan</w:t>
      </w:r>
      <w:r w:rsidR="003F0FD5">
        <w:rPr>
          <w:rFonts w:ascii="Times New Roman" w:hAnsi="Times New Roman" w:cs="Times New Roman"/>
          <w:color w:val="000000"/>
          <w:sz w:val="24"/>
          <w:szCs w:val="24"/>
        </w:rPr>
        <w:t xml:space="preserve"> (“ESP”)</w:t>
      </w:r>
      <w:r w:rsidRPr="00A6371D">
        <w:rPr>
          <w:rStyle w:val="FootnoteReference"/>
          <w:rFonts w:ascii="Times New Roman" w:hAnsi="Times New Roman" w:cs="Times New Roman"/>
          <w:color w:val="000000"/>
          <w:sz w:val="24"/>
          <w:szCs w:val="24"/>
        </w:rPr>
        <w:footnoteReference w:id="13"/>
      </w:r>
      <w:r w:rsidRPr="00A6371D">
        <w:rPr>
          <w:rFonts w:ascii="Times New Roman" w:hAnsi="Times New Roman" w:cs="Times New Roman"/>
          <w:color w:val="000000"/>
          <w:sz w:val="24"/>
          <w:szCs w:val="24"/>
        </w:rPr>
        <w:t xml:space="preserve"> is more favorable in the aggregate than a market rate offer.</w:t>
      </w:r>
      <w:r w:rsidRPr="00A6371D">
        <w:rPr>
          <w:rStyle w:val="FootnoteReference"/>
          <w:rFonts w:ascii="Times New Roman" w:hAnsi="Times New Roman" w:cs="Times New Roman"/>
          <w:color w:val="000000"/>
          <w:sz w:val="24"/>
          <w:szCs w:val="24"/>
        </w:rPr>
        <w:footnoteReference w:id="14"/>
      </w:r>
    </w:p>
    <w:p w:rsidR="00A6371D" w:rsidRPr="00D411DC" w:rsidRDefault="00D411DC" w:rsidP="00390AD5">
      <w:pPr>
        <w:pStyle w:val="Heading2"/>
      </w:pPr>
      <w:bookmarkStart w:id="7" w:name="_Toc435428193"/>
      <w:bookmarkStart w:id="8" w:name="_Toc442104126"/>
      <w:r w:rsidRPr="00D411DC">
        <w:t>B.</w:t>
      </w:r>
      <w:r w:rsidRPr="00D411DC">
        <w:tab/>
      </w:r>
      <w:r w:rsidR="004E6BD9" w:rsidRPr="00D411DC">
        <w:t xml:space="preserve">The PUCO </w:t>
      </w:r>
      <w:r>
        <w:t>d</w:t>
      </w:r>
      <w:r w:rsidR="004E6BD9" w:rsidRPr="00D411DC">
        <w:t>enie</w:t>
      </w:r>
      <w:r w:rsidR="00F23EE9">
        <w:t>d</w:t>
      </w:r>
      <w:r w:rsidR="004E6BD9" w:rsidRPr="00D411DC">
        <w:t xml:space="preserve"> AEP Ohio’s </w:t>
      </w:r>
      <w:r>
        <w:t>i</w:t>
      </w:r>
      <w:r w:rsidR="004E6BD9" w:rsidRPr="00D411DC">
        <w:t xml:space="preserve">nitial </w:t>
      </w:r>
      <w:r>
        <w:t>r</w:t>
      </w:r>
      <w:r w:rsidR="004E6BD9" w:rsidRPr="00D411DC">
        <w:t xml:space="preserve">equest </w:t>
      </w:r>
      <w:r>
        <w:t>f</w:t>
      </w:r>
      <w:r w:rsidR="004E6BD9" w:rsidRPr="00D411DC">
        <w:t xml:space="preserve">or </w:t>
      </w:r>
      <w:r>
        <w:t>a</w:t>
      </w:r>
      <w:r w:rsidR="004E6BD9" w:rsidRPr="00D411DC">
        <w:t xml:space="preserve"> PPA Rider</w:t>
      </w:r>
      <w:bookmarkEnd w:id="7"/>
      <w:r w:rsidR="00F23EE9">
        <w:t xml:space="preserve"> because it was </w:t>
      </w:r>
      <w:r w:rsidR="00D54234">
        <w:t>uncertain if the PPA Rider would</w:t>
      </w:r>
      <w:r w:rsidR="00F23EE9">
        <w:t xml:space="preserve"> provide</w:t>
      </w:r>
      <w:r w:rsidR="00C44A78">
        <w:t xml:space="preserve"> </w:t>
      </w:r>
      <w:r w:rsidR="00F23EE9">
        <w:t>consumer benefits</w:t>
      </w:r>
      <w:r w:rsidR="00C44A78">
        <w:t xml:space="preserve"> commensurate with potential costs</w:t>
      </w:r>
      <w:r w:rsidR="00020AF0">
        <w:t>.</w:t>
      </w:r>
      <w:bookmarkEnd w:id="8"/>
    </w:p>
    <w:p w:rsidR="009F68B6" w:rsidRDefault="004E6BD9" w:rsidP="00A574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AEP Ohio first sought authority for a PPA Rider in its ESP III Application.</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Initially, the PPA Rider was based solely on AEP Ohio’s </w:t>
      </w:r>
      <w:r w:rsidR="003F0FD5">
        <w:rPr>
          <w:rFonts w:ascii="Times New Roman" w:hAnsi="Times New Roman" w:cs="Times New Roman"/>
          <w:sz w:val="24"/>
          <w:szCs w:val="24"/>
        </w:rPr>
        <w:t>Ohio Valley Electric Corporation (“OVEC”)</w:t>
      </w:r>
      <w:r>
        <w:rPr>
          <w:rFonts w:ascii="Times New Roman" w:hAnsi="Times New Roman" w:cs="Times New Roman"/>
          <w:sz w:val="24"/>
          <w:szCs w:val="24"/>
        </w:rPr>
        <w:t xml:space="preserve"> contractual entitlement from the Kyger Creek and Clifty Creek generating stations.</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Foreshadowing things to come, AEP Ohio reserved the right to include additional PPAs in the PPA Rider.</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As proposed in the ESP III case, AEP Ohio’s OVEC contractual entitlement, including energy, capacity, and ancillary services, would be sold into the PJM Interconnection, LLC (“PJM”) market</w:t>
      </w:r>
      <w:r w:rsidR="00D411DC">
        <w:rPr>
          <w:rFonts w:ascii="Times New Roman" w:hAnsi="Times New Roman" w:cs="Times New Roman"/>
          <w:sz w:val="24"/>
          <w:szCs w:val="24"/>
        </w:rPr>
        <w:t>s</w:t>
      </w:r>
      <w:r w:rsidR="009F68B6">
        <w:rPr>
          <w:rFonts w:ascii="Times New Roman" w:hAnsi="Times New Roman" w:cs="Times New Roman"/>
          <w:sz w:val="24"/>
          <w:szCs w:val="24"/>
        </w:rPr>
        <w:t xml:space="preserve">. </w:t>
      </w:r>
      <w:r>
        <w:rPr>
          <w:rFonts w:ascii="Times New Roman" w:hAnsi="Times New Roman" w:cs="Times New Roman"/>
          <w:sz w:val="24"/>
          <w:szCs w:val="24"/>
        </w:rPr>
        <w:t xml:space="preserve"> </w:t>
      </w:r>
      <w:r w:rsidR="009F68B6">
        <w:rPr>
          <w:rFonts w:ascii="Times New Roman" w:hAnsi="Times New Roman" w:cs="Times New Roman"/>
          <w:sz w:val="24"/>
          <w:szCs w:val="24"/>
        </w:rPr>
        <w:t>A</w:t>
      </w:r>
      <w:r>
        <w:rPr>
          <w:rFonts w:ascii="Times New Roman" w:hAnsi="Times New Roman" w:cs="Times New Roman"/>
          <w:sz w:val="24"/>
          <w:szCs w:val="24"/>
        </w:rPr>
        <w:t>nd, after deducting all associated costs from the revenues, the proceeds from the OVEC contractual entitlement</w:t>
      </w:r>
      <w:r w:rsidR="003F0FD5">
        <w:rPr>
          <w:rFonts w:ascii="Times New Roman" w:hAnsi="Times New Roman" w:cs="Times New Roman"/>
          <w:sz w:val="24"/>
          <w:szCs w:val="24"/>
        </w:rPr>
        <w:t>, whether a credit or a debit, w</w:t>
      </w:r>
      <w:r>
        <w:rPr>
          <w:rFonts w:ascii="Times New Roman" w:hAnsi="Times New Roman" w:cs="Times New Roman"/>
          <w:sz w:val="24"/>
          <w:szCs w:val="24"/>
        </w:rPr>
        <w:t xml:space="preserve">ould accrue to Ohio </w:t>
      </w:r>
      <w:r w:rsidR="008C54B4">
        <w:rPr>
          <w:rFonts w:ascii="Times New Roman" w:hAnsi="Times New Roman" w:cs="Times New Roman"/>
          <w:sz w:val="24"/>
          <w:szCs w:val="24"/>
        </w:rPr>
        <w:t>consumers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r w:rsidR="007E1B6E">
        <w:rPr>
          <w:rFonts w:ascii="Times New Roman" w:hAnsi="Times New Roman" w:cs="Times New Roman"/>
          <w:sz w:val="24"/>
          <w:szCs w:val="24"/>
        </w:rPr>
        <w:t xml:space="preserve">  </w:t>
      </w:r>
    </w:p>
    <w:p w:rsidR="004E6BD9" w:rsidRDefault="007E1B6E" w:rsidP="00A574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AEP Ohio asserted that the PPA Rider </w:t>
      </w:r>
      <w:r w:rsidR="007C21B1">
        <w:rPr>
          <w:rFonts w:ascii="Times New Roman" w:hAnsi="Times New Roman" w:cs="Times New Roman"/>
          <w:sz w:val="24"/>
          <w:szCs w:val="24"/>
        </w:rPr>
        <w:t xml:space="preserve">rates </w:t>
      </w:r>
      <w:r>
        <w:rPr>
          <w:rFonts w:ascii="Times New Roman" w:hAnsi="Times New Roman" w:cs="Times New Roman"/>
          <w:sz w:val="24"/>
          <w:szCs w:val="24"/>
        </w:rPr>
        <w:t>would rise and fall in a manner that is counter-cyclical to market</w:t>
      </w:r>
      <w:r w:rsidR="007C21B1">
        <w:rPr>
          <w:rFonts w:ascii="Times New Roman" w:hAnsi="Times New Roman" w:cs="Times New Roman"/>
          <w:sz w:val="24"/>
          <w:szCs w:val="24"/>
        </w:rPr>
        <w:t xml:space="preserve"> prices</w:t>
      </w:r>
      <w:r>
        <w:rPr>
          <w:rFonts w:ascii="Times New Roman" w:hAnsi="Times New Roman" w:cs="Times New Roman"/>
          <w:sz w:val="24"/>
          <w:szCs w:val="24"/>
        </w:rPr>
        <w:t xml:space="preserve">, thereby creating a hedging effect for </w:t>
      </w:r>
      <w:r w:rsidR="008C54B4">
        <w:rPr>
          <w:rFonts w:ascii="Times New Roman" w:hAnsi="Times New Roman" w:cs="Times New Roman"/>
          <w:sz w:val="24"/>
          <w:szCs w:val="24"/>
        </w:rPr>
        <w:t>consumers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r w:rsidR="00A148A8">
        <w:rPr>
          <w:rFonts w:ascii="Times New Roman" w:hAnsi="Times New Roman" w:cs="Times New Roman"/>
          <w:sz w:val="24"/>
          <w:szCs w:val="24"/>
        </w:rPr>
        <w:t xml:space="preserve">  AEP Ohio’s estimated rate impact of the PPA Rider varied drastically.  Its President estimated that the PPA Rider would cost ratepayers $52 million over the course of the three-year ESP.</w:t>
      </w:r>
      <w:r w:rsidR="00A148A8">
        <w:rPr>
          <w:rStyle w:val="FootnoteReference"/>
          <w:rFonts w:ascii="Times New Roman" w:hAnsi="Times New Roman" w:cs="Times New Roman"/>
          <w:sz w:val="24"/>
          <w:szCs w:val="24"/>
        </w:rPr>
        <w:footnoteReference w:id="20"/>
      </w:r>
      <w:r w:rsidR="00A148A8">
        <w:rPr>
          <w:rFonts w:ascii="Times New Roman" w:hAnsi="Times New Roman" w:cs="Times New Roman"/>
          <w:sz w:val="24"/>
          <w:szCs w:val="24"/>
        </w:rPr>
        <w:t xml:space="preserve">  Another AEP Ohio witness testified </w:t>
      </w:r>
      <w:r w:rsidR="00607DD4">
        <w:rPr>
          <w:rFonts w:ascii="Times New Roman" w:hAnsi="Times New Roman" w:cs="Times New Roman"/>
          <w:sz w:val="24"/>
          <w:szCs w:val="24"/>
        </w:rPr>
        <w:t xml:space="preserve">that </w:t>
      </w:r>
      <w:r w:rsidR="00A148A8">
        <w:rPr>
          <w:rFonts w:ascii="Times New Roman" w:hAnsi="Times New Roman" w:cs="Times New Roman"/>
          <w:sz w:val="24"/>
          <w:szCs w:val="24"/>
        </w:rPr>
        <w:t xml:space="preserve">the PPA Rider would result in </w:t>
      </w:r>
      <w:r w:rsidR="00031DA4">
        <w:rPr>
          <w:rFonts w:ascii="Times New Roman" w:hAnsi="Times New Roman" w:cs="Times New Roman"/>
          <w:sz w:val="24"/>
          <w:szCs w:val="24"/>
        </w:rPr>
        <w:t>an</w:t>
      </w:r>
      <w:r w:rsidR="00A148A8">
        <w:rPr>
          <w:rFonts w:ascii="Times New Roman" w:hAnsi="Times New Roman" w:cs="Times New Roman"/>
          <w:sz w:val="24"/>
          <w:szCs w:val="24"/>
        </w:rPr>
        <w:t xml:space="preserve"> $8.4 million benefit to ratepayers over the three-year ESP.</w:t>
      </w:r>
      <w:r w:rsidR="00A148A8">
        <w:rPr>
          <w:rStyle w:val="FootnoteReference"/>
          <w:rFonts w:ascii="Times New Roman" w:hAnsi="Times New Roman" w:cs="Times New Roman"/>
          <w:sz w:val="24"/>
          <w:szCs w:val="24"/>
        </w:rPr>
        <w:footnoteReference w:id="21"/>
      </w:r>
      <w:r w:rsidR="001136B4">
        <w:rPr>
          <w:rFonts w:ascii="Times New Roman" w:hAnsi="Times New Roman" w:cs="Times New Roman"/>
          <w:sz w:val="24"/>
          <w:szCs w:val="24"/>
        </w:rPr>
        <w:t xml:space="preserve"> </w:t>
      </w:r>
    </w:p>
    <w:p w:rsidR="00D411DC" w:rsidRDefault="00A148A8" w:rsidP="00A574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All but one of the multitude</w:t>
      </w:r>
      <w:r w:rsidR="0085172B">
        <w:rPr>
          <w:rFonts w:ascii="Times New Roman" w:hAnsi="Times New Roman" w:cs="Times New Roman"/>
          <w:sz w:val="24"/>
          <w:szCs w:val="24"/>
        </w:rPr>
        <w:t>s</w:t>
      </w:r>
      <w:r>
        <w:rPr>
          <w:rFonts w:ascii="Times New Roman" w:hAnsi="Times New Roman" w:cs="Times New Roman"/>
          <w:sz w:val="24"/>
          <w:szCs w:val="24"/>
        </w:rPr>
        <w:t xml:space="preserve"> of Intervenors opposed the PPA Rider.</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Staff asserted that the PPA Rider </w:t>
      </w:r>
      <w:r w:rsidR="004E4E11">
        <w:rPr>
          <w:rFonts w:ascii="Times New Roman" w:hAnsi="Times New Roman" w:cs="Times New Roman"/>
          <w:sz w:val="24"/>
          <w:szCs w:val="24"/>
        </w:rPr>
        <w:t>was</w:t>
      </w:r>
      <w:r>
        <w:rPr>
          <w:rFonts w:ascii="Times New Roman" w:hAnsi="Times New Roman" w:cs="Times New Roman"/>
          <w:sz w:val="24"/>
          <w:szCs w:val="24"/>
        </w:rPr>
        <w:t xml:space="preserve"> a step backwards in the PUCO’s goal to transition to a fully competitive market with market based pricing.</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Further, Staff asserted that PUCO oversight of the PPA Rider would be severely limited, if not non-exist</w:t>
      </w:r>
      <w:r w:rsidR="003F0FD5">
        <w:rPr>
          <w:rFonts w:ascii="Times New Roman" w:hAnsi="Times New Roman" w:cs="Times New Roman"/>
          <w:sz w:val="24"/>
          <w:szCs w:val="24"/>
        </w:rPr>
        <w:t xml:space="preserve">ent, </w:t>
      </w:r>
      <w:r w:rsidR="007C21B1">
        <w:rPr>
          <w:rFonts w:ascii="Times New Roman" w:hAnsi="Times New Roman" w:cs="Times New Roman"/>
          <w:sz w:val="24"/>
          <w:szCs w:val="24"/>
        </w:rPr>
        <w:t>because</w:t>
      </w:r>
      <w:r w:rsidR="003F0FD5">
        <w:rPr>
          <w:rFonts w:ascii="Times New Roman" w:hAnsi="Times New Roman" w:cs="Times New Roman"/>
          <w:sz w:val="24"/>
          <w:szCs w:val="24"/>
        </w:rPr>
        <w:t xml:space="preserve"> the underlying PPA would be</w:t>
      </w:r>
      <w:r>
        <w:rPr>
          <w:rFonts w:ascii="Times New Roman" w:hAnsi="Times New Roman" w:cs="Times New Roman"/>
          <w:sz w:val="24"/>
          <w:szCs w:val="24"/>
        </w:rPr>
        <w:t xml:space="preserve"> subject to </w:t>
      </w:r>
      <w:r w:rsidR="003F0FD5">
        <w:rPr>
          <w:rFonts w:ascii="Times New Roman" w:hAnsi="Times New Roman" w:cs="Times New Roman"/>
          <w:sz w:val="24"/>
          <w:szCs w:val="24"/>
        </w:rPr>
        <w:t>Federal Energy Regulatory Commission (“FERC”)</w:t>
      </w:r>
      <w:r>
        <w:rPr>
          <w:rFonts w:ascii="Times New Roman" w:hAnsi="Times New Roman" w:cs="Times New Roman"/>
          <w:sz w:val="24"/>
          <w:szCs w:val="24"/>
        </w:rPr>
        <w:t xml:space="preserve"> jurisdiction and not the PUCO’s jurisdiction.</w:t>
      </w:r>
      <w:r>
        <w:rPr>
          <w:rStyle w:val="FootnoteReference"/>
          <w:rFonts w:ascii="Times New Roman" w:hAnsi="Times New Roman" w:cs="Times New Roman"/>
          <w:sz w:val="24"/>
          <w:szCs w:val="24"/>
        </w:rPr>
        <w:footnoteReference w:id="24"/>
      </w:r>
      <w:r w:rsidR="001E1562">
        <w:rPr>
          <w:rFonts w:ascii="Times New Roman" w:hAnsi="Times New Roman" w:cs="Times New Roman"/>
          <w:sz w:val="24"/>
          <w:szCs w:val="24"/>
        </w:rPr>
        <w:t xml:space="preserve">  </w:t>
      </w:r>
      <w:r w:rsidR="00A7374B">
        <w:rPr>
          <w:rFonts w:ascii="Times New Roman" w:hAnsi="Times New Roman" w:cs="Times New Roman"/>
          <w:sz w:val="24"/>
          <w:szCs w:val="24"/>
        </w:rPr>
        <w:t>In fact, it was argued that the PPA mechanism was preempted by the Federal Power Act</w:t>
      </w:r>
      <w:r w:rsidR="00607DD4">
        <w:rPr>
          <w:rFonts w:ascii="Times New Roman" w:hAnsi="Times New Roman" w:cs="Times New Roman"/>
          <w:sz w:val="24"/>
          <w:szCs w:val="24"/>
        </w:rPr>
        <w:t xml:space="preserve"> (“FPA”)</w:t>
      </w:r>
      <w:r w:rsidR="00A7374B">
        <w:rPr>
          <w:rFonts w:ascii="Times New Roman" w:hAnsi="Times New Roman" w:cs="Times New Roman"/>
          <w:sz w:val="24"/>
          <w:szCs w:val="24"/>
        </w:rPr>
        <w:t>.</w:t>
      </w:r>
      <w:r w:rsidR="00A7374B">
        <w:rPr>
          <w:rStyle w:val="FootnoteReference"/>
          <w:rFonts w:ascii="Times New Roman" w:hAnsi="Times New Roman" w:cs="Times New Roman"/>
          <w:sz w:val="24"/>
          <w:szCs w:val="24"/>
        </w:rPr>
        <w:footnoteReference w:id="25"/>
      </w:r>
      <w:r w:rsidR="00A7374B">
        <w:rPr>
          <w:rFonts w:ascii="Times New Roman" w:hAnsi="Times New Roman" w:cs="Times New Roman"/>
          <w:sz w:val="24"/>
          <w:szCs w:val="24"/>
        </w:rPr>
        <w:t xml:space="preserve">  </w:t>
      </w:r>
    </w:p>
    <w:p w:rsidR="00A148A8" w:rsidRDefault="001E1562" w:rsidP="00A574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Staff also asserted that the costs for running OVEC, and thus the costs of the PPA Rider, could substantially increase as a result of, among other things, environmental regulations.</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Consistent with the estimate of AEP Ohio’s President, various Intervenors estimated that the PPA Rider would result in large costs to customers – from $82 million to $116 million.</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Beyond just the negative rate impact of such costs, several Intervenors asserted that allowing AEP Ohio to recover such costs through the PPA Rider would constitute an anticompetitive subsidy, particularly given that AEP Ohio’s customers would be ensuring recovery of the cost of generation with a return on and of AEP Ohio’s investment in OVEC.</w:t>
      </w:r>
      <w:r>
        <w:rPr>
          <w:rStyle w:val="FootnoteReference"/>
          <w:rFonts w:ascii="Times New Roman" w:hAnsi="Times New Roman" w:cs="Times New Roman"/>
          <w:sz w:val="24"/>
          <w:szCs w:val="24"/>
        </w:rPr>
        <w:footnoteReference w:id="28"/>
      </w:r>
      <w:r w:rsidR="00E91D6B">
        <w:rPr>
          <w:rFonts w:ascii="Times New Roman" w:hAnsi="Times New Roman" w:cs="Times New Roman"/>
          <w:sz w:val="24"/>
          <w:szCs w:val="24"/>
        </w:rPr>
        <w:t xml:space="preserve">  Stated generally, Intervenors characterized AEP Ohio’s PPA Rider proposal as a</w:t>
      </w:r>
      <w:r w:rsidR="00C44A78">
        <w:rPr>
          <w:rFonts w:ascii="Times New Roman" w:hAnsi="Times New Roman" w:cs="Times New Roman"/>
          <w:sz w:val="24"/>
          <w:szCs w:val="24"/>
        </w:rPr>
        <w:t xml:space="preserve"> bailout paid for through</w:t>
      </w:r>
      <w:r w:rsidR="00E91D6B">
        <w:rPr>
          <w:rFonts w:ascii="Times New Roman" w:hAnsi="Times New Roman" w:cs="Times New Roman"/>
          <w:sz w:val="24"/>
          <w:szCs w:val="24"/>
        </w:rPr>
        <w:t xml:space="preserve"> customers’ electric bills for aging coal plants and</w:t>
      </w:r>
      <w:r w:rsidR="00C44A78">
        <w:rPr>
          <w:rFonts w:ascii="Times New Roman" w:hAnsi="Times New Roman" w:cs="Times New Roman"/>
          <w:sz w:val="24"/>
          <w:szCs w:val="24"/>
        </w:rPr>
        <w:t xml:space="preserve"> a means</w:t>
      </w:r>
      <w:r w:rsidR="00E91D6B">
        <w:rPr>
          <w:rFonts w:ascii="Times New Roman" w:hAnsi="Times New Roman" w:cs="Times New Roman"/>
          <w:sz w:val="24"/>
          <w:szCs w:val="24"/>
        </w:rPr>
        <w:t xml:space="preserve"> to insulate shareholders from the risks of the competitive market, costs of future carbon restraints, and </w:t>
      </w:r>
      <w:r w:rsidR="007C21B1">
        <w:rPr>
          <w:rFonts w:ascii="Times New Roman" w:hAnsi="Times New Roman" w:cs="Times New Roman"/>
          <w:sz w:val="24"/>
          <w:szCs w:val="24"/>
        </w:rPr>
        <w:t xml:space="preserve">other </w:t>
      </w:r>
      <w:r w:rsidR="00E91D6B">
        <w:rPr>
          <w:rFonts w:ascii="Times New Roman" w:hAnsi="Times New Roman" w:cs="Times New Roman"/>
          <w:sz w:val="24"/>
          <w:szCs w:val="24"/>
        </w:rPr>
        <w:t>environmental regulations.</w:t>
      </w:r>
      <w:r w:rsidR="00E91D6B">
        <w:rPr>
          <w:rStyle w:val="FootnoteReference"/>
          <w:rFonts w:ascii="Times New Roman" w:hAnsi="Times New Roman" w:cs="Times New Roman"/>
          <w:sz w:val="24"/>
          <w:szCs w:val="24"/>
        </w:rPr>
        <w:footnoteReference w:id="29"/>
      </w:r>
    </w:p>
    <w:p w:rsidR="00E91D6B" w:rsidRDefault="00E91D6B" w:rsidP="00A574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Although the PUCO found that the PPA Rider would, “in theory,” have the effect of stabilizing prices, it rejected the PPA Rider as proposed.</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The PUCO explained that “there is no question that the rider would impact customers’ rates through the imposition of a new charge on their bills.”</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What the PUCO found unclear was “how much the proposed PPA Rider would cost customers and whether customers would even benefit from the financial hedge.”</w:t>
      </w:r>
      <w:r>
        <w:rPr>
          <w:rStyle w:val="FootnoteReference"/>
          <w:rFonts w:ascii="Times New Roman" w:hAnsi="Times New Roman" w:cs="Times New Roman"/>
          <w:sz w:val="24"/>
          <w:szCs w:val="24"/>
        </w:rPr>
        <w:footnoteReference w:id="32"/>
      </w:r>
      <w:r w:rsidR="002D0CC8">
        <w:rPr>
          <w:rFonts w:ascii="Times New Roman" w:hAnsi="Times New Roman" w:cs="Times New Roman"/>
          <w:sz w:val="24"/>
          <w:szCs w:val="24"/>
        </w:rPr>
        <w:t xml:space="preserve">  It emphasized that “[i]n light of the uncertainty and speculation inherent in the process of projecting the net impact of the proposed PPA rider, which is evident in AEP Ohio’s own projections ranging from $52 million net cost to an $8.4 million net benefit, the Commission is unable to reasonably determine the rate impact of the rider.”</w:t>
      </w:r>
      <w:r w:rsidR="002D0CC8">
        <w:rPr>
          <w:rStyle w:val="FootnoteReference"/>
          <w:rFonts w:ascii="Times New Roman" w:hAnsi="Times New Roman" w:cs="Times New Roman"/>
          <w:sz w:val="24"/>
          <w:szCs w:val="24"/>
        </w:rPr>
        <w:footnoteReference w:id="33"/>
      </w:r>
      <w:r w:rsidR="006C3E11">
        <w:rPr>
          <w:rFonts w:ascii="Times New Roman" w:hAnsi="Times New Roman" w:cs="Times New Roman"/>
          <w:sz w:val="24"/>
          <w:szCs w:val="24"/>
        </w:rPr>
        <w:t xml:space="preserve">  At the same time, the PUCO agreed with various Intervenors that the evidence of record</w:t>
      </w:r>
      <w:r w:rsidR="0026305C">
        <w:rPr>
          <w:rFonts w:ascii="Times New Roman" w:hAnsi="Times New Roman" w:cs="Times New Roman"/>
          <w:sz w:val="24"/>
          <w:szCs w:val="24"/>
        </w:rPr>
        <w:t xml:space="preserve"> demonstrated</w:t>
      </w:r>
      <w:r w:rsidR="006C3E11">
        <w:rPr>
          <w:rFonts w:ascii="Times New Roman" w:hAnsi="Times New Roman" w:cs="Times New Roman"/>
          <w:sz w:val="24"/>
          <w:szCs w:val="24"/>
        </w:rPr>
        <w:t xml:space="preserve"> that the PPA Rider may res</w:t>
      </w:r>
      <w:r w:rsidR="00607DD4">
        <w:rPr>
          <w:rFonts w:ascii="Times New Roman" w:hAnsi="Times New Roman" w:cs="Times New Roman"/>
          <w:sz w:val="24"/>
          <w:szCs w:val="24"/>
        </w:rPr>
        <w:t xml:space="preserve">ult in a net cost to customers – </w:t>
      </w:r>
      <w:r w:rsidR="006C3E11">
        <w:rPr>
          <w:rFonts w:ascii="Times New Roman" w:hAnsi="Times New Roman" w:cs="Times New Roman"/>
          <w:sz w:val="24"/>
          <w:szCs w:val="24"/>
        </w:rPr>
        <w:t>with little offsetting benefit from its intended purpose as a hedge against market volatility.</w:t>
      </w:r>
      <w:r w:rsidR="006C3E11">
        <w:rPr>
          <w:rStyle w:val="FootnoteReference"/>
          <w:rFonts w:ascii="Times New Roman" w:hAnsi="Times New Roman" w:cs="Times New Roman"/>
          <w:sz w:val="24"/>
          <w:szCs w:val="24"/>
        </w:rPr>
        <w:footnoteReference w:id="34"/>
      </w:r>
      <w:r w:rsidR="002D0CC8">
        <w:rPr>
          <w:rFonts w:ascii="Times New Roman" w:hAnsi="Times New Roman" w:cs="Times New Roman"/>
          <w:sz w:val="24"/>
          <w:szCs w:val="24"/>
        </w:rPr>
        <w:t xml:space="preserve"> </w:t>
      </w:r>
    </w:p>
    <w:p w:rsidR="006C3E11" w:rsidRDefault="006C3E11" w:rsidP="00A574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Ultimately, the PUCO determined that </w:t>
      </w:r>
      <w:r w:rsidR="007C21B1">
        <w:rPr>
          <w:rFonts w:ascii="Times New Roman" w:hAnsi="Times New Roman" w:cs="Times New Roman"/>
          <w:sz w:val="24"/>
          <w:szCs w:val="24"/>
        </w:rPr>
        <w:t>because</w:t>
      </w:r>
      <w:r>
        <w:rPr>
          <w:rFonts w:ascii="Times New Roman" w:hAnsi="Times New Roman" w:cs="Times New Roman"/>
          <w:sz w:val="24"/>
          <w:szCs w:val="24"/>
        </w:rPr>
        <w:t xml:space="preserve"> there was “considerable uncertainty with respect to pending PJM market reform proposals, environmental regulations, and federal litigation, as AEP Ohio acknowledges, and, in light of this uncertainty, [it did] not believe that it is [was] appropriate to adopt the proposed PPA rider at this time.”</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It was “not persuaded, based on the evidence of record in the[] proceedings, that AEP Ohio’s PPA rider proposal would provide customers with sufficient benefit from the rider’s financial hedging mechanism or any other benefit that is commensurate with the rider’s potential cost.”</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Therefore, the PUCO authorized only a placeholder rider, at an initial rate of zero, and required AEP Ohio to show in a “future filing” justification for cost recovery.</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Among the showings that the PUCO required AEP Ohio to make, “at a minimum,” were:</w:t>
      </w:r>
    </w:p>
    <w:p w:rsidR="006C3E11" w:rsidRDefault="006C3E11" w:rsidP="00020AF0">
      <w:pPr>
        <w:pStyle w:val="ListParagraph"/>
        <w:numPr>
          <w:ilvl w:val="0"/>
          <w:numId w:val="1"/>
        </w:numPr>
        <w:ind w:left="2160" w:right="720" w:hanging="720"/>
        <w:rPr>
          <w:rFonts w:ascii="Times New Roman" w:hAnsi="Times New Roman" w:cs="Times New Roman"/>
          <w:sz w:val="24"/>
          <w:szCs w:val="24"/>
        </w:rPr>
      </w:pPr>
      <w:r>
        <w:rPr>
          <w:rFonts w:ascii="Times New Roman" w:hAnsi="Times New Roman" w:cs="Times New Roman"/>
          <w:sz w:val="24"/>
          <w:szCs w:val="24"/>
        </w:rPr>
        <w:t>Financial need of the generating plant;</w:t>
      </w:r>
    </w:p>
    <w:p w:rsidR="006C3E11" w:rsidRDefault="006C3E11" w:rsidP="00A72469">
      <w:pPr>
        <w:pStyle w:val="ListParagraph"/>
        <w:numPr>
          <w:ilvl w:val="0"/>
          <w:numId w:val="1"/>
        </w:numPr>
        <w:ind w:right="720" w:firstLine="0"/>
        <w:rPr>
          <w:rFonts w:ascii="Times New Roman" w:hAnsi="Times New Roman" w:cs="Times New Roman"/>
          <w:sz w:val="24"/>
          <w:szCs w:val="24"/>
        </w:rPr>
      </w:pPr>
      <w:r>
        <w:rPr>
          <w:rFonts w:ascii="Times New Roman" w:hAnsi="Times New Roman" w:cs="Times New Roman"/>
          <w:sz w:val="24"/>
          <w:szCs w:val="24"/>
        </w:rPr>
        <w:t xml:space="preserve">Necessity of the generating facility, in light of future </w:t>
      </w:r>
      <w:r w:rsidR="00380F28">
        <w:rPr>
          <w:rFonts w:ascii="Times New Roman" w:hAnsi="Times New Roman" w:cs="Times New Roman"/>
          <w:sz w:val="24"/>
          <w:szCs w:val="24"/>
        </w:rPr>
        <w:tab/>
      </w:r>
      <w:r>
        <w:rPr>
          <w:rFonts w:ascii="Times New Roman" w:hAnsi="Times New Roman" w:cs="Times New Roman"/>
          <w:sz w:val="24"/>
          <w:szCs w:val="24"/>
        </w:rPr>
        <w:t>reliability concerns, including supply diversity;</w:t>
      </w:r>
    </w:p>
    <w:p w:rsidR="006C3E11" w:rsidRDefault="006C3E11" w:rsidP="00A72469">
      <w:pPr>
        <w:pStyle w:val="ListParagraph"/>
        <w:numPr>
          <w:ilvl w:val="0"/>
          <w:numId w:val="1"/>
        </w:numPr>
        <w:ind w:right="720" w:firstLine="0"/>
        <w:rPr>
          <w:rFonts w:ascii="Times New Roman" w:hAnsi="Times New Roman" w:cs="Times New Roman"/>
          <w:sz w:val="24"/>
          <w:szCs w:val="24"/>
        </w:rPr>
      </w:pPr>
      <w:r>
        <w:rPr>
          <w:rFonts w:ascii="Times New Roman" w:hAnsi="Times New Roman" w:cs="Times New Roman"/>
          <w:sz w:val="24"/>
          <w:szCs w:val="24"/>
        </w:rPr>
        <w:t xml:space="preserve">Description of how the generating plant is compliant with </w:t>
      </w:r>
      <w:r w:rsidR="00380F28">
        <w:rPr>
          <w:rFonts w:ascii="Times New Roman" w:hAnsi="Times New Roman" w:cs="Times New Roman"/>
          <w:sz w:val="24"/>
          <w:szCs w:val="24"/>
        </w:rPr>
        <w:tab/>
      </w:r>
      <w:r>
        <w:rPr>
          <w:rFonts w:ascii="Times New Roman" w:hAnsi="Times New Roman" w:cs="Times New Roman"/>
          <w:sz w:val="24"/>
          <w:szCs w:val="24"/>
        </w:rPr>
        <w:t xml:space="preserve">all pertinent environmental regulations and its plan for </w:t>
      </w:r>
      <w:r w:rsidR="00380F28">
        <w:rPr>
          <w:rFonts w:ascii="Times New Roman" w:hAnsi="Times New Roman" w:cs="Times New Roman"/>
          <w:sz w:val="24"/>
          <w:szCs w:val="24"/>
        </w:rPr>
        <w:tab/>
      </w:r>
      <w:r>
        <w:rPr>
          <w:rFonts w:ascii="Times New Roman" w:hAnsi="Times New Roman" w:cs="Times New Roman"/>
          <w:sz w:val="24"/>
          <w:szCs w:val="24"/>
        </w:rPr>
        <w:t>compliance with pending environmental regulations;</w:t>
      </w:r>
      <w:r w:rsidR="0026305C">
        <w:rPr>
          <w:rFonts w:ascii="Times New Roman" w:hAnsi="Times New Roman" w:cs="Times New Roman"/>
          <w:sz w:val="24"/>
          <w:szCs w:val="24"/>
        </w:rPr>
        <w:t xml:space="preserve"> and</w:t>
      </w:r>
    </w:p>
    <w:p w:rsidR="006C3E11" w:rsidRDefault="006C3E11" w:rsidP="00A72469">
      <w:pPr>
        <w:pStyle w:val="ListParagraph"/>
        <w:numPr>
          <w:ilvl w:val="0"/>
          <w:numId w:val="1"/>
        </w:numPr>
        <w:ind w:right="720" w:firstLine="0"/>
        <w:rPr>
          <w:rFonts w:ascii="Times New Roman" w:hAnsi="Times New Roman" w:cs="Times New Roman"/>
          <w:sz w:val="24"/>
          <w:szCs w:val="24"/>
        </w:rPr>
      </w:pPr>
      <w:r>
        <w:rPr>
          <w:rFonts w:ascii="Times New Roman" w:hAnsi="Times New Roman" w:cs="Times New Roman"/>
          <w:sz w:val="24"/>
          <w:szCs w:val="24"/>
        </w:rPr>
        <w:t xml:space="preserve">The impact that a closure of the generating plant would </w:t>
      </w:r>
      <w:r w:rsidR="00380F28">
        <w:rPr>
          <w:rFonts w:ascii="Times New Roman" w:hAnsi="Times New Roman" w:cs="Times New Roman"/>
          <w:sz w:val="24"/>
          <w:szCs w:val="24"/>
        </w:rPr>
        <w:tab/>
      </w:r>
      <w:r>
        <w:rPr>
          <w:rFonts w:ascii="Times New Roman" w:hAnsi="Times New Roman" w:cs="Times New Roman"/>
          <w:sz w:val="24"/>
          <w:szCs w:val="24"/>
        </w:rPr>
        <w:t xml:space="preserve">have on electric prices and the resulting effect on economic </w:t>
      </w:r>
      <w:r w:rsidR="00380F28">
        <w:rPr>
          <w:rFonts w:ascii="Times New Roman" w:hAnsi="Times New Roman" w:cs="Times New Roman"/>
          <w:sz w:val="24"/>
          <w:szCs w:val="24"/>
        </w:rPr>
        <w:tab/>
      </w:r>
      <w:r>
        <w:rPr>
          <w:rFonts w:ascii="Times New Roman" w:hAnsi="Times New Roman" w:cs="Times New Roman"/>
          <w:sz w:val="24"/>
          <w:szCs w:val="24"/>
        </w:rPr>
        <w:t>development within the state.</w:t>
      </w:r>
      <w:r w:rsidR="0085172B">
        <w:rPr>
          <w:rStyle w:val="FootnoteReference"/>
          <w:rFonts w:ascii="Times New Roman" w:hAnsi="Times New Roman" w:cs="Times New Roman"/>
          <w:sz w:val="24"/>
          <w:szCs w:val="24"/>
        </w:rPr>
        <w:footnoteReference w:id="38"/>
      </w:r>
    </w:p>
    <w:p w:rsidR="0085172B" w:rsidRDefault="0085172B" w:rsidP="00D520AE">
      <w:pPr>
        <w:spacing w:after="0" w:line="480" w:lineRule="auto"/>
        <w:rPr>
          <w:rFonts w:ascii="Times New Roman" w:hAnsi="Times New Roman" w:cs="Times New Roman"/>
          <w:sz w:val="24"/>
          <w:szCs w:val="24"/>
        </w:rPr>
      </w:pPr>
      <w:r>
        <w:rPr>
          <w:rFonts w:ascii="Times New Roman" w:hAnsi="Times New Roman" w:cs="Times New Roman"/>
          <w:sz w:val="24"/>
          <w:szCs w:val="24"/>
        </w:rPr>
        <w:t>The PUCO emphasized that it would balance, but not be bound by, the foregoing factors.</w:t>
      </w:r>
      <w:r>
        <w:rPr>
          <w:rStyle w:val="FootnoteReference"/>
          <w:rFonts w:ascii="Times New Roman" w:hAnsi="Times New Roman" w:cs="Times New Roman"/>
          <w:sz w:val="24"/>
          <w:szCs w:val="24"/>
        </w:rPr>
        <w:footnoteReference w:id="39"/>
      </w:r>
    </w:p>
    <w:p w:rsidR="0085172B" w:rsidRDefault="0085172B" w:rsidP="00A57413">
      <w:pPr>
        <w:ind w:firstLine="720"/>
        <w:rPr>
          <w:rFonts w:ascii="Times New Roman" w:hAnsi="Times New Roman" w:cs="Times New Roman"/>
          <w:sz w:val="24"/>
          <w:szCs w:val="24"/>
        </w:rPr>
      </w:pPr>
      <w:r>
        <w:rPr>
          <w:rFonts w:ascii="Times New Roman" w:hAnsi="Times New Roman" w:cs="Times New Roman"/>
          <w:sz w:val="24"/>
          <w:szCs w:val="24"/>
        </w:rPr>
        <w:t>The PUCO also directed AEP Ohio to provide in the future filing:</w:t>
      </w:r>
    </w:p>
    <w:p w:rsidR="0085172B" w:rsidRDefault="0085172B" w:rsidP="00020AF0">
      <w:pPr>
        <w:pStyle w:val="ListParagraph"/>
        <w:numPr>
          <w:ilvl w:val="0"/>
          <w:numId w:val="2"/>
        </w:numPr>
        <w:ind w:left="2160" w:right="720" w:hanging="720"/>
        <w:rPr>
          <w:rFonts w:ascii="Times New Roman" w:hAnsi="Times New Roman" w:cs="Times New Roman"/>
          <w:sz w:val="24"/>
          <w:szCs w:val="24"/>
        </w:rPr>
      </w:pPr>
      <w:r>
        <w:rPr>
          <w:rFonts w:ascii="Times New Roman" w:hAnsi="Times New Roman" w:cs="Times New Roman"/>
          <w:sz w:val="24"/>
          <w:szCs w:val="24"/>
        </w:rPr>
        <w:t>Provision for rigorous PUCO oversight of the rider, including a proposed process for a periodic substantive review and audit;</w:t>
      </w:r>
    </w:p>
    <w:p w:rsidR="0085172B" w:rsidRDefault="0085172B" w:rsidP="00A72469">
      <w:pPr>
        <w:pStyle w:val="ListParagraph"/>
        <w:numPr>
          <w:ilvl w:val="0"/>
          <w:numId w:val="2"/>
        </w:numPr>
        <w:ind w:right="720" w:firstLine="0"/>
        <w:rPr>
          <w:rFonts w:ascii="Times New Roman" w:hAnsi="Times New Roman" w:cs="Times New Roman"/>
          <w:sz w:val="24"/>
          <w:szCs w:val="24"/>
        </w:rPr>
      </w:pPr>
      <w:r>
        <w:rPr>
          <w:rFonts w:ascii="Times New Roman" w:hAnsi="Times New Roman" w:cs="Times New Roman"/>
          <w:sz w:val="24"/>
          <w:szCs w:val="24"/>
        </w:rPr>
        <w:t xml:space="preserve">A commitment to full information sharing with the PUCO </w:t>
      </w:r>
      <w:r w:rsidR="00380F28">
        <w:rPr>
          <w:rFonts w:ascii="Times New Roman" w:hAnsi="Times New Roman" w:cs="Times New Roman"/>
          <w:sz w:val="24"/>
          <w:szCs w:val="24"/>
        </w:rPr>
        <w:tab/>
      </w:r>
      <w:r>
        <w:rPr>
          <w:rFonts w:ascii="Times New Roman" w:hAnsi="Times New Roman" w:cs="Times New Roman"/>
          <w:sz w:val="24"/>
          <w:szCs w:val="24"/>
        </w:rPr>
        <w:t>and its Staff;</w:t>
      </w:r>
    </w:p>
    <w:p w:rsidR="0085172B" w:rsidRDefault="0085172B" w:rsidP="00A72469">
      <w:pPr>
        <w:pStyle w:val="ListParagraph"/>
        <w:numPr>
          <w:ilvl w:val="0"/>
          <w:numId w:val="2"/>
        </w:numPr>
        <w:ind w:right="720" w:firstLine="0"/>
        <w:rPr>
          <w:rFonts w:ascii="Times New Roman" w:hAnsi="Times New Roman" w:cs="Times New Roman"/>
          <w:sz w:val="24"/>
          <w:szCs w:val="24"/>
        </w:rPr>
      </w:pPr>
      <w:r>
        <w:rPr>
          <w:rFonts w:ascii="Times New Roman" w:hAnsi="Times New Roman" w:cs="Times New Roman"/>
          <w:sz w:val="24"/>
          <w:szCs w:val="24"/>
        </w:rPr>
        <w:t xml:space="preserve">An alternative plan to allocate the rider’s financial risk </w:t>
      </w:r>
      <w:r w:rsidR="00380F28">
        <w:rPr>
          <w:rFonts w:ascii="Times New Roman" w:hAnsi="Times New Roman" w:cs="Times New Roman"/>
          <w:sz w:val="24"/>
          <w:szCs w:val="24"/>
        </w:rPr>
        <w:tab/>
      </w:r>
      <w:r>
        <w:rPr>
          <w:rFonts w:ascii="Times New Roman" w:hAnsi="Times New Roman" w:cs="Times New Roman"/>
          <w:sz w:val="24"/>
          <w:szCs w:val="24"/>
        </w:rPr>
        <w:t xml:space="preserve">between it and its ratepayers; and </w:t>
      </w:r>
    </w:p>
    <w:p w:rsidR="0085172B" w:rsidRDefault="0085172B" w:rsidP="00A72469">
      <w:pPr>
        <w:pStyle w:val="ListParagraph"/>
        <w:numPr>
          <w:ilvl w:val="0"/>
          <w:numId w:val="2"/>
        </w:numPr>
        <w:ind w:right="720" w:firstLine="0"/>
        <w:rPr>
          <w:rFonts w:ascii="Times New Roman" w:hAnsi="Times New Roman" w:cs="Times New Roman"/>
          <w:sz w:val="24"/>
          <w:szCs w:val="24"/>
        </w:rPr>
      </w:pPr>
      <w:r>
        <w:rPr>
          <w:rFonts w:ascii="Times New Roman" w:hAnsi="Times New Roman" w:cs="Times New Roman"/>
          <w:sz w:val="24"/>
          <w:szCs w:val="24"/>
        </w:rPr>
        <w:t xml:space="preserve">A severability provision that recognizes that all other </w:t>
      </w:r>
      <w:r w:rsidR="00380F28">
        <w:rPr>
          <w:rFonts w:ascii="Times New Roman" w:hAnsi="Times New Roman" w:cs="Times New Roman"/>
          <w:sz w:val="24"/>
          <w:szCs w:val="24"/>
        </w:rPr>
        <w:tab/>
      </w:r>
      <w:r>
        <w:rPr>
          <w:rFonts w:ascii="Times New Roman" w:hAnsi="Times New Roman" w:cs="Times New Roman"/>
          <w:sz w:val="24"/>
          <w:szCs w:val="24"/>
        </w:rPr>
        <w:t xml:space="preserve">provisions of its ESP will continue, in the event that the </w:t>
      </w:r>
      <w:r w:rsidR="00380F28">
        <w:rPr>
          <w:rFonts w:ascii="Times New Roman" w:hAnsi="Times New Roman" w:cs="Times New Roman"/>
          <w:sz w:val="24"/>
          <w:szCs w:val="24"/>
        </w:rPr>
        <w:tab/>
      </w:r>
      <w:r>
        <w:rPr>
          <w:rFonts w:ascii="Times New Roman" w:hAnsi="Times New Roman" w:cs="Times New Roman"/>
          <w:sz w:val="24"/>
          <w:szCs w:val="24"/>
        </w:rPr>
        <w:t xml:space="preserve">PPA rider is invalidated, in whole or in part at any point, by </w:t>
      </w:r>
      <w:r w:rsidR="00380F28">
        <w:rPr>
          <w:rFonts w:ascii="Times New Roman" w:hAnsi="Times New Roman" w:cs="Times New Roman"/>
          <w:sz w:val="24"/>
          <w:szCs w:val="24"/>
        </w:rPr>
        <w:tab/>
      </w:r>
      <w:r>
        <w:rPr>
          <w:rFonts w:ascii="Times New Roman" w:hAnsi="Times New Roman" w:cs="Times New Roman"/>
          <w:sz w:val="24"/>
          <w:szCs w:val="24"/>
        </w:rPr>
        <w:t>a court of competent jurisdiction.</w:t>
      </w:r>
      <w:r>
        <w:rPr>
          <w:rStyle w:val="FootnoteReference"/>
          <w:rFonts w:ascii="Times New Roman" w:hAnsi="Times New Roman" w:cs="Times New Roman"/>
          <w:sz w:val="24"/>
          <w:szCs w:val="24"/>
        </w:rPr>
        <w:footnoteReference w:id="40"/>
      </w:r>
    </w:p>
    <w:p w:rsidR="00A7374B" w:rsidRDefault="00A7374B" w:rsidP="00A574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Before the PUCO’s Opinion and Order in AEP Ohio’s ESP III case, AEP Ohio filed an Application to include a new PPA in the PPA Rider.</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After the Opinion and Order in </w:t>
      </w:r>
      <w:r w:rsidR="00944935">
        <w:rPr>
          <w:rFonts w:ascii="Times New Roman" w:hAnsi="Times New Roman" w:cs="Times New Roman"/>
          <w:sz w:val="24"/>
          <w:szCs w:val="24"/>
        </w:rPr>
        <w:t>the ESP III case, AEP Ohio filed an Amended Application under which it attempt</w:t>
      </w:r>
      <w:r w:rsidR="008C54B4">
        <w:rPr>
          <w:rFonts w:ascii="Times New Roman" w:hAnsi="Times New Roman" w:cs="Times New Roman"/>
          <w:sz w:val="24"/>
          <w:szCs w:val="24"/>
        </w:rPr>
        <w:t>ed</w:t>
      </w:r>
      <w:r w:rsidR="00944935">
        <w:rPr>
          <w:rFonts w:ascii="Times New Roman" w:hAnsi="Times New Roman" w:cs="Times New Roman"/>
          <w:sz w:val="24"/>
          <w:szCs w:val="24"/>
        </w:rPr>
        <w:t xml:space="preserve"> to address the PUCO requirements.</w:t>
      </w:r>
      <w:r w:rsidR="00944935">
        <w:rPr>
          <w:rStyle w:val="FootnoteReference"/>
          <w:rFonts w:ascii="Times New Roman" w:hAnsi="Times New Roman" w:cs="Times New Roman"/>
          <w:sz w:val="24"/>
          <w:szCs w:val="24"/>
        </w:rPr>
        <w:footnoteReference w:id="42"/>
      </w:r>
      <w:r w:rsidR="00447E90">
        <w:rPr>
          <w:rFonts w:ascii="Times New Roman" w:hAnsi="Times New Roman" w:cs="Times New Roman"/>
          <w:sz w:val="24"/>
          <w:szCs w:val="24"/>
        </w:rPr>
        <w:t xml:space="preserve">  A month-long evidentiary hearing was held on the Amended Application.</w:t>
      </w:r>
      <w:r w:rsidR="006643C3">
        <w:rPr>
          <w:rFonts w:ascii="Times New Roman" w:hAnsi="Times New Roman" w:cs="Times New Roman"/>
          <w:sz w:val="24"/>
          <w:szCs w:val="24"/>
        </w:rPr>
        <w:t xml:space="preserve"> </w:t>
      </w:r>
    </w:p>
    <w:p w:rsidR="00081EBB" w:rsidRDefault="00081EBB" w:rsidP="00390AD5">
      <w:pPr>
        <w:pStyle w:val="Heading2"/>
      </w:pPr>
      <w:bookmarkStart w:id="9" w:name="_Toc442104127"/>
      <w:r>
        <w:t>C.</w:t>
      </w:r>
      <w:r>
        <w:tab/>
        <w:t>AEP Ohio files the Joint Stipulation.</w:t>
      </w:r>
      <w:bookmarkEnd w:id="9"/>
    </w:p>
    <w:p w:rsidR="00081EBB" w:rsidRDefault="00081EBB" w:rsidP="00A574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the evidentiary hearing on the Amended Application, AEP Ohio filed the Joint Stipulation.</w:t>
      </w:r>
      <w:r w:rsidR="00447E90">
        <w:rPr>
          <w:rFonts w:ascii="Times New Roman" w:hAnsi="Times New Roman" w:cs="Times New Roman"/>
          <w:sz w:val="24"/>
          <w:szCs w:val="24"/>
        </w:rPr>
        <w:t xml:space="preserve">  It purportedly addresses concerns raised by Staff and other parties.</w:t>
      </w:r>
      <w:r w:rsidR="00447E90">
        <w:rPr>
          <w:rStyle w:val="FootnoteReference"/>
          <w:rFonts w:ascii="Times New Roman" w:hAnsi="Times New Roman" w:cs="Times New Roman"/>
          <w:sz w:val="24"/>
          <w:szCs w:val="24"/>
        </w:rPr>
        <w:footnoteReference w:id="43"/>
      </w:r>
      <w:r w:rsidR="00447E90">
        <w:rPr>
          <w:rFonts w:ascii="Times New Roman" w:hAnsi="Times New Roman" w:cs="Times New Roman"/>
          <w:sz w:val="24"/>
          <w:szCs w:val="24"/>
        </w:rPr>
        <w:t xml:space="preserve">  A week-long evidentiary hearing was held on the Joint Stipulation.</w:t>
      </w:r>
    </w:p>
    <w:p w:rsidR="00447E90" w:rsidRDefault="00447E90" w:rsidP="00390AD5">
      <w:pPr>
        <w:pStyle w:val="Heading2"/>
      </w:pPr>
      <w:bookmarkStart w:id="10" w:name="_Toc442104128"/>
      <w:r>
        <w:t>D.</w:t>
      </w:r>
      <w:r>
        <w:tab/>
        <w:t xml:space="preserve">Matters for the PUCO’s </w:t>
      </w:r>
      <w:r w:rsidR="00241333">
        <w:t>determination</w:t>
      </w:r>
      <w:r>
        <w:t>.</w:t>
      </w:r>
      <w:bookmarkEnd w:id="10"/>
    </w:p>
    <w:p w:rsidR="00447E90" w:rsidRPr="00447E90" w:rsidRDefault="00447E90" w:rsidP="00A574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AEP Ohio now seeks approval of the Amended Application as modified by the Joint Stipulation.</w:t>
      </w:r>
      <w:r w:rsidR="00241333">
        <w:rPr>
          <w:rStyle w:val="FootnoteReference"/>
          <w:rFonts w:ascii="Times New Roman" w:hAnsi="Times New Roman" w:cs="Times New Roman"/>
          <w:sz w:val="24"/>
          <w:szCs w:val="24"/>
        </w:rPr>
        <w:footnoteReference w:id="44"/>
      </w:r>
      <w:r w:rsidR="00241333">
        <w:rPr>
          <w:rFonts w:ascii="Times New Roman" w:hAnsi="Times New Roman" w:cs="Times New Roman"/>
          <w:sz w:val="24"/>
          <w:szCs w:val="24"/>
        </w:rPr>
        <w:t xml:space="preserve">  </w:t>
      </w:r>
      <w:r w:rsidR="004E4E11">
        <w:rPr>
          <w:rFonts w:ascii="Times New Roman" w:hAnsi="Times New Roman" w:cs="Times New Roman"/>
          <w:sz w:val="24"/>
          <w:szCs w:val="24"/>
        </w:rPr>
        <w:t>The</w:t>
      </w:r>
      <w:r w:rsidR="00241333">
        <w:rPr>
          <w:rFonts w:ascii="Times New Roman" w:hAnsi="Times New Roman" w:cs="Times New Roman"/>
          <w:sz w:val="24"/>
          <w:szCs w:val="24"/>
        </w:rPr>
        <w:t xml:space="preserve"> first matter for the PUCO’s determination is whether to approve the Joint Stipulation.  </w:t>
      </w:r>
      <w:r w:rsidR="007D674E">
        <w:rPr>
          <w:rFonts w:ascii="Times New Roman" w:hAnsi="Times New Roman" w:cs="Times New Roman"/>
          <w:sz w:val="24"/>
          <w:szCs w:val="24"/>
        </w:rPr>
        <w:t>If the Joint Stipulation is approved, the PUCO must determine if the Modified Amended Application passes muster under its ESP III Opinion and Order and governing statutes.  If the Joint Stipulation is not approved, the PUCO must determine if the Amended Application passes muster under its ESP III Opinion and Order and governing statutes.</w:t>
      </w:r>
    </w:p>
    <w:p w:rsidR="006643C3" w:rsidRDefault="006643C3" w:rsidP="00A57413">
      <w:pPr>
        <w:spacing w:after="0" w:line="240" w:lineRule="auto"/>
        <w:ind w:firstLine="720"/>
        <w:rPr>
          <w:rFonts w:ascii="Times New Roman" w:hAnsi="Times New Roman" w:cs="Times New Roman"/>
          <w:sz w:val="24"/>
          <w:szCs w:val="24"/>
        </w:rPr>
      </w:pPr>
    </w:p>
    <w:p w:rsidR="00AD6CD9" w:rsidRDefault="00951324" w:rsidP="001D77BB">
      <w:pPr>
        <w:pStyle w:val="Heading1"/>
        <w:spacing w:after="240"/>
      </w:pPr>
      <w:bookmarkStart w:id="11" w:name="_Toc435428194"/>
      <w:bookmarkStart w:id="12" w:name="_Toc442104129"/>
      <w:r>
        <w:t>I</w:t>
      </w:r>
      <w:r w:rsidR="00390AD5">
        <w:t>V</w:t>
      </w:r>
      <w:r w:rsidR="00382453">
        <w:t>.</w:t>
      </w:r>
      <w:r w:rsidR="00382453">
        <w:tab/>
      </w:r>
      <w:r w:rsidR="00031DA4">
        <w:t xml:space="preserve">STANDARD OF </w:t>
      </w:r>
      <w:r w:rsidR="00031DA4" w:rsidRPr="00951324">
        <w:t>REVIEW</w:t>
      </w:r>
      <w:bookmarkEnd w:id="11"/>
      <w:bookmarkEnd w:id="12"/>
    </w:p>
    <w:p w:rsidR="00241333" w:rsidRPr="00F05B9B" w:rsidRDefault="008F788E" w:rsidP="001D77BB">
      <w:pPr>
        <w:autoSpaceDE w:val="0"/>
        <w:autoSpaceDN w:val="0"/>
        <w:adjustRightInd w:val="0"/>
        <w:spacing w:after="240" w:line="480" w:lineRule="auto"/>
        <w:ind w:firstLine="720"/>
        <w:rPr>
          <w:rFonts w:ascii="Times New Roman" w:hAnsi="Times New Roman" w:cs="Times New Roman"/>
          <w:i/>
          <w:sz w:val="24"/>
          <w:szCs w:val="24"/>
        </w:rPr>
      </w:pPr>
      <w:r>
        <w:rPr>
          <w:rFonts w:ascii="Times New Roman" w:hAnsi="Times New Roman" w:cs="Times New Roman"/>
          <w:sz w:val="24"/>
          <w:szCs w:val="24"/>
        </w:rPr>
        <w:t>T</w:t>
      </w:r>
      <w:r w:rsidR="00241333" w:rsidRPr="00F05B9B">
        <w:rPr>
          <w:rFonts w:ascii="Times New Roman" w:hAnsi="Times New Roman" w:cs="Times New Roman"/>
          <w:sz w:val="24"/>
          <w:szCs w:val="24"/>
        </w:rPr>
        <w:t xml:space="preserve">he Ohio Supreme Court stated in </w:t>
      </w:r>
      <w:r w:rsidR="00241333" w:rsidRPr="00F05B9B">
        <w:rPr>
          <w:rFonts w:ascii="Times New Roman" w:hAnsi="Times New Roman" w:cs="Times New Roman"/>
          <w:i/>
          <w:sz w:val="24"/>
          <w:szCs w:val="24"/>
        </w:rPr>
        <w:t>Duff v. Pub. Util. Comm.</w:t>
      </w:r>
      <w:r w:rsidR="00241333" w:rsidRPr="00F05B9B">
        <w:rPr>
          <w:rStyle w:val="FootnoteReference"/>
          <w:rFonts w:ascii="Times New Roman" w:hAnsi="Times New Roman" w:cs="Times New Roman"/>
        </w:rPr>
        <w:footnoteReference w:id="45"/>
      </w:r>
      <w:r w:rsidR="00241333" w:rsidRPr="00F05B9B">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241333" w:rsidRPr="00F05B9B">
        <w:rPr>
          <w:rFonts w:ascii="Times New Roman" w:hAnsi="Times New Roman" w:cs="Times New Roman"/>
          <w:sz w:val="24"/>
          <w:szCs w:val="24"/>
        </w:rPr>
        <w:t xml:space="preserve">a stipulation is merely a recommendation that is not legally binding upon the </w:t>
      </w:r>
      <w:r w:rsidR="00241333">
        <w:rPr>
          <w:rFonts w:ascii="Times New Roman" w:hAnsi="Times New Roman" w:cs="Times New Roman"/>
          <w:sz w:val="24"/>
          <w:szCs w:val="24"/>
        </w:rPr>
        <w:t>PUCO</w:t>
      </w:r>
      <w:r w:rsidR="00241333" w:rsidRPr="00F05B9B">
        <w:rPr>
          <w:rFonts w:ascii="Times New Roman" w:hAnsi="Times New Roman" w:cs="Times New Roman"/>
          <w:sz w:val="24"/>
          <w:szCs w:val="24"/>
        </w:rPr>
        <w:t>.</w:t>
      </w:r>
      <w:r w:rsidR="005C56FF">
        <w:rPr>
          <w:rFonts w:ascii="Times New Roman" w:hAnsi="Times New Roman" w:cs="Times New Roman"/>
          <w:sz w:val="24"/>
          <w:szCs w:val="24"/>
        </w:rPr>
        <w:t xml:space="preserve"> </w:t>
      </w:r>
      <w:r w:rsidR="00241333" w:rsidRPr="00F05B9B">
        <w:rPr>
          <w:rFonts w:ascii="Times New Roman" w:hAnsi="Times New Roman" w:cs="Times New Roman"/>
          <w:sz w:val="24"/>
          <w:szCs w:val="24"/>
        </w:rPr>
        <w:t xml:space="preserve"> The </w:t>
      </w:r>
      <w:r w:rsidR="00241333">
        <w:rPr>
          <w:rFonts w:ascii="Times New Roman" w:hAnsi="Times New Roman" w:cs="Times New Roman"/>
          <w:sz w:val="24"/>
          <w:szCs w:val="24"/>
        </w:rPr>
        <w:t>PUCO</w:t>
      </w:r>
      <w:r w:rsidR="00241333" w:rsidRPr="00F05B9B">
        <w:rPr>
          <w:rFonts w:ascii="Times New Roman" w:hAnsi="Times New Roman" w:cs="Times New Roman"/>
          <w:sz w:val="24"/>
          <w:szCs w:val="24"/>
        </w:rPr>
        <w:t xml:space="preserve"> “may take the stipulation into consideration, but must determine what is just and reasonable from the evidence presented at the hearing.”</w:t>
      </w:r>
      <w:r w:rsidR="00241333">
        <w:rPr>
          <w:rStyle w:val="FootnoteReference"/>
          <w:rFonts w:ascii="Times New Roman" w:hAnsi="Times New Roman" w:cs="Times New Roman"/>
          <w:sz w:val="24"/>
          <w:szCs w:val="24"/>
        </w:rPr>
        <w:footnoteReference w:id="46"/>
      </w:r>
      <w:r w:rsidR="00241333" w:rsidRPr="00F05B9B">
        <w:rPr>
          <w:rFonts w:ascii="Times New Roman" w:hAnsi="Times New Roman" w:cs="Times New Roman"/>
          <w:i/>
          <w:sz w:val="24"/>
          <w:szCs w:val="24"/>
        </w:rPr>
        <w:t xml:space="preserve">  </w:t>
      </w:r>
    </w:p>
    <w:p w:rsidR="00241333" w:rsidRPr="00F05B9B" w:rsidRDefault="00241333" w:rsidP="00241333">
      <w:pPr>
        <w:autoSpaceDE w:val="0"/>
        <w:autoSpaceDN w:val="0"/>
        <w:adjustRightInd w:val="0"/>
        <w:spacing w:after="0" w:line="480" w:lineRule="auto"/>
        <w:ind w:firstLine="720"/>
        <w:rPr>
          <w:rFonts w:ascii="Times New Roman" w:hAnsi="Times New Roman" w:cs="Times New Roman"/>
          <w:sz w:val="24"/>
          <w:szCs w:val="24"/>
        </w:rPr>
      </w:pPr>
      <w:r w:rsidRPr="00F05B9B">
        <w:rPr>
          <w:rFonts w:ascii="Times New Roman" w:hAnsi="Times New Roman" w:cs="Times New Roman"/>
          <w:sz w:val="24"/>
          <w:szCs w:val="24"/>
        </w:rPr>
        <w:t xml:space="preserve">The Court in </w:t>
      </w:r>
      <w:r w:rsidRPr="00F05B9B">
        <w:rPr>
          <w:rFonts w:ascii="Times New Roman" w:hAnsi="Times New Roman" w:cs="Times New Roman"/>
          <w:i/>
          <w:sz w:val="24"/>
          <w:szCs w:val="24"/>
        </w:rPr>
        <w:t>Consumers’ Counsel v. Pub. Util. Com.</w:t>
      </w:r>
      <w:r w:rsidRPr="00F05B9B">
        <w:rPr>
          <w:rStyle w:val="FootnoteReference"/>
          <w:rFonts w:ascii="Times New Roman" w:hAnsi="Times New Roman" w:cs="Times New Roman"/>
        </w:rPr>
        <w:footnoteReference w:id="47"/>
      </w:r>
      <w:r w:rsidRPr="00F05B9B">
        <w:rPr>
          <w:rFonts w:ascii="Times New Roman" w:hAnsi="Times New Roman" w:cs="Times New Roman"/>
          <w:sz w:val="24"/>
          <w:szCs w:val="24"/>
        </w:rPr>
        <w:t xml:space="preserve"> considered whether a just and reasonable result was achieved with reference to criteria adopted by the PUCO in evaluating settlements:</w:t>
      </w:r>
    </w:p>
    <w:p w:rsidR="00241333" w:rsidRPr="00F05B9B" w:rsidRDefault="00241333" w:rsidP="000322AF">
      <w:pPr>
        <w:autoSpaceDE w:val="0"/>
        <w:autoSpaceDN w:val="0"/>
        <w:adjustRightInd w:val="0"/>
        <w:spacing w:after="0" w:line="240" w:lineRule="auto"/>
        <w:ind w:left="2160" w:right="720" w:hanging="720"/>
        <w:rPr>
          <w:rFonts w:ascii="Times New Roman" w:hAnsi="Times New Roman" w:cs="Times New Roman"/>
          <w:sz w:val="24"/>
          <w:szCs w:val="24"/>
        </w:rPr>
      </w:pPr>
      <w:r w:rsidRPr="00F05B9B">
        <w:rPr>
          <w:rFonts w:ascii="Times New Roman" w:hAnsi="Times New Roman" w:cs="Times New Roman"/>
          <w:sz w:val="24"/>
          <w:szCs w:val="24"/>
        </w:rPr>
        <w:t>1.</w:t>
      </w:r>
      <w:r w:rsidRPr="00F05B9B">
        <w:rPr>
          <w:rFonts w:ascii="Times New Roman" w:hAnsi="Times New Roman" w:cs="Times New Roman"/>
          <w:sz w:val="24"/>
          <w:szCs w:val="24"/>
        </w:rPr>
        <w:tab/>
        <w:t>Is the settlement a product of serious bargaining among capable, knowledgeable parties</w:t>
      </w:r>
      <w:r>
        <w:rPr>
          <w:rFonts w:ascii="Times New Roman" w:hAnsi="Times New Roman" w:cs="Times New Roman"/>
          <w:sz w:val="24"/>
          <w:szCs w:val="24"/>
        </w:rPr>
        <w:t>, where there is diversity of interests among the stipulating parties</w:t>
      </w:r>
      <w:r w:rsidRPr="00F05B9B">
        <w:rPr>
          <w:rFonts w:ascii="Times New Roman" w:hAnsi="Times New Roman" w:cs="Times New Roman"/>
          <w:sz w:val="24"/>
          <w:szCs w:val="24"/>
        </w:rPr>
        <w:t>?</w:t>
      </w:r>
    </w:p>
    <w:p w:rsidR="00241333" w:rsidRPr="00F05B9B" w:rsidRDefault="00241333" w:rsidP="00241333">
      <w:pPr>
        <w:autoSpaceDE w:val="0"/>
        <w:autoSpaceDN w:val="0"/>
        <w:adjustRightInd w:val="0"/>
        <w:spacing w:after="0" w:line="240" w:lineRule="auto"/>
        <w:ind w:left="2160" w:right="1440" w:hanging="720"/>
        <w:rPr>
          <w:rFonts w:ascii="Times New Roman" w:hAnsi="Times New Roman" w:cs="Times New Roman"/>
          <w:sz w:val="24"/>
          <w:szCs w:val="24"/>
        </w:rPr>
      </w:pPr>
    </w:p>
    <w:p w:rsidR="00390AD5" w:rsidRDefault="00241333" w:rsidP="009001D0">
      <w:pPr>
        <w:tabs>
          <w:tab w:val="left" w:pos="7920"/>
        </w:tabs>
        <w:autoSpaceDE w:val="0"/>
        <w:autoSpaceDN w:val="0"/>
        <w:adjustRightInd w:val="0"/>
        <w:spacing w:after="0" w:line="240" w:lineRule="auto"/>
        <w:ind w:left="2160" w:right="720" w:hanging="720"/>
        <w:rPr>
          <w:rFonts w:ascii="Times New Roman" w:hAnsi="Times New Roman" w:cs="Times New Roman"/>
          <w:sz w:val="24"/>
          <w:szCs w:val="24"/>
        </w:rPr>
      </w:pPr>
      <w:r w:rsidRPr="00F05B9B">
        <w:rPr>
          <w:rFonts w:ascii="Times New Roman" w:hAnsi="Times New Roman" w:cs="Times New Roman"/>
          <w:sz w:val="24"/>
          <w:szCs w:val="24"/>
        </w:rPr>
        <w:t xml:space="preserve">2. </w:t>
      </w:r>
      <w:r w:rsidRPr="00F05B9B">
        <w:rPr>
          <w:rFonts w:ascii="Times New Roman" w:hAnsi="Times New Roman" w:cs="Times New Roman"/>
          <w:sz w:val="24"/>
          <w:szCs w:val="24"/>
        </w:rPr>
        <w:tab/>
      </w:r>
      <w:r w:rsidR="003331ED" w:rsidRPr="00F05B9B">
        <w:rPr>
          <w:rFonts w:ascii="Times New Roman" w:hAnsi="Times New Roman" w:cs="Times New Roman"/>
          <w:sz w:val="24"/>
          <w:szCs w:val="24"/>
        </w:rPr>
        <w:t>Does the settlement package violate any important regulatory principle or practice?</w:t>
      </w:r>
      <w:r w:rsidR="009001D0">
        <w:rPr>
          <w:rFonts w:ascii="Times New Roman" w:hAnsi="Times New Roman" w:cs="Times New Roman"/>
          <w:sz w:val="24"/>
          <w:szCs w:val="24"/>
        </w:rPr>
        <w:tab/>
      </w:r>
    </w:p>
    <w:p w:rsidR="00241333" w:rsidRPr="00F05B9B" w:rsidRDefault="007C21B1" w:rsidP="00241333">
      <w:pPr>
        <w:tabs>
          <w:tab w:val="left" w:pos="7920"/>
        </w:tabs>
        <w:autoSpaceDE w:val="0"/>
        <w:autoSpaceDN w:val="0"/>
        <w:adjustRightInd w:val="0"/>
        <w:spacing w:after="0" w:line="240" w:lineRule="auto"/>
        <w:ind w:left="2160" w:right="720" w:hanging="72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003331ED" w:rsidRPr="00F05B9B">
        <w:rPr>
          <w:rFonts w:ascii="Times New Roman" w:hAnsi="Times New Roman" w:cs="Times New Roman"/>
          <w:sz w:val="24"/>
          <w:szCs w:val="24"/>
        </w:rPr>
        <w:t>Does the settlement, as a package, benefit ratepayers and the public interest?</w:t>
      </w:r>
      <w:r w:rsidR="003331ED">
        <w:rPr>
          <w:rStyle w:val="FootnoteReference"/>
          <w:rFonts w:ascii="Times New Roman" w:hAnsi="Times New Roman" w:cs="Times New Roman"/>
          <w:sz w:val="24"/>
          <w:szCs w:val="24"/>
        </w:rPr>
        <w:footnoteReference w:id="48"/>
      </w:r>
    </w:p>
    <w:p w:rsidR="00241333" w:rsidRPr="00F05B9B" w:rsidRDefault="00241333" w:rsidP="00241333">
      <w:pPr>
        <w:tabs>
          <w:tab w:val="left" w:pos="7920"/>
        </w:tabs>
        <w:autoSpaceDE w:val="0"/>
        <w:autoSpaceDN w:val="0"/>
        <w:adjustRightInd w:val="0"/>
        <w:spacing w:after="0" w:line="240" w:lineRule="auto"/>
        <w:ind w:left="2880" w:right="720" w:hanging="720"/>
        <w:rPr>
          <w:rFonts w:ascii="Times New Roman" w:hAnsi="Times New Roman" w:cs="Times New Roman"/>
          <w:sz w:val="24"/>
          <w:szCs w:val="24"/>
        </w:rPr>
      </w:pPr>
    </w:p>
    <w:p w:rsidR="000322AF" w:rsidRDefault="00BE1CE2" w:rsidP="00BE1CE2">
      <w:pPr>
        <w:spacing w:after="0" w:line="480" w:lineRule="auto"/>
        <w:rPr>
          <w:rFonts w:ascii="Times New Roman" w:hAnsi="Times New Roman" w:cs="Times New Roman"/>
          <w:sz w:val="24"/>
          <w:szCs w:val="24"/>
        </w:rPr>
      </w:pPr>
      <w:r>
        <w:rPr>
          <w:rFonts w:ascii="Times New Roman" w:hAnsi="Times New Roman" w:cs="Times New Roman"/>
          <w:sz w:val="24"/>
          <w:szCs w:val="24"/>
        </w:rPr>
        <w:t>The Consumers’ Counsel is recommending that the PUCO not consider this hodgepodge of a settlement as a “package,” as explained below.</w:t>
      </w:r>
    </w:p>
    <w:p w:rsidR="00241333" w:rsidRPr="00F05B9B" w:rsidRDefault="00241333" w:rsidP="00241333">
      <w:pPr>
        <w:autoSpaceDE w:val="0"/>
        <w:autoSpaceDN w:val="0"/>
        <w:adjustRightInd w:val="0"/>
        <w:spacing w:after="0" w:line="480" w:lineRule="auto"/>
        <w:ind w:firstLine="720"/>
        <w:rPr>
          <w:rFonts w:ascii="Times New Roman" w:hAnsi="Times New Roman" w:cs="Times New Roman"/>
          <w:sz w:val="24"/>
          <w:szCs w:val="24"/>
        </w:rPr>
      </w:pPr>
      <w:r w:rsidRPr="00F05B9B">
        <w:rPr>
          <w:rFonts w:ascii="Times New Roman" w:hAnsi="Times New Roman" w:cs="Times New Roman"/>
          <w:sz w:val="24"/>
          <w:szCs w:val="24"/>
        </w:rPr>
        <w:t>In evaluating settlements in ESP cases, the PUCO should recognize the</w:t>
      </w:r>
      <w:r w:rsidR="00F47E76">
        <w:rPr>
          <w:rFonts w:ascii="Times New Roman" w:hAnsi="Times New Roman" w:cs="Times New Roman"/>
          <w:sz w:val="24"/>
          <w:szCs w:val="24"/>
        </w:rPr>
        <w:t xml:space="preserve"> parties’</w:t>
      </w:r>
      <w:r w:rsidRPr="00F05B9B">
        <w:rPr>
          <w:rFonts w:ascii="Times New Roman" w:hAnsi="Times New Roman" w:cs="Times New Roman"/>
          <w:sz w:val="24"/>
          <w:szCs w:val="24"/>
        </w:rPr>
        <w:t xml:space="preserve"> asymmetrical bargaining positions</w:t>
      </w:r>
      <w:r w:rsidR="00FB7AC1">
        <w:rPr>
          <w:rFonts w:ascii="Times New Roman" w:hAnsi="Times New Roman" w:cs="Times New Roman"/>
          <w:sz w:val="24"/>
          <w:szCs w:val="24"/>
        </w:rPr>
        <w:t>, where the utility possesses superior bargaining power</w:t>
      </w:r>
      <w:r w:rsidRPr="00F05B9B">
        <w:rPr>
          <w:rFonts w:ascii="Times New Roman" w:hAnsi="Times New Roman" w:cs="Times New Roman"/>
          <w:sz w:val="24"/>
          <w:szCs w:val="24"/>
        </w:rPr>
        <w:t>.</w:t>
      </w:r>
      <w:r w:rsidR="00BB12C6">
        <w:rPr>
          <w:rStyle w:val="FootnoteReference"/>
          <w:rFonts w:ascii="Times New Roman" w:hAnsi="Times New Roman" w:cs="Times New Roman"/>
          <w:sz w:val="24"/>
          <w:szCs w:val="24"/>
        </w:rPr>
        <w:footnoteReference w:id="49"/>
      </w:r>
      <w:r w:rsidRPr="00F05B9B">
        <w:rPr>
          <w:rFonts w:ascii="Times New Roman" w:hAnsi="Times New Roman" w:cs="Times New Roman"/>
          <w:sz w:val="24"/>
          <w:szCs w:val="24"/>
        </w:rPr>
        <w:t xml:space="preserve"> </w:t>
      </w:r>
      <w:r w:rsidR="00AD3AA8">
        <w:rPr>
          <w:rFonts w:ascii="Times New Roman" w:hAnsi="Times New Roman" w:cs="Times New Roman"/>
          <w:sz w:val="24"/>
          <w:szCs w:val="24"/>
        </w:rPr>
        <w:t xml:space="preserve"> </w:t>
      </w:r>
      <w:r w:rsidRPr="00F05B9B">
        <w:rPr>
          <w:rFonts w:ascii="Times New Roman" w:hAnsi="Times New Roman" w:cs="Times New Roman"/>
          <w:sz w:val="24"/>
          <w:szCs w:val="24"/>
        </w:rPr>
        <w:t>As Commissioner Roberto noted in FirstEnergy’s initial ESP case filed in 2008:</w:t>
      </w:r>
    </w:p>
    <w:p w:rsidR="00241333" w:rsidRPr="00F05B9B" w:rsidRDefault="00241333" w:rsidP="00241333">
      <w:pPr>
        <w:autoSpaceDE w:val="0"/>
        <w:autoSpaceDN w:val="0"/>
        <w:adjustRightInd w:val="0"/>
        <w:spacing w:after="0" w:line="240" w:lineRule="auto"/>
        <w:ind w:left="1440" w:right="720"/>
        <w:rPr>
          <w:rFonts w:ascii="Times New Roman" w:hAnsi="Times New Roman" w:cs="Times New Roman"/>
          <w:sz w:val="24"/>
          <w:szCs w:val="24"/>
        </w:rPr>
      </w:pPr>
      <w:r w:rsidRPr="00F05B9B">
        <w:rPr>
          <w:rFonts w:ascii="Times New Roman" w:hAnsi="Times New Roman" w:cs="Times New Roman"/>
          <w:sz w:val="24"/>
          <w:szCs w:val="24"/>
        </w:rPr>
        <w:t xml:space="preserve">When parties are capable, knowledgeable and stand equal before the Commission, a stipulation is a valuable indicator of the parties’ general satisfaction that the jointly recommended result will meet private or collective needs. It is not a substitute, however, for the Commission’s judgment as to the public interest. The Commission is obligated to exercise independent judgment based on the statutes that it has been entrusted to implement, the record before it, and its specialized expertise and discretion. </w:t>
      </w:r>
    </w:p>
    <w:p w:rsidR="00241333" w:rsidRPr="00F05B9B" w:rsidRDefault="00241333" w:rsidP="00241333">
      <w:pPr>
        <w:autoSpaceDE w:val="0"/>
        <w:autoSpaceDN w:val="0"/>
        <w:adjustRightInd w:val="0"/>
        <w:spacing w:after="0" w:line="240" w:lineRule="auto"/>
        <w:ind w:left="1440" w:right="1440"/>
        <w:rPr>
          <w:rFonts w:ascii="Times New Roman" w:hAnsi="Times New Roman" w:cs="Times New Roman"/>
          <w:sz w:val="24"/>
          <w:szCs w:val="24"/>
        </w:rPr>
      </w:pPr>
    </w:p>
    <w:p w:rsidR="00241333" w:rsidRPr="00F05B9B" w:rsidRDefault="00241333" w:rsidP="00241333">
      <w:pPr>
        <w:autoSpaceDE w:val="0"/>
        <w:autoSpaceDN w:val="0"/>
        <w:adjustRightInd w:val="0"/>
        <w:spacing w:after="0" w:line="240" w:lineRule="auto"/>
        <w:ind w:left="1440" w:right="720"/>
        <w:rPr>
          <w:rFonts w:ascii="Times New Roman" w:hAnsi="Times New Roman" w:cs="Times New Roman"/>
          <w:sz w:val="24"/>
          <w:szCs w:val="24"/>
        </w:rPr>
      </w:pPr>
      <w:r w:rsidRPr="00F05B9B">
        <w:rPr>
          <w:rFonts w:ascii="Times New Roman" w:hAnsi="Times New Roman" w:cs="Times New Roman"/>
          <w:sz w:val="24"/>
          <w:szCs w:val="24"/>
        </w:rPr>
        <w:t>In the case of an ESP, the balance of power created by an electric distribution utility’s authority to withdraw a Commission-modified and approved plan creates a dynamic that is impossible to ignore. I have no reservation that the parties are indeed capable and knowledgeable but, because of the utility's ability to withdraw, the remaining parties certainly do not possess equal bargaining power in an ESP action before the Commission. The Commission must consider whether an agreed-upon stipulation arising under an ESP represents what the parties truly view to be in their best interest – or simply the best that they can hope to achieve when one party has the singular authority to reject not only any and all modifications proffered by the other parties but the Commission’s independent judgment as to what is just and reasonable. In light of the Commission’s fundamental lack of authority in the context of an ESP application to serve as the binding arbiter of what is reasonable, a party’s willingness to agree with an electric distr</w:t>
      </w:r>
      <w:r w:rsidR="003331ED">
        <w:rPr>
          <w:rFonts w:ascii="Times New Roman" w:hAnsi="Times New Roman" w:cs="Times New Roman"/>
          <w:sz w:val="24"/>
          <w:szCs w:val="24"/>
        </w:rPr>
        <w:t>ibution utility application can</w:t>
      </w:r>
      <w:r w:rsidRPr="00F05B9B">
        <w:rPr>
          <w:rFonts w:ascii="Times New Roman" w:hAnsi="Times New Roman" w:cs="Times New Roman"/>
          <w:sz w:val="24"/>
          <w:szCs w:val="24"/>
        </w:rPr>
        <w:t xml:space="preserve">not be afforded the same weight due as when an agreement arises within the context of other regulatory frameworks. As such, the Commission must review carefully </w:t>
      </w:r>
      <w:r w:rsidRPr="00F05B9B">
        <w:rPr>
          <w:rFonts w:ascii="Times New Roman" w:hAnsi="Times New Roman" w:cs="Times New Roman"/>
          <w:iCs/>
          <w:sz w:val="24"/>
          <w:szCs w:val="24"/>
        </w:rPr>
        <w:t>all terms and conditions of this stipulation</w:t>
      </w:r>
      <w:r w:rsidRPr="00F05B9B">
        <w:rPr>
          <w:rFonts w:ascii="Times New Roman" w:hAnsi="Times New Roman" w:cs="Times New Roman"/>
          <w:sz w:val="24"/>
          <w:szCs w:val="24"/>
        </w:rPr>
        <w:t>.</w:t>
      </w:r>
      <w:r w:rsidRPr="00F05B9B">
        <w:rPr>
          <w:rStyle w:val="FootnoteReference"/>
          <w:rFonts w:ascii="Times New Roman" w:hAnsi="Times New Roman" w:cs="Times New Roman"/>
        </w:rPr>
        <w:footnoteReference w:id="50"/>
      </w:r>
    </w:p>
    <w:p w:rsidR="00241333" w:rsidRPr="00F05B9B" w:rsidRDefault="00241333" w:rsidP="00241333">
      <w:pPr>
        <w:autoSpaceDE w:val="0"/>
        <w:autoSpaceDN w:val="0"/>
        <w:adjustRightInd w:val="0"/>
        <w:spacing w:after="0" w:line="240" w:lineRule="auto"/>
        <w:ind w:left="1440" w:right="1440"/>
        <w:rPr>
          <w:rFonts w:ascii="Times New Roman" w:hAnsi="Times New Roman" w:cs="Times New Roman"/>
          <w:sz w:val="24"/>
          <w:szCs w:val="24"/>
        </w:rPr>
      </w:pPr>
    </w:p>
    <w:p w:rsidR="00241333" w:rsidRPr="00F05B9B" w:rsidRDefault="00241333" w:rsidP="00241333">
      <w:pPr>
        <w:autoSpaceDE w:val="0"/>
        <w:autoSpaceDN w:val="0"/>
        <w:adjustRightInd w:val="0"/>
        <w:spacing w:after="0" w:line="480" w:lineRule="auto"/>
        <w:rPr>
          <w:rFonts w:ascii="Times New Roman" w:hAnsi="Times New Roman" w:cs="Times New Roman"/>
          <w:sz w:val="24"/>
          <w:szCs w:val="24"/>
        </w:rPr>
      </w:pPr>
      <w:r w:rsidRPr="00F05B9B">
        <w:rPr>
          <w:rFonts w:ascii="Times New Roman" w:hAnsi="Times New Roman" w:cs="Times New Roman"/>
          <w:sz w:val="24"/>
          <w:szCs w:val="24"/>
        </w:rPr>
        <w:tab/>
        <w:t xml:space="preserve">Commissioners Centolella and Lemmie </w:t>
      </w:r>
      <w:r w:rsidR="003331ED">
        <w:rPr>
          <w:rFonts w:ascii="Times New Roman" w:hAnsi="Times New Roman" w:cs="Times New Roman"/>
          <w:sz w:val="24"/>
          <w:szCs w:val="24"/>
        </w:rPr>
        <w:t>expressed</w:t>
      </w:r>
      <w:r w:rsidRPr="00F05B9B">
        <w:rPr>
          <w:rFonts w:ascii="Times New Roman" w:hAnsi="Times New Roman" w:cs="Times New Roman"/>
          <w:sz w:val="24"/>
          <w:szCs w:val="24"/>
        </w:rPr>
        <w:t xml:space="preserve"> similar concerns.</w:t>
      </w:r>
      <w:r w:rsidRPr="00F05B9B">
        <w:rPr>
          <w:rStyle w:val="FootnoteReference"/>
          <w:rFonts w:ascii="Times New Roman" w:hAnsi="Times New Roman" w:cs="Times New Roman"/>
        </w:rPr>
        <w:footnoteReference w:id="51"/>
      </w:r>
      <w:r w:rsidRPr="00F05B9B">
        <w:rPr>
          <w:rFonts w:ascii="Times New Roman" w:hAnsi="Times New Roman" w:cs="Times New Roman"/>
          <w:sz w:val="16"/>
          <w:szCs w:val="16"/>
        </w:rPr>
        <w:t xml:space="preserve"> </w:t>
      </w:r>
      <w:r w:rsidR="00AD3AA8">
        <w:rPr>
          <w:rFonts w:ascii="Times New Roman" w:hAnsi="Times New Roman" w:cs="Times New Roman"/>
          <w:sz w:val="16"/>
          <w:szCs w:val="16"/>
        </w:rPr>
        <w:t xml:space="preserve"> </w:t>
      </w:r>
      <w:r w:rsidRPr="00F05B9B">
        <w:rPr>
          <w:rFonts w:ascii="Times New Roman" w:hAnsi="Times New Roman" w:cs="Times New Roman"/>
          <w:sz w:val="16"/>
          <w:szCs w:val="16"/>
        </w:rPr>
        <w:t xml:space="preserve"> </w:t>
      </w:r>
      <w:r w:rsidRPr="00F05B9B">
        <w:rPr>
          <w:rFonts w:ascii="Times New Roman" w:hAnsi="Times New Roman" w:cs="Times New Roman"/>
          <w:sz w:val="24"/>
          <w:szCs w:val="24"/>
        </w:rPr>
        <w:t>As reflected in Commissioner Roberto’s opinion, the bargaining position of an electric distribution utility relative to other</w:t>
      </w:r>
      <w:r w:rsidR="00BB12C6">
        <w:rPr>
          <w:rFonts w:ascii="Times New Roman" w:hAnsi="Times New Roman" w:cs="Times New Roman"/>
          <w:sz w:val="24"/>
          <w:szCs w:val="24"/>
        </w:rPr>
        <w:t xml:space="preserve"> parties in an ESP proceeding i</w:t>
      </w:r>
      <w:r w:rsidRPr="00F05B9B">
        <w:rPr>
          <w:rFonts w:ascii="Times New Roman" w:hAnsi="Times New Roman" w:cs="Times New Roman"/>
          <w:sz w:val="24"/>
          <w:szCs w:val="24"/>
        </w:rPr>
        <w:t xml:space="preserve">s strengthened by the ability of the electric distribution utility to reject the results from a fully litigated </w:t>
      </w:r>
      <w:r w:rsidR="003331ED">
        <w:rPr>
          <w:rFonts w:ascii="Times New Roman" w:hAnsi="Times New Roman" w:cs="Times New Roman"/>
          <w:sz w:val="24"/>
          <w:szCs w:val="24"/>
        </w:rPr>
        <w:t>ESP</w:t>
      </w:r>
      <w:r w:rsidRPr="00F05B9B">
        <w:rPr>
          <w:rFonts w:ascii="Times New Roman" w:hAnsi="Times New Roman" w:cs="Times New Roman"/>
          <w:sz w:val="24"/>
          <w:szCs w:val="24"/>
        </w:rPr>
        <w:t xml:space="preserve"> proceeding.</w:t>
      </w:r>
      <w:r w:rsidR="005A2920">
        <w:rPr>
          <w:rFonts w:ascii="Times New Roman" w:hAnsi="Times New Roman" w:cs="Times New Roman"/>
          <w:sz w:val="24"/>
          <w:szCs w:val="24"/>
        </w:rPr>
        <w:t xml:space="preserve">  And the utility’s advantage is further increased by the utility’s ability to offer inducements, including inducements funded by other people’s money, to gain signatures.</w:t>
      </w:r>
      <w:r w:rsidRPr="00F05B9B">
        <w:rPr>
          <w:rFonts w:ascii="Times New Roman" w:hAnsi="Times New Roman" w:cs="Times New Roman"/>
          <w:sz w:val="24"/>
          <w:szCs w:val="24"/>
        </w:rPr>
        <w:t xml:space="preserve"> </w:t>
      </w:r>
      <w:r w:rsidR="00AD3AA8">
        <w:rPr>
          <w:rFonts w:ascii="Times New Roman" w:hAnsi="Times New Roman" w:cs="Times New Roman"/>
          <w:sz w:val="24"/>
          <w:szCs w:val="24"/>
        </w:rPr>
        <w:t xml:space="preserve"> </w:t>
      </w:r>
      <w:r w:rsidRPr="00F05B9B">
        <w:rPr>
          <w:rFonts w:ascii="Times New Roman" w:hAnsi="Times New Roman" w:cs="Times New Roman"/>
          <w:sz w:val="24"/>
          <w:szCs w:val="24"/>
        </w:rPr>
        <w:t>Th</w:t>
      </w:r>
      <w:r w:rsidR="005A2920">
        <w:rPr>
          <w:rFonts w:ascii="Times New Roman" w:hAnsi="Times New Roman" w:cs="Times New Roman"/>
          <w:sz w:val="24"/>
          <w:szCs w:val="24"/>
        </w:rPr>
        <w:t>ese</w:t>
      </w:r>
      <w:r w:rsidRPr="00F05B9B">
        <w:rPr>
          <w:rFonts w:ascii="Times New Roman" w:hAnsi="Times New Roman" w:cs="Times New Roman"/>
          <w:sz w:val="24"/>
          <w:szCs w:val="24"/>
        </w:rPr>
        <w:t xml:space="preserve"> </w:t>
      </w:r>
      <w:r w:rsidR="005A2920">
        <w:rPr>
          <w:rFonts w:ascii="Times New Roman" w:hAnsi="Times New Roman" w:cs="Times New Roman"/>
          <w:sz w:val="24"/>
          <w:szCs w:val="24"/>
        </w:rPr>
        <w:t xml:space="preserve">utility advantages </w:t>
      </w:r>
      <w:r w:rsidRPr="00F05B9B">
        <w:rPr>
          <w:rFonts w:ascii="Times New Roman" w:hAnsi="Times New Roman" w:cs="Times New Roman"/>
          <w:sz w:val="24"/>
          <w:szCs w:val="24"/>
        </w:rPr>
        <w:t xml:space="preserve">should </w:t>
      </w:r>
      <w:r w:rsidR="005A2920">
        <w:rPr>
          <w:rFonts w:ascii="Times New Roman" w:hAnsi="Times New Roman" w:cs="Times New Roman"/>
          <w:sz w:val="24"/>
          <w:szCs w:val="24"/>
        </w:rPr>
        <w:t>prompt a wary eye by regulators considering the terms of a settlement that the utility negotiated</w:t>
      </w:r>
      <w:r w:rsidRPr="00F05B9B">
        <w:rPr>
          <w:rFonts w:ascii="Times New Roman" w:hAnsi="Times New Roman" w:cs="Times New Roman"/>
          <w:sz w:val="24"/>
          <w:szCs w:val="24"/>
        </w:rPr>
        <w:t xml:space="preserve">. </w:t>
      </w:r>
      <w:r w:rsidR="00AD3AA8">
        <w:rPr>
          <w:rFonts w:ascii="Times New Roman" w:hAnsi="Times New Roman" w:cs="Times New Roman"/>
          <w:sz w:val="24"/>
          <w:szCs w:val="24"/>
        </w:rPr>
        <w:t xml:space="preserve"> </w:t>
      </w:r>
    </w:p>
    <w:p w:rsidR="00241333" w:rsidRPr="00F05B9B" w:rsidRDefault="00241333" w:rsidP="00241333">
      <w:pPr>
        <w:autoSpaceDE w:val="0"/>
        <w:autoSpaceDN w:val="0"/>
        <w:adjustRightInd w:val="0"/>
        <w:spacing w:after="0" w:line="480" w:lineRule="auto"/>
        <w:ind w:firstLine="720"/>
        <w:rPr>
          <w:rFonts w:ascii="Times New Roman" w:hAnsi="Times New Roman" w:cs="Times New Roman"/>
          <w:sz w:val="24"/>
          <w:szCs w:val="24"/>
        </w:rPr>
      </w:pPr>
      <w:r w:rsidRPr="00F05B9B">
        <w:rPr>
          <w:rFonts w:ascii="Times New Roman" w:hAnsi="Times New Roman" w:cs="Times New Roman"/>
          <w:sz w:val="24"/>
          <w:szCs w:val="24"/>
        </w:rPr>
        <w:t xml:space="preserve">The ultimate question to be answered is whether, in light of the record, </w:t>
      </w:r>
      <w:r w:rsidR="00BB12C6">
        <w:rPr>
          <w:rFonts w:ascii="Times New Roman" w:hAnsi="Times New Roman" w:cs="Times New Roman"/>
          <w:sz w:val="24"/>
          <w:szCs w:val="24"/>
        </w:rPr>
        <w:t xml:space="preserve">AEP Ohio's proposals are </w:t>
      </w:r>
      <w:r w:rsidRPr="00F05B9B">
        <w:rPr>
          <w:rFonts w:ascii="Times New Roman" w:hAnsi="Times New Roman" w:cs="Times New Roman"/>
          <w:sz w:val="24"/>
          <w:szCs w:val="24"/>
        </w:rPr>
        <w:t>reasonable, compl</w:t>
      </w:r>
      <w:r w:rsidR="00BB12C6">
        <w:rPr>
          <w:rFonts w:ascii="Times New Roman" w:hAnsi="Times New Roman" w:cs="Times New Roman"/>
          <w:sz w:val="24"/>
          <w:szCs w:val="24"/>
        </w:rPr>
        <w:t>y</w:t>
      </w:r>
      <w:r w:rsidRPr="00F05B9B">
        <w:rPr>
          <w:rFonts w:ascii="Times New Roman" w:hAnsi="Times New Roman" w:cs="Times New Roman"/>
          <w:sz w:val="24"/>
          <w:szCs w:val="24"/>
        </w:rPr>
        <w:t xml:space="preserve"> with Ohio law</w:t>
      </w:r>
      <w:r w:rsidR="003331ED">
        <w:rPr>
          <w:rFonts w:ascii="Times New Roman" w:hAnsi="Times New Roman" w:cs="Times New Roman"/>
          <w:sz w:val="24"/>
          <w:szCs w:val="24"/>
        </w:rPr>
        <w:t>,</w:t>
      </w:r>
      <w:r w:rsidRPr="00F05B9B">
        <w:rPr>
          <w:rFonts w:ascii="Times New Roman" w:hAnsi="Times New Roman" w:cs="Times New Roman"/>
          <w:sz w:val="24"/>
          <w:szCs w:val="24"/>
        </w:rPr>
        <w:t xml:space="preserve"> and </w:t>
      </w:r>
      <w:r w:rsidR="00BB12C6">
        <w:rPr>
          <w:rFonts w:ascii="Times New Roman" w:hAnsi="Times New Roman" w:cs="Times New Roman"/>
          <w:sz w:val="24"/>
          <w:szCs w:val="24"/>
        </w:rPr>
        <w:t>are</w:t>
      </w:r>
      <w:r w:rsidR="003331ED">
        <w:rPr>
          <w:rFonts w:ascii="Times New Roman" w:hAnsi="Times New Roman" w:cs="Times New Roman"/>
          <w:sz w:val="24"/>
          <w:szCs w:val="24"/>
        </w:rPr>
        <w:t xml:space="preserve"> </w:t>
      </w:r>
      <w:r w:rsidRPr="00F05B9B">
        <w:rPr>
          <w:rFonts w:ascii="Times New Roman" w:hAnsi="Times New Roman" w:cs="Times New Roman"/>
          <w:sz w:val="24"/>
          <w:szCs w:val="24"/>
        </w:rPr>
        <w:t xml:space="preserve">in the public interest. </w:t>
      </w:r>
      <w:r w:rsidR="00AD3AA8">
        <w:rPr>
          <w:rFonts w:ascii="Times New Roman" w:hAnsi="Times New Roman" w:cs="Times New Roman"/>
          <w:sz w:val="24"/>
          <w:szCs w:val="24"/>
        </w:rPr>
        <w:t xml:space="preserve"> </w:t>
      </w:r>
      <w:r w:rsidRPr="00F05B9B">
        <w:rPr>
          <w:rFonts w:ascii="Times New Roman" w:hAnsi="Times New Roman" w:cs="Times New Roman"/>
          <w:sz w:val="24"/>
          <w:szCs w:val="24"/>
        </w:rPr>
        <w:t>As OCC shows</w:t>
      </w:r>
      <w:r w:rsidR="003331ED">
        <w:rPr>
          <w:rFonts w:ascii="Times New Roman" w:hAnsi="Times New Roman" w:cs="Times New Roman"/>
          <w:sz w:val="24"/>
          <w:szCs w:val="24"/>
        </w:rPr>
        <w:t xml:space="preserve"> below</w:t>
      </w:r>
      <w:r w:rsidRPr="00F05B9B">
        <w:rPr>
          <w:rFonts w:ascii="Times New Roman" w:hAnsi="Times New Roman" w:cs="Times New Roman"/>
          <w:sz w:val="24"/>
          <w:szCs w:val="24"/>
        </w:rPr>
        <w:t xml:space="preserve">, </w:t>
      </w:r>
      <w:r w:rsidR="00BB12C6">
        <w:rPr>
          <w:rFonts w:ascii="Times New Roman" w:hAnsi="Times New Roman" w:cs="Times New Roman"/>
          <w:sz w:val="24"/>
          <w:szCs w:val="24"/>
        </w:rPr>
        <w:t>AEP Ohio</w:t>
      </w:r>
      <w:r w:rsidRPr="00F05B9B">
        <w:rPr>
          <w:rFonts w:ascii="Times New Roman" w:hAnsi="Times New Roman" w:cs="Times New Roman"/>
          <w:sz w:val="24"/>
          <w:szCs w:val="24"/>
        </w:rPr>
        <w:t xml:space="preserve"> does not meet this standard.</w:t>
      </w:r>
    </w:p>
    <w:p w:rsidR="00AD6CD9" w:rsidRDefault="00241333" w:rsidP="003331ED">
      <w:pPr>
        <w:autoSpaceDE w:val="0"/>
        <w:autoSpaceDN w:val="0"/>
        <w:adjustRightInd w:val="0"/>
        <w:spacing w:after="0" w:line="480" w:lineRule="auto"/>
        <w:ind w:firstLine="720"/>
        <w:rPr>
          <w:rFonts w:ascii="Times New Roman" w:hAnsi="Times New Roman" w:cs="Times New Roman"/>
          <w:sz w:val="24"/>
          <w:szCs w:val="24"/>
        </w:rPr>
      </w:pPr>
      <w:r w:rsidRPr="00F05B9B">
        <w:rPr>
          <w:rFonts w:ascii="Times New Roman" w:hAnsi="Times New Roman" w:cs="Times New Roman"/>
          <w:sz w:val="24"/>
          <w:szCs w:val="24"/>
        </w:rPr>
        <w:t xml:space="preserve">In addition, the </w:t>
      </w:r>
      <w:r w:rsidR="007820A1">
        <w:rPr>
          <w:rFonts w:ascii="Times New Roman" w:hAnsi="Times New Roman" w:cs="Times New Roman"/>
          <w:sz w:val="24"/>
          <w:szCs w:val="24"/>
        </w:rPr>
        <w:t>PUCO</w:t>
      </w:r>
      <w:r w:rsidR="007820A1" w:rsidRPr="00F05B9B">
        <w:rPr>
          <w:rFonts w:ascii="Times New Roman" w:hAnsi="Times New Roman" w:cs="Times New Roman"/>
          <w:sz w:val="24"/>
          <w:szCs w:val="24"/>
        </w:rPr>
        <w:t xml:space="preserve"> </w:t>
      </w:r>
      <w:r w:rsidRPr="00F05B9B">
        <w:rPr>
          <w:rFonts w:ascii="Times New Roman" w:hAnsi="Times New Roman" w:cs="Times New Roman"/>
          <w:sz w:val="24"/>
          <w:szCs w:val="24"/>
        </w:rPr>
        <w:t xml:space="preserve">must ensure that the </w:t>
      </w:r>
      <w:r w:rsidR="003331ED">
        <w:rPr>
          <w:rFonts w:ascii="Times New Roman" w:hAnsi="Times New Roman" w:cs="Times New Roman"/>
          <w:sz w:val="24"/>
          <w:szCs w:val="24"/>
        </w:rPr>
        <w:t>Amended Application or, if the Joint Stipulation is approved, the Modified Amended Application,</w:t>
      </w:r>
      <w:r w:rsidRPr="00F05B9B">
        <w:rPr>
          <w:rFonts w:ascii="Times New Roman" w:hAnsi="Times New Roman" w:cs="Times New Roman"/>
          <w:sz w:val="24"/>
          <w:szCs w:val="24"/>
        </w:rPr>
        <w:t xml:space="preserve"> meets </w:t>
      </w:r>
      <w:r w:rsidR="003331ED">
        <w:rPr>
          <w:rFonts w:ascii="Times New Roman" w:hAnsi="Times New Roman" w:cs="Times New Roman"/>
          <w:sz w:val="24"/>
          <w:szCs w:val="24"/>
        </w:rPr>
        <w:t xml:space="preserve">the </w:t>
      </w:r>
      <w:r w:rsidRPr="00F05B9B">
        <w:rPr>
          <w:rFonts w:ascii="Times New Roman" w:hAnsi="Times New Roman" w:cs="Times New Roman"/>
          <w:sz w:val="24"/>
          <w:szCs w:val="24"/>
        </w:rPr>
        <w:t xml:space="preserve">provisions of the Ohio Revised Code </w:t>
      </w:r>
      <w:r w:rsidR="003331ED">
        <w:rPr>
          <w:rFonts w:ascii="Times New Roman" w:hAnsi="Times New Roman" w:cs="Times New Roman"/>
          <w:sz w:val="24"/>
          <w:szCs w:val="24"/>
        </w:rPr>
        <w:t>governing</w:t>
      </w:r>
      <w:r w:rsidRPr="00F05B9B">
        <w:rPr>
          <w:rFonts w:ascii="Times New Roman" w:hAnsi="Times New Roman" w:cs="Times New Roman"/>
          <w:sz w:val="24"/>
          <w:szCs w:val="24"/>
        </w:rPr>
        <w:t xml:space="preserve"> ESPs. </w:t>
      </w:r>
      <w:r w:rsidR="00AD3AA8">
        <w:rPr>
          <w:rFonts w:ascii="Times New Roman" w:hAnsi="Times New Roman" w:cs="Times New Roman"/>
          <w:sz w:val="24"/>
          <w:szCs w:val="24"/>
        </w:rPr>
        <w:t xml:space="preserve"> </w:t>
      </w:r>
      <w:r w:rsidR="00AD6CD9">
        <w:rPr>
          <w:rFonts w:ascii="Times New Roman" w:hAnsi="Times New Roman" w:cs="Times New Roman"/>
          <w:sz w:val="24"/>
          <w:szCs w:val="24"/>
        </w:rPr>
        <w:t xml:space="preserve">The standard of review for </w:t>
      </w:r>
      <w:r w:rsidR="00C129FD">
        <w:rPr>
          <w:rFonts w:ascii="Times New Roman" w:hAnsi="Times New Roman" w:cs="Times New Roman"/>
          <w:sz w:val="24"/>
          <w:szCs w:val="24"/>
        </w:rPr>
        <w:t xml:space="preserve">ESP cases is found in R.C. 4928.143(C)(1), </w:t>
      </w:r>
      <w:r w:rsidR="00AD6CD9">
        <w:rPr>
          <w:rFonts w:ascii="Times New Roman" w:hAnsi="Times New Roman" w:cs="Times New Roman"/>
          <w:sz w:val="24"/>
          <w:szCs w:val="24"/>
        </w:rPr>
        <w:t>which states in pertinent part:</w:t>
      </w:r>
    </w:p>
    <w:p w:rsidR="00AD6CD9" w:rsidRDefault="00AD6CD9" w:rsidP="00A57413">
      <w:pPr>
        <w:spacing w:after="0" w:line="240" w:lineRule="auto"/>
        <w:ind w:left="1440" w:right="720"/>
        <w:rPr>
          <w:rFonts w:ascii="Times New Roman" w:hAnsi="Times New Roman" w:cs="Times New Roman"/>
          <w:sz w:val="24"/>
          <w:szCs w:val="24"/>
        </w:rPr>
      </w:pPr>
      <w:r>
        <w:rPr>
          <w:rFonts w:ascii="Times New Roman" w:hAnsi="Times New Roman" w:cs="Times New Roman"/>
          <w:sz w:val="24"/>
          <w:szCs w:val="24"/>
        </w:rPr>
        <w:t xml:space="preserve">[T]he commission by order shall approve or modify and approve an application filed under division (A) of this section if it finds that the electric security plan so approved, including its pricing and all other terms and conditions, including any deferrals and any future recovery of deferrals, is more favorable in the aggregate as compared to the expected </w:t>
      </w:r>
      <w:r w:rsidR="00382453">
        <w:rPr>
          <w:rFonts w:ascii="Times New Roman" w:hAnsi="Times New Roman" w:cs="Times New Roman"/>
          <w:sz w:val="24"/>
          <w:szCs w:val="24"/>
        </w:rPr>
        <w:t>results</w:t>
      </w:r>
      <w:r>
        <w:rPr>
          <w:rFonts w:ascii="Times New Roman" w:hAnsi="Times New Roman" w:cs="Times New Roman"/>
          <w:sz w:val="24"/>
          <w:szCs w:val="24"/>
        </w:rPr>
        <w:t xml:space="preserve"> that would otherwise apply under section 4928.142 of the Revised Code.  Additionally, if the commission so approves an application that contains a surcharge under division (B)(2)(b) or (c) of this section, the commission shall ensure that the benefits derived for any purpose for which the surcharge is established are reserved and made available to those that bear the surcharge.  Otherwise, the commission by order shall disapprove the application.</w:t>
      </w:r>
    </w:p>
    <w:p w:rsidR="00AD6CD9" w:rsidRDefault="00AD6CD9" w:rsidP="00A57413">
      <w:pPr>
        <w:spacing w:after="0" w:line="240" w:lineRule="auto"/>
        <w:ind w:right="720"/>
        <w:rPr>
          <w:rFonts w:ascii="Times New Roman" w:hAnsi="Times New Roman" w:cs="Times New Roman"/>
          <w:sz w:val="24"/>
          <w:szCs w:val="24"/>
        </w:rPr>
      </w:pPr>
    </w:p>
    <w:p w:rsidR="00AD6CD9" w:rsidRDefault="00AD6CD9" w:rsidP="006175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Further, R.C. 4905.22 requires that every public utility furnish necessary and adequate service and facilities, and that all charges for any serv</w:t>
      </w:r>
      <w:r w:rsidR="00607DD4">
        <w:rPr>
          <w:rFonts w:ascii="Times New Roman" w:hAnsi="Times New Roman" w:cs="Times New Roman"/>
          <w:sz w:val="24"/>
          <w:szCs w:val="24"/>
        </w:rPr>
        <w:t>ice</w:t>
      </w:r>
      <w:r>
        <w:rPr>
          <w:rFonts w:ascii="Times New Roman" w:hAnsi="Times New Roman" w:cs="Times New Roman"/>
          <w:sz w:val="24"/>
          <w:szCs w:val="24"/>
        </w:rPr>
        <w:t xml:space="preserve"> must be just and reasonable.  Of course, AEP Ohio as the applicant bears the burden of proof.</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w:t>
      </w:r>
    </w:p>
    <w:p w:rsidR="00020AF0" w:rsidRPr="00AD6CD9" w:rsidRDefault="00020AF0" w:rsidP="00020AF0">
      <w:pPr>
        <w:spacing w:after="0" w:line="240" w:lineRule="auto"/>
        <w:rPr>
          <w:rFonts w:ascii="Times New Roman" w:hAnsi="Times New Roman" w:cs="Times New Roman"/>
          <w:sz w:val="24"/>
          <w:szCs w:val="24"/>
        </w:rPr>
      </w:pPr>
    </w:p>
    <w:p w:rsidR="00EE4742" w:rsidRDefault="00951324" w:rsidP="001D77BB">
      <w:pPr>
        <w:pStyle w:val="Heading1"/>
        <w:spacing w:after="120"/>
      </w:pPr>
      <w:bookmarkStart w:id="13" w:name="_Toc435428195"/>
      <w:bookmarkStart w:id="14" w:name="_Toc442104130"/>
      <w:r>
        <w:t>V.</w:t>
      </w:r>
      <w:r>
        <w:tab/>
      </w:r>
      <w:bookmarkEnd w:id="13"/>
      <w:r w:rsidR="00BE1CE2">
        <w:t>RECOMM</w:t>
      </w:r>
      <w:r w:rsidR="00D520AE">
        <w:t>E</w:t>
      </w:r>
      <w:r w:rsidR="00BE1CE2">
        <w:t>NDATIONS</w:t>
      </w:r>
      <w:bookmarkEnd w:id="14"/>
    </w:p>
    <w:p w:rsidR="00153CDF" w:rsidRPr="00153CDF" w:rsidRDefault="00020AF0" w:rsidP="001D77BB">
      <w:pPr>
        <w:pStyle w:val="Heading2"/>
        <w:spacing w:after="120"/>
      </w:pPr>
      <w:bookmarkStart w:id="15" w:name="_Toc442104131"/>
      <w:r>
        <w:t>A.</w:t>
      </w:r>
      <w:r>
        <w:tab/>
      </w:r>
      <w:r w:rsidR="00BE1CE2">
        <w:t xml:space="preserve">The </w:t>
      </w:r>
      <w:r w:rsidR="007820A1">
        <w:t xml:space="preserve">core responsibility </w:t>
      </w:r>
      <w:r w:rsidR="00BE1CE2">
        <w:t xml:space="preserve">of FERC, not the PUCO, </w:t>
      </w:r>
      <w:r w:rsidR="007820A1">
        <w:t xml:space="preserve">is to protect consumers by overseeing the nation’s </w:t>
      </w:r>
      <w:r w:rsidR="00434A95">
        <w:t xml:space="preserve">wholesale </w:t>
      </w:r>
      <w:r w:rsidR="007820A1">
        <w:t>electric markets; the</w:t>
      </w:r>
      <w:r w:rsidR="00153CDF" w:rsidRPr="00153CDF">
        <w:t xml:space="preserve"> PUCO is without jurisdiction</w:t>
      </w:r>
      <w:r w:rsidR="00153CDF">
        <w:t xml:space="preserve"> under federal law and state law</w:t>
      </w:r>
      <w:r w:rsidR="00434A95">
        <w:t xml:space="preserve"> to approve the PPA Rider</w:t>
      </w:r>
      <w:r>
        <w:t>.</w:t>
      </w:r>
      <w:bookmarkEnd w:id="15"/>
    </w:p>
    <w:p w:rsidR="00FD0EA4" w:rsidRPr="00FD0EA4" w:rsidRDefault="00A114E3" w:rsidP="00F27AA5">
      <w:pPr>
        <w:pStyle w:val="Heading3"/>
      </w:pPr>
      <w:bookmarkStart w:id="16" w:name="_Toc442104132"/>
      <w:r>
        <w:t>1.</w:t>
      </w:r>
      <w:r>
        <w:tab/>
      </w:r>
      <w:r w:rsidR="00D411DC">
        <w:t>It is necessary and appropriate for the PUCO to decide if it has jurisdiction in the first instance</w:t>
      </w:r>
      <w:r w:rsidR="00020AF0">
        <w:t>.</w:t>
      </w:r>
      <w:bookmarkEnd w:id="16"/>
    </w:p>
    <w:p w:rsidR="002142DB" w:rsidRDefault="00FD0EA4" w:rsidP="001301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is an administrative agency with the power to determine its own jurisdiction.</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It has recognized that before addressing the merits of a case, it must first determine the extent of its jurisdiction, if any.</w:t>
      </w:r>
      <w:r>
        <w:rPr>
          <w:rStyle w:val="FootnoteReference"/>
          <w:rFonts w:ascii="Times New Roman" w:hAnsi="Times New Roman" w:cs="Times New Roman"/>
          <w:sz w:val="24"/>
          <w:szCs w:val="24"/>
        </w:rPr>
        <w:footnoteReference w:id="54"/>
      </w:r>
      <w:r w:rsidR="008922E0">
        <w:rPr>
          <w:rFonts w:ascii="Times New Roman" w:hAnsi="Times New Roman" w:cs="Times New Roman"/>
          <w:sz w:val="24"/>
          <w:szCs w:val="24"/>
        </w:rPr>
        <w:t xml:space="preserve">  It has also recognized that it will not address the merits of a case, even after hearing, where further review of jurisdictional issue</w:t>
      </w:r>
      <w:r w:rsidR="00D411DC">
        <w:rPr>
          <w:rFonts w:ascii="Times New Roman" w:hAnsi="Times New Roman" w:cs="Times New Roman"/>
          <w:sz w:val="24"/>
          <w:szCs w:val="24"/>
        </w:rPr>
        <w:t>s</w:t>
      </w:r>
      <w:r w:rsidR="008922E0">
        <w:rPr>
          <w:rFonts w:ascii="Times New Roman" w:hAnsi="Times New Roman" w:cs="Times New Roman"/>
          <w:sz w:val="24"/>
          <w:szCs w:val="24"/>
        </w:rPr>
        <w:t xml:space="preserve"> leads to a finding of no jurisdiction.</w:t>
      </w:r>
      <w:r w:rsidR="008922E0">
        <w:rPr>
          <w:rStyle w:val="FootnoteReference"/>
          <w:rFonts w:ascii="Times New Roman" w:hAnsi="Times New Roman" w:cs="Times New Roman"/>
          <w:sz w:val="24"/>
          <w:szCs w:val="24"/>
        </w:rPr>
        <w:footnoteReference w:id="55"/>
      </w:r>
      <w:r w:rsidR="003565DE">
        <w:rPr>
          <w:rFonts w:ascii="Times New Roman" w:hAnsi="Times New Roman" w:cs="Times New Roman"/>
          <w:sz w:val="24"/>
          <w:szCs w:val="24"/>
        </w:rPr>
        <w:t xml:space="preserve">  As the Ohio Supreme Court has explained, it is “necessary and appropriate” for the PUCO to consider germane law to decide its own </w:t>
      </w:r>
    </w:p>
    <w:p w:rsidR="00FD0EA4" w:rsidRPr="00FD0EA4" w:rsidRDefault="003565DE" w:rsidP="002142DB">
      <w:pPr>
        <w:spacing w:after="0" w:line="480" w:lineRule="auto"/>
        <w:rPr>
          <w:rFonts w:ascii="Times New Roman" w:hAnsi="Times New Roman" w:cs="Times New Roman"/>
          <w:sz w:val="24"/>
          <w:szCs w:val="24"/>
        </w:rPr>
      </w:pPr>
      <w:r>
        <w:rPr>
          <w:rFonts w:ascii="Times New Roman" w:hAnsi="Times New Roman" w:cs="Times New Roman"/>
          <w:sz w:val="24"/>
          <w:szCs w:val="24"/>
        </w:rPr>
        <w:t>jurisdiction in the first instance.</w:t>
      </w:r>
      <w:r>
        <w:rPr>
          <w:rStyle w:val="FootnoteReference"/>
          <w:rFonts w:ascii="Times New Roman" w:hAnsi="Times New Roman" w:cs="Times New Roman"/>
          <w:sz w:val="24"/>
          <w:szCs w:val="24"/>
        </w:rPr>
        <w:footnoteReference w:id="56"/>
      </w:r>
      <w:r w:rsidR="00607DD4">
        <w:rPr>
          <w:rFonts w:ascii="Times New Roman" w:hAnsi="Times New Roman" w:cs="Times New Roman"/>
          <w:sz w:val="24"/>
          <w:szCs w:val="24"/>
        </w:rPr>
        <w:t xml:space="preserve">  Upon such consideration</w:t>
      </w:r>
      <w:r w:rsidR="004E4E11">
        <w:rPr>
          <w:rFonts w:ascii="Times New Roman" w:hAnsi="Times New Roman" w:cs="Times New Roman"/>
          <w:sz w:val="24"/>
          <w:szCs w:val="24"/>
        </w:rPr>
        <w:t xml:space="preserve"> here</w:t>
      </w:r>
      <w:r w:rsidR="00607DD4">
        <w:rPr>
          <w:rFonts w:ascii="Times New Roman" w:hAnsi="Times New Roman" w:cs="Times New Roman"/>
          <w:sz w:val="24"/>
          <w:szCs w:val="24"/>
        </w:rPr>
        <w:t>, the PUCO can come to but one conclusion:  It lacks jurisdiction.</w:t>
      </w:r>
      <w:r w:rsidR="00607DD4">
        <w:rPr>
          <w:rStyle w:val="FootnoteReference"/>
          <w:rFonts w:ascii="Times New Roman" w:hAnsi="Times New Roman" w:cs="Times New Roman"/>
          <w:sz w:val="24"/>
          <w:szCs w:val="24"/>
        </w:rPr>
        <w:footnoteReference w:id="57"/>
      </w:r>
    </w:p>
    <w:p w:rsidR="00C67791" w:rsidRDefault="00A114E3" w:rsidP="009F59F4">
      <w:pPr>
        <w:pStyle w:val="Heading3"/>
      </w:pPr>
      <w:bookmarkStart w:id="17" w:name="_Toc435428198"/>
      <w:bookmarkStart w:id="18" w:name="_Toc442104133"/>
      <w:r>
        <w:t>2.</w:t>
      </w:r>
      <w:r>
        <w:tab/>
      </w:r>
      <w:r w:rsidR="0026305C">
        <w:t>FERC</w:t>
      </w:r>
      <w:r w:rsidR="00380F28">
        <w:t xml:space="preserve"> h</w:t>
      </w:r>
      <w:r w:rsidR="004A19D6">
        <w:t xml:space="preserve">as </w:t>
      </w:r>
      <w:r w:rsidR="00380F28">
        <w:t>e</w:t>
      </w:r>
      <w:r w:rsidR="004A19D6" w:rsidRPr="00C67791">
        <w:t>xclusive</w:t>
      </w:r>
      <w:r w:rsidR="00380F28">
        <w:t xml:space="preserve"> jurisdiction o</w:t>
      </w:r>
      <w:r w:rsidR="004A19D6">
        <w:t>ver</w:t>
      </w:r>
      <w:bookmarkStart w:id="19" w:name="_Toc435428199"/>
      <w:bookmarkEnd w:id="17"/>
      <w:r w:rsidR="007D62E4">
        <w:t xml:space="preserve"> wholesale </w:t>
      </w:r>
      <w:r w:rsidR="007D62E4" w:rsidRPr="007D62E4">
        <w:t>energy</w:t>
      </w:r>
      <w:r w:rsidR="004A19D6" w:rsidRPr="007D62E4">
        <w:t xml:space="preserve"> </w:t>
      </w:r>
      <w:r w:rsidR="00D411DC">
        <w:t>t</w:t>
      </w:r>
      <w:r w:rsidR="004A19D6" w:rsidRPr="007D62E4">
        <w:t>ransactions</w:t>
      </w:r>
      <w:bookmarkEnd w:id="19"/>
      <w:r w:rsidR="00153CDF">
        <w:t xml:space="preserve"> as a matter of federal law</w:t>
      </w:r>
      <w:r w:rsidR="002142DB">
        <w:t>.</w:t>
      </w:r>
      <w:bookmarkEnd w:id="18"/>
    </w:p>
    <w:p w:rsidR="00390AD5" w:rsidRDefault="00F25E98" w:rsidP="002142DB">
      <w:pPr>
        <w:pStyle w:val="BodyText"/>
      </w:pPr>
      <w:r>
        <w:t>The PUCO’s jurisdiction over</w:t>
      </w:r>
      <w:r w:rsidRPr="005B322A">
        <w:t xml:space="preserve"> AEP </w:t>
      </w:r>
      <w:r>
        <w:t xml:space="preserve">Ohio’s proposed PPA Rider is </w:t>
      </w:r>
      <w:r w:rsidR="0026305C">
        <w:t xml:space="preserve">field and conflict </w:t>
      </w:r>
      <w:r>
        <w:t xml:space="preserve">preempted under the </w:t>
      </w:r>
      <w:r w:rsidR="00607DD4">
        <w:t>FPA</w:t>
      </w:r>
      <w:r>
        <w:t>.</w:t>
      </w:r>
      <w:r>
        <w:rPr>
          <w:rStyle w:val="FootnoteReference"/>
        </w:rPr>
        <w:footnoteReference w:id="58"/>
      </w:r>
      <w:r>
        <w:t xml:space="preserve">  </w:t>
      </w:r>
      <w:r w:rsidR="00E86B6F">
        <w:t xml:space="preserve">The FPA vests </w:t>
      </w:r>
      <w:r w:rsidR="0026305C">
        <w:t>FERC</w:t>
      </w:r>
      <w:r w:rsidR="00E86B6F">
        <w:t xml:space="preserve"> with </w:t>
      </w:r>
      <w:r w:rsidR="0019498E">
        <w:t>exclusive jurisdiction</w:t>
      </w:r>
      <w:r w:rsidR="00E86B6F">
        <w:t xml:space="preserve"> over the “transmission of electric energy in interstate commerce” and the “sale of electric energy at wholesale in interstate commerce.”</w:t>
      </w:r>
      <w:r w:rsidR="00E86B6F">
        <w:rPr>
          <w:rStyle w:val="FootnoteReference"/>
        </w:rPr>
        <w:footnoteReference w:id="59"/>
      </w:r>
      <w:r w:rsidR="00E86B6F">
        <w:t xml:space="preserve">  </w:t>
      </w:r>
      <w:r w:rsidR="0061518F">
        <w:t>Under the FPA, a wholesale sale is simply a sale for resale.</w:t>
      </w:r>
      <w:r w:rsidR="0061518F">
        <w:rPr>
          <w:rStyle w:val="FootnoteReference"/>
        </w:rPr>
        <w:footnoteReference w:id="60"/>
      </w:r>
      <w:r w:rsidR="0061518F">
        <w:t xml:space="preserve">  </w:t>
      </w:r>
      <w:r w:rsidR="00E86B6F">
        <w:t>Rather than directly setting rates, FERC has chosen to achieve its regulatory aims by “protecting the integrity of interstate markets.”</w:t>
      </w:r>
      <w:r w:rsidR="00E86B6F">
        <w:rPr>
          <w:rStyle w:val="FootnoteReference"/>
        </w:rPr>
        <w:footnoteReference w:id="61"/>
      </w:r>
      <w:r w:rsidR="00E86B6F">
        <w:t xml:space="preserve">  </w:t>
      </w:r>
      <w:r w:rsidR="00114487">
        <w:t xml:space="preserve">To do so, FERC has authorized the creation of regional transmission organizations to oversee certain </w:t>
      </w:r>
    </w:p>
    <w:p w:rsidR="00732B81" w:rsidRDefault="00114487" w:rsidP="00390AD5">
      <w:pPr>
        <w:pStyle w:val="BodyText"/>
        <w:tabs>
          <w:tab w:val="clear" w:pos="0"/>
          <w:tab w:val="clear" w:pos="720"/>
        </w:tabs>
        <w:ind w:firstLine="0"/>
      </w:pPr>
      <w:r>
        <w:t>multistate markets – including PJM.</w:t>
      </w:r>
      <w:r>
        <w:rPr>
          <w:rStyle w:val="FootnoteReference"/>
        </w:rPr>
        <w:footnoteReference w:id="62"/>
      </w:r>
      <w:r>
        <w:t xml:space="preserve">  PJM operates energy and capacity markets.</w:t>
      </w:r>
      <w:r>
        <w:rPr>
          <w:rStyle w:val="FootnoteReference"/>
        </w:rPr>
        <w:footnoteReference w:id="63"/>
      </w:r>
      <w:r>
        <w:t xml:space="preserve">  Both markets “are designed to efficiently allocate supply and demand, a function which has t</w:t>
      </w:r>
      <w:r w:rsidR="007C21B1">
        <w:t>he collateral benefit of incent</w:t>
      </w:r>
      <w:r>
        <w:t xml:space="preserve">ing the construction of </w:t>
      </w:r>
      <w:r w:rsidR="007B6365">
        <w:t>new power plants when necessary[]</w:t>
      </w:r>
      <w:r>
        <w:t>”</w:t>
      </w:r>
      <w:r w:rsidR="007B6365">
        <w:t xml:space="preserve"> via price signals.</w:t>
      </w:r>
      <w:r>
        <w:rPr>
          <w:rStyle w:val="FootnoteReference"/>
        </w:rPr>
        <w:footnoteReference w:id="64"/>
      </w:r>
      <w:r>
        <w:t xml:space="preserve">  They represent “a comprehensive program of regulation that is quite sensitive to external tampering.”</w:t>
      </w:r>
      <w:r>
        <w:rPr>
          <w:rStyle w:val="FootnoteReference"/>
        </w:rPr>
        <w:footnoteReference w:id="65"/>
      </w:r>
      <w:r w:rsidR="00732B81">
        <w:t xml:space="preserve">  </w:t>
      </w:r>
    </w:p>
    <w:p w:rsidR="0026305C" w:rsidRPr="00D411DC" w:rsidRDefault="006174B3" w:rsidP="00C401CE">
      <w:pPr>
        <w:pStyle w:val="Heading4"/>
      </w:pPr>
      <w:bookmarkStart w:id="20" w:name="_Toc435428200"/>
      <w:bookmarkStart w:id="21" w:name="_Toc442104134"/>
      <w:r>
        <w:t>a.</w:t>
      </w:r>
      <w:r>
        <w:tab/>
      </w:r>
      <w:r w:rsidR="00380F28" w:rsidRPr="00D411DC">
        <w:t>Field preemption under t</w:t>
      </w:r>
      <w:r w:rsidR="008F685C" w:rsidRPr="00D411DC">
        <w:t xml:space="preserve">he </w:t>
      </w:r>
      <w:r w:rsidR="007820A1">
        <w:t>Federal Power Act</w:t>
      </w:r>
      <w:bookmarkEnd w:id="20"/>
      <w:r w:rsidR="002142DB">
        <w:t>.</w:t>
      </w:r>
      <w:bookmarkEnd w:id="21"/>
    </w:p>
    <w:p w:rsidR="00607DD4" w:rsidRDefault="00F25E98" w:rsidP="002142DB">
      <w:pPr>
        <w:pStyle w:val="BodyText"/>
      </w:pPr>
      <w:r>
        <w:t>Field preemption occurs when “Congress has legislated comprehensively to occupy an entire field of regulation, leaving no room for the States to supplement federal law.”</w:t>
      </w:r>
      <w:r>
        <w:rPr>
          <w:rStyle w:val="FootnoteReference"/>
        </w:rPr>
        <w:footnoteReference w:id="66"/>
      </w:r>
      <w:r>
        <w:t xml:space="preserve">  </w:t>
      </w:r>
      <w:r w:rsidR="00B77EF5">
        <w:t xml:space="preserve">Actual conflict between a state enactment and federal law is not necessary to a finding of </w:t>
      </w:r>
      <w:r w:rsidR="00944935">
        <w:t>field</w:t>
      </w:r>
      <w:r w:rsidR="00B77EF5">
        <w:t xml:space="preserve"> preemption – “it is the mere fact of intrusion that offends the Supremacy Clause.”</w:t>
      </w:r>
      <w:r w:rsidR="00B77EF5">
        <w:rPr>
          <w:rStyle w:val="FootnoteReference"/>
        </w:rPr>
        <w:footnoteReference w:id="67"/>
      </w:r>
      <w:r w:rsidR="00B77EF5">
        <w:t xml:space="preserve">  “A wealth of case law confirms FERC’s exclusive power to regulate wholesale sales of energy in interstate commerce, . . .”</w:t>
      </w:r>
      <w:r w:rsidR="00B77EF5">
        <w:rPr>
          <w:rStyle w:val="FootnoteReference"/>
        </w:rPr>
        <w:footnoteReference w:id="68"/>
      </w:r>
      <w:r w:rsidR="00B77EF5">
        <w:t xml:space="preserve">  The FPA “leaves no room either for direct state regulation of the prices of interstate wholesales of [energy], or for state regulations which would indirectly achieve the same result.”</w:t>
      </w:r>
      <w:r w:rsidR="00B77EF5">
        <w:rPr>
          <w:rStyle w:val="FootnoteReference"/>
        </w:rPr>
        <w:footnoteReference w:id="69"/>
      </w:r>
      <w:r w:rsidR="00B77EF5">
        <w:t xml:space="preserve">  </w:t>
      </w:r>
      <w:r w:rsidR="007B6365">
        <w:t>S</w:t>
      </w:r>
      <w:r w:rsidR="00B77EF5">
        <w:t>tates cannot “rely on mere formal distinction in ‘an attempt’ to evade preemption and ‘regulate matters within FERC’s exclusive jurisdiction.’”</w:t>
      </w:r>
      <w:r w:rsidR="00B77EF5">
        <w:rPr>
          <w:rStyle w:val="FootnoteReference"/>
        </w:rPr>
        <w:footnoteReference w:id="70"/>
      </w:r>
      <w:r w:rsidR="001B29E8">
        <w:t xml:space="preserve">  </w:t>
      </w:r>
    </w:p>
    <w:p w:rsidR="00B77EF5" w:rsidRDefault="00607DD4" w:rsidP="002142DB">
      <w:pPr>
        <w:pStyle w:val="BodyText"/>
      </w:pPr>
      <w:r>
        <w:t>A</w:t>
      </w:r>
      <w:r w:rsidR="001B29E8">
        <w:t xml:space="preserve">ccordingly, a state program under which a participant in the PJM markets receives a fixed sum for every unit of capacity and energy that it clears, </w:t>
      </w:r>
      <w:r w:rsidR="001B29E8" w:rsidRPr="009A3D5A">
        <w:rPr>
          <w:i/>
        </w:rPr>
        <w:t xml:space="preserve">even if </w:t>
      </w:r>
      <w:r w:rsidR="00E3373C" w:rsidRPr="009A3D5A">
        <w:rPr>
          <w:i/>
        </w:rPr>
        <w:t>the state program</w:t>
      </w:r>
      <w:r w:rsidR="001B29E8" w:rsidRPr="009A3D5A">
        <w:rPr>
          <w:i/>
        </w:rPr>
        <w:t xml:space="preserve"> does not fix the rate paid by PJM to the market participant</w:t>
      </w:r>
      <w:r w:rsidR="001B29E8">
        <w:t>, is preempted.</w:t>
      </w:r>
      <w:r w:rsidR="001B29E8">
        <w:rPr>
          <w:rStyle w:val="FootnoteReference"/>
        </w:rPr>
        <w:footnoteReference w:id="71"/>
      </w:r>
      <w:r w:rsidR="00B77EF5">
        <w:t xml:space="preserve"> </w:t>
      </w:r>
      <w:r w:rsidR="00274D47">
        <w:t xml:space="preserve"> </w:t>
      </w:r>
      <w:r w:rsidR="003D2636">
        <w:t xml:space="preserve">So is a state program under which a PJM market participant receives the rate paid by PJM to the market participant </w:t>
      </w:r>
      <w:r w:rsidR="003462C0">
        <w:t>plus</w:t>
      </w:r>
      <w:r w:rsidR="003D2636">
        <w:t xml:space="preserve"> an additional amount.</w:t>
      </w:r>
      <w:r w:rsidR="003D2636">
        <w:rPr>
          <w:rStyle w:val="FootnoteReference"/>
        </w:rPr>
        <w:footnoteReference w:id="72"/>
      </w:r>
      <w:r w:rsidR="003D2636">
        <w:t xml:space="preserve">  </w:t>
      </w:r>
      <w:r w:rsidR="00274D47">
        <w:t>“The fact that [a state program] does not formally upset the terms of a federal transaction is no defense, since the functional results are precisely the same.”</w:t>
      </w:r>
      <w:r w:rsidR="00274D47">
        <w:rPr>
          <w:rStyle w:val="FootnoteReference"/>
        </w:rPr>
        <w:footnoteReference w:id="73"/>
      </w:r>
      <w:r w:rsidR="009B2202">
        <w:t xml:space="preserve">  Nor is a state program saved where it incorporates, rather than repudiates, PJM clearing prices.</w:t>
      </w:r>
      <w:r w:rsidR="009B2202">
        <w:rPr>
          <w:rStyle w:val="FootnoteReference"/>
        </w:rPr>
        <w:footnoteReference w:id="74"/>
      </w:r>
      <w:r w:rsidR="00B77EF5">
        <w:t xml:space="preserve"> </w:t>
      </w:r>
    </w:p>
    <w:p w:rsidR="00E3373C" w:rsidRPr="00951324" w:rsidRDefault="006174B3" w:rsidP="00C401CE">
      <w:pPr>
        <w:pStyle w:val="Heading4"/>
      </w:pPr>
      <w:bookmarkStart w:id="22" w:name="_Toc435428201"/>
      <w:bookmarkStart w:id="23" w:name="_Toc442104135"/>
      <w:r>
        <w:rPr>
          <w:rStyle w:val="Heading4Char"/>
        </w:rPr>
        <w:t>b.</w:t>
      </w:r>
      <w:r>
        <w:rPr>
          <w:rStyle w:val="Heading4Char"/>
        </w:rPr>
        <w:tab/>
      </w:r>
      <w:r w:rsidR="00380F28">
        <w:rPr>
          <w:rStyle w:val="Heading4Char"/>
        </w:rPr>
        <w:t>Conflict preemption under t</w:t>
      </w:r>
      <w:r w:rsidR="008F685C" w:rsidRPr="00951324">
        <w:rPr>
          <w:rStyle w:val="Heading4Char"/>
        </w:rPr>
        <w:t>he F</w:t>
      </w:r>
      <w:r w:rsidR="007820A1">
        <w:rPr>
          <w:rStyle w:val="Heading4Char"/>
        </w:rPr>
        <w:t>ederal Power Act</w:t>
      </w:r>
      <w:bookmarkEnd w:id="22"/>
      <w:r w:rsidR="002142DB">
        <w:rPr>
          <w:rStyle w:val="Heading4Char"/>
        </w:rPr>
        <w:t>.</w:t>
      </w:r>
      <w:bookmarkEnd w:id="23"/>
    </w:p>
    <w:p w:rsidR="00274D47" w:rsidRDefault="00F25E98" w:rsidP="00A57413">
      <w:pPr>
        <w:pStyle w:val="BodyText"/>
      </w:pPr>
      <w:r>
        <w:t>Conflict preemption applies “where under the circumstances of a particular case, the challenged state law stands as an obstacle to the accomplishment and execution of the full purpos</w:t>
      </w:r>
      <w:r w:rsidR="00274D47">
        <w:t>es and objectives of Congress.”</w:t>
      </w:r>
      <w:r w:rsidR="00274D47">
        <w:rPr>
          <w:rStyle w:val="FootnoteReference"/>
        </w:rPr>
        <w:footnoteReference w:id="75"/>
      </w:r>
      <w:r w:rsidR="007B6365">
        <w:t xml:space="preserve">  A state program that has the potential to distort PJM auction price signals has been held conflict preempted.</w:t>
      </w:r>
      <w:r w:rsidR="007B6365">
        <w:rPr>
          <w:rStyle w:val="FootnoteReference"/>
        </w:rPr>
        <w:footnoteReference w:id="76"/>
      </w:r>
      <w:r w:rsidR="00274D47">
        <w:t xml:space="preserve">  </w:t>
      </w:r>
    </w:p>
    <w:p w:rsidR="00D520AE" w:rsidRDefault="00D520AE">
      <w:pPr>
        <w:rPr>
          <w:rFonts w:ascii="Times New Roman Bold" w:eastAsia="WenQuanYi Micro Hei" w:hAnsi="Times New Roman Bold" w:cs="Times New Roman"/>
          <w:b/>
          <w:sz w:val="24"/>
          <w:szCs w:val="24"/>
          <w:lang w:eastAsia="zh-CN" w:bidi="hi-IN"/>
        </w:rPr>
      </w:pPr>
      <w:bookmarkStart w:id="24" w:name="_Toc435428202"/>
      <w:r>
        <w:br w:type="page"/>
      </w:r>
    </w:p>
    <w:p w:rsidR="00AA6E6C" w:rsidRPr="00153CDF" w:rsidRDefault="00A114E3" w:rsidP="00F27AA5">
      <w:pPr>
        <w:pStyle w:val="Heading3"/>
      </w:pPr>
      <w:bookmarkStart w:id="25" w:name="_Toc442104136"/>
      <w:r>
        <w:t>3.</w:t>
      </w:r>
      <w:r>
        <w:tab/>
      </w:r>
      <w:r w:rsidR="00380F28" w:rsidRPr="00153CDF">
        <w:t>The PUCO’s jurisdiction is field preempted b</w:t>
      </w:r>
      <w:r w:rsidR="007F0F7A" w:rsidRPr="00153CDF">
        <w:t>ecause</w:t>
      </w:r>
      <w:r w:rsidR="00434A95">
        <w:t>,</w:t>
      </w:r>
      <w:r w:rsidR="007F0F7A" w:rsidRPr="00153CDF">
        <w:t xml:space="preserve"> </w:t>
      </w:r>
      <w:r w:rsidR="00380F28" w:rsidRPr="00153CDF">
        <w:t>u</w:t>
      </w:r>
      <w:r w:rsidR="004A19D6" w:rsidRPr="00153CDF">
        <w:t>nder</w:t>
      </w:r>
      <w:r w:rsidR="00380F28" w:rsidRPr="00153CDF">
        <w:t xml:space="preserve"> the PPA </w:t>
      </w:r>
      <w:r w:rsidR="00153CDF" w:rsidRPr="00153CDF">
        <w:t>R</w:t>
      </w:r>
      <w:r w:rsidR="00380F28" w:rsidRPr="00153CDF">
        <w:t>ider, the PJM market p</w:t>
      </w:r>
      <w:r w:rsidR="00434A95">
        <w:t>articipant</w:t>
      </w:r>
      <w:r w:rsidR="004A19D6" w:rsidRPr="00153CDF">
        <w:t xml:space="preserve"> </w:t>
      </w:r>
      <w:r w:rsidR="00434A95">
        <w:t>(AEP Ohio)</w:t>
      </w:r>
      <w:r w:rsidR="00380F28" w:rsidRPr="00153CDF">
        <w:t xml:space="preserve"> would receive a fixed sum for energy and capacity sold on the PJM m</w:t>
      </w:r>
      <w:r w:rsidR="004A19D6" w:rsidRPr="00153CDF">
        <w:t>arket</w:t>
      </w:r>
      <w:bookmarkEnd w:id="24"/>
      <w:r w:rsidR="00153CDF">
        <w:t>s</w:t>
      </w:r>
      <w:r w:rsidR="00434A95">
        <w:t>.</w:t>
      </w:r>
      <w:bookmarkEnd w:id="25"/>
    </w:p>
    <w:p w:rsidR="00434A95" w:rsidRDefault="00E85D00" w:rsidP="009F59F4">
      <w:pPr>
        <w:pStyle w:val="BodyText"/>
      </w:pPr>
      <w:r>
        <w:t>Under AEP Ohio’s Amended Application</w:t>
      </w:r>
      <w:r w:rsidR="00E501AA">
        <w:t>/Modified Amended Application</w:t>
      </w:r>
      <w:r>
        <w:t xml:space="preserve">, the proposed sale from AEP Ohio into the PJM markets </w:t>
      </w:r>
      <w:r w:rsidR="007C21B1">
        <w:t>is</w:t>
      </w:r>
      <w:r>
        <w:t xml:space="preserve"> a wholesale transaction.</w:t>
      </w:r>
      <w:r>
        <w:rPr>
          <w:rStyle w:val="FootnoteReference"/>
        </w:rPr>
        <w:footnoteReference w:id="77"/>
      </w:r>
      <w:r>
        <w:t xml:space="preserve">  </w:t>
      </w:r>
      <w:r w:rsidR="00AA6E6C">
        <w:t>Th</w:t>
      </w:r>
      <w:r>
        <w:t>at</w:t>
      </w:r>
      <w:r w:rsidR="00AA6E6C">
        <w:t xml:space="preserve"> transaction would be revenue neutral to AEP Ohio.</w:t>
      </w:r>
      <w:r w:rsidR="00AA6E6C">
        <w:rPr>
          <w:rStyle w:val="FootnoteReference"/>
        </w:rPr>
        <w:footnoteReference w:id="78"/>
      </w:r>
      <w:r>
        <w:t xml:space="preserve">  </w:t>
      </w:r>
      <w:r w:rsidR="00DD3B04">
        <w:t xml:space="preserve">This results from how the PPA Rider will function.  When the revenues accruing to AEP Ohio from the </w:t>
      </w:r>
      <w:r w:rsidR="0028529B">
        <w:t>sale</w:t>
      </w:r>
      <w:r w:rsidR="00DD3B04">
        <w:t xml:space="preserve"> of PPA entitlements into the PJM markets exceed all costs associated with the PPA, AEP Ohio will credit customers the difference through the PPA Rider.</w:t>
      </w:r>
      <w:r w:rsidR="00DD3B04">
        <w:rPr>
          <w:rStyle w:val="FootnoteReference"/>
        </w:rPr>
        <w:footnoteReference w:id="79"/>
      </w:r>
      <w:r w:rsidR="00DD3B04">
        <w:t xml:space="preserve">  When the revenues accruing to AEP Ohio resulting from the </w:t>
      </w:r>
      <w:r w:rsidR="0028529B">
        <w:t xml:space="preserve">sale </w:t>
      </w:r>
      <w:r w:rsidR="00DD3B04">
        <w:t>of PPA entitlements into the PJM markets are less than all costs associated with the PPA, AEP Ohio will charge customers the difference through the PPA Rider.</w:t>
      </w:r>
      <w:r w:rsidR="00DD3B04">
        <w:rPr>
          <w:rStyle w:val="FootnoteReference"/>
        </w:rPr>
        <w:footnoteReference w:id="80"/>
      </w:r>
      <w:r w:rsidR="00DD3B04">
        <w:t xml:space="preserve">  </w:t>
      </w:r>
    </w:p>
    <w:p w:rsidR="00DD3B04" w:rsidRDefault="00DD3B04" w:rsidP="009F59F4">
      <w:pPr>
        <w:pStyle w:val="BodyText"/>
      </w:pPr>
      <w:r>
        <w:t xml:space="preserve">Accordingly, the revenues received by AEP Ohio from the </w:t>
      </w:r>
      <w:r w:rsidR="0028529B">
        <w:t>sale</w:t>
      </w:r>
      <w:r>
        <w:t xml:space="preserve"> of the capacity, energy, and ancillary services associated with both the Affiliate PPA and the OVEC entitlements combined with the net PPA Rider credit or charge will equal AEP Ohio’s expenses associated with the Affiliate PPA and OVEC entitlements.</w:t>
      </w:r>
      <w:r>
        <w:rPr>
          <w:rStyle w:val="FootnoteReference"/>
        </w:rPr>
        <w:footnoteReference w:id="81"/>
      </w:r>
      <w:r>
        <w:t xml:space="preserve">  In short, AEP Ohio’s </w:t>
      </w:r>
      <w:r w:rsidR="003A6B1F">
        <w:t>proposal in its Amended Application</w:t>
      </w:r>
      <w:r w:rsidR="00E501AA">
        <w:t>/Modified Amended Application</w:t>
      </w:r>
      <w:r w:rsidR="003A6B1F">
        <w:t xml:space="preserve"> </w:t>
      </w:r>
      <w:r>
        <w:t xml:space="preserve">would fix the amount received by the PJM market participant – AEP Ohio – for the indisputably wholesale transaction – </w:t>
      </w:r>
      <w:r w:rsidR="0028529B">
        <w:t>sale</w:t>
      </w:r>
      <w:r>
        <w:t xml:space="preserve"> of energy, capacity, and ancillary services on the PJM markets – at t</w:t>
      </w:r>
      <w:r w:rsidR="00382453">
        <w:t>he contract price for the PPAs.</w:t>
      </w:r>
    </w:p>
    <w:p w:rsidR="00AA6E6C" w:rsidRDefault="00DD3B04" w:rsidP="009F59F4">
      <w:pPr>
        <w:pStyle w:val="BodyText"/>
      </w:pPr>
      <w:r>
        <w:t>The annual (or quarterly</w:t>
      </w:r>
      <w:r w:rsidR="00E501AA">
        <w:t>, if the Joint Stipulation is approved</w:t>
      </w:r>
      <w:r>
        <w:t>) adjustment process</w:t>
      </w:r>
      <w:r>
        <w:rPr>
          <w:rStyle w:val="FootnoteReference"/>
        </w:rPr>
        <w:footnoteReference w:id="82"/>
      </w:r>
      <w:r>
        <w:t xml:space="preserve"> proposed by AEP Ohio confirms this.</w:t>
      </w:r>
      <w:r w:rsidR="00C863A8">
        <w:t xml:space="preserve">  If there were a deviation of actual weather </w:t>
      </w:r>
      <w:r w:rsidR="00034FC7">
        <w:t>from</w:t>
      </w:r>
      <w:r w:rsidR="00C863A8">
        <w:t xml:space="preserve"> </w:t>
      </w:r>
      <w:r w:rsidR="00E3373C">
        <w:t>“</w:t>
      </w:r>
      <w:r w:rsidR="00C863A8">
        <w:t>normal</w:t>
      </w:r>
      <w:r w:rsidR="00E3373C">
        <w:t>”</w:t>
      </w:r>
      <w:r w:rsidR="00C863A8">
        <w:t xml:space="preserve"> weather, upon which AEP Ohio’s PPA Rider forecasts would be based, there would be a true-up due to actual weather and actual market prices resulting </w:t>
      </w:r>
      <w:r w:rsidR="00E3373C">
        <w:t>therefrom</w:t>
      </w:r>
      <w:r w:rsidR="00C863A8">
        <w:t>.</w:t>
      </w:r>
      <w:r w:rsidR="00C863A8">
        <w:rPr>
          <w:rStyle w:val="FootnoteReference"/>
        </w:rPr>
        <w:footnoteReference w:id="83"/>
      </w:r>
      <w:r w:rsidR="00C863A8">
        <w:t xml:space="preserve">  If there </w:t>
      </w:r>
      <w:r w:rsidR="00031DA4">
        <w:t>was a deviation</w:t>
      </w:r>
      <w:r w:rsidR="00C863A8">
        <w:t xml:space="preserve"> regarding projected energy revenues from actual</w:t>
      </w:r>
      <w:r w:rsidR="003A6B1F">
        <w:t xml:space="preserve"> energy revenues</w:t>
      </w:r>
      <w:r w:rsidR="00C863A8">
        <w:t>, that would be adjusted in the PPA Rider’s over- or under-recovery mechanism.</w:t>
      </w:r>
      <w:r w:rsidR="00C863A8">
        <w:rPr>
          <w:rStyle w:val="FootnoteReference"/>
        </w:rPr>
        <w:footnoteReference w:id="84"/>
      </w:r>
      <w:r w:rsidR="00C863A8">
        <w:t xml:space="preserve">  If there were a deviation in the amount of capacity revenues realized from the market, that would be adjusted in the PPA Rider’s over- or under-recovery mechanism.</w:t>
      </w:r>
      <w:r w:rsidR="00C863A8">
        <w:rPr>
          <w:rStyle w:val="FootnoteReference"/>
        </w:rPr>
        <w:footnoteReference w:id="85"/>
      </w:r>
      <w:r w:rsidR="00C863A8">
        <w:t xml:space="preserve">  If there were a deviation in energy charges, for whatever reason, that would be adjusted in the PPA Rider’s over- or under-recovery mechanism.</w:t>
      </w:r>
      <w:r w:rsidR="00C863A8">
        <w:rPr>
          <w:rStyle w:val="FootnoteReference"/>
        </w:rPr>
        <w:footnoteReference w:id="86"/>
      </w:r>
      <w:r w:rsidR="009C4F9B">
        <w:t xml:space="preserve">  Any deviation between forecasted and actual debt rate, equity rate, tax rates, depreciation rates, operation and maintenance expenses, and “other charges” would be adjusted in the PPA Rider’s over- or under-recovery mechanism.</w:t>
      </w:r>
      <w:r w:rsidR="009C4F9B">
        <w:rPr>
          <w:rStyle w:val="FootnoteReference"/>
        </w:rPr>
        <w:footnoteReference w:id="87"/>
      </w:r>
      <w:r>
        <w:t xml:space="preserve">  </w:t>
      </w:r>
    </w:p>
    <w:p w:rsidR="000322AF" w:rsidRDefault="003A6B1F" w:rsidP="00D520AE">
      <w:pPr>
        <w:pStyle w:val="BodyText"/>
        <w:rPr>
          <w:rFonts w:ascii="Times New Roman Bold" w:eastAsia="WenQuanYi Micro Hei" w:hAnsi="Times New Roman Bold"/>
          <w:b/>
          <w:szCs w:val="24"/>
          <w:lang w:eastAsia="zh-CN" w:bidi="hi-IN"/>
        </w:rPr>
      </w:pPr>
      <w:r>
        <w:t xml:space="preserve">There is no dispute but that AEP Ohio’s proposed sale of the capacity, energy, and ancillary services </w:t>
      </w:r>
      <w:r w:rsidR="0028529B">
        <w:t>i</w:t>
      </w:r>
      <w:r>
        <w:t xml:space="preserve">n the PJM markets is a wholesale </w:t>
      </w:r>
      <w:r w:rsidR="007C21B1">
        <w:t>transaction</w:t>
      </w:r>
      <w:r>
        <w:t>.  That sale is under federal jurisdiction as a matter of law.</w:t>
      </w:r>
      <w:r>
        <w:rPr>
          <w:rStyle w:val="FootnoteReference"/>
        </w:rPr>
        <w:footnoteReference w:id="88"/>
      </w:r>
      <w:r>
        <w:t xml:space="preserve">  The amount received by AEP Ohio, the PJM market participant, for the sale is revenue neutral to AEP Ohio.  There is one and only one way that the sale could be revenue neutral – if the amount received by AEP Ohio for the sale is fixed </w:t>
      </w:r>
      <w:r w:rsidR="00F47E76">
        <w:t>at</w:t>
      </w:r>
      <w:r>
        <w:t xml:space="preserve"> the costs of the sale.  As AEP Ohio itself has explained, that is exactly how the credit/charge of the PPA Rider, and the PPA Rider’s adjustment mechanism, will work.  </w:t>
      </w:r>
      <w:r w:rsidR="007C21B1">
        <w:t>Because</w:t>
      </w:r>
      <w:r>
        <w:t xml:space="preserve"> AEP Ohio’s proposals in the Amended Application</w:t>
      </w:r>
      <w:r w:rsidR="00E501AA">
        <w:t>/Modified Amended Application</w:t>
      </w:r>
      <w:r>
        <w:t xml:space="preserve"> will fix the amount </w:t>
      </w:r>
      <w:r w:rsidR="00871255">
        <w:t>it receives</w:t>
      </w:r>
      <w:r>
        <w:t xml:space="preserve"> for capacity, energy, and ancillary services wholesaled on</w:t>
      </w:r>
      <w:r w:rsidR="00871255">
        <w:t xml:space="preserve"> the PJM markets, its proposals are</w:t>
      </w:r>
      <w:r w:rsidR="00E3373C">
        <w:t xml:space="preserve"> field</w:t>
      </w:r>
      <w:r w:rsidR="00871255">
        <w:t xml:space="preserve"> preempted by federal law. </w:t>
      </w:r>
      <w:r w:rsidR="00E3373C">
        <w:t>The PUCO should therefore dismiss this case.</w:t>
      </w:r>
      <w:bookmarkStart w:id="26" w:name="_Toc435428203"/>
    </w:p>
    <w:p w:rsidR="007F0F7A" w:rsidRPr="00382453" w:rsidRDefault="005214D9" w:rsidP="00F27AA5">
      <w:pPr>
        <w:pStyle w:val="Heading3"/>
      </w:pPr>
      <w:bookmarkStart w:id="27" w:name="_Toc442104137"/>
      <w:r>
        <w:t>4.</w:t>
      </w:r>
      <w:r>
        <w:tab/>
      </w:r>
      <w:r w:rsidR="00380F28">
        <w:t>The PUCO’s jurisdiction is conflict preempted b</w:t>
      </w:r>
      <w:r w:rsidR="007F0F7A">
        <w:t xml:space="preserve">ecause </w:t>
      </w:r>
      <w:r w:rsidR="007F0F7A" w:rsidRPr="00951324">
        <w:t>AEP</w:t>
      </w:r>
      <w:r w:rsidR="00380F28">
        <w:t xml:space="preserve"> Ohio’s p</w:t>
      </w:r>
      <w:r w:rsidR="007F0F7A">
        <w:t>roposal</w:t>
      </w:r>
      <w:r w:rsidR="00380F28">
        <w:t xml:space="preserve"> would distort PJM’s auction price s</w:t>
      </w:r>
      <w:r w:rsidR="007F0F7A">
        <w:t>ignals</w:t>
      </w:r>
      <w:bookmarkEnd w:id="26"/>
      <w:r w:rsidR="002142DB">
        <w:t>.</w:t>
      </w:r>
      <w:bookmarkEnd w:id="27"/>
    </w:p>
    <w:p w:rsidR="00607DD4" w:rsidRDefault="007F0F7A" w:rsidP="009F59F4">
      <w:pPr>
        <w:pStyle w:val="BodyText"/>
      </w:pPr>
      <w:r>
        <w:t>The PPA Units currently operate in a competitive market.</w:t>
      </w:r>
      <w:r>
        <w:rPr>
          <w:rStyle w:val="FootnoteReference"/>
        </w:rPr>
        <w:footnoteReference w:id="89"/>
      </w:r>
      <w:r>
        <w:t xml:space="preserve">  </w:t>
      </w:r>
      <w:r w:rsidR="00DB0A08">
        <w:t xml:space="preserve">They do so as a result of S.B. 3 </w:t>
      </w:r>
      <w:r w:rsidR="00DB0A08" w:rsidRPr="009B397C">
        <w:t>and</w:t>
      </w:r>
      <w:r w:rsidR="00DB0A08">
        <w:rPr>
          <w:i/>
        </w:rPr>
        <w:t xml:space="preserve"> </w:t>
      </w:r>
      <w:r w:rsidR="00DB0A08">
        <w:t>S.B. 221.</w:t>
      </w:r>
      <w:r w:rsidR="00DB0A08">
        <w:rPr>
          <w:rStyle w:val="FootnoteReference"/>
        </w:rPr>
        <w:footnoteReference w:id="90"/>
      </w:r>
      <w:r w:rsidR="00DB0A08">
        <w:t xml:space="preserve">  In a competitive market, there is no predictable source of revenue.</w:t>
      </w:r>
      <w:r w:rsidR="00DB0A08">
        <w:rPr>
          <w:rStyle w:val="FootnoteReference"/>
        </w:rPr>
        <w:footnoteReference w:id="91"/>
      </w:r>
      <w:r w:rsidR="00DB0A08">
        <w:t xml:space="preserve">  In point of fact, inherent in a competitive market is that there are </w:t>
      </w:r>
      <w:r w:rsidR="00DB0A08">
        <w:rPr>
          <w:i/>
        </w:rPr>
        <w:t xml:space="preserve">no </w:t>
      </w:r>
      <w:r w:rsidR="00DB0A08">
        <w:t>predictable sources of revenue.</w:t>
      </w:r>
      <w:r w:rsidR="00DB0A08">
        <w:rPr>
          <w:rStyle w:val="FootnoteReference"/>
        </w:rPr>
        <w:footnoteReference w:id="92"/>
      </w:r>
      <w:r w:rsidR="00DB0A08">
        <w:t xml:space="preserve">  </w:t>
      </w:r>
      <w:r>
        <w:t>But under the proposals in the Amended Application</w:t>
      </w:r>
      <w:r w:rsidR="00E501AA">
        <w:t>/Modified Amended Application</w:t>
      </w:r>
      <w:r>
        <w:t xml:space="preserve">, </w:t>
      </w:r>
      <w:r w:rsidR="00DB0A08">
        <w:t>the PPA Units will have a predictable source of revenue.</w:t>
      </w:r>
      <w:r w:rsidR="00DB0A08">
        <w:rPr>
          <w:rStyle w:val="FootnoteReference"/>
        </w:rPr>
        <w:footnoteReference w:id="93"/>
      </w:r>
      <w:r w:rsidR="00DB0A08">
        <w:t xml:space="preserve">  </w:t>
      </w:r>
      <w:r w:rsidR="00D35B04">
        <w:t xml:space="preserve">And they will have a predictable return on equity </w:t>
      </w:r>
      <w:r w:rsidR="009A3D5A">
        <w:t xml:space="preserve">(profit) </w:t>
      </w:r>
      <w:r w:rsidR="00D35B04">
        <w:t>for their entire useful lives</w:t>
      </w:r>
      <w:r w:rsidR="009B2891">
        <w:t xml:space="preserve"> (or, if the Joint Stipulation is approved, eight and a half years)</w:t>
      </w:r>
      <w:r w:rsidR="00D35B04">
        <w:t xml:space="preserve"> – that which is defined in the PPAs.</w:t>
      </w:r>
      <w:r w:rsidR="00D35B04">
        <w:rPr>
          <w:rStyle w:val="FootnoteReference"/>
        </w:rPr>
        <w:footnoteReference w:id="94"/>
      </w:r>
      <w:r w:rsidR="00D35B04">
        <w:t xml:space="preserve">  </w:t>
      </w:r>
    </w:p>
    <w:p w:rsidR="00607DD4" w:rsidRDefault="007A0055" w:rsidP="009F59F4">
      <w:pPr>
        <w:pStyle w:val="BodyText"/>
      </w:pPr>
      <w:r>
        <w:t>Further, if the Amended Application</w:t>
      </w:r>
      <w:r w:rsidR="00E501AA">
        <w:t>/Modified Amended Application</w:t>
      </w:r>
      <w:r>
        <w:t xml:space="preserve"> is rejected, capital-cost expenditures on the PPA Units will have to be made in light of the available market-based revenue.</w:t>
      </w:r>
      <w:r>
        <w:rPr>
          <w:rStyle w:val="FootnoteReference"/>
        </w:rPr>
        <w:footnoteReference w:id="95"/>
      </w:r>
      <w:r>
        <w:t xml:space="preserve">  With that there is the associated risk that market-based revenue will not cover capital-cost expenditures.</w:t>
      </w:r>
      <w:r>
        <w:rPr>
          <w:rStyle w:val="FootnoteReference"/>
        </w:rPr>
        <w:footnoteReference w:id="96"/>
      </w:r>
      <w:r>
        <w:t xml:space="preserve">  Were revenue not sufficient, the PPA Units would have to engage</w:t>
      </w:r>
      <w:r w:rsidR="00153CDF">
        <w:t xml:space="preserve"> in</w:t>
      </w:r>
      <w:r>
        <w:t xml:space="preserve"> efficiency enhancing cost-cutting.</w:t>
      </w:r>
      <w:r>
        <w:rPr>
          <w:rStyle w:val="FootnoteReference"/>
        </w:rPr>
        <w:footnoteReference w:id="97"/>
      </w:r>
      <w:r>
        <w:t xml:space="preserve">  But under the Amended Application’s</w:t>
      </w:r>
      <w:r w:rsidR="00E501AA">
        <w:t>/Modified Amended Application’s</w:t>
      </w:r>
      <w:r>
        <w:t xml:space="preserve"> proposals, the PPA Units would face no risk regarding generating revenue or </w:t>
      </w:r>
      <w:r w:rsidR="00D35B04">
        <w:t>earning</w:t>
      </w:r>
      <w:r>
        <w:t xml:space="preserve"> revenue sufficient to cover capital expenditures, or market-based price signals to engage in efficiency enhancing cost-cutting.</w:t>
      </w:r>
      <w:r>
        <w:rPr>
          <w:rStyle w:val="FootnoteReference"/>
        </w:rPr>
        <w:footnoteReference w:id="98"/>
      </w:r>
      <w:r>
        <w:t xml:space="preserve">  </w:t>
      </w:r>
    </w:p>
    <w:p w:rsidR="00153CDF" w:rsidRDefault="007F0F7A" w:rsidP="00A57413">
      <w:pPr>
        <w:pStyle w:val="BodyText"/>
      </w:pPr>
      <w:r>
        <w:t xml:space="preserve">AEP Ohio’s President admits that </w:t>
      </w:r>
      <w:r w:rsidR="002E1C0A">
        <w:t>AEPGR’s</w:t>
      </w:r>
      <w:r>
        <w:t xml:space="preserve"> profit or loss will </w:t>
      </w:r>
      <w:r>
        <w:rPr>
          <w:i/>
        </w:rPr>
        <w:t xml:space="preserve">not </w:t>
      </w:r>
      <w:r>
        <w:t>be determined by the market</w:t>
      </w:r>
      <w:r w:rsidR="00DB0A08">
        <w:t xml:space="preserve"> if the </w:t>
      </w:r>
      <w:r w:rsidR="009B2891">
        <w:t xml:space="preserve">PPA Rider proposals in the </w:t>
      </w:r>
      <w:r w:rsidR="00DB0A08">
        <w:t>Amended Application</w:t>
      </w:r>
      <w:r w:rsidR="00E501AA">
        <w:t>/Modified Amended Application</w:t>
      </w:r>
      <w:r w:rsidR="00DB0A08">
        <w:t xml:space="preserve"> </w:t>
      </w:r>
      <w:r w:rsidR="009B2891">
        <w:t>are</w:t>
      </w:r>
      <w:r w:rsidR="00DB0A08">
        <w:t xml:space="preserve"> approved</w:t>
      </w:r>
      <w:r>
        <w:t>.</w:t>
      </w:r>
      <w:r>
        <w:rPr>
          <w:rStyle w:val="FootnoteReference"/>
        </w:rPr>
        <w:footnoteReference w:id="99"/>
      </w:r>
      <w:r w:rsidR="00EE676A">
        <w:t xml:space="preserve">  AEP Ohio does not dispute that the proposed PPAs are </w:t>
      </w:r>
      <w:r w:rsidR="00EE676A">
        <w:rPr>
          <w:i/>
        </w:rPr>
        <w:t xml:space="preserve">not </w:t>
      </w:r>
      <w:r w:rsidR="00EE676A">
        <w:t>warranted by market-driven principles – it would not enter into the PPAs if its revenues were determine</w:t>
      </w:r>
      <w:r w:rsidR="00C86825">
        <w:t>d</w:t>
      </w:r>
      <w:r w:rsidR="00EE676A">
        <w:t xml:space="preserve"> by the market.</w:t>
      </w:r>
      <w:r w:rsidR="00EE676A">
        <w:rPr>
          <w:rStyle w:val="FootnoteReference"/>
        </w:rPr>
        <w:footnoteReference w:id="100"/>
      </w:r>
      <w:r w:rsidR="00EE676A">
        <w:t xml:space="preserve"> </w:t>
      </w:r>
    </w:p>
    <w:p w:rsidR="004A19D6" w:rsidRDefault="00C312BF" w:rsidP="00A57413">
      <w:pPr>
        <w:pStyle w:val="BodyText"/>
      </w:pPr>
      <w:r>
        <w:t>“The proposed PPA Rider would constitute a subsidy analogous to the subsidies previously proposed in New Jersey and Maryland, both of which were found to be inconsistent with competition in the wholesale power markets.”</w:t>
      </w:r>
      <w:r>
        <w:rPr>
          <w:rStyle w:val="FootnoteReference"/>
        </w:rPr>
        <w:footnoteReference w:id="101"/>
      </w:r>
      <w:r>
        <w:t xml:space="preserve">  </w:t>
      </w:r>
      <w:r w:rsidR="00C86825">
        <w:t>Generation sold into PJM that is</w:t>
      </w:r>
      <w:r w:rsidR="002253DD">
        <w:t xml:space="preserve"> insulated </w:t>
      </w:r>
      <w:r w:rsidR="00C86825">
        <w:t xml:space="preserve">from the competitive forces that all other generation </w:t>
      </w:r>
      <w:r w:rsidR="009B2891">
        <w:t>faces</w:t>
      </w:r>
      <w:r w:rsidR="00C86825">
        <w:t xml:space="preserve"> inherently distorts PJM’s auction price signals.</w:t>
      </w:r>
      <w:r w:rsidR="00FD131F">
        <w:rPr>
          <w:rStyle w:val="FootnoteReference"/>
        </w:rPr>
        <w:footnoteReference w:id="102"/>
      </w:r>
      <w:r w:rsidR="00C86825">
        <w:t xml:space="preserve"> AEP Ohio’s proposals are ther</w:t>
      </w:r>
      <w:r w:rsidR="008F685C">
        <w:t xml:space="preserve">efore conflict </w:t>
      </w:r>
      <w:r w:rsidR="002253DD">
        <w:t>preempted</w:t>
      </w:r>
      <w:r w:rsidR="008F685C">
        <w:t xml:space="preserve"> by </w:t>
      </w:r>
      <w:r w:rsidR="00FD131F">
        <w:t>f</w:t>
      </w:r>
      <w:r w:rsidR="008F685C">
        <w:t xml:space="preserve">ederal </w:t>
      </w:r>
      <w:r w:rsidR="00FD131F">
        <w:t>l</w:t>
      </w:r>
      <w:r w:rsidR="008F685C">
        <w:t>aw. The PUCO should therefore dismiss this case.</w:t>
      </w:r>
    </w:p>
    <w:p w:rsidR="00D04677" w:rsidRPr="00D04677" w:rsidRDefault="00E501AA" w:rsidP="00F27AA5">
      <w:pPr>
        <w:pStyle w:val="Heading3"/>
      </w:pPr>
      <w:bookmarkStart w:id="28" w:name="_Toc435428204"/>
      <w:bookmarkStart w:id="29" w:name="_Toc442104138"/>
      <w:r>
        <w:t>5.</w:t>
      </w:r>
      <w:r>
        <w:tab/>
      </w:r>
      <w:r w:rsidR="00380F28">
        <w:t xml:space="preserve">The PUCO </w:t>
      </w:r>
      <w:r w:rsidR="00434A95">
        <w:t xml:space="preserve">also </w:t>
      </w:r>
      <w:r w:rsidR="00380F28">
        <w:t>lacks j</w:t>
      </w:r>
      <w:r w:rsidR="00A44C59">
        <w:t xml:space="preserve">urisdiction </w:t>
      </w:r>
      <w:r w:rsidR="00380F28">
        <w:t>under state l</w:t>
      </w:r>
      <w:r w:rsidR="00EE4742">
        <w:t>aw</w:t>
      </w:r>
      <w:bookmarkEnd w:id="28"/>
      <w:r w:rsidR="002142DB">
        <w:t>.</w:t>
      </w:r>
      <w:bookmarkEnd w:id="29"/>
    </w:p>
    <w:p w:rsidR="00480299" w:rsidRDefault="00435ECA" w:rsidP="004A5B20">
      <w:pPr>
        <w:pStyle w:val="ListParagraph"/>
        <w:spacing w:after="240" w:line="480" w:lineRule="auto"/>
        <w:ind w:left="0" w:firstLine="720"/>
        <w:rPr>
          <w:rFonts w:ascii="Times New Roman" w:hAnsi="Times New Roman"/>
          <w:sz w:val="24"/>
          <w:szCs w:val="24"/>
        </w:rPr>
      </w:pPr>
      <w:r>
        <w:rPr>
          <w:rFonts w:ascii="Times New Roman" w:hAnsi="Times New Roman"/>
          <w:sz w:val="24"/>
          <w:szCs w:val="24"/>
        </w:rPr>
        <w:t>As a</w:t>
      </w:r>
      <w:r w:rsidR="00C86825">
        <w:rPr>
          <w:rFonts w:ascii="Times New Roman" w:hAnsi="Times New Roman"/>
          <w:sz w:val="24"/>
          <w:szCs w:val="24"/>
        </w:rPr>
        <w:t>nother</w:t>
      </w:r>
      <w:r>
        <w:rPr>
          <w:rFonts w:ascii="Times New Roman" w:hAnsi="Times New Roman"/>
          <w:sz w:val="24"/>
          <w:szCs w:val="24"/>
        </w:rPr>
        <w:t xml:space="preserve"> threshold matter, the PUCO must determine if it has subject matter jurisdiction here under </w:t>
      </w:r>
      <w:r w:rsidRPr="00C86825">
        <w:rPr>
          <w:rFonts w:ascii="Times New Roman" w:hAnsi="Times New Roman"/>
          <w:i/>
          <w:sz w:val="24"/>
          <w:szCs w:val="24"/>
        </w:rPr>
        <w:t>state</w:t>
      </w:r>
      <w:r>
        <w:rPr>
          <w:rFonts w:ascii="Times New Roman" w:hAnsi="Times New Roman"/>
          <w:sz w:val="24"/>
          <w:szCs w:val="24"/>
        </w:rPr>
        <w:t xml:space="preserve"> law.</w:t>
      </w:r>
      <w:r>
        <w:rPr>
          <w:rStyle w:val="FootnoteReference"/>
          <w:rFonts w:ascii="Times New Roman" w:hAnsi="Times New Roman"/>
          <w:sz w:val="24"/>
          <w:szCs w:val="24"/>
        </w:rPr>
        <w:footnoteReference w:id="103"/>
      </w:r>
      <w:r>
        <w:rPr>
          <w:rFonts w:ascii="Times New Roman" w:hAnsi="Times New Roman"/>
          <w:sz w:val="24"/>
          <w:szCs w:val="24"/>
        </w:rPr>
        <w:t xml:space="preserve">  To do so, it must determine if such jurisdiction is expressly granted by statute.  The PUCO </w:t>
      </w:r>
      <w:r w:rsidRPr="00EF104D">
        <w:rPr>
          <w:rFonts w:ascii="Times New Roman" w:hAnsi="Times New Roman"/>
          <w:sz w:val="24"/>
          <w:szCs w:val="24"/>
        </w:rPr>
        <w:t>has and can exercise only the authority conferred upon it by the General Assembly.</w:t>
      </w:r>
      <w:r>
        <w:rPr>
          <w:rStyle w:val="FootnoteReference"/>
          <w:rFonts w:ascii="Times New Roman" w:hAnsi="Times New Roman"/>
          <w:sz w:val="24"/>
          <w:szCs w:val="24"/>
        </w:rPr>
        <w:footnoteReference w:id="104"/>
      </w:r>
      <w:r>
        <w:rPr>
          <w:rFonts w:ascii="Times New Roman" w:hAnsi="Times New Roman"/>
          <w:sz w:val="24"/>
          <w:szCs w:val="24"/>
        </w:rPr>
        <w:t xml:space="preserve">  </w:t>
      </w:r>
      <w:r w:rsidR="00EE4742">
        <w:rPr>
          <w:rFonts w:ascii="Times New Roman" w:hAnsi="Times New Roman"/>
          <w:sz w:val="24"/>
          <w:szCs w:val="24"/>
        </w:rPr>
        <w:t>If the PUCO were to approve the PPA Rider, it would supplement the PJM wholesale auction clearing price and functionally set the “wholesale” prices for the PPA Units.  Because R.C. Title 49 limits the PUCO’s subject matter jurisdiction to “retail” electric service, the Amended Application</w:t>
      </w:r>
      <w:r w:rsidR="00E501AA">
        <w:rPr>
          <w:rFonts w:ascii="Times New Roman" w:hAnsi="Times New Roman"/>
          <w:sz w:val="24"/>
          <w:szCs w:val="24"/>
        </w:rPr>
        <w:t>/Modified Amended Application</w:t>
      </w:r>
      <w:r w:rsidR="00EE4742">
        <w:rPr>
          <w:rFonts w:ascii="Times New Roman" w:hAnsi="Times New Roman"/>
          <w:sz w:val="24"/>
          <w:szCs w:val="24"/>
        </w:rPr>
        <w:t xml:space="preserve"> must be denied </w:t>
      </w:r>
      <w:r w:rsidR="007C21B1">
        <w:rPr>
          <w:rFonts w:ascii="Times New Roman" w:hAnsi="Times New Roman"/>
          <w:sz w:val="24"/>
          <w:szCs w:val="24"/>
        </w:rPr>
        <w:t>because</w:t>
      </w:r>
      <w:r w:rsidR="00EE4742">
        <w:rPr>
          <w:rFonts w:ascii="Times New Roman" w:hAnsi="Times New Roman"/>
          <w:sz w:val="24"/>
          <w:szCs w:val="24"/>
        </w:rPr>
        <w:t xml:space="preserve"> the PUCO lacks jurisdiction to set wholesale prices.</w:t>
      </w:r>
      <w:r w:rsidR="00124FCE">
        <w:rPr>
          <w:rFonts w:ascii="Times New Roman" w:hAnsi="Times New Roman"/>
          <w:sz w:val="24"/>
          <w:szCs w:val="24"/>
        </w:rPr>
        <w:t xml:space="preserve">  </w:t>
      </w:r>
    </w:p>
    <w:p w:rsidR="006174B3" w:rsidRDefault="00124FCE" w:rsidP="004A5B20">
      <w:pPr>
        <w:pStyle w:val="ListParagraph"/>
        <w:spacing w:after="240" w:line="480" w:lineRule="auto"/>
        <w:ind w:left="0" w:firstLine="720"/>
        <w:rPr>
          <w:rFonts w:ascii="Times New Roman" w:hAnsi="Times New Roman"/>
          <w:sz w:val="24"/>
          <w:szCs w:val="24"/>
        </w:rPr>
      </w:pPr>
      <w:r>
        <w:rPr>
          <w:rFonts w:ascii="Times New Roman" w:hAnsi="Times New Roman"/>
          <w:sz w:val="24"/>
          <w:szCs w:val="24"/>
        </w:rPr>
        <w:t>Further, the Ohio General Assembly intended for it, and it alone, to make any adjustments to the competitive environment established by S.B. 3 as and when necessary.  If the PUCO were to approve the PPA Rider, it would fundamentally change the competitive environment established by S.B. 3</w:t>
      </w:r>
      <w:r w:rsidR="007C21B1">
        <w:rPr>
          <w:rFonts w:ascii="Times New Roman" w:hAnsi="Times New Roman"/>
          <w:sz w:val="24"/>
          <w:szCs w:val="24"/>
        </w:rPr>
        <w:t xml:space="preserve"> to the detriment of Ohio’s consumers</w:t>
      </w:r>
      <w:r>
        <w:rPr>
          <w:rFonts w:ascii="Times New Roman" w:hAnsi="Times New Roman"/>
          <w:sz w:val="24"/>
          <w:szCs w:val="24"/>
        </w:rPr>
        <w:t xml:space="preserve">.  </w:t>
      </w:r>
      <w:r w:rsidRPr="00124FCE">
        <w:rPr>
          <w:rFonts w:ascii="Times New Roman" w:hAnsi="Times New Roman" w:cs="Times New Roman"/>
          <w:color w:val="000000"/>
          <w:sz w:val="24"/>
          <w:szCs w:val="24"/>
        </w:rPr>
        <w:t>As a creature of statute with limited and defined powers, the PUCO cannot do so by way of an Order.</w:t>
      </w:r>
      <w:r>
        <w:rPr>
          <w:color w:val="000000"/>
        </w:rPr>
        <w:t xml:space="preserve">  </w:t>
      </w:r>
      <w:r w:rsidR="00D04677">
        <w:rPr>
          <w:rFonts w:ascii="Times New Roman" w:hAnsi="Times New Roman"/>
          <w:sz w:val="24"/>
          <w:szCs w:val="24"/>
        </w:rPr>
        <w:t xml:space="preserve">  </w:t>
      </w:r>
      <w:bookmarkStart w:id="31" w:name="_Toc435428205"/>
    </w:p>
    <w:p w:rsidR="00CE7975" w:rsidRPr="00120072" w:rsidRDefault="006174B3" w:rsidP="00C401CE">
      <w:pPr>
        <w:pStyle w:val="Heading4"/>
        <w:rPr>
          <w:rFonts w:ascii="Times New Roman" w:hAnsi="Times New Roman"/>
        </w:rPr>
      </w:pPr>
      <w:bookmarkStart w:id="32" w:name="_Toc442104139"/>
      <w:r w:rsidRPr="002E1C0A">
        <w:rPr>
          <w:rFonts w:ascii="Times New Roman" w:hAnsi="Times New Roman"/>
          <w:b/>
        </w:rPr>
        <w:t>a</w:t>
      </w:r>
      <w:r w:rsidR="00120072">
        <w:rPr>
          <w:rFonts w:ascii="Times New Roman" w:hAnsi="Times New Roman"/>
        </w:rPr>
        <w:t>.</w:t>
      </w:r>
      <w:r>
        <w:rPr>
          <w:rFonts w:ascii="Times New Roman" w:hAnsi="Times New Roman"/>
        </w:rPr>
        <w:tab/>
      </w:r>
      <w:r w:rsidR="00380F28" w:rsidRPr="009D07A4">
        <w:t xml:space="preserve">The PUCO lacks jurisdiction to approve the PPA </w:t>
      </w:r>
      <w:r w:rsidR="009D07A4">
        <w:t>R</w:t>
      </w:r>
      <w:r w:rsidR="00380F28" w:rsidRPr="009D07A4">
        <w:t>ider since it would functionally set wholesale p</w:t>
      </w:r>
      <w:r w:rsidR="00CE7975" w:rsidRPr="009D07A4">
        <w:t>rices</w:t>
      </w:r>
      <w:bookmarkEnd w:id="31"/>
      <w:r w:rsidR="002142DB">
        <w:t>.</w:t>
      </w:r>
      <w:bookmarkEnd w:id="32"/>
    </w:p>
    <w:p w:rsidR="00435ECA" w:rsidRPr="00435ECA" w:rsidRDefault="009D07A4" w:rsidP="00316B0F">
      <w:pPr>
        <w:pStyle w:val="Heading5"/>
        <w:rPr>
          <w:rFonts w:eastAsia="Arial"/>
          <w:color w:val="000000"/>
          <w:spacing w:val="-2"/>
        </w:rPr>
      </w:pPr>
      <w:bookmarkStart w:id="33" w:name="_Toc435428206"/>
      <w:bookmarkStart w:id="34" w:name="_Toc442104140"/>
      <w:r>
        <w:t>i.</w:t>
      </w:r>
      <w:r>
        <w:tab/>
      </w:r>
      <w:r w:rsidR="00380F28">
        <w:t xml:space="preserve">The </w:t>
      </w:r>
      <w:r>
        <w:t>G</w:t>
      </w:r>
      <w:r w:rsidR="00380F28">
        <w:t xml:space="preserve">eneral </w:t>
      </w:r>
      <w:r>
        <w:t>A</w:t>
      </w:r>
      <w:r w:rsidR="00380F28">
        <w:t>ssembly has expressly l</w:t>
      </w:r>
      <w:r w:rsidR="00EE4742" w:rsidRPr="00435ECA">
        <w:t xml:space="preserve">imited </w:t>
      </w:r>
      <w:r w:rsidR="00380F28">
        <w:t>t</w:t>
      </w:r>
      <w:r w:rsidR="00EE4742" w:rsidRPr="00435ECA">
        <w:t>he PUCO</w:t>
      </w:r>
      <w:r w:rsidR="00380F28">
        <w:t>’s subject matter j</w:t>
      </w:r>
      <w:r w:rsidR="00EE4742" w:rsidRPr="00435ECA">
        <w:t>urisdicti</w:t>
      </w:r>
      <w:r w:rsidR="00380F28">
        <w:t>on to “retail” electric s</w:t>
      </w:r>
      <w:r w:rsidR="00435ECA">
        <w:t>ervice</w:t>
      </w:r>
      <w:bookmarkEnd w:id="33"/>
      <w:r w:rsidR="002142DB">
        <w:t>.</w:t>
      </w:r>
      <w:bookmarkEnd w:id="34"/>
      <w:r w:rsidR="00CE7975">
        <w:t xml:space="preserve">  </w:t>
      </w:r>
    </w:p>
    <w:p w:rsidR="00EE4742" w:rsidRDefault="00EE4742" w:rsidP="00A57413">
      <w:pPr>
        <w:pStyle w:val="ListParagraph"/>
        <w:spacing w:before="240" w:after="0" w:line="480" w:lineRule="auto"/>
        <w:ind w:left="0" w:firstLine="720"/>
        <w:rPr>
          <w:rFonts w:ascii="Times New Roman" w:hAnsi="Times New Roman"/>
          <w:sz w:val="24"/>
          <w:szCs w:val="24"/>
        </w:rPr>
      </w:pPr>
      <w:r>
        <w:rPr>
          <w:rFonts w:ascii="Times New Roman" w:hAnsi="Times New Roman"/>
          <w:sz w:val="24"/>
          <w:szCs w:val="24"/>
        </w:rPr>
        <w:t xml:space="preserve">The Ohio Supreme Court has recognized that the </w:t>
      </w:r>
      <w:r w:rsidR="008F685C" w:rsidRPr="00313082">
        <w:rPr>
          <w:rFonts w:ascii="Times New Roman" w:hAnsi="Times New Roman"/>
          <w:sz w:val="24"/>
          <w:szCs w:val="24"/>
        </w:rPr>
        <w:t>FPA</w:t>
      </w:r>
      <w:r>
        <w:rPr>
          <w:rFonts w:ascii="Times New Roman" w:hAnsi="Times New Roman"/>
          <w:sz w:val="24"/>
          <w:szCs w:val="24"/>
        </w:rPr>
        <w:t xml:space="preserve"> provides FERC with exclusive jurisdiction related to the “sale of electric energy at </w:t>
      </w:r>
      <w:r w:rsidRPr="00E8456D">
        <w:rPr>
          <w:rFonts w:ascii="Times New Roman" w:hAnsi="Times New Roman"/>
          <w:b/>
          <w:i/>
          <w:sz w:val="24"/>
          <w:szCs w:val="24"/>
        </w:rPr>
        <w:t>wholesale</w:t>
      </w:r>
      <w:r>
        <w:rPr>
          <w:rFonts w:ascii="Times New Roman" w:hAnsi="Times New Roman"/>
          <w:sz w:val="24"/>
          <w:szCs w:val="24"/>
        </w:rPr>
        <w:t xml:space="preserve">,” defined as a “sale of electrical energy to any person </w:t>
      </w:r>
      <w:r w:rsidRPr="00C5675A">
        <w:rPr>
          <w:rFonts w:ascii="Times New Roman" w:hAnsi="Times New Roman"/>
          <w:b/>
          <w:i/>
          <w:sz w:val="24"/>
          <w:szCs w:val="24"/>
        </w:rPr>
        <w:t>for resale</w:t>
      </w:r>
      <w:r>
        <w:rPr>
          <w:rFonts w:ascii="Times New Roman" w:hAnsi="Times New Roman"/>
          <w:sz w:val="24"/>
          <w:szCs w:val="24"/>
        </w:rPr>
        <w:t>.”</w:t>
      </w:r>
      <w:r>
        <w:rPr>
          <w:rStyle w:val="FootnoteReference"/>
          <w:rFonts w:ascii="Times New Roman" w:hAnsi="Times New Roman"/>
          <w:szCs w:val="24"/>
        </w:rPr>
        <w:footnoteReference w:id="105"/>
      </w:r>
      <w:r>
        <w:rPr>
          <w:rFonts w:ascii="Times New Roman" w:hAnsi="Times New Roman"/>
          <w:sz w:val="24"/>
          <w:szCs w:val="24"/>
        </w:rPr>
        <w:t xml:space="preserve">  Indeed, the courts have recognized that, in enacting the </w:t>
      </w:r>
      <w:r w:rsidR="008F685C">
        <w:rPr>
          <w:rFonts w:ascii="Times New Roman" w:hAnsi="Times New Roman"/>
          <w:sz w:val="24"/>
          <w:szCs w:val="24"/>
        </w:rPr>
        <w:t>FPA</w:t>
      </w:r>
      <w:r>
        <w:rPr>
          <w:rFonts w:ascii="Times New Roman" w:hAnsi="Times New Roman"/>
          <w:sz w:val="24"/>
          <w:szCs w:val="24"/>
        </w:rPr>
        <w:t>, “Congress meant to draw a bright line easily ascertained, between state and federal jurisdiction</w:t>
      </w:r>
      <w:r w:rsidR="009D07A4">
        <w:rPr>
          <w:rFonts w:ascii="Times New Roman" w:hAnsi="Times New Roman"/>
          <w:sz w:val="24"/>
          <w:szCs w:val="24"/>
        </w:rPr>
        <w:t xml:space="preserve"> </w:t>
      </w:r>
      <w:r>
        <w:rPr>
          <w:rFonts w:ascii="Times New Roman" w:hAnsi="Times New Roman"/>
          <w:sz w:val="24"/>
          <w:szCs w:val="24"/>
        </w:rPr>
        <w:t>…</w:t>
      </w:r>
      <w:r w:rsidR="009D07A4">
        <w:rPr>
          <w:rFonts w:ascii="Times New Roman" w:hAnsi="Times New Roman"/>
          <w:sz w:val="24"/>
          <w:szCs w:val="24"/>
        </w:rPr>
        <w:t>.</w:t>
      </w:r>
      <w:r>
        <w:rPr>
          <w:rFonts w:ascii="Times New Roman" w:hAnsi="Times New Roman"/>
          <w:sz w:val="24"/>
          <w:szCs w:val="24"/>
        </w:rPr>
        <w:t>”</w:t>
      </w:r>
      <w:r>
        <w:rPr>
          <w:rStyle w:val="FootnoteReference"/>
          <w:rFonts w:ascii="Times New Roman" w:hAnsi="Times New Roman"/>
          <w:szCs w:val="24"/>
        </w:rPr>
        <w:footnoteReference w:id="106"/>
      </w:r>
      <w:r>
        <w:rPr>
          <w:rFonts w:ascii="Times New Roman" w:hAnsi="Times New Roman"/>
          <w:sz w:val="24"/>
          <w:szCs w:val="24"/>
        </w:rPr>
        <w:t xml:space="preserve">  </w:t>
      </w:r>
      <w:r w:rsidR="00CE7975">
        <w:rPr>
          <w:rFonts w:ascii="Times New Roman" w:hAnsi="Times New Roman"/>
          <w:sz w:val="24"/>
          <w:szCs w:val="24"/>
        </w:rPr>
        <w:t xml:space="preserve">  </w:t>
      </w:r>
    </w:p>
    <w:p w:rsidR="00434A95" w:rsidRDefault="00EE4742" w:rsidP="00A57413">
      <w:pPr>
        <w:pStyle w:val="ListParagraph"/>
        <w:spacing w:after="0" w:line="480" w:lineRule="auto"/>
        <w:ind w:left="0" w:firstLine="720"/>
        <w:rPr>
          <w:rFonts w:ascii="Times New Roman" w:hAnsi="Times New Roman"/>
          <w:sz w:val="24"/>
          <w:szCs w:val="24"/>
        </w:rPr>
      </w:pPr>
      <w:r>
        <w:rPr>
          <w:rFonts w:ascii="Times New Roman" w:hAnsi="Times New Roman"/>
          <w:sz w:val="24"/>
          <w:szCs w:val="24"/>
        </w:rPr>
        <w:t>Consistent with this jurisdictional separation, the Ohio General Assembly limited the PUCO’s jurisdiction to “retail” electric services</w:t>
      </w:r>
      <w:r w:rsidR="00435ECA">
        <w:rPr>
          <w:rFonts w:ascii="Times New Roman" w:hAnsi="Times New Roman"/>
          <w:sz w:val="24"/>
          <w:szCs w:val="24"/>
        </w:rPr>
        <w:t>.  The PUCO’s</w:t>
      </w:r>
      <w:r>
        <w:rPr>
          <w:rFonts w:ascii="Times New Roman" w:hAnsi="Times New Roman"/>
          <w:sz w:val="24"/>
          <w:szCs w:val="24"/>
        </w:rPr>
        <w:t xml:space="preserve"> authority only extends to “an electric light company when engaged in the business of supplying electricity</w:t>
      </w:r>
      <w:r w:rsidR="009B2891">
        <w:rPr>
          <w:rFonts w:ascii="Times New Roman" w:hAnsi="Times New Roman"/>
          <w:sz w:val="24"/>
          <w:szCs w:val="24"/>
        </w:rPr>
        <w:t xml:space="preserve"> . . . </w:t>
      </w:r>
      <w:r w:rsidRPr="00C5675A">
        <w:rPr>
          <w:rFonts w:ascii="Times New Roman" w:hAnsi="Times New Roman"/>
          <w:b/>
          <w:i/>
          <w:sz w:val="24"/>
          <w:szCs w:val="24"/>
        </w:rPr>
        <w:t>to consumers</w:t>
      </w:r>
      <w:r>
        <w:rPr>
          <w:rFonts w:ascii="Times New Roman" w:hAnsi="Times New Roman"/>
          <w:sz w:val="24"/>
          <w:szCs w:val="24"/>
        </w:rPr>
        <w:t xml:space="preserve"> within this state.”</w:t>
      </w:r>
      <w:r>
        <w:rPr>
          <w:rStyle w:val="FootnoteReference"/>
          <w:rFonts w:ascii="Times New Roman" w:hAnsi="Times New Roman"/>
          <w:szCs w:val="24"/>
        </w:rPr>
        <w:footnoteReference w:id="107"/>
      </w:r>
      <w:r>
        <w:rPr>
          <w:rFonts w:ascii="Times New Roman" w:hAnsi="Times New Roman"/>
          <w:sz w:val="24"/>
          <w:szCs w:val="24"/>
        </w:rPr>
        <w:t xml:space="preserve">  This limitation of jurisdiction also was imposed on the PUCO in subsequently enacted R.C. Chapter 4928, which is replete with references restricting the PUCO’s authority to “retail electric service.”  Specifically, as it pertains to this proceeding, R.C.4928.141 requires “an electric distribution utility” to provide “</w:t>
      </w:r>
      <w:r w:rsidRPr="00E8456D">
        <w:rPr>
          <w:rFonts w:ascii="Times New Roman" w:hAnsi="Times New Roman"/>
          <w:b/>
          <w:i/>
          <w:sz w:val="24"/>
          <w:szCs w:val="24"/>
        </w:rPr>
        <w:t>consumers</w:t>
      </w:r>
      <w:r w:rsidR="009D07A4">
        <w:rPr>
          <w:rFonts w:ascii="Times New Roman" w:hAnsi="Times New Roman"/>
          <w:sz w:val="24"/>
          <w:szCs w:val="24"/>
        </w:rPr>
        <w:t xml:space="preserve"> . . . </w:t>
      </w:r>
      <w:r>
        <w:rPr>
          <w:rFonts w:ascii="Times New Roman" w:hAnsi="Times New Roman"/>
          <w:sz w:val="24"/>
          <w:szCs w:val="24"/>
        </w:rPr>
        <w:t xml:space="preserve">a standard service offer of all competitive </w:t>
      </w:r>
      <w:r w:rsidRPr="004B0353">
        <w:rPr>
          <w:rFonts w:ascii="Times New Roman" w:hAnsi="Times New Roman"/>
          <w:b/>
          <w:i/>
          <w:sz w:val="24"/>
          <w:szCs w:val="24"/>
        </w:rPr>
        <w:t>retail electric services</w:t>
      </w:r>
      <w:r w:rsidR="00435ECA">
        <w:rPr>
          <w:rFonts w:ascii="Times New Roman" w:hAnsi="Times New Roman"/>
          <w:sz w:val="24"/>
          <w:szCs w:val="24"/>
        </w:rPr>
        <w:t xml:space="preserve"> . . . .</w:t>
      </w:r>
      <w:r>
        <w:rPr>
          <w:rFonts w:ascii="Times New Roman" w:hAnsi="Times New Roman"/>
          <w:sz w:val="24"/>
          <w:szCs w:val="24"/>
        </w:rPr>
        <w:t>”</w:t>
      </w:r>
      <w:r>
        <w:rPr>
          <w:rStyle w:val="FootnoteReference"/>
          <w:rFonts w:ascii="Times New Roman" w:hAnsi="Times New Roman"/>
          <w:szCs w:val="24"/>
        </w:rPr>
        <w:footnoteReference w:id="108"/>
      </w:r>
      <w:r>
        <w:rPr>
          <w:rFonts w:ascii="Times New Roman" w:hAnsi="Times New Roman"/>
          <w:sz w:val="24"/>
          <w:szCs w:val="24"/>
        </w:rPr>
        <w:t xml:space="preserve">    R.C.</w:t>
      </w:r>
      <w:r w:rsidR="0081081C">
        <w:rPr>
          <w:rFonts w:ascii="Times New Roman" w:hAnsi="Times New Roman"/>
          <w:sz w:val="24"/>
          <w:szCs w:val="24"/>
        </w:rPr>
        <w:t xml:space="preserve"> </w:t>
      </w:r>
      <w:r>
        <w:rPr>
          <w:rFonts w:ascii="Times New Roman" w:hAnsi="Times New Roman"/>
          <w:sz w:val="24"/>
          <w:szCs w:val="24"/>
        </w:rPr>
        <w:t>4928.143 permits an “electric distribution utility” to comply with R.C.</w:t>
      </w:r>
      <w:r w:rsidR="00FC53F6">
        <w:rPr>
          <w:rFonts w:ascii="Times New Roman" w:hAnsi="Times New Roman"/>
          <w:sz w:val="24"/>
          <w:szCs w:val="24"/>
        </w:rPr>
        <w:t xml:space="preserve"> </w:t>
      </w:r>
      <w:r>
        <w:rPr>
          <w:rFonts w:ascii="Times New Roman" w:hAnsi="Times New Roman"/>
          <w:sz w:val="24"/>
          <w:szCs w:val="24"/>
        </w:rPr>
        <w:t>4928.141 by filing an ESP for the PUCO’s approval.</w:t>
      </w:r>
      <w:r>
        <w:rPr>
          <w:rStyle w:val="FootnoteReference"/>
          <w:rFonts w:ascii="Times New Roman" w:hAnsi="Times New Roman"/>
          <w:szCs w:val="24"/>
        </w:rPr>
        <w:footnoteReference w:id="109"/>
      </w:r>
      <w:r>
        <w:rPr>
          <w:rFonts w:ascii="Times New Roman" w:hAnsi="Times New Roman"/>
          <w:sz w:val="24"/>
          <w:szCs w:val="24"/>
        </w:rPr>
        <w:t xml:space="preserve">  </w:t>
      </w:r>
    </w:p>
    <w:p w:rsidR="00EE4742" w:rsidRDefault="00EE4742" w:rsidP="00A57413">
      <w:pPr>
        <w:pStyle w:val="ListParagraph"/>
        <w:spacing w:after="0" w:line="480" w:lineRule="auto"/>
        <w:ind w:left="0" w:firstLine="720"/>
        <w:rPr>
          <w:rFonts w:ascii="Times New Roman" w:hAnsi="Times New Roman"/>
          <w:sz w:val="24"/>
          <w:szCs w:val="24"/>
        </w:rPr>
      </w:pPr>
      <w:r>
        <w:rPr>
          <w:rFonts w:ascii="Times New Roman" w:hAnsi="Times New Roman"/>
          <w:sz w:val="24"/>
          <w:szCs w:val="24"/>
        </w:rPr>
        <w:t>For purposes of R.C. Chapter 4928, the General Assembly defined an “electric distribution utility”</w:t>
      </w:r>
      <w:r w:rsidRPr="00C5675A">
        <w:rPr>
          <w:rStyle w:val="FootnoteReference"/>
          <w:rFonts w:ascii="Times New Roman" w:hAnsi="Times New Roman"/>
          <w:szCs w:val="24"/>
        </w:rPr>
        <w:t xml:space="preserve"> </w:t>
      </w:r>
      <w:r>
        <w:rPr>
          <w:rStyle w:val="FootnoteReference"/>
          <w:rFonts w:ascii="Times New Roman" w:hAnsi="Times New Roman"/>
          <w:szCs w:val="24"/>
        </w:rPr>
        <w:footnoteReference w:id="110"/>
      </w:r>
      <w:r>
        <w:rPr>
          <w:rFonts w:ascii="Times New Roman" w:hAnsi="Times New Roman"/>
          <w:sz w:val="24"/>
          <w:szCs w:val="24"/>
        </w:rPr>
        <w:t xml:space="preserve"> as an “electric utility,”</w:t>
      </w:r>
      <w:r>
        <w:rPr>
          <w:rStyle w:val="FootnoteReference"/>
          <w:rFonts w:ascii="Times New Roman" w:hAnsi="Times New Roman"/>
          <w:szCs w:val="24"/>
        </w:rPr>
        <w:footnoteReference w:id="111"/>
      </w:r>
      <w:r w:rsidRPr="00C5675A">
        <w:rPr>
          <w:rStyle w:val="FootnoteReference"/>
          <w:rFonts w:ascii="Times New Roman" w:hAnsi="Times New Roman"/>
          <w:szCs w:val="24"/>
        </w:rPr>
        <w:t xml:space="preserve"> </w:t>
      </w:r>
      <w:r>
        <w:rPr>
          <w:rFonts w:ascii="Times New Roman" w:hAnsi="Times New Roman"/>
          <w:sz w:val="24"/>
          <w:szCs w:val="24"/>
        </w:rPr>
        <w:t>which in turn is defined as an “electric light company” under R.C.</w:t>
      </w:r>
      <w:r w:rsidR="00FC53F6">
        <w:rPr>
          <w:rFonts w:ascii="Times New Roman" w:hAnsi="Times New Roman"/>
          <w:sz w:val="24"/>
          <w:szCs w:val="24"/>
        </w:rPr>
        <w:t xml:space="preserve"> </w:t>
      </w:r>
      <w:r>
        <w:rPr>
          <w:rFonts w:ascii="Times New Roman" w:hAnsi="Times New Roman"/>
          <w:sz w:val="24"/>
          <w:szCs w:val="24"/>
        </w:rPr>
        <w:t>4905.03(C), discussed above.</w:t>
      </w:r>
      <w:r>
        <w:rPr>
          <w:rStyle w:val="FootnoteReference"/>
          <w:rFonts w:ascii="Times New Roman" w:hAnsi="Times New Roman"/>
          <w:szCs w:val="24"/>
        </w:rPr>
        <w:footnoteReference w:id="112"/>
      </w:r>
      <w:r>
        <w:rPr>
          <w:rFonts w:ascii="Times New Roman" w:hAnsi="Times New Roman"/>
          <w:sz w:val="24"/>
          <w:szCs w:val="24"/>
        </w:rPr>
        <w:t xml:space="preserve"> </w:t>
      </w:r>
      <w:r w:rsidR="0003244E">
        <w:rPr>
          <w:rFonts w:ascii="Times New Roman" w:hAnsi="Times New Roman"/>
          <w:sz w:val="24"/>
          <w:szCs w:val="24"/>
        </w:rPr>
        <w:t xml:space="preserve"> </w:t>
      </w:r>
      <w:r w:rsidR="00435ECA">
        <w:rPr>
          <w:rFonts w:ascii="Times New Roman" w:hAnsi="Times New Roman"/>
          <w:sz w:val="24"/>
          <w:szCs w:val="24"/>
        </w:rPr>
        <w:t>AEP Ohio satisfies</w:t>
      </w:r>
      <w:r>
        <w:rPr>
          <w:rFonts w:ascii="Times New Roman" w:hAnsi="Times New Roman"/>
          <w:sz w:val="24"/>
          <w:szCs w:val="24"/>
        </w:rPr>
        <w:t xml:space="preserve"> each of these definitions, and under each definition, the General Assembly consistently and expressly limited the PUCO’s jurisdiction to the provision of retail electric service.  Thus, the PUCO’s jurisdiction clearly is limited to retail electric service.      </w:t>
      </w:r>
    </w:p>
    <w:p w:rsidR="00EE4742" w:rsidRPr="00951324" w:rsidRDefault="009D07A4" w:rsidP="00316B0F">
      <w:pPr>
        <w:pStyle w:val="Heading5"/>
      </w:pPr>
      <w:bookmarkStart w:id="36" w:name="_Toc435428207"/>
      <w:bookmarkStart w:id="37" w:name="_Toc442104141"/>
      <w:r>
        <w:t>ii.</w:t>
      </w:r>
      <w:r>
        <w:tab/>
      </w:r>
      <w:r w:rsidR="00EE4742" w:rsidRPr="00951324">
        <w:t xml:space="preserve">The </w:t>
      </w:r>
      <w:r w:rsidR="00434A95">
        <w:t xml:space="preserve">PUCO has jurisdiction over retail electric service; the </w:t>
      </w:r>
      <w:r w:rsidR="00EE4742" w:rsidRPr="00951324">
        <w:t xml:space="preserve">PPA </w:t>
      </w:r>
      <w:r>
        <w:t>R</w:t>
      </w:r>
      <w:r w:rsidR="00EE4742" w:rsidRPr="00951324">
        <w:t xml:space="preserve">ider </w:t>
      </w:r>
      <w:r w:rsidR="00434A95">
        <w:t>is</w:t>
      </w:r>
      <w:r w:rsidR="00EE4742" w:rsidRPr="00951324">
        <w:t xml:space="preserve"> </w:t>
      </w:r>
      <w:r w:rsidR="00380F28">
        <w:t>n</w:t>
      </w:r>
      <w:r w:rsidR="00EE4742" w:rsidRPr="00951324">
        <w:t xml:space="preserve">ot </w:t>
      </w:r>
      <w:r w:rsidR="00434A95">
        <w:t>for</w:t>
      </w:r>
      <w:r w:rsidR="00EE4742" w:rsidRPr="00951324">
        <w:t xml:space="preserve"> </w:t>
      </w:r>
      <w:r w:rsidR="00380F28">
        <w:t>r</w:t>
      </w:r>
      <w:r w:rsidR="00EE4742" w:rsidRPr="00951324">
        <w:t xml:space="preserve">etail </w:t>
      </w:r>
      <w:r w:rsidR="00380F28">
        <w:t>e</w:t>
      </w:r>
      <w:r w:rsidR="00EE4742" w:rsidRPr="00951324">
        <w:t xml:space="preserve">lectric </w:t>
      </w:r>
      <w:r w:rsidR="00380F28">
        <w:t>s</w:t>
      </w:r>
      <w:r w:rsidR="00EE4742" w:rsidRPr="00951324">
        <w:t>ervice</w:t>
      </w:r>
      <w:bookmarkEnd w:id="36"/>
      <w:r w:rsidR="002142DB">
        <w:t>.</w:t>
      </w:r>
      <w:bookmarkEnd w:id="37"/>
    </w:p>
    <w:p w:rsidR="00EE4742" w:rsidRPr="00435ECA" w:rsidRDefault="008F685C" w:rsidP="00A57413">
      <w:pPr>
        <w:spacing w:after="0" w:line="480" w:lineRule="auto"/>
        <w:ind w:firstLine="720"/>
        <w:rPr>
          <w:rFonts w:ascii="Times New Roman" w:hAnsi="Times New Roman"/>
          <w:sz w:val="24"/>
          <w:szCs w:val="24"/>
        </w:rPr>
      </w:pPr>
      <w:r>
        <w:rPr>
          <w:rFonts w:ascii="Times New Roman" w:hAnsi="Times New Roman"/>
          <w:sz w:val="24"/>
          <w:szCs w:val="24"/>
        </w:rPr>
        <w:t>Under R.C.</w:t>
      </w:r>
      <w:r w:rsidR="00FC53F6">
        <w:rPr>
          <w:rFonts w:ascii="Times New Roman" w:hAnsi="Times New Roman"/>
          <w:sz w:val="24"/>
          <w:szCs w:val="24"/>
        </w:rPr>
        <w:t xml:space="preserve"> </w:t>
      </w:r>
      <w:r w:rsidR="00EE4742" w:rsidRPr="00435ECA">
        <w:rPr>
          <w:rFonts w:ascii="Times New Roman" w:hAnsi="Times New Roman"/>
          <w:sz w:val="24"/>
          <w:szCs w:val="24"/>
        </w:rPr>
        <w:t xml:space="preserve">4928.01(A)(27) retail electric service is defined as “any service involved in supplying or arranging for the supply of electricity to ultimate consumers in this state, from the point of generation to the point of consumption.”  The PPA </w:t>
      </w:r>
      <w:r w:rsidR="00435ECA">
        <w:rPr>
          <w:rFonts w:ascii="Times New Roman" w:hAnsi="Times New Roman"/>
          <w:sz w:val="24"/>
          <w:szCs w:val="24"/>
        </w:rPr>
        <w:t>R</w:t>
      </w:r>
      <w:r w:rsidR="00EE4742" w:rsidRPr="00435ECA">
        <w:rPr>
          <w:rFonts w:ascii="Times New Roman" w:hAnsi="Times New Roman"/>
          <w:sz w:val="24"/>
          <w:szCs w:val="24"/>
        </w:rPr>
        <w:t xml:space="preserve">ider does not fit within the definition of retail electric service. </w:t>
      </w:r>
      <w:r w:rsidR="0003244E">
        <w:rPr>
          <w:rFonts w:ascii="Times New Roman" w:hAnsi="Times New Roman"/>
          <w:sz w:val="24"/>
          <w:szCs w:val="24"/>
        </w:rPr>
        <w:t xml:space="preserve"> </w:t>
      </w:r>
      <w:r w:rsidR="00EE4742" w:rsidRPr="00435ECA">
        <w:rPr>
          <w:rFonts w:ascii="Times New Roman" w:hAnsi="Times New Roman"/>
          <w:sz w:val="24"/>
          <w:szCs w:val="24"/>
        </w:rPr>
        <w:t>This is because</w:t>
      </w:r>
      <w:r w:rsidR="00435ECA">
        <w:rPr>
          <w:rFonts w:ascii="Times New Roman" w:hAnsi="Times New Roman"/>
          <w:sz w:val="24"/>
          <w:szCs w:val="24"/>
        </w:rPr>
        <w:t xml:space="preserve"> the </w:t>
      </w:r>
      <w:r w:rsidR="00EE4742" w:rsidRPr="00435ECA">
        <w:rPr>
          <w:rFonts w:ascii="Times New Roman" w:hAnsi="Times New Roman"/>
          <w:sz w:val="24"/>
          <w:szCs w:val="24"/>
        </w:rPr>
        <w:t xml:space="preserve">PPA </w:t>
      </w:r>
      <w:r w:rsidR="00435ECA">
        <w:rPr>
          <w:rFonts w:ascii="Times New Roman" w:hAnsi="Times New Roman"/>
          <w:sz w:val="24"/>
          <w:szCs w:val="24"/>
        </w:rPr>
        <w:t xml:space="preserve">Rider </w:t>
      </w:r>
      <w:r w:rsidR="00EE4742" w:rsidRPr="00435ECA">
        <w:rPr>
          <w:rFonts w:ascii="Times New Roman" w:hAnsi="Times New Roman"/>
          <w:sz w:val="24"/>
          <w:szCs w:val="24"/>
        </w:rPr>
        <w:t>does not constit</w:t>
      </w:r>
      <w:r w:rsidR="00435ECA">
        <w:rPr>
          <w:rFonts w:ascii="Times New Roman" w:hAnsi="Times New Roman"/>
          <w:sz w:val="24"/>
          <w:szCs w:val="24"/>
        </w:rPr>
        <w:t xml:space="preserve">ute a service that is involved </w:t>
      </w:r>
      <w:r w:rsidR="00EE4742" w:rsidRPr="00435ECA">
        <w:rPr>
          <w:rFonts w:ascii="Times New Roman" w:hAnsi="Times New Roman"/>
          <w:sz w:val="24"/>
          <w:szCs w:val="24"/>
        </w:rPr>
        <w:t xml:space="preserve">in supplying or arranging for the supply of electricity to ultimate consumers in this state.  </w:t>
      </w:r>
      <w:r w:rsidR="00435ECA">
        <w:rPr>
          <w:rFonts w:ascii="Times New Roman" w:hAnsi="Times New Roman"/>
          <w:sz w:val="24"/>
          <w:szCs w:val="24"/>
        </w:rPr>
        <w:t xml:space="preserve"> </w:t>
      </w:r>
    </w:p>
    <w:p w:rsidR="00EE4742" w:rsidRPr="00435ECA" w:rsidRDefault="00EE4742" w:rsidP="00A57413">
      <w:pPr>
        <w:spacing w:after="0" w:line="480" w:lineRule="auto"/>
        <w:ind w:firstLine="720"/>
        <w:rPr>
          <w:rFonts w:ascii="Times New Roman" w:hAnsi="Times New Roman"/>
          <w:sz w:val="24"/>
          <w:szCs w:val="24"/>
        </w:rPr>
      </w:pPr>
      <w:r w:rsidRPr="00435ECA">
        <w:rPr>
          <w:rFonts w:ascii="Times New Roman" w:hAnsi="Times New Roman"/>
          <w:sz w:val="24"/>
          <w:szCs w:val="24"/>
        </w:rPr>
        <w:t xml:space="preserve">Instead, the PPA </w:t>
      </w:r>
      <w:r w:rsidR="00435ECA">
        <w:rPr>
          <w:rFonts w:ascii="Times New Roman" w:hAnsi="Times New Roman"/>
          <w:sz w:val="24"/>
          <w:szCs w:val="24"/>
        </w:rPr>
        <w:t xml:space="preserve">Rider </w:t>
      </w:r>
      <w:r w:rsidRPr="00435ECA">
        <w:rPr>
          <w:rFonts w:ascii="Times New Roman" w:hAnsi="Times New Roman"/>
          <w:sz w:val="24"/>
          <w:szCs w:val="24"/>
        </w:rPr>
        <w:t>is a financial transaction that is separate and distinct from the sale of electricity to consumers</w:t>
      </w:r>
      <w:r w:rsidR="009D7820">
        <w:rPr>
          <w:rFonts w:ascii="Times New Roman" w:hAnsi="Times New Roman"/>
          <w:sz w:val="24"/>
          <w:szCs w:val="24"/>
        </w:rPr>
        <w:t xml:space="preserve"> in this state.  It involves a </w:t>
      </w:r>
      <w:r w:rsidRPr="00435ECA">
        <w:rPr>
          <w:rFonts w:ascii="Times New Roman" w:hAnsi="Times New Roman"/>
          <w:sz w:val="24"/>
          <w:szCs w:val="24"/>
        </w:rPr>
        <w:t xml:space="preserve">FERC jurisdictional </w:t>
      </w:r>
      <w:r w:rsidR="009D7820">
        <w:rPr>
          <w:rFonts w:ascii="Times New Roman" w:hAnsi="Times New Roman"/>
          <w:sz w:val="24"/>
          <w:szCs w:val="24"/>
        </w:rPr>
        <w:t>contract</w:t>
      </w:r>
      <w:r>
        <w:rPr>
          <w:rStyle w:val="FootnoteReference"/>
          <w:rFonts w:ascii="Times New Roman" w:hAnsi="Times New Roman"/>
          <w:szCs w:val="24"/>
        </w:rPr>
        <w:footnoteReference w:id="113"/>
      </w:r>
      <w:r w:rsidRPr="00435ECA">
        <w:rPr>
          <w:rFonts w:ascii="Times New Roman" w:hAnsi="Times New Roman"/>
          <w:sz w:val="24"/>
          <w:szCs w:val="24"/>
        </w:rPr>
        <w:t xml:space="preserve">  between </w:t>
      </w:r>
      <w:r w:rsidR="00435ECA">
        <w:rPr>
          <w:rFonts w:ascii="Times New Roman" w:hAnsi="Times New Roman"/>
          <w:sz w:val="24"/>
          <w:szCs w:val="24"/>
        </w:rPr>
        <w:t>AEP Ohio</w:t>
      </w:r>
      <w:r w:rsidRPr="00435ECA">
        <w:rPr>
          <w:rFonts w:ascii="Times New Roman" w:hAnsi="Times New Roman"/>
          <w:sz w:val="24"/>
          <w:szCs w:val="24"/>
        </w:rPr>
        <w:t xml:space="preserve"> and it affiliate </w:t>
      </w:r>
      <w:r w:rsidR="008F685C">
        <w:rPr>
          <w:rFonts w:ascii="Times New Roman" w:hAnsi="Times New Roman"/>
          <w:sz w:val="24"/>
          <w:szCs w:val="24"/>
        </w:rPr>
        <w:t>AEPGR.</w:t>
      </w:r>
      <w:r w:rsidRPr="00435ECA">
        <w:rPr>
          <w:rFonts w:ascii="Times New Roman" w:hAnsi="Times New Roman"/>
          <w:sz w:val="24"/>
          <w:szCs w:val="24"/>
        </w:rPr>
        <w:t xml:space="preserve"> Under the </w:t>
      </w:r>
      <w:r w:rsidR="008F685C">
        <w:rPr>
          <w:rFonts w:ascii="Times New Roman" w:hAnsi="Times New Roman"/>
          <w:sz w:val="24"/>
          <w:szCs w:val="24"/>
        </w:rPr>
        <w:t xml:space="preserve">PPA, </w:t>
      </w:r>
      <w:r w:rsidR="00435ECA">
        <w:rPr>
          <w:rFonts w:ascii="Times New Roman" w:hAnsi="Times New Roman"/>
          <w:sz w:val="24"/>
          <w:szCs w:val="24"/>
        </w:rPr>
        <w:t>AEP Ohio will contract</w:t>
      </w:r>
      <w:r w:rsidRPr="00435ECA">
        <w:rPr>
          <w:rFonts w:ascii="Times New Roman" w:hAnsi="Times New Roman"/>
          <w:sz w:val="24"/>
          <w:szCs w:val="24"/>
        </w:rPr>
        <w:t xml:space="preserve"> to purchase all the </w:t>
      </w:r>
      <w:r w:rsidR="00435ECA">
        <w:rPr>
          <w:rFonts w:ascii="Times New Roman" w:hAnsi="Times New Roman"/>
          <w:sz w:val="24"/>
          <w:szCs w:val="24"/>
        </w:rPr>
        <w:t xml:space="preserve">energy, capacity, and ancillary services </w:t>
      </w:r>
      <w:r w:rsidRPr="00435ECA">
        <w:rPr>
          <w:rFonts w:ascii="Times New Roman" w:hAnsi="Times New Roman"/>
          <w:sz w:val="24"/>
          <w:szCs w:val="24"/>
        </w:rPr>
        <w:t xml:space="preserve">of </w:t>
      </w:r>
      <w:r w:rsidR="00435ECA">
        <w:rPr>
          <w:rFonts w:ascii="Times New Roman" w:hAnsi="Times New Roman"/>
          <w:sz w:val="24"/>
          <w:szCs w:val="24"/>
        </w:rPr>
        <w:t>the PPA Units</w:t>
      </w:r>
      <w:r w:rsidRPr="00435ECA">
        <w:rPr>
          <w:rFonts w:ascii="Times New Roman" w:hAnsi="Times New Roman"/>
          <w:sz w:val="24"/>
          <w:szCs w:val="24"/>
        </w:rPr>
        <w:t xml:space="preserve"> on a cost basis plus return on investment.</w:t>
      </w:r>
      <w:r>
        <w:rPr>
          <w:rStyle w:val="FootnoteReference"/>
          <w:rFonts w:ascii="Times New Roman" w:hAnsi="Times New Roman"/>
          <w:szCs w:val="24"/>
        </w:rPr>
        <w:footnoteReference w:id="114"/>
      </w:r>
      <w:r w:rsidRPr="00435ECA">
        <w:rPr>
          <w:rFonts w:ascii="Times New Roman" w:hAnsi="Times New Roman"/>
          <w:sz w:val="24"/>
          <w:szCs w:val="24"/>
        </w:rPr>
        <w:t xml:space="preserve">  </w:t>
      </w:r>
      <w:r w:rsidR="00435ECA">
        <w:rPr>
          <w:rFonts w:ascii="Times New Roman" w:hAnsi="Times New Roman"/>
          <w:sz w:val="24"/>
          <w:szCs w:val="24"/>
        </w:rPr>
        <w:t>AEP Ohio will</w:t>
      </w:r>
      <w:r w:rsidRPr="00435ECA">
        <w:rPr>
          <w:rFonts w:ascii="Times New Roman" w:hAnsi="Times New Roman"/>
          <w:sz w:val="24"/>
          <w:szCs w:val="24"/>
        </w:rPr>
        <w:t xml:space="preserve"> then offer </w:t>
      </w:r>
      <w:r w:rsidR="00435ECA">
        <w:rPr>
          <w:rFonts w:ascii="Times New Roman" w:hAnsi="Times New Roman"/>
          <w:sz w:val="24"/>
          <w:szCs w:val="24"/>
        </w:rPr>
        <w:t>the energy, capacity, and ancillary services</w:t>
      </w:r>
      <w:r w:rsidRPr="00435ECA">
        <w:rPr>
          <w:rFonts w:ascii="Times New Roman" w:hAnsi="Times New Roman"/>
          <w:sz w:val="24"/>
          <w:szCs w:val="24"/>
        </w:rPr>
        <w:t xml:space="preserve"> into the PJM markets</w:t>
      </w:r>
      <w:r w:rsidR="00435ECA">
        <w:rPr>
          <w:rFonts w:ascii="Times New Roman" w:hAnsi="Times New Roman"/>
          <w:sz w:val="24"/>
          <w:szCs w:val="24"/>
        </w:rPr>
        <w:t xml:space="preserve"> – </w:t>
      </w:r>
      <w:r w:rsidRPr="00435ECA">
        <w:rPr>
          <w:rFonts w:ascii="Times New Roman" w:hAnsi="Times New Roman"/>
          <w:sz w:val="24"/>
          <w:szCs w:val="24"/>
        </w:rPr>
        <w:t xml:space="preserve">it </w:t>
      </w:r>
      <w:r w:rsidR="00435ECA">
        <w:rPr>
          <w:rFonts w:ascii="Times New Roman" w:hAnsi="Times New Roman"/>
          <w:sz w:val="24"/>
          <w:szCs w:val="24"/>
        </w:rPr>
        <w:t>will</w:t>
      </w:r>
      <w:r w:rsidRPr="00435ECA">
        <w:rPr>
          <w:rFonts w:ascii="Times New Roman" w:hAnsi="Times New Roman"/>
          <w:sz w:val="24"/>
          <w:szCs w:val="24"/>
        </w:rPr>
        <w:t xml:space="preserve"> not supply the </w:t>
      </w:r>
      <w:r w:rsidR="005A3CE5">
        <w:rPr>
          <w:rFonts w:ascii="Times New Roman" w:hAnsi="Times New Roman"/>
          <w:sz w:val="24"/>
          <w:szCs w:val="24"/>
        </w:rPr>
        <w:t>energy</w:t>
      </w:r>
      <w:r w:rsidRPr="00435ECA">
        <w:rPr>
          <w:rFonts w:ascii="Times New Roman" w:hAnsi="Times New Roman"/>
          <w:sz w:val="24"/>
          <w:szCs w:val="24"/>
        </w:rPr>
        <w:t xml:space="preserve"> from the plants to ultimate consumers in this state.  After the sale of the </w:t>
      </w:r>
      <w:r w:rsidR="005A3CE5">
        <w:rPr>
          <w:rFonts w:ascii="Times New Roman" w:hAnsi="Times New Roman"/>
          <w:sz w:val="24"/>
          <w:szCs w:val="24"/>
        </w:rPr>
        <w:t>energy, capacity, and ancillary services</w:t>
      </w:r>
      <w:r w:rsidRPr="00435ECA">
        <w:rPr>
          <w:rFonts w:ascii="Times New Roman" w:hAnsi="Times New Roman"/>
          <w:sz w:val="24"/>
          <w:szCs w:val="24"/>
        </w:rPr>
        <w:t xml:space="preserve"> into the PJM markets, retail customers </w:t>
      </w:r>
      <w:r w:rsidR="005A3CE5">
        <w:rPr>
          <w:rFonts w:ascii="Times New Roman" w:hAnsi="Times New Roman"/>
          <w:sz w:val="24"/>
          <w:szCs w:val="24"/>
        </w:rPr>
        <w:t>will be</w:t>
      </w:r>
      <w:r w:rsidRPr="00435ECA">
        <w:rPr>
          <w:rFonts w:ascii="Times New Roman" w:hAnsi="Times New Roman"/>
          <w:sz w:val="24"/>
          <w:szCs w:val="24"/>
        </w:rPr>
        <w:t xml:space="preserve"> charged</w:t>
      </w:r>
      <w:r w:rsidR="005A3CE5">
        <w:rPr>
          <w:rFonts w:ascii="Times New Roman" w:hAnsi="Times New Roman"/>
          <w:sz w:val="24"/>
          <w:szCs w:val="24"/>
        </w:rPr>
        <w:t>/credited</w:t>
      </w:r>
      <w:r w:rsidRPr="00435ECA">
        <w:rPr>
          <w:rFonts w:ascii="Times New Roman" w:hAnsi="Times New Roman"/>
          <w:sz w:val="24"/>
          <w:szCs w:val="24"/>
        </w:rPr>
        <w:t xml:space="preserve"> for the difference between the </w:t>
      </w:r>
      <w:r w:rsidR="005A3CE5">
        <w:rPr>
          <w:rFonts w:ascii="Times New Roman" w:hAnsi="Times New Roman"/>
          <w:sz w:val="24"/>
          <w:szCs w:val="24"/>
        </w:rPr>
        <w:t xml:space="preserve">PPA contract price </w:t>
      </w:r>
      <w:r w:rsidRPr="00435ECA">
        <w:rPr>
          <w:rFonts w:ascii="Times New Roman" w:hAnsi="Times New Roman"/>
          <w:sz w:val="24"/>
          <w:szCs w:val="24"/>
        </w:rPr>
        <w:t xml:space="preserve">and market price obtained through </w:t>
      </w:r>
      <w:r w:rsidR="005A3CE5">
        <w:rPr>
          <w:rFonts w:ascii="Times New Roman" w:hAnsi="Times New Roman"/>
          <w:sz w:val="24"/>
          <w:szCs w:val="24"/>
        </w:rPr>
        <w:t>the</w:t>
      </w:r>
      <w:r w:rsidRPr="00435ECA">
        <w:rPr>
          <w:rFonts w:ascii="Times New Roman" w:hAnsi="Times New Roman"/>
          <w:sz w:val="24"/>
          <w:szCs w:val="24"/>
        </w:rPr>
        <w:t xml:space="preserve"> sale into the PJM market.  Retail customers are twice removed from the transaction, which involves 1) </w:t>
      </w:r>
      <w:r w:rsidR="005A3CE5">
        <w:rPr>
          <w:rFonts w:ascii="Times New Roman" w:hAnsi="Times New Roman"/>
          <w:sz w:val="24"/>
          <w:szCs w:val="24"/>
        </w:rPr>
        <w:t>a</w:t>
      </w:r>
      <w:r w:rsidRPr="00435ECA">
        <w:rPr>
          <w:rFonts w:ascii="Times New Roman" w:hAnsi="Times New Roman"/>
          <w:sz w:val="24"/>
          <w:szCs w:val="24"/>
        </w:rPr>
        <w:t xml:space="preserve"> wholesale </w:t>
      </w:r>
      <w:r w:rsidR="005A3CE5">
        <w:rPr>
          <w:rFonts w:ascii="Times New Roman" w:hAnsi="Times New Roman"/>
          <w:sz w:val="24"/>
          <w:szCs w:val="24"/>
        </w:rPr>
        <w:t>sale</w:t>
      </w:r>
      <w:r w:rsidRPr="00435ECA">
        <w:rPr>
          <w:rFonts w:ascii="Times New Roman" w:hAnsi="Times New Roman"/>
          <w:sz w:val="24"/>
          <w:szCs w:val="24"/>
        </w:rPr>
        <w:t xml:space="preserve"> between </w:t>
      </w:r>
      <w:r w:rsidR="005A3CE5">
        <w:rPr>
          <w:rFonts w:ascii="Times New Roman" w:hAnsi="Times New Roman"/>
          <w:sz w:val="24"/>
          <w:szCs w:val="24"/>
        </w:rPr>
        <w:t>AEP Ohio</w:t>
      </w:r>
      <w:r w:rsidRPr="00435ECA">
        <w:rPr>
          <w:rFonts w:ascii="Times New Roman" w:hAnsi="Times New Roman"/>
          <w:sz w:val="24"/>
          <w:szCs w:val="24"/>
        </w:rPr>
        <w:t xml:space="preserve"> and </w:t>
      </w:r>
      <w:r w:rsidR="005A3CE5">
        <w:rPr>
          <w:rFonts w:ascii="Times New Roman" w:hAnsi="Times New Roman"/>
          <w:sz w:val="24"/>
          <w:szCs w:val="24"/>
        </w:rPr>
        <w:t>AEPGR, and</w:t>
      </w:r>
      <w:r w:rsidRPr="00435ECA">
        <w:rPr>
          <w:rFonts w:ascii="Times New Roman" w:hAnsi="Times New Roman"/>
          <w:sz w:val="24"/>
          <w:szCs w:val="24"/>
        </w:rPr>
        <w:t xml:space="preserve"> 2) </w:t>
      </w:r>
      <w:r w:rsidR="005A3CE5">
        <w:rPr>
          <w:rFonts w:ascii="Times New Roman" w:hAnsi="Times New Roman"/>
          <w:sz w:val="24"/>
          <w:szCs w:val="24"/>
        </w:rPr>
        <w:t>a</w:t>
      </w:r>
      <w:r w:rsidRPr="00435ECA">
        <w:rPr>
          <w:rFonts w:ascii="Times New Roman" w:hAnsi="Times New Roman"/>
          <w:sz w:val="24"/>
          <w:szCs w:val="24"/>
        </w:rPr>
        <w:t xml:space="preserve"> wholesale </w:t>
      </w:r>
      <w:r w:rsidR="005A3CE5">
        <w:rPr>
          <w:rFonts w:ascii="Times New Roman" w:hAnsi="Times New Roman"/>
          <w:sz w:val="24"/>
          <w:szCs w:val="24"/>
        </w:rPr>
        <w:t>sale</w:t>
      </w:r>
      <w:r w:rsidRPr="00435ECA">
        <w:rPr>
          <w:rFonts w:ascii="Times New Roman" w:hAnsi="Times New Roman"/>
          <w:sz w:val="24"/>
          <w:szCs w:val="24"/>
        </w:rPr>
        <w:t xml:space="preserve"> </w:t>
      </w:r>
      <w:r w:rsidR="00363B61">
        <w:rPr>
          <w:rFonts w:ascii="Times New Roman" w:hAnsi="Times New Roman"/>
          <w:sz w:val="24"/>
          <w:szCs w:val="24"/>
        </w:rPr>
        <w:t>by</w:t>
      </w:r>
      <w:r w:rsidRPr="00435ECA">
        <w:rPr>
          <w:rFonts w:ascii="Times New Roman" w:hAnsi="Times New Roman"/>
          <w:sz w:val="24"/>
          <w:szCs w:val="24"/>
        </w:rPr>
        <w:t xml:space="preserve"> </w:t>
      </w:r>
      <w:r w:rsidR="005A3CE5">
        <w:rPr>
          <w:rFonts w:ascii="Times New Roman" w:hAnsi="Times New Roman"/>
          <w:sz w:val="24"/>
          <w:szCs w:val="24"/>
        </w:rPr>
        <w:t>AEP Ohio</w:t>
      </w:r>
      <w:r w:rsidRPr="00435ECA">
        <w:rPr>
          <w:rFonts w:ascii="Times New Roman" w:hAnsi="Times New Roman"/>
          <w:sz w:val="24"/>
          <w:szCs w:val="24"/>
        </w:rPr>
        <w:t xml:space="preserve"> </w:t>
      </w:r>
      <w:r w:rsidR="0081081C">
        <w:rPr>
          <w:rFonts w:ascii="Times New Roman" w:hAnsi="Times New Roman"/>
          <w:sz w:val="24"/>
          <w:szCs w:val="24"/>
        </w:rPr>
        <w:t>i</w:t>
      </w:r>
      <w:r w:rsidR="00363B61">
        <w:rPr>
          <w:rFonts w:ascii="Times New Roman" w:hAnsi="Times New Roman"/>
          <w:sz w:val="24"/>
          <w:szCs w:val="24"/>
        </w:rPr>
        <w:t xml:space="preserve">nto the </w:t>
      </w:r>
      <w:r w:rsidRPr="00435ECA">
        <w:rPr>
          <w:rFonts w:ascii="Times New Roman" w:hAnsi="Times New Roman"/>
          <w:sz w:val="24"/>
          <w:szCs w:val="24"/>
        </w:rPr>
        <w:t>PJM</w:t>
      </w:r>
      <w:r w:rsidR="00363B61">
        <w:rPr>
          <w:rFonts w:ascii="Times New Roman" w:hAnsi="Times New Roman"/>
          <w:sz w:val="24"/>
          <w:szCs w:val="24"/>
        </w:rPr>
        <w:t xml:space="preserve"> markets</w:t>
      </w:r>
      <w:r w:rsidRPr="00435ECA">
        <w:rPr>
          <w:rFonts w:ascii="Times New Roman" w:hAnsi="Times New Roman"/>
          <w:sz w:val="24"/>
          <w:szCs w:val="24"/>
        </w:rPr>
        <w:t xml:space="preserve">.  With no electricity service being provided directly (or even indirectly) by </w:t>
      </w:r>
      <w:r w:rsidR="005A3CE5">
        <w:rPr>
          <w:rFonts w:ascii="Times New Roman" w:hAnsi="Times New Roman"/>
          <w:sz w:val="24"/>
          <w:szCs w:val="24"/>
        </w:rPr>
        <w:t>AEP Ohio</w:t>
      </w:r>
      <w:r w:rsidRPr="00435ECA">
        <w:rPr>
          <w:rFonts w:ascii="Times New Roman" w:hAnsi="Times New Roman"/>
          <w:sz w:val="24"/>
          <w:szCs w:val="24"/>
        </w:rPr>
        <w:t xml:space="preserve"> to retail customers, there is no valid claim that the PPA Rider </w:t>
      </w:r>
      <w:r w:rsidR="005A3CE5">
        <w:rPr>
          <w:rFonts w:ascii="Times New Roman" w:hAnsi="Times New Roman"/>
          <w:sz w:val="24"/>
          <w:szCs w:val="24"/>
        </w:rPr>
        <w:t>p</w:t>
      </w:r>
      <w:r w:rsidRPr="00435ECA">
        <w:rPr>
          <w:rFonts w:ascii="Times New Roman" w:hAnsi="Times New Roman"/>
          <w:sz w:val="24"/>
          <w:szCs w:val="24"/>
        </w:rPr>
        <w:t xml:space="preserve">roposal pertains to retail electric service. </w:t>
      </w:r>
    </w:p>
    <w:p w:rsidR="00EE4742" w:rsidRPr="00363B61" w:rsidRDefault="009D07A4" w:rsidP="00316B0F">
      <w:pPr>
        <w:pStyle w:val="Heading5"/>
      </w:pPr>
      <w:bookmarkStart w:id="38" w:name="_Toc435428208"/>
      <w:bookmarkStart w:id="39" w:name="_Toc442104142"/>
      <w:r>
        <w:t>iii.</w:t>
      </w:r>
      <w:r>
        <w:tab/>
      </w:r>
      <w:r w:rsidR="00434A95">
        <w:t>A</w:t>
      </w:r>
      <w:r w:rsidR="00EE4742" w:rsidRPr="00951324">
        <w:t xml:space="preserve">pproving </w:t>
      </w:r>
      <w:r w:rsidR="00380F28">
        <w:t xml:space="preserve">the PPA </w:t>
      </w:r>
      <w:r>
        <w:t>R</w:t>
      </w:r>
      <w:r w:rsidR="00380F28">
        <w:t>ider p</w:t>
      </w:r>
      <w:r w:rsidR="00EE4742" w:rsidRPr="00951324">
        <w:t>roposal</w:t>
      </w:r>
      <w:r w:rsidR="00434A95">
        <w:t xml:space="preserve"> would involve</w:t>
      </w:r>
      <w:r w:rsidR="00EE4742" w:rsidRPr="00951324">
        <w:t xml:space="preserve"> </w:t>
      </w:r>
      <w:r w:rsidR="00380F28">
        <w:t xml:space="preserve">the PUCO </w:t>
      </w:r>
      <w:r w:rsidR="00434A95">
        <w:t>in</w:t>
      </w:r>
      <w:r w:rsidR="00380F28">
        <w:t xml:space="preserve"> s</w:t>
      </w:r>
      <w:r w:rsidR="00EE4742" w:rsidRPr="00951324">
        <w:t>upplement</w:t>
      </w:r>
      <w:r w:rsidR="00434A95">
        <w:t>ing</w:t>
      </w:r>
      <w:r w:rsidR="00EE4742" w:rsidRPr="00951324">
        <w:t xml:space="preserve"> </w:t>
      </w:r>
      <w:r w:rsidR="00380F28">
        <w:t>the PJM wholesale auction clearing p</w:t>
      </w:r>
      <w:r w:rsidR="00EE4742" w:rsidRPr="00951324">
        <w:t xml:space="preserve">rice </w:t>
      </w:r>
      <w:r w:rsidR="00380F28">
        <w:t>a</w:t>
      </w:r>
      <w:r w:rsidR="00EE4742" w:rsidRPr="00951324">
        <w:t xml:space="preserve">nd, </w:t>
      </w:r>
      <w:r w:rsidR="00380F28">
        <w:t>thus, e</w:t>
      </w:r>
      <w:r w:rsidR="00EE4742" w:rsidRPr="00951324">
        <w:t xml:space="preserve">xceed </w:t>
      </w:r>
      <w:r w:rsidR="00380F28">
        <w:t>its subject matter jurisdiction by functionally setting wholesale p</w:t>
      </w:r>
      <w:r w:rsidR="00EE4742" w:rsidRPr="00951324">
        <w:t>rices</w:t>
      </w:r>
      <w:bookmarkEnd w:id="38"/>
      <w:r w:rsidR="00340669">
        <w:t xml:space="preserve"> to consumers</w:t>
      </w:r>
      <w:r w:rsidR="002142DB">
        <w:t>.</w:t>
      </w:r>
      <w:bookmarkEnd w:id="39"/>
      <w:r w:rsidR="00EE4742" w:rsidRPr="005A3CE5">
        <w:t xml:space="preserve">    </w:t>
      </w:r>
    </w:p>
    <w:p w:rsidR="00EE4742" w:rsidRDefault="00EE4742" w:rsidP="00A57413">
      <w:pPr>
        <w:spacing w:after="0" w:line="480" w:lineRule="auto"/>
        <w:ind w:firstLine="720"/>
        <w:rPr>
          <w:rFonts w:ascii="Times New Roman" w:hAnsi="Times New Roman" w:cs="Times New Roman"/>
          <w:sz w:val="24"/>
          <w:szCs w:val="24"/>
        </w:rPr>
      </w:pPr>
      <w:r w:rsidRPr="005A3CE5">
        <w:rPr>
          <w:rFonts w:ascii="Times New Roman" w:hAnsi="Times New Roman" w:cs="Times New Roman"/>
          <w:color w:val="000000"/>
          <w:spacing w:val="1"/>
          <w:sz w:val="24"/>
          <w:szCs w:val="24"/>
        </w:rPr>
        <w:t xml:space="preserve">The </w:t>
      </w:r>
      <w:r w:rsidR="00546401">
        <w:rPr>
          <w:rFonts w:ascii="Times New Roman" w:hAnsi="Times New Roman" w:cs="Times New Roman"/>
          <w:color w:val="000000"/>
          <w:spacing w:val="1"/>
          <w:sz w:val="24"/>
          <w:szCs w:val="24"/>
        </w:rPr>
        <w:t xml:space="preserve">PUCO’s </w:t>
      </w:r>
      <w:r w:rsidRPr="005A3CE5">
        <w:rPr>
          <w:rFonts w:ascii="Times New Roman" w:hAnsi="Times New Roman" w:cs="Times New Roman"/>
          <w:color w:val="000000"/>
          <w:spacing w:val="1"/>
          <w:sz w:val="24"/>
          <w:szCs w:val="24"/>
        </w:rPr>
        <w:t xml:space="preserve">approval of the PPA Rider would create a program where </w:t>
      </w:r>
      <w:r w:rsidR="00546401">
        <w:rPr>
          <w:rFonts w:ascii="Times New Roman" w:hAnsi="Times New Roman" w:cs="Times New Roman"/>
          <w:color w:val="000000"/>
          <w:spacing w:val="1"/>
          <w:sz w:val="24"/>
          <w:szCs w:val="24"/>
        </w:rPr>
        <w:t>AEP Ohio</w:t>
      </w:r>
      <w:r w:rsidRPr="005A3CE5">
        <w:rPr>
          <w:rFonts w:ascii="Times New Roman" w:hAnsi="Times New Roman" w:cs="Times New Roman"/>
          <w:color w:val="000000"/>
          <w:spacing w:val="1"/>
          <w:sz w:val="24"/>
          <w:szCs w:val="24"/>
        </w:rPr>
        <w:t xml:space="preserve"> participates in the PJM market</w:t>
      </w:r>
      <w:r w:rsidR="009D07A4">
        <w:rPr>
          <w:rFonts w:ascii="Times New Roman" w:hAnsi="Times New Roman" w:cs="Times New Roman"/>
          <w:color w:val="000000"/>
          <w:spacing w:val="1"/>
          <w:sz w:val="24"/>
          <w:szCs w:val="24"/>
        </w:rPr>
        <w:t>s</w:t>
      </w:r>
      <w:r w:rsidRPr="005A3CE5">
        <w:rPr>
          <w:rFonts w:ascii="Times New Roman" w:hAnsi="Times New Roman" w:cs="Times New Roman"/>
          <w:color w:val="000000"/>
          <w:spacing w:val="1"/>
          <w:sz w:val="24"/>
          <w:szCs w:val="24"/>
        </w:rPr>
        <w:t xml:space="preserve"> by bidding the products purchased under the PPAs into the PJM auctions. </w:t>
      </w:r>
      <w:r w:rsidR="001627C8">
        <w:rPr>
          <w:rFonts w:ascii="Times New Roman" w:hAnsi="Times New Roman" w:cs="Times New Roman"/>
          <w:color w:val="000000"/>
          <w:spacing w:val="1"/>
          <w:sz w:val="24"/>
          <w:szCs w:val="24"/>
        </w:rPr>
        <w:t xml:space="preserve"> </w:t>
      </w:r>
      <w:r w:rsidRPr="005A3CE5">
        <w:rPr>
          <w:rFonts w:ascii="Times New Roman" w:hAnsi="Times New Roman" w:cs="Times New Roman"/>
          <w:color w:val="000000"/>
          <w:spacing w:val="1"/>
          <w:sz w:val="24"/>
          <w:szCs w:val="24"/>
        </w:rPr>
        <w:t xml:space="preserve">This program would accomplish the same objective as in the contracts for differences programs </w:t>
      </w:r>
      <w:r w:rsidR="003F525C">
        <w:rPr>
          <w:rFonts w:ascii="Times New Roman" w:hAnsi="Times New Roman" w:cs="Times New Roman"/>
          <w:color w:val="000000"/>
          <w:spacing w:val="1"/>
          <w:sz w:val="24"/>
          <w:szCs w:val="24"/>
        </w:rPr>
        <w:t xml:space="preserve">that were found preempted </w:t>
      </w:r>
      <w:r w:rsidRPr="005A3CE5">
        <w:rPr>
          <w:rFonts w:ascii="Times New Roman" w:hAnsi="Times New Roman" w:cs="Times New Roman"/>
          <w:color w:val="000000"/>
          <w:spacing w:val="1"/>
          <w:sz w:val="24"/>
          <w:szCs w:val="24"/>
        </w:rPr>
        <w:t xml:space="preserve">in </w:t>
      </w:r>
      <w:r w:rsidRPr="005A3CE5">
        <w:rPr>
          <w:rFonts w:ascii="Times New Roman" w:hAnsi="Times New Roman" w:cs="Times New Roman"/>
          <w:i/>
          <w:color w:val="000000"/>
          <w:spacing w:val="1"/>
          <w:sz w:val="24"/>
          <w:szCs w:val="24"/>
        </w:rPr>
        <w:t>Solomon</w:t>
      </w:r>
      <w:r w:rsidR="003F525C" w:rsidRPr="003F525C">
        <w:rPr>
          <w:rStyle w:val="FootnoteReference"/>
          <w:rFonts w:ascii="Times New Roman" w:hAnsi="Times New Roman" w:cs="Times New Roman"/>
          <w:color w:val="000000"/>
          <w:spacing w:val="1"/>
          <w:sz w:val="24"/>
          <w:szCs w:val="24"/>
        </w:rPr>
        <w:footnoteReference w:id="115"/>
      </w:r>
      <w:r w:rsidR="00363B61">
        <w:rPr>
          <w:rFonts w:ascii="Times New Roman" w:hAnsi="Times New Roman" w:cs="Times New Roman"/>
          <w:i/>
          <w:color w:val="000000"/>
          <w:spacing w:val="1"/>
          <w:sz w:val="24"/>
          <w:szCs w:val="24"/>
        </w:rPr>
        <w:t xml:space="preserve"> </w:t>
      </w:r>
      <w:r w:rsidRPr="005A3CE5">
        <w:rPr>
          <w:rFonts w:ascii="Times New Roman" w:hAnsi="Times New Roman" w:cs="Times New Roman"/>
          <w:color w:val="000000"/>
          <w:spacing w:val="1"/>
          <w:sz w:val="24"/>
          <w:szCs w:val="24"/>
        </w:rPr>
        <w:t xml:space="preserve">and </w:t>
      </w:r>
      <w:r w:rsidRPr="005A3CE5">
        <w:rPr>
          <w:rFonts w:ascii="Times New Roman" w:hAnsi="Times New Roman" w:cs="Times New Roman"/>
          <w:i/>
          <w:color w:val="000000"/>
          <w:spacing w:val="1"/>
          <w:sz w:val="24"/>
          <w:szCs w:val="24"/>
        </w:rPr>
        <w:t>Nazarian</w:t>
      </w:r>
      <w:r w:rsidR="003F525C" w:rsidRPr="003F525C">
        <w:rPr>
          <w:rStyle w:val="FootnoteReference"/>
          <w:rFonts w:ascii="Times New Roman" w:hAnsi="Times New Roman" w:cs="Times New Roman"/>
          <w:color w:val="000000"/>
          <w:spacing w:val="1"/>
          <w:sz w:val="24"/>
          <w:szCs w:val="24"/>
        </w:rPr>
        <w:footnoteReference w:id="116"/>
      </w:r>
      <w:r w:rsidRPr="003F525C">
        <w:rPr>
          <w:rFonts w:ascii="Times New Roman" w:hAnsi="Times New Roman" w:cs="Times New Roman"/>
          <w:color w:val="000000"/>
          <w:spacing w:val="1"/>
          <w:sz w:val="24"/>
          <w:szCs w:val="24"/>
        </w:rPr>
        <w:t>:</w:t>
      </w:r>
      <w:r w:rsidRPr="005A3CE5">
        <w:rPr>
          <w:rFonts w:ascii="Times New Roman" w:hAnsi="Times New Roman" w:cs="Times New Roman"/>
          <w:i/>
          <w:color w:val="000000"/>
          <w:spacing w:val="1"/>
          <w:sz w:val="24"/>
          <w:szCs w:val="24"/>
        </w:rPr>
        <w:t xml:space="preserve"> </w:t>
      </w:r>
      <w:r w:rsidRPr="005A3CE5">
        <w:rPr>
          <w:rFonts w:ascii="Times New Roman" w:hAnsi="Times New Roman" w:cs="Times New Roman"/>
          <w:color w:val="000000"/>
          <w:spacing w:val="1"/>
          <w:sz w:val="24"/>
          <w:szCs w:val="24"/>
        </w:rPr>
        <w:t xml:space="preserve">supplementing the PJM wholesale auction clearing prices received by the PJM market participant with the revenues secured through out-of-market state subsidies. By supplementing the PJM wholesale auction clearing price, the PUCO would be setting wholesale prices, which is beyond its subject matter jurisdiction under state law.  Therefore, </w:t>
      </w:r>
      <w:r w:rsidRPr="005A3CE5">
        <w:rPr>
          <w:rFonts w:ascii="Times New Roman" w:hAnsi="Times New Roman" w:cs="Times New Roman"/>
          <w:sz w:val="24"/>
          <w:szCs w:val="24"/>
        </w:rPr>
        <w:t xml:space="preserve">the PUCO </w:t>
      </w:r>
      <w:r w:rsidR="009D07A4">
        <w:rPr>
          <w:rFonts w:ascii="Times New Roman" w:hAnsi="Times New Roman" w:cs="Times New Roman"/>
          <w:sz w:val="24"/>
          <w:szCs w:val="24"/>
        </w:rPr>
        <w:t xml:space="preserve">should </w:t>
      </w:r>
      <w:r w:rsidR="00546401">
        <w:rPr>
          <w:rFonts w:ascii="Times New Roman" w:hAnsi="Times New Roman" w:cs="Times New Roman"/>
          <w:sz w:val="24"/>
          <w:szCs w:val="24"/>
        </w:rPr>
        <w:t>deny the Amended Application</w:t>
      </w:r>
      <w:r w:rsidR="00D213A1">
        <w:rPr>
          <w:rFonts w:ascii="Times New Roman" w:hAnsi="Times New Roman" w:cs="Times New Roman"/>
          <w:sz w:val="24"/>
          <w:szCs w:val="24"/>
        </w:rPr>
        <w:t>/Modified Amended Application</w:t>
      </w:r>
      <w:r w:rsidRPr="005A3CE5">
        <w:rPr>
          <w:rFonts w:ascii="Times New Roman" w:hAnsi="Times New Roman" w:cs="Times New Roman"/>
          <w:sz w:val="24"/>
          <w:szCs w:val="24"/>
        </w:rPr>
        <w:t xml:space="preserve">. </w:t>
      </w:r>
    </w:p>
    <w:p w:rsidR="00CE7975" w:rsidRPr="009D07A4" w:rsidRDefault="002142DB" w:rsidP="00C401CE">
      <w:pPr>
        <w:pStyle w:val="Heading4"/>
      </w:pPr>
      <w:bookmarkStart w:id="40" w:name="_Toc435428209"/>
      <w:bookmarkStart w:id="41" w:name="_Toc442104143"/>
      <w:r>
        <w:t>b.</w:t>
      </w:r>
      <w:r>
        <w:tab/>
      </w:r>
      <w:r w:rsidR="00380F28" w:rsidRPr="009D07A4">
        <w:t xml:space="preserve">The PUCO lacks jurisdiction to approve the PPA </w:t>
      </w:r>
      <w:r w:rsidR="009D07A4">
        <w:t>R</w:t>
      </w:r>
      <w:r w:rsidR="00380F28" w:rsidRPr="009D07A4">
        <w:t xml:space="preserve">ider </w:t>
      </w:r>
      <w:r w:rsidR="007C21B1">
        <w:t>because</w:t>
      </w:r>
      <w:r w:rsidR="00380F28" w:rsidRPr="009D07A4">
        <w:t xml:space="preserve"> it would fundamentally change the competitive environment established b</w:t>
      </w:r>
      <w:r w:rsidR="00CE7975" w:rsidRPr="009D07A4">
        <w:t>y S.B. 3</w:t>
      </w:r>
      <w:bookmarkEnd w:id="40"/>
      <w:r>
        <w:t>.</w:t>
      </w:r>
      <w:bookmarkEnd w:id="41"/>
    </w:p>
    <w:p w:rsidR="00124FCE" w:rsidRPr="00CE7975" w:rsidRDefault="00124FCE" w:rsidP="00A57413">
      <w:pPr>
        <w:autoSpaceDE w:val="0"/>
        <w:autoSpaceDN w:val="0"/>
        <w:adjustRightInd w:val="0"/>
        <w:spacing w:after="0" w:line="480" w:lineRule="auto"/>
        <w:ind w:firstLine="720"/>
        <w:rPr>
          <w:rFonts w:ascii="Times New Roman" w:hAnsi="Times New Roman" w:cs="Times New Roman"/>
          <w:color w:val="000000"/>
          <w:sz w:val="24"/>
          <w:szCs w:val="24"/>
        </w:rPr>
      </w:pPr>
      <w:r w:rsidRPr="00CE7975">
        <w:rPr>
          <w:rFonts w:ascii="Times New Roman" w:hAnsi="Times New Roman" w:cs="Times New Roman"/>
          <w:color w:val="000000"/>
          <w:sz w:val="24"/>
          <w:szCs w:val="24"/>
        </w:rPr>
        <w:t>As described above,</w:t>
      </w:r>
      <w:r w:rsidR="00CE7975">
        <w:rPr>
          <w:rStyle w:val="FootnoteReference"/>
          <w:rFonts w:ascii="Times New Roman" w:hAnsi="Times New Roman" w:cs="Times New Roman"/>
          <w:color w:val="000000"/>
          <w:sz w:val="24"/>
          <w:szCs w:val="24"/>
        </w:rPr>
        <w:footnoteReference w:id="117"/>
      </w:r>
      <w:r w:rsidRPr="00CE7975">
        <w:rPr>
          <w:rFonts w:ascii="Times New Roman" w:hAnsi="Times New Roman" w:cs="Times New Roman"/>
          <w:color w:val="000000"/>
          <w:sz w:val="24"/>
          <w:szCs w:val="24"/>
        </w:rPr>
        <w:t xml:space="preserve"> the Ohio General Assembly created a </w:t>
      </w:r>
      <w:r w:rsidRPr="00CE7975">
        <w:rPr>
          <w:rFonts w:ascii="Times New Roman" w:hAnsi="Times New Roman" w:cs="Times New Roman"/>
          <w:i/>
          <w:color w:val="000000"/>
          <w:sz w:val="24"/>
          <w:szCs w:val="24"/>
        </w:rPr>
        <w:t>competitive</w:t>
      </w:r>
      <w:r w:rsidRPr="00CE7975">
        <w:rPr>
          <w:rFonts w:ascii="Times New Roman" w:hAnsi="Times New Roman" w:cs="Times New Roman"/>
          <w:color w:val="000000"/>
          <w:sz w:val="24"/>
          <w:szCs w:val="24"/>
        </w:rPr>
        <w:t xml:space="preserve"> market for generation.  And it specifically contemplated that adjustments to the market structure may have to be made</w:t>
      </w:r>
      <w:r w:rsidR="00434A95">
        <w:rPr>
          <w:rFonts w:ascii="Times New Roman" w:hAnsi="Times New Roman" w:cs="Times New Roman"/>
          <w:color w:val="000000"/>
          <w:sz w:val="24"/>
          <w:szCs w:val="24"/>
        </w:rPr>
        <w:t xml:space="preserve">. </w:t>
      </w:r>
      <w:r w:rsidRPr="00CE7975">
        <w:rPr>
          <w:rFonts w:ascii="Times New Roman" w:hAnsi="Times New Roman" w:cs="Times New Roman"/>
          <w:color w:val="000000"/>
          <w:sz w:val="24"/>
          <w:szCs w:val="24"/>
        </w:rPr>
        <w:t xml:space="preserve"> </w:t>
      </w:r>
      <w:r w:rsidR="00434A95">
        <w:rPr>
          <w:rFonts w:ascii="Times New Roman" w:hAnsi="Times New Roman" w:cs="Times New Roman"/>
          <w:color w:val="000000"/>
          <w:sz w:val="24"/>
          <w:szCs w:val="24"/>
        </w:rPr>
        <w:t>A</w:t>
      </w:r>
      <w:r w:rsidRPr="00CE7975">
        <w:rPr>
          <w:rFonts w:ascii="Times New Roman" w:hAnsi="Times New Roman" w:cs="Times New Roman"/>
          <w:color w:val="000000"/>
          <w:sz w:val="24"/>
          <w:szCs w:val="24"/>
        </w:rPr>
        <w:t xml:space="preserve">nd </w:t>
      </w:r>
      <w:r w:rsidR="00434A95">
        <w:rPr>
          <w:rFonts w:ascii="Times New Roman" w:hAnsi="Times New Roman" w:cs="Times New Roman"/>
          <w:color w:val="000000"/>
          <w:sz w:val="24"/>
          <w:szCs w:val="24"/>
        </w:rPr>
        <w:t xml:space="preserve">it found </w:t>
      </w:r>
      <w:r w:rsidRPr="00CE7975">
        <w:rPr>
          <w:rFonts w:ascii="Times New Roman" w:hAnsi="Times New Roman" w:cs="Times New Roman"/>
          <w:color w:val="000000"/>
          <w:sz w:val="24"/>
          <w:szCs w:val="24"/>
        </w:rPr>
        <w:t xml:space="preserve">that the PUCO would have a role to play in </w:t>
      </w:r>
      <w:r w:rsidR="00434A95">
        <w:rPr>
          <w:rFonts w:ascii="Times New Roman" w:hAnsi="Times New Roman" w:cs="Times New Roman"/>
          <w:color w:val="000000"/>
          <w:sz w:val="24"/>
          <w:szCs w:val="24"/>
        </w:rPr>
        <w:t>that regard</w:t>
      </w:r>
      <w:r w:rsidRPr="00CE7975">
        <w:rPr>
          <w:rFonts w:ascii="Times New Roman" w:hAnsi="Times New Roman" w:cs="Times New Roman"/>
          <w:color w:val="000000"/>
          <w:sz w:val="24"/>
          <w:szCs w:val="24"/>
        </w:rPr>
        <w:t xml:space="preserve">, in passing R.C. 4928.06(C).  The statute provides for monitoring of the market by the PUCO, reports by the PUCO to the General Assembly, and for recommendations by the PUCO for </w:t>
      </w:r>
      <w:r w:rsidRPr="00CE7975">
        <w:rPr>
          <w:rFonts w:ascii="Times New Roman" w:hAnsi="Times New Roman" w:cs="Times New Roman"/>
          <w:i/>
          <w:color w:val="000000"/>
          <w:sz w:val="24"/>
          <w:szCs w:val="24"/>
        </w:rPr>
        <w:t xml:space="preserve">legislative </w:t>
      </w:r>
      <w:r w:rsidRPr="00CE7975">
        <w:rPr>
          <w:rFonts w:ascii="Times New Roman" w:hAnsi="Times New Roman" w:cs="Times New Roman"/>
          <w:color w:val="000000"/>
          <w:sz w:val="24"/>
          <w:szCs w:val="24"/>
        </w:rPr>
        <w:t>action.  It does not provide for</w:t>
      </w:r>
      <w:r w:rsidR="00434A95">
        <w:rPr>
          <w:rFonts w:ascii="Times New Roman" w:hAnsi="Times New Roman" w:cs="Times New Roman"/>
          <w:color w:val="000000"/>
          <w:sz w:val="24"/>
          <w:szCs w:val="24"/>
        </w:rPr>
        <w:t xml:space="preserve"> </w:t>
      </w:r>
      <w:r w:rsidRPr="00CE7975">
        <w:rPr>
          <w:rFonts w:ascii="Times New Roman" w:hAnsi="Times New Roman" w:cs="Times New Roman"/>
          <w:color w:val="000000"/>
          <w:sz w:val="24"/>
          <w:szCs w:val="24"/>
        </w:rPr>
        <w:t xml:space="preserve">wholesale changes to the competitive generation market, such as that </w:t>
      </w:r>
      <w:r w:rsidR="00434A95">
        <w:rPr>
          <w:rFonts w:ascii="Times New Roman" w:hAnsi="Times New Roman" w:cs="Times New Roman"/>
          <w:color w:val="000000"/>
          <w:sz w:val="24"/>
          <w:szCs w:val="24"/>
        </w:rPr>
        <w:t xml:space="preserve">which </w:t>
      </w:r>
      <w:r w:rsidR="00CE7975">
        <w:rPr>
          <w:rFonts w:ascii="Times New Roman" w:hAnsi="Times New Roman" w:cs="Times New Roman"/>
          <w:color w:val="000000"/>
          <w:sz w:val="24"/>
          <w:szCs w:val="24"/>
        </w:rPr>
        <w:t xml:space="preserve">AEP Ohio </w:t>
      </w:r>
      <w:r w:rsidRPr="00CE7975">
        <w:rPr>
          <w:rFonts w:ascii="Times New Roman" w:hAnsi="Times New Roman" w:cs="Times New Roman"/>
          <w:color w:val="000000"/>
          <w:sz w:val="24"/>
          <w:szCs w:val="24"/>
        </w:rPr>
        <w:t>rather candidly advocates for</w:t>
      </w:r>
      <w:r w:rsidR="00F47E76">
        <w:rPr>
          <w:rFonts w:ascii="Times New Roman" w:hAnsi="Times New Roman" w:cs="Times New Roman"/>
          <w:color w:val="000000"/>
          <w:sz w:val="24"/>
          <w:szCs w:val="24"/>
        </w:rPr>
        <w:t xml:space="preserve"> here</w:t>
      </w:r>
      <w:r w:rsidRPr="00CE7975">
        <w:rPr>
          <w:rFonts w:ascii="Times New Roman" w:hAnsi="Times New Roman" w:cs="Times New Roman"/>
          <w:color w:val="000000"/>
          <w:sz w:val="24"/>
          <w:szCs w:val="24"/>
        </w:rPr>
        <w:t>, by way of a PUCO Order.</w:t>
      </w:r>
    </w:p>
    <w:p w:rsidR="00124FCE" w:rsidRPr="00CE7975" w:rsidRDefault="00124FCE" w:rsidP="00A57413">
      <w:pPr>
        <w:autoSpaceDE w:val="0"/>
        <w:autoSpaceDN w:val="0"/>
        <w:adjustRightInd w:val="0"/>
        <w:spacing w:after="0" w:line="480" w:lineRule="auto"/>
        <w:ind w:firstLine="720"/>
        <w:rPr>
          <w:rFonts w:ascii="Times New Roman" w:hAnsi="Times New Roman" w:cs="Times New Roman"/>
          <w:color w:val="000000"/>
          <w:sz w:val="24"/>
          <w:szCs w:val="24"/>
        </w:rPr>
      </w:pPr>
      <w:r w:rsidRPr="00CE7975">
        <w:rPr>
          <w:rFonts w:ascii="Times New Roman" w:hAnsi="Times New Roman" w:cs="Times New Roman"/>
          <w:color w:val="000000"/>
          <w:sz w:val="24"/>
          <w:szCs w:val="24"/>
        </w:rPr>
        <w:t xml:space="preserve">That the General Assembly intended for any adjustments to the competitive generation market be made through legislation was confirmed by the Ohio Supreme Court in </w:t>
      </w:r>
      <w:r w:rsidRPr="00CE7975">
        <w:rPr>
          <w:rFonts w:ascii="Times New Roman" w:hAnsi="Times New Roman" w:cs="Times New Roman"/>
          <w:i/>
          <w:color w:val="000000"/>
          <w:sz w:val="24"/>
          <w:szCs w:val="24"/>
        </w:rPr>
        <w:t xml:space="preserve">In re Columbus Southern Power Co. </w:t>
      </w:r>
      <w:r w:rsidRPr="00CE7975">
        <w:rPr>
          <w:rFonts w:ascii="Times New Roman" w:hAnsi="Times New Roman" w:cs="Times New Roman"/>
          <w:color w:val="000000"/>
          <w:sz w:val="24"/>
          <w:szCs w:val="24"/>
        </w:rPr>
        <w:t xml:space="preserve"> There, the Supreme Court noted that </w:t>
      </w:r>
      <w:r w:rsidRPr="00CE7975">
        <w:rPr>
          <w:rFonts w:ascii="Times New Roman" w:hAnsi="Times New Roman" w:cs="Times New Roman"/>
          <w:i/>
          <w:color w:val="000000"/>
          <w:sz w:val="24"/>
          <w:szCs w:val="24"/>
        </w:rPr>
        <w:t>legislative</w:t>
      </w:r>
      <w:r w:rsidRPr="00CE7975">
        <w:rPr>
          <w:rFonts w:ascii="Times New Roman" w:hAnsi="Times New Roman" w:cs="Times New Roman"/>
          <w:color w:val="000000"/>
          <w:sz w:val="24"/>
          <w:szCs w:val="24"/>
        </w:rPr>
        <w:t xml:space="preserve"> action might be required to address perceived deficiencies in the competitive market.  And the General Assembly, itself, reaffirmed its intent by passing S.B. 221 – it did not wait for a PUCO Order.  Ironically, </w:t>
      </w:r>
      <w:r w:rsidR="00CE7975">
        <w:rPr>
          <w:rFonts w:ascii="Times New Roman" w:hAnsi="Times New Roman" w:cs="Times New Roman"/>
          <w:color w:val="000000"/>
          <w:sz w:val="24"/>
          <w:szCs w:val="24"/>
        </w:rPr>
        <w:t xml:space="preserve">AEP Ohio </w:t>
      </w:r>
      <w:r w:rsidR="00607DD4">
        <w:rPr>
          <w:rFonts w:ascii="Times New Roman" w:hAnsi="Times New Roman" w:cs="Times New Roman"/>
          <w:color w:val="000000"/>
          <w:sz w:val="24"/>
          <w:szCs w:val="24"/>
        </w:rPr>
        <w:t>W</w:t>
      </w:r>
      <w:r w:rsidR="00CE7975">
        <w:rPr>
          <w:rFonts w:ascii="Times New Roman" w:hAnsi="Times New Roman" w:cs="Times New Roman"/>
          <w:color w:val="000000"/>
          <w:sz w:val="24"/>
          <w:szCs w:val="24"/>
        </w:rPr>
        <w:t>itness</w:t>
      </w:r>
      <w:r w:rsidRPr="00CE7975">
        <w:rPr>
          <w:rFonts w:ascii="Times New Roman" w:hAnsi="Times New Roman" w:cs="Times New Roman"/>
          <w:color w:val="000000"/>
          <w:sz w:val="24"/>
          <w:szCs w:val="24"/>
        </w:rPr>
        <w:t xml:space="preserve"> Fetter </w:t>
      </w:r>
      <w:r w:rsidR="00CE7975">
        <w:rPr>
          <w:rFonts w:ascii="Times New Roman" w:hAnsi="Times New Roman" w:cs="Times New Roman"/>
          <w:color w:val="000000"/>
          <w:sz w:val="24"/>
          <w:szCs w:val="24"/>
        </w:rPr>
        <w:t>urges</w:t>
      </w:r>
      <w:r w:rsidR="004E4E11">
        <w:rPr>
          <w:rFonts w:ascii="Times New Roman" w:hAnsi="Times New Roman" w:cs="Times New Roman"/>
          <w:color w:val="000000"/>
          <w:sz w:val="24"/>
          <w:szCs w:val="24"/>
        </w:rPr>
        <w:t xml:space="preserve"> the PUCO to do here – adjust the competitive generation market by way of an Order – </w:t>
      </w:r>
      <w:r w:rsidRPr="00CE7975">
        <w:rPr>
          <w:rFonts w:ascii="Times New Roman" w:hAnsi="Times New Roman" w:cs="Times New Roman"/>
          <w:color w:val="000000"/>
          <w:sz w:val="24"/>
          <w:szCs w:val="24"/>
        </w:rPr>
        <w:t>what, apparently, the Michigan PSC was unwilling to do.</w:t>
      </w:r>
      <w:r w:rsidRPr="00CE7975">
        <w:rPr>
          <w:rStyle w:val="FootnoteReference"/>
          <w:rFonts w:ascii="Times New Roman" w:hAnsi="Times New Roman" w:cs="Times New Roman"/>
          <w:color w:val="000000"/>
          <w:sz w:val="24"/>
          <w:szCs w:val="24"/>
        </w:rPr>
        <w:footnoteReference w:id="118"/>
      </w:r>
    </w:p>
    <w:p w:rsidR="003B2716" w:rsidRDefault="00124FCE" w:rsidP="00A57413">
      <w:pPr>
        <w:autoSpaceDE w:val="0"/>
        <w:autoSpaceDN w:val="0"/>
        <w:adjustRightInd w:val="0"/>
        <w:spacing w:after="0" w:line="480" w:lineRule="auto"/>
        <w:ind w:firstLine="720"/>
        <w:rPr>
          <w:rFonts w:ascii="Times New Roman" w:hAnsi="Times New Roman" w:cs="Times New Roman"/>
          <w:color w:val="000000"/>
          <w:sz w:val="24"/>
          <w:szCs w:val="24"/>
        </w:rPr>
      </w:pPr>
      <w:r w:rsidRPr="00CE7975">
        <w:rPr>
          <w:rFonts w:ascii="Times New Roman" w:hAnsi="Times New Roman" w:cs="Times New Roman"/>
          <w:color w:val="000000"/>
          <w:sz w:val="24"/>
          <w:szCs w:val="24"/>
        </w:rPr>
        <w:t>As recognized by the Ohio Supreme Court, the statutory regime and history of deregulation in Ohio confirm that the Ohio General Assembly intended for it, and it alone, to make adjustments to the competitive environment established by S.B. 3 as and when necessary.</w:t>
      </w:r>
      <w:r w:rsidR="00A8546E">
        <w:rPr>
          <w:rFonts w:ascii="Times New Roman" w:hAnsi="Times New Roman" w:cs="Times New Roman"/>
          <w:color w:val="000000"/>
          <w:sz w:val="24"/>
          <w:szCs w:val="24"/>
        </w:rPr>
        <w:t xml:space="preserve">  AEP Ohio concedes that the PPAs are not driven by the competitive market, as it would not enter into </w:t>
      </w:r>
      <w:r w:rsidR="007C21B1">
        <w:rPr>
          <w:rFonts w:ascii="Times New Roman" w:hAnsi="Times New Roman" w:cs="Times New Roman"/>
          <w:color w:val="000000"/>
          <w:sz w:val="24"/>
          <w:szCs w:val="24"/>
        </w:rPr>
        <w:t>the contracts</w:t>
      </w:r>
      <w:r w:rsidR="00A8546E">
        <w:rPr>
          <w:rFonts w:ascii="Times New Roman" w:hAnsi="Times New Roman" w:cs="Times New Roman"/>
          <w:color w:val="000000"/>
          <w:sz w:val="24"/>
          <w:szCs w:val="24"/>
        </w:rPr>
        <w:t xml:space="preserve"> absent the PUCO’s authorization of regulatory recovery through the PPA Rider.</w:t>
      </w:r>
      <w:r w:rsidR="00A8546E">
        <w:rPr>
          <w:rStyle w:val="FootnoteReference"/>
          <w:rFonts w:ascii="Times New Roman" w:hAnsi="Times New Roman" w:cs="Times New Roman"/>
          <w:color w:val="000000"/>
          <w:sz w:val="24"/>
          <w:szCs w:val="24"/>
        </w:rPr>
        <w:footnoteReference w:id="119"/>
      </w:r>
      <w:r w:rsidRPr="00CE7975">
        <w:rPr>
          <w:rFonts w:ascii="Times New Roman" w:hAnsi="Times New Roman" w:cs="Times New Roman"/>
          <w:color w:val="000000"/>
          <w:sz w:val="24"/>
          <w:szCs w:val="24"/>
        </w:rPr>
        <w:t xml:space="preserve">  As a creature of statute with limited and defined powers, the PUCO </w:t>
      </w:r>
      <w:r w:rsidR="00EC1601">
        <w:rPr>
          <w:rFonts w:ascii="Times New Roman" w:hAnsi="Times New Roman" w:cs="Times New Roman"/>
          <w:color w:val="000000"/>
          <w:sz w:val="24"/>
          <w:szCs w:val="24"/>
        </w:rPr>
        <w:t>has no jurisdiction to</w:t>
      </w:r>
      <w:r w:rsidRPr="00CE7975">
        <w:rPr>
          <w:rFonts w:ascii="Times New Roman" w:hAnsi="Times New Roman" w:cs="Times New Roman"/>
          <w:color w:val="000000"/>
          <w:sz w:val="24"/>
          <w:szCs w:val="24"/>
        </w:rPr>
        <w:t xml:space="preserve"> </w:t>
      </w:r>
      <w:r w:rsidR="00EC45A6">
        <w:rPr>
          <w:rFonts w:ascii="Times New Roman" w:hAnsi="Times New Roman" w:cs="Times New Roman"/>
          <w:color w:val="000000"/>
          <w:sz w:val="24"/>
          <w:szCs w:val="24"/>
        </w:rPr>
        <w:t>fundamentally change the competitive environment established by the General Assembly</w:t>
      </w:r>
      <w:r w:rsidRPr="00CE7975">
        <w:rPr>
          <w:rFonts w:ascii="Times New Roman" w:hAnsi="Times New Roman" w:cs="Times New Roman"/>
          <w:color w:val="000000"/>
          <w:sz w:val="24"/>
          <w:szCs w:val="24"/>
        </w:rPr>
        <w:t xml:space="preserve"> by way of an Order.</w:t>
      </w:r>
      <w:r w:rsidR="000603B9">
        <w:rPr>
          <w:rStyle w:val="FootnoteReference"/>
          <w:rFonts w:ascii="Times New Roman" w:hAnsi="Times New Roman" w:cs="Times New Roman"/>
          <w:color w:val="000000"/>
          <w:sz w:val="24"/>
          <w:szCs w:val="24"/>
        </w:rPr>
        <w:footnoteReference w:id="120"/>
      </w:r>
      <w:r w:rsidRPr="00CE7975">
        <w:rPr>
          <w:rFonts w:ascii="Times New Roman" w:hAnsi="Times New Roman" w:cs="Times New Roman"/>
          <w:color w:val="000000"/>
          <w:sz w:val="24"/>
          <w:szCs w:val="24"/>
        </w:rPr>
        <w:t xml:space="preserve">  </w:t>
      </w:r>
      <w:r w:rsidR="000856AA">
        <w:rPr>
          <w:rFonts w:ascii="Times New Roman" w:hAnsi="Times New Roman" w:cs="Times New Roman"/>
          <w:color w:val="000000"/>
          <w:sz w:val="24"/>
          <w:szCs w:val="24"/>
        </w:rPr>
        <w:t>As OMAEG Witness Hill explained, AEP Ohio’s PPA Rider “would fundamentally undermine the intent of the Ohio General Assembly when it restructured Ohio’s electricity markets in 1999 with the passage of [S.B. 3].”</w:t>
      </w:r>
      <w:r w:rsidR="000856AA">
        <w:rPr>
          <w:rStyle w:val="FootnoteReference"/>
          <w:rFonts w:ascii="Times New Roman" w:hAnsi="Times New Roman" w:cs="Times New Roman"/>
          <w:color w:val="000000"/>
          <w:sz w:val="24"/>
          <w:szCs w:val="24"/>
        </w:rPr>
        <w:footnoteReference w:id="121"/>
      </w:r>
      <w:r w:rsidR="000856AA">
        <w:rPr>
          <w:rFonts w:ascii="Times New Roman" w:hAnsi="Times New Roman" w:cs="Times New Roman"/>
          <w:color w:val="000000"/>
          <w:sz w:val="24"/>
          <w:szCs w:val="24"/>
        </w:rPr>
        <w:t xml:space="preserve">  And a</w:t>
      </w:r>
      <w:r w:rsidR="00EC45A6">
        <w:rPr>
          <w:rFonts w:ascii="Times New Roman" w:hAnsi="Times New Roman" w:cs="Times New Roman"/>
          <w:color w:val="000000"/>
          <w:sz w:val="24"/>
          <w:szCs w:val="24"/>
        </w:rPr>
        <w:t>s former Michigan PSC Chairman and AEP Ohio Witness Fetter stated:  “In my experience, once a market is set up, with its ups and downs, the intent of the legislators and regulators is to let the market operate, . . .”</w:t>
      </w:r>
      <w:r w:rsidR="00EC45A6">
        <w:rPr>
          <w:rStyle w:val="FootnoteReference"/>
          <w:rFonts w:ascii="Times New Roman" w:hAnsi="Times New Roman" w:cs="Times New Roman"/>
          <w:color w:val="000000"/>
          <w:sz w:val="24"/>
          <w:szCs w:val="24"/>
        </w:rPr>
        <w:footnoteReference w:id="122"/>
      </w:r>
      <w:r w:rsidR="008F6F7C">
        <w:rPr>
          <w:rFonts w:ascii="Times New Roman" w:hAnsi="Times New Roman" w:cs="Times New Roman"/>
          <w:color w:val="000000"/>
          <w:sz w:val="24"/>
          <w:szCs w:val="24"/>
        </w:rPr>
        <w:t xml:space="preserve">  Thus, </w:t>
      </w:r>
      <w:r w:rsidR="00385852">
        <w:rPr>
          <w:rFonts w:ascii="Times New Roman" w:hAnsi="Times New Roman" w:cs="Times New Roman"/>
          <w:color w:val="000000"/>
          <w:sz w:val="24"/>
          <w:szCs w:val="24"/>
        </w:rPr>
        <w:t>when</w:t>
      </w:r>
      <w:r w:rsidR="008F6F7C">
        <w:rPr>
          <w:rFonts w:ascii="Times New Roman" w:hAnsi="Times New Roman" w:cs="Times New Roman"/>
          <w:color w:val="000000"/>
          <w:sz w:val="24"/>
          <w:szCs w:val="24"/>
        </w:rPr>
        <w:t xml:space="preserve"> he was on the Michigan PSC, AEP Ohio Witness</w:t>
      </w:r>
      <w:r w:rsidR="00EC45A6">
        <w:rPr>
          <w:rFonts w:ascii="Times New Roman" w:hAnsi="Times New Roman" w:cs="Times New Roman"/>
          <w:color w:val="000000"/>
          <w:sz w:val="24"/>
          <w:szCs w:val="24"/>
        </w:rPr>
        <w:t xml:space="preserve"> Fetter carried out the law established by the Michigan legislature.</w:t>
      </w:r>
      <w:r w:rsidR="00EC45A6">
        <w:rPr>
          <w:rStyle w:val="FootnoteReference"/>
          <w:rFonts w:ascii="Times New Roman" w:hAnsi="Times New Roman" w:cs="Times New Roman"/>
          <w:color w:val="000000"/>
          <w:sz w:val="24"/>
          <w:szCs w:val="24"/>
        </w:rPr>
        <w:footnoteReference w:id="123"/>
      </w:r>
      <w:r w:rsidR="00EC45A6">
        <w:rPr>
          <w:rFonts w:ascii="Times New Roman" w:hAnsi="Times New Roman" w:cs="Times New Roman"/>
          <w:color w:val="000000"/>
          <w:sz w:val="24"/>
          <w:szCs w:val="24"/>
        </w:rPr>
        <w:t xml:space="preserve">  </w:t>
      </w:r>
    </w:p>
    <w:p w:rsidR="0092318F" w:rsidRDefault="0081081C" w:rsidP="00A57413">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Ohio</w:t>
      </w:r>
      <w:r w:rsidR="00892D39">
        <w:rPr>
          <w:rFonts w:ascii="Times New Roman" w:hAnsi="Times New Roman" w:cs="Times New Roman"/>
          <w:color w:val="000000"/>
          <w:sz w:val="24"/>
          <w:szCs w:val="24"/>
        </w:rPr>
        <w:t>ans</w:t>
      </w:r>
      <w:r>
        <w:rPr>
          <w:rFonts w:ascii="Times New Roman" w:hAnsi="Times New Roman" w:cs="Times New Roman"/>
          <w:color w:val="000000"/>
          <w:sz w:val="24"/>
          <w:szCs w:val="24"/>
        </w:rPr>
        <w:t xml:space="preserve"> </w:t>
      </w:r>
      <w:r w:rsidR="00892D39">
        <w:rPr>
          <w:rFonts w:ascii="Times New Roman" w:hAnsi="Times New Roman" w:cs="Times New Roman"/>
          <w:color w:val="000000"/>
          <w:sz w:val="24"/>
          <w:szCs w:val="24"/>
        </w:rPr>
        <w:t>have</w:t>
      </w:r>
      <w:r>
        <w:rPr>
          <w:rFonts w:ascii="Times New Roman" w:hAnsi="Times New Roman" w:cs="Times New Roman"/>
          <w:color w:val="000000"/>
          <w:sz w:val="24"/>
          <w:szCs w:val="24"/>
        </w:rPr>
        <w:t xml:space="preserve"> bee</w:t>
      </w:r>
      <w:r w:rsidR="003B2716">
        <w:rPr>
          <w:rFonts w:ascii="Times New Roman" w:hAnsi="Times New Roman" w:cs="Times New Roman"/>
          <w:color w:val="000000"/>
          <w:sz w:val="24"/>
          <w:szCs w:val="24"/>
        </w:rPr>
        <w:t xml:space="preserve">n </w:t>
      </w:r>
      <w:r w:rsidR="00892D39">
        <w:rPr>
          <w:rFonts w:ascii="Times New Roman" w:hAnsi="Times New Roman" w:cs="Times New Roman"/>
          <w:color w:val="000000"/>
          <w:sz w:val="24"/>
          <w:szCs w:val="24"/>
        </w:rPr>
        <w:t>awaiting the end of</w:t>
      </w:r>
      <w:r w:rsidR="003B2716">
        <w:rPr>
          <w:rFonts w:ascii="Times New Roman" w:hAnsi="Times New Roman" w:cs="Times New Roman"/>
          <w:color w:val="000000"/>
          <w:sz w:val="24"/>
          <w:szCs w:val="24"/>
        </w:rPr>
        <w:t xml:space="preserve"> a 16</w:t>
      </w:r>
      <w:r w:rsidR="00892D39">
        <w:rPr>
          <w:rFonts w:ascii="Times New Roman" w:hAnsi="Times New Roman" w:cs="Times New Roman"/>
          <w:color w:val="000000"/>
          <w:sz w:val="24"/>
          <w:szCs w:val="24"/>
        </w:rPr>
        <w:t>-</w:t>
      </w:r>
      <w:r w:rsidR="003B2716">
        <w:rPr>
          <w:rFonts w:ascii="Times New Roman" w:hAnsi="Times New Roman" w:cs="Times New Roman"/>
          <w:color w:val="000000"/>
          <w:sz w:val="24"/>
          <w:szCs w:val="24"/>
        </w:rPr>
        <w:t>year journey to compe</w:t>
      </w:r>
      <w:r>
        <w:rPr>
          <w:rFonts w:ascii="Times New Roman" w:hAnsi="Times New Roman" w:cs="Times New Roman"/>
          <w:color w:val="000000"/>
          <w:sz w:val="24"/>
          <w:szCs w:val="24"/>
        </w:rPr>
        <w:t>tition in the</w:t>
      </w:r>
      <w:r w:rsidR="003B2716">
        <w:rPr>
          <w:rFonts w:ascii="Times New Roman" w:hAnsi="Times New Roman" w:cs="Times New Roman"/>
          <w:color w:val="000000"/>
          <w:sz w:val="24"/>
          <w:szCs w:val="24"/>
        </w:rPr>
        <w:t xml:space="preserve"> electric generation market.  </w:t>
      </w:r>
      <w:r w:rsidR="00892D39">
        <w:rPr>
          <w:rFonts w:ascii="Times New Roman" w:hAnsi="Times New Roman" w:cs="Times New Roman"/>
          <w:color w:val="000000"/>
          <w:sz w:val="24"/>
          <w:szCs w:val="24"/>
        </w:rPr>
        <w:t>This road to markets has been long and winding, and very</w:t>
      </w:r>
      <w:r w:rsidR="003B2716">
        <w:rPr>
          <w:rFonts w:ascii="Times New Roman" w:hAnsi="Times New Roman" w:cs="Times New Roman"/>
          <w:color w:val="000000"/>
          <w:sz w:val="24"/>
          <w:szCs w:val="24"/>
        </w:rPr>
        <w:t xml:space="preserve"> expensive for Ohioans. </w:t>
      </w:r>
      <w:r w:rsidR="00892D39">
        <w:rPr>
          <w:rFonts w:ascii="Times New Roman" w:hAnsi="Times New Roman" w:cs="Times New Roman"/>
          <w:color w:val="000000"/>
          <w:sz w:val="24"/>
          <w:szCs w:val="24"/>
        </w:rPr>
        <w:t xml:space="preserve"> At </w:t>
      </w:r>
      <w:r w:rsidR="009A3D5A">
        <w:rPr>
          <w:rFonts w:ascii="Times New Roman" w:hAnsi="Times New Roman" w:cs="Times New Roman"/>
          <w:color w:val="000000"/>
          <w:sz w:val="24"/>
          <w:szCs w:val="24"/>
        </w:rPr>
        <w:t xml:space="preserve">a </w:t>
      </w:r>
      <w:r w:rsidR="00892D39">
        <w:rPr>
          <w:rFonts w:ascii="Times New Roman" w:hAnsi="Times New Roman" w:cs="Times New Roman"/>
          <w:color w:val="000000"/>
          <w:sz w:val="24"/>
          <w:szCs w:val="24"/>
        </w:rPr>
        <w:t xml:space="preserve">time when Ohioans should be reaping the benefits of markets, </w:t>
      </w:r>
      <w:r w:rsidR="003B2716">
        <w:rPr>
          <w:rFonts w:ascii="Times New Roman" w:hAnsi="Times New Roman" w:cs="Times New Roman"/>
          <w:color w:val="000000"/>
          <w:sz w:val="24"/>
          <w:szCs w:val="24"/>
        </w:rPr>
        <w:t xml:space="preserve">AEP Ohio’s objective </w:t>
      </w:r>
      <w:r w:rsidR="00892D39">
        <w:rPr>
          <w:rFonts w:ascii="Times New Roman" w:hAnsi="Times New Roman" w:cs="Times New Roman"/>
          <w:color w:val="000000"/>
          <w:sz w:val="24"/>
          <w:szCs w:val="24"/>
        </w:rPr>
        <w:t>is to reap the benefits of consumer subsidies by resort to old regimes of government command and control</w:t>
      </w:r>
      <w:r w:rsidR="003B2716">
        <w:rPr>
          <w:rFonts w:ascii="Times New Roman" w:hAnsi="Times New Roman" w:cs="Times New Roman"/>
          <w:color w:val="000000"/>
          <w:sz w:val="24"/>
          <w:szCs w:val="24"/>
        </w:rPr>
        <w:t xml:space="preserve">.  </w:t>
      </w:r>
      <w:r w:rsidR="00892D39">
        <w:rPr>
          <w:rFonts w:ascii="Times New Roman" w:hAnsi="Times New Roman" w:cs="Times New Roman"/>
          <w:color w:val="000000"/>
          <w:sz w:val="24"/>
          <w:szCs w:val="24"/>
        </w:rPr>
        <w:t>T</w:t>
      </w:r>
      <w:r w:rsidR="00EC45A6">
        <w:rPr>
          <w:rFonts w:ascii="Times New Roman" w:hAnsi="Times New Roman" w:cs="Times New Roman"/>
          <w:color w:val="000000"/>
          <w:sz w:val="24"/>
          <w:szCs w:val="24"/>
        </w:rPr>
        <w:t>he PUCO should</w:t>
      </w:r>
      <w:r w:rsidR="00892D39">
        <w:rPr>
          <w:rFonts w:ascii="Times New Roman" w:hAnsi="Times New Roman" w:cs="Times New Roman"/>
          <w:color w:val="000000"/>
          <w:sz w:val="24"/>
          <w:szCs w:val="24"/>
        </w:rPr>
        <w:t xml:space="preserve"> resist </w:t>
      </w:r>
      <w:r w:rsidR="002F3B89">
        <w:rPr>
          <w:rFonts w:ascii="Times New Roman" w:hAnsi="Times New Roman" w:cs="Times New Roman"/>
          <w:color w:val="000000"/>
          <w:sz w:val="24"/>
          <w:szCs w:val="24"/>
        </w:rPr>
        <w:t>this</w:t>
      </w:r>
      <w:r w:rsidR="00892D39">
        <w:rPr>
          <w:rFonts w:ascii="Times New Roman" w:hAnsi="Times New Roman" w:cs="Times New Roman"/>
          <w:color w:val="000000"/>
          <w:sz w:val="24"/>
          <w:szCs w:val="24"/>
        </w:rPr>
        <w:t xml:space="preserve"> temptation</w:t>
      </w:r>
      <w:r w:rsidR="00C25203">
        <w:rPr>
          <w:rFonts w:ascii="Times New Roman" w:hAnsi="Times New Roman" w:cs="Times New Roman"/>
          <w:color w:val="000000"/>
          <w:sz w:val="24"/>
          <w:szCs w:val="24"/>
        </w:rPr>
        <w:t xml:space="preserve"> by utilities</w:t>
      </w:r>
      <w:r w:rsidR="00892D39">
        <w:rPr>
          <w:rFonts w:ascii="Times New Roman" w:hAnsi="Times New Roman" w:cs="Times New Roman"/>
          <w:color w:val="000000"/>
          <w:sz w:val="24"/>
          <w:szCs w:val="24"/>
        </w:rPr>
        <w:t xml:space="preserve"> to</w:t>
      </w:r>
      <w:r w:rsidR="00C25203">
        <w:rPr>
          <w:rFonts w:ascii="Times New Roman" w:hAnsi="Times New Roman" w:cs="Times New Roman"/>
          <w:color w:val="000000"/>
          <w:sz w:val="24"/>
          <w:szCs w:val="24"/>
        </w:rPr>
        <w:t xml:space="preserve"> try to</w:t>
      </w:r>
      <w:r w:rsidR="00892D39">
        <w:rPr>
          <w:rFonts w:ascii="Times New Roman" w:hAnsi="Times New Roman" w:cs="Times New Roman"/>
          <w:color w:val="000000"/>
          <w:sz w:val="24"/>
          <w:szCs w:val="24"/>
        </w:rPr>
        <w:t xml:space="preserve"> outthink competitive markets, and</w:t>
      </w:r>
      <w:r w:rsidR="00EC45A6">
        <w:rPr>
          <w:rFonts w:ascii="Times New Roman" w:hAnsi="Times New Roman" w:cs="Times New Roman"/>
          <w:color w:val="000000"/>
          <w:sz w:val="24"/>
          <w:szCs w:val="24"/>
        </w:rPr>
        <w:t xml:space="preserve"> </w:t>
      </w:r>
      <w:r w:rsidR="003B2716">
        <w:rPr>
          <w:rFonts w:ascii="Times New Roman" w:hAnsi="Times New Roman" w:cs="Times New Roman"/>
          <w:color w:val="000000"/>
          <w:sz w:val="24"/>
          <w:szCs w:val="24"/>
        </w:rPr>
        <w:t>deny</w:t>
      </w:r>
      <w:r w:rsidR="00EC45A6">
        <w:rPr>
          <w:rFonts w:ascii="Times New Roman" w:hAnsi="Times New Roman" w:cs="Times New Roman"/>
          <w:color w:val="000000"/>
          <w:sz w:val="24"/>
          <w:szCs w:val="24"/>
        </w:rPr>
        <w:t xml:space="preserve"> </w:t>
      </w:r>
      <w:r w:rsidR="00EC1601">
        <w:rPr>
          <w:rFonts w:ascii="Times New Roman" w:hAnsi="Times New Roman" w:cs="Times New Roman"/>
          <w:color w:val="000000"/>
          <w:sz w:val="24"/>
          <w:szCs w:val="24"/>
        </w:rPr>
        <w:t>AEP Ohio’s Amended Application</w:t>
      </w:r>
      <w:r w:rsidR="00D213A1">
        <w:rPr>
          <w:rFonts w:ascii="Times New Roman" w:hAnsi="Times New Roman" w:cs="Times New Roman"/>
          <w:color w:val="000000"/>
          <w:sz w:val="24"/>
          <w:szCs w:val="24"/>
        </w:rPr>
        <w:t>/Modified Amended Application</w:t>
      </w:r>
      <w:r w:rsidR="00EC1601">
        <w:rPr>
          <w:rFonts w:ascii="Times New Roman" w:hAnsi="Times New Roman" w:cs="Times New Roman"/>
          <w:color w:val="000000"/>
          <w:sz w:val="24"/>
          <w:szCs w:val="24"/>
        </w:rPr>
        <w:t>.</w:t>
      </w:r>
      <w:r w:rsidR="00124FCE" w:rsidRPr="00CE7975">
        <w:rPr>
          <w:rFonts w:ascii="Times New Roman" w:hAnsi="Times New Roman" w:cs="Times New Roman"/>
          <w:color w:val="000000"/>
          <w:sz w:val="24"/>
          <w:szCs w:val="24"/>
        </w:rPr>
        <w:t xml:space="preserve"> </w:t>
      </w:r>
    </w:p>
    <w:p w:rsidR="00F84803" w:rsidRDefault="00272897" w:rsidP="00390AD5">
      <w:pPr>
        <w:pStyle w:val="Heading2"/>
      </w:pPr>
      <w:bookmarkStart w:id="42" w:name="_Toc442104144"/>
      <w:r>
        <w:t>B</w:t>
      </w:r>
      <w:r w:rsidR="00F84803">
        <w:t>.</w:t>
      </w:r>
      <w:r w:rsidR="00F84803">
        <w:tab/>
      </w:r>
      <w:r w:rsidR="00B30BCA">
        <w:t>The PUCO should protect consumers by rejecting</w:t>
      </w:r>
      <w:r w:rsidR="003B2716">
        <w:t xml:space="preserve"> the onerous terms of t</w:t>
      </w:r>
      <w:r w:rsidR="00F84803">
        <w:t>he Joint Stipulation</w:t>
      </w:r>
      <w:r w:rsidR="00434A95">
        <w:t>, based on</w:t>
      </w:r>
      <w:r w:rsidR="00B30BCA">
        <w:t xml:space="preserve"> evidence by the Consumers’ Counsel and others.</w:t>
      </w:r>
      <w:bookmarkEnd w:id="42"/>
    </w:p>
    <w:p w:rsidR="000322AF" w:rsidRDefault="00F84803" w:rsidP="00D520AE">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One and only one Signatory Party filed testimony in support of the Joint Stipulation – AEP Ohio.  Were the PUCO to apply the three-prong test, such testimony is </w:t>
      </w:r>
    </w:p>
    <w:p w:rsidR="002C3C29" w:rsidRDefault="00F84803" w:rsidP="000322AF">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insufficient for the PUCO to approve the Joint Stipulation.</w:t>
      </w:r>
      <w:r w:rsidR="00A05FE1">
        <w:rPr>
          <w:rStyle w:val="FootnoteReference"/>
          <w:rFonts w:ascii="Times New Roman" w:hAnsi="Times New Roman" w:cs="Times New Roman"/>
          <w:color w:val="000000"/>
          <w:sz w:val="24"/>
          <w:szCs w:val="24"/>
        </w:rPr>
        <w:footnoteReference w:id="124"/>
      </w:r>
      <w:r w:rsidR="00CA38B1">
        <w:rPr>
          <w:rFonts w:ascii="Times New Roman" w:hAnsi="Times New Roman" w:cs="Times New Roman"/>
          <w:color w:val="000000"/>
          <w:sz w:val="24"/>
          <w:szCs w:val="24"/>
        </w:rPr>
        <w:t xml:space="preserve">  Testimony </w:t>
      </w:r>
      <w:r w:rsidR="003035C8">
        <w:rPr>
          <w:rFonts w:ascii="Times New Roman" w:hAnsi="Times New Roman" w:cs="Times New Roman"/>
          <w:color w:val="000000"/>
          <w:sz w:val="24"/>
          <w:szCs w:val="24"/>
        </w:rPr>
        <w:t xml:space="preserve">by </w:t>
      </w:r>
      <w:r w:rsidR="00CA38B1">
        <w:rPr>
          <w:rFonts w:ascii="Times New Roman" w:hAnsi="Times New Roman" w:cs="Times New Roman"/>
          <w:color w:val="000000"/>
          <w:sz w:val="24"/>
          <w:szCs w:val="24"/>
        </w:rPr>
        <w:t xml:space="preserve">OCC </w:t>
      </w:r>
      <w:r w:rsidR="003035C8">
        <w:rPr>
          <w:rFonts w:ascii="Times New Roman" w:hAnsi="Times New Roman" w:cs="Times New Roman"/>
          <w:color w:val="000000"/>
          <w:sz w:val="24"/>
          <w:szCs w:val="24"/>
        </w:rPr>
        <w:t xml:space="preserve">and others </w:t>
      </w:r>
      <w:r w:rsidR="00CA38B1">
        <w:rPr>
          <w:rFonts w:ascii="Times New Roman" w:hAnsi="Times New Roman" w:cs="Times New Roman"/>
          <w:color w:val="000000"/>
          <w:sz w:val="24"/>
          <w:szCs w:val="24"/>
        </w:rPr>
        <w:t>justifies rejecting the Joint Stipulation.</w:t>
      </w:r>
    </w:p>
    <w:p w:rsidR="00CA38B1" w:rsidRDefault="00390AD5" w:rsidP="00F27AA5">
      <w:pPr>
        <w:pStyle w:val="Heading3"/>
      </w:pPr>
      <w:bookmarkStart w:id="43" w:name="_Toc442104145"/>
      <w:r>
        <w:t>1.</w:t>
      </w:r>
      <w:r>
        <w:tab/>
      </w:r>
      <w:r w:rsidR="00C0374A" w:rsidRPr="00C0374A">
        <w:t xml:space="preserve">The Joint Stipulation should be rejected </w:t>
      </w:r>
      <w:r w:rsidR="00033E6A">
        <w:t xml:space="preserve">in favor of </w:t>
      </w:r>
      <w:r w:rsidR="00434A95">
        <w:t xml:space="preserve">protecting </w:t>
      </w:r>
      <w:r w:rsidR="00033E6A">
        <w:t>Ohio consumers</w:t>
      </w:r>
      <w:r w:rsidR="00033E6A" w:rsidRPr="00C0374A">
        <w:t xml:space="preserve"> </w:t>
      </w:r>
      <w:r w:rsidR="00033E6A">
        <w:t>because</w:t>
      </w:r>
      <w:r w:rsidR="00C0374A" w:rsidRPr="00C0374A">
        <w:t xml:space="preserve"> </w:t>
      </w:r>
      <w:r w:rsidR="00434A95">
        <w:t>AEP Ohio and the</w:t>
      </w:r>
      <w:r w:rsidR="00C0374A" w:rsidRPr="00C0374A">
        <w:t xml:space="preserve"> Signatory Parties </w:t>
      </w:r>
      <w:r w:rsidR="00033E6A">
        <w:t>failed to meet their burden</w:t>
      </w:r>
      <w:r w:rsidR="00434A95">
        <w:t xml:space="preserve"> of proof</w:t>
      </w:r>
      <w:r w:rsidR="00462316">
        <w:t>.</w:t>
      </w:r>
      <w:bookmarkEnd w:id="43"/>
    </w:p>
    <w:p w:rsidR="00E0299A" w:rsidRDefault="00033E6A" w:rsidP="000322AF">
      <w:pPr>
        <w:spacing w:after="0" w:line="480" w:lineRule="auto"/>
        <w:ind w:firstLine="720"/>
        <w:rPr>
          <w:lang w:eastAsia="zh-CN" w:bidi="hi-IN"/>
        </w:rPr>
      </w:pPr>
      <w:r>
        <w:rPr>
          <w:rFonts w:ascii="Times New Roman" w:hAnsi="Times New Roman" w:cs="Times New Roman"/>
          <w:sz w:val="24"/>
          <w:szCs w:val="24"/>
        </w:rPr>
        <w:t>AEP Ohio as the applicant bears the burden of proof.</w:t>
      </w:r>
      <w:r>
        <w:rPr>
          <w:rStyle w:val="FootnoteReference"/>
          <w:rFonts w:ascii="Times New Roman" w:hAnsi="Times New Roman" w:cs="Times New Roman"/>
          <w:sz w:val="24"/>
          <w:szCs w:val="24"/>
        </w:rPr>
        <w:footnoteReference w:id="125"/>
      </w:r>
      <w:r>
        <w:rPr>
          <w:rFonts w:ascii="Times New Roman" w:hAnsi="Times New Roman" w:cs="Times New Roman"/>
          <w:sz w:val="24"/>
          <w:szCs w:val="24"/>
        </w:rPr>
        <w:t xml:space="preserve">  The </w:t>
      </w:r>
      <w:r w:rsidR="00027061">
        <w:rPr>
          <w:rFonts w:ascii="Times New Roman" w:hAnsi="Times New Roman" w:cs="Times New Roman"/>
          <w:sz w:val="24"/>
          <w:szCs w:val="24"/>
        </w:rPr>
        <w:t>S</w:t>
      </w:r>
      <w:r>
        <w:rPr>
          <w:rFonts w:ascii="Times New Roman" w:hAnsi="Times New Roman" w:cs="Times New Roman"/>
          <w:sz w:val="24"/>
          <w:szCs w:val="24"/>
        </w:rPr>
        <w:t xml:space="preserve">ignatory </w:t>
      </w:r>
      <w:r w:rsidR="00027061">
        <w:rPr>
          <w:rFonts w:ascii="Times New Roman" w:hAnsi="Times New Roman" w:cs="Times New Roman"/>
          <w:sz w:val="24"/>
          <w:szCs w:val="24"/>
        </w:rPr>
        <w:t>P</w:t>
      </w:r>
      <w:r>
        <w:rPr>
          <w:rFonts w:ascii="Times New Roman" w:hAnsi="Times New Roman" w:cs="Times New Roman"/>
          <w:sz w:val="24"/>
          <w:szCs w:val="24"/>
        </w:rPr>
        <w:t xml:space="preserve">arties joining AEP Ohio in the </w:t>
      </w:r>
      <w:r w:rsidR="00027061">
        <w:rPr>
          <w:rFonts w:ascii="Times New Roman" w:hAnsi="Times New Roman" w:cs="Times New Roman"/>
          <w:sz w:val="24"/>
          <w:szCs w:val="24"/>
        </w:rPr>
        <w:t xml:space="preserve">Joint </w:t>
      </w:r>
      <w:r>
        <w:rPr>
          <w:rFonts w:ascii="Times New Roman" w:hAnsi="Times New Roman" w:cs="Times New Roman"/>
          <w:sz w:val="24"/>
          <w:szCs w:val="24"/>
        </w:rPr>
        <w:t xml:space="preserve">Stipulation also bear that burden.  </w:t>
      </w:r>
      <w:r w:rsidR="00434A95">
        <w:rPr>
          <w:rFonts w:ascii="Times New Roman" w:hAnsi="Times New Roman" w:cs="Times New Roman"/>
          <w:sz w:val="24"/>
          <w:szCs w:val="24"/>
        </w:rPr>
        <w:t xml:space="preserve">That </w:t>
      </w:r>
      <w:r>
        <w:rPr>
          <w:rFonts w:ascii="Times New Roman" w:hAnsi="Times New Roman" w:cs="Times New Roman"/>
          <w:sz w:val="24"/>
          <w:szCs w:val="24"/>
        </w:rPr>
        <w:t>burden has not been met</w:t>
      </w:r>
      <w:r w:rsidR="0002706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0299A" w:rsidRPr="00E0299A" w:rsidRDefault="00E0299A" w:rsidP="000322AF">
      <w:pPr>
        <w:pStyle w:val="Heading4"/>
      </w:pPr>
      <w:bookmarkStart w:id="44" w:name="_Toc442104146"/>
      <w:r w:rsidRPr="00E0299A">
        <w:t>a.</w:t>
      </w:r>
      <w:r w:rsidRPr="00E0299A">
        <w:tab/>
      </w:r>
      <w:r w:rsidR="00445A9D">
        <w:t>The Joint Stipulation cannot be adopted unless it, as a package, is in the public interest; but AEP Ohio did not prove that it meets the public interest</w:t>
      </w:r>
      <w:r w:rsidRPr="00E0299A">
        <w:t>.</w:t>
      </w:r>
      <w:bookmarkEnd w:id="44"/>
    </w:p>
    <w:p w:rsidR="00C81BD3" w:rsidRDefault="00A1044D" w:rsidP="00D520AE">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AEP Ohio Witness Allen </w:t>
      </w:r>
      <w:r w:rsidR="003035C8">
        <w:rPr>
          <w:rFonts w:ascii="Times New Roman" w:hAnsi="Times New Roman" w:cs="Times New Roman"/>
          <w:color w:val="000000"/>
          <w:sz w:val="24"/>
          <w:szCs w:val="24"/>
        </w:rPr>
        <w:t xml:space="preserve">asserts </w:t>
      </w:r>
      <w:r>
        <w:rPr>
          <w:rFonts w:ascii="Times New Roman" w:hAnsi="Times New Roman" w:cs="Times New Roman"/>
          <w:color w:val="000000"/>
          <w:sz w:val="24"/>
          <w:szCs w:val="24"/>
        </w:rPr>
        <w:t xml:space="preserve">that the Joint Stipulation will increase </w:t>
      </w:r>
      <w:r w:rsidR="00215DC9">
        <w:rPr>
          <w:rFonts w:ascii="Times New Roman" w:hAnsi="Times New Roman" w:cs="Times New Roman"/>
          <w:color w:val="000000"/>
          <w:sz w:val="24"/>
          <w:szCs w:val="24"/>
        </w:rPr>
        <w:t xml:space="preserve">a typical </w:t>
      </w:r>
      <w:r>
        <w:rPr>
          <w:rFonts w:ascii="Times New Roman" w:hAnsi="Times New Roman" w:cs="Times New Roman"/>
          <w:color w:val="000000"/>
          <w:sz w:val="24"/>
          <w:szCs w:val="24"/>
        </w:rPr>
        <w:t>customer</w:t>
      </w:r>
      <w:r w:rsidR="00215DC9">
        <w:rPr>
          <w:rFonts w:ascii="Times New Roman" w:hAnsi="Times New Roman" w:cs="Times New Roman"/>
          <w:color w:val="000000"/>
          <w:sz w:val="24"/>
          <w:szCs w:val="24"/>
        </w:rPr>
        <w:t>’s</w:t>
      </w:r>
      <w:r>
        <w:rPr>
          <w:rFonts w:ascii="Times New Roman" w:hAnsi="Times New Roman" w:cs="Times New Roman"/>
          <w:color w:val="000000"/>
          <w:sz w:val="24"/>
          <w:szCs w:val="24"/>
        </w:rPr>
        <w:t xml:space="preserve"> rates approximately $.62 per month </w:t>
      </w:r>
      <w:r w:rsidR="00215DC9">
        <w:rPr>
          <w:rFonts w:ascii="Times New Roman" w:hAnsi="Times New Roman" w:cs="Times New Roman"/>
          <w:color w:val="000000"/>
          <w:sz w:val="24"/>
          <w:szCs w:val="24"/>
        </w:rPr>
        <w:t xml:space="preserve">per customer for the first year if the Joint </w:t>
      </w:r>
    </w:p>
    <w:p w:rsidR="00215DC9" w:rsidRDefault="00215DC9" w:rsidP="00C81BD3">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Stipulation is adopted</w:t>
      </w:r>
      <w:r w:rsidR="00A1044D">
        <w:rPr>
          <w:rFonts w:ascii="Times New Roman" w:hAnsi="Times New Roman" w:cs="Times New Roman"/>
          <w:color w:val="000000"/>
          <w:sz w:val="24"/>
          <w:szCs w:val="24"/>
        </w:rPr>
        <w:t>.</w:t>
      </w:r>
      <w:r w:rsidR="00A1044D">
        <w:rPr>
          <w:rStyle w:val="FootnoteReference"/>
          <w:rFonts w:ascii="Times New Roman" w:hAnsi="Times New Roman" w:cs="Times New Roman"/>
          <w:color w:val="000000"/>
          <w:sz w:val="24"/>
          <w:szCs w:val="24"/>
        </w:rPr>
        <w:footnoteReference w:id="126"/>
      </w:r>
      <w:r w:rsidR="00A1044D">
        <w:rPr>
          <w:rFonts w:ascii="Times New Roman" w:hAnsi="Times New Roman" w:cs="Times New Roman"/>
          <w:color w:val="000000"/>
          <w:sz w:val="24"/>
          <w:szCs w:val="24"/>
        </w:rPr>
        <w:t xml:space="preserve">  AEP Ohio’s</w:t>
      </w:r>
      <w:r w:rsidR="003035C8">
        <w:rPr>
          <w:rFonts w:ascii="Times New Roman" w:hAnsi="Times New Roman" w:cs="Times New Roman"/>
          <w:color w:val="000000"/>
          <w:sz w:val="24"/>
          <w:szCs w:val="24"/>
        </w:rPr>
        <w:t xml:space="preserve"> estimates for the</w:t>
      </w:r>
      <w:r w:rsidR="00A1044D">
        <w:rPr>
          <w:rFonts w:ascii="Times New Roman" w:hAnsi="Times New Roman" w:cs="Times New Roman"/>
          <w:color w:val="000000"/>
          <w:sz w:val="24"/>
          <w:szCs w:val="24"/>
        </w:rPr>
        <w:t xml:space="preserve"> PPA Rider </w:t>
      </w:r>
      <w:r w:rsidR="003035C8">
        <w:rPr>
          <w:rFonts w:ascii="Times New Roman" w:hAnsi="Times New Roman" w:cs="Times New Roman"/>
          <w:color w:val="000000"/>
          <w:sz w:val="24"/>
          <w:szCs w:val="24"/>
        </w:rPr>
        <w:t xml:space="preserve">purport to </w:t>
      </w:r>
      <w:r w:rsidR="00A1044D">
        <w:rPr>
          <w:rFonts w:ascii="Times New Roman" w:hAnsi="Times New Roman" w:cs="Times New Roman"/>
          <w:color w:val="000000"/>
          <w:sz w:val="24"/>
          <w:szCs w:val="24"/>
        </w:rPr>
        <w:t>show that the PPA Rider is expected to result in a net credit each year.</w:t>
      </w:r>
      <w:r w:rsidR="00A1044D">
        <w:rPr>
          <w:rStyle w:val="FootnoteReference"/>
          <w:rFonts w:ascii="Times New Roman" w:hAnsi="Times New Roman" w:cs="Times New Roman"/>
          <w:color w:val="000000"/>
          <w:sz w:val="24"/>
          <w:szCs w:val="24"/>
        </w:rPr>
        <w:footnoteReference w:id="127"/>
      </w:r>
      <w:r w:rsidR="00A1044D">
        <w:rPr>
          <w:rFonts w:ascii="Times New Roman" w:hAnsi="Times New Roman" w:cs="Times New Roman"/>
          <w:color w:val="000000"/>
          <w:sz w:val="24"/>
          <w:szCs w:val="24"/>
        </w:rPr>
        <w:t xml:space="preserve">  Thus, it is the provisions in the Joint Stipulation </w:t>
      </w:r>
      <w:r w:rsidR="00A1044D">
        <w:rPr>
          <w:rFonts w:ascii="Times New Roman" w:hAnsi="Times New Roman" w:cs="Times New Roman"/>
          <w:i/>
          <w:color w:val="000000"/>
          <w:sz w:val="24"/>
          <w:szCs w:val="24"/>
        </w:rPr>
        <w:t xml:space="preserve">other than </w:t>
      </w:r>
      <w:r w:rsidR="00A1044D">
        <w:rPr>
          <w:rFonts w:ascii="Times New Roman" w:hAnsi="Times New Roman" w:cs="Times New Roman"/>
          <w:color w:val="000000"/>
          <w:sz w:val="24"/>
          <w:szCs w:val="24"/>
        </w:rPr>
        <w:t>the PPA Rider that would cost</w:t>
      </w:r>
      <w:r w:rsidR="003035C8">
        <w:rPr>
          <w:rFonts w:ascii="Times New Roman" w:hAnsi="Times New Roman" w:cs="Times New Roman"/>
          <w:color w:val="000000"/>
          <w:sz w:val="24"/>
          <w:szCs w:val="24"/>
        </w:rPr>
        <w:t xml:space="preserve"> consumers</w:t>
      </w:r>
      <w:r w:rsidR="00A1044D">
        <w:rPr>
          <w:rFonts w:ascii="Times New Roman" w:hAnsi="Times New Roman" w:cs="Times New Roman"/>
          <w:color w:val="000000"/>
          <w:sz w:val="24"/>
          <w:szCs w:val="24"/>
        </w:rPr>
        <w:t>, according to AEP Ohio’s estimates, $.62 per month per typical residential customer</w:t>
      </w:r>
      <w:r>
        <w:rPr>
          <w:rFonts w:ascii="Times New Roman" w:hAnsi="Times New Roman" w:cs="Times New Roman"/>
          <w:color w:val="000000"/>
          <w:sz w:val="24"/>
          <w:szCs w:val="24"/>
        </w:rPr>
        <w:t xml:space="preserve"> </w:t>
      </w:r>
      <w:r w:rsidR="007C4C5F">
        <w:rPr>
          <w:rFonts w:ascii="Times New Roman" w:hAnsi="Times New Roman" w:cs="Times New Roman"/>
          <w:color w:val="000000"/>
          <w:sz w:val="24"/>
          <w:szCs w:val="24"/>
        </w:rPr>
        <w:t xml:space="preserve">using 1,000 kwh </w:t>
      </w:r>
      <w:r>
        <w:rPr>
          <w:rFonts w:ascii="Times New Roman" w:hAnsi="Times New Roman" w:cs="Times New Roman"/>
          <w:color w:val="000000"/>
          <w:sz w:val="24"/>
          <w:szCs w:val="24"/>
        </w:rPr>
        <w:t>in the first year under the Joint Stipulation</w:t>
      </w:r>
      <w:r w:rsidR="00A1044D">
        <w:rPr>
          <w:rFonts w:ascii="Times New Roman" w:hAnsi="Times New Roman" w:cs="Times New Roman"/>
          <w:color w:val="000000"/>
          <w:sz w:val="24"/>
          <w:szCs w:val="24"/>
        </w:rPr>
        <w:t xml:space="preserve"> </w:t>
      </w:r>
      <w:r w:rsidR="00A1044D" w:rsidRPr="00E0299A">
        <w:rPr>
          <w:rFonts w:ascii="Times New Roman" w:hAnsi="Times New Roman" w:cs="Times New Roman"/>
          <w:color w:val="000000"/>
          <w:sz w:val="24"/>
          <w:szCs w:val="24"/>
        </w:rPr>
        <w:t>(</w:t>
      </w:r>
      <w:r w:rsidR="0081245A" w:rsidRPr="00E0299A">
        <w:rPr>
          <w:rFonts w:ascii="Times New Roman" w:hAnsi="Times New Roman" w:cs="Times New Roman"/>
          <w:color w:val="000000"/>
          <w:sz w:val="24"/>
          <w:szCs w:val="24"/>
        </w:rPr>
        <w:t xml:space="preserve">for AEP Ohio's residential customers as a whole, </w:t>
      </w:r>
      <w:r w:rsidR="00B34067">
        <w:rPr>
          <w:rFonts w:ascii="Times New Roman" w:hAnsi="Times New Roman" w:cs="Times New Roman"/>
          <w:color w:val="000000"/>
          <w:sz w:val="24"/>
          <w:szCs w:val="24"/>
        </w:rPr>
        <w:t>almost</w:t>
      </w:r>
      <w:r w:rsidR="007C4C5F" w:rsidRPr="00E0299A">
        <w:rPr>
          <w:rFonts w:ascii="Times New Roman" w:hAnsi="Times New Roman" w:cs="Times New Roman"/>
          <w:color w:val="000000"/>
          <w:sz w:val="24"/>
          <w:szCs w:val="24"/>
        </w:rPr>
        <w:t xml:space="preserve"> </w:t>
      </w:r>
      <w:r w:rsidR="00A1044D" w:rsidRPr="00E0299A">
        <w:rPr>
          <w:rFonts w:ascii="Times New Roman" w:hAnsi="Times New Roman" w:cs="Times New Roman"/>
          <w:color w:val="000000"/>
          <w:sz w:val="24"/>
          <w:szCs w:val="24"/>
        </w:rPr>
        <w:t>$</w:t>
      </w:r>
      <w:r w:rsidR="00E0299A">
        <w:rPr>
          <w:rFonts w:ascii="Times New Roman" w:hAnsi="Times New Roman" w:cs="Times New Roman"/>
          <w:color w:val="000000"/>
          <w:sz w:val="24"/>
          <w:szCs w:val="24"/>
        </w:rPr>
        <w:t>10,000,000</w:t>
      </w:r>
      <w:r w:rsidR="00A1044D" w:rsidRPr="00E0299A">
        <w:rPr>
          <w:rFonts w:ascii="Times New Roman" w:hAnsi="Times New Roman" w:cs="Times New Roman"/>
          <w:color w:val="000000"/>
          <w:sz w:val="24"/>
          <w:szCs w:val="24"/>
        </w:rPr>
        <w:t xml:space="preserve"> annualized).</w:t>
      </w:r>
      <w:r w:rsidR="00A1044D" w:rsidRPr="00E0299A">
        <w:rPr>
          <w:rStyle w:val="FootnoteReference"/>
          <w:rFonts w:ascii="Times New Roman" w:hAnsi="Times New Roman" w:cs="Times New Roman"/>
          <w:color w:val="000000"/>
          <w:sz w:val="24"/>
          <w:szCs w:val="24"/>
        </w:rPr>
        <w:footnoteReference w:id="128"/>
      </w:r>
      <w:r>
        <w:rPr>
          <w:rFonts w:ascii="Times New Roman" w:hAnsi="Times New Roman" w:cs="Times New Roman"/>
          <w:color w:val="000000"/>
          <w:sz w:val="24"/>
          <w:szCs w:val="24"/>
        </w:rPr>
        <w:t xml:space="preserve">  Therefore, based on AEP Ohio’s own estimates, residential consumers are </w:t>
      </w:r>
      <w:r>
        <w:rPr>
          <w:rFonts w:ascii="Times New Roman" w:hAnsi="Times New Roman" w:cs="Times New Roman"/>
          <w:i/>
          <w:color w:val="000000"/>
          <w:sz w:val="24"/>
          <w:szCs w:val="24"/>
        </w:rPr>
        <w:t xml:space="preserve">worse off </w:t>
      </w:r>
      <w:r>
        <w:rPr>
          <w:rFonts w:ascii="Times New Roman" w:hAnsi="Times New Roman" w:cs="Times New Roman"/>
          <w:color w:val="000000"/>
          <w:sz w:val="24"/>
          <w:szCs w:val="24"/>
        </w:rPr>
        <w:t>under the Joint Stipulation than they would be were only the PPA Rider approved.  For this reason alone, the Joint Stipulation</w:t>
      </w:r>
      <w:r w:rsidR="003177B0">
        <w:rPr>
          <w:rFonts w:ascii="Times New Roman" w:hAnsi="Times New Roman" w:cs="Times New Roman"/>
          <w:color w:val="000000"/>
          <w:sz w:val="24"/>
          <w:szCs w:val="24"/>
        </w:rPr>
        <w:t xml:space="preserve"> cannot pass the third-prong of the PUCO’s test because it </w:t>
      </w:r>
      <w:r>
        <w:rPr>
          <w:rFonts w:ascii="Times New Roman" w:hAnsi="Times New Roman" w:cs="Times New Roman"/>
          <w:color w:val="000000"/>
          <w:sz w:val="24"/>
          <w:szCs w:val="24"/>
        </w:rPr>
        <w:t>is not in the public interest.</w:t>
      </w:r>
    </w:p>
    <w:p w:rsidR="00E0299A" w:rsidRDefault="00E0299A" w:rsidP="00C81BD3">
      <w:pPr>
        <w:pStyle w:val="Heading4"/>
      </w:pPr>
      <w:bookmarkStart w:id="45" w:name="_Toc442104147"/>
      <w:r>
        <w:t>b.</w:t>
      </w:r>
      <w:r>
        <w:tab/>
      </w:r>
      <w:r w:rsidR="00445A9D">
        <w:t>Under the first and third prongs of the settlement test, the Joint Stipulation cannot be adopted unless it is the product of serious bargaining among knowledgeable, diverse parties and as a package is in the public interest; but the many unknowns mean that AEP Ohio did not meet its burden of proof</w:t>
      </w:r>
      <w:r>
        <w:t>.</w:t>
      </w:r>
      <w:bookmarkEnd w:id="45"/>
    </w:p>
    <w:p w:rsidR="00985C80" w:rsidRDefault="00434A95" w:rsidP="002C3C29">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There</w:t>
      </w:r>
      <w:r w:rsidR="00985C80">
        <w:rPr>
          <w:rFonts w:ascii="Times New Roman" w:hAnsi="Times New Roman" w:cs="Times New Roman"/>
          <w:color w:val="000000"/>
          <w:sz w:val="24"/>
          <w:szCs w:val="24"/>
        </w:rPr>
        <w:t xml:space="preserve"> is so much unknown about the Joint Stipulation that it could not conceivably have been the product of serious bargaining among knowledgeable parties</w:t>
      </w:r>
      <w:r w:rsidR="00445A9D">
        <w:rPr>
          <w:rFonts w:ascii="Times New Roman" w:hAnsi="Times New Roman" w:cs="Times New Roman"/>
          <w:color w:val="000000"/>
          <w:sz w:val="24"/>
          <w:szCs w:val="24"/>
        </w:rPr>
        <w:t xml:space="preserve"> or, as a package, be in the public interest</w:t>
      </w:r>
      <w:r w:rsidR="00985C80">
        <w:rPr>
          <w:rFonts w:ascii="Times New Roman" w:hAnsi="Times New Roman" w:cs="Times New Roman"/>
          <w:color w:val="000000"/>
          <w:sz w:val="24"/>
          <w:szCs w:val="24"/>
        </w:rPr>
        <w:t>.</w:t>
      </w:r>
      <w:r w:rsidR="008901FF">
        <w:rPr>
          <w:rStyle w:val="FootnoteReference"/>
          <w:rFonts w:ascii="Times New Roman" w:hAnsi="Times New Roman" w:cs="Times New Roman"/>
          <w:color w:val="000000"/>
          <w:sz w:val="24"/>
          <w:szCs w:val="24"/>
        </w:rPr>
        <w:footnoteReference w:id="129"/>
      </w:r>
      <w:r w:rsidR="00985C80">
        <w:rPr>
          <w:rFonts w:ascii="Times New Roman" w:hAnsi="Times New Roman" w:cs="Times New Roman"/>
          <w:color w:val="000000"/>
          <w:sz w:val="24"/>
          <w:szCs w:val="24"/>
        </w:rPr>
        <w:t xml:space="preserve">  The unknowns</w:t>
      </w:r>
      <w:r w:rsidR="00340669">
        <w:rPr>
          <w:rFonts w:ascii="Times New Roman" w:hAnsi="Times New Roman" w:cs="Times New Roman"/>
          <w:color w:val="000000"/>
          <w:sz w:val="24"/>
          <w:szCs w:val="24"/>
        </w:rPr>
        <w:t xml:space="preserve">, which leave consumer interests unprotected, </w:t>
      </w:r>
      <w:r w:rsidR="00985C80">
        <w:rPr>
          <w:rFonts w:ascii="Times New Roman" w:hAnsi="Times New Roman" w:cs="Times New Roman"/>
          <w:color w:val="000000"/>
          <w:sz w:val="24"/>
          <w:szCs w:val="24"/>
        </w:rPr>
        <w:t>are material and extensive:</w:t>
      </w:r>
    </w:p>
    <w:p w:rsidR="00C0374A" w:rsidRDefault="00985C80" w:rsidP="00390AD5">
      <w:pPr>
        <w:pStyle w:val="ListParagraph"/>
        <w:numPr>
          <w:ilvl w:val="0"/>
          <w:numId w:val="11"/>
        </w:numPr>
        <w:autoSpaceDE w:val="0"/>
        <w:autoSpaceDN w:val="0"/>
        <w:adjustRightInd w:val="0"/>
        <w:spacing w:after="0" w:line="240" w:lineRule="auto"/>
        <w:ind w:left="2160" w:righ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With the exception of a handful of the Joint Stipulation’s provisions, </w:t>
      </w:r>
      <w:r w:rsidR="00340669">
        <w:rPr>
          <w:rFonts w:ascii="Times New Roman" w:hAnsi="Times New Roman" w:cs="Times New Roman"/>
          <w:color w:val="000000"/>
          <w:sz w:val="24"/>
          <w:szCs w:val="24"/>
        </w:rPr>
        <w:t>its rate impacts on consumers</w:t>
      </w:r>
      <w:r>
        <w:rPr>
          <w:rFonts w:ascii="Times New Roman" w:hAnsi="Times New Roman" w:cs="Times New Roman"/>
          <w:color w:val="000000"/>
          <w:sz w:val="24"/>
          <w:szCs w:val="24"/>
        </w:rPr>
        <w:t xml:space="preserve"> are unknown.</w:t>
      </w:r>
      <w:r>
        <w:rPr>
          <w:rStyle w:val="FootnoteReference"/>
          <w:rFonts w:ascii="Times New Roman" w:hAnsi="Times New Roman" w:cs="Times New Roman"/>
          <w:color w:val="000000"/>
          <w:sz w:val="24"/>
          <w:szCs w:val="24"/>
        </w:rPr>
        <w:footnoteReference w:id="130"/>
      </w:r>
    </w:p>
    <w:p w:rsidR="00781E76" w:rsidRDefault="00781E76" w:rsidP="00781E76">
      <w:pPr>
        <w:pStyle w:val="ListParagraph"/>
        <w:autoSpaceDE w:val="0"/>
        <w:autoSpaceDN w:val="0"/>
        <w:adjustRightInd w:val="0"/>
        <w:spacing w:after="0" w:line="240" w:lineRule="auto"/>
        <w:ind w:left="2160" w:right="720"/>
        <w:rPr>
          <w:rFonts w:ascii="Times New Roman" w:hAnsi="Times New Roman" w:cs="Times New Roman"/>
          <w:color w:val="000000"/>
          <w:sz w:val="24"/>
          <w:szCs w:val="24"/>
        </w:rPr>
      </w:pPr>
    </w:p>
    <w:p w:rsidR="00781E76" w:rsidRPr="00781E76" w:rsidRDefault="007C4C5F" w:rsidP="00781E76">
      <w:pPr>
        <w:pStyle w:val="ListParagraph"/>
        <w:numPr>
          <w:ilvl w:val="0"/>
          <w:numId w:val="11"/>
        </w:numPr>
        <w:autoSpaceDE w:val="0"/>
        <w:autoSpaceDN w:val="0"/>
        <w:adjustRightInd w:val="0"/>
        <w:spacing w:after="0" w:line="240" w:lineRule="auto"/>
        <w:ind w:left="2160" w:right="720" w:hanging="720"/>
        <w:rPr>
          <w:rFonts w:ascii="Times New Roman" w:hAnsi="Times New Roman" w:cs="Times New Roman"/>
          <w:color w:val="000000"/>
          <w:sz w:val="24"/>
          <w:szCs w:val="24"/>
        </w:rPr>
      </w:pPr>
      <w:r w:rsidRPr="00781E76">
        <w:rPr>
          <w:rFonts w:ascii="Times New Roman" w:hAnsi="Times New Roman" w:cs="Times New Roman"/>
          <w:color w:val="000000"/>
          <w:sz w:val="24"/>
          <w:szCs w:val="24"/>
        </w:rPr>
        <w:t xml:space="preserve">The cost impact on </w:t>
      </w:r>
      <w:r w:rsidR="00781E76">
        <w:rPr>
          <w:rFonts w:ascii="Times New Roman" w:hAnsi="Times New Roman" w:cs="Times New Roman"/>
          <w:color w:val="000000"/>
          <w:sz w:val="24"/>
          <w:szCs w:val="24"/>
        </w:rPr>
        <w:t>consumers</w:t>
      </w:r>
      <w:r w:rsidRPr="00781E76">
        <w:rPr>
          <w:rFonts w:ascii="Times New Roman" w:hAnsi="Times New Roman" w:cs="Times New Roman"/>
          <w:color w:val="000000"/>
          <w:sz w:val="24"/>
          <w:szCs w:val="24"/>
        </w:rPr>
        <w:t xml:space="preserve"> of reducing AEP Ohio’s reliance on coal/lignite generation from 74</w:t>
      </w:r>
      <w:r w:rsidR="007C21B1">
        <w:rPr>
          <w:rFonts w:ascii="Times New Roman" w:hAnsi="Times New Roman" w:cs="Times New Roman"/>
          <w:color w:val="000000"/>
          <w:sz w:val="24"/>
          <w:szCs w:val="24"/>
        </w:rPr>
        <w:t xml:space="preserve"> percent</w:t>
      </w:r>
      <w:r w:rsidRPr="00781E76">
        <w:rPr>
          <w:rFonts w:ascii="Times New Roman" w:hAnsi="Times New Roman" w:cs="Times New Roman"/>
          <w:color w:val="000000"/>
          <w:sz w:val="24"/>
          <w:szCs w:val="24"/>
        </w:rPr>
        <w:t xml:space="preserve"> in 2005 to 48</w:t>
      </w:r>
      <w:r w:rsidR="007C21B1">
        <w:rPr>
          <w:rFonts w:ascii="Times New Roman" w:hAnsi="Times New Roman" w:cs="Times New Roman"/>
          <w:color w:val="000000"/>
          <w:sz w:val="24"/>
          <w:szCs w:val="24"/>
        </w:rPr>
        <w:t xml:space="preserve"> percent</w:t>
      </w:r>
      <w:r w:rsidRPr="00781E76">
        <w:rPr>
          <w:rFonts w:ascii="Times New Roman" w:hAnsi="Times New Roman" w:cs="Times New Roman"/>
          <w:color w:val="000000"/>
          <w:sz w:val="24"/>
          <w:szCs w:val="24"/>
        </w:rPr>
        <w:t xml:space="preserve"> in 2026 is unknown.</w:t>
      </w:r>
      <w:r>
        <w:rPr>
          <w:rStyle w:val="FootnoteReference"/>
          <w:rFonts w:ascii="Times New Roman" w:hAnsi="Times New Roman" w:cs="Times New Roman"/>
          <w:color w:val="000000"/>
          <w:sz w:val="24"/>
          <w:szCs w:val="24"/>
        </w:rPr>
        <w:footnoteReference w:id="131"/>
      </w:r>
    </w:p>
    <w:p w:rsidR="00781E76" w:rsidRDefault="00781E76" w:rsidP="00781E76">
      <w:pPr>
        <w:pStyle w:val="ListParagraph"/>
        <w:autoSpaceDE w:val="0"/>
        <w:autoSpaceDN w:val="0"/>
        <w:adjustRightInd w:val="0"/>
        <w:spacing w:after="0" w:line="240" w:lineRule="auto"/>
        <w:ind w:left="2160" w:right="720"/>
        <w:rPr>
          <w:rFonts w:ascii="Times New Roman" w:hAnsi="Times New Roman" w:cs="Times New Roman"/>
          <w:color w:val="000000"/>
          <w:sz w:val="24"/>
          <w:szCs w:val="24"/>
        </w:rPr>
      </w:pPr>
    </w:p>
    <w:p w:rsidR="007C4C5F" w:rsidRDefault="007C4C5F" w:rsidP="00390AD5">
      <w:pPr>
        <w:pStyle w:val="ListParagraph"/>
        <w:numPr>
          <w:ilvl w:val="0"/>
          <w:numId w:val="11"/>
        </w:numPr>
        <w:autoSpaceDE w:val="0"/>
        <w:autoSpaceDN w:val="0"/>
        <w:adjustRightInd w:val="0"/>
        <w:spacing w:after="0" w:line="240" w:lineRule="auto"/>
        <w:ind w:left="2160" w:right="720" w:hanging="720"/>
        <w:rPr>
          <w:rFonts w:ascii="Times New Roman" w:hAnsi="Times New Roman" w:cs="Times New Roman"/>
          <w:color w:val="000000"/>
          <w:sz w:val="24"/>
          <w:szCs w:val="24"/>
        </w:rPr>
      </w:pPr>
      <w:r>
        <w:rPr>
          <w:rFonts w:ascii="Times New Roman" w:hAnsi="Times New Roman" w:cs="Times New Roman"/>
          <w:color w:val="000000"/>
          <w:sz w:val="24"/>
          <w:szCs w:val="24"/>
        </w:rPr>
        <w:t>How AEP Ohio plans to reduce its reliance on coal/lignite generation from 74</w:t>
      </w:r>
      <w:r w:rsidR="007C21B1">
        <w:rPr>
          <w:rFonts w:ascii="Times New Roman" w:hAnsi="Times New Roman" w:cs="Times New Roman"/>
          <w:color w:val="000000"/>
          <w:sz w:val="24"/>
          <w:szCs w:val="24"/>
        </w:rPr>
        <w:t xml:space="preserve"> percent</w:t>
      </w:r>
      <w:r>
        <w:rPr>
          <w:rFonts w:ascii="Times New Roman" w:hAnsi="Times New Roman" w:cs="Times New Roman"/>
          <w:color w:val="000000"/>
          <w:sz w:val="24"/>
          <w:szCs w:val="24"/>
        </w:rPr>
        <w:t xml:space="preserve"> in 2005 to 48</w:t>
      </w:r>
      <w:r w:rsidR="007C21B1">
        <w:rPr>
          <w:rFonts w:ascii="Times New Roman" w:hAnsi="Times New Roman" w:cs="Times New Roman"/>
          <w:color w:val="000000"/>
          <w:sz w:val="24"/>
          <w:szCs w:val="24"/>
        </w:rPr>
        <w:t xml:space="preserve"> percent</w:t>
      </w:r>
      <w:r>
        <w:rPr>
          <w:rFonts w:ascii="Times New Roman" w:hAnsi="Times New Roman" w:cs="Times New Roman"/>
          <w:color w:val="000000"/>
          <w:sz w:val="24"/>
          <w:szCs w:val="24"/>
        </w:rPr>
        <w:t xml:space="preserve"> in 2026 is unknown.</w:t>
      </w:r>
      <w:r>
        <w:rPr>
          <w:rStyle w:val="FootnoteReference"/>
          <w:rFonts w:ascii="Times New Roman" w:hAnsi="Times New Roman" w:cs="Times New Roman"/>
          <w:color w:val="000000"/>
          <w:sz w:val="24"/>
          <w:szCs w:val="24"/>
        </w:rPr>
        <w:footnoteReference w:id="132"/>
      </w:r>
    </w:p>
    <w:p w:rsidR="00781E76" w:rsidRDefault="00781E76" w:rsidP="00781E76">
      <w:pPr>
        <w:pStyle w:val="ListParagraph"/>
        <w:autoSpaceDE w:val="0"/>
        <w:autoSpaceDN w:val="0"/>
        <w:adjustRightInd w:val="0"/>
        <w:spacing w:after="0" w:line="240" w:lineRule="auto"/>
        <w:ind w:left="2160" w:right="720"/>
        <w:rPr>
          <w:rFonts w:ascii="Times New Roman" w:hAnsi="Times New Roman" w:cs="Times New Roman"/>
          <w:color w:val="000000"/>
          <w:sz w:val="24"/>
          <w:szCs w:val="24"/>
        </w:rPr>
      </w:pPr>
    </w:p>
    <w:p w:rsidR="00781E76" w:rsidRPr="00781E76" w:rsidRDefault="00161191" w:rsidP="00781E76">
      <w:pPr>
        <w:pStyle w:val="ListParagraph"/>
        <w:numPr>
          <w:ilvl w:val="0"/>
          <w:numId w:val="11"/>
        </w:numPr>
        <w:autoSpaceDE w:val="0"/>
        <w:autoSpaceDN w:val="0"/>
        <w:adjustRightInd w:val="0"/>
        <w:spacing w:after="0" w:line="240" w:lineRule="auto"/>
        <w:ind w:left="2160" w:right="720" w:hanging="720"/>
        <w:rPr>
          <w:rFonts w:ascii="Times New Roman" w:hAnsi="Times New Roman" w:cs="Times New Roman"/>
          <w:color w:val="000000"/>
          <w:sz w:val="24"/>
          <w:szCs w:val="24"/>
        </w:rPr>
      </w:pPr>
      <w:r w:rsidRPr="00781E76">
        <w:rPr>
          <w:rFonts w:ascii="Times New Roman" w:hAnsi="Times New Roman" w:cs="Times New Roman"/>
          <w:color w:val="000000"/>
          <w:sz w:val="24"/>
          <w:szCs w:val="24"/>
        </w:rPr>
        <w:t xml:space="preserve">The cost impact on </w:t>
      </w:r>
      <w:r w:rsidR="00781E76">
        <w:rPr>
          <w:rFonts w:ascii="Times New Roman" w:hAnsi="Times New Roman" w:cs="Times New Roman"/>
          <w:color w:val="000000"/>
          <w:sz w:val="24"/>
          <w:szCs w:val="24"/>
        </w:rPr>
        <w:t>consumers</w:t>
      </w:r>
      <w:r w:rsidRPr="00781E76">
        <w:rPr>
          <w:rFonts w:ascii="Times New Roman" w:hAnsi="Times New Roman" w:cs="Times New Roman"/>
          <w:color w:val="000000"/>
          <w:sz w:val="24"/>
          <w:szCs w:val="24"/>
        </w:rPr>
        <w:t xml:space="preserve"> of increasing natural gas generation from 17</w:t>
      </w:r>
      <w:r w:rsidR="007C21B1">
        <w:rPr>
          <w:rFonts w:ascii="Times New Roman" w:hAnsi="Times New Roman" w:cs="Times New Roman"/>
          <w:color w:val="000000"/>
          <w:sz w:val="24"/>
          <w:szCs w:val="24"/>
        </w:rPr>
        <w:t xml:space="preserve"> percent</w:t>
      </w:r>
      <w:r w:rsidRPr="00781E76">
        <w:rPr>
          <w:rFonts w:ascii="Times New Roman" w:hAnsi="Times New Roman" w:cs="Times New Roman"/>
          <w:color w:val="000000"/>
          <w:sz w:val="24"/>
          <w:szCs w:val="24"/>
        </w:rPr>
        <w:t xml:space="preserve"> in 2005 to 25</w:t>
      </w:r>
      <w:r w:rsidR="007C21B1">
        <w:rPr>
          <w:rFonts w:ascii="Times New Roman" w:hAnsi="Times New Roman" w:cs="Times New Roman"/>
          <w:color w:val="000000"/>
          <w:sz w:val="24"/>
          <w:szCs w:val="24"/>
        </w:rPr>
        <w:t xml:space="preserve"> percent</w:t>
      </w:r>
      <w:r w:rsidRPr="00781E76">
        <w:rPr>
          <w:rFonts w:ascii="Times New Roman" w:hAnsi="Times New Roman" w:cs="Times New Roman"/>
          <w:color w:val="000000"/>
          <w:sz w:val="24"/>
          <w:szCs w:val="24"/>
        </w:rPr>
        <w:t xml:space="preserve"> by 2026 is unknown.</w:t>
      </w:r>
      <w:r>
        <w:rPr>
          <w:rStyle w:val="FootnoteReference"/>
          <w:rFonts w:ascii="Times New Roman" w:hAnsi="Times New Roman" w:cs="Times New Roman"/>
          <w:color w:val="000000"/>
          <w:sz w:val="24"/>
          <w:szCs w:val="24"/>
        </w:rPr>
        <w:footnoteReference w:id="133"/>
      </w:r>
    </w:p>
    <w:p w:rsidR="00781E76" w:rsidRDefault="00781E76" w:rsidP="00781E76">
      <w:pPr>
        <w:pStyle w:val="ListParagraph"/>
        <w:autoSpaceDE w:val="0"/>
        <w:autoSpaceDN w:val="0"/>
        <w:adjustRightInd w:val="0"/>
        <w:spacing w:after="0" w:line="240" w:lineRule="auto"/>
        <w:ind w:left="2160" w:right="720"/>
        <w:rPr>
          <w:rFonts w:ascii="Times New Roman" w:hAnsi="Times New Roman" w:cs="Times New Roman"/>
          <w:color w:val="000000"/>
          <w:sz w:val="24"/>
          <w:szCs w:val="24"/>
        </w:rPr>
      </w:pPr>
    </w:p>
    <w:p w:rsidR="00781E76" w:rsidRPr="00781E76" w:rsidRDefault="00161191" w:rsidP="00781E76">
      <w:pPr>
        <w:pStyle w:val="ListParagraph"/>
        <w:numPr>
          <w:ilvl w:val="0"/>
          <w:numId w:val="11"/>
        </w:numPr>
        <w:autoSpaceDE w:val="0"/>
        <w:autoSpaceDN w:val="0"/>
        <w:adjustRightInd w:val="0"/>
        <w:spacing w:after="0" w:line="240" w:lineRule="auto"/>
        <w:ind w:left="2160" w:right="720" w:hanging="720"/>
        <w:rPr>
          <w:rFonts w:ascii="Times New Roman" w:hAnsi="Times New Roman" w:cs="Times New Roman"/>
          <w:color w:val="000000"/>
          <w:sz w:val="24"/>
          <w:szCs w:val="24"/>
        </w:rPr>
      </w:pPr>
      <w:r w:rsidRPr="00781E76">
        <w:rPr>
          <w:rFonts w:ascii="Times New Roman" w:hAnsi="Times New Roman" w:cs="Times New Roman"/>
          <w:color w:val="000000"/>
          <w:sz w:val="24"/>
          <w:szCs w:val="24"/>
        </w:rPr>
        <w:t>How AEP Ohio plans to increase natural gas generation from 17</w:t>
      </w:r>
      <w:r w:rsidR="007C21B1">
        <w:rPr>
          <w:rFonts w:ascii="Times New Roman" w:hAnsi="Times New Roman" w:cs="Times New Roman"/>
          <w:color w:val="000000"/>
          <w:sz w:val="24"/>
          <w:szCs w:val="24"/>
        </w:rPr>
        <w:t xml:space="preserve"> percent</w:t>
      </w:r>
      <w:r w:rsidRPr="00781E76">
        <w:rPr>
          <w:rFonts w:ascii="Times New Roman" w:hAnsi="Times New Roman" w:cs="Times New Roman"/>
          <w:color w:val="000000"/>
          <w:sz w:val="24"/>
          <w:szCs w:val="24"/>
        </w:rPr>
        <w:t xml:space="preserve"> in 2005 to 25</w:t>
      </w:r>
      <w:r w:rsidR="007C21B1">
        <w:rPr>
          <w:rFonts w:ascii="Times New Roman" w:hAnsi="Times New Roman" w:cs="Times New Roman"/>
          <w:color w:val="000000"/>
          <w:sz w:val="24"/>
          <w:szCs w:val="24"/>
        </w:rPr>
        <w:t xml:space="preserve"> percent</w:t>
      </w:r>
      <w:r w:rsidRPr="00781E76">
        <w:rPr>
          <w:rFonts w:ascii="Times New Roman" w:hAnsi="Times New Roman" w:cs="Times New Roman"/>
          <w:color w:val="000000"/>
          <w:sz w:val="24"/>
          <w:szCs w:val="24"/>
        </w:rPr>
        <w:t xml:space="preserve"> by 2026 is unknown.</w:t>
      </w:r>
      <w:r>
        <w:rPr>
          <w:rStyle w:val="FootnoteReference"/>
          <w:rFonts w:ascii="Times New Roman" w:hAnsi="Times New Roman" w:cs="Times New Roman"/>
          <w:color w:val="000000"/>
          <w:sz w:val="24"/>
          <w:szCs w:val="24"/>
        </w:rPr>
        <w:footnoteReference w:id="134"/>
      </w:r>
    </w:p>
    <w:p w:rsidR="00781E76" w:rsidRDefault="00781E76" w:rsidP="00781E76">
      <w:pPr>
        <w:pStyle w:val="ListParagraph"/>
        <w:autoSpaceDE w:val="0"/>
        <w:autoSpaceDN w:val="0"/>
        <w:adjustRightInd w:val="0"/>
        <w:spacing w:after="0" w:line="240" w:lineRule="auto"/>
        <w:ind w:left="2160" w:right="720"/>
        <w:rPr>
          <w:rFonts w:ascii="Times New Roman" w:hAnsi="Times New Roman" w:cs="Times New Roman"/>
          <w:color w:val="000000"/>
          <w:sz w:val="24"/>
          <w:szCs w:val="24"/>
        </w:rPr>
      </w:pPr>
    </w:p>
    <w:p w:rsidR="00781E76" w:rsidRPr="00781E76" w:rsidRDefault="00161191" w:rsidP="00781E76">
      <w:pPr>
        <w:pStyle w:val="ListParagraph"/>
        <w:numPr>
          <w:ilvl w:val="0"/>
          <w:numId w:val="11"/>
        </w:numPr>
        <w:autoSpaceDE w:val="0"/>
        <w:autoSpaceDN w:val="0"/>
        <w:adjustRightInd w:val="0"/>
        <w:spacing w:after="0" w:line="240" w:lineRule="auto"/>
        <w:ind w:left="2160" w:right="720" w:hanging="720"/>
        <w:rPr>
          <w:rFonts w:ascii="Times New Roman" w:hAnsi="Times New Roman" w:cs="Times New Roman"/>
          <w:color w:val="000000"/>
          <w:sz w:val="24"/>
          <w:szCs w:val="24"/>
        </w:rPr>
      </w:pPr>
      <w:r w:rsidRPr="00781E76">
        <w:rPr>
          <w:rFonts w:ascii="Times New Roman" w:hAnsi="Times New Roman" w:cs="Times New Roman"/>
          <w:color w:val="000000"/>
          <w:sz w:val="24"/>
          <w:szCs w:val="24"/>
        </w:rPr>
        <w:t xml:space="preserve">The cost impact on </w:t>
      </w:r>
      <w:r w:rsidR="00781E76">
        <w:rPr>
          <w:rFonts w:ascii="Times New Roman" w:hAnsi="Times New Roman" w:cs="Times New Roman"/>
          <w:color w:val="000000"/>
          <w:sz w:val="24"/>
          <w:szCs w:val="24"/>
        </w:rPr>
        <w:t>consumers</w:t>
      </w:r>
      <w:r w:rsidRPr="00781E76">
        <w:rPr>
          <w:rFonts w:ascii="Times New Roman" w:hAnsi="Times New Roman" w:cs="Times New Roman"/>
          <w:color w:val="000000"/>
          <w:sz w:val="24"/>
          <w:szCs w:val="24"/>
        </w:rPr>
        <w:t xml:space="preserve"> of increasing hydro/wind/solar/pumped storage from 3</w:t>
      </w:r>
      <w:r w:rsidR="007C21B1">
        <w:rPr>
          <w:rFonts w:ascii="Times New Roman" w:hAnsi="Times New Roman" w:cs="Times New Roman"/>
          <w:color w:val="000000"/>
          <w:sz w:val="24"/>
          <w:szCs w:val="24"/>
        </w:rPr>
        <w:t xml:space="preserve"> percent</w:t>
      </w:r>
      <w:r w:rsidRPr="00781E76">
        <w:rPr>
          <w:rFonts w:ascii="Times New Roman" w:hAnsi="Times New Roman" w:cs="Times New Roman"/>
          <w:color w:val="000000"/>
          <w:sz w:val="24"/>
          <w:szCs w:val="24"/>
        </w:rPr>
        <w:t xml:space="preserve"> in 2005 to 15</w:t>
      </w:r>
      <w:r w:rsidR="007C21B1">
        <w:rPr>
          <w:rFonts w:ascii="Times New Roman" w:hAnsi="Times New Roman" w:cs="Times New Roman"/>
          <w:color w:val="000000"/>
          <w:sz w:val="24"/>
          <w:szCs w:val="24"/>
        </w:rPr>
        <w:t xml:space="preserve"> percent</w:t>
      </w:r>
      <w:r w:rsidRPr="00781E76">
        <w:rPr>
          <w:rFonts w:ascii="Times New Roman" w:hAnsi="Times New Roman" w:cs="Times New Roman"/>
          <w:color w:val="000000"/>
          <w:sz w:val="24"/>
          <w:szCs w:val="24"/>
        </w:rPr>
        <w:t xml:space="preserve"> in 2026 is unknown.</w:t>
      </w:r>
      <w:r>
        <w:rPr>
          <w:rStyle w:val="FootnoteReference"/>
          <w:rFonts w:ascii="Times New Roman" w:hAnsi="Times New Roman" w:cs="Times New Roman"/>
          <w:color w:val="000000"/>
          <w:sz w:val="24"/>
          <w:szCs w:val="24"/>
        </w:rPr>
        <w:footnoteReference w:id="135"/>
      </w:r>
    </w:p>
    <w:p w:rsidR="00781E76" w:rsidRDefault="00781E76" w:rsidP="00781E76">
      <w:pPr>
        <w:pStyle w:val="ListParagraph"/>
        <w:autoSpaceDE w:val="0"/>
        <w:autoSpaceDN w:val="0"/>
        <w:adjustRightInd w:val="0"/>
        <w:spacing w:after="0" w:line="240" w:lineRule="auto"/>
        <w:ind w:left="2160" w:right="720"/>
        <w:rPr>
          <w:rFonts w:ascii="Times New Roman" w:hAnsi="Times New Roman" w:cs="Times New Roman"/>
          <w:color w:val="000000"/>
          <w:sz w:val="24"/>
          <w:szCs w:val="24"/>
        </w:rPr>
      </w:pPr>
    </w:p>
    <w:p w:rsidR="00781E76" w:rsidRPr="00781E76" w:rsidRDefault="00161191" w:rsidP="00781E76">
      <w:pPr>
        <w:pStyle w:val="ListParagraph"/>
        <w:numPr>
          <w:ilvl w:val="0"/>
          <w:numId w:val="11"/>
        </w:numPr>
        <w:autoSpaceDE w:val="0"/>
        <w:autoSpaceDN w:val="0"/>
        <w:adjustRightInd w:val="0"/>
        <w:spacing w:after="0" w:line="240" w:lineRule="auto"/>
        <w:ind w:left="2160" w:right="720" w:hanging="720"/>
        <w:rPr>
          <w:rFonts w:ascii="Times New Roman" w:hAnsi="Times New Roman" w:cs="Times New Roman"/>
          <w:color w:val="000000"/>
          <w:sz w:val="24"/>
          <w:szCs w:val="24"/>
        </w:rPr>
      </w:pPr>
      <w:r w:rsidRPr="00781E76">
        <w:rPr>
          <w:rFonts w:ascii="Times New Roman" w:hAnsi="Times New Roman" w:cs="Times New Roman"/>
          <w:color w:val="000000"/>
          <w:sz w:val="24"/>
          <w:szCs w:val="24"/>
        </w:rPr>
        <w:t>How AEP Ohio plans to increase hydro/wind/solar/pumped storage from 3</w:t>
      </w:r>
      <w:r w:rsidR="007C21B1">
        <w:rPr>
          <w:rFonts w:ascii="Times New Roman" w:hAnsi="Times New Roman" w:cs="Times New Roman"/>
          <w:color w:val="000000"/>
          <w:sz w:val="24"/>
          <w:szCs w:val="24"/>
        </w:rPr>
        <w:t xml:space="preserve"> percent</w:t>
      </w:r>
      <w:r w:rsidRPr="00781E76">
        <w:rPr>
          <w:rFonts w:ascii="Times New Roman" w:hAnsi="Times New Roman" w:cs="Times New Roman"/>
          <w:color w:val="000000"/>
          <w:sz w:val="24"/>
          <w:szCs w:val="24"/>
        </w:rPr>
        <w:t xml:space="preserve"> in 2005 to 15</w:t>
      </w:r>
      <w:r w:rsidR="007C21B1">
        <w:rPr>
          <w:rFonts w:ascii="Times New Roman" w:hAnsi="Times New Roman" w:cs="Times New Roman"/>
          <w:color w:val="000000"/>
          <w:sz w:val="24"/>
          <w:szCs w:val="24"/>
        </w:rPr>
        <w:t xml:space="preserve"> percent</w:t>
      </w:r>
      <w:r w:rsidRPr="00781E76">
        <w:rPr>
          <w:rFonts w:ascii="Times New Roman" w:hAnsi="Times New Roman" w:cs="Times New Roman"/>
          <w:color w:val="000000"/>
          <w:sz w:val="24"/>
          <w:szCs w:val="24"/>
        </w:rPr>
        <w:t xml:space="preserve"> in 2026 is unknown.</w:t>
      </w:r>
      <w:r>
        <w:rPr>
          <w:rStyle w:val="FootnoteReference"/>
          <w:rFonts w:ascii="Times New Roman" w:hAnsi="Times New Roman" w:cs="Times New Roman"/>
          <w:color w:val="000000"/>
          <w:sz w:val="24"/>
          <w:szCs w:val="24"/>
        </w:rPr>
        <w:footnoteReference w:id="136"/>
      </w:r>
    </w:p>
    <w:p w:rsidR="00161191" w:rsidRDefault="00161191" w:rsidP="00781E76">
      <w:pPr>
        <w:pStyle w:val="ListParagraph"/>
        <w:autoSpaceDE w:val="0"/>
        <w:autoSpaceDN w:val="0"/>
        <w:adjustRightInd w:val="0"/>
        <w:spacing w:after="0" w:line="240" w:lineRule="auto"/>
        <w:ind w:left="2160" w:right="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81E76" w:rsidRPr="00781E76" w:rsidRDefault="00161191" w:rsidP="00781E76">
      <w:pPr>
        <w:pStyle w:val="ListParagraph"/>
        <w:numPr>
          <w:ilvl w:val="0"/>
          <w:numId w:val="11"/>
        </w:numPr>
        <w:autoSpaceDE w:val="0"/>
        <w:autoSpaceDN w:val="0"/>
        <w:adjustRightInd w:val="0"/>
        <w:spacing w:after="0" w:line="240" w:lineRule="auto"/>
        <w:ind w:left="2160" w:right="720" w:hanging="720"/>
        <w:rPr>
          <w:rFonts w:ascii="Times New Roman" w:hAnsi="Times New Roman" w:cs="Times New Roman"/>
          <w:color w:val="000000"/>
          <w:sz w:val="24"/>
          <w:szCs w:val="24"/>
        </w:rPr>
      </w:pPr>
      <w:r w:rsidRPr="00781E76">
        <w:rPr>
          <w:rFonts w:ascii="Times New Roman" w:hAnsi="Times New Roman" w:cs="Times New Roman"/>
          <w:color w:val="000000"/>
          <w:sz w:val="24"/>
          <w:szCs w:val="24"/>
        </w:rPr>
        <w:t xml:space="preserve">The cost impact on </w:t>
      </w:r>
      <w:r w:rsidR="00781E76">
        <w:rPr>
          <w:rFonts w:ascii="Times New Roman" w:hAnsi="Times New Roman" w:cs="Times New Roman"/>
          <w:color w:val="000000"/>
          <w:sz w:val="24"/>
          <w:szCs w:val="24"/>
        </w:rPr>
        <w:t>consumers</w:t>
      </w:r>
      <w:r w:rsidRPr="00781E76">
        <w:rPr>
          <w:rFonts w:ascii="Times New Roman" w:hAnsi="Times New Roman" w:cs="Times New Roman"/>
          <w:color w:val="000000"/>
          <w:sz w:val="24"/>
          <w:szCs w:val="24"/>
        </w:rPr>
        <w:t xml:space="preserve"> of increasing energy efficiency/demand response from less than 1</w:t>
      </w:r>
      <w:r w:rsidR="007C21B1">
        <w:rPr>
          <w:rFonts w:ascii="Times New Roman" w:hAnsi="Times New Roman" w:cs="Times New Roman"/>
          <w:color w:val="000000"/>
          <w:sz w:val="24"/>
          <w:szCs w:val="24"/>
        </w:rPr>
        <w:t xml:space="preserve"> percent</w:t>
      </w:r>
      <w:r w:rsidRPr="00781E76">
        <w:rPr>
          <w:rFonts w:ascii="Times New Roman" w:hAnsi="Times New Roman" w:cs="Times New Roman"/>
          <w:color w:val="000000"/>
          <w:sz w:val="24"/>
          <w:szCs w:val="24"/>
        </w:rPr>
        <w:t xml:space="preserve"> in 2005 to 6</w:t>
      </w:r>
      <w:r w:rsidR="007C21B1">
        <w:rPr>
          <w:rFonts w:ascii="Times New Roman" w:hAnsi="Times New Roman" w:cs="Times New Roman"/>
          <w:color w:val="000000"/>
          <w:sz w:val="24"/>
          <w:szCs w:val="24"/>
        </w:rPr>
        <w:t xml:space="preserve"> percent</w:t>
      </w:r>
      <w:r w:rsidRPr="00781E76">
        <w:rPr>
          <w:rFonts w:ascii="Times New Roman" w:hAnsi="Times New Roman" w:cs="Times New Roman"/>
          <w:color w:val="000000"/>
          <w:sz w:val="24"/>
          <w:szCs w:val="24"/>
        </w:rPr>
        <w:t xml:space="preserve"> in 2026 is unknown.</w:t>
      </w:r>
      <w:r w:rsidR="00D6685B">
        <w:rPr>
          <w:rStyle w:val="FootnoteReference"/>
          <w:rFonts w:ascii="Times New Roman" w:hAnsi="Times New Roman" w:cs="Times New Roman"/>
          <w:color w:val="000000"/>
          <w:sz w:val="24"/>
          <w:szCs w:val="24"/>
        </w:rPr>
        <w:footnoteReference w:id="137"/>
      </w:r>
    </w:p>
    <w:p w:rsidR="00781E76" w:rsidRDefault="00781E76" w:rsidP="00781E76">
      <w:pPr>
        <w:pStyle w:val="ListParagraph"/>
        <w:autoSpaceDE w:val="0"/>
        <w:autoSpaceDN w:val="0"/>
        <w:adjustRightInd w:val="0"/>
        <w:spacing w:after="0" w:line="240" w:lineRule="auto"/>
        <w:ind w:left="2160" w:right="720"/>
        <w:rPr>
          <w:rFonts w:ascii="Times New Roman" w:hAnsi="Times New Roman" w:cs="Times New Roman"/>
          <w:color w:val="000000"/>
          <w:sz w:val="24"/>
          <w:szCs w:val="24"/>
        </w:rPr>
      </w:pPr>
    </w:p>
    <w:p w:rsidR="003059F8" w:rsidRPr="003059F8" w:rsidRDefault="00D6685B" w:rsidP="003059F8">
      <w:pPr>
        <w:pStyle w:val="ListParagraph"/>
        <w:numPr>
          <w:ilvl w:val="0"/>
          <w:numId w:val="11"/>
        </w:numPr>
        <w:autoSpaceDE w:val="0"/>
        <w:autoSpaceDN w:val="0"/>
        <w:adjustRightInd w:val="0"/>
        <w:spacing w:after="0" w:line="240" w:lineRule="auto"/>
        <w:ind w:left="2160" w:right="720" w:hanging="720"/>
        <w:rPr>
          <w:rFonts w:ascii="Times New Roman" w:hAnsi="Times New Roman" w:cs="Times New Roman"/>
          <w:color w:val="000000"/>
          <w:sz w:val="24"/>
          <w:szCs w:val="24"/>
        </w:rPr>
      </w:pPr>
      <w:r w:rsidRPr="003059F8">
        <w:rPr>
          <w:rFonts w:ascii="Times New Roman" w:hAnsi="Times New Roman" w:cs="Times New Roman"/>
          <w:color w:val="000000"/>
          <w:sz w:val="24"/>
          <w:szCs w:val="24"/>
        </w:rPr>
        <w:t>How AEP Ohio plans to increase energy efficiency/demand response from less than 1</w:t>
      </w:r>
      <w:r w:rsidR="007C21B1" w:rsidRPr="003059F8">
        <w:rPr>
          <w:rFonts w:ascii="Times New Roman" w:hAnsi="Times New Roman" w:cs="Times New Roman"/>
          <w:color w:val="000000"/>
          <w:sz w:val="24"/>
          <w:szCs w:val="24"/>
        </w:rPr>
        <w:t xml:space="preserve"> percent</w:t>
      </w:r>
      <w:r w:rsidRPr="003059F8">
        <w:rPr>
          <w:rFonts w:ascii="Times New Roman" w:hAnsi="Times New Roman" w:cs="Times New Roman"/>
          <w:color w:val="000000"/>
          <w:sz w:val="24"/>
          <w:szCs w:val="24"/>
        </w:rPr>
        <w:t xml:space="preserve"> in 2005 to 6</w:t>
      </w:r>
      <w:r w:rsidR="007C21B1" w:rsidRPr="003059F8">
        <w:rPr>
          <w:rFonts w:ascii="Times New Roman" w:hAnsi="Times New Roman" w:cs="Times New Roman"/>
          <w:color w:val="000000"/>
          <w:sz w:val="24"/>
          <w:szCs w:val="24"/>
        </w:rPr>
        <w:t xml:space="preserve"> percent</w:t>
      </w:r>
      <w:r w:rsidRPr="003059F8">
        <w:rPr>
          <w:rFonts w:ascii="Times New Roman" w:hAnsi="Times New Roman" w:cs="Times New Roman"/>
          <w:color w:val="000000"/>
          <w:sz w:val="24"/>
          <w:szCs w:val="24"/>
        </w:rPr>
        <w:t xml:space="preserve"> in 2026 is unknown.</w:t>
      </w:r>
      <w:r>
        <w:rPr>
          <w:rStyle w:val="FootnoteReference"/>
          <w:rFonts w:ascii="Times New Roman" w:hAnsi="Times New Roman" w:cs="Times New Roman"/>
          <w:color w:val="000000"/>
          <w:sz w:val="24"/>
          <w:szCs w:val="24"/>
        </w:rPr>
        <w:footnoteReference w:id="138"/>
      </w:r>
    </w:p>
    <w:p w:rsidR="003059F8" w:rsidRPr="003059F8" w:rsidRDefault="003059F8" w:rsidP="003059F8">
      <w:pPr>
        <w:autoSpaceDE w:val="0"/>
        <w:autoSpaceDN w:val="0"/>
        <w:adjustRightInd w:val="0"/>
        <w:spacing w:after="0" w:line="240" w:lineRule="auto"/>
        <w:ind w:left="1440" w:right="720"/>
        <w:rPr>
          <w:rFonts w:ascii="Times New Roman" w:hAnsi="Times New Roman" w:cs="Times New Roman"/>
          <w:color w:val="000000"/>
          <w:sz w:val="24"/>
          <w:szCs w:val="24"/>
        </w:rPr>
      </w:pPr>
    </w:p>
    <w:p w:rsidR="00D6685B" w:rsidRDefault="00D6685B" w:rsidP="00390AD5">
      <w:pPr>
        <w:pStyle w:val="ListParagraph"/>
        <w:numPr>
          <w:ilvl w:val="0"/>
          <w:numId w:val="11"/>
        </w:numPr>
        <w:autoSpaceDE w:val="0"/>
        <w:autoSpaceDN w:val="0"/>
        <w:adjustRightInd w:val="0"/>
        <w:spacing w:after="0" w:line="240" w:lineRule="auto"/>
        <w:ind w:left="2160" w:right="720" w:hanging="720"/>
        <w:rPr>
          <w:rFonts w:ascii="Times New Roman" w:hAnsi="Times New Roman" w:cs="Times New Roman"/>
          <w:color w:val="000000"/>
          <w:sz w:val="24"/>
          <w:szCs w:val="24"/>
        </w:rPr>
      </w:pPr>
      <w:r>
        <w:rPr>
          <w:rFonts w:ascii="Times New Roman" w:hAnsi="Times New Roman" w:cs="Times New Roman"/>
          <w:color w:val="000000"/>
          <w:sz w:val="24"/>
          <w:szCs w:val="24"/>
        </w:rPr>
        <w:t>The “battery resources” that AEP Ohio asserts that it will include in future filings</w:t>
      </w:r>
      <w:r w:rsidR="00E0299A">
        <w:rPr>
          <w:rFonts w:ascii="Times New Roman" w:hAnsi="Times New Roman" w:cs="Times New Roman"/>
          <w:color w:val="000000"/>
          <w:sz w:val="24"/>
          <w:szCs w:val="24"/>
        </w:rPr>
        <w:t>, and thus the costs thereof, are</w:t>
      </w:r>
      <w:r>
        <w:rPr>
          <w:rFonts w:ascii="Times New Roman" w:hAnsi="Times New Roman" w:cs="Times New Roman"/>
          <w:color w:val="000000"/>
          <w:sz w:val="24"/>
          <w:szCs w:val="24"/>
        </w:rPr>
        <w:t xml:space="preserve"> unknown.</w:t>
      </w:r>
      <w:r>
        <w:rPr>
          <w:rStyle w:val="FootnoteReference"/>
          <w:rFonts w:ascii="Times New Roman" w:hAnsi="Times New Roman" w:cs="Times New Roman"/>
          <w:color w:val="000000"/>
          <w:sz w:val="24"/>
          <w:szCs w:val="24"/>
        </w:rPr>
        <w:footnoteReference w:id="139"/>
      </w:r>
    </w:p>
    <w:p w:rsidR="006C1B41" w:rsidRDefault="006C1B41" w:rsidP="006C1B41">
      <w:pPr>
        <w:pStyle w:val="ListParagraph"/>
        <w:autoSpaceDE w:val="0"/>
        <w:autoSpaceDN w:val="0"/>
        <w:adjustRightInd w:val="0"/>
        <w:spacing w:after="0" w:line="240" w:lineRule="auto"/>
        <w:ind w:left="2160" w:right="720"/>
        <w:rPr>
          <w:rFonts w:ascii="Times New Roman" w:hAnsi="Times New Roman" w:cs="Times New Roman"/>
          <w:color w:val="000000"/>
          <w:sz w:val="24"/>
          <w:szCs w:val="24"/>
        </w:rPr>
      </w:pPr>
    </w:p>
    <w:p w:rsidR="00D6685B" w:rsidRDefault="00D6685B" w:rsidP="00390AD5">
      <w:pPr>
        <w:pStyle w:val="ListParagraph"/>
        <w:numPr>
          <w:ilvl w:val="0"/>
          <w:numId w:val="11"/>
        </w:numPr>
        <w:autoSpaceDE w:val="0"/>
        <w:autoSpaceDN w:val="0"/>
        <w:adjustRightInd w:val="0"/>
        <w:spacing w:after="0" w:line="240" w:lineRule="auto"/>
        <w:ind w:left="2160" w:right="720" w:hanging="720"/>
        <w:rPr>
          <w:rFonts w:ascii="Times New Roman" w:hAnsi="Times New Roman" w:cs="Times New Roman"/>
          <w:color w:val="000000"/>
          <w:sz w:val="24"/>
          <w:szCs w:val="24"/>
        </w:rPr>
      </w:pPr>
      <w:r>
        <w:rPr>
          <w:rFonts w:ascii="Times New Roman" w:hAnsi="Times New Roman" w:cs="Times New Roman"/>
          <w:color w:val="000000"/>
          <w:sz w:val="24"/>
          <w:szCs w:val="24"/>
        </w:rPr>
        <w:t>The costs associated with providing retail electric service that may not be reflected in SSO bypassable rates is not known.</w:t>
      </w:r>
      <w:r>
        <w:rPr>
          <w:rStyle w:val="FootnoteReference"/>
          <w:rFonts w:ascii="Times New Roman" w:hAnsi="Times New Roman" w:cs="Times New Roman"/>
          <w:color w:val="000000"/>
          <w:sz w:val="24"/>
          <w:szCs w:val="24"/>
        </w:rPr>
        <w:footnoteReference w:id="140"/>
      </w:r>
    </w:p>
    <w:p w:rsidR="00781E76" w:rsidRDefault="00781E76" w:rsidP="00781E76">
      <w:pPr>
        <w:pStyle w:val="ListParagraph"/>
        <w:autoSpaceDE w:val="0"/>
        <w:autoSpaceDN w:val="0"/>
        <w:adjustRightInd w:val="0"/>
        <w:spacing w:after="0" w:line="240" w:lineRule="auto"/>
        <w:ind w:left="2160" w:right="720"/>
        <w:rPr>
          <w:rFonts w:ascii="Times New Roman" w:hAnsi="Times New Roman" w:cs="Times New Roman"/>
          <w:color w:val="000000"/>
          <w:sz w:val="24"/>
          <w:szCs w:val="24"/>
        </w:rPr>
      </w:pPr>
    </w:p>
    <w:p w:rsidR="00D6685B" w:rsidRDefault="00D6685B" w:rsidP="00390AD5">
      <w:pPr>
        <w:pStyle w:val="ListParagraph"/>
        <w:numPr>
          <w:ilvl w:val="0"/>
          <w:numId w:val="11"/>
        </w:numPr>
        <w:autoSpaceDE w:val="0"/>
        <w:autoSpaceDN w:val="0"/>
        <w:adjustRightInd w:val="0"/>
        <w:spacing w:after="0" w:line="240" w:lineRule="auto"/>
        <w:ind w:left="2160" w:righ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annual cost impact on </w:t>
      </w:r>
      <w:r w:rsidR="00781E76">
        <w:rPr>
          <w:rFonts w:ascii="Times New Roman" w:hAnsi="Times New Roman" w:cs="Times New Roman"/>
          <w:color w:val="000000"/>
          <w:sz w:val="24"/>
          <w:szCs w:val="24"/>
        </w:rPr>
        <w:t>consumers</w:t>
      </w:r>
      <w:r>
        <w:rPr>
          <w:rFonts w:ascii="Times New Roman" w:hAnsi="Times New Roman" w:cs="Times New Roman"/>
          <w:color w:val="000000"/>
          <w:sz w:val="24"/>
          <w:szCs w:val="24"/>
        </w:rPr>
        <w:t xml:space="preserve"> of the proposed two year Pilot Supplier Consolidated Billing Program have not been provided.</w:t>
      </w:r>
      <w:r>
        <w:rPr>
          <w:rStyle w:val="FootnoteReference"/>
          <w:rFonts w:ascii="Times New Roman" w:hAnsi="Times New Roman" w:cs="Times New Roman"/>
          <w:color w:val="000000"/>
          <w:sz w:val="24"/>
          <w:szCs w:val="24"/>
        </w:rPr>
        <w:footnoteReference w:id="141"/>
      </w:r>
    </w:p>
    <w:p w:rsidR="00781E76" w:rsidRPr="00781E76" w:rsidRDefault="00781E76" w:rsidP="00781E76">
      <w:pPr>
        <w:autoSpaceDE w:val="0"/>
        <w:autoSpaceDN w:val="0"/>
        <w:adjustRightInd w:val="0"/>
        <w:spacing w:after="0" w:line="240" w:lineRule="auto"/>
        <w:ind w:right="720"/>
        <w:rPr>
          <w:rFonts w:ascii="Times New Roman" w:hAnsi="Times New Roman" w:cs="Times New Roman"/>
          <w:color w:val="000000"/>
          <w:sz w:val="24"/>
          <w:szCs w:val="24"/>
        </w:rPr>
      </w:pPr>
    </w:p>
    <w:p w:rsidR="00431103" w:rsidRDefault="009F11E1" w:rsidP="002C3C29">
      <w:pPr>
        <w:pStyle w:val="ListParagraph"/>
        <w:numPr>
          <w:ilvl w:val="0"/>
          <w:numId w:val="11"/>
        </w:numPr>
        <w:autoSpaceDE w:val="0"/>
        <w:autoSpaceDN w:val="0"/>
        <w:adjustRightInd w:val="0"/>
        <w:spacing w:after="0" w:line="240" w:lineRule="auto"/>
        <w:ind w:left="2160" w:right="720" w:hanging="720"/>
        <w:rPr>
          <w:rFonts w:ascii="Times New Roman" w:hAnsi="Times New Roman" w:cs="Times New Roman"/>
          <w:color w:val="000000"/>
          <w:sz w:val="24"/>
          <w:szCs w:val="24"/>
        </w:rPr>
      </w:pPr>
      <w:r w:rsidRPr="002C3C29">
        <w:rPr>
          <w:rFonts w:ascii="Times New Roman" w:hAnsi="Times New Roman" w:cs="Times New Roman"/>
          <w:color w:val="000000"/>
          <w:sz w:val="24"/>
          <w:szCs w:val="24"/>
        </w:rPr>
        <w:t>The cost of converting Conesville Units 5 and 6 to natural gas co-firing by December 31, 2017</w:t>
      </w:r>
      <w:r w:rsidR="00781E76" w:rsidRPr="002C3C29">
        <w:rPr>
          <w:rFonts w:ascii="Times New Roman" w:hAnsi="Times New Roman" w:cs="Times New Roman"/>
          <w:color w:val="000000"/>
          <w:sz w:val="24"/>
          <w:szCs w:val="24"/>
        </w:rPr>
        <w:t>, and its impact on consumers,</w:t>
      </w:r>
      <w:r w:rsidRPr="002C3C29">
        <w:rPr>
          <w:rFonts w:ascii="Times New Roman" w:hAnsi="Times New Roman" w:cs="Times New Roman"/>
          <w:color w:val="000000"/>
          <w:sz w:val="24"/>
          <w:szCs w:val="24"/>
        </w:rPr>
        <w:t xml:space="preserve"> </w:t>
      </w:r>
      <w:r w:rsidR="00781E76" w:rsidRPr="002C3C29">
        <w:rPr>
          <w:rFonts w:ascii="Times New Roman" w:hAnsi="Times New Roman" w:cs="Times New Roman"/>
          <w:color w:val="000000"/>
          <w:sz w:val="24"/>
          <w:szCs w:val="24"/>
        </w:rPr>
        <w:t>is</w:t>
      </w:r>
      <w:r w:rsidRPr="002C3C29">
        <w:rPr>
          <w:rFonts w:ascii="Times New Roman" w:hAnsi="Times New Roman" w:cs="Times New Roman"/>
          <w:color w:val="000000"/>
          <w:sz w:val="24"/>
          <w:szCs w:val="24"/>
        </w:rPr>
        <w:t xml:space="preserve"> unknown.</w:t>
      </w:r>
      <w:r>
        <w:rPr>
          <w:rStyle w:val="FootnoteReference"/>
          <w:rFonts w:ascii="Times New Roman" w:hAnsi="Times New Roman" w:cs="Times New Roman"/>
          <w:color w:val="000000"/>
          <w:sz w:val="24"/>
          <w:szCs w:val="24"/>
        </w:rPr>
        <w:footnoteReference w:id="142"/>
      </w:r>
    </w:p>
    <w:p w:rsidR="002C3C29" w:rsidRPr="002C3C29" w:rsidRDefault="002C3C29" w:rsidP="002C3C29">
      <w:pPr>
        <w:pStyle w:val="ListParagraph"/>
        <w:rPr>
          <w:rFonts w:ascii="Times New Roman" w:hAnsi="Times New Roman" w:cs="Times New Roman"/>
          <w:color w:val="000000"/>
          <w:sz w:val="24"/>
          <w:szCs w:val="24"/>
        </w:rPr>
      </w:pPr>
    </w:p>
    <w:p w:rsidR="009F11E1" w:rsidRDefault="009F11E1" w:rsidP="00390AD5">
      <w:pPr>
        <w:pStyle w:val="ListParagraph"/>
        <w:numPr>
          <w:ilvl w:val="0"/>
          <w:numId w:val="11"/>
        </w:numPr>
        <w:autoSpaceDE w:val="0"/>
        <w:autoSpaceDN w:val="0"/>
        <w:adjustRightInd w:val="0"/>
        <w:spacing w:after="0" w:line="240" w:lineRule="auto"/>
        <w:ind w:left="2160" w:right="720" w:hanging="720"/>
        <w:rPr>
          <w:rFonts w:ascii="Times New Roman" w:hAnsi="Times New Roman" w:cs="Times New Roman"/>
          <w:color w:val="000000"/>
          <w:sz w:val="24"/>
          <w:szCs w:val="24"/>
        </w:rPr>
      </w:pPr>
      <w:r>
        <w:rPr>
          <w:rFonts w:ascii="Times New Roman" w:hAnsi="Times New Roman" w:cs="Times New Roman"/>
          <w:color w:val="000000"/>
          <w:sz w:val="24"/>
          <w:szCs w:val="24"/>
        </w:rPr>
        <w:t>What regulatory approvals are necessary to co-fire Conesville Units 5 and 6 are unknown.</w:t>
      </w:r>
      <w:r>
        <w:rPr>
          <w:rStyle w:val="FootnoteReference"/>
          <w:rFonts w:ascii="Times New Roman" w:hAnsi="Times New Roman" w:cs="Times New Roman"/>
          <w:color w:val="000000"/>
          <w:sz w:val="24"/>
          <w:szCs w:val="24"/>
        </w:rPr>
        <w:footnoteReference w:id="143"/>
      </w:r>
    </w:p>
    <w:p w:rsidR="00781E76" w:rsidRDefault="00781E76" w:rsidP="00781E76">
      <w:pPr>
        <w:pStyle w:val="ListParagraph"/>
        <w:autoSpaceDE w:val="0"/>
        <w:autoSpaceDN w:val="0"/>
        <w:adjustRightInd w:val="0"/>
        <w:spacing w:after="0" w:line="240" w:lineRule="auto"/>
        <w:ind w:left="2160" w:right="720"/>
        <w:rPr>
          <w:rFonts w:ascii="Times New Roman" w:hAnsi="Times New Roman" w:cs="Times New Roman"/>
          <w:color w:val="000000"/>
          <w:sz w:val="24"/>
          <w:szCs w:val="24"/>
        </w:rPr>
      </w:pPr>
    </w:p>
    <w:p w:rsidR="00781E76" w:rsidRPr="00781E76" w:rsidRDefault="009F11E1" w:rsidP="00781E76">
      <w:pPr>
        <w:pStyle w:val="ListParagraph"/>
        <w:numPr>
          <w:ilvl w:val="0"/>
          <w:numId w:val="11"/>
        </w:numPr>
        <w:autoSpaceDE w:val="0"/>
        <w:autoSpaceDN w:val="0"/>
        <w:adjustRightInd w:val="0"/>
        <w:spacing w:after="0" w:line="240" w:lineRule="auto"/>
        <w:ind w:left="2160" w:right="720" w:hanging="720"/>
        <w:rPr>
          <w:rFonts w:ascii="Times New Roman" w:hAnsi="Times New Roman" w:cs="Times New Roman"/>
          <w:color w:val="000000"/>
          <w:sz w:val="24"/>
          <w:szCs w:val="24"/>
        </w:rPr>
      </w:pPr>
      <w:r w:rsidRPr="00781E76">
        <w:rPr>
          <w:rFonts w:ascii="Times New Roman" w:hAnsi="Times New Roman" w:cs="Times New Roman"/>
          <w:color w:val="000000"/>
          <w:sz w:val="24"/>
          <w:szCs w:val="24"/>
        </w:rPr>
        <w:t xml:space="preserve">The costs of retiring, refueling, </w:t>
      </w:r>
      <w:r w:rsidR="006C7120" w:rsidRPr="00781E76">
        <w:rPr>
          <w:rFonts w:ascii="Times New Roman" w:hAnsi="Times New Roman" w:cs="Times New Roman"/>
          <w:color w:val="000000"/>
          <w:sz w:val="24"/>
          <w:szCs w:val="24"/>
        </w:rPr>
        <w:t>or</w:t>
      </w:r>
      <w:r w:rsidRPr="00781E76">
        <w:rPr>
          <w:rFonts w:ascii="Times New Roman" w:hAnsi="Times New Roman" w:cs="Times New Roman"/>
          <w:color w:val="000000"/>
          <w:sz w:val="24"/>
          <w:szCs w:val="24"/>
        </w:rPr>
        <w:t xml:space="preserve"> repowering Conesville Units 5 and 6, and Cardinal Unit 1, </w:t>
      </w:r>
      <w:r w:rsidR="00781E76">
        <w:rPr>
          <w:rFonts w:ascii="Times New Roman" w:hAnsi="Times New Roman" w:cs="Times New Roman"/>
          <w:color w:val="000000"/>
          <w:sz w:val="24"/>
          <w:szCs w:val="24"/>
        </w:rPr>
        <w:t xml:space="preserve">and the costs’ impact on consumers, </w:t>
      </w:r>
      <w:r w:rsidRPr="00781E76">
        <w:rPr>
          <w:rFonts w:ascii="Times New Roman" w:hAnsi="Times New Roman" w:cs="Times New Roman"/>
          <w:color w:val="000000"/>
          <w:sz w:val="24"/>
          <w:szCs w:val="24"/>
        </w:rPr>
        <w:t>are unknown.</w:t>
      </w:r>
      <w:r>
        <w:rPr>
          <w:rStyle w:val="FootnoteReference"/>
          <w:rFonts w:ascii="Times New Roman" w:hAnsi="Times New Roman" w:cs="Times New Roman"/>
          <w:color w:val="000000"/>
          <w:sz w:val="24"/>
          <w:szCs w:val="24"/>
        </w:rPr>
        <w:footnoteReference w:id="144"/>
      </w:r>
    </w:p>
    <w:p w:rsidR="00781E76" w:rsidRDefault="00781E76" w:rsidP="00781E76">
      <w:pPr>
        <w:pStyle w:val="ListParagraph"/>
        <w:autoSpaceDE w:val="0"/>
        <w:autoSpaceDN w:val="0"/>
        <w:adjustRightInd w:val="0"/>
        <w:spacing w:after="0" w:line="240" w:lineRule="auto"/>
        <w:ind w:left="2160" w:right="720"/>
        <w:rPr>
          <w:rFonts w:ascii="Times New Roman" w:hAnsi="Times New Roman" w:cs="Times New Roman"/>
          <w:color w:val="000000"/>
          <w:sz w:val="24"/>
          <w:szCs w:val="24"/>
        </w:rPr>
      </w:pPr>
    </w:p>
    <w:p w:rsidR="00781E76" w:rsidRPr="00781E76" w:rsidRDefault="009F11E1" w:rsidP="00781E76">
      <w:pPr>
        <w:pStyle w:val="ListParagraph"/>
        <w:numPr>
          <w:ilvl w:val="0"/>
          <w:numId w:val="11"/>
        </w:numPr>
        <w:autoSpaceDE w:val="0"/>
        <w:autoSpaceDN w:val="0"/>
        <w:adjustRightInd w:val="0"/>
        <w:spacing w:after="0" w:line="240" w:lineRule="auto"/>
        <w:ind w:left="2160" w:right="720" w:hanging="720"/>
        <w:rPr>
          <w:rFonts w:ascii="Times New Roman" w:hAnsi="Times New Roman" w:cs="Times New Roman"/>
          <w:color w:val="000000"/>
          <w:sz w:val="24"/>
          <w:szCs w:val="24"/>
        </w:rPr>
      </w:pPr>
      <w:r w:rsidRPr="00781E76">
        <w:rPr>
          <w:rFonts w:ascii="Times New Roman" w:hAnsi="Times New Roman" w:cs="Times New Roman"/>
          <w:color w:val="000000"/>
          <w:sz w:val="24"/>
          <w:szCs w:val="24"/>
        </w:rPr>
        <w:t>Barriers there may be to retiring, refueling, or repowering Conesville Units 5 and 6, and Cardinal Unit 1, are unknown.</w:t>
      </w:r>
      <w:r>
        <w:rPr>
          <w:rStyle w:val="FootnoteReference"/>
          <w:rFonts w:ascii="Times New Roman" w:hAnsi="Times New Roman" w:cs="Times New Roman"/>
          <w:color w:val="000000"/>
          <w:sz w:val="24"/>
          <w:szCs w:val="24"/>
        </w:rPr>
        <w:footnoteReference w:id="145"/>
      </w:r>
    </w:p>
    <w:p w:rsidR="00781E76" w:rsidRDefault="00781E76" w:rsidP="00781E76">
      <w:pPr>
        <w:pStyle w:val="ListParagraph"/>
        <w:autoSpaceDE w:val="0"/>
        <w:autoSpaceDN w:val="0"/>
        <w:adjustRightInd w:val="0"/>
        <w:spacing w:after="0" w:line="240" w:lineRule="auto"/>
        <w:ind w:left="2160" w:right="720"/>
        <w:rPr>
          <w:rFonts w:ascii="Times New Roman" w:hAnsi="Times New Roman" w:cs="Times New Roman"/>
          <w:color w:val="000000"/>
          <w:sz w:val="24"/>
          <w:szCs w:val="24"/>
        </w:rPr>
      </w:pPr>
    </w:p>
    <w:p w:rsidR="00D34055" w:rsidRDefault="006C7120" w:rsidP="00431103">
      <w:pPr>
        <w:pStyle w:val="ListParagraph"/>
        <w:numPr>
          <w:ilvl w:val="0"/>
          <w:numId w:val="11"/>
        </w:numPr>
        <w:autoSpaceDE w:val="0"/>
        <w:autoSpaceDN w:val="0"/>
        <w:adjustRightInd w:val="0"/>
        <w:spacing w:after="0" w:line="240" w:lineRule="auto"/>
        <w:ind w:left="2160" w:right="720" w:hanging="720"/>
        <w:rPr>
          <w:rFonts w:ascii="Times New Roman" w:hAnsi="Times New Roman" w:cs="Times New Roman"/>
          <w:color w:val="000000"/>
          <w:sz w:val="24"/>
          <w:szCs w:val="24"/>
        </w:rPr>
      </w:pPr>
      <w:r w:rsidRPr="00431103">
        <w:rPr>
          <w:rFonts w:ascii="Times New Roman" w:hAnsi="Times New Roman" w:cs="Times New Roman"/>
          <w:color w:val="000000"/>
          <w:sz w:val="24"/>
          <w:szCs w:val="24"/>
        </w:rPr>
        <w:t xml:space="preserve">The costs for removing the barriers there may be to retiring, refueling, or repowering Conesville Units 5 and 6, and Cardinal Unit 1, </w:t>
      </w:r>
      <w:r w:rsidR="00781E76">
        <w:rPr>
          <w:rFonts w:ascii="Times New Roman" w:hAnsi="Times New Roman" w:cs="Times New Roman"/>
          <w:color w:val="000000"/>
          <w:sz w:val="24"/>
          <w:szCs w:val="24"/>
        </w:rPr>
        <w:t xml:space="preserve">and the costs’ impact on consumers, </w:t>
      </w:r>
      <w:r w:rsidRPr="00431103">
        <w:rPr>
          <w:rFonts w:ascii="Times New Roman" w:hAnsi="Times New Roman" w:cs="Times New Roman"/>
          <w:color w:val="000000"/>
          <w:sz w:val="24"/>
          <w:szCs w:val="24"/>
        </w:rPr>
        <w:t>are unknown.</w:t>
      </w:r>
      <w:r>
        <w:rPr>
          <w:rStyle w:val="FootnoteReference"/>
          <w:rFonts w:ascii="Times New Roman" w:hAnsi="Times New Roman" w:cs="Times New Roman"/>
          <w:color w:val="000000"/>
          <w:sz w:val="24"/>
          <w:szCs w:val="24"/>
        </w:rPr>
        <w:footnoteReference w:id="146"/>
      </w:r>
    </w:p>
    <w:p w:rsidR="00781E76" w:rsidRPr="00781E76" w:rsidRDefault="00781E76" w:rsidP="00781E76">
      <w:pPr>
        <w:autoSpaceDE w:val="0"/>
        <w:autoSpaceDN w:val="0"/>
        <w:adjustRightInd w:val="0"/>
        <w:spacing w:after="0" w:line="240" w:lineRule="auto"/>
        <w:ind w:right="720"/>
        <w:rPr>
          <w:rFonts w:ascii="Times New Roman" w:hAnsi="Times New Roman" w:cs="Times New Roman"/>
          <w:color w:val="000000"/>
          <w:sz w:val="24"/>
          <w:szCs w:val="24"/>
        </w:rPr>
      </w:pPr>
    </w:p>
    <w:p w:rsidR="006C7120" w:rsidRDefault="006C7120" w:rsidP="00390AD5">
      <w:pPr>
        <w:pStyle w:val="ListParagraph"/>
        <w:numPr>
          <w:ilvl w:val="0"/>
          <w:numId w:val="11"/>
        </w:numPr>
        <w:autoSpaceDE w:val="0"/>
        <w:autoSpaceDN w:val="0"/>
        <w:adjustRightInd w:val="0"/>
        <w:spacing w:after="0" w:line="240" w:lineRule="auto"/>
        <w:ind w:left="2160" w:right="720" w:hanging="720"/>
        <w:rPr>
          <w:rFonts w:ascii="Times New Roman" w:hAnsi="Times New Roman" w:cs="Times New Roman"/>
          <w:color w:val="000000"/>
          <w:sz w:val="24"/>
          <w:szCs w:val="24"/>
        </w:rPr>
      </w:pPr>
      <w:r>
        <w:rPr>
          <w:rFonts w:ascii="Times New Roman" w:hAnsi="Times New Roman" w:cs="Times New Roman"/>
          <w:color w:val="000000"/>
          <w:sz w:val="24"/>
          <w:szCs w:val="24"/>
        </w:rPr>
        <w:t>The cost of retiring, refueling, or repowering Conesville Unit 4, Zimmer Unit 1, Stuart Units 1-4, and the OVEC Units</w:t>
      </w:r>
      <w:r w:rsidR="00781E76">
        <w:rPr>
          <w:rFonts w:ascii="Times New Roman" w:hAnsi="Times New Roman" w:cs="Times New Roman"/>
          <w:color w:val="000000"/>
          <w:sz w:val="24"/>
          <w:szCs w:val="24"/>
        </w:rPr>
        <w:t>, and its impact on consumers,</w:t>
      </w:r>
      <w:r>
        <w:rPr>
          <w:rFonts w:ascii="Times New Roman" w:hAnsi="Times New Roman" w:cs="Times New Roman"/>
          <w:color w:val="000000"/>
          <w:sz w:val="24"/>
          <w:szCs w:val="24"/>
        </w:rPr>
        <w:t xml:space="preserve"> is unknown.</w:t>
      </w:r>
      <w:r>
        <w:rPr>
          <w:rStyle w:val="FootnoteReference"/>
          <w:rFonts w:ascii="Times New Roman" w:hAnsi="Times New Roman" w:cs="Times New Roman"/>
          <w:color w:val="000000"/>
          <w:sz w:val="24"/>
          <w:szCs w:val="24"/>
        </w:rPr>
        <w:footnoteReference w:id="147"/>
      </w:r>
    </w:p>
    <w:p w:rsidR="00781E76" w:rsidRPr="00781E76" w:rsidRDefault="00781E76" w:rsidP="00781E76">
      <w:pPr>
        <w:autoSpaceDE w:val="0"/>
        <w:autoSpaceDN w:val="0"/>
        <w:adjustRightInd w:val="0"/>
        <w:spacing w:after="0" w:line="240" w:lineRule="auto"/>
        <w:ind w:right="720"/>
        <w:rPr>
          <w:rFonts w:ascii="Times New Roman" w:hAnsi="Times New Roman" w:cs="Times New Roman"/>
          <w:color w:val="000000"/>
          <w:sz w:val="24"/>
          <w:szCs w:val="24"/>
        </w:rPr>
      </w:pPr>
    </w:p>
    <w:p w:rsidR="001941E5" w:rsidRDefault="006C7120" w:rsidP="00390AD5">
      <w:pPr>
        <w:pStyle w:val="ListParagraph"/>
        <w:numPr>
          <w:ilvl w:val="0"/>
          <w:numId w:val="11"/>
        </w:numPr>
        <w:autoSpaceDE w:val="0"/>
        <w:autoSpaceDN w:val="0"/>
        <w:adjustRightInd w:val="0"/>
        <w:spacing w:after="0" w:line="240" w:lineRule="auto"/>
        <w:ind w:left="2160" w:right="720" w:hanging="720"/>
        <w:rPr>
          <w:rFonts w:ascii="Times New Roman" w:hAnsi="Times New Roman" w:cs="Times New Roman"/>
          <w:color w:val="000000"/>
          <w:sz w:val="24"/>
          <w:szCs w:val="24"/>
        </w:rPr>
      </w:pPr>
      <w:r>
        <w:rPr>
          <w:rFonts w:ascii="Times New Roman" w:hAnsi="Times New Roman" w:cs="Times New Roman"/>
          <w:color w:val="000000"/>
          <w:sz w:val="24"/>
          <w:szCs w:val="24"/>
        </w:rPr>
        <w:t>Barriers there may be to retiring, refueling, or repowering</w:t>
      </w:r>
      <w:r w:rsidRPr="006C71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Conesville Unit 4, Zimmer Unit 1, Stuart Units 1-4, and the OVEC Units are unknown.</w:t>
      </w:r>
      <w:r>
        <w:rPr>
          <w:rStyle w:val="FootnoteReference"/>
          <w:rFonts w:ascii="Times New Roman" w:hAnsi="Times New Roman" w:cs="Times New Roman"/>
          <w:color w:val="000000"/>
          <w:sz w:val="24"/>
          <w:szCs w:val="24"/>
        </w:rPr>
        <w:footnoteReference w:id="148"/>
      </w:r>
    </w:p>
    <w:p w:rsidR="00781E76" w:rsidRPr="00781E76" w:rsidRDefault="00781E76" w:rsidP="00781E76">
      <w:pPr>
        <w:autoSpaceDE w:val="0"/>
        <w:autoSpaceDN w:val="0"/>
        <w:adjustRightInd w:val="0"/>
        <w:spacing w:after="0" w:line="240" w:lineRule="auto"/>
        <w:ind w:right="720"/>
        <w:rPr>
          <w:rFonts w:ascii="Times New Roman" w:hAnsi="Times New Roman" w:cs="Times New Roman"/>
          <w:color w:val="000000"/>
          <w:sz w:val="24"/>
          <w:szCs w:val="24"/>
        </w:rPr>
      </w:pPr>
    </w:p>
    <w:p w:rsidR="001941E5" w:rsidRDefault="001941E5" w:rsidP="00390AD5">
      <w:pPr>
        <w:pStyle w:val="ListParagraph"/>
        <w:numPr>
          <w:ilvl w:val="0"/>
          <w:numId w:val="11"/>
        </w:numPr>
        <w:autoSpaceDE w:val="0"/>
        <w:autoSpaceDN w:val="0"/>
        <w:adjustRightInd w:val="0"/>
        <w:spacing w:after="0" w:line="240" w:lineRule="auto"/>
        <w:ind w:left="2160" w:right="720" w:hanging="720"/>
        <w:rPr>
          <w:rFonts w:ascii="Times New Roman" w:hAnsi="Times New Roman" w:cs="Times New Roman"/>
          <w:color w:val="000000"/>
          <w:sz w:val="24"/>
          <w:szCs w:val="24"/>
        </w:rPr>
      </w:pPr>
      <w:r>
        <w:rPr>
          <w:rFonts w:ascii="Times New Roman" w:hAnsi="Times New Roman" w:cs="Times New Roman"/>
          <w:color w:val="000000"/>
          <w:sz w:val="24"/>
          <w:szCs w:val="24"/>
        </w:rPr>
        <w:t>The costs for removing the barriers there may be to retiring, refueling, or repowering</w:t>
      </w:r>
      <w:r w:rsidRPr="001941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Conesville Unit 4, Zimmer Unit 1, Stuart Units 1-4, and the OVEC Units</w:t>
      </w:r>
      <w:r w:rsidR="00781E76">
        <w:rPr>
          <w:rFonts w:ascii="Times New Roman" w:hAnsi="Times New Roman" w:cs="Times New Roman"/>
          <w:color w:val="000000"/>
          <w:sz w:val="24"/>
          <w:szCs w:val="24"/>
        </w:rPr>
        <w:t>, and the costs’ impact on consumers,</w:t>
      </w:r>
      <w:r>
        <w:rPr>
          <w:rFonts w:ascii="Times New Roman" w:hAnsi="Times New Roman" w:cs="Times New Roman"/>
          <w:color w:val="000000"/>
          <w:sz w:val="24"/>
          <w:szCs w:val="24"/>
        </w:rPr>
        <w:t xml:space="preserve"> are unknown.</w:t>
      </w:r>
      <w:r>
        <w:rPr>
          <w:rStyle w:val="FootnoteReference"/>
          <w:rFonts w:ascii="Times New Roman" w:hAnsi="Times New Roman" w:cs="Times New Roman"/>
          <w:color w:val="000000"/>
          <w:sz w:val="24"/>
          <w:szCs w:val="24"/>
        </w:rPr>
        <w:footnoteReference w:id="149"/>
      </w:r>
    </w:p>
    <w:p w:rsidR="00781E76" w:rsidRPr="00781E76" w:rsidRDefault="00781E76" w:rsidP="00781E76">
      <w:pPr>
        <w:autoSpaceDE w:val="0"/>
        <w:autoSpaceDN w:val="0"/>
        <w:adjustRightInd w:val="0"/>
        <w:spacing w:after="0" w:line="240" w:lineRule="auto"/>
        <w:ind w:right="720"/>
        <w:rPr>
          <w:rFonts w:ascii="Times New Roman" w:hAnsi="Times New Roman" w:cs="Times New Roman"/>
          <w:color w:val="000000"/>
          <w:sz w:val="24"/>
          <w:szCs w:val="24"/>
        </w:rPr>
      </w:pPr>
    </w:p>
    <w:p w:rsidR="006C7120" w:rsidRDefault="001941E5" w:rsidP="00390AD5">
      <w:pPr>
        <w:pStyle w:val="ListParagraph"/>
        <w:numPr>
          <w:ilvl w:val="0"/>
          <w:numId w:val="11"/>
        </w:numPr>
        <w:autoSpaceDE w:val="0"/>
        <w:autoSpaceDN w:val="0"/>
        <w:adjustRightInd w:val="0"/>
        <w:spacing w:after="0" w:line="240" w:lineRule="auto"/>
        <w:ind w:left="2160" w:right="720" w:hanging="720"/>
        <w:rPr>
          <w:rFonts w:ascii="Times New Roman" w:hAnsi="Times New Roman" w:cs="Times New Roman"/>
          <w:color w:val="000000"/>
          <w:sz w:val="24"/>
          <w:szCs w:val="24"/>
        </w:rPr>
      </w:pPr>
      <w:r>
        <w:rPr>
          <w:rFonts w:ascii="Times New Roman" w:hAnsi="Times New Roman" w:cs="Times New Roman"/>
          <w:color w:val="000000"/>
          <w:sz w:val="24"/>
          <w:szCs w:val="24"/>
        </w:rPr>
        <w:t>The cost of the 2017-2019 EE/PDR plan to achieve an energy savings goal of 1.33</w:t>
      </w:r>
      <w:r w:rsidR="00E2461E">
        <w:rPr>
          <w:rFonts w:ascii="Times New Roman" w:hAnsi="Times New Roman" w:cs="Times New Roman"/>
          <w:color w:val="000000"/>
          <w:sz w:val="24"/>
          <w:szCs w:val="24"/>
        </w:rPr>
        <w:t xml:space="preserve"> percent</w:t>
      </w:r>
      <w:r>
        <w:rPr>
          <w:rFonts w:ascii="Times New Roman" w:hAnsi="Times New Roman" w:cs="Times New Roman"/>
          <w:color w:val="000000"/>
          <w:sz w:val="24"/>
          <w:szCs w:val="24"/>
        </w:rPr>
        <w:t xml:space="preserve"> annually and a demand reduction goal of .75</w:t>
      </w:r>
      <w:r w:rsidR="00E2461E">
        <w:rPr>
          <w:rFonts w:ascii="Times New Roman" w:hAnsi="Times New Roman" w:cs="Times New Roman"/>
          <w:color w:val="000000"/>
          <w:sz w:val="24"/>
          <w:szCs w:val="24"/>
        </w:rPr>
        <w:t xml:space="preserve"> percent</w:t>
      </w:r>
      <w:r>
        <w:rPr>
          <w:rFonts w:ascii="Times New Roman" w:hAnsi="Times New Roman" w:cs="Times New Roman"/>
          <w:color w:val="000000"/>
          <w:sz w:val="24"/>
          <w:szCs w:val="24"/>
        </w:rPr>
        <w:t xml:space="preserve"> annually</w:t>
      </w:r>
      <w:r w:rsidR="00781E76">
        <w:rPr>
          <w:rFonts w:ascii="Times New Roman" w:hAnsi="Times New Roman" w:cs="Times New Roman"/>
          <w:color w:val="000000"/>
          <w:sz w:val="24"/>
          <w:szCs w:val="24"/>
        </w:rPr>
        <w:t>, and the cost’s impact on consumers,</w:t>
      </w:r>
      <w:r>
        <w:rPr>
          <w:rFonts w:ascii="Times New Roman" w:hAnsi="Times New Roman" w:cs="Times New Roman"/>
          <w:color w:val="000000"/>
          <w:sz w:val="24"/>
          <w:szCs w:val="24"/>
        </w:rPr>
        <w:t xml:space="preserve"> are not known.</w:t>
      </w:r>
      <w:r>
        <w:rPr>
          <w:rStyle w:val="FootnoteReference"/>
          <w:rFonts w:ascii="Times New Roman" w:hAnsi="Times New Roman" w:cs="Times New Roman"/>
          <w:color w:val="000000"/>
          <w:sz w:val="24"/>
          <w:szCs w:val="24"/>
        </w:rPr>
        <w:footnoteReference w:id="150"/>
      </w:r>
      <w:r>
        <w:rPr>
          <w:rFonts w:ascii="Times New Roman" w:hAnsi="Times New Roman" w:cs="Times New Roman"/>
          <w:color w:val="000000"/>
          <w:sz w:val="24"/>
          <w:szCs w:val="24"/>
        </w:rPr>
        <w:t xml:space="preserve"> </w:t>
      </w:r>
      <w:r w:rsidR="006C7120">
        <w:rPr>
          <w:rFonts w:ascii="Times New Roman" w:hAnsi="Times New Roman" w:cs="Times New Roman"/>
          <w:color w:val="000000"/>
          <w:sz w:val="24"/>
          <w:szCs w:val="24"/>
        </w:rPr>
        <w:t xml:space="preserve"> </w:t>
      </w:r>
    </w:p>
    <w:p w:rsidR="00781E76" w:rsidRPr="00781E76" w:rsidRDefault="00781E76" w:rsidP="00781E76">
      <w:pPr>
        <w:autoSpaceDE w:val="0"/>
        <w:autoSpaceDN w:val="0"/>
        <w:adjustRightInd w:val="0"/>
        <w:spacing w:after="0" w:line="240" w:lineRule="auto"/>
        <w:ind w:right="720"/>
        <w:rPr>
          <w:rFonts w:ascii="Times New Roman" w:hAnsi="Times New Roman" w:cs="Times New Roman"/>
          <w:color w:val="000000"/>
          <w:sz w:val="24"/>
          <w:szCs w:val="24"/>
        </w:rPr>
      </w:pPr>
    </w:p>
    <w:p w:rsidR="001941E5" w:rsidRDefault="00607CDA" w:rsidP="00390AD5">
      <w:pPr>
        <w:pStyle w:val="ListParagraph"/>
        <w:numPr>
          <w:ilvl w:val="0"/>
          <w:numId w:val="11"/>
        </w:numPr>
        <w:autoSpaceDE w:val="0"/>
        <w:autoSpaceDN w:val="0"/>
        <w:adjustRightInd w:val="0"/>
        <w:spacing w:after="0" w:line="240" w:lineRule="auto"/>
        <w:ind w:left="2160" w:right="720" w:hanging="720"/>
        <w:rPr>
          <w:rFonts w:ascii="Times New Roman" w:hAnsi="Times New Roman" w:cs="Times New Roman"/>
          <w:color w:val="000000"/>
          <w:sz w:val="24"/>
          <w:szCs w:val="24"/>
        </w:rPr>
      </w:pPr>
      <w:r>
        <w:rPr>
          <w:rFonts w:ascii="Times New Roman" w:hAnsi="Times New Roman" w:cs="Times New Roman"/>
          <w:color w:val="000000"/>
          <w:sz w:val="24"/>
          <w:szCs w:val="24"/>
        </w:rPr>
        <w:t>Whether AEP Ohio will seek to increase the charge for the riders or tariffs in its filing to exten</w:t>
      </w:r>
      <w:r w:rsidR="00F47E76">
        <w:rPr>
          <w:rFonts w:ascii="Times New Roman" w:hAnsi="Times New Roman" w:cs="Times New Roman"/>
          <w:color w:val="000000"/>
          <w:sz w:val="24"/>
          <w:szCs w:val="24"/>
        </w:rPr>
        <w:t>d</w:t>
      </w:r>
      <w:r>
        <w:rPr>
          <w:rFonts w:ascii="Times New Roman" w:hAnsi="Times New Roman" w:cs="Times New Roman"/>
          <w:color w:val="000000"/>
          <w:sz w:val="24"/>
          <w:szCs w:val="24"/>
        </w:rPr>
        <w:t xml:space="preserve"> the current ESP</w:t>
      </w:r>
      <w:r w:rsidR="00781E76">
        <w:rPr>
          <w:rFonts w:ascii="Times New Roman" w:hAnsi="Times New Roman" w:cs="Times New Roman"/>
          <w:color w:val="000000"/>
          <w:sz w:val="24"/>
          <w:szCs w:val="24"/>
        </w:rPr>
        <w:t>, and associated costs to consumers,</w:t>
      </w:r>
      <w:r>
        <w:rPr>
          <w:rFonts w:ascii="Times New Roman" w:hAnsi="Times New Roman" w:cs="Times New Roman"/>
          <w:color w:val="000000"/>
          <w:sz w:val="24"/>
          <w:szCs w:val="24"/>
        </w:rPr>
        <w:t xml:space="preserve"> is unknown.</w:t>
      </w:r>
      <w:r>
        <w:rPr>
          <w:rStyle w:val="FootnoteReference"/>
          <w:rFonts w:ascii="Times New Roman" w:hAnsi="Times New Roman" w:cs="Times New Roman"/>
          <w:color w:val="000000"/>
          <w:sz w:val="24"/>
          <w:szCs w:val="24"/>
        </w:rPr>
        <w:footnoteReference w:id="151"/>
      </w:r>
    </w:p>
    <w:p w:rsidR="00781E76" w:rsidRPr="00781E76" w:rsidRDefault="00781E76" w:rsidP="00781E76">
      <w:pPr>
        <w:autoSpaceDE w:val="0"/>
        <w:autoSpaceDN w:val="0"/>
        <w:adjustRightInd w:val="0"/>
        <w:spacing w:after="0" w:line="240" w:lineRule="auto"/>
        <w:ind w:right="720"/>
        <w:rPr>
          <w:rFonts w:ascii="Times New Roman" w:hAnsi="Times New Roman" w:cs="Times New Roman"/>
          <w:color w:val="000000"/>
          <w:sz w:val="24"/>
          <w:szCs w:val="24"/>
        </w:rPr>
      </w:pPr>
    </w:p>
    <w:p w:rsidR="00607CDA" w:rsidRDefault="00607CDA" w:rsidP="00390AD5">
      <w:pPr>
        <w:pStyle w:val="ListParagraph"/>
        <w:numPr>
          <w:ilvl w:val="0"/>
          <w:numId w:val="11"/>
        </w:numPr>
        <w:autoSpaceDE w:val="0"/>
        <w:autoSpaceDN w:val="0"/>
        <w:adjustRightInd w:val="0"/>
        <w:spacing w:after="0" w:line="240" w:lineRule="auto"/>
        <w:ind w:left="2160" w:right="720" w:hanging="720"/>
        <w:rPr>
          <w:rFonts w:ascii="Times New Roman" w:hAnsi="Times New Roman" w:cs="Times New Roman"/>
          <w:color w:val="000000"/>
          <w:sz w:val="24"/>
          <w:szCs w:val="24"/>
        </w:rPr>
      </w:pPr>
      <w:r>
        <w:rPr>
          <w:rFonts w:ascii="Times New Roman" w:hAnsi="Times New Roman" w:cs="Times New Roman"/>
          <w:color w:val="000000"/>
          <w:sz w:val="24"/>
          <w:szCs w:val="24"/>
        </w:rPr>
        <w:t>Whether AEP Ohio will seek to extend the PPA Rider beyond May 31, 2024 is unknown.</w:t>
      </w:r>
      <w:r>
        <w:rPr>
          <w:rStyle w:val="FootnoteReference"/>
          <w:rFonts w:ascii="Times New Roman" w:hAnsi="Times New Roman" w:cs="Times New Roman"/>
          <w:color w:val="000000"/>
          <w:sz w:val="24"/>
          <w:szCs w:val="24"/>
        </w:rPr>
        <w:footnoteReference w:id="152"/>
      </w:r>
    </w:p>
    <w:p w:rsidR="00781E76" w:rsidRDefault="00781E76" w:rsidP="00781E76">
      <w:pPr>
        <w:pStyle w:val="ListParagraph"/>
        <w:autoSpaceDE w:val="0"/>
        <w:autoSpaceDN w:val="0"/>
        <w:adjustRightInd w:val="0"/>
        <w:spacing w:after="0" w:line="240" w:lineRule="auto"/>
        <w:ind w:left="2160" w:right="720"/>
        <w:rPr>
          <w:rFonts w:ascii="Times New Roman" w:hAnsi="Times New Roman" w:cs="Times New Roman"/>
          <w:color w:val="000000"/>
          <w:sz w:val="24"/>
          <w:szCs w:val="24"/>
        </w:rPr>
      </w:pPr>
    </w:p>
    <w:p w:rsidR="00607CDA" w:rsidRDefault="00607CDA" w:rsidP="00390AD5">
      <w:pPr>
        <w:pStyle w:val="ListParagraph"/>
        <w:numPr>
          <w:ilvl w:val="0"/>
          <w:numId w:val="11"/>
        </w:numPr>
        <w:autoSpaceDE w:val="0"/>
        <w:autoSpaceDN w:val="0"/>
        <w:adjustRightInd w:val="0"/>
        <w:spacing w:after="0" w:line="240" w:lineRule="auto"/>
        <w:ind w:left="2160" w:righ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Whether AEP Ohio will seek cost recovery through a PPA Rider for retiring, refueling, or repowering Conesville Units 5 and 6, and Cardinal Unit 1, </w:t>
      </w:r>
      <w:r w:rsidR="00781E76">
        <w:rPr>
          <w:rFonts w:ascii="Times New Roman" w:hAnsi="Times New Roman" w:cs="Times New Roman"/>
          <w:color w:val="000000"/>
          <w:sz w:val="24"/>
          <w:szCs w:val="24"/>
        </w:rPr>
        <w:t xml:space="preserve">and such cost recovery’s impact on consumers, </w:t>
      </w:r>
      <w:r>
        <w:rPr>
          <w:rFonts w:ascii="Times New Roman" w:hAnsi="Times New Roman" w:cs="Times New Roman"/>
          <w:color w:val="000000"/>
          <w:sz w:val="24"/>
          <w:szCs w:val="24"/>
        </w:rPr>
        <w:t>is unknown.</w:t>
      </w:r>
      <w:r>
        <w:rPr>
          <w:rStyle w:val="FootnoteReference"/>
          <w:rFonts w:ascii="Times New Roman" w:hAnsi="Times New Roman" w:cs="Times New Roman"/>
          <w:color w:val="000000"/>
          <w:sz w:val="24"/>
          <w:szCs w:val="24"/>
        </w:rPr>
        <w:footnoteReference w:id="153"/>
      </w:r>
    </w:p>
    <w:p w:rsidR="00781E76" w:rsidRPr="00781E76" w:rsidRDefault="00781E76" w:rsidP="00781E76">
      <w:pPr>
        <w:autoSpaceDE w:val="0"/>
        <w:autoSpaceDN w:val="0"/>
        <w:adjustRightInd w:val="0"/>
        <w:spacing w:after="0" w:line="240" w:lineRule="auto"/>
        <w:ind w:right="720"/>
        <w:rPr>
          <w:rFonts w:ascii="Times New Roman" w:hAnsi="Times New Roman" w:cs="Times New Roman"/>
          <w:color w:val="000000"/>
          <w:sz w:val="24"/>
          <w:szCs w:val="24"/>
        </w:rPr>
      </w:pPr>
    </w:p>
    <w:p w:rsidR="00607CDA" w:rsidRDefault="00607CDA" w:rsidP="00390AD5">
      <w:pPr>
        <w:pStyle w:val="ListParagraph"/>
        <w:numPr>
          <w:ilvl w:val="0"/>
          <w:numId w:val="11"/>
        </w:numPr>
        <w:autoSpaceDE w:val="0"/>
        <w:autoSpaceDN w:val="0"/>
        <w:adjustRightInd w:val="0"/>
        <w:spacing w:after="0" w:line="240" w:lineRule="auto"/>
        <w:ind w:left="2160" w:righ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Whether AEP Ohio will seek cost recovery through a PPA Rider for removing the barriers there may be to retiring, refueling, or repowering Conesville Units 5 and 5, and Cardinal Unit 1, </w:t>
      </w:r>
      <w:r w:rsidR="00781E76">
        <w:rPr>
          <w:rFonts w:ascii="Times New Roman" w:hAnsi="Times New Roman" w:cs="Times New Roman"/>
          <w:color w:val="000000"/>
          <w:sz w:val="24"/>
          <w:szCs w:val="24"/>
        </w:rPr>
        <w:t xml:space="preserve">and such cost recovery’s impact on consumers, </w:t>
      </w:r>
      <w:r>
        <w:rPr>
          <w:rFonts w:ascii="Times New Roman" w:hAnsi="Times New Roman" w:cs="Times New Roman"/>
          <w:color w:val="000000"/>
          <w:sz w:val="24"/>
          <w:szCs w:val="24"/>
        </w:rPr>
        <w:t>is unknown.</w:t>
      </w:r>
      <w:r>
        <w:rPr>
          <w:rStyle w:val="FootnoteReference"/>
          <w:rFonts w:ascii="Times New Roman" w:hAnsi="Times New Roman" w:cs="Times New Roman"/>
          <w:color w:val="000000"/>
          <w:sz w:val="24"/>
          <w:szCs w:val="24"/>
        </w:rPr>
        <w:footnoteReference w:id="154"/>
      </w:r>
      <w:r>
        <w:rPr>
          <w:rFonts w:ascii="Times New Roman" w:hAnsi="Times New Roman" w:cs="Times New Roman"/>
          <w:color w:val="000000"/>
          <w:sz w:val="24"/>
          <w:szCs w:val="24"/>
        </w:rPr>
        <w:t xml:space="preserve"> </w:t>
      </w:r>
    </w:p>
    <w:p w:rsidR="00781E76" w:rsidRPr="00781E76" w:rsidRDefault="00781E76" w:rsidP="00781E76">
      <w:pPr>
        <w:autoSpaceDE w:val="0"/>
        <w:autoSpaceDN w:val="0"/>
        <w:adjustRightInd w:val="0"/>
        <w:spacing w:after="0" w:line="240" w:lineRule="auto"/>
        <w:ind w:right="720"/>
        <w:rPr>
          <w:rFonts w:ascii="Times New Roman" w:hAnsi="Times New Roman" w:cs="Times New Roman"/>
          <w:color w:val="000000"/>
          <w:sz w:val="24"/>
          <w:szCs w:val="24"/>
        </w:rPr>
      </w:pPr>
    </w:p>
    <w:p w:rsidR="00607CDA" w:rsidRDefault="00607CDA" w:rsidP="00390AD5">
      <w:pPr>
        <w:pStyle w:val="ListParagraph"/>
        <w:numPr>
          <w:ilvl w:val="0"/>
          <w:numId w:val="11"/>
        </w:numPr>
        <w:autoSpaceDE w:val="0"/>
        <w:autoSpaceDN w:val="0"/>
        <w:adjustRightInd w:val="0"/>
        <w:spacing w:after="0" w:line="240" w:lineRule="auto"/>
        <w:ind w:left="2160" w:right="720" w:hanging="720"/>
        <w:rPr>
          <w:rFonts w:ascii="Times New Roman" w:hAnsi="Times New Roman" w:cs="Times New Roman"/>
          <w:color w:val="000000"/>
          <w:sz w:val="24"/>
          <w:szCs w:val="24"/>
        </w:rPr>
      </w:pPr>
      <w:r>
        <w:rPr>
          <w:rFonts w:ascii="Times New Roman" w:hAnsi="Times New Roman" w:cs="Times New Roman"/>
          <w:color w:val="000000"/>
          <w:sz w:val="24"/>
          <w:szCs w:val="24"/>
        </w:rPr>
        <w:t>Whether AEP Ohio will seek cost recovery through a PPA Rider for retiring, refueling, or repowering Conesville Unit 4, Zimmer Unit 1, Stuart Units 1-4, and the OVEC Units</w:t>
      </w:r>
      <w:r w:rsidR="00781E76">
        <w:rPr>
          <w:rFonts w:ascii="Times New Roman" w:hAnsi="Times New Roman" w:cs="Times New Roman"/>
          <w:color w:val="000000"/>
          <w:sz w:val="24"/>
          <w:szCs w:val="24"/>
        </w:rPr>
        <w:t>, and such cost recovery’s impact on consumers,</w:t>
      </w:r>
      <w:r>
        <w:rPr>
          <w:rFonts w:ascii="Times New Roman" w:hAnsi="Times New Roman" w:cs="Times New Roman"/>
          <w:color w:val="000000"/>
          <w:sz w:val="24"/>
          <w:szCs w:val="24"/>
        </w:rPr>
        <w:t xml:space="preserve"> is unknown.</w:t>
      </w:r>
      <w:r>
        <w:rPr>
          <w:rStyle w:val="FootnoteReference"/>
          <w:rFonts w:ascii="Times New Roman" w:hAnsi="Times New Roman" w:cs="Times New Roman"/>
          <w:color w:val="000000"/>
          <w:sz w:val="24"/>
          <w:szCs w:val="24"/>
        </w:rPr>
        <w:footnoteReference w:id="155"/>
      </w:r>
    </w:p>
    <w:p w:rsidR="00781E76" w:rsidRPr="00781E76" w:rsidRDefault="00781E76" w:rsidP="00781E76">
      <w:pPr>
        <w:autoSpaceDE w:val="0"/>
        <w:autoSpaceDN w:val="0"/>
        <w:adjustRightInd w:val="0"/>
        <w:spacing w:after="0" w:line="240" w:lineRule="auto"/>
        <w:ind w:right="720"/>
        <w:rPr>
          <w:rFonts w:ascii="Times New Roman" w:hAnsi="Times New Roman" w:cs="Times New Roman"/>
          <w:color w:val="000000"/>
          <w:sz w:val="24"/>
          <w:szCs w:val="24"/>
        </w:rPr>
      </w:pPr>
    </w:p>
    <w:p w:rsidR="00607CDA" w:rsidRDefault="00607CDA" w:rsidP="00390AD5">
      <w:pPr>
        <w:pStyle w:val="ListParagraph"/>
        <w:numPr>
          <w:ilvl w:val="0"/>
          <w:numId w:val="11"/>
        </w:numPr>
        <w:autoSpaceDE w:val="0"/>
        <w:autoSpaceDN w:val="0"/>
        <w:adjustRightInd w:val="0"/>
        <w:spacing w:after="0" w:line="240" w:lineRule="auto"/>
        <w:ind w:left="2160" w:right="720" w:hanging="720"/>
        <w:rPr>
          <w:rFonts w:ascii="Times New Roman" w:hAnsi="Times New Roman" w:cs="Times New Roman"/>
          <w:color w:val="000000"/>
          <w:sz w:val="24"/>
          <w:szCs w:val="24"/>
        </w:rPr>
      </w:pPr>
      <w:r>
        <w:rPr>
          <w:rFonts w:ascii="Times New Roman" w:hAnsi="Times New Roman" w:cs="Times New Roman"/>
          <w:color w:val="000000"/>
          <w:sz w:val="24"/>
          <w:szCs w:val="24"/>
        </w:rPr>
        <w:t>Whether AEP Ohio will seek cost recovery through a PPA Rider for removing the barriers there may be to retiring, refueling, or repowering Conesville Unit 4, Zimmer Unit 1, Stuart Units 1-4, and the OVEC Units</w:t>
      </w:r>
      <w:r w:rsidR="00781E76">
        <w:rPr>
          <w:rFonts w:ascii="Times New Roman" w:hAnsi="Times New Roman" w:cs="Times New Roman"/>
          <w:color w:val="000000"/>
          <w:sz w:val="24"/>
          <w:szCs w:val="24"/>
        </w:rPr>
        <w:t>, and such cost recovery’s impact on consumers,</w:t>
      </w:r>
      <w:r>
        <w:rPr>
          <w:rFonts w:ascii="Times New Roman" w:hAnsi="Times New Roman" w:cs="Times New Roman"/>
          <w:color w:val="000000"/>
          <w:sz w:val="24"/>
          <w:szCs w:val="24"/>
        </w:rPr>
        <w:t xml:space="preserve"> is unknown.</w:t>
      </w:r>
      <w:r>
        <w:rPr>
          <w:rStyle w:val="FootnoteReference"/>
          <w:rFonts w:ascii="Times New Roman" w:hAnsi="Times New Roman" w:cs="Times New Roman"/>
          <w:color w:val="000000"/>
          <w:sz w:val="24"/>
          <w:szCs w:val="24"/>
        </w:rPr>
        <w:footnoteReference w:id="156"/>
      </w:r>
      <w:r>
        <w:rPr>
          <w:rFonts w:ascii="Times New Roman" w:hAnsi="Times New Roman" w:cs="Times New Roman"/>
          <w:color w:val="000000"/>
          <w:sz w:val="24"/>
          <w:szCs w:val="24"/>
        </w:rPr>
        <w:t xml:space="preserve"> </w:t>
      </w:r>
    </w:p>
    <w:p w:rsidR="00781E76" w:rsidRPr="00781E76" w:rsidRDefault="00781E76" w:rsidP="00781E76">
      <w:pPr>
        <w:autoSpaceDE w:val="0"/>
        <w:autoSpaceDN w:val="0"/>
        <w:adjustRightInd w:val="0"/>
        <w:spacing w:after="0" w:line="240" w:lineRule="auto"/>
        <w:ind w:right="720"/>
        <w:rPr>
          <w:rFonts w:ascii="Times New Roman" w:hAnsi="Times New Roman" w:cs="Times New Roman"/>
          <w:color w:val="000000"/>
          <w:sz w:val="24"/>
          <w:szCs w:val="24"/>
        </w:rPr>
      </w:pPr>
    </w:p>
    <w:p w:rsidR="00607CDA" w:rsidRDefault="00363559" w:rsidP="00390AD5">
      <w:pPr>
        <w:pStyle w:val="ListParagraph"/>
        <w:numPr>
          <w:ilvl w:val="0"/>
          <w:numId w:val="11"/>
        </w:numPr>
        <w:autoSpaceDE w:val="0"/>
        <w:autoSpaceDN w:val="0"/>
        <w:adjustRightInd w:val="0"/>
        <w:spacing w:after="0" w:line="240" w:lineRule="auto"/>
        <w:ind w:left="2160" w:right="720" w:hanging="720"/>
        <w:rPr>
          <w:rFonts w:ascii="Times New Roman" w:hAnsi="Times New Roman" w:cs="Times New Roman"/>
          <w:color w:val="000000"/>
          <w:sz w:val="24"/>
          <w:szCs w:val="24"/>
        </w:rPr>
      </w:pPr>
      <w:r>
        <w:rPr>
          <w:rFonts w:ascii="Times New Roman" w:hAnsi="Times New Roman" w:cs="Times New Roman"/>
          <w:color w:val="000000"/>
          <w:sz w:val="24"/>
          <w:szCs w:val="24"/>
        </w:rPr>
        <w:t>Whether AEP Ohio will seek cost recovery through the PPA Rider for the methods by which it intends to promote fuel diversification and carbon emission reductions indicated in the Carbon Reduction Plan</w:t>
      </w:r>
      <w:r w:rsidR="00781E76">
        <w:rPr>
          <w:rFonts w:ascii="Times New Roman" w:hAnsi="Times New Roman" w:cs="Times New Roman"/>
          <w:color w:val="000000"/>
          <w:sz w:val="24"/>
          <w:szCs w:val="24"/>
        </w:rPr>
        <w:t>, and such cost recovery’s impact on consumers,</w:t>
      </w:r>
      <w:r>
        <w:rPr>
          <w:rFonts w:ascii="Times New Roman" w:hAnsi="Times New Roman" w:cs="Times New Roman"/>
          <w:color w:val="000000"/>
          <w:sz w:val="24"/>
          <w:szCs w:val="24"/>
        </w:rPr>
        <w:t xml:space="preserve"> is unknown.</w:t>
      </w:r>
      <w:r>
        <w:rPr>
          <w:rStyle w:val="FootnoteReference"/>
          <w:rFonts w:ascii="Times New Roman" w:hAnsi="Times New Roman" w:cs="Times New Roman"/>
          <w:color w:val="000000"/>
          <w:sz w:val="24"/>
          <w:szCs w:val="24"/>
        </w:rPr>
        <w:footnoteReference w:id="157"/>
      </w:r>
    </w:p>
    <w:p w:rsidR="00781E76" w:rsidRPr="00781E76" w:rsidRDefault="00781E76" w:rsidP="00781E76">
      <w:pPr>
        <w:autoSpaceDE w:val="0"/>
        <w:autoSpaceDN w:val="0"/>
        <w:adjustRightInd w:val="0"/>
        <w:spacing w:after="0" w:line="240" w:lineRule="auto"/>
        <w:ind w:right="720"/>
        <w:rPr>
          <w:rFonts w:ascii="Times New Roman" w:hAnsi="Times New Roman" w:cs="Times New Roman"/>
          <w:color w:val="000000"/>
          <w:sz w:val="24"/>
          <w:szCs w:val="24"/>
        </w:rPr>
      </w:pPr>
    </w:p>
    <w:p w:rsidR="00363559" w:rsidRDefault="00363559" w:rsidP="00390AD5">
      <w:pPr>
        <w:pStyle w:val="ListParagraph"/>
        <w:numPr>
          <w:ilvl w:val="0"/>
          <w:numId w:val="11"/>
        </w:numPr>
        <w:autoSpaceDE w:val="0"/>
        <w:autoSpaceDN w:val="0"/>
        <w:adjustRightInd w:val="0"/>
        <w:spacing w:after="0" w:line="240" w:lineRule="auto"/>
        <w:ind w:left="2160" w:right="720" w:hanging="720"/>
        <w:rPr>
          <w:rFonts w:ascii="Times New Roman" w:hAnsi="Times New Roman" w:cs="Times New Roman"/>
          <w:color w:val="000000"/>
          <w:sz w:val="24"/>
          <w:szCs w:val="24"/>
        </w:rPr>
      </w:pPr>
      <w:r>
        <w:rPr>
          <w:rFonts w:ascii="Times New Roman" w:hAnsi="Times New Roman" w:cs="Times New Roman"/>
          <w:color w:val="000000"/>
          <w:sz w:val="24"/>
          <w:szCs w:val="24"/>
        </w:rPr>
        <w:t>Whether AEP Ohio will seek cost recovery through the PPA Rider for the programs to promote fuel diversity and carbon emission reductions to address potential future environmental regulations</w:t>
      </w:r>
      <w:r w:rsidR="00781E76">
        <w:rPr>
          <w:rFonts w:ascii="Times New Roman" w:hAnsi="Times New Roman" w:cs="Times New Roman"/>
          <w:color w:val="000000"/>
          <w:sz w:val="24"/>
          <w:szCs w:val="24"/>
        </w:rPr>
        <w:t>, and such cost recovery’s impact on consumers,</w:t>
      </w:r>
      <w:r>
        <w:rPr>
          <w:rFonts w:ascii="Times New Roman" w:hAnsi="Times New Roman" w:cs="Times New Roman"/>
          <w:color w:val="000000"/>
          <w:sz w:val="24"/>
          <w:szCs w:val="24"/>
        </w:rPr>
        <w:t xml:space="preserve"> is unknown.</w:t>
      </w:r>
      <w:r>
        <w:rPr>
          <w:rStyle w:val="FootnoteReference"/>
          <w:rFonts w:ascii="Times New Roman" w:hAnsi="Times New Roman" w:cs="Times New Roman"/>
          <w:color w:val="000000"/>
          <w:sz w:val="24"/>
          <w:szCs w:val="24"/>
        </w:rPr>
        <w:footnoteReference w:id="158"/>
      </w:r>
    </w:p>
    <w:p w:rsidR="00781E76" w:rsidRPr="00781E76" w:rsidRDefault="00781E76" w:rsidP="00781E76">
      <w:pPr>
        <w:autoSpaceDE w:val="0"/>
        <w:autoSpaceDN w:val="0"/>
        <w:adjustRightInd w:val="0"/>
        <w:spacing w:after="0" w:line="240" w:lineRule="auto"/>
        <w:ind w:right="720"/>
        <w:rPr>
          <w:rFonts w:ascii="Times New Roman" w:hAnsi="Times New Roman" w:cs="Times New Roman"/>
          <w:color w:val="000000"/>
          <w:sz w:val="24"/>
          <w:szCs w:val="24"/>
        </w:rPr>
      </w:pPr>
    </w:p>
    <w:p w:rsidR="0073251A" w:rsidRDefault="0073251A" w:rsidP="00390AD5">
      <w:pPr>
        <w:pStyle w:val="ListParagraph"/>
        <w:numPr>
          <w:ilvl w:val="0"/>
          <w:numId w:val="11"/>
        </w:numPr>
        <w:autoSpaceDE w:val="0"/>
        <w:autoSpaceDN w:val="0"/>
        <w:adjustRightInd w:val="0"/>
        <w:spacing w:after="0" w:line="240" w:lineRule="auto"/>
        <w:ind w:left="2160" w:righ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charge added to the non-shopping rate above the auction price in connection with the Competition Incentive Rider </w:t>
      </w:r>
      <w:r w:rsidR="00F47E76">
        <w:rPr>
          <w:rFonts w:ascii="Times New Roman" w:hAnsi="Times New Roman" w:cs="Times New Roman"/>
          <w:color w:val="000000"/>
          <w:sz w:val="24"/>
          <w:szCs w:val="24"/>
        </w:rPr>
        <w:t>(“CIR”)</w:t>
      </w:r>
      <w:r w:rsidR="00781E76">
        <w:rPr>
          <w:rFonts w:ascii="Times New Roman" w:hAnsi="Times New Roman" w:cs="Times New Roman"/>
          <w:color w:val="000000"/>
          <w:sz w:val="24"/>
          <w:szCs w:val="24"/>
        </w:rPr>
        <w:t>, and the charge’s impact on consumers,</w:t>
      </w:r>
      <w:r w:rsidR="00F47E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is unknown.</w:t>
      </w:r>
      <w:r>
        <w:rPr>
          <w:rStyle w:val="FootnoteReference"/>
          <w:rFonts w:ascii="Times New Roman" w:hAnsi="Times New Roman" w:cs="Times New Roman"/>
          <w:color w:val="000000"/>
          <w:sz w:val="24"/>
          <w:szCs w:val="24"/>
        </w:rPr>
        <w:footnoteReference w:id="159"/>
      </w:r>
    </w:p>
    <w:p w:rsidR="00781E76" w:rsidRPr="00781E76" w:rsidRDefault="00781E76" w:rsidP="00781E76">
      <w:pPr>
        <w:autoSpaceDE w:val="0"/>
        <w:autoSpaceDN w:val="0"/>
        <w:adjustRightInd w:val="0"/>
        <w:spacing w:after="0" w:line="240" w:lineRule="auto"/>
        <w:ind w:right="720"/>
        <w:rPr>
          <w:rFonts w:ascii="Times New Roman" w:hAnsi="Times New Roman" w:cs="Times New Roman"/>
          <w:color w:val="000000"/>
          <w:sz w:val="24"/>
          <w:szCs w:val="24"/>
        </w:rPr>
      </w:pPr>
    </w:p>
    <w:p w:rsidR="00692754" w:rsidRDefault="005D12EF" w:rsidP="00390AD5">
      <w:pPr>
        <w:pStyle w:val="ListParagraph"/>
        <w:numPr>
          <w:ilvl w:val="0"/>
          <w:numId w:val="11"/>
        </w:numPr>
        <w:autoSpaceDE w:val="0"/>
        <w:autoSpaceDN w:val="0"/>
        <w:adjustRightInd w:val="0"/>
        <w:spacing w:after="0" w:line="240" w:lineRule="auto"/>
        <w:ind w:left="2160" w:righ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parameters of the Pilot Supplier Consolidated Billing Program </w:t>
      </w:r>
      <w:r w:rsidR="00F47E76">
        <w:rPr>
          <w:rFonts w:ascii="Times New Roman" w:hAnsi="Times New Roman" w:cs="Times New Roman"/>
          <w:color w:val="000000"/>
          <w:sz w:val="24"/>
          <w:szCs w:val="24"/>
        </w:rPr>
        <w:t xml:space="preserve">(“SCB”) </w:t>
      </w:r>
      <w:r>
        <w:rPr>
          <w:rFonts w:ascii="Times New Roman" w:hAnsi="Times New Roman" w:cs="Times New Roman"/>
          <w:color w:val="000000"/>
          <w:sz w:val="24"/>
          <w:szCs w:val="24"/>
        </w:rPr>
        <w:t>are unknown.</w:t>
      </w:r>
      <w:r>
        <w:rPr>
          <w:rStyle w:val="FootnoteReference"/>
          <w:rFonts w:ascii="Times New Roman" w:hAnsi="Times New Roman" w:cs="Times New Roman"/>
          <w:color w:val="000000"/>
          <w:sz w:val="24"/>
          <w:szCs w:val="24"/>
        </w:rPr>
        <w:footnoteReference w:id="160"/>
      </w:r>
    </w:p>
    <w:p w:rsidR="00781E76" w:rsidRPr="00781E76" w:rsidRDefault="00781E76" w:rsidP="00781E76">
      <w:pPr>
        <w:autoSpaceDE w:val="0"/>
        <w:autoSpaceDN w:val="0"/>
        <w:adjustRightInd w:val="0"/>
        <w:spacing w:after="0" w:line="240" w:lineRule="auto"/>
        <w:ind w:left="1440" w:right="720"/>
        <w:rPr>
          <w:rFonts w:ascii="Times New Roman" w:hAnsi="Times New Roman" w:cs="Times New Roman"/>
          <w:color w:val="000000"/>
          <w:sz w:val="24"/>
          <w:szCs w:val="24"/>
        </w:rPr>
      </w:pPr>
    </w:p>
    <w:p w:rsidR="00387302" w:rsidRDefault="00387302" w:rsidP="00390AD5">
      <w:pPr>
        <w:pStyle w:val="ListParagraph"/>
        <w:numPr>
          <w:ilvl w:val="0"/>
          <w:numId w:val="11"/>
        </w:numPr>
        <w:autoSpaceDE w:val="0"/>
        <w:autoSpaceDN w:val="0"/>
        <w:adjustRightInd w:val="0"/>
        <w:spacing w:after="0" w:line="240" w:lineRule="auto"/>
        <w:ind w:left="2160" w:right="720" w:hanging="720"/>
        <w:rPr>
          <w:rFonts w:ascii="Times New Roman" w:hAnsi="Times New Roman" w:cs="Times New Roman"/>
          <w:color w:val="000000"/>
          <w:sz w:val="24"/>
          <w:szCs w:val="24"/>
        </w:rPr>
      </w:pPr>
      <w:r>
        <w:rPr>
          <w:rFonts w:ascii="Times New Roman" w:hAnsi="Times New Roman" w:cs="Times New Roman"/>
          <w:color w:val="000000"/>
          <w:sz w:val="24"/>
          <w:szCs w:val="24"/>
        </w:rPr>
        <w:t>The direction that AEP Ohio will give AEPGR to offer the PPA Units</w:t>
      </w:r>
      <w:r w:rsidR="00F47E76">
        <w:rPr>
          <w:rFonts w:ascii="Times New Roman" w:hAnsi="Times New Roman" w:cs="Times New Roman"/>
          <w:color w:val="000000"/>
          <w:sz w:val="24"/>
          <w:szCs w:val="24"/>
        </w:rPr>
        <w:t>’</w:t>
      </w:r>
      <w:r>
        <w:rPr>
          <w:rFonts w:ascii="Times New Roman" w:hAnsi="Times New Roman" w:cs="Times New Roman"/>
          <w:color w:val="000000"/>
          <w:sz w:val="24"/>
          <w:szCs w:val="24"/>
        </w:rPr>
        <w:t xml:space="preserve"> output into PJM, and whether </w:t>
      </w:r>
      <w:r w:rsidR="00F47E76">
        <w:rPr>
          <w:rFonts w:ascii="Times New Roman" w:hAnsi="Times New Roman" w:cs="Times New Roman"/>
          <w:color w:val="000000"/>
          <w:sz w:val="24"/>
          <w:szCs w:val="24"/>
        </w:rPr>
        <w:t>any document containing such direction</w:t>
      </w:r>
      <w:r>
        <w:rPr>
          <w:rFonts w:ascii="Times New Roman" w:hAnsi="Times New Roman" w:cs="Times New Roman"/>
          <w:color w:val="000000"/>
          <w:sz w:val="24"/>
          <w:szCs w:val="24"/>
        </w:rPr>
        <w:t xml:space="preserve"> will create any enforceable rights in AEP Ohio, is unknown.</w:t>
      </w:r>
      <w:r>
        <w:rPr>
          <w:rStyle w:val="FootnoteReference"/>
          <w:rFonts w:ascii="Times New Roman" w:hAnsi="Times New Roman" w:cs="Times New Roman"/>
          <w:color w:val="000000"/>
          <w:sz w:val="24"/>
          <w:szCs w:val="24"/>
        </w:rPr>
        <w:footnoteReference w:id="161"/>
      </w:r>
    </w:p>
    <w:p w:rsidR="00781E76" w:rsidRPr="00781E76" w:rsidRDefault="00781E76" w:rsidP="00781E76">
      <w:pPr>
        <w:autoSpaceDE w:val="0"/>
        <w:autoSpaceDN w:val="0"/>
        <w:adjustRightInd w:val="0"/>
        <w:spacing w:after="0" w:line="240" w:lineRule="auto"/>
        <w:ind w:right="720"/>
        <w:rPr>
          <w:rFonts w:ascii="Times New Roman" w:hAnsi="Times New Roman" w:cs="Times New Roman"/>
          <w:color w:val="000000"/>
          <w:sz w:val="24"/>
          <w:szCs w:val="24"/>
        </w:rPr>
      </w:pPr>
    </w:p>
    <w:p w:rsidR="00431103" w:rsidRDefault="00161B77" w:rsidP="002C3C29">
      <w:pPr>
        <w:pStyle w:val="ListParagraph"/>
        <w:numPr>
          <w:ilvl w:val="0"/>
          <w:numId w:val="11"/>
        </w:numPr>
        <w:autoSpaceDE w:val="0"/>
        <w:autoSpaceDN w:val="0"/>
        <w:adjustRightInd w:val="0"/>
        <w:spacing w:after="0" w:line="240" w:lineRule="auto"/>
        <w:ind w:left="2160" w:right="720" w:hanging="720"/>
        <w:rPr>
          <w:rFonts w:ascii="Times New Roman" w:hAnsi="Times New Roman" w:cs="Times New Roman"/>
          <w:color w:val="000000"/>
          <w:sz w:val="24"/>
          <w:szCs w:val="24"/>
        </w:rPr>
      </w:pPr>
      <w:r w:rsidRPr="002C3C29">
        <w:rPr>
          <w:rFonts w:ascii="Times New Roman" w:hAnsi="Times New Roman" w:cs="Times New Roman"/>
          <w:color w:val="000000"/>
          <w:sz w:val="24"/>
          <w:szCs w:val="24"/>
        </w:rPr>
        <w:t>The purported offsetting benefits for increasing the IRP credit are unknown.</w:t>
      </w:r>
      <w:r>
        <w:rPr>
          <w:rStyle w:val="FootnoteReference"/>
          <w:rFonts w:ascii="Times New Roman" w:hAnsi="Times New Roman" w:cs="Times New Roman"/>
          <w:color w:val="000000"/>
          <w:sz w:val="24"/>
          <w:szCs w:val="24"/>
        </w:rPr>
        <w:footnoteReference w:id="162"/>
      </w:r>
    </w:p>
    <w:p w:rsidR="002C3C29" w:rsidRPr="002C3C29" w:rsidRDefault="002C3C29" w:rsidP="002C3C29">
      <w:pPr>
        <w:pStyle w:val="ListParagraph"/>
        <w:rPr>
          <w:rFonts w:ascii="Times New Roman" w:hAnsi="Times New Roman" w:cs="Times New Roman"/>
          <w:color w:val="000000"/>
          <w:sz w:val="24"/>
          <w:szCs w:val="24"/>
        </w:rPr>
      </w:pPr>
    </w:p>
    <w:p w:rsidR="00161B77" w:rsidRDefault="00161B77" w:rsidP="00390AD5">
      <w:pPr>
        <w:pStyle w:val="ListParagraph"/>
        <w:numPr>
          <w:ilvl w:val="0"/>
          <w:numId w:val="11"/>
        </w:numPr>
        <w:autoSpaceDE w:val="0"/>
        <w:autoSpaceDN w:val="0"/>
        <w:adjustRightInd w:val="0"/>
        <w:spacing w:after="0" w:line="240" w:lineRule="auto"/>
        <w:ind w:left="2160" w:right="720" w:hanging="720"/>
        <w:rPr>
          <w:rFonts w:ascii="Times New Roman" w:hAnsi="Times New Roman" w:cs="Times New Roman"/>
          <w:color w:val="000000"/>
          <w:sz w:val="24"/>
          <w:szCs w:val="24"/>
        </w:rPr>
      </w:pPr>
      <w:r>
        <w:rPr>
          <w:rFonts w:ascii="Times New Roman" w:hAnsi="Times New Roman" w:cs="Times New Roman"/>
          <w:color w:val="000000"/>
          <w:sz w:val="24"/>
          <w:szCs w:val="24"/>
        </w:rPr>
        <w:t>The criteria by which environmental and renewable energy projects will be selected for advancement are unknown.</w:t>
      </w:r>
      <w:r>
        <w:rPr>
          <w:rStyle w:val="FootnoteReference"/>
          <w:rFonts w:ascii="Times New Roman" w:hAnsi="Times New Roman" w:cs="Times New Roman"/>
          <w:color w:val="000000"/>
          <w:sz w:val="24"/>
          <w:szCs w:val="24"/>
        </w:rPr>
        <w:footnoteReference w:id="163"/>
      </w:r>
    </w:p>
    <w:p w:rsidR="00781E76" w:rsidRDefault="00781E76" w:rsidP="00781E76">
      <w:pPr>
        <w:pStyle w:val="ListParagraph"/>
        <w:autoSpaceDE w:val="0"/>
        <w:autoSpaceDN w:val="0"/>
        <w:adjustRightInd w:val="0"/>
        <w:spacing w:after="0" w:line="240" w:lineRule="auto"/>
        <w:ind w:left="2160" w:right="720"/>
        <w:rPr>
          <w:rFonts w:ascii="Times New Roman" w:hAnsi="Times New Roman" w:cs="Times New Roman"/>
          <w:color w:val="000000"/>
          <w:sz w:val="24"/>
          <w:szCs w:val="24"/>
        </w:rPr>
      </w:pPr>
    </w:p>
    <w:p w:rsidR="00161B77" w:rsidRDefault="00161B77" w:rsidP="00390AD5">
      <w:pPr>
        <w:pStyle w:val="ListParagraph"/>
        <w:numPr>
          <w:ilvl w:val="0"/>
          <w:numId w:val="11"/>
        </w:numPr>
        <w:autoSpaceDE w:val="0"/>
        <w:autoSpaceDN w:val="0"/>
        <w:adjustRightInd w:val="0"/>
        <w:spacing w:after="0" w:line="240" w:lineRule="auto"/>
        <w:ind w:left="2160" w:right="720" w:hanging="720"/>
        <w:rPr>
          <w:rFonts w:ascii="Times New Roman" w:hAnsi="Times New Roman" w:cs="Times New Roman"/>
          <w:color w:val="000000"/>
          <w:sz w:val="24"/>
          <w:szCs w:val="24"/>
        </w:rPr>
      </w:pPr>
      <w:r>
        <w:rPr>
          <w:rFonts w:ascii="Times New Roman" w:hAnsi="Times New Roman" w:cs="Times New Roman"/>
          <w:color w:val="000000"/>
          <w:sz w:val="24"/>
          <w:szCs w:val="24"/>
        </w:rPr>
        <w:t>The cost/benefit of deploying 160 circuits of Volt-Var Optimization is unknown.</w:t>
      </w:r>
      <w:r>
        <w:rPr>
          <w:rStyle w:val="FootnoteReference"/>
          <w:rFonts w:ascii="Times New Roman" w:hAnsi="Times New Roman" w:cs="Times New Roman"/>
          <w:color w:val="000000"/>
          <w:sz w:val="24"/>
          <w:szCs w:val="24"/>
        </w:rPr>
        <w:footnoteReference w:id="164"/>
      </w:r>
    </w:p>
    <w:p w:rsidR="00781E76" w:rsidRPr="00781E76" w:rsidRDefault="00781E76" w:rsidP="00781E76">
      <w:pPr>
        <w:autoSpaceDE w:val="0"/>
        <w:autoSpaceDN w:val="0"/>
        <w:adjustRightInd w:val="0"/>
        <w:spacing w:after="0" w:line="240" w:lineRule="auto"/>
        <w:ind w:right="720"/>
        <w:rPr>
          <w:rFonts w:ascii="Times New Roman" w:hAnsi="Times New Roman" w:cs="Times New Roman"/>
          <w:color w:val="000000"/>
          <w:sz w:val="24"/>
          <w:szCs w:val="24"/>
        </w:rPr>
      </w:pPr>
    </w:p>
    <w:p w:rsidR="00363559" w:rsidRDefault="00363559" w:rsidP="00390AD5">
      <w:pPr>
        <w:pStyle w:val="ListParagraph"/>
        <w:numPr>
          <w:ilvl w:val="0"/>
          <w:numId w:val="11"/>
        </w:numPr>
        <w:autoSpaceDE w:val="0"/>
        <w:autoSpaceDN w:val="0"/>
        <w:adjustRightInd w:val="0"/>
        <w:spacing w:after="0" w:line="240" w:lineRule="auto"/>
        <w:ind w:left="2160" w:right="720" w:hanging="720"/>
        <w:rPr>
          <w:rFonts w:ascii="Times New Roman" w:hAnsi="Times New Roman" w:cs="Times New Roman"/>
          <w:color w:val="000000"/>
          <w:sz w:val="24"/>
          <w:szCs w:val="24"/>
        </w:rPr>
      </w:pPr>
      <w:r>
        <w:rPr>
          <w:rFonts w:ascii="Times New Roman" w:hAnsi="Times New Roman" w:cs="Times New Roman"/>
          <w:color w:val="000000"/>
          <w:sz w:val="24"/>
          <w:szCs w:val="24"/>
        </w:rPr>
        <w:t>The costs/ben</w:t>
      </w:r>
      <w:r w:rsidR="00FA6E2C">
        <w:rPr>
          <w:rFonts w:ascii="Times New Roman" w:hAnsi="Times New Roman" w:cs="Times New Roman"/>
          <w:color w:val="000000"/>
          <w:sz w:val="24"/>
          <w:szCs w:val="24"/>
        </w:rPr>
        <w:t xml:space="preserve">efits of the PPA Rider </w:t>
      </w:r>
      <w:r w:rsidR="00462316">
        <w:rPr>
          <w:rFonts w:ascii="Times New Roman" w:hAnsi="Times New Roman" w:cs="Times New Roman"/>
          <w:color w:val="000000"/>
          <w:sz w:val="24"/>
          <w:szCs w:val="24"/>
        </w:rPr>
        <w:t>are</w:t>
      </w:r>
      <w:r>
        <w:rPr>
          <w:rFonts w:ascii="Times New Roman" w:hAnsi="Times New Roman" w:cs="Times New Roman"/>
          <w:color w:val="000000"/>
          <w:sz w:val="24"/>
          <w:szCs w:val="24"/>
        </w:rPr>
        <w:t xml:space="preserve"> unknown.</w:t>
      </w:r>
      <w:r>
        <w:rPr>
          <w:rStyle w:val="FootnoteReference"/>
          <w:rFonts w:ascii="Times New Roman" w:hAnsi="Times New Roman" w:cs="Times New Roman"/>
          <w:color w:val="000000"/>
          <w:sz w:val="24"/>
          <w:szCs w:val="24"/>
        </w:rPr>
        <w:footnoteReference w:id="165"/>
      </w:r>
    </w:p>
    <w:p w:rsidR="00E0299A" w:rsidRDefault="00E0299A" w:rsidP="00E0299A">
      <w:pPr>
        <w:autoSpaceDE w:val="0"/>
        <w:autoSpaceDN w:val="0"/>
        <w:adjustRightInd w:val="0"/>
        <w:spacing w:after="0" w:line="240" w:lineRule="auto"/>
        <w:ind w:right="720"/>
        <w:rPr>
          <w:rFonts w:ascii="Times New Roman" w:hAnsi="Times New Roman" w:cs="Times New Roman"/>
          <w:color w:val="000000"/>
          <w:sz w:val="24"/>
          <w:szCs w:val="24"/>
        </w:rPr>
      </w:pPr>
    </w:p>
    <w:p w:rsidR="00E0299A" w:rsidRPr="00E0299A" w:rsidRDefault="00E0299A" w:rsidP="00C81BD3">
      <w:pPr>
        <w:pStyle w:val="Heading4"/>
      </w:pPr>
      <w:bookmarkStart w:id="46" w:name="_Toc442104148"/>
      <w:r>
        <w:t>c.</w:t>
      </w:r>
      <w:r>
        <w:tab/>
      </w:r>
      <w:r w:rsidR="00434A95">
        <w:t xml:space="preserve">Under the first and third prongs of the settlement test, the Joint Stipulation cannot be adopted unless it is the product of serious bargaining among knowledgeable, diverse parties and, as a package, </w:t>
      </w:r>
      <w:r w:rsidR="00B34067">
        <w:t>be</w:t>
      </w:r>
      <w:r w:rsidR="00434A95">
        <w:t xml:space="preserve"> the in public interest; </w:t>
      </w:r>
      <w:r w:rsidR="00445A9D">
        <w:t>but AEP Ohio failed its burden to prove it</w:t>
      </w:r>
      <w:r w:rsidR="004928C0">
        <w:t>.</w:t>
      </w:r>
      <w:bookmarkEnd w:id="46"/>
    </w:p>
    <w:p w:rsidR="009E6730" w:rsidRDefault="00C04A29" w:rsidP="00920136">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The</w:t>
      </w:r>
      <w:r w:rsidR="009E6730">
        <w:rPr>
          <w:rFonts w:ascii="Times New Roman" w:hAnsi="Times New Roman" w:cs="Times New Roman"/>
          <w:color w:val="000000"/>
          <w:sz w:val="24"/>
          <w:szCs w:val="24"/>
        </w:rPr>
        <w:t xml:space="preserve"> Joint Stipulation is so vague and ambiguous </w:t>
      </w:r>
      <w:r w:rsidR="0068214B">
        <w:rPr>
          <w:rFonts w:ascii="Times New Roman" w:hAnsi="Times New Roman" w:cs="Times New Roman"/>
          <w:color w:val="000000"/>
          <w:sz w:val="24"/>
          <w:szCs w:val="24"/>
        </w:rPr>
        <w:t>that it could not conceivably have been the product of serious bargaining among knowledgeable parties or, as a package, be in the public interest.</w:t>
      </w:r>
      <w:r w:rsidR="009E6730">
        <w:rPr>
          <w:rStyle w:val="FootnoteReference"/>
          <w:rFonts w:ascii="Times New Roman" w:hAnsi="Times New Roman" w:cs="Times New Roman"/>
          <w:color w:val="000000"/>
          <w:sz w:val="24"/>
          <w:szCs w:val="24"/>
        </w:rPr>
        <w:footnoteReference w:id="166"/>
      </w:r>
      <w:r w:rsidR="009E6730">
        <w:rPr>
          <w:rFonts w:ascii="Times New Roman" w:hAnsi="Times New Roman" w:cs="Times New Roman"/>
          <w:color w:val="000000"/>
          <w:sz w:val="24"/>
          <w:szCs w:val="24"/>
        </w:rPr>
        <w:t xml:space="preserve">  Adopting it will </w:t>
      </w:r>
      <w:r w:rsidR="00FA6E2C">
        <w:rPr>
          <w:rFonts w:ascii="Times New Roman" w:hAnsi="Times New Roman" w:cs="Times New Roman"/>
          <w:color w:val="000000"/>
          <w:sz w:val="24"/>
          <w:szCs w:val="24"/>
        </w:rPr>
        <w:t>plunge the PUCO and consumers of all types into an endless wave of litigation</w:t>
      </w:r>
      <w:r w:rsidR="009E6730">
        <w:rPr>
          <w:rFonts w:ascii="Times New Roman" w:hAnsi="Times New Roman" w:cs="Times New Roman"/>
          <w:color w:val="000000"/>
          <w:sz w:val="24"/>
          <w:szCs w:val="24"/>
        </w:rPr>
        <w:t>.</w:t>
      </w:r>
    </w:p>
    <w:p w:rsidR="0068214B" w:rsidRDefault="00E2461E" w:rsidP="00920136">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Further, </w:t>
      </w:r>
      <w:r w:rsidR="003035C8">
        <w:rPr>
          <w:rFonts w:ascii="Times New Roman" w:hAnsi="Times New Roman" w:cs="Times New Roman"/>
          <w:color w:val="000000"/>
          <w:sz w:val="24"/>
          <w:szCs w:val="24"/>
        </w:rPr>
        <w:t xml:space="preserve">certain parties have greatly </w:t>
      </w:r>
      <w:r w:rsidR="00A31BF4">
        <w:rPr>
          <w:rFonts w:ascii="Times New Roman" w:hAnsi="Times New Roman" w:cs="Times New Roman"/>
          <w:color w:val="000000"/>
          <w:sz w:val="24"/>
          <w:szCs w:val="24"/>
        </w:rPr>
        <w:t>diminished</w:t>
      </w:r>
      <w:r w:rsidR="003035C8">
        <w:rPr>
          <w:rFonts w:ascii="Times New Roman" w:hAnsi="Times New Roman" w:cs="Times New Roman"/>
          <w:color w:val="000000"/>
          <w:sz w:val="24"/>
          <w:szCs w:val="24"/>
        </w:rPr>
        <w:t xml:space="preserve"> </w:t>
      </w:r>
      <w:r w:rsidR="00005F6E">
        <w:rPr>
          <w:rFonts w:ascii="Times New Roman" w:hAnsi="Times New Roman" w:cs="Times New Roman"/>
          <w:color w:val="000000"/>
          <w:sz w:val="24"/>
          <w:szCs w:val="24"/>
        </w:rPr>
        <w:t>the</w:t>
      </w:r>
      <w:r w:rsidR="003035C8">
        <w:rPr>
          <w:rFonts w:ascii="Times New Roman" w:hAnsi="Times New Roman" w:cs="Times New Roman"/>
          <w:color w:val="000000"/>
          <w:sz w:val="24"/>
          <w:szCs w:val="24"/>
        </w:rPr>
        <w:t xml:space="preserve"> significance</w:t>
      </w:r>
      <w:r w:rsidR="00005F6E">
        <w:rPr>
          <w:rFonts w:ascii="Times New Roman" w:hAnsi="Times New Roman" w:cs="Times New Roman"/>
          <w:color w:val="000000"/>
          <w:sz w:val="24"/>
          <w:szCs w:val="24"/>
        </w:rPr>
        <w:t>, if any,</w:t>
      </w:r>
      <w:r w:rsidR="003035C8">
        <w:rPr>
          <w:rFonts w:ascii="Times New Roman" w:hAnsi="Times New Roman" w:cs="Times New Roman"/>
          <w:color w:val="000000"/>
          <w:sz w:val="24"/>
          <w:szCs w:val="24"/>
        </w:rPr>
        <w:t xml:space="preserve"> of their signatures on the </w:t>
      </w:r>
      <w:r w:rsidR="00B34067">
        <w:rPr>
          <w:rFonts w:ascii="Times New Roman" w:hAnsi="Times New Roman" w:cs="Times New Roman"/>
          <w:color w:val="000000"/>
          <w:sz w:val="24"/>
          <w:szCs w:val="24"/>
        </w:rPr>
        <w:t xml:space="preserve">Joint </w:t>
      </w:r>
      <w:r w:rsidR="003035C8">
        <w:rPr>
          <w:rFonts w:ascii="Times New Roman" w:hAnsi="Times New Roman" w:cs="Times New Roman"/>
          <w:color w:val="000000"/>
          <w:sz w:val="24"/>
          <w:szCs w:val="24"/>
        </w:rPr>
        <w:t>Stipulation</w:t>
      </w:r>
      <w:r w:rsidR="00005F6E">
        <w:rPr>
          <w:rFonts w:ascii="Times New Roman" w:hAnsi="Times New Roman" w:cs="Times New Roman"/>
          <w:color w:val="000000"/>
          <w:sz w:val="24"/>
          <w:szCs w:val="24"/>
        </w:rPr>
        <w:t>, by using</w:t>
      </w:r>
      <w:r w:rsidR="004A0146">
        <w:rPr>
          <w:rFonts w:ascii="Times New Roman" w:hAnsi="Times New Roman" w:cs="Times New Roman"/>
          <w:color w:val="000000"/>
          <w:sz w:val="24"/>
          <w:szCs w:val="24"/>
        </w:rPr>
        <w:t xml:space="preserve"> footnotes </w:t>
      </w:r>
      <w:r w:rsidR="00005F6E">
        <w:rPr>
          <w:rFonts w:ascii="Times New Roman" w:hAnsi="Times New Roman" w:cs="Times New Roman"/>
          <w:color w:val="000000"/>
          <w:sz w:val="24"/>
          <w:szCs w:val="24"/>
        </w:rPr>
        <w:t>to opt out of</w:t>
      </w:r>
      <w:r w:rsidR="004A0146">
        <w:rPr>
          <w:rFonts w:ascii="Times New Roman" w:hAnsi="Times New Roman" w:cs="Times New Roman"/>
          <w:color w:val="000000"/>
          <w:sz w:val="24"/>
          <w:szCs w:val="24"/>
        </w:rPr>
        <w:t xml:space="preserve"> material provisions.  The Joint Stipulation provisions and associated footnotes</w:t>
      </w:r>
      <w:r w:rsidR="00005F6E">
        <w:rPr>
          <w:rFonts w:ascii="Times New Roman" w:hAnsi="Times New Roman" w:cs="Times New Roman"/>
          <w:color w:val="000000"/>
          <w:sz w:val="24"/>
          <w:szCs w:val="24"/>
        </w:rPr>
        <w:t xml:space="preserve"> that excuse stipulators from the provisions</w:t>
      </w:r>
      <w:r w:rsidR="004A0146">
        <w:rPr>
          <w:rFonts w:ascii="Times New Roman" w:hAnsi="Times New Roman" w:cs="Times New Roman"/>
          <w:color w:val="000000"/>
          <w:sz w:val="24"/>
          <w:szCs w:val="24"/>
        </w:rPr>
        <w:t xml:space="preserve"> include:</w:t>
      </w:r>
    </w:p>
    <w:p w:rsidR="004A0146" w:rsidRDefault="004A0146" w:rsidP="00D34055">
      <w:pPr>
        <w:pStyle w:val="ListParagraph"/>
        <w:numPr>
          <w:ilvl w:val="0"/>
          <w:numId w:val="12"/>
        </w:numPr>
        <w:autoSpaceDE w:val="0"/>
        <w:autoSpaceDN w:val="0"/>
        <w:adjustRightInd w:val="0"/>
        <w:spacing w:after="0" w:line="240" w:lineRule="auto"/>
        <w:ind w:left="2160" w:right="720" w:hanging="720"/>
        <w:rPr>
          <w:rFonts w:ascii="Times New Roman" w:hAnsi="Times New Roman" w:cs="Times New Roman"/>
          <w:color w:val="000000"/>
          <w:sz w:val="24"/>
          <w:szCs w:val="24"/>
        </w:rPr>
      </w:pPr>
      <w:r>
        <w:rPr>
          <w:rFonts w:ascii="Times New Roman" w:hAnsi="Times New Roman" w:cs="Times New Roman"/>
          <w:color w:val="000000"/>
          <w:sz w:val="24"/>
          <w:szCs w:val="24"/>
        </w:rPr>
        <w:t>This Stipulation is supported by adequate data and information; as a package, the Stipulation benefits customers and the public interest; provides direct benefits to residential and low income customers; and represents a just and reasonable resolution of all issues in this proceeding; violates no regulatory principle or practice; and complies with and promotes the policies and requirements of Title 49 of the Ohio Revised Code.</w:t>
      </w:r>
    </w:p>
    <w:p w:rsidR="004A0146" w:rsidRPr="00FA6E2C" w:rsidRDefault="004A0146" w:rsidP="00D34055">
      <w:pPr>
        <w:pStyle w:val="ListParagraph"/>
        <w:numPr>
          <w:ilvl w:val="1"/>
          <w:numId w:val="12"/>
        </w:numPr>
        <w:autoSpaceDE w:val="0"/>
        <w:autoSpaceDN w:val="0"/>
        <w:adjustRightInd w:val="0"/>
        <w:spacing w:after="0" w:line="240" w:lineRule="auto"/>
        <w:ind w:left="2880" w:right="720" w:hanging="720"/>
        <w:rPr>
          <w:rFonts w:ascii="Times New Roman" w:hAnsi="Times New Roman" w:cs="Times New Roman"/>
          <w:color w:val="000000"/>
          <w:sz w:val="24"/>
          <w:szCs w:val="24"/>
        </w:rPr>
      </w:pPr>
      <w:r>
        <w:rPr>
          <w:rFonts w:ascii="Times New Roman" w:hAnsi="Times New Roman" w:cs="Times New Roman"/>
          <w:i/>
          <w:color w:val="000000"/>
          <w:sz w:val="24"/>
          <w:szCs w:val="24"/>
        </w:rPr>
        <w:t xml:space="preserve">Footnote:  The Sierra Club, Direct Energy, and Interstate Gas Supply, Inc. (IGS) agree </w:t>
      </w:r>
      <w:r w:rsidR="00B4278B">
        <w:rPr>
          <w:rFonts w:ascii="Times New Roman" w:hAnsi="Times New Roman" w:cs="Times New Roman"/>
          <w:i/>
          <w:color w:val="000000"/>
          <w:sz w:val="24"/>
          <w:szCs w:val="24"/>
        </w:rPr>
        <w:t>not</w:t>
      </w:r>
      <w:r>
        <w:rPr>
          <w:rFonts w:ascii="Times New Roman" w:hAnsi="Times New Roman" w:cs="Times New Roman"/>
          <w:i/>
          <w:color w:val="000000"/>
          <w:sz w:val="24"/>
          <w:szCs w:val="24"/>
        </w:rPr>
        <w:t xml:space="preserve"> to oppose this provision.</w:t>
      </w:r>
      <w:r w:rsidRPr="00B4278B">
        <w:rPr>
          <w:rStyle w:val="FootnoteReference"/>
          <w:rFonts w:ascii="Times New Roman" w:hAnsi="Times New Roman" w:cs="Times New Roman"/>
          <w:color w:val="000000"/>
          <w:sz w:val="24"/>
          <w:szCs w:val="24"/>
        </w:rPr>
        <w:footnoteReference w:id="167"/>
      </w:r>
    </w:p>
    <w:p w:rsidR="00FA6E2C" w:rsidRPr="00FA6E2C" w:rsidRDefault="00FA6E2C" w:rsidP="00FA6E2C">
      <w:pPr>
        <w:autoSpaceDE w:val="0"/>
        <w:autoSpaceDN w:val="0"/>
        <w:adjustRightInd w:val="0"/>
        <w:spacing w:after="0" w:line="240" w:lineRule="auto"/>
        <w:ind w:left="1800"/>
        <w:rPr>
          <w:rFonts w:ascii="Times New Roman" w:hAnsi="Times New Roman" w:cs="Times New Roman"/>
          <w:color w:val="000000"/>
          <w:sz w:val="24"/>
          <w:szCs w:val="24"/>
        </w:rPr>
      </w:pPr>
    </w:p>
    <w:p w:rsidR="00B4278B" w:rsidRDefault="00B4278B" w:rsidP="00D34055">
      <w:pPr>
        <w:pStyle w:val="ListParagraph"/>
        <w:numPr>
          <w:ilvl w:val="0"/>
          <w:numId w:val="12"/>
        </w:numPr>
        <w:autoSpaceDE w:val="0"/>
        <w:autoSpaceDN w:val="0"/>
        <w:adjustRightInd w:val="0"/>
        <w:spacing w:after="0" w:line="240" w:lineRule="auto"/>
        <w:ind w:left="2160" w:right="720" w:hanging="720"/>
        <w:rPr>
          <w:rFonts w:ascii="Times New Roman" w:hAnsi="Times New Roman" w:cs="Times New Roman"/>
          <w:color w:val="000000"/>
          <w:sz w:val="24"/>
          <w:szCs w:val="24"/>
        </w:rPr>
      </w:pPr>
      <w:r>
        <w:rPr>
          <w:rFonts w:ascii="Times New Roman" w:hAnsi="Times New Roman" w:cs="Times New Roman"/>
          <w:color w:val="000000"/>
          <w:sz w:val="24"/>
          <w:szCs w:val="24"/>
        </w:rPr>
        <w:t>The Signatory Parties agree that, for purposes of settlement, the Commission should approve the Amended Application of Ohio Power Company as filed May 15, 2015, subject to the modifications described in this Stipulation.</w:t>
      </w:r>
    </w:p>
    <w:p w:rsidR="00D520AE" w:rsidRDefault="00D520AE">
      <w:pPr>
        <w:rPr>
          <w:rFonts w:ascii="Times New Roman" w:hAnsi="Times New Roman" w:cs="Times New Roman"/>
          <w:i/>
          <w:color w:val="000000"/>
          <w:sz w:val="24"/>
          <w:szCs w:val="24"/>
        </w:rPr>
      </w:pPr>
      <w:r>
        <w:rPr>
          <w:rFonts w:ascii="Times New Roman" w:hAnsi="Times New Roman" w:cs="Times New Roman"/>
          <w:i/>
          <w:color w:val="000000"/>
          <w:sz w:val="24"/>
          <w:szCs w:val="24"/>
        </w:rPr>
        <w:br w:type="page"/>
      </w:r>
    </w:p>
    <w:p w:rsidR="00B4278B" w:rsidRPr="00FA6E2C" w:rsidRDefault="00B4278B" w:rsidP="00D34055">
      <w:pPr>
        <w:pStyle w:val="ListParagraph"/>
        <w:numPr>
          <w:ilvl w:val="1"/>
          <w:numId w:val="12"/>
        </w:numPr>
        <w:autoSpaceDE w:val="0"/>
        <w:autoSpaceDN w:val="0"/>
        <w:adjustRightInd w:val="0"/>
        <w:spacing w:after="0" w:line="240" w:lineRule="auto"/>
        <w:ind w:left="2880" w:right="720" w:hanging="720"/>
        <w:rPr>
          <w:rFonts w:ascii="Times New Roman" w:hAnsi="Times New Roman" w:cs="Times New Roman"/>
          <w:color w:val="000000"/>
          <w:sz w:val="24"/>
          <w:szCs w:val="24"/>
        </w:rPr>
      </w:pPr>
      <w:r>
        <w:rPr>
          <w:rFonts w:ascii="Times New Roman" w:hAnsi="Times New Roman" w:cs="Times New Roman"/>
          <w:i/>
          <w:color w:val="000000"/>
          <w:sz w:val="24"/>
          <w:szCs w:val="24"/>
        </w:rPr>
        <w:t>Footnote:  The sierra Club agrees not to oppose this provision.</w:t>
      </w:r>
      <w:r w:rsidRPr="00B4278B">
        <w:rPr>
          <w:rStyle w:val="FootnoteReference"/>
          <w:rFonts w:ascii="Times New Roman" w:hAnsi="Times New Roman" w:cs="Times New Roman"/>
          <w:color w:val="000000"/>
          <w:sz w:val="24"/>
          <w:szCs w:val="24"/>
        </w:rPr>
        <w:footnoteReference w:id="168"/>
      </w:r>
    </w:p>
    <w:p w:rsidR="00FA6E2C" w:rsidRPr="00FA6E2C" w:rsidRDefault="00FA6E2C" w:rsidP="00FA6E2C">
      <w:pPr>
        <w:autoSpaceDE w:val="0"/>
        <w:autoSpaceDN w:val="0"/>
        <w:adjustRightInd w:val="0"/>
        <w:spacing w:after="0" w:line="240" w:lineRule="auto"/>
        <w:ind w:left="1800"/>
        <w:rPr>
          <w:rFonts w:ascii="Times New Roman" w:hAnsi="Times New Roman" w:cs="Times New Roman"/>
          <w:color w:val="000000"/>
          <w:sz w:val="24"/>
          <w:szCs w:val="24"/>
        </w:rPr>
      </w:pPr>
    </w:p>
    <w:p w:rsidR="00B4278B" w:rsidRDefault="00B4278B" w:rsidP="00D34055">
      <w:pPr>
        <w:pStyle w:val="ListParagraph"/>
        <w:numPr>
          <w:ilvl w:val="0"/>
          <w:numId w:val="12"/>
        </w:numPr>
        <w:autoSpaceDE w:val="0"/>
        <w:autoSpaceDN w:val="0"/>
        <w:adjustRightInd w:val="0"/>
        <w:spacing w:after="0" w:line="240" w:lineRule="auto"/>
        <w:ind w:left="2160" w:right="720" w:hanging="720"/>
        <w:rPr>
          <w:rFonts w:ascii="Times New Roman" w:hAnsi="Times New Roman" w:cs="Times New Roman"/>
          <w:color w:val="000000"/>
          <w:sz w:val="24"/>
          <w:szCs w:val="24"/>
        </w:rPr>
      </w:pPr>
      <w:r>
        <w:rPr>
          <w:rFonts w:ascii="Times New Roman" w:hAnsi="Times New Roman" w:cs="Times New Roman"/>
          <w:color w:val="000000"/>
          <w:sz w:val="24"/>
          <w:szCs w:val="24"/>
        </w:rPr>
        <w:t>The Signatory Parties agree that it would [</w:t>
      </w:r>
      <w:r>
        <w:rPr>
          <w:rFonts w:ascii="Times New Roman" w:hAnsi="Times New Roman" w:cs="Times New Roman"/>
          <w:i/>
          <w:color w:val="000000"/>
          <w:sz w:val="24"/>
          <w:szCs w:val="24"/>
        </w:rPr>
        <w:t>sic</w:t>
      </w:r>
      <w:r>
        <w:rPr>
          <w:rFonts w:ascii="Times New Roman" w:hAnsi="Times New Roman" w:cs="Times New Roman"/>
          <w:color w:val="000000"/>
          <w:sz w:val="24"/>
          <w:szCs w:val="24"/>
        </w:rPr>
        <w:t>] prudent for AEP Ohio to sign a Revised Affiliate PPA, which has been updated as summarized in Attachment A.</w:t>
      </w:r>
    </w:p>
    <w:p w:rsidR="00B4278B" w:rsidRPr="00FA6E2C" w:rsidRDefault="00B4278B" w:rsidP="00D34055">
      <w:pPr>
        <w:pStyle w:val="ListParagraph"/>
        <w:numPr>
          <w:ilvl w:val="1"/>
          <w:numId w:val="12"/>
        </w:numPr>
        <w:autoSpaceDE w:val="0"/>
        <w:autoSpaceDN w:val="0"/>
        <w:adjustRightInd w:val="0"/>
        <w:spacing w:after="0" w:line="240" w:lineRule="auto"/>
        <w:ind w:left="2880" w:right="720" w:hanging="720"/>
        <w:rPr>
          <w:rFonts w:ascii="Times New Roman" w:hAnsi="Times New Roman" w:cs="Times New Roman"/>
          <w:color w:val="000000"/>
          <w:sz w:val="24"/>
          <w:szCs w:val="24"/>
        </w:rPr>
      </w:pPr>
      <w:r>
        <w:rPr>
          <w:rFonts w:ascii="Times New Roman" w:hAnsi="Times New Roman" w:cs="Times New Roman"/>
          <w:i/>
          <w:color w:val="000000"/>
          <w:sz w:val="24"/>
          <w:szCs w:val="24"/>
        </w:rPr>
        <w:t>Footnote:  Sierra Club, Direct Energy, and IGS are not participating in this provision but agree not to oppose it.</w:t>
      </w:r>
      <w:r w:rsidRPr="00B4278B">
        <w:rPr>
          <w:rStyle w:val="FootnoteReference"/>
          <w:rFonts w:ascii="Times New Roman" w:hAnsi="Times New Roman" w:cs="Times New Roman"/>
          <w:color w:val="000000"/>
          <w:sz w:val="24"/>
          <w:szCs w:val="24"/>
        </w:rPr>
        <w:footnoteReference w:id="169"/>
      </w:r>
    </w:p>
    <w:p w:rsidR="00FA6E2C" w:rsidRPr="00FA6E2C" w:rsidRDefault="00FA6E2C" w:rsidP="00FA6E2C">
      <w:pPr>
        <w:autoSpaceDE w:val="0"/>
        <w:autoSpaceDN w:val="0"/>
        <w:adjustRightInd w:val="0"/>
        <w:spacing w:after="0" w:line="240" w:lineRule="auto"/>
        <w:ind w:left="1800"/>
        <w:rPr>
          <w:rFonts w:ascii="Times New Roman" w:hAnsi="Times New Roman" w:cs="Times New Roman"/>
          <w:color w:val="000000"/>
          <w:sz w:val="24"/>
          <w:szCs w:val="24"/>
        </w:rPr>
      </w:pPr>
    </w:p>
    <w:p w:rsidR="00B4278B" w:rsidRDefault="00B4278B" w:rsidP="00D34055">
      <w:pPr>
        <w:pStyle w:val="ListParagraph"/>
        <w:numPr>
          <w:ilvl w:val="0"/>
          <w:numId w:val="12"/>
        </w:numPr>
        <w:autoSpaceDE w:val="0"/>
        <w:autoSpaceDN w:val="0"/>
        <w:adjustRightInd w:val="0"/>
        <w:spacing w:after="0" w:line="240" w:lineRule="auto"/>
        <w:ind w:left="2160" w:right="720" w:hanging="720"/>
        <w:rPr>
          <w:rFonts w:ascii="Times New Roman" w:hAnsi="Times New Roman" w:cs="Times New Roman"/>
          <w:color w:val="000000"/>
          <w:sz w:val="24"/>
          <w:szCs w:val="24"/>
        </w:rPr>
      </w:pPr>
      <w:r>
        <w:rPr>
          <w:rFonts w:ascii="Times New Roman" w:hAnsi="Times New Roman" w:cs="Times New Roman"/>
          <w:color w:val="000000"/>
          <w:sz w:val="24"/>
          <w:szCs w:val="24"/>
        </w:rPr>
        <w:t>The Signatory Parties further agree that the net credits or costs of a Revised Affiliate PPA should be reflected in AEP Ohio’s retail rates by including the Revised Affiliate PPA in the PPA Rider.</w:t>
      </w:r>
    </w:p>
    <w:p w:rsidR="00B4278B" w:rsidRPr="00FA6E2C" w:rsidRDefault="00B4278B" w:rsidP="00D34055">
      <w:pPr>
        <w:pStyle w:val="ListParagraph"/>
        <w:numPr>
          <w:ilvl w:val="1"/>
          <w:numId w:val="12"/>
        </w:numPr>
        <w:autoSpaceDE w:val="0"/>
        <w:autoSpaceDN w:val="0"/>
        <w:adjustRightInd w:val="0"/>
        <w:spacing w:after="0" w:line="240" w:lineRule="auto"/>
        <w:ind w:left="2880" w:right="720" w:hanging="720"/>
        <w:rPr>
          <w:rFonts w:ascii="Times New Roman" w:hAnsi="Times New Roman" w:cs="Times New Roman"/>
          <w:color w:val="000000"/>
          <w:sz w:val="24"/>
          <w:szCs w:val="24"/>
        </w:rPr>
      </w:pPr>
      <w:r>
        <w:rPr>
          <w:rFonts w:ascii="Times New Roman" w:hAnsi="Times New Roman" w:cs="Times New Roman"/>
          <w:i/>
          <w:color w:val="000000"/>
          <w:sz w:val="24"/>
          <w:szCs w:val="24"/>
        </w:rPr>
        <w:t>Footnote:  Sierra Club, Direct Energy, and IGS are not participating in this provision but agree not to oppose it.</w:t>
      </w:r>
      <w:r w:rsidRPr="00B4278B">
        <w:rPr>
          <w:rStyle w:val="FootnoteReference"/>
          <w:rFonts w:ascii="Times New Roman" w:hAnsi="Times New Roman" w:cs="Times New Roman"/>
          <w:color w:val="000000"/>
          <w:sz w:val="24"/>
          <w:szCs w:val="24"/>
        </w:rPr>
        <w:footnoteReference w:id="170"/>
      </w:r>
    </w:p>
    <w:p w:rsidR="00FA6E2C" w:rsidRPr="00FA6E2C" w:rsidRDefault="00FA6E2C" w:rsidP="00FA6E2C">
      <w:pPr>
        <w:autoSpaceDE w:val="0"/>
        <w:autoSpaceDN w:val="0"/>
        <w:adjustRightInd w:val="0"/>
        <w:spacing w:after="0" w:line="240" w:lineRule="auto"/>
        <w:ind w:left="1800"/>
        <w:rPr>
          <w:rFonts w:ascii="Times New Roman" w:hAnsi="Times New Roman" w:cs="Times New Roman"/>
          <w:color w:val="000000"/>
          <w:sz w:val="24"/>
          <w:szCs w:val="24"/>
        </w:rPr>
      </w:pPr>
    </w:p>
    <w:p w:rsidR="00B4278B" w:rsidRDefault="00B4278B" w:rsidP="00D34055">
      <w:pPr>
        <w:pStyle w:val="ListParagraph"/>
        <w:numPr>
          <w:ilvl w:val="0"/>
          <w:numId w:val="12"/>
        </w:numPr>
        <w:autoSpaceDE w:val="0"/>
        <w:autoSpaceDN w:val="0"/>
        <w:adjustRightInd w:val="0"/>
        <w:spacing w:after="0" w:line="240" w:lineRule="auto"/>
        <w:ind w:left="2160" w:right="720" w:hanging="720"/>
        <w:rPr>
          <w:rFonts w:ascii="Times New Roman" w:hAnsi="Times New Roman" w:cs="Times New Roman"/>
          <w:color w:val="000000"/>
          <w:sz w:val="24"/>
          <w:szCs w:val="24"/>
        </w:rPr>
      </w:pPr>
      <w:r>
        <w:rPr>
          <w:rFonts w:ascii="Times New Roman" w:hAnsi="Times New Roman" w:cs="Times New Roman"/>
          <w:color w:val="000000"/>
          <w:sz w:val="24"/>
          <w:szCs w:val="24"/>
        </w:rPr>
        <w:t>AEP Ohio will file and advocate for a Competition Incentive Rider as an addition to the SSO non-shopping rate above the auction price.</w:t>
      </w:r>
    </w:p>
    <w:p w:rsidR="00B4278B" w:rsidRPr="00FA6E2C" w:rsidRDefault="00B4278B" w:rsidP="00D34055">
      <w:pPr>
        <w:pStyle w:val="ListParagraph"/>
        <w:numPr>
          <w:ilvl w:val="1"/>
          <w:numId w:val="12"/>
        </w:numPr>
        <w:autoSpaceDE w:val="0"/>
        <w:autoSpaceDN w:val="0"/>
        <w:adjustRightInd w:val="0"/>
        <w:spacing w:after="0" w:line="240" w:lineRule="auto"/>
        <w:ind w:left="2880" w:right="720" w:hanging="720"/>
        <w:rPr>
          <w:rFonts w:ascii="Times New Roman" w:hAnsi="Times New Roman" w:cs="Times New Roman"/>
          <w:color w:val="000000"/>
          <w:sz w:val="24"/>
          <w:szCs w:val="24"/>
        </w:rPr>
      </w:pPr>
      <w:r>
        <w:rPr>
          <w:rFonts w:ascii="Times New Roman" w:hAnsi="Times New Roman" w:cs="Times New Roman"/>
          <w:i/>
          <w:color w:val="000000"/>
          <w:sz w:val="24"/>
          <w:szCs w:val="24"/>
        </w:rPr>
        <w:t>Footnote:  Ohio Partners for Affordable Energy is not participating in this provision but agrees not to oppose it in this docket.</w:t>
      </w:r>
      <w:r w:rsidRPr="00B4278B">
        <w:rPr>
          <w:rStyle w:val="FootnoteReference"/>
          <w:rFonts w:ascii="Times New Roman" w:hAnsi="Times New Roman" w:cs="Times New Roman"/>
          <w:color w:val="000000"/>
          <w:sz w:val="24"/>
          <w:szCs w:val="24"/>
        </w:rPr>
        <w:footnoteReference w:id="171"/>
      </w:r>
    </w:p>
    <w:p w:rsidR="00FA6E2C" w:rsidRPr="00FA6E2C" w:rsidRDefault="00FA6E2C" w:rsidP="00FA6E2C">
      <w:pPr>
        <w:autoSpaceDE w:val="0"/>
        <w:autoSpaceDN w:val="0"/>
        <w:adjustRightInd w:val="0"/>
        <w:spacing w:after="0" w:line="240" w:lineRule="auto"/>
        <w:ind w:left="1800"/>
        <w:rPr>
          <w:rFonts w:ascii="Times New Roman" w:hAnsi="Times New Roman" w:cs="Times New Roman"/>
          <w:color w:val="000000"/>
          <w:sz w:val="24"/>
          <w:szCs w:val="24"/>
        </w:rPr>
      </w:pPr>
    </w:p>
    <w:p w:rsidR="00B4278B" w:rsidRDefault="00583FFE" w:rsidP="00D34055">
      <w:pPr>
        <w:pStyle w:val="ListParagraph"/>
        <w:numPr>
          <w:ilvl w:val="0"/>
          <w:numId w:val="12"/>
        </w:numPr>
        <w:autoSpaceDE w:val="0"/>
        <w:autoSpaceDN w:val="0"/>
        <w:adjustRightInd w:val="0"/>
        <w:spacing w:after="0" w:line="240" w:lineRule="auto"/>
        <w:ind w:left="2160" w:right="720" w:hanging="720"/>
        <w:rPr>
          <w:rFonts w:ascii="Times New Roman" w:hAnsi="Times New Roman" w:cs="Times New Roman"/>
          <w:color w:val="000000"/>
          <w:sz w:val="24"/>
          <w:szCs w:val="24"/>
        </w:rPr>
      </w:pPr>
      <w:r>
        <w:rPr>
          <w:rFonts w:ascii="Times New Roman" w:hAnsi="Times New Roman" w:cs="Times New Roman"/>
          <w:color w:val="000000"/>
          <w:sz w:val="24"/>
          <w:szCs w:val="24"/>
        </w:rPr>
        <w:t>Provisions regarding retiring, refueling, or repowering Cardinal Unit 2, Conesville Units 5 and 6, and Conesville Unit 4, Zimmer Unit 1, Stuart Units 1-4, and the OVEC Units (Sections III.D.10-12 of the Stipulation).</w:t>
      </w:r>
    </w:p>
    <w:p w:rsidR="00583FFE" w:rsidRPr="00FA6E2C" w:rsidRDefault="00583FFE" w:rsidP="00D34055">
      <w:pPr>
        <w:pStyle w:val="ListParagraph"/>
        <w:numPr>
          <w:ilvl w:val="1"/>
          <w:numId w:val="12"/>
        </w:numPr>
        <w:autoSpaceDE w:val="0"/>
        <w:autoSpaceDN w:val="0"/>
        <w:adjustRightInd w:val="0"/>
        <w:spacing w:after="0" w:line="240" w:lineRule="auto"/>
        <w:ind w:left="2880" w:right="720" w:hanging="720"/>
        <w:rPr>
          <w:rFonts w:ascii="Times New Roman" w:hAnsi="Times New Roman" w:cs="Times New Roman"/>
          <w:color w:val="000000"/>
          <w:sz w:val="24"/>
          <w:szCs w:val="24"/>
        </w:rPr>
      </w:pPr>
      <w:r>
        <w:rPr>
          <w:rFonts w:ascii="Times New Roman" w:hAnsi="Times New Roman" w:cs="Times New Roman"/>
          <w:i/>
          <w:color w:val="000000"/>
          <w:sz w:val="24"/>
          <w:szCs w:val="24"/>
        </w:rPr>
        <w:t>Footnote:  Buckeye Power, Inc. is not participating in Sections III.D.10-12 of the Stipulation.</w:t>
      </w:r>
      <w:r w:rsidRPr="00583FFE">
        <w:rPr>
          <w:rStyle w:val="FootnoteReference"/>
          <w:rFonts w:ascii="Times New Roman" w:hAnsi="Times New Roman" w:cs="Times New Roman"/>
          <w:color w:val="000000"/>
          <w:sz w:val="24"/>
          <w:szCs w:val="24"/>
        </w:rPr>
        <w:footnoteReference w:id="172"/>
      </w:r>
    </w:p>
    <w:p w:rsidR="00FA6E2C" w:rsidRPr="00FA6E2C" w:rsidRDefault="00FA6E2C" w:rsidP="00FA6E2C">
      <w:pPr>
        <w:autoSpaceDE w:val="0"/>
        <w:autoSpaceDN w:val="0"/>
        <w:adjustRightInd w:val="0"/>
        <w:spacing w:after="0" w:line="240" w:lineRule="auto"/>
        <w:ind w:left="1800"/>
        <w:rPr>
          <w:rFonts w:ascii="Times New Roman" w:hAnsi="Times New Roman" w:cs="Times New Roman"/>
          <w:color w:val="000000"/>
          <w:sz w:val="24"/>
          <w:szCs w:val="24"/>
        </w:rPr>
      </w:pPr>
    </w:p>
    <w:p w:rsidR="00583FFE" w:rsidRDefault="00583FFE" w:rsidP="00D34055">
      <w:pPr>
        <w:pStyle w:val="ListParagraph"/>
        <w:numPr>
          <w:ilvl w:val="0"/>
          <w:numId w:val="12"/>
        </w:numPr>
        <w:autoSpaceDE w:val="0"/>
        <w:autoSpaceDN w:val="0"/>
        <w:adjustRightInd w:val="0"/>
        <w:spacing w:after="0" w:line="240" w:lineRule="auto"/>
        <w:ind w:left="2160" w:right="720" w:hanging="720"/>
        <w:rPr>
          <w:rFonts w:ascii="Times New Roman" w:hAnsi="Times New Roman" w:cs="Times New Roman"/>
          <w:color w:val="000000"/>
          <w:sz w:val="24"/>
          <w:szCs w:val="24"/>
        </w:rPr>
      </w:pPr>
      <w:r>
        <w:rPr>
          <w:rFonts w:ascii="Times New Roman" w:hAnsi="Times New Roman" w:cs="Times New Roman"/>
          <w:color w:val="000000"/>
          <w:sz w:val="24"/>
          <w:szCs w:val="24"/>
        </w:rPr>
        <w:t>The Signatory Parties agree that the Stipulation satisfies the three-part test traditionally used by the Commission to consider stipulations.</w:t>
      </w:r>
    </w:p>
    <w:p w:rsidR="00583FFE" w:rsidRPr="00D34055" w:rsidRDefault="00583FFE" w:rsidP="00D34055">
      <w:pPr>
        <w:pStyle w:val="ListParagraph"/>
        <w:numPr>
          <w:ilvl w:val="1"/>
          <w:numId w:val="12"/>
        </w:numPr>
        <w:autoSpaceDE w:val="0"/>
        <w:autoSpaceDN w:val="0"/>
        <w:adjustRightInd w:val="0"/>
        <w:spacing w:after="0" w:line="240" w:lineRule="auto"/>
        <w:ind w:left="2880" w:right="720" w:hanging="720"/>
        <w:rPr>
          <w:rFonts w:ascii="Times New Roman" w:hAnsi="Times New Roman" w:cs="Times New Roman"/>
          <w:color w:val="000000"/>
          <w:sz w:val="24"/>
          <w:szCs w:val="24"/>
        </w:rPr>
      </w:pPr>
      <w:r>
        <w:rPr>
          <w:rFonts w:ascii="Times New Roman" w:hAnsi="Times New Roman" w:cs="Times New Roman"/>
          <w:i/>
          <w:color w:val="000000"/>
          <w:sz w:val="24"/>
          <w:szCs w:val="24"/>
        </w:rPr>
        <w:t>Footnote:  The Sierra Club, Direct Energy, and IGS agree not to oppose this provision.</w:t>
      </w:r>
      <w:r w:rsidRPr="00583FFE">
        <w:rPr>
          <w:rStyle w:val="FootnoteReference"/>
          <w:rFonts w:ascii="Times New Roman" w:hAnsi="Times New Roman" w:cs="Times New Roman"/>
          <w:color w:val="000000"/>
          <w:sz w:val="24"/>
          <w:szCs w:val="24"/>
        </w:rPr>
        <w:footnoteReference w:id="173"/>
      </w:r>
    </w:p>
    <w:p w:rsidR="00D34055" w:rsidRPr="00583FFE" w:rsidRDefault="00D34055" w:rsidP="00D34055">
      <w:pPr>
        <w:pStyle w:val="ListParagraph"/>
        <w:autoSpaceDE w:val="0"/>
        <w:autoSpaceDN w:val="0"/>
        <w:adjustRightInd w:val="0"/>
        <w:spacing w:after="0" w:line="240" w:lineRule="auto"/>
        <w:ind w:left="2880" w:right="720"/>
        <w:rPr>
          <w:rFonts w:ascii="Times New Roman" w:hAnsi="Times New Roman" w:cs="Times New Roman"/>
          <w:color w:val="000000"/>
          <w:sz w:val="24"/>
          <w:szCs w:val="24"/>
        </w:rPr>
      </w:pPr>
    </w:p>
    <w:p w:rsidR="00583FFE" w:rsidRDefault="00583FFE" w:rsidP="00D34055">
      <w:pPr>
        <w:pStyle w:val="ListParagraph"/>
        <w:numPr>
          <w:ilvl w:val="0"/>
          <w:numId w:val="12"/>
        </w:numPr>
        <w:autoSpaceDE w:val="0"/>
        <w:autoSpaceDN w:val="0"/>
        <w:adjustRightInd w:val="0"/>
        <w:spacing w:after="0" w:line="240" w:lineRule="auto"/>
        <w:ind w:left="2160" w:right="720" w:hanging="720"/>
        <w:rPr>
          <w:rFonts w:ascii="Times New Roman" w:hAnsi="Times New Roman" w:cs="Times New Roman"/>
          <w:color w:val="000000"/>
          <w:sz w:val="24"/>
          <w:szCs w:val="24"/>
        </w:rPr>
      </w:pPr>
      <w:r>
        <w:rPr>
          <w:rFonts w:ascii="Times New Roman" w:hAnsi="Times New Roman" w:cs="Times New Roman"/>
          <w:color w:val="000000"/>
          <w:sz w:val="24"/>
          <w:szCs w:val="24"/>
        </w:rPr>
        <w:t>The Signatory Parties agree that the Stipulation preserves and advances the positive results of the MRO v. ESP test.</w:t>
      </w:r>
    </w:p>
    <w:p w:rsidR="00583FFE" w:rsidRPr="00FA6E2C" w:rsidRDefault="00583FFE" w:rsidP="00D34055">
      <w:pPr>
        <w:pStyle w:val="ListParagraph"/>
        <w:numPr>
          <w:ilvl w:val="1"/>
          <w:numId w:val="12"/>
        </w:numPr>
        <w:autoSpaceDE w:val="0"/>
        <w:autoSpaceDN w:val="0"/>
        <w:adjustRightInd w:val="0"/>
        <w:spacing w:after="0" w:line="240" w:lineRule="auto"/>
        <w:ind w:left="2880" w:right="720" w:hanging="720"/>
        <w:rPr>
          <w:rFonts w:ascii="Times New Roman" w:hAnsi="Times New Roman" w:cs="Times New Roman"/>
          <w:color w:val="000000"/>
          <w:sz w:val="24"/>
          <w:szCs w:val="24"/>
        </w:rPr>
      </w:pPr>
      <w:r>
        <w:rPr>
          <w:rFonts w:ascii="Times New Roman" w:hAnsi="Times New Roman" w:cs="Times New Roman"/>
          <w:i/>
          <w:color w:val="000000"/>
          <w:sz w:val="24"/>
          <w:szCs w:val="24"/>
        </w:rPr>
        <w:t>Footnote:  Sierra Club is not participating in this provision but agrees not to oppose it.</w:t>
      </w:r>
      <w:r w:rsidRPr="00583FFE">
        <w:rPr>
          <w:rStyle w:val="FootnoteReference"/>
          <w:rFonts w:ascii="Times New Roman" w:hAnsi="Times New Roman" w:cs="Times New Roman"/>
          <w:color w:val="000000"/>
          <w:sz w:val="24"/>
          <w:szCs w:val="24"/>
        </w:rPr>
        <w:footnoteReference w:id="174"/>
      </w:r>
    </w:p>
    <w:p w:rsidR="00FA6E2C" w:rsidRPr="00FA6E2C" w:rsidRDefault="00FA6E2C" w:rsidP="00FA6E2C">
      <w:pPr>
        <w:autoSpaceDE w:val="0"/>
        <w:autoSpaceDN w:val="0"/>
        <w:adjustRightInd w:val="0"/>
        <w:spacing w:after="0" w:line="240" w:lineRule="auto"/>
        <w:ind w:left="1800"/>
        <w:rPr>
          <w:rFonts w:ascii="Times New Roman" w:hAnsi="Times New Roman" w:cs="Times New Roman"/>
          <w:color w:val="000000"/>
          <w:sz w:val="24"/>
          <w:szCs w:val="24"/>
        </w:rPr>
      </w:pPr>
    </w:p>
    <w:p w:rsidR="00583FFE" w:rsidRDefault="00583FFE" w:rsidP="00D34055">
      <w:pPr>
        <w:pStyle w:val="ListParagraph"/>
        <w:numPr>
          <w:ilvl w:val="0"/>
          <w:numId w:val="12"/>
        </w:numPr>
        <w:autoSpaceDE w:val="0"/>
        <w:autoSpaceDN w:val="0"/>
        <w:adjustRightInd w:val="0"/>
        <w:spacing w:after="0" w:line="240" w:lineRule="auto"/>
        <w:ind w:left="2160" w:righ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Signatory </w:t>
      </w:r>
      <w:r w:rsidR="00C54CFA">
        <w:rPr>
          <w:rFonts w:ascii="Times New Roman" w:hAnsi="Times New Roman" w:cs="Times New Roman"/>
          <w:color w:val="000000"/>
          <w:sz w:val="24"/>
          <w:szCs w:val="24"/>
        </w:rPr>
        <w:t>P</w:t>
      </w:r>
      <w:r>
        <w:rPr>
          <w:rFonts w:ascii="Times New Roman" w:hAnsi="Times New Roman" w:cs="Times New Roman"/>
          <w:color w:val="000000"/>
          <w:sz w:val="24"/>
          <w:szCs w:val="24"/>
        </w:rPr>
        <w:t>arties will support the Stipulation if the Stipulation is contested.</w:t>
      </w:r>
    </w:p>
    <w:p w:rsidR="00583FFE" w:rsidRPr="00FA6E2C" w:rsidRDefault="006C4E00" w:rsidP="00D34055">
      <w:pPr>
        <w:pStyle w:val="ListParagraph"/>
        <w:numPr>
          <w:ilvl w:val="1"/>
          <w:numId w:val="12"/>
        </w:numPr>
        <w:autoSpaceDE w:val="0"/>
        <w:autoSpaceDN w:val="0"/>
        <w:adjustRightInd w:val="0"/>
        <w:spacing w:after="0" w:line="240" w:lineRule="auto"/>
        <w:ind w:left="2880" w:right="720" w:hanging="720"/>
        <w:rPr>
          <w:rFonts w:ascii="Times New Roman" w:hAnsi="Times New Roman" w:cs="Times New Roman"/>
          <w:color w:val="000000"/>
          <w:sz w:val="24"/>
          <w:szCs w:val="24"/>
        </w:rPr>
      </w:pPr>
      <w:r>
        <w:rPr>
          <w:rFonts w:ascii="Times New Roman" w:hAnsi="Times New Roman" w:cs="Times New Roman"/>
          <w:i/>
          <w:color w:val="000000"/>
          <w:sz w:val="24"/>
          <w:szCs w:val="24"/>
        </w:rPr>
        <w:t>Footnote:  Sierra Club, Direct Energy, and IGS are not obligated to support the Stipulation.</w:t>
      </w:r>
      <w:r w:rsidR="00583FFE">
        <w:rPr>
          <w:rStyle w:val="FootnoteReference"/>
          <w:rFonts w:ascii="Times New Roman" w:hAnsi="Times New Roman" w:cs="Times New Roman"/>
          <w:color w:val="000000"/>
          <w:sz w:val="24"/>
          <w:szCs w:val="24"/>
        </w:rPr>
        <w:footnoteReference w:id="175"/>
      </w:r>
    </w:p>
    <w:p w:rsidR="00FA6E2C" w:rsidRPr="00FA6E2C" w:rsidRDefault="00FA6E2C" w:rsidP="00FA6E2C">
      <w:pPr>
        <w:autoSpaceDE w:val="0"/>
        <w:autoSpaceDN w:val="0"/>
        <w:adjustRightInd w:val="0"/>
        <w:spacing w:after="0" w:line="240" w:lineRule="auto"/>
        <w:ind w:left="1800"/>
        <w:rPr>
          <w:rFonts w:ascii="Times New Roman" w:hAnsi="Times New Roman" w:cs="Times New Roman"/>
          <w:color w:val="000000"/>
          <w:sz w:val="24"/>
          <w:szCs w:val="24"/>
        </w:rPr>
      </w:pPr>
    </w:p>
    <w:p w:rsidR="006C4E00" w:rsidRDefault="006C4E00" w:rsidP="00D34055">
      <w:pPr>
        <w:pStyle w:val="ListParagraph"/>
        <w:numPr>
          <w:ilvl w:val="0"/>
          <w:numId w:val="12"/>
        </w:numPr>
        <w:autoSpaceDE w:val="0"/>
        <w:autoSpaceDN w:val="0"/>
        <w:adjustRightInd w:val="0"/>
        <w:spacing w:after="0" w:line="240" w:lineRule="auto"/>
        <w:ind w:left="2160" w:right="720" w:hanging="720"/>
        <w:rPr>
          <w:rFonts w:ascii="Times New Roman" w:hAnsi="Times New Roman" w:cs="Times New Roman"/>
          <w:color w:val="000000"/>
          <w:sz w:val="24"/>
          <w:szCs w:val="24"/>
        </w:rPr>
      </w:pPr>
      <w:r>
        <w:rPr>
          <w:rFonts w:ascii="Times New Roman" w:hAnsi="Times New Roman" w:cs="Times New Roman"/>
          <w:color w:val="000000"/>
          <w:sz w:val="24"/>
          <w:szCs w:val="24"/>
        </w:rPr>
        <w:t>Each Signatory Party agrees to and will support the reasonableness of this Stipulation before the Commission, and to cause its counsel to do the same, and in any appeal it participates in from the Commission’s adoption and/or enforcement of this Stipulation.</w:t>
      </w:r>
    </w:p>
    <w:p w:rsidR="006C4E00" w:rsidRPr="006C4E00" w:rsidRDefault="006C4E00" w:rsidP="00D34055">
      <w:pPr>
        <w:pStyle w:val="ListParagraph"/>
        <w:numPr>
          <w:ilvl w:val="1"/>
          <w:numId w:val="12"/>
        </w:numPr>
        <w:autoSpaceDE w:val="0"/>
        <w:autoSpaceDN w:val="0"/>
        <w:adjustRightInd w:val="0"/>
        <w:spacing w:after="0" w:line="240" w:lineRule="auto"/>
        <w:ind w:left="2880" w:right="720" w:hanging="720"/>
        <w:rPr>
          <w:rFonts w:ascii="Times New Roman" w:hAnsi="Times New Roman" w:cs="Times New Roman"/>
          <w:color w:val="000000"/>
          <w:sz w:val="24"/>
          <w:szCs w:val="24"/>
        </w:rPr>
      </w:pPr>
      <w:r>
        <w:rPr>
          <w:rFonts w:ascii="Times New Roman" w:hAnsi="Times New Roman" w:cs="Times New Roman"/>
          <w:i/>
          <w:color w:val="000000"/>
          <w:sz w:val="24"/>
          <w:szCs w:val="24"/>
        </w:rPr>
        <w:t>Footnote:  Sierra Club and its counsel are not obligated to support the reasonableness of this Stipulation before the Commission.  Sierra Club and its counsel agree not to oppose the Stipulation.</w:t>
      </w:r>
      <w:r w:rsidRPr="006C4E00">
        <w:rPr>
          <w:rStyle w:val="FootnoteReference"/>
          <w:rFonts w:ascii="Times New Roman" w:hAnsi="Times New Roman" w:cs="Times New Roman"/>
          <w:color w:val="000000"/>
          <w:sz w:val="24"/>
          <w:szCs w:val="24"/>
        </w:rPr>
        <w:footnoteReference w:id="176"/>
      </w:r>
    </w:p>
    <w:p w:rsidR="006C4E00" w:rsidRDefault="006C4E00" w:rsidP="006C4E00">
      <w:pPr>
        <w:autoSpaceDE w:val="0"/>
        <w:autoSpaceDN w:val="0"/>
        <w:adjustRightInd w:val="0"/>
        <w:spacing w:after="0" w:line="240" w:lineRule="auto"/>
        <w:rPr>
          <w:rFonts w:ascii="Times New Roman" w:hAnsi="Times New Roman" w:cs="Times New Roman"/>
          <w:color w:val="000000"/>
          <w:sz w:val="24"/>
          <w:szCs w:val="24"/>
        </w:rPr>
      </w:pPr>
    </w:p>
    <w:p w:rsidR="00005F6E" w:rsidRDefault="00176F14" w:rsidP="00920136">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The</w:t>
      </w:r>
      <w:r w:rsidR="00A31BF4">
        <w:rPr>
          <w:rFonts w:ascii="Times New Roman" w:hAnsi="Times New Roman" w:cs="Times New Roman"/>
          <w:color w:val="000000"/>
          <w:sz w:val="24"/>
          <w:szCs w:val="24"/>
        </w:rPr>
        <w:t>se</w:t>
      </w:r>
      <w:r w:rsidR="006C4E00" w:rsidRPr="00920136">
        <w:rPr>
          <w:rFonts w:ascii="Times New Roman" w:hAnsi="Times New Roman" w:cs="Times New Roman"/>
          <w:color w:val="000000"/>
          <w:sz w:val="24"/>
          <w:szCs w:val="24"/>
        </w:rPr>
        <w:t xml:space="preserve"> footnoted </w:t>
      </w:r>
      <w:r w:rsidR="00A31BF4">
        <w:rPr>
          <w:rFonts w:ascii="Times New Roman" w:hAnsi="Times New Roman" w:cs="Times New Roman"/>
          <w:color w:val="000000"/>
          <w:sz w:val="24"/>
          <w:szCs w:val="24"/>
        </w:rPr>
        <w:t xml:space="preserve">qualifications and exceptions undermine AEP Ohio’s representation of the Joint Stipulation as a “settlement” under the three-prong test.  The settlement is not really as has been advertised, given the materiality of the qualifications and exceptions attached to certain signatures (most notably </w:t>
      </w:r>
      <w:r w:rsidR="00113933">
        <w:rPr>
          <w:rFonts w:ascii="Times New Roman" w:hAnsi="Times New Roman" w:cs="Times New Roman"/>
          <w:color w:val="000000"/>
          <w:sz w:val="24"/>
          <w:szCs w:val="24"/>
        </w:rPr>
        <w:t xml:space="preserve">those of </w:t>
      </w:r>
      <w:r w:rsidR="00A31BF4">
        <w:rPr>
          <w:rFonts w:ascii="Times New Roman" w:hAnsi="Times New Roman" w:cs="Times New Roman"/>
          <w:color w:val="000000"/>
          <w:sz w:val="24"/>
          <w:szCs w:val="24"/>
        </w:rPr>
        <w:t>Sierra Club</w:t>
      </w:r>
      <w:r w:rsidR="001F0B33">
        <w:rPr>
          <w:rFonts w:ascii="Times New Roman" w:hAnsi="Times New Roman" w:cs="Times New Roman"/>
          <w:color w:val="000000"/>
          <w:sz w:val="24"/>
          <w:szCs w:val="24"/>
        </w:rPr>
        <w:t xml:space="preserve">, </w:t>
      </w:r>
      <w:r w:rsidR="00C04A29">
        <w:rPr>
          <w:rFonts w:ascii="Times New Roman" w:hAnsi="Times New Roman" w:cs="Times New Roman"/>
          <w:color w:val="000000"/>
          <w:sz w:val="24"/>
          <w:szCs w:val="24"/>
        </w:rPr>
        <w:t>OPAE, Direct Energy</w:t>
      </w:r>
      <w:r w:rsidR="004928C0">
        <w:rPr>
          <w:rFonts w:ascii="Times New Roman" w:hAnsi="Times New Roman" w:cs="Times New Roman"/>
          <w:color w:val="000000"/>
          <w:sz w:val="24"/>
          <w:szCs w:val="24"/>
        </w:rPr>
        <w:t>,</w:t>
      </w:r>
      <w:r w:rsidR="00A31BF4">
        <w:rPr>
          <w:rFonts w:ascii="Times New Roman" w:hAnsi="Times New Roman" w:cs="Times New Roman"/>
          <w:color w:val="000000"/>
          <w:sz w:val="24"/>
          <w:szCs w:val="24"/>
        </w:rPr>
        <w:t xml:space="preserve"> and IGS).</w:t>
      </w:r>
      <w:r w:rsidR="00A31BF4" w:rsidRPr="00920136">
        <w:rPr>
          <w:rFonts w:ascii="Times New Roman" w:hAnsi="Times New Roman" w:cs="Times New Roman"/>
          <w:color w:val="000000"/>
          <w:sz w:val="24"/>
          <w:szCs w:val="24"/>
        </w:rPr>
        <w:t xml:space="preserve"> </w:t>
      </w:r>
    </w:p>
    <w:p w:rsidR="00005F6E" w:rsidRDefault="004928C0" w:rsidP="00920136">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Also</w:t>
      </w:r>
      <w:r w:rsidR="00005F6E">
        <w:rPr>
          <w:rFonts w:ascii="Times New Roman" w:hAnsi="Times New Roman" w:cs="Times New Roman"/>
          <w:color w:val="000000"/>
          <w:sz w:val="24"/>
          <w:szCs w:val="24"/>
        </w:rPr>
        <w:t xml:space="preserve">, settlement terms that are not endorsed by Signatory Parties </w:t>
      </w:r>
      <w:r w:rsidR="00176F14">
        <w:rPr>
          <w:rFonts w:ascii="Times New Roman" w:hAnsi="Times New Roman" w:cs="Times New Roman"/>
          <w:color w:val="000000"/>
          <w:sz w:val="24"/>
          <w:szCs w:val="24"/>
        </w:rPr>
        <w:t>should be</w:t>
      </w:r>
      <w:r w:rsidR="006C4E00" w:rsidRPr="00920136">
        <w:rPr>
          <w:rFonts w:ascii="Times New Roman" w:hAnsi="Times New Roman" w:cs="Times New Roman"/>
          <w:color w:val="000000"/>
          <w:sz w:val="24"/>
          <w:szCs w:val="24"/>
        </w:rPr>
        <w:t xml:space="preserve"> excluded </w:t>
      </w:r>
      <w:r w:rsidR="00176F14">
        <w:rPr>
          <w:rFonts w:ascii="Times New Roman" w:hAnsi="Times New Roman" w:cs="Times New Roman"/>
          <w:color w:val="000000"/>
          <w:sz w:val="24"/>
          <w:szCs w:val="24"/>
        </w:rPr>
        <w:t>from</w:t>
      </w:r>
      <w:r w:rsidR="006C4E00" w:rsidRPr="00920136">
        <w:rPr>
          <w:rFonts w:ascii="Times New Roman" w:hAnsi="Times New Roman" w:cs="Times New Roman"/>
          <w:color w:val="000000"/>
          <w:sz w:val="24"/>
          <w:szCs w:val="24"/>
        </w:rPr>
        <w:t xml:space="preserve"> the “package” to which the PUCO applies its public interest analysis</w:t>
      </w:r>
      <w:r w:rsidR="00176F14">
        <w:rPr>
          <w:rFonts w:ascii="Times New Roman" w:hAnsi="Times New Roman" w:cs="Times New Roman"/>
          <w:color w:val="000000"/>
          <w:sz w:val="24"/>
          <w:szCs w:val="24"/>
        </w:rPr>
        <w:t>.</w:t>
      </w:r>
      <w:r w:rsidR="006C4E00" w:rsidRPr="00920136">
        <w:rPr>
          <w:rFonts w:ascii="Times New Roman" w:hAnsi="Times New Roman" w:cs="Times New Roman"/>
          <w:color w:val="000000"/>
          <w:sz w:val="24"/>
          <w:szCs w:val="24"/>
        </w:rPr>
        <w:t xml:space="preserve">  </w:t>
      </w:r>
      <w:r w:rsidR="00005F6E">
        <w:rPr>
          <w:rFonts w:ascii="Times New Roman" w:hAnsi="Times New Roman" w:cs="Times New Roman"/>
          <w:color w:val="000000"/>
          <w:sz w:val="24"/>
          <w:szCs w:val="24"/>
        </w:rPr>
        <w:t>(And the hodgepodge of unrelated terms also should disqualify the settlement from being treated as a package under the three-prong test</w:t>
      </w:r>
      <w:r w:rsidR="00D520AE">
        <w:rPr>
          <w:rFonts w:ascii="Times New Roman" w:hAnsi="Times New Roman" w:cs="Times New Roman"/>
          <w:color w:val="000000"/>
          <w:sz w:val="24"/>
          <w:szCs w:val="24"/>
        </w:rPr>
        <w:t>.</w:t>
      </w:r>
      <w:r w:rsidR="00005F6E">
        <w:rPr>
          <w:rFonts w:ascii="Times New Roman" w:hAnsi="Times New Roman" w:cs="Times New Roman"/>
          <w:color w:val="000000"/>
          <w:sz w:val="24"/>
          <w:szCs w:val="24"/>
        </w:rPr>
        <w:t xml:space="preserve">)  </w:t>
      </w:r>
    </w:p>
    <w:p w:rsidR="006C4E00" w:rsidRPr="00920136" w:rsidRDefault="00176F14" w:rsidP="00920136">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The</w:t>
      </w:r>
      <w:r w:rsidR="006C4E00" w:rsidRPr="00920136">
        <w:rPr>
          <w:rFonts w:ascii="Times New Roman" w:hAnsi="Times New Roman" w:cs="Times New Roman"/>
          <w:color w:val="000000"/>
          <w:sz w:val="24"/>
          <w:szCs w:val="24"/>
        </w:rPr>
        <w:t xml:space="preserve"> footnotes </w:t>
      </w:r>
      <w:r w:rsidR="00005F6E">
        <w:rPr>
          <w:rFonts w:ascii="Times New Roman" w:hAnsi="Times New Roman" w:cs="Times New Roman"/>
          <w:color w:val="000000"/>
          <w:sz w:val="24"/>
          <w:szCs w:val="24"/>
        </w:rPr>
        <w:t xml:space="preserve">stating mere non-opposition instead of support for the settlement also </w:t>
      </w:r>
      <w:r w:rsidR="006C4E00" w:rsidRPr="00920136">
        <w:rPr>
          <w:rFonts w:ascii="Times New Roman" w:hAnsi="Times New Roman" w:cs="Times New Roman"/>
          <w:color w:val="000000"/>
          <w:sz w:val="24"/>
          <w:szCs w:val="24"/>
        </w:rPr>
        <w:t xml:space="preserve">demonstrate </w:t>
      </w:r>
      <w:r w:rsidR="00005F6E">
        <w:rPr>
          <w:rFonts w:ascii="Times New Roman" w:hAnsi="Times New Roman" w:cs="Times New Roman"/>
          <w:color w:val="000000"/>
          <w:sz w:val="24"/>
          <w:szCs w:val="24"/>
        </w:rPr>
        <w:t>the lack of</w:t>
      </w:r>
      <w:r w:rsidR="006C4E00" w:rsidRPr="00920136">
        <w:rPr>
          <w:rFonts w:ascii="Times New Roman" w:hAnsi="Times New Roman" w:cs="Times New Roman"/>
          <w:color w:val="000000"/>
          <w:sz w:val="24"/>
          <w:szCs w:val="24"/>
        </w:rPr>
        <w:t xml:space="preserve"> diversity of interests </w:t>
      </w:r>
      <w:r w:rsidR="00005F6E">
        <w:rPr>
          <w:rFonts w:ascii="Times New Roman" w:hAnsi="Times New Roman" w:cs="Times New Roman"/>
          <w:color w:val="000000"/>
          <w:sz w:val="24"/>
          <w:szCs w:val="24"/>
        </w:rPr>
        <w:t>under the first prong</w:t>
      </w:r>
      <w:r>
        <w:rPr>
          <w:rFonts w:ascii="Times New Roman" w:hAnsi="Times New Roman" w:cs="Times New Roman"/>
          <w:color w:val="000000"/>
          <w:sz w:val="24"/>
          <w:szCs w:val="24"/>
        </w:rPr>
        <w:t>.</w:t>
      </w:r>
      <w:r w:rsidR="00C54CFA" w:rsidRPr="00920136">
        <w:rPr>
          <w:rFonts w:ascii="Times New Roman" w:hAnsi="Times New Roman" w:cs="Times New Roman"/>
          <w:color w:val="000000"/>
          <w:sz w:val="24"/>
          <w:szCs w:val="24"/>
        </w:rPr>
        <w:t xml:space="preserve">  Since certain Signatory Parties are not obligated to support the Joint Stipulation, they do not </w:t>
      </w:r>
      <w:r w:rsidR="00FA6E2C">
        <w:rPr>
          <w:rFonts w:ascii="Times New Roman" w:hAnsi="Times New Roman" w:cs="Times New Roman"/>
          <w:color w:val="000000"/>
          <w:sz w:val="24"/>
          <w:szCs w:val="24"/>
        </w:rPr>
        <w:t xml:space="preserve">support </w:t>
      </w:r>
      <w:r>
        <w:rPr>
          <w:rFonts w:ascii="Times New Roman" w:hAnsi="Times New Roman" w:cs="Times New Roman"/>
          <w:color w:val="000000"/>
          <w:sz w:val="24"/>
          <w:szCs w:val="24"/>
        </w:rPr>
        <w:t>it as a package.</w:t>
      </w:r>
      <w:r w:rsidR="00C54CFA" w:rsidRPr="00920136">
        <w:rPr>
          <w:rStyle w:val="FootnoteReference"/>
          <w:rFonts w:ascii="Times New Roman" w:hAnsi="Times New Roman" w:cs="Times New Roman"/>
          <w:color w:val="000000"/>
          <w:sz w:val="24"/>
          <w:szCs w:val="24"/>
        </w:rPr>
        <w:footnoteReference w:id="177"/>
      </w:r>
      <w:r w:rsidR="002B0429">
        <w:rPr>
          <w:rFonts w:ascii="Times New Roman" w:hAnsi="Times New Roman" w:cs="Times New Roman"/>
          <w:color w:val="000000"/>
          <w:sz w:val="24"/>
          <w:szCs w:val="24"/>
        </w:rPr>
        <w:t xml:space="preserve">  The three-prong test is failed.</w:t>
      </w:r>
      <w:r w:rsidR="00C54CFA" w:rsidRPr="00920136">
        <w:rPr>
          <w:rFonts w:ascii="Times New Roman" w:hAnsi="Times New Roman" w:cs="Times New Roman"/>
          <w:color w:val="000000"/>
          <w:sz w:val="24"/>
          <w:szCs w:val="24"/>
        </w:rPr>
        <w:t xml:space="preserve">    </w:t>
      </w:r>
    </w:p>
    <w:p w:rsidR="00920136" w:rsidRPr="00920136" w:rsidRDefault="00920136" w:rsidP="00920136">
      <w:pPr>
        <w:autoSpaceDE w:val="0"/>
        <w:autoSpaceDN w:val="0"/>
        <w:adjustRightInd w:val="0"/>
        <w:spacing w:after="0" w:line="480" w:lineRule="auto"/>
        <w:ind w:firstLine="720"/>
        <w:rPr>
          <w:rFonts w:ascii="Times New Roman" w:hAnsi="Times New Roman" w:cs="Times New Roman"/>
          <w:sz w:val="24"/>
          <w:szCs w:val="24"/>
        </w:rPr>
      </w:pPr>
      <w:r w:rsidRPr="00920136">
        <w:rPr>
          <w:rFonts w:ascii="Times New Roman" w:hAnsi="Times New Roman" w:cs="Times New Roman"/>
          <w:sz w:val="24"/>
          <w:szCs w:val="24"/>
        </w:rPr>
        <w:t>Th</w:t>
      </w:r>
      <w:r w:rsidR="002B0429">
        <w:rPr>
          <w:rFonts w:ascii="Times New Roman" w:hAnsi="Times New Roman" w:cs="Times New Roman"/>
          <w:sz w:val="24"/>
          <w:szCs w:val="24"/>
        </w:rPr>
        <w:t>e</w:t>
      </w:r>
      <w:r w:rsidRPr="00920136">
        <w:rPr>
          <w:rFonts w:ascii="Times New Roman" w:hAnsi="Times New Roman" w:cs="Times New Roman"/>
          <w:sz w:val="24"/>
          <w:szCs w:val="24"/>
        </w:rPr>
        <w:t xml:space="preserve"> issue</w:t>
      </w:r>
      <w:r w:rsidR="002B0429">
        <w:rPr>
          <w:rFonts w:ascii="Times New Roman" w:hAnsi="Times New Roman" w:cs="Times New Roman"/>
          <w:sz w:val="24"/>
          <w:szCs w:val="24"/>
        </w:rPr>
        <w:t>s raised by the footnotes are</w:t>
      </w:r>
      <w:r w:rsidRPr="00920136">
        <w:rPr>
          <w:rFonts w:ascii="Times New Roman" w:hAnsi="Times New Roman" w:cs="Times New Roman"/>
          <w:sz w:val="24"/>
          <w:szCs w:val="24"/>
        </w:rPr>
        <w:t xml:space="preserve"> not theoretical.  Important issues for the PUCO’s consideration are whether the Joint Stipulation is the product of serious bargaining between knowledgeable parties representing diverse interests and whether it, as a package, is in the public interest.  Sierra Club’s counsel </w:t>
      </w:r>
      <w:r w:rsidR="0073251A">
        <w:rPr>
          <w:rFonts w:ascii="Times New Roman" w:hAnsi="Times New Roman" w:cs="Times New Roman"/>
          <w:sz w:val="24"/>
          <w:szCs w:val="24"/>
        </w:rPr>
        <w:t xml:space="preserve">has </w:t>
      </w:r>
      <w:r w:rsidRPr="00920136">
        <w:rPr>
          <w:rFonts w:ascii="Times New Roman" w:hAnsi="Times New Roman" w:cs="Times New Roman"/>
          <w:sz w:val="24"/>
          <w:szCs w:val="24"/>
        </w:rPr>
        <w:t>asserted that Sierra Club’s position on the Joint Stipulation is “reflected in the stipulation itself[,]” it is “apparent on the face of the stipulation what Sierra Club’s position is.”</w:t>
      </w:r>
      <w:r w:rsidRPr="00920136">
        <w:rPr>
          <w:rStyle w:val="FootnoteReference"/>
          <w:rFonts w:ascii="Times New Roman" w:hAnsi="Times New Roman" w:cs="Times New Roman"/>
          <w:sz w:val="24"/>
          <w:szCs w:val="24"/>
        </w:rPr>
        <w:footnoteReference w:id="178"/>
      </w:r>
      <w:r w:rsidRPr="00920136">
        <w:rPr>
          <w:rFonts w:ascii="Times New Roman" w:hAnsi="Times New Roman" w:cs="Times New Roman"/>
          <w:sz w:val="24"/>
          <w:szCs w:val="24"/>
        </w:rPr>
        <w:t xml:space="preserve">  Later, Sierra Club’s counsel said that there is no reason for a Sierra Club employee to testify at the evidentiary hearing about what Sierra Club’s position on the Joint Stipulation is, as Sierra Club’s lawyers will be informing the </w:t>
      </w:r>
      <w:r w:rsidR="006D415C">
        <w:rPr>
          <w:rFonts w:ascii="Times New Roman" w:hAnsi="Times New Roman" w:cs="Times New Roman"/>
          <w:sz w:val="24"/>
          <w:szCs w:val="24"/>
        </w:rPr>
        <w:t>PUCO</w:t>
      </w:r>
      <w:r w:rsidRPr="00920136">
        <w:rPr>
          <w:rFonts w:ascii="Times New Roman" w:hAnsi="Times New Roman" w:cs="Times New Roman"/>
          <w:sz w:val="24"/>
          <w:szCs w:val="24"/>
        </w:rPr>
        <w:t xml:space="preserve"> of what Sierra Club’s position is:  “Sierra Club does not oppose the stipulation.”</w:t>
      </w:r>
      <w:r w:rsidRPr="00920136">
        <w:rPr>
          <w:rStyle w:val="FootnoteReference"/>
          <w:rFonts w:ascii="Times New Roman" w:hAnsi="Times New Roman" w:cs="Times New Roman"/>
          <w:sz w:val="24"/>
          <w:szCs w:val="24"/>
        </w:rPr>
        <w:footnoteReference w:id="179"/>
      </w:r>
      <w:r w:rsidRPr="00920136">
        <w:rPr>
          <w:rFonts w:ascii="Times New Roman" w:hAnsi="Times New Roman" w:cs="Times New Roman"/>
          <w:sz w:val="24"/>
          <w:szCs w:val="24"/>
        </w:rPr>
        <w:t xml:space="preserve">  This is in stark contrast to </w:t>
      </w:r>
      <w:r w:rsidR="0021405A">
        <w:rPr>
          <w:rFonts w:ascii="Times New Roman" w:hAnsi="Times New Roman" w:cs="Times New Roman"/>
          <w:sz w:val="24"/>
          <w:szCs w:val="24"/>
        </w:rPr>
        <w:t>the characterization of</w:t>
      </w:r>
      <w:r w:rsidR="0021405A" w:rsidRPr="00920136">
        <w:rPr>
          <w:rFonts w:ascii="Times New Roman" w:hAnsi="Times New Roman" w:cs="Times New Roman"/>
          <w:sz w:val="24"/>
          <w:szCs w:val="24"/>
        </w:rPr>
        <w:t xml:space="preserve"> </w:t>
      </w:r>
      <w:r w:rsidRPr="00920136">
        <w:rPr>
          <w:rFonts w:ascii="Times New Roman" w:hAnsi="Times New Roman" w:cs="Times New Roman"/>
          <w:sz w:val="24"/>
          <w:szCs w:val="24"/>
        </w:rPr>
        <w:t>AEP Ohio Witness Allen</w:t>
      </w:r>
      <w:r w:rsidR="0021405A">
        <w:rPr>
          <w:rFonts w:ascii="Times New Roman" w:hAnsi="Times New Roman" w:cs="Times New Roman"/>
          <w:sz w:val="24"/>
          <w:szCs w:val="24"/>
        </w:rPr>
        <w:t xml:space="preserve"> who, taking an excess of liberty,</w:t>
      </w:r>
      <w:r w:rsidRPr="00920136">
        <w:rPr>
          <w:rFonts w:ascii="Times New Roman" w:hAnsi="Times New Roman" w:cs="Times New Roman"/>
          <w:sz w:val="24"/>
          <w:szCs w:val="24"/>
        </w:rPr>
        <w:t xml:space="preserve"> said:  “Sierra Club supports the stipulation as a package, that’s correct.”</w:t>
      </w:r>
      <w:r w:rsidRPr="00920136">
        <w:rPr>
          <w:rStyle w:val="FootnoteReference"/>
          <w:rFonts w:ascii="Times New Roman" w:hAnsi="Times New Roman" w:cs="Times New Roman"/>
          <w:sz w:val="24"/>
          <w:szCs w:val="24"/>
        </w:rPr>
        <w:footnoteReference w:id="180"/>
      </w:r>
      <w:r w:rsidRPr="00920136">
        <w:rPr>
          <w:rFonts w:ascii="Times New Roman" w:hAnsi="Times New Roman" w:cs="Times New Roman"/>
          <w:sz w:val="24"/>
          <w:szCs w:val="24"/>
        </w:rPr>
        <w:t xml:space="preserve">  </w:t>
      </w:r>
      <w:r w:rsidR="0021405A">
        <w:rPr>
          <w:rFonts w:ascii="Times New Roman" w:hAnsi="Times New Roman" w:cs="Times New Roman"/>
          <w:sz w:val="24"/>
          <w:szCs w:val="24"/>
        </w:rPr>
        <w:t xml:space="preserve">In fact, Sierra Club has </w:t>
      </w:r>
      <w:r w:rsidR="004928C0">
        <w:rPr>
          <w:rFonts w:ascii="Times New Roman" w:hAnsi="Times New Roman" w:cs="Times New Roman"/>
          <w:sz w:val="24"/>
          <w:szCs w:val="24"/>
        </w:rPr>
        <w:t>12</w:t>
      </w:r>
      <w:r w:rsidR="0021405A">
        <w:rPr>
          <w:rFonts w:ascii="Times New Roman" w:hAnsi="Times New Roman" w:cs="Times New Roman"/>
          <w:sz w:val="24"/>
          <w:szCs w:val="24"/>
        </w:rPr>
        <w:t xml:space="preserve"> different ways, represented by </w:t>
      </w:r>
      <w:r w:rsidR="004928C0">
        <w:rPr>
          <w:rFonts w:ascii="Times New Roman" w:hAnsi="Times New Roman" w:cs="Times New Roman"/>
          <w:sz w:val="24"/>
          <w:szCs w:val="24"/>
        </w:rPr>
        <w:t>12</w:t>
      </w:r>
      <w:r w:rsidR="0021405A">
        <w:rPr>
          <w:rFonts w:ascii="Times New Roman" w:hAnsi="Times New Roman" w:cs="Times New Roman"/>
          <w:sz w:val="24"/>
          <w:szCs w:val="24"/>
        </w:rPr>
        <w:t xml:space="preserve"> different </w:t>
      </w:r>
      <w:r w:rsidR="00513C0B">
        <w:rPr>
          <w:rFonts w:ascii="Times New Roman" w:hAnsi="Times New Roman" w:cs="Times New Roman"/>
          <w:sz w:val="24"/>
          <w:szCs w:val="24"/>
        </w:rPr>
        <w:t xml:space="preserve">opt-out </w:t>
      </w:r>
      <w:r w:rsidR="0021405A">
        <w:rPr>
          <w:rFonts w:ascii="Times New Roman" w:hAnsi="Times New Roman" w:cs="Times New Roman"/>
          <w:sz w:val="24"/>
          <w:szCs w:val="24"/>
        </w:rPr>
        <w:t>footnotes, of showing that what Mr. Allen said is mistaken.</w:t>
      </w:r>
    </w:p>
    <w:p w:rsidR="00920136" w:rsidRDefault="00920136" w:rsidP="00920136">
      <w:pPr>
        <w:autoSpaceDE w:val="0"/>
        <w:autoSpaceDN w:val="0"/>
        <w:adjustRightInd w:val="0"/>
        <w:spacing w:after="0" w:line="480" w:lineRule="auto"/>
        <w:ind w:firstLine="720"/>
        <w:rPr>
          <w:rFonts w:ascii="Times New Roman" w:hAnsi="Times New Roman" w:cs="Times New Roman"/>
          <w:sz w:val="24"/>
          <w:szCs w:val="24"/>
        </w:rPr>
      </w:pPr>
      <w:r w:rsidRPr="00920136">
        <w:rPr>
          <w:rFonts w:ascii="Times New Roman" w:hAnsi="Times New Roman" w:cs="Times New Roman"/>
          <w:sz w:val="24"/>
          <w:szCs w:val="24"/>
        </w:rPr>
        <w:t xml:space="preserve">The implications for these drastically different characterizations of Sierra Club’s position on the Joint Stipulation are legion.  For example:  1)  Based on Sierra Club’s counsel’s description of Sierra Club’s position on the Joint Stipulation, the PUCO </w:t>
      </w:r>
      <w:r w:rsidR="00F56C2B">
        <w:rPr>
          <w:rFonts w:ascii="Times New Roman" w:hAnsi="Times New Roman" w:cs="Times New Roman"/>
          <w:sz w:val="24"/>
          <w:szCs w:val="24"/>
        </w:rPr>
        <w:t>should</w:t>
      </w:r>
      <w:r w:rsidR="00F56C2B" w:rsidRPr="00920136">
        <w:rPr>
          <w:rFonts w:ascii="Times New Roman" w:hAnsi="Times New Roman" w:cs="Times New Roman"/>
          <w:sz w:val="24"/>
          <w:szCs w:val="24"/>
        </w:rPr>
        <w:t xml:space="preserve"> </w:t>
      </w:r>
      <w:r w:rsidR="00F56C2B">
        <w:rPr>
          <w:rFonts w:ascii="Times New Roman" w:hAnsi="Times New Roman" w:cs="Times New Roman"/>
          <w:sz w:val="24"/>
          <w:szCs w:val="24"/>
        </w:rPr>
        <w:t xml:space="preserve">not </w:t>
      </w:r>
      <w:r w:rsidRPr="00920136">
        <w:rPr>
          <w:rFonts w:ascii="Times New Roman" w:hAnsi="Times New Roman" w:cs="Times New Roman"/>
          <w:sz w:val="24"/>
          <w:szCs w:val="24"/>
        </w:rPr>
        <w:t xml:space="preserve">include Sierra Club in its diversity analysis.  2)  Contrary to Sierra Club’s assertion, its position on the Joint Stipulation is </w:t>
      </w:r>
      <w:r w:rsidRPr="00920136">
        <w:rPr>
          <w:rFonts w:ascii="Times New Roman" w:hAnsi="Times New Roman" w:cs="Times New Roman"/>
          <w:i/>
          <w:sz w:val="24"/>
          <w:szCs w:val="24"/>
        </w:rPr>
        <w:t xml:space="preserve">not </w:t>
      </w:r>
      <w:r w:rsidRPr="00920136">
        <w:rPr>
          <w:rFonts w:ascii="Times New Roman" w:hAnsi="Times New Roman" w:cs="Times New Roman"/>
          <w:sz w:val="24"/>
          <w:szCs w:val="24"/>
        </w:rPr>
        <w:t xml:space="preserve">apparent on the face of the Joint Stipulation itself.  The discrepancy reinforces the </w:t>
      </w:r>
      <w:r w:rsidR="00F47E76">
        <w:rPr>
          <w:rFonts w:ascii="Times New Roman" w:hAnsi="Times New Roman" w:cs="Times New Roman"/>
          <w:sz w:val="24"/>
          <w:szCs w:val="24"/>
        </w:rPr>
        <w:t xml:space="preserve">Joint Stipulation’s </w:t>
      </w:r>
      <w:r w:rsidRPr="00920136">
        <w:rPr>
          <w:rFonts w:ascii="Times New Roman" w:hAnsi="Times New Roman" w:cs="Times New Roman"/>
          <w:sz w:val="24"/>
          <w:szCs w:val="24"/>
        </w:rPr>
        <w:t xml:space="preserve">vagueness and ambiguity.  3)  The </w:t>
      </w:r>
      <w:r w:rsidR="00F56C2B">
        <w:rPr>
          <w:rFonts w:ascii="Times New Roman" w:hAnsi="Times New Roman" w:cs="Times New Roman"/>
          <w:sz w:val="24"/>
          <w:szCs w:val="24"/>
        </w:rPr>
        <w:t>Sierra Club (and other parties’) footnoted opt outs</w:t>
      </w:r>
      <w:r w:rsidR="00F56C2B" w:rsidRPr="00920136">
        <w:rPr>
          <w:rFonts w:ascii="Times New Roman" w:hAnsi="Times New Roman" w:cs="Times New Roman"/>
          <w:sz w:val="24"/>
          <w:szCs w:val="24"/>
        </w:rPr>
        <w:t xml:space="preserve"> </w:t>
      </w:r>
      <w:r w:rsidRPr="00920136">
        <w:rPr>
          <w:rFonts w:ascii="Times New Roman" w:hAnsi="Times New Roman" w:cs="Times New Roman"/>
          <w:sz w:val="24"/>
          <w:szCs w:val="24"/>
        </w:rPr>
        <w:t xml:space="preserve">indicate </w:t>
      </w:r>
      <w:r w:rsidR="00F56C2B">
        <w:rPr>
          <w:rFonts w:ascii="Times New Roman" w:hAnsi="Times New Roman" w:cs="Times New Roman"/>
          <w:sz w:val="24"/>
          <w:szCs w:val="24"/>
        </w:rPr>
        <w:t xml:space="preserve">a lack of </w:t>
      </w:r>
      <w:r w:rsidRPr="00920136">
        <w:rPr>
          <w:rFonts w:ascii="Times New Roman" w:hAnsi="Times New Roman" w:cs="Times New Roman"/>
          <w:sz w:val="24"/>
          <w:szCs w:val="24"/>
        </w:rPr>
        <w:t xml:space="preserve">serious bargaining among parties.  </w:t>
      </w:r>
      <w:r w:rsidR="00F56C2B">
        <w:rPr>
          <w:rFonts w:ascii="Times New Roman" w:hAnsi="Times New Roman" w:cs="Times New Roman"/>
          <w:sz w:val="24"/>
          <w:szCs w:val="24"/>
        </w:rPr>
        <w:t>These parties could not reach full accord through bargaining, serious or otherwise; they solved their impasses merely by using opt out footnotes.</w:t>
      </w:r>
    </w:p>
    <w:p w:rsidR="006C1B41" w:rsidRDefault="0073251A" w:rsidP="003059F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Further, the Joint Stipulation’s vagueness and ambiguity is confirmed by the undefined, impractical standards by which AEP Ohio’s actions under the Joint Stipulation will be judged.  It must manage the PPA Units “efficiently, cost-effectively, and with maximum market profitability[.]”</w:t>
      </w:r>
      <w:r>
        <w:rPr>
          <w:rStyle w:val="FootnoteReference"/>
          <w:rFonts w:ascii="Times New Roman" w:hAnsi="Times New Roman" w:cs="Times New Roman"/>
          <w:sz w:val="24"/>
          <w:szCs w:val="24"/>
        </w:rPr>
        <w:footnoteReference w:id="181"/>
      </w:r>
      <w:r>
        <w:rPr>
          <w:rFonts w:ascii="Times New Roman" w:hAnsi="Times New Roman" w:cs="Times New Roman"/>
          <w:sz w:val="24"/>
          <w:szCs w:val="24"/>
        </w:rPr>
        <w:t xml:space="preserve">  Its actions when selling the output from the PPA Units into the PJM market</w:t>
      </w:r>
      <w:r w:rsidR="00F47E76">
        <w:rPr>
          <w:rFonts w:ascii="Times New Roman" w:hAnsi="Times New Roman" w:cs="Times New Roman"/>
          <w:sz w:val="24"/>
          <w:szCs w:val="24"/>
        </w:rPr>
        <w:t>s</w:t>
      </w:r>
      <w:r>
        <w:rPr>
          <w:rFonts w:ascii="Times New Roman" w:hAnsi="Times New Roman" w:cs="Times New Roman"/>
          <w:sz w:val="24"/>
          <w:szCs w:val="24"/>
        </w:rPr>
        <w:t xml:space="preserve"> must be “not unreasonable.”</w:t>
      </w:r>
      <w:r>
        <w:rPr>
          <w:rStyle w:val="FootnoteReference"/>
          <w:rFonts w:ascii="Times New Roman" w:hAnsi="Times New Roman" w:cs="Times New Roman"/>
          <w:sz w:val="24"/>
          <w:szCs w:val="24"/>
        </w:rPr>
        <w:footnoteReference w:id="182"/>
      </w:r>
      <w:r>
        <w:rPr>
          <w:rFonts w:ascii="Times New Roman" w:hAnsi="Times New Roman" w:cs="Times New Roman"/>
          <w:sz w:val="24"/>
          <w:szCs w:val="24"/>
        </w:rPr>
        <w:t xml:space="preserve">  It must advocate before PJM “in good faith[.]”</w:t>
      </w:r>
      <w:r>
        <w:rPr>
          <w:rStyle w:val="FootnoteReference"/>
          <w:rFonts w:ascii="Times New Roman" w:hAnsi="Times New Roman" w:cs="Times New Roman"/>
          <w:sz w:val="24"/>
          <w:szCs w:val="24"/>
        </w:rPr>
        <w:footnoteReference w:id="183"/>
      </w:r>
      <w:r w:rsidR="005D12EF">
        <w:rPr>
          <w:rFonts w:ascii="Times New Roman" w:hAnsi="Times New Roman" w:cs="Times New Roman"/>
          <w:sz w:val="24"/>
          <w:szCs w:val="24"/>
        </w:rPr>
        <w:t xml:space="preserve">  AEP Ohio must “work with” the Ohio Hospital Association </w:t>
      </w:r>
      <w:r w:rsidR="00F47E76">
        <w:rPr>
          <w:rFonts w:ascii="Times New Roman" w:hAnsi="Times New Roman" w:cs="Times New Roman"/>
          <w:sz w:val="24"/>
          <w:szCs w:val="24"/>
        </w:rPr>
        <w:t xml:space="preserve">(“OHA”) </w:t>
      </w:r>
      <w:r w:rsidR="005D12EF">
        <w:rPr>
          <w:rFonts w:ascii="Times New Roman" w:hAnsi="Times New Roman" w:cs="Times New Roman"/>
          <w:sz w:val="24"/>
          <w:szCs w:val="24"/>
        </w:rPr>
        <w:t>on an annual energy efficiency program.</w:t>
      </w:r>
      <w:r w:rsidR="005D12EF">
        <w:rPr>
          <w:rStyle w:val="FootnoteReference"/>
          <w:rFonts w:ascii="Times New Roman" w:hAnsi="Times New Roman" w:cs="Times New Roman"/>
          <w:sz w:val="24"/>
          <w:szCs w:val="24"/>
        </w:rPr>
        <w:footnoteReference w:id="184"/>
      </w:r>
      <w:r w:rsidR="005D12EF">
        <w:rPr>
          <w:rFonts w:ascii="Times New Roman" w:hAnsi="Times New Roman" w:cs="Times New Roman"/>
          <w:sz w:val="24"/>
          <w:szCs w:val="24"/>
        </w:rPr>
        <w:t xml:space="preserve">  It will maintain a “nexus of operation” in Ohio and “intends” to maintain is corporate headquarters in Columbus.</w:t>
      </w:r>
      <w:r w:rsidR="005D12EF">
        <w:rPr>
          <w:rStyle w:val="FootnoteReference"/>
          <w:rFonts w:ascii="Times New Roman" w:hAnsi="Times New Roman" w:cs="Times New Roman"/>
          <w:sz w:val="24"/>
          <w:szCs w:val="24"/>
        </w:rPr>
        <w:footnoteReference w:id="185"/>
      </w:r>
      <w:r w:rsidR="005D12EF">
        <w:rPr>
          <w:rFonts w:ascii="Times New Roman" w:hAnsi="Times New Roman" w:cs="Times New Roman"/>
          <w:sz w:val="24"/>
          <w:szCs w:val="24"/>
        </w:rPr>
        <w:t xml:space="preserve"> </w:t>
      </w:r>
    </w:p>
    <w:p w:rsidR="00D520AE" w:rsidRDefault="00D520AE">
      <w:pPr>
        <w:rPr>
          <w:rFonts w:ascii="Times New Roman" w:hAnsi="Times New Roman" w:cs="Times New Roman"/>
          <w:sz w:val="24"/>
          <w:szCs w:val="24"/>
        </w:rPr>
      </w:pPr>
      <w:r>
        <w:rPr>
          <w:rFonts w:ascii="Times New Roman" w:hAnsi="Times New Roman" w:cs="Times New Roman"/>
          <w:sz w:val="24"/>
          <w:szCs w:val="24"/>
        </w:rPr>
        <w:br w:type="page"/>
      </w:r>
    </w:p>
    <w:p w:rsidR="00124C12" w:rsidRDefault="005D12E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 some occasions, AEP Ohio must use “best efforts” under the Joint Stipulation.</w:t>
      </w:r>
      <w:r>
        <w:rPr>
          <w:rStyle w:val="FootnoteReference"/>
          <w:rFonts w:ascii="Times New Roman" w:hAnsi="Times New Roman" w:cs="Times New Roman"/>
          <w:sz w:val="24"/>
          <w:szCs w:val="24"/>
        </w:rPr>
        <w:footnoteReference w:id="186"/>
      </w:r>
      <w:r>
        <w:rPr>
          <w:rFonts w:ascii="Times New Roman" w:hAnsi="Times New Roman" w:cs="Times New Roman"/>
          <w:sz w:val="24"/>
          <w:szCs w:val="24"/>
        </w:rPr>
        <w:t xml:space="preserve">  On others, it must take “reasonable steps.”</w:t>
      </w:r>
      <w:r>
        <w:rPr>
          <w:rStyle w:val="FootnoteReference"/>
          <w:rFonts w:ascii="Times New Roman" w:hAnsi="Times New Roman" w:cs="Times New Roman"/>
          <w:sz w:val="24"/>
          <w:szCs w:val="24"/>
        </w:rPr>
        <w:footnoteReference w:id="187"/>
      </w:r>
      <w:r w:rsidR="00147BC4">
        <w:rPr>
          <w:rFonts w:ascii="Times New Roman" w:hAnsi="Times New Roman" w:cs="Times New Roman"/>
          <w:sz w:val="24"/>
          <w:szCs w:val="24"/>
        </w:rPr>
        <w:t xml:space="preserve">  On still others, it must only “promote” or “explore” programs,</w:t>
      </w:r>
      <w:r w:rsidR="00147BC4">
        <w:rPr>
          <w:rStyle w:val="FootnoteReference"/>
          <w:rFonts w:ascii="Times New Roman" w:hAnsi="Times New Roman" w:cs="Times New Roman"/>
          <w:sz w:val="24"/>
          <w:szCs w:val="24"/>
        </w:rPr>
        <w:footnoteReference w:id="188"/>
      </w:r>
      <w:r w:rsidR="00147BC4">
        <w:rPr>
          <w:rFonts w:ascii="Times New Roman" w:hAnsi="Times New Roman" w:cs="Times New Roman"/>
          <w:sz w:val="24"/>
          <w:szCs w:val="24"/>
        </w:rPr>
        <w:t xml:space="preserve"> or give “preference” to others.</w:t>
      </w:r>
      <w:r w:rsidR="00147BC4">
        <w:rPr>
          <w:rStyle w:val="FootnoteReference"/>
          <w:rFonts w:ascii="Times New Roman" w:hAnsi="Times New Roman" w:cs="Times New Roman"/>
          <w:sz w:val="24"/>
          <w:szCs w:val="24"/>
        </w:rPr>
        <w:footnoteReference w:id="189"/>
      </w:r>
      <w:r w:rsidR="00655826">
        <w:rPr>
          <w:rFonts w:ascii="Times New Roman" w:hAnsi="Times New Roman" w:cs="Times New Roman"/>
          <w:sz w:val="24"/>
          <w:szCs w:val="24"/>
        </w:rPr>
        <w:t xml:space="preserve">  </w:t>
      </w:r>
      <w:r w:rsidR="00F56C2B">
        <w:rPr>
          <w:rFonts w:ascii="Times New Roman" w:hAnsi="Times New Roman" w:cs="Times New Roman"/>
          <w:sz w:val="24"/>
          <w:szCs w:val="24"/>
        </w:rPr>
        <w:t>T</w:t>
      </w:r>
      <w:r w:rsidR="00655826">
        <w:rPr>
          <w:rFonts w:ascii="Times New Roman" w:hAnsi="Times New Roman" w:cs="Times New Roman"/>
          <w:sz w:val="24"/>
          <w:szCs w:val="24"/>
        </w:rPr>
        <w:t xml:space="preserve">he Joint Stipulation is </w:t>
      </w:r>
      <w:r w:rsidR="00655826">
        <w:rPr>
          <w:rFonts w:ascii="Times New Roman" w:hAnsi="Times New Roman" w:cs="Times New Roman"/>
          <w:i/>
          <w:sz w:val="24"/>
          <w:szCs w:val="24"/>
        </w:rPr>
        <w:t xml:space="preserve">riddled </w:t>
      </w:r>
      <w:r w:rsidR="006D415C">
        <w:rPr>
          <w:rFonts w:ascii="Times New Roman" w:hAnsi="Times New Roman" w:cs="Times New Roman"/>
          <w:sz w:val="24"/>
          <w:szCs w:val="24"/>
        </w:rPr>
        <w:t>with vagueness and ambiguity</w:t>
      </w:r>
      <w:r w:rsidR="00655826">
        <w:rPr>
          <w:rFonts w:ascii="Times New Roman" w:hAnsi="Times New Roman" w:cs="Times New Roman"/>
          <w:sz w:val="24"/>
          <w:szCs w:val="24"/>
        </w:rPr>
        <w:t>.  Such standards invite endless litigation – what is one’s “best efforts” or “not unreasonable” actions are not necessarily another’s.  The standards by which AEP Ohio’s actions under the Joint Stipulation will be judged are so vague and ambiguous that they cannot be in the public interest or the product of serious bargaining among knowledgeable parties.</w:t>
      </w:r>
    </w:p>
    <w:p w:rsidR="00F73948" w:rsidRDefault="00F73948" w:rsidP="00C81BD3">
      <w:pPr>
        <w:pStyle w:val="Heading4"/>
      </w:pPr>
      <w:bookmarkStart w:id="47" w:name="_Toc442104149"/>
      <w:r>
        <w:t>d.</w:t>
      </w:r>
      <w:r>
        <w:tab/>
      </w:r>
      <w:r w:rsidR="00C04A29">
        <w:t>Under the second prong of the settlement test, the Joint Stipulation cannot be adopted unless there is no violation of regulatory principles; the settlement fails the test because there are terms that would violate regulatory principles.</w:t>
      </w:r>
      <w:bookmarkEnd w:id="47"/>
    </w:p>
    <w:p w:rsidR="00EF13AF" w:rsidRDefault="00C04A29" w:rsidP="0092013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6D415C">
        <w:rPr>
          <w:rFonts w:ascii="Times New Roman" w:hAnsi="Times New Roman" w:cs="Times New Roman"/>
          <w:sz w:val="24"/>
          <w:szCs w:val="24"/>
        </w:rPr>
        <w:t xml:space="preserve"> Joint Stipulation violates important regulatory principles and is not in the public interest.  A</w:t>
      </w:r>
      <w:r w:rsidR="00655826">
        <w:rPr>
          <w:rFonts w:ascii="Times New Roman" w:hAnsi="Times New Roman" w:cs="Times New Roman"/>
          <w:sz w:val="24"/>
          <w:szCs w:val="24"/>
        </w:rPr>
        <w:t xml:space="preserve">ny conceivable public interest served by the Joint Stipulation, as a </w:t>
      </w:r>
    </w:p>
    <w:p w:rsidR="00EF13AF" w:rsidRDefault="00EF13AF">
      <w:pPr>
        <w:rPr>
          <w:rFonts w:ascii="Times New Roman" w:hAnsi="Times New Roman" w:cs="Times New Roman"/>
          <w:sz w:val="24"/>
          <w:szCs w:val="24"/>
        </w:rPr>
      </w:pPr>
      <w:r>
        <w:rPr>
          <w:rFonts w:ascii="Times New Roman" w:hAnsi="Times New Roman" w:cs="Times New Roman"/>
          <w:sz w:val="24"/>
          <w:szCs w:val="24"/>
        </w:rPr>
        <w:br w:type="page"/>
      </w:r>
    </w:p>
    <w:p w:rsidR="00FA42B2" w:rsidRDefault="00655826" w:rsidP="00EF13A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package, can</w:t>
      </w:r>
      <w:r w:rsidR="00034FC7">
        <w:rPr>
          <w:rFonts w:ascii="Times New Roman" w:hAnsi="Times New Roman" w:cs="Times New Roman"/>
          <w:sz w:val="24"/>
          <w:szCs w:val="24"/>
        </w:rPr>
        <w:t>not</w:t>
      </w:r>
      <w:r>
        <w:rPr>
          <w:rFonts w:ascii="Times New Roman" w:hAnsi="Times New Roman" w:cs="Times New Roman"/>
          <w:sz w:val="24"/>
          <w:szCs w:val="24"/>
        </w:rPr>
        <w:t xml:space="preserve"> be founded on AEP Ohio “commitments” to make future filings.</w:t>
      </w:r>
      <w:r w:rsidR="00751D9B">
        <w:rPr>
          <w:rStyle w:val="FootnoteReference"/>
          <w:rFonts w:ascii="Times New Roman" w:hAnsi="Times New Roman" w:cs="Times New Roman"/>
          <w:sz w:val="24"/>
          <w:szCs w:val="24"/>
        </w:rPr>
        <w:footnoteReference w:id="190"/>
      </w:r>
      <w:r>
        <w:rPr>
          <w:rFonts w:ascii="Times New Roman" w:hAnsi="Times New Roman" w:cs="Times New Roman"/>
          <w:sz w:val="24"/>
          <w:szCs w:val="24"/>
        </w:rPr>
        <w:t xml:space="preserve">  Such filings may or may not be approved by the PUCO, and all commitments are contingent.</w:t>
      </w:r>
      <w:r w:rsidR="00BB733F">
        <w:rPr>
          <w:rStyle w:val="FootnoteReference"/>
          <w:rFonts w:ascii="Times New Roman" w:hAnsi="Times New Roman" w:cs="Times New Roman"/>
          <w:sz w:val="24"/>
          <w:szCs w:val="24"/>
        </w:rPr>
        <w:footnoteReference w:id="191"/>
      </w:r>
      <w:r>
        <w:rPr>
          <w:rFonts w:ascii="Times New Roman" w:hAnsi="Times New Roman" w:cs="Times New Roman"/>
          <w:sz w:val="24"/>
          <w:szCs w:val="24"/>
        </w:rPr>
        <w:t xml:space="preserve">  As a matter of regulatory policy and principle the PUCO should require more than contingent commitments to underlie a stipulation.</w:t>
      </w:r>
      <w:r w:rsidR="00751D9B">
        <w:rPr>
          <w:rFonts w:ascii="Times New Roman" w:hAnsi="Times New Roman" w:cs="Times New Roman"/>
          <w:sz w:val="24"/>
          <w:szCs w:val="24"/>
        </w:rPr>
        <w:t xml:space="preserve">  And contingent commitments are not in the public interest.  Such commitments may never come to fruition.  </w:t>
      </w:r>
      <w:r w:rsidR="00B8720E">
        <w:rPr>
          <w:rFonts w:ascii="Times New Roman" w:hAnsi="Times New Roman" w:cs="Times New Roman"/>
          <w:sz w:val="24"/>
          <w:szCs w:val="24"/>
        </w:rPr>
        <w:t>If not,</w:t>
      </w:r>
      <w:r w:rsidR="00751D9B">
        <w:rPr>
          <w:rFonts w:ascii="Times New Roman" w:hAnsi="Times New Roman" w:cs="Times New Roman"/>
          <w:sz w:val="24"/>
          <w:szCs w:val="24"/>
        </w:rPr>
        <w:t xml:space="preserve"> any </w:t>
      </w:r>
      <w:r w:rsidR="00E2461E">
        <w:rPr>
          <w:rFonts w:ascii="Times New Roman" w:hAnsi="Times New Roman" w:cs="Times New Roman"/>
          <w:sz w:val="24"/>
          <w:szCs w:val="24"/>
        </w:rPr>
        <w:t xml:space="preserve">associated </w:t>
      </w:r>
      <w:r w:rsidR="00751D9B">
        <w:rPr>
          <w:rFonts w:ascii="Times New Roman" w:hAnsi="Times New Roman" w:cs="Times New Roman"/>
          <w:sz w:val="24"/>
          <w:szCs w:val="24"/>
        </w:rPr>
        <w:t>purported benefit will never be realized.</w:t>
      </w:r>
      <w:r>
        <w:rPr>
          <w:rFonts w:ascii="Times New Roman" w:hAnsi="Times New Roman" w:cs="Times New Roman"/>
          <w:sz w:val="24"/>
          <w:szCs w:val="24"/>
        </w:rPr>
        <w:t xml:space="preserve"> </w:t>
      </w:r>
    </w:p>
    <w:p w:rsidR="00F73948" w:rsidRDefault="00F73948" w:rsidP="00015688">
      <w:pPr>
        <w:pStyle w:val="Heading4"/>
      </w:pPr>
      <w:bookmarkStart w:id="48" w:name="_Toc442104150"/>
      <w:r>
        <w:t>e.</w:t>
      </w:r>
      <w:r>
        <w:tab/>
      </w:r>
      <w:r w:rsidR="00C04A29">
        <w:t xml:space="preserve">Under the third prong of the settlement test, the Joint Stipulation cannot be adopted unless it, as a package, benefits consumers and is in the public interest; the settlement fails the test because </w:t>
      </w:r>
      <w:r w:rsidR="00445A9D">
        <w:t>AEP Ohio did not prove it</w:t>
      </w:r>
      <w:r w:rsidR="00C04A29">
        <w:t>.</w:t>
      </w:r>
      <w:bookmarkEnd w:id="48"/>
    </w:p>
    <w:p w:rsidR="00B8720E" w:rsidRDefault="00C04A29" w:rsidP="0092013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B8720E">
        <w:rPr>
          <w:rFonts w:ascii="Times New Roman" w:hAnsi="Times New Roman" w:cs="Times New Roman"/>
          <w:sz w:val="24"/>
          <w:szCs w:val="24"/>
        </w:rPr>
        <w:t xml:space="preserve"> Joint Stipulation</w:t>
      </w:r>
      <w:r w:rsidR="00F741B5">
        <w:rPr>
          <w:rFonts w:ascii="Times New Roman" w:hAnsi="Times New Roman" w:cs="Times New Roman"/>
          <w:sz w:val="24"/>
          <w:szCs w:val="24"/>
        </w:rPr>
        <w:t>’s</w:t>
      </w:r>
      <w:r w:rsidR="00B8720E">
        <w:rPr>
          <w:rFonts w:ascii="Times New Roman" w:hAnsi="Times New Roman" w:cs="Times New Roman"/>
          <w:sz w:val="24"/>
          <w:szCs w:val="24"/>
        </w:rPr>
        <w:t xml:space="preserve"> purported benefits are overstated.  The PPA Rider is not necessary for customers to realize any hedging benefit from PPAs.</w:t>
      </w:r>
      <w:r w:rsidR="002F6D49">
        <w:rPr>
          <w:rFonts w:ascii="Times New Roman" w:hAnsi="Times New Roman" w:cs="Times New Roman"/>
          <w:sz w:val="24"/>
          <w:szCs w:val="24"/>
        </w:rPr>
        <w:t xml:space="preserve">  AEP Ohio has been a member of PJM since 2005 or 2006.</w:t>
      </w:r>
      <w:r w:rsidR="002F6D49">
        <w:rPr>
          <w:rStyle w:val="FootnoteReference"/>
          <w:rFonts w:ascii="Times New Roman" w:hAnsi="Times New Roman" w:cs="Times New Roman"/>
          <w:sz w:val="24"/>
          <w:szCs w:val="24"/>
        </w:rPr>
        <w:footnoteReference w:id="192"/>
      </w:r>
      <w:r w:rsidR="002F6D49">
        <w:rPr>
          <w:rFonts w:ascii="Times New Roman" w:hAnsi="Times New Roman" w:cs="Times New Roman"/>
          <w:sz w:val="24"/>
          <w:szCs w:val="24"/>
        </w:rPr>
        <w:t xml:space="preserve">  Since then, PPAs entered into by AEP Ohio have the </w:t>
      </w:r>
      <w:r w:rsidR="00B34067">
        <w:rPr>
          <w:rFonts w:ascii="Times New Roman" w:hAnsi="Times New Roman" w:cs="Times New Roman"/>
          <w:sz w:val="24"/>
          <w:szCs w:val="24"/>
        </w:rPr>
        <w:t>effect of reducing volatility –</w:t>
      </w:r>
      <w:r w:rsidR="002F6D49">
        <w:rPr>
          <w:rFonts w:ascii="Times New Roman" w:hAnsi="Times New Roman" w:cs="Times New Roman"/>
          <w:sz w:val="24"/>
          <w:szCs w:val="24"/>
        </w:rPr>
        <w:t xml:space="preserve"> hedging.</w:t>
      </w:r>
      <w:r w:rsidR="002F6D49">
        <w:rPr>
          <w:rStyle w:val="FootnoteReference"/>
          <w:rFonts w:ascii="Times New Roman" w:hAnsi="Times New Roman" w:cs="Times New Roman"/>
          <w:sz w:val="24"/>
          <w:szCs w:val="24"/>
        </w:rPr>
        <w:footnoteReference w:id="193"/>
      </w:r>
      <w:r w:rsidR="002F6D49">
        <w:rPr>
          <w:rFonts w:ascii="Times New Roman" w:hAnsi="Times New Roman" w:cs="Times New Roman"/>
          <w:sz w:val="24"/>
          <w:szCs w:val="24"/>
        </w:rPr>
        <w:t xml:space="preserve">  At the end of the day, they are financial transactions.</w:t>
      </w:r>
      <w:r w:rsidR="002F6D49">
        <w:rPr>
          <w:rStyle w:val="FootnoteReference"/>
          <w:rFonts w:ascii="Times New Roman" w:hAnsi="Times New Roman" w:cs="Times New Roman"/>
          <w:sz w:val="24"/>
          <w:szCs w:val="24"/>
        </w:rPr>
        <w:footnoteReference w:id="194"/>
      </w:r>
      <w:r w:rsidR="001A3BBF">
        <w:rPr>
          <w:rFonts w:ascii="Times New Roman" w:hAnsi="Times New Roman" w:cs="Times New Roman"/>
          <w:sz w:val="24"/>
          <w:szCs w:val="24"/>
        </w:rPr>
        <w:t xml:space="preserve">  Thus, according to AEP Ohio, PPAs to date have been essentially financial transactions that reduce volatility, stabilize prices, and thus hedge.  The PPA Rider is simply unnecessary to achieving such benefits.</w:t>
      </w:r>
    </w:p>
    <w:p w:rsidR="00C04A29" w:rsidRDefault="001A3BBF" w:rsidP="0092013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If Conesville Units 5 and 6 are co-fired, they will run at only a seventy five percent capacity factor.</w:t>
      </w:r>
      <w:r>
        <w:rPr>
          <w:rStyle w:val="FootnoteReference"/>
          <w:rFonts w:ascii="Times New Roman" w:hAnsi="Times New Roman" w:cs="Times New Roman"/>
          <w:sz w:val="24"/>
          <w:szCs w:val="24"/>
        </w:rPr>
        <w:footnoteReference w:id="195"/>
      </w:r>
      <w:r>
        <w:rPr>
          <w:rFonts w:ascii="Times New Roman" w:hAnsi="Times New Roman" w:cs="Times New Roman"/>
          <w:sz w:val="24"/>
          <w:szCs w:val="24"/>
        </w:rPr>
        <w:t xml:space="preserve">  </w:t>
      </w:r>
      <w:r w:rsidR="00F741B5">
        <w:rPr>
          <w:rFonts w:ascii="Times New Roman" w:hAnsi="Times New Roman" w:cs="Times New Roman"/>
          <w:sz w:val="24"/>
          <w:szCs w:val="24"/>
        </w:rPr>
        <w:t>W</w:t>
      </w:r>
      <w:r>
        <w:rPr>
          <w:rFonts w:ascii="Times New Roman" w:hAnsi="Times New Roman" w:cs="Times New Roman"/>
          <w:sz w:val="24"/>
          <w:szCs w:val="24"/>
        </w:rPr>
        <w:t>hile consumers are paying Conesville Units 5 and 6</w:t>
      </w:r>
      <w:r w:rsidR="00B34067">
        <w:rPr>
          <w:rFonts w:ascii="Times New Roman" w:hAnsi="Times New Roman" w:cs="Times New Roman"/>
          <w:sz w:val="24"/>
          <w:szCs w:val="24"/>
        </w:rPr>
        <w:t>’</w:t>
      </w:r>
      <w:r>
        <w:rPr>
          <w:rFonts w:ascii="Times New Roman" w:hAnsi="Times New Roman" w:cs="Times New Roman"/>
          <w:sz w:val="24"/>
          <w:szCs w:val="24"/>
        </w:rPr>
        <w:t>s costs, the Units</w:t>
      </w:r>
      <w:r w:rsidR="00B34067">
        <w:rPr>
          <w:rFonts w:ascii="Times New Roman" w:hAnsi="Times New Roman" w:cs="Times New Roman"/>
          <w:sz w:val="24"/>
          <w:szCs w:val="24"/>
        </w:rPr>
        <w:t>’</w:t>
      </w:r>
      <w:r>
        <w:rPr>
          <w:rFonts w:ascii="Times New Roman" w:hAnsi="Times New Roman" w:cs="Times New Roman"/>
          <w:sz w:val="24"/>
          <w:szCs w:val="24"/>
        </w:rPr>
        <w:t xml:space="preserve"> revenue will be much less since they will run less.</w:t>
      </w:r>
      <w:r w:rsidR="00387302">
        <w:rPr>
          <w:rFonts w:ascii="Times New Roman" w:hAnsi="Times New Roman" w:cs="Times New Roman"/>
          <w:sz w:val="24"/>
          <w:szCs w:val="24"/>
        </w:rPr>
        <w:t xml:space="preserve">  </w:t>
      </w:r>
    </w:p>
    <w:p w:rsidR="00C04A29" w:rsidRDefault="00387302" w:rsidP="0092013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AEP Ohio proposes that the PPA Rider start with a $4 million credit, </w:t>
      </w:r>
      <w:r w:rsidR="00C04A29">
        <w:rPr>
          <w:rFonts w:ascii="Times New Roman" w:hAnsi="Times New Roman" w:cs="Times New Roman"/>
          <w:sz w:val="24"/>
          <w:szCs w:val="24"/>
        </w:rPr>
        <w:t xml:space="preserve">but </w:t>
      </w:r>
      <w:r w:rsidR="00B34067">
        <w:rPr>
          <w:rFonts w:ascii="Times New Roman" w:hAnsi="Times New Roman" w:cs="Times New Roman"/>
          <w:sz w:val="24"/>
          <w:szCs w:val="24"/>
        </w:rPr>
        <w:t>the PPA Rider’</w:t>
      </w:r>
      <w:r>
        <w:rPr>
          <w:rFonts w:ascii="Times New Roman" w:hAnsi="Times New Roman" w:cs="Times New Roman"/>
          <w:sz w:val="24"/>
          <w:szCs w:val="24"/>
        </w:rPr>
        <w:t>s net impact on consumers could go up or down -- consumers bearing all the risk, of course.</w:t>
      </w:r>
      <w:r>
        <w:rPr>
          <w:rStyle w:val="FootnoteReference"/>
          <w:rFonts w:ascii="Times New Roman" w:hAnsi="Times New Roman" w:cs="Times New Roman"/>
          <w:sz w:val="24"/>
          <w:szCs w:val="24"/>
        </w:rPr>
        <w:footnoteReference w:id="196"/>
      </w:r>
      <w:r w:rsidR="00262B1F">
        <w:rPr>
          <w:rFonts w:ascii="Times New Roman" w:hAnsi="Times New Roman" w:cs="Times New Roman"/>
          <w:sz w:val="24"/>
          <w:szCs w:val="24"/>
        </w:rPr>
        <w:t xml:space="preserve">  Although the net effect of capacity performance auctions expected by AEP Ohio, including potential penalties, are p</w:t>
      </w:r>
      <w:r w:rsidR="00B34067">
        <w:rPr>
          <w:rFonts w:ascii="Times New Roman" w:hAnsi="Times New Roman" w:cs="Times New Roman"/>
          <w:sz w:val="24"/>
          <w:szCs w:val="24"/>
        </w:rPr>
        <w:t>urportedly included in AEP Ohio’</w:t>
      </w:r>
      <w:r w:rsidR="00262B1F">
        <w:rPr>
          <w:rFonts w:ascii="Times New Roman" w:hAnsi="Times New Roman" w:cs="Times New Roman"/>
          <w:sz w:val="24"/>
          <w:szCs w:val="24"/>
        </w:rPr>
        <w:t>s PPA Rider forecast, the PPA Units may actually incur full capacity performance penalties -- consumers bearing all the risk, of course.</w:t>
      </w:r>
      <w:r w:rsidR="00262B1F">
        <w:rPr>
          <w:rStyle w:val="FootnoteReference"/>
          <w:rFonts w:ascii="Times New Roman" w:hAnsi="Times New Roman" w:cs="Times New Roman"/>
          <w:sz w:val="24"/>
          <w:szCs w:val="24"/>
        </w:rPr>
        <w:footnoteReference w:id="197"/>
      </w:r>
      <w:r w:rsidR="005723C9">
        <w:rPr>
          <w:rFonts w:ascii="Times New Roman" w:hAnsi="Times New Roman" w:cs="Times New Roman"/>
          <w:sz w:val="24"/>
          <w:szCs w:val="24"/>
        </w:rPr>
        <w:t xml:space="preserve">  </w:t>
      </w:r>
    </w:p>
    <w:p w:rsidR="001A3BBF" w:rsidRDefault="00B51AEC" w:rsidP="0092013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AEP Ohio commits to providing credits </w:t>
      </w:r>
      <w:r w:rsidR="00034FC7">
        <w:rPr>
          <w:rFonts w:ascii="Times New Roman" w:hAnsi="Times New Roman" w:cs="Times New Roman"/>
          <w:sz w:val="24"/>
          <w:szCs w:val="24"/>
        </w:rPr>
        <w:t>during</w:t>
      </w:r>
      <w:r>
        <w:rPr>
          <w:rFonts w:ascii="Times New Roman" w:hAnsi="Times New Roman" w:cs="Times New Roman"/>
          <w:sz w:val="24"/>
          <w:szCs w:val="24"/>
        </w:rPr>
        <w:t xml:space="preserve"> the last fo</w:t>
      </w:r>
      <w:r w:rsidR="00034FC7">
        <w:rPr>
          <w:rFonts w:ascii="Times New Roman" w:hAnsi="Times New Roman" w:cs="Times New Roman"/>
          <w:sz w:val="24"/>
          <w:szCs w:val="24"/>
        </w:rPr>
        <w:t>u</w:t>
      </w:r>
      <w:r>
        <w:rPr>
          <w:rFonts w:ascii="Times New Roman" w:hAnsi="Times New Roman" w:cs="Times New Roman"/>
          <w:sz w:val="24"/>
          <w:szCs w:val="24"/>
        </w:rPr>
        <w:t>r years of the PPA Rider</w:t>
      </w:r>
      <w:r w:rsidR="00C04A29">
        <w:rPr>
          <w:rFonts w:ascii="Times New Roman" w:hAnsi="Times New Roman" w:cs="Times New Roman"/>
          <w:sz w:val="24"/>
          <w:szCs w:val="24"/>
        </w:rPr>
        <w:t>.  But the credits</w:t>
      </w:r>
      <w:r>
        <w:rPr>
          <w:rFonts w:ascii="Times New Roman" w:hAnsi="Times New Roman" w:cs="Times New Roman"/>
          <w:sz w:val="24"/>
          <w:szCs w:val="24"/>
        </w:rPr>
        <w:t xml:space="preserve"> will serve only to limit, not eliminate, charges to consumers</w:t>
      </w:r>
      <w:r w:rsidR="002B0429">
        <w:rPr>
          <w:rFonts w:ascii="Times New Roman" w:hAnsi="Times New Roman" w:cs="Times New Roman"/>
          <w:sz w:val="24"/>
          <w:szCs w:val="24"/>
        </w:rPr>
        <w:t xml:space="preserve"> – and there are no </w:t>
      </w:r>
      <w:r w:rsidR="00034FC7">
        <w:rPr>
          <w:rFonts w:ascii="Times New Roman" w:hAnsi="Times New Roman" w:cs="Times New Roman"/>
          <w:sz w:val="24"/>
          <w:szCs w:val="24"/>
        </w:rPr>
        <w:t xml:space="preserve">committed </w:t>
      </w:r>
      <w:r w:rsidR="002B0429">
        <w:rPr>
          <w:rFonts w:ascii="Times New Roman" w:hAnsi="Times New Roman" w:cs="Times New Roman"/>
          <w:sz w:val="24"/>
          <w:szCs w:val="24"/>
        </w:rPr>
        <w:t xml:space="preserve">credits provided for </w:t>
      </w:r>
      <w:r w:rsidR="00F741B5">
        <w:rPr>
          <w:rFonts w:ascii="Times New Roman" w:hAnsi="Times New Roman" w:cs="Times New Roman"/>
          <w:sz w:val="24"/>
          <w:szCs w:val="24"/>
        </w:rPr>
        <w:t xml:space="preserve">in </w:t>
      </w:r>
      <w:r w:rsidR="002B0429">
        <w:rPr>
          <w:rFonts w:ascii="Times New Roman" w:hAnsi="Times New Roman" w:cs="Times New Roman"/>
          <w:sz w:val="24"/>
          <w:szCs w:val="24"/>
        </w:rPr>
        <w:t>the PPA Rider’s first four years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98"/>
      </w:r>
      <w:r>
        <w:rPr>
          <w:rFonts w:ascii="Times New Roman" w:hAnsi="Times New Roman" w:cs="Times New Roman"/>
          <w:sz w:val="24"/>
          <w:szCs w:val="24"/>
        </w:rPr>
        <w:t xml:space="preserve">  </w:t>
      </w:r>
      <w:r w:rsidR="00ED129E">
        <w:rPr>
          <w:rFonts w:ascii="Times New Roman" w:hAnsi="Times New Roman" w:cs="Times New Roman"/>
          <w:sz w:val="24"/>
          <w:szCs w:val="24"/>
        </w:rPr>
        <w:t>AEP Ohio’</w:t>
      </w:r>
      <w:r w:rsidR="005723C9">
        <w:rPr>
          <w:rFonts w:ascii="Times New Roman" w:hAnsi="Times New Roman" w:cs="Times New Roman"/>
          <w:sz w:val="24"/>
          <w:szCs w:val="24"/>
        </w:rPr>
        <w:t>s PPA Rider forecast showing customer credits does not include the cost of converting Conesville Units 5 and 6 or developing the wind and solar projects,</w:t>
      </w:r>
      <w:r w:rsidR="005723C9">
        <w:rPr>
          <w:rStyle w:val="FootnoteReference"/>
          <w:rFonts w:ascii="Times New Roman" w:hAnsi="Times New Roman" w:cs="Times New Roman"/>
          <w:sz w:val="24"/>
          <w:szCs w:val="24"/>
        </w:rPr>
        <w:footnoteReference w:id="199"/>
      </w:r>
      <w:r w:rsidR="005723C9">
        <w:rPr>
          <w:rFonts w:ascii="Times New Roman" w:hAnsi="Times New Roman" w:cs="Times New Roman"/>
          <w:sz w:val="24"/>
          <w:szCs w:val="24"/>
        </w:rPr>
        <w:t xml:space="preserve"> and the carbon reduction plan it promises to file will not contain any additional binding commitments to reduce carbon.</w:t>
      </w:r>
      <w:r w:rsidR="005723C9">
        <w:rPr>
          <w:rStyle w:val="FootnoteReference"/>
          <w:rFonts w:ascii="Times New Roman" w:hAnsi="Times New Roman" w:cs="Times New Roman"/>
          <w:sz w:val="24"/>
          <w:szCs w:val="24"/>
        </w:rPr>
        <w:footnoteReference w:id="200"/>
      </w:r>
      <w:r w:rsidR="007869DA">
        <w:rPr>
          <w:rFonts w:ascii="Times New Roman" w:hAnsi="Times New Roman" w:cs="Times New Roman"/>
          <w:sz w:val="24"/>
          <w:szCs w:val="24"/>
        </w:rPr>
        <w:t xml:space="preserve">  </w:t>
      </w:r>
      <w:r w:rsidR="00F73948">
        <w:rPr>
          <w:rFonts w:ascii="Times New Roman" w:hAnsi="Times New Roman" w:cs="Times New Roman"/>
          <w:sz w:val="24"/>
          <w:szCs w:val="24"/>
        </w:rPr>
        <w:t>Although</w:t>
      </w:r>
      <w:r w:rsidR="007869DA">
        <w:rPr>
          <w:rFonts w:ascii="Times New Roman" w:hAnsi="Times New Roman" w:cs="Times New Roman"/>
          <w:sz w:val="24"/>
          <w:szCs w:val="24"/>
        </w:rPr>
        <w:t xml:space="preserve"> the Joint Stipulation purportedly permits PUCO review of AEP Ohio’s offering strategies into PJM, the review would not be conducted until </w:t>
      </w:r>
      <w:r w:rsidR="007869DA">
        <w:rPr>
          <w:rFonts w:ascii="Times New Roman" w:hAnsi="Times New Roman" w:cs="Times New Roman"/>
          <w:i/>
          <w:sz w:val="24"/>
          <w:szCs w:val="24"/>
        </w:rPr>
        <w:t>four years after the fact</w:t>
      </w:r>
      <w:r w:rsidR="007869DA">
        <w:rPr>
          <w:rFonts w:ascii="Times New Roman" w:hAnsi="Times New Roman" w:cs="Times New Roman"/>
          <w:sz w:val="24"/>
          <w:szCs w:val="24"/>
        </w:rPr>
        <w:t>.</w:t>
      </w:r>
      <w:r w:rsidR="007869DA">
        <w:rPr>
          <w:rStyle w:val="FootnoteReference"/>
          <w:rFonts w:ascii="Times New Roman" w:hAnsi="Times New Roman" w:cs="Times New Roman"/>
          <w:sz w:val="24"/>
          <w:szCs w:val="24"/>
        </w:rPr>
        <w:footnoteReference w:id="201"/>
      </w:r>
      <w:r w:rsidR="00A96496">
        <w:rPr>
          <w:rFonts w:ascii="Times New Roman" w:hAnsi="Times New Roman" w:cs="Times New Roman"/>
          <w:sz w:val="24"/>
          <w:szCs w:val="24"/>
        </w:rPr>
        <w:t xml:space="preserve">  </w:t>
      </w:r>
      <w:r w:rsidR="00F56C2B">
        <w:rPr>
          <w:rFonts w:ascii="Times New Roman" w:hAnsi="Times New Roman" w:cs="Times New Roman"/>
          <w:sz w:val="24"/>
          <w:szCs w:val="24"/>
        </w:rPr>
        <w:t>Also, t</w:t>
      </w:r>
      <w:r w:rsidR="00A96496">
        <w:rPr>
          <w:rFonts w:ascii="Times New Roman" w:hAnsi="Times New Roman" w:cs="Times New Roman"/>
          <w:sz w:val="24"/>
          <w:szCs w:val="24"/>
        </w:rPr>
        <w:t>he Joint Stipulation contains a severability provision that would come into play were the PPA Rider found unlawful</w:t>
      </w:r>
      <w:r w:rsidR="00F56C2B">
        <w:rPr>
          <w:rFonts w:ascii="Times New Roman" w:hAnsi="Times New Roman" w:cs="Times New Roman"/>
          <w:sz w:val="24"/>
          <w:szCs w:val="24"/>
        </w:rPr>
        <w:t>.  But</w:t>
      </w:r>
      <w:r w:rsidR="00A96496">
        <w:rPr>
          <w:rFonts w:ascii="Times New Roman" w:hAnsi="Times New Roman" w:cs="Times New Roman"/>
          <w:sz w:val="24"/>
          <w:szCs w:val="24"/>
        </w:rPr>
        <w:t xml:space="preserve"> consumers would not necessarily get a refund of dollars for the unlawful charge.</w:t>
      </w:r>
      <w:r w:rsidR="00A96496">
        <w:rPr>
          <w:rStyle w:val="FootnoteReference"/>
          <w:rFonts w:ascii="Times New Roman" w:hAnsi="Times New Roman" w:cs="Times New Roman"/>
          <w:sz w:val="24"/>
          <w:szCs w:val="24"/>
        </w:rPr>
        <w:footnoteReference w:id="202"/>
      </w:r>
      <w:r w:rsidR="007869DA">
        <w:rPr>
          <w:rFonts w:ascii="Times New Roman" w:hAnsi="Times New Roman" w:cs="Times New Roman"/>
          <w:sz w:val="24"/>
          <w:szCs w:val="24"/>
        </w:rPr>
        <w:t xml:space="preserve"> </w:t>
      </w:r>
      <w:r w:rsidR="005723C9">
        <w:rPr>
          <w:rFonts w:ascii="Times New Roman" w:hAnsi="Times New Roman" w:cs="Times New Roman"/>
          <w:sz w:val="24"/>
          <w:szCs w:val="24"/>
        </w:rPr>
        <w:t xml:space="preserve"> </w:t>
      </w:r>
      <w:r w:rsidR="001A3BBF">
        <w:rPr>
          <w:rFonts w:ascii="Times New Roman" w:hAnsi="Times New Roman" w:cs="Times New Roman"/>
          <w:sz w:val="24"/>
          <w:szCs w:val="24"/>
        </w:rPr>
        <w:t xml:space="preserve"> </w:t>
      </w:r>
    </w:p>
    <w:p w:rsidR="0073251A" w:rsidRPr="00FA42B2" w:rsidRDefault="00D34055" w:rsidP="00F27AA5">
      <w:pPr>
        <w:pStyle w:val="Heading3"/>
      </w:pPr>
      <w:bookmarkStart w:id="49" w:name="_Toc442104151"/>
      <w:r>
        <w:t>2.</w:t>
      </w:r>
      <w:r>
        <w:tab/>
      </w:r>
      <w:r w:rsidR="00FA42B2" w:rsidRPr="00FA42B2">
        <w:t>Testimony on behalf of OCC justifies rejecting the Joint Stipulation.</w:t>
      </w:r>
      <w:bookmarkEnd w:id="49"/>
      <w:r w:rsidR="00655826" w:rsidRPr="00FA42B2">
        <w:t xml:space="preserve"> </w:t>
      </w:r>
    </w:p>
    <w:p w:rsidR="00A433F8" w:rsidRDefault="00A433F8" w:rsidP="000156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Testimony on behalf of OCC demonstrates that the Joint Stipulation is too costly</w:t>
      </w:r>
      <w:r w:rsidR="007B698F">
        <w:rPr>
          <w:rFonts w:ascii="Times New Roman" w:hAnsi="Times New Roman" w:cs="Times New Roman"/>
          <w:sz w:val="24"/>
          <w:szCs w:val="24"/>
        </w:rPr>
        <w:t xml:space="preserve"> for consumers</w:t>
      </w:r>
      <w:r>
        <w:rPr>
          <w:rFonts w:ascii="Times New Roman" w:hAnsi="Times New Roman" w:cs="Times New Roman"/>
          <w:sz w:val="24"/>
          <w:szCs w:val="24"/>
        </w:rPr>
        <w:t>, its rate design is flawed, and it otherwise fails the three-prong</w:t>
      </w:r>
      <w:r w:rsidR="00F56C2B">
        <w:rPr>
          <w:rFonts w:ascii="Times New Roman" w:hAnsi="Times New Roman" w:cs="Times New Roman"/>
          <w:sz w:val="24"/>
          <w:szCs w:val="24"/>
        </w:rPr>
        <w:t xml:space="preserve"> settlement</w:t>
      </w:r>
      <w:r>
        <w:rPr>
          <w:rFonts w:ascii="Times New Roman" w:hAnsi="Times New Roman" w:cs="Times New Roman"/>
          <w:sz w:val="24"/>
          <w:szCs w:val="24"/>
        </w:rPr>
        <w:t xml:space="preserve"> test.  Thus it confirms, and independently justifies, rejecting the Joint Stipulation.</w:t>
      </w:r>
    </w:p>
    <w:p w:rsidR="00CF2D5B" w:rsidRPr="008F01E6" w:rsidRDefault="00CF2D5B" w:rsidP="00CF2D5B">
      <w:pPr>
        <w:pStyle w:val="Heading4"/>
      </w:pPr>
      <w:bookmarkStart w:id="50" w:name="_Toc442104152"/>
      <w:r>
        <w:t>a</w:t>
      </w:r>
      <w:r w:rsidR="00015688">
        <w:t>.</w:t>
      </w:r>
      <w:r w:rsidR="00015688">
        <w:tab/>
      </w:r>
      <w:r>
        <w:t>The Joint Stipulation is a bad deal for consumers, and sho</w:t>
      </w:r>
      <w:r w:rsidR="00C04A29">
        <w:t xml:space="preserve">uld be rejected under all three </w:t>
      </w:r>
      <w:r>
        <w:t>prongs of the PUCO’s test</w:t>
      </w:r>
      <w:r w:rsidR="00445A9D">
        <w:t>, based on OCC’s and others’ testimony</w:t>
      </w:r>
      <w:r>
        <w:t>.</w:t>
      </w:r>
      <w:bookmarkEnd w:id="50"/>
    </w:p>
    <w:p w:rsidR="00CF2D5B" w:rsidRDefault="00CF2D5B" w:rsidP="00CF2D5B">
      <w:pPr>
        <w:spacing w:after="0" w:line="480" w:lineRule="auto"/>
        <w:rPr>
          <w:rFonts w:ascii="Times New Roman" w:hAnsi="Times New Roman" w:cs="Times New Roman"/>
          <w:color w:val="000000"/>
          <w:sz w:val="24"/>
          <w:szCs w:val="24"/>
        </w:rPr>
      </w:pPr>
      <w:r>
        <w:rPr>
          <w:rFonts w:ascii="Times New Roman" w:hAnsi="Times New Roman" w:cs="Times New Roman"/>
          <w:sz w:val="24"/>
          <w:szCs w:val="24"/>
        </w:rPr>
        <w:tab/>
        <w:t>The Signatory Parties</w:t>
      </w:r>
      <w:r w:rsidR="00ED129E">
        <w:rPr>
          <w:rFonts w:ascii="Times New Roman" w:hAnsi="Times New Roman" w:cs="Times New Roman"/>
          <w:sz w:val="24"/>
          <w:szCs w:val="24"/>
        </w:rPr>
        <w:t>’</w:t>
      </w:r>
      <w:r>
        <w:rPr>
          <w:rFonts w:ascii="Times New Roman" w:hAnsi="Times New Roman" w:cs="Times New Roman"/>
          <w:sz w:val="24"/>
          <w:szCs w:val="24"/>
        </w:rPr>
        <w:t xml:space="preserve"> own case confirms that the Joint Stipulation does not pass the three</w:t>
      </w:r>
      <w:r w:rsidR="00ED129E">
        <w:rPr>
          <w:rFonts w:ascii="Times New Roman" w:hAnsi="Times New Roman" w:cs="Times New Roman"/>
          <w:sz w:val="24"/>
          <w:szCs w:val="24"/>
        </w:rPr>
        <w:t>-prong test.  Based on AEP Ohio’</w:t>
      </w:r>
      <w:r>
        <w:rPr>
          <w:rFonts w:ascii="Times New Roman" w:hAnsi="Times New Roman" w:cs="Times New Roman"/>
          <w:sz w:val="24"/>
          <w:szCs w:val="24"/>
        </w:rPr>
        <w:t>s own forecasts, consumers are worse off under it than they would be if only the PPA Rider were approved.</w:t>
      </w:r>
      <w:r w:rsidRPr="004027F2">
        <w:rPr>
          <w:rFonts w:ascii="Times New Roman" w:hAnsi="Times New Roman" w:cs="Times New Roman"/>
          <w:color w:val="000000"/>
          <w:sz w:val="24"/>
          <w:szCs w:val="24"/>
        </w:rPr>
        <w:t xml:space="preserve"> </w:t>
      </w:r>
    </w:p>
    <w:p w:rsidR="00CF2D5B" w:rsidRDefault="00CF2D5B" w:rsidP="00CF2D5B">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w:t>
      </w:r>
      <w:r>
        <w:rPr>
          <w:rFonts w:ascii="Times New Roman" w:hAnsi="Times New Roman" w:cs="Times New Roman"/>
          <w:sz w:val="24"/>
          <w:szCs w:val="24"/>
        </w:rPr>
        <w:t xml:space="preserve">he Joint Stipulation is vague and ambiguous.  It contains undefined, impractical standards by which AEP Ohio’s actions under the Joint Stipulation will be judged.  </w:t>
      </w:r>
      <w:r>
        <w:rPr>
          <w:rFonts w:ascii="Times New Roman" w:hAnsi="Times New Roman" w:cs="Times New Roman"/>
          <w:color w:val="000000"/>
          <w:sz w:val="24"/>
          <w:szCs w:val="24"/>
        </w:rPr>
        <w:t>It is an invitation to further litigation. Serious bargaining, had it been present as required under the first prong of the settlement standard, should have produced a settlement with much more defined resolution of issues.  This settlement is more of an agreement in principle in significant respects.  The settlement should be rejected under the first prong of the settlement standard.</w:t>
      </w:r>
    </w:p>
    <w:p w:rsidR="00CF2D5B" w:rsidRDefault="00CF2D5B" w:rsidP="00CF2D5B">
      <w:pPr>
        <w:spacing w:after="0" w:line="480" w:lineRule="auto"/>
        <w:ind w:firstLine="720"/>
        <w:rPr>
          <w:rFonts w:ascii="Times New Roman" w:hAnsi="Times New Roman" w:cs="Times New Roman"/>
          <w:sz w:val="24"/>
          <w:szCs w:val="24"/>
        </w:rPr>
      </w:pPr>
      <w:r>
        <w:rPr>
          <w:rFonts w:ascii="Times New Roman" w:hAnsi="Times New Roman" w:cs="Times New Roman"/>
          <w:color w:val="000000"/>
          <w:sz w:val="24"/>
          <w:szCs w:val="24"/>
        </w:rPr>
        <w:t xml:space="preserve">The settlement, as a package, is not in the public interest given the hodgepodge of unrelated handouts that are assembled in it.  As a matter of regulatory policy, more certainty and clarity should be required of stipulations than that provided by the Joint Stipulation.  </w:t>
      </w:r>
      <w:r>
        <w:rPr>
          <w:rFonts w:ascii="Times New Roman" w:hAnsi="Times New Roman" w:cs="Times New Roman"/>
          <w:sz w:val="24"/>
          <w:szCs w:val="24"/>
        </w:rPr>
        <w:t>Any conceivable public interest served by the Joint Stipulation, as a package, can be founded on little more than AEP Ohio “commitments” to make future filings, all of which are contingent.</w:t>
      </w:r>
      <w:r>
        <w:rPr>
          <w:rStyle w:val="FootnoteReference"/>
          <w:rFonts w:ascii="Times New Roman" w:hAnsi="Times New Roman" w:cs="Times New Roman"/>
          <w:sz w:val="24"/>
          <w:szCs w:val="24"/>
        </w:rPr>
        <w:footnoteReference w:id="203"/>
      </w:r>
      <w:r>
        <w:rPr>
          <w:rFonts w:ascii="Times New Roman" w:hAnsi="Times New Roman" w:cs="Times New Roman"/>
          <w:sz w:val="24"/>
          <w:szCs w:val="24"/>
        </w:rPr>
        <w:t xml:space="preserve"> </w:t>
      </w:r>
    </w:p>
    <w:p w:rsidR="00CF2D5B" w:rsidRDefault="00CF2D5B" w:rsidP="00CF2D5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OCC's case confirms, and independently justifies, rejecting the Joint Stipulation.  It does not pass the three-prong test. </w:t>
      </w:r>
      <w:r w:rsidR="00ED129E">
        <w:rPr>
          <w:rFonts w:ascii="Times New Roman" w:hAnsi="Times New Roman" w:cs="Times New Roman"/>
          <w:sz w:val="24"/>
          <w:szCs w:val="24"/>
        </w:rPr>
        <w:t xml:space="preserve"> </w:t>
      </w:r>
      <w:r>
        <w:rPr>
          <w:rFonts w:ascii="Times New Roman" w:hAnsi="Times New Roman" w:cs="Times New Roman"/>
          <w:sz w:val="24"/>
          <w:szCs w:val="24"/>
        </w:rPr>
        <w:t xml:space="preserve">It is a compilation of financial benefits and inducements for Signatory Parties to sign.  And most of the inducements to sign will be paid with other people’s money (Ohioans’ money), not by AEP Ohio.  </w:t>
      </w:r>
    </w:p>
    <w:p w:rsidR="00CF2D5B" w:rsidRDefault="00CF2D5B" w:rsidP="00CF2D5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rate design is flawed and will harm consumers.  The result of all this is unreasonable rates, but R.C. 4928.02(A) requires reasonably priced service.  Further, the “Catch-22</w:t>
      </w:r>
      <w:r w:rsidR="00CC107A">
        <w:rPr>
          <w:rFonts w:ascii="Times New Roman" w:hAnsi="Times New Roman" w:cs="Times New Roman"/>
          <w:sz w:val="24"/>
          <w:szCs w:val="24"/>
        </w:rPr>
        <w:t>”</w:t>
      </w:r>
      <w:r>
        <w:rPr>
          <w:rFonts w:ascii="Times New Roman" w:hAnsi="Times New Roman" w:cs="Times New Roman"/>
          <w:sz w:val="24"/>
          <w:szCs w:val="24"/>
        </w:rPr>
        <w:t xml:space="preserve"> for AEP Ohio is that approving the Joint Stipulation would require rejecting its Modified Amended Application because the </w:t>
      </w:r>
      <w:r w:rsidR="00CC107A">
        <w:rPr>
          <w:rFonts w:ascii="Times New Roman" w:hAnsi="Times New Roman" w:cs="Times New Roman"/>
          <w:sz w:val="24"/>
          <w:szCs w:val="24"/>
        </w:rPr>
        <w:t xml:space="preserve">Joint </w:t>
      </w:r>
      <w:r>
        <w:rPr>
          <w:rFonts w:ascii="Times New Roman" w:hAnsi="Times New Roman" w:cs="Times New Roman"/>
          <w:sz w:val="24"/>
          <w:szCs w:val="24"/>
        </w:rPr>
        <w:t xml:space="preserve">Stipulation would cause ESP III to fail the MRO v. ESP test.  </w:t>
      </w:r>
    </w:p>
    <w:p w:rsidR="00CF2D5B" w:rsidRDefault="00CF2D5B" w:rsidP="00CF2D5B">
      <w:pPr>
        <w:spacing w:after="0" w:line="480" w:lineRule="auto"/>
        <w:rPr>
          <w:rFonts w:ascii="Times New Roman" w:hAnsi="Times New Roman" w:cs="Times New Roman"/>
          <w:color w:val="000000"/>
          <w:sz w:val="24"/>
          <w:szCs w:val="24"/>
        </w:rPr>
      </w:pPr>
      <w:r>
        <w:rPr>
          <w:rFonts w:ascii="Times New Roman" w:hAnsi="Times New Roman" w:cs="Times New Roman"/>
          <w:sz w:val="24"/>
          <w:szCs w:val="24"/>
        </w:rPr>
        <w:tab/>
        <w:t>The Joint Stipulation is a bad deal for consumers, and should not be approved.</w:t>
      </w:r>
      <w:r>
        <w:rPr>
          <w:rStyle w:val="FootnoteReference"/>
          <w:rFonts w:ascii="Times New Roman" w:hAnsi="Times New Roman" w:cs="Times New Roman"/>
          <w:sz w:val="24"/>
          <w:szCs w:val="24"/>
        </w:rPr>
        <w:footnoteReference w:id="204"/>
      </w:r>
      <w:r>
        <w:rPr>
          <w:rFonts w:ascii="Times New Roman" w:hAnsi="Times New Roman" w:cs="Times New Roman"/>
          <w:sz w:val="24"/>
          <w:szCs w:val="24"/>
        </w:rPr>
        <w:t xml:space="preserve"> </w:t>
      </w:r>
    </w:p>
    <w:p w:rsidR="00CF2D5B" w:rsidRDefault="00CF2D5B" w:rsidP="00431103">
      <w:pPr>
        <w:spacing w:after="240" w:line="480" w:lineRule="auto"/>
        <w:ind w:firstLine="720"/>
        <w:rPr>
          <w:rFonts w:ascii="Times New Roman" w:hAnsi="Times New Roman" w:cs="Times New Roman"/>
          <w:sz w:val="24"/>
          <w:szCs w:val="24"/>
        </w:rPr>
      </w:pPr>
    </w:p>
    <w:p w:rsidR="00CF2D5B" w:rsidRDefault="00CF2D5B" w:rsidP="00431103">
      <w:pPr>
        <w:spacing w:after="240" w:line="480" w:lineRule="auto"/>
        <w:ind w:firstLine="720"/>
        <w:rPr>
          <w:rFonts w:ascii="Times New Roman" w:hAnsi="Times New Roman" w:cs="Times New Roman"/>
          <w:sz w:val="24"/>
          <w:szCs w:val="24"/>
        </w:rPr>
      </w:pPr>
    </w:p>
    <w:p w:rsidR="00A433F8" w:rsidRDefault="00CF2D5B" w:rsidP="00C401CE">
      <w:pPr>
        <w:pStyle w:val="Heading4"/>
      </w:pPr>
      <w:bookmarkStart w:id="51" w:name="_Toc442104153"/>
      <w:r>
        <w:t>b</w:t>
      </w:r>
      <w:r w:rsidR="00D34055">
        <w:t>.</w:t>
      </w:r>
      <w:r w:rsidR="00D34055">
        <w:tab/>
      </w:r>
      <w:r w:rsidR="00C04A29">
        <w:t>Under the first and third prongs of the settlement test, the Joint Stipulation cannot be adopted unless it is the product of serious bargaining among knowledgeable, diverse parties and as a package is in the public interest; it fails the test</w:t>
      </w:r>
      <w:r w:rsidR="00A433F8">
        <w:t>.</w:t>
      </w:r>
      <w:bookmarkEnd w:id="51"/>
    </w:p>
    <w:p w:rsidR="00FA42B2" w:rsidRPr="005102C3" w:rsidRDefault="00A433F8" w:rsidP="00456A9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OCC Witness </w:t>
      </w:r>
      <w:r w:rsidR="00FA42B2" w:rsidRPr="005102C3">
        <w:rPr>
          <w:rFonts w:ascii="Times New Roman" w:hAnsi="Times New Roman" w:cs="Times New Roman"/>
          <w:sz w:val="24"/>
          <w:szCs w:val="24"/>
        </w:rPr>
        <w:t xml:space="preserve">Dr. </w:t>
      </w:r>
      <w:r>
        <w:rPr>
          <w:rFonts w:ascii="Times New Roman" w:hAnsi="Times New Roman" w:cs="Times New Roman"/>
          <w:sz w:val="24"/>
          <w:szCs w:val="24"/>
        </w:rPr>
        <w:t>Noah Dormady</w:t>
      </w:r>
      <w:r w:rsidR="00FA42B2" w:rsidRPr="005102C3">
        <w:rPr>
          <w:rFonts w:ascii="Times New Roman" w:hAnsi="Times New Roman" w:cs="Times New Roman"/>
          <w:sz w:val="24"/>
          <w:szCs w:val="24"/>
        </w:rPr>
        <w:t xml:space="preserve"> concludes that the </w:t>
      </w:r>
      <w:r w:rsidR="00FA42B2">
        <w:rPr>
          <w:rFonts w:ascii="Times New Roman" w:hAnsi="Times New Roman" w:cs="Times New Roman"/>
          <w:sz w:val="24"/>
          <w:szCs w:val="24"/>
        </w:rPr>
        <w:t xml:space="preserve">Joint </w:t>
      </w:r>
      <w:r w:rsidR="00FA42B2" w:rsidRPr="005102C3">
        <w:rPr>
          <w:rFonts w:ascii="Times New Roman" w:hAnsi="Times New Roman" w:cs="Times New Roman"/>
          <w:sz w:val="24"/>
          <w:szCs w:val="24"/>
        </w:rPr>
        <w:t>Stipulation is not the product of serious bargaining among capable, knowledgeable parties; it violates regulatory principles and practices</w:t>
      </w:r>
      <w:r w:rsidR="00FA42B2">
        <w:rPr>
          <w:rFonts w:ascii="Times New Roman" w:hAnsi="Times New Roman" w:cs="Times New Roman"/>
          <w:sz w:val="24"/>
          <w:szCs w:val="24"/>
        </w:rPr>
        <w:t>;</w:t>
      </w:r>
      <w:r w:rsidR="00FA42B2" w:rsidRPr="005102C3">
        <w:rPr>
          <w:rFonts w:ascii="Times New Roman" w:hAnsi="Times New Roman" w:cs="Times New Roman"/>
          <w:sz w:val="24"/>
          <w:szCs w:val="24"/>
        </w:rPr>
        <w:t xml:space="preserve"> and </w:t>
      </w:r>
      <w:r w:rsidR="00FA42B2">
        <w:rPr>
          <w:rFonts w:ascii="Times New Roman" w:hAnsi="Times New Roman" w:cs="Times New Roman"/>
          <w:sz w:val="24"/>
          <w:szCs w:val="24"/>
        </w:rPr>
        <w:t xml:space="preserve">it </w:t>
      </w:r>
      <w:r w:rsidR="00FA42B2" w:rsidRPr="005102C3">
        <w:rPr>
          <w:rFonts w:ascii="Times New Roman" w:hAnsi="Times New Roman" w:cs="Times New Roman"/>
          <w:sz w:val="24"/>
          <w:szCs w:val="24"/>
        </w:rPr>
        <w:t xml:space="preserve">does not benefit </w:t>
      </w:r>
      <w:r w:rsidR="004C49CB">
        <w:rPr>
          <w:rFonts w:ascii="Times New Roman" w:hAnsi="Times New Roman" w:cs="Times New Roman"/>
          <w:sz w:val="24"/>
          <w:szCs w:val="24"/>
        </w:rPr>
        <w:t>consumers</w:t>
      </w:r>
      <w:r w:rsidR="00FA42B2" w:rsidRPr="005102C3">
        <w:rPr>
          <w:rFonts w:ascii="Times New Roman" w:hAnsi="Times New Roman" w:cs="Times New Roman"/>
          <w:sz w:val="24"/>
          <w:szCs w:val="24"/>
        </w:rPr>
        <w:t xml:space="preserve"> or the public interest.</w:t>
      </w:r>
      <w:r w:rsidR="00FA42B2" w:rsidRPr="005102C3">
        <w:rPr>
          <w:rStyle w:val="FootnoteReference"/>
          <w:rFonts w:ascii="Times New Roman" w:hAnsi="Times New Roman"/>
          <w:sz w:val="24"/>
          <w:szCs w:val="24"/>
        </w:rPr>
        <w:footnoteReference w:id="205"/>
      </w:r>
      <w:r w:rsidR="00066165">
        <w:rPr>
          <w:rFonts w:ascii="Times New Roman" w:hAnsi="Times New Roman" w:cs="Times New Roman"/>
          <w:sz w:val="24"/>
          <w:szCs w:val="24"/>
        </w:rPr>
        <w:t xml:space="preserve">  “At a time when households are struggling to keep up with the ever-increasing cost of living, the astronomical costs of college tuition, the increasing cost of housing, and flat-to-declining real wages,” OCC Witness Dormady explained, “saddling AEP Ohio’s customers and businesses with a litany of additional riders, surcharges and taxes is most certainly not in the public interest.”</w:t>
      </w:r>
      <w:r w:rsidR="00066165">
        <w:rPr>
          <w:rStyle w:val="FootnoteReference"/>
          <w:rFonts w:ascii="Times New Roman" w:hAnsi="Times New Roman" w:cs="Times New Roman"/>
          <w:sz w:val="24"/>
          <w:szCs w:val="24"/>
        </w:rPr>
        <w:footnoteReference w:id="206"/>
      </w:r>
    </w:p>
    <w:p w:rsidR="00E46AAA" w:rsidRPr="004E35BA" w:rsidRDefault="00E46AAA" w:rsidP="00015688">
      <w:pPr>
        <w:pStyle w:val="Heading5"/>
        <w:numPr>
          <w:ilvl w:val="0"/>
          <w:numId w:val="18"/>
        </w:numPr>
      </w:pPr>
      <w:bookmarkStart w:id="52" w:name="_Toc442104154"/>
      <w:r>
        <w:t xml:space="preserve">The </w:t>
      </w:r>
      <w:r w:rsidR="00C04A29">
        <w:t xml:space="preserve">settlement’s </w:t>
      </w:r>
      <w:r>
        <w:t>proposed conversion of coal-fired generation to natural gas lacks important details pertaining to costs to consumers.</w:t>
      </w:r>
      <w:bookmarkEnd w:id="52"/>
    </w:p>
    <w:p w:rsidR="00DE6C87" w:rsidRDefault="00FA42B2" w:rsidP="004E35BA">
      <w:pPr>
        <w:spacing w:after="0" w:line="480" w:lineRule="auto"/>
        <w:ind w:firstLine="720"/>
        <w:rPr>
          <w:rFonts w:ascii="Times New Roman" w:hAnsi="Times New Roman" w:cs="Times New Roman"/>
          <w:sz w:val="24"/>
          <w:szCs w:val="24"/>
        </w:rPr>
      </w:pPr>
      <w:r w:rsidRPr="005102C3">
        <w:rPr>
          <w:rFonts w:ascii="Times New Roman" w:hAnsi="Times New Roman" w:cs="Times New Roman"/>
          <w:sz w:val="24"/>
          <w:szCs w:val="24"/>
        </w:rPr>
        <w:t xml:space="preserve">One of the </w:t>
      </w:r>
      <w:r>
        <w:rPr>
          <w:rFonts w:ascii="Times New Roman" w:hAnsi="Times New Roman" w:cs="Times New Roman"/>
          <w:sz w:val="24"/>
          <w:szCs w:val="24"/>
        </w:rPr>
        <w:t>alleged</w:t>
      </w:r>
      <w:r w:rsidRPr="005102C3">
        <w:rPr>
          <w:rFonts w:ascii="Times New Roman" w:hAnsi="Times New Roman" w:cs="Times New Roman"/>
          <w:sz w:val="24"/>
          <w:szCs w:val="24"/>
        </w:rPr>
        <w:t xml:space="preserve"> public benefits of the </w:t>
      </w:r>
      <w:r>
        <w:rPr>
          <w:rFonts w:ascii="Times New Roman" w:hAnsi="Times New Roman" w:cs="Times New Roman"/>
          <w:sz w:val="24"/>
          <w:szCs w:val="24"/>
        </w:rPr>
        <w:t xml:space="preserve">Joint </w:t>
      </w:r>
      <w:r w:rsidRPr="005102C3">
        <w:rPr>
          <w:rFonts w:ascii="Times New Roman" w:hAnsi="Times New Roman" w:cs="Times New Roman"/>
          <w:sz w:val="24"/>
          <w:szCs w:val="24"/>
        </w:rPr>
        <w:t xml:space="preserve">Stipulation is </w:t>
      </w:r>
      <w:r>
        <w:rPr>
          <w:rFonts w:ascii="Times New Roman" w:hAnsi="Times New Roman" w:cs="Times New Roman"/>
          <w:sz w:val="24"/>
          <w:szCs w:val="24"/>
        </w:rPr>
        <w:t>converting</w:t>
      </w:r>
      <w:r w:rsidRPr="005102C3">
        <w:rPr>
          <w:rFonts w:ascii="Times New Roman" w:hAnsi="Times New Roman" w:cs="Times New Roman"/>
          <w:sz w:val="24"/>
          <w:szCs w:val="24"/>
        </w:rPr>
        <w:t xml:space="preserve"> coal-fired Conesville Units 5 and 6 to gas co-firing by the end of 2017. </w:t>
      </w:r>
      <w:r w:rsidR="00456A96">
        <w:rPr>
          <w:rFonts w:ascii="Times New Roman" w:hAnsi="Times New Roman" w:cs="Times New Roman"/>
          <w:sz w:val="24"/>
          <w:szCs w:val="24"/>
        </w:rPr>
        <w:t xml:space="preserve"> </w:t>
      </w:r>
      <w:r>
        <w:rPr>
          <w:rFonts w:ascii="Times New Roman" w:hAnsi="Times New Roman" w:cs="Times New Roman"/>
          <w:sz w:val="24"/>
          <w:szCs w:val="24"/>
        </w:rPr>
        <w:t>But</w:t>
      </w:r>
      <w:r w:rsidRPr="005102C3">
        <w:rPr>
          <w:rFonts w:ascii="Times New Roman" w:hAnsi="Times New Roman" w:cs="Times New Roman"/>
          <w:sz w:val="24"/>
          <w:szCs w:val="24"/>
        </w:rPr>
        <w:t xml:space="preserve"> there is no evidence in the record show</w:t>
      </w:r>
      <w:r w:rsidR="00384C6A">
        <w:rPr>
          <w:rFonts w:ascii="Times New Roman" w:hAnsi="Times New Roman" w:cs="Times New Roman"/>
          <w:sz w:val="24"/>
          <w:szCs w:val="24"/>
        </w:rPr>
        <w:t>ing</w:t>
      </w:r>
      <w:r w:rsidRPr="005102C3">
        <w:rPr>
          <w:rFonts w:ascii="Times New Roman" w:hAnsi="Times New Roman" w:cs="Times New Roman"/>
          <w:sz w:val="24"/>
          <w:szCs w:val="24"/>
        </w:rPr>
        <w:t xml:space="preserve"> any analysis of the costs consumers will pay for the conversion of these units.</w:t>
      </w:r>
      <w:r w:rsidRPr="005102C3">
        <w:rPr>
          <w:rStyle w:val="FootnoteReference"/>
          <w:rFonts w:ascii="Times New Roman" w:hAnsi="Times New Roman"/>
          <w:sz w:val="24"/>
          <w:szCs w:val="24"/>
        </w:rPr>
        <w:footnoteReference w:id="207"/>
      </w:r>
      <w:r w:rsidRPr="005102C3">
        <w:rPr>
          <w:rFonts w:ascii="Times New Roman" w:hAnsi="Times New Roman" w:cs="Times New Roman"/>
          <w:sz w:val="24"/>
          <w:szCs w:val="24"/>
        </w:rPr>
        <w:t xml:space="preserve"> </w:t>
      </w:r>
      <w:r w:rsidR="00456A96">
        <w:rPr>
          <w:rFonts w:ascii="Times New Roman" w:hAnsi="Times New Roman" w:cs="Times New Roman"/>
          <w:sz w:val="24"/>
          <w:szCs w:val="24"/>
        </w:rPr>
        <w:t xml:space="preserve"> </w:t>
      </w:r>
      <w:r w:rsidR="00384C6A">
        <w:rPr>
          <w:rFonts w:ascii="Times New Roman" w:hAnsi="Times New Roman" w:cs="Times New Roman"/>
          <w:sz w:val="24"/>
          <w:szCs w:val="24"/>
        </w:rPr>
        <w:t xml:space="preserve">The General Assembly determined that Ohioans will pay market prices for electric generation.  AEP Ohio cannot determine by settlement that deregulated power plants will be converted to a different fuel source using other people’s (consumers) money.  </w:t>
      </w:r>
      <w:r w:rsidR="00F73948">
        <w:rPr>
          <w:rFonts w:ascii="Times New Roman" w:hAnsi="Times New Roman" w:cs="Times New Roman"/>
          <w:sz w:val="24"/>
          <w:szCs w:val="24"/>
        </w:rPr>
        <w:t>Also</w:t>
      </w:r>
      <w:r w:rsidR="00384C6A">
        <w:rPr>
          <w:rFonts w:ascii="Times New Roman" w:hAnsi="Times New Roman" w:cs="Times New Roman"/>
          <w:sz w:val="24"/>
          <w:szCs w:val="24"/>
        </w:rPr>
        <w:t>, t</w:t>
      </w:r>
      <w:r w:rsidRPr="005102C3">
        <w:rPr>
          <w:rFonts w:ascii="Times New Roman" w:hAnsi="Times New Roman" w:cs="Times New Roman"/>
          <w:sz w:val="24"/>
          <w:szCs w:val="24"/>
        </w:rPr>
        <w:t xml:space="preserve">here is no guarantee that the PUCO will approve </w:t>
      </w:r>
      <w:r>
        <w:rPr>
          <w:rFonts w:ascii="Times New Roman" w:hAnsi="Times New Roman" w:cs="Times New Roman"/>
          <w:sz w:val="24"/>
          <w:szCs w:val="24"/>
        </w:rPr>
        <w:t>converting</w:t>
      </w:r>
      <w:r w:rsidRPr="005102C3">
        <w:rPr>
          <w:rFonts w:ascii="Times New Roman" w:hAnsi="Times New Roman" w:cs="Times New Roman"/>
          <w:sz w:val="24"/>
          <w:szCs w:val="24"/>
        </w:rPr>
        <w:t xml:space="preserve"> these units. </w:t>
      </w:r>
      <w:r w:rsidR="00456A96">
        <w:rPr>
          <w:rFonts w:ascii="Times New Roman" w:hAnsi="Times New Roman" w:cs="Times New Roman"/>
          <w:sz w:val="24"/>
          <w:szCs w:val="24"/>
        </w:rPr>
        <w:t xml:space="preserve"> </w:t>
      </w:r>
    </w:p>
    <w:p w:rsidR="00124C12" w:rsidRDefault="00DE6C8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Earlier in</w:t>
      </w:r>
      <w:r w:rsidR="00FA42B2">
        <w:rPr>
          <w:rFonts w:ascii="Times New Roman" w:hAnsi="Times New Roman" w:cs="Times New Roman"/>
          <w:sz w:val="24"/>
          <w:szCs w:val="24"/>
        </w:rPr>
        <w:t xml:space="preserve"> this proceeding,</w:t>
      </w:r>
      <w:r w:rsidR="00FA42B2" w:rsidRPr="005102C3">
        <w:rPr>
          <w:rFonts w:ascii="Times New Roman" w:hAnsi="Times New Roman" w:cs="Times New Roman"/>
          <w:sz w:val="24"/>
          <w:szCs w:val="24"/>
        </w:rPr>
        <w:t xml:space="preserve"> AEP Ohio witnesses argued that the interruptible service contracts of gas supply were not consistent with the public interest</w:t>
      </w:r>
      <w:r w:rsidR="00FA42B2">
        <w:rPr>
          <w:rFonts w:ascii="Times New Roman" w:hAnsi="Times New Roman" w:cs="Times New Roman"/>
          <w:sz w:val="24"/>
          <w:szCs w:val="24"/>
        </w:rPr>
        <w:t>.  But now, with the Joint Stipulation</w:t>
      </w:r>
      <w:r w:rsidR="00FA42B2" w:rsidRPr="005102C3">
        <w:rPr>
          <w:rFonts w:ascii="Times New Roman" w:hAnsi="Times New Roman" w:cs="Times New Roman"/>
          <w:sz w:val="24"/>
          <w:szCs w:val="24"/>
        </w:rPr>
        <w:t xml:space="preserve">, over </w:t>
      </w:r>
      <w:r w:rsidR="00E2461E">
        <w:rPr>
          <w:rFonts w:ascii="Times New Roman" w:hAnsi="Times New Roman" w:cs="Times New Roman"/>
          <w:sz w:val="24"/>
          <w:szCs w:val="24"/>
        </w:rPr>
        <w:t>62</w:t>
      </w:r>
      <w:r w:rsidR="002B0429">
        <w:rPr>
          <w:rFonts w:ascii="Times New Roman" w:hAnsi="Times New Roman" w:cs="Times New Roman"/>
          <w:sz w:val="24"/>
          <w:szCs w:val="24"/>
        </w:rPr>
        <w:t xml:space="preserve"> percent</w:t>
      </w:r>
      <w:r w:rsidR="00FA42B2" w:rsidRPr="005102C3">
        <w:rPr>
          <w:rFonts w:ascii="Times New Roman" w:hAnsi="Times New Roman" w:cs="Times New Roman"/>
          <w:sz w:val="24"/>
          <w:szCs w:val="24"/>
        </w:rPr>
        <w:t xml:space="preserve"> of the generation provided </w:t>
      </w:r>
      <w:r w:rsidR="00FA42B2">
        <w:rPr>
          <w:rFonts w:ascii="Times New Roman" w:hAnsi="Times New Roman" w:cs="Times New Roman"/>
          <w:sz w:val="24"/>
          <w:szCs w:val="24"/>
        </w:rPr>
        <w:t>by</w:t>
      </w:r>
      <w:r w:rsidR="00FA42B2" w:rsidRPr="005102C3">
        <w:rPr>
          <w:rFonts w:ascii="Times New Roman" w:hAnsi="Times New Roman" w:cs="Times New Roman"/>
          <w:sz w:val="24"/>
          <w:szCs w:val="24"/>
        </w:rPr>
        <w:t xml:space="preserve"> these converted units will be </w:t>
      </w:r>
      <w:r w:rsidR="00FA42B2">
        <w:rPr>
          <w:rFonts w:ascii="Times New Roman" w:hAnsi="Times New Roman" w:cs="Times New Roman"/>
          <w:sz w:val="24"/>
          <w:szCs w:val="24"/>
        </w:rPr>
        <w:t xml:space="preserve">provided by </w:t>
      </w:r>
      <w:r w:rsidR="00ED129E">
        <w:rPr>
          <w:rFonts w:ascii="Times New Roman" w:hAnsi="Times New Roman" w:cs="Times New Roman"/>
          <w:sz w:val="24"/>
          <w:szCs w:val="24"/>
        </w:rPr>
        <w:t xml:space="preserve">natural </w:t>
      </w:r>
      <w:r w:rsidR="00FA42B2" w:rsidRPr="005102C3">
        <w:rPr>
          <w:rFonts w:ascii="Times New Roman" w:hAnsi="Times New Roman" w:cs="Times New Roman"/>
          <w:sz w:val="24"/>
          <w:szCs w:val="24"/>
        </w:rPr>
        <w:t>gas.</w:t>
      </w:r>
      <w:r w:rsidR="00FA42B2" w:rsidRPr="005102C3">
        <w:rPr>
          <w:rStyle w:val="FootnoteReference"/>
          <w:rFonts w:ascii="Times New Roman" w:hAnsi="Times New Roman"/>
          <w:sz w:val="24"/>
          <w:szCs w:val="24"/>
        </w:rPr>
        <w:footnoteReference w:id="208"/>
      </w:r>
      <w:r w:rsidR="00FA42B2" w:rsidRPr="005102C3">
        <w:rPr>
          <w:rFonts w:ascii="Times New Roman" w:hAnsi="Times New Roman" w:cs="Times New Roman"/>
          <w:sz w:val="24"/>
          <w:szCs w:val="24"/>
        </w:rPr>
        <w:t xml:space="preserve"> </w:t>
      </w:r>
      <w:r w:rsidR="00456A96">
        <w:rPr>
          <w:rFonts w:ascii="Times New Roman" w:hAnsi="Times New Roman" w:cs="Times New Roman"/>
          <w:sz w:val="24"/>
          <w:szCs w:val="24"/>
        </w:rPr>
        <w:t xml:space="preserve"> </w:t>
      </w:r>
      <w:r w:rsidR="00FA42B2">
        <w:rPr>
          <w:rFonts w:ascii="Times New Roman" w:hAnsi="Times New Roman" w:cs="Times New Roman"/>
          <w:sz w:val="24"/>
          <w:szCs w:val="24"/>
        </w:rPr>
        <w:t>Were AEP Ohio</w:t>
      </w:r>
      <w:r w:rsidR="00F47E76">
        <w:rPr>
          <w:rFonts w:ascii="Times New Roman" w:hAnsi="Times New Roman" w:cs="Times New Roman"/>
          <w:sz w:val="24"/>
          <w:szCs w:val="24"/>
        </w:rPr>
        <w:t>’s</w:t>
      </w:r>
      <w:r w:rsidR="00FA42B2">
        <w:rPr>
          <w:rFonts w:ascii="Times New Roman" w:hAnsi="Times New Roman" w:cs="Times New Roman"/>
          <w:sz w:val="24"/>
          <w:szCs w:val="24"/>
        </w:rPr>
        <w:t xml:space="preserve"> prior testimony believed</w:t>
      </w:r>
      <w:r w:rsidR="00FA42B2" w:rsidRPr="005102C3">
        <w:rPr>
          <w:rFonts w:ascii="Times New Roman" w:hAnsi="Times New Roman" w:cs="Times New Roman"/>
          <w:sz w:val="24"/>
          <w:szCs w:val="24"/>
        </w:rPr>
        <w:t xml:space="preserve">, the interruptible nature of these converted plants </w:t>
      </w:r>
      <w:r w:rsidR="00FA42B2">
        <w:rPr>
          <w:rFonts w:ascii="Times New Roman" w:hAnsi="Times New Roman" w:cs="Times New Roman"/>
          <w:sz w:val="24"/>
          <w:szCs w:val="24"/>
        </w:rPr>
        <w:t>c</w:t>
      </w:r>
      <w:r w:rsidR="00FA42B2" w:rsidRPr="005102C3">
        <w:rPr>
          <w:rFonts w:ascii="Times New Roman" w:hAnsi="Times New Roman" w:cs="Times New Roman"/>
          <w:sz w:val="24"/>
          <w:szCs w:val="24"/>
        </w:rPr>
        <w:t>ould be inconsistent with the public interest.</w:t>
      </w:r>
    </w:p>
    <w:p w:rsidR="00FA42B2" w:rsidRPr="005102C3" w:rsidRDefault="00FA42B2" w:rsidP="00D34055">
      <w:pPr>
        <w:spacing w:after="0" w:line="480" w:lineRule="auto"/>
        <w:rPr>
          <w:rFonts w:ascii="Times New Roman" w:hAnsi="Times New Roman" w:cs="Times New Roman"/>
          <w:sz w:val="24"/>
          <w:szCs w:val="24"/>
        </w:rPr>
      </w:pPr>
      <w:r w:rsidRPr="005102C3">
        <w:rPr>
          <w:rFonts w:ascii="Times New Roman" w:hAnsi="Times New Roman" w:cs="Times New Roman"/>
          <w:sz w:val="24"/>
          <w:szCs w:val="24"/>
        </w:rPr>
        <w:tab/>
        <w:t>AEP Ohio Witness Allen discussed in his May 15, 2015 testimony that shutting down these coal plants would not be good for Ohio because of the economic value of mining employment</w:t>
      </w:r>
      <w:r>
        <w:rPr>
          <w:rFonts w:ascii="Times New Roman" w:hAnsi="Times New Roman" w:cs="Times New Roman"/>
          <w:sz w:val="24"/>
          <w:szCs w:val="24"/>
        </w:rPr>
        <w:t xml:space="preserve">.  </w:t>
      </w:r>
      <w:r w:rsidR="00DE6C87">
        <w:rPr>
          <w:rFonts w:ascii="Times New Roman" w:hAnsi="Times New Roman" w:cs="Times New Roman"/>
          <w:sz w:val="24"/>
          <w:szCs w:val="24"/>
        </w:rPr>
        <w:t>But</w:t>
      </w:r>
      <w:r>
        <w:rPr>
          <w:rFonts w:ascii="Times New Roman" w:hAnsi="Times New Roman" w:cs="Times New Roman"/>
          <w:sz w:val="24"/>
          <w:szCs w:val="24"/>
        </w:rPr>
        <w:t xml:space="preserve"> with</w:t>
      </w:r>
      <w:r w:rsidR="00BC4CDA">
        <w:rPr>
          <w:rFonts w:ascii="Times New Roman" w:hAnsi="Times New Roman" w:cs="Times New Roman"/>
          <w:sz w:val="24"/>
          <w:szCs w:val="24"/>
        </w:rPr>
        <w:t xml:space="preserve"> </w:t>
      </w:r>
      <w:r w:rsidR="00F73948">
        <w:rPr>
          <w:rFonts w:ascii="Times New Roman" w:hAnsi="Times New Roman" w:cs="Times New Roman"/>
          <w:sz w:val="24"/>
          <w:szCs w:val="24"/>
        </w:rPr>
        <w:t xml:space="preserve">the </w:t>
      </w:r>
      <w:r>
        <w:rPr>
          <w:rFonts w:ascii="Times New Roman" w:hAnsi="Times New Roman" w:cs="Times New Roman"/>
          <w:sz w:val="24"/>
          <w:szCs w:val="24"/>
        </w:rPr>
        <w:t>Joint Stipulation,</w:t>
      </w:r>
      <w:r w:rsidRPr="005102C3">
        <w:rPr>
          <w:rFonts w:ascii="Times New Roman" w:hAnsi="Times New Roman" w:cs="Times New Roman"/>
          <w:sz w:val="24"/>
          <w:szCs w:val="24"/>
        </w:rPr>
        <w:t xml:space="preserve"> there </w:t>
      </w:r>
      <w:r w:rsidR="002B0429">
        <w:rPr>
          <w:rFonts w:ascii="Times New Roman" w:hAnsi="Times New Roman" w:cs="Times New Roman"/>
          <w:sz w:val="24"/>
          <w:szCs w:val="24"/>
        </w:rPr>
        <w:t>are</w:t>
      </w:r>
      <w:r w:rsidRPr="005102C3">
        <w:rPr>
          <w:rFonts w:ascii="Times New Roman" w:hAnsi="Times New Roman" w:cs="Times New Roman"/>
          <w:sz w:val="24"/>
          <w:szCs w:val="24"/>
        </w:rPr>
        <w:t xml:space="preserve"> no</w:t>
      </w:r>
      <w:r w:rsidR="00DE6C87">
        <w:rPr>
          <w:rFonts w:ascii="Times New Roman" w:hAnsi="Times New Roman" w:cs="Times New Roman"/>
          <w:sz w:val="24"/>
          <w:szCs w:val="24"/>
        </w:rPr>
        <w:t xml:space="preserve"> AEP Ohio</w:t>
      </w:r>
      <w:r w:rsidRPr="005102C3">
        <w:rPr>
          <w:rFonts w:ascii="Times New Roman" w:hAnsi="Times New Roman" w:cs="Times New Roman"/>
          <w:sz w:val="24"/>
          <w:szCs w:val="24"/>
        </w:rPr>
        <w:t xml:space="preserve"> analyses showing how many Ohio coal workers will lose their jobs if </w:t>
      </w:r>
      <w:r>
        <w:rPr>
          <w:rFonts w:ascii="Times New Roman" w:hAnsi="Times New Roman" w:cs="Times New Roman"/>
          <w:sz w:val="24"/>
          <w:szCs w:val="24"/>
        </w:rPr>
        <w:t>Conesville Units 5 and 6</w:t>
      </w:r>
      <w:r w:rsidRPr="005102C3">
        <w:rPr>
          <w:rFonts w:ascii="Times New Roman" w:hAnsi="Times New Roman" w:cs="Times New Roman"/>
          <w:sz w:val="24"/>
          <w:szCs w:val="24"/>
        </w:rPr>
        <w:t xml:space="preserve"> are converted to gas co-firing units.</w:t>
      </w:r>
      <w:r w:rsidRPr="005102C3">
        <w:rPr>
          <w:rStyle w:val="FootnoteReference"/>
          <w:rFonts w:ascii="Times New Roman" w:hAnsi="Times New Roman"/>
          <w:sz w:val="24"/>
          <w:szCs w:val="24"/>
        </w:rPr>
        <w:footnoteReference w:id="209"/>
      </w:r>
      <w:r w:rsidRPr="005102C3">
        <w:rPr>
          <w:rFonts w:ascii="Times New Roman" w:hAnsi="Times New Roman" w:cs="Times New Roman"/>
          <w:sz w:val="24"/>
          <w:szCs w:val="24"/>
        </w:rPr>
        <w:t xml:space="preserve"> </w:t>
      </w:r>
    </w:p>
    <w:p w:rsidR="00156F20" w:rsidRPr="004E35BA" w:rsidRDefault="00C04A29" w:rsidP="00015688">
      <w:pPr>
        <w:pStyle w:val="Heading5"/>
        <w:numPr>
          <w:ilvl w:val="0"/>
          <w:numId w:val="18"/>
        </w:numPr>
      </w:pPr>
      <w:bookmarkStart w:id="53" w:name="_Toc442104155"/>
      <w:r>
        <w:t>Marketers IGS and Direct Energy have negotiated an artificial increase to what consumers pay for AEP Ohio’s standard offer</w:t>
      </w:r>
      <w:r w:rsidR="00113933">
        <w:t>; that is bad</w:t>
      </w:r>
      <w:r w:rsidR="00156F20">
        <w:t>.</w:t>
      </w:r>
      <w:bookmarkEnd w:id="53"/>
    </w:p>
    <w:p w:rsidR="00477F2A" w:rsidRDefault="007B486D" w:rsidP="004E35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hodgepodge nature of </w:t>
      </w:r>
      <w:r w:rsidR="004750AB">
        <w:rPr>
          <w:rFonts w:ascii="Times New Roman" w:hAnsi="Times New Roman" w:cs="Times New Roman"/>
          <w:sz w:val="24"/>
          <w:szCs w:val="24"/>
        </w:rPr>
        <w:t xml:space="preserve">the </w:t>
      </w:r>
      <w:r w:rsidR="00F73948">
        <w:rPr>
          <w:rFonts w:ascii="Times New Roman" w:hAnsi="Times New Roman" w:cs="Times New Roman"/>
          <w:sz w:val="24"/>
          <w:szCs w:val="24"/>
        </w:rPr>
        <w:t xml:space="preserve">Joint </w:t>
      </w:r>
      <w:r w:rsidR="004750AB">
        <w:rPr>
          <w:rFonts w:ascii="Times New Roman" w:hAnsi="Times New Roman" w:cs="Times New Roman"/>
          <w:sz w:val="24"/>
          <w:szCs w:val="24"/>
        </w:rPr>
        <w:t>Stipulation</w:t>
      </w:r>
      <w:r>
        <w:rPr>
          <w:rFonts w:ascii="Times New Roman" w:hAnsi="Times New Roman" w:cs="Times New Roman"/>
          <w:sz w:val="24"/>
          <w:szCs w:val="24"/>
        </w:rPr>
        <w:t xml:space="preserve"> is reflected by the</w:t>
      </w:r>
      <w:r w:rsidR="004750AB">
        <w:rPr>
          <w:rFonts w:ascii="Times New Roman" w:hAnsi="Times New Roman" w:cs="Times New Roman"/>
          <w:sz w:val="24"/>
          <w:szCs w:val="24"/>
        </w:rPr>
        <w:t xml:space="preserve"> </w:t>
      </w:r>
      <w:r w:rsidR="00477F2A">
        <w:rPr>
          <w:rFonts w:ascii="Times New Roman" w:hAnsi="Times New Roman" w:cs="Times New Roman"/>
          <w:sz w:val="24"/>
          <w:szCs w:val="24"/>
        </w:rPr>
        <w:t>so-called Competition</w:t>
      </w:r>
      <w:r w:rsidR="00F73948">
        <w:rPr>
          <w:rFonts w:ascii="Times New Roman" w:hAnsi="Times New Roman" w:cs="Times New Roman"/>
          <w:sz w:val="24"/>
          <w:szCs w:val="24"/>
        </w:rPr>
        <w:t xml:space="preserve"> Incentive Rider</w:t>
      </w:r>
      <w:r>
        <w:rPr>
          <w:rFonts w:ascii="Times New Roman" w:hAnsi="Times New Roman" w:cs="Times New Roman"/>
          <w:sz w:val="24"/>
          <w:szCs w:val="24"/>
        </w:rPr>
        <w:t xml:space="preserve">.  </w:t>
      </w:r>
      <w:r w:rsidR="00477F2A">
        <w:rPr>
          <w:rFonts w:ascii="Times New Roman" w:hAnsi="Times New Roman" w:cs="Times New Roman"/>
          <w:sz w:val="24"/>
          <w:szCs w:val="24"/>
        </w:rPr>
        <w:t xml:space="preserve">It’s really an </w:t>
      </w:r>
      <w:r w:rsidR="00477F2A" w:rsidRPr="00113933">
        <w:rPr>
          <w:rFonts w:ascii="Times New Roman" w:hAnsi="Times New Roman" w:cs="Times New Roman"/>
          <w:i/>
          <w:sz w:val="24"/>
          <w:szCs w:val="24"/>
        </w:rPr>
        <w:t>anti-</w:t>
      </w:r>
      <w:r w:rsidR="00113933">
        <w:rPr>
          <w:rFonts w:ascii="Times New Roman" w:hAnsi="Times New Roman" w:cs="Times New Roman"/>
          <w:i/>
          <w:sz w:val="24"/>
          <w:szCs w:val="24"/>
        </w:rPr>
        <w:t>competition</w:t>
      </w:r>
      <w:r w:rsidR="00477F2A">
        <w:rPr>
          <w:rFonts w:ascii="Times New Roman" w:hAnsi="Times New Roman" w:cs="Times New Roman"/>
          <w:sz w:val="24"/>
          <w:szCs w:val="24"/>
        </w:rPr>
        <w:t xml:space="preserve"> incentive rider.</w:t>
      </w:r>
    </w:p>
    <w:p w:rsidR="00C31900" w:rsidRDefault="007B486D" w:rsidP="004E35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Here is a shameful settlement term, </w:t>
      </w:r>
      <w:r w:rsidR="00477F2A">
        <w:rPr>
          <w:rFonts w:ascii="Times New Roman" w:hAnsi="Times New Roman" w:cs="Times New Roman"/>
          <w:sz w:val="24"/>
          <w:szCs w:val="24"/>
        </w:rPr>
        <w:t>by</w:t>
      </w:r>
      <w:r>
        <w:rPr>
          <w:rFonts w:ascii="Times New Roman" w:hAnsi="Times New Roman" w:cs="Times New Roman"/>
          <w:sz w:val="24"/>
          <w:szCs w:val="24"/>
        </w:rPr>
        <w:t xml:space="preserve"> certain marketers </w:t>
      </w:r>
      <w:r w:rsidR="00477F2A">
        <w:rPr>
          <w:rFonts w:ascii="Times New Roman" w:hAnsi="Times New Roman" w:cs="Times New Roman"/>
          <w:sz w:val="24"/>
          <w:szCs w:val="24"/>
        </w:rPr>
        <w:t>seizing</w:t>
      </w:r>
      <w:r>
        <w:rPr>
          <w:rFonts w:ascii="Times New Roman" w:hAnsi="Times New Roman" w:cs="Times New Roman"/>
          <w:sz w:val="24"/>
          <w:szCs w:val="24"/>
        </w:rPr>
        <w:t xml:space="preserve"> a moment of opportunity, that would increase what</w:t>
      </w:r>
      <w:r w:rsidR="00FA42B2" w:rsidRPr="005102C3">
        <w:rPr>
          <w:rFonts w:ascii="Times New Roman" w:hAnsi="Times New Roman" w:cs="Times New Roman"/>
          <w:sz w:val="24"/>
          <w:szCs w:val="24"/>
        </w:rPr>
        <w:t xml:space="preserve"> </w:t>
      </w:r>
      <w:r w:rsidR="0050784B">
        <w:rPr>
          <w:rFonts w:ascii="Times New Roman" w:hAnsi="Times New Roman" w:cs="Times New Roman"/>
          <w:sz w:val="24"/>
          <w:szCs w:val="24"/>
        </w:rPr>
        <w:t xml:space="preserve">AEP Ohio </w:t>
      </w:r>
      <w:r w:rsidR="00FA42B2" w:rsidRPr="005102C3">
        <w:rPr>
          <w:rFonts w:ascii="Times New Roman" w:hAnsi="Times New Roman" w:cs="Times New Roman"/>
          <w:sz w:val="24"/>
          <w:szCs w:val="24"/>
        </w:rPr>
        <w:t>consumers</w:t>
      </w:r>
      <w:r>
        <w:rPr>
          <w:rFonts w:ascii="Times New Roman" w:hAnsi="Times New Roman" w:cs="Times New Roman"/>
          <w:sz w:val="24"/>
          <w:szCs w:val="24"/>
        </w:rPr>
        <w:t xml:space="preserve"> pay for electricity (t</w:t>
      </w:r>
      <w:r w:rsidR="0050784B">
        <w:rPr>
          <w:rFonts w:ascii="Times New Roman" w:hAnsi="Times New Roman" w:cs="Times New Roman"/>
          <w:sz w:val="24"/>
          <w:szCs w:val="24"/>
        </w:rPr>
        <w:t>he standard offer)</w:t>
      </w:r>
      <w:r>
        <w:rPr>
          <w:rFonts w:ascii="Times New Roman" w:hAnsi="Times New Roman" w:cs="Times New Roman"/>
          <w:sz w:val="24"/>
          <w:szCs w:val="24"/>
        </w:rPr>
        <w:t>.</w:t>
      </w:r>
      <w:r w:rsidR="00C31900">
        <w:rPr>
          <w:rFonts w:ascii="Times New Roman" w:hAnsi="Times New Roman" w:cs="Times New Roman"/>
          <w:sz w:val="24"/>
          <w:szCs w:val="24"/>
        </w:rPr>
        <w:t xml:space="preserve">  In any other setting</w:t>
      </w:r>
      <w:r>
        <w:rPr>
          <w:rFonts w:ascii="Times New Roman" w:hAnsi="Times New Roman" w:cs="Times New Roman"/>
          <w:sz w:val="24"/>
          <w:szCs w:val="24"/>
        </w:rPr>
        <w:t xml:space="preserve"> this price increase for consumers would alone be the subject of considerable controversy.  </w:t>
      </w:r>
      <w:r w:rsidR="00C31900">
        <w:rPr>
          <w:rFonts w:ascii="Times New Roman" w:hAnsi="Times New Roman" w:cs="Times New Roman"/>
          <w:sz w:val="24"/>
          <w:szCs w:val="24"/>
        </w:rPr>
        <w:t xml:space="preserve">But it shows up unannounced </w:t>
      </w:r>
      <w:r w:rsidR="0050784B">
        <w:rPr>
          <w:rFonts w:ascii="Times New Roman" w:hAnsi="Times New Roman" w:cs="Times New Roman"/>
          <w:sz w:val="24"/>
          <w:szCs w:val="24"/>
        </w:rPr>
        <w:t>at the end of this case</w:t>
      </w:r>
      <w:r w:rsidR="00C31900">
        <w:rPr>
          <w:rFonts w:ascii="Times New Roman" w:hAnsi="Times New Roman" w:cs="Times New Roman"/>
          <w:sz w:val="24"/>
          <w:szCs w:val="24"/>
        </w:rPr>
        <w:t>, without any</w:t>
      </w:r>
      <w:r w:rsidR="0050784B">
        <w:rPr>
          <w:rFonts w:ascii="Times New Roman" w:hAnsi="Times New Roman" w:cs="Times New Roman"/>
          <w:sz w:val="24"/>
          <w:szCs w:val="24"/>
        </w:rPr>
        <w:t xml:space="preserve"> prior</w:t>
      </w:r>
      <w:r w:rsidR="00C31900">
        <w:rPr>
          <w:rFonts w:ascii="Times New Roman" w:hAnsi="Times New Roman" w:cs="Times New Roman"/>
          <w:sz w:val="24"/>
          <w:szCs w:val="24"/>
        </w:rPr>
        <w:t xml:space="preserve"> notice to the public, as just another term for AEP Ohio to obtain a signature on its settlement. </w:t>
      </w:r>
      <w:r w:rsidR="00FA42B2" w:rsidRPr="005102C3">
        <w:rPr>
          <w:rFonts w:ascii="Times New Roman" w:hAnsi="Times New Roman" w:cs="Times New Roman"/>
          <w:sz w:val="24"/>
          <w:szCs w:val="24"/>
        </w:rPr>
        <w:t xml:space="preserve"> </w:t>
      </w:r>
      <w:r w:rsidR="00477F2A">
        <w:rPr>
          <w:rFonts w:ascii="Times New Roman" w:hAnsi="Times New Roman" w:cs="Times New Roman"/>
          <w:sz w:val="24"/>
          <w:szCs w:val="24"/>
        </w:rPr>
        <w:t>That’s bad for consumers.  And that</w:t>
      </w:r>
      <w:r w:rsidR="00735BC3">
        <w:rPr>
          <w:rFonts w:ascii="Times New Roman" w:hAnsi="Times New Roman" w:cs="Times New Roman"/>
          <w:sz w:val="24"/>
          <w:szCs w:val="24"/>
        </w:rPr>
        <w:t xml:space="preserve"> is not transparent to the public. </w:t>
      </w:r>
      <w:r w:rsidR="00477F2A">
        <w:rPr>
          <w:rFonts w:ascii="Times New Roman" w:hAnsi="Times New Roman" w:cs="Times New Roman"/>
          <w:sz w:val="24"/>
          <w:szCs w:val="24"/>
        </w:rPr>
        <w:t>And that</w:t>
      </w:r>
      <w:r w:rsidR="00735BC3">
        <w:rPr>
          <w:rFonts w:ascii="Times New Roman" w:hAnsi="Times New Roman" w:cs="Times New Roman"/>
          <w:sz w:val="24"/>
          <w:szCs w:val="24"/>
        </w:rPr>
        <w:t xml:space="preserve"> is not </w:t>
      </w:r>
      <w:r w:rsidR="00E1394C">
        <w:rPr>
          <w:rFonts w:ascii="Times New Roman" w:hAnsi="Times New Roman" w:cs="Times New Roman"/>
          <w:sz w:val="24"/>
          <w:szCs w:val="24"/>
        </w:rPr>
        <w:t xml:space="preserve">fair process. </w:t>
      </w:r>
    </w:p>
    <w:p w:rsidR="00124C12" w:rsidRDefault="00C3190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Worse, the</w:t>
      </w:r>
      <w:r w:rsidR="00FA42B2" w:rsidRPr="005102C3">
        <w:rPr>
          <w:rFonts w:ascii="Times New Roman" w:hAnsi="Times New Roman" w:cs="Times New Roman"/>
          <w:sz w:val="24"/>
          <w:szCs w:val="24"/>
        </w:rPr>
        <w:t xml:space="preserve"> </w:t>
      </w:r>
      <w:r w:rsidR="00FA42B2">
        <w:rPr>
          <w:rFonts w:ascii="Times New Roman" w:hAnsi="Times New Roman" w:cs="Times New Roman"/>
          <w:sz w:val="24"/>
          <w:szCs w:val="24"/>
        </w:rPr>
        <w:t>S</w:t>
      </w:r>
      <w:r w:rsidR="00FA42B2" w:rsidRPr="005102C3">
        <w:rPr>
          <w:rFonts w:ascii="Times New Roman" w:hAnsi="Times New Roman" w:cs="Times New Roman"/>
          <w:sz w:val="24"/>
          <w:szCs w:val="24"/>
        </w:rPr>
        <w:t xml:space="preserve">ignatory </w:t>
      </w:r>
      <w:r w:rsidR="00FA42B2">
        <w:rPr>
          <w:rFonts w:ascii="Times New Roman" w:hAnsi="Times New Roman" w:cs="Times New Roman"/>
          <w:sz w:val="24"/>
          <w:szCs w:val="24"/>
        </w:rPr>
        <w:t>P</w:t>
      </w:r>
      <w:r w:rsidR="00FA42B2" w:rsidRPr="005102C3">
        <w:rPr>
          <w:rFonts w:ascii="Times New Roman" w:hAnsi="Times New Roman" w:cs="Times New Roman"/>
          <w:sz w:val="24"/>
          <w:szCs w:val="24"/>
        </w:rPr>
        <w:t xml:space="preserve">arties will choose what the </w:t>
      </w:r>
      <w:r>
        <w:rPr>
          <w:rFonts w:ascii="Times New Roman" w:hAnsi="Times New Roman" w:cs="Times New Roman"/>
          <w:sz w:val="24"/>
          <w:szCs w:val="24"/>
        </w:rPr>
        <w:t>price increase</w:t>
      </w:r>
      <w:r w:rsidRPr="005102C3">
        <w:rPr>
          <w:rFonts w:ascii="Times New Roman" w:hAnsi="Times New Roman" w:cs="Times New Roman"/>
          <w:sz w:val="24"/>
          <w:szCs w:val="24"/>
        </w:rPr>
        <w:t xml:space="preserve"> </w:t>
      </w:r>
      <w:r w:rsidR="00FA42B2" w:rsidRPr="005102C3">
        <w:rPr>
          <w:rFonts w:ascii="Times New Roman" w:hAnsi="Times New Roman" w:cs="Times New Roman"/>
          <w:sz w:val="24"/>
          <w:szCs w:val="24"/>
        </w:rPr>
        <w:t>will be</w:t>
      </w:r>
      <w:r w:rsidR="00E6768C">
        <w:rPr>
          <w:rFonts w:ascii="Times New Roman" w:hAnsi="Times New Roman" w:cs="Times New Roman"/>
          <w:sz w:val="24"/>
          <w:szCs w:val="24"/>
        </w:rPr>
        <w:t xml:space="preserve"> for consumers</w:t>
      </w:r>
      <w:r w:rsidR="00FA42B2" w:rsidRPr="005102C3">
        <w:rPr>
          <w:rFonts w:ascii="Times New Roman" w:hAnsi="Times New Roman" w:cs="Times New Roman"/>
          <w:sz w:val="24"/>
          <w:szCs w:val="24"/>
        </w:rPr>
        <w:t xml:space="preserve">. </w:t>
      </w:r>
      <w:r w:rsidR="00456A96">
        <w:rPr>
          <w:rFonts w:ascii="Times New Roman" w:hAnsi="Times New Roman" w:cs="Times New Roman"/>
          <w:sz w:val="24"/>
          <w:szCs w:val="24"/>
        </w:rPr>
        <w:t xml:space="preserve"> </w:t>
      </w:r>
      <w:r w:rsidR="00FA42B2" w:rsidRPr="005102C3">
        <w:rPr>
          <w:rFonts w:ascii="Times New Roman" w:hAnsi="Times New Roman" w:cs="Times New Roman"/>
          <w:sz w:val="24"/>
          <w:szCs w:val="24"/>
        </w:rPr>
        <w:t xml:space="preserve">Those that shop will not pay the </w:t>
      </w:r>
      <w:r w:rsidR="00477F2A">
        <w:rPr>
          <w:rFonts w:ascii="Times New Roman" w:hAnsi="Times New Roman" w:cs="Times New Roman"/>
          <w:sz w:val="24"/>
          <w:szCs w:val="24"/>
        </w:rPr>
        <w:t>Competition</w:t>
      </w:r>
      <w:r w:rsidR="00F73948">
        <w:rPr>
          <w:rFonts w:ascii="Times New Roman" w:hAnsi="Times New Roman" w:cs="Times New Roman"/>
          <w:sz w:val="24"/>
          <w:szCs w:val="24"/>
        </w:rPr>
        <w:t xml:space="preserve"> Incentive Rider</w:t>
      </w:r>
      <w:r w:rsidR="00FA42B2" w:rsidRPr="005102C3">
        <w:rPr>
          <w:rFonts w:ascii="Times New Roman" w:hAnsi="Times New Roman" w:cs="Times New Roman"/>
          <w:sz w:val="24"/>
          <w:szCs w:val="24"/>
        </w:rPr>
        <w:t xml:space="preserve"> and those that do not shop will pay the yet-to-be-determined price </w:t>
      </w:r>
      <w:r>
        <w:rPr>
          <w:rFonts w:ascii="Times New Roman" w:hAnsi="Times New Roman" w:cs="Times New Roman"/>
          <w:sz w:val="24"/>
          <w:szCs w:val="24"/>
        </w:rPr>
        <w:t>increase</w:t>
      </w:r>
      <w:r w:rsidR="00FA42B2" w:rsidRPr="005102C3">
        <w:rPr>
          <w:rFonts w:ascii="Times New Roman" w:hAnsi="Times New Roman" w:cs="Times New Roman"/>
          <w:sz w:val="24"/>
          <w:szCs w:val="24"/>
        </w:rPr>
        <w:t>.</w:t>
      </w:r>
      <w:r>
        <w:rPr>
          <w:rFonts w:ascii="Times New Roman" w:hAnsi="Times New Roman" w:cs="Times New Roman"/>
          <w:sz w:val="24"/>
          <w:szCs w:val="24"/>
        </w:rPr>
        <w:t xml:space="preserve">  Here again, AEP Ohio’s vision is to layer regulatory charges for consumers to pay above market prices.  That Ohio is a deregulated state where Ohioans’ electric bills are to be determined by market prices is of no moment.</w:t>
      </w:r>
      <w:r w:rsidR="00FA42B2" w:rsidRPr="005102C3">
        <w:rPr>
          <w:rFonts w:ascii="Times New Roman" w:hAnsi="Times New Roman" w:cs="Times New Roman"/>
          <w:sz w:val="24"/>
          <w:szCs w:val="24"/>
        </w:rPr>
        <w:t xml:space="preserve"> </w:t>
      </w:r>
      <w:r w:rsidR="00456A96">
        <w:rPr>
          <w:rFonts w:ascii="Times New Roman" w:hAnsi="Times New Roman" w:cs="Times New Roman"/>
          <w:sz w:val="24"/>
          <w:szCs w:val="24"/>
        </w:rPr>
        <w:t xml:space="preserve"> </w:t>
      </w:r>
    </w:p>
    <w:p w:rsidR="00124C12" w:rsidRDefault="00FA42B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OCC </w:t>
      </w:r>
      <w:r w:rsidRPr="005102C3">
        <w:rPr>
          <w:rFonts w:ascii="Times New Roman" w:hAnsi="Times New Roman" w:cs="Times New Roman"/>
          <w:sz w:val="24"/>
          <w:szCs w:val="24"/>
        </w:rPr>
        <w:t>Witness Dormady explain</w:t>
      </w:r>
      <w:r>
        <w:rPr>
          <w:rFonts w:ascii="Times New Roman" w:hAnsi="Times New Roman" w:cs="Times New Roman"/>
          <w:sz w:val="24"/>
          <w:szCs w:val="24"/>
        </w:rPr>
        <w:t>ed</w:t>
      </w:r>
      <w:r w:rsidRPr="005102C3">
        <w:rPr>
          <w:rFonts w:ascii="Times New Roman" w:hAnsi="Times New Roman" w:cs="Times New Roman"/>
          <w:sz w:val="24"/>
          <w:szCs w:val="24"/>
        </w:rPr>
        <w:t xml:space="preserve"> that adding this charge to </w:t>
      </w:r>
      <w:r w:rsidR="00C31900">
        <w:rPr>
          <w:rFonts w:ascii="Times New Roman" w:hAnsi="Times New Roman" w:cs="Times New Roman"/>
          <w:sz w:val="24"/>
          <w:szCs w:val="24"/>
        </w:rPr>
        <w:t>AEP Ohio</w:t>
      </w:r>
      <w:r w:rsidR="00C31900" w:rsidRPr="005102C3">
        <w:rPr>
          <w:rFonts w:ascii="Times New Roman" w:hAnsi="Times New Roman" w:cs="Times New Roman"/>
          <w:sz w:val="24"/>
          <w:szCs w:val="24"/>
        </w:rPr>
        <w:t xml:space="preserve"> </w:t>
      </w:r>
      <w:r w:rsidRPr="005102C3">
        <w:rPr>
          <w:rFonts w:ascii="Times New Roman" w:hAnsi="Times New Roman" w:cs="Times New Roman"/>
          <w:sz w:val="24"/>
          <w:szCs w:val="24"/>
        </w:rPr>
        <w:t>customers’ bills</w:t>
      </w:r>
      <w:r>
        <w:rPr>
          <w:rFonts w:ascii="Times New Roman" w:hAnsi="Times New Roman" w:cs="Times New Roman"/>
          <w:sz w:val="24"/>
          <w:szCs w:val="24"/>
        </w:rPr>
        <w:t xml:space="preserve"> – a charge </w:t>
      </w:r>
      <w:r w:rsidRPr="005102C3">
        <w:rPr>
          <w:rFonts w:ascii="Times New Roman" w:hAnsi="Times New Roman" w:cs="Times New Roman"/>
          <w:sz w:val="24"/>
          <w:szCs w:val="24"/>
        </w:rPr>
        <w:t>above the auction</w:t>
      </w:r>
      <w:r w:rsidR="00C31900">
        <w:rPr>
          <w:rFonts w:ascii="Times New Roman" w:hAnsi="Times New Roman" w:cs="Times New Roman"/>
          <w:sz w:val="24"/>
          <w:szCs w:val="24"/>
        </w:rPr>
        <w:t xml:space="preserve"> market</w:t>
      </w:r>
      <w:r w:rsidRPr="005102C3">
        <w:rPr>
          <w:rFonts w:ascii="Times New Roman" w:hAnsi="Times New Roman" w:cs="Times New Roman"/>
          <w:sz w:val="24"/>
          <w:szCs w:val="24"/>
        </w:rPr>
        <w:t xml:space="preserve"> price</w:t>
      </w:r>
      <w:r>
        <w:rPr>
          <w:rFonts w:ascii="Times New Roman" w:hAnsi="Times New Roman" w:cs="Times New Roman"/>
          <w:sz w:val="24"/>
          <w:szCs w:val="24"/>
        </w:rPr>
        <w:t xml:space="preserve"> – </w:t>
      </w:r>
      <w:r w:rsidRPr="005102C3">
        <w:rPr>
          <w:rFonts w:ascii="Times New Roman" w:hAnsi="Times New Roman" w:cs="Times New Roman"/>
          <w:sz w:val="24"/>
          <w:szCs w:val="24"/>
        </w:rPr>
        <w:t>adds to the complexity of rate-setting</w:t>
      </w:r>
      <w:r>
        <w:rPr>
          <w:rFonts w:ascii="Times New Roman" w:hAnsi="Times New Roman" w:cs="Times New Roman"/>
          <w:sz w:val="24"/>
          <w:szCs w:val="24"/>
        </w:rPr>
        <w:t>.</w:t>
      </w:r>
      <w:r w:rsidRPr="005102C3">
        <w:rPr>
          <w:rStyle w:val="FootnoteReference"/>
          <w:rFonts w:ascii="Times New Roman" w:hAnsi="Times New Roman"/>
          <w:sz w:val="24"/>
          <w:szCs w:val="24"/>
        </w:rPr>
        <w:footnoteReference w:id="210"/>
      </w:r>
      <w:r w:rsidRPr="005102C3">
        <w:rPr>
          <w:rFonts w:ascii="Times New Roman" w:hAnsi="Times New Roman" w:cs="Times New Roman"/>
          <w:sz w:val="24"/>
          <w:szCs w:val="24"/>
        </w:rPr>
        <w:t xml:space="preserve"> </w:t>
      </w:r>
      <w:r>
        <w:rPr>
          <w:rFonts w:ascii="Times New Roman" w:hAnsi="Times New Roman" w:cs="Times New Roman"/>
          <w:sz w:val="24"/>
          <w:szCs w:val="24"/>
        </w:rPr>
        <w:t xml:space="preserve"> This conflicts with important</w:t>
      </w:r>
      <w:r w:rsidRPr="005102C3">
        <w:rPr>
          <w:rFonts w:ascii="Times New Roman" w:hAnsi="Times New Roman" w:cs="Times New Roman"/>
          <w:sz w:val="24"/>
          <w:szCs w:val="24"/>
        </w:rPr>
        <w:t xml:space="preserve"> regulatory principles. </w:t>
      </w:r>
      <w:r>
        <w:rPr>
          <w:rFonts w:ascii="Times New Roman" w:hAnsi="Times New Roman" w:cs="Times New Roman"/>
          <w:sz w:val="24"/>
          <w:szCs w:val="24"/>
        </w:rPr>
        <w:t>OCC Witness</w:t>
      </w:r>
      <w:r w:rsidRPr="005102C3">
        <w:rPr>
          <w:rFonts w:ascii="Times New Roman" w:hAnsi="Times New Roman" w:cs="Times New Roman"/>
          <w:sz w:val="24"/>
          <w:szCs w:val="24"/>
        </w:rPr>
        <w:t xml:space="preserve"> Dormady also </w:t>
      </w:r>
      <w:r>
        <w:rPr>
          <w:rFonts w:ascii="Times New Roman" w:hAnsi="Times New Roman" w:cs="Times New Roman"/>
          <w:sz w:val="24"/>
          <w:szCs w:val="24"/>
        </w:rPr>
        <w:t xml:space="preserve">explained that the </w:t>
      </w:r>
      <w:r w:rsidR="00477F2A">
        <w:rPr>
          <w:rFonts w:ascii="Times New Roman" w:hAnsi="Times New Roman" w:cs="Times New Roman"/>
          <w:sz w:val="24"/>
          <w:szCs w:val="24"/>
        </w:rPr>
        <w:t>Competition</w:t>
      </w:r>
      <w:r w:rsidR="00C704DB">
        <w:rPr>
          <w:rFonts w:ascii="Times New Roman" w:hAnsi="Times New Roman" w:cs="Times New Roman"/>
          <w:sz w:val="24"/>
          <w:szCs w:val="24"/>
        </w:rPr>
        <w:t xml:space="preserve"> Incentive Rider</w:t>
      </w:r>
      <w:r>
        <w:rPr>
          <w:rFonts w:ascii="Times New Roman" w:hAnsi="Times New Roman" w:cs="Times New Roman"/>
          <w:sz w:val="24"/>
          <w:szCs w:val="24"/>
        </w:rPr>
        <w:t xml:space="preserve"> is inconsistent with the regulatory principle </w:t>
      </w:r>
      <w:r w:rsidR="00ED129E">
        <w:rPr>
          <w:rFonts w:ascii="Times New Roman" w:hAnsi="Times New Roman" w:cs="Times New Roman"/>
          <w:sz w:val="24"/>
          <w:szCs w:val="24"/>
        </w:rPr>
        <w:t xml:space="preserve">identified by AEP Ohio Witness Allen </w:t>
      </w:r>
      <w:r>
        <w:rPr>
          <w:rFonts w:ascii="Times New Roman" w:hAnsi="Times New Roman" w:cs="Times New Roman"/>
          <w:sz w:val="24"/>
          <w:szCs w:val="24"/>
        </w:rPr>
        <w:t>that</w:t>
      </w:r>
      <w:r w:rsidRPr="005102C3">
        <w:rPr>
          <w:rFonts w:ascii="Times New Roman" w:hAnsi="Times New Roman" w:cs="Times New Roman"/>
          <w:sz w:val="24"/>
          <w:szCs w:val="24"/>
        </w:rPr>
        <w:t xml:space="preserve"> “rates should be conducive to rate stability</w:t>
      </w:r>
      <w:r>
        <w:rPr>
          <w:rFonts w:ascii="Times New Roman" w:hAnsi="Times New Roman" w:cs="Times New Roman"/>
          <w:sz w:val="24"/>
          <w:szCs w:val="24"/>
        </w:rPr>
        <w:t>.</w:t>
      </w:r>
      <w:r w:rsidRPr="005102C3">
        <w:rPr>
          <w:rFonts w:ascii="Times New Roman" w:hAnsi="Times New Roman" w:cs="Times New Roman"/>
          <w:sz w:val="24"/>
          <w:szCs w:val="24"/>
        </w:rPr>
        <w:t xml:space="preserve">” </w:t>
      </w:r>
      <w:r w:rsidR="00456A96">
        <w:rPr>
          <w:rFonts w:ascii="Times New Roman" w:hAnsi="Times New Roman" w:cs="Times New Roman"/>
          <w:sz w:val="24"/>
          <w:szCs w:val="24"/>
        </w:rPr>
        <w:t xml:space="preserve"> </w:t>
      </w:r>
      <w:r>
        <w:rPr>
          <w:rFonts w:ascii="Times New Roman" w:hAnsi="Times New Roman" w:cs="Times New Roman"/>
          <w:sz w:val="24"/>
          <w:szCs w:val="24"/>
        </w:rPr>
        <w:t>F</w:t>
      </w:r>
      <w:r w:rsidRPr="005102C3">
        <w:rPr>
          <w:rFonts w:ascii="Times New Roman" w:hAnsi="Times New Roman" w:cs="Times New Roman"/>
          <w:sz w:val="24"/>
          <w:szCs w:val="24"/>
        </w:rPr>
        <w:t xml:space="preserve">luctuating </w:t>
      </w:r>
      <w:r w:rsidR="00477F2A">
        <w:rPr>
          <w:rFonts w:ascii="Times New Roman" w:hAnsi="Times New Roman" w:cs="Times New Roman"/>
          <w:sz w:val="24"/>
          <w:szCs w:val="24"/>
        </w:rPr>
        <w:t>Competition</w:t>
      </w:r>
      <w:r w:rsidR="00C704DB">
        <w:rPr>
          <w:rFonts w:ascii="Times New Roman" w:hAnsi="Times New Roman" w:cs="Times New Roman"/>
          <w:sz w:val="24"/>
          <w:szCs w:val="24"/>
        </w:rPr>
        <w:t xml:space="preserve"> Incentive Rider</w:t>
      </w:r>
      <w:r w:rsidRPr="005102C3">
        <w:rPr>
          <w:rFonts w:ascii="Times New Roman" w:hAnsi="Times New Roman" w:cs="Times New Roman"/>
          <w:sz w:val="24"/>
          <w:szCs w:val="24"/>
        </w:rPr>
        <w:t xml:space="preserve"> rate</w:t>
      </w:r>
      <w:r>
        <w:rPr>
          <w:rFonts w:ascii="Times New Roman" w:hAnsi="Times New Roman" w:cs="Times New Roman"/>
          <w:sz w:val="24"/>
          <w:szCs w:val="24"/>
        </w:rPr>
        <w:t>s</w:t>
      </w:r>
      <w:r w:rsidRPr="005102C3">
        <w:rPr>
          <w:rFonts w:ascii="Times New Roman" w:hAnsi="Times New Roman" w:cs="Times New Roman"/>
          <w:sz w:val="24"/>
          <w:szCs w:val="24"/>
        </w:rPr>
        <w:t xml:space="preserve"> will create inefficiently high rates because customers will switch </w:t>
      </w:r>
      <w:r w:rsidR="00477F2A">
        <w:rPr>
          <w:rFonts w:ascii="Times New Roman" w:hAnsi="Times New Roman" w:cs="Times New Roman"/>
          <w:sz w:val="24"/>
          <w:szCs w:val="24"/>
        </w:rPr>
        <w:t>marketers</w:t>
      </w:r>
      <w:r w:rsidRPr="005102C3">
        <w:rPr>
          <w:rFonts w:ascii="Times New Roman" w:hAnsi="Times New Roman" w:cs="Times New Roman"/>
          <w:sz w:val="24"/>
          <w:szCs w:val="24"/>
        </w:rPr>
        <w:t>, thereby adding more costs</w:t>
      </w:r>
      <w:r>
        <w:rPr>
          <w:rFonts w:ascii="Times New Roman" w:hAnsi="Times New Roman" w:cs="Times New Roman"/>
          <w:sz w:val="24"/>
          <w:szCs w:val="24"/>
        </w:rPr>
        <w:t xml:space="preserve"> and </w:t>
      </w:r>
      <w:r w:rsidRPr="005102C3">
        <w:rPr>
          <w:rFonts w:ascii="Times New Roman" w:hAnsi="Times New Roman" w:cs="Times New Roman"/>
          <w:sz w:val="24"/>
          <w:szCs w:val="24"/>
        </w:rPr>
        <w:t>fees</w:t>
      </w:r>
      <w:r>
        <w:rPr>
          <w:rFonts w:ascii="Times New Roman" w:hAnsi="Times New Roman" w:cs="Times New Roman"/>
          <w:sz w:val="24"/>
          <w:szCs w:val="24"/>
        </w:rPr>
        <w:t>.</w:t>
      </w:r>
      <w:r w:rsidRPr="005102C3">
        <w:rPr>
          <w:rFonts w:ascii="Times New Roman" w:hAnsi="Times New Roman" w:cs="Times New Roman"/>
          <w:sz w:val="24"/>
          <w:szCs w:val="24"/>
        </w:rPr>
        <w:t xml:space="preserve"> </w:t>
      </w:r>
      <w:r w:rsidR="00456A96">
        <w:rPr>
          <w:rFonts w:ascii="Times New Roman" w:hAnsi="Times New Roman" w:cs="Times New Roman"/>
          <w:sz w:val="24"/>
          <w:szCs w:val="24"/>
        </w:rPr>
        <w:t xml:space="preserve"> </w:t>
      </w:r>
      <w:r>
        <w:rPr>
          <w:rFonts w:ascii="Times New Roman" w:hAnsi="Times New Roman" w:cs="Times New Roman"/>
          <w:sz w:val="24"/>
          <w:szCs w:val="24"/>
        </w:rPr>
        <w:t>This</w:t>
      </w:r>
      <w:r w:rsidRPr="005102C3">
        <w:rPr>
          <w:rFonts w:ascii="Times New Roman" w:hAnsi="Times New Roman" w:cs="Times New Roman"/>
          <w:sz w:val="24"/>
          <w:szCs w:val="24"/>
        </w:rPr>
        <w:t xml:space="preserve"> is counter to the public interest.</w:t>
      </w:r>
      <w:r w:rsidRPr="005102C3">
        <w:rPr>
          <w:rStyle w:val="FootnoteReference"/>
          <w:rFonts w:ascii="Times New Roman" w:hAnsi="Times New Roman"/>
          <w:sz w:val="24"/>
          <w:szCs w:val="24"/>
        </w:rPr>
        <w:footnoteReference w:id="211"/>
      </w:r>
      <w:r w:rsidRPr="005102C3">
        <w:rPr>
          <w:rFonts w:ascii="Times New Roman" w:hAnsi="Times New Roman" w:cs="Times New Roman"/>
          <w:sz w:val="24"/>
          <w:szCs w:val="24"/>
        </w:rPr>
        <w:t xml:space="preserve"> </w:t>
      </w:r>
      <w:r w:rsidR="00456A96">
        <w:rPr>
          <w:rFonts w:ascii="Times New Roman" w:hAnsi="Times New Roman" w:cs="Times New Roman"/>
          <w:sz w:val="24"/>
          <w:szCs w:val="24"/>
        </w:rPr>
        <w:t xml:space="preserve"> </w:t>
      </w:r>
      <w:r w:rsidRPr="005102C3">
        <w:rPr>
          <w:rFonts w:ascii="Times New Roman" w:hAnsi="Times New Roman" w:cs="Times New Roman"/>
          <w:sz w:val="24"/>
          <w:szCs w:val="24"/>
        </w:rPr>
        <w:t xml:space="preserve">And further, no party has done any assessment of the impact that the </w:t>
      </w:r>
      <w:r w:rsidR="00477F2A">
        <w:rPr>
          <w:rFonts w:ascii="Times New Roman" w:hAnsi="Times New Roman" w:cs="Times New Roman"/>
          <w:sz w:val="24"/>
          <w:szCs w:val="24"/>
        </w:rPr>
        <w:t>Competition</w:t>
      </w:r>
      <w:r w:rsidR="00C704DB">
        <w:rPr>
          <w:rFonts w:ascii="Times New Roman" w:hAnsi="Times New Roman" w:cs="Times New Roman"/>
          <w:sz w:val="24"/>
          <w:szCs w:val="24"/>
        </w:rPr>
        <w:t xml:space="preserve"> Incentive Rider</w:t>
      </w:r>
      <w:r w:rsidRPr="005102C3">
        <w:rPr>
          <w:rFonts w:ascii="Times New Roman" w:hAnsi="Times New Roman" w:cs="Times New Roman"/>
          <w:sz w:val="24"/>
          <w:szCs w:val="24"/>
        </w:rPr>
        <w:t xml:space="preserve"> charge will have on rate stability.</w:t>
      </w:r>
      <w:r w:rsidRPr="005102C3">
        <w:rPr>
          <w:rStyle w:val="FootnoteReference"/>
          <w:rFonts w:ascii="Times New Roman" w:hAnsi="Times New Roman"/>
          <w:sz w:val="24"/>
          <w:szCs w:val="24"/>
        </w:rPr>
        <w:footnoteReference w:id="212"/>
      </w:r>
      <w:r w:rsidRPr="005102C3">
        <w:rPr>
          <w:rFonts w:ascii="Times New Roman" w:hAnsi="Times New Roman" w:cs="Times New Roman"/>
          <w:sz w:val="24"/>
          <w:szCs w:val="24"/>
        </w:rPr>
        <w:t xml:space="preserve"> </w:t>
      </w:r>
    </w:p>
    <w:p w:rsidR="007E4760" w:rsidRDefault="00FA42B2" w:rsidP="00D34055">
      <w:pPr>
        <w:spacing w:after="0" w:line="480" w:lineRule="auto"/>
        <w:rPr>
          <w:rFonts w:ascii="Times New Roman" w:hAnsi="Times New Roman" w:cs="Times New Roman"/>
          <w:sz w:val="24"/>
          <w:szCs w:val="24"/>
        </w:rPr>
      </w:pPr>
      <w:r w:rsidRPr="005102C3">
        <w:rPr>
          <w:rFonts w:ascii="Times New Roman" w:hAnsi="Times New Roman" w:cs="Times New Roman"/>
          <w:sz w:val="24"/>
          <w:szCs w:val="24"/>
        </w:rPr>
        <w:tab/>
        <w:t xml:space="preserve">Though the </w:t>
      </w:r>
      <w:r w:rsidR="00477F2A">
        <w:rPr>
          <w:rFonts w:ascii="Times New Roman" w:hAnsi="Times New Roman" w:cs="Times New Roman"/>
          <w:sz w:val="24"/>
          <w:szCs w:val="24"/>
        </w:rPr>
        <w:t>Competition</w:t>
      </w:r>
      <w:r w:rsidR="00C704DB">
        <w:rPr>
          <w:rFonts w:ascii="Times New Roman" w:hAnsi="Times New Roman" w:cs="Times New Roman"/>
          <w:sz w:val="24"/>
          <w:szCs w:val="24"/>
        </w:rPr>
        <w:t xml:space="preserve"> Incentive Rider</w:t>
      </w:r>
      <w:r w:rsidRPr="005102C3">
        <w:rPr>
          <w:rFonts w:ascii="Times New Roman" w:hAnsi="Times New Roman" w:cs="Times New Roman"/>
          <w:sz w:val="24"/>
          <w:szCs w:val="24"/>
        </w:rPr>
        <w:t xml:space="preserve"> is collected from all non-shopping SSO customers, the entire amount of the </w:t>
      </w:r>
      <w:r w:rsidR="00477F2A">
        <w:rPr>
          <w:rFonts w:ascii="Times New Roman" w:hAnsi="Times New Roman" w:cs="Times New Roman"/>
          <w:sz w:val="24"/>
          <w:szCs w:val="24"/>
        </w:rPr>
        <w:t>Competition</w:t>
      </w:r>
      <w:r w:rsidR="00C704DB">
        <w:rPr>
          <w:rFonts w:ascii="Times New Roman" w:hAnsi="Times New Roman" w:cs="Times New Roman"/>
          <w:sz w:val="24"/>
          <w:szCs w:val="24"/>
        </w:rPr>
        <w:t xml:space="preserve"> Incentive Rider</w:t>
      </w:r>
      <w:r w:rsidRPr="005102C3">
        <w:rPr>
          <w:rFonts w:ascii="Times New Roman" w:hAnsi="Times New Roman" w:cs="Times New Roman"/>
          <w:sz w:val="24"/>
          <w:szCs w:val="24"/>
        </w:rPr>
        <w:t xml:space="preserve"> is refunded to all customers. </w:t>
      </w:r>
      <w:r w:rsidR="00456A96">
        <w:rPr>
          <w:rFonts w:ascii="Times New Roman" w:hAnsi="Times New Roman" w:cs="Times New Roman"/>
          <w:sz w:val="24"/>
          <w:szCs w:val="24"/>
        </w:rPr>
        <w:t xml:space="preserve"> </w:t>
      </w:r>
      <w:r w:rsidRPr="005102C3">
        <w:rPr>
          <w:rFonts w:ascii="Times New Roman" w:hAnsi="Times New Roman" w:cs="Times New Roman"/>
          <w:sz w:val="24"/>
          <w:szCs w:val="24"/>
        </w:rPr>
        <w:t xml:space="preserve">To make the non-shopping customers bear a disproportionate burden of the </w:t>
      </w:r>
      <w:r w:rsidR="00477F2A">
        <w:rPr>
          <w:rFonts w:ascii="Times New Roman" w:hAnsi="Times New Roman" w:cs="Times New Roman"/>
          <w:sz w:val="24"/>
          <w:szCs w:val="24"/>
        </w:rPr>
        <w:t>Competition</w:t>
      </w:r>
      <w:r w:rsidR="00C704DB">
        <w:rPr>
          <w:rFonts w:ascii="Times New Roman" w:hAnsi="Times New Roman" w:cs="Times New Roman"/>
          <w:sz w:val="24"/>
          <w:szCs w:val="24"/>
        </w:rPr>
        <w:t xml:space="preserve"> Incentive Rider</w:t>
      </w:r>
      <w:r w:rsidRPr="005102C3">
        <w:rPr>
          <w:rFonts w:ascii="Times New Roman" w:hAnsi="Times New Roman" w:cs="Times New Roman"/>
          <w:sz w:val="24"/>
          <w:szCs w:val="24"/>
        </w:rPr>
        <w:t xml:space="preserve"> is unduly discriminatory.</w:t>
      </w:r>
      <w:r w:rsidRPr="005102C3">
        <w:rPr>
          <w:rStyle w:val="FootnoteReference"/>
          <w:rFonts w:ascii="Times New Roman" w:hAnsi="Times New Roman"/>
          <w:sz w:val="24"/>
          <w:szCs w:val="24"/>
        </w:rPr>
        <w:footnoteReference w:id="213"/>
      </w:r>
      <w:r w:rsidRPr="005102C3">
        <w:rPr>
          <w:rFonts w:ascii="Times New Roman" w:hAnsi="Times New Roman" w:cs="Times New Roman"/>
          <w:sz w:val="24"/>
          <w:szCs w:val="24"/>
        </w:rPr>
        <w:t xml:space="preserve"> </w:t>
      </w:r>
      <w:r w:rsidR="00456A96">
        <w:rPr>
          <w:rFonts w:ascii="Times New Roman" w:hAnsi="Times New Roman" w:cs="Times New Roman"/>
          <w:sz w:val="24"/>
          <w:szCs w:val="24"/>
        </w:rPr>
        <w:t xml:space="preserve"> </w:t>
      </w:r>
      <w:r w:rsidRPr="005102C3">
        <w:rPr>
          <w:rFonts w:ascii="Times New Roman" w:hAnsi="Times New Roman" w:cs="Times New Roman"/>
          <w:sz w:val="24"/>
          <w:szCs w:val="24"/>
        </w:rPr>
        <w:t>As a matter of sound regulatory policy, rates should be ec</w:t>
      </w:r>
      <w:r>
        <w:rPr>
          <w:rFonts w:ascii="Times New Roman" w:hAnsi="Times New Roman" w:cs="Times New Roman"/>
          <w:sz w:val="24"/>
          <w:szCs w:val="24"/>
        </w:rPr>
        <w:t>onomically efficient.  A</w:t>
      </w:r>
      <w:r w:rsidRPr="005102C3">
        <w:rPr>
          <w:rFonts w:ascii="Times New Roman" w:hAnsi="Times New Roman" w:cs="Times New Roman"/>
          <w:sz w:val="24"/>
          <w:szCs w:val="24"/>
        </w:rPr>
        <w:t xml:space="preserve">dding the </w:t>
      </w:r>
      <w:r w:rsidR="00477F2A">
        <w:rPr>
          <w:rFonts w:ascii="Times New Roman" w:hAnsi="Times New Roman" w:cs="Times New Roman"/>
          <w:sz w:val="24"/>
          <w:szCs w:val="24"/>
        </w:rPr>
        <w:t>Competition Incentive Rider</w:t>
      </w:r>
      <w:r w:rsidRPr="005102C3">
        <w:rPr>
          <w:rFonts w:ascii="Times New Roman" w:hAnsi="Times New Roman" w:cs="Times New Roman"/>
          <w:sz w:val="24"/>
          <w:szCs w:val="24"/>
        </w:rPr>
        <w:t xml:space="preserve"> on </w:t>
      </w:r>
      <w:r w:rsidR="00477F2A">
        <w:rPr>
          <w:rFonts w:ascii="Times New Roman" w:hAnsi="Times New Roman" w:cs="Times New Roman"/>
          <w:sz w:val="24"/>
          <w:szCs w:val="24"/>
        </w:rPr>
        <w:t>standard offer</w:t>
      </w:r>
      <w:r w:rsidRPr="005102C3">
        <w:rPr>
          <w:rFonts w:ascii="Times New Roman" w:hAnsi="Times New Roman" w:cs="Times New Roman"/>
          <w:sz w:val="24"/>
          <w:szCs w:val="24"/>
        </w:rPr>
        <w:t xml:space="preserve"> consumers’ bills eliminates economic efficiency. </w:t>
      </w:r>
      <w:r w:rsidR="00456A96">
        <w:rPr>
          <w:rFonts w:ascii="Times New Roman" w:hAnsi="Times New Roman" w:cs="Times New Roman"/>
          <w:sz w:val="24"/>
          <w:szCs w:val="24"/>
        </w:rPr>
        <w:t xml:space="preserve"> </w:t>
      </w:r>
    </w:p>
    <w:p w:rsidR="00477F2A" w:rsidRDefault="00FA42B2" w:rsidP="00015688">
      <w:pPr>
        <w:spacing w:after="0" w:line="480" w:lineRule="auto"/>
        <w:ind w:firstLine="720"/>
        <w:rPr>
          <w:rFonts w:ascii="Times New Roman" w:hAnsi="Times New Roman" w:cs="Times New Roman"/>
          <w:sz w:val="24"/>
          <w:szCs w:val="24"/>
        </w:rPr>
      </w:pPr>
      <w:r w:rsidRPr="005102C3">
        <w:rPr>
          <w:rFonts w:ascii="Times New Roman" w:hAnsi="Times New Roman" w:cs="Times New Roman"/>
          <w:sz w:val="24"/>
          <w:szCs w:val="24"/>
        </w:rPr>
        <w:t xml:space="preserve">When there is the additional cost added to the </w:t>
      </w:r>
      <w:r w:rsidR="00477F2A">
        <w:rPr>
          <w:rFonts w:ascii="Times New Roman" w:hAnsi="Times New Roman" w:cs="Times New Roman"/>
          <w:sz w:val="24"/>
          <w:szCs w:val="24"/>
        </w:rPr>
        <w:t>standard offer</w:t>
      </w:r>
      <w:r w:rsidRPr="005102C3">
        <w:rPr>
          <w:rFonts w:ascii="Times New Roman" w:hAnsi="Times New Roman" w:cs="Times New Roman"/>
          <w:sz w:val="24"/>
          <w:szCs w:val="24"/>
        </w:rPr>
        <w:t xml:space="preserve"> rate, it greatly diminishes the incentives for </w:t>
      </w:r>
      <w:r w:rsidR="007E4760">
        <w:rPr>
          <w:rFonts w:ascii="Times New Roman" w:hAnsi="Times New Roman" w:cs="Times New Roman"/>
          <w:sz w:val="24"/>
          <w:szCs w:val="24"/>
        </w:rPr>
        <w:t>marketers</w:t>
      </w:r>
      <w:r w:rsidRPr="005102C3">
        <w:rPr>
          <w:rFonts w:ascii="Times New Roman" w:hAnsi="Times New Roman" w:cs="Times New Roman"/>
          <w:sz w:val="24"/>
          <w:szCs w:val="24"/>
        </w:rPr>
        <w:t xml:space="preserve"> to offer a competitive price to attract </w:t>
      </w:r>
      <w:r w:rsidR="00477F2A">
        <w:rPr>
          <w:rFonts w:ascii="Times New Roman" w:hAnsi="Times New Roman" w:cs="Times New Roman"/>
          <w:sz w:val="24"/>
          <w:szCs w:val="24"/>
        </w:rPr>
        <w:t>standard offer</w:t>
      </w:r>
      <w:r w:rsidRPr="005102C3">
        <w:rPr>
          <w:rFonts w:ascii="Times New Roman" w:hAnsi="Times New Roman" w:cs="Times New Roman"/>
          <w:sz w:val="24"/>
          <w:szCs w:val="24"/>
        </w:rPr>
        <w:t xml:space="preserve"> customers.</w:t>
      </w:r>
      <w:r w:rsidRPr="005102C3">
        <w:rPr>
          <w:rStyle w:val="FootnoteReference"/>
          <w:rFonts w:ascii="Times New Roman" w:hAnsi="Times New Roman"/>
          <w:sz w:val="24"/>
          <w:szCs w:val="24"/>
        </w:rPr>
        <w:footnoteReference w:id="214"/>
      </w:r>
      <w:r w:rsidRPr="005102C3">
        <w:rPr>
          <w:rFonts w:ascii="Times New Roman" w:hAnsi="Times New Roman" w:cs="Times New Roman"/>
          <w:sz w:val="24"/>
          <w:szCs w:val="24"/>
        </w:rPr>
        <w:t xml:space="preserve"> </w:t>
      </w:r>
      <w:r w:rsidR="00456A96">
        <w:rPr>
          <w:rFonts w:ascii="Times New Roman" w:hAnsi="Times New Roman" w:cs="Times New Roman"/>
          <w:sz w:val="24"/>
          <w:szCs w:val="24"/>
        </w:rPr>
        <w:t xml:space="preserve"> </w:t>
      </w:r>
      <w:r w:rsidRPr="005102C3">
        <w:rPr>
          <w:rFonts w:ascii="Times New Roman" w:hAnsi="Times New Roman" w:cs="Times New Roman"/>
          <w:sz w:val="24"/>
          <w:szCs w:val="24"/>
        </w:rPr>
        <w:t xml:space="preserve">In fact, as explained by </w:t>
      </w:r>
      <w:r>
        <w:rPr>
          <w:rFonts w:ascii="Times New Roman" w:hAnsi="Times New Roman" w:cs="Times New Roman"/>
          <w:sz w:val="24"/>
          <w:szCs w:val="24"/>
        </w:rPr>
        <w:t xml:space="preserve">OCC </w:t>
      </w:r>
      <w:r w:rsidRPr="005102C3">
        <w:rPr>
          <w:rFonts w:ascii="Times New Roman" w:hAnsi="Times New Roman" w:cs="Times New Roman"/>
          <w:sz w:val="24"/>
          <w:szCs w:val="24"/>
        </w:rPr>
        <w:t xml:space="preserve">Witness Dormady, </w:t>
      </w:r>
      <w:r w:rsidR="007E4760">
        <w:rPr>
          <w:rFonts w:ascii="Times New Roman" w:hAnsi="Times New Roman" w:cs="Times New Roman"/>
          <w:sz w:val="24"/>
          <w:szCs w:val="24"/>
        </w:rPr>
        <w:t>marketers</w:t>
      </w:r>
      <w:r w:rsidRPr="005102C3">
        <w:rPr>
          <w:rFonts w:ascii="Times New Roman" w:hAnsi="Times New Roman" w:cs="Times New Roman"/>
          <w:sz w:val="24"/>
          <w:szCs w:val="24"/>
        </w:rPr>
        <w:t xml:space="preserve"> will have an incentive to raise their rates by some amount up to the </w:t>
      </w:r>
      <w:r w:rsidR="00477F2A">
        <w:rPr>
          <w:rFonts w:ascii="Times New Roman" w:hAnsi="Times New Roman" w:cs="Times New Roman"/>
          <w:sz w:val="24"/>
          <w:szCs w:val="24"/>
        </w:rPr>
        <w:t>Competition</w:t>
      </w:r>
      <w:r w:rsidR="00C704DB">
        <w:rPr>
          <w:rFonts w:ascii="Times New Roman" w:hAnsi="Times New Roman" w:cs="Times New Roman"/>
          <w:sz w:val="24"/>
          <w:szCs w:val="24"/>
        </w:rPr>
        <w:t xml:space="preserve"> Incentive Rider</w:t>
      </w:r>
      <w:r w:rsidRPr="005102C3">
        <w:rPr>
          <w:rFonts w:ascii="Times New Roman" w:hAnsi="Times New Roman" w:cs="Times New Roman"/>
          <w:sz w:val="24"/>
          <w:szCs w:val="24"/>
        </w:rPr>
        <w:t xml:space="preserve"> rate.</w:t>
      </w:r>
      <w:r w:rsidRPr="005102C3">
        <w:rPr>
          <w:rStyle w:val="FootnoteReference"/>
          <w:rFonts w:ascii="Times New Roman" w:hAnsi="Times New Roman"/>
          <w:sz w:val="24"/>
          <w:szCs w:val="24"/>
        </w:rPr>
        <w:footnoteReference w:id="215"/>
      </w:r>
      <w:r w:rsidRPr="005102C3">
        <w:rPr>
          <w:rFonts w:ascii="Times New Roman" w:hAnsi="Times New Roman" w:cs="Times New Roman"/>
          <w:sz w:val="24"/>
          <w:szCs w:val="24"/>
        </w:rPr>
        <w:t xml:space="preserve"> </w:t>
      </w:r>
      <w:r w:rsidR="00456A96">
        <w:rPr>
          <w:rFonts w:ascii="Times New Roman" w:hAnsi="Times New Roman" w:cs="Times New Roman"/>
          <w:sz w:val="24"/>
          <w:szCs w:val="24"/>
        </w:rPr>
        <w:t xml:space="preserve"> </w:t>
      </w:r>
      <w:r>
        <w:rPr>
          <w:rFonts w:ascii="Times New Roman" w:hAnsi="Times New Roman" w:cs="Times New Roman"/>
          <w:sz w:val="24"/>
          <w:szCs w:val="24"/>
        </w:rPr>
        <w:t>There</w:t>
      </w:r>
      <w:r w:rsidRPr="005102C3">
        <w:rPr>
          <w:rFonts w:ascii="Times New Roman" w:hAnsi="Times New Roman" w:cs="Times New Roman"/>
          <w:sz w:val="24"/>
          <w:szCs w:val="24"/>
        </w:rPr>
        <w:t xml:space="preserve"> is no economic efficiency when </w:t>
      </w:r>
      <w:r w:rsidR="007E4760">
        <w:rPr>
          <w:rFonts w:ascii="Times New Roman" w:hAnsi="Times New Roman" w:cs="Times New Roman"/>
          <w:sz w:val="24"/>
          <w:szCs w:val="24"/>
        </w:rPr>
        <w:t>marketer</w:t>
      </w:r>
      <w:r w:rsidR="007E4760" w:rsidRPr="005102C3">
        <w:rPr>
          <w:rFonts w:ascii="Times New Roman" w:hAnsi="Times New Roman" w:cs="Times New Roman"/>
          <w:sz w:val="24"/>
          <w:szCs w:val="24"/>
        </w:rPr>
        <w:t xml:space="preserve"> </w:t>
      </w:r>
      <w:r w:rsidRPr="005102C3">
        <w:rPr>
          <w:rFonts w:ascii="Times New Roman" w:hAnsi="Times New Roman" w:cs="Times New Roman"/>
          <w:sz w:val="24"/>
          <w:szCs w:val="24"/>
        </w:rPr>
        <w:t xml:space="preserve">rates are artificially inflated. </w:t>
      </w:r>
      <w:r w:rsidR="00456A96">
        <w:rPr>
          <w:rFonts w:ascii="Times New Roman" w:hAnsi="Times New Roman" w:cs="Times New Roman"/>
          <w:sz w:val="24"/>
          <w:szCs w:val="24"/>
        </w:rPr>
        <w:t xml:space="preserve"> </w:t>
      </w:r>
    </w:p>
    <w:p w:rsidR="00156F20" w:rsidRDefault="00FA42B2" w:rsidP="00015688">
      <w:pPr>
        <w:spacing w:after="0" w:line="480" w:lineRule="auto"/>
        <w:ind w:firstLine="720"/>
        <w:rPr>
          <w:rFonts w:ascii="Times New Roman" w:hAnsi="Times New Roman" w:cs="Times New Roman"/>
          <w:sz w:val="24"/>
          <w:szCs w:val="24"/>
        </w:rPr>
      </w:pPr>
      <w:r w:rsidRPr="005102C3">
        <w:rPr>
          <w:rFonts w:ascii="Times New Roman" w:hAnsi="Times New Roman" w:cs="Times New Roman"/>
          <w:sz w:val="24"/>
          <w:szCs w:val="24"/>
        </w:rPr>
        <w:t xml:space="preserve">The </w:t>
      </w:r>
      <w:r w:rsidR="00477F2A">
        <w:rPr>
          <w:rFonts w:ascii="Times New Roman" w:hAnsi="Times New Roman" w:cs="Times New Roman"/>
          <w:sz w:val="24"/>
          <w:szCs w:val="24"/>
        </w:rPr>
        <w:t>Competition</w:t>
      </w:r>
      <w:r w:rsidR="00C704DB">
        <w:rPr>
          <w:rFonts w:ascii="Times New Roman" w:hAnsi="Times New Roman" w:cs="Times New Roman"/>
          <w:sz w:val="24"/>
          <w:szCs w:val="24"/>
        </w:rPr>
        <w:t xml:space="preserve"> Incentive Rider</w:t>
      </w:r>
      <w:r w:rsidRPr="005102C3">
        <w:rPr>
          <w:rFonts w:ascii="Times New Roman" w:hAnsi="Times New Roman" w:cs="Times New Roman"/>
          <w:sz w:val="24"/>
          <w:szCs w:val="24"/>
        </w:rPr>
        <w:t xml:space="preserve"> is essentially an energy tax that will increase energy costs to businesses and households and likely </w:t>
      </w:r>
      <w:r>
        <w:rPr>
          <w:rFonts w:ascii="Times New Roman" w:hAnsi="Times New Roman" w:cs="Times New Roman"/>
          <w:sz w:val="24"/>
          <w:szCs w:val="24"/>
        </w:rPr>
        <w:t xml:space="preserve">will </w:t>
      </w:r>
      <w:r w:rsidRPr="005102C3">
        <w:rPr>
          <w:rFonts w:ascii="Times New Roman" w:hAnsi="Times New Roman" w:cs="Times New Roman"/>
          <w:sz w:val="24"/>
          <w:szCs w:val="24"/>
        </w:rPr>
        <w:t>have an adverse effect on the Ohio economy.</w:t>
      </w:r>
      <w:r w:rsidRPr="005102C3">
        <w:rPr>
          <w:rStyle w:val="FootnoteReference"/>
          <w:rFonts w:ascii="Times New Roman" w:hAnsi="Times New Roman"/>
          <w:sz w:val="24"/>
          <w:szCs w:val="24"/>
        </w:rPr>
        <w:footnoteReference w:id="216"/>
      </w:r>
      <w:r w:rsidRPr="005102C3">
        <w:rPr>
          <w:rFonts w:ascii="Times New Roman" w:hAnsi="Times New Roman" w:cs="Times New Roman"/>
          <w:sz w:val="24"/>
          <w:szCs w:val="24"/>
        </w:rPr>
        <w:t xml:space="preserve"> </w:t>
      </w:r>
      <w:r w:rsidR="00456A96">
        <w:rPr>
          <w:rFonts w:ascii="Times New Roman" w:hAnsi="Times New Roman" w:cs="Times New Roman"/>
          <w:sz w:val="24"/>
          <w:szCs w:val="24"/>
        </w:rPr>
        <w:t xml:space="preserve"> </w:t>
      </w:r>
      <w:r>
        <w:rPr>
          <w:rFonts w:ascii="Times New Roman" w:hAnsi="Times New Roman" w:cs="Times New Roman"/>
          <w:sz w:val="24"/>
          <w:szCs w:val="24"/>
        </w:rPr>
        <w:t>Additionally</w:t>
      </w:r>
      <w:r w:rsidRPr="005102C3">
        <w:rPr>
          <w:rFonts w:ascii="Times New Roman" w:hAnsi="Times New Roman" w:cs="Times New Roman"/>
          <w:sz w:val="24"/>
          <w:szCs w:val="24"/>
        </w:rPr>
        <w:t xml:space="preserve">, the </w:t>
      </w:r>
      <w:r w:rsidR="00477F2A">
        <w:rPr>
          <w:rFonts w:ascii="Times New Roman" w:hAnsi="Times New Roman" w:cs="Times New Roman"/>
          <w:sz w:val="24"/>
          <w:szCs w:val="24"/>
        </w:rPr>
        <w:t>Competition</w:t>
      </w:r>
      <w:r w:rsidR="00C704DB">
        <w:rPr>
          <w:rFonts w:ascii="Times New Roman" w:hAnsi="Times New Roman" w:cs="Times New Roman"/>
          <w:sz w:val="24"/>
          <w:szCs w:val="24"/>
        </w:rPr>
        <w:t xml:space="preserve"> Incentive Rider</w:t>
      </w:r>
      <w:r w:rsidRPr="005102C3">
        <w:rPr>
          <w:rFonts w:ascii="Times New Roman" w:hAnsi="Times New Roman" w:cs="Times New Roman"/>
          <w:sz w:val="24"/>
          <w:szCs w:val="24"/>
        </w:rPr>
        <w:t xml:space="preserve"> rate would be set by </w:t>
      </w:r>
      <w:r>
        <w:rPr>
          <w:rFonts w:ascii="Times New Roman" w:hAnsi="Times New Roman" w:cs="Times New Roman"/>
          <w:sz w:val="24"/>
          <w:szCs w:val="24"/>
        </w:rPr>
        <w:t>S</w:t>
      </w:r>
      <w:r w:rsidRPr="005102C3">
        <w:rPr>
          <w:rFonts w:ascii="Times New Roman" w:hAnsi="Times New Roman" w:cs="Times New Roman"/>
          <w:sz w:val="24"/>
          <w:szCs w:val="24"/>
        </w:rPr>
        <w:t xml:space="preserve">ignatory </w:t>
      </w:r>
      <w:r>
        <w:rPr>
          <w:rFonts w:ascii="Times New Roman" w:hAnsi="Times New Roman" w:cs="Times New Roman"/>
          <w:sz w:val="24"/>
          <w:szCs w:val="24"/>
        </w:rPr>
        <w:t>P</w:t>
      </w:r>
      <w:r w:rsidRPr="005102C3">
        <w:rPr>
          <w:rFonts w:ascii="Times New Roman" w:hAnsi="Times New Roman" w:cs="Times New Roman"/>
          <w:sz w:val="24"/>
          <w:szCs w:val="24"/>
        </w:rPr>
        <w:t>arties that include private firms, wholesale market participants</w:t>
      </w:r>
      <w:r>
        <w:rPr>
          <w:rFonts w:ascii="Times New Roman" w:hAnsi="Times New Roman" w:cs="Times New Roman"/>
          <w:sz w:val="24"/>
          <w:szCs w:val="24"/>
        </w:rPr>
        <w:t>,</w:t>
      </w:r>
      <w:r w:rsidRPr="005102C3">
        <w:rPr>
          <w:rFonts w:ascii="Times New Roman" w:hAnsi="Times New Roman" w:cs="Times New Roman"/>
          <w:sz w:val="24"/>
          <w:szCs w:val="24"/>
        </w:rPr>
        <w:t xml:space="preserve"> and</w:t>
      </w:r>
      <w:r w:rsidR="007E4760">
        <w:rPr>
          <w:rFonts w:ascii="Times New Roman" w:hAnsi="Times New Roman" w:cs="Times New Roman"/>
          <w:sz w:val="24"/>
          <w:szCs w:val="24"/>
        </w:rPr>
        <w:t>—absurdly</w:t>
      </w:r>
      <w:r w:rsidR="00EB0054">
        <w:rPr>
          <w:rFonts w:ascii="Times New Roman" w:hAnsi="Times New Roman" w:cs="Times New Roman"/>
          <w:sz w:val="24"/>
          <w:szCs w:val="24"/>
        </w:rPr>
        <w:t xml:space="preserve"> – t</w:t>
      </w:r>
      <w:r w:rsidR="007E4760">
        <w:rPr>
          <w:rFonts w:ascii="Times New Roman" w:hAnsi="Times New Roman" w:cs="Times New Roman"/>
          <w:sz w:val="24"/>
          <w:szCs w:val="24"/>
        </w:rPr>
        <w:t>he very marketers that have to compete against the standard offer</w:t>
      </w:r>
      <w:r w:rsidRPr="005102C3">
        <w:rPr>
          <w:rFonts w:ascii="Times New Roman" w:hAnsi="Times New Roman" w:cs="Times New Roman"/>
          <w:sz w:val="24"/>
          <w:szCs w:val="24"/>
        </w:rPr>
        <w:t xml:space="preserve">. </w:t>
      </w:r>
      <w:r w:rsidR="00456A96">
        <w:rPr>
          <w:rFonts w:ascii="Times New Roman" w:hAnsi="Times New Roman" w:cs="Times New Roman"/>
          <w:sz w:val="24"/>
          <w:szCs w:val="24"/>
        </w:rPr>
        <w:t xml:space="preserve"> </w:t>
      </w:r>
      <w:r w:rsidRPr="005102C3">
        <w:rPr>
          <w:rFonts w:ascii="Times New Roman" w:hAnsi="Times New Roman" w:cs="Times New Roman"/>
          <w:sz w:val="24"/>
          <w:szCs w:val="24"/>
        </w:rPr>
        <w:t xml:space="preserve">To allow private entities to set this rate violates regulatory policies that call for the </w:t>
      </w:r>
      <w:r w:rsidR="00ED1F9F">
        <w:rPr>
          <w:rFonts w:ascii="Times New Roman" w:hAnsi="Times New Roman" w:cs="Times New Roman"/>
          <w:sz w:val="24"/>
          <w:szCs w:val="24"/>
        </w:rPr>
        <w:t xml:space="preserve">generation </w:t>
      </w:r>
      <w:r w:rsidRPr="005102C3">
        <w:rPr>
          <w:rFonts w:ascii="Times New Roman" w:hAnsi="Times New Roman" w:cs="Times New Roman"/>
          <w:sz w:val="24"/>
          <w:szCs w:val="24"/>
        </w:rPr>
        <w:t>price to be established by the competitive market</w:t>
      </w:r>
      <w:r w:rsidR="00477F2A">
        <w:rPr>
          <w:rFonts w:ascii="Times New Roman" w:hAnsi="Times New Roman" w:cs="Times New Roman"/>
          <w:sz w:val="24"/>
          <w:szCs w:val="24"/>
        </w:rPr>
        <w:t>.  And it</w:t>
      </w:r>
      <w:r w:rsidR="00C41B11">
        <w:rPr>
          <w:rFonts w:ascii="Times New Roman" w:hAnsi="Times New Roman" w:cs="Times New Roman"/>
          <w:sz w:val="24"/>
          <w:szCs w:val="24"/>
        </w:rPr>
        <w:t xml:space="preserve"> is an unlawful delegation of </w:t>
      </w:r>
      <w:r w:rsidR="009541C9">
        <w:rPr>
          <w:rFonts w:ascii="Times New Roman" w:hAnsi="Times New Roman" w:cs="Times New Roman"/>
          <w:sz w:val="24"/>
          <w:szCs w:val="24"/>
        </w:rPr>
        <w:t xml:space="preserve">state </w:t>
      </w:r>
      <w:r w:rsidR="00C41B11">
        <w:rPr>
          <w:rFonts w:ascii="Times New Roman" w:hAnsi="Times New Roman" w:cs="Times New Roman"/>
          <w:sz w:val="24"/>
          <w:szCs w:val="24"/>
        </w:rPr>
        <w:t>authority</w:t>
      </w:r>
      <w:r w:rsidRPr="005102C3">
        <w:rPr>
          <w:rFonts w:ascii="Times New Roman" w:hAnsi="Times New Roman" w:cs="Times New Roman"/>
          <w:sz w:val="24"/>
          <w:szCs w:val="24"/>
        </w:rPr>
        <w:t xml:space="preserve">. </w:t>
      </w:r>
      <w:r w:rsidR="00F535D5">
        <w:rPr>
          <w:rFonts w:ascii="Times New Roman" w:hAnsi="Times New Roman" w:cs="Times New Roman"/>
          <w:sz w:val="24"/>
          <w:szCs w:val="24"/>
        </w:rPr>
        <w:t xml:space="preserve"> And it violates R.C. 4928.02(A) because it results in discriminatory rates against AEP Ohio standard offer customers and it does not produce reasonably prices service.</w:t>
      </w:r>
      <w:r w:rsidRPr="005102C3">
        <w:rPr>
          <w:rFonts w:ascii="Times New Roman" w:hAnsi="Times New Roman" w:cs="Times New Roman"/>
          <w:sz w:val="24"/>
          <w:szCs w:val="24"/>
        </w:rPr>
        <w:tab/>
      </w:r>
    </w:p>
    <w:p w:rsidR="00156F20" w:rsidRPr="004E35BA" w:rsidRDefault="00156F20" w:rsidP="00015688">
      <w:pPr>
        <w:pStyle w:val="Heading5"/>
        <w:numPr>
          <w:ilvl w:val="0"/>
          <w:numId w:val="18"/>
        </w:numPr>
      </w:pPr>
      <w:bookmarkStart w:id="54" w:name="_Toc442104156"/>
      <w:r>
        <w:t xml:space="preserve">Cash </w:t>
      </w:r>
      <w:r w:rsidR="00477F2A">
        <w:t>or</w:t>
      </w:r>
      <w:r>
        <w:t xml:space="preserve"> </w:t>
      </w:r>
      <w:r w:rsidR="00CC107A">
        <w:t>c</w:t>
      </w:r>
      <w:r>
        <w:t xml:space="preserve">ash equivalents were provided to certain </w:t>
      </w:r>
      <w:r w:rsidR="00CC107A">
        <w:t>S</w:t>
      </w:r>
      <w:r>
        <w:t xml:space="preserve">ignatory </w:t>
      </w:r>
      <w:r w:rsidR="00CC107A">
        <w:t>P</w:t>
      </w:r>
      <w:r>
        <w:t>a</w:t>
      </w:r>
      <w:r w:rsidR="00015688">
        <w:t>rties</w:t>
      </w:r>
      <w:r>
        <w:t xml:space="preserve"> </w:t>
      </w:r>
      <w:r w:rsidR="00477F2A">
        <w:t xml:space="preserve">to induce their signature on the Joint Stipulation – with other people (consumers) paying for much of it; the settlement thus fails </w:t>
      </w:r>
      <w:r w:rsidR="00EB0054">
        <w:t>the third prong</w:t>
      </w:r>
      <w:r w:rsidR="00477F2A">
        <w:t xml:space="preserve"> of the test</w:t>
      </w:r>
      <w:r>
        <w:t>.</w:t>
      </w:r>
      <w:bookmarkEnd w:id="54"/>
    </w:p>
    <w:p w:rsidR="00F61493" w:rsidRDefault="00FA42B2" w:rsidP="004E35BA">
      <w:pPr>
        <w:spacing w:after="0" w:line="480" w:lineRule="auto"/>
        <w:ind w:firstLine="720"/>
        <w:rPr>
          <w:rFonts w:ascii="Times New Roman" w:hAnsi="Times New Roman" w:cs="Times New Roman"/>
          <w:sz w:val="24"/>
          <w:szCs w:val="24"/>
        </w:rPr>
      </w:pPr>
      <w:r w:rsidRPr="005102C3">
        <w:rPr>
          <w:rFonts w:ascii="Times New Roman" w:hAnsi="Times New Roman" w:cs="Times New Roman"/>
          <w:sz w:val="24"/>
          <w:szCs w:val="24"/>
        </w:rPr>
        <w:t xml:space="preserve">The </w:t>
      </w:r>
      <w:r>
        <w:rPr>
          <w:rFonts w:ascii="Times New Roman" w:hAnsi="Times New Roman" w:cs="Times New Roman"/>
          <w:sz w:val="24"/>
          <w:szCs w:val="24"/>
        </w:rPr>
        <w:t xml:space="preserve">Joint </w:t>
      </w:r>
      <w:r w:rsidRPr="005102C3">
        <w:rPr>
          <w:rFonts w:ascii="Times New Roman" w:hAnsi="Times New Roman" w:cs="Times New Roman"/>
          <w:sz w:val="24"/>
          <w:szCs w:val="24"/>
        </w:rPr>
        <w:t>Stipulation purposefully provides incentives to a few parties while the majority of customers pay for these incentives through the various additional riders.</w:t>
      </w:r>
      <w:r w:rsidRPr="005102C3">
        <w:rPr>
          <w:rStyle w:val="FootnoteReference"/>
          <w:rFonts w:ascii="Times New Roman" w:hAnsi="Times New Roman"/>
          <w:sz w:val="24"/>
          <w:szCs w:val="24"/>
        </w:rPr>
        <w:footnoteReference w:id="217"/>
      </w:r>
      <w:r w:rsidRPr="005102C3">
        <w:rPr>
          <w:rFonts w:ascii="Times New Roman" w:hAnsi="Times New Roman" w:cs="Times New Roman"/>
          <w:sz w:val="24"/>
          <w:szCs w:val="24"/>
        </w:rPr>
        <w:t xml:space="preserve"> One of the costs passed on to all customers is payment for the discount received by automakers. </w:t>
      </w:r>
      <w:r w:rsidR="00456A96">
        <w:rPr>
          <w:rFonts w:ascii="Times New Roman" w:hAnsi="Times New Roman" w:cs="Times New Roman"/>
          <w:sz w:val="24"/>
          <w:szCs w:val="24"/>
        </w:rPr>
        <w:t xml:space="preserve"> </w:t>
      </w:r>
      <w:r w:rsidRPr="005102C3">
        <w:rPr>
          <w:rFonts w:ascii="Times New Roman" w:hAnsi="Times New Roman" w:cs="Times New Roman"/>
          <w:sz w:val="24"/>
          <w:szCs w:val="24"/>
        </w:rPr>
        <w:t xml:space="preserve">The </w:t>
      </w:r>
      <w:r>
        <w:rPr>
          <w:rFonts w:ascii="Times New Roman" w:hAnsi="Times New Roman" w:cs="Times New Roman"/>
          <w:sz w:val="24"/>
          <w:szCs w:val="24"/>
        </w:rPr>
        <w:t xml:space="preserve">Joint </w:t>
      </w:r>
      <w:r w:rsidRPr="005102C3">
        <w:rPr>
          <w:rFonts w:ascii="Times New Roman" w:hAnsi="Times New Roman" w:cs="Times New Roman"/>
          <w:sz w:val="24"/>
          <w:szCs w:val="24"/>
        </w:rPr>
        <w:t>Stipulation provides a $10/MWh discount to automakers in the AEP Ohio service areas, capped at $500,000 per year.</w:t>
      </w:r>
      <w:r w:rsidRPr="005102C3">
        <w:rPr>
          <w:rStyle w:val="FootnoteReference"/>
          <w:rFonts w:ascii="Times New Roman" w:hAnsi="Times New Roman"/>
          <w:sz w:val="24"/>
          <w:szCs w:val="24"/>
        </w:rPr>
        <w:footnoteReference w:id="218"/>
      </w:r>
      <w:r w:rsidRPr="005102C3">
        <w:rPr>
          <w:rFonts w:ascii="Times New Roman" w:hAnsi="Times New Roman" w:cs="Times New Roman"/>
          <w:sz w:val="24"/>
          <w:szCs w:val="24"/>
        </w:rPr>
        <w:t xml:space="preserve"> </w:t>
      </w:r>
      <w:r w:rsidR="00456A96">
        <w:rPr>
          <w:rFonts w:ascii="Times New Roman" w:hAnsi="Times New Roman" w:cs="Times New Roman"/>
          <w:sz w:val="24"/>
          <w:szCs w:val="24"/>
        </w:rPr>
        <w:t xml:space="preserve"> </w:t>
      </w:r>
      <w:r w:rsidRPr="005102C3">
        <w:rPr>
          <w:rFonts w:ascii="Times New Roman" w:hAnsi="Times New Roman" w:cs="Times New Roman"/>
          <w:sz w:val="24"/>
          <w:szCs w:val="24"/>
        </w:rPr>
        <w:t xml:space="preserve">Another fee paid for by customers is the $200,000 paid to </w:t>
      </w:r>
      <w:r>
        <w:rPr>
          <w:rFonts w:ascii="Times New Roman" w:hAnsi="Times New Roman" w:cs="Times New Roman"/>
          <w:sz w:val="24"/>
          <w:szCs w:val="24"/>
        </w:rPr>
        <w:t>OPAE</w:t>
      </w:r>
      <w:r w:rsidRPr="005102C3">
        <w:rPr>
          <w:rFonts w:ascii="Times New Roman" w:hAnsi="Times New Roman" w:cs="Times New Roman"/>
          <w:sz w:val="24"/>
          <w:szCs w:val="24"/>
        </w:rPr>
        <w:t xml:space="preserve"> for managing a community assistance program. </w:t>
      </w:r>
    </w:p>
    <w:p w:rsidR="00124C12" w:rsidRDefault="00FA42B2">
      <w:pPr>
        <w:spacing w:after="0" w:line="480" w:lineRule="auto"/>
        <w:ind w:firstLine="720"/>
        <w:rPr>
          <w:rFonts w:ascii="Times New Roman" w:hAnsi="Times New Roman" w:cs="Times New Roman"/>
          <w:sz w:val="24"/>
          <w:szCs w:val="24"/>
        </w:rPr>
      </w:pPr>
      <w:r w:rsidRPr="005102C3">
        <w:rPr>
          <w:rFonts w:ascii="Times New Roman" w:hAnsi="Times New Roman" w:cs="Times New Roman"/>
          <w:sz w:val="24"/>
          <w:szCs w:val="24"/>
        </w:rPr>
        <w:t xml:space="preserve">Yet another </w:t>
      </w:r>
      <w:r w:rsidR="00F61493">
        <w:rPr>
          <w:rFonts w:ascii="Times New Roman" w:hAnsi="Times New Roman" w:cs="Times New Roman"/>
          <w:sz w:val="24"/>
          <w:szCs w:val="24"/>
        </w:rPr>
        <w:t xml:space="preserve">signing </w:t>
      </w:r>
      <w:r w:rsidRPr="005102C3">
        <w:rPr>
          <w:rFonts w:ascii="Times New Roman" w:hAnsi="Times New Roman" w:cs="Times New Roman"/>
          <w:sz w:val="24"/>
          <w:szCs w:val="24"/>
        </w:rPr>
        <w:t xml:space="preserve">bonus is the $400,000 annual payment to </w:t>
      </w:r>
      <w:r>
        <w:rPr>
          <w:rFonts w:ascii="Times New Roman" w:hAnsi="Times New Roman" w:cs="Times New Roman"/>
          <w:sz w:val="24"/>
          <w:szCs w:val="24"/>
        </w:rPr>
        <w:t xml:space="preserve">OHA </w:t>
      </w:r>
      <w:r w:rsidRPr="005102C3">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Pr="005102C3">
        <w:rPr>
          <w:rFonts w:ascii="Times New Roman" w:hAnsi="Times New Roman" w:cs="Times New Roman"/>
          <w:sz w:val="24"/>
          <w:szCs w:val="24"/>
        </w:rPr>
        <w:t xml:space="preserve">additional amount of up to $600,000 in EE/PDR funding per year </w:t>
      </w:r>
      <w:r w:rsidR="00E2461E">
        <w:rPr>
          <w:rFonts w:ascii="Times New Roman" w:hAnsi="Times New Roman" w:cs="Times New Roman"/>
          <w:sz w:val="24"/>
          <w:szCs w:val="24"/>
        </w:rPr>
        <w:t xml:space="preserve">from consumers </w:t>
      </w:r>
      <w:r w:rsidRPr="005102C3">
        <w:rPr>
          <w:rFonts w:ascii="Times New Roman" w:hAnsi="Times New Roman" w:cs="Times New Roman"/>
          <w:sz w:val="24"/>
          <w:szCs w:val="24"/>
        </w:rPr>
        <w:t>to be distributed according to AEP Ohio and OHA’s agreement.</w:t>
      </w:r>
      <w:r w:rsidRPr="005102C3">
        <w:rPr>
          <w:rStyle w:val="FootnoteReference"/>
          <w:rFonts w:ascii="Times New Roman" w:hAnsi="Times New Roman"/>
          <w:sz w:val="24"/>
          <w:szCs w:val="24"/>
        </w:rPr>
        <w:footnoteReference w:id="219"/>
      </w:r>
      <w:r w:rsidRPr="005102C3">
        <w:rPr>
          <w:rFonts w:ascii="Times New Roman" w:hAnsi="Times New Roman" w:cs="Times New Roman"/>
          <w:sz w:val="24"/>
          <w:szCs w:val="24"/>
        </w:rPr>
        <w:t xml:space="preserve"> </w:t>
      </w:r>
      <w:r w:rsidR="00456A96">
        <w:rPr>
          <w:rFonts w:ascii="Times New Roman" w:hAnsi="Times New Roman" w:cs="Times New Roman"/>
          <w:sz w:val="24"/>
          <w:szCs w:val="24"/>
        </w:rPr>
        <w:t xml:space="preserve"> </w:t>
      </w:r>
      <w:r w:rsidRPr="005102C3">
        <w:rPr>
          <w:rFonts w:ascii="Times New Roman" w:hAnsi="Times New Roman" w:cs="Times New Roman"/>
          <w:sz w:val="24"/>
          <w:szCs w:val="24"/>
        </w:rPr>
        <w:t>An extra $8 million will be paid to Industrial Energy Users</w:t>
      </w:r>
      <w:r>
        <w:rPr>
          <w:rFonts w:ascii="Times New Roman" w:hAnsi="Times New Roman" w:cs="Times New Roman"/>
          <w:sz w:val="24"/>
          <w:szCs w:val="24"/>
        </w:rPr>
        <w:t>-Ohio</w:t>
      </w:r>
      <w:r w:rsidRPr="005102C3">
        <w:rPr>
          <w:rFonts w:ascii="Times New Roman" w:hAnsi="Times New Roman" w:cs="Times New Roman"/>
          <w:sz w:val="24"/>
          <w:szCs w:val="24"/>
        </w:rPr>
        <w:t xml:space="preserve"> </w:t>
      </w:r>
      <w:r w:rsidR="00F47E76">
        <w:rPr>
          <w:rFonts w:ascii="Times New Roman" w:hAnsi="Times New Roman" w:cs="Times New Roman"/>
          <w:sz w:val="24"/>
          <w:szCs w:val="24"/>
        </w:rPr>
        <w:t xml:space="preserve">(“IEU”) </w:t>
      </w:r>
      <w:r w:rsidRPr="005102C3">
        <w:rPr>
          <w:rFonts w:ascii="Times New Roman" w:hAnsi="Times New Roman" w:cs="Times New Roman"/>
          <w:sz w:val="24"/>
          <w:szCs w:val="24"/>
        </w:rPr>
        <w:t xml:space="preserve">for </w:t>
      </w:r>
      <w:r>
        <w:rPr>
          <w:rFonts w:ascii="Times New Roman" w:hAnsi="Times New Roman" w:cs="Times New Roman"/>
          <w:sz w:val="24"/>
          <w:szCs w:val="24"/>
        </w:rPr>
        <w:t>not opposing the Joint Stipulation</w:t>
      </w:r>
      <w:r w:rsidRPr="005102C3">
        <w:rPr>
          <w:rFonts w:ascii="Times New Roman" w:hAnsi="Times New Roman" w:cs="Times New Roman"/>
          <w:sz w:val="24"/>
          <w:szCs w:val="24"/>
        </w:rPr>
        <w:t xml:space="preserve"> and dismissing several other cases.</w:t>
      </w:r>
      <w:r w:rsidRPr="005102C3">
        <w:rPr>
          <w:rStyle w:val="FootnoteReference"/>
          <w:rFonts w:ascii="Times New Roman" w:hAnsi="Times New Roman"/>
          <w:sz w:val="24"/>
          <w:szCs w:val="24"/>
        </w:rPr>
        <w:footnoteReference w:id="220"/>
      </w:r>
      <w:r w:rsidRPr="005102C3">
        <w:rPr>
          <w:rFonts w:ascii="Times New Roman" w:hAnsi="Times New Roman" w:cs="Times New Roman"/>
          <w:sz w:val="24"/>
          <w:szCs w:val="24"/>
        </w:rPr>
        <w:t xml:space="preserve"> </w:t>
      </w:r>
      <w:r w:rsidR="00456A96">
        <w:rPr>
          <w:rFonts w:ascii="Times New Roman" w:hAnsi="Times New Roman" w:cs="Times New Roman"/>
          <w:sz w:val="24"/>
          <w:szCs w:val="24"/>
        </w:rPr>
        <w:t xml:space="preserve"> </w:t>
      </w:r>
    </w:p>
    <w:p w:rsidR="00156F20" w:rsidRDefault="00FA42B2" w:rsidP="004E35BA">
      <w:pPr>
        <w:spacing w:after="0" w:line="480" w:lineRule="auto"/>
        <w:ind w:firstLine="720"/>
        <w:rPr>
          <w:rFonts w:ascii="Times New Roman" w:hAnsi="Times New Roman" w:cs="Times New Roman"/>
          <w:sz w:val="24"/>
          <w:szCs w:val="24"/>
        </w:rPr>
      </w:pPr>
      <w:r w:rsidRPr="005102C3">
        <w:rPr>
          <w:rFonts w:ascii="Times New Roman" w:hAnsi="Times New Roman" w:cs="Times New Roman"/>
          <w:sz w:val="24"/>
          <w:szCs w:val="24"/>
        </w:rPr>
        <w:t>These payments to a few parties only benefit a small group, while the costs are spread across all customers – residential, commercial, and industrial.</w:t>
      </w:r>
      <w:r w:rsidRPr="005102C3">
        <w:rPr>
          <w:rStyle w:val="FootnoteReference"/>
          <w:rFonts w:ascii="Times New Roman" w:hAnsi="Times New Roman"/>
          <w:sz w:val="24"/>
          <w:szCs w:val="24"/>
        </w:rPr>
        <w:footnoteReference w:id="221"/>
      </w:r>
      <w:r w:rsidRPr="005102C3">
        <w:rPr>
          <w:rFonts w:ascii="Times New Roman" w:hAnsi="Times New Roman" w:cs="Times New Roman"/>
          <w:sz w:val="24"/>
          <w:szCs w:val="24"/>
        </w:rPr>
        <w:t xml:space="preserve"> </w:t>
      </w:r>
      <w:r w:rsidR="00456A96">
        <w:rPr>
          <w:rFonts w:ascii="Times New Roman" w:hAnsi="Times New Roman" w:cs="Times New Roman"/>
          <w:sz w:val="24"/>
          <w:szCs w:val="24"/>
        </w:rPr>
        <w:t xml:space="preserve"> </w:t>
      </w:r>
      <w:r w:rsidRPr="005102C3">
        <w:rPr>
          <w:rFonts w:ascii="Times New Roman" w:hAnsi="Times New Roman" w:cs="Times New Roman"/>
          <w:sz w:val="24"/>
          <w:szCs w:val="24"/>
        </w:rPr>
        <w:t xml:space="preserve">The incentives that benefit only </w:t>
      </w:r>
      <w:r>
        <w:rPr>
          <w:rFonts w:ascii="Times New Roman" w:hAnsi="Times New Roman" w:cs="Times New Roman"/>
          <w:sz w:val="24"/>
          <w:szCs w:val="24"/>
        </w:rPr>
        <w:t>S</w:t>
      </w:r>
      <w:r w:rsidRPr="005102C3">
        <w:rPr>
          <w:rFonts w:ascii="Times New Roman" w:hAnsi="Times New Roman" w:cs="Times New Roman"/>
          <w:sz w:val="24"/>
          <w:szCs w:val="24"/>
        </w:rPr>
        <w:t xml:space="preserve">ignatory </w:t>
      </w:r>
      <w:r>
        <w:rPr>
          <w:rFonts w:ascii="Times New Roman" w:hAnsi="Times New Roman" w:cs="Times New Roman"/>
          <w:sz w:val="24"/>
          <w:szCs w:val="24"/>
        </w:rPr>
        <w:t>P</w:t>
      </w:r>
      <w:r w:rsidRPr="005102C3">
        <w:rPr>
          <w:rFonts w:ascii="Times New Roman" w:hAnsi="Times New Roman" w:cs="Times New Roman"/>
          <w:sz w:val="24"/>
          <w:szCs w:val="24"/>
        </w:rPr>
        <w:t>arties violates the public interest</w:t>
      </w:r>
      <w:r>
        <w:rPr>
          <w:rFonts w:ascii="Times New Roman" w:hAnsi="Times New Roman" w:cs="Times New Roman"/>
          <w:sz w:val="24"/>
          <w:szCs w:val="24"/>
        </w:rPr>
        <w:t xml:space="preserve">.  </w:t>
      </w:r>
      <w:r w:rsidR="00F47E76">
        <w:rPr>
          <w:rFonts w:ascii="Times New Roman" w:hAnsi="Times New Roman" w:cs="Times New Roman"/>
          <w:sz w:val="24"/>
          <w:szCs w:val="24"/>
        </w:rPr>
        <w:t>As</w:t>
      </w:r>
      <w:r w:rsidRPr="005102C3">
        <w:rPr>
          <w:rFonts w:ascii="Times New Roman" w:hAnsi="Times New Roman" w:cs="Times New Roman"/>
          <w:sz w:val="24"/>
          <w:szCs w:val="24"/>
        </w:rPr>
        <w:t xml:space="preserve"> </w:t>
      </w:r>
      <w:r>
        <w:rPr>
          <w:rFonts w:ascii="Times New Roman" w:hAnsi="Times New Roman" w:cs="Times New Roman"/>
          <w:sz w:val="24"/>
          <w:szCs w:val="24"/>
        </w:rPr>
        <w:t>OCC Witness</w:t>
      </w:r>
      <w:r w:rsidRPr="005102C3">
        <w:rPr>
          <w:rFonts w:ascii="Times New Roman" w:hAnsi="Times New Roman" w:cs="Times New Roman"/>
          <w:sz w:val="24"/>
          <w:szCs w:val="24"/>
        </w:rPr>
        <w:t xml:space="preserve"> Dormady </w:t>
      </w:r>
      <w:r w:rsidR="00F61493">
        <w:rPr>
          <w:rFonts w:ascii="Times New Roman" w:hAnsi="Times New Roman" w:cs="Times New Roman"/>
          <w:sz w:val="24"/>
          <w:szCs w:val="24"/>
        </w:rPr>
        <w:t>testified</w:t>
      </w:r>
      <w:r w:rsidRPr="005102C3">
        <w:rPr>
          <w:rFonts w:ascii="Times New Roman" w:hAnsi="Times New Roman" w:cs="Times New Roman"/>
          <w:sz w:val="24"/>
          <w:szCs w:val="24"/>
        </w:rPr>
        <w:t>, this is “precisely the purpose of public service/utilities commissions to protect customers against these sorts of abuses.”</w:t>
      </w:r>
      <w:r w:rsidRPr="005102C3">
        <w:rPr>
          <w:rStyle w:val="FootnoteReference"/>
          <w:rFonts w:ascii="Times New Roman" w:hAnsi="Times New Roman"/>
          <w:sz w:val="24"/>
          <w:szCs w:val="24"/>
        </w:rPr>
        <w:footnoteReference w:id="222"/>
      </w:r>
      <w:r w:rsidRPr="005102C3">
        <w:rPr>
          <w:rFonts w:ascii="Times New Roman" w:hAnsi="Times New Roman" w:cs="Times New Roman"/>
          <w:sz w:val="24"/>
          <w:szCs w:val="24"/>
        </w:rPr>
        <w:t xml:space="preserve"> </w:t>
      </w:r>
    </w:p>
    <w:p w:rsidR="00156F20" w:rsidRPr="004E35BA" w:rsidRDefault="00477F2A" w:rsidP="00015688">
      <w:pPr>
        <w:pStyle w:val="Heading5"/>
        <w:numPr>
          <w:ilvl w:val="0"/>
          <w:numId w:val="18"/>
        </w:numPr>
      </w:pPr>
      <w:bookmarkStart w:id="55" w:name="_Toc442104157"/>
      <w:r>
        <w:t xml:space="preserve">The settlement term for </w:t>
      </w:r>
      <w:r w:rsidR="005A72B0">
        <w:t>900 mw of wind and solar renewable generation resources will undoubtedly come at a hefty price for consumers</w:t>
      </w:r>
      <w:r w:rsidR="00F535D5">
        <w:t>; that is unfortunate</w:t>
      </w:r>
      <w:r w:rsidR="005A72B0">
        <w:t>.</w:t>
      </w:r>
      <w:bookmarkEnd w:id="55"/>
      <w:r w:rsidR="005A72B0">
        <w:t xml:space="preserve">  </w:t>
      </w:r>
    </w:p>
    <w:p w:rsidR="00945BB4" w:rsidRDefault="00F61493" w:rsidP="004E35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Perhaps topping the list of the unlimited possibilities of using other people’s money to settle a case, t</w:t>
      </w:r>
      <w:r w:rsidR="00FA42B2">
        <w:rPr>
          <w:rFonts w:ascii="Times New Roman" w:hAnsi="Times New Roman" w:cs="Times New Roman"/>
          <w:sz w:val="24"/>
          <w:szCs w:val="24"/>
        </w:rPr>
        <w:t xml:space="preserve">he Joint Stipulation </w:t>
      </w:r>
      <w:r w:rsidR="00FA42B2" w:rsidRPr="005102C3">
        <w:rPr>
          <w:rFonts w:ascii="Times New Roman" w:hAnsi="Times New Roman" w:cs="Times New Roman"/>
          <w:sz w:val="24"/>
          <w:szCs w:val="24"/>
        </w:rPr>
        <w:t xml:space="preserve">calls for </w:t>
      </w:r>
      <w:r w:rsidR="00FA42B2">
        <w:rPr>
          <w:rFonts w:ascii="Times New Roman" w:hAnsi="Times New Roman" w:cs="Times New Roman"/>
          <w:sz w:val="24"/>
          <w:szCs w:val="24"/>
        </w:rPr>
        <w:t>developing</w:t>
      </w:r>
      <w:r w:rsidR="00FA42B2" w:rsidRPr="005102C3">
        <w:rPr>
          <w:rFonts w:ascii="Times New Roman" w:hAnsi="Times New Roman" w:cs="Times New Roman"/>
          <w:sz w:val="24"/>
          <w:szCs w:val="24"/>
        </w:rPr>
        <w:t xml:space="preserve"> at least 900 MW of wind and solar renewable generation capacity</w:t>
      </w:r>
      <w:r w:rsidR="00EB0054">
        <w:rPr>
          <w:rFonts w:ascii="Times New Roman" w:hAnsi="Times New Roman" w:cs="Times New Roman"/>
          <w:sz w:val="24"/>
          <w:szCs w:val="24"/>
        </w:rPr>
        <w:t xml:space="preserve"> – </w:t>
      </w:r>
      <w:r>
        <w:rPr>
          <w:rFonts w:ascii="Times New Roman" w:hAnsi="Times New Roman" w:cs="Times New Roman"/>
          <w:sz w:val="24"/>
          <w:szCs w:val="24"/>
        </w:rPr>
        <w:t>at customers’ expense.</w:t>
      </w:r>
      <w:r w:rsidRPr="00F61493">
        <w:rPr>
          <w:rFonts w:ascii="Times New Roman" w:hAnsi="Times New Roman" w:cs="Times New Roman"/>
          <w:sz w:val="24"/>
          <w:szCs w:val="24"/>
        </w:rPr>
        <w:t xml:space="preserve"> </w:t>
      </w:r>
      <w:r>
        <w:rPr>
          <w:rFonts w:ascii="Times New Roman" w:hAnsi="Times New Roman" w:cs="Times New Roman"/>
          <w:sz w:val="24"/>
          <w:szCs w:val="24"/>
        </w:rPr>
        <w:t xml:space="preserve"> </w:t>
      </w:r>
      <w:r w:rsidR="00EB0054">
        <w:rPr>
          <w:rFonts w:ascii="Times New Roman" w:hAnsi="Times New Roman" w:cs="Times New Roman"/>
          <w:sz w:val="24"/>
          <w:szCs w:val="24"/>
        </w:rPr>
        <w:t>But</w:t>
      </w:r>
      <w:r>
        <w:rPr>
          <w:rFonts w:ascii="Times New Roman" w:hAnsi="Times New Roman" w:cs="Times New Roman"/>
          <w:sz w:val="24"/>
          <w:szCs w:val="24"/>
        </w:rPr>
        <w:t xml:space="preserve"> the General Assembly determined long ago that the public will benefit from market pricing for their electric generation service.</w:t>
      </w:r>
      <w:r w:rsidR="00FA42B2" w:rsidRPr="005102C3">
        <w:rPr>
          <w:rFonts w:ascii="Times New Roman" w:hAnsi="Times New Roman" w:cs="Times New Roman"/>
          <w:sz w:val="24"/>
          <w:szCs w:val="24"/>
        </w:rPr>
        <w:t xml:space="preserve"> </w:t>
      </w:r>
      <w:r w:rsidR="00456A96">
        <w:rPr>
          <w:rFonts w:ascii="Times New Roman" w:hAnsi="Times New Roman" w:cs="Times New Roman"/>
          <w:sz w:val="24"/>
          <w:szCs w:val="24"/>
        </w:rPr>
        <w:t xml:space="preserve"> </w:t>
      </w:r>
      <w:r w:rsidR="00FA42B2" w:rsidRPr="005102C3">
        <w:rPr>
          <w:rFonts w:ascii="Times New Roman" w:hAnsi="Times New Roman" w:cs="Times New Roman"/>
          <w:sz w:val="24"/>
          <w:szCs w:val="24"/>
        </w:rPr>
        <w:t xml:space="preserve">The only information known about building these plants is that AEP Ohio will file future applications with the PUCO to pass the costs on to customers through the PPA </w:t>
      </w:r>
      <w:r w:rsidR="00FA42B2">
        <w:rPr>
          <w:rFonts w:ascii="Times New Roman" w:hAnsi="Times New Roman" w:cs="Times New Roman"/>
          <w:sz w:val="24"/>
          <w:szCs w:val="24"/>
        </w:rPr>
        <w:t>R</w:t>
      </w:r>
      <w:r w:rsidR="00FA42B2" w:rsidRPr="005102C3">
        <w:rPr>
          <w:rFonts w:ascii="Times New Roman" w:hAnsi="Times New Roman" w:cs="Times New Roman"/>
          <w:sz w:val="24"/>
          <w:szCs w:val="24"/>
        </w:rPr>
        <w:t>ider.</w:t>
      </w:r>
      <w:r w:rsidR="00FA42B2" w:rsidRPr="005102C3">
        <w:rPr>
          <w:rStyle w:val="FootnoteReference"/>
          <w:rFonts w:ascii="Times New Roman" w:hAnsi="Times New Roman"/>
          <w:sz w:val="24"/>
          <w:szCs w:val="24"/>
        </w:rPr>
        <w:footnoteReference w:id="223"/>
      </w:r>
      <w:r w:rsidR="00FA42B2" w:rsidRPr="005102C3">
        <w:rPr>
          <w:rFonts w:ascii="Times New Roman" w:hAnsi="Times New Roman" w:cs="Times New Roman"/>
          <w:sz w:val="24"/>
          <w:szCs w:val="24"/>
        </w:rPr>
        <w:t xml:space="preserve"> </w:t>
      </w:r>
      <w:r w:rsidR="00456A96">
        <w:rPr>
          <w:rFonts w:ascii="Times New Roman" w:hAnsi="Times New Roman" w:cs="Times New Roman"/>
          <w:sz w:val="24"/>
          <w:szCs w:val="24"/>
        </w:rPr>
        <w:t xml:space="preserve"> </w:t>
      </w:r>
    </w:p>
    <w:p w:rsidR="00E46AAA" w:rsidRDefault="00FA42B2">
      <w:pPr>
        <w:spacing w:after="0" w:line="480" w:lineRule="auto"/>
        <w:ind w:firstLine="720"/>
        <w:rPr>
          <w:rFonts w:ascii="Times New Roman" w:hAnsi="Times New Roman" w:cs="Times New Roman"/>
          <w:sz w:val="24"/>
          <w:szCs w:val="24"/>
        </w:rPr>
      </w:pPr>
      <w:r w:rsidRPr="005102C3">
        <w:rPr>
          <w:rFonts w:ascii="Times New Roman" w:hAnsi="Times New Roman" w:cs="Times New Roman"/>
          <w:sz w:val="24"/>
          <w:szCs w:val="24"/>
        </w:rPr>
        <w:t xml:space="preserve">The public benefit claimed by </w:t>
      </w:r>
      <w:r>
        <w:rPr>
          <w:rFonts w:ascii="Times New Roman" w:hAnsi="Times New Roman" w:cs="Times New Roman"/>
          <w:sz w:val="24"/>
          <w:szCs w:val="24"/>
        </w:rPr>
        <w:t>constructing</w:t>
      </w:r>
      <w:r w:rsidRPr="005102C3">
        <w:rPr>
          <w:rFonts w:ascii="Times New Roman" w:hAnsi="Times New Roman" w:cs="Times New Roman"/>
          <w:sz w:val="24"/>
          <w:szCs w:val="24"/>
        </w:rPr>
        <w:t xml:space="preserve"> these renewable units is that </w:t>
      </w:r>
      <w:r w:rsidR="00E2461E">
        <w:rPr>
          <w:rFonts w:ascii="Times New Roman" w:hAnsi="Times New Roman" w:cs="Times New Roman"/>
          <w:sz w:val="24"/>
          <w:szCs w:val="24"/>
        </w:rPr>
        <w:t>they allegedly</w:t>
      </w:r>
      <w:r w:rsidRPr="005102C3">
        <w:rPr>
          <w:rFonts w:ascii="Times New Roman" w:hAnsi="Times New Roman" w:cs="Times New Roman"/>
          <w:sz w:val="24"/>
          <w:szCs w:val="24"/>
        </w:rPr>
        <w:t xml:space="preserve"> will </w:t>
      </w:r>
      <w:r>
        <w:rPr>
          <w:rFonts w:ascii="Times New Roman" w:hAnsi="Times New Roman" w:cs="Times New Roman"/>
          <w:sz w:val="24"/>
          <w:szCs w:val="24"/>
        </w:rPr>
        <w:t>create</w:t>
      </w:r>
      <w:r w:rsidRPr="005102C3">
        <w:rPr>
          <w:rFonts w:ascii="Times New Roman" w:hAnsi="Times New Roman" w:cs="Times New Roman"/>
          <w:sz w:val="24"/>
          <w:szCs w:val="24"/>
        </w:rPr>
        <w:t xml:space="preserve"> permanent manufacturing jobs in Appalachian Ohio.</w:t>
      </w:r>
      <w:r w:rsidRPr="005102C3">
        <w:rPr>
          <w:rStyle w:val="FootnoteReference"/>
          <w:rFonts w:ascii="Times New Roman" w:hAnsi="Times New Roman"/>
          <w:sz w:val="24"/>
          <w:szCs w:val="24"/>
        </w:rPr>
        <w:footnoteReference w:id="224"/>
      </w:r>
      <w:r w:rsidRPr="005102C3">
        <w:rPr>
          <w:rFonts w:ascii="Times New Roman" w:hAnsi="Times New Roman" w:cs="Times New Roman"/>
          <w:sz w:val="24"/>
          <w:szCs w:val="24"/>
        </w:rPr>
        <w:t xml:space="preserve">  </w:t>
      </w:r>
      <w:r w:rsidR="00F61493">
        <w:rPr>
          <w:rFonts w:ascii="Times New Roman" w:hAnsi="Times New Roman" w:cs="Times New Roman"/>
          <w:sz w:val="24"/>
          <w:szCs w:val="24"/>
        </w:rPr>
        <w:t xml:space="preserve">But </w:t>
      </w:r>
      <w:r>
        <w:rPr>
          <w:rFonts w:ascii="Times New Roman" w:hAnsi="Times New Roman" w:cs="Times New Roman"/>
          <w:sz w:val="24"/>
          <w:szCs w:val="24"/>
        </w:rPr>
        <w:t>OCC Witness</w:t>
      </w:r>
      <w:r w:rsidRPr="005102C3">
        <w:rPr>
          <w:rFonts w:ascii="Times New Roman" w:hAnsi="Times New Roman" w:cs="Times New Roman"/>
          <w:sz w:val="24"/>
          <w:szCs w:val="24"/>
        </w:rPr>
        <w:t xml:space="preserve"> Dormady points out </w:t>
      </w:r>
      <w:r>
        <w:rPr>
          <w:rFonts w:ascii="Times New Roman" w:hAnsi="Times New Roman" w:cs="Times New Roman"/>
          <w:sz w:val="24"/>
          <w:szCs w:val="24"/>
        </w:rPr>
        <w:t>that</w:t>
      </w:r>
      <w:r w:rsidRPr="005102C3">
        <w:rPr>
          <w:rFonts w:ascii="Times New Roman" w:hAnsi="Times New Roman" w:cs="Times New Roman"/>
          <w:sz w:val="24"/>
          <w:szCs w:val="24"/>
        </w:rPr>
        <w:t xml:space="preserve"> once solar installations are put in place, only operational and maintenance staff will be needed</w:t>
      </w:r>
      <w:r>
        <w:rPr>
          <w:rFonts w:ascii="Times New Roman" w:hAnsi="Times New Roman" w:cs="Times New Roman"/>
          <w:sz w:val="24"/>
          <w:szCs w:val="24"/>
        </w:rPr>
        <w:t xml:space="preserve"> – </w:t>
      </w:r>
      <w:r w:rsidRPr="005102C3">
        <w:rPr>
          <w:rFonts w:ascii="Times New Roman" w:hAnsi="Times New Roman" w:cs="Times New Roman"/>
          <w:sz w:val="24"/>
          <w:szCs w:val="24"/>
        </w:rPr>
        <w:t xml:space="preserve">not permanent manufacturing </w:t>
      </w:r>
      <w:r>
        <w:rPr>
          <w:rFonts w:ascii="Times New Roman" w:hAnsi="Times New Roman" w:cs="Times New Roman"/>
          <w:sz w:val="24"/>
          <w:szCs w:val="24"/>
        </w:rPr>
        <w:t>jobs</w:t>
      </w:r>
      <w:r w:rsidRPr="005102C3">
        <w:rPr>
          <w:rFonts w:ascii="Times New Roman" w:hAnsi="Times New Roman" w:cs="Times New Roman"/>
          <w:sz w:val="24"/>
          <w:szCs w:val="24"/>
        </w:rPr>
        <w:t>.</w:t>
      </w:r>
      <w:r w:rsidRPr="005102C3">
        <w:rPr>
          <w:rStyle w:val="FootnoteReference"/>
          <w:rFonts w:ascii="Times New Roman" w:hAnsi="Times New Roman"/>
          <w:sz w:val="24"/>
          <w:szCs w:val="24"/>
        </w:rPr>
        <w:footnoteReference w:id="225"/>
      </w:r>
      <w:r w:rsidRPr="005102C3">
        <w:rPr>
          <w:rFonts w:ascii="Times New Roman" w:hAnsi="Times New Roman" w:cs="Times New Roman"/>
          <w:sz w:val="24"/>
          <w:szCs w:val="24"/>
        </w:rPr>
        <w:t xml:space="preserve"> </w:t>
      </w:r>
      <w:r w:rsidR="00456A96">
        <w:rPr>
          <w:rFonts w:ascii="Times New Roman" w:hAnsi="Times New Roman" w:cs="Times New Roman"/>
          <w:sz w:val="24"/>
          <w:szCs w:val="24"/>
        </w:rPr>
        <w:t xml:space="preserve"> </w:t>
      </w:r>
      <w:r>
        <w:rPr>
          <w:rFonts w:ascii="Times New Roman" w:hAnsi="Times New Roman" w:cs="Times New Roman"/>
          <w:sz w:val="24"/>
          <w:szCs w:val="24"/>
        </w:rPr>
        <w:t>Further</w:t>
      </w:r>
      <w:r w:rsidRPr="005102C3">
        <w:rPr>
          <w:rFonts w:ascii="Times New Roman" w:hAnsi="Times New Roman" w:cs="Times New Roman"/>
          <w:sz w:val="24"/>
          <w:szCs w:val="24"/>
        </w:rPr>
        <w:t>, there is no guarantee that the solar equipment will be purchased from Ohio manufacturers because there is international pressure, particularly from China, in developing the solar panel market.</w:t>
      </w:r>
      <w:r w:rsidRPr="005102C3">
        <w:rPr>
          <w:rStyle w:val="FootnoteReference"/>
          <w:rFonts w:ascii="Times New Roman" w:hAnsi="Times New Roman"/>
          <w:sz w:val="24"/>
          <w:szCs w:val="24"/>
        </w:rPr>
        <w:footnoteReference w:id="226"/>
      </w:r>
    </w:p>
    <w:p w:rsidR="00124C12" w:rsidRDefault="00E46AA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will not be AEP’s first attempt to bring renewable energy to Ohioans through an ESP application</w:t>
      </w:r>
      <w:r w:rsidR="00477F2A">
        <w:rPr>
          <w:rFonts w:ascii="Times New Roman" w:hAnsi="Times New Roman" w:cs="Times New Roman"/>
          <w:sz w:val="24"/>
          <w:szCs w:val="24"/>
        </w:rPr>
        <w:t>, that others would pay for</w:t>
      </w:r>
      <w:r>
        <w:rPr>
          <w:rFonts w:ascii="Times New Roman" w:hAnsi="Times New Roman" w:cs="Times New Roman"/>
          <w:sz w:val="24"/>
          <w:szCs w:val="24"/>
        </w:rPr>
        <w:t xml:space="preserve">.  In AEP’s ESP </w:t>
      </w:r>
      <w:r w:rsidR="00F0651C">
        <w:rPr>
          <w:rFonts w:ascii="Times New Roman" w:hAnsi="Times New Roman" w:cs="Times New Roman"/>
          <w:sz w:val="24"/>
          <w:szCs w:val="24"/>
        </w:rPr>
        <w:t>II</w:t>
      </w:r>
      <w:r>
        <w:rPr>
          <w:rFonts w:ascii="Times New Roman" w:hAnsi="Times New Roman" w:cs="Times New Roman"/>
          <w:sz w:val="24"/>
          <w:szCs w:val="24"/>
        </w:rPr>
        <w:t xml:space="preserve"> case, AEP proposed the $20,000,000 Turning Point solar project.</w:t>
      </w:r>
      <w:r w:rsidR="00F0651C">
        <w:rPr>
          <w:rStyle w:val="FootnoteReference"/>
          <w:rFonts w:ascii="Times New Roman" w:hAnsi="Times New Roman" w:cs="Times New Roman"/>
          <w:sz w:val="24"/>
          <w:szCs w:val="24"/>
        </w:rPr>
        <w:footnoteReference w:id="227"/>
      </w:r>
      <w:r>
        <w:rPr>
          <w:rFonts w:ascii="Times New Roman" w:hAnsi="Times New Roman" w:cs="Times New Roman"/>
          <w:sz w:val="24"/>
          <w:szCs w:val="24"/>
        </w:rPr>
        <w:t xml:space="preserve">  </w:t>
      </w:r>
      <w:r w:rsidR="00FE49EF">
        <w:rPr>
          <w:rFonts w:ascii="Times New Roman" w:hAnsi="Times New Roman" w:cs="Times New Roman"/>
          <w:sz w:val="24"/>
          <w:szCs w:val="24"/>
        </w:rPr>
        <w:t>In a subsequent proceeding, the</w:t>
      </w:r>
      <w:r>
        <w:rPr>
          <w:rFonts w:ascii="Times New Roman" w:hAnsi="Times New Roman" w:cs="Times New Roman"/>
          <w:sz w:val="24"/>
          <w:szCs w:val="24"/>
        </w:rPr>
        <w:t xml:space="preserve"> PUCO rejected </w:t>
      </w:r>
      <w:r w:rsidR="00FE49EF">
        <w:rPr>
          <w:rFonts w:ascii="Times New Roman" w:hAnsi="Times New Roman" w:cs="Times New Roman"/>
          <w:sz w:val="24"/>
          <w:szCs w:val="24"/>
        </w:rPr>
        <w:t>a stipulation between AEP Ohio and Staff, stating</w:t>
      </w:r>
      <w:r>
        <w:rPr>
          <w:rFonts w:ascii="Times New Roman" w:hAnsi="Times New Roman" w:cs="Times New Roman"/>
          <w:sz w:val="24"/>
          <w:szCs w:val="24"/>
        </w:rPr>
        <w:t xml:space="preserve">: </w:t>
      </w:r>
      <w:r w:rsidR="00FE49EF">
        <w:rPr>
          <w:rFonts w:ascii="Times New Roman" w:hAnsi="Times New Roman" w:cs="Times New Roman"/>
          <w:sz w:val="24"/>
          <w:szCs w:val="24"/>
        </w:rPr>
        <w:t>“[T]here is no basis upon which we can find that the Turning Point provision of the stipulation benefits AEP-Ohio’s ratepayers.”</w:t>
      </w:r>
      <w:r>
        <w:rPr>
          <w:rStyle w:val="FootnoteReference"/>
          <w:rFonts w:ascii="Times New Roman" w:hAnsi="Times New Roman" w:cs="Times New Roman"/>
          <w:sz w:val="24"/>
          <w:szCs w:val="24"/>
        </w:rPr>
        <w:footnoteReference w:id="228"/>
      </w:r>
      <w:r w:rsidR="00EB0054">
        <w:rPr>
          <w:rFonts w:ascii="Times New Roman" w:hAnsi="Times New Roman" w:cs="Times New Roman"/>
          <w:sz w:val="24"/>
          <w:szCs w:val="24"/>
        </w:rPr>
        <w:t xml:space="preserve"> </w:t>
      </w:r>
      <w:r w:rsidR="00FA42B2" w:rsidRPr="005102C3">
        <w:rPr>
          <w:rFonts w:ascii="Times New Roman" w:hAnsi="Times New Roman" w:cs="Times New Roman"/>
          <w:sz w:val="24"/>
          <w:szCs w:val="24"/>
        </w:rPr>
        <w:t xml:space="preserve"> </w:t>
      </w:r>
      <w:r>
        <w:rPr>
          <w:rFonts w:ascii="Times New Roman" w:hAnsi="Times New Roman" w:cs="Times New Roman"/>
          <w:sz w:val="24"/>
          <w:szCs w:val="24"/>
        </w:rPr>
        <w:t>The PUCO should once again reject AEP Ohio’s wind and solar proposal in this proceeding.</w:t>
      </w:r>
    </w:p>
    <w:p w:rsidR="00477F2A" w:rsidRDefault="00C87C35" w:rsidP="0020495B">
      <w:pPr>
        <w:pStyle w:val="Heading5"/>
        <w:numPr>
          <w:ilvl w:val="0"/>
          <w:numId w:val="18"/>
        </w:numPr>
      </w:pPr>
      <w:bookmarkStart w:id="56" w:name="_Toc442104158"/>
      <w:r>
        <w:t>The Joint Stipulation fails the first prong of the settlement test because it is inherently uncertain.</w:t>
      </w:r>
      <w:bookmarkEnd w:id="56"/>
    </w:p>
    <w:p w:rsidR="00FA42B2" w:rsidRDefault="00FA42B2" w:rsidP="00D340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OCC Witness</w:t>
      </w:r>
      <w:r w:rsidRPr="005102C3">
        <w:rPr>
          <w:rFonts w:ascii="Times New Roman" w:hAnsi="Times New Roman" w:cs="Times New Roman"/>
          <w:sz w:val="24"/>
          <w:szCs w:val="24"/>
        </w:rPr>
        <w:t xml:space="preserve"> Dormady includes a table in his testimony listing 17 substantive provisions of the </w:t>
      </w:r>
      <w:r>
        <w:rPr>
          <w:rFonts w:ascii="Times New Roman" w:hAnsi="Times New Roman" w:cs="Times New Roman"/>
          <w:sz w:val="24"/>
          <w:szCs w:val="24"/>
        </w:rPr>
        <w:t xml:space="preserve">Joint </w:t>
      </w:r>
      <w:r w:rsidRPr="005102C3">
        <w:rPr>
          <w:rFonts w:ascii="Times New Roman" w:hAnsi="Times New Roman" w:cs="Times New Roman"/>
          <w:sz w:val="24"/>
          <w:szCs w:val="24"/>
        </w:rPr>
        <w:t>Stipulation that contain considerable amounts of uncertainty.</w:t>
      </w:r>
      <w:r w:rsidR="00456A96">
        <w:rPr>
          <w:rFonts w:ascii="Times New Roman" w:hAnsi="Times New Roman" w:cs="Times New Roman"/>
          <w:sz w:val="24"/>
          <w:szCs w:val="24"/>
        </w:rPr>
        <w:t xml:space="preserve"> </w:t>
      </w:r>
      <w:r w:rsidRPr="005102C3">
        <w:rPr>
          <w:rFonts w:ascii="Times New Roman" w:hAnsi="Times New Roman" w:cs="Times New Roman"/>
          <w:sz w:val="24"/>
          <w:szCs w:val="24"/>
        </w:rPr>
        <w:t xml:space="preserve"> </w:t>
      </w:r>
      <w:r>
        <w:rPr>
          <w:rFonts w:ascii="Times New Roman" w:hAnsi="Times New Roman" w:cs="Times New Roman"/>
          <w:sz w:val="24"/>
          <w:szCs w:val="24"/>
        </w:rPr>
        <w:t>OCC Witness Dormady explained that the provisions have</w:t>
      </w:r>
      <w:r w:rsidRPr="005102C3">
        <w:rPr>
          <w:rFonts w:ascii="Times New Roman" w:hAnsi="Times New Roman" w:cs="Times New Roman"/>
          <w:sz w:val="24"/>
          <w:szCs w:val="24"/>
        </w:rPr>
        <w:t xml:space="preserve"> the following degrees of uncertainty: (1) an action or outcome that is conditioned on future regulatory approval by the PUCO or other authority; (2) an action or outcome for which no analyses, preliminary or technical, has been performed; (3) an outcome or actions that may not be technically feasible and no analyses has been provided to the signatory parties (e.g., carbon emissions reduction plan, fuel diversification plan, battery deployment); and (4) an action or outcome where there has been no economic or cost-benefit analyses performed and provided to signatory parties (e.g., EE/PDR energy savings, renewable energy development, carbon emissions reduction plan).</w:t>
      </w:r>
      <w:r w:rsidRPr="005102C3">
        <w:rPr>
          <w:rStyle w:val="FootnoteReference"/>
          <w:rFonts w:ascii="Times New Roman" w:hAnsi="Times New Roman"/>
          <w:sz w:val="24"/>
          <w:szCs w:val="24"/>
        </w:rPr>
        <w:footnoteReference w:id="229"/>
      </w:r>
      <w:r w:rsidRPr="005102C3">
        <w:rPr>
          <w:rFonts w:ascii="Times New Roman" w:hAnsi="Times New Roman" w:cs="Times New Roman"/>
          <w:sz w:val="24"/>
          <w:szCs w:val="24"/>
        </w:rPr>
        <w:t xml:space="preserve"> </w:t>
      </w:r>
      <w:r w:rsidR="00456A96">
        <w:rPr>
          <w:rFonts w:ascii="Times New Roman" w:hAnsi="Times New Roman" w:cs="Times New Roman"/>
          <w:sz w:val="24"/>
          <w:szCs w:val="24"/>
        </w:rPr>
        <w:t xml:space="preserve"> </w:t>
      </w:r>
      <w:r>
        <w:rPr>
          <w:rFonts w:ascii="Times New Roman" w:hAnsi="Times New Roman" w:cs="Times New Roman"/>
          <w:sz w:val="24"/>
          <w:szCs w:val="24"/>
        </w:rPr>
        <w:t xml:space="preserve">OCC </w:t>
      </w:r>
      <w:r w:rsidRPr="005102C3">
        <w:rPr>
          <w:rFonts w:ascii="Times New Roman" w:hAnsi="Times New Roman" w:cs="Times New Roman"/>
          <w:sz w:val="24"/>
          <w:szCs w:val="24"/>
        </w:rPr>
        <w:t xml:space="preserve">Witness </w:t>
      </w:r>
      <w:r w:rsidR="00031DA4">
        <w:rPr>
          <w:rFonts w:ascii="Times New Roman" w:hAnsi="Times New Roman" w:cs="Times New Roman"/>
          <w:sz w:val="24"/>
          <w:szCs w:val="24"/>
        </w:rPr>
        <w:t>D</w:t>
      </w:r>
      <w:r w:rsidRPr="005102C3">
        <w:rPr>
          <w:rFonts w:ascii="Times New Roman" w:hAnsi="Times New Roman" w:cs="Times New Roman"/>
          <w:sz w:val="24"/>
          <w:szCs w:val="24"/>
        </w:rPr>
        <w:t xml:space="preserve">ormady concludes that, in light of the uncertainty associated with the 17 provisions that he listed, and many more contained in the </w:t>
      </w:r>
      <w:r>
        <w:rPr>
          <w:rFonts w:ascii="Times New Roman" w:hAnsi="Times New Roman" w:cs="Times New Roman"/>
          <w:sz w:val="24"/>
          <w:szCs w:val="24"/>
        </w:rPr>
        <w:t xml:space="preserve">Joint </w:t>
      </w:r>
      <w:r w:rsidRPr="005102C3">
        <w:rPr>
          <w:rFonts w:ascii="Times New Roman" w:hAnsi="Times New Roman" w:cs="Times New Roman"/>
          <w:sz w:val="24"/>
          <w:szCs w:val="24"/>
        </w:rPr>
        <w:t>Stipulation, there could be no bargaining that was knowledgeable or capable.</w:t>
      </w:r>
      <w:r w:rsidRPr="005102C3">
        <w:rPr>
          <w:rStyle w:val="FootnoteReference"/>
          <w:rFonts w:ascii="Times New Roman" w:hAnsi="Times New Roman"/>
          <w:sz w:val="24"/>
          <w:szCs w:val="24"/>
        </w:rPr>
        <w:footnoteReference w:id="230"/>
      </w:r>
      <w:r w:rsidRPr="005102C3">
        <w:rPr>
          <w:rFonts w:ascii="Times New Roman" w:hAnsi="Times New Roman" w:cs="Times New Roman"/>
          <w:sz w:val="24"/>
          <w:szCs w:val="24"/>
        </w:rPr>
        <w:t xml:space="preserve"> </w:t>
      </w:r>
    </w:p>
    <w:p w:rsidR="00C87C35" w:rsidRDefault="00C87C35" w:rsidP="0020495B">
      <w:pPr>
        <w:pStyle w:val="Heading5"/>
        <w:numPr>
          <w:ilvl w:val="0"/>
          <w:numId w:val="18"/>
        </w:numPr>
      </w:pPr>
      <w:bookmarkStart w:id="57" w:name="_Toc442104159"/>
      <w:r>
        <w:t>The Joint Stipulation fails the settlement test because it runs counter to the intention of deregulation.</w:t>
      </w:r>
      <w:bookmarkEnd w:id="57"/>
    </w:p>
    <w:p w:rsidR="00FA42B2" w:rsidRDefault="00FA42B2" w:rsidP="00D340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OCC Witness</w:t>
      </w:r>
      <w:r w:rsidRPr="005102C3">
        <w:rPr>
          <w:rFonts w:ascii="Times New Roman" w:hAnsi="Times New Roman" w:cs="Times New Roman"/>
          <w:sz w:val="24"/>
          <w:szCs w:val="24"/>
        </w:rPr>
        <w:t xml:space="preserve"> Dormady</w:t>
      </w:r>
      <w:r>
        <w:rPr>
          <w:rFonts w:ascii="Times New Roman" w:hAnsi="Times New Roman" w:cs="Times New Roman"/>
          <w:sz w:val="24"/>
          <w:szCs w:val="24"/>
        </w:rPr>
        <w:t xml:space="preserve"> confirms</w:t>
      </w:r>
      <w:r w:rsidRPr="005102C3">
        <w:rPr>
          <w:rFonts w:ascii="Times New Roman" w:hAnsi="Times New Roman" w:cs="Times New Roman"/>
          <w:sz w:val="24"/>
          <w:szCs w:val="24"/>
        </w:rPr>
        <w:t xml:space="preserve"> that the </w:t>
      </w:r>
      <w:r>
        <w:rPr>
          <w:rFonts w:ascii="Times New Roman" w:hAnsi="Times New Roman" w:cs="Times New Roman"/>
          <w:sz w:val="24"/>
          <w:szCs w:val="24"/>
        </w:rPr>
        <w:t xml:space="preserve">Joint </w:t>
      </w:r>
      <w:r w:rsidRPr="005102C3">
        <w:rPr>
          <w:rFonts w:ascii="Times New Roman" w:hAnsi="Times New Roman" w:cs="Times New Roman"/>
          <w:sz w:val="24"/>
          <w:szCs w:val="24"/>
        </w:rPr>
        <w:t xml:space="preserve">Stipulation as a package was not the subject of serious bargaining between knowledgeable parties, violates important regulatory principles, and does not benefit the public interest. </w:t>
      </w:r>
      <w:r w:rsidR="00456A96">
        <w:rPr>
          <w:rFonts w:ascii="Times New Roman" w:hAnsi="Times New Roman" w:cs="Times New Roman"/>
          <w:sz w:val="24"/>
          <w:szCs w:val="24"/>
        </w:rPr>
        <w:t xml:space="preserve"> </w:t>
      </w:r>
      <w:r>
        <w:rPr>
          <w:rFonts w:ascii="Times New Roman" w:hAnsi="Times New Roman" w:cs="Times New Roman"/>
          <w:sz w:val="24"/>
          <w:szCs w:val="24"/>
        </w:rPr>
        <w:t>It</w:t>
      </w:r>
      <w:r w:rsidRPr="005102C3">
        <w:rPr>
          <w:rFonts w:ascii="Times New Roman" w:hAnsi="Times New Roman" w:cs="Times New Roman"/>
          <w:sz w:val="24"/>
          <w:szCs w:val="24"/>
        </w:rPr>
        <w:t xml:space="preserve"> violates the principle of </w:t>
      </w:r>
      <w:r w:rsidR="00F47E76">
        <w:rPr>
          <w:rFonts w:ascii="Times New Roman" w:hAnsi="Times New Roman" w:cs="Times New Roman"/>
          <w:sz w:val="24"/>
          <w:szCs w:val="24"/>
        </w:rPr>
        <w:t>separating</w:t>
      </w:r>
      <w:r w:rsidRPr="005102C3">
        <w:rPr>
          <w:rFonts w:ascii="Times New Roman" w:hAnsi="Times New Roman" w:cs="Times New Roman"/>
          <w:sz w:val="24"/>
          <w:szCs w:val="24"/>
        </w:rPr>
        <w:t xml:space="preserve"> electric distribution and generation inherent to deregulation.</w:t>
      </w:r>
      <w:r w:rsidRPr="005102C3">
        <w:rPr>
          <w:rStyle w:val="FootnoteReference"/>
          <w:rFonts w:ascii="Times New Roman" w:hAnsi="Times New Roman"/>
          <w:sz w:val="24"/>
          <w:szCs w:val="24"/>
        </w:rPr>
        <w:footnoteReference w:id="231"/>
      </w:r>
      <w:r w:rsidRPr="005102C3">
        <w:rPr>
          <w:rFonts w:ascii="Times New Roman" w:hAnsi="Times New Roman" w:cs="Times New Roman"/>
          <w:sz w:val="24"/>
          <w:szCs w:val="24"/>
        </w:rPr>
        <w:t xml:space="preserve"> </w:t>
      </w:r>
      <w:r w:rsidR="00456A96">
        <w:rPr>
          <w:rFonts w:ascii="Times New Roman" w:hAnsi="Times New Roman" w:cs="Times New Roman"/>
          <w:sz w:val="24"/>
          <w:szCs w:val="24"/>
        </w:rPr>
        <w:t xml:space="preserve"> </w:t>
      </w:r>
      <w:r w:rsidRPr="005102C3">
        <w:rPr>
          <w:rFonts w:ascii="Times New Roman" w:hAnsi="Times New Roman" w:cs="Times New Roman"/>
          <w:sz w:val="24"/>
          <w:szCs w:val="24"/>
        </w:rPr>
        <w:t xml:space="preserve">The </w:t>
      </w:r>
      <w:r>
        <w:rPr>
          <w:rFonts w:ascii="Times New Roman" w:hAnsi="Times New Roman" w:cs="Times New Roman"/>
          <w:sz w:val="24"/>
          <w:szCs w:val="24"/>
        </w:rPr>
        <w:t>PPA Rider</w:t>
      </w:r>
      <w:r w:rsidRPr="005102C3">
        <w:rPr>
          <w:rFonts w:ascii="Times New Roman" w:hAnsi="Times New Roman" w:cs="Times New Roman"/>
          <w:sz w:val="24"/>
          <w:szCs w:val="24"/>
        </w:rPr>
        <w:t xml:space="preserve"> indemnifies AEP Ohio against any losses and places that risk entirely on households and businesses.</w:t>
      </w:r>
      <w:r w:rsidRPr="005102C3">
        <w:rPr>
          <w:rStyle w:val="FootnoteReference"/>
          <w:rFonts w:ascii="Times New Roman" w:hAnsi="Times New Roman"/>
          <w:sz w:val="24"/>
          <w:szCs w:val="24"/>
        </w:rPr>
        <w:footnoteReference w:id="232"/>
      </w:r>
      <w:r w:rsidRPr="005102C3">
        <w:rPr>
          <w:rFonts w:ascii="Times New Roman" w:hAnsi="Times New Roman" w:cs="Times New Roman"/>
          <w:sz w:val="24"/>
          <w:szCs w:val="24"/>
        </w:rPr>
        <w:t xml:space="preserve"> </w:t>
      </w:r>
      <w:r w:rsidR="00456A96">
        <w:rPr>
          <w:rFonts w:ascii="Times New Roman" w:hAnsi="Times New Roman" w:cs="Times New Roman"/>
          <w:sz w:val="24"/>
          <w:szCs w:val="24"/>
        </w:rPr>
        <w:t xml:space="preserve"> </w:t>
      </w:r>
      <w:r w:rsidRPr="005102C3">
        <w:rPr>
          <w:rFonts w:ascii="Times New Roman" w:hAnsi="Times New Roman" w:cs="Times New Roman"/>
          <w:sz w:val="24"/>
          <w:szCs w:val="24"/>
        </w:rPr>
        <w:t xml:space="preserve">The PPA </w:t>
      </w:r>
      <w:r>
        <w:rPr>
          <w:rFonts w:ascii="Times New Roman" w:hAnsi="Times New Roman" w:cs="Times New Roman"/>
          <w:sz w:val="24"/>
          <w:szCs w:val="24"/>
        </w:rPr>
        <w:t>R</w:t>
      </w:r>
      <w:r w:rsidRPr="005102C3">
        <w:rPr>
          <w:rFonts w:ascii="Times New Roman" w:hAnsi="Times New Roman" w:cs="Times New Roman"/>
          <w:sz w:val="24"/>
          <w:szCs w:val="24"/>
        </w:rPr>
        <w:t xml:space="preserve">ider ensures that all environmental costs, all fuel costs, all retrofit costs, wholesale market risk costs, and all other costs associated with the operation, maintenance, and retrofit of </w:t>
      </w:r>
      <w:r>
        <w:rPr>
          <w:rFonts w:ascii="Times New Roman" w:hAnsi="Times New Roman" w:cs="Times New Roman"/>
          <w:sz w:val="24"/>
          <w:szCs w:val="24"/>
        </w:rPr>
        <w:t>the PPA Units</w:t>
      </w:r>
      <w:r w:rsidRPr="005102C3">
        <w:rPr>
          <w:rFonts w:ascii="Times New Roman" w:hAnsi="Times New Roman" w:cs="Times New Roman"/>
          <w:sz w:val="24"/>
          <w:szCs w:val="24"/>
        </w:rPr>
        <w:t xml:space="preserve"> </w:t>
      </w:r>
      <w:r w:rsidR="00E2461E">
        <w:rPr>
          <w:rFonts w:ascii="Times New Roman" w:hAnsi="Times New Roman" w:cs="Times New Roman"/>
          <w:sz w:val="24"/>
          <w:szCs w:val="24"/>
        </w:rPr>
        <w:t>are</w:t>
      </w:r>
      <w:r w:rsidRPr="005102C3">
        <w:rPr>
          <w:rFonts w:ascii="Times New Roman" w:hAnsi="Times New Roman" w:cs="Times New Roman"/>
          <w:sz w:val="24"/>
          <w:szCs w:val="24"/>
        </w:rPr>
        <w:t xml:space="preserve"> borne by customers.</w:t>
      </w:r>
      <w:r w:rsidRPr="005102C3">
        <w:rPr>
          <w:rStyle w:val="FootnoteReference"/>
          <w:rFonts w:ascii="Times New Roman" w:hAnsi="Times New Roman"/>
          <w:sz w:val="24"/>
          <w:szCs w:val="24"/>
        </w:rPr>
        <w:t xml:space="preserve"> </w:t>
      </w:r>
      <w:r w:rsidRPr="005102C3">
        <w:rPr>
          <w:rStyle w:val="FootnoteReference"/>
          <w:rFonts w:ascii="Times New Roman" w:hAnsi="Times New Roman"/>
          <w:sz w:val="24"/>
          <w:szCs w:val="24"/>
        </w:rPr>
        <w:footnoteReference w:id="233"/>
      </w:r>
      <w:r w:rsidRPr="005102C3">
        <w:rPr>
          <w:rFonts w:ascii="Times New Roman" w:hAnsi="Times New Roman" w:cs="Times New Roman"/>
          <w:sz w:val="24"/>
          <w:szCs w:val="24"/>
        </w:rPr>
        <w:t xml:space="preserve"> </w:t>
      </w:r>
      <w:r w:rsidR="00456A96">
        <w:rPr>
          <w:rFonts w:ascii="Times New Roman" w:hAnsi="Times New Roman" w:cs="Times New Roman"/>
          <w:sz w:val="24"/>
          <w:szCs w:val="24"/>
        </w:rPr>
        <w:t xml:space="preserve"> </w:t>
      </w:r>
      <w:r>
        <w:rPr>
          <w:rFonts w:ascii="Times New Roman" w:hAnsi="Times New Roman" w:cs="Times New Roman"/>
          <w:sz w:val="24"/>
          <w:szCs w:val="24"/>
        </w:rPr>
        <w:t>OCC Witness</w:t>
      </w:r>
      <w:r w:rsidRPr="005102C3">
        <w:rPr>
          <w:rFonts w:ascii="Times New Roman" w:hAnsi="Times New Roman" w:cs="Times New Roman"/>
          <w:sz w:val="24"/>
          <w:szCs w:val="24"/>
        </w:rPr>
        <w:t xml:space="preserve"> Dormady </w:t>
      </w:r>
      <w:r>
        <w:rPr>
          <w:rFonts w:ascii="Times New Roman" w:hAnsi="Times New Roman" w:cs="Times New Roman"/>
          <w:sz w:val="24"/>
          <w:szCs w:val="24"/>
        </w:rPr>
        <w:t>affirms</w:t>
      </w:r>
      <w:r w:rsidRPr="005102C3">
        <w:rPr>
          <w:rFonts w:ascii="Times New Roman" w:hAnsi="Times New Roman" w:cs="Times New Roman"/>
          <w:sz w:val="24"/>
          <w:szCs w:val="24"/>
        </w:rPr>
        <w:t xml:space="preserve"> that these increases in costs run counter to the intention of deregulation </w:t>
      </w:r>
      <w:r>
        <w:rPr>
          <w:rFonts w:ascii="Times New Roman" w:hAnsi="Times New Roman" w:cs="Times New Roman"/>
          <w:sz w:val="24"/>
          <w:szCs w:val="24"/>
        </w:rPr>
        <w:t>since</w:t>
      </w:r>
      <w:r w:rsidRPr="005102C3">
        <w:rPr>
          <w:rFonts w:ascii="Times New Roman" w:hAnsi="Times New Roman" w:cs="Times New Roman"/>
          <w:sz w:val="24"/>
          <w:szCs w:val="24"/>
        </w:rPr>
        <w:t xml:space="preserve"> </w:t>
      </w:r>
      <w:r>
        <w:rPr>
          <w:rFonts w:ascii="Times New Roman" w:hAnsi="Times New Roman" w:cs="Times New Roman"/>
          <w:sz w:val="24"/>
          <w:szCs w:val="24"/>
        </w:rPr>
        <w:t xml:space="preserve">such </w:t>
      </w:r>
      <w:r w:rsidRPr="005102C3">
        <w:rPr>
          <w:rFonts w:ascii="Times New Roman" w:hAnsi="Times New Roman" w:cs="Times New Roman"/>
          <w:sz w:val="24"/>
          <w:szCs w:val="24"/>
        </w:rPr>
        <w:t>costs and risks should be borne by the businesses operating in a competitive market</w:t>
      </w:r>
      <w:r>
        <w:rPr>
          <w:rFonts w:ascii="Times New Roman" w:hAnsi="Times New Roman" w:cs="Times New Roman"/>
          <w:sz w:val="24"/>
          <w:szCs w:val="24"/>
        </w:rPr>
        <w:t>.</w:t>
      </w:r>
      <w:r w:rsidRPr="005102C3">
        <w:rPr>
          <w:rStyle w:val="FootnoteReference"/>
          <w:rFonts w:ascii="Times New Roman" w:hAnsi="Times New Roman"/>
          <w:sz w:val="24"/>
          <w:szCs w:val="24"/>
        </w:rPr>
        <w:footnoteReference w:id="234"/>
      </w:r>
    </w:p>
    <w:p w:rsidR="00F91EBC" w:rsidRDefault="00CF2D5B" w:rsidP="00C704DB">
      <w:pPr>
        <w:pStyle w:val="Heading4"/>
        <w:rPr>
          <w:rFonts w:ascii="Times New Roman" w:hAnsi="Times New Roman" w:cs="Times New Roman"/>
        </w:rPr>
      </w:pPr>
      <w:bookmarkStart w:id="58" w:name="_Toc442104160"/>
      <w:r>
        <w:t>c</w:t>
      </w:r>
      <w:r w:rsidR="00F91EBC">
        <w:t>.</w:t>
      </w:r>
      <w:r w:rsidR="00F91EBC">
        <w:tab/>
        <w:t>The Joint Stipulation should not be considered as a package under the PUCO’s three-prong standard for considering settlements.</w:t>
      </w:r>
      <w:bookmarkEnd w:id="58"/>
    </w:p>
    <w:p w:rsidR="00945BB4" w:rsidRDefault="00AD6A9A" w:rsidP="00D340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945BB4">
        <w:rPr>
          <w:rFonts w:ascii="Times New Roman" w:hAnsi="Times New Roman" w:cs="Times New Roman"/>
          <w:sz w:val="24"/>
          <w:szCs w:val="24"/>
        </w:rPr>
        <w:t xml:space="preserve">he hodgepodge nature of the settlement should disqualify it from being considered as a “package” under the PUCO’s three-prong settlement test.  </w:t>
      </w:r>
      <w:r w:rsidR="00F91D34">
        <w:rPr>
          <w:rFonts w:ascii="Times New Roman" w:hAnsi="Times New Roman" w:cs="Times New Roman"/>
          <w:sz w:val="24"/>
          <w:szCs w:val="24"/>
        </w:rPr>
        <w:t xml:space="preserve">For treatment as a package, a settlement should have terms that, in the context of an application, have a sufficient nexus between each other and can be lawfully and reasonably considered in the case as filed.  </w:t>
      </w:r>
      <w:r w:rsidR="00AA342D">
        <w:rPr>
          <w:rFonts w:ascii="Times New Roman" w:hAnsi="Times New Roman" w:cs="Times New Roman"/>
          <w:sz w:val="24"/>
          <w:szCs w:val="24"/>
        </w:rPr>
        <w:t xml:space="preserve">In a case allegedly about “hedging” electric generation, there is no nexus to the various </w:t>
      </w:r>
      <w:r w:rsidR="007806E9">
        <w:rPr>
          <w:rFonts w:ascii="Times New Roman" w:hAnsi="Times New Roman" w:cs="Times New Roman"/>
          <w:sz w:val="24"/>
          <w:szCs w:val="24"/>
        </w:rPr>
        <w:t>terms and issues that have shown up for the first time at case-</w:t>
      </w:r>
      <w:r w:rsidR="00AA342D">
        <w:rPr>
          <w:rFonts w:ascii="Times New Roman" w:hAnsi="Times New Roman" w:cs="Times New Roman"/>
          <w:sz w:val="24"/>
          <w:szCs w:val="24"/>
        </w:rPr>
        <w:t>end in a settlement</w:t>
      </w:r>
      <w:r w:rsidR="007806E9">
        <w:rPr>
          <w:rFonts w:ascii="Times New Roman" w:hAnsi="Times New Roman" w:cs="Times New Roman"/>
          <w:sz w:val="24"/>
          <w:szCs w:val="24"/>
        </w:rPr>
        <w:t>--</w:t>
      </w:r>
      <w:r w:rsidR="00AA342D">
        <w:rPr>
          <w:rFonts w:ascii="Times New Roman" w:hAnsi="Times New Roman" w:cs="Times New Roman"/>
          <w:sz w:val="24"/>
          <w:szCs w:val="24"/>
        </w:rPr>
        <w:t xml:space="preserve">other than that the terms induced others to sign. </w:t>
      </w:r>
    </w:p>
    <w:p w:rsidR="00A433F8" w:rsidRDefault="00CF2D5B" w:rsidP="00C401CE">
      <w:pPr>
        <w:pStyle w:val="Heading4"/>
      </w:pPr>
      <w:bookmarkStart w:id="59" w:name="_Toc442104161"/>
      <w:r>
        <w:t>d</w:t>
      </w:r>
      <w:r w:rsidR="00D34055">
        <w:t>.</w:t>
      </w:r>
      <w:r w:rsidR="00D34055">
        <w:tab/>
      </w:r>
      <w:r w:rsidR="00A433F8">
        <w:t xml:space="preserve">The Joint Stipulation is too costly and, thus, </w:t>
      </w:r>
      <w:r w:rsidR="004C49CB">
        <w:t xml:space="preserve">it is </w:t>
      </w:r>
      <w:r w:rsidR="00A433F8">
        <w:t>not, as a package, in the public interest</w:t>
      </w:r>
      <w:r w:rsidR="00C87C35">
        <w:t xml:space="preserve">; </w:t>
      </w:r>
      <w:r w:rsidR="007A1B1A">
        <w:t xml:space="preserve">OCC’s and others’ testimony demonstrates </w:t>
      </w:r>
      <w:r w:rsidR="00EB0054">
        <w:t xml:space="preserve">that </w:t>
      </w:r>
      <w:r w:rsidR="004C49CB">
        <w:t>it hurts consumers</w:t>
      </w:r>
      <w:r w:rsidR="00A433F8">
        <w:t>.</w:t>
      </w:r>
      <w:bookmarkEnd w:id="59"/>
    </w:p>
    <w:p w:rsidR="00D910EA" w:rsidRPr="00A63D29" w:rsidRDefault="00D910EA" w:rsidP="00D910EA">
      <w:pPr>
        <w:spacing w:after="0" w:line="480" w:lineRule="auto"/>
        <w:ind w:firstLine="720"/>
        <w:rPr>
          <w:rFonts w:ascii="Times New Roman" w:hAnsi="Times New Roman" w:cs="Times New Roman"/>
          <w:sz w:val="24"/>
          <w:szCs w:val="24"/>
        </w:rPr>
      </w:pPr>
      <w:r w:rsidRPr="00A63D29">
        <w:rPr>
          <w:rFonts w:ascii="Times New Roman" w:hAnsi="Times New Roman" w:cs="Times New Roman"/>
          <w:sz w:val="24"/>
          <w:szCs w:val="24"/>
        </w:rPr>
        <w:t xml:space="preserve">OCC Witness James F. Wilson estimates that, based on the </w:t>
      </w:r>
      <w:r>
        <w:rPr>
          <w:rFonts w:ascii="Times New Roman" w:hAnsi="Times New Roman" w:cs="Times New Roman"/>
          <w:sz w:val="24"/>
          <w:szCs w:val="24"/>
        </w:rPr>
        <w:t xml:space="preserve">Joint </w:t>
      </w:r>
      <w:r w:rsidRPr="00A63D29">
        <w:rPr>
          <w:rFonts w:ascii="Times New Roman" w:hAnsi="Times New Roman" w:cs="Times New Roman"/>
          <w:sz w:val="24"/>
          <w:szCs w:val="24"/>
        </w:rPr>
        <w:t xml:space="preserve">Stipulation and the current market conditions, the cost to </w:t>
      </w:r>
      <w:r w:rsidR="004C49CB">
        <w:rPr>
          <w:rFonts w:ascii="Times New Roman" w:hAnsi="Times New Roman" w:cs="Times New Roman"/>
          <w:sz w:val="24"/>
          <w:szCs w:val="24"/>
        </w:rPr>
        <w:t>consumers</w:t>
      </w:r>
      <w:r w:rsidRPr="00A63D29">
        <w:rPr>
          <w:rFonts w:ascii="Times New Roman" w:hAnsi="Times New Roman" w:cs="Times New Roman"/>
          <w:sz w:val="24"/>
          <w:szCs w:val="24"/>
        </w:rPr>
        <w:t xml:space="preserve"> through the PPA Rider is a cumulative $1.9 billion, or $1.5 billion on a net present value basis.</w:t>
      </w:r>
      <w:r w:rsidRPr="00A63D29">
        <w:rPr>
          <w:rStyle w:val="FootnoteReference"/>
          <w:rFonts w:ascii="Times New Roman" w:hAnsi="Times New Roman" w:cs="Times New Roman"/>
          <w:sz w:val="24"/>
          <w:szCs w:val="24"/>
        </w:rPr>
        <w:footnoteReference w:id="235"/>
      </w:r>
      <w:r w:rsidRPr="00A63D29">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Pr>
          <w:rFonts w:ascii="Times New Roman" w:hAnsi="Times New Roman" w:cs="Times New Roman"/>
          <w:sz w:val="24"/>
          <w:szCs w:val="24"/>
        </w:rPr>
        <w:t>He</w:t>
      </w:r>
      <w:r w:rsidRPr="00A63D29">
        <w:rPr>
          <w:rFonts w:ascii="Times New Roman" w:hAnsi="Times New Roman" w:cs="Times New Roman"/>
          <w:sz w:val="24"/>
          <w:szCs w:val="24"/>
        </w:rPr>
        <w:t xml:space="preserve"> confirms that this is a conservative estimate of the potential cost.</w:t>
      </w:r>
      <w:r w:rsidRPr="00A63D29">
        <w:rPr>
          <w:rStyle w:val="FootnoteReference"/>
          <w:rFonts w:ascii="Times New Roman" w:hAnsi="Times New Roman" w:cs="Times New Roman"/>
          <w:sz w:val="24"/>
          <w:szCs w:val="24"/>
        </w:rPr>
        <w:footnoteReference w:id="236"/>
      </w:r>
      <w:r w:rsidRPr="00A63D29">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sidRPr="00A63D29">
        <w:rPr>
          <w:rFonts w:ascii="Times New Roman" w:hAnsi="Times New Roman" w:cs="Times New Roman"/>
          <w:sz w:val="24"/>
          <w:szCs w:val="24"/>
        </w:rPr>
        <w:t xml:space="preserve">Additionally, </w:t>
      </w:r>
      <w:r>
        <w:rPr>
          <w:rFonts w:ascii="Times New Roman" w:hAnsi="Times New Roman" w:cs="Times New Roman"/>
          <w:sz w:val="24"/>
          <w:szCs w:val="24"/>
        </w:rPr>
        <w:t xml:space="preserve">OCC Witness </w:t>
      </w:r>
      <w:r w:rsidRPr="00A63D29">
        <w:rPr>
          <w:rFonts w:ascii="Times New Roman" w:hAnsi="Times New Roman" w:cs="Times New Roman"/>
          <w:sz w:val="24"/>
          <w:szCs w:val="24"/>
        </w:rPr>
        <w:t xml:space="preserve">Wilson </w:t>
      </w:r>
      <w:r>
        <w:rPr>
          <w:rFonts w:ascii="Times New Roman" w:hAnsi="Times New Roman" w:cs="Times New Roman"/>
          <w:sz w:val="24"/>
          <w:szCs w:val="24"/>
        </w:rPr>
        <w:t>explained</w:t>
      </w:r>
      <w:r w:rsidRPr="00A63D29">
        <w:rPr>
          <w:rFonts w:ascii="Times New Roman" w:hAnsi="Times New Roman" w:cs="Times New Roman"/>
          <w:sz w:val="24"/>
          <w:szCs w:val="24"/>
        </w:rPr>
        <w:t xml:space="preserve"> that there are losses and costs passed through to customers in every year of the arrangement, ranging from $50 million in 2024 to $271 million in 2018.</w:t>
      </w:r>
      <w:r w:rsidRPr="00A63D29">
        <w:rPr>
          <w:rStyle w:val="FootnoteReference"/>
          <w:rFonts w:ascii="Times New Roman" w:hAnsi="Times New Roman" w:cs="Times New Roman"/>
          <w:sz w:val="24"/>
          <w:szCs w:val="24"/>
        </w:rPr>
        <w:footnoteReference w:id="237"/>
      </w:r>
      <w:r w:rsidRPr="00A63D29">
        <w:rPr>
          <w:rFonts w:ascii="Times New Roman" w:hAnsi="Times New Roman" w:cs="Times New Roman"/>
          <w:sz w:val="24"/>
          <w:szCs w:val="24"/>
        </w:rPr>
        <w:t xml:space="preserve"> The cost for a typical residential customer would be approximately $99 per year or a total of over $700.</w:t>
      </w:r>
      <w:r w:rsidRPr="00A63D29">
        <w:rPr>
          <w:rStyle w:val="FootnoteReference"/>
          <w:rFonts w:ascii="Times New Roman" w:hAnsi="Times New Roman" w:cs="Times New Roman"/>
          <w:sz w:val="24"/>
          <w:szCs w:val="24"/>
        </w:rPr>
        <w:footnoteReference w:id="238"/>
      </w:r>
      <w:r w:rsidRPr="00A63D29">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sidRPr="00A63D29">
        <w:rPr>
          <w:rFonts w:ascii="Times New Roman" w:hAnsi="Times New Roman" w:cs="Times New Roman"/>
          <w:sz w:val="24"/>
          <w:szCs w:val="24"/>
        </w:rPr>
        <w:t xml:space="preserve">OCC </w:t>
      </w:r>
      <w:r>
        <w:rPr>
          <w:rFonts w:ascii="Times New Roman" w:hAnsi="Times New Roman" w:cs="Times New Roman"/>
          <w:sz w:val="24"/>
          <w:szCs w:val="24"/>
        </w:rPr>
        <w:t>W</w:t>
      </w:r>
      <w:r w:rsidRPr="00A63D29">
        <w:rPr>
          <w:rFonts w:ascii="Times New Roman" w:hAnsi="Times New Roman" w:cs="Times New Roman"/>
          <w:sz w:val="24"/>
          <w:szCs w:val="24"/>
        </w:rPr>
        <w:t xml:space="preserve">itness Wilson </w:t>
      </w:r>
      <w:r>
        <w:rPr>
          <w:rFonts w:ascii="Times New Roman" w:hAnsi="Times New Roman" w:cs="Times New Roman"/>
          <w:sz w:val="24"/>
          <w:szCs w:val="24"/>
        </w:rPr>
        <w:t>concluded</w:t>
      </w:r>
      <w:r w:rsidRPr="00A63D29">
        <w:rPr>
          <w:rFonts w:ascii="Times New Roman" w:hAnsi="Times New Roman" w:cs="Times New Roman"/>
          <w:sz w:val="24"/>
          <w:szCs w:val="24"/>
        </w:rPr>
        <w:t xml:space="preserve"> that the shortened time period for the PPA and the credit offered to customers could theoretically reduce the overall cost of the PPA Rider.</w:t>
      </w:r>
      <w:r w:rsidRPr="00A63D29">
        <w:rPr>
          <w:rStyle w:val="FootnoteReference"/>
          <w:rFonts w:ascii="Times New Roman" w:hAnsi="Times New Roman" w:cs="Times New Roman"/>
          <w:sz w:val="24"/>
          <w:szCs w:val="24"/>
        </w:rPr>
        <w:footnoteReference w:id="239"/>
      </w:r>
      <w:r w:rsidRPr="00A63D29">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Pr>
          <w:rFonts w:ascii="Times New Roman" w:hAnsi="Times New Roman" w:cs="Times New Roman"/>
          <w:sz w:val="24"/>
          <w:szCs w:val="24"/>
        </w:rPr>
        <w:t>But</w:t>
      </w:r>
      <w:r w:rsidRPr="00A63D29">
        <w:rPr>
          <w:rFonts w:ascii="Times New Roman" w:hAnsi="Times New Roman" w:cs="Times New Roman"/>
          <w:sz w:val="24"/>
          <w:szCs w:val="24"/>
        </w:rPr>
        <w:t xml:space="preserve"> these cost reduction efforts are offset by the continued decline of forward prices.</w:t>
      </w:r>
      <w:r w:rsidRPr="00A63D29">
        <w:rPr>
          <w:rStyle w:val="FootnoteReference"/>
          <w:rFonts w:ascii="Times New Roman" w:hAnsi="Times New Roman" w:cs="Times New Roman"/>
          <w:sz w:val="24"/>
          <w:szCs w:val="24"/>
        </w:rPr>
        <w:footnoteReference w:id="240"/>
      </w:r>
      <w:r w:rsidRPr="00A63D29">
        <w:rPr>
          <w:rFonts w:ascii="Times New Roman" w:hAnsi="Times New Roman" w:cs="Times New Roman"/>
          <w:sz w:val="24"/>
          <w:szCs w:val="24"/>
        </w:rPr>
        <w:t xml:space="preserve"> </w:t>
      </w:r>
      <w:r w:rsidR="00C704DB">
        <w:rPr>
          <w:rFonts w:ascii="Times New Roman" w:hAnsi="Times New Roman" w:cs="Times New Roman"/>
          <w:sz w:val="24"/>
          <w:szCs w:val="24"/>
        </w:rPr>
        <w:t xml:space="preserve"> And</w:t>
      </w:r>
      <w:r w:rsidR="003E2433">
        <w:rPr>
          <w:rFonts w:ascii="Times New Roman" w:hAnsi="Times New Roman" w:cs="Times New Roman"/>
          <w:sz w:val="24"/>
          <w:szCs w:val="24"/>
        </w:rPr>
        <w:t xml:space="preserve"> OCC </w:t>
      </w:r>
      <w:r w:rsidR="00EB0054">
        <w:rPr>
          <w:rFonts w:ascii="Times New Roman" w:hAnsi="Times New Roman" w:cs="Times New Roman"/>
          <w:sz w:val="24"/>
          <w:szCs w:val="24"/>
        </w:rPr>
        <w:t>W</w:t>
      </w:r>
      <w:r w:rsidR="003E2433">
        <w:rPr>
          <w:rFonts w:ascii="Times New Roman" w:hAnsi="Times New Roman" w:cs="Times New Roman"/>
          <w:sz w:val="24"/>
          <w:szCs w:val="24"/>
        </w:rPr>
        <w:t xml:space="preserve">itness Wilson’s estimates assume that these PPA units clear the capacity auction each year.  If that assumption proves to be invalid, then consumers will be saddled with the costs of the PPA </w:t>
      </w:r>
      <w:r w:rsidR="00C704DB">
        <w:rPr>
          <w:rFonts w:ascii="Times New Roman" w:hAnsi="Times New Roman" w:cs="Times New Roman"/>
          <w:sz w:val="24"/>
          <w:szCs w:val="24"/>
        </w:rPr>
        <w:t>U</w:t>
      </w:r>
      <w:r w:rsidR="003E2433">
        <w:rPr>
          <w:rFonts w:ascii="Times New Roman" w:hAnsi="Times New Roman" w:cs="Times New Roman"/>
          <w:sz w:val="24"/>
          <w:szCs w:val="24"/>
        </w:rPr>
        <w:t xml:space="preserve">nits without any (or much reduced) offsetting revenues </w:t>
      </w:r>
      <w:r w:rsidR="00EB0054">
        <w:rPr>
          <w:rFonts w:ascii="Times New Roman" w:hAnsi="Times New Roman" w:cs="Times New Roman"/>
          <w:sz w:val="24"/>
          <w:szCs w:val="24"/>
        </w:rPr>
        <w:t>–</w:t>
      </w:r>
      <w:r w:rsidR="003E2433">
        <w:rPr>
          <w:rFonts w:ascii="Times New Roman" w:hAnsi="Times New Roman" w:cs="Times New Roman"/>
          <w:sz w:val="24"/>
          <w:szCs w:val="24"/>
        </w:rPr>
        <w:t xml:space="preserve"> significantly </w:t>
      </w:r>
      <w:r w:rsidR="00EB0054">
        <w:rPr>
          <w:rFonts w:ascii="Times New Roman" w:hAnsi="Times New Roman" w:cs="Times New Roman"/>
          <w:sz w:val="24"/>
          <w:szCs w:val="24"/>
        </w:rPr>
        <w:t>increasing</w:t>
      </w:r>
      <w:r w:rsidR="003E2433">
        <w:rPr>
          <w:rFonts w:ascii="Times New Roman" w:hAnsi="Times New Roman" w:cs="Times New Roman"/>
          <w:sz w:val="24"/>
          <w:szCs w:val="24"/>
        </w:rPr>
        <w:t xml:space="preserve"> the potential cost to consumers. </w:t>
      </w:r>
      <w:r w:rsidR="00C02E04">
        <w:rPr>
          <w:rFonts w:ascii="Times New Roman" w:hAnsi="Times New Roman" w:cs="Times New Roman"/>
          <w:sz w:val="24"/>
          <w:szCs w:val="24"/>
        </w:rPr>
        <w:t xml:space="preserve"> The testimony of PJM Market Monitor Bowring speaks to his intention that the PPA units not be allowed to bid into the markets at subsidized prices.</w:t>
      </w:r>
      <w:r w:rsidR="00C704DB">
        <w:rPr>
          <w:rStyle w:val="FootnoteReference"/>
          <w:rFonts w:ascii="Times New Roman" w:hAnsi="Times New Roman" w:cs="Times New Roman"/>
          <w:sz w:val="24"/>
          <w:szCs w:val="24"/>
        </w:rPr>
        <w:footnoteReference w:id="241"/>
      </w:r>
    </w:p>
    <w:p w:rsidR="00D910EA" w:rsidRPr="00A63D29" w:rsidRDefault="00D910EA" w:rsidP="00D910EA">
      <w:pPr>
        <w:spacing w:after="0" w:line="480" w:lineRule="auto"/>
        <w:ind w:firstLine="720"/>
        <w:rPr>
          <w:rFonts w:ascii="Times New Roman" w:hAnsi="Times New Roman" w:cs="Times New Roman"/>
          <w:sz w:val="24"/>
          <w:szCs w:val="24"/>
        </w:rPr>
      </w:pPr>
      <w:r w:rsidRPr="00A63D29">
        <w:rPr>
          <w:rFonts w:ascii="Times New Roman" w:hAnsi="Times New Roman" w:cs="Times New Roman"/>
          <w:sz w:val="24"/>
          <w:szCs w:val="24"/>
        </w:rPr>
        <w:t xml:space="preserve">OCC </w:t>
      </w:r>
      <w:r>
        <w:rPr>
          <w:rFonts w:ascii="Times New Roman" w:hAnsi="Times New Roman" w:cs="Times New Roman"/>
          <w:sz w:val="24"/>
          <w:szCs w:val="24"/>
        </w:rPr>
        <w:t>W</w:t>
      </w:r>
      <w:r w:rsidRPr="00A63D29">
        <w:rPr>
          <w:rFonts w:ascii="Times New Roman" w:hAnsi="Times New Roman" w:cs="Times New Roman"/>
          <w:sz w:val="24"/>
          <w:szCs w:val="24"/>
        </w:rPr>
        <w:t xml:space="preserve">itness Wilson also </w:t>
      </w:r>
      <w:r>
        <w:rPr>
          <w:rFonts w:ascii="Times New Roman" w:hAnsi="Times New Roman" w:cs="Times New Roman"/>
          <w:sz w:val="24"/>
          <w:szCs w:val="24"/>
        </w:rPr>
        <w:t>testified</w:t>
      </w:r>
      <w:r w:rsidRPr="00A63D29">
        <w:rPr>
          <w:rFonts w:ascii="Times New Roman" w:hAnsi="Times New Roman" w:cs="Times New Roman"/>
          <w:sz w:val="24"/>
          <w:szCs w:val="24"/>
        </w:rPr>
        <w:t xml:space="preserve"> that the credit commitment contained in the </w:t>
      </w:r>
      <w:r>
        <w:rPr>
          <w:rFonts w:ascii="Times New Roman" w:hAnsi="Times New Roman" w:cs="Times New Roman"/>
          <w:sz w:val="24"/>
          <w:szCs w:val="24"/>
        </w:rPr>
        <w:t xml:space="preserve">Joint </w:t>
      </w:r>
      <w:r w:rsidRPr="00A63D29">
        <w:rPr>
          <w:rFonts w:ascii="Times New Roman" w:hAnsi="Times New Roman" w:cs="Times New Roman"/>
          <w:sz w:val="24"/>
          <w:szCs w:val="24"/>
        </w:rPr>
        <w:t xml:space="preserve">Stipulation will not ensure that the PPA Units are managed efficiently, cost-effectively, and with maximum market profitability, as AEP Ohio </w:t>
      </w:r>
      <w:r>
        <w:rPr>
          <w:rFonts w:ascii="Times New Roman" w:hAnsi="Times New Roman" w:cs="Times New Roman"/>
          <w:sz w:val="24"/>
          <w:szCs w:val="24"/>
        </w:rPr>
        <w:t>W</w:t>
      </w:r>
      <w:r w:rsidRPr="00A63D29">
        <w:rPr>
          <w:rFonts w:ascii="Times New Roman" w:hAnsi="Times New Roman" w:cs="Times New Roman"/>
          <w:sz w:val="24"/>
          <w:szCs w:val="24"/>
        </w:rPr>
        <w:t>itness Allen asserts.</w:t>
      </w:r>
      <w:r w:rsidRPr="00A63D29">
        <w:rPr>
          <w:rStyle w:val="FootnoteReference"/>
          <w:rFonts w:ascii="Times New Roman" w:hAnsi="Times New Roman" w:cs="Times New Roman"/>
          <w:sz w:val="24"/>
          <w:szCs w:val="24"/>
        </w:rPr>
        <w:footnoteReference w:id="242"/>
      </w:r>
      <w:r w:rsidRPr="00A63D29">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Pr>
          <w:rFonts w:ascii="Times New Roman" w:hAnsi="Times New Roman" w:cs="Times New Roman"/>
          <w:sz w:val="24"/>
          <w:szCs w:val="24"/>
        </w:rPr>
        <w:t>OCC Witness</w:t>
      </w:r>
      <w:r w:rsidRPr="00A63D29">
        <w:rPr>
          <w:rFonts w:ascii="Times New Roman" w:hAnsi="Times New Roman" w:cs="Times New Roman"/>
          <w:sz w:val="24"/>
          <w:szCs w:val="24"/>
        </w:rPr>
        <w:t xml:space="preserve"> Wilson </w:t>
      </w:r>
      <w:r>
        <w:rPr>
          <w:rFonts w:ascii="Times New Roman" w:hAnsi="Times New Roman" w:cs="Times New Roman"/>
          <w:sz w:val="24"/>
          <w:szCs w:val="24"/>
        </w:rPr>
        <w:t>explained</w:t>
      </w:r>
      <w:r w:rsidRPr="00A63D29">
        <w:rPr>
          <w:rFonts w:ascii="Times New Roman" w:hAnsi="Times New Roman" w:cs="Times New Roman"/>
          <w:sz w:val="24"/>
          <w:szCs w:val="24"/>
        </w:rPr>
        <w:t xml:space="preserve"> that his analysis determined that the cost to customers under the PPA Rider is greater than the maximum credit amount each year. Thus, the full credit is always applied and the credit will have no impact on AEP Ohio’s lack of incentive to manage the PPA Unites efficiently and effectively.</w:t>
      </w:r>
      <w:r w:rsidRPr="00A63D29">
        <w:rPr>
          <w:rStyle w:val="FootnoteReference"/>
          <w:rFonts w:ascii="Times New Roman" w:hAnsi="Times New Roman" w:cs="Times New Roman"/>
          <w:sz w:val="24"/>
          <w:szCs w:val="24"/>
        </w:rPr>
        <w:footnoteReference w:id="243"/>
      </w:r>
      <w:r w:rsidRPr="00A63D29">
        <w:rPr>
          <w:rFonts w:ascii="Times New Roman" w:hAnsi="Times New Roman" w:cs="Times New Roman"/>
          <w:sz w:val="24"/>
          <w:szCs w:val="24"/>
        </w:rPr>
        <w:t xml:space="preserve"> </w:t>
      </w:r>
    </w:p>
    <w:p w:rsidR="00D910EA" w:rsidRPr="00A63D29" w:rsidRDefault="00D910EA" w:rsidP="00D910EA">
      <w:pPr>
        <w:spacing w:after="0" w:line="480" w:lineRule="auto"/>
        <w:ind w:firstLine="720"/>
        <w:rPr>
          <w:rFonts w:ascii="Times New Roman" w:hAnsi="Times New Roman" w:cs="Times New Roman"/>
          <w:sz w:val="24"/>
          <w:szCs w:val="24"/>
        </w:rPr>
      </w:pPr>
      <w:r w:rsidRPr="00A63D29">
        <w:rPr>
          <w:rFonts w:ascii="Times New Roman" w:hAnsi="Times New Roman" w:cs="Times New Roman"/>
          <w:sz w:val="24"/>
          <w:szCs w:val="24"/>
        </w:rPr>
        <w:t xml:space="preserve">Additionally, </w:t>
      </w:r>
      <w:r>
        <w:rPr>
          <w:rFonts w:ascii="Times New Roman" w:hAnsi="Times New Roman" w:cs="Times New Roman"/>
          <w:sz w:val="24"/>
          <w:szCs w:val="24"/>
        </w:rPr>
        <w:t xml:space="preserve">OCC Witness </w:t>
      </w:r>
      <w:r w:rsidRPr="00A63D29">
        <w:rPr>
          <w:rFonts w:ascii="Times New Roman" w:hAnsi="Times New Roman" w:cs="Times New Roman"/>
          <w:sz w:val="24"/>
          <w:szCs w:val="24"/>
        </w:rPr>
        <w:t>Wilson reiterate</w:t>
      </w:r>
      <w:r>
        <w:rPr>
          <w:rFonts w:ascii="Times New Roman" w:hAnsi="Times New Roman" w:cs="Times New Roman"/>
          <w:sz w:val="24"/>
          <w:szCs w:val="24"/>
        </w:rPr>
        <w:t>d</w:t>
      </w:r>
      <w:r w:rsidRPr="00A63D29">
        <w:rPr>
          <w:rFonts w:ascii="Times New Roman" w:hAnsi="Times New Roman" w:cs="Times New Roman"/>
          <w:sz w:val="24"/>
          <w:szCs w:val="24"/>
        </w:rPr>
        <w:t xml:space="preserve"> that the</w:t>
      </w:r>
      <w:r w:rsidR="00D47B44">
        <w:rPr>
          <w:rFonts w:ascii="Times New Roman" w:hAnsi="Times New Roman" w:cs="Times New Roman"/>
          <w:sz w:val="24"/>
          <w:szCs w:val="24"/>
        </w:rPr>
        <w:t xml:space="preserve"> Joint</w:t>
      </w:r>
      <w:r w:rsidRPr="00A63D29">
        <w:rPr>
          <w:rFonts w:ascii="Times New Roman" w:hAnsi="Times New Roman" w:cs="Times New Roman"/>
          <w:sz w:val="24"/>
          <w:szCs w:val="24"/>
        </w:rPr>
        <w:t xml:space="preserve"> Stipulation does not include an alternative plan to allocate risk, as was required by PUCO Order.</w:t>
      </w:r>
      <w:r w:rsidRPr="00A63D29">
        <w:rPr>
          <w:rStyle w:val="FootnoteReference"/>
          <w:rFonts w:ascii="Times New Roman" w:hAnsi="Times New Roman" w:cs="Times New Roman"/>
          <w:sz w:val="24"/>
          <w:szCs w:val="24"/>
        </w:rPr>
        <w:footnoteReference w:id="244"/>
      </w:r>
      <w:r w:rsidRPr="00A63D29">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sidRPr="00A63D29">
        <w:rPr>
          <w:rFonts w:ascii="Times New Roman" w:hAnsi="Times New Roman" w:cs="Times New Roman"/>
          <w:sz w:val="24"/>
          <w:szCs w:val="24"/>
        </w:rPr>
        <w:t>Instead, a</w:t>
      </w:r>
      <w:r>
        <w:rPr>
          <w:rFonts w:ascii="Times New Roman" w:hAnsi="Times New Roman" w:cs="Times New Roman"/>
          <w:sz w:val="24"/>
          <w:szCs w:val="24"/>
        </w:rPr>
        <w:t>ll costs of the PPA Unit</w:t>
      </w:r>
      <w:r w:rsidRPr="00A63D29">
        <w:rPr>
          <w:rFonts w:ascii="Times New Roman" w:hAnsi="Times New Roman" w:cs="Times New Roman"/>
          <w:sz w:val="24"/>
          <w:szCs w:val="24"/>
        </w:rPr>
        <w:t>s, net of market revenues, would be passed through to customers through the PPA Rider, after the offered “credit”.</w:t>
      </w:r>
      <w:r w:rsidRPr="00A63D29">
        <w:rPr>
          <w:rStyle w:val="FootnoteReference"/>
          <w:rFonts w:ascii="Times New Roman" w:hAnsi="Times New Roman" w:cs="Times New Roman"/>
          <w:sz w:val="24"/>
          <w:szCs w:val="24"/>
        </w:rPr>
        <w:footnoteReference w:id="245"/>
      </w:r>
      <w:r w:rsidRPr="00A63D29">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sidRPr="00A63D29">
        <w:rPr>
          <w:rFonts w:ascii="Times New Roman" w:hAnsi="Times New Roman" w:cs="Times New Roman"/>
          <w:sz w:val="24"/>
          <w:szCs w:val="24"/>
        </w:rPr>
        <w:t>Thus, after the total credit amount, all risk is imposed on customers.</w:t>
      </w:r>
      <w:r w:rsidRPr="00A63D29">
        <w:rPr>
          <w:rStyle w:val="FootnoteReference"/>
          <w:rFonts w:ascii="Times New Roman" w:hAnsi="Times New Roman" w:cs="Times New Roman"/>
          <w:sz w:val="24"/>
          <w:szCs w:val="24"/>
        </w:rPr>
        <w:footnoteReference w:id="246"/>
      </w:r>
    </w:p>
    <w:p w:rsidR="00D910EA" w:rsidRPr="00A63D29" w:rsidRDefault="00D910EA" w:rsidP="00D910EA">
      <w:pPr>
        <w:spacing w:after="0" w:line="480" w:lineRule="auto"/>
        <w:ind w:firstLine="720"/>
        <w:rPr>
          <w:rFonts w:ascii="Times New Roman" w:hAnsi="Times New Roman" w:cs="Times New Roman"/>
          <w:sz w:val="24"/>
          <w:szCs w:val="24"/>
        </w:rPr>
      </w:pPr>
      <w:r w:rsidRPr="00A63D29">
        <w:rPr>
          <w:rFonts w:ascii="Times New Roman" w:hAnsi="Times New Roman" w:cs="Times New Roman"/>
          <w:sz w:val="24"/>
          <w:szCs w:val="24"/>
        </w:rPr>
        <w:t xml:space="preserve">OCC </w:t>
      </w:r>
      <w:r>
        <w:rPr>
          <w:rFonts w:ascii="Times New Roman" w:hAnsi="Times New Roman" w:cs="Times New Roman"/>
          <w:sz w:val="24"/>
          <w:szCs w:val="24"/>
        </w:rPr>
        <w:t>W</w:t>
      </w:r>
      <w:r w:rsidRPr="00A63D29">
        <w:rPr>
          <w:rFonts w:ascii="Times New Roman" w:hAnsi="Times New Roman" w:cs="Times New Roman"/>
          <w:sz w:val="24"/>
          <w:szCs w:val="24"/>
        </w:rPr>
        <w:t xml:space="preserve">itness Wilson </w:t>
      </w:r>
      <w:r>
        <w:rPr>
          <w:rFonts w:ascii="Times New Roman" w:hAnsi="Times New Roman" w:cs="Times New Roman"/>
          <w:sz w:val="24"/>
          <w:szCs w:val="24"/>
        </w:rPr>
        <w:t>affirmed</w:t>
      </w:r>
      <w:r w:rsidRPr="00A63D29">
        <w:rPr>
          <w:rFonts w:ascii="Times New Roman" w:hAnsi="Times New Roman" w:cs="Times New Roman"/>
          <w:sz w:val="24"/>
          <w:szCs w:val="24"/>
        </w:rPr>
        <w:t xml:space="preserve"> that forward prices are not disconnected from market fundamentals as AEP Ohio </w:t>
      </w:r>
      <w:r>
        <w:rPr>
          <w:rFonts w:ascii="Times New Roman" w:hAnsi="Times New Roman" w:cs="Times New Roman"/>
          <w:sz w:val="24"/>
          <w:szCs w:val="24"/>
        </w:rPr>
        <w:t>W</w:t>
      </w:r>
      <w:r w:rsidRPr="00A63D29">
        <w:rPr>
          <w:rFonts w:ascii="Times New Roman" w:hAnsi="Times New Roman" w:cs="Times New Roman"/>
          <w:sz w:val="24"/>
          <w:szCs w:val="24"/>
        </w:rPr>
        <w:t>itness Bletzacker state</w:t>
      </w:r>
      <w:r w:rsidR="00D41D6D">
        <w:rPr>
          <w:rFonts w:ascii="Times New Roman" w:hAnsi="Times New Roman" w:cs="Times New Roman"/>
          <w:sz w:val="24"/>
          <w:szCs w:val="24"/>
        </w:rPr>
        <w:t>d</w:t>
      </w:r>
      <w:r w:rsidRPr="00A63D29">
        <w:rPr>
          <w:rFonts w:ascii="Times New Roman" w:hAnsi="Times New Roman" w:cs="Times New Roman"/>
          <w:sz w:val="24"/>
          <w:szCs w:val="24"/>
        </w:rPr>
        <w:t>.</w:t>
      </w:r>
      <w:r w:rsidR="002C3C29">
        <w:rPr>
          <w:rStyle w:val="FootnoteReference"/>
          <w:rFonts w:ascii="Times New Roman" w:hAnsi="Times New Roman" w:cs="Times New Roman"/>
          <w:sz w:val="24"/>
          <w:szCs w:val="24"/>
        </w:rPr>
        <w:footnoteReference w:id="247"/>
      </w:r>
      <w:r w:rsidR="00B03B3B">
        <w:rPr>
          <w:rFonts w:ascii="Times New Roman" w:hAnsi="Times New Roman" w:cs="Times New Roman"/>
          <w:sz w:val="24"/>
          <w:szCs w:val="24"/>
        </w:rPr>
        <w:t xml:space="preserve"> </w:t>
      </w:r>
      <w:r>
        <w:rPr>
          <w:rFonts w:ascii="Times New Roman" w:hAnsi="Times New Roman" w:cs="Times New Roman"/>
          <w:sz w:val="24"/>
          <w:szCs w:val="24"/>
        </w:rPr>
        <w:t>OCC Witness</w:t>
      </w:r>
      <w:r w:rsidRPr="00A63D29">
        <w:rPr>
          <w:rFonts w:ascii="Times New Roman" w:hAnsi="Times New Roman" w:cs="Times New Roman"/>
          <w:sz w:val="24"/>
          <w:szCs w:val="24"/>
        </w:rPr>
        <w:t xml:space="preserve"> Wilson </w:t>
      </w:r>
      <w:r>
        <w:rPr>
          <w:rFonts w:ascii="Times New Roman" w:hAnsi="Times New Roman" w:cs="Times New Roman"/>
          <w:sz w:val="24"/>
          <w:szCs w:val="24"/>
        </w:rPr>
        <w:t>stated</w:t>
      </w:r>
      <w:r w:rsidRPr="00A63D29">
        <w:rPr>
          <w:rFonts w:ascii="Times New Roman" w:hAnsi="Times New Roman" w:cs="Times New Roman"/>
          <w:sz w:val="24"/>
          <w:szCs w:val="24"/>
        </w:rPr>
        <w:t xml:space="preserve"> that forward prices reflect a consensus of market participants’ expectations of future prices, reflecting their expectations of supply, demand</w:t>
      </w:r>
      <w:r>
        <w:rPr>
          <w:rFonts w:ascii="Times New Roman" w:hAnsi="Times New Roman" w:cs="Times New Roman"/>
          <w:sz w:val="24"/>
          <w:szCs w:val="24"/>
        </w:rPr>
        <w:t>,</w:t>
      </w:r>
      <w:r w:rsidRPr="00A63D29">
        <w:rPr>
          <w:rFonts w:ascii="Times New Roman" w:hAnsi="Times New Roman" w:cs="Times New Roman"/>
          <w:sz w:val="24"/>
          <w:szCs w:val="24"/>
        </w:rPr>
        <w:t xml:space="preserve"> and price.</w:t>
      </w:r>
      <w:r w:rsidRPr="00A63D29">
        <w:rPr>
          <w:rStyle w:val="FootnoteReference"/>
          <w:rFonts w:ascii="Times New Roman" w:hAnsi="Times New Roman" w:cs="Times New Roman"/>
          <w:sz w:val="24"/>
          <w:szCs w:val="24"/>
        </w:rPr>
        <w:footnoteReference w:id="248"/>
      </w:r>
    </w:p>
    <w:p w:rsidR="00D910EA" w:rsidRPr="00A63D29" w:rsidRDefault="00D910EA" w:rsidP="00D910EA">
      <w:pPr>
        <w:spacing w:after="0" w:line="480" w:lineRule="auto"/>
        <w:ind w:firstLine="720"/>
        <w:rPr>
          <w:rFonts w:ascii="Times New Roman" w:hAnsi="Times New Roman" w:cs="Times New Roman"/>
          <w:sz w:val="24"/>
          <w:szCs w:val="24"/>
        </w:rPr>
      </w:pPr>
      <w:r w:rsidRPr="00A63D29">
        <w:rPr>
          <w:rFonts w:ascii="Times New Roman" w:hAnsi="Times New Roman" w:cs="Times New Roman"/>
          <w:sz w:val="24"/>
          <w:szCs w:val="24"/>
        </w:rPr>
        <w:t xml:space="preserve">OCC </w:t>
      </w:r>
      <w:r>
        <w:rPr>
          <w:rFonts w:ascii="Times New Roman" w:hAnsi="Times New Roman" w:cs="Times New Roman"/>
          <w:sz w:val="24"/>
          <w:szCs w:val="24"/>
        </w:rPr>
        <w:t>W</w:t>
      </w:r>
      <w:r w:rsidRPr="00A63D29">
        <w:rPr>
          <w:rFonts w:ascii="Times New Roman" w:hAnsi="Times New Roman" w:cs="Times New Roman"/>
          <w:sz w:val="24"/>
          <w:szCs w:val="24"/>
        </w:rPr>
        <w:t xml:space="preserve">itness Wilson also </w:t>
      </w:r>
      <w:r>
        <w:rPr>
          <w:rFonts w:ascii="Times New Roman" w:hAnsi="Times New Roman" w:cs="Times New Roman"/>
          <w:sz w:val="24"/>
          <w:szCs w:val="24"/>
        </w:rPr>
        <w:t>testified</w:t>
      </w:r>
      <w:r w:rsidRPr="00A63D29">
        <w:rPr>
          <w:rFonts w:ascii="Times New Roman" w:hAnsi="Times New Roman" w:cs="Times New Roman"/>
          <w:sz w:val="24"/>
          <w:szCs w:val="24"/>
        </w:rPr>
        <w:t xml:space="preserve"> that, contrary to the Direct Testimony of AEP Ohio Witness Bletzacker, both sides of a futures transaction are concerned about future price levels.</w:t>
      </w:r>
      <w:r w:rsidRPr="00A63D29">
        <w:rPr>
          <w:rStyle w:val="FootnoteReference"/>
          <w:rFonts w:ascii="Times New Roman" w:hAnsi="Times New Roman" w:cs="Times New Roman"/>
          <w:sz w:val="24"/>
          <w:szCs w:val="24"/>
        </w:rPr>
        <w:footnoteReference w:id="249"/>
      </w:r>
      <w:r w:rsidRPr="00A63D29">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Pr>
          <w:rFonts w:ascii="Times New Roman" w:hAnsi="Times New Roman" w:cs="Times New Roman"/>
          <w:sz w:val="24"/>
          <w:szCs w:val="24"/>
        </w:rPr>
        <w:t>He explained</w:t>
      </w:r>
      <w:r w:rsidRPr="00A63D29">
        <w:rPr>
          <w:rFonts w:ascii="Times New Roman" w:hAnsi="Times New Roman" w:cs="Times New Roman"/>
          <w:sz w:val="24"/>
          <w:szCs w:val="24"/>
        </w:rPr>
        <w:t xml:space="preserve"> that both sides to such a transaction would likely evaluate future market conditions because the transaction could allow the party to protect itself from undesirable price movements.</w:t>
      </w:r>
      <w:r w:rsidRPr="00A63D29">
        <w:rPr>
          <w:rStyle w:val="FootnoteReference"/>
          <w:rFonts w:ascii="Times New Roman" w:hAnsi="Times New Roman" w:cs="Times New Roman"/>
          <w:sz w:val="24"/>
          <w:szCs w:val="24"/>
        </w:rPr>
        <w:footnoteReference w:id="250"/>
      </w:r>
    </w:p>
    <w:p w:rsidR="00D910EA" w:rsidRPr="00A63D29" w:rsidRDefault="00D910EA" w:rsidP="00D910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OCC Witness</w:t>
      </w:r>
      <w:r w:rsidRPr="00A63D29">
        <w:rPr>
          <w:rFonts w:ascii="Times New Roman" w:hAnsi="Times New Roman" w:cs="Times New Roman"/>
          <w:sz w:val="24"/>
          <w:szCs w:val="24"/>
        </w:rPr>
        <w:t xml:space="preserve"> Wilson also </w:t>
      </w:r>
      <w:r>
        <w:rPr>
          <w:rFonts w:ascii="Times New Roman" w:hAnsi="Times New Roman" w:cs="Times New Roman"/>
          <w:sz w:val="24"/>
          <w:szCs w:val="24"/>
        </w:rPr>
        <w:t>asserted</w:t>
      </w:r>
      <w:r w:rsidRPr="00A63D29">
        <w:rPr>
          <w:rFonts w:ascii="Times New Roman" w:hAnsi="Times New Roman" w:cs="Times New Roman"/>
          <w:sz w:val="24"/>
          <w:szCs w:val="24"/>
        </w:rPr>
        <w:t xml:space="preserve"> that AEP Ohio </w:t>
      </w:r>
      <w:r w:rsidR="00EB0054">
        <w:rPr>
          <w:rFonts w:ascii="Times New Roman" w:hAnsi="Times New Roman" w:cs="Times New Roman"/>
          <w:sz w:val="24"/>
          <w:szCs w:val="24"/>
        </w:rPr>
        <w:t>W</w:t>
      </w:r>
      <w:r w:rsidRPr="00A63D29">
        <w:rPr>
          <w:rFonts w:ascii="Times New Roman" w:hAnsi="Times New Roman" w:cs="Times New Roman"/>
          <w:sz w:val="24"/>
          <w:szCs w:val="24"/>
        </w:rPr>
        <w:t>itness Bletzacker is incorrect in his belief that the exclusion of future CO2 emission costs from future contract prices provides strong evidence that natural gas and electric power futures market participants have no ability to accurately forecast actual energy values.</w:t>
      </w:r>
      <w:r w:rsidRPr="00A63D29">
        <w:rPr>
          <w:rStyle w:val="FootnoteReference"/>
          <w:rFonts w:ascii="Times New Roman" w:hAnsi="Times New Roman" w:cs="Times New Roman"/>
          <w:sz w:val="24"/>
          <w:szCs w:val="24"/>
        </w:rPr>
        <w:footnoteReference w:id="251"/>
      </w:r>
      <w:r w:rsidRPr="00A63D29">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sidRPr="00A63D29">
        <w:rPr>
          <w:rFonts w:ascii="Times New Roman" w:hAnsi="Times New Roman" w:cs="Times New Roman"/>
          <w:sz w:val="24"/>
          <w:szCs w:val="24"/>
        </w:rPr>
        <w:t xml:space="preserve">First, </w:t>
      </w:r>
      <w:r w:rsidR="00EB0054">
        <w:rPr>
          <w:rFonts w:ascii="Times New Roman" w:hAnsi="Times New Roman" w:cs="Times New Roman"/>
          <w:sz w:val="24"/>
          <w:szCs w:val="24"/>
        </w:rPr>
        <w:t>AEP Ohio Witness</w:t>
      </w:r>
      <w:r w:rsidRPr="00A63D29">
        <w:rPr>
          <w:rFonts w:ascii="Times New Roman" w:hAnsi="Times New Roman" w:cs="Times New Roman"/>
          <w:sz w:val="24"/>
          <w:szCs w:val="24"/>
        </w:rPr>
        <w:t xml:space="preserve"> Bletzacker’s claim is baseless because it is not possible for anyone to determine the extent to which futures prices do or do not reflect a particular anticipated policy change.</w:t>
      </w:r>
      <w:r w:rsidRPr="00A63D29">
        <w:rPr>
          <w:rStyle w:val="FootnoteReference"/>
          <w:rFonts w:ascii="Times New Roman" w:hAnsi="Times New Roman" w:cs="Times New Roman"/>
          <w:sz w:val="24"/>
          <w:szCs w:val="24"/>
        </w:rPr>
        <w:footnoteReference w:id="252"/>
      </w:r>
      <w:r w:rsidRPr="00A63D29">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sidRPr="00A63D29">
        <w:rPr>
          <w:rFonts w:ascii="Times New Roman" w:hAnsi="Times New Roman" w:cs="Times New Roman"/>
          <w:sz w:val="24"/>
          <w:szCs w:val="24"/>
        </w:rPr>
        <w:t xml:space="preserve">Additionally, </w:t>
      </w:r>
      <w:r w:rsidR="00EB0054">
        <w:rPr>
          <w:rFonts w:ascii="Times New Roman" w:hAnsi="Times New Roman" w:cs="Times New Roman"/>
          <w:sz w:val="24"/>
          <w:szCs w:val="24"/>
        </w:rPr>
        <w:t>AEP Ohio Witness</w:t>
      </w:r>
      <w:r w:rsidRPr="00A63D29">
        <w:rPr>
          <w:rFonts w:ascii="Times New Roman" w:hAnsi="Times New Roman" w:cs="Times New Roman"/>
          <w:sz w:val="24"/>
          <w:szCs w:val="24"/>
        </w:rPr>
        <w:t xml:space="preserve"> Bletzacker provides no argument for why futures market participants would ignore the potential impact of CO2 policy in their decisions to engage in futures transactions.</w:t>
      </w:r>
      <w:r w:rsidRPr="00A63D29">
        <w:rPr>
          <w:rStyle w:val="FootnoteReference"/>
          <w:rFonts w:ascii="Times New Roman" w:hAnsi="Times New Roman" w:cs="Times New Roman"/>
          <w:sz w:val="24"/>
          <w:szCs w:val="24"/>
        </w:rPr>
        <w:footnoteReference w:id="253"/>
      </w:r>
    </w:p>
    <w:p w:rsidR="00D910EA" w:rsidRPr="00A63D29" w:rsidRDefault="00D910EA" w:rsidP="00D910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OCC Witness</w:t>
      </w:r>
      <w:r w:rsidRPr="00A63D29">
        <w:rPr>
          <w:rFonts w:ascii="Times New Roman" w:hAnsi="Times New Roman" w:cs="Times New Roman"/>
          <w:sz w:val="24"/>
          <w:szCs w:val="24"/>
        </w:rPr>
        <w:t xml:space="preserve"> Wilson also </w:t>
      </w:r>
      <w:r>
        <w:rPr>
          <w:rFonts w:ascii="Times New Roman" w:hAnsi="Times New Roman" w:cs="Times New Roman"/>
          <w:sz w:val="24"/>
          <w:szCs w:val="24"/>
        </w:rPr>
        <w:t>described</w:t>
      </w:r>
      <w:r w:rsidRPr="00A63D29">
        <w:rPr>
          <w:rFonts w:ascii="Times New Roman" w:hAnsi="Times New Roman" w:cs="Times New Roman"/>
          <w:sz w:val="24"/>
          <w:szCs w:val="24"/>
        </w:rPr>
        <w:t xml:space="preserve"> that long-term natural </w:t>
      </w:r>
      <w:r>
        <w:rPr>
          <w:rFonts w:ascii="Times New Roman" w:hAnsi="Times New Roman" w:cs="Times New Roman"/>
          <w:sz w:val="24"/>
          <w:szCs w:val="24"/>
        </w:rPr>
        <w:t>g</w:t>
      </w:r>
      <w:r w:rsidRPr="00A63D29">
        <w:rPr>
          <w:rFonts w:ascii="Times New Roman" w:hAnsi="Times New Roman" w:cs="Times New Roman"/>
          <w:sz w:val="24"/>
          <w:szCs w:val="24"/>
        </w:rPr>
        <w:t xml:space="preserve">as futures are not tethered to current market spot prices due to storage as </w:t>
      </w:r>
      <w:r w:rsidR="00EB0054">
        <w:rPr>
          <w:rFonts w:ascii="Times New Roman" w:hAnsi="Times New Roman" w:cs="Times New Roman"/>
          <w:sz w:val="24"/>
          <w:szCs w:val="24"/>
        </w:rPr>
        <w:t>AEP Ohio Witness</w:t>
      </w:r>
      <w:r w:rsidRPr="00A63D29">
        <w:rPr>
          <w:rFonts w:ascii="Times New Roman" w:hAnsi="Times New Roman" w:cs="Times New Roman"/>
          <w:sz w:val="24"/>
          <w:szCs w:val="24"/>
        </w:rPr>
        <w:t xml:space="preserve"> Bletzacker state</w:t>
      </w:r>
      <w:r>
        <w:rPr>
          <w:rFonts w:ascii="Times New Roman" w:hAnsi="Times New Roman" w:cs="Times New Roman"/>
          <w:sz w:val="24"/>
          <w:szCs w:val="24"/>
        </w:rPr>
        <w:t>d</w:t>
      </w:r>
      <w:r w:rsidRPr="00A63D29">
        <w:rPr>
          <w:rFonts w:ascii="Times New Roman" w:hAnsi="Times New Roman" w:cs="Times New Roman"/>
          <w:sz w:val="24"/>
          <w:szCs w:val="24"/>
        </w:rPr>
        <w:t>.</w:t>
      </w:r>
      <w:r w:rsidRPr="00A63D29">
        <w:rPr>
          <w:rStyle w:val="FootnoteReference"/>
          <w:rFonts w:ascii="Times New Roman" w:hAnsi="Times New Roman" w:cs="Times New Roman"/>
          <w:sz w:val="24"/>
          <w:szCs w:val="24"/>
        </w:rPr>
        <w:footnoteReference w:id="254"/>
      </w:r>
      <w:r w:rsidRPr="00A63D29">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Pr>
          <w:rFonts w:ascii="Times New Roman" w:hAnsi="Times New Roman" w:cs="Times New Roman"/>
          <w:sz w:val="24"/>
          <w:szCs w:val="24"/>
        </w:rPr>
        <w:t>He explained</w:t>
      </w:r>
      <w:r w:rsidRPr="00A63D29">
        <w:rPr>
          <w:rFonts w:ascii="Times New Roman" w:hAnsi="Times New Roman" w:cs="Times New Roman"/>
          <w:sz w:val="24"/>
          <w:szCs w:val="24"/>
        </w:rPr>
        <w:t xml:space="preserve"> that storage is used to shift purchases between summer and winter periods, but is not used to protect against possible price increases in future years or connect prices in future years to current prices.</w:t>
      </w:r>
      <w:r w:rsidRPr="00A63D29">
        <w:rPr>
          <w:rStyle w:val="FootnoteReference"/>
          <w:rFonts w:ascii="Times New Roman" w:hAnsi="Times New Roman" w:cs="Times New Roman"/>
          <w:sz w:val="24"/>
          <w:szCs w:val="24"/>
        </w:rPr>
        <w:footnoteReference w:id="255"/>
      </w:r>
    </w:p>
    <w:p w:rsidR="00D910EA" w:rsidRPr="00A63D29" w:rsidRDefault="00D910EA" w:rsidP="00D910EA">
      <w:pPr>
        <w:spacing w:after="0" w:line="480" w:lineRule="auto"/>
        <w:ind w:firstLine="720"/>
        <w:rPr>
          <w:rFonts w:ascii="Times New Roman" w:hAnsi="Times New Roman" w:cs="Times New Roman"/>
          <w:sz w:val="24"/>
          <w:szCs w:val="24"/>
        </w:rPr>
      </w:pPr>
      <w:r w:rsidRPr="00A63D29">
        <w:rPr>
          <w:rFonts w:ascii="Times New Roman" w:hAnsi="Times New Roman" w:cs="Times New Roman"/>
          <w:sz w:val="24"/>
          <w:szCs w:val="24"/>
        </w:rPr>
        <w:t xml:space="preserve">OCC </w:t>
      </w:r>
      <w:r>
        <w:rPr>
          <w:rFonts w:ascii="Times New Roman" w:hAnsi="Times New Roman" w:cs="Times New Roman"/>
          <w:sz w:val="24"/>
          <w:szCs w:val="24"/>
        </w:rPr>
        <w:t>W</w:t>
      </w:r>
      <w:r w:rsidRPr="00A63D29">
        <w:rPr>
          <w:rFonts w:ascii="Times New Roman" w:hAnsi="Times New Roman" w:cs="Times New Roman"/>
          <w:sz w:val="24"/>
          <w:szCs w:val="24"/>
        </w:rPr>
        <w:t>itness Wilson state</w:t>
      </w:r>
      <w:r>
        <w:rPr>
          <w:rFonts w:ascii="Times New Roman" w:hAnsi="Times New Roman" w:cs="Times New Roman"/>
          <w:sz w:val="24"/>
          <w:szCs w:val="24"/>
        </w:rPr>
        <w:t>d</w:t>
      </w:r>
      <w:r w:rsidRPr="00A63D29">
        <w:rPr>
          <w:rFonts w:ascii="Times New Roman" w:hAnsi="Times New Roman" w:cs="Times New Roman"/>
          <w:sz w:val="24"/>
          <w:szCs w:val="24"/>
        </w:rPr>
        <w:t xml:space="preserve"> that using forward prices does not prematurely dismiss credible upside threats to US natural gas prices as </w:t>
      </w:r>
      <w:r w:rsidR="00EB0054">
        <w:rPr>
          <w:rFonts w:ascii="Times New Roman" w:hAnsi="Times New Roman" w:cs="Times New Roman"/>
          <w:sz w:val="24"/>
          <w:szCs w:val="24"/>
        </w:rPr>
        <w:t>AEP Ohio Witness</w:t>
      </w:r>
      <w:r w:rsidRPr="00A63D29">
        <w:rPr>
          <w:rFonts w:ascii="Times New Roman" w:hAnsi="Times New Roman" w:cs="Times New Roman"/>
          <w:sz w:val="24"/>
          <w:szCs w:val="24"/>
        </w:rPr>
        <w:t xml:space="preserve"> Bletzacker </w:t>
      </w:r>
      <w:r>
        <w:rPr>
          <w:rFonts w:ascii="Times New Roman" w:hAnsi="Times New Roman" w:cs="Times New Roman"/>
          <w:sz w:val="24"/>
          <w:szCs w:val="24"/>
        </w:rPr>
        <w:t>believes</w:t>
      </w:r>
      <w:r w:rsidRPr="00A63D29">
        <w:rPr>
          <w:rFonts w:ascii="Times New Roman" w:hAnsi="Times New Roman" w:cs="Times New Roman"/>
          <w:sz w:val="24"/>
          <w:szCs w:val="24"/>
        </w:rPr>
        <w:t>.</w:t>
      </w:r>
      <w:r w:rsidRPr="00A63D29">
        <w:rPr>
          <w:rStyle w:val="FootnoteReference"/>
          <w:rFonts w:ascii="Times New Roman" w:hAnsi="Times New Roman" w:cs="Times New Roman"/>
          <w:sz w:val="24"/>
          <w:szCs w:val="24"/>
        </w:rPr>
        <w:footnoteReference w:id="256"/>
      </w:r>
      <w:r w:rsidRPr="00A63D29">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sidRPr="00A63D29">
        <w:rPr>
          <w:rFonts w:ascii="Times New Roman" w:hAnsi="Times New Roman" w:cs="Times New Roman"/>
          <w:sz w:val="24"/>
          <w:szCs w:val="24"/>
        </w:rPr>
        <w:t xml:space="preserve">In fact, as </w:t>
      </w:r>
      <w:r>
        <w:rPr>
          <w:rFonts w:ascii="Times New Roman" w:hAnsi="Times New Roman" w:cs="Times New Roman"/>
          <w:sz w:val="24"/>
          <w:szCs w:val="24"/>
        </w:rPr>
        <w:t>OCC Witness Wilson pointed out</w:t>
      </w:r>
      <w:r w:rsidRPr="00A63D29">
        <w:rPr>
          <w:rFonts w:ascii="Times New Roman" w:hAnsi="Times New Roman" w:cs="Times New Roman"/>
          <w:sz w:val="24"/>
          <w:szCs w:val="24"/>
        </w:rPr>
        <w:t>, many future market participants are buying specifically because they are concerned about such threats.</w:t>
      </w:r>
      <w:r w:rsidRPr="00A63D29">
        <w:rPr>
          <w:rStyle w:val="FootnoteReference"/>
          <w:rFonts w:ascii="Times New Roman" w:hAnsi="Times New Roman" w:cs="Times New Roman"/>
          <w:sz w:val="24"/>
          <w:szCs w:val="24"/>
        </w:rPr>
        <w:footnoteReference w:id="257"/>
      </w:r>
      <w:r w:rsidRPr="00A63D29">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sidRPr="00A63D29">
        <w:rPr>
          <w:rFonts w:ascii="Times New Roman" w:hAnsi="Times New Roman" w:cs="Times New Roman"/>
          <w:sz w:val="24"/>
          <w:szCs w:val="24"/>
        </w:rPr>
        <w:t>These actions can be seen as a direct reflection of their views on the likelihood of such threats.</w:t>
      </w:r>
      <w:r w:rsidRPr="00A63D29">
        <w:rPr>
          <w:rStyle w:val="FootnoteReference"/>
          <w:rFonts w:ascii="Times New Roman" w:hAnsi="Times New Roman" w:cs="Times New Roman"/>
          <w:sz w:val="24"/>
          <w:szCs w:val="24"/>
        </w:rPr>
        <w:footnoteReference w:id="258"/>
      </w:r>
    </w:p>
    <w:p w:rsidR="00D910EA" w:rsidRDefault="00D910EA" w:rsidP="00D910EA">
      <w:pPr>
        <w:spacing w:after="0" w:line="480" w:lineRule="auto"/>
        <w:ind w:firstLine="720"/>
        <w:rPr>
          <w:rFonts w:ascii="Times New Roman" w:hAnsi="Times New Roman" w:cs="Times New Roman"/>
          <w:sz w:val="24"/>
          <w:szCs w:val="24"/>
        </w:rPr>
      </w:pPr>
      <w:r w:rsidRPr="00A63D29">
        <w:rPr>
          <w:rFonts w:ascii="Times New Roman" w:hAnsi="Times New Roman" w:cs="Times New Roman"/>
          <w:sz w:val="24"/>
          <w:szCs w:val="24"/>
        </w:rPr>
        <w:t xml:space="preserve">Finally, OCC </w:t>
      </w:r>
      <w:r>
        <w:rPr>
          <w:rFonts w:ascii="Times New Roman" w:hAnsi="Times New Roman" w:cs="Times New Roman"/>
          <w:sz w:val="24"/>
          <w:szCs w:val="24"/>
        </w:rPr>
        <w:t>W</w:t>
      </w:r>
      <w:r w:rsidRPr="00A63D29">
        <w:rPr>
          <w:rFonts w:ascii="Times New Roman" w:hAnsi="Times New Roman" w:cs="Times New Roman"/>
          <w:sz w:val="24"/>
          <w:szCs w:val="24"/>
        </w:rPr>
        <w:t xml:space="preserve">itness Wilson </w:t>
      </w:r>
      <w:r w:rsidR="00D41D6D">
        <w:rPr>
          <w:rFonts w:ascii="Times New Roman" w:hAnsi="Times New Roman" w:cs="Times New Roman"/>
          <w:sz w:val="24"/>
          <w:szCs w:val="24"/>
        </w:rPr>
        <w:t>explained</w:t>
      </w:r>
      <w:r w:rsidRPr="00A63D29">
        <w:rPr>
          <w:rFonts w:ascii="Times New Roman" w:hAnsi="Times New Roman" w:cs="Times New Roman"/>
          <w:sz w:val="24"/>
          <w:szCs w:val="24"/>
        </w:rPr>
        <w:t xml:space="preserve"> that a “longer-term capacity product”, the idea of which is supported in the </w:t>
      </w:r>
      <w:r>
        <w:rPr>
          <w:rFonts w:ascii="Times New Roman" w:hAnsi="Times New Roman" w:cs="Times New Roman"/>
          <w:sz w:val="24"/>
          <w:szCs w:val="24"/>
        </w:rPr>
        <w:t xml:space="preserve">Joint </w:t>
      </w:r>
      <w:r w:rsidRPr="00A63D29">
        <w:rPr>
          <w:rFonts w:ascii="Times New Roman" w:hAnsi="Times New Roman" w:cs="Times New Roman"/>
          <w:sz w:val="24"/>
          <w:szCs w:val="24"/>
        </w:rPr>
        <w:t>Stipulation, is not suitable for PJM’s RPM construct.</w:t>
      </w:r>
      <w:r w:rsidRPr="00A63D29">
        <w:rPr>
          <w:rStyle w:val="FootnoteReference"/>
          <w:rFonts w:ascii="Times New Roman" w:hAnsi="Times New Roman" w:cs="Times New Roman"/>
          <w:sz w:val="24"/>
          <w:szCs w:val="24"/>
        </w:rPr>
        <w:footnoteReference w:id="259"/>
      </w:r>
      <w:r w:rsidRPr="00A63D29">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Pr>
          <w:rFonts w:ascii="Times New Roman" w:hAnsi="Times New Roman" w:cs="Times New Roman"/>
          <w:sz w:val="24"/>
          <w:szCs w:val="24"/>
        </w:rPr>
        <w:t>He noted</w:t>
      </w:r>
      <w:r w:rsidRPr="00A63D29">
        <w:rPr>
          <w:rFonts w:ascii="Times New Roman" w:hAnsi="Times New Roman" w:cs="Times New Roman"/>
          <w:sz w:val="24"/>
          <w:szCs w:val="24"/>
        </w:rPr>
        <w:t xml:space="preserve"> that PJM’s RPM is fundamentally a short-term capacity product and that numerous issues would arise if a multi-year product was implemented.</w:t>
      </w:r>
      <w:r w:rsidRPr="00A63D29">
        <w:rPr>
          <w:rStyle w:val="FootnoteReference"/>
          <w:rFonts w:ascii="Times New Roman" w:hAnsi="Times New Roman" w:cs="Times New Roman"/>
          <w:sz w:val="24"/>
          <w:szCs w:val="24"/>
        </w:rPr>
        <w:footnoteReference w:id="260"/>
      </w:r>
      <w:r w:rsidRPr="00A63D29">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Pr>
          <w:rFonts w:ascii="Times New Roman" w:hAnsi="Times New Roman" w:cs="Times New Roman"/>
          <w:sz w:val="24"/>
          <w:szCs w:val="24"/>
        </w:rPr>
        <w:t>OCC Witness Wilson pointed out</w:t>
      </w:r>
      <w:r w:rsidRPr="00A63D29">
        <w:rPr>
          <w:rFonts w:ascii="Times New Roman" w:hAnsi="Times New Roman" w:cs="Times New Roman"/>
          <w:sz w:val="24"/>
          <w:szCs w:val="24"/>
        </w:rPr>
        <w:t xml:space="preserve"> that PJM stakeholders have rejected the idea of a multi-year capacity product at least four times over several years.</w:t>
      </w:r>
      <w:r w:rsidRPr="00A63D29">
        <w:rPr>
          <w:rStyle w:val="FootnoteReference"/>
          <w:rFonts w:ascii="Times New Roman" w:hAnsi="Times New Roman" w:cs="Times New Roman"/>
          <w:sz w:val="24"/>
          <w:szCs w:val="24"/>
        </w:rPr>
        <w:footnoteReference w:id="261"/>
      </w:r>
    </w:p>
    <w:p w:rsidR="00C22CCD" w:rsidRDefault="00C22CCD" w:rsidP="00D910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OCC Witness Wilson’s concluded that the PPA Rider, “as modified by the [Joint] Stipulation, would be very costly to customers, and result in AEP Ohio and the owners of the PPA Units having no incentive to manage costs or maximize revenues.”</w:t>
      </w:r>
      <w:r>
        <w:rPr>
          <w:rStyle w:val="FootnoteReference"/>
          <w:rFonts w:ascii="Times New Roman" w:hAnsi="Times New Roman" w:cs="Times New Roman"/>
          <w:sz w:val="24"/>
          <w:szCs w:val="24"/>
        </w:rPr>
        <w:footnoteReference w:id="262"/>
      </w:r>
      <w:r>
        <w:rPr>
          <w:rFonts w:ascii="Times New Roman" w:hAnsi="Times New Roman" w:cs="Times New Roman"/>
          <w:sz w:val="24"/>
          <w:szCs w:val="24"/>
        </w:rPr>
        <w:t xml:space="preserve">  As a result, his bottom-line:  “Ohio consumers should not be burdened with the PPA Units.”</w:t>
      </w:r>
      <w:r>
        <w:rPr>
          <w:rStyle w:val="FootnoteReference"/>
          <w:rFonts w:ascii="Times New Roman" w:hAnsi="Times New Roman" w:cs="Times New Roman"/>
          <w:sz w:val="24"/>
          <w:szCs w:val="24"/>
        </w:rPr>
        <w:footnoteReference w:id="263"/>
      </w:r>
    </w:p>
    <w:p w:rsidR="00970C44" w:rsidRDefault="00CF2D5B" w:rsidP="00C401CE">
      <w:pPr>
        <w:pStyle w:val="Heading4"/>
      </w:pPr>
      <w:bookmarkStart w:id="60" w:name="_Toc442104162"/>
      <w:r>
        <w:t>e</w:t>
      </w:r>
      <w:r w:rsidR="00970C44">
        <w:t>.</w:t>
      </w:r>
      <w:r w:rsidR="00970C44">
        <w:tab/>
        <w:t xml:space="preserve">The Joint Stipulation fails the three-prong test, is a compilation of </w:t>
      </w:r>
      <w:r w:rsidR="00C87C35">
        <w:t>signature inducements</w:t>
      </w:r>
      <w:r w:rsidR="00970C44">
        <w:t xml:space="preserve"> to Signatory Parties, and fails the MRO v. ESP test</w:t>
      </w:r>
      <w:r w:rsidR="004C49CB">
        <w:t xml:space="preserve"> – all to consumers’ detriment</w:t>
      </w:r>
      <w:r w:rsidR="00970C44">
        <w:t>.</w:t>
      </w:r>
      <w:bookmarkEnd w:id="60"/>
    </w:p>
    <w:p w:rsidR="00970C44" w:rsidRPr="00B15ED0" w:rsidRDefault="00970C44" w:rsidP="00D3405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B15ED0">
        <w:rPr>
          <w:rFonts w:ascii="Times New Roman" w:hAnsi="Times New Roman" w:cs="Times New Roman"/>
          <w:sz w:val="24"/>
          <w:szCs w:val="24"/>
        </w:rPr>
        <w:t>OCC Witness Michael Haugh testified that the proposed Joint Stipulation is not the product of serious bargaining among parties with diverse interests; violates important regulatory principles; and does not, as a package, benefit the public interest.</w:t>
      </w:r>
      <w:r w:rsidRPr="00B15ED0">
        <w:rPr>
          <w:rStyle w:val="FootnoteReference"/>
          <w:rFonts w:ascii="Times New Roman" w:hAnsi="Times New Roman"/>
          <w:sz w:val="24"/>
          <w:szCs w:val="24"/>
        </w:rPr>
        <w:footnoteReference w:id="264"/>
      </w:r>
      <w:r w:rsidRPr="00B15ED0">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sidRPr="00B15ED0">
        <w:rPr>
          <w:rFonts w:ascii="Times New Roman" w:hAnsi="Times New Roman" w:cs="Times New Roman"/>
          <w:sz w:val="24"/>
          <w:szCs w:val="24"/>
        </w:rPr>
        <w:t xml:space="preserve">Also, the Joint Stipulation would make the ESP more costly for customers.  Were the PUCO to approve it, the Modified Amended Application would have to be denied </w:t>
      </w:r>
      <w:r w:rsidR="00E2461E">
        <w:rPr>
          <w:rFonts w:ascii="Times New Roman" w:hAnsi="Times New Roman" w:cs="Times New Roman"/>
          <w:sz w:val="24"/>
          <w:szCs w:val="24"/>
        </w:rPr>
        <w:t>because</w:t>
      </w:r>
      <w:r w:rsidRPr="00B15ED0">
        <w:rPr>
          <w:rFonts w:ascii="Times New Roman" w:hAnsi="Times New Roman" w:cs="Times New Roman"/>
          <w:sz w:val="24"/>
          <w:szCs w:val="24"/>
        </w:rPr>
        <w:t xml:space="preserve"> it would cause ESP III to fail the MRO versus ESP in R. C. 4928.143(C).</w:t>
      </w:r>
      <w:r w:rsidRPr="00B15ED0">
        <w:rPr>
          <w:rStyle w:val="FootnoteReference"/>
          <w:rFonts w:ascii="Times New Roman" w:hAnsi="Times New Roman"/>
          <w:sz w:val="24"/>
          <w:szCs w:val="24"/>
        </w:rPr>
        <w:footnoteReference w:id="265"/>
      </w:r>
      <w:r w:rsidRPr="00B15ED0">
        <w:rPr>
          <w:rFonts w:ascii="Times New Roman" w:hAnsi="Times New Roman" w:cs="Times New Roman"/>
          <w:sz w:val="24"/>
          <w:szCs w:val="24"/>
        </w:rPr>
        <w:t xml:space="preserve"> </w:t>
      </w:r>
    </w:p>
    <w:p w:rsidR="00970C44" w:rsidRPr="00B15ED0" w:rsidRDefault="00970C44" w:rsidP="00D34055">
      <w:pPr>
        <w:spacing w:after="0" w:line="480" w:lineRule="auto"/>
        <w:rPr>
          <w:rFonts w:ascii="Times New Roman" w:hAnsi="Times New Roman" w:cs="Times New Roman"/>
          <w:sz w:val="24"/>
          <w:szCs w:val="24"/>
        </w:rPr>
      </w:pPr>
      <w:r w:rsidRPr="00B15ED0">
        <w:rPr>
          <w:rFonts w:ascii="Times New Roman" w:hAnsi="Times New Roman" w:cs="Times New Roman"/>
          <w:sz w:val="24"/>
          <w:szCs w:val="24"/>
        </w:rPr>
        <w:tab/>
        <w:t xml:space="preserve">OCC Witness Haugh noted that the Joint Stipulation is </w:t>
      </w:r>
      <w:r>
        <w:rPr>
          <w:rFonts w:ascii="Times New Roman" w:hAnsi="Times New Roman" w:cs="Times New Roman"/>
          <w:sz w:val="24"/>
          <w:szCs w:val="24"/>
        </w:rPr>
        <w:t>fatally flawed</w:t>
      </w:r>
      <w:r w:rsidRPr="00B15ED0">
        <w:rPr>
          <w:rFonts w:ascii="Times New Roman" w:hAnsi="Times New Roman" w:cs="Times New Roman"/>
          <w:sz w:val="24"/>
          <w:szCs w:val="24"/>
        </w:rPr>
        <w:t xml:space="preserve"> because the Signatory Parties will receive cash equivalents and other benefits that are paid by consumers who oppose it.</w:t>
      </w:r>
      <w:r w:rsidRPr="00B15ED0">
        <w:rPr>
          <w:rStyle w:val="FootnoteReference"/>
          <w:rFonts w:ascii="Times New Roman" w:hAnsi="Times New Roman"/>
          <w:sz w:val="24"/>
          <w:szCs w:val="24"/>
        </w:rPr>
        <w:footnoteReference w:id="266"/>
      </w:r>
      <w:r w:rsidRPr="00B15ED0">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sidRPr="00B15ED0">
        <w:rPr>
          <w:rFonts w:ascii="Times New Roman" w:hAnsi="Times New Roman" w:cs="Times New Roman"/>
          <w:sz w:val="24"/>
          <w:szCs w:val="24"/>
        </w:rPr>
        <w:t>The PUCO has warned against the practice of paying signatory parties, stating that “parties to future stipulations should be forewarned that such provisions are strongly disfavored by this Commission and are highly likely to be stricken from any future stipulation submitted to the Commission for approval.”</w:t>
      </w:r>
      <w:r w:rsidRPr="00B15ED0">
        <w:rPr>
          <w:rStyle w:val="FootnoteReference"/>
          <w:rFonts w:ascii="Times New Roman" w:hAnsi="Times New Roman"/>
          <w:sz w:val="24"/>
          <w:szCs w:val="24"/>
        </w:rPr>
        <w:footnoteReference w:id="267"/>
      </w:r>
      <w:r w:rsidRPr="00B15ED0">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sidRPr="00B15ED0">
        <w:rPr>
          <w:rFonts w:ascii="Times New Roman" w:hAnsi="Times New Roman" w:cs="Times New Roman"/>
          <w:sz w:val="24"/>
          <w:szCs w:val="24"/>
        </w:rPr>
        <w:t xml:space="preserve">Yet, as pointed out by OCC Witness Haugh, AEP Ohio has presented the PUCO with a </w:t>
      </w:r>
      <w:r>
        <w:rPr>
          <w:rFonts w:ascii="Times New Roman" w:hAnsi="Times New Roman" w:cs="Times New Roman"/>
          <w:sz w:val="24"/>
          <w:szCs w:val="24"/>
        </w:rPr>
        <w:t xml:space="preserve">Joint </w:t>
      </w:r>
      <w:r w:rsidRPr="00B15ED0">
        <w:rPr>
          <w:rFonts w:ascii="Times New Roman" w:hAnsi="Times New Roman" w:cs="Times New Roman"/>
          <w:sz w:val="24"/>
          <w:szCs w:val="24"/>
        </w:rPr>
        <w:t xml:space="preserve">Stipulation </w:t>
      </w:r>
      <w:r>
        <w:rPr>
          <w:rFonts w:ascii="Times New Roman" w:hAnsi="Times New Roman" w:cs="Times New Roman"/>
          <w:sz w:val="24"/>
          <w:szCs w:val="24"/>
        </w:rPr>
        <w:t>that does exactly that.  P</w:t>
      </w:r>
      <w:r w:rsidRPr="00B15ED0">
        <w:rPr>
          <w:rFonts w:ascii="Times New Roman" w:hAnsi="Times New Roman" w:cs="Times New Roman"/>
          <w:sz w:val="24"/>
          <w:szCs w:val="24"/>
        </w:rPr>
        <w:t xml:space="preserve">ayments are directed to the </w:t>
      </w:r>
      <w:r>
        <w:rPr>
          <w:rFonts w:ascii="Times New Roman" w:hAnsi="Times New Roman" w:cs="Times New Roman"/>
          <w:sz w:val="24"/>
          <w:szCs w:val="24"/>
        </w:rPr>
        <w:t>S</w:t>
      </w:r>
      <w:r w:rsidRPr="00B15ED0">
        <w:rPr>
          <w:rFonts w:ascii="Times New Roman" w:hAnsi="Times New Roman" w:cs="Times New Roman"/>
          <w:sz w:val="24"/>
          <w:szCs w:val="24"/>
        </w:rPr>
        <w:t>ignatory</w:t>
      </w:r>
      <w:r>
        <w:rPr>
          <w:rFonts w:ascii="Times New Roman" w:hAnsi="Times New Roman" w:cs="Times New Roman"/>
          <w:sz w:val="24"/>
          <w:szCs w:val="24"/>
        </w:rPr>
        <w:t xml:space="preserve"> P</w:t>
      </w:r>
      <w:r w:rsidRPr="00B15ED0">
        <w:rPr>
          <w:rFonts w:ascii="Times New Roman" w:hAnsi="Times New Roman" w:cs="Times New Roman"/>
          <w:sz w:val="24"/>
          <w:szCs w:val="24"/>
        </w:rPr>
        <w:t>arties and these payments are paid for by non-signatory parties.</w:t>
      </w:r>
      <w:r w:rsidRPr="00B15ED0">
        <w:rPr>
          <w:rStyle w:val="FootnoteReference"/>
          <w:rFonts w:ascii="Times New Roman" w:hAnsi="Times New Roman"/>
          <w:sz w:val="24"/>
          <w:szCs w:val="24"/>
        </w:rPr>
        <w:footnoteReference w:id="268"/>
      </w:r>
      <w:r w:rsidR="00E71782">
        <w:rPr>
          <w:rFonts w:ascii="Times New Roman" w:hAnsi="Times New Roman" w:cs="Times New Roman"/>
          <w:sz w:val="24"/>
          <w:szCs w:val="24"/>
        </w:rPr>
        <w:t xml:space="preserve">  “Many of the [Joint] Stipulation provisions use other people’s money (consumer</w:t>
      </w:r>
      <w:r w:rsidR="00CE4619">
        <w:rPr>
          <w:rFonts w:ascii="Times New Roman" w:hAnsi="Times New Roman" w:cs="Times New Roman"/>
          <w:sz w:val="24"/>
          <w:szCs w:val="24"/>
        </w:rPr>
        <w:t>s'</w:t>
      </w:r>
      <w:r w:rsidR="00E71782">
        <w:rPr>
          <w:rFonts w:ascii="Times New Roman" w:hAnsi="Times New Roman" w:cs="Times New Roman"/>
          <w:sz w:val="24"/>
          <w:szCs w:val="24"/>
        </w:rPr>
        <w:t xml:space="preserve"> money) to underwrite (subsidize) the deal making.”</w:t>
      </w:r>
      <w:r w:rsidR="00E71782">
        <w:rPr>
          <w:rStyle w:val="FootnoteReference"/>
          <w:rFonts w:ascii="Times New Roman" w:hAnsi="Times New Roman" w:cs="Times New Roman"/>
          <w:sz w:val="24"/>
          <w:szCs w:val="24"/>
        </w:rPr>
        <w:footnoteReference w:id="269"/>
      </w:r>
      <w:r w:rsidRPr="00B15ED0">
        <w:rPr>
          <w:rFonts w:ascii="Times New Roman" w:hAnsi="Times New Roman" w:cs="Times New Roman"/>
          <w:sz w:val="24"/>
          <w:szCs w:val="24"/>
        </w:rPr>
        <w:t xml:space="preserve">  </w:t>
      </w:r>
    </w:p>
    <w:p w:rsidR="00970C44" w:rsidRPr="00B15ED0" w:rsidRDefault="00970C44" w:rsidP="00D3405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OCC Witness Haugh explained </w:t>
      </w:r>
      <w:r w:rsidRPr="00B15ED0">
        <w:rPr>
          <w:rFonts w:ascii="Times New Roman" w:hAnsi="Times New Roman" w:cs="Times New Roman"/>
          <w:sz w:val="24"/>
          <w:szCs w:val="24"/>
        </w:rPr>
        <w:t xml:space="preserve">that the </w:t>
      </w:r>
      <w:r>
        <w:rPr>
          <w:rFonts w:ascii="Times New Roman" w:hAnsi="Times New Roman" w:cs="Times New Roman"/>
          <w:sz w:val="24"/>
          <w:szCs w:val="24"/>
        </w:rPr>
        <w:t xml:space="preserve">Joint </w:t>
      </w:r>
      <w:r w:rsidRPr="00B15ED0">
        <w:rPr>
          <w:rFonts w:ascii="Times New Roman" w:hAnsi="Times New Roman" w:cs="Times New Roman"/>
          <w:sz w:val="24"/>
          <w:szCs w:val="24"/>
        </w:rPr>
        <w:t xml:space="preserve">Stipulation fails to meet the </w:t>
      </w:r>
      <w:r>
        <w:rPr>
          <w:rFonts w:ascii="Times New Roman" w:hAnsi="Times New Roman" w:cs="Times New Roman"/>
          <w:sz w:val="24"/>
          <w:szCs w:val="24"/>
        </w:rPr>
        <w:t>requirement</w:t>
      </w:r>
      <w:r w:rsidRPr="00B15ED0">
        <w:rPr>
          <w:rFonts w:ascii="Times New Roman" w:hAnsi="Times New Roman" w:cs="Times New Roman"/>
          <w:sz w:val="24"/>
          <w:szCs w:val="24"/>
        </w:rPr>
        <w:t xml:space="preserve"> </w:t>
      </w:r>
      <w:r>
        <w:rPr>
          <w:rFonts w:ascii="Times New Roman" w:hAnsi="Times New Roman" w:cs="Times New Roman"/>
          <w:sz w:val="24"/>
          <w:szCs w:val="24"/>
        </w:rPr>
        <w:t>that stipulations must be the product of serious bargaining representing diverse interests</w:t>
      </w:r>
      <w:r w:rsidRPr="00B15ED0">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sidRPr="00B15ED0">
        <w:rPr>
          <w:rFonts w:ascii="Times New Roman" w:hAnsi="Times New Roman" w:cs="Times New Roman"/>
          <w:sz w:val="24"/>
          <w:szCs w:val="24"/>
        </w:rPr>
        <w:t xml:space="preserve">In this case, there is no signatory party that represents </w:t>
      </w:r>
      <w:r>
        <w:rPr>
          <w:rFonts w:ascii="Times New Roman" w:hAnsi="Times New Roman" w:cs="Times New Roman"/>
          <w:sz w:val="24"/>
          <w:szCs w:val="24"/>
        </w:rPr>
        <w:t>only</w:t>
      </w:r>
      <w:r w:rsidRPr="00B15ED0">
        <w:rPr>
          <w:rFonts w:ascii="Times New Roman" w:hAnsi="Times New Roman" w:cs="Times New Roman"/>
          <w:sz w:val="24"/>
          <w:szCs w:val="24"/>
        </w:rPr>
        <w:t xml:space="preserve"> residential customers.</w:t>
      </w:r>
      <w:r w:rsidR="00B03B3B">
        <w:rPr>
          <w:rFonts w:ascii="Times New Roman" w:hAnsi="Times New Roman" w:cs="Times New Roman"/>
          <w:sz w:val="24"/>
          <w:szCs w:val="24"/>
        </w:rPr>
        <w:t xml:space="preserve"> </w:t>
      </w:r>
      <w:r w:rsidRPr="00B15ED0">
        <w:rPr>
          <w:rFonts w:ascii="Times New Roman" w:hAnsi="Times New Roman" w:cs="Times New Roman"/>
          <w:sz w:val="24"/>
          <w:szCs w:val="24"/>
        </w:rPr>
        <w:t xml:space="preserve"> </w:t>
      </w:r>
      <w:r w:rsidR="00703AC5">
        <w:rPr>
          <w:rFonts w:ascii="Times New Roman" w:hAnsi="Times New Roman" w:cs="Times New Roman"/>
          <w:sz w:val="24"/>
          <w:szCs w:val="24"/>
        </w:rPr>
        <w:t xml:space="preserve">For example, </w:t>
      </w:r>
      <w:r>
        <w:rPr>
          <w:rFonts w:ascii="Times New Roman" w:hAnsi="Times New Roman" w:cs="Times New Roman"/>
          <w:sz w:val="24"/>
          <w:szCs w:val="24"/>
        </w:rPr>
        <w:t xml:space="preserve">OPAE </w:t>
      </w:r>
      <w:r w:rsidR="00703AC5">
        <w:rPr>
          <w:rFonts w:ascii="Times New Roman" w:hAnsi="Times New Roman" w:cs="Times New Roman"/>
          <w:sz w:val="24"/>
          <w:szCs w:val="24"/>
        </w:rPr>
        <w:t xml:space="preserve">is an association of </w:t>
      </w:r>
      <w:r w:rsidRPr="00B15ED0">
        <w:rPr>
          <w:rFonts w:ascii="Times New Roman" w:hAnsi="Times New Roman" w:cs="Times New Roman"/>
          <w:sz w:val="24"/>
          <w:szCs w:val="24"/>
        </w:rPr>
        <w:t>provide</w:t>
      </w:r>
      <w:r w:rsidR="00703AC5">
        <w:rPr>
          <w:rFonts w:ascii="Times New Roman" w:hAnsi="Times New Roman" w:cs="Times New Roman"/>
          <w:sz w:val="24"/>
          <w:szCs w:val="24"/>
        </w:rPr>
        <w:t>r</w:t>
      </w:r>
      <w:r w:rsidRPr="00B15ED0">
        <w:rPr>
          <w:rFonts w:ascii="Times New Roman" w:hAnsi="Times New Roman" w:cs="Times New Roman"/>
          <w:sz w:val="24"/>
          <w:szCs w:val="24"/>
        </w:rPr>
        <w:t xml:space="preserve">s </w:t>
      </w:r>
      <w:r w:rsidR="00703AC5">
        <w:rPr>
          <w:rFonts w:ascii="Times New Roman" w:hAnsi="Times New Roman" w:cs="Times New Roman"/>
          <w:sz w:val="24"/>
          <w:szCs w:val="24"/>
        </w:rPr>
        <w:t xml:space="preserve">of </w:t>
      </w:r>
      <w:r w:rsidRPr="00B15ED0">
        <w:rPr>
          <w:rFonts w:ascii="Times New Roman" w:hAnsi="Times New Roman" w:cs="Times New Roman"/>
          <w:sz w:val="24"/>
          <w:szCs w:val="24"/>
        </w:rPr>
        <w:t>weatherization services to low</w:t>
      </w:r>
      <w:r w:rsidR="00703AC5">
        <w:rPr>
          <w:rFonts w:ascii="Times New Roman" w:hAnsi="Times New Roman" w:cs="Times New Roman"/>
          <w:sz w:val="24"/>
          <w:szCs w:val="24"/>
        </w:rPr>
        <w:t>-</w:t>
      </w:r>
      <w:r w:rsidRPr="00B15ED0">
        <w:rPr>
          <w:rFonts w:ascii="Times New Roman" w:hAnsi="Times New Roman" w:cs="Times New Roman"/>
          <w:sz w:val="24"/>
          <w:szCs w:val="24"/>
        </w:rPr>
        <w:t xml:space="preserve">income customers. </w:t>
      </w:r>
      <w:r w:rsidR="00B03B3B">
        <w:rPr>
          <w:rFonts w:ascii="Times New Roman" w:hAnsi="Times New Roman" w:cs="Times New Roman"/>
          <w:sz w:val="24"/>
          <w:szCs w:val="24"/>
        </w:rPr>
        <w:t xml:space="preserve"> </w:t>
      </w:r>
      <w:r w:rsidR="0001687C">
        <w:rPr>
          <w:rFonts w:ascii="Times New Roman" w:hAnsi="Times New Roman" w:cs="Times New Roman"/>
          <w:sz w:val="24"/>
          <w:szCs w:val="24"/>
        </w:rPr>
        <w:t xml:space="preserve">As OPAE’s signature on the settlement amply demonstrates, </w:t>
      </w:r>
      <w:r w:rsidRPr="00B15ED0">
        <w:rPr>
          <w:rFonts w:ascii="Times New Roman" w:hAnsi="Times New Roman" w:cs="Times New Roman"/>
          <w:sz w:val="24"/>
          <w:szCs w:val="24"/>
        </w:rPr>
        <w:t>OPAE does not</w:t>
      </w:r>
      <w:r w:rsidR="00703AC5">
        <w:rPr>
          <w:rFonts w:ascii="Times New Roman" w:hAnsi="Times New Roman" w:cs="Times New Roman"/>
          <w:sz w:val="24"/>
          <w:szCs w:val="24"/>
        </w:rPr>
        <w:t xml:space="preserve"> represent </w:t>
      </w:r>
      <w:r w:rsidR="0001687C">
        <w:rPr>
          <w:rFonts w:ascii="Times New Roman" w:hAnsi="Times New Roman" w:cs="Times New Roman"/>
          <w:sz w:val="24"/>
          <w:szCs w:val="24"/>
        </w:rPr>
        <w:t>1.</w:t>
      </w:r>
      <w:r w:rsidR="00EB0054">
        <w:rPr>
          <w:rFonts w:ascii="Times New Roman" w:hAnsi="Times New Roman" w:cs="Times New Roman"/>
          <w:sz w:val="24"/>
          <w:szCs w:val="24"/>
        </w:rPr>
        <w:t>3</w:t>
      </w:r>
      <w:r w:rsidR="0001687C">
        <w:rPr>
          <w:rFonts w:ascii="Times New Roman" w:hAnsi="Times New Roman" w:cs="Times New Roman"/>
          <w:sz w:val="24"/>
          <w:szCs w:val="24"/>
        </w:rPr>
        <w:t xml:space="preserve"> million AEP Ohio </w:t>
      </w:r>
      <w:r w:rsidR="00703AC5">
        <w:rPr>
          <w:rFonts w:ascii="Times New Roman" w:hAnsi="Times New Roman" w:cs="Times New Roman"/>
          <w:sz w:val="24"/>
          <w:szCs w:val="24"/>
        </w:rPr>
        <w:t xml:space="preserve">consumers </w:t>
      </w:r>
      <w:r w:rsidR="0001687C">
        <w:rPr>
          <w:rFonts w:ascii="Times New Roman" w:hAnsi="Times New Roman" w:cs="Times New Roman"/>
          <w:sz w:val="24"/>
          <w:szCs w:val="24"/>
        </w:rPr>
        <w:t>in the role of an</w:t>
      </w:r>
      <w:r w:rsidRPr="00B15ED0">
        <w:rPr>
          <w:rFonts w:ascii="Times New Roman" w:hAnsi="Times New Roman" w:cs="Times New Roman"/>
          <w:sz w:val="24"/>
          <w:szCs w:val="24"/>
        </w:rPr>
        <w:t xml:space="preserve"> advocate </w:t>
      </w:r>
      <w:r>
        <w:rPr>
          <w:rFonts w:ascii="Times New Roman" w:hAnsi="Times New Roman" w:cs="Times New Roman"/>
          <w:sz w:val="24"/>
          <w:szCs w:val="24"/>
        </w:rPr>
        <w:t xml:space="preserve">for just and reasonable rates </w:t>
      </w:r>
      <w:r w:rsidRPr="00B15ED0">
        <w:rPr>
          <w:rFonts w:ascii="Times New Roman" w:hAnsi="Times New Roman" w:cs="Times New Roman"/>
          <w:sz w:val="24"/>
          <w:szCs w:val="24"/>
        </w:rPr>
        <w:t>on behalf o</w:t>
      </w:r>
      <w:r>
        <w:rPr>
          <w:rFonts w:ascii="Times New Roman" w:hAnsi="Times New Roman" w:cs="Times New Roman"/>
          <w:sz w:val="24"/>
          <w:szCs w:val="24"/>
        </w:rPr>
        <w:t>f</w:t>
      </w:r>
      <w:r w:rsidRPr="00B15ED0">
        <w:rPr>
          <w:rFonts w:ascii="Times New Roman" w:hAnsi="Times New Roman" w:cs="Times New Roman"/>
          <w:sz w:val="24"/>
          <w:szCs w:val="24"/>
        </w:rPr>
        <w:t xml:space="preserve"> </w:t>
      </w:r>
      <w:r w:rsidR="0001687C">
        <w:rPr>
          <w:rFonts w:ascii="Times New Roman" w:hAnsi="Times New Roman" w:cs="Times New Roman"/>
          <w:sz w:val="24"/>
          <w:szCs w:val="24"/>
        </w:rPr>
        <w:t xml:space="preserve">those </w:t>
      </w:r>
      <w:r w:rsidRPr="00B15ED0">
        <w:rPr>
          <w:rFonts w:ascii="Times New Roman" w:hAnsi="Times New Roman" w:cs="Times New Roman"/>
          <w:sz w:val="24"/>
          <w:szCs w:val="24"/>
        </w:rPr>
        <w:t>residential customers.</w:t>
      </w:r>
      <w:r w:rsidRPr="00B15ED0">
        <w:rPr>
          <w:rStyle w:val="FootnoteReference"/>
          <w:rFonts w:ascii="Times New Roman" w:hAnsi="Times New Roman"/>
          <w:sz w:val="24"/>
          <w:szCs w:val="24"/>
        </w:rPr>
        <w:footnoteReference w:id="270"/>
      </w:r>
      <w:r>
        <w:rPr>
          <w:rFonts w:ascii="Times New Roman" w:hAnsi="Times New Roman" w:cs="Times New Roman"/>
          <w:sz w:val="24"/>
          <w:szCs w:val="24"/>
        </w:rPr>
        <w:t xml:space="preserve">  Also, </w:t>
      </w:r>
      <w:r w:rsidRPr="00B15ED0">
        <w:rPr>
          <w:rFonts w:ascii="Times New Roman" w:hAnsi="Times New Roman" w:cs="Times New Roman"/>
          <w:sz w:val="24"/>
          <w:szCs w:val="24"/>
        </w:rPr>
        <w:t xml:space="preserve">the negotiations </w:t>
      </w:r>
      <w:r>
        <w:rPr>
          <w:rFonts w:ascii="Times New Roman" w:hAnsi="Times New Roman" w:cs="Times New Roman"/>
          <w:sz w:val="24"/>
          <w:szCs w:val="24"/>
        </w:rPr>
        <w:t xml:space="preserve">behind the Joint Stipulation </w:t>
      </w:r>
      <w:r w:rsidR="00E2461E">
        <w:rPr>
          <w:rFonts w:ascii="Times New Roman" w:hAnsi="Times New Roman" w:cs="Times New Roman"/>
          <w:sz w:val="24"/>
          <w:szCs w:val="24"/>
        </w:rPr>
        <w:t>took place over a two-</w:t>
      </w:r>
      <w:r w:rsidRPr="00B15ED0">
        <w:rPr>
          <w:rFonts w:ascii="Times New Roman" w:hAnsi="Times New Roman" w:cs="Times New Roman"/>
          <w:sz w:val="24"/>
          <w:szCs w:val="24"/>
        </w:rPr>
        <w:t>week period and consisted of giving financial in</w:t>
      </w:r>
      <w:r>
        <w:rPr>
          <w:rFonts w:ascii="Times New Roman" w:hAnsi="Times New Roman" w:cs="Times New Roman"/>
          <w:sz w:val="24"/>
          <w:szCs w:val="24"/>
        </w:rPr>
        <w:t>centives and other benefits to Signatory Parties</w:t>
      </w:r>
      <w:r w:rsidRPr="00B15ED0">
        <w:rPr>
          <w:rFonts w:ascii="Times New Roman" w:hAnsi="Times New Roman" w:cs="Times New Roman"/>
          <w:sz w:val="24"/>
          <w:szCs w:val="24"/>
        </w:rPr>
        <w:t xml:space="preserve"> </w:t>
      </w:r>
      <w:r w:rsidR="001D0D99">
        <w:rPr>
          <w:rFonts w:ascii="Times New Roman" w:hAnsi="Times New Roman" w:cs="Times New Roman"/>
          <w:sz w:val="24"/>
          <w:szCs w:val="24"/>
        </w:rPr>
        <w:t xml:space="preserve">(paid for by other people’ s money) </w:t>
      </w:r>
      <w:r w:rsidRPr="00B15ED0">
        <w:rPr>
          <w:rFonts w:ascii="Times New Roman" w:hAnsi="Times New Roman" w:cs="Times New Roman"/>
          <w:sz w:val="24"/>
          <w:szCs w:val="24"/>
        </w:rPr>
        <w:t xml:space="preserve">to push the </w:t>
      </w:r>
      <w:r>
        <w:rPr>
          <w:rFonts w:ascii="Times New Roman" w:hAnsi="Times New Roman" w:cs="Times New Roman"/>
          <w:sz w:val="24"/>
          <w:szCs w:val="24"/>
        </w:rPr>
        <w:t xml:space="preserve">Joint </w:t>
      </w:r>
      <w:r w:rsidRPr="00B15ED0">
        <w:rPr>
          <w:rFonts w:ascii="Times New Roman" w:hAnsi="Times New Roman" w:cs="Times New Roman"/>
          <w:sz w:val="24"/>
          <w:szCs w:val="24"/>
        </w:rPr>
        <w:t>Stipulation through as quickly as possible.</w:t>
      </w:r>
      <w:r w:rsidRPr="00B15ED0">
        <w:rPr>
          <w:rStyle w:val="FootnoteReference"/>
          <w:rFonts w:ascii="Times New Roman" w:hAnsi="Times New Roman"/>
          <w:sz w:val="24"/>
          <w:szCs w:val="24"/>
        </w:rPr>
        <w:footnoteReference w:id="271"/>
      </w:r>
      <w:r w:rsidRPr="00B15ED0">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sidRPr="00B15ED0">
        <w:rPr>
          <w:rFonts w:ascii="Times New Roman" w:hAnsi="Times New Roman" w:cs="Times New Roman"/>
          <w:sz w:val="24"/>
          <w:szCs w:val="24"/>
        </w:rPr>
        <w:t>In light of the abbreviated negotiations that deal with billions of dollars that consumers will pay</w:t>
      </w:r>
      <w:r>
        <w:rPr>
          <w:rFonts w:ascii="Times New Roman" w:hAnsi="Times New Roman" w:cs="Times New Roman"/>
          <w:sz w:val="24"/>
          <w:szCs w:val="24"/>
        </w:rPr>
        <w:t>,</w:t>
      </w:r>
      <w:r w:rsidRPr="00B15ED0">
        <w:rPr>
          <w:rFonts w:ascii="Times New Roman" w:hAnsi="Times New Roman" w:cs="Times New Roman"/>
          <w:sz w:val="24"/>
          <w:szCs w:val="24"/>
        </w:rPr>
        <w:t xml:space="preserve"> and the financial </w:t>
      </w:r>
      <w:r w:rsidR="00382CD7">
        <w:rPr>
          <w:rFonts w:ascii="Times New Roman" w:hAnsi="Times New Roman" w:cs="Times New Roman"/>
          <w:sz w:val="24"/>
          <w:szCs w:val="24"/>
        </w:rPr>
        <w:t xml:space="preserve">inducements </w:t>
      </w:r>
      <w:r>
        <w:rPr>
          <w:rFonts w:ascii="Times New Roman" w:hAnsi="Times New Roman" w:cs="Times New Roman"/>
          <w:sz w:val="24"/>
          <w:szCs w:val="24"/>
        </w:rPr>
        <w:t>handed out to Signatory P</w:t>
      </w:r>
      <w:r w:rsidRPr="00B15ED0">
        <w:rPr>
          <w:rFonts w:ascii="Times New Roman" w:hAnsi="Times New Roman" w:cs="Times New Roman"/>
          <w:sz w:val="24"/>
          <w:szCs w:val="24"/>
        </w:rPr>
        <w:t xml:space="preserve">arties, </w:t>
      </w:r>
      <w:r>
        <w:rPr>
          <w:rFonts w:ascii="Times New Roman" w:hAnsi="Times New Roman" w:cs="Times New Roman"/>
          <w:sz w:val="24"/>
          <w:szCs w:val="24"/>
        </w:rPr>
        <w:t>the Joint</w:t>
      </w:r>
      <w:r w:rsidRPr="00B15ED0">
        <w:rPr>
          <w:rFonts w:ascii="Times New Roman" w:hAnsi="Times New Roman" w:cs="Times New Roman"/>
          <w:sz w:val="24"/>
          <w:szCs w:val="24"/>
        </w:rPr>
        <w:t xml:space="preserve"> Stipulation cannot be classified as </w:t>
      </w:r>
      <w:r>
        <w:rPr>
          <w:rFonts w:ascii="Times New Roman" w:hAnsi="Times New Roman" w:cs="Times New Roman"/>
          <w:sz w:val="24"/>
          <w:szCs w:val="24"/>
        </w:rPr>
        <w:t xml:space="preserve">the product of </w:t>
      </w:r>
      <w:r w:rsidRPr="00B15ED0">
        <w:rPr>
          <w:rFonts w:ascii="Times New Roman" w:hAnsi="Times New Roman" w:cs="Times New Roman"/>
          <w:sz w:val="24"/>
          <w:szCs w:val="24"/>
        </w:rPr>
        <w:t>serious bargaining</w:t>
      </w:r>
      <w:r>
        <w:rPr>
          <w:rFonts w:ascii="Times New Roman" w:hAnsi="Times New Roman" w:cs="Times New Roman"/>
          <w:sz w:val="24"/>
          <w:szCs w:val="24"/>
        </w:rPr>
        <w:t>.</w:t>
      </w:r>
      <w:r w:rsidRPr="00B15ED0">
        <w:rPr>
          <w:rStyle w:val="FootnoteReference"/>
          <w:rFonts w:ascii="Times New Roman" w:hAnsi="Times New Roman"/>
          <w:sz w:val="24"/>
          <w:szCs w:val="24"/>
        </w:rPr>
        <w:footnoteReference w:id="272"/>
      </w:r>
      <w:r w:rsidRPr="00B15ED0">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p>
    <w:p w:rsidR="00382CD7" w:rsidRDefault="00970C44" w:rsidP="00D3405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82CD7">
        <w:rPr>
          <w:rFonts w:ascii="Times New Roman" w:hAnsi="Times New Roman" w:cs="Times New Roman"/>
          <w:sz w:val="24"/>
          <w:szCs w:val="24"/>
        </w:rPr>
        <w:t xml:space="preserve">It should be well noted, for purposes of finding a lack of serious bargaining, that </w:t>
      </w:r>
      <w:r>
        <w:rPr>
          <w:rFonts w:ascii="Times New Roman" w:hAnsi="Times New Roman" w:cs="Times New Roman"/>
          <w:sz w:val="24"/>
          <w:szCs w:val="24"/>
        </w:rPr>
        <w:t xml:space="preserve">Buckeye Power, Inc., Sierra Club, Direct Energy, IGS, and OPAE </w:t>
      </w:r>
      <w:r w:rsidR="00382CD7">
        <w:rPr>
          <w:rFonts w:ascii="Times New Roman" w:hAnsi="Times New Roman" w:cs="Times New Roman"/>
          <w:sz w:val="24"/>
          <w:szCs w:val="24"/>
        </w:rPr>
        <w:t xml:space="preserve">all could not get to full agreement with the settlement.  They solved the bargaining issue by agreeing to not agree, where </w:t>
      </w:r>
      <w:r w:rsidRPr="00B15ED0">
        <w:rPr>
          <w:rFonts w:ascii="Times New Roman" w:hAnsi="Times New Roman" w:cs="Times New Roman"/>
          <w:sz w:val="24"/>
          <w:szCs w:val="24"/>
        </w:rPr>
        <w:t>they are not participating in</w:t>
      </w:r>
      <w:r w:rsidR="00382CD7">
        <w:rPr>
          <w:rFonts w:ascii="Times New Roman" w:hAnsi="Times New Roman" w:cs="Times New Roman"/>
          <w:sz w:val="24"/>
          <w:szCs w:val="24"/>
        </w:rPr>
        <w:t xml:space="preserve"> terms</w:t>
      </w:r>
      <w:r>
        <w:rPr>
          <w:rFonts w:ascii="Times New Roman" w:hAnsi="Times New Roman" w:cs="Times New Roman"/>
          <w:sz w:val="24"/>
          <w:szCs w:val="24"/>
        </w:rPr>
        <w:t>, not opposing</w:t>
      </w:r>
      <w:r w:rsidR="00382CD7">
        <w:rPr>
          <w:rFonts w:ascii="Times New Roman" w:hAnsi="Times New Roman" w:cs="Times New Roman"/>
          <w:sz w:val="24"/>
          <w:szCs w:val="24"/>
        </w:rPr>
        <w:t xml:space="preserve"> terms</w:t>
      </w:r>
      <w:r>
        <w:rPr>
          <w:rFonts w:ascii="Times New Roman" w:hAnsi="Times New Roman" w:cs="Times New Roman"/>
          <w:sz w:val="24"/>
          <w:szCs w:val="24"/>
        </w:rPr>
        <w:t>, or both</w:t>
      </w:r>
      <w:r w:rsidRPr="00B15ED0">
        <w:rPr>
          <w:rFonts w:ascii="Times New Roman" w:hAnsi="Times New Roman" w:cs="Times New Roman"/>
          <w:sz w:val="24"/>
          <w:szCs w:val="24"/>
        </w:rPr>
        <w:t>.</w:t>
      </w:r>
      <w:r w:rsidRPr="00B15ED0">
        <w:rPr>
          <w:rStyle w:val="FootnoteReference"/>
          <w:rFonts w:ascii="Times New Roman" w:hAnsi="Times New Roman"/>
          <w:sz w:val="24"/>
          <w:szCs w:val="24"/>
        </w:rPr>
        <w:footnoteReference w:id="273"/>
      </w:r>
      <w:r>
        <w:rPr>
          <w:rFonts w:ascii="Times New Roman" w:hAnsi="Times New Roman" w:cs="Times New Roman"/>
          <w:sz w:val="24"/>
          <w:szCs w:val="24"/>
        </w:rPr>
        <w:t xml:space="preserve">  </w:t>
      </w:r>
    </w:p>
    <w:p w:rsidR="00124C12" w:rsidRDefault="00970C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fact, </w:t>
      </w:r>
      <w:r w:rsidRPr="00B15ED0">
        <w:rPr>
          <w:rFonts w:ascii="Times New Roman" w:hAnsi="Times New Roman" w:cs="Times New Roman"/>
          <w:sz w:val="24"/>
          <w:szCs w:val="24"/>
        </w:rPr>
        <w:t>Sierra Club, though it is</w:t>
      </w:r>
      <w:r w:rsidR="00382CD7">
        <w:rPr>
          <w:rFonts w:ascii="Times New Roman" w:hAnsi="Times New Roman" w:cs="Times New Roman"/>
          <w:sz w:val="24"/>
          <w:szCs w:val="24"/>
        </w:rPr>
        <w:t xml:space="preserve"> characterized as</w:t>
      </w:r>
      <w:r w:rsidRPr="00B15ED0">
        <w:rPr>
          <w:rFonts w:ascii="Times New Roman" w:hAnsi="Times New Roman" w:cs="Times New Roman"/>
          <w:sz w:val="24"/>
          <w:szCs w:val="24"/>
        </w:rPr>
        <w:t xml:space="preserve"> a “signatory party</w:t>
      </w:r>
      <w:r>
        <w:rPr>
          <w:rFonts w:ascii="Times New Roman" w:hAnsi="Times New Roman" w:cs="Times New Roman"/>
          <w:sz w:val="24"/>
          <w:szCs w:val="24"/>
        </w:rPr>
        <w:t>,</w:t>
      </w:r>
      <w:r w:rsidRPr="00B15ED0">
        <w:rPr>
          <w:rFonts w:ascii="Times New Roman" w:hAnsi="Times New Roman" w:cs="Times New Roman"/>
          <w:sz w:val="24"/>
          <w:szCs w:val="24"/>
        </w:rPr>
        <w:t xml:space="preserve">” is not </w:t>
      </w:r>
      <w:r>
        <w:rPr>
          <w:rFonts w:ascii="Times New Roman" w:hAnsi="Times New Roman" w:cs="Times New Roman"/>
          <w:sz w:val="24"/>
          <w:szCs w:val="24"/>
        </w:rPr>
        <w:t xml:space="preserve">even </w:t>
      </w:r>
      <w:r w:rsidRPr="00B15ED0">
        <w:rPr>
          <w:rFonts w:ascii="Times New Roman" w:hAnsi="Times New Roman" w:cs="Times New Roman"/>
          <w:sz w:val="24"/>
          <w:szCs w:val="24"/>
        </w:rPr>
        <w:t xml:space="preserve">obligated to support the </w:t>
      </w:r>
      <w:r>
        <w:rPr>
          <w:rFonts w:ascii="Times New Roman" w:hAnsi="Times New Roman" w:cs="Times New Roman"/>
          <w:sz w:val="24"/>
          <w:szCs w:val="24"/>
        </w:rPr>
        <w:t xml:space="preserve">Joint Stipulation's purported </w:t>
      </w:r>
      <w:r w:rsidRPr="00B15ED0">
        <w:rPr>
          <w:rFonts w:ascii="Times New Roman" w:hAnsi="Times New Roman" w:cs="Times New Roman"/>
          <w:sz w:val="24"/>
          <w:szCs w:val="24"/>
        </w:rPr>
        <w:t>reasonableness.</w:t>
      </w:r>
      <w:r w:rsidRPr="00B15ED0">
        <w:rPr>
          <w:rStyle w:val="FootnoteReference"/>
          <w:rFonts w:ascii="Times New Roman" w:hAnsi="Times New Roman"/>
          <w:sz w:val="24"/>
          <w:szCs w:val="24"/>
        </w:rPr>
        <w:footnoteReference w:id="274"/>
      </w:r>
      <w:r w:rsidR="00382CD7">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sidRPr="00B15ED0">
        <w:rPr>
          <w:rFonts w:ascii="Times New Roman" w:hAnsi="Times New Roman" w:cs="Times New Roman"/>
          <w:sz w:val="24"/>
          <w:szCs w:val="24"/>
        </w:rPr>
        <w:t>Sierra Club</w:t>
      </w:r>
      <w:r w:rsidR="00382CD7">
        <w:rPr>
          <w:rFonts w:ascii="Times New Roman" w:hAnsi="Times New Roman" w:cs="Times New Roman"/>
          <w:sz w:val="24"/>
          <w:szCs w:val="24"/>
        </w:rPr>
        <w:t xml:space="preserve">’s real agreement is </w:t>
      </w:r>
      <w:r w:rsidR="00C31E63">
        <w:rPr>
          <w:rFonts w:ascii="Times New Roman" w:hAnsi="Times New Roman" w:cs="Times New Roman"/>
          <w:sz w:val="24"/>
          <w:szCs w:val="24"/>
        </w:rPr>
        <w:t>significantly</w:t>
      </w:r>
      <w:r w:rsidR="00382CD7">
        <w:rPr>
          <w:rFonts w:ascii="Times New Roman" w:hAnsi="Times New Roman" w:cs="Times New Roman"/>
          <w:sz w:val="24"/>
          <w:szCs w:val="24"/>
        </w:rPr>
        <w:t xml:space="preserve"> to not agree, except principally for obtaining AEP Ohio’s signature on 900 MW of a renewable power that will be built with other people’</w:t>
      </w:r>
      <w:r w:rsidR="00C31E63">
        <w:rPr>
          <w:rFonts w:ascii="Times New Roman" w:hAnsi="Times New Roman" w:cs="Times New Roman"/>
          <w:sz w:val="24"/>
          <w:szCs w:val="24"/>
        </w:rPr>
        <w:t>s money (</w:t>
      </w:r>
      <w:r w:rsidR="00382CD7">
        <w:rPr>
          <w:rFonts w:ascii="Times New Roman" w:hAnsi="Times New Roman" w:cs="Times New Roman"/>
          <w:sz w:val="24"/>
          <w:szCs w:val="24"/>
        </w:rPr>
        <w:t>if it is built</w:t>
      </w:r>
      <w:r w:rsidR="00C31E63">
        <w:rPr>
          <w:rFonts w:ascii="Times New Roman" w:hAnsi="Times New Roman" w:cs="Times New Roman"/>
          <w:sz w:val="24"/>
          <w:szCs w:val="24"/>
        </w:rPr>
        <w:t xml:space="preserve"> at all)</w:t>
      </w:r>
      <w:r w:rsidR="00382CD7">
        <w:rPr>
          <w:rFonts w:ascii="Times New Roman" w:hAnsi="Times New Roman" w:cs="Times New Roman"/>
          <w:sz w:val="24"/>
          <w:szCs w:val="24"/>
        </w:rPr>
        <w:t xml:space="preserve">. </w:t>
      </w:r>
      <w:r w:rsidRPr="00B15ED0">
        <w:rPr>
          <w:rFonts w:ascii="Times New Roman" w:hAnsi="Times New Roman" w:cs="Times New Roman"/>
          <w:sz w:val="24"/>
          <w:szCs w:val="24"/>
        </w:rPr>
        <w:t xml:space="preserve"> </w:t>
      </w:r>
    </w:p>
    <w:p w:rsidR="00124C12" w:rsidRDefault="007F62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Marketers </w:t>
      </w:r>
      <w:r w:rsidR="00970C44" w:rsidRPr="00B15ED0">
        <w:rPr>
          <w:rFonts w:ascii="Times New Roman" w:hAnsi="Times New Roman" w:cs="Times New Roman"/>
          <w:sz w:val="24"/>
          <w:szCs w:val="24"/>
        </w:rPr>
        <w:t xml:space="preserve">IGS and Direct Energy did not </w:t>
      </w:r>
      <w:r w:rsidR="00970C44">
        <w:rPr>
          <w:rFonts w:ascii="Times New Roman" w:hAnsi="Times New Roman" w:cs="Times New Roman"/>
          <w:sz w:val="24"/>
          <w:szCs w:val="24"/>
        </w:rPr>
        <w:t xml:space="preserve">even </w:t>
      </w:r>
      <w:r w:rsidR="00970C44" w:rsidRPr="00B15ED0">
        <w:rPr>
          <w:rFonts w:ascii="Times New Roman" w:hAnsi="Times New Roman" w:cs="Times New Roman"/>
          <w:sz w:val="24"/>
          <w:szCs w:val="24"/>
        </w:rPr>
        <w:t xml:space="preserve">sign the </w:t>
      </w:r>
      <w:r w:rsidR="00970C44">
        <w:rPr>
          <w:rFonts w:ascii="Times New Roman" w:hAnsi="Times New Roman" w:cs="Times New Roman"/>
          <w:sz w:val="24"/>
          <w:szCs w:val="24"/>
        </w:rPr>
        <w:t xml:space="preserve">Joint </w:t>
      </w:r>
      <w:r w:rsidR="00970C44" w:rsidRPr="00B15ED0">
        <w:rPr>
          <w:rFonts w:ascii="Times New Roman" w:hAnsi="Times New Roman" w:cs="Times New Roman"/>
          <w:sz w:val="24"/>
          <w:szCs w:val="24"/>
        </w:rPr>
        <w:t xml:space="preserve">Stipulation </w:t>
      </w:r>
      <w:r w:rsidR="00EA37A8">
        <w:rPr>
          <w:rFonts w:ascii="Times New Roman" w:hAnsi="Times New Roman" w:cs="Times New Roman"/>
          <w:sz w:val="24"/>
          <w:szCs w:val="24"/>
        </w:rPr>
        <w:t>term</w:t>
      </w:r>
      <w:r w:rsidR="00EA37A8" w:rsidRPr="00B15ED0">
        <w:rPr>
          <w:rFonts w:ascii="Times New Roman" w:hAnsi="Times New Roman" w:cs="Times New Roman"/>
          <w:sz w:val="24"/>
          <w:szCs w:val="24"/>
        </w:rPr>
        <w:t xml:space="preserve"> </w:t>
      </w:r>
      <w:r w:rsidR="00970C44">
        <w:rPr>
          <w:rFonts w:ascii="Times New Roman" w:hAnsi="Times New Roman" w:cs="Times New Roman"/>
          <w:sz w:val="24"/>
          <w:szCs w:val="24"/>
        </w:rPr>
        <w:t xml:space="preserve">that </w:t>
      </w:r>
      <w:r w:rsidR="00EA37A8">
        <w:rPr>
          <w:rFonts w:ascii="Times New Roman" w:hAnsi="Times New Roman" w:cs="Times New Roman"/>
          <w:sz w:val="24"/>
          <w:szCs w:val="24"/>
        </w:rPr>
        <w:t>the settlement</w:t>
      </w:r>
      <w:r w:rsidR="00970C44">
        <w:rPr>
          <w:rFonts w:ascii="Times New Roman" w:hAnsi="Times New Roman" w:cs="Times New Roman"/>
          <w:sz w:val="24"/>
          <w:szCs w:val="24"/>
        </w:rPr>
        <w:t xml:space="preserve"> </w:t>
      </w:r>
      <w:r w:rsidR="00970C44" w:rsidRPr="00B15ED0">
        <w:rPr>
          <w:rFonts w:ascii="Times New Roman" w:hAnsi="Times New Roman" w:cs="Times New Roman"/>
          <w:sz w:val="24"/>
          <w:szCs w:val="24"/>
        </w:rPr>
        <w:t>satisfies the three-prong test.</w:t>
      </w:r>
      <w:r w:rsidR="00970C44" w:rsidRPr="00B15ED0">
        <w:rPr>
          <w:rStyle w:val="FootnoteReference"/>
          <w:rFonts w:ascii="Times New Roman" w:hAnsi="Times New Roman"/>
          <w:sz w:val="24"/>
          <w:szCs w:val="24"/>
        </w:rPr>
        <w:footnoteReference w:id="275"/>
      </w:r>
      <w:r w:rsidR="00970C44">
        <w:rPr>
          <w:rFonts w:ascii="Times New Roman" w:hAnsi="Times New Roman" w:cs="Times New Roman"/>
          <w:sz w:val="24"/>
          <w:szCs w:val="24"/>
        </w:rPr>
        <w:t xml:space="preserve"> </w:t>
      </w:r>
      <w:r w:rsidR="00C31E63">
        <w:rPr>
          <w:rFonts w:ascii="Times New Roman" w:hAnsi="Times New Roman" w:cs="Times New Roman"/>
          <w:sz w:val="24"/>
          <w:szCs w:val="24"/>
        </w:rPr>
        <w:t xml:space="preserve"> But they “signed” to get AEP Ohio’s signature for </w:t>
      </w:r>
      <w:r>
        <w:rPr>
          <w:rFonts w:ascii="Times New Roman" w:hAnsi="Times New Roman" w:cs="Times New Roman"/>
          <w:sz w:val="24"/>
          <w:szCs w:val="24"/>
        </w:rPr>
        <w:t xml:space="preserve">increasing </w:t>
      </w:r>
      <w:r w:rsidR="00C31E63">
        <w:rPr>
          <w:rFonts w:ascii="Times New Roman" w:hAnsi="Times New Roman" w:cs="Times New Roman"/>
          <w:sz w:val="24"/>
          <w:szCs w:val="24"/>
        </w:rPr>
        <w:t>what other people (Ohioans) will pay for AEP Ohio’s electric generation</w:t>
      </w:r>
      <w:r>
        <w:rPr>
          <w:rFonts w:ascii="Times New Roman" w:hAnsi="Times New Roman" w:cs="Times New Roman"/>
          <w:sz w:val="24"/>
          <w:szCs w:val="24"/>
        </w:rPr>
        <w:t>, above the market price of electricity</w:t>
      </w:r>
      <w:r w:rsidR="00C31E63">
        <w:rPr>
          <w:rFonts w:ascii="Times New Roman" w:hAnsi="Times New Roman" w:cs="Times New Roman"/>
          <w:sz w:val="24"/>
          <w:szCs w:val="24"/>
        </w:rPr>
        <w:t>.</w:t>
      </w:r>
      <w:r w:rsidR="00B03B3B">
        <w:rPr>
          <w:rFonts w:ascii="Times New Roman" w:hAnsi="Times New Roman" w:cs="Times New Roman"/>
          <w:sz w:val="24"/>
          <w:szCs w:val="24"/>
        </w:rPr>
        <w:t xml:space="preserve"> </w:t>
      </w:r>
    </w:p>
    <w:p w:rsidR="00124C12" w:rsidRDefault="00970C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w:t>
      </w:r>
      <w:r w:rsidRPr="00B15ED0">
        <w:rPr>
          <w:rFonts w:ascii="Times New Roman" w:hAnsi="Times New Roman" w:cs="Times New Roman"/>
          <w:sz w:val="24"/>
          <w:szCs w:val="24"/>
        </w:rPr>
        <w:t xml:space="preserve">there are some parties that do not support the </w:t>
      </w:r>
      <w:r>
        <w:rPr>
          <w:rFonts w:ascii="Times New Roman" w:hAnsi="Times New Roman" w:cs="Times New Roman"/>
          <w:sz w:val="24"/>
          <w:szCs w:val="24"/>
        </w:rPr>
        <w:t xml:space="preserve">Joint </w:t>
      </w:r>
      <w:r w:rsidRPr="00B15ED0">
        <w:rPr>
          <w:rFonts w:ascii="Times New Roman" w:hAnsi="Times New Roman" w:cs="Times New Roman"/>
          <w:sz w:val="24"/>
          <w:szCs w:val="24"/>
        </w:rPr>
        <w:t>Stipulation</w:t>
      </w:r>
      <w:r w:rsidR="00137865">
        <w:rPr>
          <w:rFonts w:ascii="Times New Roman" w:hAnsi="Times New Roman" w:cs="Times New Roman"/>
          <w:sz w:val="24"/>
          <w:szCs w:val="24"/>
        </w:rPr>
        <w:t xml:space="preserve"> overall but</w:t>
      </w:r>
      <w:r>
        <w:rPr>
          <w:rFonts w:ascii="Times New Roman" w:hAnsi="Times New Roman" w:cs="Times New Roman"/>
          <w:sz w:val="24"/>
          <w:szCs w:val="24"/>
        </w:rPr>
        <w:t xml:space="preserve"> that nonetheless </w:t>
      </w:r>
      <w:r w:rsidRPr="00B15ED0">
        <w:rPr>
          <w:rFonts w:ascii="Times New Roman" w:hAnsi="Times New Roman" w:cs="Times New Roman"/>
          <w:sz w:val="24"/>
          <w:szCs w:val="24"/>
        </w:rPr>
        <w:t xml:space="preserve">agreed to limited </w:t>
      </w:r>
      <w:r w:rsidR="00137865">
        <w:rPr>
          <w:rFonts w:ascii="Times New Roman" w:hAnsi="Times New Roman" w:cs="Times New Roman"/>
          <w:sz w:val="24"/>
          <w:szCs w:val="24"/>
        </w:rPr>
        <w:t>terms</w:t>
      </w:r>
      <w:r w:rsidR="00137865" w:rsidRPr="00B15ED0">
        <w:rPr>
          <w:rFonts w:ascii="Times New Roman" w:hAnsi="Times New Roman" w:cs="Times New Roman"/>
          <w:sz w:val="24"/>
          <w:szCs w:val="24"/>
        </w:rPr>
        <w:t xml:space="preserve"> </w:t>
      </w:r>
      <w:r w:rsidRPr="00B15ED0">
        <w:rPr>
          <w:rFonts w:ascii="Times New Roman" w:hAnsi="Times New Roman" w:cs="Times New Roman"/>
          <w:sz w:val="24"/>
          <w:szCs w:val="24"/>
        </w:rPr>
        <w:t xml:space="preserve">in order to receive </w:t>
      </w:r>
      <w:r>
        <w:rPr>
          <w:rFonts w:ascii="Times New Roman" w:hAnsi="Times New Roman" w:cs="Times New Roman"/>
          <w:sz w:val="24"/>
          <w:szCs w:val="24"/>
        </w:rPr>
        <w:t xml:space="preserve">cash or cash equivalents </w:t>
      </w:r>
      <w:r w:rsidRPr="00B15ED0">
        <w:rPr>
          <w:rFonts w:ascii="Times New Roman" w:hAnsi="Times New Roman" w:cs="Times New Roman"/>
          <w:sz w:val="24"/>
          <w:szCs w:val="24"/>
        </w:rPr>
        <w:t>from AEP Ohio</w:t>
      </w:r>
      <w:r w:rsidR="00137865">
        <w:rPr>
          <w:rFonts w:ascii="Times New Roman" w:hAnsi="Times New Roman" w:cs="Times New Roman"/>
          <w:sz w:val="24"/>
          <w:szCs w:val="24"/>
        </w:rPr>
        <w:t xml:space="preserve"> and thereby be counted among the so-called signatories</w:t>
      </w:r>
      <w:r w:rsidRPr="00B15ED0">
        <w:rPr>
          <w:rFonts w:ascii="Times New Roman" w:hAnsi="Times New Roman" w:cs="Times New Roman"/>
          <w:sz w:val="24"/>
          <w:szCs w:val="24"/>
        </w:rPr>
        <w:t>.</w:t>
      </w:r>
      <w:r w:rsidR="00066165">
        <w:rPr>
          <w:rFonts w:ascii="Times New Roman" w:hAnsi="Times New Roman" w:cs="Times New Roman"/>
          <w:sz w:val="24"/>
          <w:szCs w:val="24"/>
        </w:rPr>
        <w:t xml:space="preserve">  In the words of OMAEG Witness Edward W. Hill: </w:t>
      </w:r>
    </w:p>
    <w:p w:rsidR="00124C12" w:rsidRDefault="00066165" w:rsidP="003B569D">
      <w:pPr>
        <w:spacing w:after="0" w:line="240" w:lineRule="auto"/>
        <w:ind w:left="1440" w:right="720"/>
        <w:rPr>
          <w:rFonts w:ascii="Times New Roman" w:hAnsi="Times New Roman" w:cs="Times New Roman"/>
          <w:sz w:val="24"/>
          <w:szCs w:val="24"/>
        </w:rPr>
      </w:pPr>
      <w:r>
        <w:rPr>
          <w:rFonts w:ascii="Times New Roman" w:hAnsi="Times New Roman" w:cs="Times New Roman"/>
          <w:sz w:val="24"/>
          <w:szCs w:val="24"/>
        </w:rPr>
        <w:t xml:space="preserve">In the Joint Stipulation, AEP-Ohio has raised new issues, offered new arguments, and presented a carefully crafted coalition of supporters, labeled a ‘redistributive coalition,’ in an attempt to influence the </w:t>
      </w:r>
      <w:r w:rsidR="00E71782">
        <w:rPr>
          <w:rFonts w:ascii="Times New Roman" w:hAnsi="Times New Roman" w:cs="Times New Roman"/>
          <w:sz w:val="24"/>
          <w:szCs w:val="24"/>
        </w:rPr>
        <w:t>public</w:t>
      </w:r>
      <w:r>
        <w:rPr>
          <w:rFonts w:ascii="Times New Roman" w:hAnsi="Times New Roman" w:cs="Times New Roman"/>
          <w:sz w:val="24"/>
          <w:szCs w:val="24"/>
        </w:rPr>
        <w:t xml:space="preserve"> policy process in ways that are deleterious for the state of Ohio.</w:t>
      </w:r>
      <w:r>
        <w:rPr>
          <w:rStyle w:val="FootnoteReference"/>
          <w:rFonts w:ascii="Times New Roman" w:hAnsi="Times New Roman" w:cs="Times New Roman"/>
          <w:sz w:val="24"/>
          <w:szCs w:val="24"/>
        </w:rPr>
        <w:footnoteReference w:id="276"/>
      </w:r>
    </w:p>
    <w:p w:rsidR="00124C12" w:rsidRDefault="00124C12">
      <w:pPr>
        <w:spacing w:after="0" w:line="240" w:lineRule="auto"/>
        <w:ind w:left="720" w:firstLine="60"/>
        <w:rPr>
          <w:rFonts w:ascii="Times New Roman" w:hAnsi="Times New Roman" w:cs="Times New Roman"/>
          <w:sz w:val="24"/>
          <w:szCs w:val="24"/>
        </w:rPr>
      </w:pPr>
    </w:p>
    <w:p w:rsidR="00970C44" w:rsidRPr="00B15ED0" w:rsidRDefault="00970C44" w:rsidP="00D3405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Additional examples of </w:t>
      </w:r>
      <w:r w:rsidR="00F22262">
        <w:rPr>
          <w:rFonts w:ascii="Times New Roman" w:hAnsi="Times New Roman" w:cs="Times New Roman"/>
          <w:sz w:val="24"/>
          <w:szCs w:val="24"/>
        </w:rPr>
        <w:t>benefits (handouts)</w:t>
      </w:r>
      <w:r w:rsidR="00EE61E7">
        <w:rPr>
          <w:rFonts w:ascii="Times New Roman" w:hAnsi="Times New Roman" w:cs="Times New Roman"/>
          <w:sz w:val="24"/>
          <w:szCs w:val="24"/>
        </w:rPr>
        <w:t xml:space="preserve"> </w:t>
      </w:r>
      <w:r w:rsidR="00E40D71">
        <w:rPr>
          <w:rFonts w:ascii="Times New Roman" w:hAnsi="Times New Roman" w:cs="Times New Roman"/>
          <w:sz w:val="24"/>
          <w:szCs w:val="24"/>
        </w:rPr>
        <w:t>for signatures or non-opposition</w:t>
      </w:r>
      <w:r w:rsidRPr="00B15ED0">
        <w:rPr>
          <w:rFonts w:ascii="Times New Roman" w:hAnsi="Times New Roman" w:cs="Times New Roman"/>
          <w:sz w:val="24"/>
          <w:szCs w:val="24"/>
        </w:rPr>
        <w:t xml:space="preserve"> are the Interruptible Power-Discretionary Rider (“IRP-D”), t</w:t>
      </w:r>
      <w:r w:rsidR="00E71782">
        <w:rPr>
          <w:rFonts w:ascii="Times New Roman" w:hAnsi="Times New Roman" w:cs="Times New Roman"/>
          <w:sz w:val="24"/>
          <w:szCs w:val="24"/>
        </w:rPr>
        <w:t xml:space="preserve">he automaker credit provision, </w:t>
      </w:r>
      <w:r w:rsidRPr="00B15ED0">
        <w:rPr>
          <w:rFonts w:ascii="Times New Roman" w:hAnsi="Times New Roman" w:cs="Times New Roman"/>
          <w:sz w:val="24"/>
          <w:szCs w:val="24"/>
        </w:rPr>
        <w:t>the SCR, the energy efficiency programs earmar</w:t>
      </w:r>
      <w:r>
        <w:rPr>
          <w:rFonts w:ascii="Times New Roman" w:hAnsi="Times New Roman" w:cs="Times New Roman"/>
          <w:sz w:val="24"/>
          <w:szCs w:val="24"/>
        </w:rPr>
        <w:t>ked for OHA</w:t>
      </w:r>
      <w:r w:rsidRPr="00B15ED0">
        <w:rPr>
          <w:rFonts w:ascii="Times New Roman" w:hAnsi="Times New Roman" w:cs="Times New Roman"/>
          <w:sz w:val="24"/>
          <w:szCs w:val="24"/>
        </w:rPr>
        <w:t>, OPAE’s administration of the Community Assistance Program (“CAP”), the renewable energy projects, and the $8 million payment to IEU.</w:t>
      </w:r>
      <w:r w:rsidRPr="00B15ED0">
        <w:rPr>
          <w:rStyle w:val="FootnoteReference"/>
          <w:rFonts w:ascii="Times New Roman" w:hAnsi="Times New Roman"/>
          <w:sz w:val="24"/>
          <w:szCs w:val="24"/>
        </w:rPr>
        <w:footnoteReference w:id="277"/>
      </w:r>
      <w:r w:rsidRPr="00B15ED0">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Pr>
          <w:rFonts w:ascii="Times New Roman" w:hAnsi="Times New Roman" w:cs="Times New Roman"/>
          <w:sz w:val="24"/>
          <w:szCs w:val="24"/>
        </w:rPr>
        <w:t xml:space="preserve">OCC Witness </w:t>
      </w:r>
      <w:r w:rsidRPr="00B15ED0">
        <w:rPr>
          <w:rFonts w:ascii="Times New Roman" w:hAnsi="Times New Roman" w:cs="Times New Roman"/>
          <w:sz w:val="24"/>
          <w:szCs w:val="24"/>
        </w:rPr>
        <w:t xml:space="preserve">Haugh </w:t>
      </w:r>
      <w:r>
        <w:rPr>
          <w:rFonts w:ascii="Times New Roman" w:hAnsi="Times New Roman" w:cs="Times New Roman"/>
          <w:sz w:val="24"/>
          <w:szCs w:val="24"/>
        </w:rPr>
        <w:t>explained</w:t>
      </w:r>
      <w:r w:rsidRPr="00B15ED0">
        <w:rPr>
          <w:rFonts w:ascii="Times New Roman" w:hAnsi="Times New Roman" w:cs="Times New Roman"/>
          <w:sz w:val="24"/>
          <w:szCs w:val="24"/>
        </w:rPr>
        <w:t xml:space="preserve"> that these financial </w:t>
      </w:r>
      <w:r w:rsidR="00F22262">
        <w:rPr>
          <w:rFonts w:ascii="Times New Roman" w:hAnsi="Times New Roman" w:cs="Times New Roman"/>
          <w:sz w:val="24"/>
          <w:szCs w:val="24"/>
        </w:rPr>
        <w:t>benefits</w:t>
      </w:r>
      <w:r w:rsidR="003F3C37" w:rsidRPr="00B15ED0">
        <w:rPr>
          <w:rFonts w:ascii="Times New Roman" w:hAnsi="Times New Roman" w:cs="Times New Roman"/>
          <w:sz w:val="24"/>
          <w:szCs w:val="24"/>
        </w:rPr>
        <w:t xml:space="preserve"> </w:t>
      </w:r>
      <w:r w:rsidRPr="00B15ED0">
        <w:rPr>
          <w:rFonts w:ascii="Times New Roman" w:hAnsi="Times New Roman" w:cs="Times New Roman"/>
          <w:sz w:val="24"/>
          <w:szCs w:val="24"/>
        </w:rPr>
        <w:t>are provided to individual interests and clearly provide no benefit to the overall public interest.</w:t>
      </w:r>
      <w:r w:rsidRPr="00B15ED0">
        <w:rPr>
          <w:rStyle w:val="FootnoteReference"/>
          <w:rFonts w:ascii="Times New Roman" w:hAnsi="Times New Roman"/>
          <w:sz w:val="24"/>
          <w:szCs w:val="24"/>
        </w:rPr>
        <w:footnoteReference w:id="278"/>
      </w:r>
      <w:r w:rsidRPr="00B15ED0">
        <w:rPr>
          <w:rFonts w:ascii="Times New Roman" w:hAnsi="Times New Roman" w:cs="Times New Roman"/>
          <w:sz w:val="24"/>
          <w:szCs w:val="24"/>
        </w:rPr>
        <w:t xml:space="preserve"> </w:t>
      </w:r>
      <w:r w:rsidR="003F3C37">
        <w:rPr>
          <w:rFonts w:ascii="Times New Roman" w:hAnsi="Times New Roman" w:cs="Times New Roman"/>
          <w:sz w:val="24"/>
          <w:szCs w:val="24"/>
        </w:rPr>
        <w:t xml:space="preserve"> Indeed, the public is paying for much of it.</w:t>
      </w:r>
    </w:p>
    <w:p w:rsidR="00970C44" w:rsidRPr="00B15ED0" w:rsidRDefault="00970C44" w:rsidP="00D34055">
      <w:pPr>
        <w:spacing w:after="0" w:line="480" w:lineRule="auto"/>
        <w:rPr>
          <w:rFonts w:ascii="Times New Roman" w:hAnsi="Times New Roman" w:cs="Times New Roman"/>
          <w:sz w:val="24"/>
          <w:szCs w:val="24"/>
        </w:rPr>
      </w:pPr>
      <w:r w:rsidRPr="00B15ED0">
        <w:rPr>
          <w:rFonts w:ascii="Times New Roman" w:hAnsi="Times New Roman" w:cs="Times New Roman"/>
          <w:sz w:val="24"/>
          <w:szCs w:val="24"/>
        </w:rPr>
        <w:tab/>
        <w:t xml:space="preserve">The IRP-D provides large industrial customers a hefty discount, up to $9/kW per month, if they agree to curtail their energy consumption at high usage times. </w:t>
      </w:r>
      <w:r w:rsidR="00B03B3B">
        <w:rPr>
          <w:rFonts w:ascii="Times New Roman" w:hAnsi="Times New Roman" w:cs="Times New Roman"/>
          <w:sz w:val="24"/>
          <w:szCs w:val="24"/>
        </w:rPr>
        <w:t xml:space="preserve"> </w:t>
      </w:r>
      <w:r w:rsidRPr="00B15ED0">
        <w:rPr>
          <w:rFonts w:ascii="Times New Roman" w:hAnsi="Times New Roman" w:cs="Times New Roman"/>
          <w:sz w:val="24"/>
          <w:szCs w:val="24"/>
        </w:rPr>
        <w:t xml:space="preserve">The large customers that are able to take advantage of this part of the proposed </w:t>
      </w:r>
      <w:r>
        <w:rPr>
          <w:rFonts w:ascii="Times New Roman" w:hAnsi="Times New Roman" w:cs="Times New Roman"/>
          <w:sz w:val="24"/>
          <w:szCs w:val="24"/>
        </w:rPr>
        <w:t xml:space="preserve">Joint </w:t>
      </w:r>
      <w:r w:rsidRPr="00B15ED0">
        <w:rPr>
          <w:rFonts w:ascii="Times New Roman" w:hAnsi="Times New Roman" w:cs="Times New Roman"/>
          <w:sz w:val="24"/>
          <w:szCs w:val="24"/>
        </w:rPr>
        <w:t>Stipulation already participate in the PJM Demand Response Programs and receive credits for the same curtailment.</w:t>
      </w:r>
      <w:r w:rsidRPr="00B15ED0">
        <w:rPr>
          <w:rStyle w:val="FootnoteReference"/>
          <w:rFonts w:ascii="Times New Roman" w:hAnsi="Times New Roman"/>
          <w:sz w:val="24"/>
          <w:szCs w:val="24"/>
        </w:rPr>
        <w:footnoteReference w:id="279"/>
      </w:r>
      <w:r w:rsidRPr="00B15ED0">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sidRPr="00B15ED0">
        <w:rPr>
          <w:rFonts w:ascii="Times New Roman" w:hAnsi="Times New Roman" w:cs="Times New Roman"/>
          <w:sz w:val="24"/>
          <w:szCs w:val="24"/>
        </w:rPr>
        <w:t xml:space="preserve">In other words, the IRP-D provision in </w:t>
      </w:r>
      <w:r>
        <w:rPr>
          <w:rFonts w:ascii="Times New Roman" w:hAnsi="Times New Roman" w:cs="Times New Roman"/>
          <w:sz w:val="24"/>
          <w:szCs w:val="24"/>
        </w:rPr>
        <w:t>the Joint</w:t>
      </w:r>
      <w:r w:rsidRPr="00B15ED0">
        <w:rPr>
          <w:rFonts w:ascii="Times New Roman" w:hAnsi="Times New Roman" w:cs="Times New Roman"/>
          <w:sz w:val="24"/>
          <w:szCs w:val="24"/>
        </w:rPr>
        <w:t xml:space="preserve"> Stipulation simply gives </w:t>
      </w:r>
      <w:r w:rsidR="00E2461E">
        <w:rPr>
          <w:rFonts w:ascii="Times New Roman" w:hAnsi="Times New Roman" w:cs="Times New Roman"/>
          <w:sz w:val="24"/>
          <w:szCs w:val="24"/>
        </w:rPr>
        <w:t>additional</w:t>
      </w:r>
      <w:r w:rsidRPr="00B15ED0">
        <w:rPr>
          <w:rFonts w:ascii="Times New Roman" w:hAnsi="Times New Roman" w:cs="Times New Roman"/>
          <w:sz w:val="24"/>
          <w:szCs w:val="24"/>
        </w:rPr>
        <w:t xml:space="preserve"> payment</w:t>
      </w:r>
      <w:r w:rsidR="00E2461E">
        <w:rPr>
          <w:rFonts w:ascii="Times New Roman" w:hAnsi="Times New Roman" w:cs="Times New Roman"/>
          <w:sz w:val="24"/>
          <w:szCs w:val="24"/>
        </w:rPr>
        <w:t>s</w:t>
      </w:r>
      <w:r w:rsidRPr="00B15ED0">
        <w:rPr>
          <w:rFonts w:ascii="Times New Roman" w:hAnsi="Times New Roman" w:cs="Times New Roman"/>
          <w:sz w:val="24"/>
          <w:szCs w:val="24"/>
        </w:rPr>
        <w:t xml:space="preserve"> to participants</w:t>
      </w:r>
      <w:r w:rsidR="00E2461E">
        <w:rPr>
          <w:rFonts w:ascii="Times New Roman" w:hAnsi="Times New Roman" w:cs="Times New Roman"/>
          <w:sz w:val="24"/>
          <w:szCs w:val="24"/>
        </w:rPr>
        <w:t xml:space="preserve"> for the same capacity resource that previously cleared PJM’s Base Residual Auction</w:t>
      </w:r>
      <w:r w:rsidRPr="00B15ED0">
        <w:rPr>
          <w:rFonts w:ascii="Times New Roman" w:hAnsi="Times New Roman" w:cs="Times New Roman"/>
          <w:sz w:val="24"/>
          <w:szCs w:val="24"/>
        </w:rPr>
        <w:t>.</w:t>
      </w:r>
      <w:r w:rsidR="00E2461E">
        <w:rPr>
          <w:rFonts w:ascii="Times New Roman" w:hAnsi="Times New Roman" w:cs="Times New Roman"/>
          <w:sz w:val="24"/>
          <w:szCs w:val="24"/>
        </w:rPr>
        <w:t xml:space="preserve">  </w:t>
      </w:r>
      <w:r w:rsidR="00117162">
        <w:rPr>
          <w:rFonts w:ascii="Times New Roman" w:hAnsi="Times New Roman" w:cs="Times New Roman"/>
          <w:sz w:val="24"/>
          <w:szCs w:val="24"/>
        </w:rPr>
        <w:t>There</w:t>
      </w:r>
      <w:r w:rsidR="00E2461E">
        <w:rPr>
          <w:rFonts w:ascii="Times New Roman" w:hAnsi="Times New Roman" w:cs="Times New Roman"/>
          <w:sz w:val="24"/>
          <w:szCs w:val="24"/>
        </w:rPr>
        <w:t xml:space="preserve"> is no additional incremental value to consumers for these additional payments beyond that which PJM already made for commitments to curtail consumption during peak periods.  The additional payments simply constitute extra money to join the Joint Stipulation.</w:t>
      </w:r>
      <w:r w:rsidRPr="00B15ED0">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sidRPr="00B15ED0">
        <w:rPr>
          <w:rFonts w:ascii="Times New Roman" w:hAnsi="Times New Roman" w:cs="Times New Roman"/>
          <w:sz w:val="24"/>
          <w:szCs w:val="24"/>
        </w:rPr>
        <w:t>And it is the other AEP</w:t>
      </w:r>
      <w:r w:rsidR="00E2461E">
        <w:rPr>
          <w:rFonts w:ascii="Times New Roman" w:hAnsi="Times New Roman" w:cs="Times New Roman"/>
          <w:sz w:val="24"/>
          <w:szCs w:val="24"/>
        </w:rPr>
        <w:t xml:space="preserve"> Ohio customers that pay for the entirety of these additional unnecessary payments</w:t>
      </w:r>
      <w:r w:rsidRPr="00B15ED0">
        <w:rPr>
          <w:rFonts w:ascii="Times New Roman" w:hAnsi="Times New Roman" w:cs="Times New Roman"/>
          <w:sz w:val="24"/>
          <w:szCs w:val="24"/>
        </w:rPr>
        <w:t>.</w:t>
      </w:r>
    </w:p>
    <w:p w:rsidR="00970C44" w:rsidRPr="00B15ED0" w:rsidRDefault="00970C44" w:rsidP="00D34055">
      <w:pPr>
        <w:spacing w:after="0" w:line="480" w:lineRule="auto"/>
        <w:rPr>
          <w:rFonts w:ascii="Times New Roman" w:hAnsi="Times New Roman" w:cs="Times New Roman"/>
          <w:sz w:val="24"/>
          <w:szCs w:val="24"/>
        </w:rPr>
      </w:pPr>
      <w:r w:rsidRPr="00B15ED0">
        <w:rPr>
          <w:rFonts w:ascii="Times New Roman" w:hAnsi="Times New Roman" w:cs="Times New Roman"/>
          <w:sz w:val="24"/>
          <w:szCs w:val="24"/>
        </w:rPr>
        <w:tab/>
        <w:t xml:space="preserve">The automaker credit provides $10/MWh for all consumption above the 2009 automaker customer’s 2009 annual usage. </w:t>
      </w:r>
      <w:r w:rsidR="00B03B3B">
        <w:rPr>
          <w:rFonts w:ascii="Times New Roman" w:hAnsi="Times New Roman" w:cs="Times New Roman"/>
          <w:sz w:val="24"/>
          <w:szCs w:val="24"/>
        </w:rPr>
        <w:t xml:space="preserve"> </w:t>
      </w:r>
      <w:r w:rsidRPr="00B15ED0">
        <w:rPr>
          <w:rFonts w:ascii="Times New Roman" w:hAnsi="Times New Roman" w:cs="Times New Roman"/>
          <w:sz w:val="24"/>
          <w:szCs w:val="24"/>
        </w:rPr>
        <w:t>This credit is paid for by customers through the Economic Development Cost Rider (“EDR”).</w:t>
      </w:r>
      <w:r w:rsidRPr="00B15ED0">
        <w:rPr>
          <w:rStyle w:val="FootnoteReference"/>
          <w:rFonts w:ascii="Times New Roman" w:hAnsi="Times New Roman"/>
          <w:sz w:val="24"/>
          <w:szCs w:val="24"/>
        </w:rPr>
        <w:footnoteReference w:id="280"/>
      </w:r>
      <w:r w:rsidRPr="00B15ED0">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sidRPr="00B15ED0">
        <w:rPr>
          <w:rFonts w:ascii="Times New Roman" w:hAnsi="Times New Roman" w:cs="Times New Roman"/>
          <w:sz w:val="24"/>
          <w:szCs w:val="24"/>
        </w:rPr>
        <w:t>There is no explanation of how this benefits customers or</w:t>
      </w:r>
      <w:r>
        <w:rPr>
          <w:rFonts w:ascii="Times New Roman" w:hAnsi="Times New Roman" w:cs="Times New Roman"/>
          <w:sz w:val="24"/>
          <w:szCs w:val="24"/>
        </w:rPr>
        <w:t xml:space="preserve"> how it is in the public interest. </w:t>
      </w:r>
      <w:r w:rsidR="00B03B3B">
        <w:rPr>
          <w:rFonts w:ascii="Times New Roman" w:hAnsi="Times New Roman" w:cs="Times New Roman"/>
          <w:sz w:val="24"/>
          <w:szCs w:val="24"/>
        </w:rPr>
        <w:t xml:space="preserve"> </w:t>
      </w:r>
      <w:r>
        <w:rPr>
          <w:rFonts w:ascii="Times New Roman" w:hAnsi="Times New Roman" w:cs="Times New Roman"/>
          <w:sz w:val="24"/>
          <w:szCs w:val="24"/>
        </w:rPr>
        <w:t>OCC Witness</w:t>
      </w:r>
      <w:r w:rsidRPr="00B15ED0">
        <w:rPr>
          <w:rFonts w:ascii="Times New Roman" w:hAnsi="Times New Roman" w:cs="Times New Roman"/>
          <w:sz w:val="24"/>
          <w:szCs w:val="24"/>
        </w:rPr>
        <w:t xml:space="preserve"> Haugh foun</w:t>
      </w:r>
      <w:r>
        <w:rPr>
          <w:rFonts w:ascii="Times New Roman" w:hAnsi="Times New Roman" w:cs="Times New Roman"/>
          <w:sz w:val="24"/>
          <w:szCs w:val="24"/>
        </w:rPr>
        <w:t>d no justification for using</w:t>
      </w:r>
      <w:r w:rsidRPr="00B15ED0">
        <w:rPr>
          <w:rFonts w:ascii="Times New Roman" w:hAnsi="Times New Roman" w:cs="Times New Roman"/>
          <w:sz w:val="24"/>
          <w:szCs w:val="24"/>
        </w:rPr>
        <w:t xml:space="preserve"> 2009 as</w:t>
      </w:r>
      <w:r>
        <w:rPr>
          <w:rFonts w:ascii="Times New Roman" w:hAnsi="Times New Roman" w:cs="Times New Roman"/>
          <w:sz w:val="24"/>
          <w:szCs w:val="24"/>
        </w:rPr>
        <w:t xml:space="preserve"> a baseline. </w:t>
      </w:r>
      <w:r w:rsidR="00B03B3B">
        <w:rPr>
          <w:rFonts w:ascii="Times New Roman" w:hAnsi="Times New Roman" w:cs="Times New Roman"/>
          <w:sz w:val="24"/>
          <w:szCs w:val="24"/>
        </w:rPr>
        <w:t xml:space="preserve"> </w:t>
      </w:r>
      <w:r>
        <w:rPr>
          <w:rFonts w:ascii="Times New Roman" w:hAnsi="Times New Roman" w:cs="Times New Roman"/>
          <w:sz w:val="24"/>
          <w:szCs w:val="24"/>
        </w:rPr>
        <w:t>But he did point</w:t>
      </w:r>
      <w:r w:rsidRPr="00B15ED0">
        <w:rPr>
          <w:rFonts w:ascii="Times New Roman" w:hAnsi="Times New Roman" w:cs="Times New Roman"/>
          <w:sz w:val="24"/>
          <w:szCs w:val="24"/>
        </w:rPr>
        <w:t xml:space="preserve"> out that according to the International Organization of Motor Vehicle Manufacturers, in 2009, there was a 34.2</w:t>
      </w:r>
      <w:r w:rsidR="00117162">
        <w:rPr>
          <w:rFonts w:ascii="Times New Roman" w:hAnsi="Times New Roman" w:cs="Times New Roman"/>
          <w:sz w:val="24"/>
          <w:szCs w:val="24"/>
        </w:rPr>
        <w:t xml:space="preserve"> percent</w:t>
      </w:r>
      <w:r w:rsidRPr="00B15ED0">
        <w:rPr>
          <w:rFonts w:ascii="Times New Roman" w:hAnsi="Times New Roman" w:cs="Times New Roman"/>
          <w:sz w:val="24"/>
          <w:szCs w:val="24"/>
        </w:rPr>
        <w:t xml:space="preserve"> decrease in automobile production with 5,709,432 cars produced in the United States.</w:t>
      </w:r>
      <w:r w:rsidRPr="00B15ED0">
        <w:rPr>
          <w:rStyle w:val="FootnoteReference"/>
          <w:rFonts w:ascii="Times New Roman" w:hAnsi="Times New Roman"/>
          <w:sz w:val="24"/>
          <w:szCs w:val="24"/>
        </w:rPr>
        <w:footnoteReference w:id="281"/>
      </w:r>
      <w:r w:rsidRPr="00B15ED0">
        <w:rPr>
          <w:rFonts w:ascii="Times New Roman" w:hAnsi="Times New Roman" w:cs="Times New Roman"/>
          <w:sz w:val="24"/>
          <w:szCs w:val="24"/>
        </w:rPr>
        <w:t xml:space="preserve">  </w:t>
      </w:r>
      <w:r>
        <w:rPr>
          <w:rFonts w:ascii="Times New Roman" w:hAnsi="Times New Roman" w:cs="Times New Roman"/>
          <w:sz w:val="24"/>
          <w:szCs w:val="24"/>
        </w:rPr>
        <w:t>In contrast</w:t>
      </w:r>
      <w:r w:rsidRPr="00B15ED0">
        <w:rPr>
          <w:rFonts w:ascii="Times New Roman" w:hAnsi="Times New Roman" w:cs="Times New Roman"/>
          <w:sz w:val="24"/>
          <w:szCs w:val="24"/>
        </w:rPr>
        <w:t>, there were 11,660,699 cars produced in 2014.</w:t>
      </w:r>
      <w:r w:rsidRPr="00B15ED0">
        <w:rPr>
          <w:rStyle w:val="FootnoteReference"/>
          <w:rFonts w:ascii="Times New Roman" w:hAnsi="Times New Roman"/>
          <w:sz w:val="24"/>
          <w:szCs w:val="24"/>
        </w:rPr>
        <w:footnoteReference w:id="282"/>
      </w:r>
      <w:r w:rsidRPr="00B15ED0">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sidRPr="00B15ED0">
        <w:rPr>
          <w:rFonts w:ascii="Times New Roman" w:hAnsi="Times New Roman" w:cs="Times New Roman"/>
          <w:sz w:val="24"/>
          <w:szCs w:val="24"/>
        </w:rPr>
        <w:t xml:space="preserve">The </w:t>
      </w:r>
      <w:r>
        <w:rPr>
          <w:rFonts w:ascii="Times New Roman" w:hAnsi="Times New Roman" w:cs="Times New Roman"/>
          <w:sz w:val="24"/>
          <w:szCs w:val="24"/>
        </w:rPr>
        <w:t xml:space="preserve">year </w:t>
      </w:r>
      <w:r w:rsidRPr="00B15ED0">
        <w:rPr>
          <w:rFonts w:ascii="Times New Roman" w:hAnsi="Times New Roman" w:cs="Times New Roman"/>
          <w:sz w:val="24"/>
          <w:szCs w:val="24"/>
        </w:rPr>
        <w:t xml:space="preserve">2009 was chosen as a baseline due </w:t>
      </w:r>
      <w:r>
        <w:rPr>
          <w:rFonts w:ascii="Times New Roman" w:hAnsi="Times New Roman" w:cs="Times New Roman"/>
          <w:sz w:val="24"/>
          <w:szCs w:val="24"/>
        </w:rPr>
        <w:t>to its low production of autos.  T</w:t>
      </w:r>
      <w:r w:rsidRPr="00B15ED0">
        <w:rPr>
          <w:rFonts w:ascii="Times New Roman" w:hAnsi="Times New Roman" w:cs="Times New Roman"/>
          <w:sz w:val="24"/>
          <w:szCs w:val="24"/>
        </w:rPr>
        <w:t xml:space="preserve">herefore, </w:t>
      </w:r>
      <w:r>
        <w:rPr>
          <w:rFonts w:ascii="Times New Roman" w:hAnsi="Times New Roman" w:cs="Times New Roman"/>
          <w:sz w:val="24"/>
          <w:szCs w:val="24"/>
        </w:rPr>
        <w:t>the</w:t>
      </w:r>
      <w:r w:rsidRPr="00B15ED0">
        <w:rPr>
          <w:rFonts w:ascii="Times New Roman" w:hAnsi="Times New Roman" w:cs="Times New Roman"/>
          <w:sz w:val="24"/>
          <w:szCs w:val="24"/>
        </w:rPr>
        <w:t xml:space="preserve"> financial </w:t>
      </w:r>
      <w:r w:rsidR="00C34C0D">
        <w:rPr>
          <w:rFonts w:ascii="Times New Roman" w:hAnsi="Times New Roman" w:cs="Times New Roman"/>
          <w:sz w:val="24"/>
          <w:szCs w:val="24"/>
        </w:rPr>
        <w:t>benefit</w:t>
      </w:r>
      <w:r w:rsidR="00C34C0D" w:rsidRPr="00B15ED0">
        <w:rPr>
          <w:rFonts w:ascii="Times New Roman" w:hAnsi="Times New Roman" w:cs="Times New Roman"/>
          <w:sz w:val="24"/>
          <w:szCs w:val="24"/>
        </w:rPr>
        <w:t xml:space="preserve"> </w:t>
      </w:r>
      <w:r w:rsidRPr="00B15ED0">
        <w:rPr>
          <w:rFonts w:ascii="Times New Roman" w:hAnsi="Times New Roman" w:cs="Times New Roman"/>
          <w:sz w:val="24"/>
          <w:szCs w:val="24"/>
        </w:rPr>
        <w:t>is easier to obtain now that production and energy usage have increased above the 2009 baseline.</w:t>
      </w:r>
      <w:r w:rsidRPr="00B15ED0">
        <w:rPr>
          <w:rStyle w:val="FootnoteReference"/>
          <w:rFonts w:ascii="Times New Roman" w:hAnsi="Times New Roman"/>
          <w:sz w:val="24"/>
          <w:szCs w:val="24"/>
        </w:rPr>
        <w:footnoteReference w:id="283"/>
      </w:r>
      <w:r w:rsidRPr="00B15ED0">
        <w:rPr>
          <w:rFonts w:ascii="Times New Roman" w:hAnsi="Times New Roman" w:cs="Times New Roman"/>
          <w:sz w:val="24"/>
          <w:szCs w:val="24"/>
        </w:rPr>
        <w:t xml:space="preserve"> </w:t>
      </w:r>
    </w:p>
    <w:p w:rsidR="003B569D" w:rsidRDefault="00970C44" w:rsidP="00D34055">
      <w:pPr>
        <w:spacing w:after="0" w:line="480" w:lineRule="auto"/>
        <w:rPr>
          <w:rFonts w:ascii="Times New Roman" w:hAnsi="Times New Roman" w:cs="Times New Roman"/>
          <w:sz w:val="24"/>
          <w:szCs w:val="24"/>
        </w:rPr>
      </w:pPr>
      <w:r w:rsidRPr="00B15ED0">
        <w:rPr>
          <w:rFonts w:ascii="Times New Roman" w:hAnsi="Times New Roman" w:cs="Times New Roman"/>
          <w:sz w:val="24"/>
          <w:szCs w:val="24"/>
        </w:rPr>
        <w:tab/>
        <w:t xml:space="preserve">OHA is eligible to receive $1 million a year </w:t>
      </w:r>
      <w:r>
        <w:rPr>
          <w:rFonts w:ascii="Times New Roman" w:hAnsi="Times New Roman" w:cs="Times New Roman"/>
          <w:sz w:val="24"/>
          <w:szCs w:val="24"/>
        </w:rPr>
        <w:t>funded through the EE/PDR under</w:t>
      </w:r>
      <w:r w:rsidRPr="00B15ED0">
        <w:rPr>
          <w:rFonts w:ascii="Times New Roman" w:hAnsi="Times New Roman" w:cs="Times New Roman"/>
          <w:sz w:val="24"/>
          <w:szCs w:val="24"/>
        </w:rPr>
        <w:t xml:space="preserve"> the </w:t>
      </w:r>
      <w:r>
        <w:rPr>
          <w:rFonts w:ascii="Times New Roman" w:hAnsi="Times New Roman" w:cs="Times New Roman"/>
          <w:sz w:val="24"/>
          <w:szCs w:val="24"/>
        </w:rPr>
        <w:t>Joint Stipulation</w:t>
      </w:r>
      <w:r w:rsidRPr="00B15ED0">
        <w:rPr>
          <w:rFonts w:ascii="Times New Roman" w:hAnsi="Times New Roman" w:cs="Times New Roman"/>
          <w:sz w:val="24"/>
          <w:szCs w:val="24"/>
        </w:rPr>
        <w:t xml:space="preserve">. In addition to </w:t>
      </w:r>
      <w:r>
        <w:rPr>
          <w:rFonts w:ascii="Times New Roman" w:hAnsi="Times New Roman" w:cs="Times New Roman"/>
          <w:sz w:val="24"/>
          <w:szCs w:val="24"/>
        </w:rPr>
        <w:t>the $1 million</w:t>
      </w:r>
      <w:r w:rsidRPr="00B15ED0">
        <w:rPr>
          <w:rFonts w:ascii="Times New Roman" w:hAnsi="Times New Roman" w:cs="Times New Roman"/>
          <w:sz w:val="24"/>
          <w:szCs w:val="24"/>
        </w:rPr>
        <w:t xml:space="preserve">, OHA’s projects </w:t>
      </w:r>
      <w:r>
        <w:rPr>
          <w:rFonts w:ascii="Times New Roman" w:hAnsi="Times New Roman" w:cs="Times New Roman"/>
          <w:sz w:val="24"/>
          <w:szCs w:val="24"/>
        </w:rPr>
        <w:t>would be prioritized</w:t>
      </w:r>
      <w:r w:rsidRPr="00B15ED0">
        <w:rPr>
          <w:rFonts w:ascii="Times New Roman" w:hAnsi="Times New Roman" w:cs="Times New Roman"/>
          <w:sz w:val="24"/>
          <w:szCs w:val="24"/>
        </w:rPr>
        <w:t xml:space="preserve"> for Volt-Var optimization deployment, though the EE/PDR will be paid by all customers. The idea of Volt-Var is to optimize the enti</w:t>
      </w:r>
      <w:r>
        <w:rPr>
          <w:rFonts w:ascii="Times New Roman" w:hAnsi="Times New Roman" w:cs="Times New Roman"/>
          <w:sz w:val="24"/>
          <w:szCs w:val="24"/>
        </w:rPr>
        <w:t xml:space="preserve">re electricity system.  But </w:t>
      </w:r>
      <w:r w:rsidRPr="00B15ED0">
        <w:rPr>
          <w:rFonts w:ascii="Times New Roman" w:hAnsi="Times New Roman" w:cs="Times New Roman"/>
          <w:sz w:val="24"/>
          <w:szCs w:val="24"/>
        </w:rPr>
        <w:t xml:space="preserve">in AEP Ohio’s </w:t>
      </w:r>
    </w:p>
    <w:p w:rsidR="003B569D" w:rsidRDefault="003B569D">
      <w:pPr>
        <w:rPr>
          <w:rFonts w:ascii="Times New Roman" w:hAnsi="Times New Roman" w:cs="Times New Roman"/>
          <w:sz w:val="24"/>
          <w:szCs w:val="24"/>
        </w:rPr>
      </w:pPr>
      <w:r>
        <w:rPr>
          <w:rFonts w:ascii="Times New Roman" w:hAnsi="Times New Roman" w:cs="Times New Roman"/>
          <w:sz w:val="24"/>
          <w:szCs w:val="24"/>
        </w:rPr>
        <w:br w:type="page"/>
      </w:r>
    </w:p>
    <w:p w:rsidR="00970C44" w:rsidRPr="00B15ED0" w:rsidRDefault="00970C44" w:rsidP="00D34055">
      <w:pPr>
        <w:spacing w:after="0" w:line="480" w:lineRule="auto"/>
        <w:rPr>
          <w:rFonts w:ascii="Times New Roman" w:hAnsi="Times New Roman" w:cs="Times New Roman"/>
          <w:sz w:val="24"/>
          <w:szCs w:val="24"/>
        </w:rPr>
      </w:pPr>
      <w:r w:rsidRPr="00B15ED0">
        <w:rPr>
          <w:rFonts w:ascii="Times New Roman" w:hAnsi="Times New Roman" w:cs="Times New Roman"/>
          <w:sz w:val="24"/>
          <w:szCs w:val="24"/>
        </w:rPr>
        <w:t xml:space="preserve">territory, priority installation of Volt-Var will be provided to a party that decided to sign the </w:t>
      </w:r>
      <w:r>
        <w:rPr>
          <w:rFonts w:ascii="Times New Roman" w:hAnsi="Times New Roman" w:cs="Times New Roman"/>
          <w:sz w:val="24"/>
          <w:szCs w:val="24"/>
        </w:rPr>
        <w:t xml:space="preserve">Joint </w:t>
      </w:r>
      <w:r w:rsidRPr="00B15ED0">
        <w:rPr>
          <w:rFonts w:ascii="Times New Roman" w:hAnsi="Times New Roman" w:cs="Times New Roman"/>
          <w:sz w:val="24"/>
          <w:szCs w:val="24"/>
        </w:rPr>
        <w:t>Stipulation.</w:t>
      </w:r>
      <w:r w:rsidRPr="00B15ED0">
        <w:rPr>
          <w:rStyle w:val="FootnoteReference"/>
          <w:rFonts w:ascii="Times New Roman" w:hAnsi="Times New Roman"/>
          <w:sz w:val="24"/>
          <w:szCs w:val="24"/>
        </w:rPr>
        <w:footnoteReference w:id="284"/>
      </w:r>
      <w:r w:rsidRPr="00B15ED0">
        <w:rPr>
          <w:rFonts w:ascii="Times New Roman" w:hAnsi="Times New Roman" w:cs="Times New Roman"/>
          <w:sz w:val="24"/>
          <w:szCs w:val="24"/>
        </w:rPr>
        <w:t xml:space="preserve"> </w:t>
      </w:r>
    </w:p>
    <w:p w:rsidR="002C3C29" w:rsidRDefault="00970C44" w:rsidP="006C1B41">
      <w:pPr>
        <w:spacing w:after="0" w:line="480" w:lineRule="auto"/>
        <w:rPr>
          <w:rFonts w:ascii="Times New Roman" w:hAnsi="Times New Roman" w:cs="Times New Roman"/>
          <w:sz w:val="24"/>
          <w:szCs w:val="24"/>
        </w:rPr>
      </w:pPr>
      <w:r w:rsidRPr="00B15ED0">
        <w:rPr>
          <w:rFonts w:ascii="Times New Roman" w:hAnsi="Times New Roman" w:cs="Times New Roman"/>
          <w:sz w:val="24"/>
          <w:szCs w:val="24"/>
        </w:rPr>
        <w:tab/>
        <w:t xml:space="preserve">OPAE is another party that decided to sign the </w:t>
      </w:r>
      <w:r>
        <w:rPr>
          <w:rFonts w:ascii="Times New Roman" w:hAnsi="Times New Roman" w:cs="Times New Roman"/>
          <w:sz w:val="24"/>
          <w:szCs w:val="24"/>
        </w:rPr>
        <w:t>Joint Stipulation</w:t>
      </w:r>
      <w:r w:rsidRPr="00B15ED0">
        <w:rPr>
          <w:rFonts w:ascii="Times New Roman" w:hAnsi="Times New Roman" w:cs="Times New Roman"/>
          <w:sz w:val="24"/>
          <w:szCs w:val="24"/>
        </w:rPr>
        <w:t xml:space="preserve"> to further finance its interests</w:t>
      </w:r>
      <w:r>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Pr>
          <w:rFonts w:ascii="Times New Roman" w:hAnsi="Times New Roman" w:cs="Times New Roman"/>
          <w:sz w:val="24"/>
          <w:szCs w:val="24"/>
        </w:rPr>
        <w:t xml:space="preserve">Under the Joint </w:t>
      </w:r>
      <w:r w:rsidRPr="00B15ED0">
        <w:rPr>
          <w:rFonts w:ascii="Times New Roman" w:hAnsi="Times New Roman" w:cs="Times New Roman"/>
          <w:sz w:val="24"/>
          <w:szCs w:val="24"/>
        </w:rPr>
        <w:t xml:space="preserve">Stipulation, OPAE </w:t>
      </w:r>
      <w:r w:rsidR="00D41D6D">
        <w:rPr>
          <w:rFonts w:ascii="Times New Roman" w:hAnsi="Times New Roman" w:cs="Times New Roman"/>
          <w:sz w:val="24"/>
          <w:szCs w:val="24"/>
        </w:rPr>
        <w:t>will receive</w:t>
      </w:r>
      <w:r w:rsidRPr="00B15ED0">
        <w:rPr>
          <w:rFonts w:ascii="Times New Roman" w:hAnsi="Times New Roman" w:cs="Times New Roman"/>
          <w:sz w:val="24"/>
          <w:szCs w:val="24"/>
        </w:rPr>
        <w:t xml:space="preserve"> five percent of the </w:t>
      </w:r>
      <w:r w:rsidR="00CE4619">
        <w:rPr>
          <w:rFonts w:ascii="Times New Roman" w:hAnsi="Times New Roman" w:cs="Times New Roman"/>
          <w:sz w:val="24"/>
          <w:szCs w:val="24"/>
        </w:rPr>
        <w:t>Community Action Program's</w:t>
      </w:r>
      <w:r w:rsidRPr="00B15ED0">
        <w:rPr>
          <w:rFonts w:ascii="Times New Roman" w:hAnsi="Times New Roman" w:cs="Times New Roman"/>
          <w:sz w:val="24"/>
          <w:szCs w:val="24"/>
        </w:rPr>
        <w:t xml:space="preserve"> </w:t>
      </w:r>
      <w:r w:rsidR="00D41D6D">
        <w:rPr>
          <w:rFonts w:ascii="Times New Roman" w:hAnsi="Times New Roman" w:cs="Times New Roman"/>
          <w:sz w:val="24"/>
          <w:szCs w:val="24"/>
        </w:rPr>
        <w:t xml:space="preserve">up to </w:t>
      </w:r>
      <w:r w:rsidRPr="00B15ED0">
        <w:rPr>
          <w:rFonts w:ascii="Times New Roman" w:hAnsi="Times New Roman" w:cs="Times New Roman"/>
          <w:sz w:val="24"/>
          <w:szCs w:val="24"/>
        </w:rPr>
        <w:t xml:space="preserve">$8 million annual budget to manage and administer the </w:t>
      </w:r>
      <w:r w:rsidR="00CE4619">
        <w:rPr>
          <w:rFonts w:ascii="Times New Roman" w:hAnsi="Times New Roman" w:cs="Times New Roman"/>
          <w:sz w:val="24"/>
          <w:szCs w:val="24"/>
        </w:rPr>
        <w:t>Community Action Program</w:t>
      </w:r>
      <w:r w:rsidRPr="00B15ED0">
        <w:rPr>
          <w:rFonts w:ascii="Times New Roman" w:hAnsi="Times New Roman" w:cs="Times New Roman"/>
          <w:sz w:val="24"/>
          <w:szCs w:val="24"/>
        </w:rPr>
        <w:t>.</w:t>
      </w:r>
      <w:r w:rsidRPr="00B15ED0">
        <w:rPr>
          <w:rStyle w:val="FootnoteReference"/>
          <w:rFonts w:ascii="Times New Roman" w:hAnsi="Times New Roman"/>
          <w:sz w:val="24"/>
          <w:szCs w:val="24"/>
        </w:rPr>
        <w:footnoteReference w:id="285"/>
      </w:r>
      <w:r w:rsidRPr="00B15ED0">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sidRPr="00B15ED0">
        <w:rPr>
          <w:rFonts w:ascii="Times New Roman" w:hAnsi="Times New Roman" w:cs="Times New Roman"/>
          <w:sz w:val="24"/>
          <w:szCs w:val="24"/>
        </w:rPr>
        <w:t>There is no requirement t</w:t>
      </w:r>
      <w:r>
        <w:rPr>
          <w:rFonts w:ascii="Times New Roman" w:hAnsi="Times New Roman" w:cs="Times New Roman"/>
          <w:sz w:val="24"/>
          <w:szCs w:val="24"/>
        </w:rPr>
        <w:t xml:space="preserve">hat administering </w:t>
      </w:r>
      <w:r w:rsidR="00CE4619">
        <w:rPr>
          <w:rFonts w:ascii="Times New Roman" w:hAnsi="Times New Roman" w:cs="Times New Roman"/>
          <w:sz w:val="24"/>
          <w:szCs w:val="24"/>
        </w:rPr>
        <w:t>Community Action Program</w:t>
      </w:r>
      <w:r w:rsidRPr="00B15ED0">
        <w:rPr>
          <w:rFonts w:ascii="Times New Roman" w:hAnsi="Times New Roman" w:cs="Times New Roman"/>
          <w:sz w:val="24"/>
          <w:szCs w:val="24"/>
        </w:rPr>
        <w:t xml:space="preserve"> be competitively bid so that other organizations may have the chance to offer their services to low</w:t>
      </w:r>
      <w:r w:rsidR="00F106A3">
        <w:rPr>
          <w:rFonts w:ascii="Times New Roman" w:hAnsi="Times New Roman" w:cs="Times New Roman"/>
          <w:sz w:val="24"/>
          <w:szCs w:val="24"/>
        </w:rPr>
        <w:t>-</w:t>
      </w:r>
      <w:r w:rsidRPr="00B15ED0">
        <w:rPr>
          <w:rFonts w:ascii="Times New Roman" w:hAnsi="Times New Roman" w:cs="Times New Roman"/>
          <w:sz w:val="24"/>
          <w:szCs w:val="24"/>
        </w:rPr>
        <w:t xml:space="preserve">income </w:t>
      </w:r>
      <w:r>
        <w:rPr>
          <w:rFonts w:ascii="Times New Roman" w:hAnsi="Times New Roman" w:cs="Times New Roman"/>
          <w:sz w:val="24"/>
          <w:szCs w:val="24"/>
        </w:rPr>
        <w:t xml:space="preserve">consumers at </w:t>
      </w:r>
      <w:r w:rsidR="00117162">
        <w:rPr>
          <w:rFonts w:ascii="Times New Roman" w:hAnsi="Times New Roman" w:cs="Times New Roman"/>
          <w:sz w:val="24"/>
          <w:szCs w:val="24"/>
        </w:rPr>
        <w:t xml:space="preserve">a </w:t>
      </w:r>
      <w:r>
        <w:rPr>
          <w:rFonts w:ascii="Times New Roman" w:hAnsi="Times New Roman" w:cs="Times New Roman"/>
          <w:sz w:val="24"/>
          <w:szCs w:val="24"/>
        </w:rPr>
        <w:t>lower</w:t>
      </w:r>
      <w:r w:rsidR="00117162">
        <w:rPr>
          <w:rFonts w:ascii="Times New Roman" w:hAnsi="Times New Roman" w:cs="Times New Roman"/>
          <w:sz w:val="24"/>
          <w:szCs w:val="24"/>
        </w:rPr>
        <w:t xml:space="preserve">, more </w:t>
      </w:r>
    </w:p>
    <w:p w:rsidR="00970C44" w:rsidRPr="00B15ED0" w:rsidRDefault="00117162" w:rsidP="00D34055">
      <w:pPr>
        <w:spacing w:after="0" w:line="480" w:lineRule="auto"/>
        <w:rPr>
          <w:rFonts w:ascii="Times New Roman" w:hAnsi="Times New Roman" w:cs="Times New Roman"/>
          <w:sz w:val="24"/>
          <w:szCs w:val="24"/>
        </w:rPr>
      </w:pPr>
      <w:r>
        <w:rPr>
          <w:rFonts w:ascii="Times New Roman" w:hAnsi="Times New Roman" w:cs="Times New Roman"/>
          <w:sz w:val="24"/>
          <w:szCs w:val="24"/>
        </w:rPr>
        <w:t>economical</w:t>
      </w:r>
      <w:r w:rsidR="00970C44">
        <w:rPr>
          <w:rFonts w:ascii="Times New Roman" w:hAnsi="Times New Roman" w:cs="Times New Roman"/>
          <w:sz w:val="24"/>
          <w:szCs w:val="24"/>
        </w:rPr>
        <w:t xml:space="preserve"> cost. </w:t>
      </w:r>
      <w:r w:rsidR="00B03B3B">
        <w:rPr>
          <w:rFonts w:ascii="Times New Roman" w:hAnsi="Times New Roman" w:cs="Times New Roman"/>
          <w:sz w:val="24"/>
          <w:szCs w:val="24"/>
        </w:rPr>
        <w:t xml:space="preserve"> </w:t>
      </w:r>
      <w:r w:rsidR="00970C44">
        <w:rPr>
          <w:rFonts w:ascii="Times New Roman" w:hAnsi="Times New Roman" w:cs="Times New Roman"/>
          <w:sz w:val="24"/>
          <w:szCs w:val="24"/>
        </w:rPr>
        <w:t>If</w:t>
      </w:r>
      <w:r w:rsidR="00970C44" w:rsidRPr="00B15ED0">
        <w:rPr>
          <w:rFonts w:ascii="Times New Roman" w:hAnsi="Times New Roman" w:cs="Times New Roman"/>
          <w:sz w:val="24"/>
          <w:szCs w:val="24"/>
        </w:rPr>
        <w:t xml:space="preserve"> a lower administrative cost could be achieved, there would be more benefits </w:t>
      </w:r>
      <w:r>
        <w:rPr>
          <w:rFonts w:ascii="Times New Roman" w:hAnsi="Times New Roman" w:cs="Times New Roman"/>
          <w:sz w:val="24"/>
          <w:szCs w:val="24"/>
        </w:rPr>
        <w:t>available</w:t>
      </w:r>
      <w:r w:rsidR="00970C44" w:rsidRPr="00B15ED0">
        <w:rPr>
          <w:rFonts w:ascii="Times New Roman" w:hAnsi="Times New Roman" w:cs="Times New Roman"/>
          <w:sz w:val="24"/>
          <w:szCs w:val="24"/>
        </w:rPr>
        <w:t xml:space="preserve"> to the </w:t>
      </w:r>
      <w:r w:rsidR="00CE4619">
        <w:rPr>
          <w:rFonts w:ascii="Times New Roman" w:hAnsi="Times New Roman" w:cs="Times New Roman"/>
          <w:sz w:val="24"/>
          <w:szCs w:val="24"/>
        </w:rPr>
        <w:t>Community Action Program</w:t>
      </w:r>
      <w:r w:rsidR="00970C44" w:rsidRPr="00B15ED0">
        <w:rPr>
          <w:rFonts w:ascii="Times New Roman" w:hAnsi="Times New Roman" w:cs="Times New Roman"/>
          <w:sz w:val="24"/>
          <w:szCs w:val="24"/>
        </w:rPr>
        <w:t xml:space="preserve"> for low income customers.</w:t>
      </w:r>
      <w:r w:rsidR="009574B5">
        <w:rPr>
          <w:rStyle w:val="FootnoteReference"/>
          <w:rFonts w:ascii="Times New Roman" w:hAnsi="Times New Roman" w:cs="Times New Roman"/>
          <w:sz w:val="24"/>
          <w:szCs w:val="24"/>
        </w:rPr>
        <w:footnoteReference w:id="286"/>
      </w:r>
    </w:p>
    <w:p w:rsidR="003B569D" w:rsidRDefault="00970C44" w:rsidP="00944942">
      <w:pPr>
        <w:spacing w:after="0" w:line="480" w:lineRule="auto"/>
        <w:rPr>
          <w:rFonts w:ascii="Times New Roman" w:hAnsi="Times New Roman" w:cs="Times New Roman"/>
          <w:sz w:val="24"/>
          <w:szCs w:val="24"/>
        </w:rPr>
      </w:pPr>
      <w:r w:rsidRPr="00B15ED0">
        <w:rPr>
          <w:rFonts w:ascii="Times New Roman" w:hAnsi="Times New Roman" w:cs="Times New Roman"/>
          <w:sz w:val="24"/>
          <w:szCs w:val="24"/>
        </w:rPr>
        <w:tab/>
      </w:r>
      <w:r w:rsidR="00594264">
        <w:rPr>
          <w:rFonts w:ascii="Times New Roman" w:hAnsi="Times New Roman" w:cs="Times New Roman"/>
          <w:sz w:val="24"/>
          <w:szCs w:val="24"/>
        </w:rPr>
        <w:t>A</w:t>
      </w:r>
      <w:r w:rsidR="00594264" w:rsidRPr="00B15ED0">
        <w:rPr>
          <w:rFonts w:ascii="Times New Roman" w:hAnsi="Times New Roman" w:cs="Times New Roman"/>
          <w:sz w:val="24"/>
          <w:szCs w:val="24"/>
        </w:rPr>
        <w:t xml:space="preserve"> </w:t>
      </w:r>
      <w:r>
        <w:rPr>
          <w:rFonts w:ascii="Times New Roman" w:hAnsi="Times New Roman" w:cs="Times New Roman"/>
          <w:sz w:val="24"/>
          <w:szCs w:val="24"/>
        </w:rPr>
        <w:t xml:space="preserve">financial </w:t>
      </w:r>
      <w:r w:rsidR="00F22262">
        <w:rPr>
          <w:rFonts w:ascii="Times New Roman" w:hAnsi="Times New Roman" w:cs="Times New Roman"/>
          <w:sz w:val="24"/>
          <w:szCs w:val="24"/>
        </w:rPr>
        <w:t>benefit</w:t>
      </w:r>
      <w:r w:rsidR="006526F4">
        <w:rPr>
          <w:rFonts w:ascii="Times New Roman" w:hAnsi="Times New Roman" w:cs="Times New Roman"/>
          <w:sz w:val="24"/>
          <w:szCs w:val="24"/>
        </w:rPr>
        <w:t xml:space="preserve"> </w:t>
      </w:r>
      <w:r>
        <w:rPr>
          <w:rFonts w:ascii="Times New Roman" w:hAnsi="Times New Roman" w:cs="Times New Roman"/>
          <w:sz w:val="24"/>
          <w:szCs w:val="24"/>
        </w:rPr>
        <w:t xml:space="preserve">will be provided to </w:t>
      </w:r>
      <w:r w:rsidR="00CE4619">
        <w:rPr>
          <w:rFonts w:ascii="Times New Roman" w:hAnsi="Times New Roman" w:cs="Times New Roman"/>
          <w:sz w:val="24"/>
          <w:szCs w:val="24"/>
        </w:rPr>
        <w:t>IEU</w:t>
      </w:r>
      <w:r>
        <w:rPr>
          <w:rFonts w:ascii="Times New Roman" w:hAnsi="Times New Roman" w:cs="Times New Roman"/>
          <w:sz w:val="24"/>
          <w:szCs w:val="24"/>
        </w:rPr>
        <w:t xml:space="preserve">.  In return for </w:t>
      </w:r>
      <w:r w:rsidR="00594264">
        <w:rPr>
          <w:rFonts w:ascii="Times New Roman" w:hAnsi="Times New Roman" w:cs="Times New Roman"/>
          <w:sz w:val="24"/>
          <w:szCs w:val="24"/>
        </w:rPr>
        <w:t xml:space="preserve">IEU not opposing the PPA Rider and </w:t>
      </w:r>
      <w:r>
        <w:rPr>
          <w:rFonts w:ascii="Times New Roman" w:hAnsi="Times New Roman" w:cs="Times New Roman"/>
          <w:sz w:val="24"/>
          <w:szCs w:val="24"/>
        </w:rPr>
        <w:t xml:space="preserve">voluntarily withdrawing from a number of cases before the PUCO and the Ohio Supreme Court, AEP Ohio will pay </w:t>
      </w:r>
      <w:r w:rsidRPr="00B15ED0">
        <w:rPr>
          <w:rFonts w:ascii="Times New Roman" w:hAnsi="Times New Roman" w:cs="Times New Roman"/>
          <w:sz w:val="24"/>
          <w:szCs w:val="24"/>
        </w:rPr>
        <w:t>$8</w:t>
      </w:r>
      <w:r>
        <w:rPr>
          <w:rFonts w:ascii="Times New Roman" w:hAnsi="Times New Roman" w:cs="Times New Roman"/>
          <w:sz w:val="24"/>
          <w:szCs w:val="24"/>
        </w:rPr>
        <w:t xml:space="preserve"> million</w:t>
      </w:r>
      <w:r w:rsidR="00F22262">
        <w:rPr>
          <w:rFonts w:ascii="Times New Roman" w:hAnsi="Times New Roman" w:cs="Times New Roman"/>
          <w:sz w:val="24"/>
          <w:szCs w:val="24"/>
        </w:rPr>
        <w:t xml:space="preserve"> to IEU</w:t>
      </w:r>
      <w:r w:rsidRPr="00B15ED0">
        <w:rPr>
          <w:rFonts w:ascii="Times New Roman" w:hAnsi="Times New Roman" w:cs="Times New Roman"/>
          <w:sz w:val="24"/>
          <w:szCs w:val="24"/>
        </w:rPr>
        <w:t>.</w:t>
      </w:r>
      <w:r w:rsidRPr="00B15ED0">
        <w:rPr>
          <w:rStyle w:val="FootnoteReference"/>
          <w:rFonts w:ascii="Times New Roman" w:hAnsi="Times New Roman"/>
          <w:sz w:val="24"/>
          <w:szCs w:val="24"/>
        </w:rPr>
        <w:footnoteReference w:id="287"/>
      </w:r>
      <w:r w:rsidRPr="00B15ED0">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Pr>
          <w:rFonts w:ascii="Times New Roman" w:hAnsi="Times New Roman" w:cs="Times New Roman"/>
          <w:sz w:val="24"/>
          <w:szCs w:val="24"/>
        </w:rPr>
        <w:t>So</w:t>
      </w:r>
      <w:r w:rsidR="00F22262">
        <w:rPr>
          <w:rFonts w:ascii="Times New Roman" w:hAnsi="Times New Roman" w:cs="Times New Roman"/>
          <w:sz w:val="24"/>
          <w:szCs w:val="24"/>
        </w:rPr>
        <w:t xml:space="preserve"> AEP Ohio could not </w:t>
      </w:r>
    </w:p>
    <w:p w:rsidR="003B569D" w:rsidRDefault="003B569D">
      <w:pPr>
        <w:rPr>
          <w:rFonts w:ascii="Times New Roman" w:hAnsi="Times New Roman" w:cs="Times New Roman"/>
          <w:sz w:val="24"/>
          <w:szCs w:val="24"/>
        </w:rPr>
      </w:pPr>
      <w:r>
        <w:rPr>
          <w:rFonts w:ascii="Times New Roman" w:hAnsi="Times New Roman" w:cs="Times New Roman"/>
          <w:sz w:val="24"/>
          <w:szCs w:val="24"/>
        </w:rPr>
        <w:br w:type="page"/>
      </w:r>
    </w:p>
    <w:p w:rsidR="00970C44" w:rsidRPr="00B15ED0" w:rsidRDefault="00F22262" w:rsidP="0094494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even </w:t>
      </w:r>
      <w:r w:rsidR="00594264">
        <w:rPr>
          <w:rFonts w:ascii="Times New Roman" w:hAnsi="Times New Roman" w:cs="Times New Roman"/>
          <w:sz w:val="24"/>
          <w:szCs w:val="24"/>
        </w:rPr>
        <w:t>resolve its bargaining with</w:t>
      </w:r>
      <w:r w:rsidR="00970C44">
        <w:rPr>
          <w:rFonts w:ascii="Times New Roman" w:hAnsi="Times New Roman" w:cs="Times New Roman"/>
          <w:sz w:val="24"/>
          <w:szCs w:val="24"/>
        </w:rPr>
        <w:t xml:space="preserve"> IEU</w:t>
      </w:r>
      <w:r w:rsidR="00594264">
        <w:rPr>
          <w:rFonts w:ascii="Times New Roman" w:hAnsi="Times New Roman" w:cs="Times New Roman"/>
          <w:sz w:val="24"/>
          <w:szCs w:val="24"/>
        </w:rPr>
        <w:t xml:space="preserve"> (perhaps to IEU’s credit) to reach agreement on the PPA</w:t>
      </w:r>
      <w:r w:rsidR="00970C44">
        <w:rPr>
          <w:rFonts w:ascii="Times New Roman" w:hAnsi="Times New Roman" w:cs="Times New Roman"/>
          <w:sz w:val="24"/>
          <w:szCs w:val="24"/>
        </w:rPr>
        <w:t>.</w:t>
      </w:r>
      <w:r w:rsidR="00561366">
        <w:rPr>
          <w:rStyle w:val="FootnoteReference"/>
          <w:rFonts w:ascii="Times New Roman" w:hAnsi="Times New Roman" w:cs="Times New Roman"/>
          <w:sz w:val="24"/>
          <w:szCs w:val="24"/>
        </w:rPr>
        <w:footnoteReference w:id="288"/>
      </w:r>
      <w:r w:rsidR="00970C44">
        <w:rPr>
          <w:rFonts w:ascii="Times New Roman" w:hAnsi="Times New Roman" w:cs="Times New Roman"/>
          <w:sz w:val="24"/>
          <w:szCs w:val="24"/>
        </w:rPr>
        <w:t xml:space="preserve"> </w:t>
      </w:r>
    </w:p>
    <w:p w:rsidR="00970C44" w:rsidRPr="00B15ED0" w:rsidRDefault="00970C44" w:rsidP="00944942">
      <w:pPr>
        <w:spacing w:after="0" w:line="480" w:lineRule="auto"/>
        <w:rPr>
          <w:rFonts w:ascii="Times New Roman" w:hAnsi="Times New Roman" w:cs="Times New Roman"/>
          <w:sz w:val="24"/>
          <w:szCs w:val="24"/>
        </w:rPr>
      </w:pPr>
      <w:r w:rsidRPr="00B15ED0">
        <w:rPr>
          <w:rFonts w:ascii="Times New Roman" w:hAnsi="Times New Roman" w:cs="Times New Roman"/>
          <w:sz w:val="24"/>
          <w:szCs w:val="24"/>
        </w:rPr>
        <w:tab/>
      </w:r>
      <w:r>
        <w:rPr>
          <w:rFonts w:ascii="Times New Roman" w:hAnsi="Times New Roman" w:cs="Times New Roman"/>
          <w:sz w:val="24"/>
          <w:szCs w:val="24"/>
        </w:rPr>
        <w:t xml:space="preserve">OCC Witness Haugh highlighted the importance of the specific provisions that Direct Energy, IGS, and Sierra Club </w:t>
      </w:r>
      <w:r w:rsidR="00A35198">
        <w:rPr>
          <w:rFonts w:ascii="Times New Roman" w:hAnsi="Times New Roman" w:cs="Times New Roman"/>
          <w:sz w:val="24"/>
          <w:szCs w:val="24"/>
        </w:rPr>
        <w:t xml:space="preserve">opted out of by </w:t>
      </w:r>
      <w:r>
        <w:rPr>
          <w:rFonts w:ascii="Times New Roman" w:hAnsi="Times New Roman" w:cs="Times New Roman"/>
          <w:sz w:val="24"/>
          <w:szCs w:val="24"/>
        </w:rPr>
        <w:t>footnot</w:t>
      </w:r>
      <w:r w:rsidR="00A35198">
        <w:rPr>
          <w:rFonts w:ascii="Times New Roman" w:hAnsi="Times New Roman" w:cs="Times New Roman"/>
          <w:sz w:val="24"/>
          <w:szCs w:val="24"/>
        </w:rPr>
        <w:t>e</w:t>
      </w:r>
      <w:r>
        <w:rPr>
          <w:rFonts w:ascii="Times New Roman" w:hAnsi="Times New Roman" w:cs="Times New Roman"/>
          <w:sz w:val="24"/>
          <w:szCs w:val="24"/>
        </w:rPr>
        <w:t xml:space="preserve">.  </w:t>
      </w:r>
      <w:r w:rsidRPr="00B15ED0">
        <w:rPr>
          <w:rFonts w:ascii="Times New Roman" w:hAnsi="Times New Roman" w:cs="Times New Roman"/>
          <w:sz w:val="24"/>
          <w:szCs w:val="24"/>
        </w:rPr>
        <w:t xml:space="preserve">When looking closely at </w:t>
      </w:r>
      <w:r>
        <w:rPr>
          <w:rFonts w:ascii="Times New Roman" w:hAnsi="Times New Roman" w:cs="Times New Roman"/>
          <w:sz w:val="24"/>
          <w:szCs w:val="24"/>
        </w:rPr>
        <w:t xml:space="preserve">them, it is apparent that </w:t>
      </w:r>
      <w:r w:rsidR="00D41D6D">
        <w:rPr>
          <w:rFonts w:ascii="Times New Roman" w:hAnsi="Times New Roman" w:cs="Times New Roman"/>
          <w:sz w:val="24"/>
          <w:szCs w:val="24"/>
        </w:rPr>
        <w:t>those Signatory Parties</w:t>
      </w:r>
      <w:r>
        <w:rPr>
          <w:rFonts w:ascii="Times New Roman" w:hAnsi="Times New Roman" w:cs="Times New Roman"/>
          <w:sz w:val="24"/>
          <w:szCs w:val="24"/>
        </w:rPr>
        <w:t xml:space="preserve"> </w:t>
      </w:r>
      <w:r w:rsidRPr="00B15ED0">
        <w:rPr>
          <w:rFonts w:ascii="Times New Roman" w:hAnsi="Times New Roman" w:cs="Times New Roman"/>
          <w:sz w:val="24"/>
          <w:szCs w:val="24"/>
        </w:rPr>
        <w:t xml:space="preserve">do not support key provisions of the </w:t>
      </w:r>
      <w:r>
        <w:rPr>
          <w:rFonts w:ascii="Times New Roman" w:hAnsi="Times New Roman" w:cs="Times New Roman"/>
          <w:sz w:val="24"/>
          <w:szCs w:val="24"/>
        </w:rPr>
        <w:t xml:space="preserve">Joint Stipulation. </w:t>
      </w:r>
      <w:r w:rsidR="00B03B3B">
        <w:rPr>
          <w:rFonts w:ascii="Times New Roman" w:hAnsi="Times New Roman" w:cs="Times New Roman"/>
          <w:sz w:val="24"/>
          <w:szCs w:val="24"/>
        </w:rPr>
        <w:t xml:space="preserve"> </w:t>
      </w:r>
      <w:r w:rsidR="00A35198">
        <w:rPr>
          <w:rFonts w:ascii="Times New Roman" w:hAnsi="Times New Roman" w:cs="Times New Roman"/>
          <w:sz w:val="24"/>
          <w:szCs w:val="24"/>
        </w:rPr>
        <w:t>Further reflecting that AEP Ohio has failed the first prong of the settlement standard</w:t>
      </w:r>
      <w:r>
        <w:rPr>
          <w:rFonts w:ascii="Times New Roman" w:hAnsi="Times New Roman" w:cs="Times New Roman"/>
          <w:sz w:val="24"/>
          <w:szCs w:val="24"/>
        </w:rPr>
        <w:t xml:space="preserve">, </w:t>
      </w:r>
      <w:r w:rsidR="00A35198">
        <w:rPr>
          <w:rFonts w:ascii="Times New Roman" w:hAnsi="Times New Roman" w:cs="Times New Roman"/>
          <w:sz w:val="24"/>
          <w:szCs w:val="24"/>
        </w:rPr>
        <w:t>Direct Energy, IGS, and Sierra Club</w:t>
      </w:r>
      <w:r w:rsidR="00A35198" w:rsidDel="00A35198">
        <w:rPr>
          <w:rFonts w:ascii="Times New Roman" w:hAnsi="Times New Roman" w:cs="Times New Roman"/>
          <w:sz w:val="24"/>
          <w:szCs w:val="24"/>
        </w:rPr>
        <w:t xml:space="preserve"> </w:t>
      </w:r>
      <w:r w:rsidR="00A35198">
        <w:rPr>
          <w:rFonts w:ascii="Times New Roman" w:hAnsi="Times New Roman" w:cs="Times New Roman"/>
          <w:sz w:val="24"/>
          <w:szCs w:val="24"/>
        </w:rPr>
        <w:t xml:space="preserve">all </w:t>
      </w:r>
      <w:r w:rsidRPr="00B15ED0">
        <w:rPr>
          <w:rFonts w:ascii="Times New Roman" w:hAnsi="Times New Roman" w:cs="Times New Roman"/>
          <w:sz w:val="24"/>
          <w:szCs w:val="24"/>
        </w:rPr>
        <w:t>are not participating in the</w:t>
      </w:r>
      <w:r w:rsidR="00A35198">
        <w:rPr>
          <w:rFonts w:ascii="Times New Roman" w:hAnsi="Times New Roman" w:cs="Times New Roman"/>
          <w:sz w:val="24"/>
          <w:szCs w:val="24"/>
        </w:rPr>
        <w:t xml:space="preserve"> key settlement</w:t>
      </w:r>
      <w:r w:rsidRPr="00B15ED0">
        <w:rPr>
          <w:rFonts w:ascii="Times New Roman" w:hAnsi="Times New Roman" w:cs="Times New Roman"/>
          <w:sz w:val="24"/>
          <w:szCs w:val="24"/>
        </w:rPr>
        <w:t xml:space="preserve"> </w:t>
      </w:r>
      <w:r w:rsidR="00A35198">
        <w:rPr>
          <w:rFonts w:ascii="Times New Roman" w:hAnsi="Times New Roman" w:cs="Times New Roman"/>
          <w:sz w:val="24"/>
          <w:szCs w:val="24"/>
        </w:rPr>
        <w:t>term</w:t>
      </w:r>
      <w:r w:rsidR="00A35198" w:rsidRPr="00B15ED0">
        <w:rPr>
          <w:rFonts w:ascii="Times New Roman" w:hAnsi="Times New Roman" w:cs="Times New Roman"/>
          <w:sz w:val="24"/>
          <w:szCs w:val="24"/>
        </w:rPr>
        <w:t xml:space="preserve"> </w:t>
      </w:r>
      <w:r w:rsidRPr="00B15ED0">
        <w:rPr>
          <w:rFonts w:ascii="Times New Roman" w:hAnsi="Times New Roman" w:cs="Times New Roman"/>
          <w:sz w:val="24"/>
          <w:szCs w:val="24"/>
        </w:rPr>
        <w:t>that “the Commission should approve the Amended Application of Ohio Power Company as filed on May 15, 2015.”</w:t>
      </w:r>
      <w:r w:rsidRPr="00B15ED0">
        <w:rPr>
          <w:rStyle w:val="FootnoteReference"/>
          <w:rFonts w:ascii="Times New Roman" w:hAnsi="Times New Roman"/>
          <w:sz w:val="24"/>
          <w:szCs w:val="24"/>
        </w:rPr>
        <w:footnoteReference w:id="289"/>
      </w:r>
      <w:r w:rsidRPr="00B15ED0">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B15ED0">
        <w:rPr>
          <w:rFonts w:ascii="Times New Roman" w:hAnsi="Times New Roman" w:cs="Times New Roman"/>
          <w:sz w:val="24"/>
          <w:szCs w:val="24"/>
        </w:rPr>
        <w:t xml:space="preserve">three </w:t>
      </w:r>
      <w:r>
        <w:rPr>
          <w:rFonts w:ascii="Times New Roman" w:hAnsi="Times New Roman" w:cs="Times New Roman"/>
          <w:sz w:val="24"/>
          <w:szCs w:val="24"/>
        </w:rPr>
        <w:t xml:space="preserve">also </w:t>
      </w:r>
      <w:r w:rsidRPr="00B15ED0">
        <w:rPr>
          <w:rFonts w:ascii="Times New Roman" w:hAnsi="Times New Roman" w:cs="Times New Roman"/>
          <w:sz w:val="24"/>
          <w:szCs w:val="24"/>
        </w:rPr>
        <w:t xml:space="preserve">opted out of </w:t>
      </w:r>
      <w:r>
        <w:rPr>
          <w:rFonts w:ascii="Times New Roman" w:hAnsi="Times New Roman" w:cs="Times New Roman"/>
          <w:sz w:val="24"/>
          <w:szCs w:val="24"/>
        </w:rPr>
        <w:t>the provision</w:t>
      </w:r>
      <w:r w:rsidRPr="00B15ED0">
        <w:rPr>
          <w:rFonts w:ascii="Times New Roman" w:hAnsi="Times New Roman" w:cs="Times New Roman"/>
          <w:sz w:val="24"/>
          <w:szCs w:val="24"/>
        </w:rPr>
        <w:t xml:space="preserve"> that “it would be prudent for AEP Ohio to sign a Revised Affiliate PPA.”</w:t>
      </w:r>
      <w:r w:rsidRPr="00B15ED0">
        <w:rPr>
          <w:rStyle w:val="FootnoteReference"/>
          <w:rFonts w:ascii="Times New Roman" w:hAnsi="Times New Roman"/>
          <w:sz w:val="24"/>
          <w:szCs w:val="24"/>
        </w:rPr>
        <w:footnoteReference w:id="290"/>
      </w:r>
      <w:r w:rsidR="00A35198">
        <w:rPr>
          <w:rFonts w:ascii="Times New Roman" w:hAnsi="Times New Roman" w:cs="Times New Roman"/>
          <w:sz w:val="24"/>
          <w:szCs w:val="24"/>
        </w:rPr>
        <w:t xml:space="preserve">  </w:t>
      </w:r>
    </w:p>
    <w:p w:rsidR="004F3D69" w:rsidRDefault="00970C44" w:rsidP="00944942">
      <w:pPr>
        <w:spacing w:after="0" w:line="480" w:lineRule="auto"/>
        <w:rPr>
          <w:rFonts w:ascii="Times New Roman" w:hAnsi="Times New Roman" w:cs="Times New Roman"/>
          <w:sz w:val="24"/>
          <w:szCs w:val="24"/>
        </w:rPr>
      </w:pPr>
      <w:r w:rsidRPr="00B15ED0">
        <w:rPr>
          <w:rFonts w:ascii="Times New Roman" w:hAnsi="Times New Roman" w:cs="Times New Roman"/>
          <w:sz w:val="24"/>
          <w:szCs w:val="24"/>
        </w:rPr>
        <w:tab/>
        <w:t>An</w:t>
      </w:r>
      <w:r>
        <w:rPr>
          <w:rFonts w:ascii="Times New Roman" w:hAnsi="Times New Roman" w:cs="Times New Roman"/>
          <w:sz w:val="24"/>
          <w:szCs w:val="24"/>
        </w:rPr>
        <w:t>other</w:t>
      </w:r>
      <w:r w:rsidRPr="00B15ED0">
        <w:rPr>
          <w:rFonts w:ascii="Times New Roman" w:hAnsi="Times New Roman" w:cs="Times New Roman"/>
          <w:sz w:val="24"/>
          <w:szCs w:val="24"/>
        </w:rPr>
        <w:t xml:space="preserve"> important criterion </w:t>
      </w:r>
      <w:r>
        <w:rPr>
          <w:rFonts w:ascii="Times New Roman" w:hAnsi="Times New Roman" w:cs="Times New Roman"/>
          <w:sz w:val="24"/>
          <w:szCs w:val="24"/>
        </w:rPr>
        <w:t>under the three-prong test analyzed by OCC Witness Haugh</w:t>
      </w:r>
      <w:r w:rsidRPr="00B15ED0">
        <w:rPr>
          <w:rFonts w:ascii="Times New Roman" w:hAnsi="Times New Roman" w:cs="Times New Roman"/>
          <w:sz w:val="24"/>
          <w:szCs w:val="24"/>
        </w:rPr>
        <w:t xml:space="preserve"> is</w:t>
      </w:r>
      <w:r>
        <w:rPr>
          <w:rFonts w:ascii="Times New Roman" w:hAnsi="Times New Roman" w:cs="Times New Roman"/>
          <w:sz w:val="24"/>
          <w:szCs w:val="24"/>
        </w:rPr>
        <w:t xml:space="preserve"> whether the Joint Stipulation </w:t>
      </w:r>
      <w:r w:rsidRPr="00B15ED0">
        <w:rPr>
          <w:rFonts w:ascii="Times New Roman" w:hAnsi="Times New Roman" w:cs="Times New Roman"/>
          <w:sz w:val="24"/>
          <w:szCs w:val="24"/>
        </w:rPr>
        <w:t xml:space="preserve">violates any </w:t>
      </w:r>
      <w:r>
        <w:rPr>
          <w:rFonts w:ascii="Times New Roman" w:hAnsi="Times New Roman" w:cs="Times New Roman"/>
          <w:sz w:val="24"/>
          <w:szCs w:val="24"/>
        </w:rPr>
        <w:t xml:space="preserve">important </w:t>
      </w:r>
      <w:r w:rsidRPr="00B15ED0">
        <w:rPr>
          <w:rFonts w:ascii="Times New Roman" w:hAnsi="Times New Roman" w:cs="Times New Roman"/>
          <w:sz w:val="24"/>
          <w:szCs w:val="24"/>
        </w:rPr>
        <w:t xml:space="preserve">regulatory principle or practice. </w:t>
      </w:r>
      <w:r w:rsidR="00B03B3B">
        <w:rPr>
          <w:rFonts w:ascii="Times New Roman" w:hAnsi="Times New Roman" w:cs="Times New Roman"/>
          <w:sz w:val="24"/>
          <w:szCs w:val="24"/>
        </w:rPr>
        <w:t xml:space="preserve"> </w:t>
      </w:r>
      <w:r w:rsidRPr="00B15ED0">
        <w:rPr>
          <w:rFonts w:ascii="Times New Roman" w:hAnsi="Times New Roman" w:cs="Times New Roman"/>
          <w:sz w:val="24"/>
          <w:szCs w:val="24"/>
        </w:rPr>
        <w:t xml:space="preserve">The </w:t>
      </w:r>
      <w:r>
        <w:rPr>
          <w:rFonts w:ascii="Times New Roman" w:hAnsi="Times New Roman" w:cs="Times New Roman"/>
          <w:sz w:val="24"/>
          <w:szCs w:val="24"/>
        </w:rPr>
        <w:t xml:space="preserve">Joint </w:t>
      </w:r>
      <w:r w:rsidRPr="00B15ED0">
        <w:rPr>
          <w:rFonts w:ascii="Times New Roman" w:hAnsi="Times New Roman" w:cs="Times New Roman"/>
          <w:sz w:val="24"/>
          <w:szCs w:val="24"/>
        </w:rPr>
        <w:t xml:space="preserve">Stipulation </w:t>
      </w:r>
      <w:r>
        <w:rPr>
          <w:rFonts w:ascii="Times New Roman" w:hAnsi="Times New Roman" w:cs="Times New Roman"/>
          <w:sz w:val="24"/>
          <w:szCs w:val="24"/>
        </w:rPr>
        <w:t>proposes to add</w:t>
      </w:r>
      <w:r w:rsidRPr="00B15ED0">
        <w:rPr>
          <w:rFonts w:ascii="Times New Roman" w:hAnsi="Times New Roman" w:cs="Times New Roman"/>
          <w:sz w:val="24"/>
          <w:szCs w:val="24"/>
        </w:rPr>
        <w:t xml:space="preserve"> brand new charges to customers</w:t>
      </w:r>
      <w:r>
        <w:rPr>
          <w:rFonts w:ascii="Times New Roman" w:hAnsi="Times New Roman" w:cs="Times New Roman"/>
          <w:sz w:val="24"/>
          <w:szCs w:val="24"/>
        </w:rPr>
        <w:t xml:space="preserve"> through the addition of the </w:t>
      </w:r>
      <w:r w:rsidR="00477F2A">
        <w:rPr>
          <w:rFonts w:ascii="Times New Roman" w:hAnsi="Times New Roman" w:cs="Times New Roman"/>
          <w:sz w:val="24"/>
          <w:szCs w:val="24"/>
        </w:rPr>
        <w:t>Competition</w:t>
      </w:r>
      <w:r w:rsidR="00CE4619">
        <w:rPr>
          <w:rFonts w:ascii="Times New Roman" w:hAnsi="Times New Roman" w:cs="Times New Roman"/>
          <w:sz w:val="24"/>
          <w:szCs w:val="24"/>
        </w:rPr>
        <w:t xml:space="preserve"> Incentive Rider</w:t>
      </w:r>
      <w:r>
        <w:rPr>
          <w:rFonts w:ascii="Times New Roman" w:hAnsi="Times New Roman" w:cs="Times New Roman"/>
          <w:sz w:val="24"/>
          <w:szCs w:val="24"/>
        </w:rPr>
        <w:t>.</w:t>
      </w:r>
      <w:r w:rsidR="00D70313">
        <w:rPr>
          <w:rStyle w:val="FootnoteReference"/>
          <w:rFonts w:ascii="Times New Roman" w:hAnsi="Times New Roman" w:cs="Times New Roman"/>
          <w:sz w:val="24"/>
          <w:szCs w:val="24"/>
        </w:rPr>
        <w:footnoteReference w:id="291"/>
      </w:r>
      <w:r>
        <w:rPr>
          <w:rFonts w:ascii="Times New Roman" w:hAnsi="Times New Roman" w:cs="Times New Roman"/>
          <w:sz w:val="24"/>
          <w:szCs w:val="24"/>
        </w:rPr>
        <w:t xml:space="preserve"> </w:t>
      </w:r>
      <w:r w:rsidR="0094494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477F2A">
        <w:rPr>
          <w:rFonts w:ascii="Times New Roman" w:hAnsi="Times New Roman" w:cs="Times New Roman"/>
          <w:sz w:val="24"/>
          <w:szCs w:val="24"/>
        </w:rPr>
        <w:t>Competition</w:t>
      </w:r>
      <w:r w:rsidR="00CE4619">
        <w:rPr>
          <w:rFonts w:ascii="Times New Roman" w:hAnsi="Times New Roman" w:cs="Times New Roman"/>
          <w:sz w:val="24"/>
          <w:szCs w:val="24"/>
        </w:rPr>
        <w:t xml:space="preserve"> Incentive Rider'</w:t>
      </w:r>
      <w:r>
        <w:rPr>
          <w:rFonts w:ascii="Times New Roman" w:hAnsi="Times New Roman" w:cs="Times New Roman"/>
          <w:sz w:val="24"/>
          <w:szCs w:val="24"/>
        </w:rPr>
        <w:t xml:space="preserve">s </w:t>
      </w:r>
      <w:r w:rsidRPr="00B15ED0">
        <w:rPr>
          <w:rFonts w:ascii="Times New Roman" w:hAnsi="Times New Roman" w:cs="Times New Roman"/>
          <w:sz w:val="24"/>
          <w:szCs w:val="24"/>
        </w:rPr>
        <w:t>undet</w:t>
      </w:r>
      <w:r>
        <w:rPr>
          <w:rFonts w:ascii="Times New Roman" w:hAnsi="Times New Roman" w:cs="Times New Roman"/>
          <w:sz w:val="24"/>
          <w:szCs w:val="24"/>
        </w:rPr>
        <w:t xml:space="preserve">ermined charge </w:t>
      </w:r>
      <w:r w:rsidRPr="00B15ED0">
        <w:rPr>
          <w:rFonts w:ascii="Times New Roman" w:hAnsi="Times New Roman" w:cs="Times New Roman"/>
          <w:sz w:val="24"/>
          <w:szCs w:val="24"/>
        </w:rPr>
        <w:t>will be added to all non-shopping customers’ bills and then redistributed to all distribution customers.</w:t>
      </w:r>
      <w:r w:rsidRPr="00B15ED0">
        <w:rPr>
          <w:rStyle w:val="FootnoteReference"/>
          <w:rFonts w:ascii="Times New Roman" w:hAnsi="Times New Roman"/>
          <w:sz w:val="24"/>
          <w:szCs w:val="24"/>
        </w:rPr>
        <w:footnoteReference w:id="292"/>
      </w:r>
      <w:r w:rsidRPr="00B15ED0">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sidRPr="00B15ED0">
        <w:rPr>
          <w:rFonts w:ascii="Times New Roman" w:hAnsi="Times New Roman" w:cs="Times New Roman"/>
          <w:sz w:val="24"/>
          <w:szCs w:val="24"/>
        </w:rPr>
        <w:t xml:space="preserve">The addition of the yet-to-be-determined CIR </w:t>
      </w:r>
      <w:r>
        <w:rPr>
          <w:rFonts w:ascii="Times New Roman" w:hAnsi="Times New Roman" w:cs="Times New Roman"/>
          <w:sz w:val="24"/>
          <w:szCs w:val="24"/>
        </w:rPr>
        <w:t>charge</w:t>
      </w:r>
      <w:r w:rsidRPr="00B15ED0">
        <w:rPr>
          <w:rFonts w:ascii="Times New Roman" w:hAnsi="Times New Roman" w:cs="Times New Roman"/>
          <w:sz w:val="24"/>
          <w:szCs w:val="24"/>
        </w:rPr>
        <w:t xml:space="preserve"> </w:t>
      </w:r>
      <w:r w:rsidR="008B2D48">
        <w:rPr>
          <w:rFonts w:ascii="Times New Roman" w:hAnsi="Times New Roman" w:cs="Times New Roman"/>
          <w:sz w:val="24"/>
          <w:szCs w:val="24"/>
        </w:rPr>
        <w:t xml:space="preserve">applied </w:t>
      </w:r>
      <w:r w:rsidRPr="00B15ED0">
        <w:rPr>
          <w:rFonts w:ascii="Times New Roman" w:hAnsi="Times New Roman" w:cs="Times New Roman"/>
          <w:sz w:val="24"/>
          <w:szCs w:val="24"/>
        </w:rPr>
        <w:t>to non-shopping customers’ bills</w:t>
      </w:r>
      <w:r w:rsidR="003B569D">
        <w:rPr>
          <w:rFonts w:ascii="Times New Roman" w:hAnsi="Times New Roman" w:cs="Times New Roman"/>
          <w:sz w:val="24"/>
          <w:szCs w:val="24"/>
        </w:rPr>
        <w:t xml:space="preserve"> </w:t>
      </w:r>
      <w:r w:rsidRPr="00B15ED0">
        <w:rPr>
          <w:rFonts w:ascii="Times New Roman" w:hAnsi="Times New Roman" w:cs="Times New Roman"/>
          <w:sz w:val="24"/>
          <w:szCs w:val="24"/>
        </w:rPr>
        <w:t xml:space="preserve">is another cost that consumers will pay. </w:t>
      </w:r>
      <w:r w:rsidR="00B03B3B">
        <w:rPr>
          <w:rFonts w:ascii="Times New Roman" w:hAnsi="Times New Roman" w:cs="Times New Roman"/>
          <w:sz w:val="24"/>
          <w:szCs w:val="24"/>
        </w:rPr>
        <w:t xml:space="preserve"> </w:t>
      </w:r>
    </w:p>
    <w:p w:rsidR="00970C44" w:rsidRPr="00B15ED0" w:rsidRDefault="00970C44" w:rsidP="004F3D69">
      <w:pPr>
        <w:spacing w:after="0" w:line="480" w:lineRule="auto"/>
        <w:ind w:firstLine="720"/>
        <w:rPr>
          <w:rFonts w:ascii="Times New Roman" w:hAnsi="Times New Roman" w:cs="Times New Roman"/>
          <w:sz w:val="24"/>
          <w:szCs w:val="24"/>
        </w:rPr>
      </w:pPr>
      <w:r w:rsidRPr="00B15ED0">
        <w:rPr>
          <w:rFonts w:ascii="Times New Roman" w:hAnsi="Times New Roman" w:cs="Times New Roman"/>
          <w:sz w:val="24"/>
          <w:szCs w:val="24"/>
        </w:rPr>
        <w:t>Another increased charge</w:t>
      </w:r>
      <w:r>
        <w:rPr>
          <w:rFonts w:ascii="Times New Roman" w:hAnsi="Times New Roman" w:cs="Times New Roman"/>
          <w:sz w:val="24"/>
          <w:szCs w:val="24"/>
        </w:rPr>
        <w:t xml:space="preserve"> -- yet again, undetermined in amount --</w:t>
      </w:r>
      <w:r w:rsidRPr="00B15ED0">
        <w:rPr>
          <w:rFonts w:ascii="Times New Roman" w:hAnsi="Times New Roman" w:cs="Times New Roman"/>
          <w:sz w:val="24"/>
          <w:szCs w:val="24"/>
        </w:rPr>
        <w:t xml:space="preserve"> is the proposed cost of the </w:t>
      </w:r>
      <w:r w:rsidR="00D41D6D">
        <w:rPr>
          <w:rFonts w:ascii="Times New Roman" w:hAnsi="Times New Roman" w:cs="Times New Roman"/>
          <w:sz w:val="24"/>
          <w:szCs w:val="24"/>
        </w:rPr>
        <w:t>SCB</w:t>
      </w:r>
      <w:r w:rsidRPr="00B15ED0">
        <w:rPr>
          <w:rFonts w:ascii="Times New Roman" w:hAnsi="Times New Roman" w:cs="Times New Roman"/>
          <w:sz w:val="24"/>
          <w:szCs w:val="24"/>
        </w:rPr>
        <w:t>.</w:t>
      </w:r>
      <w:r>
        <w:rPr>
          <w:rFonts w:ascii="Times New Roman" w:hAnsi="Times New Roman" w:cs="Times New Roman"/>
          <w:sz w:val="24"/>
          <w:szCs w:val="24"/>
        </w:rPr>
        <w:t xml:space="preserve"> The SCB</w:t>
      </w:r>
      <w:r w:rsidRPr="00B15ED0">
        <w:rPr>
          <w:rFonts w:ascii="Times New Roman" w:hAnsi="Times New Roman" w:cs="Times New Roman"/>
          <w:sz w:val="24"/>
          <w:szCs w:val="24"/>
        </w:rPr>
        <w:t xml:space="preserve"> perm</w:t>
      </w:r>
      <w:r>
        <w:rPr>
          <w:rFonts w:ascii="Times New Roman" w:hAnsi="Times New Roman" w:cs="Times New Roman"/>
          <w:sz w:val="24"/>
          <w:szCs w:val="24"/>
        </w:rPr>
        <w:t xml:space="preserve">its only select </w:t>
      </w:r>
      <w:r w:rsidR="00956C9E">
        <w:rPr>
          <w:rFonts w:ascii="Times New Roman" w:hAnsi="Times New Roman" w:cs="Times New Roman"/>
          <w:sz w:val="24"/>
          <w:szCs w:val="24"/>
        </w:rPr>
        <w:t xml:space="preserve">marketers </w:t>
      </w:r>
      <w:r>
        <w:rPr>
          <w:rFonts w:ascii="Times New Roman" w:hAnsi="Times New Roman" w:cs="Times New Roman"/>
          <w:sz w:val="24"/>
          <w:szCs w:val="24"/>
        </w:rPr>
        <w:t xml:space="preserve">to provide </w:t>
      </w:r>
      <w:r w:rsidRPr="00B15ED0">
        <w:rPr>
          <w:rFonts w:ascii="Times New Roman" w:hAnsi="Times New Roman" w:cs="Times New Roman"/>
          <w:sz w:val="24"/>
          <w:szCs w:val="24"/>
        </w:rPr>
        <w:t xml:space="preserve">customers </w:t>
      </w:r>
      <w:r>
        <w:rPr>
          <w:rFonts w:ascii="Times New Roman" w:hAnsi="Times New Roman" w:cs="Times New Roman"/>
          <w:sz w:val="24"/>
          <w:szCs w:val="24"/>
        </w:rPr>
        <w:t xml:space="preserve">with one bill that includes </w:t>
      </w:r>
      <w:r w:rsidR="00956C9E">
        <w:rPr>
          <w:rFonts w:ascii="Times New Roman" w:hAnsi="Times New Roman" w:cs="Times New Roman"/>
          <w:sz w:val="24"/>
          <w:szCs w:val="24"/>
        </w:rPr>
        <w:t xml:space="preserve">marketer </w:t>
      </w:r>
      <w:r w:rsidRPr="00B15ED0">
        <w:rPr>
          <w:rFonts w:ascii="Times New Roman" w:hAnsi="Times New Roman" w:cs="Times New Roman"/>
          <w:sz w:val="24"/>
          <w:szCs w:val="24"/>
        </w:rPr>
        <w:t xml:space="preserve">and AEP Ohio charges. Fifty percent of </w:t>
      </w:r>
      <w:r>
        <w:rPr>
          <w:rFonts w:ascii="Times New Roman" w:hAnsi="Times New Roman" w:cs="Times New Roman"/>
          <w:sz w:val="24"/>
          <w:szCs w:val="24"/>
        </w:rPr>
        <w:t>the</w:t>
      </w:r>
      <w:r w:rsidRPr="00B15ED0">
        <w:rPr>
          <w:rFonts w:ascii="Times New Roman" w:hAnsi="Times New Roman" w:cs="Times New Roman"/>
          <w:sz w:val="24"/>
          <w:szCs w:val="24"/>
        </w:rPr>
        <w:t xml:space="preserve"> cost</w:t>
      </w:r>
      <w:r>
        <w:rPr>
          <w:rFonts w:ascii="Times New Roman" w:hAnsi="Times New Roman" w:cs="Times New Roman"/>
          <w:sz w:val="24"/>
          <w:szCs w:val="24"/>
        </w:rPr>
        <w:t>s associated with the proposal</w:t>
      </w:r>
      <w:r w:rsidRPr="00B15ED0">
        <w:rPr>
          <w:rFonts w:ascii="Times New Roman" w:hAnsi="Times New Roman" w:cs="Times New Roman"/>
          <w:sz w:val="24"/>
          <w:szCs w:val="24"/>
        </w:rPr>
        <w:t xml:space="preserve"> will be paid</w:t>
      </w:r>
      <w:r w:rsidR="00956C9E">
        <w:rPr>
          <w:rFonts w:ascii="Times New Roman" w:hAnsi="Times New Roman" w:cs="Times New Roman"/>
          <w:sz w:val="24"/>
          <w:szCs w:val="24"/>
        </w:rPr>
        <w:t xml:space="preserve"> with other people’s money</w:t>
      </w:r>
      <w:r w:rsidR="00CE4619">
        <w:rPr>
          <w:rFonts w:ascii="Times New Roman" w:hAnsi="Times New Roman" w:cs="Times New Roman"/>
          <w:sz w:val="24"/>
          <w:szCs w:val="24"/>
        </w:rPr>
        <w:t xml:space="preserve"> </w:t>
      </w:r>
      <w:r w:rsidR="00956C9E">
        <w:rPr>
          <w:rFonts w:ascii="Times New Roman" w:hAnsi="Times New Roman" w:cs="Times New Roman"/>
          <w:sz w:val="24"/>
          <w:szCs w:val="24"/>
        </w:rPr>
        <w:t>--</w:t>
      </w:r>
      <w:r w:rsidR="00CE4619">
        <w:rPr>
          <w:rFonts w:ascii="Times New Roman" w:hAnsi="Times New Roman" w:cs="Times New Roman"/>
          <w:sz w:val="24"/>
          <w:szCs w:val="24"/>
        </w:rPr>
        <w:t xml:space="preserve"> </w:t>
      </w:r>
      <w:r>
        <w:rPr>
          <w:rFonts w:ascii="Times New Roman" w:hAnsi="Times New Roman" w:cs="Times New Roman"/>
          <w:sz w:val="24"/>
          <w:szCs w:val="24"/>
        </w:rPr>
        <w:t>by customers</w:t>
      </w:r>
      <w:r w:rsidRPr="00B15ED0">
        <w:rPr>
          <w:rFonts w:ascii="Times New Roman" w:hAnsi="Times New Roman" w:cs="Times New Roman"/>
          <w:sz w:val="24"/>
          <w:szCs w:val="24"/>
        </w:rPr>
        <w:t>.</w:t>
      </w:r>
      <w:r w:rsidR="002F3BC6">
        <w:rPr>
          <w:rStyle w:val="FootnoteReference"/>
          <w:rFonts w:ascii="Times New Roman" w:hAnsi="Times New Roman" w:cs="Times New Roman"/>
          <w:sz w:val="24"/>
          <w:szCs w:val="24"/>
        </w:rPr>
        <w:footnoteReference w:id="293"/>
      </w:r>
      <w:r w:rsidRPr="00B15ED0">
        <w:rPr>
          <w:rFonts w:ascii="Times New Roman" w:hAnsi="Times New Roman" w:cs="Times New Roman"/>
          <w:sz w:val="24"/>
          <w:szCs w:val="24"/>
        </w:rPr>
        <w:t xml:space="preserve"> </w:t>
      </w:r>
      <w:r w:rsidR="00944942">
        <w:rPr>
          <w:rFonts w:ascii="Times New Roman" w:hAnsi="Times New Roman" w:cs="Times New Roman"/>
          <w:sz w:val="24"/>
          <w:szCs w:val="24"/>
        </w:rPr>
        <w:t xml:space="preserve"> </w:t>
      </w:r>
      <w:r w:rsidRPr="00B15ED0">
        <w:rPr>
          <w:rFonts w:ascii="Times New Roman" w:hAnsi="Times New Roman" w:cs="Times New Roman"/>
          <w:sz w:val="24"/>
          <w:szCs w:val="24"/>
        </w:rPr>
        <w:t xml:space="preserve">Three marketers – Direct Energy, FES, and IGS – may get to participate in the SCB because they signed the </w:t>
      </w:r>
      <w:r>
        <w:rPr>
          <w:rFonts w:ascii="Times New Roman" w:hAnsi="Times New Roman" w:cs="Times New Roman"/>
          <w:sz w:val="24"/>
          <w:szCs w:val="24"/>
        </w:rPr>
        <w:t xml:space="preserve">Joint </w:t>
      </w:r>
      <w:r w:rsidRPr="00B15ED0">
        <w:rPr>
          <w:rFonts w:ascii="Times New Roman" w:hAnsi="Times New Roman" w:cs="Times New Roman"/>
          <w:sz w:val="24"/>
          <w:szCs w:val="24"/>
        </w:rPr>
        <w:t xml:space="preserve">Stipulation. </w:t>
      </w:r>
      <w:r w:rsidR="00B03B3B">
        <w:rPr>
          <w:rFonts w:ascii="Times New Roman" w:hAnsi="Times New Roman" w:cs="Times New Roman"/>
          <w:sz w:val="24"/>
          <w:szCs w:val="24"/>
        </w:rPr>
        <w:t xml:space="preserve"> </w:t>
      </w:r>
      <w:r w:rsidRPr="00B15ED0">
        <w:rPr>
          <w:rFonts w:ascii="Times New Roman" w:hAnsi="Times New Roman" w:cs="Times New Roman"/>
          <w:sz w:val="24"/>
          <w:szCs w:val="24"/>
        </w:rPr>
        <w:t xml:space="preserve">No other marketers are entitled, according to the </w:t>
      </w:r>
      <w:r>
        <w:rPr>
          <w:rFonts w:ascii="Times New Roman" w:hAnsi="Times New Roman" w:cs="Times New Roman"/>
          <w:sz w:val="24"/>
          <w:szCs w:val="24"/>
        </w:rPr>
        <w:t xml:space="preserve">Joint </w:t>
      </w:r>
      <w:r w:rsidRPr="00B15ED0">
        <w:rPr>
          <w:rFonts w:ascii="Times New Roman" w:hAnsi="Times New Roman" w:cs="Times New Roman"/>
          <w:sz w:val="24"/>
          <w:szCs w:val="24"/>
        </w:rPr>
        <w:t xml:space="preserve">Stipulation, to participate in the SCB. </w:t>
      </w:r>
      <w:r>
        <w:rPr>
          <w:rFonts w:ascii="Times New Roman" w:hAnsi="Times New Roman" w:cs="Times New Roman"/>
          <w:sz w:val="24"/>
          <w:szCs w:val="24"/>
        </w:rPr>
        <w:t xml:space="preserve">OCC </w:t>
      </w:r>
      <w:r w:rsidRPr="00B15ED0">
        <w:rPr>
          <w:rFonts w:ascii="Times New Roman" w:hAnsi="Times New Roman" w:cs="Times New Roman"/>
          <w:sz w:val="24"/>
          <w:szCs w:val="24"/>
        </w:rPr>
        <w:t xml:space="preserve">Witness Haugh </w:t>
      </w:r>
      <w:r>
        <w:rPr>
          <w:rFonts w:ascii="Times New Roman" w:hAnsi="Times New Roman" w:cs="Times New Roman"/>
          <w:sz w:val="24"/>
          <w:szCs w:val="24"/>
        </w:rPr>
        <w:t>explained</w:t>
      </w:r>
      <w:r w:rsidRPr="00B15ED0">
        <w:rPr>
          <w:rFonts w:ascii="Times New Roman" w:hAnsi="Times New Roman" w:cs="Times New Roman"/>
          <w:sz w:val="24"/>
          <w:szCs w:val="24"/>
        </w:rPr>
        <w:t xml:space="preserve"> that this pilot SCB program </w:t>
      </w:r>
      <w:r w:rsidRPr="001F7957">
        <w:rPr>
          <w:rFonts w:ascii="Times New Roman" w:hAnsi="Times New Roman" w:cs="Times New Roman"/>
          <w:i/>
          <w:sz w:val="24"/>
          <w:szCs w:val="24"/>
        </w:rPr>
        <w:t>should</w:t>
      </w:r>
      <w:r w:rsidRPr="00B15ED0">
        <w:rPr>
          <w:rFonts w:ascii="Times New Roman" w:hAnsi="Times New Roman" w:cs="Times New Roman"/>
          <w:sz w:val="24"/>
          <w:szCs w:val="24"/>
        </w:rPr>
        <w:t xml:space="preserve"> be paid for by the cost causers – the three </w:t>
      </w:r>
      <w:r w:rsidR="00956C9E">
        <w:rPr>
          <w:rFonts w:ascii="Times New Roman" w:hAnsi="Times New Roman" w:cs="Times New Roman"/>
          <w:sz w:val="24"/>
          <w:szCs w:val="24"/>
        </w:rPr>
        <w:t>marketers</w:t>
      </w:r>
      <w:r w:rsidR="00956C9E" w:rsidRPr="00B15ED0">
        <w:rPr>
          <w:rFonts w:ascii="Times New Roman" w:hAnsi="Times New Roman" w:cs="Times New Roman"/>
          <w:sz w:val="24"/>
          <w:szCs w:val="24"/>
        </w:rPr>
        <w:t xml:space="preserve"> </w:t>
      </w:r>
      <w:r w:rsidRPr="00B15ED0">
        <w:rPr>
          <w:rFonts w:ascii="Times New Roman" w:hAnsi="Times New Roman" w:cs="Times New Roman"/>
          <w:sz w:val="24"/>
          <w:szCs w:val="24"/>
        </w:rPr>
        <w:t>that are benefitting from it.</w:t>
      </w:r>
      <w:r w:rsidRPr="00B15ED0">
        <w:rPr>
          <w:rStyle w:val="FootnoteReference"/>
          <w:rFonts w:ascii="Times New Roman" w:hAnsi="Times New Roman"/>
          <w:sz w:val="24"/>
          <w:szCs w:val="24"/>
        </w:rPr>
        <w:footnoteReference w:id="294"/>
      </w:r>
      <w:r w:rsidRPr="00B15ED0">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Pr>
          <w:rFonts w:ascii="Times New Roman" w:hAnsi="Times New Roman" w:cs="Times New Roman"/>
          <w:sz w:val="24"/>
          <w:szCs w:val="24"/>
        </w:rPr>
        <w:t xml:space="preserve">The program </w:t>
      </w:r>
      <w:r w:rsidRPr="00B15ED0">
        <w:rPr>
          <w:rFonts w:ascii="Times New Roman" w:hAnsi="Times New Roman" w:cs="Times New Roman"/>
          <w:sz w:val="24"/>
          <w:szCs w:val="24"/>
        </w:rPr>
        <w:t>has no relationship to the implementation of the PPA Rider and has no</w:t>
      </w:r>
      <w:r>
        <w:rPr>
          <w:rFonts w:ascii="Times New Roman" w:hAnsi="Times New Roman" w:cs="Times New Roman"/>
          <w:sz w:val="24"/>
          <w:szCs w:val="24"/>
        </w:rPr>
        <w:t xml:space="preserve"> place in the Joint Stipulation</w:t>
      </w:r>
      <w:r w:rsidRPr="00B15ED0">
        <w:rPr>
          <w:rFonts w:ascii="Times New Roman" w:hAnsi="Times New Roman" w:cs="Times New Roman"/>
          <w:sz w:val="24"/>
          <w:szCs w:val="24"/>
        </w:rPr>
        <w:t>.</w:t>
      </w:r>
      <w:r w:rsidRPr="00B15ED0">
        <w:rPr>
          <w:rStyle w:val="FootnoteReference"/>
          <w:rFonts w:ascii="Times New Roman" w:hAnsi="Times New Roman"/>
          <w:sz w:val="24"/>
          <w:szCs w:val="24"/>
        </w:rPr>
        <w:footnoteReference w:id="295"/>
      </w:r>
      <w:r w:rsidR="00CE4619">
        <w:rPr>
          <w:rFonts w:ascii="Times New Roman" w:hAnsi="Times New Roman" w:cs="Times New Roman"/>
          <w:sz w:val="24"/>
          <w:szCs w:val="24"/>
        </w:rPr>
        <w:t xml:space="preserve">  </w:t>
      </w:r>
      <w:r w:rsidR="00956C9E">
        <w:rPr>
          <w:rFonts w:ascii="Times New Roman" w:hAnsi="Times New Roman" w:cs="Times New Roman"/>
          <w:sz w:val="24"/>
          <w:szCs w:val="24"/>
        </w:rPr>
        <w:t>It, like various others of AEP Ohio’s financial inducements for signatures, just showed up at the end of the case in a settlement.</w:t>
      </w:r>
    </w:p>
    <w:p w:rsidR="00970C44" w:rsidRPr="00B15ED0" w:rsidRDefault="00970C44" w:rsidP="00944942">
      <w:pPr>
        <w:spacing w:after="0" w:line="480" w:lineRule="auto"/>
        <w:rPr>
          <w:rFonts w:ascii="Times New Roman" w:hAnsi="Times New Roman" w:cs="Times New Roman"/>
          <w:sz w:val="24"/>
          <w:szCs w:val="24"/>
        </w:rPr>
      </w:pPr>
      <w:r w:rsidRPr="00B15ED0">
        <w:rPr>
          <w:rFonts w:ascii="Times New Roman" w:hAnsi="Times New Roman" w:cs="Times New Roman"/>
          <w:sz w:val="24"/>
          <w:szCs w:val="24"/>
        </w:rPr>
        <w:tab/>
        <w:t xml:space="preserve">Based </w:t>
      </w:r>
      <w:r>
        <w:rPr>
          <w:rFonts w:ascii="Times New Roman" w:hAnsi="Times New Roman" w:cs="Times New Roman"/>
          <w:sz w:val="24"/>
          <w:szCs w:val="24"/>
        </w:rPr>
        <w:t>on</w:t>
      </w:r>
      <w:r w:rsidRPr="00B15ED0">
        <w:rPr>
          <w:rFonts w:ascii="Times New Roman" w:hAnsi="Times New Roman" w:cs="Times New Roman"/>
          <w:sz w:val="24"/>
          <w:szCs w:val="24"/>
        </w:rPr>
        <w:t xml:space="preserve"> AEP Ohio’s own numbers and testimony, </w:t>
      </w:r>
      <w:r>
        <w:rPr>
          <w:rFonts w:ascii="Times New Roman" w:hAnsi="Times New Roman" w:cs="Times New Roman"/>
          <w:sz w:val="24"/>
          <w:szCs w:val="24"/>
        </w:rPr>
        <w:t xml:space="preserve">OCC Witness Haugh pointed out that </w:t>
      </w:r>
      <w:r w:rsidRPr="00B15ED0">
        <w:rPr>
          <w:rFonts w:ascii="Times New Roman" w:hAnsi="Times New Roman" w:cs="Times New Roman"/>
          <w:sz w:val="24"/>
          <w:szCs w:val="24"/>
        </w:rPr>
        <w:t xml:space="preserve">the </w:t>
      </w:r>
      <w:r>
        <w:rPr>
          <w:rFonts w:ascii="Times New Roman" w:hAnsi="Times New Roman" w:cs="Times New Roman"/>
          <w:sz w:val="24"/>
          <w:szCs w:val="24"/>
        </w:rPr>
        <w:t xml:space="preserve">Joint </w:t>
      </w:r>
      <w:r w:rsidRPr="00B15ED0">
        <w:rPr>
          <w:rFonts w:ascii="Times New Roman" w:hAnsi="Times New Roman" w:cs="Times New Roman"/>
          <w:sz w:val="24"/>
          <w:szCs w:val="24"/>
        </w:rPr>
        <w:t xml:space="preserve">Stipulation harms </w:t>
      </w:r>
      <w:r w:rsidR="00FD6AAC">
        <w:rPr>
          <w:rFonts w:ascii="Times New Roman" w:hAnsi="Times New Roman" w:cs="Times New Roman"/>
          <w:sz w:val="24"/>
          <w:szCs w:val="24"/>
        </w:rPr>
        <w:t>consumers</w:t>
      </w:r>
      <w:r w:rsidRPr="00B15ED0">
        <w:rPr>
          <w:rFonts w:ascii="Times New Roman" w:hAnsi="Times New Roman" w:cs="Times New Roman"/>
          <w:sz w:val="24"/>
          <w:szCs w:val="24"/>
        </w:rPr>
        <w:t>.</w:t>
      </w:r>
      <w:r w:rsidRPr="00B15ED0">
        <w:rPr>
          <w:rStyle w:val="FootnoteReference"/>
          <w:rFonts w:ascii="Times New Roman" w:hAnsi="Times New Roman"/>
          <w:sz w:val="24"/>
          <w:szCs w:val="24"/>
        </w:rPr>
        <w:footnoteReference w:id="296"/>
      </w:r>
      <w:r w:rsidRPr="00B15ED0">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sidRPr="00B15ED0">
        <w:rPr>
          <w:rFonts w:ascii="Times New Roman" w:hAnsi="Times New Roman" w:cs="Times New Roman"/>
          <w:sz w:val="24"/>
          <w:szCs w:val="24"/>
        </w:rPr>
        <w:t xml:space="preserve">Consumers and the public will be worse off if the PUCO approves </w:t>
      </w:r>
      <w:r>
        <w:rPr>
          <w:rFonts w:ascii="Times New Roman" w:hAnsi="Times New Roman" w:cs="Times New Roman"/>
          <w:sz w:val="24"/>
          <w:szCs w:val="24"/>
        </w:rPr>
        <w:t>it</w:t>
      </w:r>
      <w:r w:rsidRPr="00B15ED0">
        <w:rPr>
          <w:rFonts w:ascii="Times New Roman" w:hAnsi="Times New Roman" w:cs="Times New Roman"/>
          <w:sz w:val="24"/>
          <w:szCs w:val="24"/>
        </w:rPr>
        <w:t xml:space="preserve">.  AEP Witness Allen </w:t>
      </w:r>
      <w:r>
        <w:rPr>
          <w:rFonts w:ascii="Times New Roman" w:hAnsi="Times New Roman" w:cs="Times New Roman"/>
          <w:sz w:val="24"/>
          <w:szCs w:val="24"/>
        </w:rPr>
        <w:t>asserted</w:t>
      </w:r>
      <w:r w:rsidRPr="00B15ED0">
        <w:rPr>
          <w:rFonts w:ascii="Times New Roman" w:hAnsi="Times New Roman" w:cs="Times New Roman"/>
          <w:sz w:val="24"/>
          <w:szCs w:val="24"/>
        </w:rPr>
        <w:t xml:space="preserve"> that the PPA Rider will </w:t>
      </w:r>
      <w:r>
        <w:rPr>
          <w:rFonts w:ascii="Times New Roman" w:hAnsi="Times New Roman" w:cs="Times New Roman"/>
          <w:sz w:val="24"/>
          <w:szCs w:val="24"/>
        </w:rPr>
        <w:t xml:space="preserve">begin with a $4 million credit in </w:t>
      </w:r>
      <w:r w:rsidRPr="00B15ED0">
        <w:rPr>
          <w:rFonts w:ascii="Times New Roman" w:hAnsi="Times New Roman" w:cs="Times New Roman"/>
          <w:sz w:val="24"/>
          <w:szCs w:val="24"/>
        </w:rPr>
        <w:t>2016.</w:t>
      </w:r>
      <w:r w:rsidRPr="00B15ED0">
        <w:rPr>
          <w:rStyle w:val="FootnoteReference"/>
          <w:rFonts w:ascii="Times New Roman" w:hAnsi="Times New Roman"/>
          <w:sz w:val="24"/>
          <w:szCs w:val="24"/>
        </w:rPr>
        <w:footnoteReference w:id="297"/>
      </w:r>
      <w:r w:rsidRPr="00B15ED0">
        <w:rPr>
          <w:rFonts w:ascii="Times New Roman" w:hAnsi="Times New Roman" w:cs="Times New Roman"/>
          <w:sz w:val="24"/>
          <w:szCs w:val="24"/>
        </w:rPr>
        <w:t xml:space="preserve"> </w:t>
      </w:r>
      <w:r>
        <w:rPr>
          <w:rFonts w:ascii="Times New Roman" w:hAnsi="Times New Roman" w:cs="Times New Roman"/>
          <w:sz w:val="24"/>
          <w:szCs w:val="24"/>
        </w:rPr>
        <w:t xml:space="preserve"> We</w:t>
      </w:r>
      <w:r w:rsidR="004F3D69">
        <w:rPr>
          <w:rFonts w:ascii="Times New Roman" w:hAnsi="Times New Roman" w:cs="Times New Roman"/>
          <w:sz w:val="24"/>
          <w:szCs w:val="24"/>
        </w:rPr>
        <w:t>re one to assume that customers’</w:t>
      </w:r>
      <w:r>
        <w:rPr>
          <w:rFonts w:ascii="Times New Roman" w:hAnsi="Times New Roman" w:cs="Times New Roman"/>
          <w:sz w:val="24"/>
          <w:szCs w:val="24"/>
        </w:rPr>
        <w:t xml:space="preserve"> net credit throughout the year is going to be $4 million, </w:t>
      </w:r>
      <w:r w:rsidRPr="00B15ED0">
        <w:rPr>
          <w:rFonts w:ascii="Times New Roman" w:hAnsi="Times New Roman" w:cs="Times New Roman"/>
          <w:sz w:val="24"/>
          <w:szCs w:val="24"/>
        </w:rPr>
        <w:t>that would be $0.12 credit per month in 2016</w:t>
      </w:r>
      <w:r>
        <w:rPr>
          <w:rFonts w:ascii="Times New Roman" w:hAnsi="Times New Roman" w:cs="Times New Roman"/>
          <w:sz w:val="24"/>
          <w:szCs w:val="24"/>
        </w:rPr>
        <w:t xml:space="preserve">. </w:t>
      </w:r>
      <w:r w:rsidR="004F3D69">
        <w:rPr>
          <w:rFonts w:ascii="Times New Roman" w:hAnsi="Times New Roman" w:cs="Times New Roman"/>
          <w:sz w:val="24"/>
          <w:szCs w:val="24"/>
        </w:rPr>
        <w:t xml:space="preserve"> </w:t>
      </w:r>
      <w:r>
        <w:rPr>
          <w:rFonts w:ascii="Times New Roman" w:hAnsi="Times New Roman" w:cs="Times New Roman"/>
          <w:sz w:val="24"/>
          <w:szCs w:val="24"/>
        </w:rPr>
        <w:t xml:space="preserve">But </w:t>
      </w:r>
      <w:r w:rsidRPr="00B15ED0">
        <w:rPr>
          <w:rFonts w:ascii="Times New Roman" w:hAnsi="Times New Roman" w:cs="Times New Roman"/>
          <w:sz w:val="24"/>
          <w:szCs w:val="24"/>
        </w:rPr>
        <w:t xml:space="preserve">with the addition of the new terms and financial incentives in the proposed </w:t>
      </w:r>
      <w:r>
        <w:rPr>
          <w:rFonts w:ascii="Times New Roman" w:hAnsi="Times New Roman" w:cs="Times New Roman"/>
          <w:sz w:val="24"/>
          <w:szCs w:val="24"/>
        </w:rPr>
        <w:t xml:space="preserve">Joint </w:t>
      </w:r>
      <w:r w:rsidRPr="00B15ED0">
        <w:rPr>
          <w:rFonts w:ascii="Times New Roman" w:hAnsi="Times New Roman" w:cs="Times New Roman"/>
          <w:sz w:val="24"/>
          <w:szCs w:val="24"/>
        </w:rPr>
        <w:t>Stipulation, the cost to a typical residential customer using 1,000 kWh per month will be a $0.62 charge per month.</w:t>
      </w:r>
      <w:r w:rsidRPr="00B15ED0">
        <w:rPr>
          <w:rStyle w:val="FootnoteReference"/>
          <w:rFonts w:ascii="Times New Roman" w:hAnsi="Times New Roman"/>
          <w:sz w:val="24"/>
          <w:szCs w:val="24"/>
        </w:rPr>
        <w:footnoteReference w:id="298"/>
      </w:r>
      <w:r w:rsidRPr="00B15ED0">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sidRPr="00B15ED0">
        <w:rPr>
          <w:rFonts w:ascii="Times New Roman" w:hAnsi="Times New Roman" w:cs="Times New Roman"/>
          <w:sz w:val="24"/>
          <w:szCs w:val="24"/>
        </w:rPr>
        <w:t>As quantified by</w:t>
      </w:r>
      <w:r>
        <w:rPr>
          <w:rFonts w:ascii="Times New Roman" w:hAnsi="Times New Roman" w:cs="Times New Roman"/>
          <w:sz w:val="24"/>
          <w:szCs w:val="24"/>
        </w:rPr>
        <w:t xml:space="preserve"> OCC Witness</w:t>
      </w:r>
      <w:r w:rsidRPr="00B15ED0">
        <w:rPr>
          <w:rFonts w:ascii="Times New Roman" w:hAnsi="Times New Roman" w:cs="Times New Roman"/>
          <w:sz w:val="24"/>
          <w:szCs w:val="24"/>
        </w:rPr>
        <w:t xml:space="preserve"> Haugh,</w:t>
      </w:r>
      <w:r>
        <w:rPr>
          <w:rFonts w:ascii="Times New Roman" w:hAnsi="Times New Roman" w:cs="Times New Roman"/>
          <w:sz w:val="24"/>
          <w:szCs w:val="24"/>
        </w:rPr>
        <w:t xml:space="preserve"> this means that the </w:t>
      </w:r>
      <w:r w:rsidRPr="00B15ED0">
        <w:rPr>
          <w:rFonts w:ascii="Times New Roman" w:hAnsi="Times New Roman" w:cs="Times New Roman"/>
          <w:sz w:val="24"/>
          <w:szCs w:val="24"/>
        </w:rPr>
        <w:t>incentives beyond the PPA Rider will cost residential customers $0.74 per month.</w:t>
      </w:r>
      <w:r w:rsidRPr="00B15ED0">
        <w:rPr>
          <w:rStyle w:val="FootnoteReference"/>
          <w:rFonts w:ascii="Times New Roman" w:hAnsi="Times New Roman"/>
          <w:sz w:val="24"/>
          <w:szCs w:val="24"/>
        </w:rPr>
        <w:footnoteReference w:id="299"/>
      </w:r>
      <w:r w:rsidRPr="00B15ED0">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sidRPr="00B15ED0">
        <w:rPr>
          <w:rFonts w:ascii="Times New Roman" w:hAnsi="Times New Roman" w:cs="Times New Roman"/>
          <w:sz w:val="24"/>
          <w:szCs w:val="24"/>
        </w:rPr>
        <w:t>This doe</w:t>
      </w:r>
      <w:r>
        <w:rPr>
          <w:rFonts w:ascii="Times New Roman" w:hAnsi="Times New Roman" w:cs="Times New Roman"/>
          <w:sz w:val="24"/>
          <w:szCs w:val="24"/>
        </w:rPr>
        <w:t xml:space="preserve">s not include the cost of converting </w:t>
      </w:r>
      <w:r w:rsidRPr="00B15ED0">
        <w:rPr>
          <w:rFonts w:ascii="Times New Roman" w:hAnsi="Times New Roman" w:cs="Times New Roman"/>
          <w:sz w:val="24"/>
          <w:szCs w:val="24"/>
        </w:rPr>
        <w:t>Conesville Units 5 and 6 to co-</w:t>
      </w:r>
      <w:r>
        <w:rPr>
          <w:rFonts w:ascii="Times New Roman" w:hAnsi="Times New Roman" w:cs="Times New Roman"/>
          <w:sz w:val="24"/>
          <w:szCs w:val="24"/>
        </w:rPr>
        <w:t xml:space="preserve">firing </w:t>
      </w:r>
      <w:r w:rsidRPr="00B15ED0">
        <w:rPr>
          <w:rFonts w:ascii="Times New Roman" w:hAnsi="Times New Roman" w:cs="Times New Roman"/>
          <w:sz w:val="24"/>
          <w:szCs w:val="24"/>
        </w:rPr>
        <w:t>by the e</w:t>
      </w:r>
      <w:r>
        <w:rPr>
          <w:rFonts w:ascii="Times New Roman" w:hAnsi="Times New Roman" w:cs="Times New Roman"/>
          <w:sz w:val="24"/>
          <w:szCs w:val="24"/>
        </w:rPr>
        <w:t xml:space="preserve">nd of 2017 or </w:t>
      </w:r>
      <w:r w:rsidRPr="00B15ED0">
        <w:rPr>
          <w:rFonts w:ascii="Times New Roman" w:hAnsi="Times New Roman" w:cs="Times New Roman"/>
          <w:sz w:val="24"/>
          <w:szCs w:val="24"/>
        </w:rPr>
        <w:t>the costs of building the renewable wind and solar un</w:t>
      </w:r>
      <w:r>
        <w:rPr>
          <w:rFonts w:ascii="Times New Roman" w:hAnsi="Times New Roman" w:cs="Times New Roman"/>
          <w:sz w:val="24"/>
          <w:szCs w:val="24"/>
        </w:rPr>
        <w:t>its. Such costs</w:t>
      </w:r>
      <w:r w:rsidRPr="00B15ED0">
        <w:rPr>
          <w:rFonts w:ascii="Times New Roman" w:hAnsi="Times New Roman" w:cs="Times New Roman"/>
          <w:sz w:val="24"/>
          <w:szCs w:val="24"/>
        </w:rPr>
        <w:t>, among other undetermined and unquantified costs and promises</w:t>
      </w:r>
      <w:r w:rsidR="00117162">
        <w:rPr>
          <w:rFonts w:ascii="Times New Roman" w:hAnsi="Times New Roman" w:cs="Times New Roman"/>
          <w:sz w:val="24"/>
          <w:szCs w:val="24"/>
        </w:rPr>
        <w:t xml:space="preserve"> (if delivered as promised)</w:t>
      </w:r>
      <w:r w:rsidRPr="00B15ED0">
        <w:rPr>
          <w:rFonts w:ascii="Times New Roman" w:hAnsi="Times New Roman" w:cs="Times New Roman"/>
          <w:sz w:val="24"/>
          <w:szCs w:val="24"/>
        </w:rPr>
        <w:t>, will increase the</w:t>
      </w:r>
      <w:r>
        <w:rPr>
          <w:rFonts w:ascii="Times New Roman" w:hAnsi="Times New Roman" w:cs="Times New Roman"/>
          <w:sz w:val="24"/>
          <w:szCs w:val="24"/>
        </w:rPr>
        <w:t xml:space="preserve"> Joint Stipulation's</w:t>
      </w:r>
      <w:r w:rsidRPr="00B15ED0">
        <w:rPr>
          <w:rFonts w:ascii="Times New Roman" w:hAnsi="Times New Roman" w:cs="Times New Roman"/>
          <w:sz w:val="24"/>
          <w:szCs w:val="24"/>
        </w:rPr>
        <w:t xml:space="preserve"> cost well beyond the $0.62 per month. </w:t>
      </w:r>
    </w:p>
    <w:p w:rsidR="008B2D48" w:rsidRDefault="00970C44" w:rsidP="0094494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B2D48">
        <w:rPr>
          <w:rFonts w:ascii="Times New Roman" w:hAnsi="Times New Roman" w:cs="Times New Roman"/>
          <w:sz w:val="24"/>
          <w:szCs w:val="24"/>
        </w:rPr>
        <w:t xml:space="preserve">For all these reasons, </w:t>
      </w:r>
      <w:r>
        <w:rPr>
          <w:rFonts w:ascii="Times New Roman" w:hAnsi="Times New Roman" w:cs="Times New Roman"/>
          <w:sz w:val="24"/>
          <w:szCs w:val="24"/>
        </w:rPr>
        <w:t xml:space="preserve">OCC Witness </w:t>
      </w:r>
      <w:r w:rsidRPr="00B15ED0">
        <w:rPr>
          <w:rFonts w:ascii="Times New Roman" w:hAnsi="Times New Roman" w:cs="Times New Roman"/>
          <w:sz w:val="24"/>
          <w:szCs w:val="24"/>
        </w:rPr>
        <w:t xml:space="preserve">Haugh determined that the </w:t>
      </w:r>
      <w:r>
        <w:rPr>
          <w:rFonts w:ascii="Times New Roman" w:hAnsi="Times New Roman" w:cs="Times New Roman"/>
          <w:sz w:val="24"/>
          <w:szCs w:val="24"/>
        </w:rPr>
        <w:t xml:space="preserve">Joint </w:t>
      </w:r>
      <w:r w:rsidRPr="00B15ED0">
        <w:rPr>
          <w:rFonts w:ascii="Times New Roman" w:hAnsi="Times New Roman" w:cs="Times New Roman"/>
          <w:sz w:val="24"/>
          <w:szCs w:val="24"/>
        </w:rPr>
        <w:t xml:space="preserve">Stipulation fails the three-prong test and should be rejected by the PUCO. </w:t>
      </w:r>
      <w:r w:rsidR="00B03B3B">
        <w:rPr>
          <w:rFonts w:ascii="Times New Roman" w:hAnsi="Times New Roman" w:cs="Times New Roman"/>
          <w:sz w:val="24"/>
          <w:szCs w:val="24"/>
        </w:rPr>
        <w:t xml:space="preserve"> </w:t>
      </w:r>
    </w:p>
    <w:p w:rsidR="00124C12" w:rsidRDefault="00970C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Additionally, he determined that the Joint Stipulation should be rejected because, w</w:t>
      </w:r>
      <w:r w:rsidRPr="00B15ED0">
        <w:rPr>
          <w:rFonts w:ascii="Times New Roman" w:hAnsi="Times New Roman" w:cs="Times New Roman"/>
          <w:sz w:val="24"/>
          <w:szCs w:val="24"/>
        </w:rPr>
        <w:t>ere the PUCO to approve it, the Modified Amended Application would have to be denied</w:t>
      </w:r>
      <w:r w:rsidR="00130FD0">
        <w:rPr>
          <w:rFonts w:ascii="Times New Roman" w:hAnsi="Times New Roman" w:cs="Times New Roman"/>
          <w:sz w:val="24"/>
          <w:szCs w:val="24"/>
        </w:rPr>
        <w:t xml:space="preserve">. </w:t>
      </w:r>
      <w:r w:rsidRPr="00B15ED0">
        <w:rPr>
          <w:rFonts w:ascii="Times New Roman" w:hAnsi="Times New Roman" w:cs="Times New Roman"/>
          <w:sz w:val="24"/>
          <w:szCs w:val="24"/>
        </w:rPr>
        <w:t xml:space="preserve"> </w:t>
      </w:r>
      <w:r w:rsidR="00130FD0">
        <w:rPr>
          <w:rFonts w:ascii="Times New Roman" w:hAnsi="Times New Roman" w:cs="Times New Roman"/>
          <w:sz w:val="24"/>
          <w:szCs w:val="24"/>
        </w:rPr>
        <w:t>The Modified Amended Application</w:t>
      </w:r>
      <w:r w:rsidR="00130FD0" w:rsidRPr="00B15ED0">
        <w:rPr>
          <w:rFonts w:ascii="Times New Roman" w:hAnsi="Times New Roman" w:cs="Times New Roman"/>
          <w:sz w:val="24"/>
          <w:szCs w:val="24"/>
        </w:rPr>
        <w:t xml:space="preserve"> </w:t>
      </w:r>
      <w:r w:rsidRPr="00B15ED0">
        <w:rPr>
          <w:rFonts w:ascii="Times New Roman" w:hAnsi="Times New Roman" w:cs="Times New Roman"/>
          <w:sz w:val="24"/>
          <w:szCs w:val="24"/>
        </w:rPr>
        <w:t xml:space="preserve">would cause ESP III to fail </w:t>
      </w:r>
      <w:r>
        <w:rPr>
          <w:rFonts w:ascii="Times New Roman" w:hAnsi="Times New Roman" w:cs="Times New Roman"/>
          <w:sz w:val="24"/>
          <w:szCs w:val="24"/>
        </w:rPr>
        <w:t xml:space="preserve">the MRO </w:t>
      </w:r>
      <w:r w:rsidR="00117162">
        <w:rPr>
          <w:rFonts w:ascii="Times New Roman" w:hAnsi="Times New Roman" w:cs="Times New Roman"/>
          <w:sz w:val="24"/>
          <w:szCs w:val="24"/>
        </w:rPr>
        <w:t>v.</w:t>
      </w:r>
      <w:r>
        <w:rPr>
          <w:rFonts w:ascii="Times New Roman" w:hAnsi="Times New Roman" w:cs="Times New Roman"/>
          <w:sz w:val="24"/>
          <w:szCs w:val="24"/>
        </w:rPr>
        <w:t xml:space="preserve"> ESP</w:t>
      </w:r>
      <w:r w:rsidR="00117162">
        <w:rPr>
          <w:rFonts w:ascii="Times New Roman" w:hAnsi="Times New Roman" w:cs="Times New Roman"/>
          <w:sz w:val="24"/>
          <w:szCs w:val="24"/>
        </w:rPr>
        <w:t xml:space="preserve"> test</w:t>
      </w:r>
      <w:r>
        <w:rPr>
          <w:rFonts w:ascii="Times New Roman" w:hAnsi="Times New Roman" w:cs="Times New Roman"/>
          <w:sz w:val="24"/>
          <w:szCs w:val="24"/>
        </w:rPr>
        <w:t xml:space="preserve">.  </w:t>
      </w:r>
      <w:r w:rsidRPr="00B15ED0">
        <w:rPr>
          <w:rFonts w:ascii="Times New Roman" w:hAnsi="Times New Roman" w:cs="Times New Roman"/>
          <w:sz w:val="24"/>
          <w:szCs w:val="24"/>
        </w:rPr>
        <w:t xml:space="preserve">Ohio Revised Code Section 4928.143(C) requires that the PUCO only approve an ESP if it finds that the plan, including its pricing and all other terms and conditions, and any deferrals and any future recovery of deferrals, is more favorable in the aggregate as compared to the expected results that of a market rate offer under R.C. 4928.142. </w:t>
      </w:r>
      <w:r w:rsidR="00B03B3B">
        <w:rPr>
          <w:rFonts w:ascii="Times New Roman" w:hAnsi="Times New Roman" w:cs="Times New Roman"/>
          <w:sz w:val="24"/>
          <w:szCs w:val="24"/>
        </w:rPr>
        <w:t xml:space="preserve"> </w:t>
      </w:r>
      <w:r w:rsidRPr="00B15ED0">
        <w:rPr>
          <w:rFonts w:ascii="Times New Roman" w:hAnsi="Times New Roman" w:cs="Times New Roman"/>
          <w:sz w:val="24"/>
          <w:szCs w:val="24"/>
        </w:rPr>
        <w:t>According to OCC Witness Wilson, the cost of the ESP from January 1, 2016 through May 31, 2018</w:t>
      </w:r>
      <w:r>
        <w:rPr>
          <w:rFonts w:ascii="Times New Roman" w:hAnsi="Times New Roman" w:cs="Times New Roman"/>
          <w:sz w:val="24"/>
          <w:szCs w:val="24"/>
        </w:rPr>
        <w:t>,</w:t>
      </w:r>
      <w:r w:rsidRPr="00B15ED0">
        <w:rPr>
          <w:rFonts w:ascii="Times New Roman" w:hAnsi="Times New Roman" w:cs="Times New Roman"/>
          <w:sz w:val="24"/>
          <w:szCs w:val="24"/>
        </w:rPr>
        <w:t xml:space="preserve"> </w:t>
      </w:r>
      <w:r>
        <w:rPr>
          <w:rFonts w:ascii="Times New Roman" w:hAnsi="Times New Roman" w:cs="Times New Roman"/>
          <w:sz w:val="24"/>
          <w:szCs w:val="24"/>
        </w:rPr>
        <w:t>were the PUCO to approve the Joint Stipulation and grant the Modified Amended Application, would</w:t>
      </w:r>
      <w:r w:rsidRPr="00B15ED0">
        <w:rPr>
          <w:rFonts w:ascii="Times New Roman" w:hAnsi="Times New Roman" w:cs="Times New Roman"/>
          <w:sz w:val="24"/>
          <w:szCs w:val="24"/>
        </w:rPr>
        <w:t xml:space="preserve"> be $580 million.</w:t>
      </w:r>
      <w:r w:rsidRPr="00B15ED0">
        <w:rPr>
          <w:rStyle w:val="FootnoteReference"/>
          <w:rFonts w:ascii="Times New Roman" w:hAnsi="Times New Roman"/>
          <w:sz w:val="24"/>
          <w:szCs w:val="24"/>
        </w:rPr>
        <w:footnoteReference w:id="300"/>
      </w:r>
      <w:r>
        <w:rPr>
          <w:rFonts w:ascii="Times New Roman" w:hAnsi="Times New Roman" w:cs="Times New Roman"/>
          <w:sz w:val="24"/>
          <w:szCs w:val="24"/>
        </w:rPr>
        <w:t xml:space="preserve">  In its incomplete MRO v. ESP analysis in ESP III, the PUCO found $53 million in quantifiable benefits</w:t>
      </w:r>
      <w:r w:rsidRPr="00B15ED0">
        <w:rPr>
          <w:rFonts w:ascii="Times New Roman" w:hAnsi="Times New Roman" w:cs="Times New Roman"/>
          <w:sz w:val="24"/>
          <w:szCs w:val="24"/>
        </w:rPr>
        <w:t>.</w:t>
      </w:r>
      <w:r w:rsidRPr="00B15ED0">
        <w:rPr>
          <w:rStyle w:val="FootnoteReference"/>
          <w:rFonts w:ascii="Times New Roman" w:hAnsi="Times New Roman"/>
          <w:sz w:val="24"/>
          <w:szCs w:val="24"/>
        </w:rPr>
        <w:footnoteReference w:id="301"/>
      </w:r>
      <w:r w:rsidRPr="00B15ED0">
        <w:rPr>
          <w:rFonts w:ascii="Times New Roman" w:hAnsi="Times New Roman" w:cs="Times New Roman"/>
          <w:sz w:val="24"/>
          <w:szCs w:val="24"/>
        </w:rPr>
        <w:t xml:space="preserve"> </w:t>
      </w:r>
    </w:p>
    <w:p w:rsidR="00124C12" w:rsidRDefault="00970C44">
      <w:pPr>
        <w:spacing w:after="0" w:line="480" w:lineRule="auto"/>
        <w:ind w:firstLine="720"/>
        <w:rPr>
          <w:rFonts w:ascii="Times New Roman" w:hAnsi="Times New Roman" w:cs="Times New Roman"/>
          <w:b/>
          <w:sz w:val="24"/>
          <w:szCs w:val="24"/>
        </w:rPr>
      </w:pPr>
      <w:r w:rsidRPr="00B15ED0">
        <w:rPr>
          <w:rFonts w:ascii="Times New Roman" w:hAnsi="Times New Roman" w:cs="Times New Roman"/>
          <w:sz w:val="24"/>
          <w:szCs w:val="24"/>
        </w:rPr>
        <w:t>Consequently, the cost to consumers for AEP Ohio’s ESP</w:t>
      </w:r>
      <w:r>
        <w:rPr>
          <w:rFonts w:ascii="Times New Roman" w:hAnsi="Times New Roman" w:cs="Times New Roman"/>
          <w:sz w:val="24"/>
          <w:szCs w:val="24"/>
        </w:rPr>
        <w:t xml:space="preserve"> III, were the Joint Stipulation approved and the Modified Amended Application granted,</w:t>
      </w:r>
      <w:r w:rsidRPr="00B15ED0">
        <w:rPr>
          <w:rFonts w:ascii="Times New Roman" w:hAnsi="Times New Roman" w:cs="Times New Roman"/>
          <w:sz w:val="24"/>
          <w:szCs w:val="24"/>
        </w:rPr>
        <w:t xml:space="preserve"> would be a net cost of $527 million for the term </w:t>
      </w:r>
      <w:r w:rsidR="00183FAF">
        <w:rPr>
          <w:rFonts w:ascii="Times New Roman" w:hAnsi="Times New Roman" w:cs="Times New Roman"/>
          <w:sz w:val="24"/>
          <w:szCs w:val="24"/>
        </w:rPr>
        <w:t>of</w:t>
      </w:r>
      <w:r w:rsidRPr="00B15ED0">
        <w:rPr>
          <w:rFonts w:ascii="Times New Roman" w:hAnsi="Times New Roman" w:cs="Times New Roman"/>
          <w:sz w:val="24"/>
          <w:szCs w:val="24"/>
        </w:rPr>
        <w:t xml:space="preserve"> ESP</w:t>
      </w:r>
      <w:r>
        <w:rPr>
          <w:rFonts w:ascii="Times New Roman" w:hAnsi="Times New Roman" w:cs="Times New Roman"/>
          <w:sz w:val="24"/>
          <w:szCs w:val="24"/>
        </w:rPr>
        <w:t xml:space="preserve"> III.</w:t>
      </w:r>
      <w:r>
        <w:rPr>
          <w:rStyle w:val="FootnoteReference"/>
          <w:rFonts w:ascii="Times New Roman" w:hAnsi="Times New Roman"/>
        </w:rPr>
        <w:footnoteReference w:id="302"/>
      </w:r>
      <w:r>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sidR="00117162">
        <w:rPr>
          <w:rFonts w:ascii="Times New Roman" w:hAnsi="Times New Roman" w:cs="Times New Roman"/>
          <w:sz w:val="24"/>
          <w:szCs w:val="24"/>
        </w:rPr>
        <w:t>Because</w:t>
      </w:r>
      <w:r>
        <w:rPr>
          <w:rFonts w:ascii="Times New Roman" w:hAnsi="Times New Roman" w:cs="Times New Roman"/>
          <w:sz w:val="24"/>
          <w:szCs w:val="24"/>
        </w:rPr>
        <w:t xml:space="preserve"> approving the Joint Stipulation and granting the Modified Amended Application would cause ESP III to fail the MRO v. ESP test, the Joint Stipulation (and Modified Amended Application) should be rejected.  </w:t>
      </w:r>
    </w:p>
    <w:p w:rsidR="00A433F8" w:rsidRPr="00A433F8" w:rsidRDefault="00CF2D5B" w:rsidP="00C401CE">
      <w:pPr>
        <w:pStyle w:val="Heading4"/>
      </w:pPr>
      <w:bookmarkStart w:id="61" w:name="_Toc442104163"/>
      <w:r>
        <w:t>f</w:t>
      </w:r>
      <w:r w:rsidR="00944942">
        <w:t>.</w:t>
      </w:r>
      <w:r w:rsidR="00944942">
        <w:tab/>
      </w:r>
      <w:r w:rsidR="00A433F8" w:rsidRPr="00DE7F45">
        <w:t>The Joint Stipulation</w:t>
      </w:r>
      <w:r w:rsidR="00A433F8" w:rsidRPr="00F978F9">
        <w:rPr>
          <w:rFonts w:hint="cs"/>
        </w:rPr>
        <w:t>’</w:t>
      </w:r>
      <w:r w:rsidR="00A433F8" w:rsidRPr="00F978F9">
        <w:t>s rate design violates important regulatory principles</w:t>
      </w:r>
      <w:r w:rsidR="00F978F9">
        <w:t>,</w:t>
      </w:r>
      <w:r w:rsidR="004C49CB" w:rsidRPr="00F978F9">
        <w:t xml:space="preserve"> </w:t>
      </w:r>
      <w:r w:rsidR="00F978F9">
        <w:t>harms consumers with unreasonable prices</w:t>
      </w:r>
      <w:r w:rsidR="007A1B1A">
        <w:t>, and thus fails the settlement test as OCC’s evidence shows</w:t>
      </w:r>
      <w:r w:rsidR="00A433F8" w:rsidRPr="00F978F9">
        <w:t>.</w:t>
      </w:r>
      <w:bookmarkEnd w:id="61"/>
    </w:p>
    <w:p w:rsidR="00A433F8" w:rsidRDefault="00A433F8" w:rsidP="00A433F8">
      <w:pPr>
        <w:spacing w:after="0" w:line="480" w:lineRule="auto"/>
        <w:ind w:firstLine="720"/>
        <w:rPr>
          <w:rFonts w:ascii="Times New Roman" w:hAnsi="Times New Roman" w:cs="Times New Roman"/>
          <w:sz w:val="24"/>
          <w:szCs w:val="24"/>
        </w:rPr>
      </w:pPr>
      <w:r w:rsidRPr="00A63D29">
        <w:rPr>
          <w:rFonts w:ascii="Times New Roman" w:hAnsi="Times New Roman" w:cs="Times New Roman"/>
          <w:sz w:val="24"/>
          <w:szCs w:val="24"/>
        </w:rPr>
        <w:t xml:space="preserve">Section III.D.4 of the </w:t>
      </w:r>
      <w:r w:rsidR="004F3D69">
        <w:rPr>
          <w:rFonts w:ascii="Times New Roman" w:hAnsi="Times New Roman" w:cs="Times New Roman"/>
          <w:sz w:val="24"/>
          <w:szCs w:val="24"/>
        </w:rPr>
        <w:t xml:space="preserve">Joint </w:t>
      </w:r>
      <w:r w:rsidRPr="00A63D29">
        <w:rPr>
          <w:rFonts w:ascii="Times New Roman" w:hAnsi="Times New Roman" w:cs="Times New Roman"/>
          <w:sz w:val="24"/>
          <w:szCs w:val="24"/>
        </w:rPr>
        <w:t>Stipulation provides that 50</w:t>
      </w:r>
      <w:r w:rsidR="00117162">
        <w:rPr>
          <w:rFonts w:ascii="Times New Roman" w:hAnsi="Times New Roman" w:cs="Times New Roman"/>
          <w:sz w:val="24"/>
          <w:szCs w:val="24"/>
        </w:rPr>
        <w:t xml:space="preserve"> percent</w:t>
      </w:r>
      <w:r w:rsidRPr="00A63D29">
        <w:rPr>
          <w:rFonts w:ascii="Times New Roman" w:hAnsi="Times New Roman" w:cs="Times New Roman"/>
          <w:sz w:val="24"/>
          <w:szCs w:val="24"/>
        </w:rPr>
        <w:t xml:space="preserve"> of the EE/PDR Rider costs for transmission and sub-transmission voltage customers will be transferred to the EDR Rider.</w:t>
      </w:r>
      <w:r w:rsidRPr="00A63D29">
        <w:rPr>
          <w:rStyle w:val="FootnoteReference"/>
          <w:rFonts w:ascii="Times New Roman" w:hAnsi="Times New Roman" w:cs="Times New Roman"/>
          <w:sz w:val="24"/>
          <w:szCs w:val="24"/>
        </w:rPr>
        <w:footnoteReference w:id="303"/>
      </w:r>
      <w:r w:rsidRPr="00A63D29">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sidRPr="00A63D29">
        <w:rPr>
          <w:rFonts w:ascii="Times New Roman" w:hAnsi="Times New Roman" w:cs="Times New Roman"/>
          <w:sz w:val="24"/>
          <w:szCs w:val="24"/>
        </w:rPr>
        <w:t xml:space="preserve">The </w:t>
      </w:r>
      <w:r w:rsidR="004F3D69">
        <w:rPr>
          <w:rFonts w:ascii="Times New Roman" w:hAnsi="Times New Roman" w:cs="Times New Roman"/>
          <w:sz w:val="24"/>
          <w:szCs w:val="24"/>
        </w:rPr>
        <w:t xml:space="preserve">Joint </w:t>
      </w:r>
      <w:r w:rsidRPr="00A63D29">
        <w:rPr>
          <w:rFonts w:ascii="Times New Roman" w:hAnsi="Times New Roman" w:cs="Times New Roman"/>
          <w:sz w:val="24"/>
          <w:szCs w:val="24"/>
        </w:rPr>
        <w:t>Stipulation also states that that 50</w:t>
      </w:r>
      <w:r w:rsidR="00117162">
        <w:rPr>
          <w:rFonts w:ascii="Times New Roman" w:hAnsi="Times New Roman" w:cs="Times New Roman"/>
          <w:sz w:val="24"/>
          <w:szCs w:val="24"/>
        </w:rPr>
        <w:t xml:space="preserve"> percent</w:t>
      </w:r>
      <w:r w:rsidRPr="00A63D29">
        <w:rPr>
          <w:rFonts w:ascii="Times New Roman" w:hAnsi="Times New Roman" w:cs="Times New Roman"/>
          <w:sz w:val="24"/>
          <w:szCs w:val="24"/>
        </w:rPr>
        <w:t xml:space="preserve"> of the IRP credits from the EE/PDR Rider costs will be transferred to the EDR Rider.</w:t>
      </w:r>
      <w:r w:rsidRPr="00A63D29">
        <w:rPr>
          <w:rStyle w:val="FootnoteReference"/>
          <w:rFonts w:ascii="Times New Roman" w:hAnsi="Times New Roman" w:cs="Times New Roman"/>
          <w:sz w:val="24"/>
          <w:szCs w:val="24"/>
        </w:rPr>
        <w:footnoteReference w:id="304"/>
      </w:r>
      <w:r w:rsidRPr="00A63D29">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sidRPr="00A63D29">
        <w:rPr>
          <w:rFonts w:ascii="Times New Roman" w:hAnsi="Times New Roman" w:cs="Times New Roman"/>
          <w:sz w:val="24"/>
          <w:szCs w:val="24"/>
        </w:rPr>
        <w:t xml:space="preserve">OCC Witness Fortney </w:t>
      </w:r>
      <w:r>
        <w:rPr>
          <w:rFonts w:ascii="Times New Roman" w:hAnsi="Times New Roman" w:cs="Times New Roman"/>
          <w:sz w:val="24"/>
          <w:szCs w:val="24"/>
        </w:rPr>
        <w:t>explained</w:t>
      </w:r>
      <w:r w:rsidRPr="00A63D29">
        <w:rPr>
          <w:rFonts w:ascii="Times New Roman" w:hAnsi="Times New Roman" w:cs="Times New Roman"/>
          <w:sz w:val="24"/>
          <w:szCs w:val="24"/>
        </w:rPr>
        <w:t xml:space="preserve"> that </w:t>
      </w:r>
      <w:r>
        <w:rPr>
          <w:rFonts w:ascii="Times New Roman" w:hAnsi="Times New Roman" w:cs="Times New Roman"/>
          <w:sz w:val="24"/>
          <w:szCs w:val="24"/>
        </w:rPr>
        <w:t>transferring</w:t>
      </w:r>
      <w:r w:rsidRPr="00A63D29">
        <w:rPr>
          <w:rFonts w:ascii="Times New Roman" w:hAnsi="Times New Roman" w:cs="Times New Roman"/>
          <w:sz w:val="24"/>
          <w:szCs w:val="24"/>
        </w:rPr>
        <w:t xml:space="preserve"> these costs to the EDR Rider causes harm to residential customers because the allocations of EE/PDR and EDR are no longer based upon cost causation, as they initially were.</w:t>
      </w:r>
      <w:r w:rsidRPr="00A63D29">
        <w:rPr>
          <w:rStyle w:val="FootnoteReference"/>
          <w:rFonts w:ascii="Times New Roman" w:hAnsi="Times New Roman" w:cs="Times New Roman"/>
          <w:sz w:val="24"/>
          <w:szCs w:val="24"/>
        </w:rPr>
        <w:footnoteReference w:id="305"/>
      </w:r>
      <w:r w:rsidRPr="00A63D29">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sidRPr="00A63D29">
        <w:rPr>
          <w:rFonts w:ascii="Times New Roman" w:hAnsi="Times New Roman" w:cs="Times New Roman"/>
          <w:sz w:val="24"/>
          <w:szCs w:val="24"/>
        </w:rPr>
        <w:t xml:space="preserve">The </w:t>
      </w:r>
      <w:r w:rsidR="00183FAF">
        <w:rPr>
          <w:rFonts w:ascii="Times New Roman" w:hAnsi="Times New Roman" w:cs="Times New Roman"/>
          <w:sz w:val="24"/>
          <w:szCs w:val="24"/>
        </w:rPr>
        <w:t xml:space="preserve">Joint </w:t>
      </w:r>
      <w:r w:rsidRPr="00A63D29">
        <w:rPr>
          <w:rFonts w:ascii="Times New Roman" w:hAnsi="Times New Roman" w:cs="Times New Roman"/>
          <w:sz w:val="24"/>
          <w:szCs w:val="24"/>
        </w:rPr>
        <w:t>Stipulation abandons those principles in favor of the arbitrary transfer of 50</w:t>
      </w:r>
      <w:r w:rsidR="00117162">
        <w:rPr>
          <w:rFonts w:ascii="Times New Roman" w:hAnsi="Times New Roman" w:cs="Times New Roman"/>
          <w:sz w:val="24"/>
          <w:szCs w:val="24"/>
        </w:rPr>
        <w:t xml:space="preserve"> percent</w:t>
      </w:r>
      <w:r w:rsidRPr="00A63D29">
        <w:rPr>
          <w:rFonts w:ascii="Times New Roman" w:hAnsi="Times New Roman" w:cs="Times New Roman"/>
          <w:sz w:val="24"/>
          <w:szCs w:val="24"/>
        </w:rPr>
        <w:t xml:space="preserve"> of the cost recovery of the EE/PDR to the EDR.</w:t>
      </w:r>
      <w:r w:rsidRPr="00A63D29">
        <w:rPr>
          <w:rStyle w:val="FootnoteReference"/>
          <w:rFonts w:ascii="Times New Roman" w:hAnsi="Times New Roman" w:cs="Times New Roman"/>
          <w:sz w:val="24"/>
          <w:szCs w:val="24"/>
        </w:rPr>
        <w:footnoteReference w:id="306"/>
      </w:r>
      <w:r w:rsidRPr="00A63D29">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sidRPr="00A63D29">
        <w:rPr>
          <w:rFonts w:ascii="Times New Roman" w:hAnsi="Times New Roman" w:cs="Times New Roman"/>
          <w:sz w:val="24"/>
          <w:szCs w:val="24"/>
        </w:rPr>
        <w:t xml:space="preserve">Therefore, the </w:t>
      </w:r>
      <w:r>
        <w:rPr>
          <w:rFonts w:ascii="Times New Roman" w:hAnsi="Times New Roman" w:cs="Times New Roman"/>
          <w:sz w:val="24"/>
          <w:szCs w:val="24"/>
        </w:rPr>
        <w:t xml:space="preserve">Joint </w:t>
      </w:r>
      <w:r w:rsidRPr="00A63D29">
        <w:rPr>
          <w:rFonts w:ascii="Times New Roman" w:hAnsi="Times New Roman" w:cs="Times New Roman"/>
          <w:sz w:val="24"/>
          <w:szCs w:val="24"/>
        </w:rPr>
        <w:t xml:space="preserve">Stipulation </w:t>
      </w:r>
      <w:r>
        <w:rPr>
          <w:rFonts w:ascii="Times New Roman" w:hAnsi="Times New Roman" w:cs="Times New Roman"/>
          <w:sz w:val="24"/>
          <w:szCs w:val="24"/>
        </w:rPr>
        <w:t>w</w:t>
      </w:r>
      <w:r w:rsidRPr="00A63D29">
        <w:rPr>
          <w:rFonts w:ascii="Times New Roman" w:hAnsi="Times New Roman" w:cs="Times New Roman"/>
          <w:sz w:val="24"/>
          <w:szCs w:val="24"/>
        </w:rPr>
        <w:t>ould assign cost responsibility to residential customers for costs that they did not cause.</w:t>
      </w:r>
      <w:r w:rsidR="00751586">
        <w:rPr>
          <w:rFonts w:ascii="Times New Roman" w:hAnsi="Times New Roman" w:cs="Times New Roman"/>
          <w:sz w:val="24"/>
          <w:szCs w:val="24"/>
        </w:rPr>
        <w:t xml:space="preserve">  That result is not reasonable pricing under R.C. 4928.02(A).</w:t>
      </w:r>
    </w:p>
    <w:p w:rsidR="00A433F8" w:rsidRDefault="00A433F8" w:rsidP="00A433F8">
      <w:pPr>
        <w:spacing w:after="0" w:line="480" w:lineRule="auto"/>
        <w:ind w:firstLine="720"/>
        <w:rPr>
          <w:rFonts w:ascii="Times New Roman" w:hAnsi="Times New Roman" w:cs="Times New Roman"/>
          <w:sz w:val="24"/>
          <w:szCs w:val="24"/>
        </w:rPr>
      </w:pPr>
      <w:r w:rsidRPr="00A63D29">
        <w:rPr>
          <w:rFonts w:ascii="Times New Roman" w:hAnsi="Times New Roman" w:cs="Times New Roman"/>
          <w:sz w:val="24"/>
          <w:szCs w:val="24"/>
        </w:rPr>
        <w:t xml:space="preserve">Additionally, OCC </w:t>
      </w:r>
      <w:r>
        <w:rPr>
          <w:rFonts w:ascii="Times New Roman" w:hAnsi="Times New Roman" w:cs="Times New Roman"/>
          <w:sz w:val="24"/>
          <w:szCs w:val="24"/>
        </w:rPr>
        <w:t>W</w:t>
      </w:r>
      <w:r w:rsidRPr="00A63D29">
        <w:rPr>
          <w:rFonts w:ascii="Times New Roman" w:hAnsi="Times New Roman" w:cs="Times New Roman"/>
          <w:sz w:val="24"/>
          <w:szCs w:val="24"/>
        </w:rPr>
        <w:t xml:space="preserve">itness Fortney </w:t>
      </w:r>
      <w:r>
        <w:rPr>
          <w:rFonts w:ascii="Times New Roman" w:hAnsi="Times New Roman" w:cs="Times New Roman"/>
          <w:sz w:val="24"/>
          <w:szCs w:val="24"/>
        </w:rPr>
        <w:t>affirmed</w:t>
      </w:r>
      <w:r w:rsidRPr="00A63D29">
        <w:rPr>
          <w:rFonts w:ascii="Times New Roman" w:hAnsi="Times New Roman" w:cs="Times New Roman"/>
          <w:sz w:val="24"/>
          <w:szCs w:val="24"/>
        </w:rPr>
        <w:t xml:space="preserve"> that the PPA Rider credits and charges should not be allocated based on the PJM five monthly peak demands.</w:t>
      </w:r>
      <w:r w:rsidRPr="00A63D29">
        <w:rPr>
          <w:rStyle w:val="FootnoteReference"/>
          <w:rFonts w:ascii="Times New Roman" w:hAnsi="Times New Roman" w:cs="Times New Roman"/>
          <w:sz w:val="24"/>
          <w:szCs w:val="24"/>
        </w:rPr>
        <w:footnoteReference w:id="307"/>
      </w:r>
      <w:r w:rsidRPr="00A63D29">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sidRPr="00A63D29">
        <w:rPr>
          <w:rFonts w:ascii="Times New Roman" w:hAnsi="Times New Roman" w:cs="Times New Roman"/>
          <w:sz w:val="24"/>
          <w:szCs w:val="24"/>
        </w:rPr>
        <w:t>A straight allocation by demand of the PPA costs and revenues unfairly and arbitrarily assigns a disproportionate share of those costs to the Residential class.</w:t>
      </w:r>
      <w:r w:rsidRPr="00A63D29">
        <w:rPr>
          <w:rStyle w:val="FootnoteReference"/>
          <w:rFonts w:ascii="Times New Roman" w:hAnsi="Times New Roman" w:cs="Times New Roman"/>
          <w:sz w:val="24"/>
          <w:szCs w:val="24"/>
        </w:rPr>
        <w:footnoteReference w:id="308"/>
      </w:r>
      <w:r w:rsidRPr="00A63D29">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sidRPr="00A63D29">
        <w:rPr>
          <w:rFonts w:ascii="Times New Roman" w:hAnsi="Times New Roman" w:cs="Times New Roman"/>
          <w:sz w:val="24"/>
          <w:szCs w:val="24"/>
        </w:rPr>
        <w:t>The proper allocation should be based on the combination of demand and energy, netting the difference between the costs and the sales of all three of the generation products.</w:t>
      </w:r>
      <w:r w:rsidRPr="00A63D29">
        <w:rPr>
          <w:rStyle w:val="FootnoteReference"/>
          <w:rFonts w:ascii="Times New Roman" w:hAnsi="Times New Roman" w:cs="Times New Roman"/>
          <w:sz w:val="24"/>
          <w:szCs w:val="24"/>
        </w:rPr>
        <w:footnoteReference w:id="309"/>
      </w:r>
      <w:r w:rsidRPr="00A63D29">
        <w:rPr>
          <w:rFonts w:ascii="Times New Roman" w:hAnsi="Times New Roman" w:cs="Times New Roman"/>
          <w:sz w:val="24"/>
          <w:szCs w:val="24"/>
        </w:rPr>
        <w:t xml:space="preserve"> </w:t>
      </w:r>
      <w:r w:rsidR="00B03B3B">
        <w:rPr>
          <w:rFonts w:ascii="Times New Roman" w:hAnsi="Times New Roman" w:cs="Times New Roman"/>
          <w:sz w:val="24"/>
          <w:szCs w:val="24"/>
        </w:rPr>
        <w:t xml:space="preserve"> </w:t>
      </w:r>
      <w:r w:rsidRPr="00A63D29">
        <w:rPr>
          <w:rFonts w:ascii="Times New Roman" w:hAnsi="Times New Roman" w:cs="Times New Roman"/>
          <w:sz w:val="24"/>
          <w:szCs w:val="24"/>
        </w:rPr>
        <w:t>Such a determination should be part of the forecasted values and subject to the quarterly true-ups.</w:t>
      </w:r>
      <w:r w:rsidRPr="00A63D29">
        <w:rPr>
          <w:rStyle w:val="FootnoteReference"/>
          <w:rFonts w:ascii="Times New Roman" w:hAnsi="Times New Roman" w:cs="Times New Roman"/>
          <w:sz w:val="24"/>
          <w:szCs w:val="24"/>
        </w:rPr>
        <w:footnoteReference w:id="310"/>
      </w:r>
      <w:r w:rsidR="001F7957">
        <w:rPr>
          <w:rFonts w:ascii="Times New Roman" w:hAnsi="Times New Roman" w:cs="Times New Roman"/>
          <w:sz w:val="24"/>
          <w:szCs w:val="24"/>
        </w:rPr>
        <w:t xml:space="preserve">  </w:t>
      </w:r>
    </w:p>
    <w:p w:rsidR="00834841" w:rsidRDefault="00834841" w:rsidP="00A433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Joint Stipulation is a bad deal for consumers, and should not be approved based upon the fact that the </w:t>
      </w:r>
      <w:r w:rsidR="00CC107A">
        <w:rPr>
          <w:rFonts w:ascii="Times New Roman" w:hAnsi="Times New Roman" w:cs="Times New Roman"/>
          <w:sz w:val="24"/>
          <w:szCs w:val="24"/>
        </w:rPr>
        <w:t xml:space="preserve">Joint </w:t>
      </w:r>
      <w:r>
        <w:rPr>
          <w:rFonts w:ascii="Times New Roman" w:hAnsi="Times New Roman" w:cs="Times New Roman"/>
          <w:sz w:val="24"/>
          <w:szCs w:val="24"/>
        </w:rPr>
        <w:t>Stipulation cannot pass the PUCO’s three-prong test.</w:t>
      </w:r>
    </w:p>
    <w:p w:rsidR="00D04677" w:rsidRPr="001301B8" w:rsidRDefault="00272897" w:rsidP="00944942">
      <w:pPr>
        <w:pStyle w:val="Heading2"/>
      </w:pPr>
      <w:bookmarkStart w:id="62" w:name="_Toc435428210"/>
      <w:bookmarkStart w:id="63" w:name="_Toc442104164"/>
      <w:r>
        <w:t>C</w:t>
      </w:r>
      <w:r w:rsidR="006174B3">
        <w:t>.</w:t>
      </w:r>
      <w:r w:rsidR="006174B3">
        <w:tab/>
      </w:r>
      <w:r w:rsidR="00944935" w:rsidRPr="001301B8">
        <w:t>AEP Ohio’s A</w:t>
      </w:r>
      <w:r w:rsidR="001301B8" w:rsidRPr="001301B8">
        <w:t>mended</w:t>
      </w:r>
      <w:r w:rsidR="00944935" w:rsidRPr="001301B8">
        <w:t xml:space="preserve"> A</w:t>
      </w:r>
      <w:r w:rsidR="001301B8" w:rsidRPr="001301B8">
        <w:t>pplication</w:t>
      </w:r>
      <w:r w:rsidR="00D213A1">
        <w:t>/Modified Amended Application</w:t>
      </w:r>
      <w:r w:rsidR="001301B8" w:rsidRPr="001301B8">
        <w:t xml:space="preserve"> </w:t>
      </w:r>
      <w:r w:rsidR="004C49CB">
        <w:t xml:space="preserve">would harm consumers and </w:t>
      </w:r>
      <w:r w:rsidR="001301B8" w:rsidRPr="001301B8">
        <w:t>should be rejected based on the record evidence from AEP Ohio’s own case</w:t>
      </w:r>
      <w:bookmarkEnd w:id="62"/>
      <w:r w:rsidR="006174B3">
        <w:t>.</w:t>
      </w:r>
      <w:bookmarkEnd w:id="63"/>
    </w:p>
    <w:p w:rsidR="00EF13AF" w:rsidRDefault="006D6252" w:rsidP="008348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course, </w:t>
      </w:r>
      <w:r w:rsidR="00944935">
        <w:rPr>
          <w:rFonts w:ascii="Times New Roman" w:hAnsi="Times New Roman" w:cs="Times New Roman"/>
          <w:sz w:val="24"/>
          <w:szCs w:val="24"/>
        </w:rPr>
        <w:t xml:space="preserve">AEP Ohio </w:t>
      </w:r>
      <w:r>
        <w:rPr>
          <w:rFonts w:ascii="Times New Roman" w:hAnsi="Times New Roman" w:cs="Times New Roman"/>
          <w:sz w:val="24"/>
          <w:szCs w:val="24"/>
        </w:rPr>
        <w:t xml:space="preserve">as the applicant </w:t>
      </w:r>
      <w:r w:rsidR="00944935">
        <w:rPr>
          <w:rFonts w:ascii="Times New Roman" w:hAnsi="Times New Roman" w:cs="Times New Roman"/>
          <w:sz w:val="24"/>
          <w:szCs w:val="24"/>
        </w:rPr>
        <w:t>bears the burden of proof</w:t>
      </w:r>
      <w:r w:rsidR="005B5315">
        <w:rPr>
          <w:rFonts w:ascii="Times New Roman" w:hAnsi="Times New Roman" w:cs="Times New Roman"/>
          <w:sz w:val="24"/>
          <w:szCs w:val="24"/>
        </w:rPr>
        <w:t>.</w:t>
      </w:r>
      <w:r w:rsidR="005B5315">
        <w:rPr>
          <w:rStyle w:val="FootnoteReference"/>
          <w:rFonts w:ascii="Times New Roman" w:hAnsi="Times New Roman" w:cs="Times New Roman"/>
          <w:sz w:val="24"/>
          <w:szCs w:val="24"/>
        </w:rPr>
        <w:footnoteReference w:id="311"/>
      </w:r>
      <w:r>
        <w:rPr>
          <w:rFonts w:ascii="Times New Roman" w:hAnsi="Times New Roman" w:cs="Times New Roman"/>
          <w:sz w:val="24"/>
          <w:szCs w:val="24"/>
        </w:rPr>
        <w:t xml:space="preserve">  The PUCO </w:t>
      </w:r>
      <w:r w:rsidR="00FD4188">
        <w:rPr>
          <w:rFonts w:ascii="Times New Roman" w:hAnsi="Times New Roman" w:cs="Times New Roman"/>
          <w:sz w:val="24"/>
          <w:szCs w:val="24"/>
        </w:rPr>
        <w:t xml:space="preserve">need </w:t>
      </w:r>
      <w:r>
        <w:rPr>
          <w:rFonts w:ascii="Times New Roman" w:hAnsi="Times New Roman" w:cs="Times New Roman"/>
          <w:sz w:val="24"/>
          <w:szCs w:val="24"/>
        </w:rPr>
        <w:t xml:space="preserve">look no further than the record evidence at the close of AEP Ohio’s case </w:t>
      </w:r>
      <w:r w:rsidR="00750A66">
        <w:rPr>
          <w:rFonts w:ascii="Times New Roman" w:hAnsi="Times New Roman" w:cs="Times New Roman"/>
          <w:sz w:val="24"/>
          <w:szCs w:val="24"/>
        </w:rPr>
        <w:t xml:space="preserve">in the </w:t>
      </w:r>
    </w:p>
    <w:p w:rsidR="00EF13AF" w:rsidRDefault="00EF13AF">
      <w:pPr>
        <w:rPr>
          <w:rFonts w:ascii="Times New Roman" w:hAnsi="Times New Roman" w:cs="Times New Roman"/>
          <w:sz w:val="24"/>
          <w:szCs w:val="24"/>
        </w:rPr>
      </w:pPr>
      <w:r>
        <w:rPr>
          <w:rFonts w:ascii="Times New Roman" w:hAnsi="Times New Roman" w:cs="Times New Roman"/>
          <w:sz w:val="24"/>
          <w:szCs w:val="24"/>
        </w:rPr>
        <w:br w:type="page"/>
      </w:r>
    </w:p>
    <w:p w:rsidR="00834841" w:rsidRDefault="00750A66" w:rsidP="00EF13A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initial phase of this proceeding </w:t>
      </w:r>
      <w:r w:rsidR="006D6252">
        <w:rPr>
          <w:rFonts w:ascii="Times New Roman" w:hAnsi="Times New Roman" w:cs="Times New Roman"/>
          <w:sz w:val="24"/>
          <w:szCs w:val="24"/>
        </w:rPr>
        <w:t>to conclude</w:t>
      </w:r>
      <w:r w:rsidR="008F6F7C">
        <w:rPr>
          <w:rFonts w:ascii="Times New Roman" w:hAnsi="Times New Roman" w:cs="Times New Roman"/>
          <w:sz w:val="24"/>
          <w:szCs w:val="24"/>
        </w:rPr>
        <w:t xml:space="preserve"> that it has failed to meet its</w:t>
      </w:r>
      <w:r w:rsidR="006D6252">
        <w:rPr>
          <w:rFonts w:ascii="Times New Roman" w:hAnsi="Times New Roman" w:cs="Times New Roman"/>
          <w:sz w:val="24"/>
          <w:szCs w:val="24"/>
        </w:rPr>
        <w:t xml:space="preserve"> burden.</w:t>
      </w:r>
      <w:r w:rsidR="00FC4EF9">
        <w:rPr>
          <w:rStyle w:val="FootnoteReference"/>
          <w:rFonts w:ascii="Times New Roman" w:hAnsi="Times New Roman" w:cs="Times New Roman"/>
          <w:sz w:val="24"/>
          <w:szCs w:val="24"/>
        </w:rPr>
        <w:footnoteReference w:id="312"/>
      </w:r>
      <w:r w:rsidR="00FD4188">
        <w:rPr>
          <w:rFonts w:ascii="Times New Roman" w:hAnsi="Times New Roman" w:cs="Times New Roman"/>
          <w:sz w:val="24"/>
          <w:szCs w:val="24"/>
        </w:rPr>
        <w:t xml:space="preserve">  </w:t>
      </w:r>
      <w:r w:rsidR="00834841">
        <w:rPr>
          <w:rFonts w:ascii="Times New Roman" w:hAnsi="Times New Roman" w:cs="Times New Roman"/>
          <w:sz w:val="24"/>
          <w:szCs w:val="24"/>
        </w:rPr>
        <w:t>Among the showings that the PUCO required AEP Ohio to make, “at a minimum,” were:</w:t>
      </w:r>
    </w:p>
    <w:p w:rsidR="00834841" w:rsidRDefault="00834841" w:rsidP="00834841">
      <w:pPr>
        <w:pStyle w:val="ListParagraph"/>
        <w:numPr>
          <w:ilvl w:val="0"/>
          <w:numId w:val="1"/>
        </w:numPr>
        <w:ind w:left="2160" w:right="720" w:hanging="720"/>
        <w:rPr>
          <w:rFonts w:ascii="Times New Roman" w:hAnsi="Times New Roman" w:cs="Times New Roman"/>
          <w:sz w:val="24"/>
          <w:szCs w:val="24"/>
        </w:rPr>
      </w:pPr>
      <w:r>
        <w:rPr>
          <w:rFonts w:ascii="Times New Roman" w:hAnsi="Times New Roman" w:cs="Times New Roman"/>
          <w:sz w:val="24"/>
          <w:szCs w:val="24"/>
        </w:rPr>
        <w:t>Financial need of the generating plant;</w:t>
      </w:r>
    </w:p>
    <w:p w:rsidR="00834841" w:rsidRDefault="00834841" w:rsidP="00834841">
      <w:pPr>
        <w:pStyle w:val="ListParagraph"/>
        <w:numPr>
          <w:ilvl w:val="0"/>
          <w:numId w:val="1"/>
        </w:numPr>
        <w:ind w:right="720" w:firstLine="0"/>
        <w:rPr>
          <w:rFonts w:ascii="Times New Roman" w:hAnsi="Times New Roman" w:cs="Times New Roman"/>
          <w:sz w:val="24"/>
          <w:szCs w:val="24"/>
        </w:rPr>
      </w:pPr>
      <w:r>
        <w:rPr>
          <w:rFonts w:ascii="Times New Roman" w:hAnsi="Times New Roman" w:cs="Times New Roman"/>
          <w:sz w:val="24"/>
          <w:szCs w:val="24"/>
        </w:rPr>
        <w:t xml:space="preserve">Necessity of the generating facility, in light of future </w:t>
      </w:r>
      <w:r>
        <w:rPr>
          <w:rFonts w:ascii="Times New Roman" w:hAnsi="Times New Roman" w:cs="Times New Roman"/>
          <w:sz w:val="24"/>
          <w:szCs w:val="24"/>
        </w:rPr>
        <w:tab/>
        <w:t>reliability concerns, including supply diversity;</w:t>
      </w:r>
    </w:p>
    <w:p w:rsidR="00834841" w:rsidRDefault="00834841" w:rsidP="00834841">
      <w:pPr>
        <w:pStyle w:val="ListParagraph"/>
        <w:numPr>
          <w:ilvl w:val="0"/>
          <w:numId w:val="1"/>
        </w:numPr>
        <w:ind w:right="720" w:firstLine="0"/>
        <w:rPr>
          <w:rFonts w:ascii="Times New Roman" w:hAnsi="Times New Roman" w:cs="Times New Roman"/>
          <w:sz w:val="24"/>
          <w:szCs w:val="24"/>
        </w:rPr>
      </w:pPr>
      <w:r>
        <w:rPr>
          <w:rFonts w:ascii="Times New Roman" w:hAnsi="Times New Roman" w:cs="Times New Roman"/>
          <w:sz w:val="24"/>
          <w:szCs w:val="24"/>
        </w:rPr>
        <w:t xml:space="preserve">Description of how the generating plant is compliant with </w:t>
      </w:r>
      <w:r>
        <w:rPr>
          <w:rFonts w:ascii="Times New Roman" w:hAnsi="Times New Roman" w:cs="Times New Roman"/>
          <w:sz w:val="24"/>
          <w:szCs w:val="24"/>
        </w:rPr>
        <w:tab/>
        <w:t xml:space="preserve">all pertinent environmental regulations and its plan for </w:t>
      </w:r>
      <w:r>
        <w:rPr>
          <w:rFonts w:ascii="Times New Roman" w:hAnsi="Times New Roman" w:cs="Times New Roman"/>
          <w:sz w:val="24"/>
          <w:szCs w:val="24"/>
        </w:rPr>
        <w:tab/>
        <w:t>compliance with pending environmental regulations; and</w:t>
      </w:r>
    </w:p>
    <w:p w:rsidR="00834841" w:rsidRDefault="00834841" w:rsidP="00834841">
      <w:pPr>
        <w:pStyle w:val="ListParagraph"/>
        <w:numPr>
          <w:ilvl w:val="0"/>
          <w:numId w:val="1"/>
        </w:numPr>
        <w:ind w:right="720" w:firstLine="0"/>
        <w:rPr>
          <w:rFonts w:ascii="Times New Roman" w:hAnsi="Times New Roman" w:cs="Times New Roman"/>
          <w:sz w:val="24"/>
          <w:szCs w:val="24"/>
        </w:rPr>
      </w:pPr>
      <w:r>
        <w:rPr>
          <w:rFonts w:ascii="Times New Roman" w:hAnsi="Times New Roman" w:cs="Times New Roman"/>
          <w:sz w:val="24"/>
          <w:szCs w:val="24"/>
        </w:rPr>
        <w:t xml:space="preserve">The impact that a closure of the generating plant would </w:t>
      </w:r>
      <w:r>
        <w:rPr>
          <w:rFonts w:ascii="Times New Roman" w:hAnsi="Times New Roman" w:cs="Times New Roman"/>
          <w:sz w:val="24"/>
          <w:szCs w:val="24"/>
        </w:rPr>
        <w:tab/>
        <w:t xml:space="preserve">have on electric prices and the resulting effect on economic </w:t>
      </w:r>
      <w:r>
        <w:rPr>
          <w:rFonts w:ascii="Times New Roman" w:hAnsi="Times New Roman" w:cs="Times New Roman"/>
          <w:sz w:val="24"/>
          <w:szCs w:val="24"/>
        </w:rPr>
        <w:tab/>
        <w:t>development within the state.</w:t>
      </w:r>
      <w:r>
        <w:rPr>
          <w:rStyle w:val="FootnoteReference"/>
          <w:rFonts w:ascii="Times New Roman" w:hAnsi="Times New Roman" w:cs="Times New Roman"/>
          <w:sz w:val="24"/>
          <w:szCs w:val="24"/>
        </w:rPr>
        <w:footnoteReference w:id="313"/>
      </w:r>
    </w:p>
    <w:p w:rsidR="00944942" w:rsidRDefault="00834841" w:rsidP="0072418C">
      <w:pPr>
        <w:spacing w:after="0" w:line="480" w:lineRule="auto"/>
        <w:rPr>
          <w:rStyle w:val="Heading2Char"/>
          <w:b w:val="0"/>
        </w:rPr>
      </w:pPr>
      <w:r>
        <w:rPr>
          <w:rFonts w:ascii="Times New Roman" w:hAnsi="Times New Roman" w:cs="Times New Roman"/>
          <w:sz w:val="24"/>
          <w:szCs w:val="24"/>
        </w:rPr>
        <w:t>The PUCO emphasized that it would balance, but not be bound by, the foregoing factors.</w:t>
      </w:r>
      <w:r>
        <w:rPr>
          <w:rStyle w:val="FootnoteReference"/>
          <w:rFonts w:ascii="Times New Roman" w:hAnsi="Times New Roman" w:cs="Times New Roman"/>
          <w:sz w:val="24"/>
          <w:szCs w:val="24"/>
        </w:rPr>
        <w:footnoteReference w:id="314"/>
      </w:r>
      <w:r>
        <w:rPr>
          <w:rFonts w:ascii="Times New Roman" w:hAnsi="Times New Roman" w:cs="Times New Roman"/>
          <w:sz w:val="24"/>
          <w:szCs w:val="24"/>
        </w:rPr>
        <w:t xml:space="preserve">  These factors cannot be met by AEP Ohio.  </w:t>
      </w:r>
      <w:r w:rsidR="00FD4188">
        <w:rPr>
          <w:rFonts w:ascii="Times New Roman" w:hAnsi="Times New Roman" w:cs="Times New Roman"/>
          <w:sz w:val="24"/>
          <w:szCs w:val="24"/>
        </w:rPr>
        <w:t>Therefore, its Amended Application</w:t>
      </w:r>
      <w:r w:rsidR="00D213A1">
        <w:rPr>
          <w:rFonts w:ascii="Times New Roman" w:hAnsi="Times New Roman" w:cs="Times New Roman"/>
          <w:sz w:val="24"/>
          <w:szCs w:val="24"/>
        </w:rPr>
        <w:t>/Modified Amended</w:t>
      </w:r>
      <w:r w:rsidR="00FD4188">
        <w:rPr>
          <w:rFonts w:ascii="Times New Roman" w:hAnsi="Times New Roman" w:cs="Times New Roman"/>
          <w:sz w:val="24"/>
          <w:szCs w:val="24"/>
        </w:rPr>
        <w:t xml:space="preserve"> should be denied.</w:t>
      </w:r>
      <w:bookmarkStart w:id="64" w:name="_Toc435428211"/>
    </w:p>
    <w:p w:rsidR="006D6252" w:rsidRPr="001301B8" w:rsidRDefault="00C0196C" w:rsidP="002C3C29">
      <w:pPr>
        <w:pStyle w:val="Heading3"/>
        <w:numPr>
          <w:ilvl w:val="0"/>
          <w:numId w:val="4"/>
        </w:numPr>
        <w:ind w:left="2880" w:hanging="720"/>
        <w:rPr>
          <w:rFonts w:ascii="Times New Roman" w:hAnsi="Times New Roman"/>
        </w:rPr>
      </w:pPr>
      <w:bookmarkStart w:id="65" w:name="_Toc442104165"/>
      <w:r>
        <w:rPr>
          <w:rStyle w:val="Heading2Char"/>
        </w:rPr>
        <w:t>AEP Ohio seeks corporate welfar</w:t>
      </w:r>
      <w:r w:rsidR="00660B4A">
        <w:rPr>
          <w:rStyle w:val="Heading2Char"/>
        </w:rPr>
        <w:t>e from Ohioans, without proving</w:t>
      </w:r>
      <w:r w:rsidR="002579E1">
        <w:rPr>
          <w:rStyle w:val="Heading2Char"/>
        </w:rPr>
        <w:t xml:space="preserve"> financial distress</w:t>
      </w:r>
      <w:r>
        <w:rPr>
          <w:rStyle w:val="Heading2Char"/>
        </w:rPr>
        <w:t>.</w:t>
      </w:r>
      <w:bookmarkEnd w:id="65"/>
      <w:r w:rsidR="002579E1">
        <w:rPr>
          <w:rStyle w:val="Heading2Char"/>
        </w:rPr>
        <w:t xml:space="preserve"> </w:t>
      </w:r>
      <w:bookmarkEnd w:id="64"/>
    </w:p>
    <w:p w:rsidR="00167B9B" w:rsidRDefault="00660B4A" w:rsidP="00EF13A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Make no mistake, state and federal law do</w:t>
      </w:r>
      <w:r w:rsidR="0072418C">
        <w:rPr>
          <w:rFonts w:ascii="Times New Roman" w:hAnsi="Times New Roman" w:cs="Times New Roman"/>
          <w:sz w:val="24"/>
          <w:szCs w:val="24"/>
        </w:rPr>
        <w:t>es</w:t>
      </w:r>
      <w:r>
        <w:rPr>
          <w:rFonts w:ascii="Times New Roman" w:hAnsi="Times New Roman" w:cs="Times New Roman"/>
          <w:sz w:val="24"/>
          <w:szCs w:val="24"/>
        </w:rPr>
        <w:t xml:space="preserve"> not allow what AEP Ohio proposes. But </w:t>
      </w:r>
      <w:r w:rsidR="00FB0671">
        <w:rPr>
          <w:rFonts w:ascii="Times New Roman" w:hAnsi="Times New Roman" w:cs="Times New Roman"/>
          <w:sz w:val="24"/>
          <w:szCs w:val="24"/>
        </w:rPr>
        <w:t>AEP Ohio</w:t>
      </w:r>
      <w:r>
        <w:rPr>
          <w:rFonts w:ascii="Times New Roman" w:hAnsi="Times New Roman" w:cs="Times New Roman"/>
          <w:sz w:val="24"/>
          <w:szCs w:val="24"/>
        </w:rPr>
        <w:t>’s premise</w:t>
      </w:r>
      <w:r w:rsidR="00BF70AB">
        <w:rPr>
          <w:rFonts w:ascii="Times New Roman" w:hAnsi="Times New Roman" w:cs="Times New Roman"/>
          <w:sz w:val="24"/>
          <w:szCs w:val="24"/>
        </w:rPr>
        <w:t xml:space="preserve"> for Ohioans to pay the subsidy</w:t>
      </w:r>
      <w:r>
        <w:rPr>
          <w:rFonts w:ascii="Times New Roman" w:hAnsi="Times New Roman" w:cs="Times New Roman"/>
          <w:sz w:val="24"/>
          <w:szCs w:val="24"/>
        </w:rPr>
        <w:t xml:space="preserve"> is flawed beyond </w:t>
      </w:r>
      <w:r w:rsidR="00167B9B">
        <w:rPr>
          <w:rFonts w:ascii="Times New Roman" w:hAnsi="Times New Roman" w:cs="Times New Roman"/>
          <w:sz w:val="24"/>
          <w:szCs w:val="24"/>
        </w:rPr>
        <w:t>the legal issues.</w:t>
      </w:r>
      <w:r w:rsidR="00FB0671">
        <w:rPr>
          <w:rFonts w:ascii="Times New Roman" w:hAnsi="Times New Roman" w:cs="Times New Roman"/>
          <w:sz w:val="24"/>
          <w:szCs w:val="24"/>
        </w:rPr>
        <w:t xml:space="preserve"> </w:t>
      </w:r>
    </w:p>
    <w:p w:rsidR="00EF13AF" w:rsidRDefault="00EF13AF">
      <w:pPr>
        <w:rPr>
          <w:rFonts w:ascii="Times New Roman" w:hAnsi="Times New Roman" w:cs="Times New Roman"/>
          <w:sz w:val="24"/>
          <w:szCs w:val="24"/>
        </w:rPr>
      </w:pPr>
      <w:r>
        <w:rPr>
          <w:rFonts w:ascii="Times New Roman" w:hAnsi="Times New Roman" w:cs="Times New Roman"/>
          <w:sz w:val="24"/>
          <w:szCs w:val="24"/>
        </w:rPr>
        <w:br w:type="page"/>
      </w:r>
    </w:p>
    <w:p w:rsidR="006174B3" w:rsidRDefault="00167B9B" w:rsidP="00EF13A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AEP Ohio </w:t>
      </w:r>
      <w:r w:rsidR="00FB0671">
        <w:rPr>
          <w:rFonts w:ascii="Times New Roman" w:hAnsi="Times New Roman" w:cs="Times New Roman"/>
          <w:sz w:val="24"/>
          <w:szCs w:val="24"/>
        </w:rPr>
        <w:t xml:space="preserve">initially asserted in its Amended Application and pre-filed </w:t>
      </w:r>
      <w:r w:rsidR="001301B8">
        <w:rPr>
          <w:rFonts w:ascii="Times New Roman" w:hAnsi="Times New Roman" w:cs="Times New Roman"/>
          <w:sz w:val="24"/>
          <w:szCs w:val="24"/>
        </w:rPr>
        <w:t>D</w:t>
      </w:r>
      <w:r w:rsidR="00FB0671">
        <w:rPr>
          <w:rFonts w:ascii="Times New Roman" w:hAnsi="Times New Roman" w:cs="Times New Roman"/>
          <w:sz w:val="24"/>
          <w:szCs w:val="24"/>
        </w:rPr>
        <w:t xml:space="preserve">irect </w:t>
      </w:r>
      <w:r w:rsidR="001301B8">
        <w:rPr>
          <w:rFonts w:ascii="Times New Roman" w:hAnsi="Times New Roman" w:cs="Times New Roman"/>
          <w:sz w:val="24"/>
          <w:szCs w:val="24"/>
        </w:rPr>
        <w:t>T</w:t>
      </w:r>
      <w:r w:rsidR="00FB0671">
        <w:rPr>
          <w:rFonts w:ascii="Times New Roman" w:hAnsi="Times New Roman" w:cs="Times New Roman"/>
          <w:sz w:val="24"/>
          <w:szCs w:val="24"/>
        </w:rPr>
        <w:t>estimony that the PPA Units are on the economic bubble.</w:t>
      </w:r>
      <w:r w:rsidR="00FB0671">
        <w:rPr>
          <w:rStyle w:val="FootnoteReference"/>
          <w:rFonts w:ascii="Times New Roman" w:hAnsi="Times New Roman" w:cs="Times New Roman"/>
          <w:sz w:val="24"/>
          <w:szCs w:val="24"/>
        </w:rPr>
        <w:footnoteReference w:id="315"/>
      </w:r>
      <w:r w:rsidR="00FB0671">
        <w:rPr>
          <w:rFonts w:ascii="Times New Roman" w:hAnsi="Times New Roman" w:cs="Times New Roman"/>
          <w:sz w:val="24"/>
          <w:szCs w:val="24"/>
        </w:rPr>
        <w:t xml:space="preserve">  </w:t>
      </w:r>
      <w:r w:rsidR="00105C06">
        <w:rPr>
          <w:rFonts w:ascii="Times New Roman" w:hAnsi="Times New Roman" w:cs="Times New Roman"/>
          <w:sz w:val="24"/>
          <w:szCs w:val="24"/>
        </w:rPr>
        <w:t xml:space="preserve">But the </w:t>
      </w:r>
      <w:r w:rsidR="001E076E">
        <w:rPr>
          <w:rFonts w:ascii="Times New Roman" w:hAnsi="Times New Roman" w:cs="Times New Roman"/>
          <w:sz w:val="24"/>
          <w:szCs w:val="24"/>
        </w:rPr>
        <w:t>record evidence produced at hearing tell</w:t>
      </w:r>
      <w:r w:rsidR="002E1C0A">
        <w:rPr>
          <w:rFonts w:ascii="Times New Roman" w:hAnsi="Times New Roman" w:cs="Times New Roman"/>
          <w:sz w:val="24"/>
          <w:szCs w:val="24"/>
        </w:rPr>
        <w:t>s</w:t>
      </w:r>
      <w:r w:rsidR="001E076E">
        <w:rPr>
          <w:rFonts w:ascii="Times New Roman" w:hAnsi="Times New Roman" w:cs="Times New Roman"/>
          <w:sz w:val="24"/>
          <w:szCs w:val="24"/>
        </w:rPr>
        <w:t xml:space="preserve"> a differe</w:t>
      </w:r>
      <w:r w:rsidR="006174B3">
        <w:rPr>
          <w:rFonts w:ascii="Times New Roman" w:hAnsi="Times New Roman" w:cs="Times New Roman"/>
          <w:sz w:val="24"/>
          <w:szCs w:val="24"/>
        </w:rPr>
        <w:t>nt story, as AEP Ohio conceded.</w:t>
      </w:r>
    </w:p>
    <w:p w:rsidR="00153ED7" w:rsidRPr="006174B3" w:rsidRDefault="009C4919" w:rsidP="00C401CE">
      <w:pPr>
        <w:pStyle w:val="Heading4"/>
        <w:rPr>
          <w:rFonts w:cs="Times New Roman"/>
        </w:rPr>
      </w:pPr>
      <w:bookmarkStart w:id="66" w:name="_Toc442104166"/>
      <w:r>
        <w:t>a.</w:t>
      </w:r>
      <w:r>
        <w:tab/>
      </w:r>
      <w:r w:rsidR="00153ED7" w:rsidRPr="00153ED7">
        <w:t>AEP’s assets are increasing substantially</w:t>
      </w:r>
      <w:r w:rsidR="001C2E4A">
        <w:t xml:space="preserve"> in value</w:t>
      </w:r>
      <w:r w:rsidR="00153ED7" w:rsidRPr="00153ED7">
        <w:t>, and the PPA Units are positioned to compete</w:t>
      </w:r>
      <w:r w:rsidR="006174B3">
        <w:t>.</w:t>
      </w:r>
      <w:bookmarkEnd w:id="66"/>
    </w:p>
    <w:p w:rsidR="00194B13" w:rsidRDefault="00352C95" w:rsidP="00A574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AEP, which wholly owns AEP Ohio and AEPGR, represented to the public that it had $58 billion in total assets as of September 30, 2014.</w:t>
      </w:r>
      <w:r>
        <w:rPr>
          <w:rStyle w:val="FootnoteReference"/>
          <w:rFonts w:ascii="Times New Roman" w:hAnsi="Times New Roman" w:cs="Times New Roman"/>
          <w:sz w:val="24"/>
          <w:szCs w:val="24"/>
        </w:rPr>
        <w:footnoteReference w:id="316"/>
      </w:r>
      <w:r>
        <w:rPr>
          <w:rFonts w:ascii="Times New Roman" w:hAnsi="Times New Roman" w:cs="Times New Roman"/>
          <w:sz w:val="24"/>
          <w:szCs w:val="24"/>
        </w:rPr>
        <w:t xml:space="preserve">  AEP represented to the public that it had $ 60 billion in total assets as of December 31, 2014.</w:t>
      </w:r>
      <w:r>
        <w:rPr>
          <w:rStyle w:val="FootnoteReference"/>
          <w:rFonts w:ascii="Times New Roman" w:hAnsi="Times New Roman" w:cs="Times New Roman"/>
          <w:sz w:val="24"/>
          <w:szCs w:val="24"/>
        </w:rPr>
        <w:footnoteReference w:id="317"/>
      </w:r>
      <w:r>
        <w:rPr>
          <w:rFonts w:ascii="Times New Roman" w:hAnsi="Times New Roman" w:cs="Times New Roman"/>
          <w:sz w:val="24"/>
          <w:szCs w:val="24"/>
        </w:rPr>
        <w:t xml:space="preserve">  And AEP represented to the public that it had $61 billion in total assets as of June 30</w:t>
      </w:r>
      <w:r w:rsidR="00194B13">
        <w:rPr>
          <w:rFonts w:ascii="Times New Roman" w:hAnsi="Times New Roman" w:cs="Times New Roman"/>
          <w:sz w:val="24"/>
          <w:szCs w:val="24"/>
        </w:rPr>
        <w:t xml:space="preserve"> total assets in</w:t>
      </w:r>
      <w:r w:rsidR="00105C06">
        <w:rPr>
          <w:rFonts w:ascii="Times New Roman" w:hAnsi="Times New Roman" w:cs="Times New Roman"/>
          <w:sz w:val="24"/>
          <w:szCs w:val="24"/>
        </w:rPr>
        <w:t>, 2015.</w:t>
      </w:r>
      <w:r w:rsidR="00105C06">
        <w:rPr>
          <w:rStyle w:val="FootnoteReference"/>
          <w:rFonts w:ascii="Times New Roman" w:hAnsi="Times New Roman" w:cs="Times New Roman"/>
          <w:sz w:val="24"/>
          <w:szCs w:val="24"/>
        </w:rPr>
        <w:footnoteReference w:id="318"/>
      </w:r>
      <w:r w:rsidR="00105C06">
        <w:rPr>
          <w:rFonts w:ascii="Times New Roman" w:hAnsi="Times New Roman" w:cs="Times New Roman"/>
          <w:sz w:val="24"/>
          <w:szCs w:val="24"/>
        </w:rPr>
        <w:t xml:space="preserve">  So from 2014 through 2015, AEP’s </w:t>
      </w:r>
      <w:r w:rsidR="004F3D69">
        <w:rPr>
          <w:rFonts w:ascii="Times New Roman" w:hAnsi="Times New Roman" w:cs="Times New Roman"/>
          <w:sz w:val="24"/>
          <w:szCs w:val="24"/>
        </w:rPr>
        <w:t>assets in</w:t>
      </w:r>
      <w:r w:rsidR="00194B13">
        <w:rPr>
          <w:rFonts w:ascii="Times New Roman" w:hAnsi="Times New Roman" w:cs="Times New Roman"/>
          <w:sz w:val="24"/>
          <w:szCs w:val="24"/>
        </w:rPr>
        <w:t xml:space="preserve">creased </w:t>
      </w:r>
      <w:r w:rsidR="001C2E4A">
        <w:rPr>
          <w:rFonts w:ascii="Times New Roman" w:hAnsi="Times New Roman" w:cs="Times New Roman"/>
          <w:sz w:val="24"/>
          <w:szCs w:val="24"/>
        </w:rPr>
        <w:t xml:space="preserve">in value </w:t>
      </w:r>
      <w:r w:rsidR="00194B13">
        <w:rPr>
          <w:rFonts w:ascii="Times New Roman" w:hAnsi="Times New Roman" w:cs="Times New Roman"/>
          <w:sz w:val="24"/>
          <w:szCs w:val="24"/>
        </w:rPr>
        <w:t>by $3 billion.</w:t>
      </w:r>
      <w:r w:rsidR="00194B13">
        <w:rPr>
          <w:rStyle w:val="FootnoteReference"/>
          <w:rFonts w:ascii="Times New Roman" w:hAnsi="Times New Roman" w:cs="Times New Roman"/>
          <w:sz w:val="24"/>
          <w:szCs w:val="24"/>
        </w:rPr>
        <w:footnoteReference w:id="319"/>
      </w:r>
      <w:r w:rsidR="00194B13">
        <w:rPr>
          <w:rFonts w:ascii="Times New Roman" w:hAnsi="Times New Roman" w:cs="Times New Roman"/>
          <w:sz w:val="24"/>
          <w:szCs w:val="24"/>
        </w:rPr>
        <w:t xml:space="preserve">  </w:t>
      </w:r>
    </w:p>
    <w:p w:rsidR="003F176A" w:rsidRDefault="00194B13" w:rsidP="00A574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AEP has consistently represented to the public that its generation fleet, including the PPA Units, is cost-competitive and well-positioned to compete in the </w:t>
      </w:r>
      <w:r w:rsidR="00D04677">
        <w:rPr>
          <w:rFonts w:ascii="Times New Roman" w:hAnsi="Times New Roman" w:cs="Times New Roman"/>
          <w:sz w:val="24"/>
          <w:szCs w:val="24"/>
        </w:rPr>
        <w:t xml:space="preserve">competitive generation market. </w:t>
      </w:r>
      <w:r w:rsidR="00B03B3B">
        <w:rPr>
          <w:rFonts w:ascii="Times New Roman" w:hAnsi="Times New Roman" w:cs="Times New Roman"/>
          <w:sz w:val="24"/>
          <w:szCs w:val="24"/>
        </w:rPr>
        <w:t xml:space="preserve"> </w:t>
      </w:r>
      <w:r>
        <w:rPr>
          <w:rFonts w:ascii="Times New Roman" w:hAnsi="Times New Roman" w:cs="Times New Roman"/>
          <w:sz w:val="24"/>
          <w:szCs w:val="24"/>
        </w:rPr>
        <w:t>In “American Electric Power 2</w:t>
      </w:r>
      <w:r w:rsidRPr="00194B13">
        <w:rPr>
          <w:rFonts w:ascii="Times New Roman" w:hAnsi="Times New Roman" w:cs="Times New Roman"/>
          <w:sz w:val="24"/>
          <w:szCs w:val="24"/>
          <w:vertAlign w:val="superscript"/>
        </w:rPr>
        <w:t>nd</w:t>
      </w:r>
      <w:r>
        <w:rPr>
          <w:rFonts w:ascii="Times New Roman" w:hAnsi="Times New Roman" w:cs="Times New Roman"/>
          <w:sz w:val="24"/>
          <w:szCs w:val="24"/>
        </w:rPr>
        <w:t xml:space="preserve"> Quarter 2014 Earnings Presentation</w:t>
      </w:r>
      <w:r w:rsidR="003F176A">
        <w:rPr>
          <w:rFonts w:ascii="Times New Roman" w:hAnsi="Times New Roman" w:cs="Times New Roman"/>
          <w:sz w:val="24"/>
          <w:szCs w:val="24"/>
        </w:rPr>
        <w:t xml:space="preserve">” dated July 25, 2014, </w:t>
      </w:r>
      <w:r>
        <w:rPr>
          <w:rFonts w:ascii="Times New Roman" w:hAnsi="Times New Roman" w:cs="Times New Roman"/>
          <w:sz w:val="24"/>
          <w:szCs w:val="24"/>
        </w:rPr>
        <w:t xml:space="preserve"> AEP represented that AEPGR’s generation fleet, including the PPA Units, is a “Cost-competitive fleet [that] captured significant spot opportunities[.]”</w:t>
      </w:r>
      <w:r>
        <w:rPr>
          <w:rStyle w:val="FootnoteReference"/>
          <w:rFonts w:ascii="Times New Roman" w:hAnsi="Times New Roman" w:cs="Times New Roman"/>
          <w:sz w:val="24"/>
          <w:szCs w:val="24"/>
        </w:rPr>
        <w:footnoteReference w:id="320"/>
      </w:r>
      <w:r>
        <w:rPr>
          <w:rFonts w:ascii="Times New Roman" w:hAnsi="Times New Roman" w:cs="Times New Roman"/>
          <w:sz w:val="24"/>
          <w:szCs w:val="24"/>
        </w:rPr>
        <w:t xml:space="preserve">  </w:t>
      </w:r>
      <w:r w:rsidR="003F176A">
        <w:rPr>
          <w:rFonts w:ascii="Times New Roman" w:hAnsi="Times New Roman" w:cs="Times New Roman"/>
          <w:sz w:val="24"/>
          <w:szCs w:val="24"/>
        </w:rPr>
        <w:t>In “American Electric Power May 2015 Investor Meeting[,]” AEP represented that AEPGR’s generation fleet, including the PPA Units, is “well-positioned from a cost and operational perspective to participate in the competitive market[.]”</w:t>
      </w:r>
      <w:r w:rsidR="003F176A">
        <w:rPr>
          <w:rStyle w:val="FootnoteReference"/>
          <w:rFonts w:ascii="Times New Roman" w:hAnsi="Times New Roman" w:cs="Times New Roman"/>
          <w:sz w:val="24"/>
          <w:szCs w:val="24"/>
        </w:rPr>
        <w:footnoteReference w:id="321"/>
      </w:r>
      <w:r w:rsidR="003F176A">
        <w:rPr>
          <w:rFonts w:ascii="Times New Roman" w:hAnsi="Times New Roman" w:cs="Times New Roman"/>
          <w:sz w:val="24"/>
          <w:szCs w:val="24"/>
        </w:rPr>
        <w:t xml:space="preserve">  AEP reaffirmed that its generation fleet, including the PPA Units, is “well-positioned from a cost and operation perspective to participate in the competitive market” in </w:t>
      </w:r>
      <w:r w:rsidR="000B33D1">
        <w:rPr>
          <w:rFonts w:ascii="Times New Roman" w:hAnsi="Times New Roman" w:cs="Times New Roman"/>
          <w:sz w:val="24"/>
          <w:szCs w:val="24"/>
        </w:rPr>
        <w:t>June 2015</w:t>
      </w:r>
      <w:r w:rsidR="000B33D1">
        <w:rPr>
          <w:rStyle w:val="FootnoteReference"/>
          <w:rFonts w:ascii="Times New Roman" w:hAnsi="Times New Roman" w:cs="Times New Roman"/>
          <w:sz w:val="24"/>
          <w:szCs w:val="24"/>
        </w:rPr>
        <w:footnoteReference w:id="322"/>
      </w:r>
      <w:r w:rsidR="000B33D1">
        <w:rPr>
          <w:rFonts w:ascii="Times New Roman" w:hAnsi="Times New Roman" w:cs="Times New Roman"/>
          <w:sz w:val="24"/>
          <w:szCs w:val="24"/>
        </w:rPr>
        <w:t xml:space="preserve"> and </w:t>
      </w:r>
      <w:r w:rsidR="00607DD4">
        <w:rPr>
          <w:rFonts w:ascii="Times New Roman" w:hAnsi="Times New Roman" w:cs="Times New Roman"/>
          <w:sz w:val="24"/>
          <w:szCs w:val="24"/>
        </w:rPr>
        <w:t>September 2015</w:t>
      </w:r>
      <w:r w:rsidR="00607DD4">
        <w:rPr>
          <w:rStyle w:val="FootnoteReference"/>
          <w:rFonts w:ascii="Times New Roman" w:hAnsi="Times New Roman" w:cs="Times New Roman"/>
          <w:sz w:val="24"/>
          <w:szCs w:val="24"/>
        </w:rPr>
        <w:footnoteReference w:id="323"/>
      </w:r>
      <w:r w:rsidR="00607DD4">
        <w:rPr>
          <w:rFonts w:ascii="Times New Roman" w:hAnsi="Times New Roman" w:cs="Times New Roman"/>
          <w:sz w:val="24"/>
          <w:szCs w:val="24"/>
        </w:rPr>
        <w:t xml:space="preserve"> – the very month in which the hearing in this matter began</w:t>
      </w:r>
      <w:r w:rsidR="000B33D1">
        <w:rPr>
          <w:rFonts w:ascii="Times New Roman" w:hAnsi="Times New Roman" w:cs="Times New Roman"/>
          <w:sz w:val="24"/>
          <w:szCs w:val="24"/>
        </w:rPr>
        <w:t>.</w:t>
      </w:r>
    </w:p>
    <w:p w:rsidR="001E076E" w:rsidRDefault="001E076E" w:rsidP="00A574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AEP’s representations to the public are buttressed by </w:t>
      </w:r>
      <w:r w:rsidR="008F6F7C">
        <w:rPr>
          <w:rFonts w:ascii="Times New Roman" w:hAnsi="Times New Roman" w:cs="Times New Roman"/>
          <w:sz w:val="24"/>
          <w:szCs w:val="24"/>
        </w:rPr>
        <w:t>recently</w:t>
      </w:r>
      <w:r>
        <w:rPr>
          <w:rFonts w:ascii="Times New Roman" w:hAnsi="Times New Roman" w:cs="Times New Roman"/>
          <w:sz w:val="24"/>
          <w:szCs w:val="24"/>
        </w:rPr>
        <w:t xml:space="preserve"> reported earnings from its generation and marketing segment, which includes AEPGR.</w:t>
      </w:r>
      <w:r>
        <w:rPr>
          <w:rStyle w:val="FootnoteReference"/>
          <w:rFonts w:ascii="Times New Roman" w:hAnsi="Times New Roman" w:cs="Times New Roman"/>
          <w:sz w:val="24"/>
          <w:szCs w:val="24"/>
        </w:rPr>
        <w:footnoteReference w:id="324"/>
      </w:r>
      <w:r>
        <w:rPr>
          <w:rFonts w:ascii="Times New Roman" w:hAnsi="Times New Roman" w:cs="Times New Roman"/>
          <w:sz w:val="24"/>
          <w:szCs w:val="24"/>
        </w:rPr>
        <w:t xml:space="preserve">  In the second quarter of 2015, AEP’s generation and marketing segment report</w:t>
      </w:r>
      <w:r w:rsidR="008F6F7C">
        <w:rPr>
          <w:rFonts w:ascii="Times New Roman" w:hAnsi="Times New Roman" w:cs="Times New Roman"/>
          <w:sz w:val="24"/>
          <w:szCs w:val="24"/>
        </w:rPr>
        <w:t>ed</w:t>
      </w:r>
      <w:r>
        <w:rPr>
          <w:rFonts w:ascii="Times New Roman" w:hAnsi="Times New Roman" w:cs="Times New Roman"/>
          <w:sz w:val="24"/>
          <w:szCs w:val="24"/>
        </w:rPr>
        <w:t xml:space="preserve"> earnings of $82 million.</w:t>
      </w:r>
      <w:r>
        <w:rPr>
          <w:rStyle w:val="FootnoteReference"/>
          <w:rFonts w:ascii="Times New Roman" w:hAnsi="Times New Roman" w:cs="Times New Roman"/>
          <w:sz w:val="24"/>
          <w:szCs w:val="24"/>
        </w:rPr>
        <w:footnoteReference w:id="325"/>
      </w:r>
      <w:r w:rsidR="0015288E">
        <w:rPr>
          <w:rFonts w:ascii="Times New Roman" w:hAnsi="Times New Roman" w:cs="Times New Roman"/>
          <w:sz w:val="24"/>
          <w:szCs w:val="24"/>
        </w:rPr>
        <w:t xml:space="preserve">  For the first six months of 2015, it reported earnings of $269 million.</w:t>
      </w:r>
      <w:r w:rsidR="0015288E">
        <w:rPr>
          <w:rStyle w:val="FootnoteReference"/>
          <w:rFonts w:ascii="Times New Roman" w:hAnsi="Times New Roman" w:cs="Times New Roman"/>
          <w:sz w:val="24"/>
          <w:szCs w:val="24"/>
        </w:rPr>
        <w:footnoteReference w:id="326"/>
      </w:r>
      <w:r w:rsidR="0015288E">
        <w:rPr>
          <w:rFonts w:ascii="Times New Roman" w:hAnsi="Times New Roman" w:cs="Times New Roman"/>
          <w:sz w:val="24"/>
          <w:szCs w:val="24"/>
        </w:rPr>
        <w:t xml:space="preserve">  Importantly, the earnings in the first six months of 2015 increased year over year compared to the first six months of 2014.</w:t>
      </w:r>
      <w:r w:rsidR="0015288E">
        <w:rPr>
          <w:rStyle w:val="FootnoteReference"/>
          <w:rFonts w:ascii="Times New Roman" w:hAnsi="Times New Roman" w:cs="Times New Roman"/>
          <w:sz w:val="24"/>
          <w:szCs w:val="24"/>
        </w:rPr>
        <w:footnoteReference w:id="327"/>
      </w:r>
      <w:r w:rsidR="001C2E4A">
        <w:rPr>
          <w:rFonts w:ascii="Times New Roman" w:hAnsi="Times New Roman" w:cs="Times New Roman"/>
          <w:sz w:val="24"/>
          <w:szCs w:val="24"/>
        </w:rPr>
        <w:t xml:space="preserve"> Clearly, a consumer bailout of these units is not warranted.</w:t>
      </w:r>
    </w:p>
    <w:p w:rsidR="00153ED7" w:rsidRDefault="006174B3" w:rsidP="00C401CE">
      <w:pPr>
        <w:pStyle w:val="Heading4"/>
      </w:pPr>
      <w:bookmarkStart w:id="67" w:name="_Toc442104167"/>
      <w:r>
        <w:t>b.</w:t>
      </w:r>
      <w:r>
        <w:tab/>
      </w:r>
      <w:r w:rsidR="00153ED7" w:rsidRPr="00153ED7">
        <w:t xml:space="preserve">AEP Ohio’s finances are such that it does not need </w:t>
      </w:r>
      <w:r w:rsidR="00C325AF">
        <w:t xml:space="preserve">a customer-funded bailout provided by </w:t>
      </w:r>
      <w:r w:rsidR="00153ED7" w:rsidRPr="00153ED7">
        <w:t>the PPA Rider</w:t>
      </w:r>
      <w:r>
        <w:t>.</w:t>
      </w:r>
      <w:bookmarkEnd w:id="67"/>
    </w:p>
    <w:p w:rsidR="00B270B1" w:rsidRDefault="008F6F7C" w:rsidP="00A574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AEP Ohio’s financial wherewithal is such that it could enter the PPA and weather any storm associated with short-term low energy and </w:t>
      </w:r>
      <w:r w:rsidRPr="002253DD">
        <w:rPr>
          <w:rFonts w:ascii="Times New Roman" w:hAnsi="Times New Roman" w:cs="Times New Roman"/>
          <w:sz w:val="24"/>
          <w:szCs w:val="24"/>
        </w:rPr>
        <w:t>cap</w:t>
      </w:r>
      <w:r w:rsidR="002253DD">
        <w:rPr>
          <w:rFonts w:ascii="Times New Roman" w:hAnsi="Times New Roman" w:cs="Times New Roman"/>
          <w:sz w:val="24"/>
          <w:szCs w:val="24"/>
        </w:rPr>
        <w:t>acity</w:t>
      </w:r>
      <w:r>
        <w:rPr>
          <w:rFonts w:ascii="Times New Roman" w:hAnsi="Times New Roman" w:cs="Times New Roman"/>
          <w:sz w:val="24"/>
          <w:szCs w:val="24"/>
        </w:rPr>
        <w:t xml:space="preserve"> prices without the PPA Rider. </w:t>
      </w:r>
      <w:r w:rsidR="004F3D69">
        <w:rPr>
          <w:rFonts w:ascii="Times New Roman" w:hAnsi="Times New Roman" w:cs="Times New Roman"/>
          <w:sz w:val="24"/>
          <w:szCs w:val="24"/>
        </w:rPr>
        <w:t xml:space="preserve"> </w:t>
      </w:r>
      <w:r w:rsidR="00C1653A">
        <w:rPr>
          <w:rFonts w:ascii="Times New Roman" w:hAnsi="Times New Roman" w:cs="Times New Roman"/>
          <w:sz w:val="24"/>
          <w:szCs w:val="24"/>
        </w:rPr>
        <w:t>AEP Ohio’s President acknowledged that investors can make short-term investments based on long-term price signals.</w:t>
      </w:r>
      <w:r w:rsidR="00C1653A">
        <w:rPr>
          <w:rStyle w:val="FootnoteReference"/>
          <w:rFonts w:ascii="Times New Roman" w:hAnsi="Times New Roman" w:cs="Times New Roman"/>
          <w:sz w:val="24"/>
          <w:szCs w:val="24"/>
        </w:rPr>
        <w:footnoteReference w:id="328"/>
      </w:r>
      <w:r w:rsidR="00C1653A">
        <w:rPr>
          <w:rFonts w:ascii="Times New Roman" w:hAnsi="Times New Roman" w:cs="Times New Roman"/>
          <w:sz w:val="24"/>
          <w:szCs w:val="24"/>
        </w:rPr>
        <w:t xml:space="preserve">  He also acknowledged that AEP Ohio Witness Pearce in his PPA Rider forecast </w:t>
      </w:r>
      <w:r w:rsidR="00B270B1">
        <w:rPr>
          <w:rFonts w:ascii="Times New Roman" w:hAnsi="Times New Roman" w:cs="Times New Roman"/>
          <w:sz w:val="24"/>
          <w:szCs w:val="24"/>
        </w:rPr>
        <w:t>projected a $48 million cost for October-December</w:t>
      </w:r>
      <w:r>
        <w:rPr>
          <w:rFonts w:ascii="Times New Roman" w:hAnsi="Times New Roman" w:cs="Times New Roman"/>
          <w:sz w:val="24"/>
          <w:szCs w:val="24"/>
        </w:rPr>
        <w:t xml:space="preserve"> 2015 and a $574 million profit</w:t>
      </w:r>
      <w:r w:rsidR="00B270B1">
        <w:rPr>
          <w:rFonts w:ascii="Times New Roman" w:hAnsi="Times New Roman" w:cs="Times New Roman"/>
          <w:sz w:val="24"/>
          <w:szCs w:val="24"/>
        </w:rPr>
        <w:t xml:space="preserve"> for 2016</w:t>
      </w:r>
      <w:r>
        <w:rPr>
          <w:rFonts w:ascii="Times New Roman" w:hAnsi="Times New Roman" w:cs="Times New Roman"/>
          <w:sz w:val="24"/>
          <w:szCs w:val="24"/>
        </w:rPr>
        <w:t xml:space="preserve"> to 2024</w:t>
      </w:r>
      <w:r w:rsidR="00B270B1">
        <w:rPr>
          <w:rFonts w:ascii="Times New Roman" w:hAnsi="Times New Roman" w:cs="Times New Roman"/>
          <w:sz w:val="24"/>
          <w:szCs w:val="24"/>
        </w:rPr>
        <w:t>.</w:t>
      </w:r>
      <w:r w:rsidR="00B270B1">
        <w:rPr>
          <w:rStyle w:val="FootnoteReference"/>
          <w:rFonts w:ascii="Times New Roman" w:hAnsi="Times New Roman" w:cs="Times New Roman"/>
          <w:sz w:val="24"/>
          <w:szCs w:val="24"/>
        </w:rPr>
        <w:footnoteReference w:id="329"/>
      </w:r>
      <w:r w:rsidR="00B270B1">
        <w:rPr>
          <w:rFonts w:ascii="Times New Roman" w:hAnsi="Times New Roman" w:cs="Times New Roman"/>
          <w:sz w:val="24"/>
          <w:szCs w:val="24"/>
        </w:rPr>
        <w:t xml:space="preserve">  Thus, AEP Ohio’s President acknowledged that the $48 million cost would be a short-term investment in order to get the long-term payoff of $574 million.</w:t>
      </w:r>
      <w:r w:rsidR="00B270B1">
        <w:rPr>
          <w:rStyle w:val="FootnoteReference"/>
          <w:rFonts w:ascii="Times New Roman" w:hAnsi="Times New Roman" w:cs="Times New Roman"/>
          <w:sz w:val="24"/>
          <w:szCs w:val="24"/>
        </w:rPr>
        <w:footnoteReference w:id="330"/>
      </w:r>
      <w:r w:rsidR="00B270B1">
        <w:rPr>
          <w:rFonts w:ascii="Times New Roman" w:hAnsi="Times New Roman" w:cs="Times New Roman"/>
          <w:sz w:val="24"/>
          <w:szCs w:val="24"/>
        </w:rPr>
        <w:t xml:space="preserve">  AEP Ohio’s financial capability is such that there is no need to take AEP Ohio Witness Pearce’s forecast to a commercial bank to see if it would fund the short-term costs forecasted by AEP Ohio Witness Pearce – AEP Ohio has “the credit capabilities to cover short-term investments[,]” including a $48 million investment.</w:t>
      </w:r>
      <w:r w:rsidR="00B270B1">
        <w:rPr>
          <w:rStyle w:val="FootnoteReference"/>
          <w:rFonts w:ascii="Times New Roman" w:hAnsi="Times New Roman" w:cs="Times New Roman"/>
          <w:sz w:val="24"/>
          <w:szCs w:val="24"/>
        </w:rPr>
        <w:footnoteReference w:id="331"/>
      </w:r>
      <w:r w:rsidR="00B270B1">
        <w:rPr>
          <w:rFonts w:ascii="Times New Roman" w:hAnsi="Times New Roman" w:cs="Times New Roman"/>
          <w:sz w:val="24"/>
          <w:szCs w:val="24"/>
        </w:rPr>
        <w:t xml:space="preserve">  </w:t>
      </w:r>
      <w:r w:rsidR="00C325AF">
        <w:rPr>
          <w:rFonts w:ascii="Times New Roman" w:hAnsi="Times New Roman" w:cs="Times New Roman"/>
          <w:sz w:val="24"/>
          <w:szCs w:val="24"/>
        </w:rPr>
        <w:t xml:space="preserve">Therefore, consumers should not be put in the unreasonable position of being at risk for the profitability of the PPA </w:t>
      </w:r>
      <w:r w:rsidR="00105C06">
        <w:rPr>
          <w:rFonts w:ascii="Times New Roman" w:hAnsi="Times New Roman" w:cs="Times New Roman"/>
          <w:sz w:val="24"/>
          <w:szCs w:val="24"/>
        </w:rPr>
        <w:t>U</w:t>
      </w:r>
      <w:r w:rsidR="00C325AF">
        <w:rPr>
          <w:rFonts w:ascii="Times New Roman" w:hAnsi="Times New Roman" w:cs="Times New Roman"/>
          <w:sz w:val="24"/>
          <w:szCs w:val="24"/>
        </w:rPr>
        <w:t xml:space="preserve">nits as required under the AEP Ohio proposal. </w:t>
      </w:r>
    </w:p>
    <w:p w:rsidR="00153ED7" w:rsidRDefault="006174B3" w:rsidP="00C401CE">
      <w:pPr>
        <w:pStyle w:val="Heading4"/>
      </w:pPr>
      <w:bookmarkStart w:id="68" w:name="_Toc442104168"/>
      <w:r>
        <w:t>c.</w:t>
      </w:r>
      <w:r>
        <w:tab/>
      </w:r>
      <w:r w:rsidR="00153ED7" w:rsidRPr="00153ED7">
        <w:t xml:space="preserve">A </w:t>
      </w:r>
      <w:r w:rsidR="00AF0011">
        <w:t>subsidy from consumers</w:t>
      </w:r>
      <w:r w:rsidR="00153ED7" w:rsidRPr="00153ED7">
        <w:t xml:space="preserve"> is not necessary to profitably</w:t>
      </w:r>
      <w:r>
        <w:t xml:space="preserve"> operate the PPA Units.</w:t>
      </w:r>
      <w:bookmarkEnd w:id="68"/>
    </w:p>
    <w:p w:rsidR="00944942" w:rsidRDefault="002253DD" w:rsidP="00B03B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Over the forecast period</w:t>
      </w:r>
      <w:r w:rsidR="009069B9">
        <w:rPr>
          <w:rFonts w:ascii="Times New Roman" w:hAnsi="Times New Roman" w:cs="Times New Roman"/>
          <w:sz w:val="24"/>
          <w:szCs w:val="24"/>
        </w:rPr>
        <w:t>s</w:t>
      </w:r>
      <w:r>
        <w:rPr>
          <w:rFonts w:ascii="Times New Roman" w:hAnsi="Times New Roman" w:cs="Times New Roman"/>
          <w:sz w:val="24"/>
          <w:szCs w:val="24"/>
        </w:rPr>
        <w:t>, AEPGR could operate the PPA Units just as they assert they will do under the proposals in the Amended Application</w:t>
      </w:r>
      <w:r w:rsidR="007E1654">
        <w:rPr>
          <w:rFonts w:ascii="Times New Roman" w:hAnsi="Times New Roman" w:cs="Times New Roman"/>
          <w:sz w:val="24"/>
          <w:szCs w:val="24"/>
        </w:rPr>
        <w:t>/Modified Amended Application</w:t>
      </w:r>
      <w:r>
        <w:rPr>
          <w:rFonts w:ascii="Times New Roman" w:hAnsi="Times New Roman" w:cs="Times New Roman"/>
          <w:sz w:val="24"/>
          <w:szCs w:val="24"/>
        </w:rPr>
        <w:t>, but without the PPA Rider, and make a profit of $574.</w:t>
      </w:r>
      <w:r w:rsidR="009069B9">
        <w:rPr>
          <w:rStyle w:val="FootnoteReference"/>
          <w:rFonts w:ascii="Times New Roman" w:hAnsi="Times New Roman" w:cs="Times New Roman"/>
          <w:sz w:val="24"/>
          <w:szCs w:val="24"/>
        </w:rPr>
        <w:footnoteReference w:id="332"/>
      </w:r>
      <w:r>
        <w:rPr>
          <w:rFonts w:ascii="Times New Roman" w:hAnsi="Times New Roman" w:cs="Times New Roman"/>
          <w:sz w:val="24"/>
          <w:szCs w:val="24"/>
        </w:rPr>
        <w:t xml:space="preserve"> </w:t>
      </w:r>
      <w:r w:rsidR="00C1653A">
        <w:rPr>
          <w:rFonts w:ascii="Times New Roman" w:hAnsi="Times New Roman" w:cs="Times New Roman"/>
          <w:sz w:val="24"/>
          <w:szCs w:val="24"/>
        </w:rPr>
        <w:t>According to AEP Ohio’s President, there will be a net financial benefit to customers based on AEP Ohio’s own forecasts.</w:t>
      </w:r>
      <w:r w:rsidR="00C1653A">
        <w:rPr>
          <w:rStyle w:val="FootnoteReference"/>
          <w:rFonts w:ascii="Times New Roman" w:hAnsi="Times New Roman" w:cs="Times New Roman"/>
          <w:sz w:val="24"/>
          <w:szCs w:val="24"/>
        </w:rPr>
        <w:footnoteReference w:id="333"/>
      </w:r>
      <w:r w:rsidR="0015288E">
        <w:rPr>
          <w:rFonts w:ascii="Times New Roman" w:hAnsi="Times New Roman" w:cs="Times New Roman"/>
          <w:sz w:val="24"/>
          <w:szCs w:val="24"/>
        </w:rPr>
        <w:t xml:space="preserve">  Looking at AEP Ohio’s forecast and, specifically, the Average of </w:t>
      </w:r>
    </w:p>
    <w:p w:rsidR="00C0091B" w:rsidRDefault="0015288E" w:rsidP="00944942">
      <w:pPr>
        <w:spacing w:after="0" w:line="480" w:lineRule="auto"/>
        <w:rPr>
          <w:rFonts w:ascii="Times New Roman" w:hAnsi="Times New Roman" w:cs="Times New Roman"/>
          <w:sz w:val="24"/>
          <w:szCs w:val="24"/>
        </w:rPr>
      </w:pPr>
      <w:r>
        <w:rPr>
          <w:rFonts w:ascii="Times New Roman" w:hAnsi="Times New Roman" w:cs="Times New Roman"/>
          <w:sz w:val="24"/>
          <w:szCs w:val="24"/>
        </w:rPr>
        <w:t>High Load and Low Load Forecast</w:t>
      </w:r>
      <w:r w:rsidR="00423C52">
        <w:rPr>
          <w:rFonts w:ascii="Times New Roman" w:hAnsi="Times New Roman" w:cs="Times New Roman"/>
          <w:sz w:val="24"/>
          <w:szCs w:val="24"/>
        </w:rPr>
        <w:t>,</w:t>
      </w:r>
      <w:r>
        <w:rPr>
          <w:rStyle w:val="FootnoteReference"/>
          <w:rFonts w:ascii="Times New Roman" w:hAnsi="Times New Roman" w:cs="Times New Roman"/>
          <w:sz w:val="24"/>
          <w:szCs w:val="24"/>
        </w:rPr>
        <w:footnoteReference w:id="334"/>
      </w:r>
      <w:r w:rsidR="00423C52">
        <w:rPr>
          <w:rFonts w:ascii="Times New Roman" w:hAnsi="Times New Roman" w:cs="Times New Roman"/>
          <w:sz w:val="24"/>
          <w:szCs w:val="24"/>
        </w:rPr>
        <w:t xml:space="preserve"> AEP Ohio forecasts revenue of $11.8 billion.</w:t>
      </w:r>
      <w:r w:rsidR="00423C52">
        <w:rPr>
          <w:rStyle w:val="FootnoteReference"/>
          <w:rFonts w:ascii="Times New Roman" w:hAnsi="Times New Roman" w:cs="Times New Roman"/>
          <w:sz w:val="24"/>
          <w:szCs w:val="24"/>
        </w:rPr>
        <w:footnoteReference w:id="335"/>
      </w:r>
      <w:r w:rsidR="00D57249">
        <w:rPr>
          <w:rFonts w:ascii="Times New Roman" w:hAnsi="Times New Roman" w:cs="Times New Roman"/>
          <w:sz w:val="24"/>
          <w:szCs w:val="24"/>
        </w:rPr>
        <w:t xml:space="preserve">  It forecasts costs under the proposed PPAs of $11.2 billion.</w:t>
      </w:r>
      <w:r w:rsidR="00D57249">
        <w:rPr>
          <w:rStyle w:val="FootnoteReference"/>
          <w:rFonts w:ascii="Times New Roman" w:hAnsi="Times New Roman" w:cs="Times New Roman"/>
          <w:sz w:val="24"/>
          <w:szCs w:val="24"/>
        </w:rPr>
        <w:footnoteReference w:id="336"/>
      </w:r>
      <w:r w:rsidR="00D57249">
        <w:rPr>
          <w:rFonts w:ascii="Times New Roman" w:hAnsi="Times New Roman" w:cs="Times New Roman"/>
          <w:sz w:val="24"/>
          <w:szCs w:val="24"/>
        </w:rPr>
        <w:t xml:space="preserve">  AEP Ohio went out of its way to clarify that the $11.2 billion costs are those associated with generating the $11.8 billion revenue.</w:t>
      </w:r>
      <w:r w:rsidR="00D57249">
        <w:rPr>
          <w:rStyle w:val="FootnoteReference"/>
          <w:rFonts w:ascii="Times New Roman" w:hAnsi="Times New Roman" w:cs="Times New Roman"/>
          <w:sz w:val="24"/>
          <w:szCs w:val="24"/>
        </w:rPr>
        <w:footnoteReference w:id="337"/>
      </w:r>
      <w:r w:rsidR="00D57249">
        <w:rPr>
          <w:rFonts w:ascii="Times New Roman" w:hAnsi="Times New Roman" w:cs="Times New Roman"/>
          <w:sz w:val="24"/>
          <w:szCs w:val="24"/>
        </w:rPr>
        <w:t xml:space="preserve">  “[T]he agreement costs are a function of the revenues.”</w:t>
      </w:r>
      <w:r w:rsidR="00D57249">
        <w:rPr>
          <w:rStyle w:val="FootnoteReference"/>
          <w:rFonts w:ascii="Times New Roman" w:hAnsi="Times New Roman" w:cs="Times New Roman"/>
          <w:sz w:val="24"/>
          <w:szCs w:val="24"/>
        </w:rPr>
        <w:footnoteReference w:id="338"/>
      </w:r>
      <w:r w:rsidR="00D57249">
        <w:rPr>
          <w:rFonts w:ascii="Times New Roman" w:hAnsi="Times New Roman" w:cs="Times New Roman"/>
          <w:sz w:val="24"/>
          <w:szCs w:val="24"/>
        </w:rPr>
        <w:t xml:space="preserve"> The costs projected by AEP Ohio would not be offset by the </w:t>
      </w:r>
      <w:r w:rsidR="00117162">
        <w:rPr>
          <w:rFonts w:ascii="Times New Roman" w:hAnsi="Times New Roman" w:cs="Times New Roman"/>
          <w:sz w:val="24"/>
          <w:szCs w:val="24"/>
        </w:rPr>
        <w:t xml:space="preserve">additional </w:t>
      </w:r>
      <w:r w:rsidR="00D57249">
        <w:rPr>
          <w:rFonts w:ascii="Times New Roman" w:hAnsi="Times New Roman" w:cs="Times New Roman"/>
          <w:sz w:val="24"/>
          <w:szCs w:val="24"/>
        </w:rPr>
        <w:t>revenues, instead:</w:t>
      </w:r>
      <w:r w:rsidR="00EA5AEB">
        <w:rPr>
          <w:rFonts w:ascii="Times New Roman" w:hAnsi="Times New Roman" w:cs="Times New Roman"/>
          <w:sz w:val="24"/>
          <w:szCs w:val="24"/>
        </w:rPr>
        <w:t xml:space="preserve"> </w:t>
      </w:r>
    </w:p>
    <w:p w:rsidR="00D57249" w:rsidRDefault="00D57249" w:rsidP="006174B3">
      <w:pPr>
        <w:spacing w:after="0" w:line="240" w:lineRule="auto"/>
        <w:ind w:left="1440" w:right="720"/>
        <w:rPr>
          <w:rFonts w:ascii="Times New Roman" w:hAnsi="Times New Roman" w:cs="Times New Roman"/>
          <w:i/>
          <w:sz w:val="24"/>
          <w:szCs w:val="24"/>
        </w:rPr>
      </w:pPr>
      <w:r>
        <w:rPr>
          <w:rFonts w:ascii="Times New Roman" w:hAnsi="Times New Roman" w:cs="Times New Roman"/>
          <w:sz w:val="24"/>
          <w:szCs w:val="24"/>
        </w:rPr>
        <w:t xml:space="preserve">When you run a power plant, okay, we will go back to how the real world works.  When we run a power plant, you only incur costs for things like fuel and large portions of the O&amp;M if the units are dispatching and creating revenues.  So the revenues are what create the dispatch, okay, that dispatch revenues, that’s what creates the costs.  The costs flow with the revenues.  </w:t>
      </w:r>
      <w:r>
        <w:rPr>
          <w:rFonts w:ascii="Times New Roman" w:hAnsi="Times New Roman" w:cs="Times New Roman"/>
          <w:i/>
          <w:sz w:val="24"/>
          <w:szCs w:val="24"/>
        </w:rPr>
        <w:t>You can’t have – I can’t assume these costs without putting them in the per</w:t>
      </w:r>
      <w:r w:rsidR="0018261C">
        <w:rPr>
          <w:rFonts w:ascii="Times New Roman" w:hAnsi="Times New Roman" w:cs="Times New Roman"/>
          <w:i/>
          <w:sz w:val="24"/>
          <w:szCs w:val="24"/>
        </w:rPr>
        <w:t>spective of the revenues that a</w:t>
      </w:r>
      <w:r>
        <w:rPr>
          <w:rFonts w:ascii="Times New Roman" w:hAnsi="Times New Roman" w:cs="Times New Roman"/>
          <w:i/>
          <w:sz w:val="24"/>
          <w:szCs w:val="24"/>
        </w:rPr>
        <w:t>re creating those costs.</w:t>
      </w:r>
      <w:r w:rsidRPr="00D57249">
        <w:rPr>
          <w:rStyle w:val="FootnoteReference"/>
          <w:rFonts w:ascii="Times New Roman" w:hAnsi="Times New Roman" w:cs="Times New Roman"/>
          <w:sz w:val="24"/>
          <w:szCs w:val="24"/>
        </w:rPr>
        <w:footnoteReference w:id="339"/>
      </w:r>
    </w:p>
    <w:p w:rsidR="00D57249" w:rsidRDefault="00D57249" w:rsidP="00A57413">
      <w:pPr>
        <w:spacing w:after="0" w:line="240" w:lineRule="auto"/>
        <w:ind w:left="720" w:right="720"/>
        <w:rPr>
          <w:rFonts w:ascii="Times New Roman" w:hAnsi="Times New Roman" w:cs="Times New Roman"/>
          <w:i/>
          <w:sz w:val="24"/>
          <w:szCs w:val="24"/>
        </w:rPr>
      </w:pPr>
    </w:p>
    <w:p w:rsidR="00D57249" w:rsidRDefault="0018261C" w:rsidP="00EA5AEB">
      <w:pPr>
        <w:spacing w:after="0" w:line="480" w:lineRule="auto"/>
        <w:rPr>
          <w:rFonts w:ascii="Times New Roman" w:hAnsi="Times New Roman" w:cs="Times New Roman"/>
          <w:sz w:val="24"/>
          <w:szCs w:val="24"/>
        </w:rPr>
      </w:pPr>
      <w:r>
        <w:rPr>
          <w:rFonts w:ascii="Times New Roman" w:hAnsi="Times New Roman" w:cs="Times New Roman"/>
          <w:sz w:val="24"/>
          <w:szCs w:val="24"/>
        </w:rPr>
        <w:t>Thus, AEP Ohio’s own forecasts confirm that AEPGR could operate the PPA Units in the same way proposed under the Amended Application</w:t>
      </w:r>
      <w:r w:rsidR="009069B9">
        <w:rPr>
          <w:rFonts w:ascii="Times New Roman" w:hAnsi="Times New Roman" w:cs="Times New Roman"/>
          <w:sz w:val="24"/>
          <w:szCs w:val="24"/>
        </w:rPr>
        <w:t>/Modified Amended Application</w:t>
      </w:r>
      <w:r>
        <w:rPr>
          <w:rFonts w:ascii="Times New Roman" w:hAnsi="Times New Roman" w:cs="Times New Roman"/>
          <w:sz w:val="24"/>
          <w:szCs w:val="24"/>
        </w:rPr>
        <w:t xml:space="preserve">, but without the PPA Rider, and still make a profit of $574 million </w:t>
      </w:r>
      <w:r w:rsidR="00117162">
        <w:rPr>
          <w:rFonts w:ascii="Times New Roman" w:hAnsi="Times New Roman" w:cs="Times New Roman"/>
          <w:sz w:val="24"/>
          <w:szCs w:val="24"/>
        </w:rPr>
        <w:t>because</w:t>
      </w:r>
      <w:r>
        <w:rPr>
          <w:rFonts w:ascii="Times New Roman" w:hAnsi="Times New Roman" w:cs="Times New Roman"/>
          <w:sz w:val="24"/>
          <w:szCs w:val="24"/>
        </w:rPr>
        <w:t xml:space="preserve"> “the revenues are what create[] the costs.”</w:t>
      </w:r>
      <w:r>
        <w:rPr>
          <w:rStyle w:val="FootnoteReference"/>
          <w:rFonts w:ascii="Times New Roman" w:hAnsi="Times New Roman" w:cs="Times New Roman"/>
          <w:sz w:val="24"/>
          <w:szCs w:val="24"/>
        </w:rPr>
        <w:footnoteReference w:id="340"/>
      </w:r>
      <w:r>
        <w:rPr>
          <w:rFonts w:ascii="Times New Roman" w:hAnsi="Times New Roman" w:cs="Times New Roman"/>
          <w:sz w:val="24"/>
          <w:szCs w:val="24"/>
        </w:rPr>
        <w:t xml:space="preserve"> </w:t>
      </w:r>
    </w:p>
    <w:p w:rsidR="00B50595" w:rsidRDefault="00B50595" w:rsidP="00EA5AEB">
      <w:pPr>
        <w:spacing w:after="0" w:line="480" w:lineRule="auto"/>
        <w:rPr>
          <w:rFonts w:ascii="Times New Roman" w:hAnsi="Times New Roman" w:cs="Times New Roman"/>
          <w:sz w:val="24"/>
          <w:szCs w:val="24"/>
        </w:rPr>
      </w:pPr>
      <w:r>
        <w:rPr>
          <w:rFonts w:ascii="Times New Roman" w:hAnsi="Times New Roman" w:cs="Times New Roman"/>
          <w:sz w:val="24"/>
          <w:szCs w:val="24"/>
        </w:rPr>
        <w:tab/>
        <w:t>As discussed above, the PPA Units are not in financial need.  AEP Ohio’s President admitted this, and the PUCO need look no further than his sworn testimony provided at the hearing:</w:t>
      </w:r>
    </w:p>
    <w:p w:rsidR="00664A8D" w:rsidRDefault="00B50595" w:rsidP="00EA5AEB">
      <w:pPr>
        <w:spacing w:after="0" w:line="240" w:lineRule="auto"/>
        <w:ind w:left="1440" w:right="720"/>
        <w:rPr>
          <w:rFonts w:ascii="Times New Roman" w:hAnsi="Times New Roman" w:cs="Times New Roman"/>
          <w:sz w:val="24"/>
          <w:szCs w:val="24"/>
        </w:rPr>
      </w:pPr>
      <w:r>
        <w:rPr>
          <w:rFonts w:ascii="Times New Roman" w:hAnsi="Times New Roman" w:cs="Times New Roman"/>
          <w:sz w:val="24"/>
          <w:szCs w:val="24"/>
        </w:rPr>
        <w:t xml:space="preserve">If I could maybe refer you to one of the discovery or one of the exhibitions [verbatim] that was presented and referenced the performance of the </w:t>
      </w:r>
      <w:r w:rsidRPr="00B50595">
        <w:rPr>
          <w:rFonts w:ascii="Times New Roman" w:hAnsi="Times New Roman" w:cs="Times New Roman"/>
          <w:i/>
          <w:sz w:val="24"/>
          <w:szCs w:val="24"/>
        </w:rPr>
        <w:t xml:space="preserve">AEP Generation Resources business </w:t>
      </w:r>
      <w:r>
        <w:rPr>
          <w:rFonts w:ascii="Times New Roman" w:hAnsi="Times New Roman" w:cs="Times New Roman"/>
          <w:sz w:val="24"/>
          <w:szCs w:val="24"/>
        </w:rPr>
        <w:t xml:space="preserve">and, I’ve been handed so many of these reports I’m not sure which one it’s in, but what it essentially illustrates is </w:t>
      </w:r>
      <w:r w:rsidRPr="00B50595">
        <w:rPr>
          <w:rFonts w:ascii="Times New Roman" w:hAnsi="Times New Roman" w:cs="Times New Roman"/>
          <w:i/>
          <w:sz w:val="24"/>
          <w:szCs w:val="24"/>
        </w:rPr>
        <w:t>that that segment of the business is performing profitably and performing very well, and in the last couple of years if you look at the performance of that unregulated generation segment, it’s created a lot of profit and a lot of earnings,</w:t>
      </w:r>
      <w:r>
        <w:rPr>
          <w:rFonts w:ascii="Times New Roman" w:hAnsi="Times New Roman" w:cs="Times New Roman"/>
          <w:sz w:val="24"/>
          <w:szCs w:val="24"/>
        </w:rPr>
        <w:t xml:space="preserve"> of which under a PPA would have been returned to customers.  </w:t>
      </w:r>
      <w:r w:rsidRPr="009C4A2B">
        <w:rPr>
          <w:rFonts w:ascii="Times New Roman" w:hAnsi="Times New Roman" w:cs="Times New Roman"/>
          <w:i/>
          <w:sz w:val="24"/>
          <w:szCs w:val="24"/>
        </w:rPr>
        <w:t>So it’s not about these units and these plants not having potential to perform profitably</w:t>
      </w:r>
      <w:r>
        <w:rPr>
          <w:rFonts w:ascii="Times New Roman" w:hAnsi="Times New Roman" w:cs="Times New Roman"/>
          <w:sz w:val="24"/>
          <w:szCs w:val="24"/>
        </w:rPr>
        <w:t xml:space="preserve"> . . . .</w:t>
      </w:r>
      <w:r>
        <w:rPr>
          <w:rStyle w:val="FootnoteReference"/>
          <w:rFonts w:ascii="Times New Roman" w:hAnsi="Times New Roman" w:cs="Times New Roman"/>
          <w:sz w:val="24"/>
          <w:szCs w:val="24"/>
        </w:rPr>
        <w:footnoteReference w:id="341"/>
      </w:r>
    </w:p>
    <w:p w:rsidR="00944942" w:rsidRDefault="00944942" w:rsidP="00EA5AEB">
      <w:pPr>
        <w:spacing w:after="0" w:line="240" w:lineRule="auto"/>
        <w:ind w:left="1440" w:right="720"/>
        <w:rPr>
          <w:rFonts w:ascii="Times New Roman" w:hAnsi="Times New Roman" w:cs="Times New Roman"/>
          <w:sz w:val="24"/>
          <w:szCs w:val="24"/>
        </w:rPr>
      </w:pPr>
    </w:p>
    <w:p w:rsidR="00C325AF" w:rsidRDefault="007E7CE8" w:rsidP="00C325A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AEP Ohio has failed to meet its burden of proof on the first (and most important)</w:t>
      </w:r>
      <w:r>
        <w:rPr>
          <w:rStyle w:val="FootnoteReference"/>
          <w:rFonts w:ascii="Times New Roman" w:hAnsi="Times New Roman" w:cs="Times New Roman"/>
          <w:sz w:val="24"/>
          <w:szCs w:val="24"/>
        </w:rPr>
        <w:footnoteReference w:id="342"/>
      </w:r>
      <w:r w:rsidR="00CD30E8">
        <w:rPr>
          <w:rFonts w:ascii="Times New Roman" w:hAnsi="Times New Roman" w:cs="Times New Roman"/>
          <w:sz w:val="24"/>
          <w:szCs w:val="24"/>
        </w:rPr>
        <w:t xml:space="preserve"> factor from</w:t>
      </w:r>
      <w:r>
        <w:rPr>
          <w:rFonts w:ascii="Times New Roman" w:hAnsi="Times New Roman" w:cs="Times New Roman"/>
          <w:sz w:val="24"/>
          <w:szCs w:val="24"/>
        </w:rPr>
        <w:t xml:space="preserve"> the PUCO’s ESP III Opinion and Order.  The record evidence not only fails to show that the PPA Units are in financial need, it shows the exact opposite.  To use AEP’s words, the PPA Units are “well-positioned from a cost and operational perspective to participate in the competitive market[.]”</w:t>
      </w:r>
      <w:r>
        <w:rPr>
          <w:rStyle w:val="FootnoteReference"/>
          <w:rFonts w:ascii="Times New Roman" w:hAnsi="Times New Roman" w:cs="Times New Roman"/>
          <w:sz w:val="24"/>
          <w:szCs w:val="24"/>
        </w:rPr>
        <w:footnoteReference w:id="343"/>
      </w:r>
      <w:bookmarkStart w:id="69" w:name="_Toc435428212"/>
      <w:r w:rsidR="00AC6B26">
        <w:rPr>
          <w:rFonts w:ascii="Times New Roman" w:hAnsi="Times New Roman" w:cs="Times New Roman"/>
          <w:sz w:val="24"/>
          <w:szCs w:val="24"/>
        </w:rPr>
        <w:t xml:space="preserve">  </w:t>
      </w:r>
      <w:r w:rsidR="00C325AF">
        <w:rPr>
          <w:rFonts w:ascii="Times New Roman" w:hAnsi="Times New Roman" w:cs="Times New Roman"/>
          <w:sz w:val="24"/>
          <w:szCs w:val="24"/>
        </w:rPr>
        <w:t xml:space="preserve">Therefore, consumers should not be asked to bailout </w:t>
      </w:r>
      <w:r w:rsidR="009014B2">
        <w:rPr>
          <w:rFonts w:ascii="Times New Roman" w:hAnsi="Times New Roman" w:cs="Times New Roman"/>
          <w:sz w:val="24"/>
          <w:szCs w:val="24"/>
        </w:rPr>
        <w:t>AEP</w:t>
      </w:r>
      <w:r w:rsidR="00C325AF">
        <w:rPr>
          <w:rFonts w:ascii="Times New Roman" w:hAnsi="Times New Roman" w:cs="Times New Roman"/>
          <w:sz w:val="24"/>
          <w:szCs w:val="24"/>
        </w:rPr>
        <w:t xml:space="preserve"> and be put in the position of being at risk for the profitability of the PPA </w:t>
      </w:r>
      <w:r w:rsidR="00105C06">
        <w:rPr>
          <w:rFonts w:ascii="Times New Roman" w:hAnsi="Times New Roman" w:cs="Times New Roman"/>
          <w:sz w:val="24"/>
          <w:szCs w:val="24"/>
        </w:rPr>
        <w:t>U</w:t>
      </w:r>
      <w:r w:rsidR="00C325AF">
        <w:rPr>
          <w:rFonts w:ascii="Times New Roman" w:hAnsi="Times New Roman" w:cs="Times New Roman"/>
          <w:sz w:val="24"/>
          <w:szCs w:val="24"/>
        </w:rPr>
        <w:t xml:space="preserve">nits as required under the AEP Ohio proposal. </w:t>
      </w:r>
    </w:p>
    <w:p w:rsidR="006174B3" w:rsidRDefault="005214D9" w:rsidP="00F27AA5">
      <w:pPr>
        <w:pStyle w:val="Heading3"/>
      </w:pPr>
      <w:bookmarkStart w:id="70" w:name="_Toc442104169"/>
      <w:r>
        <w:t>2.</w:t>
      </w:r>
      <w:r>
        <w:tab/>
      </w:r>
      <w:r w:rsidR="00C8061F">
        <w:t xml:space="preserve">PJM, not the PUCO, is responsible for electric </w:t>
      </w:r>
      <w:r w:rsidR="00D24504">
        <w:t xml:space="preserve">generation </w:t>
      </w:r>
      <w:r w:rsidR="00380F28" w:rsidRPr="00C0091B">
        <w:t>reliability</w:t>
      </w:r>
      <w:bookmarkEnd w:id="69"/>
      <w:r w:rsidR="006174B3">
        <w:t>.</w:t>
      </w:r>
      <w:bookmarkEnd w:id="70"/>
    </w:p>
    <w:p w:rsidR="00C0091B" w:rsidRPr="006174B3" w:rsidRDefault="005214D9" w:rsidP="00C401CE">
      <w:pPr>
        <w:pStyle w:val="Heading4"/>
        <w:rPr>
          <w:rFonts w:cs="Times New Roman"/>
        </w:rPr>
      </w:pPr>
      <w:bookmarkStart w:id="71" w:name="_Toc442104170"/>
      <w:r>
        <w:t>a.</w:t>
      </w:r>
      <w:r>
        <w:tab/>
      </w:r>
      <w:r w:rsidR="00C0091B">
        <w:t>PJM is ensuring resource adequacy</w:t>
      </w:r>
      <w:r w:rsidR="00C325AF">
        <w:t xml:space="preserve"> for the protection of </w:t>
      </w:r>
      <w:r w:rsidR="00152619">
        <w:t xml:space="preserve">Ohio and other </w:t>
      </w:r>
      <w:r w:rsidR="00C325AF">
        <w:t>electric consumers</w:t>
      </w:r>
      <w:r w:rsidR="00152619">
        <w:t>, despite what appears to be AEP Ohio messaging otherwise</w:t>
      </w:r>
      <w:r w:rsidR="006174B3">
        <w:t>.</w:t>
      </w:r>
      <w:bookmarkEnd w:id="71"/>
      <w:r w:rsidR="00C0091B">
        <w:t xml:space="preserve"> </w:t>
      </w:r>
    </w:p>
    <w:p w:rsidR="005214D9" w:rsidRDefault="00EF05EA" w:rsidP="005214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the outset, the PUCO should recognize that AEP Ohio, itself, acknowledges that PJM is responsible for ensuring adequate resources to meet </w:t>
      </w:r>
      <w:r w:rsidR="00117162">
        <w:rPr>
          <w:rFonts w:ascii="Times New Roman" w:hAnsi="Times New Roman" w:cs="Times New Roman"/>
          <w:sz w:val="24"/>
          <w:szCs w:val="24"/>
        </w:rPr>
        <w:t>customer demand</w:t>
      </w:r>
      <w:r>
        <w:rPr>
          <w:rFonts w:ascii="Times New Roman" w:hAnsi="Times New Roman" w:cs="Times New Roman"/>
          <w:sz w:val="24"/>
          <w:szCs w:val="24"/>
        </w:rPr>
        <w:t xml:space="preserve"> requirements.</w:t>
      </w:r>
      <w:r>
        <w:rPr>
          <w:rStyle w:val="FootnoteReference"/>
          <w:rFonts w:ascii="Times New Roman" w:hAnsi="Times New Roman" w:cs="Times New Roman"/>
          <w:sz w:val="24"/>
          <w:szCs w:val="24"/>
        </w:rPr>
        <w:footnoteReference w:id="344"/>
      </w:r>
      <w:r>
        <w:rPr>
          <w:rFonts w:ascii="Times New Roman" w:hAnsi="Times New Roman" w:cs="Times New Roman"/>
          <w:sz w:val="24"/>
          <w:szCs w:val="24"/>
        </w:rPr>
        <w:t xml:space="preserve">  </w:t>
      </w:r>
      <w:r w:rsidR="00563F16">
        <w:rPr>
          <w:rFonts w:ascii="Times New Roman" w:hAnsi="Times New Roman" w:cs="Times New Roman"/>
          <w:sz w:val="24"/>
          <w:szCs w:val="24"/>
        </w:rPr>
        <w:t xml:space="preserve">Not only does AEP Ohio recognize that PJM is responsible for ensuring adequate resources to meet </w:t>
      </w:r>
      <w:r w:rsidR="00117162">
        <w:rPr>
          <w:rFonts w:ascii="Times New Roman" w:hAnsi="Times New Roman" w:cs="Times New Roman"/>
          <w:sz w:val="24"/>
          <w:szCs w:val="24"/>
        </w:rPr>
        <w:t>customer demand</w:t>
      </w:r>
      <w:r w:rsidR="00563F16">
        <w:rPr>
          <w:rFonts w:ascii="Times New Roman" w:hAnsi="Times New Roman" w:cs="Times New Roman"/>
          <w:sz w:val="24"/>
          <w:szCs w:val="24"/>
        </w:rPr>
        <w:t xml:space="preserve"> requirements, </w:t>
      </w:r>
      <w:r w:rsidR="00C0091B">
        <w:rPr>
          <w:rFonts w:ascii="Times New Roman" w:hAnsi="Times New Roman" w:cs="Times New Roman"/>
          <w:sz w:val="24"/>
          <w:szCs w:val="24"/>
        </w:rPr>
        <w:t xml:space="preserve">it recognizes that </w:t>
      </w:r>
      <w:r w:rsidR="00563F16">
        <w:rPr>
          <w:rFonts w:ascii="Times New Roman" w:hAnsi="Times New Roman" w:cs="Times New Roman"/>
          <w:sz w:val="24"/>
          <w:szCs w:val="24"/>
        </w:rPr>
        <w:t xml:space="preserve">PJM is </w:t>
      </w:r>
      <w:r w:rsidR="00563F16">
        <w:rPr>
          <w:rFonts w:ascii="Times New Roman" w:hAnsi="Times New Roman" w:cs="Times New Roman"/>
          <w:i/>
          <w:sz w:val="24"/>
          <w:szCs w:val="24"/>
        </w:rPr>
        <w:t xml:space="preserve">capable </w:t>
      </w:r>
      <w:r w:rsidR="00563F16">
        <w:rPr>
          <w:rFonts w:ascii="Times New Roman" w:hAnsi="Times New Roman" w:cs="Times New Roman"/>
          <w:sz w:val="24"/>
          <w:szCs w:val="24"/>
        </w:rPr>
        <w:t>of ensuring system reliability.</w:t>
      </w:r>
      <w:r w:rsidR="00563F16">
        <w:rPr>
          <w:rStyle w:val="FootnoteReference"/>
          <w:rFonts w:ascii="Times New Roman" w:hAnsi="Times New Roman" w:cs="Times New Roman"/>
          <w:sz w:val="24"/>
          <w:szCs w:val="24"/>
        </w:rPr>
        <w:footnoteReference w:id="345"/>
      </w:r>
      <w:r w:rsidR="00563F16">
        <w:rPr>
          <w:rFonts w:ascii="Times New Roman" w:hAnsi="Times New Roman" w:cs="Times New Roman"/>
          <w:sz w:val="24"/>
          <w:szCs w:val="24"/>
        </w:rPr>
        <w:t xml:space="preserve">  </w:t>
      </w:r>
      <w:r>
        <w:rPr>
          <w:rFonts w:ascii="Times New Roman" w:hAnsi="Times New Roman" w:cs="Times New Roman"/>
          <w:sz w:val="24"/>
          <w:szCs w:val="24"/>
        </w:rPr>
        <w:t xml:space="preserve">In the capacity market, PJM </w:t>
      </w:r>
      <w:r w:rsidR="00A67B5A">
        <w:rPr>
          <w:rFonts w:ascii="Times New Roman" w:hAnsi="Times New Roman" w:cs="Times New Roman"/>
          <w:sz w:val="24"/>
          <w:szCs w:val="24"/>
        </w:rPr>
        <w:t>provides enough capacity plus a targeted reserve margin of 15.7 percent.</w:t>
      </w:r>
      <w:r w:rsidR="00A67B5A">
        <w:rPr>
          <w:rStyle w:val="FootnoteReference"/>
          <w:rFonts w:ascii="Times New Roman" w:hAnsi="Times New Roman" w:cs="Times New Roman"/>
          <w:sz w:val="24"/>
          <w:szCs w:val="24"/>
        </w:rPr>
        <w:footnoteReference w:id="346"/>
      </w:r>
      <w:r>
        <w:rPr>
          <w:rFonts w:ascii="Times New Roman" w:hAnsi="Times New Roman" w:cs="Times New Roman"/>
          <w:sz w:val="24"/>
          <w:szCs w:val="24"/>
        </w:rPr>
        <w:t xml:space="preserve">  </w:t>
      </w:r>
      <w:r w:rsidR="00CD30E8">
        <w:rPr>
          <w:rFonts w:ascii="Times New Roman" w:hAnsi="Times New Roman" w:cs="Times New Roman"/>
          <w:sz w:val="24"/>
          <w:szCs w:val="24"/>
        </w:rPr>
        <w:t>It is</w:t>
      </w:r>
      <w:r w:rsidR="00A67B5A">
        <w:rPr>
          <w:rFonts w:ascii="Times New Roman" w:hAnsi="Times New Roman" w:cs="Times New Roman"/>
          <w:sz w:val="24"/>
          <w:szCs w:val="24"/>
        </w:rPr>
        <w:t xml:space="preserve"> typical that the 15.7 percent target reserve margin is exceeded.</w:t>
      </w:r>
      <w:r w:rsidR="00A67B5A">
        <w:rPr>
          <w:rStyle w:val="FootnoteReference"/>
          <w:rFonts w:ascii="Times New Roman" w:hAnsi="Times New Roman" w:cs="Times New Roman"/>
          <w:sz w:val="24"/>
          <w:szCs w:val="24"/>
        </w:rPr>
        <w:footnoteReference w:id="347"/>
      </w:r>
      <w:r w:rsidR="00A67B5A">
        <w:rPr>
          <w:rFonts w:ascii="Times New Roman" w:hAnsi="Times New Roman" w:cs="Times New Roman"/>
          <w:sz w:val="24"/>
          <w:szCs w:val="24"/>
        </w:rPr>
        <w:t xml:space="preserve">  Based on the 2018-19 Base Residual Auction, the reserve margin was actually 19.8 percent.</w:t>
      </w:r>
      <w:r w:rsidR="00A67B5A">
        <w:rPr>
          <w:rStyle w:val="FootnoteReference"/>
          <w:rFonts w:ascii="Times New Roman" w:hAnsi="Times New Roman" w:cs="Times New Roman"/>
          <w:sz w:val="24"/>
          <w:szCs w:val="24"/>
        </w:rPr>
        <w:footnoteReference w:id="348"/>
      </w:r>
      <w:r w:rsidR="00A67B5A">
        <w:rPr>
          <w:rFonts w:ascii="Times New Roman" w:hAnsi="Times New Roman" w:cs="Times New Roman"/>
          <w:sz w:val="24"/>
          <w:szCs w:val="24"/>
        </w:rPr>
        <w:t xml:space="preserve">  Although AEP Ohio tries to raise questions</w:t>
      </w:r>
      <w:r w:rsidR="00CD30E8">
        <w:rPr>
          <w:rFonts w:ascii="Times New Roman" w:hAnsi="Times New Roman" w:cs="Times New Roman"/>
          <w:sz w:val="24"/>
          <w:szCs w:val="24"/>
        </w:rPr>
        <w:t xml:space="preserve"> about</w:t>
      </w:r>
      <w:r w:rsidR="00A67B5A">
        <w:rPr>
          <w:rFonts w:ascii="Times New Roman" w:hAnsi="Times New Roman" w:cs="Times New Roman"/>
          <w:sz w:val="24"/>
          <w:szCs w:val="24"/>
        </w:rPr>
        <w:t xml:space="preserve"> whether the healthy reserve margins will continue</w:t>
      </w:r>
      <w:r w:rsidR="00A82481">
        <w:rPr>
          <w:rFonts w:ascii="Times New Roman" w:hAnsi="Times New Roman" w:cs="Times New Roman"/>
          <w:sz w:val="24"/>
          <w:szCs w:val="24"/>
        </w:rPr>
        <w:t xml:space="preserve"> in light of plant retirements</w:t>
      </w:r>
      <w:r w:rsidR="00A67B5A">
        <w:rPr>
          <w:rFonts w:ascii="Times New Roman" w:hAnsi="Times New Roman" w:cs="Times New Roman"/>
          <w:sz w:val="24"/>
          <w:szCs w:val="24"/>
        </w:rPr>
        <w:t>,</w:t>
      </w:r>
      <w:r w:rsidR="00A67B5A">
        <w:rPr>
          <w:rStyle w:val="FootnoteReference"/>
          <w:rFonts w:ascii="Times New Roman" w:hAnsi="Times New Roman" w:cs="Times New Roman"/>
          <w:sz w:val="24"/>
          <w:szCs w:val="24"/>
        </w:rPr>
        <w:footnoteReference w:id="349"/>
      </w:r>
      <w:r w:rsidR="00A82481">
        <w:rPr>
          <w:rFonts w:ascii="Times New Roman" w:hAnsi="Times New Roman" w:cs="Times New Roman"/>
          <w:sz w:val="24"/>
          <w:szCs w:val="24"/>
        </w:rPr>
        <w:t xml:space="preserve"> it concedes that most of the retirements </w:t>
      </w:r>
      <w:r w:rsidR="00DC2F68">
        <w:rPr>
          <w:rFonts w:ascii="Times New Roman" w:hAnsi="Times New Roman" w:cs="Times New Roman"/>
          <w:sz w:val="24"/>
          <w:szCs w:val="24"/>
        </w:rPr>
        <w:t>occurred by the end of 2015</w:t>
      </w:r>
      <w:r w:rsidR="00A82481">
        <w:rPr>
          <w:rFonts w:ascii="Times New Roman" w:hAnsi="Times New Roman" w:cs="Times New Roman"/>
          <w:sz w:val="24"/>
          <w:szCs w:val="24"/>
        </w:rPr>
        <w:t xml:space="preserve"> and nearly all of the retirements have already had any impact that they may have on capacity prices and, thus, capacity availability.</w:t>
      </w:r>
      <w:r w:rsidR="00A82481">
        <w:rPr>
          <w:rStyle w:val="FootnoteReference"/>
          <w:rFonts w:ascii="Times New Roman" w:hAnsi="Times New Roman" w:cs="Times New Roman"/>
          <w:sz w:val="24"/>
          <w:szCs w:val="24"/>
        </w:rPr>
        <w:footnoteReference w:id="350"/>
      </w:r>
      <w:r w:rsidR="005214D9">
        <w:rPr>
          <w:rFonts w:ascii="Times New Roman" w:hAnsi="Times New Roman" w:cs="Times New Roman"/>
          <w:sz w:val="24"/>
          <w:szCs w:val="24"/>
        </w:rPr>
        <w:t xml:space="preserve">  </w:t>
      </w:r>
    </w:p>
    <w:p w:rsidR="00C0091B" w:rsidRPr="005214D9" w:rsidRDefault="005214D9" w:rsidP="00C401CE">
      <w:pPr>
        <w:pStyle w:val="Heading4"/>
        <w:rPr>
          <w:rFonts w:cs="Times New Roman"/>
        </w:rPr>
      </w:pPr>
      <w:bookmarkStart w:id="72" w:name="_Toc442104171"/>
      <w:r>
        <w:t>b.</w:t>
      </w:r>
      <w:r>
        <w:tab/>
      </w:r>
      <w:r w:rsidR="00BE6FCD">
        <w:t>Part of AEP’s messaging seems to be that t</w:t>
      </w:r>
      <w:r w:rsidR="00C0091B">
        <w:t xml:space="preserve">he PPA Units </w:t>
      </w:r>
      <w:r w:rsidR="00BE6FCD">
        <w:t xml:space="preserve">are needed by Ohioans and might close without a PPA.  But the plants </w:t>
      </w:r>
      <w:r w:rsidR="00C0091B">
        <w:t xml:space="preserve">will not necessarily </w:t>
      </w:r>
      <w:r w:rsidR="00BE6FCD">
        <w:t xml:space="preserve">be </w:t>
      </w:r>
      <w:r w:rsidR="00C0091B">
        <w:t>close</w:t>
      </w:r>
      <w:r w:rsidR="00BE6FCD">
        <w:t>d</w:t>
      </w:r>
      <w:r w:rsidR="00C97AB6">
        <w:t>.</w:t>
      </w:r>
      <w:bookmarkEnd w:id="72"/>
      <w:r w:rsidR="00C0091B">
        <w:t xml:space="preserve"> </w:t>
      </w:r>
    </w:p>
    <w:p w:rsidR="005214D9" w:rsidRDefault="00B95ADE" w:rsidP="009C49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Make no mistake that PJM, not the PUCO, is responsible for generation reliability.  But c</w:t>
      </w:r>
      <w:r w:rsidR="00CD30E8">
        <w:rPr>
          <w:rFonts w:ascii="Times New Roman" w:hAnsi="Times New Roman" w:cs="Times New Roman"/>
          <w:sz w:val="24"/>
          <w:szCs w:val="24"/>
        </w:rPr>
        <w:t xml:space="preserve">oncerns about reliability and supply diversity </w:t>
      </w:r>
      <w:r>
        <w:rPr>
          <w:rFonts w:ascii="Times New Roman" w:hAnsi="Times New Roman" w:cs="Times New Roman"/>
          <w:sz w:val="24"/>
          <w:szCs w:val="24"/>
        </w:rPr>
        <w:t xml:space="preserve">have been </w:t>
      </w:r>
      <w:r w:rsidR="00CD30E8">
        <w:rPr>
          <w:rFonts w:ascii="Times New Roman" w:hAnsi="Times New Roman" w:cs="Times New Roman"/>
          <w:sz w:val="24"/>
          <w:szCs w:val="24"/>
        </w:rPr>
        <w:t>raised</w:t>
      </w:r>
      <w:r>
        <w:rPr>
          <w:rFonts w:ascii="Times New Roman" w:hAnsi="Times New Roman" w:cs="Times New Roman"/>
          <w:sz w:val="24"/>
          <w:szCs w:val="24"/>
        </w:rPr>
        <w:t xml:space="preserve"> </w:t>
      </w:r>
      <w:r w:rsidR="00C45C4E">
        <w:rPr>
          <w:rFonts w:ascii="Times New Roman" w:hAnsi="Times New Roman" w:cs="Times New Roman"/>
          <w:sz w:val="24"/>
          <w:szCs w:val="24"/>
        </w:rPr>
        <w:t>at</w:t>
      </w:r>
      <w:r>
        <w:rPr>
          <w:rFonts w:ascii="Times New Roman" w:hAnsi="Times New Roman" w:cs="Times New Roman"/>
          <w:sz w:val="24"/>
          <w:szCs w:val="24"/>
        </w:rPr>
        <w:t xml:space="preserve"> the PUCO</w:t>
      </w:r>
      <w:r w:rsidR="002253DD">
        <w:rPr>
          <w:rFonts w:ascii="Times New Roman" w:hAnsi="Times New Roman" w:cs="Times New Roman"/>
          <w:sz w:val="24"/>
          <w:szCs w:val="24"/>
        </w:rPr>
        <w:t xml:space="preserve"> in</w:t>
      </w:r>
      <w:r w:rsidR="00CD30E8">
        <w:rPr>
          <w:rFonts w:ascii="Times New Roman" w:hAnsi="Times New Roman" w:cs="Times New Roman"/>
          <w:sz w:val="24"/>
          <w:szCs w:val="24"/>
        </w:rPr>
        <w:t xml:space="preserve"> </w:t>
      </w:r>
      <w:r w:rsidR="00385852">
        <w:rPr>
          <w:rFonts w:ascii="Times New Roman" w:hAnsi="Times New Roman" w:cs="Times New Roman"/>
          <w:sz w:val="24"/>
          <w:szCs w:val="24"/>
        </w:rPr>
        <w:t>the context</w:t>
      </w:r>
      <w:r w:rsidR="002253DD">
        <w:rPr>
          <w:rFonts w:ascii="Times New Roman" w:hAnsi="Times New Roman" w:cs="Times New Roman"/>
          <w:sz w:val="24"/>
          <w:szCs w:val="24"/>
        </w:rPr>
        <w:t xml:space="preserve"> of the PPA Units closing</w:t>
      </w:r>
      <w:r>
        <w:rPr>
          <w:rFonts w:ascii="Times New Roman" w:hAnsi="Times New Roman" w:cs="Times New Roman"/>
          <w:sz w:val="24"/>
          <w:szCs w:val="24"/>
        </w:rPr>
        <w:t xml:space="preserve">. </w:t>
      </w:r>
      <w:r w:rsidR="002253DD">
        <w:rPr>
          <w:rFonts w:ascii="Times New Roman" w:hAnsi="Times New Roman" w:cs="Times New Roman"/>
          <w:sz w:val="24"/>
          <w:szCs w:val="24"/>
        </w:rPr>
        <w:t xml:space="preserve"> </w:t>
      </w:r>
      <w:r w:rsidR="00105C06">
        <w:rPr>
          <w:rFonts w:ascii="Times New Roman" w:hAnsi="Times New Roman" w:cs="Times New Roman"/>
          <w:sz w:val="24"/>
          <w:szCs w:val="24"/>
        </w:rPr>
        <w:t xml:space="preserve">Nonetheless, </w:t>
      </w:r>
      <w:r w:rsidR="00FD62EC">
        <w:rPr>
          <w:rFonts w:ascii="Times New Roman" w:hAnsi="Times New Roman" w:cs="Times New Roman"/>
          <w:sz w:val="24"/>
          <w:szCs w:val="24"/>
        </w:rPr>
        <w:t>AEP Ohio’s President will not say that the PPA Units will be retired if the Amended Application</w:t>
      </w:r>
      <w:r w:rsidR="007E1654">
        <w:rPr>
          <w:rFonts w:ascii="Times New Roman" w:hAnsi="Times New Roman" w:cs="Times New Roman"/>
          <w:sz w:val="24"/>
          <w:szCs w:val="24"/>
        </w:rPr>
        <w:t>/Modified Amended Application</w:t>
      </w:r>
      <w:r w:rsidR="00FD62EC">
        <w:rPr>
          <w:rFonts w:ascii="Times New Roman" w:hAnsi="Times New Roman" w:cs="Times New Roman"/>
          <w:sz w:val="24"/>
          <w:szCs w:val="24"/>
        </w:rPr>
        <w:t xml:space="preserve"> is rejected.</w:t>
      </w:r>
      <w:r w:rsidR="00FD62EC">
        <w:rPr>
          <w:rStyle w:val="FootnoteReference"/>
          <w:rFonts w:ascii="Times New Roman" w:hAnsi="Times New Roman" w:cs="Times New Roman"/>
          <w:sz w:val="24"/>
          <w:szCs w:val="24"/>
        </w:rPr>
        <w:footnoteReference w:id="351"/>
      </w:r>
      <w:r w:rsidR="00FD62EC">
        <w:rPr>
          <w:rFonts w:ascii="Times New Roman" w:hAnsi="Times New Roman" w:cs="Times New Roman"/>
          <w:sz w:val="24"/>
          <w:szCs w:val="24"/>
        </w:rPr>
        <w:t xml:space="preserve">  </w:t>
      </w:r>
      <w:r w:rsidR="00F71E1C">
        <w:rPr>
          <w:rFonts w:ascii="Times New Roman" w:hAnsi="Times New Roman" w:cs="Times New Roman"/>
          <w:sz w:val="24"/>
          <w:szCs w:val="24"/>
        </w:rPr>
        <w:t>Any concern that the PPA Units might retire were the PPA Rider denied is largely mitigated by the fact that AEP could not retire the Stuart units, Zimmer, or Conesville 4 unilaterally.</w:t>
      </w:r>
      <w:r w:rsidR="00F71E1C">
        <w:rPr>
          <w:rStyle w:val="FootnoteReference"/>
          <w:rFonts w:ascii="Times New Roman" w:hAnsi="Times New Roman" w:cs="Times New Roman"/>
          <w:sz w:val="24"/>
          <w:szCs w:val="24"/>
        </w:rPr>
        <w:footnoteReference w:id="352"/>
      </w:r>
      <w:r w:rsidR="002B027F">
        <w:rPr>
          <w:rFonts w:ascii="Times New Roman" w:hAnsi="Times New Roman" w:cs="Times New Roman"/>
          <w:sz w:val="24"/>
          <w:szCs w:val="24"/>
        </w:rPr>
        <w:t xml:space="preserve">  A </w:t>
      </w:r>
      <w:r w:rsidR="002B027F" w:rsidRPr="002B027F">
        <w:rPr>
          <w:rFonts w:ascii="Times New Roman" w:hAnsi="Times New Roman" w:cs="Times New Roman"/>
          <w:i/>
          <w:sz w:val="24"/>
          <w:szCs w:val="24"/>
        </w:rPr>
        <w:t>unanimous</w:t>
      </w:r>
      <w:r w:rsidR="002B027F">
        <w:rPr>
          <w:rFonts w:ascii="Times New Roman" w:hAnsi="Times New Roman" w:cs="Times New Roman"/>
          <w:sz w:val="24"/>
          <w:szCs w:val="24"/>
        </w:rPr>
        <w:t xml:space="preserve"> vote of the co-owners of the units would be required.</w:t>
      </w:r>
      <w:r w:rsidR="002B027F">
        <w:rPr>
          <w:rStyle w:val="FootnoteReference"/>
          <w:rFonts w:ascii="Times New Roman" w:hAnsi="Times New Roman" w:cs="Times New Roman"/>
          <w:sz w:val="24"/>
          <w:szCs w:val="24"/>
        </w:rPr>
        <w:footnoteReference w:id="353"/>
      </w:r>
      <w:r w:rsidR="00A50D22">
        <w:rPr>
          <w:rFonts w:ascii="Times New Roman" w:hAnsi="Times New Roman" w:cs="Times New Roman"/>
          <w:sz w:val="24"/>
          <w:szCs w:val="24"/>
        </w:rPr>
        <w:t xml:space="preserve">  There are no plans as of now to close the PPA Units that AEPGR owns 100 percent.</w:t>
      </w:r>
      <w:r w:rsidR="00A50D22">
        <w:rPr>
          <w:rStyle w:val="FootnoteReference"/>
          <w:rFonts w:ascii="Times New Roman" w:hAnsi="Times New Roman" w:cs="Times New Roman"/>
          <w:sz w:val="24"/>
          <w:szCs w:val="24"/>
        </w:rPr>
        <w:footnoteReference w:id="354"/>
      </w:r>
      <w:r w:rsidR="00A50D22">
        <w:rPr>
          <w:rFonts w:ascii="Times New Roman" w:hAnsi="Times New Roman" w:cs="Times New Roman"/>
          <w:sz w:val="24"/>
          <w:szCs w:val="24"/>
        </w:rPr>
        <w:t xml:space="preserve"> </w:t>
      </w:r>
      <w:r w:rsidR="00C325AF">
        <w:rPr>
          <w:rFonts w:ascii="Times New Roman" w:hAnsi="Times New Roman" w:cs="Times New Roman"/>
          <w:sz w:val="24"/>
          <w:szCs w:val="24"/>
        </w:rPr>
        <w:t>Nevertheless, any decision regarding plant retirements in a deregulated environment should be dictated by market forces</w:t>
      </w:r>
      <w:r w:rsidR="00EB4854">
        <w:rPr>
          <w:rFonts w:ascii="Times New Roman" w:hAnsi="Times New Roman" w:cs="Times New Roman"/>
          <w:sz w:val="24"/>
          <w:szCs w:val="24"/>
        </w:rPr>
        <w:t>,</w:t>
      </w:r>
      <w:r w:rsidR="00C325AF">
        <w:rPr>
          <w:rFonts w:ascii="Times New Roman" w:hAnsi="Times New Roman" w:cs="Times New Roman"/>
          <w:sz w:val="24"/>
          <w:szCs w:val="24"/>
        </w:rPr>
        <w:t xml:space="preserve"> not government intervention.</w:t>
      </w:r>
      <w:r w:rsidR="00A50D22">
        <w:rPr>
          <w:rFonts w:ascii="Times New Roman" w:hAnsi="Times New Roman" w:cs="Times New Roman"/>
          <w:sz w:val="24"/>
          <w:szCs w:val="24"/>
        </w:rPr>
        <w:t xml:space="preserve"> </w:t>
      </w:r>
      <w:r w:rsidR="002B027F">
        <w:rPr>
          <w:rFonts w:ascii="Times New Roman" w:hAnsi="Times New Roman" w:cs="Times New Roman"/>
          <w:sz w:val="24"/>
          <w:szCs w:val="24"/>
        </w:rPr>
        <w:t xml:space="preserve"> </w:t>
      </w:r>
      <w:r w:rsidR="00EB4854">
        <w:rPr>
          <w:rFonts w:ascii="Times New Roman" w:hAnsi="Times New Roman" w:cs="Times New Roman"/>
          <w:sz w:val="24"/>
          <w:szCs w:val="24"/>
        </w:rPr>
        <w:t>And PJM is the arbiter of generation reliability.</w:t>
      </w:r>
    </w:p>
    <w:p w:rsidR="007456E4" w:rsidRDefault="005214D9" w:rsidP="00C401CE">
      <w:pPr>
        <w:pStyle w:val="Heading4"/>
      </w:pPr>
      <w:bookmarkStart w:id="73" w:name="_Toc442104172"/>
      <w:r>
        <w:t>c.</w:t>
      </w:r>
      <w:r>
        <w:tab/>
      </w:r>
      <w:r w:rsidR="007456E4" w:rsidRPr="007456E4">
        <w:t>AEP Ohio</w:t>
      </w:r>
      <w:r w:rsidR="00055E90">
        <w:t xml:space="preserve"> insinuates that it needs Ohio government to act to</w:t>
      </w:r>
      <w:r w:rsidR="007456E4" w:rsidRPr="007456E4">
        <w:t xml:space="preserve"> increase supply diversity</w:t>
      </w:r>
      <w:r w:rsidR="00055E90">
        <w:t xml:space="preserve">.  But that’s not true and supply </w:t>
      </w:r>
      <w:r w:rsidR="00BE6CE7">
        <w:t>diversity</w:t>
      </w:r>
      <w:r w:rsidR="007456E4" w:rsidRPr="007456E4">
        <w:t xml:space="preserve"> is increasing on its own</w:t>
      </w:r>
      <w:r w:rsidR="00055E90">
        <w:t xml:space="preserve"> in any event</w:t>
      </w:r>
      <w:r w:rsidR="00C97AB6">
        <w:t>.</w:t>
      </w:r>
      <w:bookmarkEnd w:id="73"/>
    </w:p>
    <w:p w:rsidR="00222729" w:rsidRDefault="003F4403" w:rsidP="00B03B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AEP Ohio wants to reinsert the state government, for</w:t>
      </w:r>
      <w:r w:rsidR="00BE6CE7">
        <w:rPr>
          <w:rFonts w:ascii="Times New Roman" w:hAnsi="Times New Roman" w:cs="Times New Roman"/>
          <w:sz w:val="24"/>
          <w:szCs w:val="24"/>
        </w:rPr>
        <w:t xml:space="preserve"> its own favorable ratemaking, into AEP’s </w:t>
      </w:r>
      <w:r>
        <w:rPr>
          <w:rFonts w:ascii="Times New Roman" w:hAnsi="Times New Roman" w:cs="Times New Roman"/>
          <w:sz w:val="24"/>
          <w:szCs w:val="24"/>
        </w:rPr>
        <w:t>generation</w:t>
      </w:r>
      <w:r w:rsidR="00BE6CE7">
        <w:rPr>
          <w:rFonts w:ascii="Times New Roman" w:hAnsi="Times New Roman" w:cs="Times New Roman"/>
          <w:sz w:val="24"/>
          <w:szCs w:val="24"/>
        </w:rPr>
        <w:t xml:space="preserve"> diversity</w:t>
      </w:r>
      <w:r>
        <w:rPr>
          <w:rFonts w:ascii="Times New Roman" w:hAnsi="Times New Roman" w:cs="Times New Roman"/>
          <w:sz w:val="24"/>
          <w:szCs w:val="24"/>
        </w:rPr>
        <w:t xml:space="preserve">.  That is not allowed under state law.  </w:t>
      </w:r>
      <w:r w:rsidR="00EB630D">
        <w:rPr>
          <w:rFonts w:ascii="Times New Roman" w:hAnsi="Times New Roman" w:cs="Times New Roman"/>
          <w:sz w:val="24"/>
          <w:szCs w:val="24"/>
        </w:rPr>
        <w:t>In any event,</w:t>
      </w:r>
      <w:r>
        <w:rPr>
          <w:rFonts w:ascii="Times New Roman" w:hAnsi="Times New Roman" w:cs="Times New Roman"/>
          <w:sz w:val="24"/>
          <w:szCs w:val="24"/>
        </w:rPr>
        <w:t xml:space="preserve"> </w:t>
      </w:r>
      <w:r w:rsidR="00EF05EA">
        <w:rPr>
          <w:rFonts w:ascii="Times New Roman" w:hAnsi="Times New Roman" w:cs="Times New Roman"/>
          <w:sz w:val="24"/>
          <w:szCs w:val="24"/>
        </w:rPr>
        <w:t>AEP</w:t>
      </w:r>
      <w:r>
        <w:rPr>
          <w:rFonts w:ascii="Times New Roman" w:hAnsi="Times New Roman" w:cs="Times New Roman"/>
          <w:sz w:val="24"/>
          <w:szCs w:val="24"/>
        </w:rPr>
        <w:t xml:space="preserve"> </w:t>
      </w:r>
      <w:r w:rsidR="00EF05EA">
        <w:rPr>
          <w:rFonts w:ascii="Times New Roman" w:hAnsi="Times New Roman" w:cs="Times New Roman"/>
          <w:sz w:val="24"/>
          <w:szCs w:val="24"/>
        </w:rPr>
        <w:t>itself</w:t>
      </w:r>
      <w:r>
        <w:rPr>
          <w:rFonts w:ascii="Times New Roman" w:hAnsi="Times New Roman" w:cs="Times New Roman"/>
          <w:sz w:val="24"/>
          <w:szCs w:val="24"/>
        </w:rPr>
        <w:t xml:space="preserve"> </w:t>
      </w:r>
      <w:r w:rsidR="00EF05EA">
        <w:rPr>
          <w:rFonts w:ascii="Times New Roman" w:hAnsi="Times New Roman" w:cs="Times New Roman"/>
          <w:sz w:val="24"/>
          <w:szCs w:val="24"/>
        </w:rPr>
        <w:t>is already diversifying its supply portfolio</w:t>
      </w:r>
      <w:r w:rsidR="00BE6CE7">
        <w:rPr>
          <w:rFonts w:ascii="Times New Roman" w:hAnsi="Times New Roman" w:cs="Times New Roman"/>
          <w:sz w:val="24"/>
          <w:szCs w:val="24"/>
        </w:rPr>
        <w:t>. And it’s doing so</w:t>
      </w:r>
      <w:r>
        <w:rPr>
          <w:rFonts w:ascii="Times New Roman" w:hAnsi="Times New Roman" w:cs="Times New Roman"/>
          <w:sz w:val="24"/>
          <w:szCs w:val="24"/>
        </w:rPr>
        <w:t xml:space="preserve"> without involving state government in</w:t>
      </w:r>
      <w:r w:rsidR="00526357">
        <w:rPr>
          <w:rFonts w:ascii="Times New Roman" w:hAnsi="Times New Roman" w:cs="Times New Roman"/>
          <w:sz w:val="24"/>
          <w:szCs w:val="24"/>
        </w:rPr>
        <w:t xml:space="preserve"> </w:t>
      </w:r>
      <w:r w:rsidR="009014B2">
        <w:rPr>
          <w:rFonts w:ascii="Times New Roman" w:hAnsi="Times New Roman" w:cs="Times New Roman"/>
          <w:sz w:val="24"/>
          <w:szCs w:val="24"/>
        </w:rPr>
        <w:t>PPA</w:t>
      </w:r>
      <w:r w:rsidR="00BE6CE7">
        <w:rPr>
          <w:rFonts w:ascii="Times New Roman" w:hAnsi="Times New Roman" w:cs="Times New Roman"/>
          <w:sz w:val="24"/>
          <w:szCs w:val="24"/>
        </w:rPr>
        <w:t>s that favor utilities and their affiliates</w:t>
      </w:r>
      <w:r w:rsidR="00EF05EA">
        <w:rPr>
          <w:rFonts w:ascii="Times New Roman" w:hAnsi="Times New Roman" w:cs="Times New Roman"/>
          <w:sz w:val="24"/>
          <w:szCs w:val="24"/>
        </w:rPr>
        <w:t>.</w:t>
      </w:r>
      <w:r w:rsidR="00EF05EA">
        <w:rPr>
          <w:rStyle w:val="FootnoteReference"/>
          <w:rFonts w:ascii="Times New Roman" w:hAnsi="Times New Roman" w:cs="Times New Roman"/>
          <w:sz w:val="24"/>
          <w:szCs w:val="24"/>
        </w:rPr>
        <w:footnoteReference w:id="355"/>
      </w:r>
      <w:r w:rsidR="00FC4EF9">
        <w:rPr>
          <w:rFonts w:ascii="Times New Roman" w:hAnsi="Times New Roman" w:cs="Times New Roman"/>
          <w:sz w:val="24"/>
          <w:szCs w:val="24"/>
        </w:rPr>
        <w:t xml:space="preserve">  </w:t>
      </w:r>
    </w:p>
    <w:p w:rsidR="00124C12" w:rsidRDefault="00983524" w:rsidP="004E35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Amended Applica</w:t>
      </w:r>
      <w:r w:rsidR="00CD30E8">
        <w:rPr>
          <w:rFonts w:ascii="Times New Roman" w:hAnsi="Times New Roman" w:cs="Times New Roman"/>
          <w:sz w:val="24"/>
          <w:szCs w:val="24"/>
        </w:rPr>
        <w:t>tion’s</w:t>
      </w:r>
      <w:r w:rsidR="009069B9">
        <w:rPr>
          <w:rFonts w:ascii="Times New Roman" w:hAnsi="Times New Roman" w:cs="Times New Roman"/>
          <w:sz w:val="24"/>
          <w:szCs w:val="24"/>
        </w:rPr>
        <w:t>/Modified Amended Application’s</w:t>
      </w:r>
      <w:r w:rsidR="00CD30E8">
        <w:rPr>
          <w:rFonts w:ascii="Times New Roman" w:hAnsi="Times New Roman" w:cs="Times New Roman"/>
          <w:sz w:val="24"/>
          <w:szCs w:val="24"/>
        </w:rPr>
        <w:t xml:space="preserve"> proposal does not add</w:t>
      </w:r>
      <w:r>
        <w:rPr>
          <w:rFonts w:ascii="Times New Roman" w:hAnsi="Times New Roman" w:cs="Times New Roman"/>
          <w:sz w:val="24"/>
          <w:szCs w:val="24"/>
        </w:rPr>
        <w:t xml:space="preserve"> a new or different fuel mix to Ohio or the region.</w:t>
      </w:r>
      <w:r>
        <w:rPr>
          <w:rStyle w:val="FootnoteReference"/>
          <w:rFonts w:ascii="Times New Roman" w:hAnsi="Times New Roman" w:cs="Times New Roman"/>
          <w:sz w:val="24"/>
          <w:szCs w:val="24"/>
        </w:rPr>
        <w:footnoteReference w:id="356"/>
      </w:r>
      <w:r>
        <w:rPr>
          <w:rFonts w:ascii="Times New Roman" w:hAnsi="Times New Roman" w:cs="Times New Roman"/>
          <w:sz w:val="24"/>
          <w:szCs w:val="24"/>
        </w:rPr>
        <w:t xml:space="preserve">  </w:t>
      </w:r>
      <w:r w:rsidR="00FC4EF9">
        <w:rPr>
          <w:rFonts w:ascii="Times New Roman" w:hAnsi="Times New Roman" w:cs="Times New Roman"/>
          <w:sz w:val="24"/>
          <w:szCs w:val="24"/>
        </w:rPr>
        <w:t>AEP Ohio’s Amended Application</w:t>
      </w:r>
      <w:r w:rsidR="009069B9">
        <w:rPr>
          <w:rFonts w:ascii="Times New Roman" w:hAnsi="Times New Roman" w:cs="Times New Roman"/>
          <w:sz w:val="24"/>
          <w:szCs w:val="24"/>
        </w:rPr>
        <w:t>/Modified Amended Application</w:t>
      </w:r>
      <w:r w:rsidR="00FC4EF9">
        <w:rPr>
          <w:rFonts w:ascii="Times New Roman" w:hAnsi="Times New Roman" w:cs="Times New Roman"/>
          <w:sz w:val="24"/>
          <w:szCs w:val="24"/>
        </w:rPr>
        <w:t xml:space="preserve"> would not facilitate diversifying the supply portfolio.  AEPGR’s generation fleet is already 79.3 percent coal-fired.</w:t>
      </w:r>
      <w:r w:rsidR="00FC4EF9">
        <w:rPr>
          <w:rStyle w:val="FootnoteReference"/>
          <w:rFonts w:ascii="Times New Roman" w:hAnsi="Times New Roman" w:cs="Times New Roman"/>
          <w:sz w:val="24"/>
          <w:szCs w:val="24"/>
        </w:rPr>
        <w:footnoteReference w:id="357"/>
      </w:r>
      <w:r w:rsidR="00FD62EC">
        <w:rPr>
          <w:rFonts w:ascii="Times New Roman" w:hAnsi="Times New Roman" w:cs="Times New Roman"/>
          <w:sz w:val="24"/>
          <w:szCs w:val="24"/>
        </w:rPr>
        <w:t xml:space="preserve">  So far from contributing to diversifying Ohio’s supply portfolio, continued operation of the PPA Units would simply maintain coal’s dominance.</w:t>
      </w:r>
      <w:r w:rsidR="00FD62EC">
        <w:rPr>
          <w:rStyle w:val="FootnoteReference"/>
          <w:rFonts w:ascii="Times New Roman" w:hAnsi="Times New Roman" w:cs="Times New Roman"/>
          <w:sz w:val="24"/>
          <w:szCs w:val="24"/>
        </w:rPr>
        <w:footnoteReference w:id="358"/>
      </w:r>
      <w:r w:rsidR="00FD62EC">
        <w:rPr>
          <w:rFonts w:ascii="Times New Roman" w:hAnsi="Times New Roman" w:cs="Times New Roman"/>
          <w:sz w:val="24"/>
          <w:szCs w:val="24"/>
        </w:rPr>
        <w:t xml:space="preserve">  In any event, AEP Ohio did no quantitative analysis to determine what percentage of Ohio generation has to be coal-fired to maintain a “diversified” portfolio to guard against rate volatility or reliability concerns.</w:t>
      </w:r>
      <w:r w:rsidR="00FD62EC">
        <w:rPr>
          <w:rStyle w:val="FootnoteReference"/>
          <w:rFonts w:ascii="Times New Roman" w:hAnsi="Times New Roman" w:cs="Times New Roman"/>
          <w:sz w:val="24"/>
          <w:szCs w:val="24"/>
        </w:rPr>
        <w:footnoteReference w:id="359"/>
      </w:r>
    </w:p>
    <w:p w:rsidR="00B03B3B" w:rsidRDefault="00AB3F30" w:rsidP="003878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 the market is working to </w:t>
      </w:r>
      <w:r w:rsidR="00FF1C59">
        <w:rPr>
          <w:rFonts w:ascii="Times New Roman" w:hAnsi="Times New Roman" w:cs="Times New Roman"/>
          <w:sz w:val="24"/>
          <w:szCs w:val="24"/>
        </w:rPr>
        <w:t>diversify</w:t>
      </w:r>
      <w:r>
        <w:rPr>
          <w:rFonts w:ascii="Times New Roman" w:hAnsi="Times New Roman" w:cs="Times New Roman"/>
          <w:sz w:val="24"/>
          <w:szCs w:val="24"/>
        </w:rPr>
        <w:t xml:space="preserve"> Ohio’s supply portfolio and increase available generation.</w:t>
      </w:r>
      <w:r w:rsidR="00FF1C59">
        <w:rPr>
          <w:rFonts w:ascii="Times New Roman" w:hAnsi="Times New Roman" w:cs="Times New Roman"/>
          <w:sz w:val="24"/>
          <w:szCs w:val="24"/>
        </w:rPr>
        <w:t xml:space="preserve">  </w:t>
      </w:r>
      <w:r w:rsidR="00C93F1D">
        <w:rPr>
          <w:rFonts w:ascii="Times New Roman" w:hAnsi="Times New Roman" w:cs="Times New Roman"/>
          <w:sz w:val="24"/>
          <w:szCs w:val="24"/>
        </w:rPr>
        <w:t>Carrol County Energy, the Middletown Energy Center,</w:t>
      </w:r>
      <w:r w:rsidR="00A92E52">
        <w:rPr>
          <w:rFonts w:ascii="Times New Roman" w:hAnsi="Times New Roman" w:cs="Times New Roman"/>
          <w:sz w:val="24"/>
          <w:szCs w:val="24"/>
        </w:rPr>
        <w:t xml:space="preserve"> and</w:t>
      </w:r>
      <w:r w:rsidR="00C93F1D">
        <w:rPr>
          <w:rFonts w:ascii="Times New Roman" w:hAnsi="Times New Roman" w:cs="Times New Roman"/>
          <w:sz w:val="24"/>
          <w:szCs w:val="24"/>
        </w:rPr>
        <w:t xml:space="preserve"> </w:t>
      </w:r>
      <w:r w:rsidR="00B03B3B">
        <w:rPr>
          <w:rFonts w:ascii="Times New Roman" w:hAnsi="Times New Roman" w:cs="Times New Roman"/>
          <w:sz w:val="24"/>
          <w:szCs w:val="24"/>
        </w:rPr>
        <w:br w:type="page"/>
      </w:r>
    </w:p>
    <w:p w:rsidR="00222729" w:rsidRDefault="00C93F1D" w:rsidP="00B03B3B">
      <w:pPr>
        <w:spacing w:after="0" w:line="480" w:lineRule="auto"/>
        <w:rPr>
          <w:rFonts w:ascii="Times New Roman" w:hAnsi="Times New Roman" w:cs="Times New Roman"/>
          <w:sz w:val="24"/>
          <w:szCs w:val="24"/>
        </w:rPr>
      </w:pPr>
      <w:r>
        <w:rPr>
          <w:rFonts w:ascii="Times New Roman" w:hAnsi="Times New Roman" w:cs="Times New Roman"/>
          <w:sz w:val="24"/>
          <w:szCs w:val="24"/>
        </w:rPr>
        <w:t>the Oregon Clean Energy Center are all under construction and have interconnection agreements with PJM.</w:t>
      </w:r>
      <w:r>
        <w:rPr>
          <w:rStyle w:val="FootnoteReference"/>
          <w:rFonts w:ascii="Times New Roman" w:hAnsi="Times New Roman" w:cs="Times New Roman"/>
          <w:sz w:val="24"/>
          <w:szCs w:val="24"/>
        </w:rPr>
        <w:footnoteReference w:id="360"/>
      </w:r>
      <w:r>
        <w:rPr>
          <w:rFonts w:ascii="Times New Roman" w:hAnsi="Times New Roman" w:cs="Times New Roman"/>
          <w:sz w:val="24"/>
          <w:szCs w:val="24"/>
        </w:rPr>
        <w:t xml:space="preserve">  New generation has been added to PJM, generally, too.</w:t>
      </w:r>
      <w:r>
        <w:rPr>
          <w:rStyle w:val="FootnoteReference"/>
          <w:rFonts w:ascii="Times New Roman" w:hAnsi="Times New Roman" w:cs="Times New Roman"/>
          <w:sz w:val="24"/>
          <w:szCs w:val="24"/>
        </w:rPr>
        <w:footnoteReference w:id="361"/>
      </w:r>
      <w:r w:rsidR="00DB706D">
        <w:rPr>
          <w:rFonts w:ascii="Times New Roman" w:hAnsi="Times New Roman" w:cs="Times New Roman"/>
          <w:sz w:val="24"/>
          <w:szCs w:val="24"/>
        </w:rPr>
        <w:t xml:space="preserve"> </w:t>
      </w:r>
    </w:p>
    <w:p w:rsidR="00124C12" w:rsidRDefault="0022272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reasons of law and fact, AEP Ohio’s</w:t>
      </w:r>
      <w:r w:rsidR="004B49C5">
        <w:rPr>
          <w:rFonts w:ascii="Times New Roman" w:hAnsi="Times New Roman" w:cs="Times New Roman"/>
          <w:sz w:val="24"/>
          <w:szCs w:val="24"/>
        </w:rPr>
        <w:t xml:space="preserve"> proposed</w:t>
      </w:r>
      <w:r>
        <w:rPr>
          <w:rFonts w:ascii="Times New Roman" w:hAnsi="Times New Roman" w:cs="Times New Roman"/>
          <w:sz w:val="24"/>
          <w:szCs w:val="24"/>
        </w:rPr>
        <w:t xml:space="preserve"> bailout</w:t>
      </w:r>
      <w:r w:rsidR="00DB706D">
        <w:rPr>
          <w:rFonts w:ascii="Times New Roman" w:hAnsi="Times New Roman" w:cs="Times New Roman"/>
          <w:sz w:val="24"/>
          <w:szCs w:val="24"/>
        </w:rPr>
        <w:t xml:space="preserve"> sh</w:t>
      </w:r>
      <w:r>
        <w:rPr>
          <w:rFonts w:ascii="Times New Roman" w:hAnsi="Times New Roman" w:cs="Times New Roman"/>
          <w:sz w:val="24"/>
          <w:szCs w:val="24"/>
        </w:rPr>
        <w:t>o</w:t>
      </w:r>
      <w:r w:rsidR="00DB706D">
        <w:rPr>
          <w:rFonts w:ascii="Times New Roman" w:hAnsi="Times New Roman" w:cs="Times New Roman"/>
          <w:sz w:val="24"/>
          <w:szCs w:val="24"/>
        </w:rPr>
        <w:t xml:space="preserve">uld </w:t>
      </w:r>
      <w:r>
        <w:rPr>
          <w:rFonts w:ascii="Times New Roman" w:hAnsi="Times New Roman" w:cs="Times New Roman"/>
          <w:sz w:val="24"/>
          <w:szCs w:val="24"/>
        </w:rPr>
        <w:t>not be indulged for reasons of supply diversity</w:t>
      </w:r>
      <w:r w:rsidR="00DB706D">
        <w:rPr>
          <w:rFonts w:ascii="Times New Roman" w:hAnsi="Times New Roman" w:cs="Times New Roman"/>
          <w:sz w:val="24"/>
          <w:szCs w:val="24"/>
        </w:rPr>
        <w:t xml:space="preserve">.   </w:t>
      </w:r>
    </w:p>
    <w:p w:rsidR="007456E4" w:rsidRDefault="005214D9" w:rsidP="00C401CE">
      <w:pPr>
        <w:pStyle w:val="Heading4"/>
      </w:pPr>
      <w:bookmarkStart w:id="74" w:name="_Toc442104173"/>
      <w:r>
        <w:t>d.</w:t>
      </w:r>
      <w:r>
        <w:tab/>
      </w:r>
      <w:r w:rsidR="007456E4" w:rsidRPr="007456E4">
        <w:t xml:space="preserve">AEP Ohio’s analysis of </w:t>
      </w:r>
      <w:r w:rsidR="00DB706D">
        <w:t xml:space="preserve">the cost </w:t>
      </w:r>
      <w:r w:rsidR="007456E4" w:rsidRPr="007456E4">
        <w:t xml:space="preserve">impact </w:t>
      </w:r>
      <w:r w:rsidR="00DB706D">
        <w:t xml:space="preserve">for consumers </w:t>
      </w:r>
      <w:r w:rsidR="007456E4" w:rsidRPr="007456E4">
        <w:t>on</w:t>
      </w:r>
      <w:r w:rsidR="000A000D">
        <w:t xml:space="preserve"> the</w:t>
      </w:r>
      <w:r w:rsidR="007456E4" w:rsidRPr="007456E4">
        <w:t xml:space="preserve"> transmission system is </w:t>
      </w:r>
      <w:r w:rsidR="007456E4">
        <w:t>not credible</w:t>
      </w:r>
      <w:r>
        <w:t>.</w:t>
      </w:r>
      <w:bookmarkEnd w:id="74"/>
    </w:p>
    <w:p w:rsidR="007456E4" w:rsidRDefault="00D0411D" w:rsidP="0094494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AEP Ohio did not consider new generation currently under construction in Ohio that has interconnection agreements with PJM</w:t>
      </w:r>
      <w:r w:rsidR="00EB630D">
        <w:rPr>
          <w:rFonts w:ascii="Times New Roman" w:hAnsi="Times New Roman" w:cs="Times New Roman"/>
          <w:sz w:val="24"/>
          <w:szCs w:val="24"/>
        </w:rPr>
        <w:t>.</w:t>
      </w:r>
      <w:r w:rsidR="00563F16">
        <w:rPr>
          <w:rStyle w:val="FootnoteReference"/>
          <w:rFonts w:ascii="Times New Roman" w:hAnsi="Times New Roman" w:cs="Times New Roman"/>
          <w:sz w:val="24"/>
          <w:szCs w:val="24"/>
        </w:rPr>
        <w:footnoteReference w:id="362"/>
      </w:r>
      <w:r>
        <w:rPr>
          <w:rFonts w:ascii="Times New Roman" w:hAnsi="Times New Roman" w:cs="Times New Roman"/>
          <w:sz w:val="24"/>
          <w:szCs w:val="24"/>
        </w:rPr>
        <w:t xml:space="preserve"> </w:t>
      </w:r>
      <w:r w:rsidR="00EB630D">
        <w:rPr>
          <w:rFonts w:ascii="Times New Roman" w:hAnsi="Times New Roman" w:cs="Times New Roman"/>
          <w:sz w:val="24"/>
          <w:szCs w:val="24"/>
        </w:rPr>
        <w:t xml:space="preserve">But </w:t>
      </w:r>
      <w:r>
        <w:rPr>
          <w:rFonts w:ascii="Times New Roman" w:hAnsi="Times New Roman" w:cs="Times New Roman"/>
          <w:sz w:val="24"/>
          <w:szCs w:val="24"/>
        </w:rPr>
        <w:t>for purposes of its “analysis” of the impact on the transmission system were the PPA Units to retire</w:t>
      </w:r>
      <w:r w:rsidR="00EB630D">
        <w:rPr>
          <w:rFonts w:ascii="Times New Roman" w:hAnsi="Times New Roman" w:cs="Times New Roman"/>
          <w:sz w:val="24"/>
          <w:szCs w:val="24"/>
        </w:rPr>
        <w:t>,</w:t>
      </w:r>
      <w:r>
        <w:rPr>
          <w:rFonts w:ascii="Times New Roman" w:hAnsi="Times New Roman" w:cs="Times New Roman"/>
          <w:sz w:val="24"/>
          <w:szCs w:val="24"/>
        </w:rPr>
        <w:t xml:space="preserve"> it </w:t>
      </w:r>
      <w:r w:rsidR="00EB630D">
        <w:rPr>
          <w:rFonts w:ascii="Times New Roman" w:hAnsi="Times New Roman" w:cs="Times New Roman"/>
          <w:sz w:val="24"/>
          <w:szCs w:val="24"/>
        </w:rPr>
        <w:t xml:space="preserve">did </w:t>
      </w:r>
      <w:r>
        <w:rPr>
          <w:rFonts w:ascii="Times New Roman" w:hAnsi="Times New Roman" w:cs="Times New Roman"/>
          <w:sz w:val="24"/>
          <w:szCs w:val="24"/>
        </w:rPr>
        <w:t>include 11,800 additional</w:t>
      </w:r>
      <w:r w:rsidR="005B3B67">
        <w:rPr>
          <w:rFonts w:ascii="Times New Roman" w:hAnsi="Times New Roman" w:cs="Times New Roman"/>
          <w:sz w:val="24"/>
          <w:szCs w:val="24"/>
        </w:rPr>
        <w:t>, non-PPA Unit megawatts of retirement.</w:t>
      </w:r>
      <w:r w:rsidR="005B3B67">
        <w:rPr>
          <w:rStyle w:val="FootnoteReference"/>
          <w:rFonts w:ascii="Times New Roman" w:hAnsi="Times New Roman" w:cs="Times New Roman"/>
          <w:sz w:val="24"/>
          <w:szCs w:val="24"/>
        </w:rPr>
        <w:footnoteReference w:id="363"/>
      </w:r>
      <w:r w:rsidR="00100845">
        <w:rPr>
          <w:rFonts w:ascii="Times New Roman" w:hAnsi="Times New Roman" w:cs="Times New Roman"/>
          <w:sz w:val="24"/>
          <w:szCs w:val="24"/>
        </w:rPr>
        <w:t xml:space="preserve">  </w:t>
      </w:r>
      <w:r w:rsidR="005B3B67">
        <w:rPr>
          <w:rFonts w:ascii="Times New Roman" w:hAnsi="Times New Roman" w:cs="Times New Roman"/>
          <w:sz w:val="24"/>
          <w:szCs w:val="24"/>
        </w:rPr>
        <w:t>The 11,800 non-PPA Unit megawatts will retire regardless of whether the PPA Units retire</w:t>
      </w:r>
      <w:r w:rsidR="000A0A44">
        <w:rPr>
          <w:rFonts w:ascii="Times New Roman" w:hAnsi="Times New Roman" w:cs="Times New Roman"/>
          <w:sz w:val="24"/>
          <w:szCs w:val="24"/>
        </w:rPr>
        <w:t>.</w:t>
      </w:r>
      <w:r w:rsidR="005B3B67">
        <w:rPr>
          <w:rStyle w:val="FootnoteReference"/>
          <w:rFonts w:ascii="Times New Roman" w:hAnsi="Times New Roman" w:cs="Times New Roman"/>
          <w:sz w:val="24"/>
          <w:szCs w:val="24"/>
        </w:rPr>
        <w:footnoteReference w:id="364"/>
      </w:r>
      <w:r w:rsidR="005B3B67">
        <w:rPr>
          <w:rFonts w:ascii="Times New Roman" w:hAnsi="Times New Roman" w:cs="Times New Roman"/>
          <w:sz w:val="24"/>
          <w:szCs w:val="24"/>
        </w:rPr>
        <w:t xml:space="preserve"> </w:t>
      </w:r>
      <w:r w:rsidR="000A0A44">
        <w:rPr>
          <w:rFonts w:ascii="Times New Roman" w:hAnsi="Times New Roman" w:cs="Times New Roman"/>
          <w:sz w:val="24"/>
          <w:szCs w:val="24"/>
        </w:rPr>
        <w:t xml:space="preserve"> A</w:t>
      </w:r>
      <w:r w:rsidR="005B3B67">
        <w:rPr>
          <w:rFonts w:ascii="Times New Roman" w:hAnsi="Times New Roman" w:cs="Times New Roman"/>
          <w:sz w:val="24"/>
          <w:szCs w:val="24"/>
        </w:rPr>
        <w:t xml:space="preserve">nd AEP Ohio does not know what level of upgrades to the transmission system, if any, would be needed if </w:t>
      </w:r>
      <w:r w:rsidR="00A92E52">
        <w:rPr>
          <w:rFonts w:ascii="Times New Roman" w:hAnsi="Times New Roman" w:cs="Times New Roman"/>
          <w:sz w:val="24"/>
          <w:szCs w:val="24"/>
        </w:rPr>
        <w:t>only</w:t>
      </w:r>
      <w:r w:rsidR="005B3B67">
        <w:rPr>
          <w:rFonts w:ascii="Times New Roman" w:hAnsi="Times New Roman" w:cs="Times New Roman"/>
          <w:sz w:val="24"/>
          <w:szCs w:val="24"/>
        </w:rPr>
        <w:t xml:space="preserve"> </w:t>
      </w:r>
      <w:r w:rsidR="007456E4">
        <w:rPr>
          <w:rFonts w:ascii="Times New Roman" w:hAnsi="Times New Roman" w:cs="Times New Roman"/>
          <w:sz w:val="24"/>
          <w:szCs w:val="24"/>
        </w:rPr>
        <w:t xml:space="preserve">the </w:t>
      </w:r>
      <w:r w:rsidR="005B3B67">
        <w:rPr>
          <w:rFonts w:ascii="Times New Roman" w:hAnsi="Times New Roman" w:cs="Times New Roman"/>
          <w:sz w:val="24"/>
          <w:szCs w:val="24"/>
        </w:rPr>
        <w:t>PPA Units were retired.</w:t>
      </w:r>
      <w:r w:rsidR="005B3B67">
        <w:rPr>
          <w:rStyle w:val="FootnoteReference"/>
          <w:rFonts w:ascii="Times New Roman" w:hAnsi="Times New Roman" w:cs="Times New Roman"/>
          <w:sz w:val="24"/>
          <w:szCs w:val="24"/>
        </w:rPr>
        <w:footnoteReference w:id="365"/>
      </w:r>
      <w:r w:rsidR="00100845">
        <w:rPr>
          <w:rFonts w:ascii="Times New Roman" w:hAnsi="Times New Roman" w:cs="Times New Roman"/>
          <w:sz w:val="24"/>
          <w:szCs w:val="24"/>
        </w:rPr>
        <w:t xml:space="preserve">  Including the 11,800 megawatts from non-PPA Units </w:t>
      </w:r>
      <w:r w:rsidR="000A0A44">
        <w:rPr>
          <w:rFonts w:ascii="Times New Roman" w:hAnsi="Times New Roman" w:cs="Times New Roman"/>
          <w:sz w:val="24"/>
          <w:szCs w:val="24"/>
        </w:rPr>
        <w:t xml:space="preserve">substantially </w:t>
      </w:r>
      <w:r w:rsidR="00100845">
        <w:rPr>
          <w:rFonts w:ascii="Times New Roman" w:hAnsi="Times New Roman" w:cs="Times New Roman"/>
          <w:sz w:val="24"/>
          <w:szCs w:val="24"/>
        </w:rPr>
        <w:t>increases the modeled impact on transmission, including the financial impact</w:t>
      </w:r>
      <w:r w:rsidR="00DB706D">
        <w:rPr>
          <w:rFonts w:ascii="Times New Roman" w:hAnsi="Times New Roman" w:cs="Times New Roman"/>
          <w:sz w:val="24"/>
          <w:szCs w:val="24"/>
        </w:rPr>
        <w:t xml:space="preserve"> ultimately charged to consumers</w:t>
      </w:r>
      <w:r w:rsidR="00100845">
        <w:rPr>
          <w:rFonts w:ascii="Times New Roman" w:hAnsi="Times New Roman" w:cs="Times New Roman"/>
          <w:sz w:val="24"/>
          <w:szCs w:val="24"/>
        </w:rPr>
        <w:t>.</w:t>
      </w:r>
      <w:r w:rsidR="00100845">
        <w:rPr>
          <w:rStyle w:val="FootnoteReference"/>
          <w:rFonts w:ascii="Times New Roman" w:hAnsi="Times New Roman" w:cs="Times New Roman"/>
          <w:sz w:val="24"/>
          <w:szCs w:val="24"/>
        </w:rPr>
        <w:footnoteReference w:id="366"/>
      </w:r>
      <w:r w:rsidR="00100845">
        <w:rPr>
          <w:rFonts w:ascii="Times New Roman" w:hAnsi="Times New Roman" w:cs="Times New Roman"/>
          <w:sz w:val="24"/>
          <w:szCs w:val="24"/>
        </w:rPr>
        <w:t xml:space="preserve">  </w:t>
      </w:r>
    </w:p>
    <w:p w:rsidR="00D0411D" w:rsidRDefault="00100845" w:rsidP="0094494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 calling into question the </w:t>
      </w:r>
      <w:r w:rsidR="004A598F">
        <w:rPr>
          <w:rFonts w:ascii="Times New Roman" w:hAnsi="Times New Roman" w:cs="Times New Roman"/>
          <w:sz w:val="24"/>
          <w:szCs w:val="24"/>
        </w:rPr>
        <w:t>credibility</w:t>
      </w:r>
      <w:r>
        <w:rPr>
          <w:rFonts w:ascii="Times New Roman" w:hAnsi="Times New Roman" w:cs="Times New Roman"/>
          <w:sz w:val="24"/>
          <w:szCs w:val="24"/>
        </w:rPr>
        <w:t xml:space="preserve"> of AEP Ohio’s model, the non-PPA Units that AEP Ohio included in its model may not even be the ones that actually do retire.</w:t>
      </w:r>
      <w:r>
        <w:rPr>
          <w:rStyle w:val="FootnoteReference"/>
          <w:rFonts w:ascii="Times New Roman" w:hAnsi="Times New Roman" w:cs="Times New Roman"/>
          <w:sz w:val="24"/>
          <w:szCs w:val="24"/>
        </w:rPr>
        <w:footnoteReference w:id="367"/>
      </w:r>
      <w:r w:rsidR="004A598F">
        <w:rPr>
          <w:rFonts w:ascii="Times New Roman" w:hAnsi="Times New Roman" w:cs="Times New Roman"/>
          <w:sz w:val="24"/>
          <w:szCs w:val="24"/>
        </w:rPr>
        <w:t xml:space="preserve">  Yet another assumption in AEP Ohio’s model that seriously undermines its credibility is that </w:t>
      </w:r>
      <w:r w:rsidR="004A598F">
        <w:rPr>
          <w:rFonts w:ascii="Times New Roman" w:hAnsi="Times New Roman" w:cs="Times New Roman"/>
          <w:i/>
          <w:sz w:val="24"/>
          <w:szCs w:val="24"/>
        </w:rPr>
        <w:t xml:space="preserve">all </w:t>
      </w:r>
      <w:r w:rsidR="004A598F">
        <w:rPr>
          <w:rFonts w:ascii="Times New Roman" w:hAnsi="Times New Roman" w:cs="Times New Roman"/>
          <w:sz w:val="24"/>
          <w:szCs w:val="24"/>
        </w:rPr>
        <w:t xml:space="preserve">of the PPA Units and </w:t>
      </w:r>
      <w:r w:rsidR="004A598F">
        <w:rPr>
          <w:rFonts w:ascii="Times New Roman" w:hAnsi="Times New Roman" w:cs="Times New Roman"/>
          <w:i/>
          <w:sz w:val="24"/>
          <w:szCs w:val="24"/>
        </w:rPr>
        <w:t xml:space="preserve">all </w:t>
      </w:r>
      <w:r w:rsidR="004A598F">
        <w:rPr>
          <w:rFonts w:ascii="Times New Roman" w:hAnsi="Times New Roman" w:cs="Times New Roman"/>
          <w:sz w:val="24"/>
          <w:szCs w:val="24"/>
        </w:rPr>
        <w:t xml:space="preserve">of the 11,800 megawatts from the non-PPA Units retire </w:t>
      </w:r>
      <w:r w:rsidR="004A598F" w:rsidRPr="004A598F">
        <w:rPr>
          <w:rFonts w:ascii="Times New Roman" w:hAnsi="Times New Roman" w:cs="Times New Roman"/>
          <w:i/>
          <w:sz w:val="24"/>
          <w:szCs w:val="24"/>
        </w:rPr>
        <w:t>on the same day</w:t>
      </w:r>
      <w:r w:rsidR="004A598F">
        <w:rPr>
          <w:rFonts w:ascii="Times New Roman" w:hAnsi="Times New Roman" w:cs="Times New Roman"/>
          <w:sz w:val="24"/>
          <w:szCs w:val="24"/>
        </w:rPr>
        <w:t>.</w:t>
      </w:r>
      <w:r w:rsidR="004A598F">
        <w:rPr>
          <w:rStyle w:val="FootnoteReference"/>
          <w:rFonts w:ascii="Times New Roman" w:hAnsi="Times New Roman" w:cs="Times New Roman"/>
          <w:sz w:val="24"/>
          <w:szCs w:val="24"/>
        </w:rPr>
        <w:footnoteReference w:id="368"/>
      </w:r>
      <w:r w:rsidR="00660984">
        <w:rPr>
          <w:rFonts w:ascii="Times New Roman" w:hAnsi="Times New Roman" w:cs="Times New Roman"/>
          <w:sz w:val="24"/>
          <w:szCs w:val="24"/>
        </w:rPr>
        <w:t xml:space="preserve">  A more reasonable approach – that the PPA Units retire at different times – was not performed by AEP</w:t>
      </w:r>
      <w:r w:rsidR="002E1C0A">
        <w:rPr>
          <w:rFonts w:ascii="Times New Roman" w:hAnsi="Times New Roman" w:cs="Times New Roman"/>
          <w:sz w:val="24"/>
          <w:szCs w:val="24"/>
        </w:rPr>
        <w:t xml:space="preserve"> Ohio</w:t>
      </w:r>
      <w:r w:rsidR="00660984">
        <w:rPr>
          <w:rFonts w:ascii="Times New Roman" w:hAnsi="Times New Roman" w:cs="Times New Roman"/>
          <w:sz w:val="24"/>
          <w:szCs w:val="24"/>
        </w:rPr>
        <w:t>.</w:t>
      </w:r>
      <w:r w:rsidR="00660984">
        <w:rPr>
          <w:rStyle w:val="FootnoteReference"/>
          <w:rFonts w:ascii="Times New Roman" w:hAnsi="Times New Roman" w:cs="Times New Roman"/>
          <w:sz w:val="24"/>
          <w:szCs w:val="24"/>
        </w:rPr>
        <w:footnoteReference w:id="369"/>
      </w:r>
      <w:r>
        <w:rPr>
          <w:rFonts w:ascii="Times New Roman" w:hAnsi="Times New Roman" w:cs="Times New Roman"/>
          <w:sz w:val="24"/>
          <w:szCs w:val="24"/>
        </w:rPr>
        <w:t xml:space="preserve"> </w:t>
      </w:r>
    </w:p>
    <w:p w:rsidR="00D67A19" w:rsidRDefault="00D67A19" w:rsidP="0094494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PJM is both responsible for, and capable of, ensuring the reliability of the transmission system.  There are no plans to retire the PPA Units that AEPGR owns 100 percent, and AEP Ohio could not retire the plants it co-owns.  AEP is, itself, diversifying its generation portfolio.  The PPA Rider does nothing more than maintain coal’s current dominance of AEP’s generation fleet.  The market, in any event, is working both to induce the construction of new generation and to diversity the supply portfolio.  AEP Ohio’s effort to forecast the impact on the transmission system in light of retirements is not credible because it includes a substantial amount (on the order of 3 to 1) of non-PPA Unit</w:t>
      </w:r>
      <w:r w:rsidR="007456E4">
        <w:rPr>
          <w:rFonts w:ascii="Times New Roman" w:hAnsi="Times New Roman" w:cs="Times New Roman"/>
          <w:sz w:val="24"/>
          <w:szCs w:val="24"/>
        </w:rPr>
        <w:t xml:space="preserve"> retirements.  </w:t>
      </w:r>
      <w:r>
        <w:rPr>
          <w:rFonts w:ascii="Times New Roman" w:hAnsi="Times New Roman" w:cs="Times New Roman"/>
          <w:sz w:val="24"/>
          <w:szCs w:val="24"/>
        </w:rPr>
        <w:t>AEP Ohio cannot specify the impact, if any, of retiring the PPA Units on the transmission system.  Further, it does not include new generation.  For these reasons, AEP Ohio has failed to meet its burden of proof on the second factor from the PUCO’s ESP III Opinion and Order.</w:t>
      </w:r>
    </w:p>
    <w:p w:rsidR="00964859" w:rsidRDefault="00964859">
      <w:pPr>
        <w:rPr>
          <w:rFonts w:ascii="Times New Roman Bold" w:eastAsia="WenQuanYi Micro Hei" w:hAnsi="Times New Roman Bold" w:cs="Times New Roman"/>
          <w:b/>
          <w:sz w:val="24"/>
          <w:szCs w:val="24"/>
          <w:lang w:eastAsia="zh-CN" w:bidi="hi-IN"/>
        </w:rPr>
      </w:pPr>
      <w:r>
        <w:br w:type="page"/>
      </w:r>
    </w:p>
    <w:p w:rsidR="00FB7E30" w:rsidRDefault="005214D9" w:rsidP="00F27AA5">
      <w:pPr>
        <w:pStyle w:val="Heading3"/>
      </w:pPr>
      <w:bookmarkStart w:id="75" w:name="_Toc442104174"/>
      <w:r>
        <w:t>3.</w:t>
      </w:r>
      <w:r>
        <w:tab/>
      </w:r>
      <w:bookmarkStart w:id="76" w:name="_Toc435428213"/>
      <w:r w:rsidR="00380F28" w:rsidRPr="007456E4">
        <w:t xml:space="preserve">AEP Ohio has not shown, and cannot show, that the PPA </w:t>
      </w:r>
      <w:r w:rsidR="007456E4">
        <w:t>U</w:t>
      </w:r>
      <w:r w:rsidR="00380F28" w:rsidRPr="007456E4">
        <w:t>nits</w:t>
      </w:r>
      <w:r w:rsidR="001F7957">
        <w:t xml:space="preserve"> are complia</w:t>
      </w:r>
      <w:r w:rsidR="00380F28" w:rsidRPr="007456E4">
        <w:t>nt with current environmental r</w:t>
      </w:r>
      <w:r w:rsidR="00D67A19" w:rsidRPr="007456E4">
        <w:t>egulations</w:t>
      </w:r>
      <w:r w:rsidR="00380F28" w:rsidRPr="007456E4">
        <w:t xml:space="preserve"> or a plan for </w:t>
      </w:r>
      <w:r w:rsidR="00EA5AEB" w:rsidRPr="007456E4">
        <w:t>c</w:t>
      </w:r>
      <w:r w:rsidR="00380F28" w:rsidRPr="007456E4">
        <w:t>omplying with pending environmental r</w:t>
      </w:r>
      <w:r w:rsidR="00BF39A3" w:rsidRPr="007456E4">
        <w:t>egulations</w:t>
      </w:r>
      <w:bookmarkEnd w:id="76"/>
      <w:r>
        <w:t>.</w:t>
      </w:r>
      <w:r w:rsidR="00C87C35">
        <w:t xml:space="preserve">  That is concerning because Ohio consumers could be tapped for subsidizing costly power plant environmental upgrades.</w:t>
      </w:r>
      <w:bookmarkEnd w:id="75"/>
    </w:p>
    <w:p w:rsidR="00BF0EAC" w:rsidRDefault="00BF39A3" w:rsidP="0096485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record evidence confirms that uncertainty is the only certainty when it comes to environmental regulations</w:t>
      </w:r>
      <w:r w:rsidR="00BF0EAC">
        <w:rPr>
          <w:rFonts w:ascii="Times New Roman" w:hAnsi="Times New Roman" w:cs="Times New Roman"/>
          <w:sz w:val="24"/>
          <w:szCs w:val="24"/>
        </w:rPr>
        <w:t xml:space="preserve"> and compliance costs</w:t>
      </w:r>
      <w:r>
        <w:rPr>
          <w:rFonts w:ascii="Times New Roman" w:hAnsi="Times New Roman" w:cs="Times New Roman"/>
          <w:sz w:val="24"/>
          <w:szCs w:val="24"/>
        </w:rPr>
        <w:t>.  Accordingly, AEP Ohio has not shown, and cannot show</w:t>
      </w:r>
      <w:r w:rsidR="00F36870">
        <w:rPr>
          <w:rFonts w:ascii="Times New Roman" w:hAnsi="Times New Roman" w:cs="Times New Roman"/>
          <w:sz w:val="24"/>
          <w:szCs w:val="24"/>
        </w:rPr>
        <w:t>,</w:t>
      </w:r>
      <w:r>
        <w:rPr>
          <w:rFonts w:ascii="Times New Roman" w:hAnsi="Times New Roman" w:cs="Times New Roman"/>
          <w:sz w:val="24"/>
          <w:szCs w:val="24"/>
        </w:rPr>
        <w:t xml:space="preserve"> </w:t>
      </w:r>
      <w:r w:rsidR="00A92E52">
        <w:rPr>
          <w:rFonts w:ascii="Times New Roman" w:hAnsi="Times New Roman" w:cs="Times New Roman"/>
          <w:sz w:val="24"/>
          <w:szCs w:val="24"/>
        </w:rPr>
        <w:t xml:space="preserve">that </w:t>
      </w:r>
      <w:r>
        <w:rPr>
          <w:rFonts w:ascii="Times New Roman" w:hAnsi="Times New Roman" w:cs="Times New Roman"/>
          <w:sz w:val="24"/>
          <w:szCs w:val="24"/>
        </w:rPr>
        <w:t xml:space="preserve">the PPA Units are </w:t>
      </w:r>
      <w:r w:rsidR="00034FC7">
        <w:rPr>
          <w:rFonts w:ascii="Times New Roman" w:hAnsi="Times New Roman" w:cs="Times New Roman"/>
          <w:sz w:val="24"/>
          <w:szCs w:val="24"/>
        </w:rPr>
        <w:t>compliant</w:t>
      </w:r>
      <w:r>
        <w:rPr>
          <w:rFonts w:ascii="Times New Roman" w:hAnsi="Times New Roman" w:cs="Times New Roman"/>
          <w:sz w:val="24"/>
          <w:szCs w:val="24"/>
        </w:rPr>
        <w:t xml:space="preserve"> with current environmental regulations and a plan for complying with pending environmental regulations</w:t>
      </w:r>
      <w:r w:rsidR="00EB630D">
        <w:rPr>
          <w:rFonts w:ascii="Times New Roman" w:hAnsi="Times New Roman" w:cs="Times New Roman"/>
          <w:sz w:val="24"/>
          <w:szCs w:val="24"/>
        </w:rPr>
        <w:t xml:space="preserve"> as required by the PUCO in its ESP III Opinion and Order</w:t>
      </w:r>
      <w:r>
        <w:rPr>
          <w:rFonts w:ascii="Times New Roman" w:hAnsi="Times New Roman" w:cs="Times New Roman"/>
          <w:sz w:val="24"/>
          <w:szCs w:val="24"/>
        </w:rPr>
        <w:t xml:space="preserve">.  </w:t>
      </w:r>
    </w:p>
    <w:p w:rsidR="004201B3" w:rsidRDefault="00BF39A3" w:rsidP="0096485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AEP Ohio does not develop environmental compliance projects at the co-owned PPA Units.</w:t>
      </w:r>
      <w:r>
        <w:rPr>
          <w:rStyle w:val="FootnoteReference"/>
          <w:rFonts w:ascii="Times New Roman" w:hAnsi="Times New Roman" w:cs="Times New Roman"/>
          <w:sz w:val="24"/>
          <w:szCs w:val="24"/>
        </w:rPr>
        <w:footnoteReference w:id="370"/>
      </w:r>
      <w:r>
        <w:rPr>
          <w:rFonts w:ascii="Times New Roman" w:hAnsi="Times New Roman" w:cs="Times New Roman"/>
          <w:sz w:val="24"/>
          <w:szCs w:val="24"/>
        </w:rPr>
        <w:t xml:space="preserve">  Nor does AEP Ohio know what the </w:t>
      </w:r>
      <w:r w:rsidR="00F36870">
        <w:rPr>
          <w:rFonts w:ascii="Times New Roman" w:hAnsi="Times New Roman" w:cs="Times New Roman"/>
          <w:sz w:val="24"/>
          <w:szCs w:val="24"/>
        </w:rPr>
        <w:t xml:space="preserve">environmental compliance </w:t>
      </w:r>
      <w:r>
        <w:rPr>
          <w:rFonts w:ascii="Times New Roman" w:hAnsi="Times New Roman" w:cs="Times New Roman"/>
          <w:sz w:val="24"/>
          <w:szCs w:val="24"/>
        </w:rPr>
        <w:t>cost estimate</w:t>
      </w:r>
      <w:r w:rsidR="00A92E52">
        <w:rPr>
          <w:rFonts w:ascii="Times New Roman" w:hAnsi="Times New Roman" w:cs="Times New Roman"/>
          <w:sz w:val="24"/>
          <w:szCs w:val="24"/>
        </w:rPr>
        <w:t>s</w:t>
      </w:r>
      <w:r>
        <w:rPr>
          <w:rFonts w:ascii="Times New Roman" w:hAnsi="Times New Roman" w:cs="Times New Roman"/>
          <w:sz w:val="24"/>
          <w:szCs w:val="24"/>
        </w:rPr>
        <w:t xml:space="preserve"> </w:t>
      </w:r>
      <w:r w:rsidR="00F36870">
        <w:rPr>
          <w:rFonts w:ascii="Times New Roman" w:hAnsi="Times New Roman" w:cs="Times New Roman"/>
          <w:sz w:val="24"/>
          <w:szCs w:val="24"/>
        </w:rPr>
        <w:t xml:space="preserve">for the PPA Units </w:t>
      </w:r>
      <w:r w:rsidR="00BF0EAC">
        <w:rPr>
          <w:rFonts w:ascii="Times New Roman" w:hAnsi="Times New Roman" w:cs="Times New Roman"/>
          <w:sz w:val="24"/>
          <w:szCs w:val="24"/>
        </w:rPr>
        <w:t>operated by non-AEP entities are based on.</w:t>
      </w:r>
      <w:r w:rsidR="00BF0EAC">
        <w:rPr>
          <w:rStyle w:val="FootnoteReference"/>
          <w:rFonts w:ascii="Times New Roman" w:hAnsi="Times New Roman" w:cs="Times New Roman"/>
          <w:sz w:val="24"/>
          <w:szCs w:val="24"/>
        </w:rPr>
        <w:footnoteReference w:id="371"/>
      </w:r>
      <w:r w:rsidR="00BF0EAC">
        <w:rPr>
          <w:rFonts w:ascii="Times New Roman" w:hAnsi="Times New Roman" w:cs="Times New Roman"/>
          <w:sz w:val="24"/>
          <w:szCs w:val="24"/>
        </w:rPr>
        <w:t xml:space="preserve">  Although AEP Ohio modeled the financial impact of the PPA Rider through 2024, germane environmental regulations will require compliance thereafter.</w:t>
      </w:r>
      <w:r w:rsidR="00BF0EAC">
        <w:rPr>
          <w:rStyle w:val="FootnoteReference"/>
          <w:rFonts w:ascii="Times New Roman" w:hAnsi="Times New Roman" w:cs="Times New Roman"/>
          <w:sz w:val="24"/>
          <w:szCs w:val="24"/>
        </w:rPr>
        <w:footnoteReference w:id="372"/>
      </w:r>
      <w:r w:rsidR="00BF0EAC">
        <w:rPr>
          <w:rFonts w:ascii="Times New Roman" w:hAnsi="Times New Roman" w:cs="Times New Roman"/>
          <w:sz w:val="24"/>
          <w:szCs w:val="24"/>
        </w:rPr>
        <w:t xml:space="preserve">  Even through 2024, there is uncertainty regarding the costs of complying with current and pending environmental regulations and the best AEP Ohio can muster is a “good estimate.”</w:t>
      </w:r>
      <w:r w:rsidR="00BF0EAC">
        <w:rPr>
          <w:rStyle w:val="FootnoteReference"/>
          <w:rFonts w:ascii="Times New Roman" w:hAnsi="Times New Roman" w:cs="Times New Roman"/>
          <w:sz w:val="24"/>
          <w:szCs w:val="24"/>
        </w:rPr>
        <w:footnoteReference w:id="373"/>
      </w:r>
      <w:r w:rsidR="00BF0EAC">
        <w:rPr>
          <w:rFonts w:ascii="Times New Roman" w:hAnsi="Times New Roman" w:cs="Times New Roman"/>
          <w:sz w:val="24"/>
          <w:szCs w:val="24"/>
        </w:rPr>
        <w:t xml:space="preserve">  </w:t>
      </w:r>
    </w:p>
    <w:p w:rsidR="004201B3" w:rsidRDefault="00BF0EAC" w:rsidP="00EA5A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Notwithstanding the “good estimate,” AEP Ohio concedes that compliance cost estimates could change – “[t]here’s a lot of things that could change the numbers that [AEP Ohio] used as estimates.”</w:t>
      </w:r>
      <w:r>
        <w:rPr>
          <w:rStyle w:val="FootnoteReference"/>
          <w:rFonts w:ascii="Times New Roman" w:hAnsi="Times New Roman" w:cs="Times New Roman"/>
          <w:sz w:val="24"/>
          <w:szCs w:val="24"/>
        </w:rPr>
        <w:footnoteReference w:id="374"/>
      </w:r>
      <w:r>
        <w:rPr>
          <w:rFonts w:ascii="Times New Roman" w:hAnsi="Times New Roman" w:cs="Times New Roman"/>
          <w:sz w:val="24"/>
          <w:szCs w:val="24"/>
        </w:rPr>
        <w:t xml:space="preserve">  </w:t>
      </w:r>
      <w:r w:rsidR="00785D35">
        <w:rPr>
          <w:rFonts w:ascii="Times New Roman" w:hAnsi="Times New Roman" w:cs="Times New Roman"/>
          <w:sz w:val="24"/>
          <w:szCs w:val="24"/>
        </w:rPr>
        <w:t>Indeed, AEP Ohio does not even know the going price for how it proposes to comply with environmental regulations.</w:t>
      </w:r>
      <w:r w:rsidR="00785D35">
        <w:rPr>
          <w:rStyle w:val="FootnoteReference"/>
          <w:rFonts w:ascii="Times New Roman" w:hAnsi="Times New Roman" w:cs="Times New Roman"/>
          <w:sz w:val="24"/>
          <w:szCs w:val="24"/>
        </w:rPr>
        <w:footnoteReference w:id="375"/>
      </w:r>
      <w:r w:rsidR="00785D35">
        <w:rPr>
          <w:rFonts w:ascii="Times New Roman" w:hAnsi="Times New Roman" w:cs="Times New Roman"/>
          <w:sz w:val="24"/>
          <w:szCs w:val="24"/>
        </w:rPr>
        <w:t xml:space="preserve">  Nor can AEP Ohio describe in detail how it will comply with the Clean Power Plan, or even what will be required.</w:t>
      </w:r>
      <w:r w:rsidR="00785D35">
        <w:rPr>
          <w:rStyle w:val="FootnoteReference"/>
          <w:rFonts w:ascii="Times New Roman" w:hAnsi="Times New Roman" w:cs="Times New Roman"/>
          <w:sz w:val="24"/>
          <w:szCs w:val="24"/>
        </w:rPr>
        <w:footnoteReference w:id="376"/>
      </w:r>
      <w:r w:rsidR="00785D35">
        <w:rPr>
          <w:rFonts w:ascii="Times New Roman" w:hAnsi="Times New Roman" w:cs="Times New Roman"/>
          <w:sz w:val="24"/>
          <w:szCs w:val="24"/>
        </w:rPr>
        <w:t xml:space="preserve">  It needs </w:t>
      </w:r>
      <w:r w:rsidR="0090107E">
        <w:rPr>
          <w:rFonts w:ascii="Times New Roman" w:hAnsi="Times New Roman" w:cs="Times New Roman"/>
          <w:sz w:val="24"/>
          <w:szCs w:val="24"/>
        </w:rPr>
        <w:t xml:space="preserve">first </w:t>
      </w:r>
      <w:r w:rsidR="00785D35">
        <w:rPr>
          <w:rFonts w:ascii="Times New Roman" w:hAnsi="Times New Roman" w:cs="Times New Roman"/>
          <w:sz w:val="24"/>
          <w:szCs w:val="24"/>
        </w:rPr>
        <w:t xml:space="preserve">to know the terms of </w:t>
      </w:r>
      <w:r w:rsidR="0090107E">
        <w:rPr>
          <w:rFonts w:ascii="Times New Roman" w:hAnsi="Times New Roman" w:cs="Times New Roman"/>
          <w:sz w:val="24"/>
          <w:szCs w:val="24"/>
        </w:rPr>
        <w:t>a yet-to-be determined state implementation plan or a federal implementation plan.</w:t>
      </w:r>
      <w:r w:rsidR="0090107E">
        <w:rPr>
          <w:rStyle w:val="FootnoteReference"/>
          <w:rFonts w:ascii="Times New Roman" w:hAnsi="Times New Roman" w:cs="Times New Roman"/>
          <w:sz w:val="24"/>
          <w:szCs w:val="24"/>
        </w:rPr>
        <w:footnoteReference w:id="377"/>
      </w:r>
      <w:r w:rsidR="00F047EC">
        <w:rPr>
          <w:rFonts w:ascii="Times New Roman" w:hAnsi="Times New Roman" w:cs="Times New Roman"/>
          <w:sz w:val="24"/>
          <w:szCs w:val="24"/>
        </w:rPr>
        <w:t xml:space="preserve">  </w:t>
      </w:r>
    </w:p>
    <w:p w:rsidR="00785D35" w:rsidRDefault="00117162" w:rsidP="005214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Because</w:t>
      </w:r>
      <w:r w:rsidR="008B36E9">
        <w:rPr>
          <w:rFonts w:ascii="Times New Roman" w:hAnsi="Times New Roman" w:cs="Times New Roman"/>
          <w:sz w:val="24"/>
          <w:szCs w:val="24"/>
        </w:rPr>
        <w:t xml:space="preserve"> such terms are uncertain, it is also uncertain what capital and operation and maintenance expenses </w:t>
      </w:r>
      <w:r w:rsidR="007B443B">
        <w:rPr>
          <w:rFonts w:ascii="Times New Roman" w:hAnsi="Times New Roman" w:cs="Times New Roman"/>
          <w:sz w:val="24"/>
          <w:szCs w:val="24"/>
        </w:rPr>
        <w:t xml:space="preserve">will be charged to consumers </w:t>
      </w:r>
      <w:r w:rsidR="008B36E9">
        <w:rPr>
          <w:rFonts w:ascii="Times New Roman" w:hAnsi="Times New Roman" w:cs="Times New Roman"/>
          <w:sz w:val="24"/>
          <w:szCs w:val="24"/>
        </w:rPr>
        <w:t>for complying with the Clean Power Plan.</w:t>
      </w:r>
      <w:r w:rsidR="008B36E9">
        <w:rPr>
          <w:rStyle w:val="FootnoteReference"/>
          <w:rFonts w:ascii="Times New Roman" w:hAnsi="Times New Roman" w:cs="Times New Roman"/>
          <w:sz w:val="24"/>
          <w:szCs w:val="24"/>
        </w:rPr>
        <w:footnoteReference w:id="378"/>
      </w:r>
      <w:r w:rsidR="008B36E9">
        <w:rPr>
          <w:rFonts w:ascii="Times New Roman" w:hAnsi="Times New Roman" w:cs="Times New Roman"/>
          <w:sz w:val="24"/>
          <w:szCs w:val="24"/>
        </w:rPr>
        <w:t xml:space="preserve">  </w:t>
      </w:r>
      <w:r w:rsidR="00F047EC">
        <w:rPr>
          <w:rFonts w:ascii="Times New Roman" w:hAnsi="Times New Roman" w:cs="Times New Roman"/>
          <w:sz w:val="24"/>
          <w:szCs w:val="24"/>
        </w:rPr>
        <w:t xml:space="preserve">It is </w:t>
      </w:r>
      <w:r w:rsidR="00385852">
        <w:rPr>
          <w:rFonts w:ascii="Times New Roman" w:hAnsi="Times New Roman" w:cs="Times New Roman"/>
          <w:sz w:val="24"/>
          <w:szCs w:val="24"/>
        </w:rPr>
        <w:t>certain</w:t>
      </w:r>
      <w:r w:rsidR="004201B3">
        <w:rPr>
          <w:rFonts w:ascii="Times New Roman" w:hAnsi="Times New Roman" w:cs="Times New Roman"/>
          <w:sz w:val="24"/>
          <w:szCs w:val="24"/>
        </w:rPr>
        <w:t>,</w:t>
      </w:r>
      <w:r w:rsidR="00F047EC">
        <w:rPr>
          <w:rFonts w:ascii="Times New Roman" w:hAnsi="Times New Roman" w:cs="Times New Roman"/>
          <w:sz w:val="24"/>
          <w:szCs w:val="24"/>
        </w:rPr>
        <w:t xml:space="preserve"> however, that the Clean Power Plan’s end goal is to reduce carbon emissions and that the carbon </w:t>
      </w:r>
      <w:r w:rsidR="00F36870">
        <w:rPr>
          <w:rFonts w:ascii="Times New Roman" w:hAnsi="Times New Roman" w:cs="Times New Roman"/>
          <w:sz w:val="24"/>
          <w:szCs w:val="24"/>
        </w:rPr>
        <w:t>emission</w:t>
      </w:r>
      <w:r w:rsidR="00F047EC">
        <w:rPr>
          <w:rFonts w:ascii="Times New Roman" w:hAnsi="Times New Roman" w:cs="Times New Roman"/>
          <w:sz w:val="24"/>
          <w:szCs w:val="24"/>
        </w:rPr>
        <w:t xml:space="preserve"> rate from coal combustion is higher than other fossil fuels.</w:t>
      </w:r>
      <w:r w:rsidR="00F047EC">
        <w:rPr>
          <w:rStyle w:val="FootnoteReference"/>
          <w:rFonts w:ascii="Times New Roman" w:hAnsi="Times New Roman" w:cs="Times New Roman"/>
          <w:sz w:val="24"/>
          <w:szCs w:val="24"/>
        </w:rPr>
        <w:footnoteReference w:id="379"/>
      </w:r>
      <w:r w:rsidR="00785D35">
        <w:rPr>
          <w:rFonts w:ascii="Times New Roman" w:hAnsi="Times New Roman" w:cs="Times New Roman"/>
          <w:sz w:val="24"/>
          <w:szCs w:val="24"/>
        </w:rPr>
        <w:t xml:space="preserve"> </w:t>
      </w:r>
      <w:r w:rsidR="00A92E52">
        <w:rPr>
          <w:rFonts w:ascii="Times New Roman" w:hAnsi="Times New Roman" w:cs="Times New Roman"/>
          <w:sz w:val="24"/>
          <w:szCs w:val="24"/>
        </w:rPr>
        <w:t xml:space="preserve"> Thus it is als</w:t>
      </w:r>
      <w:r w:rsidR="002253DD">
        <w:rPr>
          <w:rFonts w:ascii="Times New Roman" w:hAnsi="Times New Roman" w:cs="Times New Roman"/>
          <w:sz w:val="24"/>
          <w:szCs w:val="24"/>
        </w:rPr>
        <w:t>o certain that the Clean Power Plan</w:t>
      </w:r>
      <w:r w:rsidR="00A92E52">
        <w:rPr>
          <w:rFonts w:ascii="Times New Roman" w:hAnsi="Times New Roman" w:cs="Times New Roman"/>
          <w:sz w:val="24"/>
          <w:szCs w:val="24"/>
        </w:rPr>
        <w:t xml:space="preserve"> will likely</w:t>
      </w:r>
      <w:r w:rsidR="002253DD">
        <w:rPr>
          <w:rFonts w:ascii="Times New Roman" w:hAnsi="Times New Roman" w:cs="Times New Roman"/>
          <w:sz w:val="24"/>
          <w:szCs w:val="24"/>
        </w:rPr>
        <w:t xml:space="preserve"> impact</w:t>
      </w:r>
      <w:r w:rsidR="00A92E52">
        <w:rPr>
          <w:rFonts w:ascii="Times New Roman" w:hAnsi="Times New Roman" w:cs="Times New Roman"/>
          <w:sz w:val="24"/>
          <w:szCs w:val="24"/>
        </w:rPr>
        <w:t xml:space="preserve"> coal-fired generation significantly – much more so than other generation.</w:t>
      </w:r>
    </w:p>
    <w:p w:rsidR="00FB7E30" w:rsidRDefault="001F0053" w:rsidP="005214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trend is that environmental regulations are becoming more stringent on coal-fired generation.</w:t>
      </w:r>
      <w:r>
        <w:rPr>
          <w:rStyle w:val="FootnoteReference"/>
          <w:rFonts w:ascii="Times New Roman" w:hAnsi="Times New Roman" w:cs="Times New Roman"/>
          <w:sz w:val="24"/>
          <w:szCs w:val="24"/>
        </w:rPr>
        <w:footnoteReference w:id="380"/>
      </w:r>
      <w:r>
        <w:rPr>
          <w:rFonts w:ascii="Times New Roman" w:hAnsi="Times New Roman" w:cs="Times New Roman"/>
          <w:sz w:val="24"/>
          <w:szCs w:val="24"/>
        </w:rPr>
        <w:t xml:space="preserve">  </w:t>
      </w:r>
      <w:r w:rsidR="00BF39A3">
        <w:rPr>
          <w:rFonts w:ascii="Times New Roman" w:hAnsi="Times New Roman" w:cs="Times New Roman"/>
          <w:sz w:val="24"/>
          <w:szCs w:val="24"/>
        </w:rPr>
        <w:t>New regulations are a reasonable possibility.</w:t>
      </w:r>
      <w:r w:rsidR="00BF39A3">
        <w:rPr>
          <w:rStyle w:val="FootnoteReference"/>
          <w:rFonts w:ascii="Times New Roman" w:hAnsi="Times New Roman" w:cs="Times New Roman"/>
          <w:sz w:val="24"/>
          <w:szCs w:val="24"/>
        </w:rPr>
        <w:footnoteReference w:id="381"/>
      </w:r>
      <w:r>
        <w:rPr>
          <w:rFonts w:ascii="Times New Roman" w:hAnsi="Times New Roman" w:cs="Times New Roman"/>
          <w:sz w:val="24"/>
          <w:szCs w:val="24"/>
        </w:rPr>
        <w:t xml:space="preserve">  As a result, additional capital and operating or maintenance costs are a possibility.</w:t>
      </w:r>
      <w:r>
        <w:rPr>
          <w:rStyle w:val="FootnoteReference"/>
          <w:rFonts w:ascii="Times New Roman" w:hAnsi="Times New Roman" w:cs="Times New Roman"/>
          <w:sz w:val="24"/>
          <w:szCs w:val="24"/>
        </w:rPr>
        <w:footnoteReference w:id="382"/>
      </w:r>
      <w:r w:rsidR="00F047EC">
        <w:rPr>
          <w:rFonts w:ascii="Times New Roman" w:hAnsi="Times New Roman" w:cs="Times New Roman"/>
          <w:sz w:val="24"/>
          <w:szCs w:val="24"/>
        </w:rPr>
        <w:t xml:space="preserve">  But even though the Amended Application proposes PPAs and a PPA Rider for the life of the PPA Units,</w:t>
      </w:r>
      <w:r w:rsidR="00F047EC">
        <w:rPr>
          <w:rStyle w:val="FootnoteReference"/>
          <w:rFonts w:ascii="Times New Roman" w:hAnsi="Times New Roman" w:cs="Times New Roman"/>
          <w:sz w:val="24"/>
          <w:szCs w:val="24"/>
        </w:rPr>
        <w:footnoteReference w:id="383"/>
      </w:r>
      <w:r w:rsidR="00F047EC">
        <w:rPr>
          <w:rFonts w:ascii="Times New Roman" w:hAnsi="Times New Roman" w:cs="Times New Roman"/>
          <w:sz w:val="24"/>
          <w:szCs w:val="24"/>
        </w:rPr>
        <w:t xml:space="preserve"> there is no way to foresee what the environmental regulatory regime, or </w:t>
      </w:r>
      <w:r w:rsidR="007B443B">
        <w:rPr>
          <w:rFonts w:ascii="Times New Roman" w:hAnsi="Times New Roman" w:cs="Times New Roman"/>
          <w:sz w:val="24"/>
          <w:szCs w:val="24"/>
        </w:rPr>
        <w:t xml:space="preserve">the level of </w:t>
      </w:r>
      <w:r w:rsidR="00F047EC">
        <w:rPr>
          <w:rFonts w:ascii="Times New Roman" w:hAnsi="Times New Roman" w:cs="Times New Roman"/>
          <w:sz w:val="24"/>
          <w:szCs w:val="24"/>
        </w:rPr>
        <w:t xml:space="preserve">costs </w:t>
      </w:r>
      <w:r w:rsidR="007B443B">
        <w:rPr>
          <w:rFonts w:ascii="Times New Roman" w:hAnsi="Times New Roman" w:cs="Times New Roman"/>
          <w:sz w:val="24"/>
          <w:szCs w:val="24"/>
        </w:rPr>
        <w:t xml:space="preserve">to be charged to consumes </w:t>
      </w:r>
      <w:r w:rsidR="00F047EC">
        <w:rPr>
          <w:rFonts w:ascii="Times New Roman" w:hAnsi="Times New Roman" w:cs="Times New Roman"/>
          <w:sz w:val="24"/>
          <w:szCs w:val="24"/>
        </w:rPr>
        <w:t>for complying therewith, will look like during that term.</w:t>
      </w:r>
      <w:r w:rsidR="00F047EC">
        <w:rPr>
          <w:rStyle w:val="FootnoteReference"/>
          <w:rFonts w:ascii="Times New Roman" w:hAnsi="Times New Roman" w:cs="Times New Roman"/>
          <w:sz w:val="24"/>
          <w:szCs w:val="24"/>
        </w:rPr>
        <w:footnoteReference w:id="384"/>
      </w:r>
      <w:r w:rsidR="00F047EC">
        <w:rPr>
          <w:rFonts w:ascii="Times New Roman" w:hAnsi="Times New Roman" w:cs="Times New Roman"/>
          <w:sz w:val="24"/>
          <w:szCs w:val="24"/>
        </w:rPr>
        <w:t xml:space="preserve">  So AEP Ohio has not provided any analysis of environmental compliance obligations for the life of the PPA Units.</w:t>
      </w:r>
      <w:r w:rsidR="00F047EC">
        <w:rPr>
          <w:rStyle w:val="FootnoteReference"/>
          <w:rFonts w:ascii="Times New Roman" w:hAnsi="Times New Roman" w:cs="Times New Roman"/>
          <w:sz w:val="24"/>
          <w:szCs w:val="24"/>
        </w:rPr>
        <w:footnoteReference w:id="385"/>
      </w:r>
      <w:r w:rsidR="008B36E9">
        <w:rPr>
          <w:rFonts w:ascii="Times New Roman" w:hAnsi="Times New Roman" w:cs="Times New Roman"/>
          <w:sz w:val="24"/>
          <w:szCs w:val="24"/>
        </w:rPr>
        <w:t xml:space="preserve">  And it has not provided operation and maintenance costs associated with environmental requirements beyond the year 2024, though it is unreasonable to assume that there will be zero dollars spent on operation and maintenance for environmental projects after that year.</w:t>
      </w:r>
      <w:r w:rsidR="008B36E9">
        <w:rPr>
          <w:rStyle w:val="FootnoteReference"/>
          <w:rFonts w:ascii="Times New Roman" w:hAnsi="Times New Roman" w:cs="Times New Roman"/>
          <w:sz w:val="24"/>
          <w:szCs w:val="24"/>
        </w:rPr>
        <w:footnoteReference w:id="386"/>
      </w:r>
      <w:r w:rsidR="00F36870">
        <w:rPr>
          <w:rFonts w:ascii="Times New Roman" w:hAnsi="Times New Roman" w:cs="Times New Roman"/>
          <w:sz w:val="24"/>
          <w:szCs w:val="24"/>
        </w:rPr>
        <w:t xml:space="preserve">  </w:t>
      </w:r>
      <w:r w:rsidR="00873D53">
        <w:rPr>
          <w:rFonts w:ascii="Times New Roman" w:hAnsi="Times New Roman" w:cs="Times New Roman"/>
          <w:sz w:val="24"/>
          <w:szCs w:val="24"/>
        </w:rPr>
        <w:t xml:space="preserve">This is no doubt </w:t>
      </w:r>
      <w:r w:rsidR="004201B3">
        <w:rPr>
          <w:rFonts w:ascii="Times New Roman" w:hAnsi="Times New Roman" w:cs="Times New Roman"/>
          <w:sz w:val="24"/>
          <w:szCs w:val="24"/>
        </w:rPr>
        <w:t xml:space="preserve">because </w:t>
      </w:r>
      <w:r w:rsidR="00873D53">
        <w:rPr>
          <w:rFonts w:ascii="Times New Roman" w:hAnsi="Times New Roman" w:cs="Times New Roman"/>
          <w:sz w:val="24"/>
          <w:szCs w:val="24"/>
        </w:rPr>
        <w:t>e</w:t>
      </w:r>
      <w:r w:rsidR="00F36870">
        <w:rPr>
          <w:rFonts w:ascii="Times New Roman" w:hAnsi="Times New Roman" w:cs="Times New Roman"/>
          <w:sz w:val="24"/>
          <w:szCs w:val="24"/>
        </w:rPr>
        <w:t>nvironmental compliance costs after 2024 are, according to AEP Ohio, “uncertain[.]”</w:t>
      </w:r>
      <w:r w:rsidR="00F36870">
        <w:rPr>
          <w:rStyle w:val="FootnoteReference"/>
          <w:rFonts w:ascii="Times New Roman" w:hAnsi="Times New Roman" w:cs="Times New Roman"/>
          <w:sz w:val="24"/>
          <w:szCs w:val="24"/>
        </w:rPr>
        <w:footnoteReference w:id="387"/>
      </w:r>
      <w:r w:rsidR="00820174">
        <w:rPr>
          <w:rFonts w:ascii="Times New Roman" w:hAnsi="Times New Roman" w:cs="Times New Roman"/>
          <w:sz w:val="24"/>
          <w:szCs w:val="24"/>
        </w:rPr>
        <w:t xml:space="preserve">  </w:t>
      </w:r>
    </w:p>
    <w:p w:rsidR="0092318F" w:rsidRDefault="00F36870" w:rsidP="00EA5A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this time, the breadth and scope of current and pending environmental regulations are unknown.  Accordingly, compliance costs </w:t>
      </w:r>
      <w:r w:rsidR="007B443B">
        <w:rPr>
          <w:rFonts w:ascii="Times New Roman" w:hAnsi="Times New Roman" w:cs="Times New Roman"/>
          <w:sz w:val="24"/>
          <w:szCs w:val="24"/>
        </w:rPr>
        <w:t xml:space="preserve">consumers would be obligated to pay </w:t>
      </w:r>
      <w:r>
        <w:rPr>
          <w:rFonts w:ascii="Times New Roman" w:hAnsi="Times New Roman" w:cs="Times New Roman"/>
          <w:sz w:val="24"/>
          <w:szCs w:val="24"/>
        </w:rPr>
        <w:t>are unknown.  As a result, AEP Ohio’s environmental compliance plans, and the costs associated therewith, are unknown.</w:t>
      </w:r>
      <w:r w:rsidR="00907350">
        <w:rPr>
          <w:rFonts w:ascii="Times New Roman" w:hAnsi="Times New Roman" w:cs="Times New Roman"/>
          <w:sz w:val="24"/>
          <w:szCs w:val="24"/>
        </w:rPr>
        <w:t xml:space="preserve">  In light of the uncertainty surrounding environmental regulations, current and pending, and the compliance costs as</w:t>
      </w:r>
      <w:r w:rsidR="00873D53">
        <w:rPr>
          <w:rFonts w:ascii="Times New Roman" w:hAnsi="Times New Roman" w:cs="Times New Roman"/>
          <w:sz w:val="24"/>
          <w:szCs w:val="24"/>
        </w:rPr>
        <w:t>sociated therewith, it stretches</w:t>
      </w:r>
      <w:r w:rsidR="00907350">
        <w:rPr>
          <w:rFonts w:ascii="Times New Roman" w:hAnsi="Times New Roman" w:cs="Times New Roman"/>
          <w:sz w:val="24"/>
          <w:szCs w:val="24"/>
        </w:rPr>
        <w:t xml:space="preserve"> credulity to even consider “life of the plant” </w:t>
      </w:r>
      <w:r w:rsidR="00A61887">
        <w:rPr>
          <w:rFonts w:ascii="Times New Roman" w:hAnsi="Times New Roman" w:cs="Times New Roman"/>
          <w:sz w:val="24"/>
          <w:szCs w:val="24"/>
        </w:rPr>
        <w:t xml:space="preserve">contracts, or even eight year </w:t>
      </w:r>
      <w:r w:rsidR="00907350">
        <w:rPr>
          <w:rFonts w:ascii="Times New Roman" w:hAnsi="Times New Roman" w:cs="Times New Roman"/>
          <w:sz w:val="24"/>
          <w:szCs w:val="24"/>
        </w:rPr>
        <w:t>contracts</w:t>
      </w:r>
      <w:r w:rsidR="00A61887">
        <w:rPr>
          <w:rFonts w:ascii="Times New Roman" w:hAnsi="Times New Roman" w:cs="Times New Roman"/>
          <w:sz w:val="24"/>
          <w:szCs w:val="24"/>
        </w:rPr>
        <w:t xml:space="preserve"> that may be renewed,</w:t>
      </w:r>
      <w:r w:rsidR="00907350">
        <w:rPr>
          <w:rFonts w:ascii="Times New Roman" w:hAnsi="Times New Roman" w:cs="Times New Roman"/>
          <w:sz w:val="24"/>
          <w:szCs w:val="24"/>
        </w:rPr>
        <w:t xml:space="preserve"> for coal-fired generation.  AEP Ohio has failed to meet its burden of proof on the third factor from the PUCO’s ESP III Opinion and Order</w:t>
      </w:r>
      <w:r w:rsidR="00820174">
        <w:rPr>
          <w:rFonts w:ascii="Times New Roman" w:hAnsi="Times New Roman" w:cs="Times New Roman"/>
          <w:sz w:val="24"/>
          <w:szCs w:val="24"/>
        </w:rPr>
        <w:t>.</w:t>
      </w:r>
    </w:p>
    <w:p w:rsidR="00FB7E30" w:rsidRPr="00664A8D" w:rsidRDefault="005214D9" w:rsidP="00F27AA5">
      <w:pPr>
        <w:pStyle w:val="Heading3"/>
      </w:pPr>
      <w:bookmarkStart w:id="77" w:name="_Toc435428214"/>
      <w:bookmarkStart w:id="78" w:name="_Toc442104175"/>
      <w:r>
        <w:t>4.</w:t>
      </w:r>
      <w:r>
        <w:tab/>
      </w:r>
      <w:r w:rsidR="00380F28">
        <w:t xml:space="preserve">AEP Ohio has </w:t>
      </w:r>
      <w:r w:rsidR="00A126AA">
        <w:t>advanced</w:t>
      </w:r>
      <w:r w:rsidR="00CF266B">
        <w:t xml:space="preserve"> claims about the economic impact of closing the power plants (not that there is any </w:t>
      </w:r>
      <w:r w:rsidR="00A126AA">
        <w:t xml:space="preserve">conclusion that the power plants would close), without </w:t>
      </w:r>
      <w:r w:rsidR="00380F28">
        <w:t>offer</w:t>
      </w:r>
      <w:r w:rsidR="00A126AA">
        <w:t>ing</w:t>
      </w:r>
      <w:r w:rsidR="00380F28">
        <w:t xml:space="preserve"> credible evidence regarding economic i</w:t>
      </w:r>
      <w:r w:rsidR="00820174" w:rsidRPr="00DE06AF">
        <w:t>mpact</w:t>
      </w:r>
      <w:bookmarkEnd w:id="77"/>
      <w:r>
        <w:t>.</w:t>
      </w:r>
      <w:bookmarkEnd w:id="78"/>
    </w:p>
    <w:p w:rsidR="007A7CA5" w:rsidRDefault="006826F7" w:rsidP="00316B0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AEP Ohio is </w:t>
      </w:r>
      <w:r w:rsidR="00820174">
        <w:rPr>
          <w:rFonts w:ascii="Times New Roman" w:hAnsi="Times New Roman" w:cs="Times New Roman"/>
          <w:sz w:val="24"/>
          <w:szCs w:val="24"/>
        </w:rPr>
        <w:t xml:space="preserve">tasked with the burden of proof to show the impact that closing the PPA Units would have </w:t>
      </w:r>
      <w:r w:rsidR="00820174">
        <w:rPr>
          <w:rFonts w:ascii="Times New Roman" w:hAnsi="Times New Roman" w:cs="Times New Roman"/>
          <w:i/>
          <w:sz w:val="24"/>
          <w:szCs w:val="24"/>
        </w:rPr>
        <w:t xml:space="preserve">on electric prices </w:t>
      </w:r>
      <w:r w:rsidR="00820174">
        <w:rPr>
          <w:rFonts w:ascii="Times New Roman" w:hAnsi="Times New Roman" w:cs="Times New Roman"/>
          <w:sz w:val="24"/>
          <w:szCs w:val="24"/>
        </w:rPr>
        <w:t>and the resulting effect on economic development in the state</w:t>
      </w:r>
      <w:r>
        <w:rPr>
          <w:rFonts w:ascii="Times New Roman" w:hAnsi="Times New Roman" w:cs="Times New Roman"/>
          <w:sz w:val="24"/>
          <w:szCs w:val="24"/>
        </w:rPr>
        <w:t xml:space="preserve">. </w:t>
      </w:r>
      <w:r w:rsidR="00820174">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820174">
        <w:rPr>
          <w:rFonts w:ascii="Times New Roman" w:hAnsi="Times New Roman" w:cs="Times New Roman"/>
          <w:sz w:val="24"/>
          <w:szCs w:val="24"/>
        </w:rPr>
        <w:t xml:space="preserve">AEP Ohio has chosen to </w:t>
      </w:r>
      <w:r w:rsidR="0085292A">
        <w:rPr>
          <w:rFonts w:ascii="Times New Roman" w:hAnsi="Times New Roman" w:cs="Times New Roman"/>
          <w:sz w:val="24"/>
          <w:szCs w:val="24"/>
        </w:rPr>
        <w:t>focus primarily on</w:t>
      </w:r>
      <w:r w:rsidR="00820174">
        <w:rPr>
          <w:rFonts w:ascii="Times New Roman" w:hAnsi="Times New Roman" w:cs="Times New Roman"/>
          <w:sz w:val="24"/>
          <w:szCs w:val="24"/>
        </w:rPr>
        <w:t xml:space="preserve"> the economic impact of closing the PPA Units.</w:t>
      </w:r>
      <w:r w:rsidR="0085292A">
        <w:rPr>
          <w:rStyle w:val="FootnoteReference"/>
          <w:rFonts w:ascii="Times New Roman" w:hAnsi="Times New Roman" w:cs="Times New Roman"/>
          <w:sz w:val="24"/>
          <w:szCs w:val="24"/>
        </w:rPr>
        <w:footnoteReference w:id="388"/>
      </w:r>
      <w:r w:rsidR="007A7CA5">
        <w:rPr>
          <w:rFonts w:ascii="Times New Roman" w:hAnsi="Times New Roman" w:cs="Times New Roman"/>
          <w:sz w:val="24"/>
          <w:szCs w:val="24"/>
        </w:rPr>
        <w:t xml:space="preserve">  To do so, AEP Ohio Witness Allen attached to his testimony an alleged economic analysis performed by someone else utilizing economic base theory.</w:t>
      </w:r>
      <w:r w:rsidR="007A7CA5">
        <w:rPr>
          <w:rStyle w:val="FootnoteReference"/>
          <w:rFonts w:ascii="Times New Roman" w:hAnsi="Times New Roman" w:cs="Times New Roman"/>
          <w:sz w:val="24"/>
          <w:szCs w:val="24"/>
        </w:rPr>
        <w:footnoteReference w:id="389"/>
      </w:r>
      <w:r w:rsidR="007A7CA5">
        <w:rPr>
          <w:rFonts w:ascii="Times New Roman" w:hAnsi="Times New Roman" w:cs="Times New Roman"/>
          <w:sz w:val="24"/>
          <w:szCs w:val="24"/>
        </w:rPr>
        <w:t xml:space="preserve">  According to the documents attached to AEP Ohio Witness Allen’s Direct Testimony:</w:t>
      </w:r>
    </w:p>
    <w:p w:rsidR="00820174" w:rsidRDefault="007A7CA5" w:rsidP="00316B0F">
      <w:pPr>
        <w:spacing w:after="0" w:line="240" w:lineRule="auto"/>
        <w:ind w:left="1440" w:right="720"/>
        <w:rPr>
          <w:rFonts w:ascii="Times New Roman" w:hAnsi="Times New Roman" w:cs="Times New Roman"/>
          <w:sz w:val="24"/>
          <w:szCs w:val="24"/>
        </w:rPr>
      </w:pPr>
      <w:r>
        <w:rPr>
          <w:rFonts w:ascii="Times New Roman" w:hAnsi="Times New Roman" w:cs="Times New Roman"/>
          <w:sz w:val="24"/>
          <w:szCs w:val="24"/>
        </w:rPr>
        <w:t>Economic base theory was used to develop impact multipliers in this study.  This theory divides the local economy into two sectors.  The basic sector drives growth in the local economy and is dependent upon external factors and exports goods and services from the region.  The non-basic sector is driven by local business activity and primarily serves customers in the region.  Location quotients are one method to determine basic and non-basic sectors.  The location quotient measures the relative intensity of a sector in a region or a state versus the nation. . . .  The direct impact of the converted plant is measured as the employment our output of the facility.  The total impact is the direct impact multiplied by the economic base multiplier.</w:t>
      </w:r>
      <w:r>
        <w:rPr>
          <w:rStyle w:val="FootnoteReference"/>
          <w:rFonts w:ascii="Times New Roman" w:hAnsi="Times New Roman" w:cs="Times New Roman"/>
          <w:sz w:val="24"/>
          <w:szCs w:val="24"/>
        </w:rPr>
        <w:footnoteReference w:id="390"/>
      </w:r>
      <w:r>
        <w:rPr>
          <w:rFonts w:ascii="Times New Roman" w:hAnsi="Times New Roman" w:cs="Times New Roman"/>
          <w:sz w:val="24"/>
          <w:szCs w:val="24"/>
        </w:rPr>
        <w:t xml:space="preserve"> </w:t>
      </w:r>
      <w:r w:rsidR="0085292A">
        <w:rPr>
          <w:rFonts w:ascii="Times New Roman" w:hAnsi="Times New Roman" w:cs="Times New Roman"/>
          <w:sz w:val="24"/>
          <w:szCs w:val="24"/>
        </w:rPr>
        <w:t xml:space="preserve">  </w:t>
      </w:r>
      <w:r w:rsidR="00820174">
        <w:rPr>
          <w:rFonts w:ascii="Times New Roman" w:hAnsi="Times New Roman" w:cs="Times New Roman"/>
          <w:sz w:val="24"/>
          <w:szCs w:val="24"/>
        </w:rPr>
        <w:t xml:space="preserve">  </w:t>
      </w:r>
    </w:p>
    <w:p w:rsidR="0066217D" w:rsidRDefault="0066217D" w:rsidP="00A57413">
      <w:pPr>
        <w:spacing w:after="0" w:line="240" w:lineRule="auto"/>
        <w:ind w:right="720"/>
        <w:rPr>
          <w:rFonts w:ascii="Times New Roman" w:hAnsi="Times New Roman" w:cs="Times New Roman"/>
          <w:sz w:val="24"/>
          <w:szCs w:val="24"/>
        </w:rPr>
      </w:pPr>
    </w:p>
    <w:p w:rsidR="0066217D" w:rsidRDefault="0066217D" w:rsidP="00EA5AEB">
      <w:pPr>
        <w:spacing w:after="0" w:line="480" w:lineRule="auto"/>
        <w:rPr>
          <w:rFonts w:ascii="Times New Roman" w:hAnsi="Times New Roman" w:cs="Times New Roman"/>
          <w:sz w:val="24"/>
          <w:szCs w:val="24"/>
        </w:rPr>
      </w:pPr>
      <w:r>
        <w:rPr>
          <w:rFonts w:ascii="Times New Roman" w:hAnsi="Times New Roman" w:cs="Times New Roman"/>
          <w:sz w:val="24"/>
          <w:szCs w:val="24"/>
        </w:rPr>
        <w:t>The purported economic impacts of closing the PPA Units were measured in certain defined regions</w:t>
      </w:r>
      <w:r>
        <w:rPr>
          <w:rStyle w:val="FootnoteReference"/>
          <w:rFonts w:ascii="Times New Roman" w:hAnsi="Times New Roman" w:cs="Times New Roman"/>
          <w:sz w:val="24"/>
          <w:szCs w:val="24"/>
        </w:rPr>
        <w:footnoteReference w:id="391"/>
      </w:r>
      <w:r>
        <w:rPr>
          <w:rFonts w:ascii="Times New Roman" w:hAnsi="Times New Roman" w:cs="Times New Roman"/>
          <w:sz w:val="24"/>
          <w:szCs w:val="24"/>
        </w:rPr>
        <w:t xml:space="preserve"> and the state.</w:t>
      </w:r>
      <w:r>
        <w:rPr>
          <w:rStyle w:val="FootnoteReference"/>
          <w:rFonts w:ascii="Times New Roman" w:hAnsi="Times New Roman" w:cs="Times New Roman"/>
          <w:sz w:val="24"/>
          <w:szCs w:val="24"/>
        </w:rPr>
        <w:footnoteReference w:id="392"/>
      </w:r>
    </w:p>
    <w:p w:rsidR="004201B3" w:rsidRPr="004201B3" w:rsidRDefault="005214D9" w:rsidP="00C401CE">
      <w:pPr>
        <w:pStyle w:val="Heading4"/>
      </w:pPr>
      <w:bookmarkStart w:id="79" w:name="_Toc442104176"/>
      <w:r>
        <w:t>a.</w:t>
      </w:r>
      <w:r>
        <w:tab/>
      </w:r>
      <w:r w:rsidR="004201B3" w:rsidRPr="004201B3">
        <w:t>AEP Ohio Witness Allen is not qualified</w:t>
      </w:r>
      <w:r w:rsidR="007B443B">
        <w:t xml:space="preserve"> to render an opinion on AEP’s economic analysis</w:t>
      </w:r>
      <w:r>
        <w:t>.</w:t>
      </w:r>
      <w:bookmarkEnd w:id="79"/>
    </w:p>
    <w:p w:rsidR="00A05CD8" w:rsidRDefault="0066217D" w:rsidP="00EA5AE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B6294">
        <w:rPr>
          <w:rFonts w:ascii="Times New Roman" w:hAnsi="Times New Roman" w:cs="Times New Roman"/>
          <w:sz w:val="24"/>
          <w:szCs w:val="24"/>
        </w:rPr>
        <w:t>AEP Ohio Witness Allen neither wrote the documents containing the purported economic analysis nor ran the model resulting in the information therein.</w:t>
      </w:r>
      <w:r w:rsidR="004B6294">
        <w:rPr>
          <w:rStyle w:val="FootnoteReference"/>
          <w:rFonts w:ascii="Times New Roman" w:hAnsi="Times New Roman" w:cs="Times New Roman"/>
          <w:sz w:val="24"/>
          <w:szCs w:val="24"/>
        </w:rPr>
        <w:footnoteReference w:id="393"/>
      </w:r>
      <w:r w:rsidR="004B6294">
        <w:rPr>
          <w:rFonts w:ascii="Times New Roman" w:hAnsi="Times New Roman" w:cs="Times New Roman"/>
          <w:sz w:val="24"/>
          <w:szCs w:val="24"/>
        </w:rPr>
        <w:t xml:space="preserve">  </w:t>
      </w:r>
      <w:r w:rsidR="00A05CD8">
        <w:rPr>
          <w:rFonts w:ascii="Times New Roman" w:hAnsi="Times New Roman" w:cs="Times New Roman"/>
          <w:sz w:val="24"/>
          <w:szCs w:val="24"/>
        </w:rPr>
        <w:t>He has not studied specific economic impact methodologies.</w:t>
      </w:r>
      <w:r w:rsidR="00A05CD8">
        <w:rPr>
          <w:rStyle w:val="FootnoteReference"/>
          <w:rFonts w:ascii="Times New Roman" w:hAnsi="Times New Roman" w:cs="Times New Roman"/>
          <w:sz w:val="24"/>
          <w:szCs w:val="24"/>
        </w:rPr>
        <w:footnoteReference w:id="394"/>
      </w:r>
      <w:r w:rsidR="00A05CD8">
        <w:rPr>
          <w:rFonts w:ascii="Times New Roman" w:hAnsi="Times New Roman" w:cs="Times New Roman"/>
          <w:sz w:val="24"/>
          <w:szCs w:val="24"/>
        </w:rPr>
        <w:t xml:space="preserve">  He has never taught a course on economic development or economic development models.</w:t>
      </w:r>
      <w:r w:rsidR="00A05CD8">
        <w:rPr>
          <w:rStyle w:val="FootnoteReference"/>
          <w:rFonts w:ascii="Times New Roman" w:hAnsi="Times New Roman" w:cs="Times New Roman"/>
          <w:sz w:val="24"/>
          <w:szCs w:val="24"/>
        </w:rPr>
        <w:footnoteReference w:id="395"/>
      </w:r>
      <w:r w:rsidR="00A05CD8">
        <w:rPr>
          <w:rFonts w:ascii="Times New Roman" w:hAnsi="Times New Roman" w:cs="Times New Roman"/>
          <w:sz w:val="24"/>
          <w:szCs w:val="24"/>
        </w:rPr>
        <w:t xml:space="preserve">  </w:t>
      </w:r>
      <w:r w:rsidR="00725458">
        <w:rPr>
          <w:rFonts w:ascii="Times New Roman" w:hAnsi="Times New Roman" w:cs="Times New Roman"/>
          <w:sz w:val="24"/>
          <w:szCs w:val="24"/>
        </w:rPr>
        <w:t>He has not published any books, treatises, or dissertations on economic development theory, economic development studies, or their underlying methodology and procedures.</w:t>
      </w:r>
      <w:r w:rsidR="00725458">
        <w:rPr>
          <w:rStyle w:val="FootnoteReference"/>
          <w:rFonts w:ascii="Times New Roman" w:hAnsi="Times New Roman" w:cs="Times New Roman"/>
          <w:sz w:val="24"/>
          <w:szCs w:val="24"/>
        </w:rPr>
        <w:footnoteReference w:id="396"/>
      </w:r>
      <w:r w:rsidR="00725458">
        <w:rPr>
          <w:rFonts w:ascii="Times New Roman" w:hAnsi="Times New Roman" w:cs="Times New Roman"/>
          <w:sz w:val="24"/>
          <w:szCs w:val="24"/>
        </w:rPr>
        <w:t xml:space="preserve">  </w:t>
      </w:r>
      <w:r w:rsidR="00A05CD8">
        <w:rPr>
          <w:rFonts w:ascii="Times New Roman" w:hAnsi="Times New Roman" w:cs="Times New Roman"/>
          <w:sz w:val="24"/>
          <w:szCs w:val="24"/>
        </w:rPr>
        <w:t>AEP Ohio Witness Allen admits that he is not an expert in the economic base model.</w:t>
      </w:r>
      <w:r w:rsidR="00A05CD8">
        <w:rPr>
          <w:rStyle w:val="FootnoteReference"/>
          <w:rFonts w:ascii="Times New Roman" w:hAnsi="Times New Roman" w:cs="Times New Roman"/>
          <w:sz w:val="24"/>
          <w:szCs w:val="24"/>
        </w:rPr>
        <w:footnoteReference w:id="397"/>
      </w:r>
      <w:r w:rsidR="00725458">
        <w:rPr>
          <w:rFonts w:ascii="Times New Roman" w:hAnsi="Times New Roman" w:cs="Times New Roman"/>
          <w:sz w:val="24"/>
          <w:szCs w:val="24"/>
        </w:rPr>
        <w:t xml:space="preserve">  He does not even claim to be an economist.</w:t>
      </w:r>
      <w:r w:rsidR="00725458">
        <w:rPr>
          <w:rStyle w:val="FootnoteReference"/>
          <w:rFonts w:ascii="Times New Roman" w:hAnsi="Times New Roman" w:cs="Times New Roman"/>
          <w:sz w:val="24"/>
          <w:szCs w:val="24"/>
        </w:rPr>
        <w:footnoteReference w:id="398"/>
      </w:r>
      <w:r w:rsidR="007B443B">
        <w:rPr>
          <w:rFonts w:ascii="Times New Roman" w:hAnsi="Times New Roman" w:cs="Times New Roman"/>
          <w:sz w:val="24"/>
          <w:szCs w:val="24"/>
        </w:rPr>
        <w:t xml:space="preserve"> </w:t>
      </w:r>
      <w:r w:rsidR="00EB630D">
        <w:rPr>
          <w:rFonts w:ascii="Times New Roman" w:hAnsi="Times New Roman" w:cs="Times New Roman"/>
          <w:sz w:val="24"/>
          <w:szCs w:val="24"/>
        </w:rPr>
        <w:t xml:space="preserve"> </w:t>
      </w:r>
      <w:r w:rsidR="007B443B">
        <w:rPr>
          <w:rFonts w:ascii="Times New Roman" w:hAnsi="Times New Roman" w:cs="Times New Roman"/>
          <w:sz w:val="24"/>
          <w:szCs w:val="24"/>
        </w:rPr>
        <w:t xml:space="preserve">Therefore, </w:t>
      </w:r>
      <w:r w:rsidR="009014B2">
        <w:rPr>
          <w:rFonts w:ascii="Times New Roman" w:hAnsi="Times New Roman" w:cs="Times New Roman"/>
          <w:sz w:val="24"/>
          <w:szCs w:val="24"/>
        </w:rPr>
        <w:t>AEP Ohio Witness</w:t>
      </w:r>
      <w:r w:rsidR="007B443B">
        <w:rPr>
          <w:rFonts w:ascii="Times New Roman" w:hAnsi="Times New Roman" w:cs="Times New Roman"/>
          <w:sz w:val="24"/>
          <w:szCs w:val="24"/>
        </w:rPr>
        <w:t xml:space="preserve"> Allen is unqualified as an expert to render an opinion on the economic analysis required by the PUCO.</w:t>
      </w:r>
      <w:r w:rsidR="00664A8D">
        <w:rPr>
          <w:rFonts w:ascii="Times New Roman" w:hAnsi="Times New Roman" w:cs="Times New Roman"/>
          <w:sz w:val="24"/>
          <w:szCs w:val="24"/>
        </w:rPr>
        <w:t xml:space="preserve">  </w:t>
      </w:r>
    </w:p>
    <w:p w:rsidR="004201B3" w:rsidRDefault="005214D9" w:rsidP="00C401CE">
      <w:pPr>
        <w:pStyle w:val="Heading4"/>
      </w:pPr>
      <w:bookmarkStart w:id="80" w:name="_Toc442104177"/>
      <w:r>
        <w:t>b.</w:t>
      </w:r>
      <w:r>
        <w:tab/>
      </w:r>
      <w:r w:rsidR="004201B3" w:rsidRPr="004201B3">
        <w:t xml:space="preserve">AEP Ohio Witness Allen </w:t>
      </w:r>
      <w:r w:rsidR="000A698D">
        <w:t>should have the requisite expertise and involvement to opine on economic analysis, but he doe</w:t>
      </w:r>
      <w:r w:rsidR="009427BA">
        <w:t>sn’t</w:t>
      </w:r>
      <w:r>
        <w:t>.</w:t>
      </w:r>
      <w:bookmarkEnd w:id="80"/>
    </w:p>
    <w:p w:rsidR="00634B9F" w:rsidRDefault="00634B9F" w:rsidP="00EA5A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AEP Ohio Witness</w:t>
      </w:r>
      <w:r w:rsidR="00754189">
        <w:rPr>
          <w:rFonts w:ascii="Times New Roman" w:hAnsi="Times New Roman" w:cs="Times New Roman"/>
          <w:sz w:val="24"/>
          <w:szCs w:val="24"/>
        </w:rPr>
        <w:t xml:space="preserve"> Allen</w:t>
      </w:r>
      <w:r>
        <w:rPr>
          <w:rFonts w:ascii="Times New Roman" w:hAnsi="Times New Roman" w:cs="Times New Roman"/>
          <w:sz w:val="24"/>
          <w:szCs w:val="24"/>
        </w:rPr>
        <w:t xml:space="preserve"> admits that he is not an expert in the economic base model and not an economist</w:t>
      </w:r>
      <w:r w:rsidR="006826F7">
        <w:rPr>
          <w:rFonts w:ascii="Times New Roman" w:hAnsi="Times New Roman" w:cs="Times New Roman"/>
          <w:sz w:val="24"/>
          <w:szCs w:val="24"/>
        </w:rPr>
        <w:t>.  I</w:t>
      </w:r>
      <w:r>
        <w:rPr>
          <w:rFonts w:ascii="Times New Roman" w:hAnsi="Times New Roman" w:cs="Times New Roman"/>
          <w:sz w:val="24"/>
          <w:szCs w:val="24"/>
        </w:rPr>
        <w:t xml:space="preserve">t </w:t>
      </w:r>
      <w:r w:rsidR="006826F7">
        <w:rPr>
          <w:rFonts w:ascii="Times New Roman" w:hAnsi="Times New Roman" w:cs="Times New Roman"/>
          <w:sz w:val="24"/>
          <w:szCs w:val="24"/>
        </w:rPr>
        <w:t xml:space="preserve">therefore </w:t>
      </w:r>
      <w:r>
        <w:rPr>
          <w:rFonts w:ascii="Times New Roman" w:hAnsi="Times New Roman" w:cs="Times New Roman"/>
          <w:sz w:val="24"/>
          <w:szCs w:val="24"/>
        </w:rPr>
        <w:t>is not surprising that he ha</w:t>
      </w:r>
      <w:r w:rsidR="0001699E">
        <w:rPr>
          <w:rFonts w:ascii="Times New Roman" w:hAnsi="Times New Roman" w:cs="Times New Roman"/>
          <w:sz w:val="24"/>
          <w:szCs w:val="24"/>
        </w:rPr>
        <w:t>d</w:t>
      </w:r>
      <w:r>
        <w:rPr>
          <w:rFonts w:ascii="Times New Roman" w:hAnsi="Times New Roman" w:cs="Times New Roman"/>
          <w:sz w:val="24"/>
          <w:szCs w:val="24"/>
        </w:rPr>
        <w:t xml:space="preserve"> next to no involvement in the purported economic analysis attached to his testimony and even less knowledge of it.  </w:t>
      </w:r>
      <w:r w:rsidR="0001699E">
        <w:rPr>
          <w:rFonts w:ascii="Times New Roman" w:hAnsi="Times New Roman" w:cs="Times New Roman"/>
          <w:sz w:val="24"/>
          <w:szCs w:val="24"/>
        </w:rPr>
        <w:t>On the former, h</w:t>
      </w:r>
      <w:r>
        <w:rPr>
          <w:rFonts w:ascii="Times New Roman" w:hAnsi="Times New Roman" w:cs="Times New Roman"/>
          <w:sz w:val="24"/>
          <w:szCs w:val="24"/>
        </w:rPr>
        <w:t>e did not direct what model to use for the analysis.</w:t>
      </w:r>
      <w:r>
        <w:rPr>
          <w:rStyle w:val="FootnoteReference"/>
          <w:rFonts w:ascii="Times New Roman" w:hAnsi="Times New Roman" w:cs="Times New Roman"/>
          <w:sz w:val="24"/>
          <w:szCs w:val="24"/>
        </w:rPr>
        <w:footnoteReference w:id="399"/>
      </w:r>
      <w:r>
        <w:rPr>
          <w:rFonts w:ascii="Times New Roman" w:hAnsi="Times New Roman" w:cs="Times New Roman"/>
          <w:sz w:val="24"/>
          <w:szCs w:val="24"/>
        </w:rPr>
        <w:t xml:space="preserve">  </w:t>
      </w:r>
      <w:r w:rsidR="00EB630D">
        <w:rPr>
          <w:rFonts w:ascii="Times New Roman" w:hAnsi="Times New Roman" w:cs="Times New Roman"/>
          <w:sz w:val="24"/>
          <w:szCs w:val="24"/>
        </w:rPr>
        <w:t xml:space="preserve">Although other models could have been used to test </w:t>
      </w:r>
      <w:r w:rsidR="009014B2">
        <w:rPr>
          <w:rFonts w:ascii="Times New Roman" w:hAnsi="Times New Roman" w:cs="Times New Roman"/>
          <w:sz w:val="24"/>
          <w:szCs w:val="24"/>
        </w:rPr>
        <w:t>the economic base model’</w:t>
      </w:r>
      <w:r w:rsidR="00EB630D">
        <w:rPr>
          <w:rFonts w:ascii="Times New Roman" w:hAnsi="Times New Roman" w:cs="Times New Roman"/>
          <w:sz w:val="24"/>
          <w:szCs w:val="24"/>
        </w:rPr>
        <w:t xml:space="preserve">s accuracy, AEP Ohio Witness Allen </w:t>
      </w:r>
      <w:r>
        <w:rPr>
          <w:rFonts w:ascii="Times New Roman" w:hAnsi="Times New Roman" w:cs="Times New Roman"/>
          <w:sz w:val="24"/>
          <w:szCs w:val="24"/>
        </w:rPr>
        <w:t>did not direct that models other than the economic base model be used</w:t>
      </w:r>
      <w:r w:rsidR="00EB630D">
        <w:rPr>
          <w:rFonts w:ascii="Times New Roman" w:hAnsi="Times New Roman" w:cs="Times New Roman"/>
          <w:sz w:val="24"/>
          <w:szCs w:val="24"/>
        </w:rPr>
        <w:t>.</w:t>
      </w:r>
      <w:r>
        <w:rPr>
          <w:rStyle w:val="FootnoteReference"/>
          <w:rFonts w:ascii="Times New Roman" w:hAnsi="Times New Roman" w:cs="Times New Roman"/>
          <w:sz w:val="24"/>
          <w:szCs w:val="24"/>
        </w:rPr>
        <w:footnoteReference w:id="400"/>
      </w:r>
      <w:r>
        <w:rPr>
          <w:rFonts w:ascii="Times New Roman" w:hAnsi="Times New Roman" w:cs="Times New Roman"/>
          <w:sz w:val="24"/>
          <w:szCs w:val="24"/>
        </w:rPr>
        <w:t xml:space="preserve"> </w:t>
      </w:r>
      <w:r w:rsidR="00EB630D">
        <w:rPr>
          <w:rFonts w:ascii="Times New Roman" w:hAnsi="Times New Roman" w:cs="Times New Roman"/>
          <w:sz w:val="24"/>
          <w:szCs w:val="24"/>
        </w:rPr>
        <w:t xml:space="preserve"> </w:t>
      </w:r>
      <w:r>
        <w:rPr>
          <w:rFonts w:ascii="Times New Roman" w:hAnsi="Times New Roman" w:cs="Times New Roman"/>
          <w:sz w:val="24"/>
          <w:szCs w:val="24"/>
        </w:rPr>
        <w:t>He did not direct that 100 percent of an industry be considered as basic, nor that 100 percent of an industry be considered non-basic.</w:t>
      </w:r>
      <w:r>
        <w:rPr>
          <w:rStyle w:val="FootnoteReference"/>
          <w:rFonts w:ascii="Times New Roman" w:hAnsi="Times New Roman" w:cs="Times New Roman"/>
          <w:sz w:val="24"/>
          <w:szCs w:val="24"/>
        </w:rPr>
        <w:footnoteReference w:id="401"/>
      </w:r>
      <w:r>
        <w:rPr>
          <w:rFonts w:ascii="Times New Roman" w:hAnsi="Times New Roman" w:cs="Times New Roman"/>
          <w:sz w:val="24"/>
          <w:szCs w:val="24"/>
        </w:rPr>
        <w:t xml:space="preserve">  He did not direct what counties to include in the OVEC Region,</w:t>
      </w:r>
      <w:r>
        <w:rPr>
          <w:rStyle w:val="FootnoteReference"/>
          <w:rFonts w:ascii="Times New Roman" w:hAnsi="Times New Roman" w:cs="Times New Roman"/>
          <w:sz w:val="24"/>
          <w:szCs w:val="24"/>
        </w:rPr>
        <w:footnoteReference w:id="402"/>
      </w:r>
      <w:r>
        <w:rPr>
          <w:rFonts w:ascii="Times New Roman" w:hAnsi="Times New Roman" w:cs="Times New Roman"/>
          <w:sz w:val="24"/>
          <w:szCs w:val="24"/>
        </w:rPr>
        <w:t xml:space="preserve"> the Cardinal Region,</w:t>
      </w:r>
      <w:r w:rsidR="0001699E">
        <w:rPr>
          <w:rStyle w:val="FootnoteReference"/>
          <w:rFonts w:ascii="Times New Roman" w:hAnsi="Times New Roman" w:cs="Times New Roman"/>
          <w:sz w:val="24"/>
          <w:szCs w:val="24"/>
        </w:rPr>
        <w:footnoteReference w:id="403"/>
      </w:r>
      <w:r>
        <w:rPr>
          <w:rFonts w:ascii="Times New Roman" w:hAnsi="Times New Roman" w:cs="Times New Roman"/>
          <w:sz w:val="24"/>
          <w:szCs w:val="24"/>
        </w:rPr>
        <w:t xml:space="preserve"> the Conesville Region,</w:t>
      </w:r>
      <w:r w:rsidR="0001699E">
        <w:rPr>
          <w:rStyle w:val="FootnoteReference"/>
          <w:rFonts w:ascii="Times New Roman" w:hAnsi="Times New Roman" w:cs="Times New Roman"/>
          <w:sz w:val="24"/>
          <w:szCs w:val="24"/>
        </w:rPr>
        <w:footnoteReference w:id="404"/>
      </w:r>
      <w:r w:rsidR="00754189">
        <w:rPr>
          <w:rFonts w:ascii="Times New Roman" w:hAnsi="Times New Roman" w:cs="Times New Roman"/>
          <w:sz w:val="24"/>
          <w:szCs w:val="24"/>
        </w:rPr>
        <w:t xml:space="preserve"> </w:t>
      </w:r>
      <w:r>
        <w:rPr>
          <w:rFonts w:ascii="Times New Roman" w:hAnsi="Times New Roman" w:cs="Times New Roman"/>
          <w:sz w:val="24"/>
          <w:szCs w:val="24"/>
        </w:rPr>
        <w:t>or the Stuart-Zimmer Region.</w:t>
      </w:r>
      <w:r w:rsidR="0001699E">
        <w:rPr>
          <w:rStyle w:val="FootnoteReference"/>
          <w:rFonts w:ascii="Times New Roman" w:hAnsi="Times New Roman" w:cs="Times New Roman"/>
          <w:sz w:val="24"/>
          <w:szCs w:val="24"/>
        </w:rPr>
        <w:footnoteReference w:id="405"/>
      </w:r>
      <w:r w:rsidR="0001699E">
        <w:rPr>
          <w:rFonts w:ascii="Times New Roman" w:hAnsi="Times New Roman" w:cs="Times New Roman"/>
          <w:sz w:val="24"/>
          <w:szCs w:val="24"/>
        </w:rPr>
        <w:t xml:space="preserve">  He gave no direction regarding which PPA Units shut down, when, or on any other matter related to the forecasted shutdown of the PPA Units.</w:t>
      </w:r>
      <w:r w:rsidR="0001699E">
        <w:rPr>
          <w:rStyle w:val="FootnoteReference"/>
          <w:rFonts w:ascii="Times New Roman" w:hAnsi="Times New Roman" w:cs="Times New Roman"/>
          <w:sz w:val="24"/>
          <w:szCs w:val="24"/>
        </w:rPr>
        <w:footnoteReference w:id="406"/>
      </w:r>
      <w:r w:rsidR="00664A8D">
        <w:rPr>
          <w:rFonts w:ascii="Times New Roman" w:hAnsi="Times New Roman" w:cs="Times New Roman"/>
          <w:sz w:val="24"/>
          <w:szCs w:val="24"/>
        </w:rPr>
        <w:t xml:space="preserve">  </w:t>
      </w:r>
    </w:p>
    <w:p w:rsidR="00A60C9B" w:rsidRDefault="0001699E" w:rsidP="00EA5A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the latter, </w:t>
      </w:r>
      <w:r w:rsidR="004442BC">
        <w:rPr>
          <w:rFonts w:ascii="Times New Roman" w:hAnsi="Times New Roman" w:cs="Times New Roman"/>
          <w:sz w:val="24"/>
          <w:szCs w:val="24"/>
        </w:rPr>
        <w:t xml:space="preserve">being </w:t>
      </w:r>
      <w:r>
        <w:rPr>
          <w:rFonts w:ascii="Times New Roman" w:hAnsi="Times New Roman" w:cs="Times New Roman"/>
          <w:sz w:val="24"/>
          <w:szCs w:val="24"/>
        </w:rPr>
        <w:t>AEP Ohio Witness Allen’s lack of knowledge of the purported economic analysis attached to his testimony, h</w:t>
      </w:r>
      <w:r w:rsidR="004B6294">
        <w:rPr>
          <w:rFonts w:ascii="Times New Roman" w:hAnsi="Times New Roman" w:cs="Times New Roman"/>
          <w:sz w:val="24"/>
          <w:szCs w:val="24"/>
        </w:rPr>
        <w:t xml:space="preserve">e </w:t>
      </w:r>
      <w:r w:rsidR="00A60C9B">
        <w:rPr>
          <w:rFonts w:ascii="Times New Roman" w:hAnsi="Times New Roman" w:cs="Times New Roman"/>
          <w:sz w:val="24"/>
          <w:szCs w:val="24"/>
        </w:rPr>
        <w:t>does not know what industries were used in the analysis</w:t>
      </w:r>
      <w:r w:rsidR="004442BC">
        <w:rPr>
          <w:rFonts w:ascii="Times New Roman" w:hAnsi="Times New Roman" w:cs="Times New Roman"/>
          <w:sz w:val="24"/>
          <w:szCs w:val="24"/>
        </w:rPr>
        <w:t>.  He does not know</w:t>
      </w:r>
      <w:r w:rsidR="00A60C9B">
        <w:rPr>
          <w:rFonts w:ascii="Times New Roman" w:hAnsi="Times New Roman" w:cs="Times New Roman"/>
          <w:sz w:val="24"/>
          <w:szCs w:val="24"/>
        </w:rPr>
        <w:t xml:space="preserve"> how specific/non-specific the industries were classified, or how much of an industry considered in the analysis was assigned to the basic sector.</w:t>
      </w:r>
      <w:r w:rsidR="00A60C9B">
        <w:rPr>
          <w:rStyle w:val="FootnoteReference"/>
          <w:rFonts w:ascii="Times New Roman" w:hAnsi="Times New Roman" w:cs="Times New Roman"/>
          <w:sz w:val="24"/>
          <w:szCs w:val="24"/>
        </w:rPr>
        <w:footnoteReference w:id="407"/>
      </w:r>
      <w:r w:rsidR="00A60C9B">
        <w:rPr>
          <w:rFonts w:ascii="Times New Roman" w:hAnsi="Times New Roman" w:cs="Times New Roman"/>
          <w:sz w:val="24"/>
          <w:szCs w:val="24"/>
        </w:rPr>
        <w:t xml:space="preserve">  </w:t>
      </w:r>
      <w:r w:rsidR="00A05CD8">
        <w:rPr>
          <w:rFonts w:ascii="Times New Roman" w:hAnsi="Times New Roman" w:cs="Times New Roman"/>
          <w:sz w:val="24"/>
          <w:szCs w:val="24"/>
        </w:rPr>
        <w:t>He does not know what industries were included in either the basic or non-basic sector.</w:t>
      </w:r>
      <w:r w:rsidR="00A05CD8">
        <w:rPr>
          <w:rStyle w:val="FootnoteReference"/>
          <w:rFonts w:ascii="Times New Roman" w:hAnsi="Times New Roman" w:cs="Times New Roman"/>
          <w:sz w:val="24"/>
          <w:szCs w:val="24"/>
        </w:rPr>
        <w:footnoteReference w:id="408"/>
      </w:r>
      <w:r w:rsidR="00A05CD8">
        <w:rPr>
          <w:rFonts w:ascii="Times New Roman" w:hAnsi="Times New Roman" w:cs="Times New Roman"/>
          <w:sz w:val="24"/>
          <w:szCs w:val="24"/>
        </w:rPr>
        <w:t xml:space="preserve">  </w:t>
      </w:r>
      <w:r w:rsidR="00725458">
        <w:rPr>
          <w:rFonts w:ascii="Times New Roman" w:hAnsi="Times New Roman" w:cs="Times New Roman"/>
          <w:sz w:val="24"/>
          <w:szCs w:val="24"/>
        </w:rPr>
        <w:t>Nor does he know that economic base theory focuses on the demand side of the economy and ignores the supply side.</w:t>
      </w:r>
      <w:r w:rsidR="00725458">
        <w:rPr>
          <w:rStyle w:val="FootnoteReference"/>
          <w:rFonts w:ascii="Times New Roman" w:hAnsi="Times New Roman" w:cs="Times New Roman"/>
          <w:sz w:val="24"/>
          <w:szCs w:val="24"/>
        </w:rPr>
        <w:footnoteReference w:id="409"/>
      </w:r>
      <w:r w:rsidR="00725458">
        <w:rPr>
          <w:rFonts w:ascii="Times New Roman" w:hAnsi="Times New Roman" w:cs="Times New Roman"/>
          <w:sz w:val="24"/>
          <w:szCs w:val="24"/>
        </w:rPr>
        <w:t xml:space="preserve">  </w:t>
      </w:r>
      <w:r w:rsidR="00A60C9B">
        <w:rPr>
          <w:rFonts w:ascii="Times New Roman" w:hAnsi="Times New Roman" w:cs="Times New Roman"/>
          <w:sz w:val="24"/>
          <w:szCs w:val="24"/>
        </w:rPr>
        <w:t>AEP Ohio Witness Allen does not know if the basic sector is equivalent to the export sector or if the non-basic sector is equal to the service sector.</w:t>
      </w:r>
      <w:r w:rsidR="00A60C9B">
        <w:rPr>
          <w:rStyle w:val="FootnoteReference"/>
          <w:rFonts w:ascii="Times New Roman" w:hAnsi="Times New Roman" w:cs="Times New Roman"/>
          <w:sz w:val="24"/>
          <w:szCs w:val="24"/>
        </w:rPr>
        <w:footnoteReference w:id="410"/>
      </w:r>
      <w:r w:rsidR="00A05CD8">
        <w:rPr>
          <w:rFonts w:ascii="Times New Roman" w:hAnsi="Times New Roman" w:cs="Times New Roman"/>
          <w:sz w:val="24"/>
          <w:szCs w:val="24"/>
        </w:rPr>
        <w:t xml:space="preserve">  He knows neither which location quotients were utilized in the model employed by someone else to c</w:t>
      </w:r>
      <w:r w:rsidR="00754189">
        <w:rPr>
          <w:rFonts w:ascii="Times New Roman" w:hAnsi="Times New Roman" w:cs="Times New Roman"/>
          <w:sz w:val="24"/>
          <w:szCs w:val="24"/>
        </w:rPr>
        <w:t xml:space="preserve">reate the </w:t>
      </w:r>
      <w:r w:rsidR="00380F28">
        <w:rPr>
          <w:rFonts w:ascii="Times New Roman" w:hAnsi="Times New Roman" w:cs="Times New Roman"/>
          <w:sz w:val="24"/>
          <w:szCs w:val="24"/>
        </w:rPr>
        <w:t xml:space="preserve">documents attached to </w:t>
      </w:r>
      <w:r w:rsidR="00A05CD8">
        <w:rPr>
          <w:rFonts w:ascii="Times New Roman" w:hAnsi="Times New Roman" w:cs="Times New Roman"/>
          <w:sz w:val="24"/>
          <w:szCs w:val="24"/>
        </w:rPr>
        <w:t>his Direct Testimony nor any other specific elements included in the model.</w:t>
      </w:r>
      <w:r w:rsidR="00A05CD8">
        <w:rPr>
          <w:rStyle w:val="FootnoteReference"/>
          <w:rFonts w:ascii="Times New Roman" w:hAnsi="Times New Roman" w:cs="Times New Roman"/>
          <w:sz w:val="24"/>
          <w:szCs w:val="24"/>
        </w:rPr>
        <w:footnoteReference w:id="411"/>
      </w:r>
      <w:r w:rsidR="00D441DB">
        <w:rPr>
          <w:rFonts w:ascii="Times New Roman" w:hAnsi="Times New Roman" w:cs="Times New Roman"/>
          <w:sz w:val="24"/>
          <w:szCs w:val="24"/>
        </w:rPr>
        <w:t xml:space="preserve"> This further amplifies the fact that </w:t>
      </w:r>
      <w:r w:rsidR="00EB630D">
        <w:rPr>
          <w:rFonts w:ascii="Times New Roman" w:hAnsi="Times New Roman" w:cs="Times New Roman"/>
          <w:sz w:val="24"/>
          <w:szCs w:val="24"/>
        </w:rPr>
        <w:t>AEP Ohio Witness</w:t>
      </w:r>
      <w:r w:rsidR="00D441DB">
        <w:rPr>
          <w:rFonts w:ascii="Times New Roman" w:hAnsi="Times New Roman" w:cs="Times New Roman"/>
          <w:sz w:val="24"/>
          <w:szCs w:val="24"/>
        </w:rPr>
        <w:t xml:space="preserve"> Allen lacks the requisite expertise to render an opinion on the economic analysis attached to his testimony.</w:t>
      </w:r>
      <w:r w:rsidR="00C87C35">
        <w:rPr>
          <w:rFonts w:ascii="Times New Roman" w:hAnsi="Times New Roman" w:cs="Times New Roman"/>
          <w:sz w:val="24"/>
          <w:szCs w:val="24"/>
        </w:rPr>
        <w:t xml:space="preserve">  No weight should be given to his testimony.</w:t>
      </w:r>
      <w:r w:rsidR="00D441DB">
        <w:rPr>
          <w:rFonts w:ascii="Times New Roman" w:hAnsi="Times New Roman" w:cs="Times New Roman"/>
          <w:sz w:val="24"/>
          <w:szCs w:val="24"/>
        </w:rPr>
        <w:t xml:space="preserve"> </w:t>
      </w:r>
    </w:p>
    <w:p w:rsidR="004201B3" w:rsidRPr="004201B3" w:rsidRDefault="005214D9" w:rsidP="00C401CE">
      <w:pPr>
        <w:pStyle w:val="Heading4"/>
      </w:pPr>
      <w:bookmarkStart w:id="81" w:name="_Toc442104178"/>
      <w:r>
        <w:t>c.</w:t>
      </w:r>
      <w:r>
        <w:tab/>
      </w:r>
      <w:r w:rsidR="004201B3" w:rsidRPr="004201B3">
        <w:t>AEP Ohio Witness Allen did not focus on electricity prices</w:t>
      </w:r>
      <w:r>
        <w:t>.</w:t>
      </w:r>
      <w:r w:rsidR="009440F4">
        <w:t xml:space="preserve">  The Ohio General Assembly focused on electricity prices.</w:t>
      </w:r>
      <w:bookmarkEnd w:id="81"/>
    </w:p>
    <w:p w:rsidR="00A60C9B" w:rsidRDefault="00A60C9B" w:rsidP="00EA5AE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440F4">
        <w:rPr>
          <w:rFonts w:ascii="Times New Roman" w:hAnsi="Times New Roman" w:cs="Times New Roman"/>
          <w:sz w:val="24"/>
          <w:szCs w:val="24"/>
        </w:rPr>
        <w:t>The Ohio General Assembly’s policy for Ohio requires “reasonably priced” electric service</w:t>
      </w:r>
      <w:r w:rsidR="00C74BB8">
        <w:rPr>
          <w:rFonts w:ascii="Times New Roman" w:hAnsi="Times New Roman" w:cs="Times New Roman"/>
          <w:sz w:val="24"/>
          <w:szCs w:val="24"/>
        </w:rPr>
        <w:t>, per R.C. 4928.02(A)</w:t>
      </w:r>
      <w:r w:rsidR="009440F4">
        <w:rPr>
          <w:rFonts w:ascii="Times New Roman" w:hAnsi="Times New Roman" w:cs="Times New Roman"/>
          <w:sz w:val="24"/>
          <w:szCs w:val="24"/>
        </w:rPr>
        <w:t xml:space="preserve">.  </w:t>
      </w:r>
      <w:r>
        <w:rPr>
          <w:rFonts w:ascii="Times New Roman" w:hAnsi="Times New Roman" w:cs="Times New Roman"/>
          <w:sz w:val="24"/>
          <w:szCs w:val="24"/>
        </w:rPr>
        <w:t>Rather than look at the impact on electric prices and the resultant impact on Ohio’s economy, as direct</w:t>
      </w:r>
      <w:r w:rsidR="00F4645E">
        <w:rPr>
          <w:rFonts w:ascii="Times New Roman" w:hAnsi="Times New Roman" w:cs="Times New Roman"/>
          <w:sz w:val="24"/>
          <w:szCs w:val="24"/>
        </w:rPr>
        <w:t>ed</w:t>
      </w:r>
      <w:r>
        <w:rPr>
          <w:rFonts w:ascii="Times New Roman" w:hAnsi="Times New Roman" w:cs="Times New Roman"/>
          <w:sz w:val="24"/>
          <w:szCs w:val="24"/>
        </w:rPr>
        <w:t xml:space="preserve"> by the PUCO in its ESP III Opinion and Order, the documents created by someone else attached to AEP Ohio Witness Allen’s testimony looked at the impacts of the plants not existing</w:t>
      </w:r>
      <w:r w:rsidR="0051561D">
        <w:rPr>
          <w:rFonts w:ascii="Times New Roman" w:hAnsi="Times New Roman" w:cs="Times New Roman"/>
          <w:sz w:val="24"/>
          <w:szCs w:val="24"/>
        </w:rPr>
        <w:t xml:space="preserve"> – not the effect of the PPA Rider on electricity prices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12"/>
      </w:r>
      <w:r>
        <w:rPr>
          <w:rFonts w:ascii="Times New Roman" w:hAnsi="Times New Roman" w:cs="Times New Roman"/>
          <w:sz w:val="24"/>
          <w:szCs w:val="24"/>
        </w:rPr>
        <w:t xml:space="preserve">  </w:t>
      </w:r>
      <w:r w:rsidR="004C4C2C">
        <w:rPr>
          <w:rFonts w:ascii="Times New Roman" w:hAnsi="Times New Roman" w:cs="Times New Roman"/>
          <w:sz w:val="24"/>
          <w:szCs w:val="24"/>
        </w:rPr>
        <w:t>This fundamental flaw is highlighted by the acknowledgement of AEP Ohio’s President that an increase in electric prices would have a negative impact on energy-intensive customers’ productivity.</w:t>
      </w:r>
      <w:r w:rsidR="00D35B04">
        <w:rPr>
          <w:rStyle w:val="FootnoteReference"/>
          <w:rFonts w:ascii="Times New Roman" w:hAnsi="Times New Roman" w:cs="Times New Roman"/>
          <w:sz w:val="24"/>
          <w:szCs w:val="24"/>
        </w:rPr>
        <w:footnoteReference w:id="413"/>
      </w:r>
      <w:r w:rsidR="004C4C2C">
        <w:rPr>
          <w:rFonts w:ascii="Times New Roman" w:hAnsi="Times New Roman" w:cs="Times New Roman"/>
          <w:sz w:val="24"/>
          <w:szCs w:val="24"/>
        </w:rPr>
        <w:t xml:space="preserve">  </w:t>
      </w:r>
      <w:r w:rsidR="00B35F74">
        <w:rPr>
          <w:rFonts w:ascii="Times New Roman" w:hAnsi="Times New Roman" w:cs="Times New Roman"/>
          <w:sz w:val="24"/>
          <w:szCs w:val="24"/>
        </w:rPr>
        <w:t>Additionally, the “analysis” is</w:t>
      </w:r>
      <w:r>
        <w:rPr>
          <w:rFonts w:ascii="Times New Roman" w:hAnsi="Times New Roman" w:cs="Times New Roman"/>
          <w:sz w:val="24"/>
          <w:szCs w:val="24"/>
        </w:rPr>
        <w:t xml:space="preserve"> based on the completely unrealistic assumption that </w:t>
      </w:r>
      <w:r>
        <w:rPr>
          <w:rFonts w:ascii="Times New Roman" w:hAnsi="Times New Roman" w:cs="Times New Roman"/>
          <w:i/>
          <w:sz w:val="24"/>
          <w:szCs w:val="24"/>
        </w:rPr>
        <w:t xml:space="preserve">all </w:t>
      </w:r>
      <w:r>
        <w:rPr>
          <w:rFonts w:ascii="Times New Roman" w:hAnsi="Times New Roman" w:cs="Times New Roman"/>
          <w:sz w:val="24"/>
          <w:szCs w:val="24"/>
        </w:rPr>
        <w:t xml:space="preserve">of the PPA Units close </w:t>
      </w:r>
      <w:r>
        <w:rPr>
          <w:rFonts w:ascii="Times New Roman" w:hAnsi="Times New Roman" w:cs="Times New Roman"/>
          <w:i/>
          <w:sz w:val="24"/>
          <w:szCs w:val="24"/>
        </w:rPr>
        <w:t>all at the same time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14"/>
      </w:r>
      <w:r>
        <w:rPr>
          <w:rFonts w:ascii="Times New Roman" w:hAnsi="Times New Roman" w:cs="Times New Roman"/>
          <w:sz w:val="24"/>
          <w:szCs w:val="24"/>
        </w:rPr>
        <w:t xml:space="preserve">  </w:t>
      </w:r>
      <w:r w:rsidR="0051561D">
        <w:rPr>
          <w:rFonts w:ascii="Times New Roman" w:hAnsi="Times New Roman" w:cs="Times New Roman"/>
          <w:sz w:val="24"/>
          <w:szCs w:val="24"/>
        </w:rPr>
        <w:t>It ignored reality, too, by no</w:t>
      </w:r>
      <w:r w:rsidR="00725458">
        <w:rPr>
          <w:rFonts w:ascii="Times New Roman" w:hAnsi="Times New Roman" w:cs="Times New Roman"/>
          <w:sz w:val="24"/>
          <w:szCs w:val="24"/>
        </w:rPr>
        <w:t>t accounting for new generation</w:t>
      </w:r>
      <w:r w:rsidR="0051561D">
        <w:rPr>
          <w:rStyle w:val="FootnoteReference"/>
          <w:rFonts w:ascii="Times New Roman" w:hAnsi="Times New Roman" w:cs="Times New Roman"/>
          <w:sz w:val="24"/>
          <w:szCs w:val="24"/>
        </w:rPr>
        <w:footnoteReference w:id="415"/>
      </w:r>
      <w:r w:rsidR="00725458">
        <w:rPr>
          <w:rFonts w:ascii="Times New Roman" w:hAnsi="Times New Roman" w:cs="Times New Roman"/>
          <w:sz w:val="24"/>
          <w:szCs w:val="24"/>
        </w:rPr>
        <w:t xml:space="preserve"> and assuming that the PPA Units’ employees could find no other jobs in the region.</w:t>
      </w:r>
      <w:r w:rsidR="00725458">
        <w:rPr>
          <w:rStyle w:val="FootnoteReference"/>
          <w:rFonts w:ascii="Times New Roman" w:hAnsi="Times New Roman" w:cs="Times New Roman"/>
          <w:sz w:val="24"/>
          <w:szCs w:val="24"/>
        </w:rPr>
        <w:footnoteReference w:id="416"/>
      </w:r>
      <w:r w:rsidR="004201B3">
        <w:rPr>
          <w:rFonts w:ascii="Times New Roman" w:hAnsi="Times New Roman" w:cs="Times New Roman"/>
          <w:sz w:val="24"/>
          <w:szCs w:val="24"/>
        </w:rPr>
        <w:t xml:space="preserve"> </w:t>
      </w:r>
    </w:p>
    <w:p w:rsidR="004201B3" w:rsidRDefault="00B35F74" w:rsidP="00316B0F">
      <w:pPr>
        <w:pStyle w:val="HTMLPreformatted"/>
        <w:tabs>
          <w:tab w:val="clear" w:pos="916"/>
          <w:tab w:val="clear" w:pos="1832"/>
          <w:tab w:val="clear" w:pos="2748"/>
          <w:tab w:val="clear" w:pos="3664"/>
          <w:tab w:val="clear" w:pos="4580"/>
          <w:tab w:val="clear" w:pos="5496"/>
          <w:tab w:val="clear" w:pos="6412"/>
          <w:tab w:val="clear" w:pos="7328"/>
          <w:tab w:val="clear" w:pos="8244"/>
          <w:tab w:val="left" w:pos="8640"/>
        </w:tabs>
        <w:spacing w:line="480" w:lineRule="auto"/>
        <w:ind w:firstLine="720"/>
        <w:rPr>
          <w:rFonts w:ascii="Times New Roman" w:hAnsi="Times New Roman" w:cs="Times New Roman"/>
          <w:sz w:val="24"/>
          <w:szCs w:val="22"/>
        </w:rPr>
      </w:pPr>
      <w:bookmarkStart w:id="82" w:name="_Toc435428215"/>
      <w:r w:rsidRPr="00EA5AEB">
        <w:rPr>
          <w:rFonts w:ascii="Times New Roman" w:hAnsi="Times New Roman" w:cs="Times New Roman"/>
          <w:sz w:val="24"/>
          <w:szCs w:val="24"/>
        </w:rPr>
        <w:t>AEP Ohio ha</w:t>
      </w:r>
      <w:r w:rsidR="004201B3">
        <w:rPr>
          <w:rFonts w:ascii="Times New Roman" w:hAnsi="Times New Roman" w:cs="Times New Roman"/>
          <w:sz w:val="24"/>
          <w:szCs w:val="24"/>
        </w:rPr>
        <w:t>s</w:t>
      </w:r>
      <w:r w:rsidRPr="00EA5AEB">
        <w:rPr>
          <w:rFonts w:ascii="Times New Roman" w:hAnsi="Times New Roman" w:cs="Times New Roman"/>
          <w:sz w:val="24"/>
          <w:szCs w:val="24"/>
        </w:rPr>
        <w:t xml:space="preserve"> offered no credible evidence on economic impact. It has n</w:t>
      </w:r>
      <w:r w:rsidR="002E6FEA" w:rsidRPr="00EA5AEB">
        <w:rPr>
          <w:rFonts w:ascii="Times New Roman" w:hAnsi="Times New Roman" w:cs="Times New Roman"/>
          <w:sz w:val="24"/>
          <w:szCs w:val="24"/>
        </w:rPr>
        <w:t xml:space="preserve">ot, </w:t>
      </w:r>
      <w:r w:rsidR="002E6FEA" w:rsidRPr="00EA5AEB">
        <w:rPr>
          <w:rFonts w:ascii="Times New Roman" w:hAnsi="Times New Roman" w:cs="Times New Roman"/>
          <w:sz w:val="24"/>
          <w:szCs w:val="22"/>
        </w:rPr>
        <w:t xml:space="preserve">based on its own admission, </w:t>
      </w:r>
      <w:r w:rsidRPr="00EA5AEB">
        <w:rPr>
          <w:rFonts w:ascii="Times New Roman" w:hAnsi="Times New Roman" w:cs="Times New Roman"/>
          <w:sz w:val="24"/>
          <w:szCs w:val="22"/>
        </w:rPr>
        <w:t>offered any evidence on what the ESP III Opinion and Order required.</w:t>
      </w:r>
      <w:r w:rsidR="004201B3">
        <w:rPr>
          <w:rFonts w:ascii="Times New Roman" w:hAnsi="Times New Roman" w:cs="Times New Roman"/>
          <w:sz w:val="24"/>
          <w:szCs w:val="22"/>
        </w:rPr>
        <w:t xml:space="preserve">  AEP Ohio has therefore failed to meet its burden of proof on the fourth factor from the PUCO’s ESP III Opinion and Order.</w:t>
      </w:r>
      <w:r w:rsidRPr="00EA5AEB">
        <w:rPr>
          <w:rFonts w:ascii="Times New Roman" w:hAnsi="Times New Roman" w:cs="Times New Roman"/>
          <w:sz w:val="24"/>
          <w:szCs w:val="22"/>
        </w:rPr>
        <w:t xml:space="preserve"> </w:t>
      </w:r>
    </w:p>
    <w:p w:rsidR="0072418C" w:rsidRDefault="0072418C">
      <w:pPr>
        <w:rPr>
          <w:rFonts w:ascii="Times New Roman Bold" w:eastAsia="WenQuanYi Micro Hei" w:hAnsi="Times New Roman Bold" w:cs="Times New Roman"/>
          <w:b/>
          <w:sz w:val="24"/>
          <w:szCs w:val="24"/>
          <w:lang w:eastAsia="zh-CN" w:bidi="hi-IN"/>
        </w:rPr>
      </w:pPr>
      <w:r>
        <w:br w:type="page"/>
      </w:r>
    </w:p>
    <w:p w:rsidR="0085292A" w:rsidRDefault="00235743" w:rsidP="00F27AA5">
      <w:pPr>
        <w:pStyle w:val="Heading3"/>
      </w:pPr>
      <w:bookmarkStart w:id="83" w:name="_Toc442104179"/>
      <w:r>
        <w:t>5.</w:t>
      </w:r>
      <w:r>
        <w:tab/>
      </w:r>
      <w:r w:rsidR="002E6FEA" w:rsidRPr="004201B3">
        <w:t>AEP Ohio</w:t>
      </w:r>
      <w:r w:rsidR="000A698D">
        <w:t xml:space="preserve">’s proposal should, but did not, </w:t>
      </w:r>
      <w:r w:rsidR="002E6FEA" w:rsidRPr="004201B3">
        <w:t xml:space="preserve">provide for rigorous PUCO oversight, full </w:t>
      </w:r>
      <w:r w:rsidR="00EA5AEB" w:rsidRPr="004201B3">
        <w:t>information</w:t>
      </w:r>
      <w:r w:rsidR="002E6FEA" w:rsidRPr="004201B3">
        <w:t xml:space="preserve"> s</w:t>
      </w:r>
      <w:r w:rsidR="004C4C2C" w:rsidRPr="004201B3">
        <w:t xml:space="preserve">haring, </w:t>
      </w:r>
      <w:r w:rsidR="00385852" w:rsidRPr="004201B3">
        <w:t>and</w:t>
      </w:r>
      <w:r w:rsidR="002E6FEA" w:rsidRPr="004201B3">
        <w:t xml:space="preserve"> allocating financial r</w:t>
      </w:r>
      <w:r w:rsidR="004C4C2C" w:rsidRPr="004201B3">
        <w:t>isk</w:t>
      </w:r>
      <w:bookmarkEnd w:id="82"/>
      <w:r w:rsidR="00634D18">
        <w:t xml:space="preserve"> as required by the PUCO</w:t>
      </w:r>
      <w:r w:rsidR="00BA3BE0">
        <w:t xml:space="preserve"> </w:t>
      </w:r>
      <w:r w:rsidR="000A698D">
        <w:t>--</w:t>
      </w:r>
      <w:r w:rsidR="00BA3BE0">
        <w:t xml:space="preserve"> </w:t>
      </w:r>
      <w:r w:rsidR="004C49CB">
        <w:t>thus opening the door to consumer harm</w:t>
      </w:r>
      <w:r>
        <w:t>.</w:t>
      </w:r>
      <w:bookmarkEnd w:id="83"/>
    </w:p>
    <w:p w:rsidR="00634D18" w:rsidRDefault="00CC107A" w:rsidP="00EF13A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w:t>
      </w:r>
      <w:r w:rsidR="00634D18">
        <w:rPr>
          <w:rFonts w:ascii="Times New Roman" w:hAnsi="Times New Roman" w:cs="Times New Roman"/>
          <w:sz w:val="24"/>
          <w:szCs w:val="24"/>
        </w:rPr>
        <w:t xml:space="preserve"> ESP </w:t>
      </w:r>
      <w:r>
        <w:rPr>
          <w:rFonts w:ascii="Times New Roman" w:hAnsi="Times New Roman" w:cs="Times New Roman"/>
          <w:sz w:val="24"/>
          <w:szCs w:val="24"/>
        </w:rPr>
        <w:t>I</w:t>
      </w:r>
      <w:r w:rsidR="00634D18">
        <w:rPr>
          <w:rFonts w:ascii="Times New Roman" w:hAnsi="Times New Roman" w:cs="Times New Roman"/>
          <w:sz w:val="24"/>
          <w:szCs w:val="24"/>
        </w:rPr>
        <w:t xml:space="preserve">II </w:t>
      </w:r>
      <w:r>
        <w:rPr>
          <w:rFonts w:ascii="Times New Roman" w:hAnsi="Times New Roman" w:cs="Times New Roman"/>
          <w:sz w:val="24"/>
          <w:szCs w:val="24"/>
        </w:rPr>
        <w:t xml:space="preserve">Opinion and </w:t>
      </w:r>
      <w:r w:rsidR="00634D18">
        <w:rPr>
          <w:rFonts w:ascii="Times New Roman" w:hAnsi="Times New Roman" w:cs="Times New Roman"/>
          <w:sz w:val="24"/>
          <w:szCs w:val="24"/>
        </w:rPr>
        <w:t xml:space="preserve">Order, the PUCO instructed </w:t>
      </w:r>
      <w:r>
        <w:rPr>
          <w:rFonts w:ascii="Times New Roman" w:hAnsi="Times New Roman" w:cs="Times New Roman"/>
          <w:sz w:val="24"/>
          <w:szCs w:val="24"/>
        </w:rPr>
        <w:t>AEP Ohio</w:t>
      </w:r>
      <w:r w:rsidR="00634D18">
        <w:rPr>
          <w:rFonts w:ascii="Times New Roman" w:hAnsi="Times New Roman" w:cs="Times New Roman"/>
          <w:sz w:val="24"/>
          <w:szCs w:val="24"/>
        </w:rPr>
        <w:t xml:space="preserve"> to include certain provisions in a future filing seeking approval for a PPA</w:t>
      </w:r>
      <w:r>
        <w:rPr>
          <w:rFonts w:ascii="Times New Roman" w:hAnsi="Times New Roman" w:cs="Times New Roman"/>
          <w:sz w:val="24"/>
          <w:szCs w:val="24"/>
        </w:rPr>
        <w:t xml:space="preserve"> Rider</w:t>
      </w:r>
      <w:r w:rsidR="00634D18">
        <w:rPr>
          <w:rFonts w:ascii="Times New Roman" w:hAnsi="Times New Roman" w:cs="Times New Roman"/>
          <w:sz w:val="24"/>
          <w:szCs w:val="24"/>
        </w:rPr>
        <w:t>.   The PUCO also directed AEP Ohio to provide in the future filing:</w:t>
      </w:r>
    </w:p>
    <w:p w:rsidR="00634D18" w:rsidRDefault="00634D18" w:rsidP="00EF13AF">
      <w:pPr>
        <w:pStyle w:val="ListParagraph"/>
        <w:numPr>
          <w:ilvl w:val="0"/>
          <w:numId w:val="2"/>
        </w:numPr>
        <w:spacing w:after="0"/>
        <w:ind w:left="2160" w:right="720" w:hanging="720"/>
        <w:rPr>
          <w:rFonts w:ascii="Times New Roman" w:hAnsi="Times New Roman" w:cs="Times New Roman"/>
          <w:sz w:val="24"/>
          <w:szCs w:val="24"/>
        </w:rPr>
      </w:pPr>
      <w:r>
        <w:rPr>
          <w:rFonts w:ascii="Times New Roman" w:hAnsi="Times New Roman" w:cs="Times New Roman"/>
          <w:sz w:val="24"/>
          <w:szCs w:val="24"/>
        </w:rPr>
        <w:t>Provision for rigorous PUCO oversight of the rider, including a proposed process for a periodic substantive review and audit;</w:t>
      </w:r>
    </w:p>
    <w:p w:rsidR="00634D18" w:rsidRDefault="00634D18" w:rsidP="00634D18">
      <w:pPr>
        <w:pStyle w:val="ListParagraph"/>
        <w:numPr>
          <w:ilvl w:val="0"/>
          <w:numId w:val="2"/>
        </w:numPr>
        <w:ind w:right="720" w:firstLine="0"/>
        <w:rPr>
          <w:rFonts w:ascii="Times New Roman" w:hAnsi="Times New Roman" w:cs="Times New Roman"/>
          <w:sz w:val="24"/>
          <w:szCs w:val="24"/>
        </w:rPr>
      </w:pPr>
      <w:r>
        <w:rPr>
          <w:rFonts w:ascii="Times New Roman" w:hAnsi="Times New Roman" w:cs="Times New Roman"/>
          <w:sz w:val="24"/>
          <w:szCs w:val="24"/>
        </w:rPr>
        <w:t xml:space="preserve">A commitment to full information sharing with the PUCO </w:t>
      </w:r>
      <w:r>
        <w:rPr>
          <w:rFonts w:ascii="Times New Roman" w:hAnsi="Times New Roman" w:cs="Times New Roman"/>
          <w:sz w:val="24"/>
          <w:szCs w:val="24"/>
        </w:rPr>
        <w:tab/>
        <w:t>and its Staff;</w:t>
      </w:r>
    </w:p>
    <w:p w:rsidR="00634D18" w:rsidRDefault="00634D18" w:rsidP="00634D18">
      <w:pPr>
        <w:pStyle w:val="ListParagraph"/>
        <w:numPr>
          <w:ilvl w:val="0"/>
          <w:numId w:val="2"/>
        </w:numPr>
        <w:ind w:right="720" w:firstLine="0"/>
        <w:rPr>
          <w:rFonts w:ascii="Times New Roman" w:hAnsi="Times New Roman" w:cs="Times New Roman"/>
          <w:sz w:val="24"/>
          <w:szCs w:val="24"/>
        </w:rPr>
      </w:pPr>
      <w:r>
        <w:rPr>
          <w:rFonts w:ascii="Times New Roman" w:hAnsi="Times New Roman" w:cs="Times New Roman"/>
          <w:sz w:val="24"/>
          <w:szCs w:val="24"/>
        </w:rPr>
        <w:t xml:space="preserve">An alternative plan to allocate the rider’s financial risk </w:t>
      </w:r>
      <w:r>
        <w:rPr>
          <w:rFonts w:ascii="Times New Roman" w:hAnsi="Times New Roman" w:cs="Times New Roman"/>
          <w:sz w:val="24"/>
          <w:szCs w:val="24"/>
        </w:rPr>
        <w:tab/>
        <w:t xml:space="preserve">between it and its ratepayers; and </w:t>
      </w:r>
    </w:p>
    <w:p w:rsidR="00634D18" w:rsidRDefault="00634D18" w:rsidP="00634D18">
      <w:pPr>
        <w:pStyle w:val="ListParagraph"/>
        <w:numPr>
          <w:ilvl w:val="0"/>
          <w:numId w:val="2"/>
        </w:numPr>
        <w:ind w:right="720" w:firstLine="0"/>
        <w:rPr>
          <w:rFonts w:ascii="Times New Roman" w:hAnsi="Times New Roman" w:cs="Times New Roman"/>
          <w:sz w:val="24"/>
          <w:szCs w:val="24"/>
        </w:rPr>
      </w:pPr>
      <w:r>
        <w:rPr>
          <w:rFonts w:ascii="Times New Roman" w:hAnsi="Times New Roman" w:cs="Times New Roman"/>
          <w:sz w:val="24"/>
          <w:szCs w:val="24"/>
        </w:rPr>
        <w:t xml:space="preserve">A severability provision that recognizes that all other </w:t>
      </w:r>
      <w:r>
        <w:rPr>
          <w:rFonts w:ascii="Times New Roman" w:hAnsi="Times New Roman" w:cs="Times New Roman"/>
          <w:sz w:val="24"/>
          <w:szCs w:val="24"/>
        </w:rPr>
        <w:tab/>
        <w:t xml:space="preserve">provisions of its ESP will continue, in the event that the </w:t>
      </w:r>
      <w:r>
        <w:rPr>
          <w:rFonts w:ascii="Times New Roman" w:hAnsi="Times New Roman" w:cs="Times New Roman"/>
          <w:sz w:val="24"/>
          <w:szCs w:val="24"/>
        </w:rPr>
        <w:tab/>
        <w:t xml:space="preserve">PPA rider is invalidated, in whole or in part at any point, by </w:t>
      </w:r>
      <w:r>
        <w:rPr>
          <w:rFonts w:ascii="Times New Roman" w:hAnsi="Times New Roman" w:cs="Times New Roman"/>
          <w:sz w:val="24"/>
          <w:szCs w:val="24"/>
        </w:rPr>
        <w:tab/>
        <w:t>a court of competent jurisdiction.</w:t>
      </w:r>
      <w:r>
        <w:rPr>
          <w:rStyle w:val="FootnoteReference"/>
          <w:rFonts w:ascii="Times New Roman" w:hAnsi="Times New Roman" w:cs="Times New Roman"/>
          <w:sz w:val="24"/>
          <w:szCs w:val="24"/>
        </w:rPr>
        <w:footnoteReference w:id="417"/>
      </w:r>
    </w:p>
    <w:p w:rsidR="00B57F5D" w:rsidRPr="00B57F5D" w:rsidRDefault="00235743" w:rsidP="00C401CE">
      <w:pPr>
        <w:pStyle w:val="Heading4"/>
      </w:pPr>
      <w:bookmarkStart w:id="84" w:name="_Toc442104180"/>
      <w:r>
        <w:t>a.</w:t>
      </w:r>
      <w:r>
        <w:tab/>
      </w:r>
      <w:r w:rsidR="00B57F5D">
        <w:t>AEP Ohio does not provide for rigorous oversight</w:t>
      </w:r>
      <w:r w:rsidR="004C49CB">
        <w:t>, thus increasing risk to consumers</w:t>
      </w:r>
      <w:r>
        <w:t>.</w:t>
      </w:r>
      <w:bookmarkEnd w:id="84"/>
    </w:p>
    <w:p w:rsidR="00C453FF" w:rsidRDefault="00C453FF" w:rsidP="00EA5A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AEP Ohio’s proposal for PUCO oversight leaves out the rigor in rigorous.</w:t>
      </w:r>
      <w:r w:rsidR="00B51AEC">
        <w:rPr>
          <w:rStyle w:val="FootnoteReference"/>
          <w:rFonts w:ascii="Times New Roman" w:hAnsi="Times New Roman" w:cs="Times New Roman"/>
          <w:sz w:val="24"/>
          <w:szCs w:val="24"/>
        </w:rPr>
        <w:footnoteReference w:id="418"/>
      </w:r>
      <w:r>
        <w:rPr>
          <w:rFonts w:ascii="Times New Roman" w:hAnsi="Times New Roman" w:cs="Times New Roman"/>
          <w:sz w:val="24"/>
          <w:szCs w:val="24"/>
        </w:rPr>
        <w:t xml:space="preserve">  It does not permit public participation and transparency, as it only permits </w:t>
      </w:r>
      <w:r w:rsidR="00C97F69">
        <w:rPr>
          <w:rFonts w:ascii="Times New Roman" w:hAnsi="Times New Roman" w:cs="Times New Roman"/>
          <w:sz w:val="24"/>
          <w:szCs w:val="24"/>
        </w:rPr>
        <w:t>a bilateral process between AEP Ohio and the PUCO.</w:t>
      </w:r>
      <w:r w:rsidR="00C97F69">
        <w:rPr>
          <w:rStyle w:val="FootnoteReference"/>
          <w:rFonts w:ascii="Times New Roman" w:hAnsi="Times New Roman" w:cs="Times New Roman"/>
          <w:sz w:val="24"/>
          <w:szCs w:val="24"/>
        </w:rPr>
        <w:footnoteReference w:id="419"/>
      </w:r>
      <w:r>
        <w:rPr>
          <w:rFonts w:ascii="Times New Roman" w:hAnsi="Times New Roman" w:cs="Times New Roman"/>
          <w:sz w:val="24"/>
          <w:szCs w:val="24"/>
        </w:rPr>
        <w:t xml:space="preserve">  </w:t>
      </w:r>
      <w:r w:rsidR="00C97F69">
        <w:rPr>
          <w:rFonts w:ascii="Times New Roman" w:hAnsi="Times New Roman" w:cs="Times New Roman"/>
          <w:sz w:val="24"/>
          <w:szCs w:val="24"/>
        </w:rPr>
        <w:t>It would not involve a hearing.</w:t>
      </w:r>
      <w:r w:rsidR="00C97F69">
        <w:rPr>
          <w:rStyle w:val="FootnoteReference"/>
          <w:rFonts w:ascii="Times New Roman" w:hAnsi="Times New Roman" w:cs="Times New Roman"/>
          <w:sz w:val="24"/>
          <w:szCs w:val="24"/>
        </w:rPr>
        <w:footnoteReference w:id="420"/>
      </w:r>
      <w:r w:rsidR="009A4464">
        <w:rPr>
          <w:rFonts w:ascii="Times New Roman" w:hAnsi="Times New Roman" w:cs="Times New Roman"/>
          <w:sz w:val="24"/>
          <w:szCs w:val="24"/>
        </w:rPr>
        <w:t xml:space="preserve">  Though AEP Ohio says that its “intent” would be to bring to the PUCO for an up-front preconstruction prudency review of a</w:t>
      </w:r>
      <w:r w:rsidR="00B35F74">
        <w:rPr>
          <w:rFonts w:ascii="Times New Roman" w:hAnsi="Times New Roman" w:cs="Times New Roman"/>
          <w:sz w:val="24"/>
          <w:szCs w:val="24"/>
        </w:rPr>
        <w:t>ny</w:t>
      </w:r>
      <w:r w:rsidR="009A4464">
        <w:rPr>
          <w:rFonts w:ascii="Times New Roman" w:hAnsi="Times New Roman" w:cs="Times New Roman"/>
          <w:sz w:val="24"/>
          <w:szCs w:val="24"/>
        </w:rPr>
        <w:t xml:space="preserve"> “significant investment,”</w:t>
      </w:r>
      <w:r w:rsidR="009A4464">
        <w:rPr>
          <w:rStyle w:val="FootnoteReference"/>
          <w:rFonts w:ascii="Times New Roman" w:hAnsi="Times New Roman" w:cs="Times New Roman"/>
          <w:sz w:val="24"/>
          <w:szCs w:val="24"/>
        </w:rPr>
        <w:footnoteReference w:id="421"/>
      </w:r>
      <w:r w:rsidR="009A4464">
        <w:rPr>
          <w:rFonts w:ascii="Times New Roman" w:hAnsi="Times New Roman" w:cs="Times New Roman"/>
          <w:sz w:val="24"/>
          <w:szCs w:val="24"/>
        </w:rPr>
        <w:t xml:space="preserve"> it fails to provide any threshold for what is a “significant investment.”</w:t>
      </w:r>
      <w:r w:rsidR="009A4464">
        <w:rPr>
          <w:rStyle w:val="FootnoteReference"/>
          <w:rFonts w:ascii="Times New Roman" w:hAnsi="Times New Roman" w:cs="Times New Roman"/>
          <w:sz w:val="24"/>
          <w:szCs w:val="24"/>
        </w:rPr>
        <w:footnoteReference w:id="422"/>
      </w:r>
      <w:r w:rsidR="009A4464">
        <w:rPr>
          <w:rFonts w:ascii="Times New Roman" w:hAnsi="Times New Roman" w:cs="Times New Roman"/>
          <w:sz w:val="24"/>
          <w:szCs w:val="24"/>
        </w:rPr>
        <w:t xml:space="preserve">  Not to worry, says AEP Ohio, if it does not fulfill its intent to seek an up-front pr</w:t>
      </w:r>
      <w:r w:rsidR="00B35F74">
        <w:rPr>
          <w:rFonts w:ascii="Times New Roman" w:hAnsi="Times New Roman" w:cs="Times New Roman"/>
          <w:sz w:val="24"/>
          <w:szCs w:val="24"/>
        </w:rPr>
        <w:t>econstruction prudency review. T</w:t>
      </w:r>
      <w:r w:rsidR="009A4464">
        <w:rPr>
          <w:rFonts w:ascii="Times New Roman" w:hAnsi="Times New Roman" w:cs="Times New Roman"/>
          <w:sz w:val="24"/>
          <w:szCs w:val="24"/>
        </w:rPr>
        <w:t>he PUCO could look at the investment after the fact, when the dollars have already been spent or are in the process of being spent.</w:t>
      </w:r>
      <w:r w:rsidR="009A4464">
        <w:rPr>
          <w:rStyle w:val="FootnoteReference"/>
          <w:rFonts w:ascii="Times New Roman" w:hAnsi="Times New Roman" w:cs="Times New Roman"/>
          <w:sz w:val="24"/>
          <w:szCs w:val="24"/>
        </w:rPr>
        <w:footnoteReference w:id="423"/>
      </w:r>
      <w:r w:rsidR="00D441DB">
        <w:rPr>
          <w:rFonts w:ascii="Times New Roman" w:hAnsi="Times New Roman" w:cs="Times New Roman"/>
          <w:sz w:val="24"/>
          <w:szCs w:val="24"/>
        </w:rPr>
        <w:t xml:space="preserve"> </w:t>
      </w:r>
      <w:r w:rsidR="00BA3BE0">
        <w:rPr>
          <w:rFonts w:ascii="Times New Roman" w:hAnsi="Times New Roman" w:cs="Times New Roman"/>
          <w:sz w:val="24"/>
          <w:szCs w:val="24"/>
        </w:rPr>
        <w:t xml:space="preserve"> </w:t>
      </w:r>
      <w:r w:rsidR="00D441DB">
        <w:rPr>
          <w:rFonts w:ascii="Times New Roman" w:hAnsi="Times New Roman" w:cs="Times New Roman"/>
          <w:sz w:val="24"/>
          <w:szCs w:val="24"/>
        </w:rPr>
        <w:t xml:space="preserve">Under AEP Ohio’s proposal, consumers have limited protection against unjust and unreasonable charges due to the lack of a rigorous review process.  </w:t>
      </w:r>
      <w:r w:rsidR="00346241">
        <w:rPr>
          <w:rFonts w:ascii="Times New Roman" w:hAnsi="Times New Roman" w:cs="Times New Roman"/>
          <w:sz w:val="24"/>
          <w:szCs w:val="24"/>
        </w:rPr>
        <w:t>Once the investment is made or the dollars are spent</w:t>
      </w:r>
      <w:r w:rsidR="002101EB">
        <w:rPr>
          <w:rFonts w:ascii="Times New Roman" w:hAnsi="Times New Roman" w:cs="Times New Roman"/>
          <w:sz w:val="24"/>
          <w:szCs w:val="24"/>
        </w:rPr>
        <w:t>,</w:t>
      </w:r>
      <w:r w:rsidR="00346241">
        <w:rPr>
          <w:rFonts w:ascii="Times New Roman" w:hAnsi="Times New Roman" w:cs="Times New Roman"/>
          <w:sz w:val="24"/>
          <w:szCs w:val="24"/>
        </w:rPr>
        <w:t xml:space="preserve"> it is an uphill battle to demonstrate imprudence without the due process protection of a hearing.  </w:t>
      </w:r>
      <w:r w:rsidR="00D441DB">
        <w:rPr>
          <w:rFonts w:ascii="Times New Roman" w:hAnsi="Times New Roman" w:cs="Times New Roman"/>
          <w:sz w:val="24"/>
          <w:szCs w:val="24"/>
        </w:rPr>
        <w:t xml:space="preserve">  </w:t>
      </w:r>
    </w:p>
    <w:p w:rsidR="00B57F5D" w:rsidRPr="00B57F5D" w:rsidRDefault="00235743" w:rsidP="00C401CE">
      <w:pPr>
        <w:pStyle w:val="Heading4"/>
      </w:pPr>
      <w:bookmarkStart w:id="85" w:name="_Toc442104181"/>
      <w:r>
        <w:t>b.</w:t>
      </w:r>
      <w:r>
        <w:tab/>
      </w:r>
      <w:r w:rsidR="002101EB">
        <w:t xml:space="preserve">There should be transparency and information disclosure in the processes of the </w:t>
      </w:r>
      <w:r w:rsidR="00B57F5D" w:rsidRPr="00B57F5D">
        <w:t>AEP Ohio</w:t>
      </w:r>
      <w:r w:rsidR="002101EB">
        <w:t xml:space="preserve"> proposal, but AEP Ohio</w:t>
      </w:r>
      <w:r w:rsidR="00B57F5D" w:rsidRPr="00B57F5D">
        <w:t xml:space="preserve"> does not commit to </w:t>
      </w:r>
      <w:r w:rsidR="002101EB">
        <w:t>adequate</w:t>
      </w:r>
      <w:r w:rsidR="002101EB" w:rsidRPr="00B57F5D">
        <w:t xml:space="preserve"> </w:t>
      </w:r>
      <w:r w:rsidR="002101EB">
        <w:t xml:space="preserve">transparency and </w:t>
      </w:r>
      <w:r w:rsidR="00B57F5D" w:rsidRPr="00B57F5D">
        <w:t>information</w:t>
      </w:r>
      <w:r w:rsidR="002101EB">
        <w:t>-</w:t>
      </w:r>
      <w:r w:rsidR="00B57F5D" w:rsidRPr="00B57F5D">
        <w:t>sharing</w:t>
      </w:r>
      <w:r w:rsidR="004C49CB">
        <w:t>, thus increasing risk to consumers</w:t>
      </w:r>
      <w:r>
        <w:t>.</w:t>
      </w:r>
      <w:bookmarkEnd w:id="85"/>
    </w:p>
    <w:p w:rsidR="00354952" w:rsidRDefault="00DA069D" w:rsidP="00A86C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AEP Ohio’s relative commitment to full information sharing is ambiguous, at best.  </w:t>
      </w:r>
      <w:r w:rsidR="00C453FF">
        <w:rPr>
          <w:rFonts w:ascii="Times New Roman" w:hAnsi="Times New Roman" w:cs="Times New Roman"/>
          <w:sz w:val="24"/>
          <w:szCs w:val="24"/>
        </w:rPr>
        <w:t>On the one hand, AEP Ohio asserts that the PUCO will have access to information that AEP Ohio has available to it.</w:t>
      </w:r>
      <w:r w:rsidR="00C453FF">
        <w:rPr>
          <w:rStyle w:val="FootnoteReference"/>
          <w:rFonts w:ascii="Times New Roman" w:hAnsi="Times New Roman" w:cs="Times New Roman"/>
          <w:sz w:val="24"/>
          <w:szCs w:val="24"/>
        </w:rPr>
        <w:footnoteReference w:id="424"/>
      </w:r>
      <w:r w:rsidR="00C453FF">
        <w:rPr>
          <w:rFonts w:ascii="Times New Roman" w:hAnsi="Times New Roman" w:cs="Times New Roman"/>
          <w:sz w:val="24"/>
          <w:szCs w:val="24"/>
        </w:rPr>
        <w:t xml:space="preserve"> </w:t>
      </w:r>
      <w:r w:rsidR="00C97F69">
        <w:rPr>
          <w:rFonts w:ascii="Times New Roman" w:hAnsi="Times New Roman" w:cs="Times New Roman"/>
          <w:sz w:val="24"/>
          <w:szCs w:val="24"/>
        </w:rPr>
        <w:t xml:space="preserve"> But the term sheet provides that AEPGR will keep, or cause to be kept, all necessary books of record, books of account, and memoranda of all transactions involving the PPA Units,</w:t>
      </w:r>
      <w:r w:rsidR="00C97F69">
        <w:rPr>
          <w:rStyle w:val="FootnoteReference"/>
          <w:rFonts w:ascii="Times New Roman" w:hAnsi="Times New Roman" w:cs="Times New Roman"/>
          <w:sz w:val="24"/>
          <w:szCs w:val="24"/>
        </w:rPr>
        <w:footnoteReference w:id="425"/>
      </w:r>
      <w:r w:rsidR="00C97F69">
        <w:rPr>
          <w:rFonts w:ascii="Times New Roman" w:hAnsi="Times New Roman" w:cs="Times New Roman"/>
          <w:sz w:val="24"/>
          <w:szCs w:val="24"/>
        </w:rPr>
        <w:t xml:space="preserve"> which documents will remain in AEPGR’s possession.</w:t>
      </w:r>
      <w:r w:rsidR="00C97F69">
        <w:rPr>
          <w:rStyle w:val="FootnoteReference"/>
          <w:rFonts w:ascii="Times New Roman" w:hAnsi="Times New Roman" w:cs="Times New Roman"/>
          <w:sz w:val="24"/>
          <w:szCs w:val="24"/>
        </w:rPr>
        <w:footnoteReference w:id="426"/>
      </w:r>
      <w:r w:rsidR="00C63B40">
        <w:rPr>
          <w:rFonts w:ascii="Times New Roman" w:hAnsi="Times New Roman" w:cs="Times New Roman"/>
          <w:sz w:val="24"/>
          <w:szCs w:val="24"/>
        </w:rPr>
        <w:t xml:space="preserve">  </w:t>
      </w:r>
    </w:p>
    <w:p w:rsidR="00346241" w:rsidRDefault="00C63B40" w:rsidP="00A86C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 the other hand, AEP Ohio asserts that it will provide the PUCO with summaries and details about the information contained in the books and records for OVEC and AEPGR.</w:t>
      </w:r>
      <w:r>
        <w:rPr>
          <w:rStyle w:val="FootnoteReference"/>
          <w:rFonts w:ascii="Times New Roman" w:hAnsi="Times New Roman" w:cs="Times New Roman"/>
          <w:sz w:val="24"/>
          <w:szCs w:val="24"/>
        </w:rPr>
        <w:footnoteReference w:id="427"/>
      </w:r>
      <w:r>
        <w:rPr>
          <w:rFonts w:ascii="Times New Roman" w:hAnsi="Times New Roman" w:cs="Times New Roman"/>
          <w:sz w:val="24"/>
          <w:szCs w:val="24"/>
        </w:rPr>
        <w:t xml:space="preserve">  Such summaries and details “may or may not” include the actual books themselves – whatever is necessary, in AEP Ohio’s view, for the PUCO to do an audit and review.</w:t>
      </w:r>
      <w:r>
        <w:rPr>
          <w:rStyle w:val="FootnoteReference"/>
          <w:rFonts w:ascii="Times New Roman" w:hAnsi="Times New Roman" w:cs="Times New Roman"/>
          <w:sz w:val="24"/>
          <w:szCs w:val="24"/>
        </w:rPr>
        <w:footnoteReference w:id="428"/>
      </w:r>
      <w:r w:rsidR="00A86C3B">
        <w:rPr>
          <w:rFonts w:ascii="Times New Roman" w:hAnsi="Times New Roman" w:cs="Times New Roman"/>
          <w:sz w:val="24"/>
          <w:szCs w:val="24"/>
        </w:rPr>
        <w:t xml:space="preserve">  On yet another hand, AEPGR fleet information on any </w:t>
      </w:r>
      <w:r w:rsidR="00117162">
        <w:rPr>
          <w:rFonts w:ascii="Times New Roman" w:hAnsi="Times New Roman" w:cs="Times New Roman"/>
          <w:sz w:val="24"/>
          <w:szCs w:val="24"/>
        </w:rPr>
        <w:t>“</w:t>
      </w:r>
      <w:r w:rsidR="00A86C3B">
        <w:rPr>
          <w:rFonts w:ascii="Times New Roman" w:hAnsi="Times New Roman" w:cs="Times New Roman"/>
          <w:sz w:val="24"/>
          <w:szCs w:val="24"/>
        </w:rPr>
        <w:t>cost component</w:t>
      </w:r>
      <w:r w:rsidR="00117162">
        <w:rPr>
          <w:rFonts w:ascii="Times New Roman" w:hAnsi="Times New Roman" w:cs="Times New Roman"/>
          <w:sz w:val="24"/>
          <w:szCs w:val="24"/>
        </w:rPr>
        <w:t>”</w:t>
      </w:r>
      <w:r w:rsidR="00A86C3B">
        <w:rPr>
          <w:rFonts w:ascii="Times New Roman" w:hAnsi="Times New Roman" w:cs="Times New Roman"/>
          <w:sz w:val="24"/>
          <w:szCs w:val="24"/>
        </w:rPr>
        <w:t xml:space="preserve"> will be provided to Staff upon </w:t>
      </w:r>
      <w:r w:rsidR="00117162">
        <w:rPr>
          <w:rFonts w:ascii="Times New Roman" w:hAnsi="Times New Roman" w:cs="Times New Roman"/>
          <w:sz w:val="24"/>
          <w:szCs w:val="24"/>
        </w:rPr>
        <w:t>“</w:t>
      </w:r>
      <w:r w:rsidR="00A86C3B">
        <w:rPr>
          <w:rFonts w:ascii="Times New Roman" w:hAnsi="Times New Roman" w:cs="Times New Roman"/>
          <w:sz w:val="24"/>
          <w:szCs w:val="24"/>
        </w:rPr>
        <w:t>reasonable request</w:t>
      </w:r>
      <w:r w:rsidR="00117162">
        <w:rPr>
          <w:rFonts w:ascii="Times New Roman" w:hAnsi="Times New Roman" w:cs="Times New Roman"/>
          <w:sz w:val="24"/>
          <w:szCs w:val="24"/>
        </w:rPr>
        <w:t>”</w:t>
      </w:r>
      <w:r w:rsidR="00A86C3B">
        <w:rPr>
          <w:rFonts w:ascii="Times New Roman" w:hAnsi="Times New Roman" w:cs="Times New Roman"/>
          <w:sz w:val="24"/>
          <w:szCs w:val="24"/>
        </w:rPr>
        <w:t xml:space="preserve"> (as determined by the PUCO), but only if made in connection with a </w:t>
      </w:r>
      <w:r w:rsidR="00A86C3B" w:rsidRPr="003E250E">
        <w:rPr>
          <w:rFonts w:ascii="Times New Roman" w:hAnsi="Times New Roman" w:cs="Times New Roman"/>
          <w:i/>
          <w:sz w:val="24"/>
          <w:szCs w:val="24"/>
        </w:rPr>
        <w:t>specific</w:t>
      </w:r>
      <w:r w:rsidR="00A86C3B">
        <w:rPr>
          <w:rFonts w:ascii="Times New Roman" w:hAnsi="Times New Roman" w:cs="Times New Roman"/>
          <w:sz w:val="24"/>
          <w:szCs w:val="24"/>
        </w:rPr>
        <w:t xml:space="preserve"> cost component of the PPA Units.</w:t>
      </w:r>
      <w:r w:rsidR="00A86C3B">
        <w:rPr>
          <w:rStyle w:val="FootnoteReference"/>
          <w:rFonts w:ascii="Times New Roman" w:hAnsi="Times New Roman" w:cs="Times New Roman"/>
          <w:sz w:val="24"/>
          <w:szCs w:val="24"/>
        </w:rPr>
        <w:footnoteReference w:id="429"/>
      </w:r>
      <w:r w:rsidR="00117162">
        <w:rPr>
          <w:rFonts w:ascii="Times New Roman" w:hAnsi="Times New Roman" w:cs="Times New Roman"/>
          <w:sz w:val="24"/>
          <w:szCs w:val="24"/>
        </w:rPr>
        <w:t xml:space="preserve">  It is difficult to conceive that the PUCO can undertake a comprehensive and detailed examination of PPA expenditures if its review is limited to a specific cost examination.</w:t>
      </w:r>
      <w:r w:rsidR="00346241">
        <w:rPr>
          <w:rFonts w:ascii="Times New Roman" w:hAnsi="Times New Roman" w:cs="Times New Roman"/>
          <w:sz w:val="24"/>
          <w:szCs w:val="24"/>
        </w:rPr>
        <w:t xml:space="preserve"> </w:t>
      </w:r>
    </w:p>
    <w:p w:rsidR="00A86C3B" w:rsidRDefault="00346241" w:rsidP="00A86C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These limitations and restriction</w:t>
      </w:r>
      <w:r w:rsidR="00BA3BE0">
        <w:rPr>
          <w:rFonts w:ascii="Times New Roman" w:hAnsi="Times New Roman" w:cs="Times New Roman"/>
          <w:sz w:val="24"/>
          <w:szCs w:val="24"/>
        </w:rPr>
        <w:t>s</w:t>
      </w:r>
      <w:r>
        <w:rPr>
          <w:rFonts w:ascii="Times New Roman" w:hAnsi="Times New Roman" w:cs="Times New Roman"/>
          <w:sz w:val="24"/>
          <w:szCs w:val="24"/>
        </w:rPr>
        <w:t xml:space="preserve"> </w:t>
      </w:r>
      <w:r w:rsidR="00BA3BE0">
        <w:rPr>
          <w:rFonts w:ascii="Times New Roman" w:hAnsi="Times New Roman" w:cs="Times New Roman"/>
          <w:sz w:val="24"/>
          <w:szCs w:val="24"/>
        </w:rPr>
        <w:t>on</w:t>
      </w:r>
      <w:r>
        <w:rPr>
          <w:rFonts w:ascii="Times New Roman" w:hAnsi="Times New Roman" w:cs="Times New Roman"/>
          <w:sz w:val="24"/>
          <w:szCs w:val="24"/>
        </w:rPr>
        <w:t xml:space="preserve"> information to be shared with the PUCO </w:t>
      </w:r>
      <w:r w:rsidR="004F6565">
        <w:rPr>
          <w:rFonts w:ascii="Times New Roman" w:hAnsi="Times New Roman" w:cs="Times New Roman"/>
          <w:sz w:val="24"/>
          <w:szCs w:val="24"/>
        </w:rPr>
        <w:t>are</w:t>
      </w:r>
      <w:r>
        <w:rPr>
          <w:rFonts w:ascii="Times New Roman" w:hAnsi="Times New Roman" w:cs="Times New Roman"/>
          <w:sz w:val="24"/>
          <w:szCs w:val="24"/>
        </w:rPr>
        <w:t xml:space="preserve"> disconcerting in </w:t>
      </w:r>
      <w:r w:rsidR="004F6565">
        <w:rPr>
          <w:rFonts w:ascii="Times New Roman" w:hAnsi="Times New Roman" w:cs="Times New Roman"/>
          <w:sz w:val="24"/>
          <w:szCs w:val="24"/>
        </w:rPr>
        <w:t>their</w:t>
      </w:r>
      <w:r>
        <w:rPr>
          <w:rFonts w:ascii="Times New Roman" w:hAnsi="Times New Roman" w:cs="Times New Roman"/>
          <w:sz w:val="24"/>
          <w:szCs w:val="24"/>
        </w:rPr>
        <w:t xml:space="preserve"> own right.  </w:t>
      </w:r>
      <w:r w:rsidR="00BA3BE0">
        <w:rPr>
          <w:rFonts w:ascii="Times New Roman" w:hAnsi="Times New Roman" w:cs="Times New Roman"/>
          <w:sz w:val="24"/>
          <w:szCs w:val="24"/>
        </w:rPr>
        <w:t>Additionally</w:t>
      </w:r>
      <w:r>
        <w:rPr>
          <w:rFonts w:ascii="Times New Roman" w:hAnsi="Times New Roman" w:cs="Times New Roman"/>
          <w:sz w:val="24"/>
          <w:szCs w:val="24"/>
        </w:rPr>
        <w:t xml:space="preserve">, other interested parties, such as </w:t>
      </w:r>
      <w:r w:rsidR="00354952">
        <w:rPr>
          <w:rFonts w:ascii="Times New Roman" w:hAnsi="Times New Roman" w:cs="Times New Roman"/>
          <w:sz w:val="24"/>
          <w:szCs w:val="24"/>
        </w:rPr>
        <w:t>state consumer representative OCC</w:t>
      </w:r>
      <w:r>
        <w:rPr>
          <w:rFonts w:ascii="Times New Roman" w:hAnsi="Times New Roman" w:cs="Times New Roman"/>
          <w:sz w:val="24"/>
          <w:szCs w:val="24"/>
        </w:rPr>
        <w:t xml:space="preserve">, seem to </w:t>
      </w:r>
      <w:r w:rsidR="00354952">
        <w:rPr>
          <w:rFonts w:ascii="Times New Roman" w:hAnsi="Times New Roman" w:cs="Times New Roman"/>
          <w:sz w:val="24"/>
          <w:szCs w:val="24"/>
        </w:rPr>
        <w:t>be allowed no</w:t>
      </w:r>
      <w:r>
        <w:rPr>
          <w:rFonts w:ascii="Times New Roman" w:hAnsi="Times New Roman" w:cs="Times New Roman"/>
          <w:sz w:val="24"/>
          <w:szCs w:val="24"/>
        </w:rPr>
        <w:t xml:space="preserve"> rights to information whatsoever. </w:t>
      </w:r>
      <w:r w:rsidR="00354952">
        <w:rPr>
          <w:rFonts w:ascii="Times New Roman" w:hAnsi="Times New Roman" w:cs="Times New Roman"/>
          <w:sz w:val="24"/>
          <w:szCs w:val="24"/>
        </w:rPr>
        <w:t>That is wrong for Ohioans.</w:t>
      </w:r>
    </w:p>
    <w:p w:rsidR="00B57F5D" w:rsidRPr="00B57F5D" w:rsidRDefault="00235743" w:rsidP="00C401CE">
      <w:pPr>
        <w:pStyle w:val="Heading4"/>
      </w:pPr>
      <w:bookmarkStart w:id="86" w:name="_Toc442104182"/>
      <w:r>
        <w:t>c.</w:t>
      </w:r>
      <w:r>
        <w:tab/>
      </w:r>
      <w:r w:rsidR="00B57F5D" w:rsidRPr="00B57F5D">
        <w:t>AEP Ohio does not properly allocate financial risk</w:t>
      </w:r>
      <w:r w:rsidR="004C49CB">
        <w:t>, thus increasing risk to consumers</w:t>
      </w:r>
      <w:r>
        <w:t>.</w:t>
      </w:r>
      <w:bookmarkEnd w:id="86"/>
    </w:p>
    <w:p w:rsidR="009E5504" w:rsidRDefault="00C11957" w:rsidP="00EA5A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AEP Ohio asserts that it has properly allocated the financial risks associated with the PPA Rider </w:t>
      </w:r>
      <w:r w:rsidR="00117162">
        <w:rPr>
          <w:rFonts w:ascii="Times New Roman" w:hAnsi="Times New Roman" w:cs="Times New Roman"/>
          <w:sz w:val="24"/>
          <w:szCs w:val="24"/>
        </w:rPr>
        <w:t>because</w:t>
      </w:r>
      <w:r>
        <w:rPr>
          <w:rFonts w:ascii="Times New Roman" w:hAnsi="Times New Roman" w:cs="Times New Roman"/>
          <w:sz w:val="24"/>
          <w:szCs w:val="24"/>
        </w:rPr>
        <w:t xml:space="preserve"> it runs the risk that the PUCO may disallow cost recovery and, as a result, its credit rating could be impacted.</w:t>
      </w:r>
      <w:r>
        <w:rPr>
          <w:rStyle w:val="FootnoteReference"/>
          <w:rFonts w:ascii="Times New Roman" w:hAnsi="Times New Roman" w:cs="Times New Roman"/>
          <w:sz w:val="24"/>
          <w:szCs w:val="24"/>
        </w:rPr>
        <w:footnoteReference w:id="430"/>
      </w:r>
      <w:r>
        <w:rPr>
          <w:rFonts w:ascii="Times New Roman" w:hAnsi="Times New Roman" w:cs="Times New Roman"/>
          <w:sz w:val="24"/>
          <w:szCs w:val="24"/>
        </w:rPr>
        <w:t xml:space="preserve">  Further, any PPA Rider balance could be disallowed in a future ESP proceeding or the PPA Rider may not be renewed in such future proceeding.</w:t>
      </w:r>
      <w:r>
        <w:rPr>
          <w:rStyle w:val="FootnoteReference"/>
          <w:rFonts w:ascii="Times New Roman" w:hAnsi="Times New Roman" w:cs="Times New Roman"/>
          <w:sz w:val="24"/>
          <w:szCs w:val="24"/>
        </w:rPr>
        <w:footnoteReference w:id="431"/>
      </w:r>
      <w:r>
        <w:rPr>
          <w:rFonts w:ascii="Times New Roman" w:hAnsi="Times New Roman" w:cs="Times New Roman"/>
          <w:sz w:val="24"/>
          <w:szCs w:val="24"/>
        </w:rPr>
        <w:t xml:space="preserve">  Yet, as Staff recognized</w:t>
      </w:r>
      <w:r w:rsidR="00AF64A0">
        <w:rPr>
          <w:rFonts w:ascii="Times New Roman" w:hAnsi="Times New Roman" w:cs="Times New Roman"/>
          <w:sz w:val="24"/>
          <w:szCs w:val="24"/>
        </w:rPr>
        <w:t xml:space="preserve"> in the initial stage of this proceeding</w:t>
      </w:r>
      <w:r>
        <w:rPr>
          <w:rFonts w:ascii="Times New Roman" w:hAnsi="Times New Roman" w:cs="Times New Roman"/>
          <w:sz w:val="24"/>
          <w:szCs w:val="24"/>
        </w:rPr>
        <w:t>, such risk that AEP Ohio is purportedl</w:t>
      </w:r>
      <w:r w:rsidR="00CA382B">
        <w:rPr>
          <w:rFonts w:ascii="Times New Roman" w:hAnsi="Times New Roman" w:cs="Times New Roman"/>
          <w:sz w:val="24"/>
          <w:szCs w:val="24"/>
        </w:rPr>
        <w:t xml:space="preserve">y retaining is no risk at all because the costs of a disallowance, or not renewing the PPA Rider, are simply too high.  </w:t>
      </w:r>
    </w:p>
    <w:p w:rsidR="00316B0F" w:rsidRDefault="00CA382B" w:rsidP="00EA5A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If the PUCO were to make a disallowance, AEP Ohio would still be required to pay AEPGR the PPA contract price.</w:t>
      </w:r>
      <w:r w:rsidR="00C63B40">
        <w:rPr>
          <w:rStyle w:val="FootnoteReference"/>
          <w:rFonts w:ascii="Times New Roman" w:hAnsi="Times New Roman" w:cs="Times New Roman"/>
          <w:sz w:val="24"/>
          <w:szCs w:val="24"/>
        </w:rPr>
        <w:footnoteReference w:id="432"/>
      </w:r>
      <w:r w:rsidR="009E5504">
        <w:rPr>
          <w:rFonts w:ascii="Times New Roman" w:hAnsi="Times New Roman" w:cs="Times New Roman"/>
          <w:sz w:val="24"/>
          <w:szCs w:val="24"/>
        </w:rPr>
        <w:t xml:space="preserve">  AEP Ohio would have the option of terminating the PPAs.</w:t>
      </w:r>
      <w:r w:rsidR="009E5504">
        <w:rPr>
          <w:rStyle w:val="FootnoteReference"/>
          <w:rFonts w:ascii="Times New Roman" w:hAnsi="Times New Roman" w:cs="Times New Roman"/>
          <w:sz w:val="24"/>
          <w:szCs w:val="24"/>
        </w:rPr>
        <w:footnoteReference w:id="433"/>
      </w:r>
      <w:r w:rsidR="00693904">
        <w:rPr>
          <w:rFonts w:ascii="Times New Roman" w:hAnsi="Times New Roman" w:cs="Times New Roman"/>
          <w:sz w:val="24"/>
          <w:szCs w:val="24"/>
        </w:rPr>
        <w:t xml:space="preserve">  If it did so, </w:t>
      </w:r>
      <w:r w:rsidR="00117162">
        <w:rPr>
          <w:rFonts w:ascii="Times New Roman" w:hAnsi="Times New Roman" w:cs="Times New Roman"/>
          <w:sz w:val="24"/>
          <w:szCs w:val="24"/>
        </w:rPr>
        <w:t>AEP Ohio</w:t>
      </w:r>
      <w:r w:rsidR="00693904">
        <w:rPr>
          <w:rFonts w:ascii="Times New Roman" w:hAnsi="Times New Roman" w:cs="Times New Roman"/>
          <w:sz w:val="24"/>
          <w:szCs w:val="24"/>
        </w:rPr>
        <w:t xml:space="preserve"> would be responsible under the PPAs for paying AEPGR the undepreciated net book value of the PPA Units</w:t>
      </w:r>
      <w:r w:rsidR="00D52B33">
        <w:rPr>
          <w:rFonts w:ascii="Times New Roman" w:hAnsi="Times New Roman" w:cs="Times New Roman"/>
          <w:sz w:val="24"/>
          <w:szCs w:val="24"/>
        </w:rPr>
        <w:t xml:space="preserve"> (or, if the Joint Stipulation is </w:t>
      </w:r>
    </w:p>
    <w:p w:rsidR="009E5504" w:rsidRDefault="00D52B33" w:rsidP="0072418C">
      <w:pPr>
        <w:spacing w:after="0" w:line="480" w:lineRule="auto"/>
        <w:rPr>
          <w:rFonts w:ascii="Times New Roman" w:hAnsi="Times New Roman" w:cs="Times New Roman"/>
          <w:sz w:val="24"/>
          <w:szCs w:val="24"/>
        </w:rPr>
      </w:pPr>
      <w:r>
        <w:rPr>
          <w:rFonts w:ascii="Times New Roman" w:hAnsi="Times New Roman" w:cs="Times New Roman"/>
          <w:sz w:val="24"/>
          <w:szCs w:val="24"/>
        </w:rPr>
        <w:t>approved, liquidated damages)</w:t>
      </w:r>
      <w:r w:rsidR="00693904">
        <w:rPr>
          <w:rFonts w:ascii="Times New Roman" w:hAnsi="Times New Roman" w:cs="Times New Roman"/>
          <w:sz w:val="24"/>
          <w:szCs w:val="24"/>
        </w:rPr>
        <w:t>.</w:t>
      </w:r>
      <w:r w:rsidR="00693904">
        <w:rPr>
          <w:rStyle w:val="FootnoteReference"/>
          <w:rFonts w:ascii="Times New Roman" w:hAnsi="Times New Roman" w:cs="Times New Roman"/>
          <w:sz w:val="24"/>
          <w:szCs w:val="24"/>
        </w:rPr>
        <w:footnoteReference w:id="434"/>
      </w:r>
      <w:r w:rsidR="00693904">
        <w:rPr>
          <w:rFonts w:ascii="Times New Roman" w:hAnsi="Times New Roman" w:cs="Times New Roman"/>
          <w:sz w:val="24"/>
          <w:szCs w:val="24"/>
        </w:rPr>
        <w:t xml:space="preserve">  So if the PUCO were contemplating a disallowance, it would have to do so with an eye toward the fact that if it made one, AEP Ohio might terminate the PPAs and then be on the hook for paying the undepreciated net book value for the PPA Units and expected retirement-related costs</w:t>
      </w:r>
      <w:r>
        <w:rPr>
          <w:rFonts w:ascii="Times New Roman" w:hAnsi="Times New Roman" w:cs="Times New Roman"/>
          <w:sz w:val="24"/>
          <w:szCs w:val="24"/>
        </w:rPr>
        <w:t xml:space="preserve"> (or liquidated damages)</w:t>
      </w:r>
      <w:r w:rsidR="00693904">
        <w:rPr>
          <w:rFonts w:ascii="Times New Roman" w:hAnsi="Times New Roman" w:cs="Times New Roman"/>
          <w:sz w:val="24"/>
          <w:szCs w:val="24"/>
        </w:rPr>
        <w:t>.</w:t>
      </w:r>
      <w:r w:rsidR="00693904">
        <w:rPr>
          <w:rStyle w:val="FootnoteReference"/>
          <w:rFonts w:ascii="Times New Roman" w:hAnsi="Times New Roman" w:cs="Times New Roman"/>
          <w:sz w:val="24"/>
          <w:szCs w:val="24"/>
        </w:rPr>
        <w:footnoteReference w:id="435"/>
      </w:r>
      <w:r w:rsidR="00693904">
        <w:rPr>
          <w:rFonts w:ascii="Times New Roman" w:hAnsi="Times New Roman" w:cs="Times New Roman"/>
          <w:sz w:val="24"/>
          <w:szCs w:val="24"/>
        </w:rPr>
        <w:t xml:space="preserve">  Once AEP Ohio became obligated to pay</w:t>
      </w:r>
      <w:r w:rsidR="008B1AE2">
        <w:rPr>
          <w:rFonts w:ascii="Times New Roman" w:hAnsi="Times New Roman" w:cs="Times New Roman"/>
          <w:sz w:val="24"/>
          <w:szCs w:val="24"/>
        </w:rPr>
        <w:t xml:space="preserve"> the undepreciated net book value for the PPA Units and expected retirement-related costs</w:t>
      </w:r>
      <w:r>
        <w:rPr>
          <w:rFonts w:ascii="Times New Roman" w:hAnsi="Times New Roman" w:cs="Times New Roman"/>
          <w:sz w:val="24"/>
          <w:szCs w:val="24"/>
        </w:rPr>
        <w:t xml:space="preserve"> (or liquidated damages)</w:t>
      </w:r>
      <w:r w:rsidR="008B1AE2">
        <w:rPr>
          <w:rFonts w:ascii="Times New Roman" w:hAnsi="Times New Roman" w:cs="Times New Roman"/>
          <w:sz w:val="24"/>
          <w:szCs w:val="24"/>
        </w:rPr>
        <w:t>, it would come to the PUCO to</w:t>
      </w:r>
      <w:r w:rsidR="00B63E76">
        <w:rPr>
          <w:rFonts w:ascii="Times New Roman" w:hAnsi="Times New Roman" w:cs="Times New Roman"/>
          <w:sz w:val="24"/>
          <w:szCs w:val="24"/>
        </w:rPr>
        <w:t xml:space="preserve"> obtain authority for a mechanism for</w:t>
      </w:r>
      <w:r w:rsidR="008B1AE2">
        <w:rPr>
          <w:rFonts w:ascii="Times New Roman" w:hAnsi="Times New Roman" w:cs="Times New Roman"/>
          <w:sz w:val="24"/>
          <w:szCs w:val="24"/>
        </w:rPr>
        <w:t xml:space="preserve"> collect</w:t>
      </w:r>
      <w:r w:rsidR="00B63E76">
        <w:rPr>
          <w:rFonts w:ascii="Times New Roman" w:hAnsi="Times New Roman" w:cs="Times New Roman"/>
          <w:sz w:val="24"/>
          <w:szCs w:val="24"/>
        </w:rPr>
        <w:t>ing</w:t>
      </w:r>
      <w:r w:rsidR="008B1AE2">
        <w:rPr>
          <w:rFonts w:ascii="Times New Roman" w:hAnsi="Times New Roman" w:cs="Times New Roman"/>
          <w:sz w:val="24"/>
          <w:szCs w:val="24"/>
        </w:rPr>
        <w:t xml:space="preserve"> such costs from customers.</w:t>
      </w:r>
      <w:r w:rsidR="008B1AE2">
        <w:rPr>
          <w:rStyle w:val="FootnoteReference"/>
          <w:rFonts w:ascii="Times New Roman" w:hAnsi="Times New Roman" w:cs="Times New Roman"/>
          <w:sz w:val="24"/>
          <w:szCs w:val="24"/>
        </w:rPr>
        <w:footnoteReference w:id="436"/>
      </w:r>
      <w:r w:rsidR="00CA382B">
        <w:rPr>
          <w:rFonts w:ascii="Times New Roman" w:hAnsi="Times New Roman" w:cs="Times New Roman"/>
          <w:sz w:val="24"/>
          <w:szCs w:val="24"/>
        </w:rPr>
        <w:t xml:space="preserve">  </w:t>
      </w:r>
    </w:p>
    <w:p w:rsidR="00316B0F" w:rsidRDefault="00CA382B" w:rsidP="0072418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If the PUCO were to terminate the PPA Rider in a future ESP proceeding, AEP Ohio would still be required to pay AEPGR the PPA contract price.</w:t>
      </w:r>
      <w:r>
        <w:rPr>
          <w:rStyle w:val="FootnoteReference"/>
          <w:rFonts w:ascii="Times New Roman" w:hAnsi="Times New Roman" w:cs="Times New Roman"/>
          <w:sz w:val="24"/>
          <w:szCs w:val="24"/>
        </w:rPr>
        <w:footnoteReference w:id="437"/>
      </w:r>
      <w:r>
        <w:rPr>
          <w:rFonts w:ascii="Times New Roman" w:hAnsi="Times New Roman" w:cs="Times New Roman"/>
          <w:sz w:val="24"/>
          <w:szCs w:val="24"/>
        </w:rPr>
        <w:t xml:space="preserve">  AEP Ohio would have the option of terminating the PPAs.</w:t>
      </w:r>
      <w:r>
        <w:rPr>
          <w:rStyle w:val="FootnoteReference"/>
          <w:rFonts w:ascii="Times New Roman" w:hAnsi="Times New Roman" w:cs="Times New Roman"/>
          <w:sz w:val="24"/>
          <w:szCs w:val="24"/>
        </w:rPr>
        <w:footnoteReference w:id="438"/>
      </w:r>
      <w:r>
        <w:rPr>
          <w:rFonts w:ascii="Times New Roman" w:hAnsi="Times New Roman" w:cs="Times New Roman"/>
          <w:sz w:val="24"/>
          <w:szCs w:val="24"/>
        </w:rPr>
        <w:t xml:space="preserve">  If it did so, </w:t>
      </w:r>
      <w:r w:rsidR="00117162">
        <w:rPr>
          <w:rFonts w:ascii="Times New Roman" w:hAnsi="Times New Roman" w:cs="Times New Roman"/>
          <w:sz w:val="24"/>
          <w:szCs w:val="24"/>
        </w:rPr>
        <w:t>AEP Ohio</w:t>
      </w:r>
      <w:r>
        <w:rPr>
          <w:rFonts w:ascii="Times New Roman" w:hAnsi="Times New Roman" w:cs="Times New Roman"/>
          <w:sz w:val="24"/>
          <w:szCs w:val="24"/>
        </w:rPr>
        <w:t xml:space="preserve"> would be responsible under the PPAs for paying AEPGR the undepreciated net book value of the PPA Units</w:t>
      </w:r>
      <w:r w:rsidR="00D52B33">
        <w:rPr>
          <w:rFonts w:ascii="Times New Roman" w:hAnsi="Times New Roman" w:cs="Times New Roman"/>
          <w:sz w:val="24"/>
          <w:szCs w:val="24"/>
        </w:rPr>
        <w:t xml:space="preserve"> </w:t>
      </w:r>
    </w:p>
    <w:p w:rsidR="0009445F" w:rsidRDefault="00D52B33" w:rsidP="00316B0F">
      <w:pPr>
        <w:spacing w:after="0" w:line="480" w:lineRule="auto"/>
        <w:rPr>
          <w:rFonts w:ascii="Times New Roman" w:hAnsi="Times New Roman" w:cs="Times New Roman"/>
          <w:sz w:val="24"/>
          <w:szCs w:val="24"/>
        </w:rPr>
      </w:pPr>
      <w:r>
        <w:rPr>
          <w:rFonts w:ascii="Times New Roman" w:hAnsi="Times New Roman" w:cs="Times New Roman"/>
          <w:sz w:val="24"/>
          <w:szCs w:val="24"/>
        </w:rPr>
        <w:t>(or, if the Joint Stipulation is approved, liquidated damages)</w:t>
      </w:r>
      <w:r w:rsidR="00CA382B">
        <w:rPr>
          <w:rFonts w:ascii="Times New Roman" w:hAnsi="Times New Roman" w:cs="Times New Roman"/>
          <w:sz w:val="24"/>
          <w:szCs w:val="24"/>
        </w:rPr>
        <w:t>.</w:t>
      </w:r>
      <w:r w:rsidR="00CA382B">
        <w:rPr>
          <w:rStyle w:val="FootnoteReference"/>
          <w:rFonts w:ascii="Times New Roman" w:hAnsi="Times New Roman" w:cs="Times New Roman"/>
          <w:sz w:val="24"/>
          <w:szCs w:val="24"/>
        </w:rPr>
        <w:footnoteReference w:id="439"/>
      </w:r>
      <w:r w:rsidR="00CA382B">
        <w:rPr>
          <w:rFonts w:ascii="Times New Roman" w:hAnsi="Times New Roman" w:cs="Times New Roman"/>
          <w:sz w:val="24"/>
          <w:szCs w:val="24"/>
        </w:rPr>
        <w:t xml:space="preserve">  </w:t>
      </w:r>
    </w:p>
    <w:p w:rsidR="00124C12" w:rsidRDefault="006939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Accordingly, were the PUCO </w:t>
      </w:r>
      <w:r w:rsidR="009E5504">
        <w:rPr>
          <w:rFonts w:ascii="Times New Roman" w:hAnsi="Times New Roman" w:cs="Times New Roman"/>
          <w:sz w:val="24"/>
          <w:szCs w:val="24"/>
        </w:rPr>
        <w:t xml:space="preserve">to evaluate the PPA Rider in an ESP </w:t>
      </w:r>
      <w:r w:rsidR="00B63E76">
        <w:rPr>
          <w:rFonts w:ascii="Times New Roman" w:hAnsi="Times New Roman" w:cs="Times New Roman"/>
          <w:sz w:val="24"/>
          <w:szCs w:val="24"/>
        </w:rPr>
        <w:t>in light of</w:t>
      </w:r>
      <w:r w:rsidR="009E5504">
        <w:rPr>
          <w:rFonts w:ascii="Times New Roman" w:hAnsi="Times New Roman" w:cs="Times New Roman"/>
          <w:sz w:val="24"/>
          <w:szCs w:val="24"/>
        </w:rPr>
        <w:t xml:space="preserve"> the MRO </w:t>
      </w:r>
      <w:r w:rsidR="00117162">
        <w:rPr>
          <w:rFonts w:ascii="Times New Roman" w:hAnsi="Times New Roman" w:cs="Times New Roman"/>
          <w:sz w:val="24"/>
          <w:szCs w:val="24"/>
        </w:rPr>
        <w:t>v.</w:t>
      </w:r>
      <w:r w:rsidR="009E5504">
        <w:rPr>
          <w:rFonts w:ascii="Times New Roman" w:hAnsi="Times New Roman" w:cs="Times New Roman"/>
          <w:sz w:val="24"/>
          <w:szCs w:val="24"/>
        </w:rPr>
        <w:t xml:space="preserve"> ESP test, it would have to do so with </w:t>
      </w:r>
      <w:r w:rsidR="00BA3BE0">
        <w:rPr>
          <w:rFonts w:ascii="Times New Roman" w:hAnsi="Times New Roman" w:cs="Times New Roman"/>
          <w:sz w:val="24"/>
          <w:szCs w:val="24"/>
        </w:rPr>
        <w:t>a wary</w:t>
      </w:r>
      <w:r w:rsidR="009E5504">
        <w:rPr>
          <w:rFonts w:ascii="Times New Roman" w:hAnsi="Times New Roman" w:cs="Times New Roman"/>
          <w:sz w:val="24"/>
          <w:szCs w:val="24"/>
        </w:rPr>
        <w:t xml:space="preserve"> eye</w:t>
      </w:r>
      <w:r w:rsidR="00BA3BE0">
        <w:rPr>
          <w:rFonts w:ascii="Times New Roman" w:hAnsi="Times New Roman" w:cs="Times New Roman"/>
          <w:sz w:val="24"/>
          <w:szCs w:val="24"/>
        </w:rPr>
        <w:t>.  I</w:t>
      </w:r>
      <w:r w:rsidR="009E5504">
        <w:rPr>
          <w:rFonts w:ascii="Times New Roman" w:hAnsi="Times New Roman" w:cs="Times New Roman"/>
          <w:sz w:val="24"/>
          <w:szCs w:val="24"/>
        </w:rPr>
        <w:t xml:space="preserve">f it denied the </w:t>
      </w:r>
      <w:r w:rsidR="00B63E76">
        <w:rPr>
          <w:rFonts w:ascii="Times New Roman" w:hAnsi="Times New Roman" w:cs="Times New Roman"/>
          <w:sz w:val="24"/>
          <w:szCs w:val="24"/>
        </w:rPr>
        <w:t xml:space="preserve">ESP due to the </w:t>
      </w:r>
      <w:r w:rsidR="009E5504">
        <w:rPr>
          <w:rFonts w:ascii="Times New Roman" w:hAnsi="Times New Roman" w:cs="Times New Roman"/>
          <w:sz w:val="24"/>
          <w:szCs w:val="24"/>
        </w:rPr>
        <w:t>PPA Rider, AEP Ohio would be on the hoo</w:t>
      </w:r>
      <w:r>
        <w:rPr>
          <w:rFonts w:ascii="Times New Roman" w:hAnsi="Times New Roman" w:cs="Times New Roman"/>
          <w:sz w:val="24"/>
          <w:szCs w:val="24"/>
        </w:rPr>
        <w:t>k</w:t>
      </w:r>
      <w:r w:rsidR="009E5504">
        <w:rPr>
          <w:rFonts w:ascii="Times New Roman" w:hAnsi="Times New Roman" w:cs="Times New Roman"/>
          <w:sz w:val="24"/>
          <w:szCs w:val="24"/>
        </w:rPr>
        <w:t xml:space="preserve"> for paying AEPGR the undepreciated net book value of the PP</w:t>
      </w:r>
      <w:r>
        <w:rPr>
          <w:rFonts w:ascii="Times New Roman" w:hAnsi="Times New Roman" w:cs="Times New Roman"/>
          <w:sz w:val="24"/>
          <w:szCs w:val="24"/>
        </w:rPr>
        <w:t>A Units and expected retirement-</w:t>
      </w:r>
      <w:r w:rsidR="009E5504">
        <w:rPr>
          <w:rFonts w:ascii="Times New Roman" w:hAnsi="Times New Roman" w:cs="Times New Roman"/>
          <w:sz w:val="24"/>
          <w:szCs w:val="24"/>
        </w:rPr>
        <w:t>related costs</w:t>
      </w:r>
      <w:r w:rsidR="00B4413C">
        <w:rPr>
          <w:rFonts w:ascii="Times New Roman" w:hAnsi="Times New Roman" w:cs="Times New Roman"/>
          <w:sz w:val="24"/>
          <w:szCs w:val="24"/>
        </w:rPr>
        <w:t xml:space="preserve"> (or liquidated damages)</w:t>
      </w:r>
      <w:r w:rsidR="009E5504">
        <w:rPr>
          <w:rFonts w:ascii="Times New Roman" w:hAnsi="Times New Roman" w:cs="Times New Roman"/>
          <w:sz w:val="24"/>
          <w:szCs w:val="24"/>
        </w:rPr>
        <w:t>.</w:t>
      </w:r>
      <w:r w:rsidR="009E5504">
        <w:rPr>
          <w:rStyle w:val="FootnoteReference"/>
          <w:rFonts w:ascii="Times New Roman" w:hAnsi="Times New Roman" w:cs="Times New Roman"/>
          <w:sz w:val="24"/>
          <w:szCs w:val="24"/>
        </w:rPr>
        <w:footnoteReference w:id="440"/>
      </w:r>
      <w:r w:rsidR="008B1AE2" w:rsidRPr="008B1AE2">
        <w:rPr>
          <w:rFonts w:ascii="Times New Roman" w:hAnsi="Times New Roman" w:cs="Times New Roman"/>
          <w:sz w:val="24"/>
          <w:szCs w:val="24"/>
        </w:rPr>
        <w:t xml:space="preserve"> </w:t>
      </w:r>
      <w:r w:rsidR="00F27AA5">
        <w:rPr>
          <w:rFonts w:ascii="Times New Roman" w:hAnsi="Times New Roman" w:cs="Times New Roman"/>
          <w:sz w:val="24"/>
          <w:szCs w:val="24"/>
        </w:rPr>
        <w:t xml:space="preserve"> </w:t>
      </w:r>
      <w:r w:rsidR="008B1AE2">
        <w:rPr>
          <w:rFonts w:ascii="Times New Roman" w:hAnsi="Times New Roman" w:cs="Times New Roman"/>
          <w:sz w:val="24"/>
          <w:szCs w:val="24"/>
        </w:rPr>
        <w:t>Once AEP Ohio became obligated to pay the undepreciated net book value for the PPA Units and expected retirement-related costs</w:t>
      </w:r>
      <w:r w:rsidR="00B4413C">
        <w:rPr>
          <w:rFonts w:ascii="Times New Roman" w:hAnsi="Times New Roman" w:cs="Times New Roman"/>
          <w:sz w:val="24"/>
          <w:szCs w:val="24"/>
        </w:rPr>
        <w:t xml:space="preserve"> (or liquidated damages)</w:t>
      </w:r>
      <w:r w:rsidR="008B1AE2">
        <w:rPr>
          <w:rFonts w:ascii="Times New Roman" w:hAnsi="Times New Roman" w:cs="Times New Roman"/>
          <w:sz w:val="24"/>
          <w:szCs w:val="24"/>
        </w:rPr>
        <w:t xml:space="preserve">, it would come to the PUCO to </w:t>
      </w:r>
      <w:r w:rsidR="002E1C0A">
        <w:rPr>
          <w:rFonts w:ascii="Times New Roman" w:hAnsi="Times New Roman" w:cs="Times New Roman"/>
          <w:sz w:val="24"/>
          <w:szCs w:val="24"/>
        </w:rPr>
        <w:t>obtain authority for a mechanism for collecting</w:t>
      </w:r>
      <w:r w:rsidR="008B1AE2">
        <w:rPr>
          <w:rFonts w:ascii="Times New Roman" w:hAnsi="Times New Roman" w:cs="Times New Roman"/>
          <w:sz w:val="24"/>
          <w:szCs w:val="24"/>
        </w:rPr>
        <w:t xml:space="preserve"> such costs from customers.</w:t>
      </w:r>
      <w:r w:rsidR="008B1AE2">
        <w:rPr>
          <w:rStyle w:val="FootnoteReference"/>
          <w:rFonts w:ascii="Times New Roman" w:hAnsi="Times New Roman" w:cs="Times New Roman"/>
          <w:sz w:val="24"/>
          <w:szCs w:val="24"/>
        </w:rPr>
        <w:footnoteReference w:id="441"/>
      </w:r>
      <w:r w:rsidR="009E5504">
        <w:rPr>
          <w:rFonts w:ascii="Times New Roman" w:hAnsi="Times New Roman" w:cs="Times New Roman"/>
          <w:sz w:val="24"/>
          <w:szCs w:val="24"/>
        </w:rPr>
        <w:t xml:space="preserve">  </w:t>
      </w:r>
    </w:p>
    <w:p w:rsidR="008B1AE2" w:rsidRDefault="008B1AE2" w:rsidP="00EA5A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Given the very substantial costs associated with PUCO invocation of the tools </w:t>
      </w:r>
      <w:r w:rsidR="00B63E76">
        <w:rPr>
          <w:rFonts w:ascii="Times New Roman" w:hAnsi="Times New Roman" w:cs="Times New Roman"/>
          <w:sz w:val="24"/>
          <w:szCs w:val="24"/>
        </w:rPr>
        <w:t>that AEP Ohio asserts</w:t>
      </w:r>
      <w:r>
        <w:rPr>
          <w:rFonts w:ascii="Times New Roman" w:hAnsi="Times New Roman" w:cs="Times New Roman"/>
          <w:sz w:val="24"/>
          <w:szCs w:val="24"/>
        </w:rPr>
        <w:t xml:space="preserve"> allocate</w:t>
      </w:r>
      <w:r w:rsidR="00B63E76">
        <w:rPr>
          <w:rFonts w:ascii="Times New Roman" w:hAnsi="Times New Roman" w:cs="Times New Roman"/>
          <w:sz w:val="24"/>
          <w:szCs w:val="24"/>
        </w:rPr>
        <w:t>s</w:t>
      </w:r>
      <w:r>
        <w:rPr>
          <w:rFonts w:ascii="Times New Roman" w:hAnsi="Times New Roman" w:cs="Times New Roman"/>
          <w:sz w:val="24"/>
          <w:szCs w:val="24"/>
        </w:rPr>
        <w:t xml:space="preserve"> risks </w:t>
      </w:r>
      <w:r w:rsidR="009E1D8F">
        <w:rPr>
          <w:rFonts w:ascii="Times New Roman" w:hAnsi="Times New Roman" w:cs="Times New Roman"/>
          <w:sz w:val="24"/>
          <w:szCs w:val="24"/>
        </w:rPr>
        <w:t>to</w:t>
      </w:r>
      <w:r>
        <w:rPr>
          <w:rFonts w:ascii="Times New Roman" w:hAnsi="Times New Roman" w:cs="Times New Roman"/>
          <w:sz w:val="24"/>
          <w:szCs w:val="24"/>
        </w:rPr>
        <w:t xml:space="preserve"> AEP Ohio – disallowance and terminating the PPA Rider – Staff itself recognized </w:t>
      </w:r>
      <w:r w:rsidR="00FC327D">
        <w:rPr>
          <w:rFonts w:ascii="Times New Roman" w:hAnsi="Times New Roman" w:cs="Times New Roman"/>
          <w:sz w:val="24"/>
          <w:szCs w:val="24"/>
        </w:rPr>
        <w:t xml:space="preserve">in the first phase of this proceeding </w:t>
      </w:r>
      <w:r>
        <w:rPr>
          <w:rFonts w:ascii="Times New Roman" w:hAnsi="Times New Roman" w:cs="Times New Roman"/>
          <w:sz w:val="24"/>
          <w:szCs w:val="24"/>
        </w:rPr>
        <w:t xml:space="preserve">that such </w:t>
      </w:r>
      <w:r w:rsidR="009E1D8F">
        <w:rPr>
          <w:rFonts w:ascii="Times New Roman" w:hAnsi="Times New Roman" w:cs="Times New Roman"/>
          <w:sz w:val="24"/>
          <w:szCs w:val="24"/>
        </w:rPr>
        <w:t>tools are</w:t>
      </w:r>
      <w:r>
        <w:rPr>
          <w:rFonts w:ascii="Times New Roman" w:hAnsi="Times New Roman" w:cs="Times New Roman"/>
          <w:sz w:val="24"/>
          <w:szCs w:val="24"/>
        </w:rPr>
        <w:t xml:space="preserve"> not realistic </w:t>
      </w:r>
      <w:r w:rsidR="009E1D8F">
        <w:rPr>
          <w:rFonts w:ascii="Times New Roman" w:hAnsi="Times New Roman" w:cs="Times New Roman"/>
          <w:sz w:val="24"/>
          <w:szCs w:val="24"/>
        </w:rPr>
        <w:t>ways to allocate risk to AEP Ohio</w:t>
      </w:r>
      <w:r>
        <w:rPr>
          <w:rFonts w:ascii="Times New Roman" w:hAnsi="Times New Roman" w:cs="Times New Roman"/>
          <w:sz w:val="24"/>
          <w:szCs w:val="24"/>
        </w:rPr>
        <w:t xml:space="preserve"> at all.</w:t>
      </w:r>
      <w:r>
        <w:rPr>
          <w:rStyle w:val="FootnoteReference"/>
          <w:rFonts w:ascii="Times New Roman" w:hAnsi="Times New Roman" w:cs="Times New Roman"/>
          <w:sz w:val="24"/>
          <w:szCs w:val="24"/>
        </w:rPr>
        <w:footnoteReference w:id="442"/>
      </w:r>
      <w:r w:rsidR="009E1D8F">
        <w:rPr>
          <w:rFonts w:ascii="Times New Roman" w:hAnsi="Times New Roman" w:cs="Times New Roman"/>
          <w:sz w:val="24"/>
          <w:szCs w:val="24"/>
        </w:rPr>
        <w:t xml:space="preserve">  Due to the impact that implementing such tools would have on AEP Ohio and, by extension, its customers, at best the PUCO would have to go to FERC and bear the burden of proof.</w:t>
      </w:r>
      <w:r w:rsidR="009E1D8F">
        <w:rPr>
          <w:rStyle w:val="FootnoteReference"/>
          <w:rFonts w:ascii="Times New Roman" w:hAnsi="Times New Roman" w:cs="Times New Roman"/>
          <w:sz w:val="24"/>
          <w:szCs w:val="24"/>
        </w:rPr>
        <w:footnoteReference w:id="443"/>
      </w:r>
      <w:r w:rsidR="009E1D8F">
        <w:rPr>
          <w:rFonts w:ascii="Times New Roman" w:hAnsi="Times New Roman" w:cs="Times New Roman"/>
          <w:sz w:val="24"/>
          <w:szCs w:val="24"/>
        </w:rPr>
        <w:t xml:space="preserve">  Buying a federal lawsuit in Washington, D.C. before FERC – not a proper </w:t>
      </w:r>
      <w:r w:rsidR="003A47E3">
        <w:rPr>
          <w:rFonts w:ascii="Times New Roman" w:hAnsi="Times New Roman" w:cs="Times New Roman"/>
          <w:sz w:val="24"/>
          <w:szCs w:val="24"/>
        </w:rPr>
        <w:t>risk-sharing</w:t>
      </w:r>
      <w:r w:rsidR="009E1D8F">
        <w:rPr>
          <w:rFonts w:ascii="Times New Roman" w:hAnsi="Times New Roman" w:cs="Times New Roman"/>
          <w:sz w:val="24"/>
          <w:szCs w:val="24"/>
        </w:rPr>
        <w:t xml:space="preserve"> mechanism, in Staff’s view.</w:t>
      </w:r>
      <w:r w:rsidR="009E1D8F">
        <w:rPr>
          <w:rStyle w:val="FootnoteReference"/>
          <w:rFonts w:ascii="Times New Roman" w:hAnsi="Times New Roman" w:cs="Times New Roman"/>
          <w:sz w:val="24"/>
          <w:szCs w:val="24"/>
        </w:rPr>
        <w:footnoteReference w:id="444"/>
      </w:r>
    </w:p>
    <w:p w:rsidR="00B57F5D" w:rsidRPr="00B57F5D" w:rsidRDefault="00235743" w:rsidP="00C401CE">
      <w:pPr>
        <w:pStyle w:val="Heading4"/>
      </w:pPr>
      <w:bookmarkStart w:id="87" w:name="_Toc442104183"/>
      <w:r>
        <w:t>d.</w:t>
      </w:r>
      <w:r>
        <w:tab/>
      </w:r>
      <w:r w:rsidR="00B57F5D" w:rsidRPr="00B57F5D">
        <w:t xml:space="preserve">All financial risk would be on </w:t>
      </w:r>
      <w:r w:rsidR="004C49CB">
        <w:t>consumers</w:t>
      </w:r>
      <w:r w:rsidR="00FC27D6">
        <w:t>, exactly where it should not be</w:t>
      </w:r>
      <w:r>
        <w:t>.</w:t>
      </w:r>
      <w:r w:rsidR="00FC27D6">
        <w:t xml:space="preserve">  In markets (and in good regulation), investors take risks, not consumers.</w:t>
      </w:r>
      <w:bookmarkEnd w:id="87"/>
    </w:p>
    <w:p w:rsidR="00002DD7" w:rsidRDefault="00D35B04" w:rsidP="00EA5A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AEP Ohio readily acknowledges that the Amended Application’s proposals shift the risk and benefits </w:t>
      </w:r>
      <w:r w:rsidR="008F048C">
        <w:rPr>
          <w:rFonts w:ascii="Times New Roman" w:hAnsi="Times New Roman" w:cs="Times New Roman"/>
          <w:sz w:val="24"/>
          <w:szCs w:val="24"/>
        </w:rPr>
        <w:t xml:space="preserve">(if any) </w:t>
      </w:r>
      <w:r>
        <w:rPr>
          <w:rFonts w:ascii="Times New Roman" w:hAnsi="Times New Roman" w:cs="Times New Roman"/>
          <w:sz w:val="24"/>
          <w:szCs w:val="24"/>
        </w:rPr>
        <w:t xml:space="preserve">associated with AEP Ohio Witness Pearce’s </w:t>
      </w:r>
      <w:r w:rsidR="00B4413C">
        <w:rPr>
          <w:rFonts w:ascii="Times New Roman" w:hAnsi="Times New Roman" w:cs="Times New Roman"/>
          <w:sz w:val="24"/>
          <w:szCs w:val="24"/>
        </w:rPr>
        <w:t>(and as updated at AEP Ohio Witness Allen’s direction)</w:t>
      </w:r>
      <w:r w:rsidR="00B4413C">
        <w:rPr>
          <w:rStyle w:val="FootnoteReference"/>
          <w:rFonts w:ascii="Times New Roman" w:hAnsi="Times New Roman" w:cs="Times New Roman"/>
          <w:sz w:val="24"/>
          <w:szCs w:val="24"/>
        </w:rPr>
        <w:footnoteReference w:id="445"/>
      </w:r>
      <w:r w:rsidR="00B4413C">
        <w:rPr>
          <w:rFonts w:ascii="Times New Roman" w:hAnsi="Times New Roman" w:cs="Times New Roman"/>
          <w:sz w:val="24"/>
          <w:szCs w:val="24"/>
        </w:rPr>
        <w:t xml:space="preserve"> </w:t>
      </w:r>
      <w:r w:rsidR="009C1DFB">
        <w:rPr>
          <w:rFonts w:ascii="Times New Roman" w:hAnsi="Times New Roman" w:cs="Times New Roman"/>
          <w:sz w:val="24"/>
          <w:szCs w:val="24"/>
        </w:rPr>
        <w:t xml:space="preserve">inherently uncertain </w:t>
      </w:r>
      <w:r>
        <w:rPr>
          <w:rFonts w:ascii="Times New Roman" w:hAnsi="Times New Roman" w:cs="Times New Roman"/>
          <w:sz w:val="24"/>
          <w:szCs w:val="24"/>
        </w:rPr>
        <w:t>forecasts to customers.</w:t>
      </w:r>
      <w:r>
        <w:rPr>
          <w:rStyle w:val="FootnoteReference"/>
          <w:rFonts w:ascii="Times New Roman" w:hAnsi="Times New Roman" w:cs="Times New Roman"/>
          <w:sz w:val="24"/>
          <w:szCs w:val="24"/>
        </w:rPr>
        <w:footnoteReference w:id="446"/>
      </w:r>
      <w:r w:rsidR="00927488">
        <w:rPr>
          <w:rFonts w:ascii="Times New Roman" w:hAnsi="Times New Roman" w:cs="Times New Roman"/>
          <w:sz w:val="24"/>
          <w:szCs w:val="24"/>
        </w:rPr>
        <w:t xml:space="preserve">  It readily acknowledges that </w:t>
      </w:r>
      <w:r w:rsidR="00117162">
        <w:rPr>
          <w:rFonts w:ascii="Times New Roman" w:hAnsi="Times New Roman" w:cs="Times New Roman"/>
          <w:sz w:val="24"/>
          <w:szCs w:val="24"/>
        </w:rPr>
        <w:t xml:space="preserve">captive </w:t>
      </w:r>
      <w:r w:rsidR="00927488">
        <w:rPr>
          <w:rFonts w:ascii="Times New Roman" w:hAnsi="Times New Roman" w:cs="Times New Roman"/>
          <w:sz w:val="24"/>
          <w:szCs w:val="24"/>
        </w:rPr>
        <w:t>customers would bear the financial risks of forced outages at the PPA Units.</w:t>
      </w:r>
      <w:r w:rsidR="00927488">
        <w:rPr>
          <w:rStyle w:val="FootnoteReference"/>
          <w:rFonts w:ascii="Times New Roman" w:hAnsi="Times New Roman" w:cs="Times New Roman"/>
          <w:sz w:val="24"/>
          <w:szCs w:val="24"/>
        </w:rPr>
        <w:footnoteReference w:id="447"/>
      </w:r>
      <w:r w:rsidR="00927488">
        <w:rPr>
          <w:rFonts w:ascii="Times New Roman" w:hAnsi="Times New Roman" w:cs="Times New Roman"/>
          <w:sz w:val="24"/>
          <w:szCs w:val="24"/>
        </w:rPr>
        <w:t xml:space="preserve">  </w:t>
      </w:r>
      <w:r w:rsidR="009C1DFB">
        <w:rPr>
          <w:rFonts w:ascii="Times New Roman" w:hAnsi="Times New Roman" w:cs="Times New Roman"/>
          <w:sz w:val="24"/>
          <w:szCs w:val="24"/>
        </w:rPr>
        <w:t>It readily acknowledges that customers would bear the risk of paying capital and fixed operation and maintenance costs if the PPA Units cannot operate.</w:t>
      </w:r>
      <w:r w:rsidR="009C1DFB">
        <w:rPr>
          <w:rStyle w:val="FootnoteReference"/>
          <w:rFonts w:ascii="Times New Roman" w:hAnsi="Times New Roman" w:cs="Times New Roman"/>
          <w:sz w:val="24"/>
          <w:szCs w:val="24"/>
        </w:rPr>
        <w:footnoteReference w:id="448"/>
      </w:r>
      <w:r w:rsidR="009C1DFB">
        <w:rPr>
          <w:rFonts w:ascii="Times New Roman" w:hAnsi="Times New Roman" w:cs="Times New Roman"/>
          <w:sz w:val="24"/>
          <w:szCs w:val="24"/>
        </w:rPr>
        <w:t xml:space="preserve">  If the PPA Units are dispatched less than projected</w:t>
      </w:r>
      <w:r w:rsidR="00117162">
        <w:rPr>
          <w:rFonts w:ascii="Times New Roman" w:hAnsi="Times New Roman" w:cs="Times New Roman"/>
          <w:sz w:val="24"/>
          <w:szCs w:val="24"/>
        </w:rPr>
        <w:t xml:space="preserve"> (or at all)</w:t>
      </w:r>
      <w:r w:rsidR="009C1DFB">
        <w:rPr>
          <w:rFonts w:ascii="Times New Roman" w:hAnsi="Times New Roman" w:cs="Times New Roman"/>
          <w:sz w:val="24"/>
          <w:szCs w:val="24"/>
        </w:rPr>
        <w:t>, customers will bear the risk of paying the associated costs.</w:t>
      </w:r>
      <w:r w:rsidR="009C1DFB">
        <w:rPr>
          <w:rStyle w:val="FootnoteReference"/>
          <w:rFonts w:ascii="Times New Roman" w:hAnsi="Times New Roman" w:cs="Times New Roman"/>
          <w:sz w:val="24"/>
          <w:szCs w:val="24"/>
        </w:rPr>
        <w:footnoteReference w:id="449"/>
      </w:r>
      <w:r w:rsidR="009C1DFB">
        <w:rPr>
          <w:rFonts w:ascii="Times New Roman" w:hAnsi="Times New Roman" w:cs="Times New Roman"/>
          <w:sz w:val="24"/>
          <w:szCs w:val="24"/>
        </w:rPr>
        <w:t xml:space="preserve">  Customers would bear the risks of incurring costs for prolonged outages.</w:t>
      </w:r>
      <w:r w:rsidR="009C1DFB">
        <w:rPr>
          <w:rStyle w:val="FootnoteReference"/>
          <w:rFonts w:ascii="Times New Roman" w:hAnsi="Times New Roman" w:cs="Times New Roman"/>
          <w:sz w:val="24"/>
          <w:szCs w:val="24"/>
        </w:rPr>
        <w:footnoteReference w:id="450"/>
      </w:r>
      <w:r w:rsidR="009C1DFB">
        <w:rPr>
          <w:rFonts w:ascii="Times New Roman" w:hAnsi="Times New Roman" w:cs="Times New Roman"/>
          <w:sz w:val="24"/>
          <w:szCs w:val="24"/>
        </w:rPr>
        <w:t xml:space="preserve">  </w:t>
      </w:r>
      <w:r w:rsidR="00117162">
        <w:rPr>
          <w:rFonts w:ascii="Times New Roman" w:hAnsi="Times New Roman" w:cs="Times New Roman"/>
          <w:sz w:val="24"/>
          <w:szCs w:val="24"/>
        </w:rPr>
        <w:t>Customers</w:t>
      </w:r>
      <w:r w:rsidR="00002DD7">
        <w:rPr>
          <w:rFonts w:ascii="Times New Roman" w:hAnsi="Times New Roman" w:cs="Times New Roman"/>
          <w:sz w:val="24"/>
          <w:szCs w:val="24"/>
        </w:rPr>
        <w:t xml:space="preserve"> would also bear the risks that the PPA Units incur capacity performance penalties or have increase</w:t>
      </w:r>
      <w:r w:rsidR="003A47E3">
        <w:rPr>
          <w:rFonts w:ascii="Times New Roman" w:hAnsi="Times New Roman" w:cs="Times New Roman"/>
          <w:sz w:val="24"/>
          <w:szCs w:val="24"/>
        </w:rPr>
        <w:t>s</w:t>
      </w:r>
      <w:r w:rsidR="00002DD7">
        <w:rPr>
          <w:rFonts w:ascii="Times New Roman" w:hAnsi="Times New Roman" w:cs="Times New Roman"/>
          <w:sz w:val="24"/>
          <w:szCs w:val="24"/>
        </w:rPr>
        <w:t xml:space="preserve"> in heat rate.</w:t>
      </w:r>
      <w:r w:rsidR="00002DD7">
        <w:rPr>
          <w:rStyle w:val="FootnoteReference"/>
          <w:rFonts w:ascii="Times New Roman" w:hAnsi="Times New Roman" w:cs="Times New Roman"/>
          <w:sz w:val="24"/>
          <w:szCs w:val="24"/>
        </w:rPr>
        <w:footnoteReference w:id="451"/>
      </w:r>
      <w:r w:rsidR="00002DD7">
        <w:rPr>
          <w:rFonts w:ascii="Times New Roman" w:hAnsi="Times New Roman" w:cs="Times New Roman"/>
          <w:sz w:val="24"/>
          <w:szCs w:val="24"/>
        </w:rPr>
        <w:t xml:space="preserve">  </w:t>
      </w:r>
    </w:p>
    <w:p w:rsidR="0092318F" w:rsidRDefault="00002DD7" w:rsidP="00EA5A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AEP Ohio </w:t>
      </w:r>
      <w:r w:rsidR="00927488">
        <w:rPr>
          <w:rFonts w:ascii="Times New Roman" w:hAnsi="Times New Roman" w:cs="Times New Roman"/>
          <w:sz w:val="24"/>
          <w:szCs w:val="24"/>
        </w:rPr>
        <w:t xml:space="preserve">readily acknowledges that </w:t>
      </w:r>
      <w:r w:rsidR="00DA069D">
        <w:rPr>
          <w:rFonts w:ascii="Times New Roman" w:hAnsi="Times New Roman" w:cs="Times New Roman"/>
          <w:sz w:val="24"/>
          <w:szCs w:val="24"/>
        </w:rPr>
        <w:t>customers would bear the financial risks related to the filing, defense, and settlement of claims, suits, and causes of action</w:t>
      </w:r>
      <w:r w:rsidR="00DA069D">
        <w:rPr>
          <w:rStyle w:val="FootnoteReference"/>
          <w:rFonts w:ascii="Times New Roman" w:hAnsi="Times New Roman" w:cs="Times New Roman"/>
          <w:sz w:val="24"/>
          <w:szCs w:val="24"/>
        </w:rPr>
        <w:footnoteReference w:id="452"/>
      </w:r>
      <w:r w:rsidR="00DA069D">
        <w:rPr>
          <w:rFonts w:ascii="Times New Roman" w:hAnsi="Times New Roman" w:cs="Times New Roman"/>
          <w:sz w:val="24"/>
          <w:szCs w:val="24"/>
        </w:rPr>
        <w:t xml:space="preserve"> -- including governmental penalties.</w:t>
      </w:r>
      <w:r w:rsidR="00DA069D">
        <w:rPr>
          <w:rStyle w:val="FootnoteReference"/>
          <w:rFonts w:ascii="Times New Roman" w:hAnsi="Times New Roman" w:cs="Times New Roman"/>
          <w:sz w:val="24"/>
          <w:szCs w:val="24"/>
        </w:rPr>
        <w:footnoteReference w:id="453"/>
      </w:r>
      <w:r w:rsidR="009C1DFB">
        <w:rPr>
          <w:rFonts w:ascii="Times New Roman" w:hAnsi="Times New Roman" w:cs="Times New Roman"/>
          <w:sz w:val="24"/>
          <w:szCs w:val="24"/>
        </w:rPr>
        <w:t xml:space="preserve">  </w:t>
      </w:r>
      <w:r w:rsidR="00AE7B1B">
        <w:rPr>
          <w:rFonts w:ascii="Times New Roman" w:hAnsi="Times New Roman" w:cs="Times New Roman"/>
          <w:sz w:val="24"/>
          <w:szCs w:val="24"/>
        </w:rPr>
        <w:t xml:space="preserve">So for example, if AEPGR were to enter a consent decree with the Environmental Protection Agency requiring a capital project, customers would bear the costs </w:t>
      </w:r>
      <w:r w:rsidR="00AE7B1B">
        <w:rPr>
          <w:rFonts w:ascii="Times New Roman" w:hAnsi="Times New Roman" w:cs="Times New Roman"/>
          <w:i/>
          <w:sz w:val="24"/>
          <w:szCs w:val="24"/>
        </w:rPr>
        <w:t>plus a return on equity</w:t>
      </w:r>
      <w:r w:rsidR="00AE7B1B">
        <w:rPr>
          <w:rFonts w:ascii="Times New Roman" w:hAnsi="Times New Roman" w:cs="Times New Roman"/>
          <w:sz w:val="24"/>
          <w:szCs w:val="24"/>
        </w:rPr>
        <w:t>.</w:t>
      </w:r>
      <w:r w:rsidR="00AE7B1B">
        <w:rPr>
          <w:rStyle w:val="FootnoteReference"/>
          <w:rFonts w:ascii="Times New Roman" w:hAnsi="Times New Roman" w:cs="Times New Roman"/>
          <w:sz w:val="24"/>
          <w:szCs w:val="24"/>
        </w:rPr>
        <w:footnoteReference w:id="454"/>
      </w:r>
      <w:r w:rsidR="00AE7B1B">
        <w:rPr>
          <w:rFonts w:ascii="Times New Roman" w:hAnsi="Times New Roman" w:cs="Times New Roman"/>
          <w:sz w:val="24"/>
          <w:szCs w:val="24"/>
        </w:rPr>
        <w:t xml:space="preserve">  It readily acknowledges that customers would bear all the risk associated with an increase in the weighted average cost of capital.</w:t>
      </w:r>
      <w:r w:rsidR="00CA6F8E">
        <w:rPr>
          <w:rStyle w:val="FootnoteReference"/>
          <w:rFonts w:ascii="Times New Roman" w:hAnsi="Times New Roman" w:cs="Times New Roman"/>
          <w:sz w:val="24"/>
          <w:szCs w:val="24"/>
        </w:rPr>
        <w:footnoteReference w:id="455"/>
      </w:r>
      <w:r w:rsidR="00AE7B1B">
        <w:rPr>
          <w:rFonts w:ascii="Times New Roman" w:hAnsi="Times New Roman" w:cs="Times New Roman"/>
          <w:sz w:val="24"/>
          <w:szCs w:val="24"/>
        </w:rPr>
        <w:t xml:space="preserve">  </w:t>
      </w:r>
      <w:r w:rsidR="009C1DFB">
        <w:rPr>
          <w:rFonts w:ascii="Times New Roman" w:hAnsi="Times New Roman" w:cs="Times New Roman"/>
          <w:sz w:val="24"/>
          <w:szCs w:val="24"/>
        </w:rPr>
        <w:t xml:space="preserve">Indeed, it readily admits that one of the primary financial risks it is </w:t>
      </w:r>
      <w:r w:rsidR="003A47E3">
        <w:rPr>
          <w:rFonts w:ascii="Times New Roman" w:hAnsi="Times New Roman" w:cs="Times New Roman"/>
          <w:sz w:val="24"/>
          <w:szCs w:val="24"/>
        </w:rPr>
        <w:t xml:space="preserve">allegedly </w:t>
      </w:r>
      <w:r w:rsidR="009C1DFB">
        <w:rPr>
          <w:rFonts w:ascii="Times New Roman" w:hAnsi="Times New Roman" w:cs="Times New Roman"/>
          <w:sz w:val="24"/>
          <w:szCs w:val="24"/>
        </w:rPr>
        <w:t xml:space="preserve">retaining under its proposal – decreased credit rating due to disallowances – </w:t>
      </w:r>
      <w:r w:rsidR="009C1DFB" w:rsidRPr="009C1DFB">
        <w:rPr>
          <w:rFonts w:ascii="Times New Roman" w:hAnsi="Times New Roman" w:cs="Times New Roman"/>
          <w:sz w:val="24"/>
          <w:szCs w:val="24"/>
        </w:rPr>
        <w:t>could also flow through to customers</w:t>
      </w:r>
      <w:r w:rsidR="009C1DFB">
        <w:rPr>
          <w:rFonts w:ascii="Times New Roman" w:hAnsi="Times New Roman" w:cs="Times New Roman"/>
          <w:sz w:val="24"/>
          <w:szCs w:val="24"/>
        </w:rPr>
        <w:t>.</w:t>
      </w:r>
      <w:r w:rsidR="009C1DFB">
        <w:rPr>
          <w:rStyle w:val="FootnoteReference"/>
          <w:rFonts w:ascii="Times New Roman" w:hAnsi="Times New Roman" w:cs="Times New Roman"/>
          <w:sz w:val="24"/>
          <w:szCs w:val="24"/>
        </w:rPr>
        <w:footnoteReference w:id="456"/>
      </w:r>
      <w:r>
        <w:rPr>
          <w:rFonts w:ascii="Times New Roman" w:hAnsi="Times New Roman" w:cs="Times New Roman"/>
          <w:sz w:val="24"/>
          <w:szCs w:val="24"/>
        </w:rPr>
        <w:t xml:space="preserve">  Said succinctly, AEP Ohio’s customers would bear the risk “for all the costs associated with operating the [PPA] Units.”</w:t>
      </w:r>
      <w:r>
        <w:rPr>
          <w:rStyle w:val="FootnoteReference"/>
          <w:rFonts w:ascii="Times New Roman" w:hAnsi="Times New Roman" w:cs="Times New Roman"/>
          <w:sz w:val="24"/>
          <w:szCs w:val="24"/>
        </w:rPr>
        <w:footnoteReference w:id="457"/>
      </w:r>
    </w:p>
    <w:p w:rsidR="00B57F5D" w:rsidRDefault="00B57F5D" w:rsidP="00B57F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AEP Ohio has not met its burden of proof regarding rigorous oversight, information sharing, or properly allocating financial risk.</w:t>
      </w:r>
    </w:p>
    <w:p w:rsidR="0072418C" w:rsidRDefault="0072418C">
      <w:pPr>
        <w:rPr>
          <w:rFonts w:ascii="Times New Roman Bold" w:eastAsiaTheme="majorEastAsia" w:hAnsi="Times New Roman Bold" w:cs="Times New Roman"/>
          <w:b/>
          <w:bCs/>
          <w:sz w:val="24"/>
          <w:szCs w:val="26"/>
        </w:rPr>
      </w:pPr>
      <w:bookmarkStart w:id="88" w:name="_Toc435428216"/>
      <w:r>
        <w:br w:type="page"/>
      </w:r>
    </w:p>
    <w:p w:rsidR="00F45598" w:rsidRPr="00B57F5D" w:rsidRDefault="00272897" w:rsidP="00944942">
      <w:pPr>
        <w:pStyle w:val="Heading2"/>
      </w:pPr>
      <w:bookmarkStart w:id="89" w:name="_Toc442104184"/>
      <w:r>
        <w:t>D</w:t>
      </w:r>
      <w:r w:rsidR="00235743">
        <w:t>.</w:t>
      </w:r>
      <w:r w:rsidR="00235743">
        <w:tab/>
      </w:r>
      <w:r w:rsidR="00F45598" w:rsidRPr="00B57F5D">
        <w:t xml:space="preserve">Rejecting </w:t>
      </w:r>
      <w:r w:rsidR="00B57F5D">
        <w:t>t</w:t>
      </w:r>
      <w:r w:rsidR="00F45598" w:rsidRPr="00B57F5D">
        <w:t>he Amended Application</w:t>
      </w:r>
      <w:r w:rsidR="00B4413C">
        <w:t>/Modified Amended Application</w:t>
      </w:r>
      <w:r w:rsidR="00F45598" w:rsidRPr="00B57F5D">
        <w:t xml:space="preserve"> </w:t>
      </w:r>
      <w:r w:rsidR="00B57F5D">
        <w:t>i</w:t>
      </w:r>
      <w:r w:rsidR="00F45598" w:rsidRPr="00B57F5D">
        <w:t xml:space="preserve">s </w:t>
      </w:r>
      <w:r w:rsidR="00B57F5D">
        <w:t>c</w:t>
      </w:r>
      <w:r w:rsidR="00F45598" w:rsidRPr="00B57F5D">
        <w:t xml:space="preserve">onfirmed </w:t>
      </w:r>
      <w:r w:rsidR="00B57F5D">
        <w:t>b</w:t>
      </w:r>
      <w:r w:rsidR="00F45598" w:rsidRPr="00B57F5D">
        <w:t xml:space="preserve">y, </w:t>
      </w:r>
      <w:r w:rsidR="00B57F5D">
        <w:t>a</w:t>
      </w:r>
      <w:r w:rsidR="00F45598" w:rsidRPr="00B57F5D">
        <w:t xml:space="preserve">nd </w:t>
      </w:r>
      <w:r w:rsidR="00B57F5D">
        <w:t>i</w:t>
      </w:r>
      <w:r w:rsidR="00F45598" w:rsidRPr="00B57F5D">
        <w:t xml:space="preserve">ndependently </w:t>
      </w:r>
      <w:r w:rsidR="00B57F5D">
        <w:t>j</w:t>
      </w:r>
      <w:r w:rsidR="00F45598" w:rsidRPr="00B57F5D">
        <w:t xml:space="preserve">ustified </w:t>
      </w:r>
      <w:r w:rsidR="00B57F5D">
        <w:t>b</w:t>
      </w:r>
      <w:r w:rsidR="00F45598" w:rsidRPr="00B57F5D">
        <w:t xml:space="preserve">y, OCC’s </w:t>
      </w:r>
      <w:r w:rsidR="00B57F5D">
        <w:t>e</w:t>
      </w:r>
      <w:r w:rsidR="00F45598" w:rsidRPr="00B57F5D">
        <w:t>vidence</w:t>
      </w:r>
      <w:bookmarkEnd w:id="88"/>
      <w:r w:rsidR="00235743">
        <w:t>.</w:t>
      </w:r>
      <w:bookmarkEnd w:id="89"/>
    </w:p>
    <w:p w:rsidR="000B73A3" w:rsidRPr="00151E60" w:rsidRDefault="00235743" w:rsidP="00F27AA5">
      <w:pPr>
        <w:pStyle w:val="Heading3"/>
      </w:pPr>
      <w:bookmarkStart w:id="90" w:name="_Toc435428217"/>
      <w:bookmarkStart w:id="91" w:name="_Toc442104185"/>
      <w:r>
        <w:t xml:space="preserve">1. </w:t>
      </w:r>
      <w:r>
        <w:tab/>
      </w:r>
      <w:r w:rsidR="002E6FEA" w:rsidRPr="00151E60">
        <w:t xml:space="preserve">By subsidizing the PPA </w:t>
      </w:r>
      <w:r w:rsidR="00151E60">
        <w:t>U</w:t>
      </w:r>
      <w:r w:rsidR="002E6FEA" w:rsidRPr="00151E60">
        <w:t xml:space="preserve">nits’ operating and capital costs, the PPA </w:t>
      </w:r>
      <w:r w:rsidR="00151E60">
        <w:t>R</w:t>
      </w:r>
      <w:r w:rsidR="002E6FEA" w:rsidRPr="00151E60">
        <w:t>ider shifts all risks of their continued operation to AEP Ohio’s c</w:t>
      </w:r>
      <w:r w:rsidR="000B73A3" w:rsidRPr="00151E60">
        <w:t xml:space="preserve">aptive </w:t>
      </w:r>
      <w:r w:rsidR="002E6FEA" w:rsidRPr="00151E60">
        <w:t>customers, contrary to Ohio law and d</w:t>
      </w:r>
      <w:r w:rsidR="003A47E3" w:rsidRPr="00151E60">
        <w:t>istorting</w:t>
      </w:r>
      <w:r w:rsidR="002E6FEA" w:rsidRPr="00151E60">
        <w:t xml:space="preserve"> the PJM m</w:t>
      </w:r>
      <w:r w:rsidR="000B73A3" w:rsidRPr="00151E60">
        <w:t>arkets</w:t>
      </w:r>
      <w:bookmarkEnd w:id="90"/>
      <w:r>
        <w:t>.</w:t>
      </w:r>
      <w:bookmarkEnd w:id="91"/>
      <w:r w:rsidR="000B73A3" w:rsidRPr="00151E60">
        <w:t xml:space="preserve"> </w:t>
      </w:r>
    </w:p>
    <w:p w:rsidR="00316B0F" w:rsidRDefault="00151E60" w:rsidP="00316B0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0B73A3" w:rsidRPr="000B73A3">
        <w:rPr>
          <w:rFonts w:ascii="Times New Roman" w:hAnsi="Times New Roman" w:cs="Times New Roman"/>
          <w:sz w:val="24"/>
          <w:szCs w:val="24"/>
        </w:rPr>
        <w:t xml:space="preserve"> evidence in this proceeding shows that the proposed PPA Rider will result in the unlawful subsidization</w:t>
      </w:r>
      <w:r w:rsidR="000B73A3" w:rsidRPr="000B73A3">
        <w:rPr>
          <w:rStyle w:val="FootnoteReference"/>
          <w:rFonts w:ascii="Times New Roman" w:hAnsi="Times New Roman" w:cs="Times New Roman"/>
          <w:sz w:val="24"/>
          <w:szCs w:val="24"/>
        </w:rPr>
        <w:footnoteReference w:id="458"/>
      </w:r>
      <w:r w:rsidR="000B73A3" w:rsidRPr="000B73A3">
        <w:rPr>
          <w:rFonts w:ascii="Times New Roman" w:hAnsi="Times New Roman" w:cs="Times New Roman"/>
          <w:sz w:val="24"/>
          <w:szCs w:val="24"/>
        </w:rPr>
        <w:t xml:space="preserve"> of AEPGR’s merchant PPA Units by AEP Ohio’s captive customers.</w:t>
      </w:r>
      <w:r w:rsidR="000B73A3" w:rsidRPr="000B73A3">
        <w:rPr>
          <w:rStyle w:val="FootnoteReference"/>
          <w:rFonts w:ascii="Times New Roman" w:hAnsi="Times New Roman" w:cs="Times New Roman"/>
          <w:sz w:val="24"/>
          <w:szCs w:val="24"/>
        </w:rPr>
        <w:footnoteReference w:id="459"/>
      </w:r>
      <w:r w:rsidR="000B73A3" w:rsidRPr="000B73A3">
        <w:rPr>
          <w:rFonts w:ascii="Times New Roman" w:hAnsi="Times New Roman" w:cs="Times New Roman"/>
          <w:sz w:val="24"/>
          <w:szCs w:val="24"/>
        </w:rPr>
        <w:t xml:space="preserve">  Under the proposal, captive customers would be forced to pay for AEPGR’s investment in the PPA Units, including a guaranteed return on that investment, </w:t>
      </w:r>
    </w:p>
    <w:p w:rsidR="000B73A3" w:rsidRPr="000B73A3" w:rsidRDefault="000B73A3" w:rsidP="00316B0F">
      <w:pPr>
        <w:spacing w:after="0" w:line="480" w:lineRule="auto"/>
        <w:rPr>
          <w:rFonts w:ascii="Times New Roman" w:hAnsi="Times New Roman" w:cs="Times New Roman"/>
          <w:sz w:val="24"/>
          <w:szCs w:val="24"/>
        </w:rPr>
      </w:pPr>
      <w:r w:rsidRPr="000B73A3">
        <w:rPr>
          <w:rFonts w:ascii="Times New Roman" w:hAnsi="Times New Roman" w:cs="Times New Roman"/>
          <w:sz w:val="24"/>
          <w:szCs w:val="24"/>
        </w:rPr>
        <w:t>in the staggering amount of $2 billion ($1.6 on a net present value basis)</w:t>
      </w:r>
      <w:r w:rsidR="002A46DE">
        <w:rPr>
          <w:rStyle w:val="FootnoteReference"/>
          <w:rFonts w:ascii="Times New Roman" w:hAnsi="Times New Roman" w:cs="Times New Roman"/>
          <w:sz w:val="24"/>
          <w:szCs w:val="24"/>
        </w:rPr>
        <w:footnoteReference w:id="460"/>
      </w:r>
      <w:r w:rsidR="00117162">
        <w:rPr>
          <w:rFonts w:ascii="Times New Roman" w:hAnsi="Times New Roman" w:cs="Times New Roman"/>
          <w:sz w:val="24"/>
          <w:szCs w:val="24"/>
        </w:rPr>
        <w:t xml:space="preserve"> over the initial ten-</w:t>
      </w:r>
      <w:r w:rsidRPr="000B73A3">
        <w:rPr>
          <w:rFonts w:ascii="Times New Roman" w:hAnsi="Times New Roman" w:cs="Times New Roman"/>
          <w:sz w:val="24"/>
          <w:szCs w:val="24"/>
        </w:rPr>
        <w:t xml:space="preserve">year period </w:t>
      </w:r>
      <w:r w:rsidR="002A46DE">
        <w:rPr>
          <w:rFonts w:ascii="Times New Roman" w:hAnsi="Times New Roman" w:cs="Times New Roman"/>
          <w:sz w:val="24"/>
          <w:szCs w:val="24"/>
        </w:rPr>
        <w:t xml:space="preserve">(or eight and a half year period, if the Joint Stipulation is approved) </w:t>
      </w:r>
      <w:r w:rsidRPr="000B73A3">
        <w:rPr>
          <w:rFonts w:ascii="Times New Roman" w:hAnsi="Times New Roman" w:cs="Times New Roman"/>
          <w:sz w:val="24"/>
          <w:szCs w:val="24"/>
        </w:rPr>
        <w:t>of the PPA</w:t>
      </w:r>
      <w:r w:rsidR="003A47E3">
        <w:rPr>
          <w:rFonts w:ascii="Times New Roman" w:hAnsi="Times New Roman" w:cs="Times New Roman"/>
          <w:sz w:val="24"/>
          <w:szCs w:val="24"/>
        </w:rPr>
        <w:t>s</w:t>
      </w:r>
      <w:r w:rsidRPr="000B73A3">
        <w:rPr>
          <w:rFonts w:ascii="Times New Roman" w:hAnsi="Times New Roman" w:cs="Times New Roman"/>
          <w:sz w:val="24"/>
          <w:szCs w:val="24"/>
        </w:rPr>
        <w:t>.</w:t>
      </w:r>
      <w:r w:rsidRPr="000B73A3">
        <w:rPr>
          <w:rStyle w:val="FootnoteReference"/>
          <w:rFonts w:ascii="Times New Roman" w:hAnsi="Times New Roman" w:cs="Times New Roman"/>
          <w:sz w:val="24"/>
          <w:szCs w:val="24"/>
        </w:rPr>
        <w:footnoteReference w:id="461"/>
      </w:r>
      <w:r w:rsidRPr="000B73A3">
        <w:rPr>
          <w:rFonts w:ascii="Times New Roman" w:hAnsi="Times New Roman" w:cs="Times New Roman"/>
          <w:sz w:val="24"/>
          <w:szCs w:val="24"/>
        </w:rPr>
        <w:t xml:space="preserve">  Unfortunately, the harm to captive customers is not limited to the amount of this unlawful and unnecessary subsidy, but is exacerbated by the harm done to customers by the PPA Rider’s effect on </w:t>
      </w:r>
      <w:r w:rsidR="003A47E3">
        <w:rPr>
          <w:rFonts w:ascii="Times New Roman" w:hAnsi="Times New Roman" w:cs="Times New Roman"/>
          <w:sz w:val="24"/>
          <w:szCs w:val="24"/>
        </w:rPr>
        <w:t xml:space="preserve">the competitive market created by the General Assembly and </w:t>
      </w:r>
      <w:r w:rsidRPr="000B73A3">
        <w:rPr>
          <w:rFonts w:ascii="Times New Roman" w:hAnsi="Times New Roman" w:cs="Times New Roman"/>
          <w:sz w:val="24"/>
          <w:szCs w:val="24"/>
        </w:rPr>
        <w:t>PJM’s energy and capacity</w:t>
      </w:r>
      <w:r>
        <w:t xml:space="preserve"> </w:t>
      </w:r>
      <w:r w:rsidRPr="000B73A3">
        <w:rPr>
          <w:rFonts w:ascii="Times New Roman" w:hAnsi="Times New Roman" w:cs="Times New Roman"/>
          <w:sz w:val="24"/>
          <w:szCs w:val="24"/>
        </w:rPr>
        <w:t>markets.  This further harm, described below, provides additional justification to deny AEP Ohio’s Amended Application</w:t>
      </w:r>
      <w:r w:rsidR="004F6565">
        <w:rPr>
          <w:rFonts w:ascii="Times New Roman" w:hAnsi="Times New Roman" w:cs="Times New Roman"/>
          <w:sz w:val="24"/>
          <w:szCs w:val="24"/>
        </w:rPr>
        <w:t>/Modified Amended Application</w:t>
      </w:r>
      <w:r w:rsidRPr="000B73A3">
        <w:rPr>
          <w:rFonts w:ascii="Times New Roman" w:hAnsi="Times New Roman" w:cs="Times New Roman"/>
          <w:sz w:val="24"/>
          <w:szCs w:val="24"/>
        </w:rPr>
        <w:t>.</w:t>
      </w:r>
    </w:p>
    <w:p w:rsidR="000B73A3" w:rsidRDefault="00235743" w:rsidP="00C401CE">
      <w:pPr>
        <w:pStyle w:val="Heading4"/>
      </w:pPr>
      <w:bookmarkStart w:id="92" w:name="_Toc435428218"/>
      <w:bookmarkStart w:id="93" w:name="_Toc442104186"/>
      <w:r>
        <w:t>a.</w:t>
      </w:r>
      <w:r>
        <w:tab/>
      </w:r>
      <w:r w:rsidR="002E6FEA">
        <w:t xml:space="preserve">AEP Ohio’s PPA </w:t>
      </w:r>
      <w:r w:rsidR="00151E60">
        <w:t>R</w:t>
      </w:r>
      <w:r w:rsidR="002E6FEA">
        <w:t xml:space="preserve">ider proposal is antithetical to the competitive market created by the </w:t>
      </w:r>
      <w:r>
        <w:t>G</w:t>
      </w:r>
      <w:r w:rsidR="002E6FEA">
        <w:t xml:space="preserve">eneral </w:t>
      </w:r>
      <w:r>
        <w:t>A</w:t>
      </w:r>
      <w:r w:rsidR="000B73A3" w:rsidRPr="00DE06AF">
        <w:t>ssembly</w:t>
      </w:r>
      <w:bookmarkEnd w:id="92"/>
      <w:r>
        <w:t>.</w:t>
      </w:r>
      <w:bookmarkEnd w:id="93"/>
    </w:p>
    <w:p w:rsidR="00316B0F" w:rsidRDefault="003A47E3" w:rsidP="00316B0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S.B. 3</w:t>
      </w:r>
      <w:r w:rsidR="000B73A3" w:rsidRPr="00955134">
        <w:rPr>
          <w:rFonts w:ascii="Times New Roman" w:hAnsi="Times New Roman" w:cs="Times New Roman"/>
          <w:sz w:val="24"/>
          <w:szCs w:val="24"/>
        </w:rPr>
        <w:t xml:space="preserve"> became the law in Ohio in 1999</w:t>
      </w:r>
      <w:r w:rsidR="000B73A3" w:rsidRPr="00955134">
        <w:rPr>
          <w:rStyle w:val="FootnoteReference"/>
          <w:rFonts w:ascii="Times New Roman" w:hAnsi="Times New Roman" w:cs="Times New Roman"/>
          <w:sz w:val="24"/>
          <w:szCs w:val="24"/>
        </w:rPr>
        <w:footnoteReference w:id="462"/>
      </w:r>
      <w:r w:rsidR="000B73A3" w:rsidRPr="00955134">
        <w:rPr>
          <w:rFonts w:ascii="Times New Roman" w:hAnsi="Times New Roman" w:cs="Times New Roman"/>
          <w:sz w:val="24"/>
          <w:szCs w:val="24"/>
        </w:rPr>
        <w:t xml:space="preserve"> and the specific provisions pertaining to </w:t>
      </w:r>
      <w:r w:rsidR="000B73A3" w:rsidRPr="003A47E3">
        <w:rPr>
          <w:rFonts w:ascii="Times New Roman" w:hAnsi="Times New Roman" w:cs="Times New Roman"/>
          <w:sz w:val="24"/>
          <w:szCs w:val="24"/>
        </w:rPr>
        <w:t>stranded investment, R.C.</w:t>
      </w:r>
      <w:r w:rsidR="000B73A3">
        <w:t xml:space="preserve"> </w:t>
      </w:r>
      <w:r w:rsidR="000B73A3" w:rsidRPr="00955134">
        <w:rPr>
          <w:rFonts w:ascii="Times New Roman" w:hAnsi="Times New Roman" w:cs="Times New Roman"/>
          <w:sz w:val="24"/>
          <w:szCs w:val="24"/>
        </w:rPr>
        <w:t>4928.38 and 4928.39, remain applicable today.</w:t>
      </w:r>
      <w:r w:rsidR="000B73A3">
        <w:rPr>
          <w:rStyle w:val="FootnoteReference"/>
          <w:rFonts w:ascii="Times New Roman" w:hAnsi="Times New Roman" w:cs="Times New Roman"/>
          <w:sz w:val="24"/>
          <w:szCs w:val="24"/>
        </w:rPr>
        <w:footnoteReference w:id="463"/>
      </w:r>
      <w:r>
        <w:rPr>
          <w:rFonts w:ascii="Times New Roman" w:hAnsi="Times New Roman" w:cs="Times New Roman"/>
          <w:sz w:val="24"/>
          <w:szCs w:val="24"/>
        </w:rPr>
        <w:t xml:space="preserve"> </w:t>
      </w:r>
      <w:r w:rsidR="00F27AA5">
        <w:rPr>
          <w:rFonts w:ascii="Times New Roman" w:hAnsi="Times New Roman" w:cs="Times New Roman"/>
          <w:sz w:val="24"/>
          <w:szCs w:val="24"/>
        </w:rPr>
        <w:t xml:space="preserve"> </w:t>
      </w:r>
      <w:r>
        <w:rPr>
          <w:rFonts w:ascii="Times New Roman" w:hAnsi="Times New Roman" w:cs="Times New Roman"/>
          <w:sz w:val="24"/>
          <w:szCs w:val="24"/>
        </w:rPr>
        <w:t>The l</w:t>
      </w:r>
      <w:r w:rsidR="000B73A3" w:rsidRPr="00955134">
        <w:rPr>
          <w:rFonts w:ascii="Times New Roman" w:hAnsi="Times New Roman" w:cs="Times New Roman"/>
          <w:sz w:val="24"/>
          <w:szCs w:val="24"/>
        </w:rPr>
        <w:t>egislative goals of S.B. 3 were to deregulate the generation market and end the use of cost-based rates for generation services in the state of Ohio.</w:t>
      </w:r>
      <w:r w:rsidR="000B73A3" w:rsidRPr="00955134">
        <w:rPr>
          <w:rStyle w:val="FootnoteReference"/>
          <w:rFonts w:ascii="Times New Roman" w:hAnsi="Times New Roman" w:cs="Times New Roman"/>
          <w:sz w:val="24"/>
          <w:szCs w:val="24"/>
        </w:rPr>
        <w:footnoteReference w:id="464"/>
      </w:r>
      <w:r w:rsidR="000B73A3" w:rsidRPr="00955134">
        <w:rPr>
          <w:rFonts w:ascii="Times New Roman" w:hAnsi="Times New Roman" w:cs="Times New Roman"/>
          <w:sz w:val="24"/>
          <w:szCs w:val="24"/>
        </w:rPr>
        <w:t xml:space="preserve"> </w:t>
      </w:r>
      <w:r w:rsidR="00F27AA5">
        <w:rPr>
          <w:rFonts w:ascii="Times New Roman" w:hAnsi="Times New Roman" w:cs="Times New Roman"/>
          <w:sz w:val="24"/>
          <w:szCs w:val="24"/>
        </w:rPr>
        <w:t xml:space="preserve"> </w:t>
      </w:r>
      <w:r w:rsidR="000B73A3" w:rsidRPr="00955134">
        <w:rPr>
          <w:rFonts w:ascii="Times New Roman" w:hAnsi="Times New Roman" w:cs="Times New Roman"/>
          <w:sz w:val="24"/>
          <w:szCs w:val="24"/>
        </w:rPr>
        <w:t>Cost-based regulation was to be replaced by market competition as a means to determine the wholesale and retail generation price</w:t>
      </w:r>
      <w:r w:rsidR="00117162">
        <w:rPr>
          <w:rFonts w:ascii="Times New Roman" w:hAnsi="Times New Roman" w:cs="Times New Roman"/>
          <w:sz w:val="24"/>
          <w:szCs w:val="24"/>
        </w:rPr>
        <w:t>s</w:t>
      </w:r>
      <w:r w:rsidR="000B73A3" w:rsidRPr="00955134">
        <w:rPr>
          <w:rFonts w:ascii="Times New Roman" w:hAnsi="Times New Roman" w:cs="Times New Roman"/>
          <w:sz w:val="24"/>
          <w:szCs w:val="24"/>
        </w:rPr>
        <w:t xml:space="preserve"> for all electricity customers.</w:t>
      </w:r>
      <w:r w:rsidR="000B73A3">
        <w:rPr>
          <w:rStyle w:val="FootnoteReference"/>
          <w:rFonts w:ascii="Times New Roman" w:hAnsi="Times New Roman" w:cs="Times New Roman"/>
          <w:sz w:val="24"/>
          <w:szCs w:val="24"/>
        </w:rPr>
        <w:footnoteReference w:id="465"/>
      </w:r>
      <w:r w:rsidR="00F27AA5">
        <w:rPr>
          <w:rFonts w:ascii="Times New Roman" w:hAnsi="Times New Roman" w:cs="Times New Roman"/>
          <w:sz w:val="24"/>
          <w:szCs w:val="24"/>
        </w:rPr>
        <w:t xml:space="preserve"> </w:t>
      </w:r>
      <w:r w:rsidR="000B73A3" w:rsidRPr="00955134">
        <w:rPr>
          <w:rFonts w:ascii="Times New Roman" w:hAnsi="Times New Roman" w:cs="Times New Roman"/>
          <w:sz w:val="24"/>
          <w:szCs w:val="24"/>
        </w:rPr>
        <w:t xml:space="preserve"> Consequently, after the enactment of </w:t>
      </w:r>
    </w:p>
    <w:p w:rsidR="000B73A3" w:rsidRDefault="000B73A3" w:rsidP="00316B0F">
      <w:pPr>
        <w:spacing w:after="0" w:line="480" w:lineRule="auto"/>
        <w:rPr>
          <w:rFonts w:ascii="Times New Roman" w:hAnsi="Times New Roman" w:cs="Times New Roman"/>
          <w:sz w:val="24"/>
          <w:szCs w:val="24"/>
        </w:rPr>
      </w:pPr>
      <w:r w:rsidRPr="00955134">
        <w:rPr>
          <w:rFonts w:ascii="Times New Roman" w:hAnsi="Times New Roman" w:cs="Times New Roman"/>
          <w:sz w:val="24"/>
          <w:szCs w:val="24"/>
        </w:rPr>
        <w:t>S.B. 3, market forces are to determine which power plants should be operated and which power plants should be retired if they are inefficient and uneconomic.</w:t>
      </w:r>
      <w:r>
        <w:rPr>
          <w:rStyle w:val="FootnoteReference"/>
          <w:rFonts w:ascii="Times New Roman" w:hAnsi="Times New Roman" w:cs="Times New Roman"/>
          <w:sz w:val="24"/>
          <w:szCs w:val="24"/>
        </w:rPr>
        <w:footnoteReference w:id="466"/>
      </w:r>
      <w:r w:rsidRPr="00955134">
        <w:rPr>
          <w:rFonts w:ascii="Times New Roman" w:hAnsi="Times New Roman" w:cs="Times New Roman"/>
          <w:sz w:val="24"/>
          <w:szCs w:val="24"/>
        </w:rPr>
        <w:t xml:space="preserve"> </w:t>
      </w:r>
      <w:r w:rsidR="00F27AA5">
        <w:rPr>
          <w:rFonts w:ascii="Times New Roman" w:hAnsi="Times New Roman" w:cs="Times New Roman"/>
          <w:sz w:val="24"/>
          <w:szCs w:val="24"/>
        </w:rPr>
        <w:t xml:space="preserve"> </w:t>
      </w:r>
      <w:r w:rsidRPr="00955134">
        <w:rPr>
          <w:rFonts w:ascii="Times New Roman" w:hAnsi="Times New Roman" w:cs="Times New Roman"/>
          <w:sz w:val="24"/>
          <w:szCs w:val="24"/>
        </w:rPr>
        <w:t>The fundamental idea behind S.B. 3 is that retail customers should not now be asked to protect Ohio electric utilities from competitive generation market risks or losses.</w:t>
      </w:r>
      <w:r w:rsidR="0039332A">
        <w:rPr>
          <w:rFonts w:ascii="Times New Roman" w:hAnsi="Times New Roman" w:cs="Times New Roman"/>
          <w:sz w:val="24"/>
          <w:szCs w:val="24"/>
        </w:rPr>
        <w:t xml:space="preserve"> Customers should also not be asked to pay a penny more than the market price for generation.</w:t>
      </w:r>
      <w:r w:rsidRPr="00955134">
        <w:rPr>
          <w:rFonts w:ascii="Times New Roman" w:hAnsi="Times New Roman" w:cs="Times New Roman"/>
          <w:sz w:val="24"/>
          <w:szCs w:val="24"/>
        </w:rPr>
        <w:t xml:space="preserve"> </w:t>
      </w:r>
    </w:p>
    <w:p w:rsidR="00376C37" w:rsidRPr="00DE06AF" w:rsidRDefault="00151E60" w:rsidP="00316B0F">
      <w:pPr>
        <w:pStyle w:val="Heading5"/>
      </w:pPr>
      <w:bookmarkStart w:id="94" w:name="_Toc435428219"/>
      <w:bookmarkStart w:id="95" w:name="_Toc442104187"/>
      <w:r w:rsidRPr="00587D71">
        <w:t>i</w:t>
      </w:r>
      <w:r>
        <w:t>.</w:t>
      </w:r>
      <w:r>
        <w:tab/>
      </w:r>
      <w:r w:rsidR="000D5D69">
        <w:t xml:space="preserve">Under R.C. 4928.38, </w:t>
      </w:r>
      <w:r w:rsidR="00CC107A">
        <w:rPr>
          <w:rFonts w:cs="Times New Roman"/>
        </w:rPr>
        <w:t>AEP Ohio may</w:t>
      </w:r>
      <w:r w:rsidR="000D5D69" w:rsidRPr="00E428DF">
        <w:rPr>
          <w:rFonts w:cs="Times New Roman"/>
        </w:rPr>
        <w:t xml:space="preserve"> no longer receive transition revenues and “shall be fully on its own in the competitive market</w:t>
      </w:r>
      <w:r w:rsidR="000D5D69">
        <w:rPr>
          <w:rFonts w:cs="Times New Roman"/>
        </w:rPr>
        <w:t>.”</w:t>
      </w:r>
      <w:bookmarkEnd w:id="94"/>
      <w:bookmarkEnd w:id="95"/>
    </w:p>
    <w:p w:rsidR="000B73A3" w:rsidRPr="00955134" w:rsidRDefault="000B73A3" w:rsidP="00A57413">
      <w:pPr>
        <w:spacing w:after="0" w:line="480" w:lineRule="auto"/>
        <w:ind w:firstLine="720"/>
        <w:rPr>
          <w:rFonts w:ascii="Times New Roman" w:hAnsi="Times New Roman" w:cs="Times New Roman"/>
          <w:sz w:val="24"/>
          <w:szCs w:val="24"/>
        </w:rPr>
      </w:pPr>
      <w:r w:rsidRPr="00955134">
        <w:rPr>
          <w:rFonts w:ascii="Times New Roman" w:hAnsi="Times New Roman" w:cs="Times New Roman"/>
          <w:sz w:val="24"/>
          <w:szCs w:val="24"/>
        </w:rPr>
        <w:t xml:space="preserve">A market development period was provided under S.B. 3 to provide electric utilities in </w:t>
      </w:r>
      <w:r w:rsidRPr="003A47E3">
        <w:rPr>
          <w:rFonts w:ascii="Times New Roman" w:hAnsi="Times New Roman" w:cs="Times New Roman"/>
          <w:sz w:val="24"/>
          <w:szCs w:val="24"/>
        </w:rPr>
        <w:t xml:space="preserve">Ohio time to prepare for a competitive market environment. </w:t>
      </w:r>
      <w:r w:rsidR="00F27AA5">
        <w:rPr>
          <w:rFonts w:ascii="Times New Roman" w:hAnsi="Times New Roman" w:cs="Times New Roman"/>
          <w:sz w:val="24"/>
          <w:szCs w:val="24"/>
        </w:rPr>
        <w:t xml:space="preserve"> </w:t>
      </w:r>
      <w:r w:rsidRPr="003A47E3">
        <w:rPr>
          <w:rFonts w:ascii="Times New Roman" w:hAnsi="Times New Roman" w:cs="Times New Roman"/>
          <w:sz w:val="24"/>
          <w:szCs w:val="24"/>
        </w:rPr>
        <w:t>Under R.C.  4928.38</w:t>
      </w:r>
      <w:r w:rsidR="004F6565">
        <w:rPr>
          <w:rFonts w:ascii="Times New Roman" w:hAnsi="Times New Roman" w:cs="Times New Roman"/>
          <w:sz w:val="24"/>
          <w:szCs w:val="24"/>
        </w:rPr>
        <w:t>,</w:t>
      </w:r>
      <w:r w:rsidRPr="003A47E3">
        <w:rPr>
          <w:rFonts w:ascii="Times New Roman" w:hAnsi="Times New Roman" w:cs="Times New Roman"/>
          <w:sz w:val="24"/>
          <w:szCs w:val="24"/>
        </w:rPr>
        <w:t xml:space="preserve"> an electric utility had the opportunity to receive transition revenues</w:t>
      </w:r>
      <w:r w:rsidRPr="003A47E3">
        <w:rPr>
          <w:rStyle w:val="FootnoteReference"/>
          <w:rFonts w:ascii="Times New Roman" w:hAnsi="Times New Roman" w:cs="Times New Roman"/>
          <w:sz w:val="24"/>
          <w:szCs w:val="24"/>
        </w:rPr>
        <w:footnoteReference w:id="467"/>
      </w:r>
      <w:r w:rsidRPr="003A47E3">
        <w:rPr>
          <w:rFonts w:ascii="Times New Roman" w:hAnsi="Times New Roman" w:cs="Times New Roman"/>
          <w:sz w:val="24"/>
          <w:szCs w:val="24"/>
        </w:rPr>
        <w:t xml:space="preserve"> from the starting date of competitive retail electric service through the end of the market development period. </w:t>
      </w:r>
      <w:r w:rsidR="00F27AA5">
        <w:rPr>
          <w:rFonts w:ascii="Times New Roman" w:hAnsi="Times New Roman" w:cs="Times New Roman"/>
          <w:sz w:val="24"/>
          <w:szCs w:val="24"/>
        </w:rPr>
        <w:t xml:space="preserve"> </w:t>
      </w:r>
      <w:r w:rsidRPr="003A47E3">
        <w:rPr>
          <w:rFonts w:ascii="Times New Roman" w:hAnsi="Times New Roman" w:cs="Times New Roman"/>
          <w:sz w:val="24"/>
          <w:szCs w:val="24"/>
        </w:rPr>
        <w:t>That time period expired on December 31, 2005.</w:t>
      </w:r>
      <w:r w:rsidRPr="003A47E3">
        <w:rPr>
          <w:rStyle w:val="FootnoteReference"/>
          <w:rFonts w:ascii="Times New Roman" w:hAnsi="Times New Roman" w:cs="Times New Roman"/>
          <w:sz w:val="24"/>
          <w:szCs w:val="24"/>
        </w:rPr>
        <w:t xml:space="preserve"> </w:t>
      </w:r>
      <w:r w:rsidRPr="003A47E3">
        <w:rPr>
          <w:rStyle w:val="FootnoteReference"/>
          <w:rFonts w:ascii="Times New Roman" w:hAnsi="Times New Roman" w:cs="Times New Roman"/>
          <w:sz w:val="24"/>
          <w:szCs w:val="24"/>
        </w:rPr>
        <w:footnoteReference w:id="468"/>
      </w:r>
      <w:r w:rsidRPr="003A47E3">
        <w:rPr>
          <w:rFonts w:ascii="Times New Roman" w:hAnsi="Times New Roman" w:cs="Times New Roman"/>
          <w:sz w:val="24"/>
          <w:szCs w:val="24"/>
        </w:rPr>
        <w:t xml:space="preserve">  R.C. 4928.38 provides that once a utility’s market development period ends, “the utility shall be fully on its own in the competitive market” and</w:t>
      </w:r>
      <w:r w:rsidRPr="00955134">
        <w:rPr>
          <w:rFonts w:ascii="Times New Roman" w:hAnsi="Times New Roman" w:cs="Times New Roman"/>
          <w:sz w:val="24"/>
          <w:szCs w:val="24"/>
        </w:rPr>
        <w:t xml:space="preserve"> that the commission “shall not authorize the receipt of transition revenues or any equivalent revenues” after the termination of the market development period</w:t>
      </w:r>
      <w:r w:rsidRPr="000D5D69">
        <w:rPr>
          <w:rFonts w:ascii="Times New Roman" w:hAnsi="Times New Roman" w:cs="Times New Roman"/>
          <w:sz w:val="24"/>
          <w:szCs w:val="24"/>
        </w:rPr>
        <w:t>.</w:t>
      </w:r>
      <w:r w:rsidRPr="000D5D69">
        <w:rPr>
          <w:rStyle w:val="FootnoteReference"/>
          <w:rFonts w:ascii="Times New Roman" w:hAnsi="Times New Roman" w:cs="Times New Roman"/>
          <w:sz w:val="24"/>
          <w:szCs w:val="24"/>
        </w:rPr>
        <w:footnoteReference w:id="469"/>
      </w:r>
      <w:r w:rsidR="000D5D69" w:rsidRPr="000D5D69">
        <w:rPr>
          <w:rFonts w:ascii="Times New Roman" w:hAnsi="Times New Roman" w:cs="Times New Roman"/>
          <w:sz w:val="24"/>
          <w:szCs w:val="24"/>
        </w:rPr>
        <w:t xml:space="preserve"> AEP Ohio has already reaped the benefit of the market development period paid </w:t>
      </w:r>
      <w:r w:rsidR="000D5D69">
        <w:rPr>
          <w:rFonts w:ascii="Times New Roman" w:hAnsi="Times New Roman" w:cs="Times New Roman"/>
          <w:sz w:val="24"/>
          <w:szCs w:val="24"/>
        </w:rPr>
        <w:t xml:space="preserve">for </w:t>
      </w:r>
      <w:r w:rsidR="000D5D69" w:rsidRPr="000D5D69">
        <w:rPr>
          <w:rFonts w:ascii="Times New Roman" w:hAnsi="Times New Roman" w:cs="Times New Roman"/>
          <w:sz w:val="24"/>
          <w:szCs w:val="24"/>
        </w:rPr>
        <w:t>by consumers,</w:t>
      </w:r>
      <w:r w:rsidR="000D5D69">
        <w:rPr>
          <w:rFonts w:ascii="Times New Roman" w:hAnsi="Times New Roman" w:cs="Times New Roman"/>
          <w:sz w:val="24"/>
          <w:szCs w:val="24"/>
        </w:rPr>
        <w:t xml:space="preserve"> and it</w:t>
      </w:r>
      <w:r w:rsidR="000D5D69" w:rsidRPr="000D5D69">
        <w:rPr>
          <w:rFonts w:ascii="Times New Roman" w:hAnsi="Times New Roman" w:cs="Times New Roman"/>
          <w:sz w:val="24"/>
          <w:szCs w:val="24"/>
        </w:rPr>
        <w:t xml:space="preserve"> is over</w:t>
      </w:r>
      <w:r w:rsidR="000D5D69">
        <w:rPr>
          <w:rFonts w:ascii="Times New Roman" w:hAnsi="Times New Roman" w:cs="Times New Roman"/>
          <w:sz w:val="24"/>
          <w:szCs w:val="24"/>
        </w:rPr>
        <w:t>.</w:t>
      </w:r>
    </w:p>
    <w:p w:rsidR="000B73A3" w:rsidRDefault="000B73A3" w:rsidP="00A57413">
      <w:pPr>
        <w:spacing w:after="0" w:line="480" w:lineRule="auto"/>
        <w:ind w:firstLine="720"/>
        <w:rPr>
          <w:rFonts w:ascii="Times New Roman" w:hAnsi="Times New Roman" w:cs="Times New Roman"/>
          <w:sz w:val="24"/>
          <w:szCs w:val="24"/>
        </w:rPr>
      </w:pPr>
      <w:r w:rsidRPr="00A1338D">
        <w:rPr>
          <w:rFonts w:ascii="Times New Roman" w:hAnsi="Times New Roman" w:cs="Times New Roman"/>
          <w:sz w:val="24"/>
          <w:szCs w:val="24"/>
        </w:rPr>
        <w:t xml:space="preserve">The market period has elapsed. From December 31, 2005 </w:t>
      </w:r>
      <w:r w:rsidR="00034B2E">
        <w:rPr>
          <w:rFonts w:ascii="Times New Roman" w:hAnsi="Times New Roman" w:cs="Times New Roman"/>
          <w:sz w:val="24"/>
          <w:szCs w:val="24"/>
        </w:rPr>
        <w:t>onwards</w:t>
      </w:r>
      <w:r w:rsidRPr="00A1338D">
        <w:rPr>
          <w:rFonts w:ascii="Times New Roman" w:hAnsi="Times New Roman" w:cs="Times New Roman"/>
          <w:sz w:val="24"/>
          <w:szCs w:val="24"/>
        </w:rPr>
        <w:t>, prices are supposed to be determined based on market forces.</w:t>
      </w:r>
      <w:r w:rsidRPr="00A1338D">
        <w:rPr>
          <w:rStyle w:val="FootnoteReference"/>
          <w:rFonts w:ascii="Times New Roman" w:hAnsi="Times New Roman" w:cs="Times New Roman"/>
          <w:sz w:val="24"/>
          <w:szCs w:val="24"/>
        </w:rPr>
        <w:footnoteReference w:id="470"/>
      </w:r>
      <w:r w:rsidRPr="00A1338D">
        <w:rPr>
          <w:rFonts w:ascii="Times New Roman" w:hAnsi="Times New Roman" w:cs="Times New Roman"/>
          <w:sz w:val="24"/>
          <w:szCs w:val="24"/>
        </w:rPr>
        <w:t xml:space="preserve"> </w:t>
      </w:r>
      <w:r w:rsidR="00F27AA5">
        <w:rPr>
          <w:rFonts w:ascii="Times New Roman" w:hAnsi="Times New Roman" w:cs="Times New Roman"/>
          <w:sz w:val="24"/>
          <w:szCs w:val="24"/>
        </w:rPr>
        <w:t xml:space="preserve"> </w:t>
      </w:r>
      <w:r w:rsidRPr="00A1338D">
        <w:rPr>
          <w:rFonts w:ascii="Times New Roman" w:hAnsi="Times New Roman" w:cs="Times New Roman"/>
          <w:sz w:val="24"/>
          <w:szCs w:val="24"/>
        </w:rPr>
        <w:t xml:space="preserve">That is, </w:t>
      </w:r>
      <w:r w:rsidR="00376C37">
        <w:rPr>
          <w:rFonts w:ascii="Times New Roman" w:hAnsi="Times New Roman" w:cs="Times New Roman"/>
          <w:sz w:val="24"/>
          <w:szCs w:val="24"/>
        </w:rPr>
        <w:t>AEP Ohio</w:t>
      </w:r>
      <w:r w:rsidRPr="00A1338D">
        <w:rPr>
          <w:rFonts w:ascii="Times New Roman" w:hAnsi="Times New Roman" w:cs="Times New Roman"/>
          <w:sz w:val="24"/>
          <w:szCs w:val="24"/>
        </w:rPr>
        <w:t xml:space="preserve"> (and its affiliate) cannot charge captive customers of regulated services for revenues to support </w:t>
      </w:r>
      <w:r w:rsidR="00034B2E">
        <w:rPr>
          <w:rFonts w:ascii="Times New Roman" w:hAnsi="Times New Roman" w:cs="Times New Roman"/>
          <w:sz w:val="24"/>
          <w:szCs w:val="24"/>
        </w:rPr>
        <w:t xml:space="preserve"> deregulated </w:t>
      </w:r>
      <w:r w:rsidRPr="00A1338D">
        <w:rPr>
          <w:rFonts w:ascii="Times New Roman" w:hAnsi="Times New Roman" w:cs="Times New Roman"/>
          <w:sz w:val="24"/>
          <w:szCs w:val="24"/>
        </w:rPr>
        <w:t>power plants.</w:t>
      </w:r>
      <w:r w:rsidRPr="00A1338D">
        <w:rPr>
          <w:rStyle w:val="FootnoteReference"/>
          <w:rFonts w:ascii="Times New Roman" w:hAnsi="Times New Roman" w:cs="Times New Roman"/>
          <w:sz w:val="24"/>
          <w:szCs w:val="24"/>
        </w:rPr>
        <w:footnoteReference w:id="471"/>
      </w:r>
      <w:r w:rsidRPr="00A1338D">
        <w:rPr>
          <w:rFonts w:ascii="Times New Roman" w:hAnsi="Times New Roman" w:cs="Times New Roman"/>
          <w:sz w:val="24"/>
          <w:szCs w:val="24"/>
        </w:rPr>
        <w:t xml:space="preserve"> </w:t>
      </w:r>
      <w:r w:rsidR="00F27AA5">
        <w:rPr>
          <w:rFonts w:ascii="Times New Roman" w:hAnsi="Times New Roman" w:cs="Times New Roman"/>
          <w:sz w:val="24"/>
          <w:szCs w:val="24"/>
        </w:rPr>
        <w:t xml:space="preserve"> </w:t>
      </w:r>
      <w:r w:rsidR="00A1338D">
        <w:rPr>
          <w:rFonts w:ascii="Times New Roman" w:hAnsi="Times New Roman" w:cs="Times New Roman"/>
          <w:sz w:val="24"/>
          <w:szCs w:val="24"/>
        </w:rPr>
        <w:t>AEPGR</w:t>
      </w:r>
      <w:r w:rsidRPr="00A1338D">
        <w:rPr>
          <w:rFonts w:ascii="Times New Roman" w:hAnsi="Times New Roman" w:cs="Times New Roman"/>
          <w:sz w:val="24"/>
          <w:szCs w:val="24"/>
        </w:rPr>
        <w:t xml:space="preserve"> is now “wholly responsible” for whether they are in a competitive position in the generation market.</w:t>
      </w:r>
      <w:r w:rsidRPr="00A1338D">
        <w:rPr>
          <w:rStyle w:val="FootnoteReference"/>
          <w:rFonts w:ascii="Times New Roman" w:hAnsi="Times New Roman" w:cs="Times New Roman"/>
          <w:sz w:val="24"/>
          <w:szCs w:val="24"/>
        </w:rPr>
        <w:footnoteReference w:id="472"/>
      </w:r>
      <w:r w:rsidRPr="00A1338D">
        <w:rPr>
          <w:rFonts w:ascii="Times New Roman" w:hAnsi="Times New Roman" w:cs="Times New Roman"/>
          <w:sz w:val="24"/>
          <w:szCs w:val="24"/>
        </w:rPr>
        <w:t xml:space="preserve"> </w:t>
      </w:r>
      <w:r w:rsidR="00F27AA5">
        <w:rPr>
          <w:rFonts w:ascii="Times New Roman" w:hAnsi="Times New Roman" w:cs="Times New Roman"/>
          <w:sz w:val="24"/>
          <w:szCs w:val="24"/>
        </w:rPr>
        <w:t xml:space="preserve"> </w:t>
      </w:r>
      <w:r w:rsidRPr="00A1338D">
        <w:rPr>
          <w:rFonts w:ascii="Times New Roman" w:hAnsi="Times New Roman" w:cs="Times New Roman"/>
          <w:sz w:val="24"/>
          <w:szCs w:val="24"/>
        </w:rPr>
        <w:t>Customers should not be asked to guarantee the profitability of AEP Ohio’s affiliate-owned generation units.</w:t>
      </w:r>
      <w:r w:rsidRPr="00A1338D">
        <w:rPr>
          <w:rStyle w:val="FootnoteReference"/>
          <w:rFonts w:ascii="Times New Roman" w:hAnsi="Times New Roman" w:cs="Times New Roman"/>
          <w:sz w:val="24"/>
          <w:szCs w:val="24"/>
        </w:rPr>
        <w:footnoteReference w:id="473"/>
      </w:r>
      <w:r w:rsidRPr="00A1338D">
        <w:rPr>
          <w:rFonts w:ascii="Times New Roman" w:hAnsi="Times New Roman" w:cs="Times New Roman"/>
          <w:sz w:val="24"/>
          <w:szCs w:val="24"/>
        </w:rPr>
        <w:t xml:space="preserve"> </w:t>
      </w:r>
      <w:r w:rsidR="00F27AA5">
        <w:rPr>
          <w:rFonts w:ascii="Times New Roman" w:hAnsi="Times New Roman" w:cs="Times New Roman"/>
          <w:sz w:val="24"/>
          <w:szCs w:val="24"/>
        </w:rPr>
        <w:t xml:space="preserve"> </w:t>
      </w:r>
      <w:r w:rsidRPr="00A1338D">
        <w:rPr>
          <w:rFonts w:ascii="Times New Roman" w:hAnsi="Times New Roman" w:cs="Times New Roman"/>
          <w:sz w:val="24"/>
          <w:szCs w:val="24"/>
        </w:rPr>
        <w:t xml:space="preserve">Here, that is precisely what </w:t>
      </w:r>
      <w:r w:rsidR="00A1338D">
        <w:rPr>
          <w:rFonts w:ascii="Times New Roman" w:hAnsi="Times New Roman" w:cs="Times New Roman"/>
          <w:sz w:val="24"/>
          <w:szCs w:val="24"/>
        </w:rPr>
        <w:t>AEP Ohio is proposing</w:t>
      </w:r>
      <w:r w:rsidRPr="00A1338D">
        <w:rPr>
          <w:rFonts w:ascii="Times New Roman" w:hAnsi="Times New Roman" w:cs="Times New Roman"/>
          <w:sz w:val="24"/>
          <w:szCs w:val="24"/>
        </w:rPr>
        <w:t xml:space="preserve"> because the PPA Rider, if approved, would essentially amount to a bail-out funded by consumers for PPA Units.</w:t>
      </w:r>
      <w:r w:rsidRPr="00A1338D">
        <w:rPr>
          <w:rStyle w:val="FootnoteReference"/>
          <w:rFonts w:ascii="Times New Roman" w:hAnsi="Times New Roman" w:cs="Times New Roman"/>
          <w:sz w:val="24"/>
          <w:szCs w:val="24"/>
        </w:rPr>
        <w:footnoteReference w:id="474"/>
      </w:r>
      <w:r w:rsidRPr="00A1338D">
        <w:rPr>
          <w:rFonts w:ascii="Times New Roman" w:hAnsi="Times New Roman" w:cs="Times New Roman"/>
          <w:sz w:val="24"/>
          <w:szCs w:val="24"/>
        </w:rPr>
        <w:t xml:space="preserve"> </w:t>
      </w:r>
      <w:r w:rsidR="00F27AA5">
        <w:rPr>
          <w:rFonts w:ascii="Times New Roman" w:hAnsi="Times New Roman" w:cs="Times New Roman"/>
          <w:sz w:val="24"/>
          <w:szCs w:val="24"/>
        </w:rPr>
        <w:t xml:space="preserve"> </w:t>
      </w:r>
      <w:r w:rsidRPr="00A1338D">
        <w:rPr>
          <w:rFonts w:ascii="Times New Roman" w:hAnsi="Times New Roman" w:cs="Times New Roman"/>
          <w:sz w:val="24"/>
          <w:szCs w:val="24"/>
        </w:rPr>
        <w:t xml:space="preserve">This </w:t>
      </w:r>
      <w:r w:rsidR="00C22382">
        <w:rPr>
          <w:rFonts w:ascii="Times New Roman" w:hAnsi="Times New Roman" w:cs="Times New Roman"/>
          <w:sz w:val="24"/>
          <w:szCs w:val="24"/>
        </w:rPr>
        <w:t>would be bad</w:t>
      </w:r>
      <w:r w:rsidRPr="00A1338D">
        <w:rPr>
          <w:rFonts w:ascii="Times New Roman" w:hAnsi="Times New Roman" w:cs="Times New Roman"/>
          <w:sz w:val="24"/>
          <w:szCs w:val="24"/>
        </w:rPr>
        <w:t xml:space="preserve"> public policy</w:t>
      </w:r>
      <w:r w:rsidR="00C22382">
        <w:rPr>
          <w:rFonts w:ascii="Times New Roman" w:hAnsi="Times New Roman" w:cs="Times New Roman"/>
          <w:sz w:val="24"/>
          <w:szCs w:val="24"/>
        </w:rPr>
        <w:t>, it is a violation of Ohio public policy in R.C. 4828.02(H) among other policies,</w:t>
      </w:r>
      <w:r w:rsidRPr="00A1338D">
        <w:rPr>
          <w:rFonts w:ascii="Times New Roman" w:hAnsi="Times New Roman" w:cs="Times New Roman"/>
          <w:sz w:val="24"/>
          <w:szCs w:val="24"/>
        </w:rPr>
        <w:t xml:space="preserve"> and it is contrary to the legislative mandate that </w:t>
      </w:r>
      <w:r w:rsidR="00613BA2">
        <w:rPr>
          <w:rFonts w:ascii="Times New Roman" w:hAnsi="Times New Roman" w:cs="Times New Roman"/>
          <w:sz w:val="24"/>
          <w:szCs w:val="24"/>
        </w:rPr>
        <w:t>the industry is</w:t>
      </w:r>
      <w:r w:rsidRPr="00A1338D">
        <w:rPr>
          <w:rFonts w:ascii="Times New Roman" w:hAnsi="Times New Roman" w:cs="Times New Roman"/>
          <w:sz w:val="24"/>
          <w:szCs w:val="24"/>
        </w:rPr>
        <w:t xml:space="preserve"> to be on </w:t>
      </w:r>
      <w:r w:rsidR="00613BA2">
        <w:rPr>
          <w:rFonts w:ascii="Times New Roman" w:hAnsi="Times New Roman" w:cs="Times New Roman"/>
          <w:sz w:val="24"/>
          <w:szCs w:val="24"/>
        </w:rPr>
        <w:t>its</w:t>
      </w:r>
      <w:r w:rsidR="00613BA2" w:rsidRPr="00A1338D">
        <w:rPr>
          <w:rFonts w:ascii="Times New Roman" w:hAnsi="Times New Roman" w:cs="Times New Roman"/>
          <w:sz w:val="24"/>
          <w:szCs w:val="24"/>
        </w:rPr>
        <w:t xml:space="preserve"> </w:t>
      </w:r>
      <w:r w:rsidRPr="00A1338D">
        <w:rPr>
          <w:rFonts w:ascii="Times New Roman" w:hAnsi="Times New Roman" w:cs="Times New Roman"/>
          <w:sz w:val="24"/>
          <w:szCs w:val="24"/>
        </w:rPr>
        <w:t>own in the competitive market.</w:t>
      </w:r>
      <w:r w:rsidRPr="00A1338D">
        <w:rPr>
          <w:rStyle w:val="FootnoteReference"/>
          <w:rFonts w:ascii="Times New Roman" w:hAnsi="Times New Roman" w:cs="Times New Roman"/>
          <w:sz w:val="24"/>
          <w:szCs w:val="24"/>
        </w:rPr>
        <w:footnoteReference w:id="475"/>
      </w:r>
      <w:r w:rsidRPr="00A1338D">
        <w:rPr>
          <w:rFonts w:ascii="Times New Roman" w:hAnsi="Times New Roman" w:cs="Times New Roman"/>
          <w:sz w:val="24"/>
          <w:szCs w:val="24"/>
        </w:rPr>
        <w:t xml:space="preserve"> </w:t>
      </w:r>
    </w:p>
    <w:p w:rsidR="00376C37" w:rsidRPr="00DE06AF" w:rsidRDefault="00151E60" w:rsidP="00316B0F">
      <w:pPr>
        <w:pStyle w:val="Heading5"/>
      </w:pPr>
      <w:bookmarkStart w:id="96" w:name="_Toc442104188"/>
      <w:bookmarkStart w:id="97" w:name="_Toc435428220"/>
      <w:r w:rsidRPr="00587D71">
        <w:t>ii</w:t>
      </w:r>
      <w:r>
        <w:t>.</w:t>
      </w:r>
      <w:r>
        <w:tab/>
      </w:r>
      <w:r w:rsidR="002E6FEA" w:rsidRPr="00151E60">
        <w:t xml:space="preserve">Neither AEP nor AEPGR should be permitted to </w:t>
      </w:r>
      <w:r w:rsidR="00BF1B18">
        <w:t xml:space="preserve">use government regulation to </w:t>
      </w:r>
      <w:r w:rsidR="002E6FEA" w:rsidRPr="00151E60">
        <w:t xml:space="preserve">collect additional revenues </w:t>
      </w:r>
      <w:r w:rsidR="004C49CB">
        <w:t xml:space="preserve">from </w:t>
      </w:r>
      <w:r w:rsidR="00BF1B18">
        <w:t xml:space="preserve">captive </w:t>
      </w:r>
      <w:r w:rsidR="004C49CB">
        <w:t>consumers</w:t>
      </w:r>
      <w:r w:rsidR="00BF1B18">
        <w:t>.</w:t>
      </w:r>
      <w:bookmarkEnd w:id="96"/>
      <w:r w:rsidR="004C49CB">
        <w:t xml:space="preserve"> </w:t>
      </w:r>
      <w:bookmarkEnd w:id="97"/>
    </w:p>
    <w:p w:rsidR="000B73A3" w:rsidRPr="00A1338D" w:rsidRDefault="000B73A3" w:rsidP="00A57413">
      <w:pPr>
        <w:spacing w:after="0" w:line="480" w:lineRule="auto"/>
        <w:ind w:firstLine="720"/>
        <w:rPr>
          <w:rFonts w:ascii="Times New Roman" w:hAnsi="Times New Roman" w:cs="Times New Roman"/>
          <w:sz w:val="24"/>
          <w:szCs w:val="24"/>
        </w:rPr>
      </w:pPr>
      <w:r w:rsidRPr="00A1338D">
        <w:rPr>
          <w:rFonts w:ascii="Times New Roman" w:hAnsi="Times New Roman" w:cs="Times New Roman"/>
          <w:sz w:val="24"/>
          <w:szCs w:val="24"/>
        </w:rPr>
        <w:t>The PPA Rider can be viewed as either (1) a continuation of transition or “stranded” cost recovery for those power plants, which as explained above should no longer be permitted or (2) a loosely-designed cost-based regulation that incorporate</w:t>
      </w:r>
      <w:r w:rsidR="00A1338D" w:rsidRPr="00A1338D">
        <w:rPr>
          <w:rFonts w:ascii="Times New Roman" w:hAnsi="Times New Roman" w:cs="Times New Roman"/>
          <w:sz w:val="24"/>
          <w:szCs w:val="24"/>
        </w:rPr>
        <w:t>s</w:t>
      </w:r>
      <w:r w:rsidRPr="00A1338D">
        <w:rPr>
          <w:rFonts w:ascii="Times New Roman" w:hAnsi="Times New Roman" w:cs="Times New Roman"/>
          <w:sz w:val="24"/>
          <w:szCs w:val="24"/>
        </w:rPr>
        <w:t xml:space="preserve"> a revenue guarantee for those generation plants.</w:t>
      </w:r>
      <w:r w:rsidRPr="00A1338D">
        <w:rPr>
          <w:rStyle w:val="FootnoteReference"/>
          <w:rFonts w:ascii="Times New Roman" w:hAnsi="Times New Roman" w:cs="Times New Roman"/>
          <w:sz w:val="24"/>
          <w:szCs w:val="24"/>
        </w:rPr>
        <w:footnoteReference w:id="476"/>
      </w:r>
      <w:r w:rsidRPr="00A1338D">
        <w:rPr>
          <w:rFonts w:ascii="Times New Roman" w:hAnsi="Times New Roman" w:cs="Times New Roman"/>
          <w:sz w:val="24"/>
          <w:szCs w:val="24"/>
        </w:rPr>
        <w:t xml:space="preserve"> </w:t>
      </w:r>
      <w:r w:rsidR="00F27AA5">
        <w:rPr>
          <w:rFonts w:ascii="Times New Roman" w:hAnsi="Times New Roman" w:cs="Times New Roman"/>
          <w:sz w:val="24"/>
          <w:szCs w:val="24"/>
        </w:rPr>
        <w:t xml:space="preserve"> </w:t>
      </w:r>
      <w:r w:rsidR="0039332A">
        <w:rPr>
          <w:rFonts w:ascii="Times New Roman" w:hAnsi="Times New Roman" w:cs="Times New Roman"/>
          <w:sz w:val="24"/>
          <w:szCs w:val="24"/>
        </w:rPr>
        <w:t>Either</w:t>
      </w:r>
      <w:r w:rsidRPr="00A1338D">
        <w:rPr>
          <w:rFonts w:ascii="Times New Roman" w:hAnsi="Times New Roman" w:cs="Times New Roman"/>
          <w:sz w:val="24"/>
          <w:szCs w:val="24"/>
        </w:rPr>
        <w:t xml:space="preserve"> is problematic because the “cost” (or PPA contract price) of the specific generation assets is determined through bilateral contracts between affiliated companies, and the “cost” (or contract price) are not set by FERC or the PUCO.</w:t>
      </w:r>
      <w:r w:rsidRPr="00A1338D">
        <w:rPr>
          <w:rStyle w:val="FootnoteReference"/>
          <w:rFonts w:ascii="Times New Roman" w:hAnsi="Times New Roman" w:cs="Times New Roman"/>
          <w:sz w:val="24"/>
          <w:szCs w:val="24"/>
        </w:rPr>
        <w:footnoteReference w:id="477"/>
      </w:r>
      <w:r w:rsidRPr="00A1338D">
        <w:rPr>
          <w:rFonts w:ascii="Times New Roman" w:hAnsi="Times New Roman" w:cs="Times New Roman"/>
          <w:sz w:val="24"/>
          <w:szCs w:val="24"/>
        </w:rPr>
        <w:t xml:space="preserve"> </w:t>
      </w:r>
      <w:r w:rsidR="00F27AA5">
        <w:rPr>
          <w:rFonts w:ascii="Times New Roman" w:hAnsi="Times New Roman" w:cs="Times New Roman"/>
          <w:sz w:val="24"/>
          <w:szCs w:val="24"/>
        </w:rPr>
        <w:t xml:space="preserve"> </w:t>
      </w:r>
      <w:r w:rsidRPr="00A1338D">
        <w:rPr>
          <w:rFonts w:ascii="Times New Roman" w:hAnsi="Times New Roman" w:cs="Times New Roman"/>
          <w:sz w:val="24"/>
          <w:szCs w:val="24"/>
        </w:rPr>
        <w:t>But the proposed PPA is considerably inferior to the traditional cost-based regulation because it is actually a revenue guarantee masked as partial cost-based regulation.</w:t>
      </w:r>
      <w:r w:rsidRPr="00A1338D">
        <w:rPr>
          <w:rStyle w:val="FootnoteReference"/>
          <w:rFonts w:ascii="Times New Roman" w:hAnsi="Times New Roman" w:cs="Times New Roman"/>
          <w:sz w:val="24"/>
          <w:szCs w:val="24"/>
        </w:rPr>
        <w:footnoteReference w:id="478"/>
      </w:r>
      <w:r w:rsidRPr="00A1338D">
        <w:rPr>
          <w:rFonts w:ascii="Times New Roman" w:hAnsi="Times New Roman" w:cs="Times New Roman"/>
          <w:sz w:val="24"/>
          <w:szCs w:val="24"/>
        </w:rPr>
        <w:t xml:space="preserve"> </w:t>
      </w:r>
      <w:r w:rsidR="00F27AA5">
        <w:rPr>
          <w:rFonts w:ascii="Times New Roman" w:hAnsi="Times New Roman" w:cs="Times New Roman"/>
          <w:sz w:val="24"/>
          <w:szCs w:val="24"/>
        </w:rPr>
        <w:t xml:space="preserve"> </w:t>
      </w:r>
      <w:r w:rsidR="00A1338D">
        <w:rPr>
          <w:rFonts w:ascii="Times New Roman" w:hAnsi="Times New Roman" w:cs="Times New Roman"/>
          <w:sz w:val="24"/>
          <w:szCs w:val="24"/>
        </w:rPr>
        <w:t>The</w:t>
      </w:r>
      <w:r w:rsidRPr="00A1338D">
        <w:rPr>
          <w:rFonts w:ascii="Times New Roman" w:hAnsi="Times New Roman" w:cs="Times New Roman"/>
          <w:sz w:val="24"/>
          <w:szCs w:val="24"/>
        </w:rPr>
        <w:t xml:space="preserve"> proposal lacks the important checks and balances that usually accompany traditional or cost-based regulation, such as </w:t>
      </w:r>
      <w:r w:rsidR="0039332A">
        <w:rPr>
          <w:rFonts w:ascii="Times New Roman" w:hAnsi="Times New Roman" w:cs="Times New Roman"/>
          <w:sz w:val="24"/>
          <w:szCs w:val="24"/>
        </w:rPr>
        <w:t xml:space="preserve">a rigorous or </w:t>
      </w:r>
      <w:r w:rsidR="00A1338D">
        <w:rPr>
          <w:rFonts w:ascii="Times New Roman" w:hAnsi="Times New Roman" w:cs="Times New Roman"/>
          <w:sz w:val="24"/>
          <w:szCs w:val="24"/>
        </w:rPr>
        <w:t xml:space="preserve">meaningful </w:t>
      </w:r>
      <w:r w:rsidRPr="00A1338D">
        <w:rPr>
          <w:rFonts w:ascii="Times New Roman" w:hAnsi="Times New Roman" w:cs="Times New Roman"/>
          <w:sz w:val="24"/>
          <w:szCs w:val="24"/>
        </w:rPr>
        <w:t>prudence review of costs incurred</w:t>
      </w:r>
      <w:r w:rsidR="0039332A">
        <w:rPr>
          <w:rFonts w:ascii="Times New Roman" w:hAnsi="Times New Roman" w:cs="Times New Roman"/>
          <w:sz w:val="24"/>
          <w:szCs w:val="24"/>
        </w:rPr>
        <w:t>, and information sharing</w:t>
      </w:r>
      <w:r w:rsidRPr="00A1338D">
        <w:rPr>
          <w:rFonts w:ascii="Times New Roman" w:hAnsi="Times New Roman" w:cs="Times New Roman"/>
          <w:sz w:val="24"/>
          <w:szCs w:val="24"/>
        </w:rPr>
        <w:t>.</w:t>
      </w:r>
      <w:r w:rsidRPr="00A1338D">
        <w:rPr>
          <w:rStyle w:val="FootnoteReference"/>
          <w:rFonts w:ascii="Times New Roman" w:hAnsi="Times New Roman" w:cs="Times New Roman"/>
          <w:sz w:val="24"/>
          <w:szCs w:val="24"/>
        </w:rPr>
        <w:footnoteReference w:id="479"/>
      </w:r>
    </w:p>
    <w:p w:rsidR="000B73A3" w:rsidRPr="00A1338D" w:rsidRDefault="000B73A3" w:rsidP="00A57413">
      <w:pPr>
        <w:spacing w:after="0" w:line="480" w:lineRule="auto"/>
        <w:ind w:firstLine="720"/>
        <w:rPr>
          <w:rFonts w:ascii="Times New Roman" w:hAnsi="Times New Roman" w:cs="Times New Roman"/>
          <w:sz w:val="24"/>
          <w:szCs w:val="24"/>
        </w:rPr>
      </w:pPr>
      <w:r w:rsidRPr="00A1338D">
        <w:rPr>
          <w:rFonts w:ascii="Times New Roman" w:hAnsi="Times New Roman" w:cs="Times New Roman"/>
          <w:sz w:val="24"/>
          <w:szCs w:val="24"/>
        </w:rPr>
        <w:t>Under the proposed PPA, in a broader sense, AEP would be collecting additional revenues (that are above market price) fr</w:t>
      </w:r>
      <w:r w:rsidR="00151E60">
        <w:rPr>
          <w:rFonts w:ascii="Times New Roman" w:hAnsi="Times New Roman" w:cs="Times New Roman"/>
          <w:sz w:val="24"/>
          <w:szCs w:val="24"/>
        </w:rPr>
        <w:t>om captive customers of its EDU</w:t>
      </w:r>
      <w:r w:rsidRPr="00A1338D">
        <w:rPr>
          <w:rFonts w:ascii="Times New Roman" w:hAnsi="Times New Roman" w:cs="Times New Roman"/>
          <w:sz w:val="24"/>
          <w:szCs w:val="24"/>
        </w:rPr>
        <w:t>s.</w:t>
      </w:r>
      <w:r w:rsidRPr="00A1338D">
        <w:rPr>
          <w:rStyle w:val="FootnoteReference"/>
          <w:rFonts w:ascii="Times New Roman" w:hAnsi="Times New Roman" w:cs="Times New Roman"/>
          <w:sz w:val="24"/>
          <w:szCs w:val="24"/>
        </w:rPr>
        <w:footnoteReference w:id="480"/>
      </w:r>
      <w:r w:rsidRPr="00A1338D">
        <w:rPr>
          <w:rFonts w:ascii="Times New Roman" w:hAnsi="Times New Roman" w:cs="Times New Roman"/>
          <w:sz w:val="24"/>
          <w:szCs w:val="24"/>
        </w:rPr>
        <w:t xml:space="preserve"> </w:t>
      </w:r>
      <w:r w:rsidR="00F27AA5">
        <w:rPr>
          <w:rFonts w:ascii="Times New Roman" w:hAnsi="Times New Roman" w:cs="Times New Roman"/>
          <w:sz w:val="24"/>
          <w:szCs w:val="24"/>
        </w:rPr>
        <w:t xml:space="preserve"> </w:t>
      </w:r>
      <w:r w:rsidRPr="00A1338D">
        <w:rPr>
          <w:rFonts w:ascii="Times New Roman" w:hAnsi="Times New Roman" w:cs="Times New Roman"/>
          <w:sz w:val="24"/>
          <w:szCs w:val="24"/>
        </w:rPr>
        <w:t>And then the revenues would be transferred to the unregulated subsidiary AEPGR</w:t>
      </w:r>
      <w:r w:rsidR="00A1338D">
        <w:rPr>
          <w:rFonts w:ascii="Times New Roman" w:hAnsi="Times New Roman" w:cs="Times New Roman"/>
          <w:sz w:val="24"/>
          <w:szCs w:val="24"/>
        </w:rPr>
        <w:t xml:space="preserve"> (the entity that actually owns</w:t>
      </w:r>
      <w:r w:rsidRPr="00A1338D">
        <w:rPr>
          <w:rFonts w:ascii="Times New Roman" w:hAnsi="Times New Roman" w:cs="Times New Roman"/>
          <w:sz w:val="24"/>
          <w:szCs w:val="24"/>
        </w:rPr>
        <w:t xml:space="preserve"> generation assets that are no longer price-regulated by the State of Ohio).</w:t>
      </w:r>
      <w:r w:rsidRPr="00A1338D">
        <w:rPr>
          <w:rStyle w:val="FootnoteReference"/>
          <w:rFonts w:ascii="Times New Roman" w:hAnsi="Times New Roman" w:cs="Times New Roman"/>
          <w:sz w:val="24"/>
          <w:szCs w:val="24"/>
        </w:rPr>
        <w:footnoteReference w:id="481"/>
      </w:r>
      <w:r w:rsidRPr="00A1338D">
        <w:rPr>
          <w:rFonts w:ascii="Times New Roman" w:hAnsi="Times New Roman" w:cs="Times New Roman"/>
          <w:sz w:val="24"/>
          <w:szCs w:val="24"/>
        </w:rPr>
        <w:t xml:space="preserve"> </w:t>
      </w:r>
      <w:r w:rsidR="00F27AA5">
        <w:rPr>
          <w:rFonts w:ascii="Times New Roman" w:hAnsi="Times New Roman" w:cs="Times New Roman"/>
          <w:sz w:val="24"/>
          <w:szCs w:val="24"/>
        </w:rPr>
        <w:t xml:space="preserve"> </w:t>
      </w:r>
      <w:r w:rsidRPr="00A1338D">
        <w:rPr>
          <w:rFonts w:ascii="Times New Roman" w:hAnsi="Times New Roman" w:cs="Times New Roman"/>
          <w:sz w:val="24"/>
          <w:szCs w:val="24"/>
        </w:rPr>
        <w:t>By doing so, AEP will receive a guaranteed return on some of its generation capital investments.</w:t>
      </w:r>
      <w:r w:rsidRPr="00A1338D">
        <w:rPr>
          <w:rStyle w:val="FootnoteReference"/>
          <w:rFonts w:ascii="Times New Roman" w:hAnsi="Times New Roman" w:cs="Times New Roman"/>
          <w:sz w:val="24"/>
          <w:szCs w:val="24"/>
        </w:rPr>
        <w:footnoteReference w:id="482"/>
      </w:r>
      <w:r w:rsidRPr="00A1338D">
        <w:rPr>
          <w:rFonts w:ascii="Times New Roman" w:hAnsi="Times New Roman" w:cs="Times New Roman"/>
          <w:sz w:val="24"/>
          <w:szCs w:val="24"/>
        </w:rPr>
        <w:t xml:space="preserve"> </w:t>
      </w:r>
      <w:r w:rsidR="00F27AA5">
        <w:rPr>
          <w:rFonts w:ascii="Times New Roman" w:hAnsi="Times New Roman" w:cs="Times New Roman"/>
          <w:sz w:val="24"/>
          <w:szCs w:val="24"/>
        </w:rPr>
        <w:t xml:space="preserve"> </w:t>
      </w:r>
      <w:r w:rsidRPr="00A1338D">
        <w:rPr>
          <w:rFonts w:ascii="Times New Roman" w:hAnsi="Times New Roman" w:cs="Times New Roman"/>
          <w:sz w:val="24"/>
          <w:szCs w:val="24"/>
        </w:rPr>
        <w:t>These revenues would provide AEP, or its unregulated subsidiary AEPGR, additional dollars that it allegedly otherwise cannot collect by selling generation services in the wholesale or retail market.</w:t>
      </w:r>
      <w:r w:rsidRPr="00A1338D">
        <w:rPr>
          <w:rStyle w:val="FootnoteReference"/>
          <w:rFonts w:ascii="Times New Roman" w:hAnsi="Times New Roman" w:cs="Times New Roman"/>
          <w:sz w:val="24"/>
          <w:szCs w:val="24"/>
        </w:rPr>
        <w:footnoteReference w:id="483"/>
      </w:r>
      <w:r w:rsidRPr="00A1338D">
        <w:rPr>
          <w:rFonts w:ascii="Times New Roman" w:hAnsi="Times New Roman" w:cs="Times New Roman"/>
          <w:sz w:val="24"/>
          <w:szCs w:val="24"/>
        </w:rPr>
        <w:t xml:space="preserve">  </w:t>
      </w:r>
    </w:p>
    <w:p w:rsidR="000B73A3" w:rsidRDefault="000B73A3" w:rsidP="00A57413">
      <w:pPr>
        <w:spacing w:after="0" w:line="480" w:lineRule="auto"/>
        <w:ind w:firstLine="720"/>
        <w:rPr>
          <w:rFonts w:ascii="Times New Roman" w:hAnsi="Times New Roman" w:cs="Times New Roman"/>
          <w:sz w:val="24"/>
          <w:szCs w:val="24"/>
        </w:rPr>
      </w:pPr>
      <w:r w:rsidRPr="000560B5">
        <w:rPr>
          <w:rFonts w:ascii="Times New Roman" w:hAnsi="Times New Roman" w:cs="Times New Roman"/>
          <w:sz w:val="24"/>
          <w:szCs w:val="24"/>
        </w:rPr>
        <w:t>This scheme is contrary to the legislative intent of S.B. 3 to create a competitive generation market in the state.</w:t>
      </w:r>
      <w:r w:rsidRPr="000560B5">
        <w:rPr>
          <w:rStyle w:val="FootnoteReference"/>
          <w:rFonts w:ascii="Times New Roman" w:hAnsi="Times New Roman" w:cs="Times New Roman"/>
          <w:sz w:val="24"/>
          <w:szCs w:val="24"/>
        </w:rPr>
        <w:footnoteReference w:id="484"/>
      </w:r>
      <w:r w:rsidRPr="000560B5">
        <w:rPr>
          <w:rFonts w:ascii="Times New Roman" w:hAnsi="Times New Roman" w:cs="Times New Roman"/>
          <w:sz w:val="24"/>
          <w:szCs w:val="24"/>
        </w:rPr>
        <w:t xml:space="preserve"> </w:t>
      </w:r>
      <w:r w:rsidR="00F27AA5">
        <w:rPr>
          <w:rFonts w:ascii="Times New Roman" w:hAnsi="Times New Roman" w:cs="Times New Roman"/>
          <w:sz w:val="24"/>
          <w:szCs w:val="24"/>
        </w:rPr>
        <w:t xml:space="preserve"> </w:t>
      </w:r>
      <w:r w:rsidRPr="000560B5">
        <w:rPr>
          <w:rFonts w:ascii="Times New Roman" w:hAnsi="Times New Roman" w:cs="Times New Roman"/>
          <w:sz w:val="24"/>
          <w:szCs w:val="24"/>
        </w:rPr>
        <w:t>If AEP Ohio’s Amended Application</w:t>
      </w:r>
      <w:r w:rsidR="00D57ED3">
        <w:rPr>
          <w:rFonts w:ascii="Times New Roman" w:hAnsi="Times New Roman" w:cs="Times New Roman"/>
          <w:sz w:val="24"/>
          <w:szCs w:val="24"/>
        </w:rPr>
        <w:t>/Modified Amended Application</w:t>
      </w:r>
      <w:r w:rsidRPr="000560B5">
        <w:rPr>
          <w:rFonts w:ascii="Times New Roman" w:hAnsi="Times New Roman" w:cs="Times New Roman"/>
          <w:sz w:val="24"/>
          <w:szCs w:val="24"/>
        </w:rPr>
        <w:t xml:space="preserve"> were granted by the PUCO, some of AEPGR’s generation plants would receive this additional revenue in the form of a guaranteed return.</w:t>
      </w:r>
      <w:r w:rsidRPr="000560B5">
        <w:rPr>
          <w:rStyle w:val="FootnoteReference"/>
          <w:rFonts w:ascii="Times New Roman" w:hAnsi="Times New Roman" w:cs="Times New Roman"/>
          <w:sz w:val="24"/>
          <w:szCs w:val="24"/>
        </w:rPr>
        <w:footnoteReference w:id="485"/>
      </w:r>
      <w:r w:rsidRPr="000560B5">
        <w:rPr>
          <w:rFonts w:ascii="Times New Roman" w:hAnsi="Times New Roman" w:cs="Times New Roman"/>
          <w:sz w:val="24"/>
          <w:szCs w:val="24"/>
        </w:rPr>
        <w:t xml:space="preserve"> </w:t>
      </w:r>
      <w:r w:rsidR="00F27AA5">
        <w:rPr>
          <w:rFonts w:ascii="Times New Roman" w:hAnsi="Times New Roman" w:cs="Times New Roman"/>
          <w:sz w:val="24"/>
          <w:szCs w:val="24"/>
        </w:rPr>
        <w:t xml:space="preserve"> </w:t>
      </w:r>
      <w:r w:rsidRPr="000560B5">
        <w:rPr>
          <w:rFonts w:ascii="Times New Roman" w:hAnsi="Times New Roman" w:cs="Times New Roman"/>
          <w:sz w:val="24"/>
          <w:szCs w:val="24"/>
        </w:rPr>
        <w:t>But other non-affiliated electric suppliers would not receive any similar guaranteed return for their competing in the market.</w:t>
      </w:r>
      <w:r w:rsidRPr="000560B5">
        <w:rPr>
          <w:rStyle w:val="FootnoteReference"/>
          <w:rFonts w:ascii="Times New Roman" w:hAnsi="Times New Roman" w:cs="Times New Roman"/>
          <w:sz w:val="24"/>
          <w:szCs w:val="24"/>
        </w:rPr>
        <w:footnoteReference w:id="486"/>
      </w:r>
      <w:r w:rsidRPr="000560B5">
        <w:rPr>
          <w:rFonts w:ascii="Times New Roman" w:hAnsi="Times New Roman" w:cs="Times New Roman"/>
          <w:sz w:val="24"/>
          <w:szCs w:val="24"/>
        </w:rPr>
        <w:t xml:space="preserve"> </w:t>
      </w:r>
      <w:r w:rsidR="00F27AA5">
        <w:rPr>
          <w:rFonts w:ascii="Times New Roman" w:hAnsi="Times New Roman" w:cs="Times New Roman"/>
          <w:sz w:val="24"/>
          <w:szCs w:val="24"/>
        </w:rPr>
        <w:t xml:space="preserve"> </w:t>
      </w:r>
      <w:r w:rsidRPr="000560B5">
        <w:rPr>
          <w:rFonts w:ascii="Times New Roman" w:hAnsi="Times New Roman" w:cs="Times New Roman"/>
          <w:sz w:val="24"/>
          <w:szCs w:val="24"/>
        </w:rPr>
        <w:t xml:space="preserve">In this regard, </w:t>
      </w:r>
      <w:r w:rsidR="007E1654">
        <w:rPr>
          <w:rFonts w:ascii="Times New Roman" w:hAnsi="Times New Roman" w:cs="Times New Roman"/>
          <w:sz w:val="24"/>
          <w:szCs w:val="24"/>
        </w:rPr>
        <w:t>approving</w:t>
      </w:r>
      <w:r w:rsidRPr="000560B5">
        <w:rPr>
          <w:rFonts w:ascii="Times New Roman" w:hAnsi="Times New Roman" w:cs="Times New Roman"/>
          <w:sz w:val="24"/>
          <w:szCs w:val="24"/>
        </w:rPr>
        <w:t xml:space="preserve"> the PPA and its associated Rider will place generators other than AEPGR at a competitive disadvantage in the market.</w:t>
      </w:r>
      <w:r w:rsidRPr="000560B5">
        <w:rPr>
          <w:rStyle w:val="FootnoteReference"/>
          <w:rFonts w:ascii="Times New Roman" w:hAnsi="Times New Roman" w:cs="Times New Roman"/>
          <w:sz w:val="24"/>
          <w:szCs w:val="24"/>
        </w:rPr>
        <w:footnoteReference w:id="487"/>
      </w:r>
      <w:r w:rsidRPr="000560B5">
        <w:rPr>
          <w:rFonts w:ascii="Times New Roman" w:hAnsi="Times New Roman" w:cs="Times New Roman"/>
          <w:sz w:val="24"/>
          <w:szCs w:val="24"/>
        </w:rPr>
        <w:t xml:space="preserve"> And the PPA Rider will impair the operation of a competitive market that is intended to provide generation pricing for Ohio electric customers.</w:t>
      </w:r>
      <w:r w:rsidRPr="000560B5">
        <w:rPr>
          <w:rStyle w:val="FootnoteReference"/>
          <w:rFonts w:ascii="Times New Roman" w:hAnsi="Times New Roman" w:cs="Times New Roman"/>
          <w:sz w:val="24"/>
          <w:szCs w:val="24"/>
        </w:rPr>
        <w:footnoteReference w:id="488"/>
      </w:r>
    </w:p>
    <w:p w:rsidR="00376C37" w:rsidRPr="00DE06AF" w:rsidRDefault="00235743" w:rsidP="00C401CE">
      <w:pPr>
        <w:pStyle w:val="Heading4"/>
      </w:pPr>
      <w:bookmarkStart w:id="98" w:name="_Toc442104189"/>
      <w:r>
        <w:t>b.</w:t>
      </w:r>
      <w:r>
        <w:tab/>
      </w:r>
      <w:bookmarkStart w:id="99" w:name="_Toc435428221"/>
      <w:r w:rsidR="002E6FEA">
        <w:t xml:space="preserve">The PPA </w:t>
      </w:r>
      <w:r w:rsidR="00151E60">
        <w:t>R</w:t>
      </w:r>
      <w:r w:rsidR="00376C37" w:rsidRPr="00DE06AF">
        <w:t xml:space="preserve">ider </w:t>
      </w:r>
      <w:r w:rsidR="002E6FEA">
        <w:t>c</w:t>
      </w:r>
      <w:r w:rsidR="00664A8D" w:rsidRPr="00664A8D">
        <w:t>ross</w:t>
      </w:r>
      <w:r w:rsidR="002E6FEA">
        <w:t>-subsidizes generation contrary to state p</w:t>
      </w:r>
      <w:r w:rsidR="00376C37" w:rsidRPr="00DE06AF">
        <w:t>olicy</w:t>
      </w:r>
      <w:bookmarkEnd w:id="99"/>
      <w:r w:rsidR="004C49CB">
        <w:t xml:space="preserve"> and consumer interests</w:t>
      </w:r>
      <w:r>
        <w:t>.</w:t>
      </w:r>
      <w:bookmarkEnd w:id="98"/>
    </w:p>
    <w:p w:rsidR="0039332A" w:rsidRDefault="000B73A3" w:rsidP="00316B0F">
      <w:pPr>
        <w:spacing w:after="0" w:line="480" w:lineRule="auto"/>
        <w:ind w:firstLine="720"/>
        <w:contextualSpacing/>
        <w:rPr>
          <w:rFonts w:ascii="Times New Roman" w:eastAsia="PMingLiU" w:hAnsi="Times New Roman" w:cs="Times New Roman"/>
          <w:sz w:val="24"/>
          <w:szCs w:val="24"/>
        </w:rPr>
      </w:pPr>
      <w:r w:rsidRPr="000560B5">
        <w:rPr>
          <w:rFonts w:ascii="Times New Roman" w:eastAsia="PMingLiU" w:hAnsi="Times New Roman" w:cs="Times New Roman"/>
          <w:sz w:val="24"/>
          <w:szCs w:val="24"/>
        </w:rPr>
        <w:t xml:space="preserve">Authorization of the PPA Rider would also </w:t>
      </w:r>
      <w:r w:rsidR="00723D8A">
        <w:rPr>
          <w:rFonts w:ascii="Times New Roman" w:eastAsia="PMingLiU" w:hAnsi="Times New Roman" w:cs="Times New Roman"/>
          <w:sz w:val="24"/>
          <w:szCs w:val="24"/>
        </w:rPr>
        <w:t>not ensure the avoidance of</w:t>
      </w:r>
      <w:r w:rsidRPr="000560B5">
        <w:rPr>
          <w:rFonts w:ascii="Times New Roman" w:eastAsia="PMingLiU" w:hAnsi="Times New Roman" w:cs="Times New Roman"/>
          <w:sz w:val="24"/>
          <w:szCs w:val="24"/>
        </w:rPr>
        <w:t xml:space="preserve"> anticompetitive subsidies </w:t>
      </w:r>
      <w:r w:rsidR="00723D8A">
        <w:rPr>
          <w:rFonts w:ascii="Times New Roman" w:eastAsia="PMingLiU" w:hAnsi="Times New Roman" w:cs="Times New Roman"/>
          <w:sz w:val="24"/>
          <w:szCs w:val="24"/>
        </w:rPr>
        <w:t>flowing</w:t>
      </w:r>
      <w:r w:rsidRPr="000560B5">
        <w:rPr>
          <w:rFonts w:ascii="Times New Roman" w:eastAsia="PMingLiU" w:hAnsi="Times New Roman" w:cs="Times New Roman"/>
          <w:sz w:val="24"/>
          <w:szCs w:val="24"/>
        </w:rPr>
        <w:t xml:space="preserve"> from a noncompetitive retail electric service to a competitive retail service and other policies under Ohio law.</w:t>
      </w:r>
      <w:r w:rsidRPr="000560B5">
        <w:rPr>
          <w:rStyle w:val="FootnoteReference"/>
          <w:rFonts w:ascii="Times New Roman" w:eastAsia="PMingLiU" w:hAnsi="Times New Roman" w:cs="Times New Roman"/>
          <w:sz w:val="24"/>
          <w:szCs w:val="24"/>
        </w:rPr>
        <w:footnoteReference w:id="489"/>
      </w:r>
      <w:r w:rsidRPr="000560B5">
        <w:rPr>
          <w:rFonts w:ascii="Times New Roman" w:eastAsia="PMingLiU" w:hAnsi="Times New Roman" w:cs="Times New Roman"/>
          <w:sz w:val="24"/>
          <w:szCs w:val="24"/>
        </w:rPr>
        <w:t xml:space="preserve"> </w:t>
      </w:r>
      <w:r w:rsidR="00F27AA5">
        <w:rPr>
          <w:rFonts w:ascii="Times New Roman" w:eastAsia="PMingLiU" w:hAnsi="Times New Roman" w:cs="Times New Roman"/>
          <w:sz w:val="24"/>
          <w:szCs w:val="24"/>
        </w:rPr>
        <w:t xml:space="preserve"> </w:t>
      </w:r>
      <w:r w:rsidRPr="000560B5">
        <w:rPr>
          <w:rFonts w:ascii="Times New Roman" w:eastAsia="PMingLiU" w:hAnsi="Times New Roman" w:cs="Times New Roman"/>
          <w:sz w:val="24"/>
          <w:szCs w:val="24"/>
        </w:rPr>
        <w:t>R.C.4928.02(H) states that the state’s policy is to</w:t>
      </w:r>
      <w:r w:rsidR="0039332A">
        <w:rPr>
          <w:rFonts w:ascii="Times New Roman" w:eastAsia="PMingLiU" w:hAnsi="Times New Roman" w:cs="Times New Roman"/>
          <w:sz w:val="24"/>
          <w:szCs w:val="24"/>
        </w:rPr>
        <w:t>:</w:t>
      </w:r>
    </w:p>
    <w:p w:rsidR="00124C12" w:rsidRDefault="000B73A3" w:rsidP="004D0000">
      <w:pPr>
        <w:spacing w:after="0" w:line="240" w:lineRule="auto"/>
        <w:ind w:left="1440" w:right="720"/>
        <w:contextualSpacing/>
        <w:rPr>
          <w:rFonts w:ascii="Times New Roman" w:eastAsia="PMingLiU" w:hAnsi="Times New Roman" w:cs="Times New Roman"/>
          <w:sz w:val="24"/>
          <w:szCs w:val="24"/>
        </w:rPr>
      </w:pPr>
      <w:r w:rsidRPr="000560B5">
        <w:rPr>
          <w:rFonts w:ascii="Times New Roman" w:eastAsia="PMingLiU" w:hAnsi="Times New Roman" w:cs="Times New Roman"/>
          <w:sz w:val="24"/>
          <w:szCs w:val="24"/>
        </w:rPr>
        <w:t>[e]nsure effective competition in the provision of retail electric service by avoiding anticompetitive subsidies flowing from a noncompetitive retail electric service to a competitive retail electric service or to a product or service other than retail electric service, and vice versa, including by prohibiting the recovery of any generation-related costs through distribution or transmission rates.</w:t>
      </w:r>
      <w:r w:rsidRPr="000560B5">
        <w:rPr>
          <w:rStyle w:val="FootnoteReference"/>
          <w:rFonts w:ascii="Times New Roman" w:eastAsia="PMingLiU" w:hAnsi="Times New Roman" w:cs="Times New Roman"/>
          <w:sz w:val="24"/>
          <w:szCs w:val="24"/>
        </w:rPr>
        <w:footnoteReference w:id="490"/>
      </w:r>
      <w:r w:rsidRPr="000560B5">
        <w:rPr>
          <w:rFonts w:ascii="Times New Roman" w:eastAsia="PMingLiU" w:hAnsi="Times New Roman" w:cs="Times New Roman"/>
          <w:sz w:val="24"/>
          <w:szCs w:val="24"/>
        </w:rPr>
        <w:t xml:space="preserve">  </w:t>
      </w:r>
    </w:p>
    <w:p w:rsidR="00124C12" w:rsidRDefault="00124C12" w:rsidP="004E35BA">
      <w:pPr>
        <w:spacing w:after="0" w:line="240" w:lineRule="auto"/>
        <w:ind w:left="720" w:firstLine="60"/>
        <w:contextualSpacing/>
        <w:rPr>
          <w:rFonts w:ascii="Times New Roman" w:eastAsia="PMingLiU" w:hAnsi="Times New Roman" w:cs="Times New Roman"/>
          <w:sz w:val="24"/>
          <w:szCs w:val="24"/>
        </w:rPr>
      </w:pPr>
    </w:p>
    <w:p w:rsidR="00124C12" w:rsidRDefault="000B73A3" w:rsidP="0043455F">
      <w:pPr>
        <w:spacing w:after="0" w:line="480" w:lineRule="auto"/>
        <w:contextualSpacing/>
        <w:rPr>
          <w:rFonts w:ascii="Times New Roman" w:eastAsia="PMingLiU" w:hAnsi="Times New Roman" w:cs="Times New Roman"/>
          <w:sz w:val="24"/>
          <w:szCs w:val="24"/>
        </w:rPr>
      </w:pPr>
      <w:r w:rsidRPr="000560B5">
        <w:rPr>
          <w:rFonts w:ascii="Times New Roman" w:eastAsia="PMingLiU" w:hAnsi="Times New Roman" w:cs="Times New Roman"/>
          <w:sz w:val="24"/>
          <w:szCs w:val="24"/>
        </w:rPr>
        <w:t xml:space="preserve">This is often referred to as cross-subsidization, which includes, for example, having non-competitive services, such as </w:t>
      </w:r>
      <w:r w:rsidR="00385852" w:rsidRPr="000560B5">
        <w:rPr>
          <w:rFonts w:ascii="Times New Roman" w:eastAsia="PMingLiU" w:hAnsi="Times New Roman" w:cs="Times New Roman"/>
          <w:sz w:val="24"/>
          <w:szCs w:val="24"/>
        </w:rPr>
        <w:t>distributi</w:t>
      </w:r>
      <w:r w:rsidR="007E1654">
        <w:rPr>
          <w:rFonts w:ascii="Times New Roman" w:eastAsia="PMingLiU" w:hAnsi="Times New Roman" w:cs="Times New Roman"/>
          <w:sz w:val="24"/>
          <w:szCs w:val="24"/>
        </w:rPr>
        <w:t>on,</w:t>
      </w:r>
      <w:r w:rsidRPr="000560B5">
        <w:rPr>
          <w:rFonts w:ascii="Times New Roman" w:eastAsia="PMingLiU" w:hAnsi="Times New Roman" w:cs="Times New Roman"/>
          <w:sz w:val="24"/>
          <w:szCs w:val="24"/>
        </w:rPr>
        <w:t xml:space="preserve"> subsidize competitive services, such as generation.</w:t>
      </w:r>
      <w:r w:rsidRPr="000560B5">
        <w:rPr>
          <w:rStyle w:val="FootnoteReference"/>
          <w:rFonts w:ascii="Times New Roman" w:eastAsia="PMingLiU" w:hAnsi="Times New Roman" w:cs="Times New Roman"/>
          <w:sz w:val="24"/>
          <w:szCs w:val="24"/>
        </w:rPr>
        <w:footnoteReference w:id="491"/>
      </w:r>
      <w:r w:rsidRPr="000560B5">
        <w:rPr>
          <w:rFonts w:ascii="Times New Roman" w:eastAsia="PMingLiU" w:hAnsi="Times New Roman" w:cs="Times New Roman"/>
          <w:sz w:val="24"/>
          <w:szCs w:val="24"/>
        </w:rPr>
        <w:t xml:space="preserve"> </w:t>
      </w:r>
      <w:r w:rsidR="00F27AA5">
        <w:rPr>
          <w:rFonts w:ascii="Times New Roman" w:eastAsia="PMingLiU" w:hAnsi="Times New Roman" w:cs="Times New Roman"/>
          <w:sz w:val="24"/>
          <w:szCs w:val="24"/>
        </w:rPr>
        <w:t xml:space="preserve"> </w:t>
      </w:r>
    </w:p>
    <w:p w:rsidR="00A406C8" w:rsidRDefault="000B73A3" w:rsidP="0043455F">
      <w:pPr>
        <w:spacing w:after="0" w:line="480" w:lineRule="auto"/>
        <w:ind w:firstLine="720"/>
        <w:contextualSpacing/>
        <w:rPr>
          <w:rFonts w:ascii="Times New Roman Bold" w:eastAsia="Times New Roman" w:hAnsi="Times New Roman Bold" w:cs="Times New Roman"/>
          <w:b/>
          <w:sz w:val="24"/>
          <w:szCs w:val="24"/>
        </w:rPr>
      </w:pPr>
      <w:r w:rsidRPr="000560B5">
        <w:rPr>
          <w:rFonts w:ascii="Times New Roman" w:eastAsia="PMingLiU" w:hAnsi="Times New Roman" w:cs="Times New Roman"/>
          <w:sz w:val="24"/>
          <w:szCs w:val="24"/>
        </w:rPr>
        <w:t>Here, the PPA Rider is a non-bypassable generation charge assessed through AEP Ohio and collected from all captive distribution customers, and, therefore, it is an example of cross-subsidization of generation service by distribution customers.</w:t>
      </w:r>
      <w:r w:rsidRPr="000560B5">
        <w:rPr>
          <w:rStyle w:val="FootnoteReference"/>
          <w:rFonts w:ascii="Times New Roman" w:eastAsia="PMingLiU" w:hAnsi="Times New Roman" w:cs="Times New Roman"/>
          <w:sz w:val="24"/>
          <w:szCs w:val="24"/>
        </w:rPr>
        <w:footnoteReference w:id="492"/>
      </w:r>
      <w:r w:rsidRPr="000560B5">
        <w:rPr>
          <w:rFonts w:ascii="Times New Roman" w:eastAsia="PMingLiU" w:hAnsi="Times New Roman" w:cs="Times New Roman"/>
          <w:sz w:val="24"/>
          <w:szCs w:val="24"/>
        </w:rPr>
        <w:t xml:space="preserve"> </w:t>
      </w:r>
      <w:r w:rsidR="00F27AA5">
        <w:rPr>
          <w:rFonts w:ascii="Times New Roman" w:eastAsia="PMingLiU" w:hAnsi="Times New Roman" w:cs="Times New Roman"/>
          <w:sz w:val="24"/>
          <w:szCs w:val="24"/>
        </w:rPr>
        <w:t xml:space="preserve"> </w:t>
      </w:r>
      <w:r w:rsidRPr="000560B5">
        <w:rPr>
          <w:rFonts w:ascii="Times New Roman" w:eastAsia="PMingLiU" w:hAnsi="Times New Roman" w:cs="Times New Roman"/>
          <w:sz w:val="24"/>
          <w:szCs w:val="24"/>
        </w:rPr>
        <w:t>Accordingly, approving the PPA Rider would violate this state policy.</w:t>
      </w:r>
      <w:r w:rsidRPr="000560B5">
        <w:rPr>
          <w:rStyle w:val="FootnoteReference"/>
          <w:rFonts w:ascii="Times New Roman" w:eastAsia="PMingLiU" w:hAnsi="Times New Roman" w:cs="Times New Roman"/>
          <w:sz w:val="24"/>
          <w:szCs w:val="24"/>
        </w:rPr>
        <w:footnoteReference w:id="493"/>
      </w:r>
      <w:r w:rsidRPr="000560B5">
        <w:rPr>
          <w:rFonts w:ascii="Times New Roman" w:eastAsia="PMingLiU" w:hAnsi="Times New Roman" w:cs="Times New Roman"/>
          <w:sz w:val="24"/>
          <w:szCs w:val="24"/>
        </w:rPr>
        <w:t xml:space="preserve"> </w:t>
      </w:r>
      <w:r w:rsidR="00F27AA5">
        <w:rPr>
          <w:rFonts w:ascii="Times New Roman" w:eastAsia="PMingLiU" w:hAnsi="Times New Roman" w:cs="Times New Roman"/>
          <w:sz w:val="24"/>
          <w:szCs w:val="24"/>
        </w:rPr>
        <w:t xml:space="preserve"> </w:t>
      </w:r>
      <w:r w:rsidRPr="000560B5">
        <w:rPr>
          <w:rFonts w:ascii="Times New Roman" w:eastAsia="PMingLiU" w:hAnsi="Times New Roman" w:cs="Times New Roman"/>
          <w:sz w:val="24"/>
          <w:szCs w:val="24"/>
        </w:rPr>
        <w:t xml:space="preserve">The non-bypassable charge collected through </w:t>
      </w:r>
      <w:r w:rsidR="007E1654">
        <w:rPr>
          <w:rFonts w:ascii="Times New Roman" w:eastAsia="PMingLiU" w:hAnsi="Times New Roman" w:cs="Times New Roman"/>
          <w:sz w:val="24"/>
          <w:szCs w:val="24"/>
        </w:rPr>
        <w:t xml:space="preserve">the </w:t>
      </w:r>
      <w:r w:rsidRPr="000560B5">
        <w:rPr>
          <w:rFonts w:ascii="Times New Roman" w:eastAsia="PMingLiU" w:hAnsi="Times New Roman" w:cs="Times New Roman"/>
          <w:sz w:val="24"/>
          <w:szCs w:val="24"/>
        </w:rPr>
        <w:t>PPA Rider only benefits one supplier, and provides additional r</w:t>
      </w:r>
      <w:r w:rsidR="00723D8A">
        <w:rPr>
          <w:rFonts w:ascii="Times New Roman" w:eastAsia="PMingLiU" w:hAnsi="Times New Roman" w:cs="Times New Roman"/>
          <w:sz w:val="24"/>
          <w:szCs w:val="24"/>
        </w:rPr>
        <w:t>evenue to that supplier</w:t>
      </w:r>
      <w:r w:rsidRPr="000560B5">
        <w:rPr>
          <w:rFonts w:ascii="Times New Roman" w:eastAsia="PMingLiU" w:hAnsi="Times New Roman" w:cs="Times New Roman"/>
          <w:sz w:val="24"/>
          <w:szCs w:val="24"/>
        </w:rPr>
        <w:t xml:space="preserve"> that other suppliers in the market do not receive.</w:t>
      </w:r>
      <w:r w:rsidRPr="000560B5">
        <w:rPr>
          <w:rStyle w:val="FootnoteReference"/>
          <w:rFonts w:ascii="Times New Roman" w:eastAsia="PMingLiU" w:hAnsi="Times New Roman" w:cs="Times New Roman"/>
          <w:sz w:val="24"/>
          <w:szCs w:val="24"/>
        </w:rPr>
        <w:footnoteReference w:id="494"/>
      </w:r>
    </w:p>
    <w:p w:rsidR="000B73A3" w:rsidRPr="00DE06AF" w:rsidRDefault="00235743" w:rsidP="00F27AA5">
      <w:pPr>
        <w:pStyle w:val="Heading3"/>
      </w:pPr>
      <w:bookmarkStart w:id="100" w:name="_Toc442104190"/>
      <w:r>
        <w:t>2.</w:t>
      </w:r>
      <w:r>
        <w:tab/>
      </w:r>
      <w:bookmarkStart w:id="101" w:name="_Toc435428222"/>
      <w:r w:rsidR="002E6FEA">
        <w:t xml:space="preserve">AEP Ohio’s proposal is too costly </w:t>
      </w:r>
      <w:r w:rsidR="004C49CB">
        <w:t xml:space="preserve">for consumers </w:t>
      </w:r>
      <w:r w:rsidR="002E6FEA">
        <w:t>and</w:t>
      </w:r>
      <w:r w:rsidR="004C49CB">
        <w:t xml:space="preserve"> is</w:t>
      </w:r>
      <w:r w:rsidR="002E6FEA">
        <w:t xml:space="preserve"> u</w:t>
      </w:r>
      <w:r w:rsidR="000B73A3" w:rsidRPr="00DE06AF">
        <w:t>nnecessary</w:t>
      </w:r>
      <w:bookmarkEnd w:id="101"/>
      <w:r>
        <w:t>.</w:t>
      </w:r>
      <w:bookmarkEnd w:id="100"/>
    </w:p>
    <w:p w:rsidR="000B73A3" w:rsidRDefault="000B73A3" w:rsidP="00C561DA">
      <w:pPr>
        <w:spacing w:after="0" w:line="480" w:lineRule="auto"/>
        <w:ind w:firstLine="720"/>
        <w:contextualSpacing/>
        <w:rPr>
          <w:rFonts w:ascii="Times New Roman" w:hAnsi="Times New Roman" w:cs="Times New Roman"/>
          <w:sz w:val="24"/>
          <w:szCs w:val="24"/>
        </w:rPr>
      </w:pPr>
      <w:r w:rsidRPr="000560B5">
        <w:rPr>
          <w:rFonts w:ascii="Times New Roman" w:hAnsi="Times New Roman" w:cs="Times New Roman"/>
          <w:sz w:val="24"/>
          <w:szCs w:val="24"/>
        </w:rPr>
        <w:t xml:space="preserve">AEP Ohio projects that the PPA Rider </w:t>
      </w:r>
      <w:r w:rsidR="00723D8A">
        <w:rPr>
          <w:rFonts w:ascii="Times New Roman" w:hAnsi="Times New Roman" w:cs="Times New Roman"/>
          <w:sz w:val="24"/>
          <w:szCs w:val="24"/>
        </w:rPr>
        <w:t xml:space="preserve">under its Low Load Case </w:t>
      </w:r>
      <w:r w:rsidRPr="000560B5">
        <w:rPr>
          <w:rFonts w:ascii="Times New Roman" w:hAnsi="Times New Roman" w:cs="Times New Roman"/>
          <w:sz w:val="24"/>
          <w:szCs w:val="24"/>
        </w:rPr>
        <w:t xml:space="preserve">will produce a net loss to customers of $0.9 billion over the first </w:t>
      </w:r>
      <w:r w:rsidR="00034B2E">
        <w:rPr>
          <w:rFonts w:ascii="Times New Roman" w:hAnsi="Times New Roman" w:cs="Times New Roman"/>
          <w:sz w:val="24"/>
          <w:szCs w:val="24"/>
        </w:rPr>
        <w:t>10</w:t>
      </w:r>
      <w:r w:rsidRPr="000560B5">
        <w:rPr>
          <w:rFonts w:ascii="Times New Roman" w:hAnsi="Times New Roman" w:cs="Times New Roman"/>
          <w:sz w:val="24"/>
          <w:szCs w:val="24"/>
        </w:rPr>
        <w:t xml:space="preserve"> years or $0.8 billion, net present value at a five percent discount rate.</w:t>
      </w:r>
      <w:r w:rsidRPr="000560B5">
        <w:rPr>
          <w:rStyle w:val="FootnoteReference"/>
          <w:rFonts w:ascii="Times New Roman" w:hAnsi="Times New Roman" w:cs="Times New Roman"/>
          <w:sz w:val="24"/>
          <w:szCs w:val="24"/>
        </w:rPr>
        <w:footnoteReference w:id="495"/>
      </w:r>
      <w:r w:rsidRPr="000560B5">
        <w:rPr>
          <w:rFonts w:ascii="Times New Roman" w:hAnsi="Times New Roman" w:cs="Times New Roman"/>
          <w:sz w:val="24"/>
          <w:szCs w:val="24"/>
        </w:rPr>
        <w:t xml:space="preserve"> </w:t>
      </w:r>
      <w:r w:rsidR="00F27AA5">
        <w:rPr>
          <w:rFonts w:ascii="Times New Roman" w:hAnsi="Times New Roman" w:cs="Times New Roman"/>
          <w:sz w:val="24"/>
          <w:szCs w:val="24"/>
        </w:rPr>
        <w:t xml:space="preserve"> </w:t>
      </w:r>
      <w:r w:rsidRPr="000560B5">
        <w:rPr>
          <w:rFonts w:ascii="Times New Roman" w:hAnsi="Times New Roman" w:cs="Times New Roman"/>
          <w:sz w:val="24"/>
          <w:szCs w:val="24"/>
        </w:rPr>
        <w:t>That is, under AEP Ohio’s Low Load Case, the costs associated with the generation from the PPA Units would exceed the market value by $0.9 billion over the ten-year period</w:t>
      </w:r>
      <w:r w:rsidR="00AB59E8">
        <w:rPr>
          <w:rFonts w:ascii="Times New Roman" w:hAnsi="Times New Roman" w:cs="Times New Roman"/>
          <w:sz w:val="24"/>
          <w:szCs w:val="24"/>
        </w:rPr>
        <w:t xml:space="preserve"> (or nearly $.7 billion over the eight and a half year period were the Joint Stipulation approved)</w:t>
      </w:r>
      <w:r w:rsidRPr="000560B5">
        <w:rPr>
          <w:rFonts w:ascii="Times New Roman" w:hAnsi="Times New Roman" w:cs="Times New Roman"/>
          <w:sz w:val="24"/>
          <w:szCs w:val="24"/>
        </w:rPr>
        <w:t>, and this net cost would be collected from AEP Ohio’s customers through the PPA Rider over the period.</w:t>
      </w:r>
      <w:r w:rsidRPr="000560B5">
        <w:rPr>
          <w:rStyle w:val="FootnoteReference"/>
          <w:rFonts w:ascii="Times New Roman" w:hAnsi="Times New Roman" w:cs="Times New Roman"/>
          <w:sz w:val="24"/>
          <w:szCs w:val="24"/>
        </w:rPr>
        <w:footnoteReference w:id="496"/>
      </w:r>
      <w:r w:rsidR="00376C37">
        <w:rPr>
          <w:rFonts w:ascii="Times New Roman" w:hAnsi="Times New Roman" w:cs="Times New Roman"/>
          <w:sz w:val="24"/>
          <w:szCs w:val="24"/>
        </w:rPr>
        <w:t xml:space="preserve">  AEP Ohio alleges that the PPA Rider will produce a credit for customers.</w:t>
      </w:r>
      <w:r w:rsidR="00376C37">
        <w:rPr>
          <w:rStyle w:val="FootnoteReference"/>
          <w:rFonts w:ascii="Times New Roman" w:hAnsi="Times New Roman" w:cs="Times New Roman"/>
          <w:sz w:val="24"/>
          <w:szCs w:val="24"/>
        </w:rPr>
        <w:footnoteReference w:id="497"/>
      </w:r>
    </w:p>
    <w:p w:rsidR="00376C37" w:rsidRPr="00DE06AF" w:rsidRDefault="00235743" w:rsidP="00C401CE">
      <w:pPr>
        <w:pStyle w:val="Heading4"/>
      </w:pPr>
      <w:bookmarkStart w:id="102" w:name="_Toc435428223"/>
      <w:bookmarkStart w:id="103" w:name="_Toc442104191"/>
      <w:r>
        <w:t>a.</w:t>
      </w:r>
      <w:r>
        <w:tab/>
      </w:r>
      <w:r w:rsidR="002E6FEA">
        <w:t>AEP Ohio’s projections are w</w:t>
      </w:r>
      <w:r w:rsidR="00376C37" w:rsidRPr="00DE06AF">
        <w:t>rong</w:t>
      </w:r>
      <w:bookmarkEnd w:id="102"/>
      <w:r w:rsidR="007102A0">
        <w:t xml:space="preserve">, and consumers </w:t>
      </w:r>
      <w:r w:rsidR="004B21A6">
        <w:t xml:space="preserve">will unlawfully and </w:t>
      </w:r>
      <w:r w:rsidR="00742312">
        <w:t>unreasonably</w:t>
      </w:r>
      <w:r w:rsidR="004B21A6">
        <w:t xml:space="preserve"> be made to</w:t>
      </w:r>
      <w:r w:rsidR="003D38C3">
        <w:t xml:space="preserve"> </w:t>
      </w:r>
      <w:r w:rsidR="007102A0">
        <w:t>pay for AEP</w:t>
      </w:r>
      <w:r w:rsidR="005D1DFB">
        <w:t xml:space="preserve"> Ohio’s</w:t>
      </w:r>
      <w:r w:rsidR="007102A0">
        <w:t xml:space="preserve"> overstated estimates of the benefits of its proposal</w:t>
      </w:r>
      <w:r>
        <w:t>.</w:t>
      </w:r>
      <w:bookmarkEnd w:id="103"/>
    </w:p>
    <w:p w:rsidR="009E6170" w:rsidRDefault="00376C37" w:rsidP="00A57413">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w:t>
      </w:r>
      <w:r w:rsidR="000B73A3" w:rsidRPr="000560B5">
        <w:rPr>
          <w:rFonts w:ascii="Times New Roman" w:hAnsi="Times New Roman" w:cs="Times New Roman"/>
          <w:sz w:val="24"/>
          <w:szCs w:val="24"/>
        </w:rPr>
        <w:t xml:space="preserve"> projections </w:t>
      </w:r>
      <w:r>
        <w:rPr>
          <w:rFonts w:ascii="Times New Roman" w:hAnsi="Times New Roman" w:cs="Times New Roman"/>
          <w:sz w:val="24"/>
          <w:szCs w:val="24"/>
        </w:rPr>
        <w:t>described</w:t>
      </w:r>
      <w:r w:rsidR="000B73A3" w:rsidRPr="000560B5">
        <w:rPr>
          <w:rFonts w:ascii="Times New Roman" w:hAnsi="Times New Roman" w:cs="Times New Roman"/>
          <w:sz w:val="24"/>
          <w:szCs w:val="24"/>
        </w:rPr>
        <w:t xml:space="preserve"> in the direct testimony of OCC Witness Wilson show that the cost to consumers could be much higher</w:t>
      </w:r>
      <w:r>
        <w:rPr>
          <w:rFonts w:ascii="Times New Roman" w:hAnsi="Times New Roman" w:cs="Times New Roman"/>
          <w:sz w:val="24"/>
          <w:szCs w:val="24"/>
        </w:rPr>
        <w:t xml:space="preserve"> than AEP Ohio would have the PUCO believe</w:t>
      </w:r>
      <w:r w:rsidR="000B73A3" w:rsidRPr="000560B5">
        <w:rPr>
          <w:rFonts w:ascii="Times New Roman" w:hAnsi="Times New Roman" w:cs="Times New Roman"/>
          <w:sz w:val="24"/>
          <w:szCs w:val="24"/>
        </w:rPr>
        <w:t>.</w:t>
      </w:r>
      <w:r w:rsidR="000B73A3" w:rsidRPr="000560B5">
        <w:rPr>
          <w:rStyle w:val="FootnoteReference"/>
          <w:rFonts w:ascii="Times New Roman" w:hAnsi="Times New Roman" w:cs="Times New Roman"/>
          <w:sz w:val="24"/>
          <w:szCs w:val="24"/>
        </w:rPr>
        <w:footnoteReference w:id="498"/>
      </w:r>
      <w:r w:rsidR="000B73A3" w:rsidRPr="000560B5">
        <w:rPr>
          <w:rFonts w:ascii="Times New Roman" w:hAnsi="Times New Roman" w:cs="Times New Roman"/>
          <w:sz w:val="24"/>
          <w:szCs w:val="24"/>
        </w:rPr>
        <w:t xml:space="preserve"> </w:t>
      </w:r>
      <w:r w:rsidR="00F27AA5">
        <w:rPr>
          <w:rFonts w:ascii="Times New Roman" w:hAnsi="Times New Roman" w:cs="Times New Roman"/>
          <w:sz w:val="24"/>
          <w:szCs w:val="24"/>
        </w:rPr>
        <w:t xml:space="preserve"> </w:t>
      </w:r>
      <w:r w:rsidR="000B73A3" w:rsidRPr="000560B5">
        <w:rPr>
          <w:rFonts w:ascii="Times New Roman" w:hAnsi="Times New Roman" w:cs="Times New Roman"/>
          <w:sz w:val="24"/>
          <w:szCs w:val="24"/>
        </w:rPr>
        <w:t>According to him, the cost to customers through the PPA Rider over the ten-year period would be a cumulative $2.0 billion, or $1.6 billion on a net present value basis.</w:t>
      </w:r>
      <w:r w:rsidR="000B73A3" w:rsidRPr="000560B5">
        <w:rPr>
          <w:rStyle w:val="FootnoteReference"/>
          <w:rFonts w:ascii="Times New Roman" w:hAnsi="Times New Roman" w:cs="Times New Roman"/>
          <w:sz w:val="24"/>
          <w:szCs w:val="24"/>
        </w:rPr>
        <w:footnoteReference w:id="499"/>
      </w:r>
      <w:r w:rsidR="000B73A3" w:rsidRPr="000560B5">
        <w:rPr>
          <w:rFonts w:ascii="Times New Roman" w:hAnsi="Times New Roman" w:cs="Times New Roman"/>
          <w:sz w:val="24"/>
          <w:szCs w:val="24"/>
        </w:rPr>
        <w:t xml:space="preserve"> </w:t>
      </w:r>
      <w:r w:rsidR="00F27AA5">
        <w:rPr>
          <w:rFonts w:ascii="Times New Roman" w:hAnsi="Times New Roman" w:cs="Times New Roman"/>
          <w:sz w:val="24"/>
          <w:szCs w:val="24"/>
        </w:rPr>
        <w:t xml:space="preserve"> </w:t>
      </w:r>
      <w:r w:rsidR="000B73A3" w:rsidRPr="000560B5">
        <w:rPr>
          <w:rFonts w:ascii="Times New Roman" w:hAnsi="Times New Roman" w:cs="Times New Roman"/>
          <w:sz w:val="24"/>
          <w:szCs w:val="24"/>
        </w:rPr>
        <w:t>There are losses and costs passed through to customers in every year of OCC Witness Wilson’s analysis, ranging from $176 million to $252 million per year.</w:t>
      </w:r>
      <w:r w:rsidR="000B73A3" w:rsidRPr="000560B5">
        <w:rPr>
          <w:rStyle w:val="FootnoteReference"/>
          <w:rFonts w:ascii="Times New Roman" w:hAnsi="Times New Roman" w:cs="Times New Roman"/>
          <w:sz w:val="24"/>
          <w:szCs w:val="24"/>
        </w:rPr>
        <w:footnoteReference w:id="500"/>
      </w:r>
      <w:r w:rsidR="000B73A3" w:rsidRPr="000560B5">
        <w:rPr>
          <w:rFonts w:ascii="Times New Roman" w:hAnsi="Times New Roman" w:cs="Times New Roman"/>
          <w:sz w:val="24"/>
          <w:szCs w:val="24"/>
        </w:rPr>
        <w:t xml:space="preserve">  Over the forecasted </w:t>
      </w:r>
      <w:r w:rsidR="00034B2E">
        <w:rPr>
          <w:rFonts w:ascii="Times New Roman" w:hAnsi="Times New Roman" w:cs="Times New Roman"/>
          <w:sz w:val="24"/>
          <w:szCs w:val="24"/>
        </w:rPr>
        <w:t>10</w:t>
      </w:r>
      <w:r w:rsidR="000B73A3" w:rsidRPr="000560B5">
        <w:rPr>
          <w:rFonts w:ascii="Times New Roman" w:hAnsi="Times New Roman" w:cs="Times New Roman"/>
          <w:sz w:val="24"/>
          <w:szCs w:val="24"/>
        </w:rPr>
        <w:t xml:space="preserve"> years, compared to an average total market revenue of $71.6/MWh, the PPA Units’ average cost is $97.7/MWh.</w:t>
      </w:r>
      <w:r w:rsidR="000B73A3" w:rsidRPr="000560B5">
        <w:rPr>
          <w:rStyle w:val="FootnoteReference"/>
          <w:rFonts w:ascii="Times New Roman" w:hAnsi="Times New Roman" w:cs="Times New Roman"/>
          <w:sz w:val="24"/>
          <w:szCs w:val="24"/>
        </w:rPr>
        <w:footnoteReference w:id="501"/>
      </w:r>
      <w:r w:rsidR="00034B2E">
        <w:rPr>
          <w:rFonts w:ascii="Times New Roman" w:hAnsi="Times New Roman" w:cs="Times New Roman"/>
          <w:sz w:val="24"/>
          <w:szCs w:val="24"/>
        </w:rPr>
        <w:t xml:space="preserve">  </w:t>
      </w:r>
    </w:p>
    <w:p w:rsidR="000B73A3" w:rsidRPr="000560B5" w:rsidRDefault="00034B2E" w:rsidP="00A57413">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Further, OCC Witness Wilson’s analysis assumes that the PPA Units will clear PJM’s Base Residual Auctions, which is not guaranteed.  If they do not clear, offsetting revenues may be substantially decreased and costs to consumers would correspondingly increase.</w:t>
      </w:r>
      <w:r w:rsidR="000B73A3" w:rsidRPr="000560B5">
        <w:rPr>
          <w:rFonts w:ascii="Times New Roman" w:hAnsi="Times New Roman" w:cs="Times New Roman"/>
          <w:sz w:val="24"/>
          <w:szCs w:val="24"/>
        </w:rPr>
        <w:t xml:space="preserve"> </w:t>
      </w:r>
    </w:p>
    <w:p w:rsidR="000B73A3" w:rsidRPr="000B73A3" w:rsidRDefault="000B73A3" w:rsidP="00A57413">
      <w:pPr>
        <w:spacing w:line="480" w:lineRule="auto"/>
        <w:ind w:firstLine="720"/>
        <w:contextualSpacing/>
        <w:rPr>
          <w:rFonts w:ascii="Times New Roman" w:hAnsi="Times New Roman" w:cs="Times New Roman"/>
          <w:sz w:val="24"/>
          <w:szCs w:val="24"/>
        </w:rPr>
      </w:pPr>
      <w:r w:rsidRPr="000560B5">
        <w:rPr>
          <w:rFonts w:ascii="Times New Roman" w:hAnsi="Times New Roman" w:cs="Times New Roman"/>
          <w:sz w:val="24"/>
          <w:szCs w:val="24"/>
        </w:rPr>
        <w:t xml:space="preserve">The PUCO should not rely on </w:t>
      </w:r>
      <w:r w:rsidR="00376C37">
        <w:rPr>
          <w:rFonts w:ascii="Times New Roman" w:hAnsi="Times New Roman" w:cs="Times New Roman"/>
          <w:sz w:val="24"/>
          <w:szCs w:val="24"/>
        </w:rPr>
        <w:t>AEP Ohio’s projection that the PPA Rider will eventually produce a credit for customers</w:t>
      </w:r>
      <w:r w:rsidRPr="000560B5">
        <w:rPr>
          <w:rFonts w:ascii="Times New Roman" w:hAnsi="Times New Roman" w:cs="Times New Roman"/>
          <w:sz w:val="24"/>
          <w:szCs w:val="24"/>
        </w:rPr>
        <w:t xml:space="preserve">. </w:t>
      </w:r>
      <w:r w:rsidR="00F27AA5">
        <w:rPr>
          <w:rFonts w:ascii="Times New Roman" w:hAnsi="Times New Roman" w:cs="Times New Roman"/>
          <w:sz w:val="24"/>
          <w:szCs w:val="24"/>
        </w:rPr>
        <w:t xml:space="preserve"> </w:t>
      </w:r>
      <w:r w:rsidRPr="000560B5">
        <w:rPr>
          <w:rFonts w:ascii="Times New Roman" w:hAnsi="Times New Roman" w:cs="Times New Roman"/>
          <w:sz w:val="24"/>
          <w:szCs w:val="24"/>
        </w:rPr>
        <w:t xml:space="preserve">First, there is no evidence, barring AEP Ohio’s long term cost projection, to support its position and, as shown </w:t>
      </w:r>
      <w:r w:rsidR="000560B5">
        <w:rPr>
          <w:rFonts w:ascii="Times New Roman" w:hAnsi="Times New Roman" w:cs="Times New Roman"/>
          <w:sz w:val="24"/>
          <w:szCs w:val="24"/>
        </w:rPr>
        <w:t>throughout this case</w:t>
      </w:r>
      <w:r w:rsidRPr="000560B5">
        <w:rPr>
          <w:rFonts w:ascii="Times New Roman" w:hAnsi="Times New Roman" w:cs="Times New Roman"/>
          <w:sz w:val="24"/>
          <w:szCs w:val="24"/>
        </w:rPr>
        <w:t xml:space="preserve">, an abundance of </w:t>
      </w:r>
      <w:r w:rsidR="000560B5">
        <w:rPr>
          <w:rFonts w:ascii="Times New Roman" w:hAnsi="Times New Roman" w:cs="Times New Roman"/>
          <w:sz w:val="24"/>
          <w:szCs w:val="24"/>
        </w:rPr>
        <w:t xml:space="preserve">evidence contradicting it. </w:t>
      </w:r>
      <w:r w:rsidR="00F27AA5">
        <w:rPr>
          <w:rFonts w:ascii="Times New Roman" w:hAnsi="Times New Roman" w:cs="Times New Roman"/>
          <w:sz w:val="24"/>
          <w:szCs w:val="24"/>
        </w:rPr>
        <w:t xml:space="preserve"> </w:t>
      </w:r>
      <w:r w:rsidR="000560B5">
        <w:rPr>
          <w:rFonts w:ascii="Times New Roman" w:hAnsi="Times New Roman" w:cs="Times New Roman"/>
          <w:sz w:val="24"/>
          <w:szCs w:val="24"/>
        </w:rPr>
        <w:t>A</w:t>
      </w:r>
      <w:r w:rsidRPr="000560B5">
        <w:rPr>
          <w:rFonts w:ascii="Times New Roman" w:hAnsi="Times New Roman" w:cs="Times New Roman"/>
          <w:sz w:val="24"/>
          <w:szCs w:val="24"/>
        </w:rPr>
        <w:t xml:space="preserve">s OCC Witness Wilson </w:t>
      </w:r>
      <w:r w:rsidR="00723D8A">
        <w:rPr>
          <w:rFonts w:ascii="Times New Roman" w:hAnsi="Times New Roman" w:cs="Times New Roman"/>
          <w:sz w:val="24"/>
          <w:szCs w:val="24"/>
        </w:rPr>
        <w:t>explained</w:t>
      </w:r>
      <w:r w:rsidRPr="000560B5">
        <w:rPr>
          <w:rFonts w:ascii="Times New Roman" w:hAnsi="Times New Roman" w:cs="Times New Roman"/>
          <w:sz w:val="24"/>
          <w:szCs w:val="24"/>
        </w:rPr>
        <w:t>, long-term cost projections are extremely unreliable and should not be the basis of such an important PUCO determination.</w:t>
      </w:r>
      <w:r w:rsidRPr="000560B5">
        <w:rPr>
          <w:rStyle w:val="FootnoteReference"/>
          <w:rFonts w:ascii="Times New Roman" w:hAnsi="Times New Roman" w:cs="Times New Roman"/>
          <w:sz w:val="24"/>
          <w:szCs w:val="24"/>
        </w:rPr>
        <w:footnoteReference w:id="502"/>
      </w:r>
      <w:r w:rsidRPr="000560B5">
        <w:rPr>
          <w:rFonts w:ascii="Times New Roman" w:hAnsi="Times New Roman" w:cs="Times New Roman"/>
          <w:sz w:val="24"/>
          <w:szCs w:val="24"/>
        </w:rPr>
        <w:t xml:space="preserve"> </w:t>
      </w:r>
      <w:r w:rsidR="00F27AA5">
        <w:rPr>
          <w:rFonts w:ascii="Times New Roman" w:hAnsi="Times New Roman" w:cs="Times New Roman"/>
          <w:sz w:val="24"/>
          <w:szCs w:val="24"/>
        </w:rPr>
        <w:t xml:space="preserve"> </w:t>
      </w:r>
      <w:r w:rsidRPr="000560B5">
        <w:rPr>
          <w:rFonts w:ascii="Times New Roman" w:hAnsi="Times New Roman" w:cs="Times New Roman"/>
          <w:sz w:val="24"/>
          <w:szCs w:val="24"/>
        </w:rPr>
        <w:t>Any analysis of a resource’s future costs and market revenues relies upon multiple, uncertain assumptions and forecasts including energy, ancillary services and capacity market prices, fuel prices, environmental and other regulations, the resource’s operation, and generation.</w:t>
      </w:r>
      <w:r w:rsidRPr="000560B5">
        <w:rPr>
          <w:rStyle w:val="FootnoteReference"/>
          <w:rFonts w:ascii="Times New Roman" w:hAnsi="Times New Roman" w:cs="Times New Roman"/>
          <w:sz w:val="24"/>
          <w:szCs w:val="24"/>
        </w:rPr>
        <w:footnoteReference w:id="503"/>
      </w:r>
      <w:r w:rsidRPr="000560B5">
        <w:rPr>
          <w:rFonts w:ascii="Times New Roman" w:hAnsi="Times New Roman" w:cs="Times New Roman"/>
          <w:sz w:val="24"/>
          <w:szCs w:val="24"/>
        </w:rPr>
        <w:t xml:space="preserve"> </w:t>
      </w:r>
      <w:r w:rsidR="00F27AA5">
        <w:rPr>
          <w:rFonts w:ascii="Times New Roman" w:hAnsi="Times New Roman" w:cs="Times New Roman"/>
          <w:sz w:val="24"/>
          <w:szCs w:val="24"/>
        </w:rPr>
        <w:t xml:space="preserve"> </w:t>
      </w:r>
      <w:r w:rsidRPr="000560B5">
        <w:rPr>
          <w:rFonts w:ascii="Times New Roman" w:hAnsi="Times New Roman" w:cs="Times New Roman"/>
          <w:sz w:val="24"/>
          <w:szCs w:val="24"/>
        </w:rPr>
        <w:t xml:space="preserve">In fact, AEP Ohio Witness Vegas </w:t>
      </w:r>
      <w:r w:rsidR="00587D71" w:rsidRPr="000560B5">
        <w:rPr>
          <w:rFonts w:ascii="Times New Roman" w:hAnsi="Times New Roman" w:cs="Times New Roman"/>
          <w:sz w:val="24"/>
          <w:szCs w:val="24"/>
        </w:rPr>
        <w:t>conceded</w:t>
      </w:r>
      <w:r w:rsidRPr="000560B5">
        <w:rPr>
          <w:rFonts w:ascii="Times New Roman" w:hAnsi="Times New Roman" w:cs="Times New Roman"/>
          <w:sz w:val="24"/>
          <w:szCs w:val="24"/>
        </w:rPr>
        <w:t xml:space="preserve"> that</w:t>
      </w:r>
      <w:r w:rsidR="00FB2834">
        <w:rPr>
          <w:rFonts w:ascii="Times New Roman" w:hAnsi="Times New Roman" w:cs="Times New Roman"/>
          <w:sz w:val="24"/>
          <w:szCs w:val="24"/>
        </w:rPr>
        <w:t xml:space="preserve"> </w:t>
      </w:r>
      <w:r w:rsidR="000560B5">
        <w:rPr>
          <w:rFonts w:ascii="Times New Roman" w:hAnsi="Times New Roman" w:cs="Times New Roman"/>
          <w:sz w:val="24"/>
          <w:szCs w:val="24"/>
        </w:rPr>
        <w:t>AEP Witness Pearce’s forecast is inherently uncertain</w:t>
      </w:r>
      <w:r w:rsidRPr="000560B5">
        <w:rPr>
          <w:rFonts w:ascii="Times New Roman" w:hAnsi="Times New Roman" w:cs="Times New Roman"/>
          <w:sz w:val="24"/>
          <w:szCs w:val="24"/>
        </w:rPr>
        <w:t>.</w:t>
      </w:r>
      <w:r w:rsidRPr="000560B5">
        <w:rPr>
          <w:rStyle w:val="FootnoteReference"/>
          <w:rFonts w:ascii="Times New Roman" w:hAnsi="Times New Roman" w:cs="Times New Roman"/>
          <w:sz w:val="24"/>
          <w:szCs w:val="24"/>
        </w:rPr>
        <w:footnoteReference w:id="504"/>
      </w:r>
      <w:r w:rsidRPr="000560B5">
        <w:rPr>
          <w:rFonts w:ascii="Times New Roman" w:hAnsi="Times New Roman" w:cs="Times New Roman"/>
          <w:sz w:val="24"/>
          <w:szCs w:val="24"/>
        </w:rPr>
        <w:t xml:space="preserve"> Accordingly, as AEP Ohio admits, the results of any PPA Rider cost projection or analysis is</w:t>
      </w:r>
      <w:r w:rsidRPr="000B73A3">
        <w:rPr>
          <w:rFonts w:ascii="Times New Roman" w:hAnsi="Times New Roman" w:cs="Times New Roman"/>
          <w:sz w:val="24"/>
          <w:szCs w:val="24"/>
        </w:rPr>
        <w:t xml:space="preserve"> highly uncertain.</w:t>
      </w:r>
      <w:r w:rsidRPr="000B73A3">
        <w:rPr>
          <w:rStyle w:val="FootnoteReference"/>
          <w:rFonts w:ascii="Times New Roman" w:hAnsi="Times New Roman" w:cs="Times New Roman"/>
          <w:sz w:val="24"/>
          <w:szCs w:val="24"/>
        </w:rPr>
        <w:footnoteReference w:id="505"/>
      </w:r>
      <w:r w:rsidR="00F27AA5">
        <w:rPr>
          <w:rFonts w:ascii="Times New Roman" w:hAnsi="Times New Roman" w:cs="Times New Roman"/>
          <w:sz w:val="24"/>
          <w:szCs w:val="24"/>
        </w:rPr>
        <w:t xml:space="preserve"> </w:t>
      </w:r>
      <w:r w:rsidRPr="000B73A3">
        <w:rPr>
          <w:rFonts w:ascii="Times New Roman" w:hAnsi="Times New Roman" w:cs="Times New Roman"/>
          <w:sz w:val="24"/>
          <w:szCs w:val="24"/>
        </w:rPr>
        <w:t xml:space="preserve"> Of course, the farther the forecasts reach into the future, the greater the uncertainty.</w:t>
      </w:r>
      <w:r w:rsidRPr="000B73A3">
        <w:rPr>
          <w:rStyle w:val="FootnoteReference"/>
          <w:rFonts w:ascii="Times New Roman" w:hAnsi="Times New Roman" w:cs="Times New Roman"/>
          <w:sz w:val="24"/>
          <w:szCs w:val="24"/>
        </w:rPr>
        <w:footnoteReference w:id="506"/>
      </w:r>
    </w:p>
    <w:p w:rsidR="00587D71" w:rsidRDefault="000B73A3" w:rsidP="006842A4">
      <w:pPr>
        <w:spacing w:after="0" w:line="480" w:lineRule="auto"/>
        <w:ind w:firstLine="720"/>
        <w:contextualSpacing/>
        <w:rPr>
          <w:rFonts w:ascii="Times New Roman" w:hAnsi="Times New Roman" w:cs="Times New Roman"/>
          <w:sz w:val="24"/>
          <w:szCs w:val="24"/>
        </w:rPr>
      </w:pPr>
      <w:r w:rsidRPr="000B73A3">
        <w:rPr>
          <w:rFonts w:ascii="Times New Roman" w:hAnsi="Times New Roman" w:cs="Times New Roman"/>
          <w:sz w:val="24"/>
          <w:szCs w:val="24"/>
        </w:rPr>
        <w:t>If AEP Ohio truly believed in its positive long-term projections, it would not seek to transfer the risk</w:t>
      </w:r>
      <w:r w:rsidR="00034B2E">
        <w:rPr>
          <w:rFonts w:ascii="Times New Roman" w:hAnsi="Times New Roman" w:cs="Times New Roman"/>
          <w:sz w:val="24"/>
          <w:szCs w:val="24"/>
        </w:rPr>
        <w:t xml:space="preserve"> </w:t>
      </w:r>
      <w:r w:rsidRPr="000B73A3">
        <w:rPr>
          <w:rFonts w:ascii="Times New Roman" w:hAnsi="Times New Roman" w:cs="Times New Roman"/>
          <w:sz w:val="24"/>
          <w:szCs w:val="24"/>
        </w:rPr>
        <w:t>of the PPA Units to customers because it is a for-profit company and has an obligation to its shareholders to maximize its returns.</w:t>
      </w:r>
      <w:r w:rsidRPr="000B73A3">
        <w:rPr>
          <w:rStyle w:val="FootnoteReference"/>
          <w:rFonts w:ascii="Times New Roman" w:hAnsi="Times New Roman" w:cs="Times New Roman"/>
          <w:sz w:val="24"/>
          <w:szCs w:val="24"/>
        </w:rPr>
        <w:footnoteReference w:id="507"/>
      </w:r>
      <w:r w:rsidRPr="000B73A3">
        <w:rPr>
          <w:rFonts w:ascii="Times New Roman" w:hAnsi="Times New Roman" w:cs="Times New Roman"/>
          <w:sz w:val="24"/>
          <w:szCs w:val="24"/>
        </w:rPr>
        <w:t xml:space="preserve"> This fact alone is strong evidence that AEPGR and AEP Ohio do not have faith in the program. </w:t>
      </w:r>
      <w:r w:rsidR="00F27AA5">
        <w:rPr>
          <w:rFonts w:ascii="Times New Roman" w:hAnsi="Times New Roman" w:cs="Times New Roman"/>
          <w:sz w:val="24"/>
          <w:szCs w:val="24"/>
        </w:rPr>
        <w:t xml:space="preserve"> </w:t>
      </w:r>
      <w:r w:rsidR="00723D8A">
        <w:rPr>
          <w:rFonts w:ascii="Times New Roman" w:hAnsi="Times New Roman" w:cs="Times New Roman"/>
          <w:sz w:val="24"/>
          <w:szCs w:val="24"/>
        </w:rPr>
        <w:t xml:space="preserve">If </w:t>
      </w:r>
      <w:r w:rsidRPr="000B73A3">
        <w:rPr>
          <w:rFonts w:ascii="Times New Roman" w:hAnsi="Times New Roman" w:cs="Times New Roman"/>
          <w:sz w:val="24"/>
          <w:szCs w:val="24"/>
        </w:rPr>
        <w:t>AEPGR is not willing to trust its projections then the PUCO should not</w:t>
      </w:r>
      <w:r w:rsidR="00723D8A">
        <w:rPr>
          <w:rFonts w:ascii="Times New Roman" w:hAnsi="Times New Roman" w:cs="Times New Roman"/>
          <w:sz w:val="24"/>
          <w:szCs w:val="24"/>
        </w:rPr>
        <w:t xml:space="preserve"> do so</w:t>
      </w:r>
      <w:r w:rsidRPr="000B73A3">
        <w:rPr>
          <w:rFonts w:ascii="Times New Roman" w:hAnsi="Times New Roman" w:cs="Times New Roman"/>
          <w:sz w:val="24"/>
          <w:szCs w:val="24"/>
        </w:rPr>
        <w:t xml:space="preserve"> either.</w:t>
      </w:r>
      <w:bookmarkStart w:id="104" w:name="_Toc435428224"/>
    </w:p>
    <w:p w:rsidR="00376C37" w:rsidRDefault="00235743" w:rsidP="00C401CE">
      <w:pPr>
        <w:pStyle w:val="Heading4"/>
      </w:pPr>
      <w:bookmarkStart w:id="105" w:name="_Toc442104192"/>
      <w:r>
        <w:t>b.</w:t>
      </w:r>
      <w:r>
        <w:tab/>
      </w:r>
      <w:r w:rsidR="002E6FEA" w:rsidRPr="00587D71">
        <w:t xml:space="preserve">The PPA </w:t>
      </w:r>
      <w:r w:rsidR="00587D71">
        <w:t>R</w:t>
      </w:r>
      <w:r w:rsidR="002E6FEA" w:rsidRPr="00587D71">
        <w:t>ider’s purported value as a h</w:t>
      </w:r>
      <w:r w:rsidR="00376C37" w:rsidRPr="00587D71">
        <w:t>e</w:t>
      </w:r>
      <w:r w:rsidR="002E6FEA" w:rsidRPr="00587D71">
        <w:t xml:space="preserve">dge is greatly overstated by AEP Ohio, and the </w:t>
      </w:r>
      <w:r w:rsidR="00587D71">
        <w:t>R</w:t>
      </w:r>
      <w:r w:rsidR="002E6FEA" w:rsidRPr="00587D71">
        <w:t>ider would add to v</w:t>
      </w:r>
      <w:r w:rsidR="00376C37" w:rsidRPr="00587D71">
        <w:t>olatilit</w:t>
      </w:r>
      <w:bookmarkEnd w:id="104"/>
      <w:r w:rsidR="004C49CB">
        <w:t>y to consumers’ detriment</w:t>
      </w:r>
      <w:r>
        <w:t>.</w:t>
      </w:r>
      <w:bookmarkEnd w:id="105"/>
    </w:p>
    <w:p w:rsidR="000B73A3" w:rsidRPr="000B73A3" w:rsidRDefault="000B73A3" w:rsidP="00A57413">
      <w:pPr>
        <w:pStyle w:val="A1"/>
        <w:spacing w:after="0" w:line="480" w:lineRule="auto"/>
        <w:ind w:firstLine="720"/>
        <w:rPr>
          <w:rFonts w:cs="Times New Roman"/>
          <w:szCs w:val="24"/>
        </w:rPr>
      </w:pPr>
      <w:r w:rsidRPr="000B73A3">
        <w:rPr>
          <w:rFonts w:cs="Times New Roman"/>
          <w:szCs w:val="24"/>
        </w:rPr>
        <w:t>AEP Ohio’s claims regarding the value of the proposed arrangement as a hedge are based on greatly overstated estimates of the potential volatility of electricity prices in PJM.</w:t>
      </w:r>
      <w:r w:rsidRPr="000B73A3">
        <w:rPr>
          <w:rStyle w:val="FootnoteReference"/>
          <w:rFonts w:cs="Times New Roman"/>
          <w:szCs w:val="24"/>
        </w:rPr>
        <w:footnoteReference w:id="508"/>
      </w:r>
      <w:r w:rsidRPr="000B73A3">
        <w:rPr>
          <w:rFonts w:cs="Times New Roman"/>
          <w:szCs w:val="24"/>
        </w:rPr>
        <w:t xml:space="preserve"> </w:t>
      </w:r>
      <w:r w:rsidR="00F27AA5">
        <w:rPr>
          <w:rFonts w:cs="Times New Roman"/>
          <w:szCs w:val="24"/>
        </w:rPr>
        <w:t xml:space="preserve"> </w:t>
      </w:r>
      <w:r w:rsidRPr="000B73A3">
        <w:rPr>
          <w:rFonts w:cs="Times New Roman"/>
          <w:szCs w:val="24"/>
        </w:rPr>
        <w:t>While prices can be volatile at times due to extreme weather, such periods last days or weeks, and the impacts on annual average prices are greatly moderated.</w:t>
      </w:r>
      <w:r w:rsidRPr="000B73A3">
        <w:rPr>
          <w:rStyle w:val="FootnoteReference"/>
          <w:rFonts w:cs="Times New Roman"/>
          <w:szCs w:val="24"/>
        </w:rPr>
        <w:footnoteReference w:id="509"/>
      </w:r>
      <w:r w:rsidR="00034B2E">
        <w:rPr>
          <w:rFonts w:cs="Times New Roman"/>
          <w:szCs w:val="24"/>
        </w:rPr>
        <w:t xml:space="preserve">  Prices</w:t>
      </w:r>
      <w:r w:rsidRPr="000B73A3">
        <w:rPr>
          <w:rFonts w:cs="Times New Roman"/>
          <w:szCs w:val="24"/>
        </w:rPr>
        <w:t xml:space="preserve"> in PJM have not been volatile and, to the extent they have been, any volatility can be explained by the extreme weather events that PJM faced during January 2014.</w:t>
      </w:r>
      <w:r w:rsidRPr="000B73A3">
        <w:rPr>
          <w:rStyle w:val="FootnoteReference"/>
          <w:rFonts w:cs="Times New Roman"/>
          <w:szCs w:val="24"/>
        </w:rPr>
        <w:footnoteReference w:id="510"/>
      </w:r>
    </w:p>
    <w:p w:rsidR="000B73A3" w:rsidRPr="000B73A3" w:rsidRDefault="000B73A3" w:rsidP="00A57413">
      <w:pPr>
        <w:pStyle w:val="A1"/>
        <w:spacing w:after="0" w:line="480" w:lineRule="auto"/>
        <w:ind w:firstLine="720"/>
        <w:rPr>
          <w:rFonts w:cs="Times New Roman"/>
          <w:szCs w:val="24"/>
        </w:rPr>
      </w:pPr>
      <w:r w:rsidRPr="000B73A3">
        <w:rPr>
          <w:rFonts w:cs="Times New Roman"/>
          <w:szCs w:val="24"/>
        </w:rPr>
        <w:t>Further, customers receiving their electric supply under the SSO will be served under one- to three-year full requirements contracts established through periodic auctions and, therefore, would not be exposed to substantial market price volatility.</w:t>
      </w:r>
      <w:r w:rsidRPr="000B73A3">
        <w:rPr>
          <w:rStyle w:val="FootnoteReference"/>
          <w:rFonts w:cs="Times New Roman"/>
          <w:szCs w:val="24"/>
        </w:rPr>
        <w:footnoteReference w:id="511"/>
      </w:r>
      <w:r w:rsidRPr="000B73A3">
        <w:rPr>
          <w:rFonts w:cs="Times New Roman"/>
          <w:szCs w:val="24"/>
        </w:rPr>
        <w:t xml:space="preserve"> </w:t>
      </w:r>
      <w:r w:rsidR="00F27AA5">
        <w:rPr>
          <w:rFonts w:cs="Times New Roman"/>
          <w:szCs w:val="24"/>
        </w:rPr>
        <w:t xml:space="preserve"> </w:t>
      </w:r>
      <w:r w:rsidRPr="000B73A3">
        <w:rPr>
          <w:rFonts w:cs="Times New Roman"/>
          <w:szCs w:val="24"/>
        </w:rPr>
        <w:t>The PPA Rider would add a potentially volatile element to such customers’ bills.</w:t>
      </w:r>
      <w:r w:rsidRPr="000B73A3">
        <w:rPr>
          <w:rStyle w:val="FootnoteReference"/>
          <w:rFonts w:cs="Times New Roman"/>
          <w:szCs w:val="24"/>
        </w:rPr>
        <w:footnoteReference w:id="512"/>
      </w:r>
      <w:r w:rsidRPr="000B73A3">
        <w:rPr>
          <w:rFonts w:cs="Times New Roman"/>
          <w:szCs w:val="24"/>
        </w:rPr>
        <w:t xml:space="preserve"> Customers choosing competitive retail electric service would select among the available offerings according to their preferences, and could choose offerings that hedge prices and provide greater stability to the extent that is desired.</w:t>
      </w:r>
      <w:r w:rsidRPr="000B73A3">
        <w:rPr>
          <w:rStyle w:val="FootnoteReference"/>
          <w:rFonts w:cs="Times New Roman"/>
          <w:szCs w:val="24"/>
        </w:rPr>
        <w:footnoteReference w:id="513"/>
      </w:r>
      <w:r w:rsidRPr="000B73A3">
        <w:rPr>
          <w:rFonts w:cs="Times New Roman"/>
          <w:szCs w:val="24"/>
        </w:rPr>
        <w:t xml:space="preserve">  For such customers, the PPA Rider, which will be updated annually (or quarterly</w:t>
      </w:r>
      <w:r w:rsidR="002F19E5">
        <w:rPr>
          <w:rFonts w:cs="Times New Roman"/>
          <w:szCs w:val="24"/>
        </w:rPr>
        <w:t>, if the Joint Stipulation is approved</w:t>
      </w:r>
      <w:r w:rsidRPr="000B73A3">
        <w:rPr>
          <w:rFonts w:cs="Times New Roman"/>
          <w:szCs w:val="24"/>
        </w:rPr>
        <w:t>), could potentially move contrary to, or in the same direction as, the market-based prices these customers pay at any time.</w:t>
      </w:r>
      <w:r w:rsidRPr="000B73A3">
        <w:rPr>
          <w:rStyle w:val="FootnoteReference"/>
          <w:rFonts w:cs="Times New Roman"/>
          <w:szCs w:val="24"/>
        </w:rPr>
        <w:footnoteReference w:id="514"/>
      </w:r>
      <w:r w:rsidRPr="000B73A3">
        <w:rPr>
          <w:rFonts w:cs="Times New Roman"/>
          <w:szCs w:val="24"/>
        </w:rPr>
        <w:t xml:space="preserve">  The potential for the proposed PPA Rider to act as a hedge of volatile market prices or contribute to price stability is doubtful due to the time lag</w:t>
      </w:r>
      <w:r w:rsidR="00034B2E">
        <w:rPr>
          <w:rFonts w:cs="Times New Roman"/>
          <w:szCs w:val="24"/>
        </w:rPr>
        <w:t xml:space="preserve"> and the likely additional PPA charges to consumers</w:t>
      </w:r>
      <w:r w:rsidRPr="000B73A3">
        <w:rPr>
          <w:rFonts w:cs="Times New Roman"/>
          <w:szCs w:val="24"/>
        </w:rPr>
        <w:t>.</w:t>
      </w:r>
      <w:r w:rsidRPr="000B73A3">
        <w:rPr>
          <w:rStyle w:val="FootnoteReference"/>
          <w:rFonts w:cs="Times New Roman"/>
          <w:szCs w:val="24"/>
        </w:rPr>
        <w:footnoteReference w:id="515"/>
      </w:r>
    </w:p>
    <w:p w:rsidR="000B73A3" w:rsidRPr="000B73A3" w:rsidRDefault="000B73A3" w:rsidP="00A57413">
      <w:pPr>
        <w:pStyle w:val="A1"/>
        <w:spacing w:after="0" w:line="480" w:lineRule="auto"/>
        <w:ind w:firstLine="720"/>
        <w:rPr>
          <w:rFonts w:cs="Times New Roman"/>
          <w:szCs w:val="24"/>
        </w:rPr>
      </w:pPr>
      <w:r w:rsidRPr="000B73A3">
        <w:rPr>
          <w:rFonts w:cs="Times New Roman"/>
          <w:szCs w:val="24"/>
        </w:rPr>
        <w:t>Over the longer-term, whether the proposed arrangement would increase or decrease customers’ bills will depend upon whether the PPA Units’ costs are greater than or less than the associated market revenues.</w:t>
      </w:r>
      <w:r w:rsidRPr="000B73A3">
        <w:rPr>
          <w:rStyle w:val="FootnoteReference"/>
          <w:rFonts w:cs="Times New Roman"/>
          <w:szCs w:val="24"/>
        </w:rPr>
        <w:footnoteReference w:id="516"/>
      </w:r>
      <w:r w:rsidRPr="000B73A3">
        <w:rPr>
          <w:rFonts w:cs="Times New Roman"/>
          <w:szCs w:val="24"/>
        </w:rPr>
        <w:t xml:space="preserve">  As noted above, OCC expects that the costs are very likely to exceed the revenues.</w:t>
      </w:r>
      <w:r w:rsidRPr="000B73A3">
        <w:rPr>
          <w:rStyle w:val="FootnoteReference"/>
          <w:rFonts w:cs="Times New Roman"/>
          <w:szCs w:val="24"/>
        </w:rPr>
        <w:footnoteReference w:id="517"/>
      </w:r>
    </w:p>
    <w:p w:rsidR="000B73A3" w:rsidRDefault="000B73A3" w:rsidP="00A57413">
      <w:pPr>
        <w:pStyle w:val="A1"/>
        <w:spacing w:after="0" w:line="480" w:lineRule="auto"/>
        <w:ind w:firstLine="720"/>
        <w:rPr>
          <w:rFonts w:cs="Times New Roman"/>
          <w:szCs w:val="24"/>
        </w:rPr>
      </w:pPr>
      <w:r w:rsidRPr="000B73A3">
        <w:rPr>
          <w:rFonts w:cs="Times New Roman"/>
          <w:szCs w:val="24"/>
        </w:rPr>
        <w:t xml:space="preserve">Also, as explained in the ESP III Opinion and Order, the current staggering and laddering of electricity auctions and availability of fixed price contracts already provides the financial hedge that AEP Ohio is hoping to achieve with its PPA proposal. </w:t>
      </w:r>
      <w:r w:rsidRPr="000B73A3">
        <w:rPr>
          <w:rStyle w:val="FootnoteReference"/>
          <w:rFonts w:cs="Times New Roman"/>
          <w:szCs w:val="24"/>
        </w:rPr>
        <w:footnoteReference w:id="518"/>
      </w:r>
      <w:r w:rsidRPr="000B73A3">
        <w:rPr>
          <w:rFonts w:cs="Times New Roman"/>
          <w:szCs w:val="24"/>
        </w:rPr>
        <w:t xml:space="preserve"> AEP Ohio did not refute this fact and has not carried its burden of showing that an additional mechanism, in the form of the PPA, is necessary, much less just and reasonable, to further hedge energy prices</w:t>
      </w:r>
      <w:r w:rsidR="007102A0">
        <w:rPr>
          <w:rFonts w:cs="Times New Roman"/>
          <w:szCs w:val="24"/>
        </w:rPr>
        <w:t xml:space="preserve"> as a ploy to protect consumers</w:t>
      </w:r>
      <w:r w:rsidRPr="000B73A3">
        <w:rPr>
          <w:rFonts w:cs="Times New Roman"/>
          <w:szCs w:val="24"/>
        </w:rPr>
        <w:t>.</w:t>
      </w:r>
    </w:p>
    <w:p w:rsidR="00376C37" w:rsidRDefault="00235743" w:rsidP="00C401CE">
      <w:pPr>
        <w:pStyle w:val="Heading4"/>
      </w:pPr>
      <w:bookmarkStart w:id="106" w:name="_Toc442104193"/>
      <w:r>
        <w:t>c.</w:t>
      </w:r>
      <w:r>
        <w:tab/>
      </w:r>
      <w:bookmarkStart w:id="107" w:name="_Toc435428225"/>
      <w:r w:rsidR="00376C37" w:rsidRPr="00376C37">
        <w:t>AEP O</w:t>
      </w:r>
      <w:r w:rsidR="002E6FEA">
        <w:t>hio Witness Bletzacker’s rebuttal falls s</w:t>
      </w:r>
      <w:r w:rsidR="00376C37" w:rsidRPr="00376C37">
        <w:t>hort</w:t>
      </w:r>
      <w:bookmarkEnd w:id="107"/>
      <w:r>
        <w:t>.</w:t>
      </w:r>
      <w:bookmarkEnd w:id="106"/>
    </w:p>
    <w:p w:rsidR="00587D71" w:rsidRDefault="00376C37" w:rsidP="00A57413">
      <w:pPr>
        <w:pStyle w:val="A1"/>
        <w:spacing w:after="0" w:line="480" w:lineRule="auto"/>
        <w:ind w:firstLine="720"/>
        <w:rPr>
          <w:rFonts w:cs="Times New Roman"/>
          <w:szCs w:val="24"/>
        </w:rPr>
      </w:pPr>
      <w:r w:rsidRPr="000560B5">
        <w:rPr>
          <w:rFonts w:cs="Times New Roman"/>
          <w:szCs w:val="24"/>
        </w:rPr>
        <w:t>AEP Ohio Witness Bletzacker asserts that several intervenor witness</w:t>
      </w:r>
      <w:r w:rsidR="002E1C0A">
        <w:rPr>
          <w:rFonts w:cs="Times New Roman"/>
          <w:szCs w:val="24"/>
        </w:rPr>
        <w:t>es</w:t>
      </w:r>
      <w:r w:rsidRPr="000560B5">
        <w:rPr>
          <w:rFonts w:cs="Times New Roman"/>
          <w:szCs w:val="24"/>
        </w:rPr>
        <w:t xml:space="preserve"> “through the use of natural gas futures contract . . . are dismissing credible upside threats to US natural gas prices including the prospect of liquefied natural gas exports and compressed liquefied natural gas for use as a transportation fuel.”</w:t>
      </w:r>
      <w:r w:rsidRPr="000560B5">
        <w:rPr>
          <w:rStyle w:val="FootnoteReference"/>
          <w:rFonts w:cs="Times New Roman"/>
          <w:szCs w:val="24"/>
        </w:rPr>
        <w:footnoteReference w:id="519"/>
      </w:r>
      <w:r w:rsidRPr="000560B5">
        <w:rPr>
          <w:rFonts w:cs="Times New Roman"/>
          <w:szCs w:val="24"/>
        </w:rPr>
        <w:t xml:space="preserve"> AEP Ohio Witness Bletzacker’s assertions are meritl</w:t>
      </w:r>
      <w:r>
        <w:rPr>
          <w:rFonts w:cs="Times New Roman"/>
          <w:szCs w:val="24"/>
        </w:rPr>
        <w:t xml:space="preserve">ess. </w:t>
      </w:r>
    </w:p>
    <w:p w:rsidR="000D2BBE" w:rsidRDefault="00376C37" w:rsidP="00DF7E02">
      <w:pPr>
        <w:pStyle w:val="A1"/>
        <w:spacing w:after="0" w:line="480" w:lineRule="auto"/>
        <w:ind w:firstLine="720"/>
        <w:rPr>
          <w:rFonts w:cs="Times New Roman"/>
          <w:szCs w:val="24"/>
        </w:rPr>
      </w:pPr>
      <w:r>
        <w:rPr>
          <w:rFonts w:cs="Times New Roman"/>
          <w:szCs w:val="24"/>
        </w:rPr>
        <w:t xml:space="preserve">First, he admitted that </w:t>
      </w:r>
      <w:r w:rsidRPr="000560B5">
        <w:rPr>
          <w:rFonts w:cs="Times New Roman"/>
          <w:szCs w:val="24"/>
        </w:rPr>
        <w:t>movement</w:t>
      </w:r>
      <w:r>
        <w:rPr>
          <w:rFonts w:cs="Times New Roman"/>
          <w:szCs w:val="24"/>
        </w:rPr>
        <w:t xml:space="preserve"> in gas prices in </w:t>
      </w:r>
      <w:r w:rsidRPr="000560B5">
        <w:rPr>
          <w:rFonts w:cs="Times New Roman"/>
          <w:szCs w:val="24"/>
        </w:rPr>
        <w:t xml:space="preserve">his 2015 forecast </w:t>
      </w:r>
      <w:r>
        <w:rPr>
          <w:rFonts w:cs="Times New Roman"/>
          <w:szCs w:val="24"/>
        </w:rPr>
        <w:t xml:space="preserve">was </w:t>
      </w:r>
      <w:r w:rsidRPr="000560B5">
        <w:rPr>
          <w:rFonts w:cs="Times New Roman"/>
          <w:szCs w:val="24"/>
        </w:rPr>
        <w:t>driven by factors independent of liquefied natural gas (“LNG”) exports.</w:t>
      </w:r>
      <w:r w:rsidRPr="000560B5">
        <w:rPr>
          <w:rStyle w:val="FootnoteReference"/>
          <w:rFonts w:cs="Times New Roman"/>
          <w:szCs w:val="24"/>
        </w:rPr>
        <w:footnoteReference w:id="520"/>
      </w:r>
      <w:r w:rsidRPr="000560B5">
        <w:rPr>
          <w:rFonts w:cs="Times New Roman"/>
          <w:szCs w:val="24"/>
        </w:rPr>
        <w:t xml:space="preserve"> </w:t>
      </w:r>
      <w:r w:rsidR="00F27AA5">
        <w:rPr>
          <w:rFonts w:cs="Times New Roman"/>
          <w:szCs w:val="24"/>
        </w:rPr>
        <w:t xml:space="preserve"> </w:t>
      </w:r>
      <w:r w:rsidRPr="000560B5">
        <w:rPr>
          <w:rFonts w:cs="Times New Roman"/>
          <w:szCs w:val="24"/>
        </w:rPr>
        <w:t>Thus, AEP Ohio W</w:t>
      </w:r>
      <w:r>
        <w:rPr>
          <w:rFonts w:cs="Times New Roman"/>
          <w:szCs w:val="24"/>
        </w:rPr>
        <w:t>itness</w:t>
      </w:r>
      <w:r w:rsidRPr="000560B5">
        <w:rPr>
          <w:rFonts w:cs="Times New Roman"/>
          <w:szCs w:val="24"/>
        </w:rPr>
        <w:t xml:space="preserve"> Bletzacker admitted that his own gas price forecast was not dependent on</w:t>
      </w:r>
      <w:r w:rsidR="00587D71">
        <w:rPr>
          <w:rFonts w:cs="Times New Roman"/>
          <w:szCs w:val="24"/>
        </w:rPr>
        <w:t>,</w:t>
      </w:r>
      <w:r w:rsidRPr="000560B5">
        <w:rPr>
          <w:rFonts w:cs="Times New Roman"/>
          <w:szCs w:val="24"/>
        </w:rPr>
        <w:t xml:space="preserve"> and in fact varied independent</w:t>
      </w:r>
      <w:r w:rsidR="00723D8A">
        <w:rPr>
          <w:rFonts w:cs="Times New Roman"/>
          <w:szCs w:val="24"/>
        </w:rPr>
        <w:t>ly</w:t>
      </w:r>
      <w:r w:rsidRPr="000560B5">
        <w:rPr>
          <w:rFonts w:cs="Times New Roman"/>
          <w:szCs w:val="24"/>
        </w:rPr>
        <w:t xml:space="preserve"> of</w:t>
      </w:r>
      <w:r w:rsidR="00587D71">
        <w:rPr>
          <w:rFonts w:cs="Times New Roman"/>
          <w:szCs w:val="24"/>
        </w:rPr>
        <w:t>,</w:t>
      </w:r>
      <w:r w:rsidRPr="000560B5">
        <w:rPr>
          <w:rFonts w:cs="Times New Roman"/>
          <w:szCs w:val="24"/>
        </w:rPr>
        <w:t xml:space="preserve"> LNG exports.</w:t>
      </w:r>
      <w:r w:rsidRPr="000560B5">
        <w:rPr>
          <w:rStyle w:val="FootnoteReference"/>
          <w:rFonts w:cs="Times New Roman"/>
          <w:szCs w:val="24"/>
        </w:rPr>
        <w:footnoteReference w:id="521"/>
      </w:r>
      <w:r w:rsidRPr="000560B5">
        <w:rPr>
          <w:rFonts w:cs="Times New Roman"/>
          <w:szCs w:val="24"/>
        </w:rPr>
        <w:t xml:space="preserve"> </w:t>
      </w:r>
      <w:r w:rsidR="00587D71">
        <w:rPr>
          <w:rFonts w:cs="Times New Roman"/>
          <w:szCs w:val="24"/>
        </w:rPr>
        <w:t>There</w:t>
      </w:r>
      <w:r w:rsidRPr="000560B5">
        <w:rPr>
          <w:rFonts w:cs="Times New Roman"/>
          <w:szCs w:val="24"/>
        </w:rPr>
        <w:t xml:space="preserve"> is no direct correlation between the two issues.  Second, </w:t>
      </w:r>
      <w:r w:rsidR="005D1DFB">
        <w:rPr>
          <w:rFonts w:cs="Times New Roman"/>
          <w:szCs w:val="24"/>
        </w:rPr>
        <w:t>AEP Ohio Witness</w:t>
      </w:r>
      <w:r w:rsidRPr="000560B5">
        <w:rPr>
          <w:rFonts w:cs="Times New Roman"/>
          <w:szCs w:val="24"/>
        </w:rPr>
        <w:t xml:space="preserve"> Bletzacker acknowledged at the evidentiary hearing that he is “not aware of any specific regulation”</w:t>
      </w:r>
      <w:r w:rsidRPr="000560B5">
        <w:rPr>
          <w:rStyle w:val="FootnoteReference"/>
          <w:rFonts w:cs="Times New Roman"/>
          <w:szCs w:val="24"/>
        </w:rPr>
        <w:footnoteReference w:id="522"/>
      </w:r>
      <w:r w:rsidRPr="000560B5">
        <w:rPr>
          <w:rFonts w:cs="Times New Roman"/>
          <w:szCs w:val="24"/>
        </w:rPr>
        <w:t xml:space="preserve"> that has the potential for upside cost threat on United States natural </w:t>
      </w:r>
      <w:r w:rsidR="002E1C0A">
        <w:rPr>
          <w:rFonts w:cs="Times New Roman"/>
          <w:szCs w:val="24"/>
        </w:rPr>
        <w:t xml:space="preserve">gas </w:t>
      </w:r>
      <w:r w:rsidRPr="000560B5">
        <w:rPr>
          <w:rFonts w:cs="Times New Roman"/>
          <w:szCs w:val="24"/>
        </w:rPr>
        <w:t xml:space="preserve">prices. </w:t>
      </w:r>
      <w:r w:rsidR="00F27AA5">
        <w:rPr>
          <w:rFonts w:cs="Times New Roman"/>
          <w:szCs w:val="24"/>
        </w:rPr>
        <w:t xml:space="preserve"> </w:t>
      </w:r>
      <w:r w:rsidRPr="000560B5">
        <w:rPr>
          <w:rFonts w:cs="Times New Roman"/>
          <w:szCs w:val="24"/>
        </w:rPr>
        <w:t xml:space="preserve">Without any supporting evidence, his claims must be dismissed.  </w:t>
      </w:r>
    </w:p>
    <w:p w:rsidR="00F27AA5" w:rsidRDefault="00376C37" w:rsidP="00DF7E02">
      <w:pPr>
        <w:pStyle w:val="A1"/>
        <w:spacing w:after="0" w:line="480" w:lineRule="auto"/>
        <w:ind w:firstLine="720"/>
        <w:rPr>
          <w:rFonts w:ascii="Times New Roman Bold" w:eastAsia="WenQuanYi Micro Hei" w:hAnsi="Times New Roman Bold" w:cs="Times New Roman"/>
          <w:b/>
          <w:szCs w:val="24"/>
          <w:lang w:eastAsia="zh-CN" w:bidi="hi-IN"/>
        </w:rPr>
      </w:pPr>
      <w:r w:rsidRPr="000560B5">
        <w:rPr>
          <w:rFonts w:cs="Times New Roman"/>
          <w:szCs w:val="24"/>
        </w:rPr>
        <w:t>Third, when AEP Ohio first sought a PPA Rider, it relied on futures prices in its forecasts.</w:t>
      </w:r>
      <w:r w:rsidRPr="000560B5">
        <w:rPr>
          <w:rStyle w:val="FootnoteReference"/>
          <w:rFonts w:cs="Times New Roman"/>
          <w:szCs w:val="24"/>
        </w:rPr>
        <w:footnoteReference w:id="523"/>
      </w:r>
      <w:r w:rsidRPr="000560B5">
        <w:rPr>
          <w:rFonts w:cs="Times New Roman"/>
          <w:szCs w:val="24"/>
        </w:rPr>
        <w:t xml:space="preserve">  Presumably, it provided the PUCO with a forecast based on data – futures prices – that it believed were reasonably reliable.  That AEP Ohio is now criticizing the use of futures prices is, to say the least, ironic, and substantially calls into question the reliability and credibility of AEP Ohio Witness Bletzacker’s rebuttal testimony.</w:t>
      </w:r>
    </w:p>
    <w:p w:rsidR="000B73A3" w:rsidRDefault="00A406C8" w:rsidP="00F27AA5">
      <w:pPr>
        <w:pStyle w:val="Heading3"/>
      </w:pPr>
      <w:bookmarkStart w:id="108" w:name="_Toc442104194"/>
      <w:r>
        <w:t>3.</w:t>
      </w:r>
      <w:r>
        <w:tab/>
      </w:r>
      <w:bookmarkStart w:id="109" w:name="_Toc435428226"/>
      <w:r w:rsidR="002E6FEA">
        <w:t xml:space="preserve">The PPA </w:t>
      </w:r>
      <w:r w:rsidR="00587D71">
        <w:t>R</w:t>
      </w:r>
      <w:r w:rsidR="002E6FEA">
        <w:t xml:space="preserve">ider subsidy </w:t>
      </w:r>
      <w:r w:rsidR="000D2BBE">
        <w:t xml:space="preserve">would </w:t>
      </w:r>
      <w:r w:rsidR="002E6FEA">
        <w:t>undermine the PJM energy market by p</w:t>
      </w:r>
      <w:r w:rsidR="000B73A3" w:rsidRPr="00DE06AF">
        <w:t>ermitting AE</w:t>
      </w:r>
      <w:r w:rsidR="002E6FEA">
        <w:t xml:space="preserve">P Ohio to develop offer strategies that will </w:t>
      </w:r>
      <w:r w:rsidR="00587D71">
        <w:t>h</w:t>
      </w:r>
      <w:r w:rsidR="002E6FEA">
        <w:t>arm its captive c</w:t>
      </w:r>
      <w:r w:rsidR="000B73A3" w:rsidRPr="00DE06AF">
        <w:t>ustomers</w:t>
      </w:r>
      <w:bookmarkEnd w:id="109"/>
      <w:r w:rsidR="002E6FEA">
        <w:t>.</w:t>
      </w:r>
      <w:bookmarkEnd w:id="108"/>
    </w:p>
    <w:p w:rsidR="000D2BBE" w:rsidRDefault="000B73A3" w:rsidP="000D2BBE">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 xml:space="preserve">An underlying premise of restructured energy markets, such as that operated by PJM, is that customers will benefit from generation assets that supply electricity the most efficiently over the short-run.  This benefit is accomplished through a bidding process under which generators must compete against one another to provide electricity to customers.  </w:t>
      </w:r>
    </w:p>
    <w:p w:rsidR="000B73A3" w:rsidRPr="000B73A3" w:rsidRDefault="000B73A3" w:rsidP="000D2BBE">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Those generating assets that are able to provide electricity reliably and at least cost are the assets that ultimately are dispatched.</w:t>
      </w:r>
      <w:r w:rsidRPr="000B73A3">
        <w:rPr>
          <w:rStyle w:val="FootnoteReference"/>
          <w:rFonts w:ascii="Times New Roman" w:hAnsi="Times New Roman" w:cs="Times New Roman"/>
          <w:sz w:val="24"/>
          <w:szCs w:val="24"/>
        </w:rPr>
        <w:footnoteReference w:id="524"/>
      </w:r>
      <w:r w:rsidRPr="000B73A3">
        <w:rPr>
          <w:rFonts w:ascii="Times New Roman" w:hAnsi="Times New Roman" w:cs="Times New Roman"/>
          <w:sz w:val="24"/>
          <w:szCs w:val="24"/>
        </w:rPr>
        <w:t xml:space="preserve">  </w:t>
      </w:r>
      <w:r w:rsidR="004756A6">
        <w:rPr>
          <w:rFonts w:ascii="Times New Roman" w:hAnsi="Times New Roman" w:cs="Times New Roman"/>
          <w:sz w:val="24"/>
          <w:szCs w:val="24"/>
        </w:rPr>
        <w:t>But</w:t>
      </w:r>
      <w:r w:rsidRPr="000B73A3">
        <w:rPr>
          <w:rFonts w:ascii="Times New Roman" w:hAnsi="Times New Roman" w:cs="Times New Roman"/>
          <w:sz w:val="24"/>
          <w:szCs w:val="24"/>
        </w:rPr>
        <w:t xml:space="preserve"> under the proposed PPA</w:t>
      </w:r>
      <w:r w:rsidR="002E1C0A">
        <w:rPr>
          <w:rFonts w:ascii="Times New Roman" w:hAnsi="Times New Roman" w:cs="Times New Roman"/>
          <w:sz w:val="24"/>
          <w:szCs w:val="24"/>
        </w:rPr>
        <w:t>s</w:t>
      </w:r>
      <w:r w:rsidRPr="000B73A3">
        <w:rPr>
          <w:rFonts w:ascii="Times New Roman" w:hAnsi="Times New Roman" w:cs="Times New Roman"/>
          <w:sz w:val="24"/>
          <w:szCs w:val="24"/>
        </w:rPr>
        <w:t xml:space="preserve"> and PPA Rider, neither AEPGR nor AEP Ohio would be subject to this competitive selection process to recover the PPA Units’ costs.  This is because the capital and operating costs, plus a guaranteed return on investment, for the PPA Units would be subsidized by captive customers.</w:t>
      </w:r>
      <w:r w:rsidRPr="000B73A3">
        <w:rPr>
          <w:rStyle w:val="FootnoteReference"/>
          <w:rFonts w:ascii="Times New Roman" w:hAnsi="Times New Roman" w:cs="Times New Roman"/>
          <w:sz w:val="24"/>
          <w:szCs w:val="24"/>
        </w:rPr>
        <w:footnoteReference w:id="525"/>
      </w:r>
      <w:r w:rsidRPr="000B73A3">
        <w:rPr>
          <w:rFonts w:ascii="Times New Roman" w:hAnsi="Times New Roman" w:cs="Times New Roman"/>
          <w:sz w:val="24"/>
          <w:szCs w:val="24"/>
        </w:rPr>
        <w:t xml:space="preserve">  This unlawful subsidization would permit AEP Ohio to follow any strategy in offering the PPA Units into PJM to the detriment of its customers, as illustrated by the following two examples.</w:t>
      </w:r>
    </w:p>
    <w:p w:rsidR="000B73A3" w:rsidRPr="000B73A3"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 xml:space="preserve">First, AEP Ohio could offer the PPA Units into PJM below the </w:t>
      </w:r>
      <w:r w:rsidR="00587D71">
        <w:rPr>
          <w:rFonts w:ascii="Times New Roman" w:hAnsi="Times New Roman" w:cs="Times New Roman"/>
          <w:sz w:val="24"/>
          <w:szCs w:val="24"/>
        </w:rPr>
        <w:t xml:space="preserve">PPA </w:t>
      </w:r>
      <w:r w:rsidRPr="000B73A3">
        <w:rPr>
          <w:rFonts w:ascii="Times New Roman" w:hAnsi="Times New Roman" w:cs="Times New Roman"/>
          <w:sz w:val="24"/>
          <w:szCs w:val="24"/>
        </w:rPr>
        <w:t>Units’ costs.  Although AEP Ohio would not recover the PPA Units’ full costs through the market, AEP Ohio and AEPGR would receive the cost deficit from customers through the PPA Rider subsidy.  Under this offer strategy, the artificially low-priced energy from the PPA Units would be dispatched in</w:t>
      </w:r>
      <w:r w:rsidR="004756A6">
        <w:rPr>
          <w:rFonts w:ascii="Times New Roman" w:hAnsi="Times New Roman" w:cs="Times New Roman"/>
          <w:sz w:val="24"/>
          <w:szCs w:val="24"/>
        </w:rPr>
        <w:t xml:space="preserve">stead of the energy offered by </w:t>
      </w:r>
      <w:r w:rsidRPr="000B73A3">
        <w:rPr>
          <w:rFonts w:ascii="Times New Roman" w:hAnsi="Times New Roman" w:cs="Times New Roman"/>
          <w:sz w:val="24"/>
          <w:szCs w:val="24"/>
        </w:rPr>
        <w:t>lower-cost generators.  Thus, not only would AEP Ohio’s captive customers be forced to pay the PPA Rider subsidy, they also would be forced to pay higher PJM market prices for energy due the exclusion of the lower-cost generators’ supply from the market.</w:t>
      </w:r>
      <w:r w:rsidRPr="000B73A3">
        <w:rPr>
          <w:rStyle w:val="FootnoteReference"/>
          <w:rFonts w:ascii="Times New Roman" w:hAnsi="Times New Roman" w:cs="Times New Roman"/>
          <w:sz w:val="24"/>
          <w:szCs w:val="24"/>
        </w:rPr>
        <w:footnoteReference w:id="526"/>
      </w:r>
      <w:r w:rsidRPr="000B73A3">
        <w:rPr>
          <w:rFonts w:ascii="Times New Roman" w:hAnsi="Times New Roman" w:cs="Times New Roman"/>
          <w:sz w:val="24"/>
          <w:szCs w:val="24"/>
        </w:rPr>
        <w:t xml:space="preserve">      </w:t>
      </w:r>
    </w:p>
    <w:p w:rsidR="000B73A3" w:rsidRPr="000B73A3"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 xml:space="preserve">Second, and conversely, AEP Ohio could choose a strategy </w:t>
      </w:r>
      <w:r w:rsidR="00034B2E">
        <w:rPr>
          <w:rFonts w:ascii="Times New Roman" w:hAnsi="Times New Roman" w:cs="Times New Roman"/>
          <w:sz w:val="24"/>
          <w:szCs w:val="24"/>
        </w:rPr>
        <w:t xml:space="preserve">not </w:t>
      </w:r>
      <w:r w:rsidRPr="000B73A3">
        <w:rPr>
          <w:rFonts w:ascii="Times New Roman" w:hAnsi="Times New Roman" w:cs="Times New Roman"/>
          <w:sz w:val="24"/>
          <w:szCs w:val="24"/>
        </w:rPr>
        <w:t xml:space="preserve">to offer the PPA Units </w:t>
      </w:r>
      <w:r w:rsidR="00034B2E">
        <w:rPr>
          <w:rFonts w:ascii="Times New Roman" w:hAnsi="Times New Roman" w:cs="Times New Roman"/>
          <w:sz w:val="24"/>
          <w:szCs w:val="24"/>
        </w:rPr>
        <w:t>into PJM’s Base Residual Auctions if a unit’s cost is above the clearing price</w:t>
      </w:r>
      <w:r w:rsidRPr="000B73A3">
        <w:rPr>
          <w:rFonts w:ascii="Times New Roman" w:hAnsi="Times New Roman" w:cs="Times New Roman"/>
          <w:sz w:val="24"/>
          <w:szCs w:val="24"/>
        </w:rPr>
        <w:t xml:space="preserve">.  Under this strategy, the PPA Units would not be dispatched and would receive no revenues from the market.  Nevertheless, AEP Ohio’s captive customers would be required to support the PPA Units through the PPA Rider subsidy.  </w:t>
      </w:r>
      <w:r w:rsidR="004756A6">
        <w:rPr>
          <w:rFonts w:ascii="Times New Roman" w:hAnsi="Times New Roman" w:cs="Times New Roman"/>
          <w:sz w:val="24"/>
          <w:szCs w:val="24"/>
        </w:rPr>
        <w:t>Further</w:t>
      </w:r>
      <w:r w:rsidRPr="000B73A3">
        <w:rPr>
          <w:rFonts w:ascii="Times New Roman" w:hAnsi="Times New Roman" w:cs="Times New Roman"/>
          <w:sz w:val="24"/>
          <w:szCs w:val="24"/>
        </w:rPr>
        <w:t>, by</w:t>
      </w:r>
      <w:r w:rsidR="002B33E8">
        <w:rPr>
          <w:rFonts w:ascii="Times New Roman" w:hAnsi="Times New Roman" w:cs="Times New Roman"/>
          <w:sz w:val="24"/>
          <w:szCs w:val="24"/>
        </w:rPr>
        <w:t xml:space="preserve"> offering the PPA Units in this way</w:t>
      </w:r>
      <w:r w:rsidRPr="000B73A3">
        <w:rPr>
          <w:rFonts w:ascii="Times New Roman" w:hAnsi="Times New Roman" w:cs="Times New Roman"/>
          <w:sz w:val="24"/>
          <w:szCs w:val="24"/>
        </w:rPr>
        <w:t>, PJM would be forced to operate higher-cost generators, increasing AEP Ohio’s customers’ electricity cost even further.</w:t>
      </w:r>
      <w:r w:rsidRPr="000B73A3">
        <w:rPr>
          <w:rStyle w:val="FootnoteReference"/>
          <w:rFonts w:ascii="Times New Roman" w:hAnsi="Times New Roman" w:cs="Times New Roman"/>
          <w:sz w:val="24"/>
          <w:szCs w:val="24"/>
        </w:rPr>
        <w:footnoteReference w:id="527"/>
      </w:r>
    </w:p>
    <w:p w:rsidR="000B73A3" w:rsidRPr="000B73A3"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The record in this proceeding does not disclose the offer strategies that AEP Ohio will use for the PPA Units, and AEP Ohio provides no guarantee, or means to verify, that its offer strategies will not have anti-competitive effects on the PJM wholesale electric markets to the detriment of Ohio consumers.  This fact, coupled with others discussed below, support the PUCO’s rejection of the Amended Application</w:t>
      </w:r>
      <w:r w:rsidR="002B33E8">
        <w:rPr>
          <w:rFonts w:ascii="Times New Roman" w:hAnsi="Times New Roman" w:cs="Times New Roman"/>
          <w:sz w:val="24"/>
          <w:szCs w:val="24"/>
        </w:rPr>
        <w:t>/Modified Amended Application</w:t>
      </w:r>
      <w:r w:rsidRPr="000B73A3">
        <w:rPr>
          <w:rFonts w:ascii="Times New Roman" w:hAnsi="Times New Roman" w:cs="Times New Roman"/>
          <w:sz w:val="24"/>
          <w:szCs w:val="24"/>
        </w:rPr>
        <w:t xml:space="preserve">.  </w:t>
      </w:r>
    </w:p>
    <w:p w:rsidR="000B73A3" w:rsidRPr="008F79C9" w:rsidRDefault="00235743" w:rsidP="00F27AA5">
      <w:pPr>
        <w:pStyle w:val="Heading3"/>
      </w:pPr>
      <w:bookmarkStart w:id="110" w:name="_Toc435428227"/>
      <w:bookmarkStart w:id="111" w:name="_Toc442104195"/>
      <w:r>
        <w:t>4.</w:t>
      </w:r>
      <w:r>
        <w:tab/>
      </w:r>
      <w:r w:rsidR="002E6FEA">
        <w:t xml:space="preserve">The PPA </w:t>
      </w:r>
      <w:r w:rsidR="00587D71">
        <w:t>R</w:t>
      </w:r>
      <w:r w:rsidR="002E6FEA">
        <w:t xml:space="preserve">ider subsidy </w:t>
      </w:r>
      <w:r w:rsidR="000D2BBE">
        <w:t xml:space="preserve">would </w:t>
      </w:r>
      <w:r w:rsidR="004C49CB">
        <w:t>harm consumers by undermining</w:t>
      </w:r>
      <w:r w:rsidR="002E6FEA">
        <w:t xml:space="preserve"> the PJM capacity market</w:t>
      </w:r>
      <w:r w:rsidR="000D2BBE">
        <w:t>, where AEP could operate plants with immunity (funded by consumers) from downsides in market forces</w:t>
      </w:r>
      <w:bookmarkEnd w:id="110"/>
      <w:r>
        <w:t>.</w:t>
      </w:r>
      <w:bookmarkEnd w:id="111"/>
    </w:p>
    <w:p w:rsidR="000B73A3" w:rsidRPr="000B73A3" w:rsidRDefault="000B73A3" w:rsidP="00A57413">
      <w:pPr>
        <w:spacing w:before="240"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PJM supplements the revenues generators receive from the energy markets through the capacity market based on the Reliability Pricing Model (“RPM”).</w:t>
      </w:r>
      <w:r w:rsidRPr="000B73A3">
        <w:rPr>
          <w:rStyle w:val="FootnoteReference"/>
          <w:rFonts w:ascii="Times New Roman" w:hAnsi="Times New Roman" w:cs="Times New Roman"/>
          <w:sz w:val="24"/>
          <w:szCs w:val="24"/>
        </w:rPr>
        <w:footnoteReference w:id="528"/>
      </w:r>
      <w:r w:rsidRPr="000B73A3">
        <w:rPr>
          <w:rFonts w:ascii="Times New Roman" w:hAnsi="Times New Roman" w:cs="Times New Roman"/>
          <w:sz w:val="24"/>
          <w:szCs w:val="24"/>
        </w:rPr>
        <w:t xml:space="preserve">  The capacity market is meant to ensure the long-run efficiency of the electric power system.</w:t>
      </w:r>
      <w:r w:rsidRPr="000B73A3">
        <w:rPr>
          <w:rStyle w:val="FootnoteReference"/>
          <w:rFonts w:ascii="Times New Roman" w:hAnsi="Times New Roman" w:cs="Times New Roman"/>
          <w:sz w:val="24"/>
          <w:szCs w:val="24"/>
        </w:rPr>
        <w:footnoteReference w:id="529"/>
      </w:r>
      <w:r w:rsidRPr="000B73A3">
        <w:rPr>
          <w:rFonts w:ascii="Times New Roman" w:hAnsi="Times New Roman" w:cs="Times New Roman"/>
          <w:sz w:val="24"/>
          <w:szCs w:val="24"/>
        </w:rPr>
        <w:t xml:space="preserve">  It does so by requiring generators to compete against each other in the RPM capacity auctions on the basis of cost.</w:t>
      </w:r>
      <w:r w:rsidRPr="000B73A3">
        <w:rPr>
          <w:rStyle w:val="FootnoteReference"/>
          <w:rFonts w:ascii="Times New Roman" w:hAnsi="Times New Roman" w:cs="Times New Roman"/>
          <w:sz w:val="24"/>
          <w:szCs w:val="24"/>
        </w:rPr>
        <w:footnoteReference w:id="530"/>
      </w:r>
      <w:r w:rsidRPr="000B73A3">
        <w:rPr>
          <w:rFonts w:ascii="Times New Roman" w:hAnsi="Times New Roman" w:cs="Times New Roman"/>
          <w:sz w:val="24"/>
          <w:szCs w:val="24"/>
        </w:rPr>
        <w:t xml:space="preserve"> Generators that can provide capacity and reliability to the system at lower cost will clear the auction and receive capacity payments.</w:t>
      </w:r>
      <w:r w:rsidRPr="000B73A3">
        <w:rPr>
          <w:rStyle w:val="FootnoteReference"/>
          <w:rFonts w:ascii="Times New Roman" w:hAnsi="Times New Roman" w:cs="Times New Roman"/>
          <w:sz w:val="24"/>
          <w:szCs w:val="24"/>
        </w:rPr>
        <w:footnoteReference w:id="531"/>
      </w:r>
      <w:r w:rsidRPr="000B73A3">
        <w:rPr>
          <w:rFonts w:ascii="Times New Roman" w:hAnsi="Times New Roman" w:cs="Times New Roman"/>
          <w:sz w:val="24"/>
          <w:szCs w:val="24"/>
        </w:rPr>
        <w:t xml:space="preserve">  This process is intended to encourage the retention and entrance of efficient, reliable, and low-cost generation in PJM.  This can be accomplished through investment in new low-cost generation technologies (which represent increased profit opportunities), or by the pressure the process exerts on generation owners to reduce capital cost and operating costs for existing plants, and thus increase profitability.</w:t>
      </w:r>
      <w:r w:rsidRPr="000B73A3">
        <w:rPr>
          <w:rStyle w:val="FootnoteReference"/>
          <w:rFonts w:ascii="Times New Roman" w:hAnsi="Times New Roman" w:cs="Times New Roman"/>
          <w:sz w:val="24"/>
          <w:szCs w:val="24"/>
        </w:rPr>
        <w:footnoteReference w:id="532"/>
      </w:r>
      <w:r w:rsidRPr="000B73A3">
        <w:rPr>
          <w:rFonts w:ascii="Times New Roman" w:hAnsi="Times New Roman" w:cs="Times New Roman"/>
          <w:sz w:val="24"/>
          <w:szCs w:val="24"/>
        </w:rPr>
        <w:t xml:space="preserve">  The subsidized PPA Rider threatens to undermine PJM’s capacity market in the following two ways.  </w:t>
      </w:r>
    </w:p>
    <w:p w:rsidR="00973A6C"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First, the PPA Rider operates to transfer all costs and operating risks from AEPGR to AEP Ohio’s captive customers, assuring AEPGR full cost recovery plus a return on investment.</w:t>
      </w:r>
      <w:r w:rsidRPr="000B73A3">
        <w:rPr>
          <w:rStyle w:val="FootnoteReference"/>
          <w:rFonts w:ascii="Times New Roman" w:hAnsi="Times New Roman" w:cs="Times New Roman"/>
          <w:sz w:val="24"/>
          <w:szCs w:val="24"/>
        </w:rPr>
        <w:footnoteReference w:id="533"/>
      </w:r>
      <w:r w:rsidRPr="000B73A3">
        <w:rPr>
          <w:rFonts w:ascii="Times New Roman" w:hAnsi="Times New Roman" w:cs="Times New Roman"/>
          <w:sz w:val="24"/>
          <w:szCs w:val="24"/>
        </w:rPr>
        <w:t xml:space="preserve">  Thus, the PPA Rider subsidy </w:t>
      </w:r>
      <w:r w:rsidR="00C4116E">
        <w:rPr>
          <w:rFonts w:ascii="Times New Roman" w:hAnsi="Times New Roman" w:cs="Times New Roman"/>
          <w:sz w:val="24"/>
          <w:szCs w:val="24"/>
        </w:rPr>
        <w:t xml:space="preserve">allows </w:t>
      </w:r>
      <w:r w:rsidRPr="000B73A3">
        <w:rPr>
          <w:rFonts w:ascii="Times New Roman" w:hAnsi="Times New Roman" w:cs="Times New Roman"/>
          <w:sz w:val="24"/>
          <w:szCs w:val="24"/>
        </w:rPr>
        <w:t xml:space="preserve">AEPGR to </w:t>
      </w:r>
      <w:r w:rsidR="00C4116E">
        <w:rPr>
          <w:rFonts w:ascii="Times New Roman" w:hAnsi="Times New Roman" w:cs="Times New Roman"/>
          <w:sz w:val="24"/>
          <w:szCs w:val="24"/>
        </w:rPr>
        <w:t>continue operating</w:t>
      </w:r>
      <w:r w:rsidR="00C4116E" w:rsidRPr="000B73A3">
        <w:rPr>
          <w:rFonts w:ascii="Times New Roman" w:hAnsi="Times New Roman" w:cs="Times New Roman"/>
          <w:sz w:val="24"/>
          <w:szCs w:val="24"/>
        </w:rPr>
        <w:t xml:space="preserve"> </w:t>
      </w:r>
      <w:r w:rsidRPr="000B73A3">
        <w:rPr>
          <w:rFonts w:ascii="Times New Roman" w:hAnsi="Times New Roman" w:cs="Times New Roman"/>
          <w:sz w:val="24"/>
          <w:szCs w:val="24"/>
        </w:rPr>
        <w:t xml:space="preserve">the PPA Units, even if </w:t>
      </w:r>
      <w:r w:rsidR="00E1168B">
        <w:rPr>
          <w:rFonts w:ascii="Times New Roman" w:hAnsi="Times New Roman" w:cs="Times New Roman"/>
          <w:sz w:val="24"/>
          <w:szCs w:val="24"/>
        </w:rPr>
        <w:t xml:space="preserve">they are </w:t>
      </w:r>
      <w:r w:rsidRPr="000B73A3">
        <w:rPr>
          <w:rFonts w:ascii="Times New Roman" w:hAnsi="Times New Roman" w:cs="Times New Roman"/>
          <w:sz w:val="24"/>
          <w:szCs w:val="24"/>
        </w:rPr>
        <w:t xml:space="preserve">less efficient than those with which </w:t>
      </w:r>
      <w:r w:rsidR="00E1168B">
        <w:rPr>
          <w:rFonts w:ascii="Times New Roman" w:hAnsi="Times New Roman" w:cs="Times New Roman"/>
          <w:sz w:val="24"/>
          <w:szCs w:val="24"/>
        </w:rPr>
        <w:t>they</w:t>
      </w:r>
      <w:r w:rsidRPr="000B73A3">
        <w:rPr>
          <w:rFonts w:ascii="Times New Roman" w:hAnsi="Times New Roman" w:cs="Times New Roman"/>
          <w:sz w:val="24"/>
          <w:szCs w:val="24"/>
        </w:rPr>
        <w:t xml:space="preserve"> compete in the RPM auctions.</w:t>
      </w:r>
      <w:r w:rsidRPr="000B73A3">
        <w:rPr>
          <w:rStyle w:val="FootnoteReference"/>
          <w:rFonts w:ascii="Times New Roman" w:hAnsi="Times New Roman" w:cs="Times New Roman"/>
          <w:sz w:val="24"/>
          <w:szCs w:val="24"/>
        </w:rPr>
        <w:footnoteReference w:id="534"/>
      </w:r>
      <w:r w:rsidRPr="000B73A3">
        <w:rPr>
          <w:rFonts w:ascii="Times New Roman" w:hAnsi="Times New Roman" w:cs="Times New Roman"/>
          <w:sz w:val="24"/>
          <w:szCs w:val="24"/>
        </w:rPr>
        <w:t xml:space="preserve">  </w:t>
      </w:r>
      <w:r w:rsidR="00A227BB">
        <w:rPr>
          <w:rFonts w:ascii="Times New Roman" w:hAnsi="Times New Roman" w:cs="Times New Roman"/>
          <w:sz w:val="24"/>
          <w:szCs w:val="24"/>
        </w:rPr>
        <w:t xml:space="preserve">This </w:t>
      </w:r>
      <w:r w:rsidR="00973A6C">
        <w:rPr>
          <w:rFonts w:ascii="Times New Roman" w:hAnsi="Times New Roman" w:cs="Times New Roman"/>
          <w:sz w:val="24"/>
          <w:szCs w:val="24"/>
        </w:rPr>
        <w:t>arrangement that dis</w:t>
      </w:r>
      <w:r w:rsidRPr="000B73A3">
        <w:rPr>
          <w:rFonts w:ascii="Times New Roman" w:hAnsi="Times New Roman" w:cs="Times New Roman"/>
          <w:sz w:val="24"/>
          <w:szCs w:val="24"/>
        </w:rPr>
        <w:t>favor</w:t>
      </w:r>
      <w:r w:rsidR="00973A6C">
        <w:rPr>
          <w:rFonts w:ascii="Times New Roman" w:hAnsi="Times New Roman" w:cs="Times New Roman"/>
          <w:sz w:val="24"/>
          <w:szCs w:val="24"/>
        </w:rPr>
        <w:t>s</w:t>
      </w:r>
      <w:r w:rsidRPr="000B73A3">
        <w:rPr>
          <w:rFonts w:ascii="Times New Roman" w:hAnsi="Times New Roman" w:cs="Times New Roman"/>
          <w:sz w:val="24"/>
          <w:szCs w:val="24"/>
        </w:rPr>
        <w:t xml:space="preserve"> lower-cost and more efficient generation would increase the cost of electricity for consumers in the long run.</w:t>
      </w:r>
      <w:r w:rsidRPr="000B73A3">
        <w:rPr>
          <w:rStyle w:val="FootnoteReference"/>
          <w:rFonts w:ascii="Times New Roman" w:hAnsi="Times New Roman" w:cs="Times New Roman"/>
          <w:sz w:val="24"/>
          <w:szCs w:val="24"/>
        </w:rPr>
        <w:footnoteReference w:id="535"/>
      </w:r>
      <w:r w:rsidRPr="000B73A3">
        <w:rPr>
          <w:rFonts w:ascii="Times New Roman" w:hAnsi="Times New Roman" w:cs="Times New Roman"/>
          <w:sz w:val="24"/>
          <w:szCs w:val="24"/>
        </w:rPr>
        <w:t xml:space="preserve">  </w:t>
      </w:r>
    </w:p>
    <w:p w:rsidR="000B73A3" w:rsidRPr="000B73A3"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Indeed, if AEPGR’s return on investment is high enough, the PPA</w:t>
      </w:r>
      <w:r w:rsidR="00A227BB">
        <w:rPr>
          <w:rFonts w:ascii="Times New Roman" w:hAnsi="Times New Roman" w:cs="Times New Roman"/>
          <w:sz w:val="24"/>
          <w:szCs w:val="24"/>
        </w:rPr>
        <w:t>s</w:t>
      </w:r>
      <w:r w:rsidRPr="000B73A3">
        <w:rPr>
          <w:rFonts w:ascii="Times New Roman" w:hAnsi="Times New Roman" w:cs="Times New Roman"/>
          <w:sz w:val="24"/>
          <w:szCs w:val="24"/>
        </w:rPr>
        <w:t xml:space="preserve"> and PPA Rider subsidy may create a strong financial incentive for AEPGR and AEP Ohio to overinvest in the PPA Units.</w:t>
      </w:r>
      <w:r w:rsidRPr="000B73A3">
        <w:rPr>
          <w:rStyle w:val="FootnoteReference"/>
          <w:rFonts w:ascii="Times New Roman" w:hAnsi="Times New Roman" w:cs="Times New Roman"/>
          <w:sz w:val="24"/>
          <w:szCs w:val="24"/>
        </w:rPr>
        <w:footnoteReference w:id="536"/>
      </w:r>
      <w:r w:rsidRPr="000B73A3">
        <w:rPr>
          <w:rFonts w:ascii="Times New Roman" w:hAnsi="Times New Roman" w:cs="Times New Roman"/>
          <w:sz w:val="24"/>
          <w:szCs w:val="24"/>
        </w:rPr>
        <w:t xml:space="preserve">  Overinvestment is a substantial risk in approving the PPA Rider in this proceeding, considering the limited review that AEP Ohio is willing to provide the PUCO under its proposal.</w:t>
      </w:r>
      <w:r w:rsidRPr="000B73A3">
        <w:rPr>
          <w:rStyle w:val="FootnoteReference"/>
          <w:rFonts w:ascii="Times New Roman" w:hAnsi="Times New Roman" w:cs="Times New Roman"/>
          <w:sz w:val="24"/>
          <w:szCs w:val="24"/>
        </w:rPr>
        <w:footnoteReference w:id="537"/>
      </w:r>
      <w:r w:rsidRPr="000B73A3">
        <w:rPr>
          <w:rFonts w:ascii="Times New Roman" w:hAnsi="Times New Roman" w:cs="Times New Roman"/>
          <w:sz w:val="24"/>
          <w:szCs w:val="24"/>
        </w:rPr>
        <w:t xml:space="preserve"> Of course, such overinvestment would increase even more the subsidy that captive customers would be forced to pay AEP Ohio under its proposal.  </w:t>
      </w:r>
    </w:p>
    <w:p w:rsidR="000B73A3" w:rsidRPr="000B73A3"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 xml:space="preserve">Second, as explained above, the PPA Rider subsidy could affect AEP Ohio’s offer strategy, resulting in the PPA Units being offered into PJM either under </w:t>
      </w:r>
      <w:r w:rsidR="00034B2E">
        <w:rPr>
          <w:rFonts w:ascii="Times New Roman" w:hAnsi="Times New Roman" w:cs="Times New Roman"/>
          <w:sz w:val="24"/>
          <w:szCs w:val="24"/>
        </w:rPr>
        <w:t>cost or at their costs, which may be higher than the clearing price</w:t>
      </w:r>
      <w:r w:rsidRPr="000B73A3">
        <w:rPr>
          <w:rFonts w:ascii="Times New Roman" w:hAnsi="Times New Roman" w:cs="Times New Roman"/>
          <w:sz w:val="24"/>
          <w:szCs w:val="24"/>
        </w:rPr>
        <w:t>.</w:t>
      </w:r>
      <w:r w:rsidRPr="000B73A3">
        <w:rPr>
          <w:rStyle w:val="FootnoteReference"/>
          <w:rFonts w:ascii="Times New Roman" w:hAnsi="Times New Roman" w:cs="Times New Roman"/>
          <w:sz w:val="24"/>
          <w:szCs w:val="24"/>
        </w:rPr>
        <w:footnoteReference w:id="538"/>
      </w:r>
      <w:r w:rsidRPr="000B73A3">
        <w:rPr>
          <w:rFonts w:ascii="Times New Roman" w:hAnsi="Times New Roman" w:cs="Times New Roman"/>
          <w:sz w:val="24"/>
          <w:szCs w:val="24"/>
        </w:rPr>
        <w:t xml:space="preserve">  If offered </w:t>
      </w:r>
      <w:r w:rsidR="00034B2E">
        <w:rPr>
          <w:rFonts w:ascii="Times New Roman" w:hAnsi="Times New Roman" w:cs="Times New Roman"/>
          <w:sz w:val="24"/>
          <w:szCs w:val="24"/>
        </w:rPr>
        <w:t>at</w:t>
      </w:r>
      <w:r w:rsidRPr="000B73A3">
        <w:rPr>
          <w:rFonts w:ascii="Times New Roman" w:hAnsi="Times New Roman" w:cs="Times New Roman"/>
          <w:sz w:val="24"/>
          <w:szCs w:val="24"/>
        </w:rPr>
        <w:t xml:space="preserve"> their costs</w:t>
      </w:r>
      <w:r w:rsidR="00034B2E">
        <w:rPr>
          <w:rFonts w:ascii="Times New Roman" w:hAnsi="Times New Roman" w:cs="Times New Roman"/>
          <w:sz w:val="24"/>
          <w:szCs w:val="24"/>
        </w:rPr>
        <w:t xml:space="preserve"> and above the Base Residual Auctions’ clearing price</w:t>
      </w:r>
      <w:r w:rsidRPr="000B73A3">
        <w:rPr>
          <w:rFonts w:ascii="Times New Roman" w:hAnsi="Times New Roman" w:cs="Times New Roman"/>
          <w:sz w:val="24"/>
          <w:szCs w:val="24"/>
        </w:rPr>
        <w:t>, the PPA Units would increase capacity costs</w:t>
      </w:r>
      <w:r w:rsidR="00034B2E">
        <w:rPr>
          <w:rFonts w:ascii="Times New Roman" w:hAnsi="Times New Roman" w:cs="Times New Roman"/>
          <w:sz w:val="24"/>
          <w:szCs w:val="24"/>
        </w:rPr>
        <w:t>.</w:t>
      </w:r>
      <w:r w:rsidRPr="000B73A3">
        <w:rPr>
          <w:rFonts w:ascii="Times New Roman" w:hAnsi="Times New Roman" w:cs="Times New Roman"/>
          <w:sz w:val="24"/>
          <w:szCs w:val="24"/>
        </w:rPr>
        <w:t xml:space="preserve"> </w:t>
      </w:r>
      <w:r w:rsidR="00034B2E">
        <w:rPr>
          <w:rFonts w:ascii="Times New Roman" w:hAnsi="Times New Roman" w:cs="Times New Roman"/>
          <w:sz w:val="24"/>
          <w:szCs w:val="24"/>
        </w:rPr>
        <w:t>I</w:t>
      </w:r>
      <w:r w:rsidRPr="000B73A3">
        <w:rPr>
          <w:rFonts w:ascii="Times New Roman" w:hAnsi="Times New Roman" w:cs="Times New Roman"/>
          <w:sz w:val="24"/>
          <w:szCs w:val="24"/>
        </w:rPr>
        <w:t>f offered below costs, the PPA Units could suppress capacity costs</w:t>
      </w:r>
      <w:r w:rsidR="00034B2E">
        <w:rPr>
          <w:rFonts w:ascii="Times New Roman" w:hAnsi="Times New Roman" w:cs="Times New Roman"/>
          <w:sz w:val="24"/>
          <w:szCs w:val="24"/>
        </w:rPr>
        <w:t xml:space="preserve"> distorting the market</w:t>
      </w:r>
      <w:r w:rsidRPr="000B73A3">
        <w:rPr>
          <w:rFonts w:ascii="Times New Roman" w:hAnsi="Times New Roman" w:cs="Times New Roman"/>
          <w:sz w:val="24"/>
          <w:szCs w:val="24"/>
        </w:rPr>
        <w:t>.</w:t>
      </w:r>
      <w:r w:rsidRPr="000B73A3">
        <w:rPr>
          <w:rStyle w:val="FootnoteReference"/>
          <w:rFonts w:ascii="Times New Roman" w:hAnsi="Times New Roman" w:cs="Times New Roman"/>
          <w:sz w:val="24"/>
          <w:szCs w:val="24"/>
        </w:rPr>
        <w:footnoteReference w:id="539"/>
      </w:r>
      <w:r w:rsidRPr="000B73A3">
        <w:rPr>
          <w:rFonts w:ascii="Times New Roman" w:hAnsi="Times New Roman" w:cs="Times New Roman"/>
          <w:sz w:val="24"/>
          <w:szCs w:val="24"/>
        </w:rPr>
        <w:t xml:space="preserve">  If AEP Ohio’s offer strategy suppresses capacity costs, this could result in lower-cost generation from entering the market.</w:t>
      </w:r>
      <w:r w:rsidRPr="000B73A3">
        <w:rPr>
          <w:rStyle w:val="FootnoteReference"/>
          <w:rFonts w:ascii="Times New Roman" w:hAnsi="Times New Roman" w:cs="Times New Roman"/>
          <w:sz w:val="24"/>
          <w:szCs w:val="24"/>
        </w:rPr>
        <w:footnoteReference w:id="540"/>
      </w:r>
      <w:r w:rsidRPr="000B73A3">
        <w:rPr>
          <w:rFonts w:ascii="Times New Roman" w:hAnsi="Times New Roman" w:cs="Times New Roman"/>
          <w:sz w:val="24"/>
          <w:szCs w:val="24"/>
        </w:rPr>
        <w:t xml:space="preserve">  This would cause customer prices to increase further in the long run, because long-term investments are not being driven by market fundamentals.</w:t>
      </w:r>
      <w:r w:rsidRPr="000B73A3">
        <w:rPr>
          <w:rStyle w:val="FootnoteReference"/>
          <w:rFonts w:ascii="Times New Roman" w:hAnsi="Times New Roman" w:cs="Times New Roman"/>
          <w:sz w:val="24"/>
          <w:szCs w:val="24"/>
        </w:rPr>
        <w:footnoteReference w:id="541"/>
      </w:r>
      <w:r w:rsidRPr="000B73A3">
        <w:rPr>
          <w:rFonts w:ascii="Times New Roman" w:hAnsi="Times New Roman" w:cs="Times New Roman"/>
          <w:sz w:val="24"/>
          <w:szCs w:val="24"/>
        </w:rPr>
        <w:t xml:space="preserve">    </w:t>
      </w:r>
    </w:p>
    <w:p w:rsidR="000B73A3" w:rsidRPr="008F79C9" w:rsidRDefault="00235743" w:rsidP="00F27AA5">
      <w:pPr>
        <w:pStyle w:val="Heading3"/>
      </w:pPr>
      <w:bookmarkStart w:id="112" w:name="_Toc435428228"/>
      <w:bookmarkStart w:id="113" w:name="_Toc442104196"/>
      <w:r>
        <w:t>5.</w:t>
      </w:r>
      <w:r>
        <w:tab/>
      </w:r>
      <w:r w:rsidR="002E6FEA">
        <w:t xml:space="preserve">Non-PPA </w:t>
      </w:r>
      <w:r w:rsidR="00114248">
        <w:t>U</w:t>
      </w:r>
      <w:r w:rsidR="002E6FEA">
        <w:t>nits</w:t>
      </w:r>
      <w:r w:rsidR="00723D8A">
        <w:t>’</w:t>
      </w:r>
      <w:r w:rsidR="002E6FEA">
        <w:t xml:space="preserve"> participation in PJM provides additional incentives for AEP Ohio to develop offer strategies that will harm captive c</w:t>
      </w:r>
      <w:r w:rsidR="000B73A3" w:rsidRPr="008F79C9">
        <w:t>ustomers</w:t>
      </w:r>
      <w:bookmarkEnd w:id="112"/>
      <w:r>
        <w:t>.</w:t>
      </w:r>
      <w:bookmarkEnd w:id="113"/>
      <w:r w:rsidR="000B73A3" w:rsidRPr="008F79C9">
        <w:t xml:space="preserve"> </w:t>
      </w:r>
    </w:p>
    <w:p w:rsidR="000B73A3" w:rsidRPr="000B73A3" w:rsidRDefault="000B73A3" w:rsidP="00A57413">
      <w:pPr>
        <w:widowControl w:val="0"/>
        <w:suppressAutoHyphens/>
        <w:spacing w:after="0" w:line="480" w:lineRule="auto"/>
        <w:ind w:firstLine="720"/>
        <w:rPr>
          <w:rFonts w:ascii="Times New Roman" w:eastAsia="WenQuanYi Micro Hei" w:hAnsi="Times New Roman" w:cs="Times New Roman"/>
          <w:color w:val="00000A"/>
          <w:sz w:val="24"/>
          <w:szCs w:val="24"/>
          <w:lang w:eastAsia="zh-CN" w:bidi="hi-IN"/>
        </w:rPr>
      </w:pPr>
      <w:r w:rsidRPr="000B73A3">
        <w:rPr>
          <w:rFonts w:ascii="Times New Roman" w:eastAsia="WenQuanYi Micro Hei" w:hAnsi="Times New Roman" w:cs="Times New Roman"/>
          <w:color w:val="00000A"/>
          <w:sz w:val="24"/>
          <w:szCs w:val="24"/>
          <w:lang w:eastAsia="zh-CN" w:bidi="hi-IN"/>
        </w:rPr>
        <w:t>AEP Ohio has a number of affiliates that own generation assets.</w:t>
      </w:r>
      <w:r w:rsidRPr="000B73A3">
        <w:rPr>
          <w:rStyle w:val="FootnoteReference"/>
          <w:rFonts w:ascii="Times New Roman" w:eastAsia="WenQuanYi Micro Hei" w:hAnsi="Times New Roman" w:cs="Times New Roman"/>
          <w:color w:val="00000A"/>
          <w:sz w:val="24"/>
          <w:szCs w:val="24"/>
          <w:lang w:eastAsia="zh-CN" w:bidi="hi-IN"/>
        </w:rPr>
        <w:footnoteReference w:id="542"/>
      </w:r>
      <w:r w:rsidRPr="000B73A3">
        <w:rPr>
          <w:rFonts w:ascii="Times New Roman" w:eastAsia="WenQuanYi Micro Hei" w:hAnsi="Times New Roman" w:cs="Times New Roman"/>
          <w:color w:val="00000A"/>
          <w:sz w:val="24"/>
          <w:szCs w:val="24"/>
          <w:lang w:eastAsia="zh-CN" w:bidi="hi-IN"/>
        </w:rPr>
        <w:t xml:space="preserve">  These affiliated generating assets participate in the PJM-operated markets and are not included in the proposed PPA</w:t>
      </w:r>
      <w:r w:rsidR="00114248">
        <w:rPr>
          <w:rFonts w:ascii="Times New Roman" w:eastAsia="WenQuanYi Micro Hei" w:hAnsi="Times New Roman" w:cs="Times New Roman"/>
          <w:color w:val="00000A"/>
          <w:sz w:val="24"/>
          <w:szCs w:val="24"/>
          <w:lang w:eastAsia="zh-CN" w:bidi="hi-IN"/>
        </w:rPr>
        <w:t>s</w:t>
      </w:r>
      <w:r w:rsidRPr="000B73A3">
        <w:rPr>
          <w:rFonts w:ascii="Times New Roman" w:eastAsia="WenQuanYi Micro Hei" w:hAnsi="Times New Roman" w:cs="Times New Roman"/>
          <w:color w:val="00000A"/>
          <w:sz w:val="24"/>
          <w:szCs w:val="24"/>
          <w:lang w:eastAsia="zh-CN" w:bidi="hi-IN"/>
        </w:rPr>
        <w:t>.  The participation of these affiliated assets in the markets further complicates how AEP Ohio and AEPGR may offer the PPA Units into the PJM-operated markets.</w:t>
      </w:r>
      <w:r w:rsidRPr="000B73A3">
        <w:rPr>
          <w:rStyle w:val="FootnoteReference"/>
          <w:rFonts w:ascii="Times New Roman" w:eastAsia="WenQuanYi Micro Hei" w:hAnsi="Times New Roman" w:cs="Times New Roman"/>
          <w:color w:val="00000A"/>
          <w:sz w:val="24"/>
          <w:szCs w:val="24"/>
          <w:lang w:eastAsia="zh-CN" w:bidi="hi-IN"/>
        </w:rPr>
        <w:footnoteReference w:id="543"/>
      </w:r>
      <w:r w:rsidRPr="000B73A3">
        <w:rPr>
          <w:rFonts w:ascii="Times New Roman" w:eastAsia="WenQuanYi Micro Hei" w:hAnsi="Times New Roman" w:cs="Times New Roman"/>
          <w:color w:val="00000A"/>
          <w:sz w:val="24"/>
          <w:szCs w:val="24"/>
          <w:lang w:eastAsia="zh-CN" w:bidi="hi-IN"/>
        </w:rPr>
        <w:t xml:space="preserve">  As explained above,</w:t>
      </w:r>
      <w:r w:rsidRPr="000B73A3">
        <w:rPr>
          <w:rStyle w:val="FootnoteReference"/>
          <w:rFonts w:ascii="Times New Roman" w:eastAsia="WenQuanYi Micro Hei" w:hAnsi="Times New Roman" w:cs="Times New Roman"/>
          <w:color w:val="00000A"/>
          <w:sz w:val="24"/>
          <w:szCs w:val="24"/>
          <w:lang w:eastAsia="zh-CN" w:bidi="hi-IN"/>
        </w:rPr>
        <w:footnoteReference w:id="544"/>
      </w:r>
      <w:r w:rsidRPr="000B73A3">
        <w:rPr>
          <w:rFonts w:ascii="Times New Roman" w:eastAsia="WenQuanYi Micro Hei" w:hAnsi="Times New Roman" w:cs="Times New Roman"/>
          <w:color w:val="00000A"/>
          <w:sz w:val="24"/>
          <w:szCs w:val="24"/>
          <w:lang w:eastAsia="zh-CN" w:bidi="hi-IN"/>
        </w:rPr>
        <w:t xml:space="preserve"> the strategies used for offering the PPA Units into the PJM-operated markets can suppress or increase wholesale prices.    </w:t>
      </w:r>
    </w:p>
    <w:p w:rsidR="00DF7E02" w:rsidRDefault="000B73A3" w:rsidP="00A57413">
      <w:pPr>
        <w:widowControl w:val="0"/>
        <w:suppressAutoHyphens/>
        <w:spacing w:after="0" w:line="480" w:lineRule="auto"/>
        <w:ind w:firstLine="720"/>
        <w:rPr>
          <w:rFonts w:ascii="Times New Roman" w:eastAsia="WenQuanYi Micro Hei" w:hAnsi="Times New Roman" w:cs="Times New Roman"/>
          <w:color w:val="00000A"/>
          <w:sz w:val="24"/>
          <w:szCs w:val="24"/>
          <w:lang w:eastAsia="zh-CN" w:bidi="hi-IN"/>
        </w:rPr>
      </w:pPr>
      <w:r w:rsidRPr="000B73A3">
        <w:rPr>
          <w:rFonts w:ascii="Times New Roman" w:eastAsia="WenQuanYi Micro Hei" w:hAnsi="Times New Roman" w:cs="Times New Roman"/>
          <w:color w:val="00000A"/>
          <w:sz w:val="24"/>
          <w:szCs w:val="24"/>
          <w:lang w:eastAsia="zh-CN" w:bidi="hi-IN"/>
        </w:rPr>
        <w:t xml:space="preserve">In a worst-case scenario for customers, AEP Ohio would have an incentive to </w:t>
      </w:r>
      <w:r w:rsidR="00034B2E">
        <w:rPr>
          <w:rFonts w:ascii="Times New Roman" w:eastAsia="WenQuanYi Micro Hei" w:hAnsi="Times New Roman" w:cs="Times New Roman"/>
          <w:color w:val="00000A"/>
          <w:sz w:val="24"/>
          <w:szCs w:val="24"/>
          <w:lang w:eastAsia="zh-CN" w:bidi="hi-IN"/>
        </w:rPr>
        <w:t>not clear the Base Residual Auctions based on specific unit’s costs if they exceed the clearing price</w:t>
      </w:r>
      <w:r w:rsidRPr="000B73A3">
        <w:rPr>
          <w:rFonts w:ascii="Times New Roman" w:eastAsia="WenQuanYi Micro Hei" w:hAnsi="Times New Roman" w:cs="Times New Roman"/>
          <w:color w:val="00000A"/>
          <w:sz w:val="24"/>
          <w:szCs w:val="24"/>
          <w:lang w:eastAsia="zh-CN" w:bidi="hi-IN"/>
        </w:rPr>
        <w:t xml:space="preserve">. </w:t>
      </w:r>
      <w:r w:rsidR="00F27AA5">
        <w:rPr>
          <w:rFonts w:ascii="Times New Roman" w:eastAsia="WenQuanYi Micro Hei" w:hAnsi="Times New Roman" w:cs="Times New Roman"/>
          <w:color w:val="00000A"/>
          <w:sz w:val="24"/>
          <w:szCs w:val="24"/>
          <w:lang w:eastAsia="zh-CN" w:bidi="hi-IN"/>
        </w:rPr>
        <w:t xml:space="preserve"> </w:t>
      </w:r>
      <w:r w:rsidRPr="000B73A3">
        <w:rPr>
          <w:rFonts w:ascii="Times New Roman" w:eastAsia="WenQuanYi Micro Hei" w:hAnsi="Times New Roman" w:cs="Times New Roman"/>
          <w:color w:val="00000A"/>
          <w:sz w:val="24"/>
          <w:szCs w:val="24"/>
          <w:lang w:eastAsia="zh-CN" w:bidi="hi-IN"/>
        </w:rPr>
        <w:t>Although the PPA Units would not generate any revenues in the market, AEPGR would nevertheless earn a guaranteed profit through the PPA</w:t>
      </w:r>
      <w:r w:rsidR="00A227BB">
        <w:rPr>
          <w:rFonts w:ascii="Times New Roman" w:eastAsia="WenQuanYi Micro Hei" w:hAnsi="Times New Roman" w:cs="Times New Roman"/>
          <w:color w:val="00000A"/>
          <w:sz w:val="24"/>
          <w:szCs w:val="24"/>
          <w:lang w:eastAsia="zh-CN" w:bidi="hi-IN"/>
        </w:rPr>
        <w:t>s</w:t>
      </w:r>
      <w:r w:rsidRPr="000B73A3">
        <w:rPr>
          <w:rFonts w:ascii="Times New Roman" w:eastAsia="WenQuanYi Micro Hei" w:hAnsi="Times New Roman" w:cs="Times New Roman"/>
          <w:color w:val="00000A"/>
          <w:sz w:val="24"/>
          <w:szCs w:val="24"/>
          <w:lang w:eastAsia="zh-CN" w:bidi="hi-IN"/>
        </w:rPr>
        <w:t xml:space="preserve">. </w:t>
      </w:r>
      <w:r w:rsidR="00F27AA5">
        <w:rPr>
          <w:rFonts w:ascii="Times New Roman" w:eastAsia="WenQuanYi Micro Hei" w:hAnsi="Times New Roman" w:cs="Times New Roman"/>
          <w:color w:val="00000A"/>
          <w:sz w:val="24"/>
          <w:szCs w:val="24"/>
          <w:lang w:eastAsia="zh-CN" w:bidi="hi-IN"/>
        </w:rPr>
        <w:t xml:space="preserve"> </w:t>
      </w:r>
      <w:r w:rsidRPr="000B73A3">
        <w:rPr>
          <w:rFonts w:ascii="Times New Roman" w:eastAsia="WenQuanYi Micro Hei" w:hAnsi="Times New Roman" w:cs="Times New Roman"/>
          <w:color w:val="00000A"/>
          <w:sz w:val="24"/>
          <w:szCs w:val="24"/>
          <w:lang w:eastAsia="zh-CN" w:bidi="hi-IN"/>
        </w:rPr>
        <w:t>AEP Ohio’s profits would not be affected because 100 percent of the PPA</w:t>
      </w:r>
      <w:r w:rsidR="00114248">
        <w:rPr>
          <w:rFonts w:ascii="Times New Roman" w:eastAsia="WenQuanYi Micro Hei" w:hAnsi="Times New Roman" w:cs="Times New Roman"/>
          <w:color w:val="00000A"/>
          <w:sz w:val="24"/>
          <w:szCs w:val="24"/>
          <w:lang w:eastAsia="zh-CN" w:bidi="hi-IN"/>
        </w:rPr>
        <w:t>s’</w:t>
      </w:r>
      <w:r w:rsidRPr="000B73A3">
        <w:rPr>
          <w:rFonts w:ascii="Times New Roman" w:eastAsia="WenQuanYi Micro Hei" w:hAnsi="Times New Roman" w:cs="Times New Roman"/>
          <w:color w:val="00000A"/>
          <w:sz w:val="24"/>
          <w:szCs w:val="24"/>
          <w:lang w:eastAsia="zh-CN" w:bidi="hi-IN"/>
        </w:rPr>
        <w:t xml:space="preserve"> costs would be passed through the PPA Rider to AEP Ohio’s customers.  </w:t>
      </w:r>
      <w:r w:rsidR="00A227BB">
        <w:rPr>
          <w:rFonts w:ascii="Times New Roman" w:eastAsia="WenQuanYi Micro Hei" w:hAnsi="Times New Roman" w:cs="Times New Roman"/>
          <w:color w:val="00000A"/>
          <w:sz w:val="24"/>
          <w:szCs w:val="24"/>
          <w:lang w:eastAsia="zh-CN" w:bidi="hi-IN"/>
        </w:rPr>
        <w:t>The</w:t>
      </w:r>
      <w:r w:rsidRPr="000B73A3">
        <w:rPr>
          <w:rFonts w:ascii="Times New Roman" w:eastAsia="WenQuanYi Micro Hei" w:hAnsi="Times New Roman" w:cs="Times New Roman"/>
          <w:color w:val="00000A"/>
          <w:sz w:val="24"/>
          <w:szCs w:val="24"/>
          <w:lang w:eastAsia="zh-CN" w:bidi="hi-IN"/>
        </w:rPr>
        <w:t xml:space="preserve"> resulting increase in wholesale PJM-market prices would improve the revenues earned by</w:t>
      </w:r>
      <w:r w:rsidR="00034B2E">
        <w:rPr>
          <w:rFonts w:ascii="Times New Roman" w:eastAsia="WenQuanYi Micro Hei" w:hAnsi="Times New Roman" w:cs="Times New Roman"/>
          <w:color w:val="00000A"/>
          <w:sz w:val="24"/>
          <w:szCs w:val="24"/>
          <w:lang w:eastAsia="zh-CN" w:bidi="hi-IN"/>
        </w:rPr>
        <w:t xml:space="preserve"> the deregulated</w:t>
      </w:r>
      <w:r w:rsidRPr="000B73A3">
        <w:rPr>
          <w:rFonts w:ascii="Times New Roman" w:eastAsia="WenQuanYi Micro Hei" w:hAnsi="Times New Roman" w:cs="Times New Roman"/>
          <w:color w:val="00000A"/>
          <w:sz w:val="24"/>
          <w:szCs w:val="24"/>
          <w:lang w:eastAsia="zh-CN" w:bidi="hi-IN"/>
        </w:rPr>
        <w:t xml:space="preserve"> affiliate-owned generators participating in the PJM-operated markets.  In this worst-case scenario, customer costs rise due to higher wholesale market prices and customers also must pay to subsidize </w:t>
      </w:r>
    </w:p>
    <w:p w:rsidR="000B73A3" w:rsidRPr="000B73A3" w:rsidRDefault="000B73A3" w:rsidP="00DF7E02">
      <w:pPr>
        <w:spacing w:after="0" w:line="480" w:lineRule="auto"/>
        <w:rPr>
          <w:rFonts w:ascii="Times New Roman" w:eastAsia="WenQuanYi Micro Hei" w:hAnsi="Times New Roman" w:cs="Times New Roman"/>
          <w:color w:val="00000A"/>
          <w:sz w:val="24"/>
          <w:szCs w:val="24"/>
          <w:lang w:eastAsia="zh-CN" w:bidi="hi-IN"/>
        </w:rPr>
      </w:pPr>
      <w:r w:rsidRPr="000B73A3">
        <w:rPr>
          <w:rFonts w:ascii="Times New Roman" w:eastAsia="WenQuanYi Micro Hei" w:hAnsi="Times New Roman" w:cs="Times New Roman"/>
          <w:color w:val="00000A"/>
          <w:sz w:val="24"/>
          <w:szCs w:val="24"/>
          <w:lang w:eastAsia="zh-CN" w:bidi="hi-IN"/>
        </w:rPr>
        <w:t xml:space="preserve">generation assets that are not used to their full potential to serve customer demands (due to their </w:t>
      </w:r>
      <w:r w:rsidR="00034B2E">
        <w:rPr>
          <w:rFonts w:ascii="Times New Roman" w:eastAsia="WenQuanYi Micro Hei" w:hAnsi="Times New Roman" w:cs="Times New Roman"/>
          <w:color w:val="00000A"/>
          <w:sz w:val="24"/>
          <w:szCs w:val="24"/>
          <w:lang w:eastAsia="zh-CN" w:bidi="hi-IN"/>
        </w:rPr>
        <w:t>not clearing Base Residual Auctions</w:t>
      </w:r>
      <w:r w:rsidRPr="000B73A3">
        <w:rPr>
          <w:rFonts w:ascii="Times New Roman" w:eastAsia="WenQuanYi Micro Hei" w:hAnsi="Times New Roman" w:cs="Times New Roman"/>
          <w:color w:val="00000A"/>
          <w:sz w:val="24"/>
          <w:szCs w:val="24"/>
          <w:lang w:eastAsia="zh-CN" w:bidi="hi-IN"/>
        </w:rPr>
        <w:t>).</w:t>
      </w:r>
      <w:r w:rsidRPr="000B73A3">
        <w:rPr>
          <w:rStyle w:val="FootnoteReference"/>
          <w:rFonts w:ascii="Times New Roman" w:eastAsia="WenQuanYi Micro Hei" w:hAnsi="Times New Roman" w:cs="Times New Roman"/>
          <w:color w:val="00000A"/>
          <w:sz w:val="24"/>
          <w:szCs w:val="24"/>
          <w:lang w:eastAsia="zh-CN" w:bidi="hi-IN"/>
        </w:rPr>
        <w:footnoteReference w:id="545"/>
      </w:r>
    </w:p>
    <w:p w:rsidR="00B94CEE" w:rsidRDefault="00707C11" w:rsidP="00DF7E02">
      <w:pPr>
        <w:pStyle w:val="Heading3"/>
        <w:spacing w:after="0"/>
        <w:rPr>
          <w:color w:val="00000A"/>
        </w:rPr>
      </w:pPr>
      <w:bookmarkStart w:id="114" w:name="_Toc435428229"/>
      <w:bookmarkStart w:id="115" w:name="_Toc442104197"/>
      <w:r>
        <w:t>6.</w:t>
      </w:r>
      <w:r>
        <w:tab/>
      </w:r>
      <w:r w:rsidR="002E6FEA">
        <w:t xml:space="preserve">The PPA </w:t>
      </w:r>
      <w:r w:rsidR="00114248">
        <w:t>R</w:t>
      </w:r>
      <w:r w:rsidR="002E6FEA">
        <w:t xml:space="preserve">ider subsidy </w:t>
      </w:r>
      <w:r w:rsidR="004C49CB">
        <w:t xml:space="preserve">harms consumers by </w:t>
      </w:r>
      <w:r w:rsidR="002E6FEA">
        <w:t xml:space="preserve">disincenting AEP Ohio from controlling the PPA </w:t>
      </w:r>
      <w:r w:rsidR="00114248">
        <w:t>U</w:t>
      </w:r>
      <w:r w:rsidR="002E6FEA">
        <w:t>nits’ c</w:t>
      </w:r>
      <w:r w:rsidR="000B73A3" w:rsidRPr="008F79C9">
        <w:t>osts</w:t>
      </w:r>
      <w:bookmarkEnd w:id="114"/>
      <w:r>
        <w:t>.</w:t>
      </w:r>
      <w:bookmarkEnd w:id="115"/>
      <w:r w:rsidR="000B73A3" w:rsidRPr="008F79C9">
        <w:t xml:space="preserve"> </w:t>
      </w:r>
      <w:r w:rsidR="000B73A3" w:rsidRPr="008F79C9">
        <w:rPr>
          <w:color w:val="00000A"/>
        </w:rPr>
        <w:t xml:space="preserve"> </w:t>
      </w:r>
    </w:p>
    <w:p w:rsidR="00DF7E02" w:rsidRDefault="00DF7E02" w:rsidP="00DF7E02">
      <w:pPr>
        <w:spacing w:after="0" w:line="240" w:lineRule="auto"/>
        <w:ind w:firstLine="720"/>
        <w:rPr>
          <w:rFonts w:ascii="Times New Roman" w:hAnsi="Times New Roman" w:cs="Times New Roman"/>
          <w:sz w:val="24"/>
          <w:szCs w:val="24"/>
        </w:rPr>
      </w:pPr>
    </w:p>
    <w:p w:rsidR="000B73A3" w:rsidRPr="000B73A3"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As explained above, the PJM-operated markets provide generation owners with strong incentives to reduce costs.  This is because generation owners must recover costs through revenues earned in the market and increase shareholder value.  Any cost reduction achieved by a generation owner translates into a profit increase.  These incentives are completely eliminated by the proposed PPA Rider subsidy.</w:t>
      </w:r>
      <w:r w:rsidRPr="000B73A3">
        <w:rPr>
          <w:rStyle w:val="FootnoteReference"/>
          <w:rFonts w:ascii="Times New Roman" w:hAnsi="Times New Roman" w:cs="Times New Roman"/>
          <w:sz w:val="24"/>
          <w:szCs w:val="24"/>
        </w:rPr>
        <w:footnoteReference w:id="546"/>
      </w:r>
      <w:r w:rsidRPr="000B73A3">
        <w:rPr>
          <w:rFonts w:ascii="Times New Roman" w:hAnsi="Times New Roman" w:cs="Times New Roman"/>
          <w:sz w:val="24"/>
          <w:szCs w:val="24"/>
        </w:rPr>
        <w:t xml:space="preserve">  </w:t>
      </w:r>
    </w:p>
    <w:p w:rsidR="000B73A3" w:rsidRPr="000B73A3"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For example, a flue-gas desulfurization (“FGD”) system may be added to a coal-fired plant in an effort to reduce pollutants.  But this would only be done if the FGD system were the most efficient means of achieving these emissions reductions.  If so, the costs of the FGD system would be borne by the market and the coal-fired plant would recover its costs.  If a more efficient source of emissions reduction exists (</w:t>
      </w:r>
      <w:r w:rsidRPr="000B73A3">
        <w:rPr>
          <w:rFonts w:ascii="Times New Roman" w:hAnsi="Times New Roman" w:cs="Times New Roman"/>
          <w:i/>
          <w:sz w:val="24"/>
          <w:szCs w:val="24"/>
        </w:rPr>
        <w:t>e.g</w:t>
      </w:r>
      <w:r w:rsidRPr="000B73A3">
        <w:rPr>
          <w:rFonts w:ascii="Times New Roman" w:hAnsi="Times New Roman" w:cs="Times New Roman"/>
          <w:sz w:val="24"/>
          <w:szCs w:val="24"/>
        </w:rPr>
        <w:t>., displacing the coal-fired plant with a natural gas-fired plant), that asset would enter the market and drive the coal-fired plant out.</w:t>
      </w:r>
      <w:r w:rsidRPr="000B73A3">
        <w:rPr>
          <w:rStyle w:val="FootnoteReference"/>
          <w:rFonts w:ascii="Times New Roman" w:hAnsi="Times New Roman" w:cs="Times New Roman"/>
          <w:sz w:val="24"/>
          <w:szCs w:val="24"/>
        </w:rPr>
        <w:footnoteReference w:id="547"/>
      </w:r>
    </w:p>
    <w:p w:rsidR="00E1168B"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AEP Ohio’s proposed PPA Rider eliminates any incentives for it or AEPGR to only make economically prudent investments, because recovery of its costs and a return on investment are ensured by the PPA Rider.</w:t>
      </w:r>
      <w:r w:rsidRPr="000B73A3">
        <w:rPr>
          <w:rStyle w:val="FootnoteReference"/>
          <w:rFonts w:ascii="Times New Roman" w:hAnsi="Times New Roman" w:cs="Times New Roman"/>
          <w:sz w:val="24"/>
          <w:szCs w:val="24"/>
        </w:rPr>
        <w:footnoteReference w:id="548"/>
      </w:r>
      <w:r w:rsidRPr="000B73A3">
        <w:rPr>
          <w:rFonts w:ascii="Times New Roman" w:hAnsi="Times New Roman" w:cs="Times New Roman"/>
          <w:sz w:val="24"/>
          <w:szCs w:val="24"/>
        </w:rPr>
        <w:t xml:space="preserve">  Considering that the PPA guarantees full recovery of all PPA Unit costs and a return on investment, the PPA provides AEPGR no incentive to ever retire any of the PPA Units.</w:t>
      </w:r>
      <w:r w:rsidRPr="000B73A3">
        <w:rPr>
          <w:rStyle w:val="FootnoteReference"/>
          <w:rFonts w:ascii="Times New Roman" w:hAnsi="Times New Roman" w:cs="Times New Roman"/>
          <w:sz w:val="24"/>
          <w:szCs w:val="24"/>
        </w:rPr>
        <w:footnoteReference w:id="549"/>
      </w:r>
    </w:p>
    <w:p w:rsidR="00A406C8" w:rsidRPr="00A406C8" w:rsidRDefault="00707C11" w:rsidP="00F27AA5">
      <w:pPr>
        <w:pStyle w:val="Heading3"/>
      </w:pPr>
      <w:bookmarkStart w:id="116" w:name="_Toc435428230"/>
      <w:bookmarkStart w:id="117" w:name="_Toc442104198"/>
      <w:r>
        <w:t>7.</w:t>
      </w:r>
      <w:r>
        <w:tab/>
      </w:r>
      <w:r w:rsidR="002E6FEA">
        <w:t xml:space="preserve">The </w:t>
      </w:r>
      <w:r w:rsidR="00114248">
        <w:t>A</w:t>
      </w:r>
      <w:r w:rsidR="002E6FEA">
        <w:t xml:space="preserve">mended </w:t>
      </w:r>
      <w:r w:rsidR="00114248">
        <w:t>A</w:t>
      </w:r>
      <w:r w:rsidR="000B73A3" w:rsidRPr="008F79C9">
        <w:t>pplic</w:t>
      </w:r>
      <w:r w:rsidR="002E6FEA">
        <w:t>ation</w:t>
      </w:r>
      <w:r w:rsidR="007F2EED">
        <w:t>/Modified Amended Application</w:t>
      </w:r>
      <w:r w:rsidR="002E6FEA">
        <w:t xml:space="preserve"> should be denied because AEP Ohio has not met its burden of proof on the factors in t</w:t>
      </w:r>
      <w:r w:rsidR="000B73A3" w:rsidRPr="008F79C9">
        <w:t xml:space="preserve">he ESP III Opinion </w:t>
      </w:r>
      <w:r w:rsidR="00B259CE">
        <w:t>a</w:t>
      </w:r>
      <w:r w:rsidR="000B73A3" w:rsidRPr="008F79C9">
        <w:t>nd Order</w:t>
      </w:r>
      <w:bookmarkEnd w:id="116"/>
      <w:r>
        <w:t>.</w:t>
      </w:r>
      <w:bookmarkEnd w:id="117"/>
      <w:r w:rsidR="000B73A3" w:rsidRPr="008F79C9">
        <w:t xml:space="preserve">  </w:t>
      </w:r>
    </w:p>
    <w:p w:rsidR="000B73A3" w:rsidRPr="00AC3945" w:rsidRDefault="00707C11" w:rsidP="00C401CE">
      <w:pPr>
        <w:pStyle w:val="Heading4"/>
      </w:pPr>
      <w:bookmarkStart w:id="118" w:name="_Toc435428231"/>
      <w:bookmarkStart w:id="119" w:name="_Toc442104199"/>
      <w:r>
        <w:t>a.</w:t>
      </w:r>
      <w:r>
        <w:tab/>
      </w:r>
      <w:r w:rsidR="002E6FEA">
        <w:t xml:space="preserve">AEP Ohio has not demonstrated a financial need for </w:t>
      </w:r>
      <w:r w:rsidR="002E1C0A">
        <w:t>t</w:t>
      </w:r>
      <w:r w:rsidR="002E6FEA">
        <w:t xml:space="preserve">he PPA </w:t>
      </w:r>
      <w:r w:rsidR="00114248">
        <w:t>U</w:t>
      </w:r>
      <w:r w:rsidR="000B73A3" w:rsidRPr="00AC3945">
        <w:t>nits</w:t>
      </w:r>
      <w:bookmarkEnd w:id="118"/>
      <w:r>
        <w:t>.</w:t>
      </w:r>
      <w:bookmarkEnd w:id="119"/>
      <w:r w:rsidR="000B73A3" w:rsidRPr="00AC3945">
        <w:t xml:space="preserve">    </w:t>
      </w:r>
    </w:p>
    <w:p w:rsidR="000E46CF" w:rsidRDefault="000B73A3" w:rsidP="00A57413">
      <w:pPr>
        <w:pStyle w:val="ListParagraph"/>
        <w:spacing w:after="0" w:line="480" w:lineRule="auto"/>
        <w:ind w:left="0" w:firstLine="720"/>
        <w:contextualSpacing w:val="0"/>
        <w:rPr>
          <w:rFonts w:ascii="Times New Roman" w:hAnsi="Times New Roman" w:cs="Times New Roman"/>
          <w:sz w:val="24"/>
          <w:szCs w:val="24"/>
        </w:rPr>
      </w:pPr>
      <w:r w:rsidRPr="000B73A3">
        <w:rPr>
          <w:rFonts w:ascii="Times New Roman" w:hAnsi="Times New Roman" w:cs="Times New Roman"/>
          <w:sz w:val="24"/>
          <w:szCs w:val="24"/>
        </w:rPr>
        <w:t>The PPA Units’ “financial need” is not an appropriate</w:t>
      </w:r>
      <w:r w:rsidR="009F5A13">
        <w:rPr>
          <w:rFonts w:ascii="Times New Roman" w:hAnsi="Times New Roman" w:cs="Times New Roman"/>
          <w:sz w:val="24"/>
          <w:szCs w:val="24"/>
        </w:rPr>
        <w:t xml:space="preserve"> (nor a lawful)</w:t>
      </w:r>
      <w:r w:rsidRPr="000B73A3">
        <w:rPr>
          <w:rFonts w:ascii="Times New Roman" w:hAnsi="Times New Roman" w:cs="Times New Roman"/>
          <w:sz w:val="24"/>
          <w:szCs w:val="24"/>
        </w:rPr>
        <w:t xml:space="preserve"> factor for the PUCO to consider in evaluating the Amended Application</w:t>
      </w:r>
      <w:r w:rsidR="002B33E8">
        <w:rPr>
          <w:rFonts w:ascii="Times New Roman" w:hAnsi="Times New Roman" w:cs="Times New Roman"/>
          <w:sz w:val="24"/>
          <w:szCs w:val="24"/>
        </w:rPr>
        <w:t>/Modified Amended Application</w:t>
      </w:r>
      <w:r w:rsidRPr="000B73A3">
        <w:rPr>
          <w:rFonts w:ascii="Times New Roman" w:hAnsi="Times New Roman" w:cs="Times New Roman"/>
          <w:sz w:val="24"/>
          <w:szCs w:val="24"/>
        </w:rPr>
        <w:t>.</w:t>
      </w:r>
      <w:r w:rsidRPr="000B73A3">
        <w:rPr>
          <w:rStyle w:val="FootnoteReference"/>
          <w:rFonts w:ascii="Times New Roman" w:hAnsi="Times New Roman" w:cs="Times New Roman"/>
          <w:sz w:val="24"/>
          <w:szCs w:val="24"/>
        </w:rPr>
        <w:footnoteReference w:id="550"/>
      </w:r>
      <w:r w:rsidRPr="000B73A3">
        <w:rPr>
          <w:rFonts w:ascii="Times New Roman" w:hAnsi="Times New Roman" w:cs="Times New Roman"/>
          <w:sz w:val="24"/>
          <w:szCs w:val="24"/>
        </w:rPr>
        <w:t xml:space="preserve">  In any event, the PUCO has not defined what is meant by the term “financial need.”</w:t>
      </w:r>
      <w:r w:rsidRPr="000B73A3">
        <w:rPr>
          <w:rStyle w:val="FootnoteReference"/>
          <w:rFonts w:ascii="Times New Roman" w:hAnsi="Times New Roman" w:cs="Times New Roman"/>
          <w:sz w:val="24"/>
          <w:szCs w:val="24"/>
        </w:rPr>
        <w:footnoteReference w:id="551"/>
      </w:r>
      <w:r w:rsidRPr="000B73A3">
        <w:rPr>
          <w:rFonts w:ascii="Times New Roman" w:hAnsi="Times New Roman" w:cs="Times New Roman"/>
          <w:sz w:val="24"/>
          <w:szCs w:val="24"/>
        </w:rPr>
        <w:t xml:space="preserve">  AEP Ohio has taken this lack of direction to advance the nebulous notion that the PPA </w:t>
      </w:r>
      <w:r w:rsidR="00E1168B">
        <w:rPr>
          <w:rFonts w:ascii="Times New Roman" w:hAnsi="Times New Roman" w:cs="Times New Roman"/>
          <w:sz w:val="24"/>
          <w:szCs w:val="24"/>
        </w:rPr>
        <w:t>U</w:t>
      </w:r>
      <w:r w:rsidRPr="000B73A3">
        <w:rPr>
          <w:rFonts w:ascii="Times New Roman" w:hAnsi="Times New Roman" w:cs="Times New Roman"/>
          <w:sz w:val="24"/>
          <w:szCs w:val="24"/>
        </w:rPr>
        <w:t>nits are purportedly in financial need because they are on the “financial bub</w:t>
      </w:r>
      <w:r w:rsidR="00A227BB">
        <w:rPr>
          <w:rFonts w:ascii="Times New Roman" w:hAnsi="Times New Roman" w:cs="Times New Roman"/>
          <w:sz w:val="24"/>
          <w:szCs w:val="24"/>
        </w:rPr>
        <w:t>ble” in the short-run</w:t>
      </w:r>
      <w:r w:rsidRPr="000B73A3">
        <w:rPr>
          <w:rFonts w:ascii="Times New Roman" w:hAnsi="Times New Roman" w:cs="Times New Roman"/>
          <w:sz w:val="24"/>
          <w:szCs w:val="24"/>
        </w:rPr>
        <w:t>.</w:t>
      </w:r>
      <w:r w:rsidRPr="000B73A3">
        <w:rPr>
          <w:rStyle w:val="FootnoteReference"/>
          <w:rFonts w:ascii="Times New Roman" w:hAnsi="Times New Roman" w:cs="Times New Roman"/>
          <w:sz w:val="24"/>
          <w:szCs w:val="24"/>
        </w:rPr>
        <w:footnoteReference w:id="552"/>
      </w:r>
      <w:r w:rsidRPr="000B73A3">
        <w:rPr>
          <w:rFonts w:ascii="Times New Roman" w:hAnsi="Times New Roman" w:cs="Times New Roman"/>
          <w:sz w:val="24"/>
          <w:szCs w:val="24"/>
        </w:rPr>
        <w:t xml:space="preserve">  But AEP Ohio has failed to demonstrate that the PPA Units would be retired absent approval of the PPA Rider and, thus, has failed to demonstrate financial need.  </w:t>
      </w:r>
    </w:p>
    <w:p w:rsidR="000B73A3" w:rsidRPr="000B73A3" w:rsidRDefault="000B73A3" w:rsidP="00A57413">
      <w:pPr>
        <w:pStyle w:val="ListParagraph"/>
        <w:spacing w:after="0" w:line="480" w:lineRule="auto"/>
        <w:ind w:left="0" w:firstLine="720"/>
        <w:contextualSpacing w:val="0"/>
        <w:rPr>
          <w:rFonts w:ascii="Times New Roman" w:hAnsi="Times New Roman" w:cs="Times New Roman"/>
          <w:sz w:val="24"/>
          <w:szCs w:val="24"/>
        </w:rPr>
      </w:pPr>
      <w:r w:rsidRPr="000B73A3">
        <w:rPr>
          <w:rFonts w:ascii="Times New Roman" w:hAnsi="Times New Roman" w:cs="Times New Roman"/>
          <w:sz w:val="24"/>
          <w:szCs w:val="24"/>
        </w:rPr>
        <w:t>The PJM markets are designed to foster long-run system efficiency by allowing free entry and exit of generating assets.  Generating assets that are not able, and do not expect to be able, to recover their costs from market revenues are inefficient or uneconomic and should exit the market.  Even if the PPA Units were in imminent danger of being retired, no evidence suggests that such retirement is attributable to anything other than PJM’s design to replace inefficient or uneconomic generating assets with lower cost units.  Accordingly, AEP Ohio has failed to demonstrate that the PPA units have “financial need.”</w:t>
      </w:r>
      <w:r w:rsidRPr="000B73A3">
        <w:rPr>
          <w:rStyle w:val="FootnoteReference"/>
          <w:rFonts w:ascii="Times New Roman" w:hAnsi="Times New Roman" w:cs="Times New Roman"/>
          <w:sz w:val="24"/>
          <w:szCs w:val="24"/>
        </w:rPr>
        <w:footnoteReference w:id="553"/>
      </w:r>
    </w:p>
    <w:p w:rsidR="000B73A3" w:rsidRPr="000B73A3" w:rsidRDefault="002E6FEA" w:rsidP="00316B0F">
      <w:pPr>
        <w:pStyle w:val="Heading5"/>
        <w:numPr>
          <w:ilvl w:val="0"/>
          <w:numId w:val="5"/>
        </w:numPr>
      </w:pPr>
      <w:bookmarkStart w:id="120" w:name="_Toc435428232"/>
      <w:bookmarkStart w:id="121" w:name="_Toc442104200"/>
      <w:r>
        <w:t xml:space="preserve">There are more market-based alternatives to the PPA </w:t>
      </w:r>
      <w:r w:rsidR="00114248">
        <w:t>R</w:t>
      </w:r>
      <w:r w:rsidR="000B73A3" w:rsidRPr="000B73A3">
        <w:t>ider</w:t>
      </w:r>
      <w:bookmarkEnd w:id="120"/>
      <w:r w:rsidR="00030E5A">
        <w:t>.</w:t>
      </w:r>
      <w:bookmarkEnd w:id="121"/>
      <w:r w:rsidR="000B73A3" w:rsidRPr="000B73A3">
        <w:t xml:space="preserve">  </w:t>
      </w:r>
    </w:p>
    <w:p w:rsidR="00437EAF"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There are alternatives to the PPA Rider</w:t>
      </w:r>
      <w:r w:rsidR="000E46CF">
        <w:rPr>
          <w:rFonts w:ascii="Times New Roman" w:hAnsi="Times New Roman" w:cs="Times New Roman"/>
          <w:sz w:val="24"/>
          <w:szCs w:val="24"/>
        </w:rPr>
        <w:t xml:space="preserve"> that are more market-based than the government re-regulation that AEP Ohio proposes</w:t>
      </w:r>
      <w:r w:rsidRPr="000B73A3">
        <w:rPr>
          <w:rFonts w:ascii="Times New Roman" w:hAnsi="Times New Roman" w:cs="Times New Roman"/>
          <w:sz w:val="24"/>
          <w:szCs w:val="24"/>
        </w:rPr>
        <w:t>.</w:t>
      </w:r>
      <w:r w:rsidR="000E46CF">
        <w:rPr>
          <w:rFonts w:ascii="Times New Roman" w:hAnsi="Times New Roman" w:cs="Times New Roman"/>
          <w:sz w:val="24"/>
          <w:szCs w:val="24"/>
        </w:rPr>
        <w:t xml:space="preserve">  </w:t>
      </w:r>
      <w:r w:rsidR="00445BA1">
        <w:rPr>
          <w:rFonts w:ascii="Times New Roman" w:hAnsi="Times New Roman" w:cs="Times New Roman"/>
          <w:sz w:val="24"/>
          <w:szCs w:val="24"/>
        </w:rPr>
        <w:t>OCC is</w:t>
      </w:r>
      <w:r w:rsidR="000E46CF">
        <w:rPr>
          <w:rFonts w:ascii="Times New Roman" w:hAnsi="Times New Roman" w:cs="Times New Roman"/>
          <w:sz w:val="24"/>
          <w:szCs w:val="24"/>
        </w:rPr>
        <w:t xml:space="preserve"> not now endorsing the approaches.  But </w:t>
      </w:r>
      <w:r w:rsidR="00445BA1">
        <w:rPr>
          <w:rFonts w:ascii="Times New Roman" w:hAnsi="Times New Roman" w:cs="Times New Roman"/>
          <w:sz w:val="24"/>
          <w:szCs w:val="24"/>
        </w:rPr>
        <w:t>OCC is</w:t>
      </w:r>
      <w:r w:rsidR="000E46CF">
        <w:rPr>
          <w:rFonts w:ascii="Times New Roman" w:hAnsi="Times New Roman" w:cs="Times New Roman"/>
          <w:sz w:val="24"/>
          <w:szCs w:val="24"/>
        </w:rPr>
        <w:t xml:space="preserve"> noting </w:t>
      </w:r>
      <w:r w:rsidR="005D1DFB">
        <w:rPr>
          <w:rFonts w:ascii="Times New Roman" w:hAnsi="Times New Roman" w:cs="Times New Roman"/>
          <w:sz w:val="24"/>
          <w:szCs w:val="24"/>
        </w:rPr>
        <w:t xml:space="preserve">that </w:t>
      </w:r>
      <w:r w:rsidR="000E46CF">
        <w:rPr>
          <w:rFonts w:ascii="Times New Roman" w:hAnsi="Times New Roman" w:cs="Times New Roman"/>
          <w:sz w:val="24"/>
          <w:szCs w:val="24"/>
        </w:rPr>
        <w:t>the PUCO has alternatives to AEP Ohio’s rent-seeking proposal, if there truly is interest in a hedge and in protecting consumers’ electric bills from extreme costs.</w:t>
      </w:r>
      <w:r w:rsidRPr="000B73A3">
        <w:rPr>
          <w:rFonts w:ascii="Times New Roman" w:hAnsi="Times New Roman" w:cs="Times New Roman"/>
          <w:sz w:val="24"/>
          <w:szCs w:val="24"/>
        </w:rPr>
        <w:t xml:space="preserve">  </w:t>
      </w:r>
    </w:p>
    <w:p w:rsidR="000B73A3" w:rsidRPr="000B73A3"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Such alternatives would have the advantage over the proposed PPA</w:t>
      </w:r>
      <w:r w:rsidR="00A227BB">
        <w:rPr>
          <w:rFonts w:ascii="Times New Roman" w:hAnsi="Times New Roman" w:cs="Times New Roman"/>
          <w:sz w:val="24"/>
          <w:szCs w:val="24"/>
        </w:rPr>
        <w:t>s</w:t>
      </w:r>
      <w:r w:rsidRPr="000B73A3">
        <w:rPr>
          <w:rFonts w:ascii="Times New Roman" w:hAnsi="Times New Roman" w:cs="Times New Roman"/>
          <w:sz w:val="24"/>
          <w:szCs w:val="24"/>
        </w:rPr>
        <w:t xml:space="preserve"> and PPA Rider because they do not entail a customer-funded subsidy of costs and a guaranteed return on investment to AEPGR.  </w:t>
      </w:r>
      <w:r w:rsidR="00A227BB">
        <w:rPr>
          <w:rFonts w:ascii="Times New Roman" w:hAnsi="Times New Roman" w:cs="Times New Roman"/>
          <w:sz w:val="24"/>
          <w:szCs w:val="24"/>
        </w:rPr>
        <w:t>Th</w:t>
      </w:r>
      <w:r w:rsidRPr="000B73A3">
        <w:rPr>
          <w:rFonts w:ascii="Times New Roman" w:hAnsi="Times New Roman" w:cs="Times New Roman"/>
          <w:sz w:val="24"/>
          <w:szCs w:val="24"/>
        </w:rPr>
        <w:t>ey do not have the potential to create inefficient market distortions or reduce the incentives for rational retirement and investment decisions by AEP Ohio and AEPGR.  Two possible alternatives are (1) for AEPGR to directly contract with customers that would like to benefit from the purported rate-stability benefits of the proposed PPA</w:t>
      </w:r>
      <w:r w:rsidR="00114248">
        <w:rPr>
          <w:rFonts w:ascii="Times New Roman" w:hAnsi="Times New Roman" w:cs="Times New Roman"/>
          <w:sz w:val="24"/>
          <w:szCs w:val="24"/>
        </w:rPr>
        <w:t>s</w:t>
      </w:r>
      <w:r w:rsidRPr="000B73A3">
        <w:rPr>
          <w:rFonts w:ascii="Times New Roman" w:hAnsi="Times New Roman" w:cs="Times New Roman"/>
          <w:sz w:val="24"/>
          <w:szCs w:val="24"/>
        </w:rPr>
        <w:t xml:space="preserve"> and PPA Rider or (2) for AEPGR to continue operation of the PPA Units through privately secured financing.</w:t>
      </w:r>
      <w:r w:rsidRPr="000B73A3">
        <w:rPr>
          <w:rStyle w:val="FootnoteReference"/>
          <w:rFonts w:ascii="Times New Roman" w:hAnsi="Times New Roman" w:cs="Times New Roman"/>
          <w:sz w:val="24"/>
          <w:szCs w:val="24"/>
        </w:rPr>
        <w:footnoteReference w:id="554"/>
      </w:r>
    </w:p>
    <w:p w:rsidR="000B73A3" w:rsidRPr="000B73A3" w:rsidRDefault="00FE589F" w:rsidP="00FE589F">
      <w:pPr>
        <w:pStyle w:val="Heading6"/>
      </w:pPr>
      <w:bookmarkStart w:id="122" w:name="_Toc435428233"/>
      <w:bookmarkStart w:id="123" w:name="_Toc442104201"/>
      <w:r>
        <w:t>(a)</w:t>
      </w:r>
      <w:r>
        <w:tab/>
      </w:r>
      <w:r w:rsidR="008A5D90">
        <w:t>Bi-lateral c</w:t>
      </w:r>
      <w:r w:rsidR="000B73A3" w:rsidRPr="000B73A3">
        <w:t>ontracts</w:t>
      </w:r>
      <w:bookmarkEnd w:id="122"/>
      <w:r w:rsidR="009B1A26">
        <w:t>.</w:t>
      </w:r>
      <w:bookmarkEnd w:id="123"/>
    </w:p>
    <w:p w:rsidR="000B73A3" w:rsidRPr="000B73A3"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AEP Ohio Witness Allen states that, as opposed to liquidating all of the energy, ancillary services, and capacity of the PPA Units into PJM, AEP Ohio could sell them directly to specific customers that could benefit from a more stable price.</w:t>
      </w:r>
      <w:r w:rsidRPr="000B73A3">
        <w:rPr>
          <w:rStyle w:val="FootnoteReference"/>
          <w:rFonts w:ascii="Times New Roman" w:hAnsi="Times New Roman" w:cs="Times New Roman"/>
          <w:sz w:val="24"/>
          <w:szCs w:val="24"/>
        </w:rPr>
        <w:footnoteReference w:id="555"/>
      </w:r>
      <w:r w:rsidRPr="000B73A3">
        <w:rPr>
          <w:rFonts w:ascii="Times New Roman" w:hAnsi="Times New Roman" w:cs="Times New Roman"/>
          <w:sz w:val="24"/>
          <w:szCs w:val="24"/>
        </w:rPr>
        <w:t xml:space="preserve">  AEP Ohio Witness Allen suggests that this could be done as part of AEP Ohio's proposal</w:t>
      </w:r>
      <w:r w:rsidR="00723D8A">
        <w:rPr>
          <w:rFonts w:ascii="Times New Roman" w:hAnsi="Times New Roman" w:cs="Times New Roman"/>
          <w:sz w:val="24"/>
          <w:szCs w:val="24"/>
        </w:rPr>
        <w:t>,</w:t>
      </w:r>
      <w:r w:rsidRPr="000B73A3">
        <w:rPr>
          <w:rFonts w:ascii="Times New Roman" w:hAnsi="Times New Roman" w:cs="Times New Roman"/>
          <w:sz w:val="24"/>
          <w:szCs w:val="24"/>
        </w:rPr>
        <w:t xml:space="preserve"> and the revenues from such contracting could be netted against PPA costs in computing PPA Rider charges.</w:t>
      </w:r>
      <w:r w:rsidRPr="000B73A3">
        <w:rPr>
          <w:rStyle w:val="FootnoteAnchor"/>
          <w:rFonts w:ascii="Times New Roman" w:hAnsi="Times New Roman" w:cs="Times New Roman"/>
          <w:sz w:val="24"/>
          <w:szCs w:val="24"/>
        </w:rPr>
        <w:footnoteReference w:id="556"/>
      </w:r>
    </w:p>
    <w:p w:rsidR="00437EAF"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As an alternative to the PPA</w:t>
      </w:r>
      <w:r w:rsidR="00715F36">
        <w:rPr>
          <w:rFonts w:ascii="Times New Roman" w:hAnsi="Times New Roman" w:cs="Times New Roman"/>
          <w:sz w:val="24"/>
          <w:szCs w:val="24"/>
        </w:rPr>
        <w:t>s</w:t>
      </w:r>
      <w:r w:rsidRPr="000B73A3">
        <w:rPr>
          <w:rFonts w:ascii="Times New Roman" w:hAnsi="Times New Roman" w:cs="Times New Roman"/>
          <w:sz w:val="24"/>
          <w:szCs w:val="24"/>
        </w:rPr>
        <w:t xml:space="preserve"> and PPA Rider proposal, bi-lateral contracts could be entered into directly between AEPGR and specific customers that could benefit from a more stable </w:t>
      </w:r>
      <w:r w:rsidR="00034B2E">
        <w:rPr>
          <w:rFonts w:ascii="Times New Roman" w:hAnsi="Times New Roman" w:cs="Times New Roman"/>
          <w:sz w:val="24"/>
          <w:szCs w:val="24"/>
        </w:rPr>
        <w:t xml:space="preserve">(albeit most likely higher) </w:t>
      </w:r>
      <w:r w:rsidRPr="000B73A3">
        <w:rPr>
          <w:rFonts w:ascii="Times New Roman" w:hAnsi="Times New Roman" w:cs="Times New Roman"/>
          <w:sz w:val="24"/>
          <w:szCs w:val="24"/>
        </w:rPr>
        <w:t>price.</w:t>
      </w:r>
      <w:r w:rsidRPr="000B73A3">
        <w:rPr>
          <w:rStyle w:val="FootnoteReference"/>
          <w:rFonts w:ascii="Times New Roman" w:hAnsi="Times New Roman" w:cs="Times New Roman"/>
          <w:sz w:val="24"/>
          <w:szCs w:val="24"/>
        </w:rPr>
        <w:footnoteReference w:id="557"/>
      </w:r>
      <w:r w:rsidRPr="000B73A3">
        <w:rPr>
          <w:rFonts w:ascii="Times New Roman" w:hAnsi="Times New Roman" w:cs="Times New Roman"/>
          <w:sz w:val="24"/>
          <w:szCs w:val="24"/>
        </w:rPr>
        <w:t xml:space="preserve">  AEP Ohio Witness Vegas states that the purported price hedge</w:t>
      </w:r>
      <w:r w:rsidR="008208D0">
        <w:rPr>
          <w:rFonts w:ascii="Times New Roman" w:hAnsi="Times New Roman" w:cs="Times New Roman"/>
          <w:sz w:val="24"/>
          <w:szCs w:val="24"/>
        </w:rPr>
        <w:t xml:space="preserve"> </w:t>
      </w:r>
      <w:r w:rsidRPr="000B73A3">
        <w:rPr>
          <w:rFonts w:ascii="Times New Roman" w:hAnsi="Times New Roman" w:cs="Times New Roman"/>
          <w:sz w:val="24"/>
          <w:szCs w:val="24"/>
        </w:rPr>
        <w:t>protection from the impacts of market volatility, and retail price certainty offered by the PPA</w:t>
      </w:r>
      <w:r w:rsidR="00715F36">
        <w:rPr>
          <w:rFonts w:ascii="Times New Roman" w:hAnsi="Times New Roman" w:cs="Times New Roman"/>
          <w:sz w:val="24"/>
          <w:szCs w:val="24"/>
        </w:rPr>
        <w:t>s</w:t>
      </w:r>
      <w:r w:rsidRPr="000B73A3">
        <w:rPr>
          <w:rFonts w:ascii="Times New Roman" w:hAnsi="Times New Roman" w:cs="Times New Roman"/>
          <w:sz w:val="24"/>
          <w:szCs w:val="24"/>
        </w:rPr>
        <w:t xml:space="preserve"> and PPA Rider</w:t>
      </w:r>
      <w:r w:rsidR="008208D0">
        <w:rPr>
          <w:rFonts w:ascii="Times New Roman" w:hAnsi="Times New Roman" w:cs="Times New Roman"/>
          <w:sz w:val="24"/>
          <w:szCs w:val="24"/>
        </w:rPr>
        <w:t>,</w:t>
      </w:r>
      <w:r w:rsidRPr="000B73A3">
        <w:rPr>
          <w:rFonts w:ascii="Times New Roman" w:hAnsi="Times New Roman" w:cs="Times New Roman"/>
          <w:sz w:val="24"/>
          <w:szCs w:val="24"/>
        </w:rPr>
        <w:t xml:space="preserve"> </w:t>
      </w:r>
      <w:r w:rsidR="008208D0">
        <w:rPr>
          <w:rFonts w:ascii="Times New Roman" w:hAnsi="Times New Roman" w:cs="Times New Roman"/>
          <w:sz w:val="24"/>
          <w:szCs w:val="24"/>
        </w:rPr>
        <w:t>are</w:t>
      </w:r>
      <w:r w:rsidRPr="000B73A3">
        <w:rPr>
          <w:rFonts w:ascii="Times New Roman" w:hAnsi="Times New Roman" w:cs="Times New Roman"/>
          <w:sz w:val="24"/>
          <w:szCs w:val="24"/>
        </w:rPr>
        <w:t xml:space="preserve"> desired by Ohio business</w:t>
      </w:r>
      <w:r w:rsidR="008208D0">
        <w:rPr>
          <w:rFonts w:ascii="Times New Roman" w:hAnsi="Times New Roman" w:cs="Times New Roman"/>
          <w:sz w:val="24"/>
          <w:szCs w:val="24"/>
        </w:rPr>
        <w:t xml:space="preserve">.  This </w:t>
      </w:r>
      <w:r w:rsidRPr="000B73A3">
        <w:rPr>
          <w:rFonts w:ascii="Times New Roman" w:hAnsi="Times New Roman" w:cs="Times New Roman"/>
          <w:sz w:val="24"/>
          <w:szCs w:val="24"/>
        </w:rPr>
        <w:t>is demonstrated by Ohio Energy Group’s (“OEG”) endorsement of AEP Ohio's PPA proposal.</w:t>
      </w:r>
      <w:r w:rsidRPr="000B73A3">
        <w:rPr>
          <w:rStyle w:val="FootnoteAnchor"/>
          <w:rFonts w:ascii="Times New Roman" w:hAnsi="Times New Roman" w:cs="Times New Roman"/>
          <w:sz w:val="24"/>
          <w:szCs w:val="24"/>
        </w:rPr>
        <w:footnoteReference w:id="558"/>
      </w:r>
      <w:r w:rsidRPr="000B73A3">
        <w:rPr>
          <w:rFonts w:ascii="Times New Roman" w:hAnsi="Times New Roman" w:cs="Times New Roman"/>
          <w:sz w:val="24"/>
          <w:szCs w:val="24"/>
        </w:rPr>
        <w:t xml:space="preserve">  Considering this endorsement, it is reasonable to conclude that AEPGR could directly contract with OEG members and other commercial and industrial customers to provide them the full price-stability and hedging benefits of the PPA</w:t>
      </w:r>
      <w:r w:rsidR="00715F36">
        <w:rPr>
          <w:rFonts w:ascii="Times New Roman" w:hAnsi="Times New Roman" w:cs="Times New Roman"/>
          <w:sz w:val="24"/>
          <w:szCs w:val="24"/>
        </w:rPr>
        <w:t>s</w:t>
      </w:r>
      <w:r w:rsidRPr="000B73A3">
        <w:rPr>
          <w:rFonts w:ascii="Times New Roman" w:hAnsi="Times New Roman" w:cs="Times New Roman"/>
          <w:sz w:val="24"/>
          <w:szCs w:val="24"/>
        </w:rPr>
        <w:t xml:space="preserve"> and PPA Rider, as opposed to imposing it on all of AEP Ohio's captive customers.</w:t>
      </w:r>
      <w:r w:rsidRPr="000B73A3">
        <w:rPr>
          <w:rStyle w:val="FootnoteReference"/>
          <w:rFonts w:ascii="Times New Roman" w:hAnsi="Times New Roman" w:cs="Times New Roman"/>
          <w:sz w:val="24"/>
          <w:szCs w:val="24"/>
        </w:rPr>
        <w:footnoteReference w:id="559"/>
      </w:r>
      <w:r w:rsidRPr="000B73A3">
        <w:rPr>
          <w:rFonts w:ascii="Times New Roman" w:hAnsi="Times New Roman" w:cs="Times New Roman"/>
          <w:sz w:val="24"/>
          <w:szCs w:val="24"/>
        </w:rPr>
        <w:t xml:space="preserve">  </w:t>
      </w:r>
    </w:p>
    <w:p w:rsidR="000B73A3" w:rsidRPr="000B73A3"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Indeed, any price-stabilizing effect that the PPA</w:t>
      </w:r>
      <w:r w:rsidR="00715F36">
        <w:rPr>
          <w:rFonts w:ascii="Times New Roman" w:hAnsi="Times New Roman" w:cs="Times New Roman"/>
          <w:sz w:val="24"/>
          <w:szCs w:val="24"/>
        </w:rPr>
        <w:t>s</w:t>
      </w:r>
      <w:r w:rsidRPr="000B73A3">
        <w:rPr>
          <w:rFonts w:ascii="Times New Roman" w:hAnsi="Times New Roman" w:cs="Times New Roman"/>
          <w:sz w:val="24"/>
          <w:szCs w:val="24"/>
        </w:rPr>
        <w:t xml:space="preserve"> and PPA Rider may have would be imposed on shopping customers, who have explicitly opted not to have price stability through their decision to contract for supply through CRES providers.</w:t>
      </w:r>
      <w:r w:rsidRPr="000B73A3">
        <w:rPr>
          <w:rStyle w:val="FootnoteReference"/>
          <w:rFonts w:ascii="Times New Roman" w:hAnsi="Times New Roman" w:cs="Times New Roman"/>
          <w:sz w:val="24"/>
          <w:szCs w:val="24"/>
        </w:rPr>
        <w:footnoteReference w:id="560"/>
      </w:r>
      <w:r w:rsidRPr="000B73A3">
        <w:rPr>
          <w:rFonts w:ascii="Times New Roman" w:hAnsi="Times New Roman" w:cs="Times New Roman"/>
          <w:sz w:val="24"/>
          <w:szCs w:val="24"/>
        </w:rPr>
        <w:t xml:space="preserve">  That is to say, if the PPA</w:t>
      </w:r>
      <w:r w:rsidR="00715F36">
        <w:rPr>
          <w:rFonts w:ascii="Times New Roman" w:hAnsi="Times New Roman" w:cs="Times New Roman"/>
          <w:sz w:val="24"/>
          <w:szCs w:val="24"/>
        </w:rPr>
        <w:t>s</w:t>
      </w:r>
      <w:r w:rsidRPr="000B73A3">
        <w:rPr>
          <w:rFonts w:ascii="Times New Roman" w:hAnsi="Times New Roman" w:cs="Times New Roman"/>
          <w:sz w:val="24"/>
          <w:szCs w:val="24"/>
        </w:rPr>
        <w:t xml:space="preserve"> and PPA Rider have any price-stabilizing benefit, this benefit would run counter to the preferences of shopping customers.</w:t>
      </w:r>
      <w:r w:rsidRPr="000B73A3">
        <w:rPr>
          <w:rStyle w:val="FootnoteReference"/>
          <w:rFonts w:ascii="Times New Roman" w:hAnsi="Times New Roman" w:cs="Times New Roman"/>
          <w:sz w:val="24"/>
          <w:szCs w:val="24"/>
        </w:rPr>
        <w:footnoteReference w:id="561"/>
      </w:r>
      <w:r w:rsidRPr="000B73A3">
        <w:rPr>
          <w:rFonts w:ascii="Times New Roman" w:hAnsi="Times New Roman" w:cs="Times New Roman"/>
          <w:sz w:val="24"/>
          <w:szCs w:val="24"/>
        </w:rPr>
        <w:t xml:space="preserve">  Thus, bi-lateral contracts between AEPGR and customers wanting price stability would alleviate this perverse effect of the PPA</w:t>
      </w:r>
      <w:r w:rsidR="002E1C0A">
        <w:rPr>
          <w:rFonts w:ascii="Times New Roman" w:hAnsi="Times New Roman" w:cs="Times New Roman"/>
          <w:sz w:val="24"/>
          <w:szCs w:val="24"/>
        </w:rPr>
        <w:t>s</w:t>
      </w:r>
      <w:r w:rsidRPr="000B73A3">
        <w:rPr>
          <w:rFonts w:ascii="Times New Roman" w:hAnsi="Times New Roman" w:cs="Times New Roman"/>
          <w:sz w:val="24"/>
          <w:szCs w:val="24"/>
        </w:rPr>
        <w:t xml:space="preserve"> and PPA Rider.</w:t>
      </w:r>
      <w:r w:rsidRPr="000B73A3">
        <w:rPr>
          <w:rStyle w:val="FootnoteReference"/>
          <w:rFonts w:ascii="Times New Roman" w:hAnsi="Times New Roman" w:cs="Times New Roman"/>
          <w:sz w:val="24"/>
          <w:szCs w:val="24"/>
        </w:rPr>
        <w:footnoteReference w:id="562"/>
      </w:r>
    </w:p>
    <w:p w:rsidR="000B73A3" w:rsidRPr="00B94CEE" w:rsidRDefault="00FE589F" w:rsidP="00FE589F">
      <w:pPr>
        <w:pStyle w:val="Heading6"/>
      </w:pPr>
      <w:bookmarkStart w:id="124" w:name="_Toc435428234"/>
      <w:bookmarkStart w:id="125" w:name="_Toc442104202"/>
      <w:r>
        <w:t>(b)</w:t>
      </w:r>
      <w:r>
        <w:tab/>
      </w:r>
      <w:r w:rsidR="008A5D90">
        <w:t>Private f</w:t>
      </w:r>
      <w:r w:rsidR="000B73A3" w:rsidRPr="00B94CEE">
        <w:t>inancing</w:t>
      </w:r>
      <w:bookmarkEnd w:id="124"/>
      <w:r w:rsidR="009B1A26">
        <w:t>.</w:t>
      </w:r>
      <w:bookmarkEnd w:id="125"/>
    </w:p>
    <w:p w:rsidR="000B73A3"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AEP Ohio projects that the PPA Rider will result in a $574 million total credit to customers over the term of the PPA</w:t>
      </w:r>
      <w:r w:rsidR="002E1C0A">
        <w:rPr>
          <w:rFonts w:ascii="Times New Roman" w:hAnsi="Times New Roman" w:cs="Times New Roman"/>
          <w:sz w:val="24"/>
          <w:szCs w:val="24"/>
        </w:rPr>
        <w:t>s</w:t>
      </w:r>
      <w:r w:rsidRPr="000B73A3">
        <w:rPr>
          <w:rFonts w:ascii="Times New Roman" w:hAnsi="Times New Roman" w:cs="Times New Roman"/>
          <w:sz w:val="24"/>
          <w:szCs w:val="24"/>
        </w:rPr>
        <w:t>.</w:t>
      </w:r>
      <w:r w:rsidRPr="000B73A3">
        <w:rPr>
          <w:rStyle w:val="FootnoteReference"/>
          <w:rFonts w:ascii="Times New Roman" w:hAnsi="Times New Roman" w:cs="Times New Roman"/>
          <w:sz w:val="24"/>
          <w:szCs w:val="24"/>
        </w:rPr>
        <w:footnoteReference w:id="563"/>
      </w:r>
      <w:r w:rsidRPr="000B73A3">
        <w:rPr>
          <w:rFonts w:ascii="Times New Roman" w:hAnsi="Times New Roman" w:cs="Times New Roman"/>
          <w:sz w:val="24"/>
          <w:szCs w:val="24"/>
        </w:rPr>
        <w:t xml:space="preserve">  If AEPGR believes AEP Ohio's analysis that the PPA Units could earn a net profit of $574 million over the initial ten years of the PPA</w:t>
      </w:r>
      <w:r w:rsidR="002E1C0A">
        <w:rPr>
          <w:rFonts w:ascii="Times New Roman" w:hAnsi="Times New Roman" w:cs="Times New Roman"/>
          <w:sz w:val="24"/>
          <w:szCs w:val="24"/>
        </w:rPr>
        <w:t>s</w:t>
      </w:r>
      <w:r w:rsidRPr="000B73A3">
        <w:rPr>
          <w:rFonts w:ascii="Times New Roman" w:hAnsi="Times New Roman" w:cs="Times New Roman"/>
          <w:sz w:val="24"/>
          <w:szCs w:val="24"/>
        </w:rPr>
        <w:t>, AEPGR could continue operation of the PPA Units through privately secured financing.</w:t>
      </w:r>
      <w:r w:rsidRPr="000B73A3">
        <w:rPr>
          <w:rStyle w:val="FootnoteReference"/>
          <w:rFonts w:ascii="Times New Roman" w:hAnsi="Times New Roman" w:cs="Times New Roman"/>
          <w:sz w:val="24"/>
          <w:szCs w:val="24"/>
        </w:rPr>
        <w:footnoteReference w:id="564"/>
      </w:r>
      <w:r w:rsidRPr="000B73A3">
        <w:rPr>
          <w:rFonts w:ascii="Times New Roman" w:hAnsi="Times New Roman" w:cs="Times New Roman"/>
          <w:sz w:val="24"/>
          <w:szCs w:val="24"/>
        </w:rPr>
        <w:t xml:space="preserve">  This would be considerably preferable to the PPA Rider subsidy because privately secured financing does not introduce the market inefficiency and uneconomic retirement and investment issues raised by the PPA</w:t>
      </w:r>
      <w:r w:rsidR="00715F36">
        <w:rPr>
          <w:rFonts w:ascii="Times New Roman" w:hAnsi="Times New Roman" w:cs="Times New Roman"/>
          <w:sz w:val="24"/>
          <w:szCs w:val="24"/>
        </w:rPr>
        <w:t>s</w:t>
      </w:r>
      <w:r w:rsidRPr="000B73A3">
        <w:rPr>
          <w:rFonts w:ascii="Times New Roman" w:hAnsi="Times New Roman" w:cs="Times New Roman"/>
          <w:sz w:val="24"/>
          <w:szCs w:val="24"/>
        </w:rPr>
        <w:t xml:space="preserve"> and PPA Rider.</w:t>
      </w:r>
      <w:r w:rsidRPr="000B73A3">
        <w:rPr>
          <w:rStyle w:val="FootnoteReference"/>
          <w:rFonts w:ascii="Times New Roman" w:hAnsi="Times New Roman" w:cs="Times New Roman"/>
          <w:sz w:val="24"/>
          <w:szCs w:val="24"/>
        </w:rPr>
        <w:footnoteReference w:id="565"/>
      </w:r>
      <w:r w:rsidRPr="000B73A3">
        <w:rPr>
          <w:rFonts w:ascii="Times New Roman" w:hAnsi="Times New Roman" w:cs="Times New Roman"/>
          <w:sz w:val="24"/>
          <w:szCs w:val="24"/>
        </w:rPr>
        <w:t xml:space="preserve">  </w:t>
      </w:r>
      <w:r w:rsidR="00715F36">
        <w:rPr>
          <w:rFonts w:ascii="Times New Roman" w:hAnsi="Times New Roman" w:cs="Times New Roman"/>
          <w:sz w:val="24"/>
          <w:szCs w:val="24"/>
        </w:rPr>
        <w:t>And</w:t>
      </w:r>
      <w:r w:rsidRPr="000B73A3">
        <w:rPr>
          <w:rFonts w:ascii="Times New Roman" w:hAnsi="Times New Roman" w:cs="Times New Roman"/>
          <w:sz w:val="24"/>
          <w:szCs w:val="24"/>
        </w:rPr>
        <w:t xml:space="preserve"> privately secured financing properly places the risk of uneconomic or inefficient decisions on AEPGR, shareholders, lenders, and investors, as opposed to transferring all of those risks to AEP Ohio’s captive customers.</w:t>
      </w:r>
      <w:r w:rsidRPr="000B73A3">
        <w:rPr>
          <w:rStyle w:val="FootnoteReference"/>
          <w:rFonts w:ascii="Times New Roman" w:hAnsi="Times New Roman" w:cs="Times New Roman"/>
          <w:sz w:val="24"/>
          <w:szCs w:val="24"/>
        </w:rPr>
        <w:footnoteReference w:id="566"/>
      </w:r>
    </w:p>
    <w:p w:rsidR="000B73A3" w:rsidRPr="008F79C9" w:rsidRDefault="008A5D90" w:rsidP="00316B0F">
      <w:pPr>
        <w:pStyle w:val="Heading5"/>
        <w:numPr>
          <w:ilvl w:val="0"/>
          <w:numId w:val="5"/>
        </w:numPr>
      </w:pPr>
      <w:bookmarkStart w:id="126" w:name="_Toc435428235"/>
      <w:bookmarkStart w:id="127" w:name="_Toc442104203"/>
      <w:r>
        <w:t xml:space="preserve">AEP Ohio’s proposed </w:t>
      </w:r>
      <w:r w:rsidR="00437EAF">
        <w:t>return on equity (profit)</w:t>
      </w:r>
      <w:r>
        <w:t xml:space="preserve"> is unjust, u</w:t>
      </w:r>
      <w:r w:rsidR="000B73A3" w:rsidRPr="008F79C9">
        <w:t xml:space="preserve">nreasonable, </w:t>
      </w:r>
      <w:r>
        <w:t>u</w:t>
      </w:r>
      <w:r w:rsidR="000B73A3" w:rsidRPr="008F79C9">
        <w:t>nprecedented</w:t>
      </w:r>
      <w:bookmarkEnd w:id="126"/>
      <w:r w:rsidR="00081CC7">
        <w:t xml:space="preserve">, and harmful to </w:t>
      </w:r>
      <w:r w:rsidR="003D3C97">
        <w:t>consumers</w:t>
      </w:r>
      <w:r w:rsidR="00030E5A">
        <w:t>.</w:t>
      </w:r>
      <w:bookmarkEnd w:id="127"/>
    </w:p>
    <w:p w:rsidR="00E1168B" w:rsidRPr="008F79C9" w:rsidRDefault="00B259CE" w:rsidP="00A406C8">
      <w:pPr>
        <w:pStyle w:val="Heading6"/>
        <w:numPr>
          <w:ilvl w:val="0"/>
          <w:numId w:val="15"/>
        </w:numPr>
        <w:ind w:left="4320" w:hanging="720"/>
      </w:pPr>
      <w:bookmarkStart w:id="128" w:name="_Toc442104204"/>
      <w:r>
        <w:t xml:space="preserve">Traditional concepts of </w:t>
      </w:r>
      <w:r w:rsidR="00437EAF">
        <w:t xml:space="preserve">return on equity (profit) </w:t>
      </w:r>
      <w:r>
        <w:t>for regulated utilities are inapplicable here</w:t>
      </w:r>
      <w:r w:rsidR="009B1A26">
        <w:t>.</w:t>
      </w:r>
      <w:bookmarkEnd w:id="128"/>
    </w:p>
    <w:p w:rsidR="000B73A3" w:rsidRPr="000B73A3"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 xml:space="preserve">The 11.24 percent </w:t>
      </w:r>
      <w:r w:rsidR="00906DB3">
        <w:rPr>
          <w:rFonts w:ascii="Times New Roman" w:hAnsi="Times New Roman" w:cs="Times New Roman"/>
          <w:sz w:val="24"/>
          <w:szCs w:val="24"/>
        </w:rPr>
        <w:t>return on equity (profit)</w:t>
      </w:r>
      <w:r w:rsidRPr="000B73A3">
        <w:rPr>
          <w:rFonts w:ascii="Times New Roman" w:hAnsi="Times New Roman" w:cs="Times New Roman"/>
          <w:sz w:val="24"/>
          <w:szCs w:val="24"/>
        </w:rPr>
        <w:t xml:space="preserve"> proposed in the Amended Application </w:t>
      </w:r>
      <w:r w:rsidR="0035653D">
        <w:rPr>
          <w:rFonts w:ascii="Times New Roman" w:hAnsi="Times New Roman" w:cs="Times New Roman"/>
          <w:sz w:val="24"/>
          <w:szCs w:val="24"/>
        </w:rPr>
        <w:t xml:space="preserve">(and the 10.38 percent </w:t>
      </w:r>
      <w:r w:rsidR="00906DB3">
        <w:rPr>
          <w:rFonts w:ascii="Times New Roman" w:hAnsi="Times New Roman" w:cs="Times New Roman"/>
          <w:sz w:val="24"/>
          <w:szCs w:val="24"/>
        </w:rPr>
        <w:t xml:space="preserve">guaranteed profit </w:t>
      </w:r>
      <w:r w:rsidR="0035653D">
        <w:rPr>
          <w:rFonts w:ascii="Times New Roman" w:hAnsi="Times New Roman" w:cs="Times New Roman"/>
          <w:sz w:val="24"/>
          <w:szCs w:val="24"/>
        </w:rPr>
        <w:t xml:space="preserve">proposed in the Joint Stipulation) </w:t>
      </w:r>
      <w:r w:rsidRPr="000B73A3">
        <w:rPr>
          <w:rFonts w:ascii="Times New Roman" w:hAnsi="Times New Roman" w:cs="Times New Roman"/>
          <w:sz w:val="24"/>
          <w:szCs w:val="24"/>
        </w:rPr>
        <w:t xml:space="preserve">is unjust and unreasonable for a variety of reasons. </w:t>
      </w:r>
      <w:r w:rsidR="00176F22">
        <w:rPr>
          <w:rFonts w:ascii="Times New Roman" w:hAnsi="Times New Roman" w:cs="Times New Roman"/>
          <w:sz w:val="24"/>
          <w:szCs w:val="24"/>
        </w:rPr>
        <w:t xml:space="preserve"> </w:t>
      </w:r>
      <w:r w:rsidRPr="000B73A3">
        <w:rPr>
          <w:rFonts w:ascii="Times New Roman" w:hAnsi="Times New Roman" w:cs="Times New Roman"/>
          <w:sz w:val="24"/>
          <w:szCs w:val="24"/>
        </w:rPr>
        <w:t>First,</w:t>
      </w:r>
      <w:r w:rsidRPr="000B73A3">
        <w:rPr>
          <w:rFonts w:ascii="Times New Roman" w:eastAsia="PMingLiU" w:hAnsi="Times New Roman" w:cs="Times New Roman"/>
          <w:kern w:val="2"/>
          <w:sz w:val="24"/>
          <w:szCs w:val="24"/>
          <w:lang w:eastAsia="zh-TW"/>
        </w:rPr>
        <w:t xml:space="preserve"> </w:t>
      </w:r>
      <w:r w:rsidRPr="000B73A3">
        <w:rPr>
          <w:rFonts w:ascii="Times New Roman" w:hAnsi="Times New Roman" w:cs="Times New Roman"/>
          <w:sz w:val="24"/>
          <w:szCs w:val="24"/>
        </w:rPr>
        <w:t>AEPGR is an unregulated power producer and its profit is, and should continue to be, decided in the marketplace.</w:t>
      </w:r>
      <w:r w:rsidRPr="000B73A3">
        <w:rPr>
          <w:rStyle w:val="FootnoteReference"/>
          <w:rFonts w:ascii="Times New Roman" w:hAnsi="Times New Roman" w:cs="Times New Roman"/>
          <w:sz w:val="24"/>
          <w:szCs w:val="24"/>
        </w:rPr>
        <w:footnoteReference w:id="567"/>
      </w:r>
      <w:r w:rsidRPr="000B73A3">
        <w:rPr>
          <w:rFonts w:ascii="Times New Roman" w:hAnsi="Times New Roman" w:cs="Times New Roman"/>
          <w:sz w:val="24"/>
          <w:szCs w:val="24"/>
        </w:rPr>
        <w:t xml:space="preserve"> </w:t>
      </w:r>
      <w:r w:rsidR="00176F22">
        <w:rPr>
          <w:rFonts w:ascii="Times New Roman" w:hAnsi="Times New Roman" w:cs="Times New Roman"/>
          <w:sz w:val="24"/>
          <w:szCs w:val="24"/>
        </w:rPr>
        <w:t xml:space="preserve"> </w:t>
      </w:r>
      <w:r w:rsidRPr="000B73A3">
        <w:rPr>
          <w:rFonts w:ascii="Times New Roman" w:hAnsi="Times New Roman" w:cs="Times New Roman"/>
          <w:sz w:val="24"/>
          <w:szCs w:val="24"/>
        </w:rPr>
        <w:t>The generation market for wholesale and retail electricity in Ohio is currently unregulated.</w:t>
      </w:r>
      <w:r w:rsidRPr="000B73A3">
        <w:rPr>
          <w:rStyle w:val="FootnoteReference"/>
          <w:rFonts w:ascii="Times New Roman" w:hAnsi="Times New Roman" w:cs="Times New Roman"/>
          <w:sz w:val="24"/>
          <w:szCs w:val="24"/>
        </w:rPr>
        <w:footnoteReference w:id="568"/>
      </w:r>
      <w:r w:rsidRPr="000B73A3">
        <w:rPr>
          <w:rFonts w:ascii="Times New Roman" w:hAnsi="Times New Roman" w:cs="Times New Roman"/>
          <w:sz w:val="24"/>
          <w:szCs w:val="24"/>
        </w:rPr>
        <w:t xml:space="preserve"> </w:t>
      </w:r>
      <w:r w:rsidR="00176F22">
        <w:rPr>
          <w:rFonts w:ascii="Times New Roman" w:hAnsi="Times New Roman" w:cs="Times New Roman"/>
          <w:sz w:val="24"/>
          <w:szCs w:val="24"/>
        </w:rPr>
        <w:t xml:space="preserve"> </w:t>
      </w:r>
      <w:r w:rsidRPr="000B73A3">
        <w:rPr>
          <w:rFonts w:ascii="Times New Roman" w:hAnsi="Times New Roman" w:cs="Times New Roman"/>
          <w:sz w:val="24"/>
          <w:szCs w:val="24"/>
        </w:rPr>
        <w:t>That is, Ohio now has a competitive market for electricity generation.</w:t>
      </w:r>
      <w:r w:rsidRPr="000B73A3">
        <w:rPr>
          <w:rStyle w:val="FootnoteReference"/>
          <w:rFonts w:ascii="Times New Roman" w:hAnsi="Times New Roman" w:cs="Times New Roman"/>
          <w:sz w:val="24"/>
          <w:szCs w:val="24"/>
        </w:rPr>
        <w:footnoteReference w:id="569"/>
      </w:r>
      <w:r w:rsidRPr="000B73A3">
        <w:rPr>
          <w:rFonts w:ascii="Times New Roman" w:hAnsi="Times New Roman" w:cs="Times New Roman"/>
          <w:sz w:val="24"/>
          <w:szCs w:val="24"/>
        </w:rPr>
        <w:t xml:space="preserve"> </w:t>
      </w:r>
      <w:r w:rsidR="00176F22">
        <w:rPr>
          <w:rFonts w:ascii="Times New Roman" w:hAnsi="Times New Roman" w:cs="Times New Roman"/>
          <w:sz w:val="24"/>
          <w:szCs w:val="24"/>
        </w:rPr>
        <w:t xml:space="preserve"> </w:t>
      </w:r>
      <w:r w:rsidRPr="000B73A3">
        <w:rPr>
          <w:rFonts w:ascii="Times New Roman" w:hAnsi="Times New Roman" w:cs="Times New Roman"/>
          <w:sz w:val="24"/>
          <w:szCs w:val="24"/>
        </w:rPr>
        <w:t>Consequently, as AEP Ohio Witness Hawkins admits, unregulated generation owners in Ohio do not currently receive a guaranteed return on their investment in any of their generation assets.</w:t>
      </w:r>
      <w:r w:rsidRPr="000B73A3">
        <w:rPr>
          <w:rStyle w:val="FootnoteReference"/>
          <w:rFonts w:ascii="Times New Roman" w:hAnsi="Times New Roman" w:cs="Times New Roman"/>
          <w:sz w:val="24"/>
          <w:szCs w:val="24"/>
        </w:rPr>
        <w:footnoteReference w:id="570"/>
      </w:r>
      <w:r w:rsidRPr="000B73A3">
        <w:rPr>
          <w:rFonts w:ascii="Times New Roman" w:hAnsi="Times New Roman" w:cs="Times New Roman"/>
          <w:sz w:val="24"/>
          <w:szCs w:val="24"/>
        </w:rPr>
        <w:t xml:space="preserve"> </w:t>
      </w:r>
      <w:r w:rsidR="00176F22">
        <w:rPr>
          <w:rFonts w:ascii="Times New Roman" w:hAnsi="Times New Roman" w:cs="Times New Roman"/>
          <w:sz w:val="24"/>
          <w:szCs w:val="24"/>
        </w:rPr>
        <w:t xml:space="preserve"> </w:t>
      </w:r>
      <w:r w:rsidRPr="000B73A3">
        <w:rPr>
          <w:rFonts w:ascii="Times New Roman" w:hAnsi="Times New Roman" w:cs="Times New Roman"/>
          <w:sz w:val="24"/>
          <w:szCs w:val="24"/>
        </w:rPr>
        <w:t>That return is instead decided through the marketplace.</w:t>
      </w:r>
      <w:r w:rsidRPr="000B73A3">
        <w:rPr>
          <w:rStyle w:val="FootnoteReference"/>
          <w:rFonts w:ascii="Times New Roman" w:hAnsi="Times New Roman" w:cs="Times New Roman"/>
          <w:sz w:val="24"/>
          <w:szCs w:val="24"/>
        </w:rPr>
        <w:footnoteReference w:id="571"/>
      </w:r>
      <w:r w:rsidRPr="000B73A3">
        <w:rPr>
          <w:rFonts w:ascii="Times New Roman" w:hAnsi="Times New Roman" w:cs="Times New Roman"/>
          <w:sz w:val="24"/>
          <w:szCs w:val="24"/>
        </w:rPr>
        <w:t xml:space="preserve">  AEPGR is no different.</w:t>
      </w:r>
      <w:r w:rsidRPr="000B73A3">
        <w:rPr>
          <w:rStyle w:val="FootnoteReference"/>
          <w:rFonts w:ascii="Times New Roman" w:hAnsi="Times New Roman" w:cs="Times New Roman"/>
          <w:sz w:val="24"/>
          <w:szCs w:val="24"/>
        </w:rPr>
        <w:footnoteReference w:id="572"/>
      </w:r>
      <w:r w:rsidRPr="000B73A3">
        <w:rPr>
          <w:rFonts w:ascii="Times New Roman" w:hAnsi="Times New Roman" w:cs="Times New Roman"/>
          <w:sz w:val="24"/>
          <w:szCs w:val="24"/>
        </w:rPr>
        <w:t xml:space="preserve"> </w:t>
      </w:r>
      <w:r w:rsidR="00176F22">
        <w:rPr>
          <w:rFonts w:ascii="Times New Roman" w:hAnsi="Times New Roman" w:cs="Times New Roman"/>
          <w:sz w:val="24"/>
          <w:szCs w:val="24"/>
        </w:rPr>
        <w:t xml:space="preserve"> </w:t>
      </w:r>
      <w:r w:rsidRPr="000B73A3">
        <w:rPr>
          <w:rFonts w:ascii="Times New Roman" w:hAnsi="Times New Roman" w:cs="Times New Roman"/>
          <w:sz w:val="24"/>
          <w:szCs w:val="24"/>
        </w:rPr>
        <w:t>It is not entitled to any specific level of a guaranteed return on equity on its generation plants.</w:t>
      </w:r>
      <w:r w:rsidRPr="000B73A3">
        <w:rPr>
          <w:rStyle w:val="FootnoteReference"/>
          <w:rFonts w:ascii="Times New Roman" w:hAnsi="Times New Roman" w:cs="Times New Roman"/>
          <w:sz w:val="24"/>
          <w:szCs w:val="24"/>
        </w:rPr>
        <w:footnoteReference w:id="573"/>
      </w:r>
      <w:r w:rsidRPr="000B73A3">
        <w:rPr>
          <w:rFonts w:ascii="Times New Roman" w:hAnsi="Times New Roman" w:cs="Times New Roman"/>
          <w:sz w:val="24"/>
          <w:szCs w:val="24"/>
        </w:rPr>
        <w:t xml:space="preserve">   </w:t>
      </w:r>
    </w:p>
    <w:p w:rsidR="000B73A3" w:rsidRPr="000B73A3"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 xml:space="preserve">Second, if the proposed </w:t>
      </w:r>
      <w:r w:rsidR="00906DB3">
        <w:rPr>
          <w:rFonts w:ascii="Times New Roman" w:hAnsi="Times New Roman" w:cs="Times New Roman"/>
          <w:sz w:val="24"/>
          <w:szCs w:val="24"/>
        </w:rPr>
        <w:t>profit</w:t>
      </w:r>
      <w:r w:rsidR="00906DB3" w:rsidRPr="000B73A3">
        <w:rPr>
          <w:rFonts w:ascii="Times New Roman" w:hAnsi="Times New Roman" w:cs="Times New Roman"/>
          <w:sz w:val="24"/>
          <w:szCs w:val="24"/>
        </w:rPr>
        <w:t xml:space="preserve"> </w:t>
      </w:r>
      <w:r w:rsidRPr="000B73A3">
        <w:rPr>
          <w:rFonts w:ascii="Times New Roman" w:hAnsi="Times New Roman" w:cs="Times New Roman"/>
          <w:sz w:val="24"/>
          <w:szCs w:val="24"/>
        </w:rPr>
        <w:t xml:space="preserve">of 11.24 percent </w:t>
      </w:r>
      <w:r w:rsidR="0035653D">
        <w:rPr>
          <w:rFonts w:ascii="Times New Roman" w:hAnsi="Times New Roman" w:cs="Times New Roman"/>
          <w:sz w:val="24"/>
          <w:szCs w:val="24"/>
        </w:rPr>
        <w:t xml:space="preserve">(or the 10.38 percent </w:t>
      </w:r>
      <w:r w:rsidR="00906DB3">
        <w:rPr>
          <w:rFonts w:ascii="Times New Roman" w:hAnsi="Times New Roman" w:cs="Times New Roman"/>
          <w:sz w:val="24"/>
          <w:szCs w:val="24"/>
        </w:rPr>
        <w:t xml:space="preserve">profit </w:t>
      </w:r>
      <w:r w:rsidR="0035653D">
        <w:rPr>
          <w:rFonts w:ascii="Times New Roman" w:hAnsi="Times New Roman" w:cs="Times New Roman"/>
          <w:sz w:val="24"/>
          <w:szCs w:val="24"/>
        </w:rPr>
        <w:t xml:space="preserve">proposed in the Joint Stipulation) </w:t>
      </w:r>
      <w:r w:rsidRPr="000B73A3">
        <w:rPr>
          <w:rFonts w:ascii="Times New Roman" w:hAnsi="Times New Roman" w:cs="Times New Roman"/>
          <w:sz w:val="24"/>
          <w:szCs w:val="24"/>
        </w:rPr>
        <w:t xml:space="preserve">is adopted by the PUCO, AEPGR would be treated more favorably than other unregulated power producers in Ohio who have not received any guaranteed </w:t>
      </w:r>
      <w:r w:rsidR="00906DB3">
        <w:rPr>
          <w:rFonts w:ascii="Times New Roman" w:hAnsi="Times New Roman" w:cs="Times New Roman"/>
          <w:sz w:val="24"/>
          <w:szCs w:val="24"/>
        </w:rPr>
        <w:t>profit</w:t>
      </w:r>
      <w:r w:rsidR="00906DB3" w:rsidRPr="000B73A3">
        <w:rPr>
          <w:rFonts w:ascii="Times New Roman" w:hAnsi="Times New Roman" w:cs="Times New Roman"/>
          <w:sz w:val="24"/>
          <w:szCs w:val="24"/>
        </w:rPr>
        <w:t xml:space="preserve"> </w:t>
      </w:r>
      <w:r w:rsidRPr="000B73A3">
        <w:rPr>
          <w:rFonts w:ascii="Times New Roman" w:hAnsi="Times New Roman" w:cs="Times New Roman"/>
          <w:sz w:val="24"/>
          <w:szCs w:val="24"/>
        </w:rPr>
        <w:t>on their investments in generation plants.</w:t>
      </w:r>
      <w:r w:rsidRPr="000B73A3">
        <w:rPr>
          <w:rStyle w:val="FootnoteReference"/>
          <w:rFonts w:ascii="Times New Roman" w:hAnsi="Times New Roman" w:cs="Times New Roman"/>
          <w:sz w:val="24"/>
          <w:szCs w:val="24"/>
        </w:rPr>
        <w:footnoteReference w:id="574"/>
      </w:r>
      <w:r w:rsidRPr="000B73A3">
        <w:rPr>
          <w:rFonts w:ascii="Times New Roman" w:hAnsi="Times New Roman" w:cs="Times New Roman"/>
          <w:sz w:val="24"/>
          <w:szCs w:val="24"/>
        </w:rPr>
        <w:t xml:space="preserve"> </w:t>
      </w:r>
      <w:r w:rsidR="00176F22">
        <w:rPr>
          <w:rFonts w:ascii="Times New Roman" w:hAnsi="Times New Roman" w:cs="Times New Roman"/>
          <w:sz w:val="24"/>
          <w:szCs w:val="24"/>
        </w:rPr>
        <w:t xml:space="preserve"> </w:t>
      </w:r>
      <w:r w:rsidRPr="000B73A3">
        <w:rPr>
          <w:rFonts w:ascii="Times New Roman" w:hAnsi="Times New Roman" w:cs="Times New Roman"/>
          <w:sz w:val="24"/>
          <w:szCs w:val="24"/>
        </w:rPr>
        <w:t xml:space="preserve">The adoption of a PPA Rider and a guaranteed </w:t>
      </w:r>
      <w:r w:rsidR="00906DB3">
        <w:rPr>
          <w:rFonts w:ascii="Times New Roman" w:hAnsi="Times New Roman" w:cs="Times New Roman"/>
          <w:sz w:val="24"/>
          <w:szCs w:val="24"/>
        </w:rPr>
        <w:t>profit</w:t>
      </w:r>
      <w:r w:rsidR="00906DB3" w:rsidRPr="000B73A3">
        <w:rPr>
          <w:rFonts w:ascii="Times New Roman" w:hAnsi="Times New Roman" w:cs="Times New Roman"/>
          <w:sz w:val="24"/>
          <w:szCs w:val="24"/>
        </w:rPr>
        <w:t xml:space="preserve"> </w:t>
      </w:r>
      <w:r w:rsidRPr="000B73A3">
        <w:rPr>
          <w:rFonts w:ascii="Times New Roman" w:hAnsi="Times New Roman" w:cs="Times New Roman"/>
          <w:sz w:val="24"/>
          <w:szCs w:val="24"/>
        </w:rPr>
        <w:t>for AEPGR will create a mandatory customer funded subsidy to a certain market participant and thus distort the outcomes (in this instance, the price and quantity of electricity) of a competitive market.</w:t>
      </w:r>
      <w:r w:rsidRPr="000B73A3">
        <w:rPr>
          <w:rStyle w:val="FootnoteReference"/>
          <w:rFonts w:ascii="Times New Roman" w:hAnsi="Times New Roman" w:cs="Times New Roman"/>
          <w:sz w:val="24"/>
          <w:szCs w:val="24"/>
        </w:rPr>
        <w:footnoteReference w:id="575"/>
      </w:r>
      <w:r w:rsidRPr="000B73A3">
        <w:rPr>
          <w:rFonts w:ascii="Times New Roman" w:hAnsi="Times New Roman" w:cs="Times New Roman"/>
          <w:sz w:val="24"/>
          <w:szCs w:val="24"/>
        </w:rPr>
        <w:t xml:space="preserve">  The end result is an uneven playing field where the price of electricity for customers will be higher and new investments in conventional or alternative generation technology by other power producers to serve Ohio will be discouraged to the detriment of consumers.</w:t>
      </w:r>
      <w:r w:rsidRPr="000B73A3">
        <w:rPr>
          <w:rStyle w:val="FootnoteReference"/>
          <w:rFonts w:ascii="Times New Roman" w:hAnsi="Times New Roman" w:cs="Times New Roman"/>
          <w:sz w:val="24"/>
          <w:szCs w:val="24"/>
        </w:rPr>
        <w:footnoteReference w:id="576"/>
      </w:r>
    </w:p>
    <w:p w:rsidR="00906DB3"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 xml:space="preserve">Third, the adoption of a guaranteed </w:t>
      </w:r>
      <w:r w:rsidR="00906DB3">
        <w:rPr>
          <w:rFonts w:ascii="Times New Roman" w:hAnsi="Times New Roman" w:cs="Times New Roman"/>
          <w:sz w:val="24"/>
          <w:szCs w:val="24"/>
        </w:rPr>
        <w:t>profit</w:t>
      </w:r>
      <w:r w:rsidR="00906DB3" w:rsidRPr="000B73A3">
        <w:rPr>
          <w:rFonts w:ascii="Times New Roman" w:hAnsi="Times New Roman" w:cs="Times New Roman"/>
          <w:sz w:val="24"/>
          <w:szCs w:val="24"/>
        </w:rPr>
        <w:t xml:space="preserve"> </w:t>
      </w:r>
      <w:r w:rsidRPr="000B73A3">
        <w:rPr>
          <w:rFonts w:ascii="Times New Roman" w:hAnsi="Times New Roman" w:cs="Times New Roman"/>
          <w:sz w:val="24"/>
          <w:szCs w:val="24"/>
        </w:rPr>
        <w:t xml:space="preserve">of 11.24 percent </w:t>
      </w:r>
      <w:r w:rsidR="0035653D">
        <w:rPr>
          <w:rFonts w:ascii="Times New Roman" w:hAnsi="Times New Roman" w:cs="Times New Roman"/>
          <w:sz w:val="24"/>
          <w:szCs w:val="24"/>
        </w:rPr>
        <w:t xml:space="preserve">(or the 10.38 percent </w:t>
      </w:r>
      <w:r w:rsidR="00906DB3">
        <w:rPr>
          <w:rFonts w:ascii="Times New Roman" w:hAnsi="Times New Roman" w:cs="Times New Roman"/>
          <w:sz w:val="24"/>
          <w:szCs w:val="24"/>
        </w:rPr>
        <w:t xml:space="preserve">profit </w:t>
      </w:r>
      <w:r w:rsidR="0035653D">
        <w:rPr>
          <w:rFonts w:ascii="Times New Roman" w:hAnsi="Times New Roman" w:cs="Times New Roman"/>
          <w:sz w:val="24"/>
          <w:szCs w:val="24"/>
        </w:rPr>
        <w:t xml:space="preserve">proposed in the Joint Stipulation) </w:t>
      </w:r>
      <w:r w:rsidRPr="000B73A3">
        <w:rPr>
          <w:rFonts w:ascii="Times New Roman" w:hAnsi="Times New Roman" w:cs="Times New Roman"/>
          <w:sz w:val="24"/>
          <w:szCs w:val="24"/>
        </w:rPr>
        <w:t>would also give AEPGR unprecedented favorable treatment as compared to that typically afforded to a regulated electric utility in Ohio.</w:t>
      </w:r>
      <w:r w:rsidRPr="000B73A3">
        <w:rPr>
          <w:rStyle w:val="FootnoteReference"/>
          <w:rFonts w:ascii="Times New Roman" w:hAnsi="Times New Roman" w:cs="Times New Roman"/>
          <w:sz w:val="24"/>
          <w:szCs w:val="24"/>
        </w:rPr>
        <w:footnoteReference w:id="577"/>
      </w:r>
      <w:r w:rsidRPr="000B73A3">
        <w:rPr>
          <w:rFonts w:ascii="Times New Roman" w:hAnsi="Times New Roman" w:cs="Times New Roman"/>
          <w:sz w:val="24"/>
          <w:szCs w:val="24"/>
        </w:rPr>
        <w:t xml:space="preserve"> Under the proposed PPA Rider, AEPGR is receiving a </w:t>
      </w:r>
      <w:r w:rsidR="00906DB3">
        <w:rPr>
          <w:rFonts w:ascii="Times New Roman" w:hAnsi="Times New Roman" w:cs="Times New Roman"/>
          <w:sz w:val="24"/>
          <w:szCs w:val="24"/>
        </w:rPr>
        <w:t>profit</w:t>
      </w:r>
      <w:r w:rsidR="00906DB3" w:rsidRPr="000B73A3">
        <w:rPr>
          <w:rFonts w:ascii="Times New Roman" w:hAnsi="Times New Roman" w:cs="Times New Roman"/>
          <w:sz w:val="24"/>
          <w:szCs w:val="24"/>
        </w:rPr>
        <w:t xml:space="preserve"> </w:t>
      </w:r>
      <w:r w:rsidRPr="000B73A3">
        <w:rPr>
          <w:rFonts w:ascii="Times New Roman" w:hAnsi="Times New Roman" w:cs="Times New Roman"/>
          <w:sz w:val="24"/>
          <w:szCs w:val="24"/>
        </w:rPr>
        <w:t>of 11.24 percent</w:t>
      </w:r>
      <w:r w:rsidR="0035653D">
        <w:rPr>
          <w:rFonts w:ascii="Times New Roman" w:hAnsi="Times New Roman" w:cs="Times New Roman"/>
          <w:sz w:val="24"/>
          <w:szCs w:val="24"/>
        </w:rPr>
        <w:t xml:space="preserve"> (or the 10.38 percent </w:t>
      </w:r>
      <w:r w:rsidR="00906DB3">
        <w:rPr>
          <w:rFonts w:ascii="Times New Roman" w:hAnsi="Times New Roman" w:cs="Times New Roman"/>
          <w:sz w:val="24"/>
          <w:szCs w:val="24"/>
        </w:rPr>
        <w:t xml:space="preserve">profit </w:t>
      </w:r>
      <w:r w:rsidR="0035653D">
        <w:rPr>
          <w:rFonts w:ascii="Times New Roman" w:hAnsi="Times New Roman" w:cs="Times New Roman"/>
          <w:sz w:val="24"/>
          <w:szCs w:val="24"/>
        </w:rPr>
        <w:t>proposed in the Joint Stipulation)</w:t>
      </w:r>
      <w:r w:rsidRPr="000B73A3">
        <w:rPr>
          <w:rFonts w:ascii="Times New Roman" w:hAnsi="Times New Roman" w:cs="Times New Roman"/>
          <w:sz w:val="24"/>
          <w:szCs w:val="24"/>
        </w:rPr>
        <w:t>, which is higher than recently approved ROEs for Ohio’s other regulated electric utilities.</w:t>
      </w:r>
      <w:r w:rsidRPr="000B73A3">
        <w:rPr>
          <w:rStyle w:val="FootnoteReference"/>
          <w:rFonts w:ascii="Times New Roman" w:hAnsi="Times New Roman" w:cs="Times New Roman"/>
          <w:sz w:val="24"/>
          <w:szCs w:val="24"/>
        </w:rPr>
        <w:footnoteReference w:id="578"/>
      </w:r>
      <w:r w:rsidRPr="000B73A3">
        <w:rPr>
          <w:rFonts w:ascii="Times New Roman" w:hAnsi="Times New Roman" w:cs="Times New Roman"/>
          <w:sz w:val="24"/>
          <w:szCs w:val="24"/>
        </w:rPr>
        <w:t xml:space="preserve"> </w:t>
      </w:r>
      <w:r w:rsidR="00176F22">
        <w:rPr>
          <w:rFonts w:ascii="Times New Roman" w:hAnsi="Times New Roman" w:cs="Times New Roman"/>
          <w:sz w:val="24"/>
          <w:szCs w:val="24"/>
        </w:rPr>
        <w:t xml:space="preserve"> </w:t>
      </w:r>
      <w:r w:rsidRPr="000B73A3">
        <w:rPr>
          <w:rFonts w:ascii="Times New Roman" w:hAnsi="Times New Roman" w:cs="Times New Roman"/>
          <w:sz w:val="24"/>
          <w:szCs w:val="24"/>
        </w:rPr>
        <w:t xml:space="preserve">More significantly, this higher </w:t>
      </w:r>
      <w:r w:rsidR="00906DB3">
        <w:rPr>
          <w:rFonts w:ascii="Times New Roman" w:hAnsi="Times New Roman" w:cs="Times New Roman"/>
          <w:sz w:val="24"/>
          <w:szCs w:val="24"/>
        </w:rPr>
        <w:t>profit</w:t>
      </w:r>
      <w:r w:rsidR="00906DB3" w:rsidRPr="000B73A3">
        <w:rPr>
          <w:rFonts w:ascii="Times New Roman" w:hAnsi="Times New Roman" w:cs="Times New Roman"/>
          <w:sz w:val="24"/>
          <w:szCs w:val="24"/>
        </w:rPr>
        <w:t xml:space="preserve"> </w:t>
      </w:r>
      <w:r w:rsidRPr="000B73A3">
        <w:rPr>
          <w:rFonts w:ascii="Times New Roman" w:hAnsi="Times New Roman" w:cs="Times New Roman"/>
          <w:sz w:val="24"/>
          <w:szCs w:val="24"/>
        </w:rPr>
        <w:t>is guaranteed for the life of the PPA Units</w:t>
      </w:r>
      <w:r w:rsidR="0035653D">
        <w:rPr>
          <w:rFonts w:ascii="Times New Roman" w:hAnsi="Times New Roman" w:cs="Times New Roman"/>
          <w:sz w:val="24"/>
          <w:szCs w:val="24"/>
        </w:rPr>
        <w:t xml:space="preserve"> (or for eight and a half years, if the Joint Stipulation is approved)</w:t>
      </w:r>
      <w:r w:rsidRPr="000B73A3">
        <w:rPr>
          <w:rFonts w:ascii="Times New Roman" w:hAnsi="Times New Roman" w:cs="Times New Roman"/>
          <w:sz w:val="24"/>
          <w:szCs w:val="24"/>
        </w:rPr>
        <w:t>.</w:t>
      </w:r>
      <w:r w:rsidRPr="000B73A3">
        <w:rPr>
          <w:rStyle w:val="FootnoteReference"/>
          <w:rFonts w:ascii="Times New Roman" w:hAnsi="Times New Roman" w:cs="Times New Roman"/>
          <w:sz w:val="24"/>
          <w:szCs w:val="24"/>
        </w:rPr>
        <w:footnoteReference w:id="579"/>
      </w:r>
      <w:r w:rsidRPr="000B73A3">
        <w:rPr>
          <w:rFonts w:ascii="Times New Roman" w:hAnsi="Times New Roman" w:cs="Times New Roman"/>
          <w:sz w:val="24"/>
          <w:szCs w:val="24"/>
        </w:rPr>
        <w:t xml:space="preserve"> </w:t>
      </w:r>
      <w:r w:rsidR="00176F22">
        <w:rPr>
          <w:rFonts w:ascii="Times New Roman" w:hAnsi="Times New Roman" w:cs="Times New Roman"/>
          <w:sz w:val="24"/>
          <w:szCs w:val="24"/>
        </w:rPr>
        <w:t xml:space="preserve"> </w:t>
      </w:r>
    </w:p>
    <w:p w:rsidR="000B73A3"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All electricity generated by the PPA Units will be sold to AEP Ohio and paid for by the customers of AEP Ohio.</w:t>
      </w:r>
      <w:r w:rsidRPr="000B73A3">
        <w:rPr>
          <w:rStyle w:val="FootnoteReference"/>
          <w:rFonts w:ascii="Times New Roman" w:hAnsi="Times New Roman" w:cs="Times New Roman"/>
          <w:sz w:val="24"/>
          <w:szCs w:val="24"/>
        </w:rPr>
        <w:footnoteReference w:id="580"/>
      </w:r>
      <w:r w:rsidRPr="000B73A3">
        <w:rPr>
          <w:rFonts w:ascii="Times New Roman" w:hAnsi="Times New Roman" w:cs="Times New Roman"/>
          <w:sz w:val="24"/>
          <w:szCs w:val="24"/>
        </w:rPr>
        <w:t xml:space="preserve"> </w:t>
      </w:r>
      <w:r w:rsidR="00176F22">
        <w:rPr>
          <w:rFonts w:ascii="Times New Roman" w:hAnsi="Times New Roman" w:cs="Times New Roman"/>
          <w:sz w:val="24"/>
          <w:szCs w:val="24"/>
        </w:rPr>
        <w:t xml:space="preserve"> </w:t>
      </w:r>
      <w:r w:rsidRPr="000B73A3">
        <w:rPr>
          <w:rFonts w:ascii="Times New Roman" w:hAnsi="Times New Roman" w:cs="Times New Roman"/>
          <w:sz w:val="24"/>
          <w:szCs w:val="24"/>
        </w:rPr>
        <w:t>To AEPGR, there is no risk of insufficient demand in the service territory of AEP Ohio.</w:t>
      </w:r>
      <w:r w:rsidRPr="000B73A3">
        <w:rPr>
          <w:rStyle w:val="FootnoteReference"/>
          <w:rFonts w:ascii="Times New Roman" w:hAnsi="Times New Roman" w:cs="Times New Roman"/>
          <w:sz w:val="24"/>
          <w:szCs w:val="24"/>
        </w:rPr>
        <w:footnoteReference w:id="581"/>
      </w:r>
      <w:r w:rsidRPr="000B73A3">
        <w:rPr>
          <w:rFonts w:ascii="Times New Roman" w:hAnsi="Times New Roman" w:cs="Times New Roman"/>
          <w:sz w:val="24"/>
          <w:szCs w:val="24"/>
        </w:rPr>
        <w:t xml:space="preserve"> </w:t>
      </w:r>
      <w:r w:rsidR="00176F22">
        <w:rPr>
          <w:rFonts w:ascii="Times New Roman" w:hAnsi="Times New Roman" w:cs="Times New Roman"/>
          <w:sz w:val="24"/>
          <w:szCs w:val="24"/>
        </w:rPr>
        <w:t xml:space="preserve"> </w:t>
      </w:r>
      <w:r w:rsidRPr="000B73A3">
        <w:rPr>
          <w:rFonts w:ascii="Times New Roman" w:hAnsi="Times New Roman" w:cs="Times New Roman"/>
          <w:sz w:val="24"/>
          <w:szCs w:val="24"/>
        </w:rPr>
        <w:t xml:space="preserve">In contrast, there has never been a guarantee on the </w:t>
      </w:r>
      <w:r w:rsidR="00906DB3">
        <w:rPr>
          <w:rFonts w:ascii="Times New Roman" w:hAnsi="Times New Roman" w:cs="Times New Roman"/>
          <w:sz w:val="24"/>
          <w:szCs w:val="24"/>
        </w:rPr>
        <w:t>profit</w:t>
      </w:r>
      <w:r w:rsidR="00906DB3" w:rsidRPr="000B73A3">
        <w:rPr>
          <w:rFonts w:ascii="Times New Roman" w:hAnsi="Times New Roman" w:cs="Times New Roman"/>
          <w:sz w:val="24"/>
          <w:szCs w:val="24"/>
        </w:rPr>
        <w:t xml:space="preserve"> </w:t>
      </w:r>
      <w:r w:rsidRPr="000B73A3">
        <w:rPr>
          <w:rFonts w:ascii="Times New Roman" w:hAnsi="Times New Roman" w:cs="Times New Roman"/>
          <w:sz w:val="24"/>
          <w:szCs w:val="24"/>
        </w:rPr>
        <w:t>that a regulated Ohio electric utility can earn.</w:t>
      </w:r>
      <w:r w:rsidRPr="000B73A3">
        <w:rPr>
          <w:rStyle w:val="FootnoteReference"/>
          <w:rFonts w:ascii="Times New Roman" w:hAnsi="Times New Roman" w:cs="Times New Roman"/>
          <w:sz w:val="24"/>
          <w:szCs w:val="24"/>
        </w:rPr>
        <w:footnoteReference w:id="582"/>
      </w:r>
      <w:r w:rsidRPr="000B73A3">
        <w:rPr>
          <w:rFonts w:ascii="Times New Roman" w:hAnsi="Times New Roman" w:cs="Times New Roman"/>
          <w:sz w:val="24"/>
          <w:szCs w:val="24"/>
        </w:rPr>
        <w:t xml:space="preserve"> </w:t>
      </w:r>
      <w:r w:rsidR="00176F22">
        <w:rPr>
          <w:rFonts w:ascii="Times New Roman" w:hAnsi="Times New Roman" w:cs="Times New Roman"/>
          <w:sz w:val="24"/>
          <w:szCs w:val="24"/>
        </w:rPr>
        <w:t xml:space="preserve"> </w:t>
      </w:r>
      <w:r w:rsidRPr="000B73A3">
        <w:rPr>
          <w:rFonts w:ascii="Times New Roman" w:hAnsi="Times New Roman" w:cs="Times New Roman"/>
          <w:sz w:val="24"/>
          <w:szCs w:val="24"/>
        </w:rPr>
        <w:t xml:space="preserve">The </w:t>
      </w:r>
      <w:r w:rsidR="00906DB3">
        <w:rPr>
          <w:rFonts w:ascii="Times New Roman" w:hAnsi="Times New Roman" w:cs="Times New Roman"/>
          <w:sz w:val="24"/>
          <w:szCs w:val="24"/>
        </w:rPr>
        <w:t>profit</w:t>
      </w:r>
      <w:r w:rsidR="00906DB3" w:rsidRPr="000B73A3">
        <w:rPr>
          <w:rFonts w:ascii="Times New Roman" w:hAnsi="Times New Roman" w:cs="Times New Roman"/>
          <w:sz w:val="24"/>
          <w:szCs w:val="24"/>
        </w:rPr>
        <w:t xml:space="preserve"> </w:t>
      </w:r>
      <w:r w:rsidR="008D0DAE">
        <w:rPr>
          <w:rFonts w:ascii="Times New Roman" w:hAnsi="Times New Roman" w:cs="Times New Roman"/>
          <w:sz w:val="24"/>
          <w:szCs w:val="24"/>
        </w:rPr>
        <w:t>authorized</w:t>
      </w:r>
      <w:r w:rsidRPr="000B73A3">
        <w:rPr>
          <w:rFonts w:ascii="Times New Roman" w:hAnsi="Times New Roman" w:cs="Times New Roman"/>
          <w:sz w:val="24"/>
          <w:szCs w:val="24"/>
        </w:rPr>
        <w:t xml:space="preserve"> by the PUCO in a rate case provides an opportunity, not a guarantee, for the regulated electric utility to earn the approved </w:t>
      </w:r>
      <w:r w:rsidR="00906DB3">
        <w:rPr>
          <w:rFonts w:ascii="Times New Roman" w:hAnsi="Times New Roman" w:cs="Times New Roman"/>
          <w:sz w:val="24"/>
          <w:szCs w:val="24"/>
        </w:rPr>
        <w:t>profit</w:t>
      </w:r>
      <w:r w:rsidRPr="000B73A3">
        <w:rPr>
          <w:rFonts w:ascii="Times New Roman" w:hAnsi="Times New Roman" w:cs="Times New Roman"/>
          <w:sz w:val="24"/>
          <w:szCs w:val="24"/>
        </w:rPr>
        <w:t>.</w:t>
      </w:r>
      <w:r w:rsidRPr="000B73A3">
        <w:rPr>
          <w:rStyle w:val="FootnoteReference"/>
          <w:rFonts w:ascii="Times New Roman" w:hAnsi="Times New Roman" w:cs="Times New Roman"/>
          <w:sz w:val="24"/>
          <w:szCs w:val="24"/>
        </w:rPr>
        <w:footnoteReference w:id="583"/>
      </w:r>
      <w:r w:rsidRPr="000B73A3">
        <w:rPr>
          <w:rFonts w:ascii="Times New Roman" w:hAnsi="Times New Roman" w:cs="Times New Roman"/>
          <w:sz w:val="24"/>
          <w:szCs w:val="24"/>
        </w:rPr>
        <w:t xml:space="preserve"> </w:t>
      </w:r>
      <w:r w:rsidR="00176F22">
        <w:rPr>
          <w:rFonts w:ascii="Times New Roman" w:hAnsi="Times New Roman" w:cs="Times New Roman"/>
          <w:sz w:val="24"/>
          <w:szCs w:val="24"/>
        </w:rPr>
        <w:t xml:space="preserve"> </w:t>
      </w:r>
      <w:r w:rsidRPr="000B73A3">
        <w:rPr>
          <w:rFonts w:ascii="Times New Roman" w:hAnsi="Times New Roman" w:cs="Times New Roman"/>
          <w:sz w:val="24"/>
          <w:szCs w:val="24"/>
        </w:rPr>
        <w:t xml:space="preserve">The </w:t>
      </w:r>
      <w:r w:rsidR="00906DB3">
        <w:rPr>
          <w:rFonts w:ascii="Times New Roman" w:hAnsi="Times New Roman" w:cs="Times New Roman"/>
          <w:sz w:val="24"/>
          <w:szCs w:val="24"/>
        </w:rPr>
        <w:t>profit</w:t>
      </w:r>
      <w:r w:rsidR="00906DB3" w:rsidRPr="000B73A3">
        <w:rPr>
          <w:rFonts w:ascii="Times New Roman" w:hAnsi="Times New Roman" w:cs="Times New Roman"/>
          <w:sz w:val="24"/>
          <w:szCs w:val="24"/>
        </w:rPr>
        <w:t xml:space="preserve"> </w:t>
      </w:r>
      <w:r w:rsidRPr="000B73A3">
        <w:rPr>
          <w:rFonts w:ascii="Times New Roman" w:hAnsi="Times New Roman" w:cs="Times New Roman"/>
          <w:sz w:val="24"/>
          <w:szCs w:val="24"/>
        </w:rPr>
        <w:t>actually earned by a regulated electric utility is influenced by many factors such as the load growth (or decline) in the service territory and the cost control efforts of the regulated utility.</w:t>
      </w:r>
      <w:r w:rsidRPr="000B73A3">
        <w:rPr>
          <w:rStyle w:val="FootnoteReference"/>
          <w:rFonts w:ascii="Times New Roman" w:hAnsi="Times New Roman" w:cs="Times New Roman"/>
          <w:sz w:val="24"/>
          <w:szCs w:val="24"/>
        </w:rPr>
        <w:footnoteReference w:id="584"/>
      </w:r>
      <w:r w:rsidRPr="000B73A3">
        <w:rPr>
          <w:rFonts w:ascii="Times New Roman" w:hAnsi="Times New Roman" w:cs="Times New Roman"/>
          <w:sz w:val="24"/>
          <w:szCs w:val="24"/>
        </w:rPr>
        <w:t xml:space="preserve"> </w:t>
      </w:r>
      <w:r w:rsidR="00176F22">
        <w:rPr>
          <w:rFonts w:ascii="Times New Roman" w:hAnsi="Times New Roman" w:cs="Times New Roman"/>
          <w:sz w:val="24"/>
          <w:szCs w:val="24"/>
        </w:rPr>
        <w:t xml:space="preserve"> </w:t>
      </w:r>
      <w:r w:rsidRPr="000B73A3">
        <w:rPr>
          <w:rFonts w:ascii="Times New Roman" w:hAnsi="Times New Roman" w:cs="Times New Roman"/>
          <w:sz w:val="24"/>
          <w:szCs w:val="24"/>
        </w:rPr>
        <w:t xml:space="preserve">The rates or rate mechanisms approved by the PUCO in a rate case do not guarantee the regulated utility will earn the </w:t>
      </w:r>
      <w:r w:rsidR="008D0DAE">
        <w:rPr>
          <w:rFonts w:ascii="Times New Roman" w:hAnsi="Times New Roman" w:cs="Times New Roman"/>
          <w:sz w:val="24"/>
          <w:szCs w:val="24"/>
        </w:rPr>
        <w:t>authorized</w:t>
      </w:r>
      <w:r w:rsidRPr="000B73A3">
        <w:rPr>
          <w:rFonts w:ascii="Times New Roman" w:hAnsi="Times New Roman" w:cs="Times New Roman"/>
          <w:sz w:val="24"/>
          <w:szCs w:val="24"/>
        </w:rPr>
        <w:t xml:space="preserve"> </w:t>
      </w:r>
      <w:r w:rsidR="00906DB3">
        <w:rPr>
          <w:rFonts w:ascii="Times New Roman" w:hAnsi="Times New Roman" w:cs="Times New Roman"/>
          <w:sz w:val="24"/>
          <w:szCs w:val="24"/>
        </w:rPr>
        <w:t>profit</w:t>
      </w:r>
      <w:r w:rsidRPr="000B73A3">
        <w:rPr>
          <w:rFonts w:ascii="Times New Roman" w:hAnsi="Times New Roman" w:cs="Times New Roman"/>
          <w:sz w:val="24"/>
          <w:szCs w:val="24"/>
        </w:rPr>
        <w:t>.</w:t>
      </w:r>
      <w:r w:rsidRPr="000B73A3">
        <w:rPr>
          <w:rStyle w:val="FootnoteReference"/>
          <w:rFonts w:ascii="Times New Roman" w:hAnsi="Times New Roman" w:cs="Times New Roman"/>
          <w:sz w:val="24"/>
          <w:szCs w:val="24"/>
        </w:rPr>
        <w:footnoteReference w:id="585"/>
      </w:r>
      <w:r w:rsidR="00B259CE">
        <w:rPr>
          <w:rFonts w:ascii="Times New Roman" w:hAnsi="Times New Roman" w:cs="Times New Roman"/>
          <w:sz w:val="24"/>
          <w:szCs w:val="24"/>
        </w:rPr>
        <w:t xml:space="preserve"> </w:t>
      </w:r>
    </w:p>
    <w:p w:rsidR="00B259CE" w:rsidRDefault="00030E5A" w:rsidP="00A406C8">
      <w:pPr>
        <w:pStyle w:val="Heading6"/>
      </w:pPr>
      <w:bookmarkStart w:id="129" w:name="_Toc442104205"/>
      <w:r>
        <w:t>(b)</w:t>
      </w:r>
      <w:r>
        <w:tab/>
      </w:r>
      <w:r w:rsidR="00B259CE">
        <w:t xml:space="preserve">The proposed </w:t>
      </w:r>
      <w:r w:rsidR="0091685F">
        <w:t xml:space="preserve">return on equity (profit) </w:t>
      </w:r>
      <w:r w:rsidR="00B259CE">
        <w:t>is overstated</w:t>
      </w:r>
      <w:r w:rsidR="00081CC7">
        <w:t>,</w:t>
      </w:r>
      <w:r w:rsidR="00B259CE">
        <w:t xml:space="preserve"> unreasonable</w:t>
      </w:r>
      <w:r w:rsidR="00081CC7">
        <w:t>, and will therefore harm consumers</w:t>
      </w:r>
      <w:r w:rsidR="00AF66FC">
        <w:t>.</w:t>
      </w:r>
      <w:bookmarkEnd w:id="129"/>
    </w:p>
    <w:p w:rsidR="00E1168B" w:rsidRDefault="000B73A3" w:rsidP="00B259CE">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 xml:space="preserve">Further, even if the concept of setting a </w:t>
      </w:r>
      <w:r w:rsidR="0091685F">
        <w:rPr>
          <w:rFonts w:ascii="Times New Roman" w:hAnsi="Times New Roman" w:cs="Times New Roman"/>
          <w:sz w:val="24"/>
          <w:szCs w:val="24"/>
        </w:rPr>
        <w:t>profit</w:t>
      </w:r>
      <w:r w:rsidR="0091685F" w:rsidRPr="000B73A3">
        <w:rPr>
          <w:rFonts w:ascii="Times New Roman" w:hAnsi="Times New Roman" w:cs="Times New Roman"/>
          <w:sz w:val="24"/>
          <w:szCs w:val="24"/>
        </w:rPr>
        <w:t xml:space="preserve"> </w:t>
      </w:r>
      <w:r w:rsidRPr="000B73A3">
        <w:rPr>
          <w:rFonts w:ascii="Times New Roman" w:hAnsi="Times New Roman" w:cs="Times New Roman"/>
          <w:sz w:val="24"/>
          <w:szCs w:val="24"/>
        </w:rPr>
        <w:t xml:space="preserve">for a regulated utility and the typical methods for estimating the </w:t>
      </w:r>
      <w:r w:rsidR="0091685F">
        <w:rPr>
          <w:rFonts w:ascii="Times New Roman" w:hAnsi="Times New Roman" w:cs="Times New Roman"/>
          <w:sz w:val="24"/>
          <w:szCs w:val="24"/>
        </w:rPr>
        <w:t>profit</w:t>
      </w:r>
      <w:r w:rsidR="0091685F" w:rsidRPr="000B73A3">
        <w:rPr>
          <w:rFonts w:ascii="Times New Roman" w:hAnsi="Times New Roman" w:cs="Times New Roman"/>
          <w:sz w:val="24"/>
          <w:szCs w:val="24"/>
        </w:rPr>
        <w:t xml:space="preserve"> </w:t>
      </w:r>
      <w:r w:rsidRPr="000B73A3">
        <w:rPr>
          <w:rFonts w:ascii="Times New Roman" w:hAnsi="Times New Roman" w:cs="Times New Roman"/>
          <w:sz w:val="24"/>
          <w:szCs w:val="24"/>
        </w:rPr>
        <w:t>were to be applied to AEPGR, the 11.24 percent</w:t>
      </w:r>
      <w:r w:rsidR="0035653D">
        <w:rPr>
          <w:rFonts w:ascii="Times New Roman" w:hAnsi="Times New Roman" w:cs="Times New Roman"/>
          <w:sz w:val="24"/>
          <w:szCs w:val="24"/>
        </w:rPr>
        <w:t xml:space="preserve"> (and 10.38 percent)</w:t>
      </w:r>
      <w:r w:rsidRPr="000B73A3">
        <w:rPr>
          <w:rFonts w:ascii="Times New Roman" w:hAnsi="Times New Roman" w:cs="Times New Roman"/>
          <w:sz w:val="24"/>
          <w:szCs w:val="24"/>
        </w:rPr>
        <w:t xml:space="preserve"> </w:t>
      </w:r>
      <w:r w:rsidR="0091685F">
        <w:rPr>
          <w:rFonts w:ascii="Times New Roman" w:hAnsi="Times New Roman" w:cs="Times New Roman"/>
          <w:sz w:val="24"/>
          <w:szCs w:val="24"/>
        </w:rPr>
        <w:t>profit</w:t>
      </w:r>
      <w:r w:rsidR="0091685F" w:rsidRPr="000B73A3">
        <w:rPr>
          <w:rFonts w:ascii="Times New Roman" w:hAnsi="Times New Roman" w:cs="Times New Roman"/>
          <w:sz w:val="24"/>
          <w:szCs w:val="24"/>
        </w:rPr>
        <w:t xml:space="preserve"> </w:t>
      </w:r>
      <w:r w:rsidRPr="000B73A3">
        <w:rPr>
          <w:rFonts w:ascii="Times New Roman" w:hAnsi="Times New Roman" w:cs="Times New Roman"/>
          <w:sz w:val="24"/>
          <w:szCs w:val="24"/>
        </w:rPr>
        <w:t>proposed by AEP Ohio is overstated and unreasonable.</w:t>
      </w:r>
      <w:r w:rsidRPr="000B73A3">
        <w:rPr>
          <w:rStyle w:val="FootnoteReference"/>
          <w:rFonts w:ascii="Times New Roman" w:hAnsi="Times New Roman" w:cs="Times New Roman"/>
          <w:sz w:val="24"/>
          <w:szCs w:val="24"/>
        </w:rPr>
        <w:footnoteReference w:id="586"/>
      </w:r>
      <w:r w:rsidRPr="000B73A3">
        <w:rPr>
          <w:rFonts w:ascii="Times New Roman" w:hAnsi="Times New Roman" w:cs="Times New Roman"/>
          <w:sz w:val="24"/>
          <w:szCs w:val="24"/>
        </w:rPr>
        <w:t xml:space="preserve"> </w:t>
      </w:r>
      <w:r w:rsidR="00176F22">
        <w:rPr>
          <w:rFonts w:ascii="Times New Roman" w:hAnsi="Times New Roman" w:cs="Times New Roman"/>
          <w:sz w:val="24"/>
          <w:szCs w:val="24"/>
        </w:rPr>
        <w:t xml:space="preserve"> </w:t>
      </w:r>
      <w:r w:rsidRPr="000B73A3">
        <w:rPr>
          <w:rFonts w:ascii="Times New Roman" w:hAnsi="Times New Roman" w:cs="Times New Roman"/>
          <w:sz w:val="24"/>
          <w:szCs w:val="24"/>
        </w:rPr>
        <w:t xml:space="preserve">The 11.24 percent </w:t>
      </w:r>
      <w:r w:rsidR="0035653D">
        <w:rPr>
          <w:rFonts w:ascii="Times New Roman" w:hAnsi="Times New Roman" w:cs="Times New Roman"/>
          <w:sz w:val="24"/>
          <w:szCs w:val="24"/>
        </w:rPr>
        <w:t xml:space="preserve">(and 10.38 percent) </w:t>
      </w:r>
      <w:r w:rsidR="0091685F">
        <w:rPr>
          <w:rFonts w:ascii="Times New Roman" w:hAnsi="Times New Roman" w:cs="Times New Roman"/>
          <w:sz w:val="24"/>
          <w:szCs w:val="24"/>
        </w:rPr>
        <w:t>profit</w:t>
      </w:r>
      <w:r w:rsidR="0091685F" w:rsidRPr="000B73A3">
        <w:rPr>
          <w:rFonts w:ascii="Times New Roman" w:hAnsi="Times New Roman" w:cs="Times New Roman"/>
          <w:sz w:val="24"/>
          <w:szCs w:val="24"/>
        </w:rPr>
        <w:t xml:space="preserve"> </w:t>
      </w:r>
      <w:r w:rsidRPr="000B73A3">
        <w:rPr>
          <w:rFonts w:ascii="Times New Roman" w:hAnsi="Times New Roman" w:cs="Times New Roman"/>
          <w:sz w:val="24"/>
          <w:szCs w:val="24"/>
        </w:rPr>
        <w:t>as proposed by AEP Ohio is derived based on faulty assumptions and data.</w:t>
      </w:r>
      <w:r w:rsidRPr="000B73A3">
        <w:rPr>
          <w:rStyle w:val="FootnoteReference"/>
          <w:rFonts w:ascii="Times New Roman" w:hAnsi="Times New Roman" w:cs="Times New Roman"/>
          <w:sz w:val="24"/>
          <w:szCs w:val="24"/>
        </w:rPr>
        <w:footnoteReference w:id="587"/>
      </w:r>
      <w:r w:rsidR="0035653D">
        <w:rPr>
          <w:rFonts w:ascii="Times New Roman" w:hAnsi="Times New Roman" w:cs="Times New Roman"/>
          <w:sz w:val="24"/>
          <w:szCs w:val="24"/>
        </w:rPr>
        <w:t xml:space="preserve"> </w:t>
      </w:r>
      <w:r w:rsidR="00176F22">
        <w:rPr>
          <w:rFonts w:ascii="Times New Roman" w:hAnsi="Times New Roman" w:cs="Times New Roman"/>
          <w:sz w:val="24"/>
          <w:szCs w:val="24"/>
        </w:rPr>
        <w:t xml:space="preserve"> </w:t>
      </w:r>
      <w:r w:rsidR="0035653D">
        <w:rPr>
          <w:rFonts w:ascii="Times New Roman" w:hAnsi="Times New Roman" w:cs="Times New Roman"/>
          <w:sz w:val="24"/>
          <w:szCs w:val="24"/>
        </w:rPr>
        <w:t>Regarding the former, t</w:t>
      </w:r>
      <w:r w:rsidRPr="000B73A3">
        <w:rPr>
          <w:rFonts w:ascii="Times New Roman" w:hAnsi="Times New Roman" w:cs="Times New Roman"/>
          <w:sz w:val="24"/>
          <w:szCs w:val="24"/>
        </w:rPr>
        <w:t>he Moody’s Baa Corporate Bond Index of 4.74 percent used by AEP Ohio is not a reasonable measurement of risk-free return in the current capital market.</w:t>
      </w:r>
      <w:r w:rsidRPr="000B73A3">
        <w:rPr>
          <w:rStyle w:val="FootnoteReference"/>
          <w:rFonts w:ascii="Times New Roman" w:hAnsi="Times New Roman" w:cs="Times New Roman"/>
          <w:sz w:val="24"/>
          <w:szCs w:val="24"/>
        </w:rPr>
        <w:footnoteReference w:id="588"/>
      </w:r>
      <w:r w:rsidRPr="000B73A3">
        <w:rPr>
          <w:rFonts w:ascii="Times New Roman" w:hAnsi="Times New Roman" w:cs="Times New Roman"/>
          <w:sz w:val="24"/>
          <w:szCs w:val="24"/>
        </w:rPr>
        <w:t xml:space="preserve"> </w:t>
      </w:r>
    </w:p>
    <w:p w:rsidR="000B73A3" w:rsidRPr="000B73A3"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Specifically, corporate bonds, even with the highest credit rating, generally are not considered as risk-free investments.</w:t>
      </w:r>
      <w:r w:rsidRPr="000B73A3">
        <w:rPr>
          <w:rStyle w:val="FootnoteReference"/>
          <w:rFonts w:ascii="Times New Roman" w:hAnsi="Times New Roman" w:cs="Times New Roman"/>
          <w:sz w:val="24"/>
          <w:szCs w:val="24"/>
        </w:rPr>
        <w:footnoteReference w:id="589"/>
      </w:r>
      <w:r w:rsidRPr="000B73A3">
        <w:rPr>
          <w:rFonts w:ascii="Times New Roman" w:hAnsi="Times New Roman" w:cs="Times New Roman"/>
          <w:sz w:val="24"/>
          <w:szCs w:val="24"/>
        </w:rPr>
        <w:t xml:space="preserve"> </w:t>
      </w:r>
      <w:r w:rsidR="00176F22">
        <w:rPr>
          <w:rFonts w:ascii="Times New Roman" w:hAnsi="Times New Roman" w:cs="Times New Roman"/>
          <w:sz w:val="24"/>
          <w:szCs w:val="24"/>
        </w:rPr>
        <w:t xml:space="preserve"> </w:t>
      </w:r>
      <w:r w:rsidRPr="000B73A3">
        <w:rPr>
          <w:rFonts w:ascii="Times New Roman" w:hAnsi="Times New Roman" w:cs="Times New Roman"/>
          <w:sz w:val="24"/>
          <w:szCs w:val="24"/>
        </w:rPr>
        <w:t>A measurement of the current yields of U.S. Treasury Bonds with various years of maturity is considered by financial analysts as a better measurement of the return of risk-free investments.</w:t>
      </w:r>
      <w:r w:rsidRPr="000B73A3">
        <w:rPr>
          <w:rStyle w:val="FootnoteReference"/>
          <w:rFonts w:ascii="Times New Roman" w:hAnsi="Times New Roman" w:cs="Times New Roman"/>
          <w:sz w:val="24"/>
          <w:szCs w:val="24"/>
        </w:rPr>
        <w:footnoteReference w:id="590"/>
      </w:r>
      <w:r w:rsidRPr="000B73A3">
        <w:rPr>
          <w:rFonts w:ascii="Times New Roman" w:hAnsi="Times New Roman" w:cs="Times New Roman"/>
          <w:sz w:val="24"/>
          <w:szCs w:val="24"/>
        </w:rPr>
        <w:t xml:space="preserve"> </w:t>
      </w:r>
      <w:r w:rsidR="00176F22">
        <w:rPr>
          <w:rFonts w:ascii="Times New Roman" w:hAnsi="Times New Roman" w:cs="Times New Roman"/>
          <w:sz w:val="24"/>
          <w:szCs w:val="24"/>
        </w:rPr>
        <w:t xml:space="preserve"> </w:t>
      </w:r>
      <w:r w:rsidRPr="000B73A3">
        <w:rPr>
          <w:rFonts w:ascii="Times New Roman" w:hAnsi="Times New Roman" w:cs="Times New Roman"/>
          <w:sz w:val="24"/>
          <w:szCs w:val="24"/>
        </w:rPr>
        <w:t xml:space="preserve">In fact, AEP Ohio Witness Hawkins testified:  “U.S. treasuries would be a good proxy for risk-free rates. </w:t>
      </w:r>
      <w:r w:rsidR="00176F22">
        <w:rPr>
          <w:rFonts w:ascii="Times New Roman" w:hAnsi="Times New Roman" w:cs="Times New Roman"/>
          <w:sz w:val="24"/>
          <w:szCs w:val="24"/>
        </w:rPr>
        <w:t xml:space="preserve"> </w:t>
      </w:r>
      <w:r w:rsidRPr="000B73A3">
        <w:rPr>
          <w:rFonts w:ascii="Times New Roman" w:hAnsi="Times New Roman" w:cs="Times New Roman"/>
          <w:sz w:val="24"/>
          <w:szCs w:val="24"/>
        </w:rPr>
        <w:t>It’s what’s typically used.”</w:t>
      </w:r>
      <w:r w:rsidRPr="000B73A3">
        <w:rPr>
          <w:rStyle w:val="FootnoteReference"/>
          <w:rFonts w:ascii="Times New Roman" w:hAnsi="Times New Roman" w:cs="Times New Roman"/>
          <w:sz w:val="24"/>
          <w:szCs w:val="24"/>
        </w:rPr>
        <w:footnoteReference w:id="591"/>
      </w:r>
      <w:r w:rsidRPr="000B73A3">
        <w:rPr>
          <w:rFonts w:ascii="Times New Roman" w:hAnsi="Times New Roman" w:cs="Times New Roman"/>
          <w:sz w:val="24"/>
          <w:szCs w:val="24"/>
        </w:rPr>
        <w:t xml:space="preserve"> </w:t>
      </w:r>
      <w:r w:rsidR="00176F22">
        <w:rPr>
          <w:rFonts w:ascii="Times New Roman" w:hAnsi="Times New Roman" w:cs="Times New Roman"/>
          <w:sz w:val="24"/>
          <w:szCs w:val="24"/>
        </w:rPr>
        <w:t xml:space="preserve"> </w:t>
      </w:r>
      <w:r w:rsidRPr="000B73A3">
        <w:rPr>
          <w:rFonts w:ascii="Times New Roman" w:hAnsi="Times New Roman" w:cs="Times New Roman"/>
          <w:sz w:val="24"/>
          <w:szCs w:val="24"/>
        </w:rPr>
        <w:t>But AEP Ohio did not use U.S. Treasury yields for establishing the return on equity in this proceeding.</w:t>
      </w:r>
      <w:r w:rsidRPr="000B73A3">
        <w:rPr>
          <w:rStyle w:val="FootnoteReference"/>
          <w:rFonts w:ascii="Times New Roman" w:hAnsi="Times New Roman" w:cs="Times New Roman"/>
          <w:sz w:val="24"/>
          <w:szCs w:val="24"/>
        </w:rPr>
        <w:footnoteReference w:id="592"/>
      </w:r>
      <w:r w:rsidRPr="000B73A3">
        <w:rPr>
          <w:rFonts w:ascii="Times New Roman" w:hAnsi="Times New Roman" w:cs="Times New Roman"/>
          <w:sz w:val="24"/>
          <w:szCs w:val="24"/>
        </w:rPr>
        <w:t xml:space="preserve"> </w:t>
      </w:r>
      <w:r w:rsidR="00176F22">
        <w:rPr>
          <w:rFonts w:ascii="Times New Roman" w:hAnsi="Times New Roman" w:cs="Times New Roman"/>
          <w:sz w:val="24"/>
          <w:szCs w:val="24"/>
        </w:rPr>
        <w:t xml:space="preserve"> </w:t>
      </w:r>
      <w:r w:rsidRPr="000B73A3">
        <w:rPr>
          <w:rFonts w:ascii="Times New Roman" w:hAnsi="Times New Roman" w:cs="Times New Roman"/>
          <w:sz w:val="24"/>
          <w:szCs w:val="24"/>
        </w:rPr>
        <w:t xml:space="preserve">AEP Ohio Witness Hawkins also testified that the 10-year U.S. Treasury bond rate is approximately </w:t>
      </w:r>
      <w:r w:rsidR="00C8404C">
        <w:rPr>
          <w:rFonts w:ascii="Times New Roman" w:hAnsi="Times New Roman" w:cs="Times New Roman"/>
          <w:sz w:val="24"/>
          <w:szCs w:val="24"/>
        </w:rPr>
        <w:t>2</w:t>
      </w:r>
      <w:r w:rsidRPr="000B73A3">
        <w:rPr>
          <w:rFonts w:ascii="Times New Roman" w:hAnsi="Times New Roman" w:cs="Times New Roman"/>
          <w:sz w:val="24"/>
          <w:szCs w:val="24"/>
        </w:rPr>
        <w:t xml:space="preserve"> percent and the 30-year rate is approximately 3.3 percent.</w:t>
      </w:r>
      <w:r w:rsidRPr="000B73A3">
        <w:rPr>
          <w:rStyle w:val="FootnoteReference"/>
          <w:rFonts w:ascii="Times New Roman" w:hAnsi="Times New Roman" w:cs="Times New Roman"/>
          <w:sz w:val="24"/>
          <w:szCs w:val="24"/>
        </w:rPr>
        <w:footnoteReference w:id="593"/>
      </w:r>
      <w:r w:rsidRPr="000B73A3">
        <w:rPr>
          <w:rFonts w:ascii="Times New Roman" w:hAnsi="Times New Roman" w:cs="Times New Roman"/>
          <w:sz w:val="24"/>
          <w:szCs w:val="24"/>
        </w:rPr>
        <w:t xml:space="preserve"> </w:t>
      </w:r>
      <w:r w:rsidR="00176F22">
        <w:rPr>
          <w:rFonts w:ascii="Times New Roman" w:hAnsi="Times New Roman" w:cs="Times New Roman"/>
          <w:sz w:val="24"/>
          <w:szCs w:val="24"/>
        </w:rPr>
        <w:t xml:space="preserve"> </w:t>
      </w:r>
      <w:r w:rsidRPr="000B73A3">
        <w:rPr>
          <w:rFonts w:ascii="Times New Roman" w:hAnsi="Times New Roman" w:cs="Times New Roman"/>
          <w:sz w:val="24"/>
          <w:szCs w:val="24"/>
        </w:rPr>
        <w:t>Therefore, as AEP Ohio conceded, the current yields on U</w:t>
      </w:r>
      <w:r w:rsidR="002E1C0A">
        <w:rPr>
          <w:rFonts w:ascii="Times New Roman" w:hAnsi="Times New Roman" w:cs="Times New Roman"/>
          <w:sz w:val="24"/>
          <w:szCs w:val="24"/>
        </w:rPr>
        <w:t>.</w:t>
      </w:r>
      <w:r w:rsidRPr="000B73A3">
        <w:rPr>
          <w:rFonts w:ascii="Times New Roman" w:hAnsi="Times New Roman" w:cs="Times New Roman"/>
          <w:sz w:val="24"/>
          <w:szCs w:val="24"/>
        </w:rPr>
        <w:t>S</w:t>
      </w:r>
      <w:r w:rsidR="002E1C0A">
        <w:rPr>
          <w:rFonts w:ascii="Times New Roman" w:hAnsi="Times New Roman" w:cs="Times New Roman"/>
          <w:sz w:val="24"/>
          <w:szCs w:val="24"/>
        </w:rPr>
        <w:t>.</w:t>
      </w:r>
      <w:r w:rsidRPr="000B73A3">
        <w:rPr>
          <w:rFonts w:ascii="Times New Roman" w:hAnsi="Times New Roman" w:cs="Times New Roman"/>
          <w:sz w:val="24"/>
          <w:szCs w:val="24"/>
        </w:rPr>
        <w:t xml:space="preserve"> Treasury Bonds are much lower than the Moody’s Index and if AEP Ohio had used these rates, instead of the Moody’s Bond Index, it would have resulted in a lower proposed </w:t>
      </w:r>
      <w:r w:rsidR="0091685F">
        <w:rPr>
          <w:rFonts w:ascii="Times New Roman" w:hAnsi="Times New Roman" w:cs="Times New Roman"/>
          <w:sz w:val="24"/>
          <w:szCs w:val="24"/>
        </w:rPr>
        <w:t>profit</w:t>
      </w:r>
      <w:r w:rsidRPr="000B73A3">
        <w:rPr>
          <w:rFonts w:ascii="Times New Roman" w:hAnsi="Times New Roman" w:cs="Times New Roman"/>
          <w:sz w:val="24"/>
          <w:szCs w:val="24"/>
        </w:rPr>
        <w:t>.</w:t>
      </w:r>
      <w:r w:rsidRPr="000B73A3">
        <w:rPr>
          <w:rStyle w:val="FootnoteReference"/>
          <w:rFonts w:ascii="Times New Roman" w:hAnsi="Times New Roman" w:cs="Times New Roman"/>
          <w:sz w:val="24"/>
          <w:szCs w:val="24"/>
        </w:rPr>
        <w:footnoteReference w:id="594"/>
      </w:r>
      <w:r w:rsidRPr="000B73A3">
        <w:rPr>
          <w:rFonts w:ascii="Times New Roman" w:hAnsi="Times New Roman" w:cs="Times New Roman"/>
          <w:sz w:val="24"/>
          <w:szCs w:val="24"/>
        </w:rPr>
        <w:t xml:space="preserve"> </w:t>
      </w:r>
    </w:p>
    <w:p w:rsidR="000B73A3"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The Moody’s Baa Corporate Bond Index is also not a good measurement of the risk-adjusted return (non-risk-free return) associated with U.S. power producers of similar credit rating.</w:t>
      </w:r>
      <w:r w:rsidRPr="000B73A3">
        <w:rPr>
          <w:rStyle w:val="FootnoteReference"/>
          <w:rFonts w:ascii="Times New Roman" w:hAnsi="Times New Roman" w:cs="Times New Roman"/>
          <w:sz w:val="24"/>
          <w:szCs w:val="24"/>
        </w:rPr>
        <w:footnoteReference w:id="595"/>
      </w:r>
      <w:r w:rsidRPr="000B73A3">
        <w:rPr>
          <w:rFonts w:ascii="Times New Roman" w:hAnsi="Times New Roman" w:cs="Times New Roman"/>
          <w:sz w:val="24"/>
          <w:szCs w:val="24"/>
        </w:rPr>
        <w:t xml:space="preserve">  As AEP Ohio Witness Hawkins confirmed, the Moody’s Corporate Bond Index includes the yields of the bonds issued by many companies in different industries, not just the bonds issued by power producers.</w:t>
      </w:r>
      <w:r w:rsidRPr="000B73A3">
        <w:rPr>
          <w:rStyle w:val="FootnoteReference"/>
          <w:rFonts w:ascii="Times New Roman" w:hAnsi="Times New Roman" w:cs="Times New Roman"/>
          <w:sz w:val="24"/>
          <w:szCs w:val="24"/>
        </w:rPr>
        <w:footnoteReference w:id="596"/>
      </w:r>
      <w:r w:rsidRPr="000B73A3">
        <w:rPr>
          <w:rFonts w:ascii="Times New Roman" w:hAnsi="Times New Roman" w:cs="Times New Roman"/>
          <w:sz w:val="24"/>
          <w:szCs w:val="24"/>
        </w:rPr>
        <w:t xml:space="preserve"> </w:t>
      </w:r>
      <w:r w:rsidR="00176F22">
        <w:rPr>
          <w:rFonts w:ascii="Times New Roman" w:hAnsi="Times New Roman" w:cs="Times New Roman"/>
          <w:sz w:val="24"/>
          <w:szCs w:val="24"/>
        </w:rPr>
        <w:t xml:space="preserve"> </w:t>
      </w:r>
      <w:r w:rsidRPr="000B73A3">
        <w:rPr>
          <w:rFonts w:ascii="Times New Roman" w:hAnsi="Times New Roman" w:cs="Times New Roman"/>
          <w:sz w:val="24"/>
          <w:szCs w:val="24"/>
        </w:rPr>
        <w:t xml:space="preserve">This faulty assumption produces faulty results. </w:t>
      </w:r>
      <w:r w:rsidR="00176F22">
        <w:rPr>
          <w:rFonts w:ascii="Times New Roman" w:hAnsi="Times New Roman" w:cs="Times New Roman"/>
          <w:sz w:val="24"/>
          <w:szCs w:val="24"/>
        </w:rPr>
        <w:t xml:space="preserve"> </w:t>
      </w:r>
      <w:r w:rsidRPr="000B73A3">
        <w:rPr>
          <w:rFonts w:ascii="Times New Roman" w:hAnsi="Times New Roman" w:cs="Times New Roman"/>
          <w:sz w:val="24"/>
          <w:szCs w:val="24"/>
        </w:rPr>
        <w:t>An index of risk-adjusted return, which is a non-risk-free return such as the Moody’s Index, can be used in the Risk Premium Model.</w:t>
      </w:r>
      <w:r w:rsidRPr="000B73A3">
        <w:rPr>
          <w:rStyle w:val="FootnoteReference"/>
          <w:rFonts w:ascii="Times New Roman" w:hAnsi="Times New Roman" w:cs="Times New Roman"/>
          <w:sz w:val="24"/>
          <w:szCs w:val="24"/>
        </w:rPr>
        <w:footnoteReference w:id="597"/>
      </w:r>
      <w:r w:rsidRPr="000B73A3">
        <w:rPr>
          <w:rFonts w:ascii="Times New Roman" w:hAnsi="Times New Roman" w:cs="Times New Roman"/>
          <w:sz w:val="24"/>
          <w:szCs w:val="24"/>
        </w:rPr>
        <w:t xml:space="preserve"> </w:t>
      </w:r>
      <w:r w:rsidR="00176F22">
        <w:rPr>
          <w:rFonts w:ascii="Times New Roman" w:hAnsi="Times New Roman" w:cs="Times New Roman"/>
          <w:sz w:val="24"/>
          <w:szCs w:val="24"/>
        </w:rPr>
        <w:t xml:space="preserve"> </w:t>
      </w:r>
      <w:r w:rsidRPr="000B73A3">
        <w:rPr>
          <w:rFonts w:ascii="Times New Roman" w:hAnsi="Times New Roman" w:cs="Times New Roman"/>
          <w:sz w:val="24"/>
          <w:szCs w:val="24"/>
        </w:rPr>
        <w:t>But in doing so, the estimated equity risk premium, such as the 6.5</w:t>
      </w:r>
      <w:r w:rsidR="00C8404C">
        <w:rPr>
          <w:rFonts w:ascii="Times New Roman" w:hAnsi="Times New Roman" w:cs="Times New Roman"/>
          <w:sz w:val="24"/>
          <w:szCs w:val="24"/>
        </w:rPr>
        <w:t xml:space="preserve"> percent</w:t>
      </w:r>
      <w:r w:rsidRPr="000B73A3">
        <w:rPr>
          <w:rFonts w:ascii="Times New Roman" w:hAnsi="Times New Roman" w:cs="Times New Roman"/>
          <w:sz w:val="24"/>
          <w:szCs w:val="24"/>
        </w:rPr>
        <w:t xml:space="preserve"> used by AEP Ohio, should be adjusted downward to reflect the difference in annualized returns between the equity and bond investments in that particular industry rather than the equity and bond investments in the broader stock and bond markets.</w:t>
      </w:r>
      <w:r w:rsidRPr="000B73A3">
        <w:rPr>
          <w:rStyle w:val="FootnoteReference"/>
          <w:rFonts w:ascii="Times New Roman" w:hAnsi="Times New Roman" w:cs="Times New Roman"/>
          <w:sz w:val="24"/>
          <w:szCs w:val="24"/>
        </w:rPr>
        <w:footnoteReference w:id="598"/>
      </w:r>
    </w:p>
    <w:p w:rsidR="00E1168B" w:rsidRPr="008F79C9" w:rsidRDefault="00030E5A" w:rsidP="00A406C8">
      <w:pPr>
        <w:pStyle w:val="Heading6"/>
      </w:pPr>
      <w:bookmarkStart w:id="130" w:name="_Toc442104206"/>
      <w:r>
        <w:t>(c)</w:t>
      </w:r>
      <w:r>
        <w:tab/>
      </w:r>
      <w:bookmarkStart w:id="131" w:name="_Toc435428238"/>
      <w:r w:rsidR="008A5D90">
        <w:t xml:space="preserve">Any </w:t>
      </w:r>
      <w:r w:rsidR="00192D7E">
        <w:t xml:space="preserve">profit </w:t>
      </w:r>
      <w:r w:rsidR="008A5D90">
        <w:t>should be set as low as possible, and no higher than AEPGR’s average cost of d</w:t>
      </w:r>
      <w:r w:rsidR="00E1168B" w:rsidRPr="008F79C9">
        <w:t>ebt</w:t>
      </w:r>
      <w:bookmarkEnd w:id="131"/>
      <w:r w:rsidR="00AF66FC">
        <w:t>.</w:t>
      </w:r>
      <w:bookmarkEnd w:id="130"/>
    </w:p>
    <w:p w:rsidR="00E1168B" w:rsidRPr="000B73A3" w:rsidRDefault="00E1168B" w:rsidP="00A574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just discussed</w:t>
      </w:r>
      <w:r w:rsidR="000B73A3" w:rsidRPr="000B73A3">
        <w:rPr>
          <w:rFonts w:ascii="Times New Roman" w:hAnsi="Times New Roman" w:cs="Times New Roman"/>
          <w:sz w:val="24"/>
          <w:szCs w:val="24"/>
        </w:rPr>
        <w:t xml:space="preserve">, no </w:t>
      </w:r>
      <w:r w:rsidR="00192D7E">
        <w:rPr>
          <w:rFonts w:ascii="Times New Roman" w:hAnsi="Times New Roman" w:cs="Times New Roman"/>
          <w:sz w:val="24"/>
          <w:szCs w:val="24"/>
        </w:rPr>
        <w:t>profit</w:t>
      </w:r>
      <w:r w:rsidR="00192D7E" w:rsidRPr="000B73A3">
        <w:rPr>
          <w:rFonts w:ascii="Times New Roman" w:hAnsi="Times New Roman" w:cs="Times New Roman"/>
          <w:sz w:val="24"/>
          <w:szCs w:val="24"/>
        </w:rPr>
        <w:t xml:space="preserve"> </w:t>
      </w:r>
      <w:r w:rsidR="000B73A3" w:rsidRPr="000B73A3">
        <w:rPr>
          <w:rFonts w:ascii="Times New Roman" w:hAnsi="Times New Roman" w:cs="Times New Roman"/>
          <w:sz w:val="24"/>
          <w:szCs w:val="24"/>
        </w:rPr>
        <w:t xml:space="preserve">should be included in the formula rate contract between AEPGR and AEP Ohio. </w:t>
      </w:r>
      <w:r w:rsidR="00176F22">
        <w:rPr>
          <w:rFonts w:ascii="Times New Roman" w:hAnsi="Times New Roman" w:cs="Times New Roman"/>
          <w:sz w:val="24"/>
          <w:szCs w:val="24"/>
        </w:rPr>
        <w:t xml:space="preserve"> </w:t>
      </w:r>
      <w:r>
        <w:rPr>
          <w:rFonts w:ascii="Times New Roman" w:hAnsi="Times New Roman" w:cs="Times New Roman"/>
          <w:sz w:val="24"/>
          <w:szCs w:val="24"/>
        </w:rPr>
        <w:t xml:space="preserve">For among other reasons, </w:t>
      </w:r>
      <w:r w:rsidRPr="000B73A3">
        <w:rPr>
          <w:rFonts w:ascii="Times New Roman" w:hAnsi="Times New Roman" w:cs="Times New Roman"/>
          <w:sz w:val="24"/>
          <w:szCs w:val="24"/>
        </w:rPr>
        <w:t>AEPGR is very strong financially and AEP Ohio has not demonstrated any financial need for the power plants. Specifically, in 20</w:t>
      </w:r>
      <w:r w:rsidR="002E1C0A">
        <w:rPr>
          <w:rFonts w:ascii="Times New Roman" w:hAnsi="Times New Roman" w:cs="Times New Roman"/>
          <w:sz w:val="24"/>
          <w:szCs w:val="24"/>
        </w:rPr>
        <w:t>1</w:t>
      </w:r>
      <w:r w:rsidRPr="000B73A3">
        <w:rPr>
          <w:rFonts w:ascii="Times New Roman" w:hAnsi="Times New Roman" w:cs="Times New Roman"/>
          <w:sz w:val="24"/>
          <w:szCs w:val="24"/>
        </w:rPr>
        <w:t>4, AEPGR ha</w:t>
      </w:r>
      <w:r w:rsidR="002E1C0A">
        <w:rPr>
          <w:rFonts w:ascii="Times New Roman" w:hAnsi="Times New Roman" w:cs="Times New Roman"/>
          <w:sz w:val="24"/>
          <w:szCs w:val="24"/>
        </w:rPr>
        <w:t>d</w:t>
      </w:r>
      <w:r w:rsidRPr="000B73A3">
        <w:rPr>
          <w:rFonts w:ascii="Times New Roman" w:hAnsi="Times New Roman" w:cs="Times New Roman"/>
          <w:sz w:val="24"/>
          <w:szCs w:val="24"/>
        </w:rPr>
        <w:t xml:space="preserve"> an actual </w:t>
      </w:r>
      <w:r w:rsidR="00192D7E">
        <w:rPr>
          <w:rFonts w:ascii="Times New Roman" w:hAnsi="Times New Roman" w:cs="Times New Roman"/>
          <w:sz w:val="24"/>
          <w:szCs w:val="24"/>
        </w:rPr>
        <w:t>profit</w:t>
      </w:r>
      <w:r w:rsidR="00192D7E" w:rsidRPr="000B73A3">
        <w:rPr>
          <w:rFonts w:ascii="Times New Roman" w:hAnsi="Times New Roman" w:cs="Times New Roman"/>
          <w:sz w:val="24"/>
          <w:szCs w:val="24"/>
        </w:rPr>
        <w:t xml:space="preserve"> </w:t>
      </w:r>
      <w:r w:rsidRPr="000B73A3">
        <w:rPr>
          <w:rFonts w:ascii="Times New Roman" w:hAnsi="Times New Roman" w:cs="Times New Roman"/>
          <w:sz w:val="24"/>
          <w:szCs w:val="24"/>
        </w:rPr>
        <w:t>of 14 percent.</w:t>
      </w:r>
      <w:r w:rsidRPr="000B73A3">
        <w:rPr>
          <w:rStyle w:val="FootnoteReference"/>
          <w:rFonts w:ascii="Times New Roman" w:hAnsi="Times New Roman" w:cs="Times New Roman"/>
          <w:sz w:val="24"/>
          <w:szCs w:val="24"/>
        </w:rPr>
        <w:footnoteReference w:id="599"/>
      </w:r>
      <w:r w:rsidRPr="000B73A3">
        <w:rPr>
          <w:rFonts w:ascii="Times New Roman" w:hAnsi="Times New Roman" w:cs="Times New Roman"/>
          <w:sz w:val="24"/>
          <w:szCs w:val="24"/>
        </w:rPr>
        <w:t xml:space="preserve">  AEPGR’s 2014 </w:t>
      </w:r>
      <w:r w:rsidR="00192D7E">
        <w:rPr>
          <w:rFonts w:ascii="Times New Roman" w:hAnsi="Times New Roman" w:cs="Times New Roman"/>
          <w:sz w:val="24"/>
          <w:szCs w:val="24"/>
        </w:rPr>
        <w:t>profit</w:t>
      </w:r>
      <w:r w:rsidR="00192D7E" w:rsidRPr="000B73A3">
        <w:rPr>
          <w:rFonts w:ascii="Times New Roman" w:hAnsi="Times New Roman" w:cs="Times New Roman"/>
          <w:sz w:val="24"/>
          <w:szCs w:val="24"/>
        </w:rPr>
        <w:t xml:space="preserve"> </w:t>
      </w:r>
      <w:r w:rsidRPr="000B73A3">
        <w:rPr>
          <w:rFonts w:ascii="Times New Roman" w:hAnsi="Times New Roman" w:cs="Times New Roman"/>
          <w:sz w:val="24"/>
          <w:szCs w:val="24"/>
        </w:rPr>
        <w:t>would be 20 percent if AEPGR had a more typical capital structure of 50 percent debt and 50 percent equity.</w:t>
      </w:r>
      <w:r w:rsidRPr="000B73A3">
        <w:rPr>
          <w:rStyle w:val="FootnoteReference"/>
          <w:rFonts w:ascii="Times New Roman" w:hAnsi="Times New Roman" w:cs="Times New Roman"/>
          <w:sz w:val="24"/>
          <w:szCs w:val="24"/>
        </w:rPr>
        <w:footnoteReference w:id="600"/>
      </w:r>
      <w:r w:rsidRPr="000B73A3">
        <w:rPr>
          <w:rFonts w:ascii="Times New Roman" w:hAnsi="Times New Roman" w:cs="Times New Roman"/>
          <w:sz w:val="24"/>
          <w:szCs w:val="24"/>
        </w:rPr>
        <w:t xml:space="preserve"> </w:t>
      </w:r>
    </w:p>
    <w:p w:rsidR="000B73A3"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 xml:space="preserve">But if a PPA Rider were adopted by the PUCO and a specific </w:t>
      </w:r>
      <w:r w:rsidR="00192D7E">
        <w:rPr>
          <w:rFonts w:ascii="Times New Roman" w:hAnsi="Times New Roman" w:cs="Times New Roman"/>
          <w:sz w:val="24"/>
          <w:szCs w:val="24"/>
        </w:rPr>
        <w:t>profit</w:t>
      </w:r>
      <w:r w:rsidR="00192D7E" w:rsidRPr="000B73A3">
        <w:rPr>
          <w:rFonts w:ascii="Times New Roman" w:hAnsi="Times New Roman" w:cs="Times New Roman"/>
          <w:sz w:val="24"/>
          <w:szCs w:val="24"/>
        </w:rPr>
        <w:t xml:space="preserve"> </w:t>
      </w:r>
      <w:r w:rsidRPr="000B73A3">
        <w:rPr>
          <w:rFonts w:ascii="Times New Roman" w:hAnsi="Times New Roman" w:cs="Times New Roman"/>
          <w:sz w:val="24"/>
          <w:szCs w:val="24"/>
        </w:rPr>
        <w:t>is needed for contracting or ratemaking, the initial “ROE” to be used in calculating the rate paid by AEP Ohio to AEPGR, and consequently paid by AEP Ohio’s customers through the PPA Rider, should be set as low as possible.</w:t>
      </w:r>
      <w:r w:rsidRPr="000B73A3">
        <w:rPr>
          <w:rStyle w:val="FootnoteReference"/>
          <w:rFonts w:ascii="Times New Roman" w:hAnsi="Times New Roman" w:cs="Times New Roman"/>
          <w:sz w:val="24"/>
          <w:szCs w:val="24"/>
        </w:rPr>
        <w:footnoteReference w:id="601"/>
      </w:r>
      <w:r w:rsidRPr="000B73A3">
        <w:rPr>
          <w:rFonts w:ascii="Times New Roman" w:hAnsi="Times New Roman" w:cs="Times New Roman"/>
          <w:sz w:val="24"/>
          <w:szCs w:val="24"/>
        </w:rPr>
        <w:t xml:space="preserve"> </w:t>
      </w:r>
      <w:r w:rsidR="00176F22">
        <w:rPr>
          <w:rFonts w:ascii="Times New Roman" w:hAnsi="Times New Roman" w:cs="Times New Roman"/>
          <w:sz w:val="24"/>
          <w:szCs w:val="24"/>
        </w:rPr>
        <w:t xml:space="preserve"> </w:t>
      </w:r>
      <w:r w:rsidRPr="000B73A3">
        <w:rPr>
          <w:rFonts w:ascii="Times New Roman" w:hAnsi="Times New Roman" w:cs="Times New Roman"/>
          <w:sz w:val="24"/>
          <w:szCs w:val="24"/>
        </w:rPr>
        <w:t>This will protect customers from paying unreasonable rates.</w:t>
      </w:r>
      <w:r w:rsidRPr="000B73A3">
        <w:rPr>
          <w:rStyle w:val="FootnoteReference"/>
          <w:rFonts w:ascii="Times New Roman" w:hAnsi="Times New Roman" w:cs="Times New Roman"/>
          <w:sz w:val="24"/>
          <w:szCs w:val="24"/>
        </w:rPr>
        <w:footnoteReference w:id="602"/>
      </w:r>
      <w:r w:rsidRPr="000B73A3">
        <w:rPr>
          <w:rFonts w:ascii="Times New Roman" w:hAnsi="Times New Roman" w:cs="Times New Roman"/>
          <w:sz w:val="24"/>
          <w:szCs w:val="24"/>
        </w:rPr>
        <w:t xml:space="preserve">  The </w:t>
      </w:r>
      <w:r w:rsidR="00192D7E">
        <w:rPr>
          <w:rFonts w:ascii="Times New Roman" w:hAnsi="Times New Roman" w:cs="Times New Roman"/>
          <w:sz w:val="24"/>
          <w:szCs w:val="24"/>
        </w:rPr>
        <w:t>profit</w:t>
      </w:r>
      <w:r w:rsidR="00192D7E" w:rsidRPr="000B73A3">
        <w:rPr>
          <w:rFonts w:ascii="Times New Roman" w:hAnsi="Times New Roman" w:cs="Times New Roman"/>
          <w:sz w:val="24"/>
          <w:szCs w:val="24"/>
        </w:rPr>
        <w:t xml:space="preserve"> </w:t>
      </w:r>
      <w:r w:rsidRPr="000B73A3">
        <w:rPr>
          <w:rFonts w:ascii="Times New Roman" w:hAnsi="Times New Roman" w:cs="Times New Roman"/>
          <w:sz w:val="24"/>
          <w:szCs w:val="24"/>
        </w:rPr>
        <w:t>applicable to the PPA Units should be set no higher than AEPGR’s average cost of debt, for both long-term and short-term debts, during the three-month period preceding the filing of a PPA Rider.</w:t>
      </w:r>
      <w:r w:rsidRPr="000B73A3">
        <w:rPr>
          <w:rStyle w:val="FootnoteReference"/>
          <w:rFonts w:ascii="Times New Roman" w:hAnsi="Times New Roman" w:cs="Times New Roman"/>
          <w:sz w:val="24"/>
          <w:szCs w:val="24"/>
        </w:rPr>
        <w:footnoteReference w:id="603"/>
      </w:r>
      <w:r w:rsidRPr="000B73A3">
        <w:rPr>
          <w:rFonts w:ascii="Times New Roman" w:hAnsi="Times New Roman" w:cs="Times New Roman"/>
          <w:sz w:val="24"/>
          <w:szCs w:val="24"/>
        </w:rPr>
        <w:t xml:space="preserve"> </w:t>
      </w:r>
    </w:p>
    <w:p w:rsidR="008E507D" w:rsidRPr="000B73A3" w:rsidRDefault="008E507D" w:rsidP="008E507D">
      <w:pPr>
        <w:widowControl w:val="0"/>
        <w:suppressAutoHyphens/>
        <w:spacing w:after="0" w:line="480" w:lineRule="auto"/>
        <w:ind w:firstLine="720"/>
        <w:rPr>
          <w:rFonts w:ascii="Times New Roman" w:hAnsi="Times New Roman" w:cs="Times New Roman"/>
          <w:b/>
          <w:sz w:val="24"/>
          <w:szCs w:val="24"/>
        </w:rPr>
      </w:pPr>
      <w:r>
        <w:rPr>
          <w:rFonts w:ascii="Times New Roman" w:eastAsia="WenQuanYi Micro Hei" w:hAnsi="Times New Roman" w:cs="Times New Roman"/>
          <w:color w:val="00000A"/>
          <w:sz w:val="24"/>
          <w:szCs w:val="24"/>
          <w:lang w:eastAsia="zh-CN" w:bidi="hi-IN"/>
        </w:rPr>
        <w:t xml:space="preserve">AEP Ohio has failed to meet its burden of proof regarding the first (and most important) factor </w:t>
      </w:r>
      <w:r w:rsidR="0021094B">
        <w:rPr>
          <w:rFonts w:ascii="Times New Roman" w:eastAsia="WenQuanYi Micro Hei" w:hAnsi="Times New Roman" w:cs="Times New Roman"/>
          <w:color w:val="00000A"/>
          <w:sz w:val="24"/>
          <w:szCs w:val="24"/>
          <w:lang w:eastAsia="zh-CN" w:bidi="hi-IN"/>
        </w:rPr>
        <w:t xml:space="preserve">(financial need) </w:t>
      </w:r>
      <w:r>
        <w:rPr>
          <w:rFonts w:ascii="Times New Roman" w:eastAsia="WenQuanYi Micro Hei" w:hAnsi="Times New Roman" w:cs="Times New Roman"/>
          <w:color w:val="00000A"/>
          <w:sz w:val="24"/>
          <w:szCs w:val="24"/>
          <w:lang w:eastAsia="zh-CN" w:bidi="hi-IN"/>
        </w:rPr>
        <w:t>from the PUCO’s ESP III Opinion and Order.</w:t>
      </w:r>
    </w:p>
    <w:p w:rsidR="0092318F" w:rsidRDefault="00030E5A" w:rsidP="00C401CE">
      <w:pPr>
        <w:pStyle w:val="Heading4"/>
      </w:pPr>
      <w:bookmarkStart w:id="132" w:name="_Toc442104207"/>
      <w:r>
        <w:t>b.</w:t>
      </w:r>
      <w:r>
        <w:tab/>
      </w:r>
      <w:bookmarkStart w:id="133" w:name="_Toc435428239"/>
      <w:r w:rsidR="008A5D90">
        <w:t xml:space="preserve">AEP Ohio has not demonstrated the necessity of the PPA </w:t>
      </w:r>
      <w:r w:rsidR="00B259CE">
        <w:t>U</w:t>
      </w:r>
      <w:r w:rsidR="008A5D90">
        <w:t>nits in light of reliability concerns, i</w:t>
      </w:r>
      <w:r w:rsidR="000B73A3" w:rsidRPr="008F79C9">
        <w:t xml:space="preserve">ncluding </w:t>
      </w:r>
      <w:r w:rsidR="008A5D90">
        <w:t>supply d</w:t>
      </w:r>
      <w:r w:rsidR="000B73A3" w:rsidRPr="008F79C9">
        <w:t>iversity</w:t>
      </w:r>
      <w:bookmarkEnd w:id="133"/>
      <w:r>
        <w:t>.</w:t>
      </w:r>
      <w:bookmarkEnd w:id="132"/>
      <w:r w:rsidR="000B73A3" w:rsidRPr="008F79C9">
        <w:t xml:space="preserve"> </w:t>
      </w:r>
    </w:p>
    <w:p w:rsidR="000B73A3" w:rsidRPr="0092318F" w:rsidRDefault="00030E5A" w:rsidP="00316B0F">
      <w:pPr>
        <w:pStyle w:val="Heading5"/>
      </w:pPr>
      <w:bookmarkStart w:id="134" w:name="_Toc435428240"/>
      <w:bookmarkStart w:id="135" w:name="_Toc442104208"/>
      <w:r>
        <w:t>i.</w:t>
      </w:r>
      <w:r>
        <w:tab/>
      </w:r>
      <w:r w:rsidR="008A5D90">
        <w:t>Contrary to AEP Ohio’s assertions, PJM is successfully maintaining resource a</w:t>
      </w:r>
      <w:r w:rsidR="00E1168B" w:rsidRPr="008F79C9">
        <w:t>dequacy</w:t>
      </w:r>
      <w:bookmarkEnd w:id="134"/>
      <w:r>
        <w:t>.</w:t>
      </w:r>
      <w:bookmarkEnd w:id="135"/>
    </w:p>
    <w:p w:rsidR="00D9178A" w:rsidRDefault="000B73A3" w:rsidP="00A57413">
      <w:pPr>
        <w:pStyle w:val="A1"/>
        <w:spacing w:after="0" w:line="480" w:lineRule="auto"/>
        <w:ind w:firstLine="720"/>
        <w:rPr>
          <w:rFonts w:cs="Times New Roman"/>
          <w:szCs w:val="24"/>
        </w:rPr>
      </w:pPr>
      <w:r w:rsidRPr="000B73A3">
        <w:rPr>
          <w:rFonts w:cs="Times New Roman"/>
          <w:szCs w:val="24"/>
        </w:rPr>
        <w:t>AEP Ohio Witnesses Vegas</w:t>
      </w:r>
      <w:r w:rsidRPr="000B73A3">
        <w:rPr>
          <w:rStyle w:val="FootnoteReference"/>
          <w:rFonts w:cs="Times New Roman"/>
          <w:szCs w:val="24"/>
        </w:rPr>
        <w:footnoteReference w:id="604"/>
      </w:r>
      <w:r w:rsidRPr="000B73A3">
        <w:rPr>
          <w:rFonts w:cs="Times New Roman"/>
          <w:szCs w:val="24"/>
        </w:rPr>
        <w:t xml:space="preserve"> and Pearce</w:t>
      </w:r>
      <w:r w:rsidRPr="000B73A3">
        <w:rPr>
          <w:rStyle w:val="FootnoteReference"/>
          <w:rFonts w:cs="Times New Roman"/>
          <w:szCs w:val="24"/>
        </w:rPr>
        <w:footnoteReference w:id="605"/>
      </w:r>
      <w:r w:rsidRPr="000B73A3">
        <w:rPr>
          <w:rFonts w:cs="Times New Roman"/>
          <w:szCs w:val="24"/>
        </w:rPr>
        <w:t xml:space="preserve"> express concerns about resource adequacy in PJM and in Ohio</w:t>
      </w:r>
      <w:r w:rsidR="00D9178A">
        <w:rPr>
          <w:rFonts w:cs="Times New Roman"/>
          <w:szCs w:val="24"/>
        </w:rPr>
        <w:t>, toward convincing the PUCO to subsidize their power plants with Ohioans’ hard-earned money</w:t>
      </w:r>
      <w:r w:rsidRPr="000B73A3">
        <w:rPr>
          <w:rFonts w:cs="Times New Roman"/>
          <w:szCs w:val="24"/>
        </w:rPr>
        <w:t xml:space="preserve">. </w:t>
      </w:r>
      <w:r w:rsidR="00176F22">
        <w:rPr>
          <w:rFonts w:cs="Times New Roman"/>
          <w:szCs w:val="24"/>
        </w:rPr>
        <w:t xml:space="preserve"> </w:t>
      </w:r>
      <w:r w:rsidRPr="000B73A3">
        <w:rPr>
          <w:rFonts w:cs="Times New Roman"/>
          <w:szCs w:val="24"/>
        </w:rPr>
        <w:t>AEP Ohio argues that a large amount of retiring generation will destabilize the reliability and resource adequacy in the PJM region.</w:t>
      </w:r>
      <w:r w:rsidRPr="000B73A3">
        <w:rPr>
          <w:rStyle w:val="FootnoteReference"/>
          <w:rFonts w:cs="Times New Roman"/>
          <w:szCs w:val="24"/>
        </w:rPr>
        <w:footnoteReference w:id="606"/>
      </w:r>
      <w:r w:rsidRPr="000B73A3">
        <w:rPr>
          <w:rFonts w:cs="Times New Roman"/>
          <w:szCs w:val="24"/>
        </w:rPr>
        <w:t xml:space="preserve"> </w:t>
      </w:r>
      <w:r w:rsidR="00D9178A">
        <w:rPr>
          <w:rFonts w:cs="Times New Roman"/>
          <w:szCs w:val="24"/>
        </w:rPr>
        <w:t xml:space="preserve"> But they are in the wrong forum at the PUCO.  </w:t>
      </w:r>
      <w:r w:rsidRPr="000B73A3">
        <w:rPr>
          <w:rFonts w:cs="Times New Roman"/>
          <w:szCs w:val="24"/>
        </w:rPr>
        <w:t>PJM maintains resource adequacy</w:t>
      </w:r>
      <w:r w:rsidR="00D9178A">
        <w:rPr>
          <w:rFonts w:cs="Times New Roman"/>
          <w:szCs w:val="24"/>
        </w:rPr>
        <w:t xml:space="preserve">, with the oversight of the Federal Energy Regulatory Commission.  The days of the PUCO’s responsibility for the adequacy of generation resources </w:t>
      </w:r>
      <w:r w:rsidR="008208D0">
        <w:rPr>
          <w:rFonts w:cs="Times New Roman"/>
          <w:szCs w:val="24"/>
        </w:rPr>
        <w:t>are</w:t>
      </w:r>
      <w:r w:rsidR="00D9178A">
        <w:rPr>
          <w:rFonts w:cs="Times New Roman"/>
          <w:szCs w:val="24"/>
        </w:rPr>
        <w:t xml:space="preserve"> long </w:t>
      </w:r>
      <w:r w:rsidR="008208D0">
        <w:rPr>
          <w:rFonts w:cs="Times New Roman"/>
          <w:szCs w:val="24"/>
        </w:rPr>
        <w:t>past</w:t>
      </w:r>
      <w:r w:rsidR="00D9178A">
        <w:rPr>
          <w:rFonts w:cs="Times New Roman"/>
          <w:szCs w:val="24"/>
        </w:rPr>
        <w:t xml:space="preserve"> and part of a bygone era. </w:t>
      </w:r>
      <w:r w:rsidRPr="000B73A3">
        <w:rPr>
          <w:rFonts w:cs="Times New Roman"/>
          <w:szCs w:val="24"/>
        </w:rPr>
        <w:t xml:space="preserve"> </w:t>
      </w:r>
    </w:p>
    <w:p w:rsidR="000B73A3" w:rsidRPr="000B73A3" w:rsidRDefault="00D9178A" w:rsidP="00A57413">
      <w:pPr>
        <w:pStyle w:val="A1"/>
        <w:spacing w:after="0" w:line="480" w:lineRule="auto"/>
        <w:ind w:firstLine="720"/>
        <w:rPr>
          <w:rFonts w:cs="Times New Roman"/>
          <w:szCs w:val="24"/>
        </w:rPr>
      </w:pPr>
      <w:r>
        <w:rPr>
          <w:rFonts w:cs="Times New Roman"/>
          <w:szCs w:val="24"/>
        </w:rPr>
        <w:t xml:space="preserve">PJM maintains power plant resource adequacy </w:t>
      </w:r>
      <w:r w:rsidR="000B73A3" w:rsidRPr="000B73A3">
        <w:rPr>
          <w:rFonts w:cs="Times New Roman"/>
          <w:szCs w:val="24"/>
        </w:rPr>
        <w:t xml:space="preserve">primarily through its </w:t>
      </w:r>
      <w:r w:rsidR="00C413D7">
        <w:rPr>
          <w:rFonts w:cs="Times New Roman"/>
          <w:szCs w:val="24"/>
        </w:rPr>
        <w:t>RPM</w:t>
      </w:r>
      <w:r w:rsidR="000B73A3" w:rsidRPr="000B73A3">
        <w:rPr>
          <w:rFonts w:cs="Times New Roman"/>
          <w:szCs w:val="24"/>
        </w:rPr>
        <w:t xml:space="preserve"> capacity construct.</w:t>
      </w:r>
      <w:r w:rsidR="000B73A3" w:rsidRPr="000B73A3">
        <w:rPr>
          <w:rStyle w:val="FootnoteReference"/>
          <w:rFonts w:cs="Times New Roman"/>
          <w:szCs w:val="24"/>
        </w:rPr>
        <w:footnoteReference w:id="607"/>
      </w:r>
      <w:r w:rsidR="000B73A3" w:rsidRPr="000B73A3">
        <w:rPr>
          <w:rFonts w:cs="Times New Roman"/>
          <w:szCs w:val="24"/>
        </w:rPr>
        <w:t xml:space="preserve"> </w:t>
      </w:r>
      <w:r w:rsidR="00176F22">
        <w:rPr>
          <w:rFonts w:cs="Times New Roman"/>
          <w:szCs w:val="24"/>
        </w:rPr>
        <w:t xml:space="preserve"> </w:t>
      </w:r>
      <w:r w:rsidR="000B73A3" w:rsidRPr="000B73A3">
        <w:rPr>
          <w:rFonts w:cs="Times New Roman"/>
          <w:szCs w:val="24"/>
        </w:rPr>
        <w:t>As OCC Witness Wilson explains, while there have been some generation retirements, they have been absorbed with very little impact on resource adequacy or RPM results.</w:t>
      </w:r>
      <w:r w:rsidR="000B73A3" w:rsidRPr="000B73A3">
        <w:rPr>
          <w:rStyle w:val="FootnoteReference"/>
          <w:rFonts w:cs="Times New Roman"/>
          <w:szCs w:val="24"/>
        </w:rPr>
        <w:footnoteReference w:id="608"/>
      </w:r>
      <w:r w:rsidR="000B73A3" w:rsidRPr="000B73A3">
        <w:rPr>
          <w:rFonts w:cs="Times New Roman"/>
          <w:szCs w:val="24"/>
        </w:rPr>
        <w:t xml:space="preserve"> </w:t>
      </w:r>
      <w:r w:rsidR="00176F22">
        <w:rPr>
          <w:rFonts w:cs="Times New Roman"/>
          <w:szCs w:val="24"/>
        </w:rPr>
        <w:t xml:space="preserve"> </w:t>
      </w:r>
      <w:r w:rsidR="000B73A3" w:rsidRPr="000B73A3">
        <w:rPr>
          <w:rFonts w:cs="Times New Roman"/>
          <w:szCs w:val="24"/>
        </w:rPr>
        <w:t>AEP Ohio’s concerns are further mitigated because there has been substantial new generation entry that, combined with other new resources including demand response and imports, has consistently resulted in reserve margins well above target levels.</w:t>
      </w:r>
      <w:r w:rsidR="000B73A3" w:rsidRPr="000B73A3">
        <w:rPr>
          <w:rStyle w:val="FootnoteReference"/>
          <w:rFonts w:cs="Times New Roman"/>
          <w:szCs w:val="24"/>
        </w:rPr>
        <w:footnoteReference w:id="609"/>
      </w:r>
      <w:r w:rsidR="000B73A3" w:rsidRPr="000B73A3">
        <w:rPr>
          <w:rFonts w:cs="Times New Roman"/>
          <w:szCs w:val="24"/>
        </w:rPr>
        <w:t xml:space="preserve"> </w:t>
      </w:r>
      <w:r w:rsidR="00176F22">
        <w:rPr>
          <w:rFonts w:cs="Times New Roman"/>
          <w:szCs w:val="24"/>
        </w:rPr>
        <w:t xml:space="preserve"> </w:t>
      </w:r>
      <w:r w:rsidR="000B73A3" w:rsidRPr="000B73A3">
        <w:rPr>
          <w:rFonts w:cs="Times New Roman"/>
          <w:szCs w:val="24"/>
        </w:rPr>
        <w:t>PJM already holds commitments to provide capacity well in excess of targets through May 31, 2019.</w:t>
      </w:r>
      <w:r w:rsidR="000B73A3" w:rsidRPr="000B73A3">
        <w:rPr>
          <w:rStyle w:val="FootnoteReference"/>
          <w:rFonts w:cs="Times New Roman"/>
          <w:szCs w:val="24"/>
        </w:rPr>
        <w:footnoteReference w:id="610"/>
      </w:r>
    </w:p>
    <w:p w:rsidR="000B73A3" w:rsidRPr="000B73A3" w:rsidRDefault="000B73A3" w:rsidP="00A57413">
      <w:pPr>
        <w:pStyle w:val="A1"/>
        <w:spacing w:after="0" w:line="480" w:lineRule="auto"/>
        <w:ind w:firstLine="720"/>
        <w:rPr>
          <w:rFonts w:cs="Times New Roman"/>
          <w:szCs w:val="24"/>
        </w:rPr>
      </w:pPr>
      <w:r w:rsidRPr="000B73A3">
        <w:rPr>
          <w:rFonts w:cs="Times New Roman"/>
          <w:szCs w:val="24"/>
        </w:rPr>
        <w:t>Additionally, a diverse mix of resources has been acquired through RPM to replace the retired generation and meet the rather modest load growth that has or is expected to occur.</w:t>
      </w:r>
      <w:r w:rsidRPr="000B73A3">
        <w:rPr>
          <w:rStyle w:val="FootnoteReference"/>
          <w:rFonts w:cs="Times New Roman"/>
          <w:szCs w:val="24"/>
        </w:rPr>
        <w:footnoteReference w:id="611"/>
      </w:r>
      <w:r w:rsidRPr="000B73A3">
        <w:rPr>
          <w:rFonts w:cs="Times New Roman"/>
          <w:szCs w:val="24"/>
        </w:rPr>
        <w:t xml:space="preserve"> </w:t>
      </w:r>
      <w:r w:rsidR="00176F22">
        <w:rPr>
          <w:rFonts w:cs="Times New Roman"/>
          <w:szCs w:val="24"/>
        </w:rPr>
        <w:t xml:space="preserve"> </w:t>
      </w:r>
      <w:r w:rsidRPr="000B73A3">
        <w:rPr>
          <w:rFonts w:cs="Times New Roman"/>
          <w:szCs w:val="24"/>
        </w:rPr>
        <w:t xml:space="preserve">In addition to over 22,000 MW of new combined cycle units, there have been substantial amounts of new combustion turbines, new steam units and </w:t>
      </w:r>
      <w:r w:rsidR="00B259CE">
        <w:rPr>
          <w:rFonts w:cs="Times New Roman"/>
          <w:szCs w:val="24"/>
        </w:rPr>
        <w:t>upgrades</w:t>
      </w:r>
      <w:r w:rsidRPr="000B73A3">
        <w:rPr>
          <w:rFonts w:cs="Times New Roman"/>
          <w:szCs w:val="24"/>
        </w:rPr>
        <w:t xml:space="preserve"> to existing steam units, wind, demand response, energy efficiency, and other imports from resources located in adjacent regions.</w:t>
      </w:r>
      <w:r w:rsidRPr="000B73A3">
        <w:rPr>
          <w:rStyle w:val="FootnoteReference"/>
          <w:rFonts w:cs="Times New Roman"/>
          <w:szCs w:val="24"/>
        </w:rPr>
        <w:footnoteReference w:id="612"/>
      </w:r>
      <w:r w:rsidRPr="000B73A3">
        <w:rPr>
          <w:rFonts w:cs="Times New Roman"/>
          <w:szCs w:val="24"/>
        </w:rPr>
        <w:t xml:space="preserve"> </w:t>
      </w:r>
    </w:p>
    <w:p w:rsidR="000B73A3" w:rsidRDefault="000B73A3" w:rsidP="00A57413">
      <w:pPr>
        <w:pStyle w:val="A1"/>
        <w:spacing w:after="0" w:line="480" w:lineRule="auto"/>
        <w:ind w:firstLine="720"/>
        <w:rPr>
          <w:rFonts w:cs="Times New Roman"/>
          <w:szCs w:val="24"/>
        </w:rPr>
      </w:pPr>
      <w:r w:rsidRPr="000B73A3">
        <w:rPr>
          <w:rFonts w:cs="Times New Roman"/>
          <w:szCs w:val="24"/>
        </w:rPr>
        <w:t>Further, capacity prices have not been volatile as AEP Ohio asserts.</w:t>
      </w:r>
      <w:r w:rsidRPr="000B73A3">
        <w:rPr>
          <w:rStyle w:val="FootnoteReference"/>
          <w:rFonts w:cs="Times New Roman"/>
          <w:szCs w:val="24"/>
        </w:rPr>
        <w:footnoteReference w:id="613"/>
      </w:r>
      <w:r w:rsidRPr="000B73A3">
        <w:rPr>
          <w:rFonts w:cs="Times New Roman"/>
          <w:szCs w:val="24"/>
        </w:rPr>
        <w:t xml:space="preserve"> </w:t>
      </w:r>
      <w:r w:rsidR="00176F22">
        <w:rPr>
          <w:rFonts w:cs="Times New Roman"/>
          <w:szCs w:val="24"/>
        </w:rPr>
        <w:t xml:space="preserve"> </w:t>
      </w:r>
      <w:r w:rsidRPr="000B73A3">
        <w:rPr>
          <w:rFonts w:cs="Times New Roman"/>
          <w:szCs w:val="24"/>
        </w:rPr>
        <w:t>In fact, PJM capacity prices have been reasonably stable in the $100 to $175/MW-day range over the twelve RPM delivery years to date, with the exception of four delivery years when prices were lower: 2007/08, the very first year; 2012/13 and 2013/14, primarily due to substantial increases in demand response resources in the auctions for those years;</w:t>
      </w:r>
      <w:r w:rsidRPr="000B73A3">
        <w:rPr>
          <w:rStyle w:val="FootnoteReference"/>
          <w:rFonts w:cs="Times New Roman"/>
          <w:szCs w:val="24"/>
        </w:rPr>
        <w:footnoteReference w:id="614"/>
      </w:r>
      <w:r w:rsidRPr="000B73A3">
        <w:rPr>
          <w:rFonts w:cs="Times New Roman"/>
          <w:szCs w:val="24"/>
        </w:rPr>
        <w:t xml:space="preserve"> and 2016/17, primarily due to a large increase in imports into the RTO region, along with new entry within PJM, in the auction for that year.</w:t>
      </w:r>
      <w:r w:rsidRPr="000B73A3">
        <w:rPr>
          <w:rStyle w:val="FootnoteReference"/>
          <w:rFonts w:cs="Times New Roman"/>
          <w:szCs w:val="24"/>
        </w:rPr>
        <w:footnoteReference w:id="615"/>
      </w:r>
      <w:r w:rsidRPr="000B73A3">
        <w:rPr>
          <w:rFonts w:cs="Times New Roman"/>
          <w:szCs w:val="24"/>
        </w:rPr>
        <w:t xml:space="preserve"> </w:t>
      </w:r>
      <w:r w:rsidR="00176F22">
        <w:rPr>
          <w:rFonts w:cs="Times New Roman"/>
          <w:szCs w:val="24"/>
        </w:rPr>
        <w:t xml:space="preserve"> </w:t>
      </w:r>
      <w:r w:rsidRPr="000B73A3">
        <w:rPr>
          <w:rFonts w:cs="Times New Roman"/>
          <w:szCs w:val="24"/>
        </w:rPr>
        <w:t>Therefore, AEP Ohio’s concerns are groundless and unfounded.</w:t>
      </w:r>
    </w:p>
    <w:p w:rsidR="00E1168B" w:rsidRPr="00E1168B" w:rsidRDefault="00030E5A" w:rsidP="00316B0F">
      <w:pPr>
        <w:pStyle w:val="Heading5"/>
      </w:pPr>
      <w:bookmarkStart w:id="136" w:name="_Toc442104209"/>
      <w:r>
        <w:t>ii.</w:t>
      </w:r>
      <w:r>
        <w:tab/>
      </w:r>
      <w:bookmarkStart w:id="137" w:name="_Toc435428241"/>
      <w:r w:rsidR="008A5D90">
        <w:t>AEP Ohio inappropriately focuses on plant retirements in discussing r</w:t>
      </w:r>
      <w:r w:rsidR="00E1168B" w:rsidRPr="00E1168B">
        <w:t>eliability</w:t>
      </w:r>
      <w:bookmarkEnd w:id="137"/>
      <w:r>
        <w:t>.</w:t>
      </w:r>
      <w:bookmarkEnd w:id="136"/>
    </w:p>
    <w:p w:rsidR="00456102" w:rsidRDefault="000B73A3" w:rsidP="00A57413">
      <w:pPr>
        <w:pStyle w:val="ListParagraph"/>
        <w:spacing w:after="0" w:line="480" w:lineRule="auto"/>
        <w:ind w:left="0" w:firstLine="720"/>
        <w:contextualSpacing w:val="0"/>
        <w:rPr>
          <w:rFonts w:ascii="Times New Roman" w:hAnsi="Times New Roman" w:cs="Times New Roman"/>
          <w:sz w:val="24"/>
          <w:szCs w:val="24"/>
        </w:rPr>
      </w:pPr>
      <w:r w:rsidRPr="000B73A3">
        <w:rPr>
          <w:rFonts w:ascii="Times New Roman" w:hAnsi="Times New Roman" w:cs="Times New Roman"/>
          <w:sz w:val="24"/>
          <w:szCs w:val="24"/>
        </w:rPr>
        <w:t>AEP Ohio inappropriately focuses on plant retire</w:t>
      </w:r>
      <w:r w:rsidR="00E1168B">
        <w:rPr>
          <w:rFonts w:ascii="Times New Roman" w:hAnsi="Times New Roman" w:cs="Times New Roman"/>
          <w:sz w:val="24"/>
          <w:szCs w:val="24"/>
        </w:rPr>
        <w:t xml:space="preserve">ments to </w:t>
      </w:r>
      <w:r w:rsidR="00456102">
        <w:rPr>
          <w:rFonts w:ascii="Times New Roman" w:hAnsi="Times New Roman" w:cs="Times New Roman"/>
          <w:sz w:val="24"/>
          <w:szCs w:val="24"/>
        </w:rPr>
        <w:t xml:space="preserve">allege </w:t>
      </w:r>
      <w:r w:rsidR="00E1168B">
        <w:rPr>
          <w:rFonts w:ascii="Times New Roman" w:hAnsi="Times New Roman" w:cs="Times New Roman"/>
          <w:sz w:val="24"/>
          <w:szCs w:val="24"/>
        </w:rPr>
        <w:t>that the PPA Unit</w:t>
      </w:r>
      <w:r w:rsidRPr="000B73A3">
        <w:rPr>
          <w:rFonts w:ascii="Times New Roman" w:hAnsi="Times New Roman" w:cs="Times New Roman"/>
          <w:sz w:val="24"/>
          <w:szCs w:val="24"/>
        </w:rPr>
        <w:t>s are necessary to meet reliability concerns.</w:t>
      </w:r>
      <w:r w:rsidR="00456102">
        <w:rPr>
          <w:rFonts w:ascii="Times New Roman" w:hAnsi="Times New Roman" w:cs="Times New Roman"/>
          <w:sz w:val="24"/>
          <w:szCs w:val="24"/>
        </w:rPr>
        <w:t xml:space="preserve">  AEP Ohio seems </w:t>
      </w:r>
      <w:r w:rsidR="00DA768C">
        <w:rPr>
          <w:rFonts w:ascii="Times New Roman" w:hAnsi="Times New Roman" w:cs="Times New Roman"/>
          <w:sz w:val="24"/>
          <w:szCs w:val="24"/>
        </w:rPr>
        <w:t xml:space="preserve">to </w:t>
      </w:r>
      <w:r w:rsidR="00456102">
        <w:rPr>
          <w:rFonts w:ascii="Times New Roman" w:hAnsi="Times New Roman" w:cs="Times New Roman"/>
          <w:sz w:val="24"/>
          <w:szCs w:val="24"/>
        </w:rPr>
        <w:t>promote its re-regulatory, anti-markets, subsidy plan</w:t>
      </w:r>
      <w:r w:rsidR="00DA768C">
        <w:rPr>
          <w:rFonts w:ascii="Times New Roman" w:hAnsi="Times New Roman" w:cs="Times New Roman"/>
          <w:sz w:val="24"/>
          <w:szCs w:val="24"/>
        </w:rPr>
        <w:t xml:space="preserve"> by</w:t>
      </w:r>
      <w:r w:rsidR="00456102">
        <w:rPr>
          <w:rFonts w:ascii="Times New Roman" w:hAnsi="Times New Roman" w:cs="Times New Roman"/>
          <w:sz w:val="24"/>
          <w:szCs w:val="24"/>
        </w:rPr>
        <w:t xml:space="preserve"> spread</w:t>
      </w:r>
      <w:r w:rsidR="00DA768C">
        <w:rPr>
          <w:rFonts w:ascii="Times New Roman" w:hAnsi="Times New Roman" w:cs="Times New Roman"/>
          <w:sz w:val="24"/>
          <w:szCs w:val="24"/>
        </w:rPr>
        <w:t>ing</w:t>
      </w:r>
      <w:r w:rsidR="00456102">
        <w:rPr>
          <w:rFonts w:ascii="Times New Roman" w:hAnsi="Times New Roman" w:cs="Times New Roman"/>
          <w:sz w:val="24"/>
          <w:szCs w:val="24"/>
        </w:rPr>
        <w:t xml:space="preserve"> concern about reliability.  But again, </w:t>
      </w:r>
      <w:r w:rsidRPr="000B73A3">
        <w:rPr>
          <w:rFonts w:ascii="Times New Roman" w:hAnsi="Times New Roman" w:cs="Times New Roman"/>
          <w:sz w:val="24"/>
          <w:szCs w:val="24"/>
        </w:rPr>
        <w:t>AEP Ohio</w:t>
      </w:r>
      <w:r w:rsidR="00456102">
        <w:rPr>
          <w:rFonts w:ascii="Times New Roman" w:hAnsi="Times New Roman" w:cs="Times New Roman"/>
          <w:sz w:val="24"/>
          <w:szCs w:val="24"/>
        </w:rPr>
        <w:t xml:space="preserve"> is in the wrong forum at the PUCO.  It’s a matter for PJM and federal regulators, in the modern-era electric system. </w:t>
      </w:r>
    </w:p>
    <w:p w:rsidR="000B73A3" w:rsidRDefault="000B73A3" w:rsidP="00A57413">
      <w:pPr>
        <w:pStyle w:val="ListParagraph"/>
        <w:spacing w:after="0" w:line="480" w:lineRule="auto"/>
        <w:ind w:left="0" w:firstLine="720"/>
        <w:contextualSpacing w:val="0"/>
        <w:rPr>
          <w:rFonts w:ascii="Times New Roman" w:hAnsi="Times New Roman" w:cs="Times New Roman"/>
          <w:sz w:val="24"/>
          <w:szCs w:val="24"/>
        </w:rPr>
      </w:pPr>
      <w:r w:rsidRPr="000B73A3">
        <w:rPr>
          <w:rFonts w:ascii="Times New Roman" w:hAnsi="Times New Roman" w:cs="Times New Roman"/>
          <w:sz w:val="24"/>
          <w:szCs w:val="24"/>
        </w:rPr>
        <w:t xml:space="preserve"> </w:t>
      </w:r>
      <w:r w:rsidR="00456102">
        <w:rPr>
          <w:rFonts w:ascii="Times New Roman" w:hAnsi="Times New Roman" w:cs="Times New Roman"/>
          <w:sz w:val="24"/>
          <w:szCs w:val="24"/>
        </w:rPr>
        <w:t xml:space="preserve">AEP Ohio </w:t>
      </w:r>
      <w:r w:rsidRPr="000B73A3">
        <w:rPr>
          <w:rFonts w:ascii="Times New Roman" w:hAnsi="Times New Roman" w:cs="Times New Roman"/>
          <w:sz w:val="24"/>
          <w:szCs w:val="24"/>
        </w:rPr>
        <w:t>should have undertaken an objective assessment to measure the reliability benefits of the PPA Units on either the PJM system or on supply to Ohio customers.  Reliability benefits of generating units are typically measured by conducting a loss of load expectation (“LOLE”) or similar reliability study of a power system.</w:t>
      </w:r>
      <w:r w:rsidRPr="000B73A3">
        <w:rPr>
          <w:rStyle w:val="FootnoteReference"/>
          <w:rFonts w:ascii="Times New Roman" w:hAnsi="Times New Roman" w:cs="Times New Roman"/>
          <w:sz w:val="24"/>
          <w:szCs w:val="24"/>
        </w:rPr>
        <w:footnoteReference w:id="616"/>
      </w:r>
      <w:r w:rsidRPr="000B73A3">
        <w:rPr>
          <w:rFonts w:ascii="Times New Roman" w:hAnsi="Times New Roman" w:cs="Times New Roman"/>
          <w:sz w:val="24"/>
          <w:szCs w:val="24"/>
        </w:rPr>
        <w:t xml:space="preserve">  LOLE is a probabilistic assessment of the likelihood that the system will experience a generating capacity shortfall over some future planning horizon.</w:t>
      </w:r>
      <w:r w:rsidRPr="000B73A3">
        <w:rPr>
          <w:rStyle w:val="FootnoteReference"/>
          <w:rFonts w:ascii="Times New Roman" w:hAnsi="Times New Roman" w:cs="Times New Roman"/>
          <w:sz w:val="24"/>
          <w:szCs w:val="24"/>
        </w:rPr>
        <w:footnoteReference w:id="617"/>
      </w:r>
      <w:r w:rsidRPr="000B73A3">
        <w:rPr>
          <w:rFonts w:ascii="Times New Roman" w:hAnsi="Times New Roman" w:cs="Times New Roman"/>
          <w:sz w:val="24"/>
          <w:szCs w:val="24"/>
        </w:rPr>
        <w:t xml:space="preserve">  The benefit that a particular generator or a portfolio of generators (in the case of the PPA Units) provides is measured by determining the effect of adding (or removing) that generator to (or from) the system would have on the system LOLE.</w:t>
      </w:r>
      <w:r w:rsidRPr="000B73A3">
        <w:rPr>
          <w:rStyle w:val="FootnoteReference"/>
          <w:rFonts w:ascii="Times New Roman" w:hAnsi="Times New Roman" w:cs="Times New Roman"/>
          <w:sz w:val="24"/>
          <w:szCs w:val="24"/>
        </w:rPr>
        <w:footnoteReference w:id="618"/>
      </w:r>
      <w:r w:rsidRPr="000B73A3">
        <w:rPr>
          <w:rFonts w:ascii="Times New Roman" w:hAnsi="Times New Roman" w:cs="Times New Roman"/>
          <w:sz w:val="24"/>
          <w:szCs w:val="24"/>
        </w:rPr>
        <w:t xml:space="preserve">  AEP Ohio’s failure to conduct such an assessment is fatal to its claim that the PPA Units are necessary for system reliability.</w:t>
      </w:r>
      <w:r w:rsidRPr="000B73A3">
        <w:rPr>
          <w:rStyle w:val="FootnoteReference"/>
          <w:rFonts w:ascii="Times New Roman" w:hAnsi="Times New Roman" w:cs="Times New Roman"/>
          <w:sz w:val="24"/>
          <w:szCs w:val="24"/>
        </w:rPr>
        <w:footnoteReference w:id="619"/>
      </w:r>
    </w:p>
    <w:p w:rsidR="00E1168B" w:rsidRPr="008F79C9" w:rsidRDefault="00A406C8" w:rsidP="00A406C8">
      <w:pPr>
        <w:pStyle w:val="Heading6"/>
      </w:pPr>
      <w:bookmarkStart w:id="138" w:name="_Toc435428242"/>
      <w:bookmarkStart w:id="139" w:name="_Toc442104210"/>
      <w:r>
        <w:t>(a)</w:t>
      </w:r>
      <w:r>
        <w:tab/>
      </w:r>
      <w:r w:rsidR="008A5D90">
        <w:t xml:space="preserve">The PPA </w:t>
      </w:r>
      <w:r w:rsidR="00B259CE">
        <w:t>U</w:t>
      </w:r>
      <w:r w:rsidR="008A5D90">
        <w:t>nits do not contribute to supply d</w:t>
      </w:r>
      <w:r w:rsidR="00E1168B" w:rsidRPr="008F79C9">
        <w:t>iversity</w:t>
      </w:r>
      <w:bookmarkEnd w:id="138"/>
      <w:r w:rsidR="00030E5A">
        <w:t>.</w:t>
      </w:r>
      <w:bookmarkEnd w:id="139"/>
    </w:p>
    <w:p w:rsidR="008E507D" w:rsidRDefault="000B73A3" w:rsidP="00941ED6">
      <w:pPr>
        <w:widowControl w:val="0"/>
        <w:suppressAutoHyphens/>
        <w:spacing w:after="0" w:line="480" w:lineRule="auto"/>
        <w:ind w:firstLine="720"/>
        <w:rPr>
          <w:rFonts w:ascii="Times New Roman" w:eastAsia="WenQuanYi Micro Hei" w:hAnsi="Times New Roman" w:cs="Times New Roman"/>
          <w:color w:val="00000A"/>
          <w:sz w:val="24"/>
          <w:szCs w:val="24"/>
          <w:lang w:eastAsia="zh-CN" w:bidi="hi-IN"/>
        </w:rPr>
      </w:pPr>
      <w:r w:rsidRPr="000B73A3">
        <w:rPr>
          <w:rFonts w:ascii="Times New Roman" w:eastAsia="WenQuanYi Micro Hei" w:hAnsi="Times New Roman" w:cs="Times New Roman"/>
          <w:color w:val="00000A"/>
          <w:sz w:val="24"/>
          <w:szCs w:val="24"/>
          <w:lang w:eastAsia="zh-CN" w:bidi="hi-IN"/>
        </w:rPr>
        <w:t>Further, AEP Ohio</w:t>
      </w:r>
      <w:r w:rsidR="00613394" w:rsidRPr="00613394">
        <w:rPr>
          <w:rFonts w:ascii="Times New Roman" w:hAnsi="Times New Roman" w:cs="Times New Roman"/>
          <w:sz w:val="24"/>
          <w:szCs w:val="24"/>
        </w:rPr>
        <w:t xml:space="preserve"> </w:t>
      </w:r>
      <w:r w:rsidRPr="000B73A3">
        <w:rPr>
          <w:rFonts w:ascii="Times New Roman" w:eastAsia="WenQuanYi Micro Hei" w:hAnsi="Times New Roman" w:cs="Times New Roman"/>
          <w:color w:val="00000A"/>
          <w:sz w:val="24"/>
          <w:szCs w:val="24"/>
          <w:lang w:eastAsia="zh-CN" w:bidi="hi-IN"/>
        </w:rPr>
        <w:t>fails to prove that the PPA Units contribute to supply diversity.  The PPA Units make the generation mix in Ohio more homogeneous because they are coal-fired units in a state which has a coal-dominated generation mix.</w:t>
      </w:r>
      <w:r w:rsidRPr="000B73A3">
        <w:rPr>
          <w:rFonts w:ascii="Times New Roman" w:eastAsia="WenQuanYi Micro Hei" w:hAnsi="Times New Roman" w:cs="Times New Roman"/>
          <w:color w:val="00000A"/>
          <w:sz w:val="24"/>
          <w:szCs w:val="24"/>
          <w:vertAlign w:val="superscript"/>
          <w:lang w:eastAsia="zh-CN" w:bidi="hi-IN"/>
        </w:rPr>
        <w:footnoteReference w:id="620"/>
      </w:r>
      <w:r w:rsidRPr="000B73A3">
        <w:rPr>
          <w:rFonts w:ascii="Times New Roman" w:eastAsia="WenQuanYi Micro Hei" w:hAnsi="Times New Roman" w:cs="Times New Roman"/>
          <w:color w:val="00000A"/>
          <w:sz w:val="24"/>
          <w:szCs w:val="24"/>
          <w:lang w:eastAsia="zh-CN" w:bidi="hi-IN"/>
        </w:rPr>
        <w:t xml:space="preserve">  To illustrate this, the state of Ohio had about 32.4 GW generating capacity installed in 2013, of which about 18.8 GW and 9.5 GW was coal- and natural gas-fired, respectively.</w:t>
      </w:r>
      <w:r w:rsidRPr="000B73A3">
        <w:rPr>
          <w:rFonts w:ascii="Times New Roman" w:eastAsia="WenQuanYi Micro Hei" w:hAnsi="Times New Roman" w:cs="Times New Roman"/>
          <w:color w:val="00000A"/>
          <w:sz w:val="24"/>
          <w:szCs w:val="24"/>
          <w:vertAlign w:val="superscript"/>
          <w:lang w:eastAsia="zh-CN" w:bidi="hi-IN"/>
        </w:rPr>
        <w:footnoteReference w:id="621"/>
      </w:r>
      <w:r w:rsidRPr="000B73A3">
        <w:rPr>
          <w:rFonts w:ascii="Times New Roman" w:eastAsia="WenQuanYi Micro Hei" w:hAnsi="Times New Roman" w:cs="Times New Roman"/>
          <w:color w:val="00000A"/>
          <w:sz w:val="24"/>
          <w:szCs w:val="24"/>
          <w:lang w:eastAsia="zh-CN" w:bidi="hi-IN"/>
        </w:rPr>
        <w:t xml:space="preserve">  This means that 58</w:t>
      </w:r>
      <w:r w:rsidR="00C8404C">
        <w:rPr>
          <w:rFonts w:ascii="Times New Roman" w:eastAsia="WenQuanYi Micro Hei" w:hAnsi="Times New Roman" w:cs="Times New Roman"/>
          <w:color w:val="00000A"/>
          <w:sz w:val="24"/>
          <w:szCs w:val="24"/>
          <w:lang w:eastAsia="zh-CN" w:bidi="hi-IN"/>
        </w:rPr>
        <w:t xml:space="preserve"> percent</w:t>
      </w:r>
      <w:r w:rsidRPr="000B73A3">
        <w:rPr>
          <w:rFonts w:ascii="Times New Roman" w:eastAsia="WenQuanYi Micro Hei" w:hAnsi="Times New Roman" w:cs="Times New Roman"/>
          <w:color w:val="00000A"/>
          <w:sz w:val="24"/>
          <w:szCs w:val="24"/>
          <w:lang w:eastAsia="zh-CN" w:bidi="hi-IN"/>
        </w:rPr>
        <w:t xml:space="preserve"> and 29</w:t>
      </w:r>
      <w:r w:rsidR="00C8404C">
        <w:rPr>
          <w:rFonts w:ascii="Times New Roman" w:eastAsia="WenQuanYi Micro Hei" w:hAnsi="Times New Roman" w:cs="Times New Roman"/>
          <w:color w:val="00000A"/>
          <w:sz w:val="24"/>
          <w:szCs w:val="24"/>
          <w:lang w:eastAsia="zh-CN" w:bidi="hi-IN"/>
        </w:rPr>
        <w:t xml:space="preserve"> percent</w:t>
      </w:r>
      <w:r w:rsidRPr="000B73A3">
        <w:rPr>
          <w:rFonts w:ascii="Times New Roman" w:eastAsia="WenQuanYi Micro Hei" w:hAnsi="Times New Roman" w:cs="Times New Roman"/>
          <w:color w:val="00000A"/>
          <w:sz w:val="24"/>
          <w:szCs w:val="24"/>
          <w:lang w:eastAsia="zh-CN" w:bidi="hi-IN"/>
        </w:rPr>
        <w:t xml:space="preserve"> of the generation mix was coal-and natural gas-fired, respectively.</w:t>
      </w:r>
      <w:r w:rsidRPr="000B73A3">
        <w:rPr>
          <w:rStyle w:val="FootnoteReference"/>
          <w:rFonts w:ascii="Times New Roman" w:eastAsia="WenQuanYi Micro Hei" w:hAnsi="Times New Roman" w:cs="Times New Roman"/>
          <w:color w:val="00000A"/>
          <w:sz w:val="24"/>
          <w:szCs w:val="24"/>
          <w:lang w:eastAsia="zh-CN" w:bidi="hi-IN"/>
        </w:rPr>
        <w:footnoteReference w:id="622"/>
      </w:r>
      <w:r w:rsidRPr="000B73A3">
        <w:rPr>
          <w:rFonts w:ascii="Times New Roman" w:eastAsia="WenQuanYi Micro Hei" w:hAnsi="Times New Roman" w:cs="Times New Roman"/>
          <w:color w:val="00000A"/>
          <w:sz w:val="24"/>
          <w:szCs w:val="24"/>
          <w:lang w:eastAsia="zh-CN" w:bidi="hi-IN"/>
        </w:rPr>
        <w:t xml:space="preserve">  If the 2.7 GW of coal-fired capacity that AEPGR owns among the PPA Units were retired and replaced with natural gas-fired generation, the generation mix would change to 50</w:t>
      </w:r>
      <w:r w:rsidR="00C8404C">
        <w:rPr>
          <w:rFonts w:ascii="Times New Roman" w:eastAsia="WenQuanYi Micro Hei" w:hAnsi="Times New Roman" w:cs="Times New Roman"/>
          <w:color w:val="00000A"/>
          <w:sz w:val="24"/>
          <w:szCs w:val="24"/>
          <w:lang w:eastAsia="zh-CN" w:bidi="hi-IN"/>
        </w:rPr>
        <w:t xml:space="preserve"> percent</w:t>
      </w:r>
      <w:r w:rsidRPr="000B73A3">
        <w:rPr>
          <w:rFonts w:ascii="Times New Roman" w:eastAsia="WenQuanYi Micro Hei" w:hAnsi="Times New Roman" w:cs="Times New Roman"/>
          <w:color w:val="00000A"/>
          <w:sz w:val="24"/>
          <w:szCs w:val="24"/>
          <w:lang w:eastAsia="zh-CN" w:bidi="hi-IN"/>
        </w:rPr>
        <w:t xml:space="preserve"> and 38</w:t>
      </w:r>
      <w:r w:rsidR="00C8404C">
        <w:rPr>
          <w:rFonts w:ascii="Times New Roman" w:eastAsia="WenQuanYi Micro Hei" w:hAnsi="Times New Roman" w:cs="Times New Roman"/>
          <w:color w:val="00000A"/>
          <w:sz w:val="24"/>
          <w:szCs w:val="24"/>
          <w:lang w:eastAsia="zh-CN" w:bidi="hi-IN"/>
        </w:rPr>
        <w:t xml:space="preserve"> percent</w:t>
      </w:r>
      <w:r w:rsidRPr="000B73A3">
        <w:rPr>
          <w:rFonts w:ascii="Times New Roman" w:eastAsia="WenQuanYi Micro Hei" w:hAnsi="Times New Roman" w:cs="Times New Roman"/>
          <w:color w:val="00000A"/>
          <w:sz w:val="24"/>
          <w:szCs w:val="24"/>
          <w:lang w:eastAsia="zh-CN" w:bidi="hi-IN"/>
        </w:rPr>
        <w:t xml:space="preserve"> coal and natural gas-fired generation, respectively, which would be a </w:t>
      </w:r>
      <w:r w:rsidRPr="000B73A3">
        <w:rPr>
          <w:rFonts w:ascii="Times New Roman" w:eastAsia="WenQuanYi Micro Hei" w:hAnsi="Times New Roman" w:cs="Times New Roman"/>
          <w:i/>
          <w:color w:val="00000A"/>
          <w:sz w:val="24"/>
          <w:szCs w:val="24"/>
          <w:lang w:eastAsia="zh-CN" w:bidi="hi-IN"/>
        </w:rPr>
        <w:t>more</w:t>
      </w:r>
      <w:r w:rsidRPr="000B73A3">
        <w:rPr>
          <w:rFonts w:ascii="Times New Roman" w:eastAsia="WenQuanYi Micro Hei" w:hAnsi="Times New Roman" w:cs="Times New Roman"/>
          <w:color w:val="00000A"/>
          <w:sz w:val="24"/>
          <w:szCs w:val="24"/>
          <w:lang w:eastAsia="zh-CN" w:bidi="hi-IN"/>
        </w:rPr>
        <w:t xml:space="preserve"> </w:t>
      </w:r>
      <w:r w:rsidRPr="000B73A3">
        <w:rPr>
          <w:rFonts w:ascii="Times New Roman" w:eastAsia="WenQuanYi Micro Hei" w:hAnsi="Times New Roman" w:cs="Times New Roman"/>
          <w:i/>
          <w:color w:val="00000A"/>
          <w:sz w:val="24"/>
          <w:szCs w:val="24"/>
          <w:lang w:eastAsia="zh-CN" w:bidi="hi-IN"/>
        </w:rPr>
        <w:t>diverse</w:t>
      </w:r>
      <w:r w:rsidRPr="000B73A3">
        <w:rPr>
          <w:rFonts w:ascii="Times New Roman" w:eastAsia="WenQuanYi Micro Hei" w:hAnsi="Times New Roman" w:cs="Times New Roman"/>
          <w:color w:val="00000A"/>
          <w:sz w:val="24"/>
          <w:szCs w:val="24"/>
          <w:lang w:eastAsia="zh-CN" w:bidi="hi-IN"/>
        </w:rPr>
        <w:t xml:space="preserve"> generation mix.</w:t>
      </w:r>
      <w:r w:rsidRPr="000B73A3">
        <w:rPr>
          <w:rStyle w:val="FootnoteReference"/>
          <w:rFonts w:ascii="Times New Roman" w:eastAsia="WenQuanYi Micro Hei" w:hAnsi="Times New Roman" w:cs="Times New Roman"/>
          <w:color w:val="00000A"/>
          <w:sz w:val="24"/>
          <w:szCs w:val="24"/>
          <w:lang w:eastAsia="zh-CN" w:bidi="hi-IN"/>
        </w:rPr>
        <w:footnoteReference w:id="623"/>
      </w:r>
    </w:p>
    <w:p w:rsidR="008E507D" w:rsidRDefault="008E507D" w:rsidP="008E507D">
      <w:pPr>
        <w:widowControl w:val="0"/>
        <w:suppressAutoHyphens/>
        <w:spacing w:after="0" w:line="480" w:lineRule="auto"/>
        <w:ind w:firstLine="720"/>
        <w:rPr>
          <w:rFonts w:ascii="Times New Roman" w:eastAsia="WenQuanYi Micro Hei" w:hAnsi="Times New Roman" w:cs="Times New Roman"/>
          <w:color w:val="00000A"/>
          <w:sz w:val="24"/>
          <w:szCs w:val="24"/>
          <w:lang w:eastAsia="zh-CN" w:bidi="hi-IN"/>
        </w:rPr>
      </w:pPr>
      <w:r>
        <w:rPr>
          <w:rFonts w:ascii="Times New Roman" w:eastAsia="WenQuanYi Micro Hei" w:hAnsi="Times New Roman" w:cs="Times New Roman"/>
          <w:color w:val="00000A"/>
          <w:sz w:val="24"/>
          <w:szCs w:val="24"/>
          <w:lang w:eastAsia="zh-CN" w:bidi="hi-IN"/>
        </w:rPr>
        <w:t>AEP Ohio has failed to meet its burden of proof regarding the second factor from the PUCO’s ESP III Opinion and Order.</w:t>
      </w:r>
      <w:bookmarkStart w:id="140" w:name="_Toc435428243"/>
    </w:p>
    <w:p w:rsidR="000B73A3" w:rsidRDefault="00030E5A" w:rsidP="00C401CE">
      <w:pPr>
        <w:pStyle w:val="Heading4"/>
      </w:pPr>
      <w:bookmarkStart w:id="141" w:name="_Toc442104211"/>
      <w:r>
        <w:t>c.</w:t>
      </w:r>
      <w:r>
        <w:tab/>
      </w:r>
      <w:r w:rsidR="008A5D90" w:rsidRPr="008E507D">
        <w:t>AEP Ohio has not shown, and cannot show, environmental c</w:t>
      </w:r>
      <w:r w:rsidR="00AC3945" w:rsidRPr="008E507D">
        <w:t>ompliance</w:t>
      </w:r>
      <w:bookmarkEnd w:id="140"/>
      <w:r w:rsidR="00081CC7">
        <w:t>.</w:t>
      </w:r>
      <w:bookmarkEnd w:id="141"/>
    </w:p>
    <w:p w:rsidR="000B73A3" w:rsidRPr="000B73A3"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 xml:space="preserve">OCC Witness Jackson analyzed AEP Ohio’s </w:t>
      </w:r>
      <w:r w:rsidR="0035653D">
        <w:rPr>
          <w:rFonts w:ascii="Times New Roman" w:hAnsi="Times New Roman" w:cs="Times New Roman"/>
          <w:sz w:val="24"/>
          <w:szCs w:val="24"/>
        </w:rPr>
        <w:t>proposal</w:t>
      </w:r>
      <w:r w:rsidRPr="000B73A3">
        <w:rPr>
          <w:rFonts w:ascii="Times New Roman" w:hAnsi="Times New Roman" w:cs="Times New Roman"/>
          <w:sz w:val="24"/>
          <w:szCs w:val="24"/>
        </w:rPr>
        <w:t xml:space="preserve"> in light of the PUCO’s directive that AEP </w:t>
      </w:r>
      <w:r w:rsidR="00C413D7">
        <w:rPr>
          <w:rFonts w:ascii="Times New Roman" w:hAnsi="Times New Roman" w:cs="Times New Roman"/>
          <w:sz w:val="24"/>
          <w:szCs w:val="24"/>
        </w:rPr>
        <w:t xml:space="preserve">Ohio </w:t>
      </w:r>
      <w:r w:rsidR="00385852">
        <w:rPr>
          <w:rFonts w:ascii="Times New Roman" w:hAnsi="Times New Roman" w:cs="Times New Roman"/>
          <w:sz w:val="24"/>
          <w:szCs w:val="24"/>
        </w:rPr>
        <w:t>show</w:t>
      </w:r>
      <w:r w:rsidRPr="000B73A3">
        <w:rPr>
          <w:rFonts w:ascii="Times New Roman" w:hAnsi="Times New Roman" w:cs="Times New Roman"/>
          <w:sz w:val="24"/>
          <w:szCs w:val="24"/>
        </w:rPr>
        <w:t xml:space="preserve"> how the PPA Units are compliant with existing environmental regulations and its plan for complying with pending environmental regulations. </w:t>
      </w:r>
      <w:r w:rsidR="00ED18C7">
        <w:rPr>
          <w:rFonts w:ascii="Times New Roman" w:hAnsi="Times New Roman" w:cs="Times New Roman"/>
          <w:sz w:val="24"/>
          <w:szCs w:val="24"/>
        </w:rPr>
        <w:t xml:space="preserve"> </w:t>
      </w:r>
      <w:r w:rsidRPr="000B73A3">
        <w:rPr>
          <w:rFonts w:ascii="Times New Roman" w:hAnsi="Times New Roman" w:cs="Times New Roman"/>
          <w:sz w:val="24"/>
          <w:szCs w:val="24"/>
        </w:rPr>
        <w:t xml:space="preserve">She recommends that the PUCO </w:t>
      </w:r>
      <w:r w:rsidR="007F2EED">
        <w:rPr>
          <w:rFonts w:ascii="Times New Roman" w:hAnsi="Times New Roman" w:cs="Times New Roman"/>
          <w:sz w:val="24"/>
          <w:szCs w:val="24"/>
        </w:rPr>
        <w:t xml:space="preserve">deny </w:t>
      </w:r>
      <w:r w:rsidR="0035653D">
        <w:rPr>
          <w:rFonts w:ascii="Times New Roman" w:hAnsi="Times New Roman" w:cs="Times New Roman"/>
          <w:sz w:val="24"/>
          <w:szCs w:val="24"/>
        </w:rPr>
        <w:t>AEP Ohio’s proposal</w:t>
      </w:r>
      <w:r w:rsidRPr="000B73A3">
        <w:rPr>
          <w:rFonts w:ascii="Times New Roman" w:hAnsi="Times New Roman" w:cs="Times New Roman"/>
          <w:sz w:val="24"/>
          <w:szCs w:val="24"/>
        </w:rPr>
        <w:t xml:space="preserve"> and not allow the environmental risks to be passed on to AEP Ohio’s customers.</w:t>
      </w:r>
      <w:r w:rsidRPr="000B73A3">
        <w:rPr>
          <w:rStyle w:val="FootnoteReference"/>
          <w:rFonts w:ascii="Times New Roman" w:hAnsi="Times New Roman" w:cs="Times New Roman"/>
          <w:sz w:val="24"/>
          <w:szCs w:val="24"/>
        </w:rPr>
        <w:footnoteReference w:id="624"/>
      </w:r>
      <w:r w:rsidRPr="000B73A3">
        <w:rPr>
          <w:rFonts w:ascii="Times New Roman" w:hAnsi="Times New Roman" w:cs="Times New Roman"/>
          <w:sz w:val="24"/>
          <w:szCs w:val="24"/>
        </w:rPr>
        <w:t xml:space="preserve"> </w:t>
      </w:r>
      <w:r w:rsidR="00ED18C7">
        <w:rPr>
          <w:rFonts w:ascii="Times New Roman" w:hAnsi="Times New Roman" w:cs="Times New Roman"/>
          <w:sz w:val="24"/>
          <w:szCs w:val="24"/>
        </w:rPr>
        <w:t xml:space="preserve"> </w:t>
      </w:r>
      <w:r w:rsidR="00C413D7">
        <w:rPr>
          <w:rFonts w:ascii="Times New Roman" w:hAnsi="Times New Roman" w:cs="Times New Roman"/>
          <w:sz w:val="24"/>
          <w:szCs w:val="24"/>
        </w:rPr>
        <w:t>OCC</w:t>
      </w:r>
      <w:r w:rsidRPr="000B73A3">
        <w:rPr>
          <w:rFonts w:ascii="Times New Roman" w:hAnsi="Times New Roman" w:cs="Times New Roman"/>
          <w:sz w:val="24"/>
          <w:szCs w:val="24"/>
        </w:rPr>
        <w:t xml:space="preserve"> Witness Jackson explains that customers are likely to pay much more than what AEP Ohio has estimated for environmental compliance over the years 2015 through 2024.</w:t>
      </w:r>
      <w:r w:rsidRPr="000B73A3">
        <w:rPr>
          <w:rStyle w:val="FootnoteReference"/>
          <w:rFonts w:ascii="Times New Roman" w:hAnsi="Times New Roman" w:cs="Times New Roman"/>
          <w:sz w:val="24"/>
          <w:szCs w:val="24"/>
        </w:rPr>
        <w:footnoteReference w:id="625"/>
      </w:r>
      <w:r w:rsidR="00ED18C7">
        <w:rPr>
          <w:rFonts w:ascii="Times New Roman" w:hAnsi="Times New Roman" w:cs="Times New Roman"/>
          <w:sz w:val="24"/>
          <w:szCs w:val="24"/>
        </w:rPr>
        <w:t xml:space="preserve"> </w:t>
      </w:r>
      <w:r w:rsidRPr="000B73A3">
        <w:rPr>
          <w:rFonts w:ascii="Times New Roman" w:hAnsi="Times New Roman" w:cs="Times New Roman"/>
          <w:sz w:val="24"/>
          <w:szCs w:val="24"/>
        </w:rPr>
        <w:t xml:space="preserve"> AEP Ohio has only run compliance cost estimates through 2024 even though its proposal lasts until 2051.</w:t>
      </w:r>
      <w:r w:rsidRPr="000B73A3">
        <w:rPr>
          <w:rStyle w:val="FootnoteReference"/>
          <w:rFonts w:ascii="Times New Roman" w:hAnsi="Times New Roman" w:cs="Times New Roman"/>
          <w:sz w:val="24"/>
          <w:szCs w:val="24"/>
        </w:rPr>
        <w:footnoteReference w:id="626"/>
      </w:r>
    </w:p>
    <w:p w:rsidR="000B73A3" w:rsidRDefault="000B73A3" w:rsidP="000C6CFB">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OCC Witness Jackson pointed out that coal-fired generation, such as the PPA Units, produces significant amounts of air, water, and waste pollution.</w:t>
      </w:r>
      <w:r w:rsidRPr="000B73A3">
        <w:rPr>
          <w:rStyle w:val="FootnoteReference"/>
          <w:rFonts w:ascii="Times New Roman" w:hAnsi="Times New Roman" w:cs="Times New Roman"/>
          <w:sz w:val="24"/>
          <w:szCs w:val="24"/>
        </w:rPr>
        <w:footnoteReference w:id="627"/>
      </w:r>
      <w:r w:rsidRPr="000B73A3">
        <w:rPr>
          <w:rFonts w:ascii="Times New Roman" w:hAnsi="Times New Roman" w:cs="Times New Roman"/>
          <w:sz w:val="24"/>
          <w:szCs w:val="24"/>
        </w:rPr>
        <w:t xml:space="preserve">  Environmental regulations pose risks that will likely lead to higher costs for PPA Units in the future.</w:t>
      </w:r>
      <w:r w:rsidRPr="000B73A3">
        <w:rPr>
          <w:rStyle w:val="FootnoteReference"/>
          <w:rFonts w:ascii="Times New Roman" w:hAnsi="Times New Roman" w:cs="Times New Roman"/>
          <w:sz w:val="24"/>
          <w:szCs w:val="24"/>
        </w:rPr>
        <w:footnoteReference w:id="628"/>
      </w:r>
      <w:r w:rsidRPr="000B73A3">
        <w:rPr>
          <w:rFonts w:ascii="Times New Roman" w:hAnsi="Times New Roman" w:cs="Times New Roman"/>
          <w:sz w:val="24"/>
          <w:szCs w:val="24"/>
        </w:rPr>
        <w:t xml:space="preserve">  She emphasized that although most of the PPA Units are currently fairly well-controlled from a criteria air pollutant standpoint, </w:t>
      </w:r>
      <w:r w:rsidR="00C413D7">
        <w:rPr>
          <w:rFonts w:ascii="Times New Roman" w:hAnsi="Times New Roman" w:cs="Times New Roman"/>
          <w:sz w:val="24"/>
          <w:szCs w:val="24"/>
        </w:rPr>
        <w:t xml:space="preserve">the </w:t>
      </w:r>
      <w:r w:rsidRPr="000B73A3">
        <w:rPr>
          <w:rFonts w:ascii="Times New Roman" w:hAnsi="Times New Roman" w:cs="Times New Roman"/>
          <w:sz w:val="24"/>
          <w:szCs w:val="24"/>
        </w:rPr>
        <w:t>PPA Units will be impacted by increasingly stringent environmental controls over the life of the PPAs and PPA Rider.</w:t>
      </w:r>
      <w:r w:rsidRPr="000B73A3">
        <w:rPr>
          <w:rStyle w:val="FootnoteReference"/>
          <w:rFonts w:ascii="Times New Roman" w:hAnsi="Times New Roman" w:cs="Times New Roman"/>
          <w:sz w:val="24"/>
          <w:szCs w:val="24"/>
        </w:rPr>
        <w:footnoteReference w:id="629"/>
      </w:r>
      <w:r w:rsidRPr="000B73A3">
        <w:rPr>
          <w:rFonts w:ascii="Times New Roman" w:hAnsi="Times New Roman" w:cs="Times New Roman"/>
          <w:sz w:val="24"/>
          <w:szCs w:val="24"/>
        </w:rPr>
        <w:t xml:space="preserve">  OCC Witness Jackson specifically cited the following regulations that will create more stringent environmental standards for coal powered generators to comply with: </w:t>
      </w:r>
      <w:r w:rsidR="00ED18C7">
        <w:rPr>
          <w:rFonts w:ascii="Times New Roman" w:hAnsi="Times New Roman" w:cs="Times New Roman"/>
          <w:sz w:val="24"/>
          <w:szCs w:val="24"/>
        </w:rPr>
        <w:t xml:space="preserve"> </w:t>
      </w:r>
      <w:r w:rsidRPr="000B73A3">
        <w:rPr>
          <w:rFonts w:ascii="Times New Roman" w:hAnsi="Times New Roman" w:cs="Times New Roman"/>
          <w:sz w:val="24"/>
          <w:szCs w:val="24"/>
        </w:rPr>
        <w:t>Mercury and Air Toxics Standard (MATS), Effluent Limitations Guidelines and Standards (ELG), Disposal of coal Combustion Residuals (CCR), section 316(b) Cooling Water Intake Structures at Existing Facilities ruled (316b), National Ambient Air Quality Standards (NAAQS) for ozone and sulfur dioxide, and the Cross State Air Pollution Rule (CSAPR).</w:t>
      </w:r>
      <w:r w:rsidRPr="000B73A3">
        <w:rPr>
          <w:rStyle w:val="FootnoteReference"/>
          <w:rFonts w:ascii="Times New Roman" w:hAnsi="Times New Roman" w:cs="Times New Roman"/>
          <w:sz w:val="24"/>
          <w:szCs w:val="24"/>
        </w:rPr>
        <w:footnoteReference w:id="630"/>
      </w:r>
      <w:r w:rsidRPr="000B73A3">
        <w:rPr>
          <w:rFonts w:ascii="Times New Roman" w:hAnsi="Times New Roman" w:cs="Times New Roman"/>
          <w:sz w:val="24"/>
          <w:szCs w:val="24"/>
        </w:rPr>
        <w:t xml:space="preserve"> </w:t>
      </w:r>
    </w:p>
    <w:p w:rsidR="00B61DCF" w:rsidRPr="006E7EDA" w:rsidRDefault="008A5D90" w:rsidP="00316B0F">
      <w:pPr>
        <w:pStyle w:val="Heading5"/>
        <w:numPr>
          <w:ilvl w:val="0"/>
          <w:numId w:val="6"/>
        </w:numPr>
      </w:pPr>
      <w:bookmarkStart w:id="142" w:name="_Toc435428244"/>
      <w:bookmarkStart w:id="143" w:name="_Toc442104212"/>
      <w:r>
        <w:t>AEP Ohio’s consideration of 316(b), C</w:t>
      </w:r>
      <w:r w:rsidR="005C179C">
        <w:t xml:space="preserve">oal </w:t>
      </w:r>
      <w:r>
        <w:t>C</w:t>
      </w:r>
      <w:r w:rsidR="005C179C">
        <w:t xml:space="preserve">ombustion </w:t>
      </w:r>
      <w:r>
        <w:t>R</w:t>
      </w:r>
      <w:r w:rsidR="005C179C">
        <w:t>esiduals</w:t>
      </w:r>
      <w:r>
        <w:t>, and E</w:t>
      </w:r>
      <w:r w:rsidR="005C179C">
        <w:t xml:space="preserve">ffluent </w:t>
      </w:r>
      <w:r>
        <w:t>L</w:t>
      </w:r>
      <w:r w:rsidR="005C179C">
        <w:t>imitations Guidelines</w:t>
      </w:r>
      <w:r>
        <w:t xml:space="preserve"> is inadequate, incomplete, and i</w:t>
      </w:r>
      <w:r w:rsidR="00B61DCF" w:rsidRPr="008F79C9">
        <w:t>nsufficient</w:t>
      </w:r>
      <w:bookmarkEnd w:id="142"/>
      <w:r w:rsidR="00030E5A">
        <w:t>.</w:t>
      </w:r>
      <w:bookmarkEnd w:id="143"/>
    </w:p>
    <w:p w:rsidR="000B73A3" w:rsidRPr="000B73A3"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AEP Ohio provided cost estimates relating to compliance with the 316(b) rule, the CCR rule, and the ELG rule.</w:t>
      </w:r>
      <w:r w:rsidRPr="000B73A3">
        <w:rPr>
          <w:rStyle w:val="FootnoteReference"/>
          <w:rFonts w:ascii="Times New Roman" w:hAnsi="Times New Roman" w:cs="Times New Roman"/>
          <w:sz w:val="24"/>
          <w:szCs w:val="24"/>
        </w:rPr>
        <w:footnoteReference w:id="631"/>
      </w:r>
      <w:r w:rsidRPr="000B73A3">
        <w:rPr>
          <w:rFonts w:ascii="Times New Roman" w:hAnsi="Times New Roman" w:cs="Times New Roman"/>
          <w:sz w:val="24"/>
          <w:szCs w:val="24"/>
        </w:rPr>
        <w:t xml:space="preserve"> </w:t>
      </w:r>
      <w:r w:rsidR="00ED18C7">
        <w:rPr>
          <w:rFonts w:ascii="Times New Roman" w:hAnsi="Times New Roman" w:cs="Times New Roman"/>
          <w:sz w:val="24"/>
          <w:szCs w:val="24"/>
        </w:rPr>
        <w:t xml:space="preserve"> </w:t>
      </w:r>
      <w:r w:rsidRPr="000B73A3">
        <w:rPr>
          <w:rFonts w:ascii="Times New Roman" w:hAnsi="Times New Roman" w:cs="Times New Roman"/>
          <w:sz w:val="24"/>
          <w:szCs w:val="24"/>
        </w:rPr>
        <w:t xml:space="preserve">AEP Ohio assumes that no new cooling towers </w:t>
      </w:r>
      <w:r w:rsidR="00445BA1">
        <w:rPr>
          <w:rFonts w:ascii="Times New Roman" w:hAnsi="Times New Roman" w:cs="Times New Roman"/>
          <w:sz w:val="24"/>
          <w:szCs w:val="24"/>
        </w:rPr>
        <w:t>will</w:t>
      </w:r>
      <w:r w:rsidRPr="000B73A3">
        <w:rPr>
          <w:rFonts w:ascii="Times New Roman" w:hAnsi="Times New Roman" w:cs="Times New Roman"/>
          <w:sz w:val="24"/>
          <w:szCs w:val="24"/>
        </w:rPr>
        <w:t xml:space="preserve"> be required on any of the </w:t>
      </w:r>
      <w:r w:rsidR="00C8404C">
        <w:rPr>
          <w:rFonts w:ascii="Times New Roman" w:hAnsi="Times New Roman" w:cs="Times New Roman"/>
          <w:sz w:val="24"/>
          <w:szCs w:val="24"/>
        </w:rPr>
        <w:t>15</w:t>
      </w:r>
      <w:r w:rsidRPr="000B73A3">
        <w:rPr>
          <w:rFonts w:ascii="Times New Roman" w:hAnsi="Times New Roman" w:cs="Times New Roman"/>
          <w:sz w:val="24"/>
          <w:szCs w:val="24"/>
        </w:rPr>
        <w:t xml:space="preserve"> units involved in the Amended Application</w:t>
      </w:r>
      <w:r w:rsidR="007F2EED">
        <w:rPr>
          <w:rFonts w:ascii="Times New Roman" w:hAnsi="Times New Roman" w:cs="Times New Roman"/>
          <w:sz w:val="24"/>
          <w:szCs w:val="24"/>
        </w:rPr>
        <w:t>/Modified Amended Application</w:t>
      </w:r>
      <w:r w:rsidRPr="000B73A3">
        <w:rPr>
          <w:rFonts w:ascii="Times New Roman" w:hAnsi="Times New Roman" w:cs="Times New Roman"/>
          <w:sz w:val="24"/>
          <w:szCs w:val="24"/>
        </w:rPr>
        <w:t xml:space="preserve"> that currently have once-through cooling.</w:t>
      </w:r>
      <w:r w:rsidRPr="000B73A3">
        <w:rPr>
          <w:rStyle w:val="FootnoteReference"/>
          <w:rFonts w:ascii="Times New Roman" w:hAnsi="Times New Roman" w:cs="Times New Roman"/>
          <w:sz w:val="24"/>
          <w:szCs w:val="24"/>
        </w:rPr>
        <w:footnoteReference w:id="632"/>
      </w:r>
      <w:r w:rsidRPr="000B73A3">
        <w:rPr>
          <w:rFonts w:ascii="Times New Roman" w:hAnsi="Times New Roman" w:cs="Times New Roman"/>
          <w:sz w:val="24"/>
          <w:szCs w:val="24"/>
        </w:rPr>
        <w:t xml:space="preserve"> </w:t>
      </w:r>
      <w:r w:rsidR="002B7ED7">
        <w:rPr>
          <w:rFonts w:ascii="Times New Roman" w:hAnsi="Times New Roman" w:cs="Times New Roman"/>
          <w:sz w:val="24"/>
          <w:szCs w:val="24"/>
        </w:rPr>
        <w:t xml:space="preserve">Having to install cooling towers is a reasonable possibility, and </w:t>
      </w:r>
      <w:r w:rsidRPr="000B73A3">
        <w:rPr>
          <w:rFonts w:ascii="Times New Roman" w:hAnsi="Times New Roman" w:cs="Times New Roman"/>
          <w:sz w:val="24"/>
          <w:szCs w:val="24"/>
        </w:rPr>
        <w:t xml:space="preserve">OCC Witness Jackson estimates that the total cost for cooling towers on all fifteen units could </w:t>
      </w:r>
      <w:r w:rsidR="00873919">
        <w:rPr>
          <w:rFonts w:ascii="Times New Roman" w:hAnsi="Times New Roman" w:cs="Times New Roman"/>
          <w:sz w:val="24"/>
          <w:szCs w:val="24"/>
        </w:rPr>
        <w:t>be</w:t>
      </w:r>
      <w:r w:rsidRPr="000B73A3">
        <w:rPr>
          <w:rFonts w:ascii="Times New Roman" w:hAnsi="Times New Roman" w:cs="Times New Roman"/>
          <w:sz w:val="24"/>
          <w:szCs w:val="24"/>
        </w:rPr>
        <w:t xml:space="preserve"> nearly $900 million.</w:t>
      </w:r>
      <w:r w:rsidRPr="000B73A3">
        <w:rPr>
          <w:rStyle w:val="FootnoteReference"/>
          <w:rFonts w:ascii="Times New Roman" w:hAnsi="Times New Roman" w:cs="Times New Roman"/>
          <w:sz w:val="24"/>
          <w:szCs w:val="24"/>
        </w:rPr>
        <w:footnoteReference w:id="633"/>
      </w:r>
      <w:r w:rsidRPr="000B73A3">
        <w:rPr>
          <w:rFonts w:ascii="Times New Roman" w:hAnsi="Times New Roman" w:cs="Times New Roman"/>
          <w:sz w:val="24"/>
          <w:szCs w:val="24"/>
        </w:rPr>
        <w:t xml:space="preserve"> AEP Ohio does not account for the potentiality of incurring such costs, but it should have.</w:t>
      </w:r>
      <w:r w:rsidRPr="000B73A3">
        <w:rPr>
          <w:rStyle w:val="FootnoteReference"/>
          <w:rFonts w:ascii="Times New Roman" w:hAnsi="Times New Roman" w:cs="Times New Roman"/>
          <w:sz w:val="24"/>
          <w:szCs w:val="24"/>
        </w:rPr>
        <w:footnoteReference w:id="634"/>
      </w:r>
      <w:r w:rsidRPr="000B73A3">
        <w:rPr>
          <w:rFonts w:ascii="Times New Roman" w:hAnsi="Times New Roman" w:cs="Times New Roman"/>
          <w:sz w:val="24"/>
          <w:szCs w:val="24"/>
        </w:rPr>
        <w:t xml:space="preserve"> </w:t>
      </w:r>
    </w:p>
    <w:p w:rsidR="000B73A3" w:rsidRPr="000B73A3"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 xml:space="preserve">The CCR rule covers requirements relating to converting wet ash into dry ash handling. </w:t>
      </w:r>
      <w:r w:rsidR="00ED18C7">
        <w:rPr>
          <w:rFonts w:ascii="Times New Roman" w:hAnsi="Times New Roman" w:cs="Times New Roman"/>
          <w:sz w:val="24"/>
          <w:szCs w:val="24"/>
        </w:rPr>
        <w:t xml:space="preserve"> </w:t>
      </w:r>
      <w:r w:rsidRPr="000B73A3">
        <w:rPr>
          <w:rFonts w:ascii="Times New Roman" w:hAnsi="Times New Roman" w:cs="Times New Roman"/>
          <w:sz w:val="24"/>
          <w:szCs w:val="24"/>
        </w:rPr>
        <w:t>Although AEP Ohio included costs for convertin</w:t>
      </w:r>
      <w:r w:rsidR="00723D8A">
        <w:rPr>
          <w:rFonts w:ascii="Times New Roman" w:hAnsi="Times New Roman" w:cs="Times New Roman"/>
          <w:sz w:val="24"/>
          <w:szCs w:val="24"/>
        </w:rPr>
        <w:t>g to dry ash handling in its 10-</w:t>
      </w:r>
      <w:r w:rsidRPr="000B73A3">
        <w:rPr>
          <w:rFonts w:ascii="Times New Roman" w:hAnsi="Times New Roman" w:cs="Times New Roman"/>
          <w:sz w:val="24"/>
          <w:szCs w:val="24"/>
        </w:rPr>
        <w:t>year forecast, it is still analyzing other potentially necessary modifications to the PPA Units’ surface impoundments.</w:t>
      </w:r>
      <w:r w:rsidRPr="000B73A3">
        <w:rPr>
          <w:rStyle w:val="FootnoteReference"/>
          <w:rFonts w:ascii="Times New Roman" w:hAnsi="Times New Roman" w:cs="Times New Roman"/>
          <w:sz w:val="24"/>
          <w:szCs w:val="24"/>
        </w:rPr>
        <w:footnoteReference w:id="635"/>
      </w:r>
      <w:r w:rsidRPr="000B73A3">
        <w:rPr>
          <w:rFonts w:ascii="Times New Roman" w:hAnsi="Times New Roman" w:cs="Times New Roman"/>
          <w:sz w:val="24"/>
          <w:szCs w:val="24"/>
        </w:rPr>
        <w:t xml:space="preserve">  If additional modifications are necessary, spending on complying with </w:t>
      </w:r>
      <w:r w:rsidR="008E507D">
        <w:rPr>
          <w:rFonts w:ascii="Times New Roman" w:hAnsi="Times New Roman" w:cs="Times New Roman"/>
          <w:sz w:val="24"/>
          <w:szCs w:val="24"/>
        </w:rPr>
        <w:t>the CCR rule would increase –</w:t>
      </w:r>
      <w:r w:rsidRPr="000B73A3">
        <w:rPr>
          <w:rFonts w:ascii="Times New Roman" w:hAnsi="Times New Roman" w:cs="Times New Roman"/>
          <w:sz w:val="24"/>
          <w:szCs w:val="24"/>
        </w:rPr>
        <w:t xml:space="preserve"> AEP Ohio has not accounted for that potentiality.</w:t>
      </w:r>
      <w:r w:rsidRPr="000B73A3">
        <w:rPr>
          <w:rStyle w:val="FootnoteReference"/>
          <w:rFonts w:ascii="Times New Roman" w:hAnsi="Times New Roman" w:cs="Times New Roman"/>
          <w:sz w:val="24"/>
          <w:szCs w:val="24"/>
        </w:rPr>
        <w:footnoteReference w:id="636"/>
      </w:r>
      <w:r w:rsidRPr="000B73A3">
        <w:rPr>
          <w:rFonts w:ascii="Times New Roman" w:hAnsi="Times New Roman" w:cs="Times New Roman"/>
          <w:sz w:val="24"/>
          <w:szCs w:val="24"/>
        </w:rPr>
        <w:t xml:space="preserve">  AEP Ohio also included costs for certain projects to comply with the pending ELG rule.</w:t>
      </w:r>
      <w:r w:rsidRPr="000B73A3">
        <w:rPr>
          <w:rStyle w:val="FootnoteReference"/>
          <w:rFonts w:ascii="Times New Roman" w:hAnsi="Times New Roman" w:cs="Times New Roman"/>
          <w:sz w:val="24"/>
          <w:szCs w:val="24"/>
        </w:rPr>
        <w:footnoteReference w:id="637"/>
      </w:r>
      <w:r w:rsidRPr="000B73A3">
        <w:rPr>
          <w:rFonts w:ascii="Times New Roman" w:hAnsi="Times New Roman" w:cs="Times New Roman"/>
          <w:sz w:val="24"/>
          <w:szCs w:val="24"/>
        </w:rPr>
        <w:t xml:space="preserve">  If the final rule is more stringent than what AEP Ohio is anticipating, there will be more costs that customers must pay.</w:t>
      </w:r>
      <w:r w:rsidRPr="000B73A3">
        <w:rPr>
          <w:rStyle w:val="FootnoteReference"/>
          <w:rFonts w:ascii="Times New Roman" w:hAnsi="Times New Roman" w:cs="Times New Roman"/>
          <w:sz w:val="24"/>
          <w:szCs w:val="24"/>
        </w:rPr>
        <w:footnoteReference w:id="638"/>
      </w:r>
      <w:r w:rsidRPr="000B73A3">
        <w:rPr>
          <w:rFonts w:ascii="Times New Roman" w:hAnsi="Times New Roman" w:cs="Times New Roman"/>
          <w:sz w:val="24"/>
          <w:szCs w:val="24"/>
        </w:rPr>
        <w:t xml:space="preserve"> </w:t>
      </w:r>
    </w:p>
    <w:p w:rsidR="000B73A3"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OCC Witness Jackson stresses that it is likely that the CCR and ELG rules will become more str</w:t>
      </w:r>
      <w:r w:rsidR="002B7ED7">
        <w:rPr>
          <w:rFonts w:ascii="Times New Roman" w:hAnsi="Times New Roman" w:cs="Times New Roman"/>
          <w:sz w:val="24"/>
          <w:szCs w:val="24"/>
        </w:rPr>
        <w:t>ingent and compliance more costly</w:t>
      </w:r>
      <w:r w:rsidRPr="000B73A3">
        <w:rPr>
          <w:rFonts w:ascii="Times New Roman" w:hAnsi="Times New Roman" w:cs="Times New Roman"/>
          <w:sz w:val="24"/>
          <w:szCs w:val="24"/>
        </w:rPr>
        <w:t>.</w:t>
      </w:r>
      <w:r w:rsidRPr="000B73A3">
        <w:rPr>
          <w:rStyle w:val="FootnoteReference"/>
          <w:rFonts w:ascii="Times New Roman" w:hAnsi="Times New Roman" w:cs="Times New Roman"/>
          <w:sz w:val="24"/>
          <w:szCs w:val="24"/>
        </w:rPr>
        <w:footnoteReference w:id="639"/>
      </w:r>
      <w:r w:rsidRPr="000B73A3">
        <w:rPr>
          <w:rFonts w:ascii="Times New Roman" w:hAnsi="Times New Roman" w:cs="Times New Roman"/>
          <w:sz w:val="24"/>
          <w:szCs w:val="24"/>
        </w:rPr>
        <w:t xml:space="preserve">  An example of the more stringent regulations that are likely to become a reality during AEP Ohio’s proposal is that coal waste could be reclassified as a hazardous material, as was initially </w:t>
      </w:r>
      <w:r w:rsidR="002B7ED7">
        <w:rPr>
          <w:rFonts w:ascii="Times New Roman" w:hAnsi="Times New Roman" w:cs="Times New Roman"/>
          <w:sz w:val="24"/>
          <w:szCs w:val="24"/>
        </w:rPr>
        <w:t>put forward</w:t>
      </w:r>
      <w:r w:rsidRPr="000B73A3">
        <w:rPr>
          <w:rFonts w:ascii="Times New Roman" w:hAnsi="Times New Roman" w:cs="Times New Roman"/>
          <w:sz w:val="24"/>
          <w:szCs w:val="24"/>
        </w:rPr>
        <w:t xml:space="preserve"> under the proposed CCR rule.</w:t>
      </w:r>
      <w:r w:rsidRPr="000B73A3">
        <w:rPr>
          <w:rStyle w:val="FootnoteReference"/>
          <w:rFonts w:ascii="Times New Roman" w:hAnsi="Times New Roman" w:cs="Times New Roman"/>
          <w:sz w:val="24"/>
          <w:szCs w:val="24"/>
        </w:rPr>
        <w:footnoteReference w:id="640"/>
      </w:r>
      <w:r w:rsidRPr="000B73A3">
        <w:rPr>
          <w:rFonts w:ascii="Times New Roman" w:hAnsi="Times New Roman" w:cs="Times New Roman"/>
          <w:sz w:val="24"/>
          <w:szCs w:val="24"/>
        </w:rPr>
        <w:t xml:space="preserve"> </w:t>
      </w:r>
      <w:r w:rsidR="00ED18C7">
        <w:rPr>
          <w:rFonts w:ascii="Times New Roman" w:hAnsi="Times New Roman" w:cs="Times New Roman"/>
          <w:sz w:val="24"/>
          <w:szCs w:val="24"/>
        </w:rPr>
        <w:t xml:space="preserve"> </w:t>
      </w:r>
      <w:r w:rsidRPr="000B73A3">
        <w:rPr>
          <w:rFonts w:ascii="Times New Roman" w:hAnsi="Times New Roman" w:cs="Times New Roman"/>
          <w:sz w:val="24"/>
          <w:szCs w:val="24"/>
        </w:rPr>
        <w:t>Associated compliance costs are not included in AEP Ohio’s cost estimates but any such costs will be paid by customers.</w:t>
      </w:r>
      <w:r w:rsidRPr="000B73A3">
        <w:rPr>
          <w:rStyle w:val="FootnoteReference"/>
          <w:rFonts w:ascii="Times New Roman" w:hAnsi="Times New Roman" w:cs="Times New Roman"/>
          <w:sz w:val="24"/>
          <w:szCs w:val="24"/>
        </w:rPr>
        <w:footnoteReference w:id="641"/>
      </w:r>
    </w:p>
    <w:p w:rsidR="00B61DCF" w:rsidRPr="008F79C9" w:rsidRDefault="008A5D90" w:rsidP="00316B0F">
      <w:pPr>
        <w:pStyle w:val="Heading5"/>
        <w:numPr>
          <w:ilvl w:val="0"/>
          <w:numId w:val="6"/>
        </w:numPr>
      </w:pPr>
      <w:bookmarkStart w:id="144" w:name="_Toc435428245"/>
      <w:bookmarkStart w:id="145" w:name="_Toc442104213"/>
      <w:r>
        <w:t>AEP Ohio’s consideration of N</w:t>
      </w:r>
      <w:r w:rsidR="005C179C">
        <w:t xml:space="preserve">ational </w:t>
      </w:r>
      <w:r>
        <w:t>A</w:t>
      </w:r>
      <w:r w:rsidR="005C179C">
        <w:t xml:space="preserve">mbient </w:t>
      </w:r>
      <w:r>
        <w:t>A</w:t>
      </w:r>
      <w:r w:rsidR="005C179C">
        <w:t xml:space="preserve">ir </w:t>
      </w:r>
      <w:r>
        <w:t>Q</w:t>
      </w:r>
      <w:r w:rsidR="005C179C">
        <w:t xml:space="preserve">uality </w:t>
      </w:r>
      <w:r>
        <w:t>S</w:t>
      </w:r>
      <w:r w:rsidR="005C179C">
        <w:t>tandards</w:t>
      </w:r>
      <w:r>
        <w:t xml:space="preserve"> and C</w:t>
      </w:r>
      <w:r w:rsidR="005C179C">
        <w:t xml:space="preserve">ross </w:t>
      </w:r>
      <w:r>
        <w:t>S</w:t>
      </w:r>
      <w:r w:rsidR="005C179C">
        <w:t xml:space="preserve">tate </w:t>
      </w:r>
      <w:r>
        <w:t>A</w:t>
      </w:r>
      <w:r w:rsidR="005C179C">
        <w:t xml:space="preserve">ir </w:t>
      </w:r>
      <w:r>
        <w:t>P</w:t>
      </w:r>
      <w:r w:rsidR="005C179C">
        <w:t xml:space="preserve">ollution </w:t>
      </w:r>
      <w:r>
        <w:t>R</w:t>
      </w:r>
      <w:r w:rsidR="005C179C">
        <w:t>ule</w:t>
      </w:r>
      <w:r>
        <w:t xml:space="preserve"> is inadequate, incomplete, and </w:t>
      </w:r>
      <w:bookmarkEnd w:id="144"/>
      <w:r w:rsidR="004220F9">
        <w:t>i</w:t>
      </w:r>
      <w:r w:rsidR="004220F9" w:rsidRPr="008F79C9">
        <w:t>nsufficient</w:t>
      </w:r>
      <w:r w:rsidR="00030E5A">
        <w:t>.</w:t>
      </w:r>
      <w:bookmarkEnd w:id="145"/>
    </w:p>
    <w:p w:rsidR="00B61DCF"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 xml:space="preserve">NAAQS are an additional environmental hurdle that the PPA Units will have to clear in the near future. </w:t>
      </w:r>
      <w:r w:rsidR="00ED18C7">
        <w:rPr>
          <w:rFonts w:ascii="Times New Roman" w:hAnsi="Times New Roman" w:cs="Times New Roman"/>
          <w:sz w:val="24"/>
          <w:szCs w:val="24"/>
        </w:rPr>
        <w:t xml:space="preserve"> </w:t>
      </w:r>
      <w:r w:rsidRPr="000B73A3">
        <w:rPr>
          <w:rFonts w:ascii="Times New Roman" w:hAnsi="Times New Roman" w:cs="Times New Roman"/>
          <w:sz w:val="24"/>
          <w:szCs w:val="24"/>
        </w:rPr>
        <w:t>These regulations establish air quality limitation that must be met nationwide.  OCC Witness Jackson pointed out that “several counties in Ohio and Indiana [where the PPA Units are located or in the vicinity] are not meeting the current 2008 ozone standard of 75ppb, and it appears likely that additional areas in these states will be designated as non-attainment for the new, more stringent standard when it is finalized.”</w:t>
      </w:r>
      <w:r w:rsidRPr="000B73A3">
        <w:rPr>
          <w:rStyle w:val="FootnoteReference"/>
          <w:rFonts w:ascii="Times New Roman" w:hAnsi="Times New Roman" w:cs="Times New Roman"/>
          <w:sz w:val="24"/>
          <w:szCs w:val="24"/>
        </w:rPr>
        <w:footnoteReference w:id="642"/>
      </w:r>
      <w:r w:rsidRPr="000B73A3">
        <w:rPr>
          <w:rFonts w:ascii="Times New Roman" w:hAnsi="Times New Roman" w:cs="Times New Roman"/>
          <w:sz w:val="24"/>
          <w:szCs w:val="24"/>
        </w:rPr>
        <w:t xml:space="preserve"> Clermont County, where Zimmer is located, is at 79 ppb and exceeding the 75 ppb</w:t>
      </w:r>
      <w:r w:rsidR="00723D8A">
        <w:rPr>
          <w:rFonts w:ascii="Times New Roman" w:hAnsi="Times New Roman" w:cs="Times New Roman"/>
          <w:sz w:val="24"/>
          <w:szCs w:val="24"/>
        </w:rPr>
        <w:t xml:space="preserve"> standard</w:t>
      </w:r>
      <w:r w:rsidRPr="000B73A3">
        <w:rPr>
          <w:rFonts w:ascii="Times New Roman" w:hAnsi="Times New Roman" w:cs="Times New Roman"/>
          <w:sz w:val="24"/>
          <w:szCs w:val="24"/>
        </w:rPr>
        <w:t>.</w:t>
      </w:r>
      <w:r w:rsidRPr="000B73A3">
        <w:rPr>
          <w:rStyle w:val="FootnoteReference"/>
          <w:rFonts w:ascii="Times New Roman" w:hAnsi="Times New Roman" w:cs="Times New Roman"/>
          <w:sz w:val="24"/>
          <w:szCs w:val="24"/>
        </w:rPr>
        <w:footnoteReference w:id="643"/>
      </w:r>
      <w:r w:rsidRPr="000B73A3">
        <w:rPr>
          <w:rFonts w:ascii="Times New Roman" w:hAnsi="Times New Roman" w:cs="Times New Roman"/>
          <w:sz w:val="24"/>
          <w:szCs w:val="24"/>
        </w:rPr>
        <w:t xml:space="preserve"> The counties that border the Stuart plant all exceed the 2008 8-hour ozone standard.</w:t>
      </w:r>
      <w:r w:rsidRPr="000B73A3">
        <w:rPr>
          <w:rStyle w:val="FootnoteReference"/>
          <w:rFonts w:ascii="Times New Roman" w:hAnsi="Times New Roman" w:cs="Times New Roman"/>
          <w:sz w:val="24"/>
          <w:szCs w:val="24"/>
        </w:rPr>
        <w:footnoteReference w:id="644"/>
      </w:r>
      <w:r w:rsidRPr="000B73A3">
        <w:rPr>
          <w:rFonts w:ascii="Times New Roman" w:hAnsi="Times New Roman" w:cs="Times New Roman"/>
          <w:sz w:val="24"/>
          <w:szCs w:val="24"/>
        </w:rPr>
        <w:t xml:space="preserve"> The county that borders the Clifty Creek plant exceeds the 75 ppb standard also, based upon 2011-2013 monitoring data.</w:t>
      </w:r>
      <w:r w:rsidRPr="000B73A3">
        <w:rPr>
          <w:rStyle w:val="FootnoteReference"/>
          <w:rFonts w:ascii="Times New Roman" w:hAnsi="Times New Roman" w:cs="Times New Roman"/>
          <w:sz w:val="24"/>
          <w:szCs w:val="24"/>
        </w:rPr>
        <w:footnoteReference w:id="645"/>
      </w:r>
      <w:r w:rsidRPr="000B73A3">
        <w:rPr>
          <w:rFonts w:ascii="Times New Roman" w:hAnsi="Times New Roman" w:cs="Times New Roman"/>
          <w:sz w:val="24"/>
          <w:szCs w:val="24"/>
        </w:rPr>
        <w:t xml:space="preserve">  </w:t>
      </w:r>
    </w:p>
    <w:p w:rsidR="00314C57" w:rsidRDefault="00C8404C" w:rsidP="00A574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Because</w:t>
      </w:r>
      <w:r w:rsidR="000B73A3" w:rsidRPr="000B73A3">
        <w:rPr>
          <w:rFonts w:ascii="Times New Roman" w:hAnsi="Times New Roman" w:cs="Times New Roman"/>
          <w:sz w:val="24"/>
          <w:szCs w:val="24"/>
        </w:rPr>
        <w:t xml:space="preserve"> coal-fired generating units contribute disproportionately to emissions of NOx, and are effectively controlled with post-combustion controls, it is not unlikely that environmental enforcement authorities will require rigorous NOx controls or operational limits</w:t>
      </w:r>
      <w:r w:rsidR="002B7ED7">
        <w:rPr>
          <w:rFonts w:ascii="Times New Roman" w:hAnsi="Times New Roman" w:cs="Times New Roman"/>
          <w:sz w:val="24"/>
          <w:szCs w:val="24"/>
        </w:rPr>
        <w:t xml:space="preserve"> on the PPA Units</w:t>
      </w:r>
      <w:r w:rsidR="000B73A3" w:rsidRPr="000B73A3">
        <w:rPr>
          <w:rFonts w:ascii="Times New Roman" w:hAnsi="Times New Roman" w:cs="Times New Roman"/>
          <w:sz w:val="24"/>
          <w:szCs w:val="24"/>
        </w:rPr>
        <w:t>.</w:t>
      </w:r>
      <w:r w:rsidR="000B73A3" w:rsidRPr="000B73A3">
        <w:rPr>
          <w:rStyle w:val="FootnoteReference"/>
          <w:rFonts w:ascii="Times New Roman" w:hAnsi="Times New Roman" w:cs="Times New Roman"/>
          <w:sz w:val="24"/>
          <w:szCs w:val="24"/>
        </w:rPr>
        <w:footnoteReference w:id="646"/>
      </w:r>
      <w:r w:rsidR="000B73A3" w:rsidRPr="000B73A3">
        <w:rPr>
          <w:rFonts w:ascii="Times New Roman" w:hAnsi="Times New Roman" w:cs="Times New Roman"/>
          <w:sz w:val="24"/>
          <w:szCs w:val="24"/>
        </w:rPr>
        <w:t xml:space="preserve"> </w:t>
      </w:r>
      <w:r w:rsidR="00ED18C7">
        <w:rPr>
          <w:rFonts w:ascii="Times New Roman" w:hAnsi="Times New Roman" w:cs="Times New Roman"/>
          <w:sz w:val="24"/>
          <w:szCs w:val="24"/>
        </w:rPr>
        <w:t xml:space="preserve"> </w:t>
      </w:r>
      <w:r w:rsidR="000B73A3" w:rsidRPr="000B73A3">
        <w:rPr>
          <w:rFonts w:ascii="Times New Roman" w:hAnsi="Times New Roman" w:cs="Times New Roman"/>
          <w:sz w:val="24"/>
          <w:szCs w:val="24"/>
        </w:rPr>
        <w:t>This means that Clifty Creek and Conesville units 5 and 6 would need a retrofit of post-combustion controls called selective catalytic reductions (</w:t>
      </w:r>
      <w:r w:rsidR="00873919">
        <w:rPr>
          <w:rFonts w:ascii="Times New Roman" w:hAnsi="Times New Roman" w:cs="Times New Roman"/>
          <w:sz w:val="24"/>
          <w:szCs w:val="24"/>
        </w:rPr>
        <w:t>“</w:t>
      </w:r>
      <w:r w:rsidR="000B73A3" w:rsidRPr="000B73A3">
        <w:rPr>
          <w:rFonts w:ascii="Times New Roman" w:hAnsi="Times New Roman" w:cs="Times New Roman"/>
          <w:sz w:val="24"/>
          <w:szCs w:val="24"/>
        </w:rPr>
        <w:t>SCRs</w:t>
      </w:r>
      <w:r w:rsidR="00873919">
        <w:rPr>
          <w:rFonts w:ascii="Times New Roman" w:hAnsi="Times New Roman" w:cs="Times New Roman"/>
          <w:sz w:val="24"/>
          <w:szCs w:val="24"/>
        </w:rPr>
        <w:t>”</w:t>
      </w:r>
      <w:r w:rsidR="000B73A3" w:rsidRPr="000B73A3">
        <w:rPr>
          <w:rFonts w:ascii="Times New Roman" w:hAnsi="Times New Roman" w:cs="Times New Roman"/>
          <w:sz w:val="24"/>
          <w:szCs w:val="24"/>
        </w:rPr>
        <w:t>).</w:t>
      </w:r>
      <w:r w:rsidR="000B73A3" w:rsidRPr="000B73A3">
        <w:rPr>
          <w:rStyle w:val="FootnoteReference"/>
          <w:rFonts w:ascii="Times New Roman" w:hAnsi="Times New Roman" w:cs="Times New Roman"/>
          <w:sz w:val="24"/>
          <w:szCs w:val="24"/>
        </w:rPr>
        <w:t xml:space="preserve"> </w:t>
      </w:r>
      <w:r w:rsidR="000B73A3" w:rsidRPr="000B73A3">
        <w:rPr>
          <w:rStyle w:val="FootnoteReference"/>
          <w:rFonts w:ascii="Times New Roman" w:hAnsi="Times New Roman" w:cs="Times New Roman"/>
          <w:sz w:val="24"/>
          <w:szCs w:val="24"/>
        </w:rPr>
        <w:footnoteReference w:id="647"/>
      </w:r>
      <w:r w:rsidR="000B73A3" w:rsidRPr="000B73A3">
        <w:rPr>
          <w:rFonts w:ascii="Times New Roman" w:hAnsi="Times New Roman" w:cs="Times New Roman"/>
          <w:sz w:val="24"/>
          <w:szCs w:val="24"/>
        </w:rPr>
        <w:t xml:space="preserve">  OVEC itself recognizes that “the purchase of additional NOx allowances or the installation of additions NOx controls may be necessary for Clifty Creek Unit 6 either under the CSAPR rule or any future NOx regulations.”</w:t>
      </w:r>
      <w:r w:rsidR="000B73A3" w:rsidRPr="000B73A3">
        <w:rPr>
          <w:rStyle w:val="FootnoteReference"/>
          <w:rFonts w:ascii="Times New Roman" w:hAnsi="Times New Roman" w:cs="Times New Roman"/>
          <w:sz w:val="24"/>
          <w:szCs w:val="24"/>
        </w:rPr>
        <w:footnoteReference w:id="648"/>
      </w:r>
      <w:r w:rsidR="000B73A3" w:rsidRPr="000B73A3">
        <w:rPr>
          <w:rFonts w:ascii="Times New Roman" w:hAnsi="Times New Roman" w:cs="Times New Roman"/>
          <w:sz w:val="24"/>
          <w:szCs w:val="24"/>
        </w:rPr>
        <w:t xml:space="preserve"> </w:t>
      </w:r>
      <w:r w:rsidR="00ED18C7">
        <w:rPr>
          <w:rFonts w:ascii="Times New Roman" w:hAnsi="Times New Roman" w:cs="Times New Roman"/>
          <w:sz w:val="24"/>
          <w:szCs w:val="24"/>
        </w:rPr>
        <w:t xml:space="preserve"> </w:t>
      </w:r>
    </w:p>
    <w:p w:rsidR="000B73A3" w:rsidRPr="000B73A3"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OCC Witness Jackson estimates that the capital costs to retrofit the Conesville units will be approximately $127 million per unit and the Clifty Creek Unit 6 approximately $69 million.</w:t>
      </w:r>
      <w:r w:rsidRPr="000B73A3">
        <w:rPr>
          <w:rStyle w:val="FootnoteReference"/>
          <w:rFonts w:ascii="Times New Roman" w:hAnsi="Times New Roman" w:cs="Times New Roman"/>
          <w:sz w:val="24"/>
          <w:szCs w:val="24"/>
        </w:rPr>
        <w:footnoteReference w:id="649"/>
      </w:r>
      <w:r w:rsidRPr="000B73A3">
        <w:rPr>
          <w:rFonts w:ascii="Times New Roman" w:hAnsi="Times New Roman" w:cs="Times New Roman"/>
          <w:sz w:val="24"/>
          <w:szCs w:val="24"/>
        </w:rPr>
        <w:t xml:space="preserve"> </w:t>
      </w:r>
      <w:r w:rsidR="00ED18C7">
        <w:rPr>
          <w:rFonts w:ascii="Times New Roman" w:hAnsi="Times New Roman" w:cs="Times New Roman"/>
          <w:sz w:val="24"/>
          <w:szCs w:val="24"/>
        </w:rPr>
        <w:t xml:space="preserve"> </w:t>
      </w:r>
      <w:r w:rsidRPr="000B73A3">
        <w:rPr>
          <w:rFonts w:ascii="Times New Roman" w:hAnsi="Times New Roman" w:cs="Times New Roman"/>
          <w:sz w:val="24"/>
          <w:szCs w:val="24"/>
        </w:rPr>
        <w:t>According to AEP Ohio’s ownership interest, AEP Ohio would pay 19.3</w:t>
      </w:r>
      <w:r w:rsidR="00C8404C">
        <w:rPr>
          <w:rFonts w:ascii="Times New Roman" w:hAnsi="Times New Roman" w:cs="Times New Roman"/>
          <w:sz w:val="24"/>
          <w:szCs w:val="24"/>
        </w:rPr>
        <w:t xml:space="preserve"> percent</w:t>
      </w:r>
      <w:r w:rsidRPr="000B73A3">
        <w:rPr>
          <w:rFonts w:ascii="Times New Roman" w:hAnsi="Times New Roman" w:cs="Times New Roman"/>
          <w:sz w:val="24"/>
          <w:szCs w:val="24"/>
        </w:rPr>
        <w:t xml:space="preserve"> for capital expenditures on Clifty Creek and customers would be responsible for the total costs of upgrades on the two Conesville units.</w:t>
      </w:r>
      <w:r w:rsidRPr="000B73A3">
        <w:rPr>
          <w:rStyle w:val="FootnoteReference"/>
          <w:rFonts w:ascii="Times New Roman" w:hAnsi="Times New Roman" w:cs="Times New Roman"/>
          <w:sz w:val="24"/>
          <w:szCs w:val="24"/>
        </w:rPr>
        <w:footnoteReference w:id="650"/>
      </w:r>
      <w:r w:rsidRPr="000B73A3">
        <w:rPr>
          <w:rFonts w:ascii="Times New Roman" w:hAnsi="Times New Roman" w:cs="Times New Roman"/>
          <w:sz w:val="24"/>
          <w:szCs w:val="24"/>
        </w:rPr>
        <w:t xml:space="preserve"> </w:t>
      </w:r>
      <w:r w:rsidR="00ED18C7">
        <w:rPr>
          <w:rFonts w:ascii="Times New Roman" w:hAnsi="Times New Roman" w:cs="Times New Roman"/>
          <w:sz w:val="24"/>
          <w:szCs w:val="24"/>
        </w:rPr>
        <w:t xml:space="preserve"> </w:t>
      </w:r>
      <w:r w:rsidRPr="000B73A3">
        <w:rPr>
          <w:rFonts w:ascii="Times New Roman" w:hAnsi="Times New Roman" w:cs="Times New Roman"/>
          <w:sz w:val="24"/>
          <w:szCs w:val="24"/>
        </w:rPr>
        <w:t xml:space="preserve">OCC Witness </w:t>
      </w:r>
      <w:r w:rsidR="00385852" w:rsidRPr="000B73A3">
        <w:rPr>
          <w:rFonts w:ascii="Times New Roman" w:hAnsi="Times New Roman" w:cs="Times New Roman"/>
          <w:sz w:val="24"/>
          <w:szCs w:val="24"/>
        </w:rPr>
        <w:t>Jackson focused</w:t>
      </w:r>
      <w:r w:rsidRPr="000B73A3">
        <w:rPr>
          <w:rFonts w:ascii="Times New Roman" w:hAnsi="Times New Roman" w:cs="Times New Roman"/>
          <w:sz w:val="24"/>
          <w:szCs w:val="24"/>
        </w:rPr>
        <w:t xml:space="preserve"> on the costs of installing SCRs because this represents one of the more significant investments that may be required according to foreseeable environmental regulation and therefore represents a significant risk to </w:t>
      </w:r>
      <w:r w:rsidR="002B7ED7">
        <w:rPr>
          <w:rFonts w:ascii="Times New Roman" w:hAnsi="Times New Roman" w:cs="Times New Roman"/>
          <w:sz w:val="24"/>
          <w:szCs w:val="24"/>
        </w:rPr>
        <w:t>AEP Ohio’s</w:t>
      </w:r>
      <w:r w:rsidRPr="000B73A3">
        <w:rPr>
          <w:rFonts w:ascii="Times New Roman" w:hAnsi="Times New Roman" w:cs="Times New Roman"/>
          <w:sz w:val="24"/>
          <w:szCs w:val="24"/>
        </w:rPr>
        <w:t xml:space="preserve"> customers.</w:t>
      </w:r>
      <w:r w:rsidRPr="000B73A3">
        <w:rPr>
          <w:rStyle w:val="FootnoteReference"/>
          <w:rFonts w:ascii="Times New Roman" w:hAnsi="Times New Roman" w:cs="Times New Roman"/>
          <w:sz w:val="24"/>
          <w:szCs w:val="24"/>
        </w:rPr>
        <w:footnoteReference w:id="651"/>
      </w:r>
      <w:r w:rsidRPr="000B73A3">
        <w:rPr>
          <w:rFonts w:ascii="Times New Roman" w:hAnsi="Times New Roman" w:cs="Times New Roman"/>
          <w:sz w:val="24"/>
          <w:szCs w:val="24"/>
        </w:rPr>
        <w:t xml:space="preserve">  </w:t>
      </w:r>
      <w:r w:rsidR="00ED18C7">
        <w:rPr>
          <w:rFonts w:ascii="Times New Roman" w:hAnsi="Times New Roman" w:cs="Times New Roman"/>
          <w:sz w:val="24"/>
          <w:szCs w:val="24"/>
        </w:rPr>
        <w:t xml:space="preserve"> </w:t>
      </w:r>
      <w:r w:rsidRPr="000B73A3">
        <w:rPr>
          <w:rFonts w:ascii="Times New Roman" w:hAnsi="Times New Roman" w:cs="Times New Roman"/>
          <w:sz w:val="24"/>
          <w:szCs w:val="24"/>
        </w:rPr>
        <w:t>Such costs are not accounted for by AEP Ohio.</w:t>
      </w:r>
    </w:p>
    <w:p w:rsidR="00B61DCF" w:rsidRPr="006E7EDA" w:rsidRDefault="008A5D90" w:rsidP="00316B0F">
      <w:pPr>
        <w:pStyle w:val="Heading5"/>
        <w:numPr>
          <w:ilvl w:val="0"/>
          <w:numId w:val="6"/>
        </w:numPr>
      </w:pPr>
      <w:bookmarkStart w:id="146" w:name="_Toc435428246"/>
      <w:bookmarkStart w:id="147" w:name="_Toc442104214"/>
      <w:r>
        <w:t xml:space="preserve">AEP Ohio’s consideration of the </w:t>
      </w:r>
      <w:r w:rsidR="008E507D">
        <w:t>C</w:t>
      </w:r>
      <w:r>
        <w:t xml:space="preserve">lean </w:t>
      </w:r>
      <w:r w:rsidR="008E507D">
        <w:t>P</w:t>
      </w:r>
      <w:r>
        <w:t xml:space="preserve">ower </w:t>
      </w:r>
      <w:r w:rsidR="008E507D">
        <w:t>P</w:t>
      </w:r>
      <w:r>
        <w:t xml:space="preserve">lan is inadequate, incomplete, and </w:t>
      </w:r>
      <w:bookmarkEnd w:id="146"/>
      <w:r w:rsidR="004220F9">
        <w:t>i</w:t>
      </w:r>
      <w:r w:rsidR="004220F9" w:rsidRPr="006E7EDA">
        <w:t>nsufficient</w:t>
      </w:r>
      <w:r w:rsidR="002151ED">
        <w:t>,</w:t>
      </w:r>
      <w:r w:rsidR="0021094B">
        <w:t xml:space="preserve"> further opening the door to additional </w:t>
      </w:r>
      <w:r w:rsidR="002151ED">
        <w:t>charges to consumers</w:t>
      </w:r>
      <w:r w:rsidR="00030E5A">
        <w:t>.</w:t>
      </w:r>
      <w:bookmarkEnd w:id="147"/>
    </w:p>
    <w:p w:rsidR="000B73A3" w:rsidRDefault="000B73A3" w:rsidP="00ED18C7">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The recently released Clean Power Plan will likely require that AEPGR spend more money on its fossil fuel-fired electric generators.</w:t>
      </w:r>
      <w:r w:rsidRPr="000B73A3">
        <w:rPr>
          <w:rStyle w:val="FootnoteReference"/>
          <w:rFonts w:ascii="Times New Roman" w:hAnsi="Times New Roman" w:cs="Times New Roman"/>
          <w:sz w:val="24"/>
          <w:szCs w:val="24"/>
        </w:rPr>
        <w:footnoteReference w:id="652"/>
      </w:r>
      <w:r w:rsidRPr="000B73A3">
        <w:rPr>
          <w:rFonts w:ascii="Times New Roman" w:hAnsi="Times New Roman" w:cs="Times New Roman"/>
          <w:sz w:val="24"/>
          <w:szCs w:val="24"/>
        </w:rPr>
        <w:t xml:space="preserve"> </w:t>
      </w:r>
      <w:r w:rsidR="00ED18C7">
        <w:rPr>
          <w:rFonts w:ascii="Times New Roman" w:hAnsi="Times New Roman" w:cs="Times New Roman"/>
          <w:sz w:val="24"/>
          <w:szCs w:val="24"/>
        </w:rPr>
        <w:t xml:space="preserve"> </w:t>
      </w:r>
      <w:r w:rsidRPr="000B73A3">
        <w:rPr>
          <w:rFonts w:ascii="Times New Roman" w:hAnsi="Times New Roman" w:cs="Times New Roman"/>
          <w:sz w:val="24"/>
          <w:szCs w:val="24"/>
        </w:rPr>
        <w:t>The final Clean Power Plan established technology-specific emission performance standards.</w:t>
      </w:r>
      <w:r w:rsidRPr="000B73A3">
        <w:rPr>
          <w:rStyle w:val="FootnoteReference"/>
          <w:rFonts w:ascii="Times New Roman" w:hAnsi="Times New Roman" w:cs="Times New Roman"/>
          <w:sz w:val="24"/>
          <w:szCs w:val="24"/>
        </w:rPr>
        <w:footnoteReference w:id="653"/>
      </w:r>
      <w:r w:rsidRPr="000B73A3">
        <w:rPr>
          <w:rFonts w:ascii="Times New Roman" w:hAnsi="Times New Roman" w:cs="Times New Roman"/>
          <w:sz w:val="24"/>
          <w:szCs w:val="24"/>
        </w:rPr>
        <w:t xml:space="preserve"> </w:t>
      </w:r>
      <w:r w:rsidR="00ED18C7">
        <w:rPr>
          <w:rFonts w:ascii="Times New Roman" w:hAnsi="Times New Roman" w:cs="Times New Roman"/>
          <w:sz w:val="24"/>
          <w:szCs w:val="24"/>
        </w:rPr>
        <w:t xml:space="preserve"> </w:t>
      </w:r>
      <w:r w:rsidRPr="000B73A3">
        <w:rPr>
          <w:rFonts w:ascii="Times New Roman" w:hAnsi="Times New Roman" w:cs="Times New Roman"/>
          <w:sz w:val="24"/>
          <w:szCs w:val="24"/>
        </w:rPr>
        <w:t>It is left up to the states to choose their methods of compliance.</w:t>
      </w:r>
      <w:r w:rsidRPr="000B73A3">
        <w:rPr>
          <w:rStyle w:val="FootnoteReference"/>
          <w:rFonts w:ascii="Times New Roman" w:hAnsi="Times New Roman" w:cs="Times New Roman"/>
          <w:sz w:val="24"/>
          <w:szCs w:val="24"/>
        </w:rPr>
        <w:footnoteReference w:id="654"/>
      </w:r>
      <w:r w:rsidRPr="000B73A3">
        <w:rPr>
          <w:rFonts w:ascii="Times New Roman" w:hAnsi="Times New Roman" w:cs="Times New Roman"/>
          <w:sz w:val="24"/>
          <w:szCs w:val="24"/>
        </w:rPr>
        <w:t xml:space="preserve"> </w:t>
      </w:r>
      <w:r w:rsidR="00ED18C7">
        <w:rPr>
          <w:rFonts w:ascii="Times New Roman" w:hAnsi="Times New Roman" w:cs="Times New Roman"/>
          <w:sz w:val="24"/>
          <w:szCs w:val="24"/>
        </w:rPr>
        <w:t xml:space="preserve"> </w:t>
      </w:r>
      <w:r w:rsidRPr="000B73A3">
        <w:rPr>
          <w:rFonts w:ascii="Times New Roman" w:hAnsi="Times New Roman" w:cs="Times New Roman"/>
          <w:sz w:val="24"/>
          <w:szCs w:val="24"/>
        </w:rPr>
        <w:t xml:space="preserve">The start of the Clean Power </w:t>
      </w:r>
      <w:r w:rsidR="00B61DCF">
        <w:rPr>
          <w:rFonts w:ascii="Times New Roman" w:hAnsi="Times New Roman" w:cs="Times New Roman"/>
          <w:sz w:val="24"/>
          <w:szCs w:val="24"/>
        </w:rPr>
        <w:t xml:space="preserve">Plan </w:t>
      </w:r>
      <w:r w:rsidRPr="000B73A3">
        <w:rPr>
          <w:rFonts w:ascii="Times New Roman" w:hAnsi="Times New Roman" w:cs="Times New Roman"/>
          <w:sz w:val="24"/>
          <w:szCs w:val="24"/>
        </w:rPr>
        <w:t>compliance period will begin in 2022, which is well within AEP Ohio’s PPA Rider proposal.</w:t>
      </w:r>
      <w:r w:rsidRPr="000B73A3">
        <w:rPr>
          <w:rStyle w:val="FootnoteReference"/>
          <w:rFonts w:ascii="Times New Roman" w:hAnsi="Times New Roman" w:cs="Times New Roman"/>
          <w:sz w:val="24"/>
          <w:szCs w:val="24"/>
        </w:rPr>
        <w:footnoteReference w:id="655"/>
      </w:r>
      <w:r w:rsidRPr="000B73A3">
        <w:rPr>
          <w:rFonts w:ascii="Times New Roman" w:hAnsi="Times New Roman" w:cs="Times New Roman"/>
          <w:sz w:val="24"/>
          <w:szCs w:val="24"/>
        </w:rPr>
        <w:t xml:space="preserve">  The costs of getting the PPA Units into compliance and maintaining compliance with the Clean Power Plan will fall directly on customers, yet the PUCO has no estimates to calculate the potential cost to customers. </w:t>
      </w:r>
    </w:p>
    <w:p w:rsidR="00B61DCF" w:rsidRPr="006E7EDA" w:rsidRDefault="008A5D90" w:rsidP="00316B0F">
      <w:pPr>
        <w:pStyle w:val="Heading5"/>
        <w:numPr>
          <w:ilvl w:val="0"/>
          <w:numId w:val="6"/>
        </w:numPr>
      </w:pPr>
      <w:bookmarkStart w:id="148" w:name="_Toc435428247"/>
      <w:bookmarkStart w:id="149" w:name="_Toc442104215"/>
      <w:r>
        <w:t>AEP Ohio has assumed little short-term risk, and disregarded the long-t</w:t>
      </w:r>
      <w:r w:rsidR="00B61DCF" w:rsidRPr="006E7EDA">
        <w:t>erm</w:t>
      </w:r>
      <w:bookmarkEnd w:id="148"/>
      <w:r w:rsidR="004D421C">
        <w:t xml:space="preserve"> risk</w:t>
      </w:r>
      <w:r w:rsidR="0021140F">
        <w:t xml:space="preserve"> to the detriment of consumers</w:t>
      </w:r>
      <w:r w:rsidR="00030E5A">
        <w:t>.</w:t>
      </w:r>
      <w:bookmarkEnd w:id="149"/>
    </w:p>
    <w:p w:rsidR="00B61DCF" w:rsidRPr="00B61DCF" w:rsidRDefault="00B61DCF" w:rsidP="00A57413">
      <w:pPr>
        <w:spacing w:after="0" w:line="480" w:lineRule="auto"/>
        <w:ind w:firstLine="720"/>
        <w:rPr>
          <w:rFonts w:ascii="Times New Roman" w:hAnsi="Times New Roman" w:cs="Times New Roman"/>
          <w:b/>
          <w:sz w:val="24"/>
          <w:szCs w:val="24"/>
        </w:rPr>
      </w:pPr>
      <w:r w:rsidRPr="000B73A3">
        <w:rPr>
          <w:rFonts w:ascii="Times New Roman" w:hAnsi="Times New Roman" w:cs="Times New Roman"/>
          <w:sz w:val="24"/>
          <w:szCs w:val="24"/>
        </w:rPr>
        <w:t>AEP Ohio has assumed little risk for environmental expenditures in the near term, such as accounting for compliance with 316(b), but ignored additional risks from pending and likely future regulations such as NAAQS and CSAPR.</w:t>
      </w:r>
      <w:r w:rsidRPr="000B73A3">
        <w:rPr>
          <w:rStyle w:val="FootnoteReference"/>
          <w:rFonts w:ascii="Times New Roman" w:hAnsi="Times New Roman" w:cs="Times New Roman"/>
          <w:sz w:val="24"/>
          <w:szCs w:val="24"/>
        </w:rPr>
        <w:t xml:space="preserve"> </w:t>
      </w:r>
      <w:r w:rsidRPr="000B73A3">
        <w:rPr>
          <w:rStyle w:val="FootnoteReference"/>
          <w:rFonts w:ascii="Times New Roman" w:hAnsi="Times New Roman" w:cs="Times New Roman"/>
          <w:sz w:val="24"/>
          <w:szCs w:val="24"/>
        </w:rPr>
        <w:footnoteReference w:id="656"/>
      </w:r>
      <w:r w:rsidRPr="000B73A3">
        <w:rPr>
          <w:rFonts w:ascii="Times New Roman" w:hAnsi="Times New Roman" w:cs="Times New Roman"/>
          <w:sz w:val="24"/>
          <w:szCs w:val="24"/>
        </w:rPr>
        <w:t xml:space="preserve"> </w:t>
      </w:r>
      <w:r>
        <w:rPr>
          <w:rFonts w:ascii="Times New Roman" w:hAnsi="Times New Roman" w:cs="Times New Roman"/>
          <w:sz w:val="24"/>
          <w:szCs w:val="24"/>
        </w:rPr>
        <w:t>As touched on earlier,</w:t>
      </w:r>
      <w:r w:rsidRPr="000B73A3">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0B73A3">
        <w:rPr>
          <w:rFonts w:ascii="Times New Roman" w:hAnsi="Times New Roman" w:cs="Times New Roman"/>
          <w:sz w:val="24"/>
          <w:szCs w:val="24"/>
        </w:rPr>
        <w:t>major flaw in AEP Ohio’s “evidence” regarding environmental regulations is it</w:t>
      </w:r>
      <w:r w:rsidR="00873919">
        <w:rPr>
          <w:rFonts w:ascii="Times New Roman" w:hAnsi="Times New Roman" w:cs="Times New Roman"/>
          <w:sz w:val="24"/>
          <w:szCs w:val="24"/>
        </w:rPr>
        <w:t>s</w:t>
      </w:r>
      <w:r w:rsidRPr="000B73A3">
        <w:rPr>
          <w:rFonts w:ascii="Times New Roman" w:hAnsi="Times New Roman" w:cs="Times New Roman"/>
          <w:sz w:val="24"/>
          <w:szCs w:val="24"/>
        </w:rPr>
        <w:t xml:space="preserve"> forecast of environmental compliance costs ends in 2024</w:t>
      </w:r>
      <w:r w:rsidR="00A6167C">
        <w:rPr>
          <w:rFonts w:ascii="Times New Roman" w:hAnsi="Times New Roman" w:cs="Times New Roman"/>
          <w:sz w:val="24"/>
          <w:szCs w:val="24"/>
        </w:rPr>
        <w:t xml:space="preserve"> and AEP Ohio will not rule out seeking to extend the PPA Rider</w:t>
      </w:r>
      <w:r w:rsidRPr="000B73A3">
        <w:rPr>
          <w:rFonts w:ascii="Times New Roman" w:hAnsi="Times New Roman" w:cs="Times New Roman"/>
          <w:sz w:val="24"/>
          <w:szCs w:val="24"/>
        </w:rPr>
        <w:t xml:space="preserve">.  </w:t>
      </w:r>
      <w:r>
        <w:rPr>
          <w:rFonts w:ascii="Times New Roman" w:hAnsi="Times New Roman" w:cs="Times New Roman"/>
          <w:sz w:val="24"/>
          <w:szCs w:val="24"/>
        </w:rPr>
        <w:t>This flaw is underscored by</w:t>
      </w:r>
      <w:r w:rsidRPr="000B73A3">
        <w:rPr>
          <w:rFonts w:ascii="Times New Roman" w:hAnsi="Times New Roman" w:cs="Times New Roman"/>
          <w:sz w:val="24"/>
          <w:szCs w:val="24"/>
        </w:rPr>
        <w:t xml:space="preserve"> the terms of </w:t>
      </w:r>
      <w:r>
        <w:rPr>
          <w:rFonts w:ascii="Times New Roman" w:hAnsi="Times New Roman" w:cs="Times New Roman"/>
          <w:sz w:val="24"/>
          <w:szCs w:val="24"/>
        </w:rPr>
        <w:t>the PPA Rider AEP Ohio proposes:</w:t>
      </w:r>
      <w:r w:rsidRPr="000B73A3">
        <w:rPr>
          <w:rFonts w:ascii="Times New Roman" w:hAnsi="Times New Roman" w:cs="Times New Roman"/>
          <w:sz w:val="24"/>
          <w:szCs w:val="24"/>
        </w:rPr>
        <w:t xml:space="preserve"> Stuart and Cardinal will retire by 2033; Conesville will retire by 2038; and Zimmer will retire in 2051.</w:t>
      </w:r>
      <w:r w:rsidRPr="000B73A3">
        <w:rPr>
          <w:rStyle w:val="FootnoteReference"/>
          <w:rFonts w:ascii="Times New Roman" w:hAnsi="Times New Roman" w:cs="Times New Roman"/>
          <w:sz w:val="24"/>
          <w:szCs w:val="24"/>
        </w:rPr>
        <w:footnoteReference w:id="657"/>
      </w:r>
      <w:r w:rsidRPr="000B73A3">
        <w:rPr>
          <w:rFonts w:ascii="Times New Roman" w:hAnsi="Times New Roman" w:cs="Times New Roman"/>
          <w:sz w:val="24"/>
          <w:szCs w:val="24"/>
        </w:rPr>
        <w:t xml:space="preserve">  AEP Ohio should have estimated costs through 2051, but did not.</w:t>
      </w:r>
      <w:r w:rsidR="00C8404C">
        <w:rPr>
          <w:rFonts w:ascii="Times New Roman" w:hAnsi="Times New Roman" w:cs="Times New Roman"/>
          <w:sz w:val="24"/>
          <w:szCs w:val="24"/>
        </w:rPr>
        <w:t xml:space="preserve"> </w:t>
      </w:r>
      <w:r w:rsidRPr="000B73A3">
        <w:rPr>
          <w:rFonts w:ascii="Times New Roman" w:hAnsi="Times New Roman" w:cs="Times New Roman"/>
          <w:sz w:val="24"/>
          <w:szCs w:val="24"/>
        </w:rPr>
        <w:t xml:space="preserve"> </w:t>
      </w:r>
      <w:r w:rsidR="00C8404C">
        <w:rPr>
          <w:rFonts w:ascii="Times New Roman" w:hAnsi="Times New Roman" w:cs="Times New Roman"/>
          <w:sz w:val="24"/>
          <w:szCs w:val="24"/>
        </w:rPr>
        <w:t>Because</w:t>
      </w:r>
      <w:r w:rsidR="00A6167C">
        <w:rPr>
          <w:rFonts w:ascii="Times New Roman" w:hAnsi="Times New Roman" w:cs="Times New Roman"/>
          <w:sz w:val="24"/>
          <w:szCs w:val="24"/>
        </w:rPr>
        <w:t xml:space="preserve"> AEP Ohio will not rule out seeking to extend the PPA Rider, t</w:t>
      </w:r>
      <w:r w:rsidRPr="000B73A3">
        <w:rPr>
          <w:rFonts w:ascii="Times New Roman" w:hAnsi="Times New Roman" w:cs="Times New Roman"/>
          <w:sz w:val="24"/>
          <w:szCs w:val="24"/>
        </w:rPr>
        <w:t>his leaves customers liable for unknown costs over a 27-year period (2025 through 2015).</w:t>
      </w:r>
      <w:r w:rsidRPr="000B73A3">
        <w:rPr>
          <w:rStyle w:val="FootnoteReference"/>
          <w:rFonts w:ascii="Times New Roman" w:hAnsi="Times New Roman" w:cs="Times New Roman"/>
          <w:sz w:val="24"/>
          <w:szCs w:val="24"/>
        </w:rPr>
        <w:footnoteReference w:id="658"/>
      </w:r>
    </w:p>
    <w:p w:rsidR="000B73A3" w:rsidRPr="000B73A3" w:rsidRDefault="000B73A3" w:rsidP="00F269A1">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 xml:space="preserve">AEP Ohio failed to include any estimate for environmental compliance costs after 2024, even though customers </w:t>
      </w:r>
      <w:r w:rsidR="00A6167C">
        <w:rPr>
          <w:rFonts w:ascii="Times New Roman" w:hAnsi="Times New Roman" w:cs="Times New Roman"/>
          <w:sz w:val="24"/>
          <w:szCs w:val="24"/>
        </w:rPr>
        <w:t>may</w:t>
      </w:r>
      <w:r w:rsidRPr="000B73A3">
        <w:rPr>
          <w:rFonts w:ascii="Times New Roman" w:hAnsi="Times New Roman" w:cs="Times New Roman"/>
          <w:sz w:val="24"/>
          <w:szCs w:val="24"/>
        </w:rPr>
        <w:t xml:space="preserve"> be on the hook for the costs </w:t>
      </w:r>
      <w:r w:rsidR="00A6167C">
        <w:rPr>
          <w:rFonts w:ascii="Times New Roman" w:hAnsi="Times New Roman" w:cs="Times New Roman"/>
          <w:sz w:val="24"/>
          <w:szCs w:val="24"/>
        </w:rPr>
        <w:t>beyond then</w:t>
      </w:r>
      <w:r w:rsidRPr="000B73A3">
        <w:rPr>
          <w:rFonts w:ascii="Times New Roman" w:hAnsi="Times New Roman" w:cs="Times New Roman"/>
          <w:sz w:val="24"/>
          <w:szCs w:val="24"/>
        </w:rPr>
        <w:t>.</w:t>
      </w:r>
      <w:r w:rsidRPr="000B73A3">
        <w:rPr>
          <w:rStyle w:val="FootnoteReference"/>
          <w:rFonts w:ascii="Times New Roman" w:hAnsi="Times New Roman" w:cs="Times New Roman"/>
          <w:sz w:val="24"/>
          <w:szCs w:val="24"/>
        </w:rPr>
        <w:footnoteReference w:id="659"/>
      </w:r>
      <w:r w:rsidRPr="000B73A3">
        <w:rPr>
          <w:rFonts w:ascii="Times New Roman" w:hAnsi="Times New Roman" w:cs="Times New Roman"/>
          <w:sz w:val="24"/>
          <w:szCs w:val="24"/>
        </w:rPr>
        <w:t xml:space="preserve"> </w:t>
      </w:r>
      <w:r w:rsidR="00ED18C7">
        <w:rPr>
          <w:rFonts w:ascii="Times New Roman" w:hAnsi="Times New Roman" w:cs="Times New Roman"/>
          <w:sz w:val="24"/>
          <w:szCs w:val="24"/>
        </w:rPr>
        <w:t xml:space="preserve"> </w:t>
      </w:r>
      <w:r w:rsidRPr="000B73A3">
        <w:rPr>
          <w:rFonts w:ascii="Times New Roman" w:hAnsi="Times New Roman" w:cs="Times New Roman"/>
          <w:sz w:val="24"/>
          <w:szCs w:val="24"/>
        </w:rPr>
        <w:t>The costs that AEP Ohio has included in this proceeding are upfront capital costs only and do not incorporate estimates for the operations and maintenance costs that will also be passed through as charges to customers.</w:t>
      </w:r>
      <w:r w:rsidRPr="000B73A3">
        <w:rPr>
          <w:rStyle w:val="FootnoteReference"/>
          <w:rFonts w:ascii="Times New Roman" w:hAnsi="Times New Roman" w:cs="Times New Roman"/>
          <w:sz w:val="24"/>
          <w:szCs w:val="24"/>
        </w:rPr>
        <w:footnoteReference w:id="660"/>
      </w:r>
      <w:r w:rsidRPr="000B73A3">
        <w:rPr>
          <w:rFonts w:ascii="Times New Roman" w:hAnsi="Times New Roman" w:cs="Times New Roman"/>
          <w:sz w:val="24"/>
          <w:szCs w:val="24"/>
        </w:rPr>
        <w:t xml:space="preserve"> AEP Ohio should have looked at </w:t>
      </w:r>
      <w:r w:rsidRPr="000B73A3">
        <w:rPr>
          <w:rFonts w:ascii="Times New Roman" w:hAnsi="Times New Roman" w:cs="Times New Roman"/>
          <w:i/>
          <w:sz w:val="24"/>
          <w:szCs w:val="24"/>
        </w:rPr>
        <w:t>all</w:t>
      </w:r>
      <w:r w:rsidRPr="000B73A3">
        <w:rPr>
          <w:rFonts w:ascii="Times New Roman" w:hAnsi="Times New Roman" w:cs="Times New Roman"/>
          <w:sz w:val="24"/>
          <w:szCs w:val="24"/>
        </w:rPr>
        <w:t xml:space="preserve"> potential future environmental regulations and associated compliance costs and included those in this proceeding. </w:t>
      </w:r>
      <w:r w:rsidR="00ED18C7">
        <w:rPr>
          <w:rFonts w:ascii="Times New Roman" w:hAnsi="Times New Roman" w:cs="Times New Roman"/>
          <w:sz w:val="24"/>
          <w:szCs w:val="24"/>
        </w:rPr>
        <w:t xml:space="preserve"> </w:t>
      </w:r>
      <w:r w:rsidRPr="000B73A3">
        <w:rPr>
          <w:rFonts w:ascii="Times New Roman" w:hAnsi="Times New Roman" w:cs="Times New Roman"/>
          <w:sz w:val="24"/>
          <w:szCs w:val="24"/>
        </w:rPr>
        <w:t xml:space="preserve">Because AEP Ohio has not answered the PUCO’s environmental questions regarding pending and future regulations, </w:t>
      </w:r>
      <w:r w:rsidR="008E507D">
        <w:rPr>
          <w:rFonts w:ascii="Times New Roman" w:hAnsi="Times New Roman" w:cs="Times New Roman"/>
          <w:sz w:val="24"/>
          <w:szCs w:val="24"/>
        </w:rPr>
        <w:t>it has failed to meet its burden of proof</w:t>
      </w:r>
      <w:r w:rsidRPr="000B73A3">
        <w:rPr>
          <w:rFonts w:ascii="Times New Roman" w:hAnsi="Times New Roman" w:cs="Times New Roman"/>
          <w:sz w:val="24"/>
          <w:szCs w:val="24"/>
        </w:rPr>
        <w:t>.</w:t>
      </w:r>
    </w:p>
    <w:p w:rsidR="00AC3945" w:rsidRPr="006E7EDA" w:rsidRDefault="00030E5A" w:rsidP="00C401CE">
      <w:pPr>
        <w:pStyle w:val="Heading4"/>
      </w:pPr>
      <w:bookmarkStart w:id="150" w:name="_Toc435428248"/>
      <w:bookmarkStart w:id="151" w:name="_Toc442104216"/>
      <w:r>
        <w:t>d.</w:t>
      </w:r>
      <w:r>
        <w:tab/>
      </w:r>
      <w:r w:rsidR="008A5D90">
        <w:t>OCC Witness Dormady confirms that AEP Ohio’s “evidence” on economic impact is u</w:t>
      </w:r>
      <w:r w:rsidR="000B73A3" w:rsidRPr="006E7EDA">
        <w:t>nreliable</w:t>
      </w:r>
      <w:bookmarkEnd w:id="150"/>
      <w:r>
        <w:t>.</w:t>
      </w:r>
      <w:bookmarkEnd w:id="151"/>
    </w:p>
    <w:p w:rsidR="000B73A3" w:rsidRPr="006E7EDA" w:rsidRDefault="00030E5A" w:rsidP="00316B0F">
      <w:pPr>
        <w:pStyle w:val="Heading5"/>
      </w:pPr>
      <w:bookmarkStart w:id="152" w:name="_Toc435428249"/>
      <w:bookmarkStart w:id="153" w:name="_Toc442104217"/>
      <w:r>
        <w:t>i.</w:t>
      </w:r>
      <w:r>
        <w:tab/>
      </w:r>
      <w:r w:rsidR="0021140F">
        <w:t>AEP Ohio’s reliance on t</w:t>
      </w:r>
      <w:r w:rsidR="008A5D90">
        <w:t>he economic base model</w:t>
      </w:r>
      <w:bookmarkEnd w:id="152"/>
      <w:r w:rsidR="00445BA1">
        <w:t xml:space="preserve"> is misplaced</w:t>
      </w:r>
      <w:r>
        <w:t>.</w:t>
      </w:r>
      <w:bookmarkEnd w:id="153"/>
    </w:p>
    <w:p w:rsidR="000B73A3" w:rsidRPr="000B73A3" w:rsidRDefault="000B73A3" w:rsidP="000C6CFB">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 xml:space="preserve">As discussed earlier, AEP Ohio Witness Allen </w:t>
      </w:r>
      <w:r w:rsidR="008E507D">
        <w:rPr>
          <w:rFonts w:ascii="Times New Roman" w:hAnsi="Times New Roman" w:cs="Times New Roman"/>
          <w:sz w:val="24"/>
          <w:szCs w:val="24"/>
        </w:rPr>
        <w:t>attached documents to his</w:t>
      </w:r>
      <w:r w:rsidRPr="000B73A3">
        <w:rPr>
          <w:rFonts w:ascii="Times New Roman" w:hAnsi="Times New Roman" w:cs="Times New Roman"/>
          <w:sz w:val="24"/>
          <w:szCs w:val="24"/>
        </w:rPr>
        <w:t xml:space="preserve"> testimony that purported to address the economic impact that the closure of the selected generation plants would have on Ohio’s economy.  Such testimony, as discussed earlier, is far from sufficient for AEP Ohio to meet its burden of proof.  That result is confirmed by, and independently justified by, testimony from OCC Witness Dormady.</w:t>
      </w:r>
    </w:p>
    <w:p w:rsidR="000B73A3" w:rsidRPr="000B73A3" w:rsidRDefault="000B73A3" w:rsidP="000C6CFB">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 xml:space="preserve">AEP Ohio used the economic base model to develop its </w:t>
      </w:r>
      <w:r w:rsidR="002740CC">
        <w:rPr>
          <w:rFonts w:ascii="Times New Roman" w:hAnsi="Times New Roman" w:cs="Times New Roman"/>
          <w:sz w:val="24"/>
          <w:szCs w:val="24"/>
        </w:rPr>
        <w:t xml:space="preserve">alleged </w:t>
      </w:r>
      <w:r w:rsidRPr="000B73A3">
        <w:rPr>
          <w:rFonts w:ascii="Times New Roman" w:hAnsi="Times New Roman" w:cs="Times New Roman"/>
          <w:sz w:val="24"/>
          <w:szCs w:val="24"/>
        </w:rPr>
        <w:t>economic impact.  The model was developed in the 1920s and since the 1970s has rarely been used.</w:t>
      </w:r>
      <w:r w:rsidRPr="000B73A3">
        <w:rPr>
          <w:rStyle w:val="FootnoteReference"/>
          <w:rFonts w:ascii="Times New Roman" w:hAnsi="Times New Roman" w:cs="Times New Roman"/>
          <w:sz w:val="24"/>
          <w:szCs w:val="24"/>
        </w:rPr>
        <w:footnoteReference w:id="661"/>
      </w:r>
      <w:r w:rsidRPr="000B73A3">
        <w:rPr>
          <w:rFonts w:ascii="Times New Roman" w:hAnsi="Times New Roman" w:cs="Times New Roman"/>
          <w:sz w:val="24"/>
          <w:szCs w:val="24"/>
        </w:rPr>
        <w:t xml:space="preserve">  In fact, leading economists openly critique using the model at all, saying “[e]conomic base models suffer from old age: they have been built by so many analysts with varying levels of quality and they have been criticized so often that little remains except the concept.”</w:t>
      </w:r>
      <w:r w:rsidRPr="000B73A3">
        <w:rPr>
          <w:rStyle w:val="FootnoteReference"/>
          <w:rFonts w:ascii="Times New Roman" w:hAnsi="Times New Roman" w:cs="Times New Roman"/>
          <w:sz w:val="24"/>
          <w:szCs w:val="24"/>
        </w:rPr>
        <w:footnoteReference w:id="662"/>
      </w:r>
      <w:r w:rsidRPr="000B73A3">
        <w:rPr>
          <w:rFonts w:ascii="Times New Roman" w:hAnsi="Times New Roman" w:cs="Times New Roman"/>
          <w:sz w:val="24"/>
          <w:szCs w:val="24"/>
        </w:rPr>
        <w:t xml:space="preserve">  Put differently, “[e]conomic base models have had a long and checkered history, going back to the 1940s and even earlier. </w:t>
      </w:r>
      <w:r w:rsidR="00ED18C7">
        <w:rPr>
          <w:rFonts w:ascii="Times New Roman" w:hAnsi="Times New Roman" w:cs="Times New Roman"/>
          <w:sz w:val="24"/>
          <w:szCs w:val="24"/>
        </w:rPr>
        <w:t xml:space="preserve"> </w:t>
      </w:r>
      <w:r w:rsidRPr="000B73A3">
        <w:rPr>
          <w:rFonts w:ascii="Times New Roman" w:hAnsi="Times New Roman" w:cs="Times New Roman"/>
          <w:sz w:val="24"/>
          <w:szCs w:val="24"/>
        </w:rPr>
        <w:t>They have never been quite academically respectable . . . .”</w:t>
      </w:r>
      <w:r w:rsidRPr="000B73A3">
        <w:rPr>
          <w:rStyle w:val="FootnoteReference"/>
          <w:rFonts w:ascii="Times New Roman" w:hAnsi="Times New Roman" w:cs="Times New Roman"/>
          <w:sz w:val="24"/>
          <w:szCs w:val="24"/>
        </w:rPr>
        <w:footnoteReference w:id="663"/>
      </w:r>
      <w:r w:rsidRPr="000B73A3">
        <w:rPr>
          <w:rFonts w:ascii="Times New Roman" w:hAnsi="Times New Roman" w:cs="Times New Roman"/>
          <w:sz w:val="24"/>
          <w:szCs w:val="24"/>
        </w:rPr>
        <w:t xml:space="preserve"> </w:t>
      </w:r>
    </w:p>
    <w:p w:rsidR="000B73A3" w:rsidRPr="000B73A3"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OCC Witness Dormady explained that the economic base model is not highly regarded and that no credible analysts or economist utilize the approach.</w:t>
      </w:r>
      <w:r w:rsidRPr="000B73A3">
        <w:rPr>
          <w:rStyle w:val="FootnoteReference"/>
          <w:rFonts w:ascii="Times New Roman" w:hAnsi="Times New Roman" w:cs="Times New Roman"/>
          <w:sz w:val="24"/>
          <w:szCs w:val="24"/>
        </w:rPr>
        <w:footnoteReference w:id="664"/>
      </w:r>
      <w:r w:rsidRPr="000B73A3">
        <w:rPr>
          <w:rFonts w:ascii="Times New Roman" w:hAnsi="Times New Roman" w:cs="Times New Roman"/>
          <w:sz w:val="24"/>
          <w:szCs w:val="24"/>
        </w:rPr>
        <w:t xml:space="preserve"> </w:t>
      </w:r>
      <w:r w:rsidR="00ED18C7">
        <w:rPr>
          <w:rFonts w:ascii="Times New Roman" w:hAnsi="Times New Roman" w:cs="Times New Roman"/>
          <w:sz w:val="24"/>
          <w:szCs w:val="24"/>
        </w:rPr>
        <w:t xml:space="preserve"> </w:t>
      </w:r>
      <w:r w:rsidRPr="000B73A3">
        <w:rPr>
          <w:rFonts w:ascii="Times New Roman" w:hAnsi="Times New Roman" w:cs="Times New Roman"/>
          <w:sz w:val="24"/>
          <w:szCs w:val="24"/>
        </w:rPr>
        <w:t>OCC Witness Dormady pointed out that the model is based on historic, non-forecasted data regarding a single point in time and is not dynamic.</w:t>
      </w:r>
      <w:r w:rsidRPr="000B73A3">
        <w:rPr>
          <w:rStyle w:val="FootnoteReference"/>
          <w:rFonts w:ascii="Times New Roman" w:hAnsi="Times New Roman" w:cs="Times New Roman"/>
          <w:sz w:val="24"/>
          <w:szCs w:val="24"/>
        </w:rPr>
        <w:footnoteReference w:id="665"/>
      </w:r>
      <w:r w:rsidRPr="000B73A3">
        <w:rPr>
          <w:rFonts w:ascii="Times New Roman" w:hAnsi="Times New Roman" w:cs="Times New Roman"/>
          <w:sz w:val="24"/>
          <w:szCs w:val="24"/>
        </w:rPr>
        <w:t xml:space="preserve">  The model does not allow for adjustments to the inputs, such as labor and capital, which change over time.  According to OCC Witness Dormady, any </w:t>
      </w:r>
      <w:r w:rsidR="00873919">
        <w:rPr>
          <w:rFonts w:ascii="Times New Roman" w:hAnsi="Times New Roman" w:cs="Times New Roman"/>
          <w:sz w:val="24"/>
          <w:szCs w:val="24"/>
        </w:rPr>
        <w:t xml:space="preserve">credible </w:t>
      </w:r>
      <w:r w:rsidRPr="000B73A3">
        <w:rPr>
          <w:rFonts w:ascii="Times New Roman" w:hAnsi="Times New Roman" w:cs="Times New Roman"/>
          <w:sz w:val="24"/>
          <w:szCs w:val="24"/>
        </w:rPr>
        <w:t>long term economic model must allow for modifications to be made to inputs, but AEP Ohio’s economic base model is static and has no ability to incorporate any changes.</w:t>
      </w:r>
      <w:r w:rsidRPr="000B73A3">
        <w:rPr>
          <w:rStyle w:val="FootnoteReference"/>
          <w:rFonts w:ascii="Times New Roman" w:hAnsi="Times New Roman" w:cs="Times New Roman"/>
          <w:sz w:val="24"/>
          <w:szCs w:val="24"/>
        </w:rPr>
        <w:footnoteReference w:id="666"/>
      </w:r>
      <w:r w:rsidRPr="000B73A3">
        <w:rPr>
          <w:rFonts w:ascii="Times New Roman" w:hAnsi="Times New Roman" w:cs="Times New Roman"/>
          <w:sz w:val="24"/>
          <w:szCs w:val="24"/>
        </w:rPr>
        <w:t xml:space="preserve"> </w:t>
      </w:r>
    </w:p>
    <w:p w:rsidR="0047778E"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OCC Witness Dormady criticized AEP Ohio’s use of the economic base model because in the model industries are assigned to one of two highly aggregated sectors, basic and non-basic, which leads to misspecified results.</w:t>
      </w:r>
      <w:r w:rsidRPr="000B73A3">
        <w:rPr>
          <w:rStyle w:val="FootnoteReference"/>
          <w:rFonts w:ascii="Times New Roman" w:hAnsi="Times New Roman" w:cs="Times New Roman"/>
          <w:sz w:val="24"/>
          <w:szCs w:val="24"/>
        </w:rPr>
        <w:footnoteReference w:id="667"/>
      </w:r>
      <w:r w:rsidRPr="000B73A3">
        <w:rPr>
          <w:rFonts w:ascii="Times New Roman" w:hAnsi="Times New Roman" w:cs="Times New Roman"/>
          <w:sz w:val="24"/>
          <w:szCs w:val="24"/>
        </w:rPr>
        <w:t xml:space="preserve"> </w:t>
      </w:r>
      <w:r w:rsidR="00ED18C7">
        <w:rPr>
          <w:rFonts w:ascii="Times New Roman" w:hAnsi="Times New Roman" w:cs="Times New Roman"/>
          <w:sz w:val="24"/>
          <w:szCs w:val="24"/>
        </w:rPr>
        <w:t xml:space="preserve"> </w:t>
      </w:r>
      <w:r w:rsidRPr="000B73A3">
        <w:rPr>
          <w:rFonts w:ascii="Times New Roman" w:hAnsi="Times New Roman" w:cs="Times New Roman"/>
          <w:sz w:val="24"/>
          <w:szCs w:val="24"/>
        </w:rPr>
        <w:t>First, the location quotient method employed by AEP Ohio results in misassignment of industries into the basic or non-basic sectors.</w:t>
      </w:r>
      <w:r w:rsidRPr="000B73A3">
        <w:rPr>
          <w:rStyle w:val="FootnoteReference"/>
          <w:rFonts w:ascii="Times New Roman" w:hAnsi="Times New Roman" w:cs="Times New Roman"/>
          <w:sz w:val="24"/>
          <w:szCs w:val="24"/>
        </w:rPr>
        <w:footnoteReference w:id="668"/>
      </w:r>
      <w:r w:rsidRPr="000B73A3">
        <w:rPr>
          <w:rFonts w:ascii="Times New Roman" w:hAnsi="Times New Roman" w:cs="Times New Roman"/>
          <w:sz w:val="24"/>
          <w:szCs w:val="24"/>
        </w:rPr>
        <w:t xml:space="preserve">  Industries that are employed at a greater proportion locally than nationally are assigned entirely to the basic sector even when such industries are not entirely basic.</w:t>
      </w:r>
      <w:r w:rsidRPr="000B73A3">
        <w:rPr>
          <w:rStyle w:val="FootnoteReference"/>
          <w:rFonts w:ascii="Times New Roman" w:hAnsi="Times New Roman" w:cs="Times New Roman"/>
          <w:sz w:val="24"/>
          <w:szCs w:val="24"/>
        </w:rPr>
        <w:footnoteReference w:id="669"/>
      </w:r>
      <w:r w:rsidRPr="000B73A3">
        <w:rPr>
          <w:rFonts w:ascii="Times New Roman" w:hAnsi="Times New Roman" w:cs="Times New Roman"/>
          <w:sz w:val="24"/>
          <w:szCs w:val="24"/>
        </w:rPr>
        <w:t xml:space="preserve">  This is a major problem because it is the sectoral ratio that generates the economic multiplier that produces the total economic impact assessment.</w:t>
      </w:r>
      <w:r w:rsidRPr="000B73A3">
        <w:rPr>
          <w:rStyle w:val="FootnoteReference"/>
          <w:rFonts w:ascii="Times New Roman" w:hAnsi="Times New Roman" w:cs="Times New Roman"/>
          <w:sz w:val="24"/>
          <w:szCs w:val="24"/>
        </w:rPr>
        <w:footnoteReference w:id="670"/>
      </w:r>
      <w:r w:rsidRPr="000B73A3">
        <w:rPr>
          <w:rFonts w:ascii="Times New Roman" w:hAnsi="Times New Roman" w:cs="Times New Roman"/>
          <w:sz w:val="24"/>
          <w:szCs w:val="24"/>
        </w:rPr>
        <w:t xml:space="preserve"> </w:t>
      </w:r>
      <w:r w:rsidR="00ED18C7">
        <w:rPr>
          <w:rFonts w:ascii="Times New Roman" w:hAnsi="Times New Roman" w:cs="Times New Roman"/>
          <w:sz w:val="24"/>
          <w:szCs w:val="24"/>
        </w:rPr>
        <w:t xml:space="preserve"> </w:t>
      </w:r>
    </w:p>
    <w:p w:rsidR="000B73A3" w:rsidRPr="000B73A3"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Second, the model as used by AEP Ohio relegates all industries entirely, 100</w:t>
      </w:r>
      <w:r w:rsidR="00C8404C">
        <w:rPr>
          <w:rFonts w:ascii="Times New Roman" w:hAnsi="Times New Roman" w:cs="Times New Roman"/>
          <w:sz w:val="24"/>
          <w:szCs w:val="24"/>
        </w:rPr>
        <w:t xml:space="preserve"> percent</w:t>
      </w:r>
      <w:r w:rsidRPr="000B73A3">
        <w:rPr>
          <w:rFonts w:ascii="Times New Roman" w:hAnsi="Times New Roman" w:cs="Times New Roman"/>
          <w:sz w:val="24"/>
          <w:szCs w:val="24"/>
        </w:rPr>
        <w:t>, to either basic or non-basic.</w:t>
      </w:r>
      <w:r w:rsidRPr="000B73A3">
        <w:rPr>
          <w:rStyle w:val="FootnoteReference"/>
          <w:rFonts w:ascii="Times New Roman" w:hAnsi="Times New Roman" w:cs="Times New Roman"/>
          <w:sz w:val="24"/>
          <w:szCs w:val="24"/>
        </w:rPr>
        <w:footnoteReference w:id="671"/>
      </w:r>
      <w:r w:rsidRPr="000B73A3">
        <w:rPr>
          <w:rFonts w:ascii="Times New Roman" w:hAnsi="Times New Roman" w:cs="Times New Roman"/>
          <w:sz w:val="24"/>
          <w:szCs w:val="24"/>
        </w:rPr>
        <w:t xml:space="preserve">  In reality, many of these industries are partially basic and partially non-basic.</w:t>
      </w:r>
      <w:r w:rsidRPr="000B73A3">
        <w:rPr>
          <w:rStyle w:val="FootnoteReference"/>
          <w:rFonts w:ascii="Times New Roman" w:hAnsi="Times New Roman" w:cs="Times New Roman"/>
          <w:sz w:val="24"/>
          <w:szCs w:val="24"/>
        </w:rPr>
        <w:footnoteReference w:id="672"/>
      </w:r>
      <w:r w:rsidRPr="000B73A3">
        <w:rPr>
          <w:rFonts w:ascii="Times New Roman" w:hAnsi="Times New Roman" w:cs="Times New Roman"/>
          <w:sz w:val="24"/>
          <w:szCs w:val="24"/>
        </w:rPr>
        <w:t xml:space="preserve"> Third, the error inherent in determining which industries are considered basic versus non-basic is very dependent on the level of industrial classification disaggregation utilized.</w:t>
      </w:r>
      <w:r w:rsidRPr="000B73A3">
        <w:rPr>
          <w:rStyle w:val="FootnoteReference"/>
          <w:rFonts w:ascii="Times New Roman" w:hAnsi="Times New Roman" w:cs="Times New Roman"/>
          <w:sz w:val="24"/>
          <w:szCs w:val="24"/>
        </w:rPr>
        <w:footnoteReference w:id="673"/>
      </w:r>
      <w:r w:rsidRPr="000B73A3">
        <w:rPr>
          <w:rFonts w:ascii="Times New Roman" w:hAnsi="Times New Roman" w:cs="Times New Roman"/>
          <w:sz w:val="24"/>
          <w:szCs w:val="24"/>
        </w:rPr>
        <w:t xml:space="preserve">  The greater the degree of aggregation used for determining the assignment of basic and non-basic, the greater the potential for error in the modeling approach.</w:t>
      </w:r>
      <w:r w:rsidRPr="000B73A3">
        <w:rPr>
          <w:rStyle w:val="FootnoteReference"/>
          <w:rFonts w:ascii="Times New Roman" w:hAnsi="Times New Roman" w:cs="Times New Roman"/>
          <w:sz w:val="24"/>
          <w:szCs w:val="24"/>
        </w:rPr>
        <w:footnoteReference w:id="674"/>
      </w:r>
      <w:r w:rsidRPr="000B73A3">
        <w:rPr>
          <w:rFonts w:ascii="Times New Roman" w:hAnsi="Times New Roman" w:cs="Times New Roman"/>
          <w:sz w:val="24"/>
          <w:szCs w:val="24"/>
        </w:rPr>
        <w:t xml:space="preserve">  OCC Witness Dormady’s review of the AEP Ohio testimony and accompanying documents </w:t>
      </w:r>
      <w:r w:rsidR="002740CC">
        <w:rPr>
          <w:rFonts w:ascii="Times New Roman" w:hAnsi="Times New Roman" w:cs="Times New Roman"/>
          <w:sz w:val="24"/>
          <w:szCs w:val="24"/>
        </w:rPr>
        <w:t>revealed</w:t>
      </w:r>
      <w:r w:rsidRPr="000B73A3">
        <w:rPr>
          <w:rFonts w:ascii="Times New Roman" w:hAnsi="Times New Roman" w:cs="Times New Roman"/>
          <w:sz w:val="24"/>
          <w:szCs w:val="24"/>
        </w:rPr>
        <w:t xml:space="preserve"> no description of the aggregation scheme utilized to determine the assignment of industries into basic and non-basic sectors for the analysis.</w:t>
      </w:r>
      <w:r w:rsidRPr="000B73A3">
        <w:rPr>
          <w:rStyle w:val="FootnoteReference"/>
          <w:rFonts w:ascii="Times New Roman" w:hAnsi="Times New Roman" w:cs="Times New Roman"/>
          <w:sz w:val="24"/>
          <w:szCs w:val="24"/>
        </w:rPr>
        <w:footnoteReference w:id="675"/>
      </w:r>
    </w:p>
    <w:p w:rsidR="00DD51F4"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Another problem with the model utilized by AEP Ohio is that it violates the cross-hauling assumption that can lead to overstated impacts.</w:t>
      </w:r>
      <w:r w:rsidRPr="000B73A3">
        <w:rPr>
          <w:rStyle w:val="FootnoteReference"/>
          <w:rFonts w:ascii="Times New Roman" w:hAnsi="Times New Roman" w:cs="Times New Roman"/>
          <w:sz w:val="24"/>
          <w:szCs w:val="24"/>
        </w:rPr>
        <w:footnoteReference w:id="676"/>
      </w:r>
      <w:r w:rsidRPr="000B73A3">
        <w:rPr>
          <w:rFonts w:ascii="Times New Roman" w:hAnsi="Times New Roman" w:cs="Times New Roman"/>
          <w:sz w:val="24"/>
          <w:szCs w:val="24"/>
        </w:rPr>
        <w:t xml:space="preserve">  The economic base model employed by AEP Ohio assumes no cross-hauling, which means that the model assumes that all consumption in the basic sector is locally produced.</w:t>
      </w:r>
      <w:r w:rsidRPr="000B73A3">
        <w:rPr>
          <w:rStyle w:val="FootnoteReference"/>
          <w:rFonts w:ascii="Times New Roman" w:hAnsi="Times New Roman" w:cs="Times New Roman"/>
          <w:sz w:val="24"/>
          <w:szCs w:val="24"/>
        </w:rPr>
        <w:footnoteReference w:id="677"/>
      </w:r>
      <w:r w:rsidRPr="000B73A3">
        <w:rPr>
          <w:rFonts w:ascii="Times New Roman" w:hAnsi="Times New Roman" w:cs="Times New Roman"/>
          <w:sz w:val="24"/>
          <w:szCs w:val="24"/>
        </w:rPr>
        <w:t xml:space="preserve">  </w:t>
      </w:r>
    </w:p>
    <w:p w:rsidR="000B73A3" w:rsidRPr="000B73A3"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In other words, the model assumes that 100</w:t>
      </w:r>
      <w:r w:rsidR="00C8404C">
        <w:rPr>
          <w:rFonts w:ascii="Times New Roman" w:hAnsi="Times New Roman" w:cs="Times New Roman"/>
          <w:sz w:val="24"/>
          <w:szCs w:val="24"/>
        </w:rPr>
        <w:t xml:space="preserve"> percent</w:t>
      </w:r>
      <w:r w:rsidRPr="000B73A3">
        <w:rPr>
          <w:rFonts w:ascii="Times New Roman" w:hAnsi="Times New Roman" w:cs="Times New Roman"/>
          <w:sz w:val="24"/>
          <w:szCs w:val="24"/>
        </w:rPr>
        <w:t xml:space="preserve"> of the labor and capital inputs to the PPA Units and to the associated mining operations are provided from within the region entirely.</w:t>
      </w:r>
      <w:r w:rsidRPr="000B73A3">
        <w:rPr>
          <w:rStyle w:val="FootnoteReference"/>
          <w:rFonts w:ascii="Times New Roman" w:hAnsi="Times New Roman" w:cs="Times New Roman"/>
          <w:sz w:val="24"/>
          <w:szCs w:val="24"/>
        </w:rPr>
        <w:footnoteReference w:id="678"/>
      </w:r>
      <w:r w:rsidRPr="000B73A3">
        <w:rPr>
          <w:rFonts w:ascii="Times New Roman" w:hAnsi="Times New Roman" w:cs="Times New Roman"/>
          <w:sz w:val="24"/>
          <w:szCs w:val="24"/>
        </w:rPr>
        <w:t xml:space="preserve">  If any employees live in neighboring West Virginia, their incomes support non-basic industries outside the region and the use of the economic base model misstates the economic impacts.</w:t>
      </w:r>
      <w:r w:rsidRPr="000B73A3">
        <w:rPr>
          <w:rStyle w:val="FootnoteReference"/>
          <w:rFonts w:ascii="Times New Roman" w:hAnsi="Times New Roman" w:cs="Times New Roman"/>
          <w:sz w:val="24"/>
          <w:szCs w:val="24"/>
        </w:rPr>
        <w:footnoteReference w:id="679"/>
      </w:r>
      <w:r w:rsidRPr="000B73A3">
        <w:rPr>
          <w:rFonts w:ascii="Times New Roman" w:hAnsi="Times New Roman" w:cs="Times New Roman"/>
          <w:sz w:val="24"/>
          <w:szCs w:val="24"/>
        </w:rPr>
        <w:t xml:space="preserve"> </w:t>
      </w:r>
      <w:r w:rsidR="00ED18C7">
        <w:rPr>
          <w:rFonts w:ascii="Times New Roman" w:hAnsi="Times New Roman" w:cs="Times New Roman"/>
          <w:sz w:val="24"/>
          <w:szCs w:val="24"/>
        </w:rPr>
        <w:t xml:space="preserve"> </w:t>
      </w:r>
      <w:r w:rsidRPr="000B73A3">
        <w:rPr>
          <w:rFonts w:ascii="Times New Roman" w:hAnsi="Times New Roman" w:cs="Times New Roman"/>
          <w:sz w:val="24"/>
          <w:szCs w:val="24"/>
        </w:rPr>
        <w:t>If a PPA Unit buys materials from anywhere outside the region, the magnitude of the indirect labor and income effects will be overestimated.</w:t>
      </w:r>
      <w:r w:rsidRPr="000B73A3">
        <w:rPr>
          <w:rStyle w:val="FootnoteReference"/>
          <w:rFonts w:ascii="Times New Roman" w:hAnsi="Times New Roman" w:cs="Times New Roman"/>
          <w:sz w:val="24"/>
          <w:szCs w:val="24"/>
        </w:rPr>
        <w:footnoteReference w:id="680"/>
      </w:r>
      <w:r w:rsidRPr="000B73A3">
        <w:rPr>
          <w:rFonts w:ascii="Times New Roman" w:hAnsi="Times New Roman" w:cs="Times New Roman"/>
          <w:sz w:val="24"/>
          <w:szCs w:val="24"/>
        </w:rPr>
        <w:t xml:space="preserve"> </w:t>
      </w:r>
      <w:r w:rsidR="00ED18C7">
        <w:rPr>
          <w:rFonts w:ascii="Times New Roman" w:hAnsi="Times New Roman" w:cs="Times New Roman"/>
          <w:sz w:val="24"/>
          <w:szCs w:val="24"/>
        </w:rPr>
        <w:t xml:space="preserve"> </w:t>
      </w:r>
      <w:r w:rsidRPr="000B73A3">
        <w:rPr>
          <w:rFonts w:ascii="Times New Roman" w:hAnsi="Times New Roman" w:cs="Times New Roman"/>
          <w:sz w:val="24"/>
          <w:szCs w:val="24"/>
        </w:rPr>
        <w:t>The economic base model does not account for any details like this and therefore produces inaccurate economic impacts. AEP Ohio’s model also</w:t>
      </w:r>
      <w:r w:rsidR="002740CC">
        <w:rPr>
          <w:rFonts w:ascii="Times New Roman" w:hAnsi="Times New Roman" w:cs="Times New Roman"/>
          <w:sz w:val="24"/>
          <w:szCs w:val="24"/>
        </w:rPr>
        <w:t xml:space="preserve"> inappropriately </w:t>
      </w:r>
      <w:r w:rsidRPr="000B73A3">
        <w:rPr>
          <w:rFonts w:ascii="Times New Roman" w:hAnsi="Times New Roman" w:cs="Times New Roman"/>
          <w:sz w:val="24"/>
          <w:szCs w:val="24"/>
        </w:rPr>
        <w:t>assumes that all employee wages are spent in the local areas.</w:t>
      </w:r>
      <w:r w:rsidRPr="000B73A3">
        <w:rPr>
          <w:rStyle w:val="FootnoteReference"/>
          <w:rFonts w:ascii="Times New Roman" w:hAnsi="Times New Roman" w:cs="Times New Roman"/>
          <w:sz w:val="24"/>
          <w:szCs w:val="24"/>
        </w:rPr>
        <w:footnoteReference w:id="681"/>
      </w:r>
      <w:r w:rsidRPr="000B73A3">
        <w:rPr>
          <w:rFonts w:ascii="Times New Roman" w:hAnsi="Times New Roman" w:cs="Times New Roman"/>
          <w:sz w:val="24"/>
          <w:szCs w:val="24"/>
        </w:rPr>
        <w:t xml:space="preserve"> </w:t>
      </w:r>
    </w:p>
    <w:p w:rsidR="000B73A3" w:rsidRPr="000B73A3"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Economic base models fail to account for features of economic growth beyond exports from the basic sector and this grossly simplifies the macroeconomic effects of the analysis.</w:t>
      </w:r>
      <w:r w:rsidRPr="000B73A3">
        <w:rPr>
          <w:rStyle w:val="FootnoteReference"/>
          <w:rFonts w:ascii="Times New Roman" w:hAnsi="Times New Roman" w:cs="Times New Roman"/>
          <w:sz w:val="24"/>
          <w:szCs w:val="24"/>
        </w:rPr>
        <w:footnoteReference w:id="682"/>
      </w:r>
      <w:r w:rsidRPr="000B73A3">
        <w:rPr>
          <w:rFonts w:ascii="Times New Roman" w:hAnsi="Times New Roman" w:cs="Times New Roman"/>
          <w:sz w:val="24"/>
          <w:szCs w:val="24"/>
        </w:rPr>
        <w:t xml:space="preserve">  They assume that labor and capital productivities are the same as they are for the nation.</w:t>
      </w:r>
      <w:r w:rsidRPr="000B73A3">
        <w:rPr>
          <w:rStyle w:val="FootnoteReference"/>
          <w:rFonts w:ascii="Times New Roman" w:hAnsi="Times New Roman" w:cs="Times New Roman"/>
          <w:sz w:val="24"/>
          <w:szCs w:val="24"/>
        </w:rPr>
        <w:footnoteReference w:id="683"/>
      </w:r>
      <w:r w:rsidRPr="000B73A3">
        <w:rPr>
          <w:rFonts w:ascii="Times New Roman" w:hAnsi="Times New Roman" w:cs="Times New Roman"/>
          <w:sz w:val="24"/>
          <w:szCs w:val="24"/>
        </w:rPr>
        <w:t xml:space="preserve">  Where this assumption does not hold, the model will produce inaccurate macroeconomic impacts.</w:t>
      </w:r>
      <w:r w:rsidRPr="000B73A3">
        <w:rPr>
          <w:rStyle w:val="FootnoteReference"/>
          <w:rFonts w:ascii="Times New Roman" w:hAnsi="Times New Roman" w:cs="Times New Roman"/>
          <w:sz w:val="24"/>
          <w:szCs w:val="24"/>
        </w:rPr>
        <w:footnoteReference w:id="684"/>
      </w:r>
      <w:r w:rsidRPr="000B73A3">
        <w:rPr>
          <w:rFonts w:ascii="Times New Roman" w:hAnsi="Times New Roman" w:cs="Times New Roman"/>
          <w:sz w:val="24"/>
          <w:szCs w:val="24"/>
        </w:rPr>
        <w:t xml:space="preserve"> </w:t>
      </w:r>
      <w:r w:rsidR="00ED18C7">
        <w:rPr>
          <w:rFonts w:ascii="Times New Roman" w:hAnsi="Times New Roman" w:cs="Times New Roman"/>
          <w:sz w:val="24"/>
          <w:szCs w:val="24"/>
        </w:rPr>
        <w:t xml:space="preserve"> </w:t>
      </w:r>
      <w:r w:rsidRPr="000B73A3">
        <w:rPr>
          <w:rFonts w:ascii="Times New Roman" w:hAnsi="Times New Roman" w:cs="Times New Roman"/>
          <w:sz w:val="24"/>
          <w:szCs w:val="24"/>
        </w:rPr>
        <w:t>Further, economic base models ignore general equilibrium effects, meaning that the model does not account for the economy balancing itself due to price changes in supply and demand.</w:t>
      </w:r>
      <w:r w:rsidRPr="000B73A3">
        <w:rPr>
          <w:rStyle w:val="FootnoteReference"/>
          <w:rFonts w:ascii="Times New Roman" w:hAnsi="Times New Roman" w:cs="Times New Roman"/>
          <w:sz w:val="24"/>
          <w:szCs w:val="24"/>
        </w:rPr>
        <w:footnoteReference w:id="685"/>
      </w:r>
      <w:r w:rsidRPr="000B73A3">
        <w:rPr>
          <w:rFonts w:ascii="Times New Roman" w:hAnsi="Times New Roman" w:cs="Times New Roman"/>
          <w:sz w:val="24"/>
          <w:szCs w:val="24"/>
        </w:rPr>
        <w:t xml:space="preserve">  Each industry requires a diff</w:t>
      </w:r>
      <w:r w:rsidR="00FB7716">
        <w:rPr>
          <w:rFonts w:ascii="Times New Roman" w:hAnsi="Times New Roman" w:cs="Times New Roman"/>
          <w:sz w:val="24"/>
          <w:szCs w:val="24"/>
        </w:rPr>
        <w:t xml:space="preserve">erent production mix of inputs – </w:t>
      </w:r>
      <w:r w:rsidRPr="000B73A3">
        <w:rPr>
          <w:rFonts w:ascii="Times New Roman" w:hAnsi="Times New Roman" w:cs="Times New Roman"/>
          <w:sz w:val="24"/>
          <w:szCs w:val="24"/>
        </w:rPr>
        <w:t>labor and energy</w:t>
      </w:r>
      <w:r w:rsidR="00FB7716">
        <w:rPr>
          <w:rFonts w:ascii="Times New Roman" w:hAnsi="Times New Roman" w:cs="Times New Roman"/>
          <w:sz w:val="24"/>
          <w:szCs w:val="24"/>
        </w:rPr>
        <w:t>, for example</w:t>
      </w:r>
      <w:r w:rsidRPr="000B73A3">
        <w:rPr>
          <w:rFonts w:ascii="Times New Roman" w:hAnsi="Times New Roman" w:cs="Times New Roman"/>
          <w:sz w:val="24"/>
          <w:szCs w:val="24"/>
        </w:rPr>
        <w:t>.</w:t>
      </w:r>
      <w:r w:rsidRPr="000B73A3">
        <w:rPr>
          <w:rStyle w:val="FootnoteReference"/>
          <w:rFonts w:ascii="Times New Roman" w:hAnsi="Times New Roman" w:cs="Times New Roman"/>
          <w:sz w:val="24"/>
          <w:szCs w:val="24"/>
        </w:rPr>
        <w:footnoteReference w:id="686"/>
      </w:r>
      <w:r w:rsidRPr="000B73A3">
        <w:rPr>
          <w:rFonts w:ascii="Times New Roman" w:hAnsi="Times New Roman" w:cs="Times New Roman"/>
          <w:sz w:val="24"/>
          <w:szCs w:val="24"/>
        </w:rPr>
        <w:t xml:space="preserve">  Changes that occur in one sector are often mitigated by corresponding changes in other sectors/inputs through upstream and downstream supply changes.</w:t>
      </w:r>
      <w:r w:rsidRPr="000B73A3">
        <w:rPr>
          <w:rStyle w:val="FootnoteReference"/>
          <w:rFonts w:ascii="Times New Roman" w:hAnsi="Times New Roman" w:cs="Times New Roman"/>
          <w:sz w:val="24"/>
          <w:szCs w:val="24"/>
        </w:rPr>
        <w:footnoteReference w:id="687"/>
      </w:r>
      <w:r w:rsidRPr="000B73A3">
        <w:rPr>
          <w:rFonts w:ascii="Times New Roman" w:hAnsi="Times New Roman" w:cs="Times New Roman"/>
          <w:sz w:val="24"/>
          <w:szCs w:val="24"/>
        </w:rPr>
        <w:t xml:space="preserve">  </w:t>
      </w:r>
      <w:r w:rsidR="00C8404C">
        <w:rPr>
          <w:rFonts w:ascii="Times New Roman" w:hAnsi="Times New Roman" w:cs="Times New Roman"/>
          <w:sz w:val="24"/>
          <w:szCs w:val="24"/>
        </w:rPr>
        <w:t>Because</w:t>
      </w:r>
      <w:r w:rsidRPr="000B73A3">
        <w:rPr>
          <w:rFonts w:ascii="Times New Roman" w:hAnsi="Times New Roman" w:cs="Times New Roman"/>
          <w:sz w:val="24"/>
          <w:szCs w:val="24"/>
        </w:rPr>
        <w:t xml:space="preserve"> the economic base model does not account for such changes, it produces inaccurate results.</w:t>
      </w:r>
      <w:r w:rsidRPr="000B73A3">
        <w:rPr>
          <w:rStyle w:val="FootnoteReference"/>
          <w:rFonts w:ascii="Times New Roman" w:hAnsi="Times New Roman" w:cs="Times New Roman"/>
          <w:sz w:val="24"/>
          <w:szCs w:val="24"/>
        </w:rPr>
        <w:footnoteReference w:id="688"/>
      </w:r>
      <w:r w:rsidRPr="000B73A3">
        <w:rPr>
          <w:rFonts w:ascii="Times New Roman" w:hAnsi="Times New Roman" w:cs="Times New Roman"/>
          <w:sz w:val="24"/>
          <w:szCs w:val="24"/>
        </w:rPr>
        <w:t xml:space="preserve"> </w:t>
      </w:r>
    </w:p>
    <w:p w:rsidR="000B73A3" w:rsidRPr="000B73A3"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Economic base models assume that consumption ratios of non-basic sector goods and services are the same in the region as they are nationally.</w:t>
      </w:r>
      <w:r w:rsidRPr="000B73A3">
        <w:rPr>
          <w:rStyle w:val="FootnoteReference"/>
          <w:rFonts w:ascii="Times New Roman" w:hAnsi="Times New Roman" w:cs="Times New Roman"/>
          <w:sz w:val="24"/>
          <w:szCs w:val="24"/>
        </w:rPr>
        <w:footnoteReference w:id="689"/>
      </w:r>
      <w:r w:rsidRPr="000B73A3">
        <w:rPr>
          <w:rFonts w:ascii="Times New Roman" w:hAnsi="Times New Roman" w:cs="Times New Roman"/>
          <w:sz w:val="24"/>
          <w:szCs w:val="24"/>
        </w:rPr>
        <w:t xml:space="preserve">  OCC Witness Dormady explained that this assumption is often inaccurate when workers in rural areas do not purchase goods and services at the same level that consumers do on a national level.</w:t>
      </w:r>
      <w:r w:rsidRPr="000B73A3">
        <w:rPr>
          <w:rStyle w:val="FootnoteReference"/>
          <w:rFonts w:ascii="Times New Roman" w:hAnsi="Times New Roman" w:cs="Times New Roman"/>
          <w:sz w:val="24"/>
          <w:szCs w:val="24"/>
        </w:rPr>
        <w:footnoteReference w:id="690"/>
      </w:r>
      <w:r w:rsidRPr="000B73A3">
        <w:rPr>
          <w:rFonts w:ascii="Times New Roman" w:hAnsi="Times New Roman" w:cs="Times New Roman"/>
          <w:sz w:val="24"/>
          <w:szCs w:val="24"/>
        </w:rPr>
        <w:t xml:space="preserve">  If workers in the basic sector do not buy local goods in the same proportion as employees on a national level, the reliance on local non-basic sector inputs is overstated and will result in overstated macroeconomic impacts.</w:t>
      </w:r>
      <w:r w:rsidRPr="000B73A3">
        <w:rPr>
          <w:rStyle w:val="FootnoteReference"/>
          <w:rFonts w:ascii="Times New Roman" w:hAnsi="Times New Roman" w:cs="Times New Roman"/>
          <w:sz w:val="24"/>
          <w:szCs w:val="24"/>
        </w:rPr>
        <w:footnoteReference w:id="691"/>
      </w:r>
      <w:r w:rsidRPr="000B73A3">
        <w:rPr>
          <w:rFonts w:ascii="Times New Roman" w:hAnsi="Times New Roman" w:cs="Times New Roman"/>
          <w:sz w:val="24"/>
          <w:szCs w:val="24"/>
        </w:rPr>
        <w:t xml:space="preserve">  Economic based models also produce erroneous results since they assume that all non-basic employment is generated by demand from consumption by the basic sector, ignoring the possibility that some consumption can be driven by government expenditures.</w:t>
      </w:r>
      <w:r w:rsidRPr="000B73A3">
        <w:rPr>
          <w:rStyle w:val="FootnoteReference"/>
          <w:rFonts w:ascii="Times New Roman" w:hAnsi="Times New Roman" w:cs="Times New Roman"/>
          <w:sz w:val="24"/>
          <w:szCs w:val="24"/>
        </w:rPr>
        <w:footnoteReference w:id="692"/>
      </w:r>
      <w:r w:rsidRPr="000B73A3">
        <w:rPr>
          <w:rFonts w:ascii="Times New Roman" w:hAnsi="Times New Roman" w:cs="Times New Roman"/>
          <w:sz w:val="24"/>
          <w:szCs w:val="24"/>
        </w:rPr>
        <w:t xml:space="preserve"> </w:t>
      </w:r>
      <w:r w:rsidR="00ED18C7">
        <w:rPr>
          <w:rFonts w:ascii="Times New Roman" w:hAnsi="Times New Roman" w:cs="Times New Roman"/>
          <w:sz w:val="24"/>
          <w:szCs w:val="24"/>
        </w:rPr>
        <w:t xml:space="preserve"> </w:t>
      </w:r>
      <w:r w:rsidRPr="000B73A3">
        <w:rPr>
          <w:rFonts w:ascii="Times New Roman" w:hAnsi="Times New Roman" w:cs="Times New Roman"/>
          <w:sz w:val="24"/>
          <w:szCs w:val="24"/>
        </w:rPr>
        <w:t>This can include state or federal workers not supported directly by the basic sector and capital projects funded by the federal government.</w:t>
      </w:r>
      <w:r w:rsidRPr="000B73A3">
        <w:rPr>
          <w:rStyle w:val="FootnoteReference"/>
          <w:rFonts w:ascii="Times New Roman" w:hAnsi="Times New Roman" w:cs="Times New Roman"/>
          <w:sz w:val="24"/>
          <w:szCs w:val="24"/>
        </w:rPr>
        <w:footnoteReference w:id="693"/>
      </w:r>
      <w:r w:rsidRPr="000B73A3">
        <w:rPr>
          <w:rFonts w:ascii="Times New Roman" w:hAnsi="Times New Roman" w:cs="Times New Roman"/>
          <w:sz w:val="24"/>
          <w:szCs w:val="24"/>
        </w:rPr>
        <w:t xml:space="preserve">  OCC Witness Dormady explains that “[t]his assumption will tend to overstate the reliance of the local economy on the basic sector and overstate the magnitude of macroeconomic impacts.”</w:t>
      </w:r>
      <w:r w:rsidRPr="000B73A3">
        <w:rPr>
          <w:rStyle w:val="FootnoteReference"/>
          <w:rFonts w:ascii="Times New Roman" w:hAnsi="Times New Roman" w:cs="Times New Roman"/>
          <w:sz w:val="24"/>
          <w:szCs w:val="24"/>
        </w:rPr>
        <w:footnoteReference w:id="694"/>
      </w:r>
    </w:p>
    <w:p w:rsidR="000B73A3" w:rsidRPr="000B73A3"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Another faulty assumption made by AEP Ohio is that all coal workers supplying coal to the PPA Units will be unemployed if the PUCO does not approve the PPA Rider.</w:t>
      </w:r>
      <w:r w:rsidRPr="000B73A3">
        <w:rPr>
          <w:rStyle w:val="FootnoteReference"/>
          <w:rFonts w:ascii="Times New Roman" w:hAnsi="Times New Roman" w:cs="Times New Roman"/>
          <w:sz w:val="24"/>
          <w:szCs w:val="24"/>
        </w:rPr>
        <w:footnoteReference w:id="695"/>
      </w:r>
      <w:r w:rsidRPr="000B73A3">
        <w:rPr>
          <w:rFonts w:ascii="Times New Roman" w:hAnsi="Times New Roman" w:cs="Times New Roman"/>
          <w:sz w:val="24"/>
          <w:szCs w:val="24"/>
        </w:rPr>
        <w:t xml:space="preserve">  These workers could continue producing coal for other plants in Ohio or elsewhere.</w:t>
      </w:r>
      <w:r w:rsidRPr="000B73A3">
        <w:rPr>
          <w:rStyle w:val="FootnoteReference"/>
          <w:rFonts w:ascii="Times New Roman" w:hAnsi="Times New Roman" w:cs="Times New Roman"/>
          <w:sz w:val="24"/>
          <w:szCs w:val="24"/>
        </w:rPr>
        <w:footnoteReference w:id="696"/>
      </w:r>
      <w:r w:rsidRPr="000B73A3">
        <w:rPr>
          <w:rFonts w:ascii="Times New Roman" w:hAnsi="Times New Roman" w:cs="Times New Roman"/>
          <w:sz w:val="24"/>
          <w:szCs w:val="24"/>
        </w:rPr>
        <w:t xml:space="preserve">  If any of the coal workers continued to produce coal for other plants, they would not be accounted for in the economic impact model that AEP Ohio used.</w:t>
      </w:r>
      <w:r w:rsidRPr="000B73A3">
        <w:rPr>
          <w:rStyle w:val="FootnoteReference"/>
          <w:rFonts w:ascii="Times New Roman" w:hAnsi="Times New Roman" w:cs="Times New Roman"/>
          <w:sz w:val="24"/>
          <w:szCs w:val="24"/>
        </w:rPr>
        <w:footnoteReference w:id="697"/>
      </w:r>
      <w:r w:rsidRPr="000B73A3">
        <w:rPr>
          <w:rFonts w:ascii="Times New Roman" w:hAnsi="Times New Roman" w:cs="Times New Roman"/>
          <w:sz w:val="24"/>
          <w:szCs w:val="24"/>
        </w:rPr>
        <w:t xml:space="preserve"> AEP Ohio presents only the worst case (and thus highly unlikely) scenario for coal worker unemployment and the indirect economic consequences.</w:t>
      </w:r>
      <w:r w:rsidRPr="000B73A3">
        <w:rPr>
          <w:rStyle w:val="FootnoteReference"/>
          <w:rFonts w:ascii="Times New Roman" w:hAnsi="Times New Roman" w:cs="Times New Roman"/>
          <w:sz w:val="24"/>
          <w:szCs w:val="24"/>
        </w:rPr>
        <w:footnoteReference w:id="698"/>
      </w:r>
    </w:p>
    <w:p w:rsidR="000B73A3" w:rsidRPr="000B73A3"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OCC Witness Dormady opines succinctly that the economic base model, with all of its problems, is not likely to accurately portray the economic impacts of closing the PPA Units.</w:t>
      </w:r>
      <w:r w:rsidRPr="000B73A3">
        <w:rPr>
          <w:rStyle w:val="FootnoteReference"/>
          <w:rFonts w:ascii="Times New Roman" w:hAnsi="Times New Roman" w:cs="Times New Roman"/>
          <w:sz w:val="24"/>
          <w:szCs w:val="24"/>
        </w:rPr>
        <w:footnoteReference w:id="699"/>
      </w:r>
    </w:p>
    <w:p w:rsidR="000B73A3" w:rsidRPr="006E7EDA" w:rsidRDefault="00030E5A" w:rsidP="00316B0F">
      <w:pPr>
        <w:pStyle w:val="Heading5"/>
      </w:pPr>
      <w:bookmarkStart w:id="154" w:name="_Toc442104218"/>
      <w:r>
        <w:t>ii.</w:t>
      </w:r>
      <w:r>
        <w:tab/>
      </w:r>
      <w:bookmarkStart w:id="155" w:name="_Toc435428250"/>
      <w:r w:rsidR="008A5D90">
        <w:t>The economic base model does not address, a</w:t>
      </w:r>
      <w:r w:rsidR="000B73A3" w:rsidRPr="006E7EDA">
        <w:t>nd</w:t>
      </w:r>
      <w:r w:rsidR="008A5D90">
        <w:t xml:space="preserve"> cannot address, the effect of a change in electricity p</w:t>
      </w:r>
      <w:r w:rsidR="000B73A3" w:rsidRPr="006E7EDA">
        <w:t>rices</w:t>
      </w:r>
      <w:bookmarkEnd w:id="155"/>
      <w:r w:rsidR="00081CC7">
        <w:t xml:space="preserve"> and associated harm to consumers</w:t>
      </w:r>
      <w:r>
        <w:t>.</w:t>
      </w:r>
      <w:bookmarkEnd w:id="154"/>
    </w:p>
    <w:p w:rsidR="000B73A3" w:rsidRPr="000B73A3"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In its ESP III Opinion and Order, the PUCO directed AEP Ohio to address the impact that a closure of the PPA Units would have on electric prices and the resulting effect on economic development within the state.  But the economic base model cited to by AEP Ohio Witness Allen addresses only the impact of closing the PPA Units.  The economic based model was not used, and cannot be used, to estimate the macroeconomic/economic development impacts of electric price changes.</w:t>
      </w:r>
      <w:r w:rsidRPr="000B73A3">
        <w:rPr>
          <w:rStyle w:val="FootnoteReference"/>
          <w:rFonts w:ascii="Times New Roman" w:hAnsi="Times New Roman" w:cs="Times New Roman"/>
          <w:sz w:val="24"/>
          <w:szCs w:val="24"/>
        </w:rPr>
        <w:footnoteReference w:id="700"/>
      </w:r>
    </w:p>
    <w:p w:rsidR="000B73A3" w:rsidRPr="006E7EDA" w:rsidRDefault="00030E5A" w:rsidP="00316B0F">
      <w:pPr>
        <w:pStyle w:val="Heading5"/>
      </w:pPr>
      <w:bookmarkStart w:id="156" w:name="_Toc442104219"/>
      <w:r>
        <w:t>iii.</w:t>
      </w:r>
      <w:r>
        <w:tab/>
      </w:r>
      <w:bookmarkStart w:id="157" w:name="_Toc435428251"/>
      <w:r w:rsidR="008A5D90">
        <w:t>The economic base model does not address, and cannot address, the effect of future carbon c</w:t>
      </w:r>
      <w:r w:rsidR="000B73A3" w:rsidRPr="006E7EDA">
        <w:t>osts</w:t>
      </w:r>
      <w:bookmarkEnd w:id="157"/>
      <w:r w:rsidR="00081CC7">
        <w:t xml:space="preserve"> and associated harm to consumers</w:t>
      </w:r>
      <w:r w:rsidR="003023F5">
        <w:t>.</w:t>
      </w:r>
      <w:bookmarkEnd w:id="156"/>
    </w:p>
    <w:p w:rsidR="00FB7716" w:rsidRDefault="000B73A3" w:rsidP="00A6167C">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OCC Witness Dormady discussed the likelihood that beginning in the forecasted year 2022, consumer charges may increase due to the implementation of the Clean Power Plan.</w:t>
      </w:r>
      <w:r w:rsidRPr="000B73A3">
        <w:rPr>
          <w:rStyle w:val="FootnoteReference"/>
          <w:rFonts w:ascii="Times New Roman" w:hAnsi="Times New Roman" w:cs="Times New Roman"/>
          <w:sz w:val="24"/>
          <w:szCs w:val="24"/>
        </w:rPr>
        <w:footnoteReference w:id="701"/>
      </w:r>
      <w:r w:rsidRPr="000B73A3">
        <w:rPr>
          <w:rFonts w:ascii="Times New Roman" w:hAnsi="Times New Roman" w:cs="Times New Roman"/>
          <w:sz w:val="24"/>
          <w:szCs w:val="24"/>
        </w:rPr>
        <w:t xml:space="preserve">  He referred to the testimony of AEP Ohio Witness Pearce, who acknowledged that “[t]he results are reasonably conservative in that they include a ‘double whammy’ of both the carbon expense and the resulting reduced dispatch due to the higher cost basis.”</w:t>
      </w:r>
      <w:r w:rsidRPr="000B73A3">
        <w:rPr>
          <w:rStyle w:val="FootnoteReference"/>
          <w:rFonts w:ascii="Times New Roman" w:hAnsi="Times New Roman" w:cs="Times New Roman"/>
          <w:sz w:val="24"/>
          <w:szCs w:val="24"/>
        </w:rPr>
        <w:footnoteReference w:id="702"/>
      </w:r>
      <w:r w:rsidRPr="000B73A3">
        <w:rPr>
          <w:rFonts w:ascii="Times New Roman" w:hAnsi="Times New Roman" w:cs="Times New Roman"/>
          <w:sz w:val="24"/>
          <w:szCs w:val="24"/>
        </w:rPr>
        <w:t xml:space="preserve">  AEP Witness Pearce’s testimony quantifies more than three quarters of a billion dollars of carbon costs associated with the PPA Rider for the last three forecasted years that will be passed on to customers.</w:t>
      </w:r>
      <w:r w:rsidRPr="000B73A3">
        <w:rPr>
          <w:rStyle w:val="FootnoteReference"/>
          <w:rFonts w:ascii="Times New Roman" w:hAnsi="Times New Roman" w:cs="Times New Roman"/>
          <w:sz w:val="24"/>
          <w:szCs w:val="24"/>
        </w:rPr>
        <w:footnoteReference w:id="703"/>
      </w:r>
      <w:r w:rsidRPr="000B73A3">
        <w:rPr>
          <w:rFonts w:ascii="Times New Roman" w:hAnsi="Times New Roman" w:cs="Times New Roman"/>
          <w:sz w:val="24"/>
          <w:szCs w:val="24"/>
        </w:rPr>
        <w:tab/>
      </w:r>
      <w:r w:rsidR="00FB7716">
        <w:rPr>
          <w:rFonts w:ascii="Times New Roman" w:hAnsi="Times New Roman" w:cs="Times New Roman"/>
          <w:sz w:val="24"/>
          <w:szCs w:val="24"/>
        </w:rPr>
        <w:t xml:space="preserve"> </w:t>
      </w:r>
    </w:p>
    <w:p w:rsidR="00B31AE6" w:rsidRDefault="000B73A3" w:rsidP="00FB7716">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AEP Witness Pearce assumes a $15 per ton cost for carbon for the coal plants in the future, but OCC Witness Dormady affirmed that actual costs could be much higher or lower.</w:t>
      </w:r>
      <w:r w:rsidRPr="000B73A3">
        <w:rPr>
          <w:rStyle w:val="FootnoteReference"/>
          <w:rFonts w:ascii="Times New Roman" w:hAnsi="Times New Roman" w:cs="Times New Roman"/>
          <w:sz w:val="24"/>
          <w:szCs w:val="24"/>
        </w:rPr>
        <w:footnoteReference w:id="704"/>
      </w:r>
      <w:r w:rsidRPr="000B73A3">
        <w:rPr>
          <w:rFonts w:ascii="Times New Roman" w:hAnsi="Times New Roman" w:cs="Times New Roman"/>
          <w:sz w:val="24"/>
          <w:szCs w:val="24"/>
        </w:rPr>
        <w:t xml:space="preserve"> </w:t>
      </w:r>
      <w:r w:rsidR="00ED18C7">
        <w:rPr>
          <w:rFonts w:ascii="Times New Roman" w:hAnsi="Times New Roman" w:cs="Times New Roman"/>
          <w:sz w:val="24"/>
          <w:szCs w:val="24"/>
        </w:rPr>
        <w:t xml:space="preserve"> </w:t>
      </w:r>
      <w:r w:rsidRPr="000B73A3">
        <w:rPr>
          <w:rFonts w:ascii="Times New Roman" w:hAnsi="Times New Roman" w:cs="Times New Roman"/>
          <w:sz w:val="24"/>
          <w:szCs w:val="24"/>
        </w:rPr>
        <w:t xml:space="preserve">For this reason, OCC Witness Dormady recommends that a sensitivity analysis </w:t>
      </w:r>
      <w:r w:rsidR="002740CC">
        <w:rPr>
          <w:rFonts w:ascii="Times New Roman" w:hAnsi="Times New Roman" w:cs="Times New Roman"/>
          <w:sz w:val="24"/>
          <w:szCs w:val="24"/>
        </w:rPr>
        <w:t>should have been</w:t>
      </w:r>
      <w:r w:rsidRPr="000B73A3">
        <w:rPr>
          <w:rFonts w:ascii="Times New Roman" w:hAnsi="Times New Roman" w:cs="Times New Roman"/>
          <w:sz w:val="24"/>
          <w:szCs w:val="24"/>
        </w:rPr>
        <w:t xml:space="preserve"> used to allow the PUCO to evaluate the degree to which a valid range of carbon costs (that customers would pay through the PPA Rider) would affect the range of customer costs or credits.</w:t>
      </w:r>
      <w:r w:rsidRPr="000B73A3">
        <w:rPr>
          <w:rStyle w:val="FootnoteReference"/>
          <w:rFonts w:ascii="Times New Roman" w:hAnsi="Times New Roman" w:cs="Times New Roman"/>
          <w:sz w:val="24"/>
          <w:szCs w:val="24"/>
        </w:rPr>
        <w:footnoteReference w:id="705"/>
      </w:r>
      <w:r w:rsidRPr="000B73A3">
        <w:rPr>
          <w:rFonts w:ascii="Times New Roman" w:hAnsi="Times New Roman" w:cs="Times New Roman"/>
          <w:sz w:val="24"/>
          <w:szCs w:val="24"/>
        </w:rPr>
        <w:t xml:space="preserve"> </w:t>
      </w:r>
      <w:r w:rsidR="00ED18C7">
        <w:rPr>
          <w:rFonts w:ascii="Times New Roman" w:hAnsi="Times New Roman" w:cs="Times New Roman"/>
          <w:sz w:val="24"/>
          <w:szCs w:val="24"/>
        </w:rPr>
        <w:t xml:space="preserve"> </w:t>
      </w:r>
    </w:p>
    <w:p w:rsidR="000B73A3" w:rsidRPr="000B73A3" w:rsidRDefault="000B73A3" w:rsidP="00FB7716">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An analysis should be run that models the costs resulting from $5/ton of carbon, as well as a cost of $25/ton of carbon.</w:t>
      </w:r>
      <w:r w:rsidRPr="000B73A3">
        <w:rPr>
          <w:rStyle w:val="FootnoteReference"/>
          <w:rFonts w:ascii="Times New Roman" w:hAnsi="Times New Roman" w:cs="Times New Roman"/>
          <w:sz w:val="24"/>
          <w:szCs w:val="24"/>
        </w:rPr>
        <w:footnoteReference w:id="706"/>
      </w:r>
      <w:r w:rsidRPr="000B73A3">
        <w:rPr>
          <w:rFonts w:ascii="Times New Roman" w:hAnsi="Times New Roman" w:cs="Times New Roman"/>
          <w:sz w:val="24"/>
          <w:szCs w:val="24"/>
        </w:rPr>
        <w:t xml:space="preserve">  According to OCC Witness Dormady, a $25/ton carbon cost would pass $1.28 billion of carbon cost to customers in the years 2022 through 2024.</w:t>
      </w:r>
      <w:r w:rsidRPr="000B73A3">
        <w:rPr>
          <w:rStyle w:val="FootnoteReference"/>
          <w:rFonts w:ascii="Times New Roman" w:hAnsi="Times New Roman" w:cs="Times New Roman"/>
          <w:sz w:val="24"/>
          <w:szCs w:val="24"/>
        </w:rPr>
        <w:footnoteReference w:id="707"/>
      </w:r>
      <w:r w:rsidRPr="000B73A3">
        <w:rPr>
          <w:rFonts w:ascii="Times New Roman" w:hAnsi="Times New Roman" w:cs="Times New Roman"/>
          <w:sz w:val="24"/>
          <w:szCs w:val="24"/>
        </w:rPr>
        <w:t xml:space="preserve"> </w:t>
      </w:r>
      <w:r w:rsidR="002E72B1">
        <w:rPr>
          <w:rFonts w:ascii="Times New Roman" w:hAnsi="Times New Roman" w:cs="Times New Roman"/>
          <w:sz w:val="24"/>
          <w:szCs w:val="24"/>
        </w:rPr>
        <w:t xml:space="preserve"> </w:t>
      </w:r>
      <w:r w:rsidRPr="000B73A3">
        <w:rPr>
          <w:rFonts w:ascii="Times New Roman" w:hAnsi="Times New Roman" w:cs="Times New Roman"/>
          <w:sz w:val="24"/>
          <w:szCs w:val="24"/>
        </w:rPr>
        <w:t>A carbon cost of $15/ton would create customer costs of $768 million.</w:t>
      </w:r>
      <w:r w:rsidRPr="000B73A3">
        <w:rPr>
          <w:rStyle w:val="FootnoteReference"/>
          <w:rFonts w:ascii="Times New Roman" w:hAnsi="Times New Roman" w:cs="Times New Roman"/>
          <w:sz w:val="24"/>
          <w:szCs w:val="24"/>
        </w:rPr>
        <w:footnoteReference w:id="708"/>
      </w:r>
      <w:r w:rsidRPr="000B73A3">
        <w:rPr>
          <w:rFonts w:ascii="Times New Roman" w:hAnsi="Times New Roman" w:cs="Times New Roman"/>
          <w:sz w:val="24"/>
          <w:szCs w:val="24"/>
        </w:rPr>
        <w:t xml:space="preserve">  The enormity of such figures notwithstanding, nowhere does AEP Ohio provide a macroeconomic impact analysis of the effect that these carbon costs would have on Ohio.</w:t>
      </w:r>
      <w:r w:rsidRPr="000B73A3">
        <w:rPr>
          <w:rStyle w:val="FootnoteReference"/>
          <w:rFonts w:ascii="Times New Roman" w:hAnsi="Times New Roman" w:cs="Times New Roman"/>
          <w:sz w:val="24"/>
          <w:szCs w:val="24"/>
        </w:rPr>
        <w:footnoteReference w:id="709"/>
      </w:r>
      <w:r w:rsidRPr="000B73A3">
        <w:rPr>
          <w:rFonts w:ascii="Times New Roman" w:hAnsi="Times New Roman" w:cs="Times New Roman"/>
          <w:sz w:val="24"/>
          <w:szCs w:val="24"/>
        </w:rPr>
        <w:t xml:space="preserve"> </w:t>
      </w:r>
    </w:p>
    <w:p w:rsidR="000B73A3" w:rsidRPr="000B73A3" w:rsidRDefault="000B73A3" w:rsidP="00A57413">
      <w:pPr>
        <w:spacing w:after="0" w:line="480" w:lineRule="auto"/>
        <w:rPr>
          <w:rFonts w:ascii="Times New Roman" w:hAnsi="Times New Roman" w:cs="Times New Roman"/>
          <w:b/>
          <w:sz w:val="24"/>
          <w:szCs w:val="24"/>
        </w:rPr>
      </w:pPr>
      <w:r w:rsidRPr="000B73A3">
        <w:rPr>
          <w:rFonts w:ascii="Times New Roman" w:hAnsi="Times New Roman" w:cs="Times New Roman"/>
          <w:sz w:val="24"/>
          <w:szCs w:val="24"/>
        </w:rPr>
        <w:tab/>
        <w:t>OCC Witness Dormady also finds fault with AEP Ohio’s estimates using nominal dollars rather than in real dollars.</w:t>
      </w:r>
      <w:r w:rsidRPr="000B73A3">
        <w:rPr>
          <w:rStyle w:val="FootnoteReference"/>
          <w:rFonts w:ascii="Times New Roman" w:hAnsi="Times New Roman" w:cs="Times New Roman"/>
          <w:sz w:val="24"/>
          <w:szCs w:val="24"/>
        </w:rPr>
        <w:footnoteReference w:id="710"/>
      </w:r>
      <w:r w:rsidRPr="000B73A3">
        <w:rPr>
          <w:rFonts w:ascii="Times New Roman" w:hAnsi="Times New Roman" w:cs="Times New Roman"/>
          <w:sz w:val="24"/>
          <w:szCs w:val="24"/>
        </w:rPr>
        <w:t xml:space="preserve"> </w:t>
      </w:r>
      <w:r w:rsidR="002E72B1">
        <w:rPr>
          <w:rFonts w:ascii="Times New Roman" w:hAnsi="Times New Roman" w:cs="Times New Roman"/>
          <w:sz w:val="24"/>
          <w:szCs w:val="24"/>
        </w:rPr>
        <w:t xml:space="preserve"> </w:t>
      </w:r>
      <w:r w:rsidRPr="000B73A3">
        <w:rPr>
          <w:rFonts w:ascii="Times New Roman" w:hAnsi="Times New Roman" w:cs="Times New Roman"/>
          <w:sz w:val="24"/>
          <w:szCs w:val="24"/>
        </w:rPr>
        <w:t xml:space="preserve">He explains: “Because the supply of money changes across time due to inflation and other factors, it is customary to utilize Consumer Price Index (“CPI”) adjustment (i.e., based on the CPI for electricity prices) to a base year currency so that the analysis can be more easily evaluated for future years. </w:t>
      </w:r>
      <w:r w:rsidR="002E72B1">
        <w:rPr>
          <w:rFonts w:ascii="Times New Roman" w:hAnsi="Times New Roman" w:cs="Times New Roman"/>
          <w:sz w:val="24"/>
          <w:szCs w:val="24"/>
        </w:rPr>
        <w:t xml:space="preserve"> </w:t>
      </w:r>
      <w:r w:rsidRPr="000B73A3">
        <w:rPr>
          <w:rFonts w:ascii="Times New Roman" w:hAnsi="Times New Roman" w:cs="Times New Roman"/>
          <w:sz w:val="24"/>
          <w:szCs w:val="24"/>
        </w:rPr>
        <w:t>Using nominal dollar figures for the assumed carbon cost is tantamount to assuming that compliance costs for these plants (holding all else constant) will decline annually by the rate of inflation.”</w:t>
      </w:r>
      <w:r w:rsidRPr="000B73A3">
        <w:rPr>
          <w:rStyle w:val="FootnoteReference"/>
          <w:rFonts w:ascii="Times New Roman" w:hAnsi="Times New Roman" w:cs="Times New Roman"/>
          <w:sz w:val="24"/>
          <w:szCs w:val="24"/>
        </w:rPr>
        <w:footnoteReference w:id="711"/>
      </w:r>
      <w:r w:rsidRPr="000B73A3">
        <w:rPr>
          <w:rFonts w:ascii="Times New Roman" w:hAnsi="Times New Roman" w:cs="Times New Roman"/>
          <w:sz w:val="24"/>
          <w:szCs w:val="24"/>
        </w:rPr>
        <w:t xml:space="preserve"> </w:t>
      </w:r>
      <w:r w:rsidR="002E72B1">
        <w:rPr>
          <w:rFonts w:ascii="Times New Roman" w:hAnsi="Times New Roman" w:cs="Times New Roman"/>
          <w:sz w:val="24"/>
          <w:szCs w:val="24"/>
        </w:rPr>
        <w:t xml:space="preserve"> </w:t>
      </w:r>
      <w:r w:rsidRPr="000B73A3">
        <w:rPr>
          <w:rFonts w:ascii="Times New Roman" w:hAnsi="Times New Roman" w:cs="Times New Roman"/>
          <w:sz w:val="24"/>
          <w:szCs w:val="24"/>
        </w:rPr>
        <w:t>Because of the implementation of the Clean Power Plan and other environmental regulations, the compliance costs of these PPA Units will most assuredly require more carbon reductions, which means that the analysis put forth by AEP Ohio likely understates the carbon cost burden that will be imposed on customers by the PPA Rider.</w:t>
      </w:r>
      <w:r w:rsidRPr="000B73A3">
        <w:rPr>
          <w:rStyle w:val="FootnoteReference"/>
          <w:rFonts w:ascii="Times New Roman" w:hAnsi="Times New Roman" w:cs="Times New Roman"/>
          <w:sz w:val="24"/>
          <w:szCs w:val="24"/>
        </w:rPr>
        <w:footnoteReference w:id="712"/>
      </w:r>
    </w:p>
    <w:p w:rsidR="00AC3945" w:rsidRPr="006E7EDA" w:rsidRDefault="007672CB" w:rsidP="00316B0F">
      <w:pPr>
        <w:pStyle w:val="Heading5"/>
      </w:pPr>
      <w:bookmarkStart w:id="158" w:name="_Toc442104220"/>
      <w:r>
        <w:t>iv.</w:t>
      </w:r>
      <w:r>
        <w:tab/>
      </w:r>
      <w:bookmarkStart w:id="159" w:name="_Toc435428252"/>
      <w:r w:rsidR="008A5D90">
        <w:t>AEP Ohio’s attempt to r</w:t>
      </w:r>
      <w:r w:rsidR="000B73A3" w:rsidRPr="006E7EDA">
        <w:t>ebut O</w:t>
      </w:r>
      <w:r w:rsidR="008A5D90">
        <w:t>CC Witness Dormady’s testimony f</w:t>
      </w:r>
      <w:r w:rsidR="000B73A3" w:rsidRPr="006E7EDA">
        <w:t>ails</w:t>
      </w:r>
      <w:bookmarkEnd w:id="159"/>
      <w:r>
        <w:t>.</w:t>
      </w:r>
      <w:bookmarkEnd w:id="158"/>
    </w:p>
    <w:p w:rsidR="000B73A3" w:rsidRPr="000B73A3"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In rebuttal, AEP Ohio does not address any of OCC Witness Dormady’s substantive critiques of the economic base model.</w:t>
      </w:r>
      <w:r w:rsidRPr="000B73A3">
        <w:rPr>
          <w:rStyle w:val="FootnoteReference"/>
          <w:rFonts w:ascii="Times New Roman" w:hAnsi="Times New Roman" w:cs="Times New Roman"/>
          <w:sz w:val="24"/>
          <w:szCs w:val="24"/>
        </w:rPr>
        <w:footnoteReference w:id="713"/>
      </w:r>
      <w:r w:rsidRPr="000B73A3">
        <w:rPr>
          <w:rFonts w:ascii="Times New Roman" w:hAnsi="Times New Roman" w:cs="Times New Roman"/>
          <w:sz w:val="24"/>
          <w:szCs w:val="24"/>
        </w:rPr>
        <w:t xml:space="preserve">  </w:t>
      </w:r>
      <w:r w:rsidR="00FB7716">
        <w:rPr>
          <w:rFonts w:ascii="Times New Roman" w:hAnsi="Times New Roman" w:cs="Times New Roman"/>
          <w:sz w:val="24"/>
          <w:szCs w:val="24"/>
        </w:rPr>
        <w:t xml:space="preserve">AEP Ohio’s silence on this score is deafening.  </w:t>
      </w:r>
      <w:r w:rsidRPr="000B73A3">
        <w:rPr>
          <w:rFonts w:ascii="Times New Roman" w:hAnsi="Times New Roman" w:cs="Times New Roman"/>
          <w:sz w:val="24"/>
          <w:szCs w:val="24"/>
        </w:rPr>
        <w:t>Instead, in response to OCC Witness Dormady’s testimony that the economic base theory has gone largely forgotten since the 1970s, AEP Ohio cites to three instances in w</w:t>
      </w:r>
      <w:r w:rsidR="002740CC">
        <w:rPr>
          <w:rFonts w:ascii="Times New Roman" w:hAnsi="Times New Roman" w:cs="Times New Roman"/>
          <w:sz w:val="24"/>
          <w:szCs w:val="24"/>
        </w:rPr>
        <w:t>hich the economic based model has been</w:t>
      </w:r>
      <w:r w:rsidRPr="000B73A3">
        <w:rPr>
          <w:rFonts w:ascii="Times New Roman" w:hAnsi="Times New Roman" w:cs="Times New Roman"/>
          <w:sz w:val="24"/>
          <w:szCs w:val="24"/>
        </w:rPr>
        <w:t xml:space="preserve"> referenced.</w:t>
      </w:r>
      <w:r w:rsidRPr="000B73A3">
        <w:rPr>
          <w:rStyle w:val="FootnoteReference"/>
          <w:rFonts w:ascii="Times New Roman" w:hAnsi="Times New Roman" w:cs="Times New Roman"/>
          <w:sz w:val="24"/>
          <w:szCs w:val="24"/>
        </w:rPr>
        <w:footnoteReference w:id="714"/>
      </w:r>
      <w:r w:rsidRPr="000B73A3">
        <w:rPr>
          <w:rFonts w:ascii="Times New Roman" w:hAnsi="Times New Roman" w:cs="Times New Roman"/>
          <w:sz w:val="24"/>
          <w:szCs w:val="24"/>
        </w:rPr>
        <w:t xml:space="preserve">  One document was prepared over </w:t>
      </w:r>
      <w:r w:rsidR="00C8404C">
        <w:rPr>
          <w:rFonts w:ascii="Times New Roman" w:hAnsi="Times New Roman" w:cs="Times New Roman"/>
          <w:sz w:val="24"/>
          <w:szCs w:val="24"/>
        </w:rPr>
        <w:t>12</w:t>
      </w:r>
      <w:r w:rsidRPr="000B73A3">
        <w:rPr>
          <w:rFonts w:ascii="Times New Roman" w:hAnsi="Times New Roman" w:cs="Times New Roman"/>
          <w:sz w:val="24"/>
          <w:szCs w:val="24"/>
        </w:rPr>
        <w:t xml:space="preserve"> years ago for the World Bank by someone unknown to AEP Ohio and with whom AEP Ohio has never spoken; one document was prepared in Texas over six years ago by someone unknown to AEP Ohio and with whom AEP Ohio has never spoken; and one document was prepared over five years ago in Utah by someone unknown to AEP Ohio and with whom AEP Ohio has never spoken.</w:t>
      </w:r>
      <w:r w:rsidRPr="000B73A3">
        <w:rPr>
          <w:rStyle w:val="FootnoteReference"/>
          <w:rFonts w:ascii="Times New Roman" w:hAnsi="Times New Roman" w:cs="Times New Roman"/>
          <w:sz w:val="24"/>
          <w:szCs w:val="24"/>
        </w:rPr>
        <w:footnoteReference w:id="715"/>
      </w:r>
      <w:r w:rsidRPr="000B73A3">
        <w:rPr>
          <w:rFonts w:ascii="Times New Roman" w:hAnsi="Times New Roman" w:cs="Times New Roman"/>
          <w:sz w:val="24"/>
          <w:szCs w:val="24"/>
        </w:rPr>
        <w:t xml:space="preserve">  </w:t>
      </w:r>
    </w:p>
    <w:p w:rsidR="000B73A3" w:rsidRPr="000B73A3"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Regarding the document prepared for the World Bank, OCC Witness Dormady explained</w:t>
      </w:r>
      <w:r w:rsidR="002740CC">
        <w:rPr>
          <w:rFonts w:ascii="Times New Roman" w:hAnsi="Times New Roman" w:cs="Times New Roman"/>
          <w:sz w:val="24"/>
          <w:szCs w:val="24"/>
        </w:rPr>
        <w:t>:</w:t>
      </w:r>
      <w:r w:rsidR="002E72B1">
        <w:rPr>
          <w:rFonts w:ascii="Times New Roman" w:hAnsi="Times New Roman" w:cs="Times New Roman"/>
          <w:sz w:val="24"/>
          <w:szCs w:val="24"/>
        </w:rPr>
        <w:t xml:space="preserve"> </w:t>
      </w:r>
      <w:r w:rsidRPr="000B73A3">
        <w:rPr>
          <w:rFonts w:ascii="Times New Roman" w:hAnsi="Times New Roman" w:cs="Times New Roman"/>
          <w:sz w:val="24"/>
          <w:szCs w:val="24"/>
        </w:rPr>
        <w:t xml:space="preserve"> </w:t>
      </w:r>
      <w:r w:rsidR="002740CC">
        <w:rPr>
          <w:rFonts w:ascii="Times New Roman" w:hAnsi="Times New Roman" w:cs="Times New Roman"/>
          <w:sz w:val="24"/>
          <w:szCs w:val="24"/>
        </w:rPr>
        <w:t>“</w:t>
      </w:r>
      <w:r w:rsidRPr="000B73A3">
        <w:rPr>
          <w:rFonts w:ascii="Times New Roman" w:hAnsi="Times New Roman" w:cs="Times New Roman"/>
          <w:sz w:val="24"/>
          <w:szCs w:val="24"/>
        </w:rPr>
        <w:t>The World Bank is tasked with economic development in lower developed countries. Particularly in countries such as Tanzania hypothetically where there is a lack of good economic and regional economic data.”</w:t>
      </w:r>
      <w:r w:rsidRPr="000B73A3">
        <w:rPr>
          <w:rStyle w:val="FootnoteReference"/>
          <w:rFonts w:ascii="Times New Roman" w:hAnsi="Times New Roman" w:cs="Times New Roman"/>
          <w:sz w:val="24"/>
          <w:szCs w:val="24"/>
        </w:rPr>
        <w:footnoteReference w:id="716"/>
      </w:r>
      <w:r w:rsidRPr="000B73A3">
        <w:rPr>
          <w:rFonts w:ascii="Times New Roman" w:hAnsi="Times New Roman" w:cs="Times New Roman"/>
          <w:sz w:val="24"/>
          <w:szCs w:val="24"/>
        </w:rPr>
        <w:t xml:space="preserve">  OCC Witness Dormady went on to acknowledge that when there is a lack of good economic and regional economic data, such as in developing countries, the best approach may be the economic base model.</w:t>
      </w:r>
      <w:r w:rsidRPr="000B73A3">
        <w:rPr>
          <w:rStyle w:val="FootnoteReference"/>
          <w:rFonts w:ascii="Times New Roman" w:hAnsi="Times New Roman" w:cs="Times New Roman"/>
          <w:sz w:val="24"/>
          <w:szCs w:val="24"/>
        </w:rPr>
        <w:footnoteReference w:id="717"/>
      </w:r>
      <w:r w:rsidRPr="000B73A3">
        <w:rPr>
          <w:rFonts w:ascii="Times New Roman" w:hAnsi="Times New Roman" w:cs="Times New Roman"/>
          <w:sz w:val="24"/>
          <w:szCs w:val="24"/>
        </w:rPr>
        <w:t xml:space="preserve">  But in countries like the United States, there is a great amount of sophisticated data available on regional economies, so newer economic models are much more appropriate and create more accurate results.</w:t>
      </w:r>
      <w:r w:rsidRPr="000B73A3">
        <w:rPr>
          <w:rStyle w:val="FootnoteReference"/>
          <w:rFonts w:ascii="Times New Roman" w:hAnsi="Times New Roman" w:cs="Times New Roman"/>
          <w:sz w:val="24"/>
          <w:szCs w:val="24"/>
        </w:rPr>
        <w:footnoteReference w:id="718"/>
      </w:r>
    </w:p>
    <w:p w:rsidR="000B73A3" w:rsidRPr="000B73A3"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That AEP Ohio resorts to citing three documents from over five to twelve years old – none of which are from Ohio, none of which actually employ the economic base model,</w:t>
      </w:r>
      <w:r w:rsidRPr="000B73A3">
        <w:rPr>
          <w:rStyle w:val="FootnoteReference"/>
          <w:rFonts w:ascii="Times New Roman" w:hAnsi="Times New Roman" w:cs="Times New Roman"/>
          <w:sz w:val="24"/>
          <w:szCs w:val="24"/>
        </w:rPr>
        <w:footnoteReference w:id="719"/>
      </w:r>
      <w:r w:rsidRPr="000B73A3">
        <w:rPr>
          <w:rFonts w:ascii="Times New Roman" w:hAnsi="Times New Roman" w:cs="Times New Roman"/>
          <w:sz w:val="24"/>
          <w:szCs w:val="24"/>
        </w:rPr>
        <w:t xml:space="preserve"> none of which are related to the utility or generation industries, none of which are from peer-reviewed publications – confirms what OCC Witness Dormady described:  the economic base model has gone “largely forgotten” since the 1970s.</w:t>
      </w:r>
      <w:r w:rsidRPr="000B73A3">
        <w:rPr>
          <w:rFonts w:ascii="Times New Roman" w:hAnsi="Times New Roman" w:cs="Times New Roman"/>
          <w:sz w:val="24"/>
          <w:szCs w:val="24"/>
        </w:rPr>
        <w:tab/>
      </w:r>
    </w:p>
    <w:p w:rsidR="000B73A3" w:rsidRPr="006E7EDA" w:rsidRDefault="007672CB" w:rsidP="00C401CE">
      <w:pPr>
        <w:pStyle w:val="Heading4"/>
      </w:pPr>
      <w:bookmarkStart w:id="160" w:name="_Toc435428253"/>
      <w:bookmarkStart w:id="161" w:name="_Toc442104221"/>
      <w:r>
        <w:t>e.</w:t>
      </w:r>
      <w:r>
        <w:tab/>
      </w:r>
      <w:r w:rsidR="008A5D90">
        <w:t>AEP Ohio’s vague promises of limited review of revenue and cost data does not satisfy the r</w:t>
      </w:r>
      <w:r w:rsidR="000B73A3" w:rsidRPr="006E7EDA">
        <w:t>equire</w:t>
      </w:r>
      <w:r w:rsidR="008A5D90">
        <w:t xml:space="preserve">ment of providing the PUCO with </w:t>
      </w:r>
      <w:r w:rsidR="00B31AE6">
        <w:t>r</w:t>
      </w:r>
      <w:r w:rsidR="008A5D90">
        <w:t>igorous o</w:t>
      </w:r>
      <w:r w:rsidR="000B73A3" w:rsidRPr="006E7EDA">
        <w:t>versight</w:t>
      </w:r>
      <w:bookmarkEnd w:id="160"/>
      <w:r w:rsidR="00081CC7">
        <w:t>, thus increasing consumer risk</w:t>
      </w:r>
      <w:r>
        <w:t>.</w:t>
      </w:r>
      <w:bookmarkEnd w:id="161"/>
    </w:p>
    <w:p w:rsidR="000B73A3" w:rsidRPr="000B73A3" w:rsidRDefault="000B73A3" w:rsidP="00A57413">
      <w:pPr>
        <w:spacing w:after="0" w:line="480" w:lineRule="auto"/>
        <w:ind w:firstLine="720"/>
        <w:rPr>
          <w:rFonts w:ascii="Times New Roman" w:eastAsia="WenQuanYi Micro Hei" w:hAnsi="Times New Roman" w:cs="Times New Roman"/>
          <w:color w:val="00000A"/>
          <w:sz w:val="24"/>
          <w:szCs w:val="24"/>
          <w:lang w:eastAsia="zh-CN" w:bidi="hi-IN"/>
        </w:rPr>
      </w:pPr>
      <w:r w:rsidRPr="000B73A3">
        <w:rPr>
          <w:rFonts w:ascii="Times New Roman" w:eastAsia="WenQuanYi Micro Hei" w:hAnsi="Times New Roman" w:cs="Times New Roman"/>
          <w:color w:val="00000A"/>
          <w:sz w:val="24"/>
          <w:szCs w:val="24"/>
          <w:lang w:eastAsia="zh-CN" w:bidi="hi-IN"/>
        </w:rPr>
        <w:t>AEP Ohio's proposal allows the PUCO only a vague and limited review of revenue and cost data used in determining the PPA Rider.</w:t>
      </w:r>
      <w:r w:rsidRPr="000B73A3">
        <w:rPr>
          <w:rStyle w:val="FootnoteReference"/>
          <w:rFonts w:ascii="Times New Roman" w:eastAsia="WenQuanYi Micro Hei" w:hAnsi="Times New Roman" w:cs="Times New Roman"/>
          <w:color w:val="00000A"/>
          <w:sz w:val="24"/>
          <w:szCs w:val="24"/>
          <w:lang w:eastAsia="zh-CN" w:bidi="hi-IN"/>
        </w:rPr>
        <w:footnoteReference w:id="720"/>
      </w:r>
      <w:r w:rsidRPr="000B73A3">
        <w:rPr>
          <w:rFonts w:ascii="Times New Roman" w:eastAsia="WenQuanYi Micro Hei" w:hAnsi="Times New Roman" w:cs="Times New Roman"/>
          <w:color w:val="00000A"/>
          <w:sz w:val="24"/>
          <w:szCs w:val="24"/>
          <w:lang w:eastAsia="zh-CN" w:bidi="hi-IN"/>
        </w:rPr>
        <w:t xml:space="preserve">  To pursue prudency or rate issues related to the PPA</w:t>
      </w:r>
      <w:r w:rsidR="00FB7716">
        <w:rPr>
          <w:rFonts w:ascii="Times New Roman" w:eastAsia="WenQuanYi Micro Hei" w:hAnsi="Times New Roman" w:cs="Times New Roman"/>
          <w:color w:val="00000A"/>
          <w:sz w:val="24"/>
          <w:szCs w:val="24"/>
          <w:lang w:eastAsia="zh-CN" w:bidi="hi-IN"/>
        </w:rPr>
        <w:t>s</w:t>
      </w:r>
      <w:r w:rsidRPr="000B73A3">
        <w:rPr>
          <w:rFonts w:ascii="Times New Roman" w:eastAsia="WenQuanYi Micro Hei" w:hAnsi="Times New Roman" w:cs="Times New Roman"/>
          <w:color w:val="00000A"/>
          <w:sz w:val="24"/>
          <w:szCs w:val="24"/>
          <w:lang w:eastAsia="zh-CN" w:bidi="hi-IN"/>
        </w:rPr>
        <w:t>, the PUCO wo</w:t>
      </w:r>
      <w:r w:rsidR="004618B0">
        <w:rPr>
          <w:rFonts w:ascii="Times New Roman" w:eastAsia="WenQuanYi Micro Hei" w:hAnsi="Times New Roman" w:cs="Times New Roman"/>
          <w:color w:val="00000A"/>
          <w:sz w:val="24"/>
          <w:szCs w:val="24"/>
          <w:lang w:eastAsia="zh-CN" w:bidi="hi-IN"/>
        </w:rPr>
        <w:t>uld be forced to complain to</w:t>
      </w:r>
      <w:r w:rsidRPr="000B73A3">
        <w:rPr>
          <w:rFonts w:ascii="Times New Roman" w:eastAsia="WenQuanYi Micro Hei" w:hAnsi="Times New Roman" w:cs="Times New Roman"/>
          <w:color w:val="00000A"/>
          <w:sz w:val="24"/>
          <w:szCs w:val="24"/>
          <w:lang w:eastAsia="zh-CN" w:bidi="hi-IN"/>
        </w:rPr>
        <w:t xml:space="preserve"> FERC.</w:t>
      </w:r>
      <w:r w:rsidRPr="000B73A3">
        <w:rPr>
          <w:rStyle w:val="FootnoteReference"/>
          <w:rFonts w:ascii="Times New Roman" w:eastAsia="WenQuanYi Micro Hei" w:hAnsi="Times New Roman" w:cs="Times New Roman"/>
          <w:color w:val="00000A"/>
          <w:sz w:val="24"/>
          <w:szCs w:val="24"/>
          <w:lang w:eastAsia="zh-CN" w:bidi="hi-IN"/>
        </w:rPr>
        <w:footnoteReference w:id="721"/>
      </w:r>
      <w:r w:rsidRPr="000B73A3">
        <w:rPr>
          <w:rFonts w:ascii="Times New Roman" w:eastAsia="WenQuanYi Micro Hei" w:hAnsi="Times New Roman" w:cs="Times New Roman"/>
          <w:color w:val="00000A"/>
          <w:sz w:val="24"/>
          <w:szCs w:val="24"/>
          <w:lang w:eastAsia="zh-CN" w:bidi="hi-IN"/>
        </w:rPr>
        <w:t xml:space="preserve">  OCC agrees with Staff</w:t>
      </w:r>
      <w:r w:rsidR="00940EFB">
        <w:rPr>
          <w:rFonts w:ascii="Times New Roman" w:eastAsia="WenQuanYi Micro Hei" w:hAnsi="Times New Roman" w:cs="Times New Roman"/>
          <w:color w:val="00000A"/>
          <w:sz w:val="24"/>
          <w:szCs w:val="24"/>
          <w:lang w:eastAsia="zh-CN" w:bidi="hi-IN"/>
        </w:rPr>
        <w:t>’s filed testimony</w:t>
      </w:r>
      <w:r w:rsidRPr="000B73A3">
        <w:rPr>
          <w:rFonts w:ascii="Times New Roman" w:eastAsia="WenQuanYi Micro Hei" w:hAnsi="Times New Roman" w:cs="Times New Roman"/>
          <w:color w:val="00000A"/>
          <w:sz w:val="24"/>
          <w:szCs w:val="24"/>
          <w:lang w:eastAsia="zh-CN" w:bidi="hi-IN"/>
        </w:rPr>
        <w:t xml:space="preserve"> that AEP Ohio has failed to prove that its Amended Application will provide the PUCO with the degree of rigorous oversight </w:t>
      </w:r>
      <w:r w:rsidR="00C8404C">
        <w:rPr>
          <w:rFonts w:ascii="Times New Roman" w:eastAsia="WenQuanYi Micro Hei" w:hAnsi="Times New Roman" w:cs="Times New Roman"/>
          <w:color w:val="00000A"/>
          <w:sz w:val="24"/>
          <w:szCs w:val="24"/>
          <w:lang w:eastAsia="zh-CN" w:bidi="hi-IN"/>
        </w:rPr>
        <w:t>required</w:t>
      </w:r>
      <w:r w:rsidRPr="000B73A3">
        <w:rPr>
          <w:rFonts w:ascii="Times New Roman" w:eastAsia="WenQuanYi Micro Hei" w:hAnsi="Times New Roman" w:cs="Times New Roman"/>
          <w:color w:val="00000A"/>
          <w:sz w:val="24"/>
          <w:szCs w:val="24"/>
          <w:lang w:eastAsia="zh-CN" w:bidi="hi-IN"/>
        </w:rPr>
        <w:t xml:space="preserve">.  </w:t>
      </w:r>
      <w:r w:rsidR="00940EFB">
        <w:rPr>
          <w:rFonts w:ascii="Times New Roman" w:eastAsia="WenQuanYi Micro Hei" w:hAnsi="Times New Roman" w:cs="Times New Roman"/>
          <w:color w:val="00000A"/>
          <w:sz w:val="24"/>
          <w:szCs w:val="24"/>
          <w:lang w:eastAsia="zh-CN" w:bidi="hi-IN"/>
        </w:rPr>
        <w:t xml:space="preserve">The Joint Stipulation does not cure this deficiency.  </w:t>
      </w:r>
      <w:r w:rsidRPr="000B73A3">
        <w:rPr>
          <w:rFonts w:ascii="Times New Roman" w:eastAsia="WenQuanYi Micro Hei" w:hAnsi="Times New Roman" w:cs="Times New Roman"/>
          <w:color w:val="00000A"/>
          <w:sz w:val="24"/>
          <w:szCs w:val="24"/>
          <w:lang w:eastAsia="zh-CN" w:bidi="hi-IN"/>
        </w:rPr>
        <w:t xml:space="preserve">But even an agreement to permit more rigorous review of AEP Ohio’s, and even AEPGR’s, revenue and cost data would not </w:t>
      </w:r>
      <w:r w:rsidR="00B61DCF">
        <w:rPr>
          <w:rFonts w:ascii="Times New Roman" w:eastAsia="WenQuanYi Micro Hei" w:hAnsi="Times New Roman" w:cs="Times New Roman"/>
          <w:color w:val="00000A"/>
          <w:sz w:val="24"/>
          <w:szCs w:val="24"/>
          <w:lang w:eastAsia="zh-CN" w:bidi="hi-IN"/>
        </w:rPr>
        <w:t>afford the PUCO meaningful oversight of AEP Ohio’s proposal</w:t>
      </w:r>
      <w:r w:rsidRPr="000B73A3">
        <w:rPr>
          <w:rFonts w:ascii="Times New Roman" w:eastAsia="WenQuanYi Micro Hei" w:hAnsi="Times New Roman" w:cs="Times New Roman"/>
          <w:color w:val="00000A"/>
          <w:sz w:val="24"/>
          <w:szCs w:val="24"/>
          <w:lang w:eastAsia="zh-CN" w:bidi="hi-IN"/>
        </w:rPr>
        <w:t xml:space="preserve">. </w:t>
      </w:r>
    </w:p>
    <w:p w:rsidR="00AA2EA0" w:rsidRDefault="000B73A3" w:rsidP="000C6CFB">
      <w:pPr>
        <w:spacing w:after="0" w:line="480" w:lineRule="auto"/>
        <w:ind w:firstLine="720"/>
        <w:rPr>
          <w:rFonts w:ascii="Times New Roman" w:eastAsia="WenQuanYi Micro Hei" w:hAnsi="Times New Roman" w:cs="Times New Roman"/>
          <w:color w:val="00000A"/>
          <w:sz w:val="24"/>
          <w:szCs w:val="24"/>
          <w:lang w:eastAsia="zh-CN" w:bidi="hi-IN"/>
        </w:rPr>
      </w:pPr>
      <w:r w:rsidRPr="000B73A3">
        <w:rPr>
          <w:rFonts w:ascii="Times New Roman" w:eastAsia="WenQuanYi Micro Hei" w:hAnsi="Times New Roman" w:cs="Times New Roman"/>
          <w:color w:val="00000A"/>
          <w:sz w:val="24"/>
          <w:szCs w:val="24"/>
          <w:lang w:eastAsia="zh-CN" w:bidi="hi-IN"/>
        </w:rPr>
        <w:t xml:space="preserve"> It is not disputed that the PUCO, in theory, has the authority to disallow recovery of PPA costs through the PPA Rider.  But the PPA has an early termination clause </w:t>
      </w:r>
      <w:r w:rsidR="00C8404C">
        <w:rPr>
          <w:rFonts w:ascii="Times New Roman" w:eastAsia="WenQuanYi Micro Hei" w:hAnsi="Times New Roman" w:cs="Times New Roman"/>
          <w:color w:val="00000A"/>
          <w:sz w:val="24"/>
          <w:szCs w:val="24"/>
          <w:lang w:eastAsia="zh-CN" w:bidi="hi-IN"/>
        </w:rPr>
        <w:t>that</w:t>
      </w:r>
      <w:r w:rsidRPr="000B73A3">
        <w:rPr>
          <w:rFonts w:ascii="Times New Roman" w:eastAsia="WenQuanYi Micro Hei" w:hAnsi="Times New Roman" w:cs="Times New Roman"/>
          <w:color w:val="00000A"/>
          <w:sz w:val="24"/>
          <w:szCs w:val="24"/>
          <w:lang w:eastAsia="zh-CN" w:bidi="hi-IN"/>
        </w:rPr>
        <w:t xml:space="preserve"> would permit AEP Ohio to terminate the PPA if the PUCO were to discontinue or disallow retail</w:t>
      </w:r>
      <w:r w:rsidR="004618B0">
        <w:rPr>
          <w:rFonts w:ascii="Times New Roman" w:eastAsia="WenQuanYi Micro Hei" w:hAnsi="Times New Roman" w:cs="Times New Roman"/>
          <w:color w:val="00000A"/>
          <w:sz w:val="24"/>
          <w:szCs w:val="24"/>
          <w:lang w:eastAsia="zh-CN" w:bidi="hi-IN"/>
        </w:rPr>
        <w:t xml:space="preserve"> rate recovery.</w:t>
      </w:r>
      <w:r w:rsidR="00AF64A0">
        <w:rPr>
          <w:rStyle w:val="FootnoteReference"/>
          <w:rFonts w:ascii="Times New Roman" w:eastAsia="WenQuanYi Micro Hei" w:hAnsi="Times New Roman" w:cs="Times New Roman"/>
          <w:color w:val="00000A"/>
          <w:sz w:val="24"/>
          <w:szCs w:val="24"/>
          <w:lang w:eastAsia="zh-CN" w:bidi="hi-IN"/>
        </w:rPr>
        <w:footnoteReference w:id="722"/>
      </w:r>
      <w:r w:rsidR="004618B0">
        <w:rPr>
          <w:rFonts w:ascii="Times New Roman" w:eastAsia="WenQuanYi Micro Hei" w:hAnsi="Times New Roman" w:cs="Times New Roman"/>
          <w:color w:val="00000A"/>
          <w:sz w:val="24"/>
          <w:szCs w:val="24"/>
          <w:lang w:eastAsia="zh-CN" w:bidi="hi-IN"/>
        </w:rPr>
        <w:t xml:space="preserve">  I</w:t>
      </w:r>
      <w:r w:rsidRPr="000B73A3">
        <w:rPr>
          <w:rFonts w:ascii="Times New Roman" w:eastAsia="WenQuanYi Micro Hei" w:hAnsi="Times New Roman" w:cs="Times New Roman"/>
          <w:color w:val="00000A"/>
          <w:sz w:val="24"/>
          <w:szCs w:val="24"/>
          <w:lang w:eastAsia="zh-CN" w:bidi="hi-IN"/>
        </w:rPr>
        <w:t>n the event</w:t>
      </w:r>
      <w:r w:rsidR="004618B0">
        <w:rPr>
          <w:rFonts w:ascii="Times New Roman" w:eastAsia="WenQuanYi Micro Hei" w:hAnsi="Times New Roman" w:cs="Times New Roman"/>
          <w:color w:val="00000A"/>
          <w:sz w:val="24"/>
          <w:szCs w:val="24"/>
          <w:lang w:eastAsia="zh-CN" w:bidi="hi-IN"/>
        </w:rPr>
        <w:t xml:space="preserve"> of</w:t>
      </w:r>
      <w:r w:rsidRPr="000B73A3">
        <w:rPr>
          <w:rFonts w:ascii="Times New Roman" w:eastAsia="WenQuanYi Micro Hei" w:hAnsi="Times New Roman" w:cs="Times New Roman"/>
          <w:color w:val="00000A"/>
          <w:sz w:val="24"/>
          <w:szCs w:val="24"/>
          <w:lang w:eastAsia="zh-CN" w:bidi="hi-IN"/>
        </w:rPr>
        <w:t xml:space="preserve"> such early termination, AEP Ohio would be required to pay AEPGR an amount equal to the sum of the net book value and related </w:t>
      </w:r>
    </w:p>
    <w:p w:rsidR="00AA2EA0" w:rsidRDefault="00AA2EA0">
      <w:pPr>
        <w:rPr>
          <w:rFonts w:ascii="Times New Roman" w:eastAsia="WenQuanYi Micro Hei" w:hAnsi="Times New Roman" w:cs="Times New Roman"/>
          <w:color w:val="00000A"/>
          <w:sz w:val="24"/>
          <w:szCs w:val="24"/>
          <w:lang w:eastAsia="zh-CN" w:bidi="hi-IN"/>
        </w:rPr>
      </w:pPr>
      <w:r>
        <w:rPr>
          <w:rFonts w:ascii="Times New Roman" w:eastAsia="WenQuanYi Micro Hei" w:hAnsi="Times New Roman" w:cs="Times New Roman"/>
          <w:color w:val="00000A"/>
          <w:sz w:val="24"/>
          <w:szCs w:val="24"/>
          <w:lang w:eastAsia="zh-CN" w:bidi="hi-IN"/>
        </w:rPr>
        <w:br w:type="page"/>
      </w:r>
    </w:p>
    <w:p w:rsidR="000B73A3" w:rsidRPr="000B73A3" w:rsidRDefault="000B73A3" w:rsidP="00AA2EA0">
      <w:pPr>
        <w:spacing w:after="0" w:line="480" w:lineRule="auto"/>
        <w:rPr>
          <w:rFonts w:ascii="Times New Roman" w:eastAsia="WenQuanYi Micro Hei" w:hAnsi="Times New Roman" w:cs="Times New Roman"/>
          <w:color w:val="00000A"/>
          <w:sz w:val="24"/>
          <w:szCs w:val="24"/>
          <w:lang w:eastAsia="zh-CN" w:bidi="hi-IN"/>
        </w:rPr>
      </w:pPr>
      <w:r w:rsidRPr="000B73A3">
        <w:rPr>
          <w:rFonts w:ascii="Times New Roman" w:eastAsia="WenQuanYi Micro Hei" w:hAnsi="Times New Roman" w:cs="Times New Roman"/>
          <w:color w:val="00000A"/>
          <w:sz w:val="24"/>
          <w:szCs w:val="24"/>
          <w:lang w:eastAsia="zh-CN" w:bidi="hi-IN"/>
        </w:rPr>
        <w:t>retirement-related costs associated with the PPA Units</w:t>
      </w:r>
      <w:r w:rsidR="00940EFB">
        <w:rPr>
          <w:rFonts w:ascii="Times New Roman" w:eastAsia="WenQuanYi Micro Hei" w:hAnsi="Times New Roman" w:cs="Times New Roman"/>
          <w:color w:val="00000A"/>
          <w:sz w:val="24"/>
          <w:szCs w:val="24"/>
          <w:lang w:eastAsia="zh-CN" w:bidi="hi-IN"/>
        </w:rPr>
        <w:t xml:space="preserve"> (or liquidated damages, were the Joint Stipulation approved)</w:t>
      </w:r>
      <w:r w:rsidRPr="000B73A3">
        <w:rPr>
          <w:rFonts w:ascii="Times New Roman" w:eastAsia="WenQuanYi Micro Hei" w:hAnsi="Times New Roman" w:cs="Times New Roman"/>
          <w:color w:val="00000A"/>
          <w:sz w:val="24"/>
          <w:szCs w:val="24"/>
          <w:lang w:eastAsia="zh-CN" w:bidi="hi-IN"/>
        </w:rPr>
        <w:t>.</w:t>
      </w:r>
      <w:r w:rsidRPr="000B73A3">
        <w:rPr>
          <w:rStyle w:val="FootnoteReference"/>
          <w:rFonts w:ascii="Times New Roman" w:eastAsia="WenQuanYi Micro Hei" w:hAnsi="Times New Roman" w:cs="Times New Roman"/>
          <w:color w:val="00000A"/>
          <w:sz w:val="24"/>
          <w:szCs w:val="24"/>
          <w:lang w:eastAsia="zh-CN" w:bidi="hi-IN"/>
        </w:rPr>
        <w:footnoteReference w:id="723"/>
      </w:r>
      <w:r w:rsidRPr="000B73A3">
        <w:rPr>
          <w:rFonts w:ascii="Times New Roman" w:eastAsia="WenQuanYi Micro Hei" w:hAnsi="Times New Roman" w:cs="Times New Roman"/>
          <w:color w:val="00000A"/>
          <w:sz w:val="24"/>
          <w:szCs w:val="24"/>
          <w:lang w:eastAsia="zh-CN" w:bidi="hi-IN"/>
        </w:rPr>
        <w:t xml:space="preserve"> </w:t>
      </w:r>
    </w:p>
    <w:p w:rsidR="000B73A3" w:rsidRPr="000B73A3" w:rsidRDefault="000B73A3" w:rsidP="000C6CFB">
      <w:pPr>
        <w:spacing w:after="0" w:line="480" w:lineRule="auto"/>
        <w:ind w:firstLine="720"/>
        <w:rPr>
          <w:rFonts w:ascii="Times New Roman" w:eastAsia="WenQuanYi Micro Hei" w:hAnsi="Times New Roman" w:cs="Times New Roman"/>
          <w:color w:val="00000A"/>
          <w:sz w:val="24"/>
          <w:szCs w:val="24"/>
          <w:lang w:eastAsia="zh-CN" w:bidi="hi-IN"/>
        </w:rPr>
      </w:pPr>
      <w:r w:rsidRPr="000B73A3">
        <w:rPr>
          <w:rFonts w:ascii="Times New Roman" w:eastAsia="WenQuanYi Micro Hei" w:hAnsi="Times New Roman" w:cs="Times New Roman"/>
          <w:color w:val="00000A"/>
          <w:sz w:val="24"/>
          <w:szCs w:val="24"/>
          <w:lang w:eastAsia="zh-CN" w:bidi="hi-IN"/>
        </w:rPr>
        <w:t>The early termination provision would likely have a chilling effect on the PUCO’s  oversight considering that, if it were to make a substantial disallowance,</w:t>
      </w:r>
      <w:r w:rsidR="00AF64A0">
        <w:rPr>
          <w:rStyle w:val="FootnoteReference"/>
          <w:rFonts w:ascii="Times New Roman" w:eastAsia="WenQuanYi Micro Hei" w:hAnsi="Times New Roman" w:cs="Times New Roman"/>
          <w:color w:val="00000A"/>
          <w:sz w:val="24"/>
          <w:szCs w:val="24"/>
          <w:lang w:eastAsia="zh-CN" w:bidi="hi-IN"/>
        </w:rPr>
        <w:footnoteReference w:id="724"/>
      </w:r>
      <w:r w:rsidRPr="000B73A3">
        <w:rPr>
          <w:rFonts w:ascii="Times New Roman" w:eastAsia="WenQuanYi Micro Hei" w:hAnsi="Times New Roman" w:cs="Times New Roman"/>
          <w:color w:val="00000A"/>
          <w:sz w:val="24"/>
          <w:szCs w:val="24"/>
          <w:lang w:eastAsia="zh-CN" w:bidi="hi-IN"/>
        </w:rPr>
        <w:t xml:space="preserve"> the PPA could be terminated, leaving AEP Ohio on the hook for these substantial early termination costs.  More likely, it is AEP Ohio’s customers who would bear these costs because their enormity would harm AEP Ohio’s financial solvency and decrease its ability to provide reliable service.</w:t>
      </w:r>
      <w:r w:rsidRPr="000B73A3">
        <w:rPr>
          <w:rStyle w:val="FootnoteReference"/>
          <w:rFonts w:ascii="Times New Roman" w:eastAsia="WenQuanYi Micro Hei" w:hAnsi="Times New Roman" w:cs="Times New Roman"/>
          <w:color w:val="00000A"/>
          <w:sz w:val="24"/>
          <w:szCs w:val="24"/>
          <w:lang w:eastAsia="zh-CN" w:bidi="hi-IN"/>
        </w:rPr>
        <w:footnoteReference w:id="725"/>
      </w:r>
    </w:p>
    <w:p w:rsidR="000B73A3" w:rsidRPr="000B73A3" w:rsidRDefault="000B73A3" w:rsidP="00A57413">
      <w:pPr>
        <w:spacing w:after="0" w:line="480" w:lineRule="auto"/>
        <w:ind w:firstLine="720"/>
        <w:rPr>
          <w:rFonts w:ascii="Times New Roman" w:eastAsia="WenQuanYi Micro Hei" w:hAnsi="Times New Roman" w:cs="Times New Roman"/>
          <w:color w:val="00000A"/>
          <w:sz w:val="24"/>
          <w:szCs w:val="24"/>
          <w:lang w:eastAsia="zh-CN" w:bidi="hi-IN"/>
        </w:rPr>
      </w:pPr>
      <w:r w:rsidRPr="000B73A3">
        <w:rPr>
          <w:rFonts w:ascii="Times New Roman" w:eastAsia="WenQuanYi Micro Hei" w:hAnsi="Times New Roman" w:cs="Times New Roman"/>
          <w:color w:val="00000A"/>
          <w:sz w:val="24"/>
          <w:szCs w:val="24"/>
          <w:lang w:eastAsia="zh-CN" w:bidi="hi-IN"/>
        </w:rPr>
        <w:t>Accordingly, the PUCO’s practical ability to ensure reasonable rates to AEP Ohio’s customers is seriously compromised by the PPA’s early termination clause, even if it has rigorous oversight.</w:t>
      </w:r>
    </w:p>
    <w:p w:rsidR="000B73A3" w:rsidRPr="006E7EDA" w:rsidRDefault="007672CB" w:rsidP="00C401CE">
      <w:pPr>
        <w:pStyle w:val="Heading4"/>
      </w:pPr>
      <w:bookmarkStart w:id="162" w:name="_Toc435428254"/>
      <w:bookmarkStart w:id="163" w:name="_Toc442104222"/>
      <w:r>
        <w:t>f.</w:t>
      </w:r>
      <w:r>
        <w:tab/>
      </w:r>
      <w:r w:rsidR="008A5D90">
        <w:t>AEP Ohio’s commitment to share “pertinent a</w:t>
      </w:r>
      <w:r w:rsidR="000B73A3" w:rsidRPr="006E7EDA">
        <w:t>sp</w:t>
      </w:r>
      <w:r w:rsidR="008A5D90">
        <w:t>ects of the P</w:t>
      </w:r>
      <w:r w:rsidR="0021140F">
        <w:t xml:space="preserve">ower </w:t>
      </w:r>
      <w:r w:rsidR="008A5D90">
        <w:t>P</w:t>
      </w:r>
      <w:r w:rsidR="0021140F">
        <w:t xml:space="preserve">urchase </w:t>
      </w:r>
      <w:r w:rsidR="008A5D90">
        <w:t>A</w:t>
      </w:r>
      <w:r w:rsidR="0021140F">
        <w:t>greement</w:t>
      </w:r>
      <w:r w:rsidR="008A5D90">
        <w:t xml:space="preserve"> with AEPGR” does not meet the requirement of full information s</w:t>
      </w:r>
      <w:r w:rsidR="000B73A3" w:rsidRPr="006E7EDA">
        <w:t>haring</w:t>
      </w:r>
      <w:bookmarkEnd w:id="162"/>
      <w:r w:rsidR="00081CC7">
        <w:t>, thus increasing consumer risk</w:t>
      </w:r>
      <w:r>
        <w:t>.</w:t>
      </w:r>
      <w:bookmarkEnd w:id="163"/>
    </w:p>
    <w:p w:rsidR="000B73A3" w:rsidRDefault="000B73A3" w:rsidP="00A57413">
      <w:pPr>
        <w:widowControl w:val="0"/>
        <w:suppressAutoHyphens/>
        <w:spacing w:after="0" w:line="480" w:lineRule="auto"/>
        <w:ind w:firstLine="720"/>
        <w:rPr>
          <w:rFonts w:ascii="Times New Roman" w:eastAsia="WenQuanYi Micro Hei" w:hAnsi="Times New Roman" w:cs="Times New Roman"/>
          <w:color w:val="00000A"/>
          <w:sz w:val="24"/>
          <w:szCs w:val="24"/>
          <w:lang w:eastAsia="zh-CN" w:bidi="hi-IN"/>
        </w:rPr>
      </w:pPr>
      <w:r w:rsidRPr="000B73A3">
        <w:rPr>
          <w:rFonts w:ascii="Times New Roman" w:eastAsia="WenQuanYi Micro Hei" w:hAnsi="Times New Roman" w:cs="Times New Roman"/>
          <w:color w:val="00000A"/>
          <w:sz w:val="24"/>
          <w:szCs w:val="24"/>
          <w:lang w:eastAsia="zh-CN" w:bidi="hi-IN"/>
        </w:rPr>
        <w:t>AEP Ohio and AEPGR did not commit to “full information sharing” with the PUCO and Staff, but committed only to sharing “all pertinent aspects of the PPA contract with AEPGR.”</w:t>
      </w:r>
      <w:r w:rsidRPr="000B73A3">
        <w:rPr>
          <w:rStyle w:val="FootnoteReference"/>
          <w:rFonts w:ascii="Times New Roman" w:eastAsia="WenQuanYi Micro Hei" w:hAnsi="Times New Roman" w:cs="Times New Roman"/>
          <w:color w:val="00000A"/>
          <w:sz w:val="24"/>
          <w:szCs w:val="24"/>
          <w:lang w:eastAsia="zh-CN" w:bidi="hi-IN"/>
        </w:rPr>
        <w:footnoteReference w:id="726"/>
      </w:r>
      <w:r w:rsidRPr="000B73A3">
        <w:rPr>
          <w:rFonts w:ascii="Times New Roman" w:eastAsia="WenQuanYi Micro Hei" w:hAnsi="Times New Roman" w:cs="Times New Roman"/>
          <w:color w:val="00000A"/>
          <w:sz w:val="24"/>
          <w:szCs w:val="24"/>
          <w:lang w:eastAsia="zh-CN" w:bidi="hi-IN"/>
        </w:rPr>
        <w:t xml:space="preserve">  Thus, the PUCO will not have the ability to fully review all purchasing and expenses of AEPGR.  It will be difficult, if not impossible, for the PUCO to fully examine the activities of the non-regulated generation assets in the PPA.</w:t>
      </w:r>
      <w:r w:rsidRPr="000B73A3">
        <w:rPr>
          <w:rStyle w:val="FootnoteReference"/>
          <w:rFonts w:ascii="Times New Roman" w:eastAsia="WenQuanYi Micro Hei" w:hAnsi="Times New Roman" w:cs="Times New Roman"/>
          <w:color w:val="00000A"/>
          <w:sz w:val="24"/>
          <w:szCs w:val="24"/>
          <w:lang w:eastAsia="zh-CN" w:bidi="hi-IN"/>
        </w:rPr>
        <w:footnoteReference w:id="727"/>
      </w:r>
    </w:p>
    <w:p w:rsidR="00C5389B" w:rsidRDefault="00C5389B" w:rsidP="00A57413">
      <w:pPr>
        <w:widowControl w:val="0"/>
        <w:suppressAutoHyphens/>
        <w:spacing w:after="0" w:line="480" w:lineRule="auto"/>
        <w:ind w:firstLine="720"/>
        <w:rPr>
          <w:rFonts w:ascii="Times New Roman" w:eastAsia="WenQuanYi Micro Hei" w:hAnsi="Times New Roman" w:cs="Times New Roman"/>
          <w:color w:val="00000A"/>
          <w:sz w:val="24"/>
          <w:szCs w:val="24"/>
          <w:lang w:eastAsia="zh-CN" w:bidi="hi-IN"/>
        </w:rPr>
      </w:pPr>
      <w:r>
        <w:rPr>
          <w:rFonts w:ascii="Times New Roman" w:eastAsia="WenQuanYi Micro Hei" w:hAnsi="Times New Roman" w:cs="Times New Roman"/>
          <w:color w:val="00000A"/>
          <w:sz w:val="24"/>
          <w:szCs w:val="24"/>
          <w:lang w:eastAsia="zh-CN" w:bidi="hi-IN"/>
        </w:rPr>
        <w:t>What AEP Ohio wants is to re-fashion regulation</w:t>
      </w:r>
      <w:r w:rsidR="00F24FB1">
        <w:rPr>
          <w:rFonts w:ascii="Times New Roman" w:eastAsia="WenQuanYi Micro Hei" w:hAnsi="Times New Roman" w:cs="Times New Roman"/>
          <w:color w:val="00000A"/>
          <w:sz w:val="24"/>
          <w:szCs w:val="24"/>
          <w:lang w:eastAsia="zh-CN" w:bidi="hi-IN"/>
        </w:rPr>
        <w:t xml:space="preserve"> as it would imagine it</w:t>
      </w:r>
      <w:r>
        <w:rPr>
          <w:rFonts w:ascii="Times New Roman" w:eastAsia="WenQuanYi Micro Hei" w:hAnsi="Times New Roman" w:cs="Times New Roman"/>
          <w:color w:val="00000A"/>
          <w:sz w:val="24"/>
          <w:szCs w:val="24"/>
          <w:lang w:eastAsia="zh-CN" w:bidi="hi-IN"/>
        </w:rPr>
        <w:t xml:space="preserve"> to work for </w:t>
      </w:r>
      <w:r w:rsidR="00F24FB1">
        <w:rPr>
          <w:rFonts w:ascii="Times New Roman" w:eastAsia="WenQuanYi Micro Hei" w:hAnsi="Times New Roman" w:cs="Times New Roman"/>
          <w:color w:val="00000A"/>
          <w:sz w:val="24"/>
          <w:szCs w:val="24"/>
          <w:lang w:eastAsia="zh-CN" w:bidi="hi-IN"/>
        </w:rPr>
        <w:t>ensuring</w:t>
      </w:r>
      <w:r>
        <w:rPr>
          <w:rFonts w:ascii="Times New Roman" w:eastAsia="WenQuanYi Micro Hei" w:hAnsi="Times New Roman" w:cs="Times New Roman"/>
          <w:color w:val="00000A"/>
          <w:sz w:val="24"/>
          <w:szCs w:val="24"/>
          <w:lang w:eastAsia="zh-CN" w:bidi="hi-IN"/>
        </w:rPr>
        <w:t xml:space="preserve"> co</w:t>
      </w:r>
      <w:r w:rsidR="00F24FB1">
        <w:rPr>
          <w:rFonts w:ascii="Times New Roman" w:eastAsia="WenQuanYi Micro Hei" w:hAnsi="Times New Roman" w:cs="Times New Roman"/>
          <w:color w:val="00000A"/>
          <w:sz w:val="24"/>
          <w:szCs w:val="24"/>
          <w:lang w:eastAsia="zh-CN" w:bidi="hi-IN"/>
        </w:rPr>
        <w:t>rporate profit.  But it would do so without what it would consider the unwelcome side effects of government review to ensure protection of the people (Ohioans) paying the profit.  In a real regulatory framework (contrasted with AEP Ohio’s construct), there would be a requirement for complete PUCO access to records such as what appears in R.C. 4905.15:</w:t>
      </w:r>
    </w:p>
    <w:p w:rsidR="00124C12" w:rsidRDefault="00F24FB1" w:rsidP="00AA2EA0">
      <w:pPr>
        <w:widowControl w:val="0"/>
        <w:suppressAutoHyphens/>
        <w:spacing w:after="0" w:line="240" w:lineRule="auto"/>
        <w:ind w:left="1440" w:right="720"/>
        <w:rPr>
          <w:rFonts w:ascii="Times New Roman" w:eastAsia="WenQuanYi Micro Hei" w:hAnsi="Times New Roman" w:cs="Times New Roman"/>
          <w:color w:val="00000A"/>
          <w:sz w:val="24"/>
          <w:szCs w:val="24"/>
          <w:lang w:eastAsia="zh-CN" w:bidi="hi-IN"/>
        </w:rPr>
      </w:pPr>
      <w:r w:rsidRPr="00F24FB1">
        <w:rPr>
          <w:rFonts w:ascii="Times New Roman" w:eastAsia="WenQuanYi Micro Hei" w:hAnsi="Times New Roman" w:cs="Times New Roman"/>
          <w:color w:val="00000A"/>
          <w:sz w:val="24"/>
          <w:szCs w:val="24"/>
          <w:lang w:eastAsia="zh-CN" w:bidi="hi-IN"/>
        </w:rPr>
        <w:t>Each public utility shall furnish to the public utilities commission, in such form and at such times as the commission requires, such accounts, reports, and information as shall show completely and in detail the entire operation of the public utility in furnishing the unit of its product or service to the public.</w:t>
      </w:r>
    </w:p>
    <w:p w:rsidR="00124C12" w:rsidRDefault="00124C12">
      <w:pPr>
        <w:widowControl w:val="0"/>
        <w:suppressAutoHyphens/>
        <w:spacing w:after="0" w:line="240" w:lineRule="auto"/>
        <w:rPr>
          <w:rFonts w:ascii="Times New Roman" w:eastAsia="WenQuanYi Micro Hei" w:hAnsi="Times New Roman" w:cs="Times New Roman"/>
          <w:color w:val="00000A"/>
          <w:sz w:val="24"/>
          <w:szCs w:val="24"/>
          <w:lang w:eastAsia="zh-CN" w:bidi="hi-IN"/>
        </w:rPr>
      </w:pPr>
    </w:p>
    <w:p w:rsidR="00124C12" w:rsidRDefault="00F24FB1">
      <w:pPr>
        <w:widowControl w:val="0"/>
        <w:suppressAutoHyphens/>
        <w:spacing w:after="0" w:line="480" w:lineRule="auto"/>
        <w:rPr>
          <w:rFonts w:ascii="Times New Roman" w:eastAsia="WenQuanYi Micro Hei" w:hAnsi="Times New Roman" w:cs="Times New Roman"/>
          <w:color w:val="00000A"/>
          <w:sz w:val="24"/>
          <w:szCs w:val="24"/>
          <w:lang w:eastAsia="zh-CN" w:bidi="hi-IN"/>
        </w:rPr>
      </w:pPr>
      <w:r>
        <w:rPr>
          <w:rFonts w:ascii="Times New Roman" w:eastAsia="WenQuanYi Micro Hei" w:hAnsi="Times New Roman" w:cs="Times New Roman"/>
          <w:color w:val="00000A"/>
          <w:sz w:val="24"/>
          <w:szCs w:val="24"/>
          <w:lang w:eastAsia="zh-CN" w:bidi="hi-IN"/>
        </w:rPr>
        <w:t>AEP Ohio’s approach to avoiding regulatory scrutiny of its re-regulatory plan should be denied.</w:t>
      </w:r>
    </w:p>
    <w:p w:rsidR="000B73A3" w:rsidRPr="006E7EDA" w:rsidRDefault="007672CB" w:rsidP="00C401CE">
      <w:pPr>
        <w:pStyle w:val="Heading4"/>
      </w:pPr>
      <w:bookmarkStart w:id="164" w:name="_Toc435428255"/>
      <w:bookmarkStart w:id="165" w:name="_Toc442104223"/>
      <w:r>
        <w:t>g.</w:t>
      </w:r>
      <w:r>
        <w:tab/>
      </w:r>
      <w:r w:rsidR="000B73A3" w:rsidRPr="006E7EDA">
        <w:t>The</w:t>
      </w:r>
      <w:r w:rsidR="008A5D90">
        <w:t xml:space="preserve"> potential for disallowing P</w:t>
      </w:r>
      <w:r w:rsidR="0021140F">
        <w:t xml:space="preserve">ower </w:t>
      </w:r>
      <w:r w:rsidR="008A5D90">
        <w:t>P</w:t>
      </w:r>
      <w:r w:rsidR="0021140F">
        <w:t xml:space="preserve">urchase </w:t>
      </w:r>
      <w:r w:rsidR="008A5D90">
        <w:t>A</w:t>
      </w:r>
      <w:r w:rsidR="0021140F">
        <w:t>greement</w:t>
      </w:r>
      <w:r w:rsidR="008A5D90">
        <w:t xml:space="preserve"> costs does not constitute the sharing of financial r</w:t>
      </w:r>
      <w:r w:rsidR="000B73A3" w:rsidRPr="006E7EDA">
        <w:t>isks</w:t>
      </w:r>
      <w:bookmarkEnd w:id="164"/>
      <w:r w:rsidR="0021140F">
        <w:t xml:space="preserve"> for the protection of consumers</w:t>
      </w:r>
      <w:r>
        <w:t>.</w:t>
      </w:r>
      <w:bookmarkEnd w:id="165"/>
      <w:r w:rsidR="000B73A3" w:rsidRPr="006E7EDA">
        <w:t xml:space="preserve"> </w:t>
      </w:r>
    </w:p>
    <w:p w:rsidR="000B73A3" w:rsidRPr="000B73A3"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 xml:space="preserve">To be sure, the PPA and PPA Rider completely transfer all risks associated with the continued operation of the PPA Units to AEP Ohio's </w:t>
      </w:r>
      <w:r w:rsidR="00C8404C">
        <w:rPr>
          <w:rFonts w:ascii="Times New Roman" w:hAnsi="Times New Roman" w:cs="Times New Roman"/>
          <w:sz w:val="24"/>
          <w:szCs w:val="24"/>
        </w:rPr>
        <w:t xml:space="preserve">captive </w:t>
      </w:r>
      <w:r w:rsidRPr="000B73A3">
        <w:rPr>
          <w:rFonts w:ascii="Times New Roman" w:hAnsi="Times New Roman" w:cs="Times New Roman"/>
          <w:sz w:val="24"/>
          <w:szCs w:val="24"/>
        </w:rPr>
        <w:t xml:space="preserve">customers.  AEP Ohio attempts to justify the proposal, in part, by projecting that the PPA Rider will result in a $574 million credit </w:t>
      </w:r>
      <w:r w:rsidR="00940EFB">
        <w:rPr>
          <w:rFonts w:ascii="Times New Roman" w:hAnsi="Times New Roman" w:cs="Times New Roman"/>
          <w:sz w:val="24"/>
          <w:szCs w:val="24"/>
        </w:rPr>
        <w:t xml:space="preserve">(or $721 million credit, were the Joint Stipulation approved) </w:t>
      </w:r>
      <w:r w:rsidRPr="000B73A3">
        <w:rPr>
          <w:rFonts w:ascii="Times New Roman" w:hAnsi="Times New Roman" w:cs="Times New Roman"/>
          <w:sz w:val="24"/>
          <w:szCs w:val="24"/>
        </w:rPr>
        <w:t xml:space="preserve">to customers over the initial </w:t>
      </w:r>
      <w:r w:rsidR="00C8404C">
        <w:rPr>
          <w:rFonts w:ascii="Times New Roman" w:hAnsi="Times New Roman" w:cs="Times New Roman"/>
          <w:sz w:val="24"/>
          <w:szCs w:val="24"/>
        </w:rPr>
        <w:t>10-</w:t>
      </w:r>
      <w:r w:rsidRPr="000B73A3">
        <w:rPr>
          <w:rFonts w:ascii="Times New Roman" w:hAnsi="Times New Roman" w:cs="Times New Roman"/>
          <w:sz w:val="24"/>
          <w:szCs w:val="24"/>
        </w:rPr>
        <w:t xml:space="preserve">year period </w:t>
      </w:r>
      <w:r w:rsidR="00940EFB">
        <w:rPr>
          <w:rFonts w:ascii="Times New Roman" w:hAnsi="Times New Roman" w:cs="Times New Roman"/>
          <w:sz w:val="24"/>
          <w:szCs w:val="24"/>
        </w:rPr>
        <w:t xml:space="preserve">(or eight and a half year period) </w:t>
      </w:r>
      <w:r w:rsidRPr="000B73A3">
        <w:rPr>
          <w:rFonts w:ascii="Times New Roman" w:hAnsi="Times New Roman" w:cs="Times New Roman"/>
          <w:sz w:val="24"/>
          <w:szCs w:val="24"/>
        </w:rPr>
        <w:t>of the PPA.</w:t>
      </w:r>
      <w:r w:rsidRPr="000B73A3">
        <w:rPr>
          <w:rStyle w:val="FootnoteReference"/>
          <w:rFonts w:ascii="Times New Roman" w:hAnsi="Times New Roman" w:cs="Times New Roman"/>
          <w:sz w:val="24"/>
          <w:szCs w:val="24"/>
        </w:rPr>
        <w:footnoteReference w:id="728"/>
      </w:r>
      <w:r w:rsidRPr="000B73A3">
        <w:rPr>
          <w:rFonts w:ascii="Times New Roman" w:hAnsi="Times New Roman" w:cs="Times New Roman"/>
          <w:sz w:val="24"/>
          <w:szCs w:val="24"/>
        </w:rPr>
        <w:t xml:space="preserve">  This purported credit is based on an analysis using a set of PJM market price and load assumptions that </w:t>
      </w:r>
      <w:r w:rsidR="00FE5C82">
        <w:rPr>
          <w:rFonts w:ascii="Times New Roman" w:hAnsi="Times New Roman" w:cs="Times New Roman"/>
          <w:sz w:val="24"/>
          <w:szCs w:val="24"/>
        </w:rPr>
        <w:t>are unlikely to</w:t>
      </w:r>
      <w:r w:rsidRPr="000B73A3">
        <w:rPr>
          <w:rFonts w:ascii="Times New Roman" w:hAnsi="Times New Roman" w:cs="Times New Roman"/>
          <w:sz w:val="24"/>
          <w:szCs w:val="24"/>
        </w:rPr>
        <w:t xml:space="preserve"> materialize. Indeed, credible evidence of record shows that AEP Ohio’s customers will be charged the staggering amount of $2 billion ($1.6 on a net present value basis) over the same ten year period.</w:t>
      </w:r>
      <w:r w:rsidRPr="000B73A3">
        <w:rPr>
          <w:rStyle w:val="FootnoteReference"/>
          <w:rFonts w:ascii="Times New Roman" w:hAnsi="Times New Roman" w:cs="Times New Roman"/>
          <w:sz w:val="24"/>
          <w:szCs w:val="24"/>
        </w:rPr>
        <w:footnoteReference w:id="729"/>
      </w:r>
      <w:r w:rsidRPr="000B73A3">
        <w:rPr>
          <w:rFonts w:ascii="Times New Roman" w:hAnsi="Times New Roman" w:cs="Times New Roman"/>
          <w:sz w:val="24"/>
          <w:szCs w:val="24"/>
        </w:rPr>
        <w:t xml:space="preserve">   Thus, AEP Ohio customers will fully bear all of the cost and economic risk of the PPA Units through the PPA Rider.  Such transfer of risk to captive monopoly customers is improper in a restructured market for generation services.  </w:t>
      </w:r>
    </w:p>
    <w:p w:rsidR="000B73A3" w:rsidRPr="000B73A3" w:rsidRDefault="000B73A3" w:rsidP="00A57413">
      <w:pPr>
        <w:spacing w:after="0" w:line="480" w:lineRule="auto"/>
        <w:rPr>
          <w:rFonts w:ascii="Times New Roman" w:hAnsi="Times New Roman" w:cs="Times New Roman"/>
          <w:sz w:val="24"/>
          <w:szCs w:val="24"/>
        </w:rPr>
      </w:pPr>
      <w:r w:rsidRPr="000B73A3">
        <w:rPr>
          <w:rFonts w:ascii="Times New Roman" w:hAnsi="Times New Roman" w:cs="Times New Roman"/>
          <w:sz w:val="24"/>
          <w:szCs w:val="24"/>
        </w:rPr>
        <w:tab/>
        <w:t xml:space="preserve">AEP Ohio's claim that the PPA could produce a $574 million </w:t>
      </w:r>
      <w:r w:rsidR="00940EFB">
        <w:rPr>
          <w:rFonts w:ascii="Times New Roman" w:hAnsi="Times New Roman" w:cs="Times New Roman"/>
          <w:sz w:val="24"/>
          <w:szCs w:val="24"/>
        </w:rPr>
        <w:t xml:space="preserve">(or $721 million) </w:t>
      </w:r>
      <w:r w:rsidRPr="000B73A3">
        <w:rPr>
          <w:rFonts w:ascii="Times New Roman" w:hAnsi="Times New Roman" w:cs="Times New Roman"/>
          <w:sz w:val="24"/>
          <w:szCs w:val="24"/>
        </w:rPr>
        <w:t xml:space="preserve">credit to ratepayers over its term is difficult to accept </w:t>
      </w:r>
      <w:r w:rsidRPr="000B73A3">
        <w:rPr>
          <w:rFonts w:ascii="Times New Roman" w:hAnsi="Times New Roman" w:cs="Times New Roman"/>
          <w:i/>
          <w:iCs/>
          <w:sz w:val="24"/>
          <w:szCs w:val="24"/>
        </w:rPr>
        <w:t>prima facie</w:t>
      </w:r>
      <w:r w:rsidRPr="000B73A3">
        <w:rPr>
          <w:rFonts w:ascii="Times New Roman" w:hAnsi="Times New Roman" w:cs="Times New Roman"/>
          <w:sz w:val="24"/>
          <w:szCs w:val="24"/>
        </w:rPr>
        <w:t xml:space="preserve">.  AEP Ohio admits that the PPA Units may not be able to recover their costs from PJM market revenues today.  If AEP Ohio believes its own analysis, that the PPA Units are likely profitable </w:t>
      </w:r>
      <w:r w:rsidR="00940EFB">
        <w:rPr>
          <w:rFonts w:ascii="Times New Roman" w:hAnsi="Times New Roman" w:cs="Times New Roman"/>
          <w:sz w:val="24"/>
          <w:szCs w:val="24"/>
        </w:rPr>
        <w:t>over the PPA Rider’s term</w:t>
      </w:r>
      <w:r w:rsidRPr="000B73A3">
        <w:rPr>
          <w:rFonts w:ascii="Times New Roman" w:hAnsi="Times New Roman" w:cs="Times New Roman"/>
          <w:sz w:val="24"/>
          <w:szCs w:val="24"/>
        </w:rPr>
        <w:t xml:space="preserve">, one would expect that AEPGR would invest capital to keep the PPA Units operating.  Because AEPGR (and presumably shareholders and investors) is unwilling to bear that risk, there is no rationale for why AEP Ohio's customers should be obliged to do so.  The only assumption that is guaranteed to come to fruition throughout the course of the PPA is the ongoing (and </w:t>
      </w:r>
      <w:r w:rsidR="00C8404C">
        <w:rPr>
          <w:rFonts w:ascii="Times New Roman" w:hAnsi="Times New Roman" w:cs="Times New Roman"/>
          <w:sz w:val="24"/>
          <w:szCs w:val="24"/>
        </w:rPr>
        <w:t>most likely</w:t>
      </w:r>
      <w:r w:rsidRPr="000B73A3">
        <w:rPr>
          <w:rFonts w:ascii="Times New Roman" w:hAnsi="Times New Roman" w:cs="Times New Roman"/>
          <w:sz w:val="24"/>
          <w:szCs w:val="24"/>
        </w:rPr>
        <w:t xml:space="preserve"> uneconomic) profits for the PPA Units.  Under this proposal, these profits would be guaranteed by AEP Ohio's captive customers.  </w:t>
      </w:r>
    </w:p>
    <w:p w:rsidR="000B73A3" w:rsidRPr="000B73A3"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It is against this backdrop that the PUCO required AEP Ohio to include in its Amended Application</w:t>
      </w:r>
      <w:r w:rsidR="006F2E2D">
        <w:rPr>
          <w:rFonts w:ascii="Times New Roman" w:hAnsi="Times New Roman" w:cs="Times New Roman"/>
          <w:sz w:val="24"/>
          <w:szCs w:val="24"/>
        </w:rPr>
        <w:t>/Modified Amended Application</w:t>
      </w:r>
      <w:r w:rsidRPr="000B73A3">
        <w:rPr>
          <w:rFonts w:ascii="Times New Roman" w:hAnsi="Times New Roman" w:cs="Times New Roman"/>
          <w:sz w:val="24"/>
          <w:szCs w:val="24"/>
        </w:rPr>
        <w:t xml:space="preserve"> a plan to allocate the PPA Rider’s financial risk between AEP Ohio and its ratepayers.</w:t>
      </w:r>
      <w:r w:rsidRPr="000B73A3">
        <w:rPr>
          <w:rStyle w:val="FootnoteReference"/>
          <w:rFonts w:ascii="Times New Roman" w:hAnsi="Times New Roman" w:cs="Times New Roman"/>
          <w:sz w:val="24"/>
          <w:szCs w:val="24"/>
        </w:rPr>
        <w:footnoteReference w:id="730"/>
      </w:r>
      <w:r w:rsidRPr="000B73A3">
        <w:rPr>
          <w:rFonts w:ascii="Times New Roman" w:hAnsi="Times New Roman" w:cs="Times New Roman"/>
          <w:sz w:val="24"/>
          <w:szCs w:val="24"/>
        </w:rPr>
        <w:t xml:space="preserve">  AEP Ohio cavalierly suggests that it has complied with the risk-sharing requirement inasmuch as the PUCO would be permitted to disallow the recovery of PPA costs through the PPA Rider, while AEP Ohio remains financially obligated under the PPA to AEPGR.</w:t>
      </w:r>
      <w:r w:rsidRPr="000B73A3">
        <w:rPr>
          <w:rStyle w:val="FootnoteReference"/>
          <w:rFonts w:ascii="Times New Roman" w:hAnsi="Times New Roman" w:cs="Times New Roman"/>
          <w:sz w:val="24"/>
          <w:szCs w:val="24"/>
        </w:rPr>
        <w:footnoteReference w:id="731"/>
      </w:r>
      <w:r w:rsidRPr="000B73A3">
        <w:rPr>
          <w:rFonts w:ascii="Times New Roman" w:hAnsi="Times New Roman" w:cs="Times New Roman"/>
          <w:sz w:val="24"/>
          <w:szCs w:val="24"/>
        </w:rPr>
        <w:t xml:space="preserve">  OCC agrees with Staff</w:t>
      </w:r>
      <w:r w:rsidR="00940EFB">
        <w:rPr>
          <w:rFonts w:ascii="Times New Roman" w:hAnsi="Times New Roman" w:cs="Times New Roman"/>
          <w:sz w:val="24"/>
          <w:szCs w:val="24"/>
        </w:rPr>
        <w:t>’s filed testimony</w:t>
      </w:r>
      <w:r w:rsidRPr="000B73A3">
        <w:rPr>
          <w:rFonts w:ascii="Times New Roman" w:hAnsi="Times New Roman" w:cs="Times New Roman"/>
          <w:sz w:val="24"/>
          <w:szCs w:val="24"/>
        </w:rPr>
        <w:t xml:space="preserve"> that AEP Ohio has misinterpreted this factor, and that it has not satisfied the ESP III Opinion and Order’s risk-sharing requirement.  Indeed, AEP Ohio’s reliance on the PUCO’s ability to disallow costs to be passed through the PPA Rider </w:t>
      </w:r>
      <w:r w:rsidR="006F2E2D">
        <w:rPr>
          <w:rFonts w:ascii="Times New Roman" w:hAnsi="Times New Roman" w:cs="Times New Roman"/>
          <w:sz w:val="24"/>
          <w:szCs w:val="24"/>
        </w:rPr>
        <w:t xml:space="preserve">(or terminate the PPA Rider) </w:t>
      </w:r>
      <w:r w:rsidRPr="000B73A3">
        <w:rPr>
          <w:rFonts w:ascii="Times New Roman" w:hAnsi="Times New Roman" w:cs="Times New Roman"/>
          <w:sz w:val="24"/>
          <w:szCs w:val="24"/>
        </w:rPr>
        <w:t xml:space="preserve">rings hollow, considering that this approach could trigger the early termination provision discussed above and subject AEP Ohio’s customers to even more risk. </w:t>
      </w:r>
    </w:p>
    <w:p w:rsidR="00CB1A5D" w:rsidRDefault="00272897" w:rsidP="007D22BE">
      <w:pPr>
        <w:pStyle w:val="Heading2"/>
      </w:pPr>
      <w:bookmarkStart w:id="166" w:name="_Toc435428256"/>
      <w:bookmarkStart w:id="167" w:name="_Toc442104224"/>
      <w:r>
        <w:t>E</w:t>
      </w:r>
      <w:r w:rsidR="002C2314">
        <w:t>.</w:t>
      </w:r>
      <w:r w:rsidR="002C2314">
        <w:tab/>
      </w:r>
      <w:r w:rsidR="00463F93" w:rsidRPr="006E7EDA">
        <w:t xml:space="preserve">The </w:t>
      </w:r>
      <w:r w:rsidR="00463F93">
        <w:t>PUCO</w:t>
      </w:r>
      <w:r w:rsidR="00463F93" w:rsidRPr="006E7EDA">
        <w:t xml:space="preserve"> should require </w:t>
      </w:r>
      <w:r w:rsidR="00463F93">
        <w:t>AEP Ohio</w:t>
      </w:r>
      <w:r w:rsidR="00463F93" w:rsidRPr="006E7EDA">
        <w:t xml:space="preserve"> to demonstrate compliance with additional factors </w:t>
      </w:r>
      <w:r w:rsidR="00464689">
        <w:t xml:space="preserve">for the benefit of consumers </w:t>
      </w:r>
      <w:r w:rsidR="00463F93" w:rsidRPr="006E7EDA">
        <w:t xml:space="preserve">before even considering approving the </w:t>
      </w:r>
      <w:r w:rsidR="00463F93">
        <w:t>A</w:t>
      </w:r>
      <w:r w:rsidR="00463F93" w:rsidRPr="006E7EDA">
        <w:t xml:space="preserve">mended </w:t>
      </w:r>
      <w:r w:rsidR="00463F93">
        <w:t>A</w:t>
      </w:r>
      <w:r w:rsidR="00463F93" w:rsidRPr="006E7EDA">
        <w:t>pplicatio</w:t>
      </w:r>
      <w:bookmarkEnd w:id="166"/>
      <w:r w:rsidR="004220F9">
        <w:t>n</w:t>
      </w:r>
      <w:r w:rsidR="00940EFB">
        <w:t>/Modified Amended Application</w:t>
      </w:r>
      <w:r w:rsidR="002C2314">
        <w:t>.</w:t>
      </w:r>
      <w:bookmarkEnd w:id="167"/>
    </w:p>
    <w:p w:rsidR="00976B2A" w:rsidRDefault="000B73A3" w:rsidP="000C6CFB">
      <w:pPr>
        <w:spacing w:after="0" w:line="480" w:lineRule="auto"/>
        <w:rPr>
          <w:rFonts w:ascii="Times New Roman" w:eastAsia="WenQuanYi Micro Hei" w:hAnsi="Times New Roman" w:cs="Times New Roman"/>
          <w:color w:val="00000A"/>
          <w:sz w:val="24"/>
          <w:szCs w:val="24"/>
          <w:lang w:eastAsia="zh-CN" w:bidi="hi-IN"/>
        </w:rPr>
      </w:pPr>
      <w:r w:rsidRPr="000B73A3">
        <w:rPr>
          <w:rFonts w:ascii="Times New Roman" w:hAnsi="Times New Roman" w:cs="Times New Roman"/>
          <w:sz w:val="24"/>
          <w:szCs w:val="24"/>
        </w:rPr>
        <w:tab/>
        <w:t>In the ESP III Opinion and Order, the PUCO listed the factors that AEP Ohio must address “at a minimum” in order for the PUCO to consider whether to approve cost recovery through the placeholder PPA Rider.</w:t>
      </w:r>
      <w:r w:rsidRPr="000B73A3">
        <w:rPr>
          <w:rStyle w:val="FootnoteReference"/>
          <w:rFonts w:ascii="Times New Roman" w:hAnsi="Times New Roman" w:cs="Times New Roman"/>
          <w:sz w:val="24"/>
          <w:szCs w:val="24"/>
        </w:rPr>
        <w:t xml:space="preserve"> </w:t>
      </w:r>
      <w:r w:rsidRPr="000B73A3">
        <w:rPr>
          <w:rStyle w:val="FootnoteReference"/>
          <w:rFonts w:ascii="Times New Roman" w:hAnsi="Times New Roman" w:cs="Times New Roman"/>
          <w:sz w:val="24"/>
          <w:szCs w:val="24"/>
        </w:rPr>
        <w:footnoteReference w:id="732"/>
      </w:r>
      <w:r w:rsidRPr="000B73A3">
        <w:rPr>
          <w:rFonts w:ascii="Times New Roman" w:hAnsi="Times New Roman" w:cs="Times New Roman"/>
          <w:sz w:val="24"/>
          <w:szCs w:val="24"/>
        </w:rPr>
        <w:t xml:space="preserve">  These minimal factors focus primarily </w:t>
      </w:r>
      <w:r w:rsidRPr="000B73A3">
        <w:rPr>
          <w:rFonts w:ascii="Times New Roman" w:eastAsia="WenQuanYi Micro Hei" w:hAnsi="Times New Roman" w:cs="Times New Roman"/>
          <w:color w:val="00000A"/>
          <w:sz w:val="24"/>
          <w:szCs w:val="24"/>
          <w:lang w:eastAsia="zh-CN" w:bidi="hi-IN"/>
        </w:rPr>
        <w:t>on the PPA</w:t>
      </w:r>
      <w:r w:rsidR="002E02F4">
        <w:rPr>
          <w:rFonts w:ascii="Times New Roman" w:eastAsia="WenQuanYi Micro Hei" w:hAnsi="Times New Roman" w:cs="Times New Roman"/>
          <w:color w:val="00000A"/>
          <w:sz w:val="24"/>
          <w:szCs w:val="24"/>
          <w:lang w:eastAsia="zh-CN" w:bidi="hi-IN"/>
        </w:rPr>
        <w:t>s</w:t>
      </w:r>
      <w:r w:rsidRPr="000B73A3">
        <w:rPr>
          <w:rFonts w:ascii="Times New Roman" w:eastAsia="WenQuanYi Micro Hei" w:hAnsi="Times New Roman" w:cs="Times New Roman"/>
          <w:color w:val="00000A"/>
          <w:sz w:val="24"/>
          <w:szCs w:val="24"/>
          <w:lang w:eastAsia="zh-CN" w:bidi="hi-IN"/>
        </w:rPr>
        <w:t xml:space="preserve"> and PPA Ri</w:t>
      </w:r>
      <w:r w:rsidR="004618B0">
        <w:rPr>
          <w:rFonts w:ascii="Times New Roman" w:eastAsia="WenQuanYi Micro Hei" w:hAnsi="Times New Roman" w:cs="Times New Roman"/>
          <w:color w:val="00000A"/>
          <w:sz w:val="24"/>
          <w:szCs w:val="24"/>
          <w:lang w:eastAsia="zh-CN" w:bidi="hi-IN"/>
        </w:rPr>
        <w:t xml:space="preserve">der’s </w:t>
      </w:r>
      <w:r w:rsidRPr="000B73A3">
        <w:rPr>
          <w:rFonts w:ascii="Times New Roman" w:eastAsia="WenQuanYi Micro Hei" w:hAnsi="Times New Roman" w:cs="Times New Roman"/>
          <w:color w:val="00000A"/>
          <w:sz w:val="24"/>
          <w:szCs w:val="24"/>
          <w:lang w:eastAsia="zh-CN" w:bidi="hi-IN"/>
        </w:rPr>
        <w:t xml:space="preserve">benefit to AEP Ohio and AEPGR.  </w:t>
      </w:r>
    </w:p>
    <w:p w:rsidR="00124C12" w:rsidRDefault="000B73A3">
      <w:pPr>
        <w:spacing w:after="0" w:line="480" w:lineRule="auto"/>
        <w:ind w:firstLine="720"/>
        <w:rPr>
          <w:rFonts w:ascii="Times New Roman" w:eastAsia="WenQuanYi Micro Hei" w:hAnsi="Times New Roman" w:cs="Times New Roman"/>
          <w:color w:val="00000A"/>
          <w:sz w:val="24"/>
          <w:szCs w:val="24"/>
          <w:lang w:eastAsia="zh-CN" w:bidi="hi-IN"/>
        </w:rPr>
      </w:pPr>
      <w:r w:rsidRPr="000B73A3">
        <w:rPr>
          <w:rFonts w:ascii="Times New Roman" w:eastAsia="WenQuanYi Micro Hei" w:hAnsi="Times New Roman" w:cs="Times New Roman"/>
          <w:color w:val="00000A"/>
          <w:sz w:val="24"/>
          <w:szCs w:val="24"/>
          <w:lang w:eastAsia="zh-CN" w:bidi="hi-IN"/>
        </w:rPr>
        <w:t xml:space="preserve">OCC submits that </w:t>
      </w:r>
      <w:r w:rsidRPr="000B73A3">
        <w:rPr>
          <w:rFonts w:ascii="Times New Roman" w:hAnsi="Times New Roman" w:cs="Times New Roman"/>
          <w:sz w:val="24"/>
          <w:szCs w:val="24"/>
        </w:rPr>
        <w:t>these minima</w:t>
      </w:r>
      <w:r w:rsidR="002E02F4">
        <w:rPr>
          <w:rFonts w:ascii="Times New Roman" w:hAnsi="Times New Roman" w:cs="Times New Roman"/>
          <w:sz w:val="24"/>
          <w:szCs w:val="24"/>
        </w:rPr>
        <w:t>l factors</w:t>
      </w:r>
      <w:r w:rsidR="00976B2A">
        <w:rPr>
          <w:rFonts w:ascii="Times New Roman" w:hAnsi="Times New Roman" w:cs="Times New Roman"/>
          <w:sz w:val="24"/>
          <w:szCs w:val="24"/>
        </w:rPr>
        <w:t xml:space="preserve"> are inadequate for consumer protection and</w:t>
      </w:r>
      <w:r w:rsidR="002E02F4">
        <w:rPr>
          <w:rFonts w:ascii="Times New Roman" w:hAnsi="Times New Roman" w:cs="Times New Roman"/>
          <w:sz w:val="24"/>
          <w:szCs w:val="24"/>
        </w:rPr>
        <w:t xml:space="preserve"> should be expanded</w:t>
      </w:r>
      <w:r w:rsidR="00A166F8">
        <w:rPr>
          <w:rFonts w:ascii="Times New Roman" w:hAnsi="Times New Roman" w:cs="Times New Roman"/>
          <w:sz w:val="24"/>
          <w:szCs w:val="24"/>
        </w:rPr>
        <w:t>.</w:t>
      </w:r>
      <w:r w:rsidR="002E02F4">
        <w:rPr>
          <w:rFonts w:ascii="Times New Roman" w:hAnsi="Times New Roman" w:cs="Times New Roman"/>
          <w:sz w:val="24"/>
          <w:szCs w:val="24"/>
        </w:rPr>
        <w:t xml:space="preserve"> </w:t>
      </w:r>
      <w:r w:rsidR="00976B2A">
        <w:rPr>
          <w:rFonts w:ascii="Times New Roman" w:hAnsi="Times New Roman" w:cs="Times New Roman"/>
          <w:sz w:val="24"/>
          <w:szCs w:val="24"/>
        </w:rPr>
        <w:t>T</w:t>
      </w:r>
      <w:r w:rsidRPr="000B73A3">
        <w:rPr>
          <w:rFonts w:ascii="Times New Roman" w:hAnsi="Times New Roman" w:cs="Times New Roman"/>
          <w:sz w:val="24"/>
          <w:szCs w:val="24"/>
        </w:rPr>
        <w:t>he PUCO</w:t>
      </w:r>
      <w:r w:rsidR="002E02F4">
        <w:rPr>
          <w:rFonts w:ascii="Times New Roman" w:hAnsi="Times New Roman" w:cs="Times New Roman"/>
          <w:sz w:val="24"/>
          <w:szCs w:val="24"/>
        </w:rPr>
        <w:t xml:space="preserve"> </w:t>
      </w:r>
      <w:r w:rsidR="00976B2A">
        <w:rPr>
          <w:rFonts w:ascii="Times New Roman" w:hAnsi="Times New Roman" w:cs="Times New Roman"/>
          <w:sz w:val="24"/>
          <w:szCs w:val="24"/>
        </w:rPr>
        <w:t xml:space="preserve">should </w:t>
      </w:r>
      <w:r w:rsidR="002E02F4">
        <w:rPr>
          <w:rFonts w:ascii="Times New Roman" w:hAnsi="Times New Roman" w:cs="Times New Roman"/>
          <w:sz w:val="24"/>
          <w:szCs w:val="24"/>
        </w:rPr>
        <w:t xml:space="preserve">additionally </w:t>
      </w:r>
      <w:r w:rsidRPr="000B73A3">
        <w:rPr>
          <w:rFonts w:ascii="Times New Roman" w:hAnsi="Times New Roman" w:cs="Times New Roman"/>
          <w:sz w:val="24"/>
          <w:szCs w:val="24"/>
        </w:rPr>
        <w:t xml:space="preserve">consider </w:t>
      </w:r>
      <w:r w:rsidRPr="000B73A3">
        <w:rPr>
          <w:rFonts w:ascii="Times New Roman" w:eastAsia="WenQuanYi Micro Hei" w:hAnsi="Times New Roman" w:cs="Times New Roman"/>
          <w:color w:val="00000A"/>
          <w:sz w:val="24"/>
          <w:szCs w:val="24"/>
          <w:lang w:eastAsia="zh-CN" w:bidi="hi-IN"/>
        </w:rPr>
        <w:t>whether the PPA</w:t>
      </w:r>
      <w:r w:rsidR="002E02F4">
        <w:rPr>
          <w:rFonts w:ascii="Times New Roman" w:eastAsia="WenQuanYi Micro Hei" w:hAnsi="Times New Roman" w:cs="Times New Roman"/>
          <w:color w:val="00000A"/>
          <w:sz w:val="24"/>
          <w:szCs w:val="24"/>
          <w:lang w:eastAsia="zh-CN" w:bidi="hi-IN"/>
        </w:rPr>
        <w:t>s</w:t>
      </w:r>
      <w:r w:rsidRPr="000B73A3">
        <w:rPr>
          <w:rFonts w:ascii="Times New Roman" w:eastAsia="WenQuanYi Micro Hei" w:hAnsi="Times New Roman" w:cs="Times New Roman"/>
          <w:color w:val="00000A"/>
          <w:sz w:val="24"/>
          <w:szCs w:val="24"/>
          <w:lang w:eastAsia="zh-CN" w:bidi="hi-IN"/>
        </w:rPr>
        <w:t xml:space="preserve"> and PPA Rider benefit customers.  With the balanced consideration of benefits of the PPA Rider to AEP Ohio and AEPGR, as well as to consumer interests, the PUCO will be in </w:t>
      </w:r>
      <w:r w:rsidR="00FE5C82">
        <w:rPr>
          <w:rFonts w:ascii="Times New Roman" w:eastAsia="WenQuanYi Micro Hei" w:hAnsi="Times New Roman" w:cs="Times New Roman"/>
          <w:color w:val="00000A"/>
          <w:sz w:val="24"/>
          <w:szCs w:val="24"/>
          <w:lang w:eastAsia="zh-CN" w:bidi="hi-IN"/>
        </w:rPr>
        <w:t>a</w:t>
      </w:r>
      <w:r w:rsidRPr="000B73A3">
        <w:rPr>
          <w:rFonts w:ascii="Times New Roman" w:eastAsia="WenQuanYi Micro Hei" w:hAnsi="Times New Roman" w:cs="Times New Roman"/>
          <w:color w:val="00000A"/>
          <w:sz w:val="24"/>
          <w:szCs w:val="24"/>
          <w:lang w:eastAsia="zh-CN" w:bidi="hi-IN"/>
        </w:rPr>
        <w:t xml:space="preserve"> position to evaluate the </w:t>
      </w:r>
      <w:r w:rsidRPr="000B73A3">
        <w:rPr>
          <w:rFonts w:ascii="Times New Roman" w:eastAsia="WenQuanYi Micro Hei" w:hAnsi="Times New Roman" w:cs="Times New Roman"/>
          <w:i/>
          <w:iCs/>
          <w:color w:val="00000A"/>
          <w:sz w:val="24"/>
          <w:szCs w:val="24"/>
          <w:lang w:eastAsia="zh-CN" w:bidi="hi-IN"/>
        </w:rPr>
        <w:t>net</w:t>
      </w:r>
      <w:r w:rsidRPr="000B73A3">
        <w:rPr>
          <w:rFonts w:ascii="Times New Roman" w:eastAsia="WenQuanYi Micro Hei" w:hAnsi="Times New Roman" w:cs="Times New Roman"/>
          <w:color w:val="00000A"/>
          <w:sz w:val="24"/>
          <w:szCs w:val="24"/>
          <w:lang w:eastAsia="zh-CN" w:bidi="hi-IN"/>
        </w:rPr>
        <w:t xml:space="preserve"> benefits of the PPA and PPA Rider and, thus, determine whether the PPA Rider is in the public interest.</w:t>
      </w:r>
      <w:r w:rsidRPr="000B73A3">
        <w:rPr>
          <w:rStyle w:val="FootnoteReference"/>
          <w:rFonts w:ascii="Times New Roman" w:eastAsia="WenQuanYi Micro Hei" w:hAnsi="Times New Roman" w:cs="Times New Roman"/>
          <w:color w:val="00000A"/>
          <w:sz w:val="24"/>
          <w:szCs w:val="24"/>
          <w:lang w:eastAsia="zh-CN" w:bidi="hi-IN"/>
        </w:rPr>
        <w:footnoteReference w:id="733"/>
      </w:r>
      <w:r w:rsidRPr="000B73A3">
        <w:rPr>
          <w:rFonts w:ascii="Times New Roman" w:eastAsia="WenQuanYi Micro Hei" w:hAnsi="Times New Roman" w:cs="Times New Roman"/>
          <w:color w:val="00000A"/>
          <w:sz w:val="24"/>
          <w:szCs w:val="24"/>
          <w:lang w:eastAsia="zh-CN" w:bidi="hi-IN"/>
        </w:rPr>
        <w:t xml:space="preserve">  The additional</w:t>
      </w:r>
      <w:r w:rsidR="00976B2A">
        <w:rPr>
          <w:rFonts w:ascii="Times New Roman" w:eastAsia="WenQuanYi Micro Hei" w:hAnsi="Times New Roman" w:cs="Times New Roman"/>
          <w:color w:val="00000A"/>
          <w:sz w:val="24"/>
          <w:szCs w:val="24"/>
          <w:lang w:eastAsia="zh-CN" w:bidi="hi-IN"/>
        </w:rPr>
        <w:t xml:space="preserve"> quantitative</w:t>
      </w:r>
      <w:r w:rsidRPr="000B73A3">
        <w:rPr>
          <w:rFonts w:ascii="Times New Roman" w:eastAsia="WenQuanYi Micro Hei" w:hAnsi="Times New Roman" w:cs="Times New Roman"/>
          <w:color w:val="00000A"/>
          <w:sz w:val="24"/>
          <w:szCs w:val="24"/>
          <w:lang w:eastAsia="zh-CN" w:bidi="hi-IN"/>
        </w:rPr>
        <w:t xml:space="preserve"> factors the PUCO should consider fall into two categories:  (1) the PPA Rider’s potential cost/detriment to consumers and (2) the cost of achieving the same benefits that the PPA and PPA Rider provide compared to alternatives that could provide greater benefits.</w:t>
      </w:r>
      <w:r w:rsidRPr="000B73A3">
        <w:rPr>
          <w:rStyle w:val="FootnoteReference"/>
          <w:rFonts w:ascii="Times New Roman" w:eastAsia="WenQuanYi Micro Hei" w:hAnsi="Times New Roman" w:cs="Times New Roman"/>
          <w:color w:val="00000A"/>
          <w:sz w:val="24"/>
          <w:szCs w:val="24"/>
          <w:lang w:eastAsia="zh-CN" w:bidi="hi-IN"/>
        </w:rPr>
        <w:footnoteReference w:id="734"/>
      </w:r>
      <w:r w:rsidRPr="000B73A3">
        <w:rPr>
          <w:rFonts w:ascii="Times New Roman" w:eastAsia="WenQuanYi Micro Hei" w:hAnsi="Times New Roman" w:cs="Times New Roman"/>
          <w:color w:val="00000A"/>
          <w:sz w:val="24"/>
          <w:szCs w:val="24"/>
          <w:lang w:eastAsia="zh-CN" w:bidi="hi-IN"/>
        </w:rPr>
        <w:t xml:space="preserve">   Indeed, failure to consider these additional factors could result in unreasonable rates and violat</w:t>
      </w:r>
      <w:r w:rsidR="00976B2A">
        <w:rPr>
          <w:rFonts w:ascii="Times New Roman" w:eastAsia="WenQuanYi Micro Hei" w:hAnsi="Times New Roman" w:cs="Times New Roman"/>
          <w:color w:val="00000A"/>
          <w:sz w:val="24"/>
          <w:szCs w:val="24"/>
          <w:lang w:eastAsia="zh-CN" w:bidi="hi-IN"/>
        </w:rPr>
        <w:t>ions of</w:t>
      </w:r>
      <w:r w:rsidRPr="000B73A3">
        <w:rPr>
          <w:rFonts w:ascii="Times New Roman" w:eastAsia="WenQuanYi Micro Hei" w:hAnsi="Times New Roman" w:cs="Times New Roman"/>
          <w:color w:val="00000A"/>
          <w:sz w:val="24"/>
          <w:szCs w:val="24"/>
          <w:lang w:eastAsia="zh-CN" w:bidi="hi-IN"/>
        </w:rPr>
        <w:t xml:space="preserve"> state policy.</w:t>
      </w:r>
      <w:r w:rsidRPr="000B73A3">
        <w:rPr>
          <w:rStyle w:val="FootnoteReference"/>
          <w:rFonts w:ascii="Times New Roman" w:eastAsia="WenQuanYi Micro Hei" w:hAnsi="Times New Roman" w:cs="Times New Roman"/>
          <w:color w:val="00000A"/>
          <w:sz w:val="24"/>
          <w:szCs w:val="24"/>
          <w:lang w:eastAsia="zh-CN" w:bidi="hi-IN"/>
        </w:rPr>
        <w:footnoteReference w:id="735"/>
      </w:r>
    </w:p>
    <w:p w:rsidR="000B73A3" w:rsidRPr="000B73A3" w:rsidRDefault="002C2314" w:rsidP="00F27AA5">
      <w:pPr>
        <w:pStyle w:val="Heading3"/>
      </w:pPr>
      <w:bookmarkStart w:id="168" w:name="_Toc435428257"/>
      <w:bookmarkStart w:id="169" w:name="_Toc442104225"/>
      <w:r>
        <w:t>1.</w:t>
      </w:r>
      <w:r>
        <w:tab/>
      </w:r>
      <w:r w:rsidR="000B73A3" w:rsidRPr="000B73A3">
        <w:t>The P</w:t>
      </w:r>
      <w:r w:rsidR="00CB1A5D">
        <w:t xml:space="preserve">UCO must consider the PPA </w:t>
      </w:r>
      <w:r w:rsidR="00463F93">
        <w:t>R</w:t>
      </w:r>
      <w:r w:rsidR="00CB1A5D">
        <w:t xml:space="preserve">ider’s potential costs/detriments to </w:t>
      </w:r>
      <w:bookmarkEnd w:id="168"/>
      <w:r w:rsidR="00463F93">
        <w:t>customers</w:t>
      </w:r>
      <w:r>
        <w:t>.</w:t>
      </w:r>
      <w:bookmarkEnd w:id="169"/>
    </w:p>
    <w:p w:rsidR="000B73A3" w:rsidRPr="000B73A3" w:rsidRDefault="000B73A3" w:rsidP="00A57413">
      <w:pPr>
        <w:widowControl w:val="0"/>
        <w:suppressAutoHyphens/>
        <w:spacing w:after="0" w:line="480" w:lineRule="auto"/>
        <w:ind w:firstLine="720"/>
        <w:rPr>
          <w:rFonts w:ascii="Times New Roman" w:eastAsia="WenQuanYi Micro Hei" w:hAnsi="Times New Roman" w:cs="Times New Roman"/>
          <w:color w:val="00000A"/>
          <w:sz w:val="24"/>
          <w:szCs w:val="24"/>
          <w:lang w:eastAsia="zh-CN" w:bidi="hi-IN"/>
        </w:rPr>
      </w:pPr>
      <w:r w:rsidRPr="000B73A3">
        <w:rPr>
          <w:rFonts w:ascii="Times New Roman" w:eastAsia="WenQuanYi Micro Hei" w:hAnsi="Times New Roman" w:cs="Times New Roman"/>
          <w:color w:val="00000A"/>
          <w:sz w:val="24"/>
          <w:szCs w:val="24"/>
          <w:lang w:eastAsia="zh-CN" w:bidi="hi-IN"/>
        </w:rPr>
        <w:t>Under the first five of the additional factors, consideration would be given to potential costs or detriments to AEP Ohio’s customers.  These include:</w:t>
      </w:r>
    </w:p>
    <w:p w:rsidR="000B73A3" w:rsidRPr="000B73A3" w:rsidRDefault="002C2314" w:rsidP="00C401CE">
      <w:pPr>
        <w:pStyle w:val="Heading4"/>
      </w:pPr>
      <w:bookmarkStart w:id="170" w:name="_Toc435428258"/>
      <w:bookmarkStart w:id="171" w:name="_Toc442104226"/>
      <w:r>
        <w:t>a.</w:t>
      </w:r>
      <w:r>
        <w:tab/>
      </w:r>
      <w:r w:rsidR="00CB1A5D">
        <w:t>AEP Ohio should be r</w:t>
      </w:r>
      <w:r w:rsidR="000B73A3" w:rsidRPr="000B73A3">
        <w:t xml:space="preserve">equired </w:t>
      </w:r>
      <w:r w:rsidR="00CB1A5D">
        <w:t>to provide an assessment of t</w:t>
      </w:r>
      <w:r w:rsidR="000B73A3" w:rsidRPr="000B73A3">
        <w:t>he P</w:t>
      </w:r>
      <w:r w:rsidR="00F90D2D">
        <w:t xml:space="preserve">ower </w:t>
      </w:r>
      <w:r w:rsidR="000B73A3" w:rsidRPr="000B73A3">
        <w:t>P</w:t>
      </w:r>
      <w:r w:rsidR="00F90D2D">
        <w:t xml:space="preserve">urchase </w:t>
      </w:r>
      <w:r w:rsidR="000B73A3" w:rsidRPr="000B73A3">
        <w:t>A</w:t>
      </w:r>
      <w:r w:rsidR="00F90D2D">
        <w:t>greement</w:t>
      </w:r>
      <w:r w:rsidR="00CB1A5D">
        <w:t xml:space="preserve"> and PPA </w:t>
      </w:r>
      <w:r w:rsidR="00463F93">
        <w:t>R</w:t>
      </w:r>
      <w:r w:rsidR="00CB1A5D">
        <w:t>ider under independently produced future price s</w:t>
      </w:r>
      <w:r w:rsidR="000B73A3" w:rsidRPr="000B73A3">
        <w:t>cenarios</w:t>
      </w:r>
      <w:bookmarkEnd w:id="170"/>
      <w:r w:rsidR="00081CC7">
        <w:t xml:space="preserve"> so consumer interests are adequately protected</w:t>
      </w:r>
      <w:r>
        <w:t>.</w:t>
      </w:r>
      <w:bookmarkEnd w:id="171"/>
      <w:r w:rsidR="000B73A3" w:rsidRPr="000B73A3">
        <w:t xml:space="preserve"> </w:t>
      </w:r>
    </w:p>
    <w:p w:rsidR="007D22BE" w:rsidRDefault="000B73A3" w:rsidP="002E72B1">
      <w:pPr>
        <w:widowControl w:val="0"/>
        <w:suppressAutoHyphens/>
        <w:spacing w:after="0" w:line="480" w:lineRule="auto"/>
        <w:ind w:firstLine="720"/>
        <w:rPr>
          <w:rFonts w:ascii="Times New Roman" w:eastAsia="WenQuanYi Micro Hei" w:hAnsi="Times New Roman" w:cs="Times New Roman"/>
          <w:color w:val="00000A"/>
          <w:sz w:val="24"/>
          <w:szCs w:val="24"/>
          <w:lang w:eastAsia="zh-CN" w:bidi="hi-IN"/>
        </w:rPr>
      </w:pPr>
      <w:r w:rsidRPr="000B73A3">
        <w:rPr>
          <w:rFonts w:ascii="Times New Roman" w:eastAsia="WenQuanYi Micro Hei" w:hAnsi="Times New Roman" w:cs="Times New Roman"/>
          <w:color w:val="00000A"/>
          <w:sz w:val="24"/>
          <w:szCs w:val="24"/>
          <w:lang w:eastAsia="zh-CN" w:bidi="hi-IN"/>
        </w:rPr>
        <w:t>As a threshold matter, the PUCO in its ESP III Opinion and Order reserved the right to select an independent third party to perform a study of pricing issues as they relate to the PPA Rider.</w:t>
      </w:r>
      <w:r w:rsidRPr="000B73A3">
        <w:rPr>
          <w:rStyle w:val="FootnoteReference"/>
          <w:rFonts w:ascii="Times New Roman" w:eastAsia="WenQuanYi Micro Hei" w:hAnsi="Times New Roman" w:cs="Times New Roman"/>
          <w:color w:val="00000A"/>
          <w:sz w:val="24"/>
          <w:szCs w:val="24"/>
          <w:lang w:eastAsia="zh-CN" w:bidi="hi-IN"/>
        </w:rPr>
        <w:footnoteReference w:id="736"/>
      </w:r>
      <w:r w:rsidRPr="000B73A3">
        <w:rPr>
          <w:rFonts w:ascii="Times New Roman" w:eastAsia="WenQuanYi Micro Hei" w:hAnsi="Times New Roman" w:cs="Times New Roman"/>
          <w:color w:val="00000A"/>
          <w:sz w:val="24"/>
          <w:szCs w:val="24"/>
          <w:lang w:eastAsia="zh-CN" w:bidi="hi-IN"/>
        </w:rPr>
        <w:t xml:space="preserve">  To support its pricing analysis in this proceeding, AEP Ohio did not engage the services of an independent third party, nor did it even rely on independently produced pricing data.  Rather, AEP Ohio sponsored an in-house witness, AEP Ohio Witness Bletzacker, who developed a set of assumptions regarding PJM market-prices and load.</w:t>
      </w:r>
      <w:r w:rsidRPr="000B73A3">
        <w:rPr>
          <w:rStyle w:val="FootnoteReference"/>
          <w:rFonts w:ascii="Times New Roman" w:eastAsia="WenQuanYi Micro Hei" w:hAnsi="Times New Roman" w:cs="Times New Roman"/>
          <w:color w:val="00000A"/>
          <w:sz w:val="24"/>
          <w:szCs w:val="24"/>
          <w:lang w:eastAsia="zh-CN" w:bidi="hi-IN"/>
        </w:rPr>
        <w:footnoteReference w:id="737"/>
      </w:r>
      <w:r w:rsidRPr="000B73A3">
        <w:rPr>
          <w:rFonts w:ascii="Times New Roman" w:eastAsia="WenQuanYi Micro Hei" w:hAnsi="Times New Roman" w:cs="Times New Roman"/>
          <w:color w:val="00000A"/>
          <w:sz w:val="24"/>
          <w:szCs w:val="24"/>
          <w:lang w:eastAsia="zh-CN" w:bidi="hi-IN"/>
        </w:rPr>
        <w:t xml:space="preserve"> </w:t>
      </w:r>
      <w:r w:rsidR="002E72B1">
        <w:rPr>
          <w:rFonts w:ascii="Times New Roman" w:eastAsia="WenQuanYi Micro Hei" w:hAnsi="Times New Roman" w:cs="Times New Roman"/>
          <w:color w:val="00000A"/>
          <w:sz w:val="24"/>
          <w:szCs w:val="24"/>
          <w:lang w:eastAsia="zh-CN" w:bidi="hi-IN"/>
        </w:rPr>
        <w:t xml:space="preserve"> </w:t>
      </w:r>
      <w:r w:rsidRPr="000B73A3">
        <w:rPr>
          <w:rFonts w:ascii="Times New Roman" w:eastAsia="WenQuanYi Micro Hei" w:hAnsi="Times New Roman" w:cs="Times New Roman"/>
          <w:color w:val="00000A"/>
          <w:sz w:val="24"/>
          <w:szCs w:val="24"/>
          <w:lang w:eastAsia="zh-CN" w:bidi="hi-IN"/>
        </w:rPr>
        <w:t xml:space="preserve">AEP Ohio’s in-house witness Pearce then used these </w:t>
      </w:r>
    </w:p>
    <w:p w:rsidR="000B73A3" w:rsidRPr="000B73A3" w:rsidRDefault="000B73A3" w:rsidP="007D22BE">
      <w:pPr>
        <w:widowControl w:val="0"/>
        <w:suppressAutoHyphens/>
        <w:spacing w:after="0" w:line="480" w:lineRule="auto"/>
        <w:rPr>
          <w:rFonts w:ascii="Times New Roman" w:eastAsia="WenQuanYi Micro Hei" w:hAnsi="Times New Roman" w:cs="Times New Roman"/>
          <w:color w:val="00000A"/>
          <w:sz w:val="24"/>
          <w:szCs w:val="24"/>
          <w:lang w:eastAsia="zh-CN" w:bidi="hi-IN"/>
        </w:rPr>
      </w:pPr>
      <w:r w:rsidRPr="000B73A3">
        <w:rPr>
          <w:rFonts w:ascii="Times New Roman" w:eastAsia="WenQuanYi Micro Hei" w:hAnsi="Times New Roman" w:cs="Times New Roman"/>
          <w:color w:val="00000A"/>
          <w:sz w:val="24"/>
          <w:szCs w:val="24"/>
          <w:lang w:eastAsia="zh-CN" w:bidi="hi-IN"/>
        </w:rPr>
        <w:t>assumptions to argue that the PPA</w:t>
      </w:r>
      <w:r w:rsidR="002E02F4">
        <w:rPr>
          <w:rFonts w:ascii="Times New Roman" w:eastAsia="WenQuanYi Micro Hei" w:hAnsi="Times New Roman" w:cs="Times New Roman"/>
          <w:color w:val="00000A"/>
          <w:sz w:val="24"/>
          <w:szCs w:val="24"/>
          <w:lang w:eastAsia="zh-CN" w:bidi="hi-IN"/>
        </w:rPr>
        <w:t>s</w:t>
      </w:r>
      <w:r w:rsidRPr="000B73A3">
        <w:rPr>
          <w:rFonts w:ascii="Times New Roman" w:eastAsia="WenQuanYi Micro Hei" w:hAnsi="Times New Roman" w:cs="Times New Roman"/>
          <w:color w:val="00000A"/>
          <w:sz w:val="24"/>
          <w:szCs w:val="24"/>
          <w:lang w:eastAsia="zh-CN" w:bidi="hi-IN"/>
        </w:rPr>
        <w:t xml:space="preserve"> and PPA Rider would result in a $574 million net credit to customers over the first </w:t>
      </w:r>
      <w:r w:rsidR="00C8404C">
        <w:rPr>
          <w:rFonts w:ascii="Times New Roman" w:eastAsia="WenQuanYi Micro Hei" w:hAnsi="Times New Roman" w:cs="Times New Roman"/>
          <w:color w:val="00000A"/>
          <w:sz w:val="24"/>
          <w:szCs w:val="24"/>
          <w:lang w:eastAsia="zh-CN" w:bidi="hi-IN"/>
        </w:rPr>
        <w:t>10</w:t>
      </w:r>
      <w:r w:rsidRPr="000B73A3">
        <w:rPr>
          <w:rFonts w:ascii="Times New Roman" w:eastAsia="WenQuanYi Micro Hei" w:hAnsi="Times New Roman" w:cs="Times New Roman"/>
          <w:color w:val="00000A"/>
          <w:sz w:val="24"/>
          <w:szCs w:val="24"/>
          <w:lang w:eastAsia="zh-CN" w:bidi="hi-IN"/>
        </w:rPr>
        <w:t xml:space="preserve"> years the PPA Rider is in effect.</w:t>
      </w:r>
      <w:r w:rsidRPr="000B73A3">
        <w:rPr>
          <w:rStyle w:val="FootnoteReference"/>
          <w:rFonts w:ascii="Times New Roman" w:eastAsia="WenQuanYi Micro Hei" w:hAnsi="Times New Roman" w:cs="Times New Roman"/>
          <w:color w:val="00000A"/>
          <w:sz w:val="24"/>
          <w:szCs w:val="24"/>
          <w:lang w:eastAsia="zh-CN" w:bidi="hi-IN"/>
        </w:rPr>
        <w:footnoteReference w:id="738"/>
      </w:r>
      <w:r w:rsidRPr="000B73A3">
        <w:rPr>
          <w:rFonts w:ascii="Times New Roman" w:eastAsia="WenQuanYi Micro Hei" w:hAnsi="Times New Roman" w:cs="Times New Roman"/>
          <w:color w:val="00000A"/>
          <w:sz w:val="24"/>
          <w:szCs w:val="24"/>
          <w:lang w:eastAsia="zh-CN" w:bidi="hi-IN"/>
        </w:rPr>
        <w:t xml:space="preserve"> </w:t>
      </w:r>
    </w:p>
    <w:p w:rsidR="000B73A3" w:rsidRPr="000B73A3" w:rsidRDefault="000B73A3" w:rsidP="00A57413">
      <w:pPr>
        <w:widowControl w:val="0"/>
        <w:suppressAutoHyphens/>
        <w:spacing w:after="0" w:line="480" w:lineRule="auto"/>
        <w:ind w:firstLine="720"/>
        <w:rPr>
          <w:rFonts w:ascii="Times New Roman" w:eastAsia="WenQuanYi Micro Hei" w:hAnsi="Times New Roman" w:cs="Times New Roman"/>
          <w:color w:val="00000A"/>
          <w:sz w:val="24"/>
          <w:szCs w:val="24"/>
          <w:lang w:eastAsia="zh-CN" w:bidi="hi-IN"/>
        </w:rPr>
      </w:pPr>
      <w:r w:rsidRPr="000B73A3">
        <w:rPr>
          <w:rFonts w:ascii="Times New Roman" w:eastAsia="WenQuanYi Micro Hei" w:hAnsi="Times New Roman" w:cs="Times New Roman"/>
          <w:color w:val="00000A"/>
          <w:sz w:val="24"/>
          <w:szCs w:val="24"/>
          <w:lang w:eastAsia="zh-CN" w:bidi="hi-IN"/>
        </w:rPr>
        <w:t>Conversely, OCC Witness Wilson conducted an independent analysis of the PPA</w:t>
      </w:r>
      <w:r w:rsidR="002E02F4">
        <w:rPr>
          <w:rFonts w:ascii="Times New Roman" w:eastAsia="WenQuanYi Micro Hei" w:hAnsi="Times New Roman" w:cs="Times New Roman"/>
          <w:color w:val="00000A"/>
          <w:sz w:val="24"/>
          <w:szCs w:val="24"/>
          <w:lang w:eastAsia="zh-CN" w:bidi="hi-IN"/>
        </w:rPr>
        <w:t>s</w:t>
      </w:r>
      <w:r w:rsidRPr="000B73A3">
        <w:rPr>
          <w:rFonts w:ascii="Times New Roman" w:eastAsia="WenQuanYi Micro Hei" w:hAnsi="Times New Roman" w:cs="Times New Roman"/>
          <w:color w:val="00000A"/>
          <w:sz w:val="24"/>
          <w:szCs w:val="24"/>
          <w:lang w:eastAsia="zh-CN" w:bidi="hi-IN"/>
        </w:rPr>
        <w:t xml:space="preserve"> and PPA Rider using, among other factors, electricity prices that were adjusted to be consistent with recent AD Hub peak and off peak prices.  Using these price forecasts, which are consistent with recent market data, he demonstrated that the PPA Rider</w:t>
      </w:r>
      <w:r w:rsidRPr="000B73A3">
        <w:rPr>
          <w:rFonts w:ascii="Times New Roman" w:hAnsi="Times New Roman" w:cs="Times New Roman"/>
          <w:sz w:val="24"/>
          <w:szCs w:val="24"/>
        </w:rPr>
        <w:t xml:space="preserve"> would result in a charge to AEP Ohio’s customers of $2 billion ($1.6 on a net present value basis) over the initial </w:t>
      </w:r>
      <w:r w:rsidR="00C8404C">
        <w:rPr>
          <w:rFonts w:ascii="Times New Roman" w:hAnsi="Times New Roman" w:cs="Times New Roman"/>
          <w:sz w:val="24"/>
          <w:szCs w:val="24"/>
        </w:rPr>
        <w:t>10</w:t>
      </w:r>
      <w:r w:rsidRPr="000B73A3">
        <w:rPr>
          <w:rFonts w:ascii="Times New Roman" w:hAnsi="Times New Roman" w:cs="Times New Roman"/>
          <w:sz w:val="24"/>
          <w:szCs w:val="24"/>
        </w:rPr>
        <w:t xml:space="preserve"> year period of the PPA.</w:t>
      </w:r>
      <w:r w:rsidRPr="000B73A3">
        <w:rPr>
          <w:rStyle w:val="FootnoteReference"/>
          <w:rFonts w:ascii="Times New Roman" w:hAnsi="Times New Roman" w:cs="Times New Roman"/>
          <w:sz w:val="24"/>
          <w:szCs w:val="24"/>
        </w:rPr>
        <w:footnoteReference w:id="739"/>
      </w:r>
      <w:r w:rsidR="002E02F4">
        <w:rPr>
          <w:rFonts w:ascii="Times New Roman" w:hAnsi="Times New Roman" w:cs="Times New Roman"/>
          <w:sz w:val="24"/>
          <w:szCs w:val="24"/>
        </w:rPr>
        <w:t xml:space="preserve">  OCC W</w:t>
      </w:r>
      <w:r w:rsidRPr="000B73A3">
        <w:rPr>
          <w:rFonts w:ascii="Times New Roman" w:hAnsi="Times New Roman" w:cs="Times New Roman"/>
          <w:sz w:val="24"/>
          <w:szCs w:val="24"/>
        </w:rPr>
        <w:t>itness Wilson’s use of market price forecasts is supported by Sierra Club Witness Chernick</w:t>
      </w:r>
      <w:r w:rsidRPr="000B73A3">
        <w:rPr>
          <w:rStyle w:val="FootnoteReference"/>
          <w:rFonts w:ascii="Times New Roman" w:hAnsi="Times New Roman" w:cs="Times New Roman"/>
          <w:sz w:val="24"/>
          <w:szCs w:val="24"/>
        </w:rPr>
        <w:footnoteReference w:id="740"/>
      </w:r>
      <w:r w:rsidRPr="000B73A3">
        <w:rPr>
          <w:rFonts w:ascii="Times New Roman" w:hAnsi="Times New Roman" w:cs="Times New Roman"/>
          <w:sz w:val="24"/>
          <w:szCs w:val="24"/>
        </w:rPr>
        <w:t xml:space="preserve"> and IGS Witness Leanza.</w:t>
      </w:r>
      <w:r w:rsidRPr="000B73A3">
        <w:rPr>
          <w:rStyle w:val="FootnoteReference"/>
          <w:rFonts w:ascii="Times New Roman" w:hAnsi="Times New Roman" w:cs="Times New Roman"/>
          <w:sz w:val="24"/>
          <w:szCs w:val="24"/>
        </w:rPr>
        <w:footnoteReference w:id="741"/>
      </w:r>
    </w:p>
    <w:p w:rsidR="007D22BE" w:rsidRDefault="000B73A3" w:rsidP="002E72B1">
      <w:pPr>
        <w:widowControl w:val="0"/>
        <w:suppressAutoHyphens/>
        <w:spacing w:after="0" w:line="480" w:lineRule="auto"/>
        <w:ind w:firstLine="720"/>
        <w:rPr>
          <w:rFonts w:ascii="Times New Roman" w:eastAsia="WenQuanYi Micro Hei" w:hAnsi="Times New Roman" w:cs="Times New Roman"/>
          <w:color w:val="00000A"/>
          <w:sz w:val="24"/>
          <w:szCs w:val="24"/>
          <w:lang w:eastAsia="zh-CN" w:bidi="hi-IN"/>
        </w:rPr>
      </w:pPr>
      <w:r w:rsidRPr="000B73A3">
        <w:rPr>
          <w:rFonts w:ascii="Times New Roman" w:eastAsia="WenQuanYi Micro Hei" w:hAnsi="Times New Roman" w:cs="Times New Roman"/>
          <w:color w:val="00000A"/>
          <w:sz w:val="24"/>
          <w:szCs w:val="24"/>
          <w:lang w:eastAsia="zh-CN" w:bidi="hi-IN"/>
        </w:rPr>
        <w:t>This vast difference in results using AEP Ohio’s in-house witness (based on in-house assumptions) and the results provided by OCC Witness Wilson’s independent analysis (based on market-derived prices) shows that the net impact of the PPA</w:t>
      </w:r>
      <w:r w:rsidR="00463F93">
        <w:rPr>
          <w:rFonts w:ascii="Times New Roman" w:eastAsia="WenQuanYi Micro Hei" w:hAnsi="Times New Roman" w:cs="Times New Roman"/>
          <w:color w:val="00000A"/>
          <w:sz w:val="24"/>
          <w:szCs w:val="24"/>
          <w:lang w:eastAsia="zh-CN" w:bidi="hi-IN"/>
        </w:rPr>
        <w:t>s</w:t>
      </w:r>
      <w:r w:rsidRPr="000B73A3">
        <w:rPr>
          <w:rFonts w:ascii="Times New Roman" w:eastAsia="WenQuanYi Micro Hei" w:hAnsi="Times New Roman" w:cs="Times New Roman"/>
          <w:color w:val="00000A"/>
          <w:sz w:val="24"/>
          <w:szCs w:val="24"/>
          <w:lang w:eastAsia="zh-CN" w:bidi="hi-IN"/>
        </w:rPr>
        <w:t xml:space="preserve"> and PPA Rider on customers is highly sensitive to input parameters.  To accurately gauge the PPA Rider’s net impact on customers, the PUCO should select an independent third party to conduct a pricing study, as contemplated in the ESP III Opinion and Order.  But in this proceeding, in the absence of such an independent analysis, the PUCO should adopt the analysis of OCC Witness Wilson because it is based on independently produced market </w:t>
      </w:r>
    </w:p>
    <w:p w:rsidR="000B73A3" w:rsidRPr="000B73A3" w:rsidRDefault="000B73A3" w:rsidP="007D22BE">
      <w:pPr>
        <w:widowControl w:val="0"/>
        <w:suppressAutoHyphens/>
        <w:spacing w:after="0" w:line="480" w:lineRule="auto"/>
        <w:rPr>
          <w:rFonts w:ascii="Times New Roman" w:eastAsia="WenQuanYi Micro Hei" w:hAnsi="Times New Roman" w:cs="Times New Roman"/>
          <w:color w:val="00000A"/>
          <w:sz w:val="24"/>
          <w:szCs w:val="24"/>
          <w:lang w:eastAsia="zh-CN" w:bidi="hi-IN"/>
        </w:rPr>
      </w:pPr>
      <w:r w:rsidRPr="000B73A3">
        <w:rPr>
          <w:rFonts w:ascii="Times New Roman" w:eastAsia="WenQuanYi Micro Hei" w:hAnsi="Times New Roman" w:cs="Times New Roman"/>
          <w:color w:val="00000A"/>
          <w:sz w:val="24"/>
          <w:szCs w:val="24"/>
          <w:lang w:eastAsia="zh-CN" w:bidi="hi-IN"/>
        </w:rPr>
        <w:t xml:space="preserve">data and is consistent with the testimony of Sierra Club Witness Chernick and IGS Witness Leanza.   </w:t>
      </w:r>
    </w:p>
    <w:p w:rsidR="000B73A3" w:rsidRPr="000B73A3" w:rsidRDefault="002C2314" w:rsidP="00C401CE">
      <w:pPr>
        <w:pStyle w:val="Heading4"/>
      </w:pPr>
      <w:bookmarkStart w:id="172" w:name="_Toc435428259"/>
      <w:bookmarkStart w:id="173" w:name="_Toc442104227"/>
      <w:r>
        <w:t>b.</w:t>
      </w:r>
      <w:r>
        <w:tab/>
      </w:r>
      <w:r w:rsidR="000B73A3" w:rsidRPr="000B73A3">
        <w:t xml:space="preserve">The </w:t>
      </w:r>
      <w:r w:rsidR="002D0C47">
        <w:t>PUCO</w:t>
      </w:r>
      <w:r w:rsidR="00CB1A5D">
        <w:t xml:space="preserve"> also should consider how AEP Ohio’s offer strategy into PJM affects c</w:t>
      </w:r>
      <w:r w:rsidR="000B73A3" w:rsidRPr="000B73A3">
        <w:t>ustomers</w:t>
      </w:r>
      <w:bookmarkEnd w:id="172"/>
      <w:r>
        <w:t>.</w:t>
      </w:r>
      <w:bookmarkEnd w:id="173"/>
    </w:p>
    <w:p w:rsidR="000B73A3" w:rsidRPr="000B73A3" w:rsidRDefault="000B73A3" w:rsidP="00941ED6">
      <w:pPr>
        <w:widowControl w:val="0"/>
        <w:suppressAutoHyphens/>
        <w:spacing w:after="0" w:line="480" w:lineRule="auto"/>
        <w:ind w:firstLine="720"/>
        <w:rPr>
          <w:rFonts w:ascii="Times New Roman" w:eastAsia="WenQuanYi Micro Hei" w:hAnsi="Times New Roman" w:cs="Times New Roman"/>
          <w:color w:val="00000A"/>
          <w:sz w:val="24"/>
          <w:szCs w:val="24"/>
          <w:lang w:eastAsia="zh-CN" w:bidi="hi-IN"/>
        </w:rPr>
      </w:pPr>
      <w:r w:rsidRPr="000B73A3">
        <w:rPr>
          <w:rFonts w:ascii="Times New Roman" w:eastAsia="WenQuanYi Micro Hei" w:hAnsi="Times New Roman" w:cs="Times New Roman"/>
          <w:color w:val="00000A"/>
          <w:sz w:val="24"/>
          <w:szCs w:val="24"/>
          <w:lang w:eastAsia="zh-CN" w:bidi="hi-IN"/>
        </w:rPr>
        <w:t xml:space="preserve">The subsidy inherent to the PPA Rider could result in AEP Ohio and AEPGR adopting offer strategies into the PJM-operated markets that could undermine the markets' ability to ensure the short- and/or long-run efficiency of the electric power system.  </w:t>
      </w:r>
      <w:r w:rsidR="002D0C47">
        <w:rPr>
          <w:rFonts w:ascii="Times New Roman" w:eastAsia="WenQuanYi Micro Hei" w:hAnsi="Times New Roman" w:cs="Times New Roman"/>
          <w:color w:val="00000A"/>
          <w:sz w:val="24"/>
          <w:szCs w:val="24"/>
          <w:lang w:eastAsia="zh-CN" w:bidi="hi-IN"/>
        </w:rPr>
        <w:t>Further,</w:t>
      </w:r>
      <w:r w:rsidRPr="000B73A3">
        <w:rPr>
          <w:rFonts w:ascii="Times New Roman" w:eastAsia="WenQuanYi Micro Hei" w:hAnsi="Times New Roman" w:cs="Times New Roman"/>
          <w:color w:val="00000A"/>
          <w:sz w:val="24"/>
          <w:szCs w:val="24"/>
          <w:lang w:eastAsia="zh-CN" w:bidi="hi-IN"/>
        </w:rPr>
        <w:t xml:space="preserve"> the participation of affiliated generation assets in the PJM-operated markets </w:t>
      </w:r>
      <w:r w:rsidR="002D0C47">
        <w:rPr>
          <w:rFonts w:ascii="Times New Roman" w:eastAsia="WenQuanYi Micro Hei" w:hAnsi="Times New Roman" w:cs="Times New Roman"/>
          <w:color w:val="00000A"/>
          <w:sz w:val="24"/>
          <w:szCs w:val="24"/>
          <w:lang w:eastAsia="zh-CN" w:bidi="hi-IN"/>
        </w:rPr>
        <w:t>also</w:t>
      </w:r>
      <w:r w:rsidRPr="000B73A3">
        <w:rPr>
          <w:rFonts w:ascii="Times New Roman" w:eastAsia="WenQuanYi Micro Hei" w:hAnsi="Times New Roman" w:cs="Times New Roman"/>
          <w:color w:val="00000A"/>
          <w:sz w:val="24"/>
          <w:szCs w:val="24"/>
          <w:lang w:eastAsia="zh-CN" w:bidi="hi-IN"/>
        </w:rPr>
        <w:t xml:space="preserve"> complicates the choice of offer strategy employed.  As explained in detail above, AEP Ohio could adopt strategies to offer the </w:t>
      </w:r>
      <w:r w:rsidR="00C8404C">
        <w:rPr>
          <w:rFonts w:ascii="Times New Roman" w:eastAsia="WenQuanYi Micro Hei" w:hAnsi="Times New Roman" w:cs="Times New Roman"/>
          <w:color w:val="00000A"/>
          <w:sz w:val="24"/>
          <w:szCs w:val="24"/>
          <w:lang w:eastAsia="zh-CN" w:bidi="hi-IN"/>
        </w:rPr>
        <w:t>PPA</w:t>
      </w:r>
      <w:r w:rsidRPr="000B73A3">
        <w:rPr>
          <w:rFonts w:ascii="Times New Roman" w:eastAsia="WenQuanYi Micro Hei" w:hAnsi="Times New Roman" w:cs="Times New Roman"/>
          <w:color w:val="00000A"/>
          <w:sz w:val="24"/>
          <w:szCs w:val="24"/>
          <w:lang w:eastAsia="zh-CN" w:bidi="hi-IN"/>
        </w:rPr>
        <w:t xml:space="preserve"> Units into the PJM market</w:t>
      </w:r>
      <w:r w:rsidR="00C8404C">
        <w:rPr>
          <w:rFonts w:ascii="Times New Roman" w:eastAsia="WenQuanYi Micro Hei" w:hAnsi="Times New Roman" w:cs="Times New Roman"/>
          <w:color w:val="00000A"/>
          <w:sz w:val="24"/>
          <w:szCs w:val="24"/>
          <w:lang w:eastAsia="zh-CN" w:bidi="hi-IN"/>
        </w:rPr>
        <w:t xml:space="preserve"> at a unit’s respective cost that may exceed the clearing price</w:t>
      </w:r>
      <w:r w:rsidRPr="000B73A3">
        <w:rPr>
          <w:rFonts w:ascii="Times New Roman" w:eastAsia="WenQuanYi Micro Hei" w:hAnsi="Times New Roman" w:cs="Times New Roman"/>
          <w:color w:val="00000A"/>
          <w:sz w:val="24"/>
          <w:szCs w:val="24"/>
          <w:lang w:eastAsia="zh-CN" w:bidi="hi-IN"/>
        </w:rPr>
        <w:t xml:space="preserve"> or under </w:t>
      </w:r>
      <w:r w:rsidR="00C8404C">
        <w:rPr>
          <w:rFonts w:ascii="Times New Roman" w:eastAsia="WenQuanYi Micro Hei" w:hAnsi="Times New Roman" w:cs="Times New Roman"/>
          <w:color w:val="00000A"/>
          <w:sz w:val="24"/>
          <w:szCs w:val="24"/>
          <w:lang w:eastAsia="zh-CN" w:bidi="hi-IN"/>
        </w:rPr>
        <w:t>a unit’s</w:t>
      </w:r>
      <w:r w:rsidRPr="000B73A3">
        <w:rPr>
          <w:rFonts w:ascii="Times New Roman" w:eastAsia="WenQuanYi Micro Hei" w:hAnsi="Times New Roman" w:cs="Times New Roman"/>
          <w:color w:val="00000A"/>
          <w:sz w:val="24"/>
          <w:szCs w:val="24"/>
          <w:lang w:eastAsia="zh-CN" w:bidi="hi-IN"/>
        </w:rPr>
        <w:t xml:space="preserve"> costs.  The offer strategies employed may undermine the short</w:t>
      </w:r>
      <w:r w:rsidR="00941ED6">
        <w:rPr>
          <w:rFonts w:ascii="Times New Roman" w:eastAsia="WenQuanYi Micro Hei" w:hAnsi="Times New Roman" w:cs="Times New Roman"/>
          <w:color w:val="00000A"/>
          <w:sz w:val="24"/>
          <w:szCs w:val="24"/>
          <w:lang w:eastAsia="zh-CN" w:bidi="hi-IN"/>
        </w:rPr>
        <w:t xml:space="preserve"> </w:t>
      </w:r>
      <w:r w:rsidRPr="000B73A3">
        <w:rPr>
          <w:rFonts w:ascii="Times New Roman" w:eastAsia="WenQuanYi Micro Hei" w:hAnsi="Times New Roman" w:cs="Times New Roman"/>
          <w:color w:val="00000A"/>
          <w:sz w:val="24"/>
          <w:szCs w:val="24"/>
          <w:lang w:eastAsia="zh-CN" w:bidi="hi-IN"/>
        </w:rPr>
        <w:t>and/or long-run efficiency of the PJM-operated markets, could be anti-competitive, and could be harmful to customers.</w:t>
      </w:r>
      <w:r w:rsidRPr="000B73A3">
        <w:rPr>
          <w:rStyle w:val="FootnoteReference"/>
          <w:rFonts w:ascii="Times New Roman" w:eastAsia="WenQuanYi Micro Hei" w:hAnsi="Times New Roman" w:cs="Times New Roman"/>
          <w:color w:val="00000A"/>
          <w:sz w:val="24"/>
          <w:szCs w:val="24"/>
          <w:lang w:eastAsia="zh-CN" w:bidi="hi-IN"/>
        </w:rPr>
        <w:footnoteReference w:id="742"/>
      </w:r>
      <w:r w:rsidRPr="000B73A3">
        <w:rPr>
          <w:rFonts w:ascii="Times New Roman" w:eastAsia="WenQuanYi Micro Hei" w:hAnsi="Times New Roman" w:cs="Times New Roman"/>
          <w:color w:val="00000A"/>
          <w:sz w:val="24"/>
          <w:szCs w:val="24"/>
          <w:lang w:eastAsia="zh-CN" w:bidi="hi-IN"/>
        </w:rPr>
        <w:t xml:space="preserve">  </w:t>
      </w:r>
    </w:p>
    <w:p w:rsidR="000B73A3" w:rsidRPr="000B73A3" w:rsidRDefault="000B73A3" w:rsidP="00A57413">
      <w:pPr>
        <w:spacing w:after="0" w:line="480" w:lineRule="auto"/>
        <w:ind w:firstLine="720"/>
        <w:rPr>
          <w:rFonts w:ascii="Times New Roman" w:hAnsi="Times New Roman" w:cs="Times New Roman"/>
          <w:sz w:val="24"/>
          <w:szCs w:val="24"/>
        </w:rPr>
      </w:pPr>
      <w:r w:rsidRPr="000B73A3">
        <w:rPr>
          <w:rFonts w:ascii="Times New Roman" w:hAnsi="Times New Roman" w:cs="Times New Roman"/>
          <w:sz w:val="24"/>
          <w:szCs w:val="24"/>
        </w:rPr>
        <w:t xml:space="preserve">The record in this proceeding does not disclose the offer strategies that AEP Ohio will use for the PPA Units, and AEP Ohio provides no guarantee, or means to verify, that its offer strategies will not have anti-competitive effects on the PJM wholesale electric markets to the detriment of Ohio consumers.  This </w:t>
      </w:r>
      <w:r w:rsidR="00FE5C82">
        <w:rPr>
          <w:rFonts w:ascii="Times New Roman" w:hAnsi="Times New Roman" w:cs="Times New Roman"/>
          <w:sz w:val="24"/>
          <w:szCs w:val="24"/>
        </w:rPr>
        <w:t>critical omission</w:t>
      </w:r>
      <w:r w:rsidRPr="000B73A3">
        <w:rPr>
          <w:rFonts w:ascii="Times New Roman" w:hAnsi="Times New Roman" w:cs="Times New Roman"/>
          <w:sz w:val="24"/>
          <w:szCs w:val="24"/>
        </w:rPr>
        <w:t xml:space="preserve"> supports the PUCO’s rejection of the Amended Application</w:t>
      </w:r>
      <w:r w:rsidR="004F3211">
        <w:rPr>
          <w:rFonts w:ascii="Times New Roman" w:hAnsi="Times New Roman" w:cs="Times New Roman"/>
          <w:sz w:val="24"/>
          <w:szCs w:val="24"/>
        </w:rPr>
        <w:t>/Modified Amended Application</w:t>
      </w:r>
      <w:r w:rsidRPr="000B73A3">
        <w:rPr>
          <w:rFonts w:ascii="Times New Roman" w:hAnsi="Times New Roman" w:cs="Times New Roman"/>
          <w:sz w:val="24"/>
          <w:szCs w:val="24"/>
        </w:rPr>
        <w:t xml:space="preserve">.  </w:t>
      </w:r>
    </w:p>
    <w:p w:rsidR="00AA2EA0" w:rsidRDefault="00AA2EA0">
      <w:pPr>
        <w:rPr>
          <w:rFonts w:ascii="Times New Roman Bold" w:eastAsia="WenQuanYi Micro Hei" w:hAnsi="Times New Roman Bold" w:cstheme="majorBidi"/>
          <w:bCs/>
          <w:iCs/>
          <w:sz w:val="24"/>
          <w:szCs w:val="24"/>
          <w:lang w:eastAsia="zh-CN" w:bidi="hi-IN"/>
        </w:rPr>
      </w:pPr>
      <w:r>
        <w:br w:type="page"/>
      </w:r>
    </w:p>
    <w:p w:rsidR="000B73A3" w:rsidRPr="000B73A3" w:rsidRDefault="002C2314" w:rsidP="00C401CE">
      <w:pPr>
        <w:pStyle w:val="Heading4"/>
        <w:rPr>
          <w:i/>
        </w:rPr>
      </w:pPr>
      <w:bookmarkStart w:id="174" w:name="_Toc442104228"/>
      <w:r>
        <w:t>c.</w:t>
      </w:r>
      <w:r>
        <w:tab/>
      </w:r>
      <w:bookmarkStart w:id="175" w:name="_Toc435428260"/>
      <w:r w:rsidR="00CB1A5D">
        <w:t xml:space="preserve">The PUCO should consider the incentives, or lack thereof, for AEP Ohio to control the cost of the PPA </w:t>
      </w:r>
      <w:r w:rsidR="00463F93">
        <w:t>U</w:t>
      </w:r>
      <w:r w:rsidR="000B73A3" w:rsidRPr="000B73A3">
        <w:t>nits</w:t>
      </w:r>
      <w:bookmarkEnd w:id="175"/>
      <w:r w:rsidR="00081CC7">
        <w:t xml:space="preserve"> so consumer interests are protected</w:t>
      </w:r>
      <w:r>
        <w:t>.</w:t>
      </w:r>
      <w:bookmarkEnd w:id="174"/>
    </w:p>
    <w:p w:rsidR="000B73A3" w:rsidRPr="000B73A3" w:rsidRDefault="000B73A3" w:rsidP="00A57413">
      <w:pPr>
        <w:widowControl w:val="0"/>
        <w:suppressAutoHyphens/>
        <w:spacing w:after="0" w:line="480" w:lineRule="auto"/>
        <w:ind w:firstLine="720"/>
        <w:rPr>
          <w:rFonts w:ascii="Times New Roman" w:eastAsia="WenQuanYi Micro Hei" w:hAnsi="Times New Roman" w:cs="Times New Roman"/>
          <w:color w:val="00000A"/>
          <w:sz w:val="24"/>
          <w:szCs w:val="24"/>
          <w:lang w:eastAsia="zh-CN" w:bidi="hi-IN"/>
        </w:rPr>
      </w:pPr>
      <w:r w:rsidRPr="000B73A3">
        <w:rPr>
          <w:rFonts w:ascii="Times New Roman" w:eastAsia="WenQuanYi Micro Hei" w:hAnsi="Times New Roman" w:cs="Times New Roman"/>
          <w:color w:val="00000A"/>
          <w:sz w:val="24"/>
          <w:szCs w:val="24"/>
          <w:lang w:eastAsia="zh-CN" w:bidi="hi-IN"/>
        </w:rPr>
        <w:t xml:space="preserve">The PPA Rider permits 100 percent pass through of the PPA Units’ actual fixed and variable costs (net of revenues) to AEP Ohio's captive customers.  In addition, AEPGR is guaranteed to earn a return on investment through the PPA terms. </w:t>
      </w:r>
      <w:r w:rsidR="002E72B1">
        <w:rPr>
          <w:rFonts w:ascii="Times New Roman" w:eastAsia="WenQuanYi Micro Hei" w:hAnsi="Times New Roman" w:cs="Times New Roman"/>
          <w:color w:val="00000A"/>
          <w:sz w:val="24"/>
          <w:szCs w:val="24"/>
          <w:lang w:eastAsia="zh-CN" w:bidi="hi-IN"/>
        </w:rPr>
        <w:t xml:space="preserve"> </w:t>
      </w:r>
      <w:r w:rsidRPr="000B73A3">
        <w:rPr>
          <w:rFonts w:ascii="Times New Roman" w:eastAsia="WenQuanYi Micro Hei" w:hAnsi="Times New Roman" w:cs="Times New Roman"/>
          <w:color w:val="00000A"/>
          <w:sz w:val="24"/>
          <w:szCs w:val="24"/>
          <w:lang w:eastAsia="zh-CN" w:bidi="hi-IN"/>
        </w:rPr>
        <w:t>As discussed previously, the design of the PPA</w:t>
      </w:r>
      <w:r w:rsidR="002D0C47">
        <w:rPr>
          <w:rFonts w:ascii="Times New Roman" w:eastAsia="WenQuanYi Micro Hei" w:hAnsi="Times New Roman" w:cs="Times New Roman"/>
          <w:color w:val="00000A"/>
          <w:sz w:val="24"/>
          <w:szCs w:val="24"/>
          <w:lang w:eastAsia="zh-CN" w:bidi="hi-IN"/>
        </w:rPr>
        <w:t>s</w:t>
      </w:r>
      <w:r w:rsidRPr="000B73A3">
        <w:rPr>
          <w:rFonts w:ascii="Times New Roman" w:eastAsia="WenQuanYi Micro Hei" w:hAnsi="Times New Roman" w:cs="Times New Roman"/>
          <w:color w:val="00000A"/>
          <w:sz w:val="24"/>
          <w:szCs w:val="24"/>
          <w:lang w:eastAsia="zh-CN" w:bidi="hi-IN"/>
        </w:rPr>
        <w:t xml:space="preserve"> and PPA Rider significantly reduces any incentives for AEPGR to control or reduce the capital or operating costs of the PPA Units.</w:t>
      </w:r>
      <w:r w:rsidRPr="000B73A3">
        <w:rPr>
          <w:rStyle w:val="FootnoteReference"/>
          <w:rFonts w:ascii="Times New Roman" w:eastAsia="WenQuanYi Micro Hei" w:hAnsi="Times New Roman" w:cs="Times New Roman"/>
          <w:color w:val="00000A"/>
          <w:sz w:val="24"/>
          <w:szCs w:val="24"/>
          <w:lang w:eastAsia="zh-CN" w:bidi="hi-IN"/>
        </w:rPr>
        <w:footnoteReference w:id="743"/>
      </w:r>
      <w:r w:rsidRPr="000B73A3">
        <w:rPr>
          <w:rFonts w:ascii="Times New Roman" w:eastAsia="WenQuanYi Micro Hei" w:hAnsi="Times New Roman" w:cs="Times New Roman"/>
          <w:color w:val="00000A"/>
          <w:sz w:val="24"/>
          <w:szCs w:val="24"/>
          <w:lang w:eastAsia="zh-CN" w:bidi="hi-IN"/>
        </w:rPr>
        <w:t xml:space="preserve">  </w:t>
      </w:r>
    </w:p>
    <w:p w:rsidR="007D22BE" w:rsidRDefault="000B73A3" w:rsidP="002E72B1">
      <w:pPr>
        <w:pStyle w:val="A1"/>
        <w:spacing w:after="0" w:line="480" w:lineRule="auto"/>
        <w:ind w:firstLine="720"/>
        <w:rPr>
          <w:rFonts w:ascii="Times New Roman Bold" w:eastAsia="WenQuanYi Micro Hei" w:hAnsi="Times New Roman Bold" w:cstheme="majorBidi"/>
          <w:bCs/>
          <w:iCs/>
          <w:szCs w:val="24"/>
          <w:lang w:eastAsia="zh-CN" w:bidi="hi-IN"/>
        </w:rPr>
      </w:pPr>
      <w:r w:rsidRPr="000B73A3">
        <w:rPr>
          <w:rFonts w:cs="Times New Roman"/>
          <w:szCs w:val="24"/>
        </w:rPr>
        <w:t xml:space="preserve">The proposed PPA will </w:t>
      </w:r>
      <w:r w:rsidR="00FE5C82">
        <w:rPr>
          <w:rFonts w:cs="Times New Roman"/>
          <w:szCs w:val="24"/>
        </w:rPr>
        <w:t>destroy any</w:t>
      </w:r>
      <w:r w:rsidRPr="000B73A3">
        <w:rPr>
          <w:rFonts w:cs="Times New Roman"/>
          <w:szCs w:val="24"/>
        </w:rPr>
        <w:t xml:space="preserve"> incentive to keep energy and capacity prices relatively low.</w:t>
      </w:r>
      <w:r w:rsidRPr="000B73A3">
        <w:rPr>
          <w:rStyle w:val="FootnoteReference"/>
          <w:rFonts w:cs="Times New Roman"/>
          <w:szCs w:val="24"/>
        </w:rPr>
        <w:footnoteReference w:id="744"/>
      </w:r>
      <w:r w:rsidRPr="000B73A3">
        <w:rPr>
          <w:rFonts w:cs="Times New Roman"/>
          <w:szCs w:val="24"/>
        </w:rPr>
        <w:t xml:space="preserve"> </w:t>
      </w:r>
      <w:r w:rsidR="002E72B1">
        <w:rPr>
          <w:rFonts w:cs="Times New Roman"/>
          <w:szCs w:val="24"/>
        </w:rPr>
        <w:t xml:space="preserve"> </w:t>
      </w:r>
      <w:r w:rsidRPr="000B73A3">
        <w:rPr>
          <w:rFonts w:cs="Times New Roman"/>
          <w:szCs w:val="24"/>
        </w:rPr>
        <w:t>Given that AEP Ohio has a substantial amount of generation in the PJM footprint, the company already has strong incentives to attempt to raise energy and capacity prices.</w:t>
      </w:r>
      <w:r w:rsidRPr="000B73A3">
        <w:rPr>
          <w:rStyle w:val="FootnoteReference"/>
          <w:rFonts w:cs="Times New Roman"/>
          <w:szCs w:val="24"/>
        </w:rPr>
        <w:footnoteReference w:id="745"/>
      </w:r>
      <w:r w:rsidRPr="000B73A3">
        <w:rPr>
          <w:rFonts w:cs="Times New Roman"/>
          <w:szCs w:val="24"/>
        </w:rPr>
        <w:t xml:space="preserve"> </w:t>
      </w:r>
      <w:r w:rsidR="002E72B1">
        <w:rPr>
          <w:rFonts w:cs="Times New Roman"/>
          <w:szCs w:val="24"/>
        </w:rPr>
        <w:t xml:space="preserve"> </w:t>
      </w:r>
      <w:r w:rsidR="00C8404C">
        <w:rPr>
          <w:rFonts w:cs="Times New Roman"/>
          <w:szCs w:val="24"/>
        </w:rPr>
        <w:t>Because</w:t>
      </w:r>
      <w:r w:rsidRPr="000B73A3">
        <w:rPr>
          <w:rFonts w:cs="Times New Roman"/>
          <w:szCs w:val="24"/>
        </w:rPr>
        <w:t xml:space="preserve"> the revenues associated with a part of the portfolio</w:t>
      </w:r>
      <w:r w:rsidR="002D0C47">
        <w:rPr>
          <w:rFonts w:cs="Times New Roman"/>
          <w:szCs w:val="24"/>
        </w:rPr>
        <w:t xml:space="preserve"> can be</w:t>
      </w:r>
      <w:r w:rsidRPr="000B73A3">
        <w:rPr>
          <w:rFonts w:cs="Times New Roman"/>
          <w:szCs w:val="24"/>
        </w:rPr>
        <w:t xml:space="preserve"> passed through to customers through the PPA Rider, the incentive to </w:t>
      </w:r>
      <w:r w:rsidR="00C8404C">
        <w:rPr>
          <w:rFonts w:cs="Times New Roman"/>
          <w:szCs w:val="24"/>
        </w:rPr>
        <w:t>not clear</w:t>
      </w:r>
      <w:r w:rsidRPr="000B73A3">
        <w:rPr>
          <w:rFonts w:cs="Times New Roman"/>
          <w:szCs w:val="24"/>
        </w:rPr>
        <w:t xml:space="preserve"> these resources </w:t>
      </w:r>
      <w:r w:rsidR="00C8404C">
        <w:rPr>
          <w:rFonts w:cs="Times New Roman"/>
          <w:szCs w:val="24"/>
        </w:rPr>
        <w:t>in PJM’s</w:t>
      </w:r>
      <w:r w:rsidRPr="000B73A3">
        <w:rPr>
          <w:rFonts w:cs="Times New Roman"/>
          <w:szCs w:val="24"/>
        </w:rPr>
        <w:t xml:space="preserve"> markets would be strengthened.</w:t>
      </w:r>
      <w:r w:rsidRPr="000B73A3">
        <w:rPr>
          <w:rStyle w:val="FootnoteReference"/>
          <w:rFonts w:cs="Times New Roman"/>
          <w:szCs w:val="24"/>
        </w:rPr>
        <w:footnoteReference w:id="746"/>
      </w:r>
      <w:r w:rsidRPr="000B73A3">
        <w:rPr>
          <w:rFonts w:cs="Times New Roman"/>
          <w:szCs w:val="24"/>
        </w:rPr>
        <w:t xml:space="preserve"> </w:t>
      </w:r>
      <w:r w:rsidR="002E72B1">
        <w:rPr>
          <w:rFonts w:cs="Times New Roman"/>
          <w:szCs w:val="24"/>
        </w:rPr>
        <w:t xml:space="preserve"> </w:t>
      </w:r>
      <w:r w:rsidRPr="000B73A3">
        <w:rPr>
          <w:rFonts w:cs="Times New Roman"/>
          <w:szCs w:val="24"/>
        </w:rPr>
        <w:t>That is, by fully subsidizing the operating and capital costs of the PPA Units, in addition to the guaranteed profit, the PPA</w:t>
      </w:r>
      <w:r w:rsidR="002D0C47">
        <w:rPr>
          <w:rFonts w:cs="Times New Roman"/>
          <w:szCs w:val="24"/>
        </w:rPr>
        <w:t>s eliminate</w:t>
      </w:r>
      <w:r w:rsidRPr="000B73A3">
        <w:rPr>
          <w:rFonts w:cs="Times New Roman"/>
          <w:szCs w:val="24"/>
        </w:rPr>
        <w:t xml:space="preserve"> any incentives that the PJM-operated wholesale markets create to reduce operating and capital costs of the PPA Units.</w:t>
      </w:r>
      <w:r w:rsidRPr="000B73A3">
        <w:rPr>
          <w:rStyle w:val="FootnoteReference"/>
          <w:rFonts w:cs="Times New Roman"/>
          <w:szCs w:val="24"/>
        </w:rPr>
        <w:footnoteReference w:id="747"/>
      </w:r>
      <w:r w:rsidRPr="000B73A3">
        <w:rPr>
          <w:rFonts w:cs="Times New Roman"/>
          <w:szCs w:val="24"/>
        </w:rPr>
        <w:t xml:space="preserve"> </w:t>
      </w:r>
      <w:r w:rsidR="002E72B1">
        <w:rPr>
          <w:rFonts w:cs="Times New Roman"/>
          <w:szCs w:val="24"/>
        </w:rPr>
        <w:t xml:space="preserve"> </w:t>
      </w:r>
      <w:r w:rsidRPr="000B73A3">
        <w:rPr>
          <w:rFonts w:cs="Times New Roman"/>
          <w:szCs w:val="24"/>
        </w:rPr>
        <w:t xml:space="preserve">This means that the cost of supplying customers’ energy and capacity needs using the PPA Units may be higher than they otherwise would </w:t>
      </w:r>
      <w:r w:rsidR="00FE5C82">
        <w:rPr>
          <w:rFonts w:cs="Times New Roman"/>
          <w:szCs w:val="24"/>
        </w:rPr>
        <w:t xml:space="preserve">be </w:t>
      </w:r>
      <w:r w:rsidRPr="000B73A3">
        <w:rPr>
          <w:rFonts w:cs="Times New Roman"/>
          <w:szCs w:val="24"/>
        </w:rPr>
        <w:t xml:space="preserve">without the </w:t>
      </w:r>
      <w:r w:rsidR="00FE5C82">
        <w:rPr>
          <w:rFonts w:cs="Times New Roman"/>
          <w:szCs w:val="24"/>
        </w:rPr>
        <w:t xml:space="preserve">PPA Rider </w:t>
      </w:r>
      <w:r w:rsidRPr="000B73A3">
        <w:rPr>
          <w:rFonts w:cs="Times New Roman"/>
          <w:szCs w:val="24"/>
        </w:rPr>
        <w:t>subsidy.</w:t>
      </w:r>
      <w:r w:rsidRPr="000B73A3">
        <w:rPr>
          <w:rStyle w:val="FootnoteReference"/>
          <w:rFonts w:cs="Times New Roman"/>
          <w:szCs w:val="24"/>
        </w:rPr>
        <w:footnoteReference w:id="748"/>
      </w:r>
      <w:r w:rsidRPr="000B73A3">
        <w:rPr>
          <w:rFonts w:cs="Times New Roman"/>
          <w:szCs w:val="24"/>
        </w:rPr>
        <w:t xml:space="preserve"> </w:t>
      </w:r>
      <w:r w:rsidR="002E72B1">
        <w:rPr>
          <w:rFonts w:cs="Times New Roman"/>
          <w:szCs w:val="24"/>
        </w:rPr>
        <w:t xml:space="preserve"> </w:t>
      </w:r>
      <w:r w:rsidRPr="000B73A3">
        <w:rPr>
          <w:rFonts w:cs="Times New Roman"/>
          <w:szCs w:val="24"/>
        </w:rPr>
        <w:t>This is an unjust and unreasonable proposal for consumers.</w:t>
      </w:r>
      <w:bookmarkStart w:id="176" w:name="_Toc435428261"/>
    </w:p>
    <w:p w:rsidR="000B73A3" w:rsidRPr="000B73A3" w:rsidRDefault="00862CDA" w:rsidP="00C401CE">
      <w:pPr>
        <w:pStyle w:val="Heading4"/>
      </w:pPr>
      <w:bookmarkStart w:id="177" w:name="_Toc442104229"/>
      <w:r>
        <w:t>d.</w:t>
      </w:r>
      <w:r>
        <w:tab/>
      </w:r>
      <w:r w:rsidR="00CB1A5D">
        <w:t xml:space="preserve">The PUCO should consider the incentives, or lack thereof, for AEP Ohio and AEPGR to make rational retirement decisions pertaining to the PPA </w:t>
      </w:r>
      <w:r w:rsidR="00463F93">
        <w:t>U</w:t>
      </w:r>
      <w:r w:rsidR="000B73A3" w:rsidRPr="000B73A3">
        <w:t>nits</w:t>
      </w:r>
      <w:bookmarkEnd w:id="176"/>
      <w:r w:rsidR="00081CC7">
        <w:t xml:space="preserve"> so consumer interests are protected</w:t>
      </w:r>
      <w:r>
        <w:t>.</w:t>
      </w:r>
      <w:bookmarkEnd w:id="177"/>
    </w:p>
    <w:p w:rsidR="005C3DC7" w:rsidRDefault="000B73A3" w:rsidP="00A57413">
      <w:pPr>
        <w:widowControl w:val="0"/>
        <w:suppressAutoHyphens/>
        <w:spacing w:after="0" w:line="480" w:lineRule="auto"/>
        <w:ind w:firstLine="720"/>
        <w:rPr>
          <w:rFonts w:ascii="Times New Roman" w:eastAsia="WenQuanYi Micro Hei" w:hAnsi="Times New Roman" w:cs="Times New Roman"/>
          <w:color w:val="00000A"/>
          <w:sz w:val="24"/>
          <w:szCs w:val="24"/>
          <w:lang w:eastAsia="zh-CN" w:bidi="hi-IN"/>
        </w:rPr>
      </w:pPr>
      <w:r w:rsidRPr="000B73A3">
        <w:rPr>
          <w:rFonts w:ascii="Times New Roman" w:eastAsia="WenQuanYi Micro Hei" w:hAnsi="Times New Roman" w:cs="Times New Roman"/>
          <w:color w:val="00000A"/>
          <w:sz w:val="24"/>
          <w:szCs w:val="24"/>
          <w:lang w:eastAsia="zh-CN" w:bidi="hi-IN"/>
        </w:rPr>
        <w:t xml:space="preserve">When a plant no longer appears likely to recover its going forward costs over any future time frame (in the short- or long-term), the owner </w:t>
      </w:r>
      <w:r w:rsidR="005C3DC7">
        <w:rPr>
          <w:rFonts w:ascii="Times New Roman" w:eastAsia="WenQuanYi Micro Hei" w:hAnsi="Times New Roman" w:cs="Times New Roman"/>
          <w:color w:val="00000A"/>
          <w:sz w:val="24"/>
          <w:szCs w:val="24"/>
          <w:lang w:eastAsia="zh-CN" w:bidi="hi-IN"/>
        </w:rPr>
        <w:t>would</w:t>
      </w:r>
      <w:r w:rsidR="005C3DC7" w:rsidRPr="000B73A3">
        <w:rPr>
          <w:rFonts w:ascii="Times New Roman" w:eastAsia="WenQuanYi Micro Hei" w:hAnsi="Times New Roman" w:cs="Times New Roman"/>
          <w:color w:val="00000A"/>
          <w:sz w:val="24"/>
          <w:szCs w:val="24"/>
          <w:lang w:eastAsia="zh-CN" w:bidi="hi-IN"/>
        </w:rPr>
        <w:t xml:space="preserve"> </w:t>
      </w:r>
      <w:r w:rsidRPr="000B73A3">
        <w:rPr>
          <w:rFonts w:ascii="Times New Roman" w:eastAsia="WenQuanYi Micro Hei" w:hAnsi="Times New Roman" w:cs="Times New Roman"/>
          <w:color w:val="00000A"/>
          <w:sz w:val="24"/>
          <w:szCs w:val="24"/>
          <w:lang w:eastAsia="zh-CN" w:bidi="hi-IN"/>
        </w:rPr>
        <w:t>retire or repower it.</w:t>
      </w:r>
      <w:r w:rsidR="004831DC">
        <w:rPr>
          <w:rFonts w:ascii="Times New Roman" w:eastAsia="WenQuanYi Micro Hei" w:hAnsi="Times New Roman" w:cs="Times New Roman"/>
          <w:color w:val="00000A"/>
          <w:sz w:val="24"/>
          <w:szCs w:val="24"/>
          <w:lang w:eastAsia="zh-CN" w:bidi="hi-IN"/>
        </w:rPr>
        <w:t xml:space="preserve">  That is how markets work.</w:t>
      </w:r>
      <w:r w:rsidR="005B28C6">
        <w:rPr>
          <w:rFonts w:ascii="Times New Roman" w:eastAsia="WenQuanYi Micro Hei" w:hAnsi="Times New Roman" w:cs="Times New Roman"/>
          <w:color w:val="00000A"/>
          <w:sz w:val="24"/>
          <w:szCs w:val="24"/>
          <w:lang w:eastAsia="zh-CN" w:bidi="hi-IN"/>
        </w:rPr>
        <w:t xml:space="preserve">  And that is how Ohio works, under the General Assembly’s law.</w:t>
      </w:r>
      <w:r w:rsidRPr="000B73A3">
        <w:rPr>
          <w:rFonts w:ascii="Times New Roman" w:eastAsia="WenQuanYi Micro Hei" w:hAnsi="Times New Roman" w:cs="Times New Roman"/>
          <w:color w:val="00000A"/>
          <w:sz w:val="24"/>
          <w:szCs w:val="24"/>
          <w:lang w:eastAsia="zh-CN" w:bidi="hi-IN"/>
        </w:rPr>
        <w:t xml:space="preserve">  </w:t>
      </w:r>
      <w:r w:rsidR="005C3DC7">
        <w:rPr>
          <w:rFonts w:ascii="Times New Roman" w:eastAsia="WenQuanYi Micro Hei" w:hAnsi="Times New Roman" w:cs="Times New Roman"/>
          <w:color w:val="00000A"/>
          <w:sz w:val="24"/>
          <w:szCs w:val="24"/>
          <w:lang w:eastAsia="zh-CN" w:bidi="hi-IN"/>
        </w:rPr>
        <w:t>But t</w:t>
      </w:r>
      <w:r w:rsidRPr="000B73A3">
        <w:rPr>
          <w:rFonts w:ascii="Times New Roman" w:eastAsia="WenQuanYi Micro Hei" w:hAnsi="Times New Roman" w:cs="Times New Roman"/>
          <w:color w:val="00000A"/>
          <w:sz w:val="24"/>
          <w:szCs w:val="24"/>
          <w:lang w:eastAsia="zh-CN" w:bidi="hi-IN"/>
        </w:rPr>
        <w:t>he guaranteed cost recovery in the PPA</w:t>
      </w:r>
      <w:r w:rsidR="002D0C47">
        <w:rPr>
          <w:rFonts w:ascii="Times New Roman" w:eastAsia="WenQuanYi Micro Hei" w:hAnsi="Times New Roman" w:cs="Times New Roman"/>
          <w:color w:val="00000A"/>
          <w:sz w:val="24"/>
          <w:szCs w:val="24"/>
          <w:lang w:eastAsia="zh-CN" w:bidi="hi-IN"/>
        </w:rPr>
        <w:t>s eliminate</w:t>
      </w:r>
      <w:r w:rsidR="00463F93">
        <w:rPr>
          <w:rFonts w:ascii="Times New Roman" w:eastAsia="WenQuanYi Micro Hei" w:hAnsi="Times New Roman" w:cs="Times New Roman"/>
          <w:color w:val="00000A"/>
          <w:sz w:val="24"/>
          <w:szCs w:val="24"/>
          <w:lang w:eastAsia="zh-CN" w:bidi="hi-IN"/>
        </w:rPr>
        <w:t>s</w:t>
      </w:r>
      <w:r w:rsidRPr="000B73A3">
        <w:rPr>
          <w:rFonts w:ascii="Times New Roman" w:eastAsia="WenQuanYi Micro Hei" w:hAnsi="Times New Roman" w:cs="Times New Roman"/>
          <w:color w:val="00000A"/>
          <w:sz w:val="24"/>
          <w:szCs w:val="24"/>
          <w:lang w:eastAsia="zh-CN" w:bidi="hi-IN"/>
        </w:rPr>
        <w:t xml:space="preserve"> any incentives for AEPGR to retire the PPA Units.  Thus, even if the PPA Units are not economically viable, in the sense that they cannot recover their costs, there is no incentive mechanism within the proposed PPA</w:t>
      </w:r>
      <w:r w:rsidR="00463F93">
        <w:rPr>
          <w:rFonts w:ascii="Times New Roman" w:eastAsia="WenQuanYi Micro Hei" w:hAnsi="Times New Roman" w:cs="Times New Roman"/>
          <w:color w:val="00000A"/>
          <w:sz w:val="24"/>
          <w:szCs w:val="24"/>
          <w:lang w:eastAsia="zh-CN" w:bidi="hi-IN"/>
        </w:rPr>
        <w:t>s</w:t>
      </w:r>
      <w:r w:rsidRPr="000B73A3">
        <w:rPr>
          <w:rFonts w:ascii="Times New Roman" w:eastAsia="WenQuanYi Micro Hei" w:hAnsi="Times New Roman" w:cs="Times New Roman"/>
          <w:color w:val="00000A"/>
          <w:sz w:val="24"/>
          <w:szCs w:val="24"/>
          <w:lang w:eastAsia="zh-CN" w:bidi="hi-IN"/>
        </w:rPr>
        <w:t xml:space="preserve"> for these assets to be retired, regardless of how costly or uneconomic they may be.  </w:t>
      </w:r>
      <w:r w:rsidR="005C3DC7">
        <w:rPr>
          <w:rFonts w:ascii="Times New Roman" w:eastAsia="WenQuanYi Micro Hei" w:hAnsi="Times New Roman" w:cs="Times New Roman"/>
          <w:color w:val="00000A"/>
          <w:sz w:val="24"/>
          <w:szCs w:val="24"/>
          <w:lang w:eastAsia="zh-CN" w:bidi="hi-IN"/>
        </w:rPr>
        <w:t>This retirement issue might not ordinarily be an issue for discussion in a PUCO case</w:t>
      </w:r>
      <w:r w:rsidR="00165F76">
        <w:rPr>
          <w:rFonts w:ascii="Times New Roman" w:eastAsia="WenQuanYi Micro Hei" w:hAnsi="Times New Roman" w:cs="Times New Roman"/>
          <w:color w:val="00000A"/>
          <w:sz w:val="24"/>
          <w:szCs w:val="24"/>
          <w:lang w:eastAsia="zh-CN" w:bidi="hi-IN"/>
        </w:rPr>
        <w:t>.  B</w:t>
      </w:r>
      <w:r w:rsidR="005C3DC7">
        <w:rPr>
          <w:rFonts w:ascii="Times New Roman" w:eastAsia="WenQuanYi Micro Hei" w:hAnsi="Times New Roman" w:cs="Times New Roman"/>
          <w:color w:val="00000A"/>
          <w:sz w:val="24"/>
          <w:szCs w:val="24"/>
          <w:lang w:eastAsia="zh-CN" w:bidi="hi-IN"/>
        </w:rPr>
        <w:t xml:space="preserve">ut here the </w:t>
      </w:r>
      <w:r w:rsidR="00E861A7">
        <w:rPr>
          <w:rFonts w:ascii="Times New Roman" w:eastAsia="WenQuanYi Micro Hei" w:hAnsi="Times New Roman" w:cs="Times New Roman"/>
          <w:color w:val="00000A"/>
          <w:sz w:val="24"/>
          <w:szCs w:val="24"/>
          <w:lang w:eastAsia="zh-CN" w:bidi="hi-IN"/>
        </w:rPr>
        <w:t>U</w:t>
      </w:r>
      <w:r w:rsidR="005C3DC7">
        <w:rPr>
          <w:rFonts w:ascii="Times New Roman" w:eastAsia="WenQuanYi Micro Hei" w:hAnsi="Times New Roman" w:cs="Times New Roman"/>
          <w:color w:val="00000A"/>
          <w:sz w:val="24"/>
          <w:szCs w:val="24"/>
          <w:lang w:eastAsia="zh-CN" w:bidi="hi-IN"/>
        </w:rPr>
        <w:t>tility wants consumers to subsidize a power plant even if the plant is uneconomic to operate.</w:t>
      </w:r>
    </w:p>
    <w:p w:rsidR="00165F76" w:rsidRDefault="00463F93" w:rsidP="00A57413">
      <w:pPr>
        <w:widowControl w:val="0"/>
        <w:suppressAutoHyphens/>
        <w:spacing w:after="0" w:line="480" w:lineRule="auto"/>
        <w:ind w:firstLine="720"/>
        <w:rPr>
          <w:rFonts w:ascii="Times New Roman" w:eastAsia="WenQuanYi Micro Hei" w:hAnsi="Times New Roman" w:cs="Times New Roman"/>
          <w:color w:val="00000A"/>
          <w:sz w:val="24"/>
          <w:szCs w:val="24"/>
          <w:lang w:eastAsia="zh-CN" w:bidi="hi-IN"/>
        </w:rPr>
      </w:pPr>
      <w:r>
        <w:rPr>
          <w:rFonts w:ascii="Times New Roman" w:eastAsia="WenQuanYi Micro Hei" w:hAnsi="Times New Roman" w:cs="Times New Roman"/>
          <w:color w:val="00000A"/>
          <w:sz w:val="24"/>
          <w:szCs w:val="24"/>
          <w:lang w:eastAsia="zh-CN" w:bidi="hi-IN"/>
        </w:rPr>
        <w:t xml:space="preserve">Indeed, the PPA </w:t>
      </w:r>
      <w:r w:rsidR="000B73A3" w:rsidRPr="000B73A3">
        <w:rPr>
          <w:rFonts w:ascii="Times New Roman" w:eastAsia="WenQuanYi Micro Hei" w:hAnsi="Times New Roman" w:cs="Times New Roman"/>
          <w:color w:val="00000A"/>
          <w:sz w:val="24"/>
          <w:szCs w:val="24"/>
          <w:lang w:eastAsia="zh-CN" w:bidi="hi-IN"/>
        </w:rPr>
        <w:t>provide</w:t>
      </w:r>
      <w:r>
        <w:rPr>
          <w:rFonts w:ascii="Times New Roman" w:eastAsia="WenQuanYi Micro Hei" w:hAnsi="Times New Roman" w:cs="Times New Roman"/>
          <w:color w:val="00000A"/>
          <w:sz w:val="24"/>
          <w:szCs w:val="24"/>
          <w:lang w:eastAsia="zh-CN" w:bidi="hi-IN"/>
        </w:rPr>
        <w:t>s</w:t>
      </w:r>
      <w:r w:rsidR="000B73A3" w:rsidRPr="000B73A3">
        <w:rPr>
          <w:rFonts w:ascii="Times New Roman" w:eastAsia="WenQuanYi Micro Hei" w:hAnsi="Times New Roman" w:cs="Times New Roman"/>
          <w:color w:val="00000A"/>
          <w:sz w:val="24"/>
          <w:szCs w:val="24"/>
          <w:lang w:eastAsia="zh-CN" w:bidi="hi-IN"/>
        </w:rPr>
        <w:t xml:space="preserve"> that retirement decisions regarding the PPA Units must be made by mutual agreement between AEP Ohio and AEPGR.  Considering that AEPGR's costs plus a return on investment are fully covered by the PPA, AEPGR has a disincentive to agree to a</w:t>
      </w:r>
      <w:r w:rsidR="00C8404C">
        <w:rPr>
          <w:rFonts w:ascii="Times New Roman" w:eastAsia="WenQuanYi Micro Hei" w:hAnsi="Times New Roman" w:cs="Times New Roman"/>
          <w:color w:val="00000A"/>
          <w:sz w:val="24"/>
          <w:szCs w:val="24"/>
          <w:lang w:eastAsia="zh-CN" w:bidi="hi-IN"/>
        </w:rPr>
        <w:t>ny</w:t>
      </w:r>
      <w:r w:rsidR="000B73A3" w:rsidRPr="000B73A3">
        <w:rPr>
          <w:rFonts w:ascii="Times New Roman" w:eastAsia="WenQuanYi Micro Hei" w:hAnsi="Times New Roman" w:cs="Times New Roman"/>
          <w:color w:val="00000A"/>
          <w:sz w:val="24"/>
          <w:szCs w:val="24"/>
          <w:lang w:eastAsia="zh-CN" w:bidi="hi-IN"/>
        </w:rPr>
        <w:t xml:space="preserve"> PPA Unit retirement.  </w:t>
      </w:r>
    </w:p>
    <w:p w:rsidR="000B73A3" w:rsidRPr="000B73A3" w:rsidRDefault="000B73A3" w:rsidP="00A57413">
      <w:pPr>
        <w:widowControl w:val="0"/>
        <w:suppressAutoHyphens/>
        <w:spacing w:after="0" w:line="480" w:lineRule="auto"/>
        <w:ind w:firstLine="720"/>
        <w:rPr>
          <w:rFonts w:ascii="Times New Roman" w:eastAsia="WenQuanYi Micro Hei" w:hAnsi="Times New Roman" w:cs="Times New Roman"/>
          <w:color w:val="00000A"/>
          <w:sz w:val="24"/>
          <w:szCs w:val="24"/>
          <w:lang w:eastAsia="zh-CN" w:bidi="hi-IN"/>
        </w:rPr>
      </w:pPr>
      <w:r w:rsidRPr="000B73A3">
        <w:rPr>
          <w:rFonts w:ascii="Times New Roman" w:eastAsia="WenQuanYi Micro Hei" w:hAnsi="Times New Roman" w:cs="Times New Roman"/>
          <w:color w:val="00000A"/>
          <w:sz w:val="24"/>
          <w:szCs w:val="24"/>
          <w:lang w:eastAsia="zh-CN" w:bidi="hi-IN"/>
        </w:rPr>
        <w:t xml:space="preserve">The PPA </w:t>
      </w:r>
      <w:r w:rsidR="00165F76">
        <w:rPr>
          <w:rFonts w:ascii="Times New Roman" w:eastAsia="WenQuanYi Micro Hei" w:hAnsi="Times New Roman" w:cs="Times New Roman"/>
          <w:color w:val="00000A"/>
          <w:sz w:val="24"/>
          <w:szCs w:val="24"/>
          <w:lang w:eastAsia="zh-CN" w:bidi="hi-IN"/>
        </w:rPr>
        <w:t xml:space="preserve">even </w:t>
      </w:r>
      <w:r w:rsidRPr="000B73A3">
        <w:rPr>
          <w:rFonts w:ascii="Times New Roman" w:eastAsia="WenQuanYi Micro Hei" w:hAnsi="Times New Roman" w:cs="Times New Roman"/>
          <w:color w:val="00000A"/>
          <w:sz w:val="24"/>
          <w:szCs w:val="24"/>
          <w:lang w:eastAsia="zh-CN" w:bidi="hi-IN"/>
        </w:rPr>
        <w:t xml:space="preserve">entices AEPGR and AEP Ohio to keep the units operational because AEPGR would continue to receive a guaranteed return.  This could result in higher costs to customers, because lower-cost alternatives may not be able to enter the market due to the subsidized PPA Units not being retired.  Therefore, any proposed PPA should be evaluated based on whether it provides incentives for owners to make </w:t>
      </w:r>
      <w:r w:rsidR="00F90D2D">
        <w:rPr>
          <w:rFonts w:ascii="Times New Roman" w:eastAsia="WenQuanYi Micro Hei" w:hAnsi="Times New Roman" w:cs="Times New Roman"/>
          <w:color w:val="00000A"/>
          <w:sz w:val="24"/>
          <w:szCs w:val="24"/>
          <w:lang w:eastAsia="zh-CN" w:bidi="hi-IN"/>
        </w:rPr>
        <w:t>rational</w:t>
      </w:r>
      <w:r w:rsidRPr="000B73A3">
        <w:rPr>
          <w:rFonts w:ascii="Times New Roman" w:eastAsia="WenQuanYi Micro Hei" w:hAnsi="Times New Roman" w:cs="Times New Roman"/>
          <w:color w:val="00000A"/>
          <w:sz w:val="24"/>
          <w:szCs w:val="24"/>
          <w:lang w:eastAsia="zh-CN" w:bidi="hi-IN"/>
        </w:rPr>
        <w:t xml:space="preserve"> retirement decisions.  As stated above, 100 percent pass-through of costs and a guaranteed return on investment provides no incentive (or even disincentives) for rational </w:t>
      </w:r>
      <w:r w:rsidR="00FE5C82">
        <w:rPr>
          <w:rFonts w:ascii="Times New Roman" w:eastAsia="WenQuanYi Micro Hei" w:hAnsi="Times New Roman" w:cs="Times New Roman"/>
          <w:color w:val="00000A"/>
          <w:sz w:val="24"/>
          <w:szCs w:val="24"/>
          <w:lang w:eastAsia="zh-CN" w:bidi="hi-IN"/>
        </w:rPr>
        <w:t xml:space="preserve">and cost-efficient </w:t>
      </w:r>
      <w:r w:rsidRPr="000B73A3">
        <w:rPr>
          <w:rFonts w:ascii="Times New Roman" w:eastAsia="WenQuanYi Micro Hei" w:hAnsi="Times New Roman" w:cs="Times New Roman"/>
          <w:color w:val="00000A"/>
          <w:sz w:val="24"/>
          <w:szCs w:val="24"/>
          <w:lang w:eastAsia="zh-CN" w:bidi="hi-IN"/>
        </w:rPr>
        <w:t>decisions</w:t>
      </w:r>
      <w:r w:rsidR="00165F76">
        <w:rPr>
          <w:rFonts w:ascii="Times New Roman" w:eastAsia="WenQuanYi Micro Hei" w:hAnsi="Times New Roman" w:cs="Times New Roman"/>
          <w:color w:val="00000A"/>
          <w:sz w:val="24"/>
          <w:szCs w:val="24"/>
          <w:lang w:eastAsia="zh-CN" w:bidi="hi-IN"/>
        </w:rPr>
        <w:t xml:space="preserve"> under ratemaking principles or under markets, and the result is not in the public interest</w:t>
      </w:r>
      <w:r w:rsidRPr="000B73A3">
        <w:rPr>
          <w:rFonts w:ascii="Times New Roman" w:eastAsia="WenQuanYi Micro Hei" w:hAnsi="Times New Roman" w:cs="Times New Roman"/>
          <w:color w:val="00000A"/>
          <w:sz w:val="24"/>
          <w:szCs w:val="24"/>
          <w:lang w:eastAsia="zh-CN" w:bidi="hi-IN"/>
        </w:rPr>
        <w:t>.</w:t>
      </w:r>
      <w:r w:rsidRPr="000B73A3">
        <w:rPr>
          <w:rStyle w:val="FootnoteReference"/>
          <w:rFonts w:ascii="Times New Roman" w:eastAsia="WenQuanYi Micro Hei" w:hAnsi="Times New Roman" w:cs="Times New Roman"/>
          <w:color w:val="00000A"/>
          <w:sz w:val="24"/>
          <w:szCs w:val="24"/>
          <w:lang w:eastAsia="zh-CN" w:bidi="hi-IN"/>
        </w:rPr>
        <w:footnoteReference w:id="749"/>
      </w:r>
    </w:p>
    <w:p w:rsidR="000B73A3" w:rsidRPr="000B73A3" w:rsidRDefault="00862CDA" w:rsidP="00C401CE">
      <w:pPr>
        <w:pStyle w:val="Heading4"/>
      </w:pPr>
      <w:bookmarkStart w:id="178" w:name="_Toc435428262"/>
      <w:bookmarkStart w:id="179" w:name="_Toc442104230"/>
      <w:r>
        <w:t>e.</w:t>
      </w:r>
      <w:r>
        <w:tab/>
      </w:r>
      <w:r w:rsidR="00CB1A5D">
        <w:t xml:space="preserve">The PUCO should consider the economic impact of higher retail rates that </w:t>
      </w:r>
      <w:r w:rsidR="00A53668">
        <w:t xml:space="preserve">would </w:t>
      </w:r>
      <w:r w:rsidR="00CB1A5D">
        <w:t>be imposed on AEP Ohio’s captive c</w:t>
      </w:r>
      <w:r w:rsidR="000B73A3" w:rsidRPr="000B73A3">
        <w:t>ustomers</w:t>
      </w:r>
      <w:bookmarkEnd w:id="178"/>
      <w:r>
        <w:t>.</w:t>
      </w:r>
      <w:bookmarkEnd w:id="179"/>
    </w:p>
    <w:p w:rsidR="000B73A3" w:rsidRPr="000B73A3" w:rsidRDefault="000B73A3" w:rsidP="00A57413">
      <w:pPr>
        <w:widowControl w:val="0"/>
        <w:suppressAutoHyphens/>
        <w:spacing w:after="0" w:line="480" w:lineRule="auto"/>
        <w:ind w:left="86" w:firstLine="634"/>
        <w:rPr>
          <w:rFonts w:ascii="Times New Roman" w:eastAsia="WenQuanYi Micro Hei" w:hAnsi="Times New Roman" w:cs="Times New Roman"/>
          <w:color w:val="00000A"/>
          <w:sz w:val="24"/>
          <w:szCs w:val="24"/>
          <w:lang w:eastAsia="zh-CN" w:bidi="hi-IN"/>
        </w:rPr>
      </w:pPr>
      <w:r w:rsidRPr="000B73A3">
        <w:rPr>
          <w:rFonts w:ascii="Times New Roman" w:eastAsia="WenQuanYi Micro Hei" w:hAnsi="Times New Roman" w:cs="Times New Roman"/>
          <w:color w:val="00000A"/>
          <w:sz w:val="24"/>
          <w:szCs w:val="24"/>
          <w:lang w:eastAsia="zh-CN" w:bidi="hi-IN"/>
        </w:rPr>
        <w:t>AEP Ohio Witness Allen's testimony purportedly includes analyses of direct and indirect employment and tax impacts of the PPA Units.  The testimony of OCC Witness Dormady addresses the veracity of these analyses.</w:t>
      </w:r>
      <w:r w:rsidRPr="000B73A3">
        <w:rPr>
          <w:rStyle w:val="FootnoteReference"/>
          <w:rFonts w:ascii="Times New Roman" w:eastAsia="WenQuanYi Micro Hei" w:hAnsi="Times New Roman" w:cs="Times New Roman"/>
          <w:color w:val="00000A"/>
          <w:sz w:val="24"/>
          <w:szCs w:val="24"/>
          <w:lang w:eastAsia="zh-CN" w:bidi="hi-IN"/>
        </w:rPr>
        <w:footnoteReference w:id="750"/>
      </w:r>
      <w:r w:rsidRPr="000B73A3">
        <w:rPr>
          <w:rFonts w:ascii="Times New Roman" w:eastAsia="WenQuanYi Micro Hei" w:hAnsi="Times New Roman" w:cs="Times New Roman"/>
          <w:color w:val="00000A"/>
          <w:sz w:val="24"/>
          <w:szCs w:val="24"/>
          <w:lang w:eastAsia="zh-CN" w:bidi="hi-IN"/>
        </w:rPr>
        <w:t xml:space="preserve">  Notwithstanding the issues raised therein, the analyses presented by AEP Ohio paint a very limited picture of the economic development effects of the PPA Units</w:t>
      </w:r>
      <w:r w:rsidR="00FE5C82">
        <w:rPr>
          <w:rFonts w:ascii="Times New Roman" w:eastAsia="WenQuanYi Micro Hei" w:hAnsi="Times New Roman" w:cs="Times New Roman"/>
          <w:color w:val="00000A"/>
          <w:sz w:val="24"/>
          <w:szCs w:val="24"/>
          <w:lang w:eastAsia="zh-CN" w:bidi="hi-IN"/>
        </w:rPr>
        <w:t>.  T</w:t>
      </w:r>
      <w:r w:rsidRPr="000B73A3">
        <w:rPr>
          <w:rFonts w:ascii="Times New Roman" w:eastAsia="WenQuanYi Micro Hei" w:hAnsi="Times New Roman" w:cs="Times New Roman"/>
          <w:color w:val="00000A"/>
          <w:sz w:val="24"/>
          <w:szCs w:val="24"/>
          <w:lang w:eastAsia="zh-CN" w:bidi="hi-IN"/>
        </w:rPr>
        <w:t xml:space="preserve">he PUCO should consider </w:t>
      </w:r>
      <w:r w:rsidR="00FE5C82">
        <w:rPr>
          <w:rFonts w:ascii="Times New Roman" w:eastAsia="WenQuanYi Micro Hei" w:hAnsi="Times New Roman" w:cs="Times New Roman"/>
          <w:color w:val="00000A"/>
          <w:sz w:val="24"/>
          <w:szCs w:val="24"/>
          <w:lang w:eastAsia="zh-CN" w:bidi="hi-IN"/>
        </w:rPr>
        <w:t xml:space="preserve">other important </w:t>
      </w:r>
      <w:r w:rsidRPr="000B73A3">
        <w:rPr>
          <w:rFonts w:ascii="Times New Roman" w:eastAsia="WenQuanYi Micro Hei" w:hAnsi="Times New Roman" w:cs="Times New Roman"/>
          <w:color w:val="00000A"/>
          <w:sz w:val="24"/>
          <w:szCs w:val="24"/>
          <w:lang w:eastAsia="zh-CN" w:bidi="hi-IN"/>
        </w:rPr>
        <w:t xml:space="preserve">economic development </w:t>
      </w:r>
      <w:r w:rsidR="00FE5C82">
        <w:rPr>
          <w:rFonts w:ascii="Times New Roman" w:eastAsia="WenQuanYi Micro Hei" w:hAnsi="Times New Roman" w:cs="Times New Roman"/>
          <w:color w:val="00000A"/>
          <w:sz w:val="24"/>
          <w:szCs w:val="24"/>
          <w:lang w:eastAsia="zh-CN" w:bidi="hi-IN"/>
        </w:rPr>
        <w:t>factors</w:t>
      </w:r>
      <w:r w:rsidRPr="000B73A3">
        <w:rPr>
          <w:rFonts w:ascii="Times New Roman" w:eastAsia="WenQuanYi Micro Hei" w:hAnsi="Times New Roman" w:cs="Times New Roman"/>
          <w:color w:val="00000A"/>
          <w:sz w:val="24"/>
          <w:szCs w:val="24"/>
          <w:lang w:eastAsia="zh-CN" w:bidi="hi-IN"/>
        </w:rPr>
        <w:t>.</w:t>
      </w:r>
    </w:p>
    <w:p w:rsidR="00AA2EA0" w:rsidRDefault="00FE5C82" w:rsidP="00AA2EA0">
      <w:pPr>
        <w:widowControl w:val="0"/>
        <w:suppressAutoHyphens/>
        <w:spacing w:after="0" w:line="480" w:lineRule="auto"/>
        <w:ind w:firstLine="720"/>
        <w:rPr>
          <w:rFonts w:ascii="Times New Roman" w:eastAsia="WenQuanYi Micro Hei" w:hAnsi="Times New Roman" w:cs="Times New Roman"/>
          <w:color w:val="00000A"/>
          <w:sz w:val="24"/>
          <w:szCs w:val="24"/>
          <w:lang w:eastAsia="zh-CN" w:bidi="hi-IN"/>
        </w:rPr>
      </w:pPr>
      <w:r>
        <w:rPr>
          <w:rFonts w:ascii="Times New Roman" w:eastAsia="WenQuanYi Micro Hei" w:hAnsi="Times New Roman" w:cs="Times New Roman"/>
          <w:color w:val="00000A"/>
          <w:sz w:val="24"/>
          <w:szCs w:val="24"/>
          <w:lang w:eastAsia="zh-CN" w:bidi="hi-IN"/>
        </w:rPr>
        <w:t>Any</w:t>
      </w:r>
      <w:r w:rsidR="000B73A3" w:rsidRPr="000B73A3">
        <w:rPr>
          <w:rFonts w:ascii="Times New Roman" w:eastAsia="WenQuanYi Micro Hei" w:hAnsi="Times New Roman" w:cs="Times New Roman"/>
          <w:color w:val="00000A"/>
          <w:sz w:val="24"/>
          <w:szCs w:val="24"/>
          <w:lang w:eastAsia="zh-CN" w:bidi="hi-IN"/>
        </w:rPr>
        <w:t xml:space="preserve"> economic analysis should take into account the costs of keeping potentially inefficient plants running.  Additionally, such an analysis should take into account the economic development associated with the potential entry of new generating or transmission assets if the PPA Units are retired.  That is to say, if the PPA Units are retired they may be replaced with more efficient generating assets that will create employment, spur economic development, and provide a strong tax base for the local region and the state</w:t>
      </w:r>
      <w:r w:rsidR="00C8404C">
        <w:rPr>
          <w:rFonts w:ascii="Times New Roman" w:eastAsia="WenQuanYi Micro Hei" w:hAnsi="Times New Roman" w:cs="Times New Roman"/>
          <w:color w:val="00000A"/>
          <w:sz w:val="24"/>
          <w:szCs w:val="24"/>
          <w:lang w:eastAsia="zh-CN" w:bidi="hi-IN"/>
        </w:rPr>
        <w:t>, which</w:t>
      </w:r>
      <w:r w:rsidR="000B73A3" w:rsidRPr="000B73A3">
        <w:rPr>
          <w:rFonts w:ascii="Times New Roman" w:eastAsia="WenQuanYi Micro Hei" w:hAnsi="Times New Roman" w:cs="Times New Roman"/>
          <w:color w:val="00000A"/>
          <w:sz w:val="24"/>
          <w:szCs w:val="24"/>
          <w:lang w:eastAsia="zh-CN" w:bidi="hi-IN"/>
        </w:rPr>
        <w:t xml:space="preserve"> does not potentially require costly customer-funded subsidies.  Thus, the PPA may have detrimental effects on economic development, job retention, </w:t>
      </w:r>
    </w:p>
    <w:p w:rsidR="00AA2EA0" w:rsidRDefault="00AA2EA0">
      <w:pPr>
        <w:rPr>
          <w:rFonts w:ascii="Times New Roman" w:eastAsia="WenQuanYi Micro Hei" w:hAnsi="Times New Roman" w:cs="Times New Roman"/>
          <w:color w:val="00000A"/>
          <w:sz w:val="24"/>
          <w:szCs w:val="24"/>
          <w:lang w:eastAsia="zh-CN" w:bidi="hi-IN"/>
        </w:rPr>
      </w:pPr>
      <w:r>
        <w:rPr>
          <w:rFonts w:ascii="Times New Roman" w:eastAsia="WenQuanYi Micro Hei" w:hAnsi="Times New Roman" w:cs="Times New Roman"/>
          <w:color w:val="00000A"/>
          <w:sz w:val="24"/>
          <w:szCs w:val="24"/>
          <w:lang w:eastAsia="zh-CN" w:bidi="hi-IN"/>
        </w:rPr>
        <w:br w:type="page"/>
      </w:r>
    </w:p>
    <w:p w:rsidR="000B73A3" w:rsidRPr="000B73A3" w:rsidRDefault="000B73A3" w:rsidP="00AA2EA0">
      <w:pPr>
        <w:widowControl w:val="0"/>
        <w:suppressAutoHyphens/>
        <w:spacing w:after="0" w:line="480" w:lineRule="auto"/>
        <w:rPr>
          <w:rFonts w:ascii="Times New Roman" w:eastAsia="WenQuanYi Micro Hei" w:hAnsi="Times New Roman" w:cs="Times New Roman"/>
          <w:color w:val="00000A"/>
          <w:sz w:val="24"/>
          <w:szCs w:val="24"/>
          <w:lang w:eastAsia="zh-CN" w:bidi="hi-IN"/>
        </w:rPr>
      </w:pPr>
      <w:r w:rsidRPr="000B73A3">
        <w:rPr>
          <w:rFonts w:ascii="Times New Roman" w:eastAsia="WenQuanYi Micro Hei" w:hAnsi="Times New Roman" w:cs="Times New Roman"/>
          <w:color w:val="00000A"/>
          <w:sz w:val="24"/>
          <w:szCs w:val="24"/>
          <w:lang w:eastAsia="zh-CN" w:bidi="hi-IN"/>
        </w:rPr>
        <w:t>and the local and statewide tax base that are not captured at all in the limited analysis provided by AEP Ohio.</w:t>
      </w:r>
      <w:r w:rsidRPr="000B73A3">
        <w:rPr>
          <w:rStyle w:val="FootnoteReference"/>
          <w:rFonts w:ascii="Times New Roman" w:eastAsia="WenQuanYi Micro Hei" w:hAnsi="Times New Roman" w:cs="Times New Roman"/>
          <w:color w:val="00000A"/>
          <w:sz w:val="24"/>
          <w:szCs w:val="24"/>
          <w:lang w:eastAsia="zh-CN" w:bidi="hi-IN"/>
        </w:rPr>
        <w:footnoteReference w:id="751"/>
      </w:r>
    </w:p>
    <w:p w:rsidR="00DF7E02" w:rsidRDefault="00FE5C82" w:rsidP="00AA2EA0">
      <w:pPr>
        <w:widowControl w:val="0"/>
        <w:suppressAutoHyphens/>
        <w:spacing w:after="0" w:line="480" w:lineRule="auto"/>
        <w:ind w:firstLine="720"/>
        <w:rPr>
          <w:rFonts w:ascii="Times New Roman" w:eastAsia="WenQuanYi Micro Hei" w:hAnsi="Times New Roman" w:cs="Times New Roman"/>
          <w:color w:val="00000A"/>
          <w:sz w:val="24"/>
          <w:szCs w:val="24"/>
          <w:lang w:eastAsia="zh-CN" w:bidi="hi-IN"/>
        </w:rPr>
      </w:pPr>
      <w:r>
        <w:rPr>
          <w:rFonts w:ascii="Times New Roman" w:eastAsia="WenQuanYi Micro Hei" w:hAnsi="Times New Roman" w:cs="Times New Roman"/>
          <w:color w:val="00000A"/>
          <w:sz w:val="24"/>
          <w:szCs w:val="24"/>
          <w:lang w:eastAsia="zh-CN" w:bidi="hi-IN"/>
        </w:rPr>
        <w:t>For example</w:t>
      </w:r>
      <w:r w:rsidR="000B73A3" w:rsidRPr="000B73A3">
        <w:rPr>
          <w:rFonts w:ascii="Times New Roman" w:eastAsia="WenQuanYi Micro Hei" w:hAnsi="Times New Roman" w:cs="Times New Roman"/>
          <w:color w:val="00000A"/>
          <w:sz w:val="24"/>
          <w:szCs w:val="24"/>
          <w:lang w:eastAsia="zh-CN" w:bidi="hi-IN"/>
        </w:rPr>
        <w:t>, the PPA</w:t>
      </w:r>
      <w:r w:rsidR="003A450A">
        <w:rPr>
          <w:rFonts w:ascii="Times New Roman" w:eastAsia="WenQuanYi Micro Hei" w:hAnsi="Times New Roman" w:cs="Times New Roman"/>
          <w:color w:val="00000A"/>
          <w:sz w:val="24"/>
          <w:szCs w:val="24"/>
          <w:lang w:eastAsia="zh-CN" w:bidi="hi-IN"/>
        </w:rPr>
        <w:t>s</w:t>
      </w:r>
      <w:r w:rsidR="000B73A3" w:rsidRPr="000B73A3">
        <w:rPr>
          <w:rFonts w:ascii="Times New Roman" w:eastAsia="WenQuanYi Micro Hei" w:hAnsi="Times New Roman" w:cs="Times New Roman"/>
          <w:color w:val="00000A"/>
          <w:sz w:val="24"/>
          <w:szCs w:val="24"/>
          <w:lang w:eastAsia="zh-CN" w:bidi="hi-IN"/>
        </w:rPr>
        <w:t xml:space="preserve"> and PPA Rider </w:t>
      </w:r>
      <w:r w:rsidR="00B234F2">
        <w:rPr>
          <w:rFonts w:ascii="Times New Roman" w:eastAsia="WenQuanYi Micro Hei" w:hAnsi="Times New Roman" w:cs="Times New Roman"/>
          <w:color w:val="00000A"/>
          <w:sz w:val="24"/>
          <w:szCs w:val="24"/>
          <w:lang w:eastAsia="zh-CN" w:bidi="hi-IN"/>
        </w:rPr>
        <w:t>would</w:t>
      </w:r>
      <w:r w:rsidR="00B234F2" w:rsidRPr="000B73A3">
        <w:rPr>
          <w:rFonts w:ascii="Times New Roman" w:eastAsia="WenQuanYi Micro Hei" w:hAnsi="Times New Roman" w:cs="Times New Roman"/>
          <w:color w:val="00000A"/>
          <w:sz w:val="24"/>
          <w:szCs w:val="24"/>
          <w:lang w:eastAsia="zh-CN" w:bidi="hi-IN"/>
        </w:rPr>
        <w:t xml:space="preserve"> </w:t>
      </w:r>
      <w:r w:rsidR="000B73A3" w:rsidRPr="000B73A3">
        <w:rPr>
          <w:rFonts w:ascii="Times New Roman" w:eastAsia="WenQuanYi Micro Hei" w:hAnsi="Times New Roman" w:cs="Times New Roman"/>
          <w:color w:val="00000A"/>
          <w:sz w:val="24"/>
          <w:szCs w:val="24"/>
          <w:lang w:eastAsia="zh-CN" w:bidi="hi-IN"/>
        </w:rPr>
        <w:t xml:space="preserve">result in higher retail rates for AEP Ohio' customers.  OCC Witness Wilson's analysis of the PPA costs under alternative price scenarios shows that it </w:t>
      </w:r>
      <w:r>
        <w:rPr>
          <w:rFonts w:ascii="Times New Roman" w:eastAsia="WenQuanYi Micro Hei" w:hAnsi="Times New Roman" w:cs="Times New Roman"/>
          <w:color w:val="00000A"/>
          <w:sz w:val="24"/>
          <w:szCs w:val="24"/>
          <w:lang w:eastAsia="zh-CN" w:bidi="hi-IN"/>
        </w:rPr>
        <w:t>will likely</w:t>
      </w:r>
      <w:r w:rsidR="000B73A3" w:rsidRPr="000B73A3">
        <w:rPr>
          <w:rFonts w:ascii="Times New Roman" w:eastAsia="WenQuanYi Micro Hei" w:hAnsi="Times New Roman" w:cs="Times New Roman"/>
          <w:color w:val="00000A"/>
          <w:sz w:val="24"/>
          <w:szCs w:val="24"/>
          <w:lang w:eastAsia="zh-CN" w:bidi="hi-IN"/>
        </w:rPr>
        <w:t xml:space="preserve"> result in net charges to AEP Ohio's captive customers.</w:t>
      </w:r>
      <w:r w:rsidR="000B73A3" w:rsidRPr="000B73A3">
        <w:rPr>
          <w:rStyle w:val="FootnoteReference"/>
          <w:rFonts w:ascii="Times New Roman" w:eastAsia="WenQuanYi Micro Hei" w:hAnsi="Times New Roman" w:cs="Times New Roman"/>
          <w:color w:val="00000A"/>
          <w:sz w:val="24"/>
          <w:szCs w:val="24"/>
          <w:lang w:eastAsia="zh-CN" w:bidi="hi-IN"/>
        </w:rPr>
        <w:footnoteReference w:id="752"/>
      </w:r>
      <w:r w:rsidR="000B73A3" w:rsidRPr="000B73A3">
        <w:rPr>
          <w:rFonts w:ascii="Times New Roman" w:eastAsia="WenQuanYi Micro Hei" w:hAnsi="Times New Roman" w:cs="Times New Roman"/>
          <w:color w:val="00000A"/>
          <w:sz w:val="24"/>
          <w:szCs w:val="24"/>
          <w:lang w:eastAsia="zh-CN" w:bidi="hi-IN"/>
        </w:rPr>
        <w:t xml:space="preserve">  These charges ultimately mean that AEP Ohio's customers have less disposable income available for consumption, investment, and other economic activity.  If the PPA Rider result</w:t>
      </w:r>
      <w:r>
        <w:rPr>
          <w:rFonts w:ascii="Times New Roman" w:eastAsia="WenQuanYi Micro Hei" w:hAnsi="Times New Roman" w:cs="Times New Roman"/>
          <w:color w:val="00000A"/>
          <w:sz w:val="24"/>
          <w:szCs w:val="24"/>
          <w:lang w:eastAsia="zh-CN" w:bidi="hi-IN"/>
        </w:rPr>
        <w:t>s</w:t>
      </w:r>
      <w:r w:rsidR="000B73A3" w:rsidRPr="000B73A3">
        <w:rPr>
          <w:rFonts w:ascii="Times New Roman" w:eastAsia="WenQuanYi Micro Hei" w:hAnsi="Times New Roman" w:cs="Times New Roman"/>
          <w:color w:val="00000A"/>
          <w:sz w:val="24"/>
          <w:szCs w:val="24"/>
          <w:lang w:eastAsia="zh-CN" w:bidi="hi-IN"/>
        </w:rPr>
        <w:t xml:space="preserve"> in a net charge to AEP Ohio's captive customers, the associated loss of economic activity may result in greater economic harm, ancillary job losses, and lost tax revenues than any economic benefits that may be provided by maintaining and operating inefficient plants.  Similarly, potentially higher retail rates could also reduce </w:t>
      </w:r>
    </w:p>
    <w:p w:rsidR="00941ED6" w:rsidRDefault="000B73A3" w:rsidP="00AA2EA0">
      <w:pPr>
        <w:spacing w:after="0" w:line="480" w:lineRule="auto"/>
        <w:rPr>
          <w:rFonts w:ascii="Times New Roman" w:eastAsia="WenQuanYi Micro Hei" w:hAnsi="Times New Roman" w:cs="Times New Roman"/>
          <w:color w:val="00000A"/>
          <w:sz w:val="24"/>
          <w:szCs w:val="24"/>
          <w:lang w:eastAsia="zh-CN" w:bidi="hi-IN"/>
        </w:rPr>
      </w:pPr>
      <w:r w:rsidRPr="000B73A3">
        <w:rPr>
          <w:rFonts w:ascii="Times New Roman" w:eastAsia="WenQuanYi Micro Hei" w:hAnsi="Times New Roman" w:cs="Times New Roman"/>
          <w:color w:val="00000A"/>
          <w:sz w:val="24"/>
          <w:szCs w:val="24"/>
          <w:lang w:eastAsia="zh-CN" w:bidi="hi-IN"/>
        </w:rPr>
        <w:t>the competitiveness of Ohio businesses in regional, national, and international markets, contrary to state policy.</w:t>
      </w:r>
      <w:r w:rsidRPr="000B73A3">
        <w:rPr>
          <w:rStyle w:val="FootnoteReference"/>
          <w:rFonts w:ascii="Times New Roman" w:eastAsia="WenQuanYi Micro Hei" w:hAnsi="Times New Roman" w:cs="Times New Roman"/>
          <w:color w:val="00000A"/>
          <w:sz w:val="24"/>
          <w:szCs w:val="24"/>
          <w:lang w:eastAsia="zh-CN" w:bidi="hi-IN"/>
        </w:rPr>
        <w:footnoteReference w:id="753"/>
      </w:r>
    </w:p>
    <w:p w:rsidR="000B73A3" w:rsidRPr="000B73A3" w:rsidRDefault="00FE5C82" w:rsidP="00AA2EA0">
      <w:pPr>
        <w:widowControl w:val="0"/>
        <w:suppressAutoHyphens/>
        <w:spacing w:after="0" w:line="480" w:lineRule="auto"/>
        <w:ind w:firstLine="720"/>
        <w:rPr>
          <w:rFonts w:ascii="Times New Roman" w:eastAsia="WenQuanYi Micro Hei" w:hAnsi="Times New Roman" w:cs="Times New Roman"/>
          <w:color w:val="00000A"/>
          <w:sz w:val="24"/>
          <w:szCs w:val="24"/>
          <w:lang w:eastAsia="zh-CN" w:bidi="hi-IN"/>
        </w:rPr>
      </w:pPr>
      <w:r>
        <w:rPr>
          <w:rFonts w:ascii="Times New Roman" w:eastAsia="WenQuanYi Micro Hei" w:hAnsi="Times New Roman" w:cs="Times New Roman"/>
          <w:color w:val="00000A"/>
          <w:sz w:val="24"/>
          <w:szCs w:val="24"/>
          <w:lang w:eastAsia="zh-CN" w:bidi="hi-IN"/>
        </w:rPr>
        <w:t>In addition to the reasons cited by OCC Witness Dormady, t</w:t>
      </w:r>
      <w:r w:rsidR="003A450A">
        <w:rPr>
          <w:rFonts w:ascii="Times New Roman" w:eastAsia="WenQuanYi Micro Hei" w:hAnsi="Times New Roman" w:cs="Times New Roman"/>
          <w:color w:val="00000A"/>
          <w:sz w:val="24"/>
          <w:szCs w:val="24"/>
          <w:lang w:eastAsia="zh-CN" w:bidi="hi-IN"/>
        </w:rPr>
        <w:t>he</w:t>
      </w:r>
      <w:r w:rsidR="000B73A3" w:rsidRPr="000B73A3">
        <w:rPr>
          <w:rFonts w:ascii="Times New Roman" w:eastAsia="WenQuanYi Micro Hei" w:hAnsi="Times New Roman" w:cs="Times New Roman"/>
          <w:color w:val="00000A"/>
          <w:sz w:val="24"/>
          <w:szCs w:val="24"/>
          <w:lang w:eastAsia="zh-CN" w:bidi="hi-IN"/>
        </w:rPr>
        <w:t xml:space="preserve"> analyses</w:t>
      </w:r>
      <w:r w:rsidR="003A450A">
        <w:rPr>
          <w:rFonts w:ascii="Times New Roman" w:eastAsia="WenQuanYi Micro Hei" w:hAnsi="Times New Roman" w:cs="Times New Roman"/>
          <w:color w:val="00000A"/>
          <w:sz w:val="24"/>
          <w:szCs w:val="24"/>
          <w:lang w:eastAsia="zh-CN" w:bidi="hi-IN"/>
        </w:rPr>
        <w:t xml:space="preserve"> attached to AEP Ohio Witness Allen’s Direct Testimony</w:t>
      </w:r>
      <w:r w:rsidR="000B73A3" w:rsidRPr="000B73A3">
        <w:rPr>
          <w:rFonts w:ascii="Times New Roman" w:eastAsia="WenQuanYi Micro Hei" w:hAnsi="Times New Roman" w:cs="Times New Roman"/>
          <w:color w:val="00000A"/>
          <w:sz w:val="24"/>
          <w:szCs w:val="24"/>
          <w:lang w:eastAsia="zh-CN" w:bidi="hi-IN"/>
        </w:rPr>
        <w:t xml:space="preserve"> should be rejected because they completely neglect the</w:t>
      </w:r>
      <w:r>
        <w:rPr>
          <w:rFonts w:ascii="Times New Roman" w:eastAsia="WenQuanYi Micro Hei" w:hAnsi="Times New Roman" w:cs="Times New Roman"/>
          <w:color w:val="00000A"/>
          <w:sz w:val="24"/>
          <w:szCs w:val="24"/>
          <w:lang w:eastAsia="zh-CN" w:bidi="hi-IN"/>
        </w:rPr>
        <w:t>se</w:t>
      </w:r>
      <w:r w:rsidR="000B73A3" w:rsidRPr="000B73A3">
        <w:rPr>
          <w:rFonts w:ascii="Times New Roman" w:eastAsia="WenQuanYi Micro Hei" w:hAnsi="Times New Roman" w:cs="Times New Roman"/>
          <w:color w:val="00000A"/>
          <w:sz w:val="24"/>
          <w:szCs w:val="24"/>
          <w:lang w:eastAsia="zh-CN" w:bidi="hi-IN"/>
        </w:rPr>
        <w:t xml:space="preserve"> impacts.  </w:t>
      </w:r>
      <w:r>
        <w:rPr>
          <w:rFonts w:ascii="Times New Roman" w:eastAsia="WenQuanYi Micro Hei" w:hAnsi="Times New Roman" w:cs="Times New Roman"/>
          <w:color w:val="00000A"/>
          <w:sz w:val="24"/>
          <w:szCs w:val="24"/>
          <w:lang w:eastAsia="zh-CN" w:bidi="hi-IN"/>
        </w:rPr>
        <w:t>The</w:t>
      </w:r>
      <w:r w:rsidR="000B73A3" w:rsidRPr="000B73A3">
        <w:rPr>
          <w:rFonts w:ascii="Times New Roman" w:eastAsia="WenQuanYi Micro Hei" w:hAnsi="Times New Roman" w:cs="Times New Roman"/>
          <w:color w:val="00000A"/>
          <w:sz w:val="24"/>
          <w:szCs w:val="24"/>
          <w:lang w:eastAsia="zh-CN" w:bidi="hi-IN"/>
        </w:rPr>
        <w:t xml:space="preserve"> PUCO should take into account the costs of keeping potentially inefficient plants running.  </w:t>
      </w:r>
      <w:r w:rsidR="003A450A">
        <w:rPr>
          <w:rFonts w:ascii="Times New Roman" w:eastAsia="WenQuanYi Micro Hei" w:hAnsi="Times New Roman" w:cs="Times New Roman"/>
          <w:color w:val="00000A"/>
          <w:sz w:val="24"/>
          <w:szCs w:val="24"/>
          <w:lang w:eastAsia="zh-CN" w:bidi="hi-IN"/>
        </w:rPr>
        <w:t>Additionally</w:t>
      </w:r>
      <w:r w:rsidR="000B73A3" w:rsidRPr="000B73A3">
        <w:rPr>
          <w:rFonts w:ascii="Times New Roman" w:eastAsia="WenQuanYi Micro Hei" w:hAnsi="Times New Roman" w:cs="Times New Roman"/>
          <w:color w:val="00000A"/>
          <w:sz w:val="24"/>
          <w:szCs w:val="24"/>
          <w:lang w:eastAsia="zh-CN" w:bidi="hi-IN"/>
        </w:rPr>
        <w:t>, such an analysis should take into account the economic development associated with the potential entry of new generating or transmission assets if the PPA Units are retired.  Thus, in sum, the PPA</w:t>
      </w:r>
      <w:r w:rsidR="003A450A">
        <w:rPr>
          <w:rFonts w:ascii="Times New Roman" w:eastAsia="WenQuanYi Micro Hei" w:hAnsi="Times New Roman" w:cs="Times New Roman"/>
          <w:color w:val="00000A"/>
          <w:sz w:val="24"/>
          <w:szCs w:val="24"/>
          <w:lang w:eastAsia="zh-CN" w:bidi="hi-IN"/>
        </w:rPr>
        <w:t>s</w:t>
      </w:r>
      <w:r w:rsidR="000B73A3" w:rsidRPr="000B73A3">
        <w:rPr>
          <w:rFonts w:ascii="Times New Roman" w:eastAsia="WenQuanYi Micro Hei" w:hAnsi="Times New Roman" w:cs="Times New Roman"/>
          <w:color w:val="00000A"/>
          <w:sz w:val="24"/>
          <w:szCs w:val="24"/>
          <w:lang w:eastAsia="zh-CN" w:bidi="hi-IN"/>
        </w:rPr>
        <w:t xml:space="preserve"> may have detrimental effects on economic development, job retention, and the local and statewide tax base that are not captured at all in the limited analysis provided by AEP Ohio.</w:t>
      </w:r>
      <w:r w:rsidR="000B73A3" w:rsidRPr="000B73A3">
        <w:rPr>
          <w:rStyle w:val="FootnoteReference"/>
          <w:rFonts w:ascii="Times New Roman" w:eastAsia="WenQuanYi Micro Hei" w:hAnsi="Times New Roman" w:cs="Times New Roman"/>
          <w:color w:val="00000A"/>
          <w:sz w:val="24"/>
          <w:szCs w:val="24"/>
          <w:lang w:eastAsia="zh-CN" w:bidi="hi-IN"/>
        </w:rPr>
        <w:footnoteReference w:id="754"/>
      </w:r>
      <w:r w:rsidR="000B73A3" w:rsidRPr="000B73A3">
        <w:rPr>
          <w:rFonts w:ascii="Times New Roman" w:eastAsia="WenQuanYi Micro Hei" w:hAnsi="Times New Roman" w:cs="Times New Roman"/>
          <w:color w:val="00000A"/>
          <w:sz w:val="24"/>
          <w:szCs w:val="24"/>
          <w:lang w:eastAsia="zh-CN" w:bidi="hi-IN"/>
        </w:rPr>
        <w:t xml:space="preserve"> </w:t>
      </w:r>
    </w:p>
    <w:p w:rsidR="000B73A3" w:rsidRPr="000467AB" w:rsidRDefault="00F47607" w:rsidP="00F27AA5">
      <w:pPr>
        <w:pStyle w:val="Heading3"/>
      </w:pPr>
      <w:bookmarkStart w:id="180" w:name="_Toc435428263"/>
      <w:bookmarkStart w:id="181" w:name="_Toc442104231"/>
      <w:r>
        <w:t>2</w:t>
      </w:r>
      <w:r w:rsidR="00862CDA">
        <w:t>.</w:t>
      </w:r>
      <w:r w:rsidR="00862CDA">
        <w:tab/>
      </w:r>
      <w:r w:rsidR="00CB1A5D">
        <w:t>The PUCO should consider the cost of achieving the same benefits that the PPA</w:t>
      </w:r>
      <w:r w:rsidR="00281336">
        <w:t>s</w:t>
      </w:r>
      <w:r w:rsidR="00CB1A5D">
        <w:t xml:space="preserve"> and PPA </w:t>
      </w:r>
      <w:r w:rsidR="00281336">
        <w:t>R</w:t>
      </w:r>
      <w:r w:rsidR="00CB1A5D">
        <w:t>ider provide compared to alternatives that could provide greater b</w:t>
      </w:r>
      <w:r w:rsidR="000B73A3" w:rsidRPr="000467AB">
        <w:t>enefits</w:t>
      </w:r>
      <w:bookmarkEnd w:id="180"/>
      <w:r w:rsidR="00081CC7">
        <w:t xml:space="preserve"> to consumers</w:t>
      </w:r>
      <w:r w:rsidR="00862CDA">
        <w:t>.</w:t>
      </w:r>
      <w:bookmarkEnd w:id="181"/>
    </w:p>
    <w:p w:rsidR="000B73A3" w:rsidRPr="000B73A3" w:rsidRDefault="000B73A3" w:rsidP="00A57413">
      <w:pPr>
        <w:widowControl w:val="0"/>
        <w:suppressAutoHyphens/>
        <w:spacing w:after="0" w:line="480" w:lineRule="auto"/>
        <w:ind w:firstLine="720"/>
        <w:rPr>
          <w:rFonts w:ascii="Times New Roman" w:eastAsia="WenQuanYi Micro Hei" w:hAnsi="Times New Roman" w:cs="Times New Roman"/>
          <w:color w:val="00000A"/>
          <w:sz w:val="24"/>
          <w:szCs w:val="24"/>
          <w:lang w:eastAsia="zh-CN" w:bidi="hi-IN"/>
        </w:rPr>
      </w:pPr>
      <w:r w:rsidRPr="000B73A3">
        <w:rPr>
          <w:rFonts w:ascii="Times New Roman" w:eastAsia="WenQuanYi Micro Hei" w:hAnsi="Times New Roman" w:cs="Times New Roman"/>
          <w:color w:val="00000A"/>
          <w:sz w:val="24"/>
          <w:szCs w:val="24"/>
          <w:lang w:eastAsia="zh-CN" w:bidi="hi-IN"/>
        </w:rPr>
        <w:t>Of equal importance to whether the PPA</w:t>
      </w:r>
      <w:r w:rsidR="003A450A">
        <w:rPr>
          <w:rFonts w:ascii="Times New Roman" w:eastAsia="WenQuanYi Micro Hei" w:hAnsi="Times New Roman" w:cs="Times New Roman"/>
          <w:color w:val="00000A"/>
          <w:sz w:val="24"/>
          <w:szCs w:val="24"/>
          <w:lang w:eastAsia="zh-CN" w:bidi="hi-IN"/>
        </w:rPr>
        <w:t>s</w:t>
      </w:r>
      <w:r w:rsidRPr="000B73A3">
        <w:rPr>
          <w:rFonts w:ascii="Times New Roman" w:eastAsia="WenQuanYi Micro Hei" w:hAnsi="Times New Roman" w:cs="Times New Roman"/>
          <w:color w:val="00000A"/>
          <w:sz w:val="24"/>
          <w:szCs w:val="24"/>
          <w:lang w:eastAsia="zh-CN" w:bidi="hi-IN"/>
        </w:rPr>
        <w:t xml:space="preserve"> and PPA Rider impose costs/detriments on AEP Ohio’s customers is the question of whether alternatives are available that could deliver greater benefits at the same or lower costs than the PPA</w:t>
      </w:r>
      <w:r w:rsidR="003A450A">
        <w:rPr>
          <w:rFonts w:ascii="Times New Roman" w:eastAsia="WenQuanYi Micro Hei" w:hAnsi="Times New Roman" w:cs="Times New Roman"/>
          <w:color w:val="00000A"/>
          <w:sz w:val="24"/>
          <w:szCs w:val="24"/>
          <w:lang w:eastAsia="zh-CN" w:bidi="hi-IN"/>
        </w:rPr>
        <w:t>s</w:t>
      </w:r>
      <w:r w:rsidRPr="000B73A3">
        <w:rPr>
          <w:rFonts w:ascii="Times New Roman" w:eastAsia="WenQuanYi Micro Hei" w:hAnsi="Times New Roman" w:cs="Times New Roman"/>
          <w:color w:val="00000A"/>
          <w:sz w:val="24"/>
          <w:szCs w:val="24"/>
          <w:lang w:eastAsia="zh-CN" w:bidi="hi-IN"/>
        </w:rPr>
        <w:t xml:space="preserve"> and PPA Rider.  If so, these alternatives should be pursued and AEP Ohio’s Amended Application rejected.  This is especially true if alternatives exist that do not rely on anti-competitive and inefficient </w:t>
      </w:r>
      <w:r w:rsidR="00C8404C">
        <w:rPr>
          <w:rFonts w:ascii="Times New Roman" w:eastAsia="WenQuanYi Micro Hei" w:hAnsi="Times New Roman" w:cs="Times New Roman"/>
          <w:color w:val="00000A"/>
          <w:sz w:val="24"/>
          <w:szCs w:val="24"/>
          <w:lang w:eastAsia="zh-CN" w:bidi="hi-IN"/>
        </w:rPr>
        <w:t xml:space="preserve">captive </w:t>
      </w:r>
      <w:r w:rsidRPr="000B73A3">
        <w:rPr>
          <w:rFonts w:ascii="Times New Roman" w:eastAsia="WenQuanYi Micro Hei" w:hAnsi="Times New Roman" w:cs="Times New Roman"/>
          <w:color w:val="00000A"/>
          <w:sz w:val="24"/>
          <w:szCs w:val="24"/>
          <w:lang w:eastAsia="zh-CN" w:bidi="hi-IN"/>
        </w:rPr>
        <w:t>customer-funded subsidies.</w:t>
      </w:r>
      <w:r w:rsidRPr="000B73A3">
        <w:rPr>
          <w:rStyle w:val="FootnoteReference"/>
          <w:rFonts w:ascii="Times New Roman" w:eastAsia="WenQuanYi Micro Hei" w:hAnsi="Times New Roman" w:cs="Times New Roman"/>
          <w:color w:val="00000A"/>
          <w:sz w:val="24"/>
          <w:szCs w:val="24"/>
          <w:lang w:eastAsia="zh-CN" w:bidi="hi-IN"/>
        </w:rPr>
        <w:footnoteReference w:id="755"/>
      </w:r>
      <w:r w:rsidRPr="000B73A3">
        <w:rPr>
          <w:rFonts w:ascii="Times New Roman" w:eastAsia="WenQuanYi Micro Hei" w:hAnsi="Times New Roman" w:cs="Times New Roman"/>
          <w:color w:val="00000A"/>
          <w:sz w:val="24"/>
          <w:szCs w:val="24"/>
          <w:lang w:eastAsia="zh-CN" w:bidi="hi-IN"/>
        </w:rPr>
        <w:t xml:space="preserve">  </w:t>
      </w:r>
      <w:r w:rsidR="00B234F2">
        <w:rPr>
          <w:rFonts w:ascii="Times New Roman" w:eastAsia="WenQuanYi Micro Hei" w:hAnsi="Times New Roman" w:cs="Times New Roman"/>
          <w:color w:val="00000A"/>
          <w:sz w:val="24"/>
          <w:szCs w:val="24"/>
          <w:lang w:eastAsia="zh-CN" w:bidi="hi-IN"/>
        </w:rPr>
        <w:t>The Consumers’ Counsel is not here endorsing subsidy programs</w:t>
      </w:r>
      <w:r w:rsidR="00754677">
        <w:rPr>
          <w:rFonts w:ascii="Times New Roman" w:eastAsia="WenQuanYi Micro Hei" w:hAnsi="Times New Roman" w:cs="Times New Roman"/>
          <w:color w:val="00000A"/>
          <w:sz w:val="24"/>
          <w:szCs w:val="24"/>
          <w:lang w:eastAsia="zh-CN" w:bidi="hi-IN"/>
        </w:rPr>
        <w:t xml:space="preserve"> as reasonable or lawful</w:t>
      </w:r>
      <w:r w:rsidR="00B234F2">
        <w:rPr>
          <w:rFonts w:ascii="Times New Roman" w:eastAsia="WenQuanYi Micro Hei" w:hAnsi="Times New Roman" w:cs="Times New Roman"/>
          <w:color w:val="00000A"/>
          <w:sz w:val="24"/>
          <w:szCs w:val="24"/>
          <w:lang w:eastAsia="zh-CN" w:bidi="hi-IN"/>
        </w:rPr>
        <w:t>.  But OCC is noting that there are alternatives to AEP Ohio’s plan that are much less expensive for Ohioans than AEP Ohio’</w:t>
      </w:r>
      <w:r w:rsidR="00754677">
        <w:rPr>
          <w:rFonts w:ascii="Times New Roman" w:eastAsia="WenQuanYi Micro Hei" w:hAnsi="Times New Roman" w:cs="Times New Roman"/>
          <w:color w:val="00000A"/>
          <w:sz w:val="24"/>
          <w:szCs w:val="24"/>
          <w:lang w:eastAsia="zh-CN" w:bidi="hi-IN"/>
        </w:rPr>
        <w:t xml:space="preserve">s proposal, if there exists some </w:t>
      </w:r>
      <w:r w:rsidR="003C7E26">
        <w:rPr>
          <w:rFonts w:ascii="Times New Roman" w:eastAsia="WenQuanYi Micro Hei" w:hAnsi="Times New Roman" w:cs="Times New Roman"/>
          <w:color w:val="00000A"/>
          <w:sz w:val="24"/>
          <w:szCs w:val="24"/>
          <w:lang w:eastAsia="zh-CN" w:bidi="hi-IN"/>
        </w:rPr>
        <w:t xml:space="preserve">regulatory </w:t>
      </w:r>
      <w:r w:rsidR="00754677">
        <w:rPr>
          <w:rFonts w:ascii="Times New Roman" w:eastAsia="WenQuanYi Micro Hei" w:hAnsi="Times New Roman" w:cs="Times New Roman"/>
          <w:color w:val="00000A"/>
          <w:sz w:val="24"/>
          <w:szCs w:val="24"/>
          <w:lang w:eastAsia="zh-CN" w:bidi="hi-IN"/>
        </w:rPr>
        <w:t xml:space="preserve">desire for the </w:t>
      </w:r>
      <w:r w:rsidR="003C7E26">
        <w:rPr>
          <w:rFonts w:ascii="Times New Roman" w:eastAsia="WenQuanYi Micro Hei" w:hAnsi="Times New Roman" w:cs="Times New Roman"/>
          <w:color w:val="00000A"/>
          <w:sz w:val="24"/>
          <w:szCs w:val="24"/>
          <w:lang w:eastAsia="zh-CN" w:bidi="hi-IN"/>
        </w:rPr>
        <w:t>alleged</w:t>
      </w:r>
      <w:r w:rsidR="00754677">
        <w:rPr>
          <w:rFonts w:ascii="Times New Roman" w:eastAsia="WenQuanYi Micro Hei" w:hAnsi="Times New Roman" w:cs="Times New Roman"/>
          <w:color w:val="00000A"/>
          <w:sz w:val="24"/>
          <w:szCs w:val="24"/>
          <w:lang w:eastAsia="zh-CN" w:bidi="hi-IN"/>
        </w:rPr>
        <w:t xml:space="preserve"> benefits of the proposal.</w:t>
      </w:r>
    </w:p>
    <w:p w:rsidR="000B73A3" w:rsidRPr="000B73A3" w:rsidRDefault="00F47607" w:rsidP="00C401CE">
      <w:pPr>
        <w:pStyle w:val="Heading4"/>
      </w:pPr>
      <w:bookmarkStart w:id="182" w:name="_Toc435428264"/>
      <w:bookmarkStart w:id="183" w:name="_Toc442104232"/>
      <w:r>
        <w:t>a</w:t>
      </w:r>
      <w:r w:rsidR="00862CDA">
        <w:t>.</w:t>
      </w:r>
      <w:r w:rsidR="00862CDA">
        <w:tab/>
      </w:r>
      <w:r w:rsidR="00CB1A5D">
        <w:t xml:space="preserve">The PUCO </w:t>
      </w:r>
      <w:r w:rsidR="00B327A1">
        <w:t>c</w:t>
      </w:r>
      <w:r w:rsidR="00CB1A5D">
        <w:t>ould consider an analysis of a least-cost combination of new and e</w:t>
      </w:r>
      <w:r w:rsidR="000B73A3" w:rsidRPr="000B73A3">
        <w:t>xis</w:t>
      </w:r>
      <w:r w:rsidR="00CB1A5D">
        <w:t>ting generation and/or transmission a</w:t>
      </w:r>
      <w:r w:rsidR="000B73A3" w:rsidRPr="000B73A3">
        <w:t>ssets</w:t>
      </w:r>
      <w:bookmarkEnd w:id="182"/>
      <w:r w:rsidR="00081CC7">
        <w:t xml:space="preserve"> to protect consumer interests</w:t>
      </w:r>
      <w:r w:rsidR="00862CDA">
        <w:t>.</w:t>
      </w:r>
      <w:bookmarkEnd w:id="183"/>
      <w:r w:rsidR="000B73A3" w:rsidRPr="000B73A3">
        <w:t xml:space="preserve"> </w:t>
      </w:r>
    </w:p>
    <w:p w:rsidR="000B73A3" w:rsidRPr="000B73A3" w:rsidRDefault="000B73A3" w:rsidP="00A57413">
      <w:pPr>
        <w:widowControl w:val="0"/>
        <w:suppressAutoHyphens/>
        <w:spacing w:after="0" w:line="480" w:lineRule="auto"/>
        <w:ind w:firstLine="720"/>
        <w:rPr>
          <w:rFonts w:ascii="Times New Roman" w:eastAsia="WenQuanYi Micro Hei" w:hAnsi="Times New Roman" w:cs="Times New Roman"/>
          <w:color w:val="00000A"/>
          <w:sz w:val="24"/>
          <w:szCs w:val="24"/>
          <w:lang w:eastAsia="zh-CN" w:bidi="hi-IN"/>
        </w:rPr>
      </w:pPr>
      <w:r w:rsidRPr="000B73A3">
        <w:rPr>
          <w:rFonts w:ascii="Times New Roman" w:eastAsia="WenQuanYi Micro Hei" w:hAnsi="Times New Roman" w:cs="Times New Roman"/>
          <w:color w:val="00000A"/>
          <w:sz w:val="24"/>
          <w:szCs w:val="24"/>
          <w:lang w:eastAsia="zh-CN" w:bidi="hi-IN"/>
        </w:rPr>
        <w:t>Proper consideration of the PPA Rider should include an analysis of what combination of existing/new transmission and generation assets could be added to the electric power system to deliver the claimed benefits of the PPA</w:t>
      </w:r>
      <w:r w:rsidR="003A450A">
        <w:rPr>
          <w:rFonts w:ascii="Times New Roman" w:eastAsia="WenQuanYi Micro Hei" w:hAnsi="Times New Roman" w:cs="Times New Roman"/>
          <w:color w:val="00000A"/>
          <w:sz w:val="24"/>
          <w:szCs w:val="24"/>
          <w:lang w:eastAsia="zh-CN" w:bidi="hi-IN"/>
        </w:rPr>
        <w:t>s</w:t>
      </w:r>
      <w:r w:rsidRPr="000B73A3">
        <w:rPr>
          <w:rFonts w:ascii="Times New Roman" w:eastAsia="WenQuanYi Micro Hei" w:hAnsi="Times New Roman" w:cs="Times New Roman"/>
          <w:color w:val="00000A"/>
          <w:sz w:val="24"/>
          <w:szCs w:val="24"/>
          <w:lang w:eastAsia="zh-CN" w:bidi="hi-IN"/>
        </w:rPr>
        <w:t xml:space="preserve"> and PPA Rider.  As demonstrated above, the PJM-operated markets are designed to incent </w:t>
      </w:r>
      <w:r w:rsidR="00E0077D">
        <w:rPr>
          <w:rFonts w:ascii="Times New Roman" w:eastAsia="WenQuanYi Micro Hei" w:hAnsi="Times New Roman" w:cs="Times New Roman"/>
          <w:color w:val="00000A"/>
          <w:sz w:val="24"/>
          <w:szCs w:val="24"/>
          <w:lang w:eastAsia="zh-CN" w:bidi="hi-IN"/>
        </w:rPr>
        <w:t xml:space="preserve">building </w:t>
      </w:r>
      <w:r w:rsidRPr="000B73A3">
        <w:rPr>
          <w:rFonts w:ascii="Times New Roman" w:eastAsia="WenQuanYi Micro Hei" w:hAnsi="Times New Roman" w:cs="Times New Roman"/>
          <w:color w:val="00000A"/>
          <w:sz w:val="24"/>
          <w:szCs w:val="24"/>
          <w:lang w:eastAsia="zh-CN" w:bidi="hi-IN"/>
        </w:rPr>
        <w:t xml:space="preserve">generation and transmission assets to address cost stability, reliability, and other issues without the need for potentially anti-competitive and inefficient customer-funded subsidies </w:t>
      </w:r>
      <w:r w:rsidR="00E0077D">
        <w:rPr>
          <w:rFonts w:ascii="Times New Roman" w:eastAsia="WenQuanYi Micro Hei" w:hAnsi="Times New Roman" w:cs="Times New Roman"/>
          <w:color w:val="00000A"/>
          <w:sz w:val="24"/>
          <w:szCs w:val="24"/>
          <w:lang w:eastAsia="zh-CN" w:bidi="hi-IN"/>
        </w:rPr>
        <w:t>such as</w:t>
      </w:r>
      <w:r w:rsidRPr="000B73A3">
        <w:rPr>
          <w:rFonts w:ascii="Times New Roman" w:eastAsia="WenQuanYi Micro Hei" w:hAnsi="Times New Roman" w:cs="Times New Roman"/>
          <w:color w:val="00000A"/>
          <w:sz w:val="24"/>
          <w:szCs w:val="24"/>
          <w:lang w:eastAsia="zh-CN" w:bidi="hi-IN"/>
        </w:rPr>
        <w:t xml:space="preserve"> the PPA Rider.</w:t>
      </w:r>
      <w:r w:rsidRPr="000B73A3">
        <w:rPr>
          <w:rStyle w:val="FootnoteReference"/>
          <w:rFonts w:ascii="Times New Roman" w:eastAsia="WenQuanYi Micro Hei" w:hAnsi="Times New Roman" w:cs="Times New Roman"/>
          <w:color w:val="00000A"/>
          <w:sz w:val="24"/>
          <w:szCs w:val="24"/>
          <w:lang w:eastAsia="zh-CN" w:bidi="hi-IN"/>
        </w:rPr>
        <w:footnoteReference w:id="756"/>
      </w:r>
    </w:p>
    <w:p w:rsidR="000B73A3" w:rsidRPr="000B73A3" w:rsidRDefault="00F47607" w:rsidP="00C401CE">
      <w:pPr>
        <w:pStyle w:val="Heading4"/>
      </w:pPr>
      <w:bookmarkStart w:id="184" w:name="_Toc435428265"/>
      <w:bookmarkStart w:id="185" w:name="_Toc442104233"/>
      <w:r>
        <w:t>b</w:t>
      </w:r>
      <w:r w:rsidR="00862CDA">
        <w:t>.</w:t>
      </w:r>
      <w:r w:rsidR="00862CDA">
        <w:tab/>
      </w:r>
      <w:r w:rsidR="00CB1A5D">
        <w:t xml:space="preserve">The PUCO </w:t>
      </w:r>
      <w:r w:rsidR="00B327A1">
        <w:t>c</w:t>
      </w:r>
      <w:r w:rsidR="00CB1A5D">
        <w:t>ould consider the cost of achieving price stability t</w:t>
      </w:r>
      <w:r w:rsidR="000B73A3" w:rsidRPr="000B73A3">
        <w:t>hro</w:t>
      </w:r>
      <w:r w:rsidR="003A450A">
        <w:t>ugh</w:t>
      </w:r>
      <w:r w:rsidR="00CB1A5D">
        <w:t xml:space="preserve"> competitive s</w:t>
      </w:r>
      <w:r w:rsidR="000B73A3" w:rsidRPr="000B73A3">
        <w:t>olicitation</w:t>
      </w:r>
      <w:bookmarkEnd w:id="184"/>
      <w:r w:rsidR="00081CC7">
        <w:t xml:space="preserve"> to protect consumer interests</w:t>
      </w:r>
      <w:r w:rsidR="00862CDA">
        <w:t>.</w:t>
      </w:r>
      <w:bookmarkEnd w:id="185"/>
    </w:p>
    <w:p w:rsidR="00F47607" w:rsidRDefault="000B73A3" w:rsidP="00F47607">
      <w:pPr>
        <w:widowControl w:val="0"/>
        <w:suppressAutoHyphens/>
        <w:spacing w:after="0" w:line="480" w:lineRule="auto"/>
        <w:ind w:firstLine="720"/>
        <w:rPr>
          <w:rFonts w:ascii="Times New Roman" w:eastAsia="WenQuanYi Micro Hei" w:hAnsi="Times New Roman" w:cs="Times New Roman"/>
          <w:color w:val="00000A"/>
          <w:sz w:val="24"/>
          <w:szCs w:val="24"/>
          <w:lang w:eastAsia="zh-CN" w:bidi="hi-IN"/>
        </w:rPr>
      </w:pPr>
      <w:r w:rsidRPr="000B73A3">
        <w:rPr>
          <w:rFonts w:ascii="Times New Roman" w:eastAsia="WenQuanYi Micro Hei" w:hAnsi="Times New Roman" w:cs="Times New Roman"/>
          <w:color w:val="00000A"/>
          <w:sz w:val="24"/>
          <w:szCs w:val="24"/>
          <w:lang w:eastAsia="zh-CN" w:bidi="hi-IN"/>
        </w:rPr>
        <w:t>S</w:t>
      </w:r>
      <w:r w:rsidR="00B327A1">
        <w:rPr>
          <w:rFonts w:ascii="Times New Roman" w:eastAsia="WenQuanYi Micro Hei" w:hAnsi="Times New Roman" w:cs="Times New Roman"/>
          <w:color w:val="00000A"/>
          <w:sz w:val="24"/>
          <w:szCs w:val="24"/>
          <w:lang w:eastAsia="zh-CN" w:bidi="hi-IN"/>
        </w:rPr>
        <w:t>tandard offer</w:t>
      </w:r>
      <w:r w:rsidRPr="000B73A3">
        <w:rPr>
          <w:rFonts w:ascii="Times New Roman" w:eastAsia="WenQuanYi Micro Hei" w:hAnsi="Times New Roman" w:cs="Times New Roman"/>
          <w:color w:val="00000A"/>
          <w:sz w:val="24"/>
          <w:szCs w:val="24"/>
          <w:lang w:eastAsia="zh-CN" w:bidi="hi-IN"/>
        </w:rPr>
        <w:t xml:space="preserve"> customers</w:t>
      </w:r>
      <w:r w:rsidR="00336B26">
        <w:rPr>
          <w:rFonts w:ascii="Times New Roman" w:eastAsia="WenQuanYi Micro Hei" w:hAnsi="Times New Roman" w:cs="Times New Roman"/>
          <w:color w:val="00000A"/>
          <w:sz w:val="24"/>
          <w:szCs w:val="24"/>
          <w:lang w:eastAsia="zh-CN" w:bidi="hi-IN"/>
        </w:rPr>
        <w:t xml:space="preserve"> of AEP Ohio</w:t>
      </w:r>
      <w:r w:rsidRPr="000B73A3">
        <w:rPr>
          <w:rFonts w:ascii="Times New Roman" w:eastAsia="WenQuanYi Micro Hei" w:hAnsi="Times New Roman" w:cs="Times New Roman"/>
          <w:color w:val="00000A"/>
          <w:sz w:val="24"/>
          <w:szCs w:val="24"/>
          <w:lang w:eastAsia="zh-CN" w:bidi="hi-IN"/>
        </w:rPr>
        <w:t xml:space="preserve"> already have access to a price-stabilizing mechanism.  This is achieved by having the supply needs of </w:t>
      </w:r>
      <w:r w:rsidR="00336B26">
        <w:rPr>
          <w:rFonts w:ascii="Times New Roman" w:eastAsia="WenQuanYi Micro Hei" w:hAnsi="Times New Roman" w:cs="Times New Roman"/>
          <w:color w:val="00000A"/>
          <w:sz w:val="24"/>
          <w:szCs w:val="24"/>
          <w:lang w:eastAsia="zh-CN" w:bidi="hi-IN"/>
        </w:rPr>
        <w:t>standard offer</w:t>
      </w:r>
      <w:r w:rsidR="00336B26" w:rsidRPr="000B73A3">
        <w:rPr>
          <w:rFonts w:ascii="Times New Roman" w:eastAsia="WenQuanYi Micro Hei" w:hAnsi="Times New Roman" w:cs="Times New Roman"/>
          <w:color w:val="00000A"/>
          <w:sz w:val="24"/>
          <w:szCs w:val="24"/>
          <w:lang w:eastAsia="zh-CN" w:bidi="hi-IN"/>
        </w:rPr>
        <w:t xml:space="preserve"> </w:t>
      </w:r>
      <w:r w:rsidRPr="000B73A3">
        <w:rPr>
          <w:rFonts w:ascii="Times New Roman" w:eastAsia="WenQuanYi Micro Hei" w:hAnsi="Times New Roman" w:cs="Times New Roman"/>
          <w:color w:val="00000A"/>
          <w:sz w:val="24"/>
          <w:szCs w:val="24"/>
          <w:lang w:eastAsia="zh-CN" w:bidi="hi-IN"/>
        </w:rPr>
        <w:t>customers met through one- to three-year full-requirements contracts that result from competitive auctions.  The rates that SSO customers pay are established through the blending of multiple auctions held months to years in advance of delivery.  The rate resulting from each auction tends to reflect the then-prevalent forward price plus a markup.  Because the forward prices for delivery months to years ahead tend to be relatively stable over time</w:t>
      </w:r>
      <w:r w:rsidR="00F96CC1">
        <w:rPr>
          <w:rFonts w:ascii="Times New Roman" w:eastAsia="WenQuanYi Micro Hei" w:hAnsi="Times New Roman" w:cs="Times New Roman"/>
          <w:color w:val="00000A"/>
          <w:sz w:val="24"/>
          <w:szCs w:val="24"/>
          <w:lang w:eastAsia="zh-CN" w:bidi="hi-IN"/>
        </w:rPr>
        <w:t>.  Consequently,</w:t>
      </w:r>
      <w:r w:rsidRPr="000B73A3">
        <w:rPr>
          <w:rFonts w:ascii="Times New Roman" w:eastAsia="WenQuanYi Micro Hei" w:hAnsi="Times New Roman" w:cs="Times New Roman"/>
          <w:color w:val="00000A"/>
          <w:sz w:val="24"/>
          <w:szCs w:val="24"/>
          <w:lang w:eastAsia="zh-CN" w:bidi="hi-IN"/>
        </w:rPr>
        <w:t xml:space="preserve"> these auctions </w:t>
      </w:r>
      <w:r w:rsidR="00F96CC1">
        <w:rPr>
          <w:rFonts w:ascii="Times New Roman" w:eastAsia="WenQuanYi Micro Hei" w:hAnsi="Times New Roman" w:cs="Times New Roman"/>
          <w:color w:val="00000A"/>
          <w:sz w:val="24"/>
          <w:szCs w:val="24"/>
          <w:lang w:eastAsia="zh-CN" w:bidi="hi-IN"/>
        </w:rPr>
        <w:t>already</w:t>
      </w:r>
      <w:r w:rsidRPr="000B73A3">
        <w:rPr>
          <w:rFonts w:ascii="Times New Roman" w:eastAsia="WenQuanYi Micro Hei" w:hAnsi="Times New Roman" w:cs="Times New Roman"/>
          <w:color w:val="00000A"/>
          <w:sz w:val="24"/>
          <w:szCs w:val="24"/>
          <w:lang w:eastAsia="zh-CN" w:bidi="hi-IN"/>
        </w:rPr>
        <w:t xml:space="preserve"> stabilize prices paid by SSO customers.</w:t>
      </w:r>
      <w:r w:rsidRPr="000B73A3">
        <w:rPr>
          <w:rStyle w:val="FootnoteReference"/>
          <w:rFonts w:ascii="Times New Roman" w:eastAsia="WenQuanYi Micro Hei" w:hAnsi="Times New Roman" w:cs="Times New Roman"/>
          <w:color w:val="00000A"/>
          <w:sz w:val="24"/>
          <w:szCs w:val="24"/>
          <w:lang w:eastAsia="zh-CN" w:bidi="hi-IN"/>
        </w:rPr>
        <w:footnoteReference w:id="757"/>
      </w:r>
      <w:bookmarkStart w:id="186" w:name="_Toc435428266"/>
    </w:p>
    <w:p w:rsidR="000B73A3" w:rsidRPr="00F47607" w:rsidRDefault="00F47607" w:rsidP="00C401CE">
      <w:pPr>
        <w:pStyle w:val="Heading4"/>
        <w:rPr>
          <w:rFonts w:ascii="Times New Roman" w:hAnsi="Times New Roman"/>
          <w:color w:val="00000A"/>
        </w:rPr>
      </w:pPr>
      <w:bookmarkStart w:id="187" w:name="_Toc442104234"/>
      <w:r>
        <w:t>c.</w:t>
      </w:r>
      <w:r>
        <w:tab/>
      </w:r>
      <w:r w:rsidR="00CB1A5D">
        <w:t xml:space="preserve">The PUCO </w:t>
      </w:r>
      <w:r w:rsidR="00336B26">
        <w:t>c</w:t>
      </w:r>
      <w:r w:rsidR="00CB1A5D">
        <w:t>ould consider the cost of meeting c</w:t>
      </w:r>
      <w:r w:rsidR="000B73A3" w:rsidRPr="000B73A3">
        <w:t>urrent</w:t>
      </w:r>
      <w:r w:rsidR="00CB1A5D">
        <w:t xml:space="preserve"> and expected environmental regulation with generation and/or transmission alternatives to t</w:t>
      </w:r>
      <w:r w:rsidR="000B73A3" w:rsidRPr="000B73A3">
        <w:t>he PPA</w:t>
      </w:r>
      <w:r w:rsidR="003A450A">
        <w:t>s</w:t>
      </w:r>
      <w:r w:rsidR="00CB1A5D">
        <w:t xml:space="preserve"> and PPA </w:t>
      </w:r>
      <w:r w:rsidR="00281336">
        <w:t>R</w:t>
      </w:r>
      <w:r w:rsidR="000B73A3" w:rsidRPr="000B73A3">
        <w:t>ider</w:t>
      </w:r>
      <w:bookmarkEnd w:id="186"/>
      <w:r w:rsidR="00081CC7">
        <w:t xml:space="preserve"> to protect consumer interests</w:t>
      </w:r>
      <w:r>
        <w:t>.</w:t>
      </w:r>
      <w:bookmarkEnd w:id="187"/>
      <w:r w:rsidR="000B73A3" w:rsidRPr="000B73A3">
        <w:t xml:space="preserve">  </w:t>
      </w:r>
    </w:p>
    <w:p w:rsidR="000B73A3" w:rsidRPr="000B73A3" w:rsidRDefault="000B73A3" w:rsidP="00DF7E02">
      <w:pPr>
        <w:widowControl w:val="0"/>
        <w:suppressAutoHyphens/>
        <w:spacing w:after="0" w:line="480" w:lineRule="auto"/>
        <w:ind w:firstLine="720"/>
        <w:rPr>
          <w:rFonts w:ascii="Times New Roman" w:eastAsia="WenQuanYi Micro Hei" w:hAnsi="Times New Roman" w:cs="Times New Roman"/>
          <w:color w:val="00000A"/>
          <w:sz w:val="24"/>
          <w:szCs w:val="24"/>
          <w:lang w:eastAsia="zh-CN" w:bidi="hi-IN"/>
        </w:rPr>
      </w:pPr>
      <w:r w:rsidRPr="000B73A3">
        <w:rPr>
          <w:rFonts w:ascii="Times New Roman" w:eastAsia="WenQuanYi Micro Hei" w:hAnsi="Times New Roman" w:cs="Times New Roman"/>
          <w:color w:val="00000A"/>
          <w:sz w:val="24"/>
          <w:szCs w:val="24"/>
          <w:lang w:eastAsia="zh-CN" w:bidi="hi-IN"/>
        </w:rPr>
        <w:t>The ESP III Opinion and Order requires AEP Ohio to prove that the PPA Units are compliant with all pertinent environmental regulations and AEP Ohio's and AEPGR's plans for compliance with pending regu</w:t>
      </w:r>
      <w:r w:rsidR="003A450A">
        <w:rPr>
          <w:rFonts w:ascii="Times New Roman" w:eastAsia="WenQuanYi Micro Hei" w:hAnsi="Times New Roman" w:cs="Times New Roman"/>
          <w:color w:val="00000A"/>
          <w:sz w:val="24"/>
          <w:szCs w:val="24"/>
          <w:lang w:eastAsia="zh-CN" w:bidi="hi-IN"/>
        </w:rPr>
        <w:t>lations.  As stated above, OCC W</w:t>
      </w:r>
      <w:r w:rsidRPr="000B73A3">
        <w:rPr>
          <w:rFonts w:ascii="Times New Roman" w:eastAsia="WenQuanYi Micro Hei" w:hAnsi="Times New Roman" w:cs="Times New Roman"/>
          <w:color w:val="00000A"/>
          <w:sz w:val="24"/>
          <w:szCs w:val="24"/>
          <w:lang w:eastAsia="zh-CN" w:bidi="hi-IN"/>
        </w:rPr>
        <w:t xml:space="preserve">itness Jackson has reviewed AEP Ohio/AEPGR’s proposed environmental compliance plan and recommended that </w:t>
      </w:r>
      <w:r w:rsidR="004F3211">
        <w:rPr>
          <w:rFonts w:ascii="Times New Roman" w:eastAsia="WenQuanYi Micro Hei" w:hAnsi="Times New Roman" w:cs="Times New Roman"/>
          <w:color w:val="00000A"/>
          <w:sz w:val="24"/>
          <w:szCs w:val="24"/>
          <w:lang w:eastAsia="zh-CN" w:bidi="hi-IN"/>
        </w:rPr>
        <w:t>AEP Ohio’s proposal</w:t>
      </w:r>
      <w:r w:rsidRPr="000B73A3">
        <w:rPr>
          <w:rFonts w:ascii="Times New Roman" w:eastAsia="WenQuanYi Micro Hei" w:hAnsi="Times New Roman" w:cs="Times New Roman"/>
          <w:color w:val="00000A"/>
          <w:sz w:val="24"/>
          <w:szCs w:val="24"/>
          <w:lang w:eastAsia="zh-CN" w:bidi="hi-IN"/>
        </w:rPr>
        <w:t xml:space="preserve"> be denied because it did not satisfy this factor.</w:t>
      </w:r>
      <w:r w:rsidRPr="000B73A3">
        <w:rPr>
          <w:rStyle w:val="FootnoteReference"/>
          <w:rFonts w:ascii="Times New Roman" w:eastAsia="WenQuanYi Micro Hei" w:hAnsi="Times New Roman" w:cs="Times New Roman"/>
          <w:color w:val="00000A"/>
          <w:sz w:val="24"/>
          <w:szCs w:val="24"/>
          <w:lang w:eastAsia="zh-CN" w:bidi="hi-IN"/>
        </w:rPr>
        <w:footnoteReference w:id="758"/>
      </w:r>
      <w:r w:rsidRPr="000B73A3">
        <w:rPr>
          <w:rFonts w:ascii="Times New Roman" w:eastAsia="WenQuanYi Micro Hei" w:hAnsi="Times New Roman" w:cs="Times New Roman"/>
          <w:color w:val="00000A"/>
          <w:sz w:val="24"/>
          <w:szCs w:val="24"/>
          <w:lang w:eastAsia="zh-CN" w:bidi="hi-IN"/>
        </w:rPr>
        <w:t xml:space="preserve"> </w:t>
      </w:r>
    </w:p>
    <w:p w:rsidR="00AA2EA0" w:rsidRDefault="00AA2EA0">
      <w:pPr>
        <w:rPr>
          <w:rFonts w:ascii="Times New Roman" w:eastAsia="WenQuanYi Micro Hei" w:hAnsi="Times New Roman" w:cs="Times New Roman"/>
          <w:color w:val="00000A"/>
          <w:sz w:val="24"/>
          <w:szCs w:val="24"/>
          <w:lang w:eastAsia="zh-CN" w:bidi="hi-IN"/>
        </w:rPr>
      </w:pPr>
      <w:r>
        <w:rPr>
          <w:rFonts w:ascii="Times New Roman" w:eastAsia="WenQuanYi Micro Hei" w:hAnsi="Times New Roman" w:cs="Times New Roman"/>
          <w:color w:val="00000A"/>
          <w:sz w:val="24"/>
          <w:szCs w:val="24"/>
          <w:lang w:eastAsia="zh-CN" w:bidi="hi-IN"/>
        </w:rPr>
        <w:br w:type="page"/>
      </w:r>
    </w:p>
    <w:p w:rsidR="00336B26" w:rsidRDefault="000B73A3" w:rsidP="00941ED6">
      <w:pPr>
        <w:widowControl w:val="0"/>
        <w:suppressAutoHyphens/>
        <w:spacing w:after="0" w:line="480" w:lineRule="auto"/>
        <w:ind w:firstLine="720"/>
        <w:rPr>
          <w:rFonts w:ascii="Times New Roman" w:eastAsia="WenQuanYi Micro Hei" w:hAnsi="Times New Roman" w:cs="Times New Roman"/>
          <w:color w:val="00000A"/>
          <w:sz w:val="24"/>
          <w:szCs w:val="24"/>
          <w:lang w:eastAsia="zh-CN" w:bidi="hi-IN"/>
        </w:rPr>
      </w:pPr>
      <w:r w:rsidRPr="000B73A3">
        <w:rPr>
          <w:rFonts w:ascii="Times New Roman" w:eastAsia="WenQuanYi Micro Hei" w:hAnsi="Times New Roman" w:cs="Times New Roman"/>
          <w:color w:val="00000A"/>
          <w:sz w:val="24"/>
          <w:szCs w:val="24"/>
          <w:lang w:eastAsia="zh-CN" w:bidi="hi-IN"/>
        </w:rPr>
        <w:t>Even if AEP Ohio and AEPGR have a plan in place to meet current and expected future environmental regulations, that does not mean that there are no generation and transmission alternatives that could provide the purported benefits of the PPA</w:t>
      </w:r>
      <w:r w:rsidR="002E57F2">
        <w:rPr>
          <w:rFonts w:ascii="Times New Roman" w:eastAsia="WenQuanYi Micro Hei" w:hAnsi="Times New Roman" w:cs="Times New Roman"/>
          <w:color w:val="00000A"/>
          <w:sz w:val="24"/>
          <w:szCs w:val="24"/>
          <w:lang w:eastAsia="zh-CN" w:bidi="hi-IN"/>
        </w:rPr>
        <w:t>s</w:t>
      </w:r>
      <w:r w:rsidRPr="000B73A3">
        <w:rPr>
          <w:rFonts w:ascii="Times New Roman" w:eastAsia="WenQuanYi Micro Hei" w:hAnsi="Times New Roman" w:cs="Times New Roman"/>
          <w:color w:val="00000A"/>
          <w:sz w:val="24"/>
          <w:szCs w:val="24"/>
          <w:lang w:eastAsia="zh-CN" w:bidi="hi-IN"/>
        </w:rPr>
        <w:t xml:space="preserve"> and PPA Rider while also meeting current and expected future environmental regulations at lower costs.  </w:t>
      </w:r>
    </w:p>
    <w:p w:rsidR="00F45598" w:rsidRPr="00F45598" w:rsidRDefault="000B73A3" w:rsidP="00941ED6">
      <w:pPr>
        <w:widowControl w:val="0"/>
        <w:suppressAutoHyphens/>
        <w:spacing w:after="0" w:line="480" w:lineRule="auto"/>
        <w:ind w:firstLine="720"/>
        <w:rPr>
          <w:rFonts w:ascii="Times New Roman" w:hAnsi="Times New Roman" w:cs="Times New Roman"/>
          <w:b/>
          <w:sz w:val="24"/>
          <w:szCs w:val="24"/>
        </w:rPr>
      </w:pPr>
      <w:r w:rsidRPr="000B73A3">
        <w:rPr>
          <w:rFonts w:ascii="Times New Roman" w:eastAsia="WenQuanYi Micro Hei" w:hAnsi="Times New Roman" w:cs="Times New Roman"/>
          <w:color w:val="00000A"/>
          <w:sz w:val="24"/>
          <w:szCs w:val="24"/>
          <w:lang w:eastAsia="zh-CN" w:bidi="hi-IN"/>
        </w:rPr>
        <w:t>If transmission and generation alternatives exist to the PPA</w:t>
      </w:r>
      <w:r w:rsidR="002E57F2">
        <w:rPr>
          <w:rFonts w:ascii="Times New Roman" w:eastAsia="WenQuanYi Micro Hei" w:hAnsi="Times New Roman" w:cs="Times New Roman"/>
          <w:color w:val="00000A"/>
          <w:sz w:val="24"/>
          <w:szCs w:val="24"/>
          <w:lang w:eastAsia="zh-CN" w:bidi="hi-IN"/>
        </w:rPr>
        <w:t>s</w:t>
      </w:r>
      <w:r w:rsidRPr="000B73A3">
        <w:rPr>
          <w:rFonts w:ascii="Times New Roman" w:eastAsia="WenQuanYi Micro Hei" w:hAnsi="Times New Roman" w:cs="Times New Roman"/>
          <w:color w:val="00000A"/>
          <w:sz w:val="24"/>
          <w:szCs w:val="24"/>
          <w:lang w:eastAsia="zh-CN" w:bidi="hi-IN"/>
        </w:rPr>
        <w:t xml:space="preserve"> and PPA Rider that could deliver their purported benefits and meet current and expected future environmental regulations at lower cost, these alternatives </w:t>
      </w:r>
      <w:r w:rsidR="00336B26">
        <w:rPr>
          <w:rFonts w:ascii="Times New Roman" w:eastAsia="WenQuanYi Micro Hei" w:hAnsi="Times New Roman" w:cs="Times New Roman"/>
          <w:color w:val="00000A"/>
          <w:sz w:val="24"/>
          <w:szCs w:val="24"/>
          <w:lang w:eastAsia="zh-CN" w:bidi="hi-IN"/>
        </w:rPr>
        <w:t>c</w:t>
      </w:r>
      <w:r w:rsidRPr="000B73A3">
        <w:rPr>
          <w:rFonts w:ascii="Times New Roman" w:eastAsia="WenQuanYi Micro Hei" w:hAnsi="Times New Roman" w:cs="Times New Roman"/>
          <w:color w:val="00000A"/>
          <w:sz w:val="24"/>
          <w:szCs w:val="24"/>
          <w:lang w:eastAsia="zh-CN" w:bidi="hi-IN"/>
        </w:rPr>
        <w:t xml:space="preserve">ould be considered.  Accordingly, the PUCO should adopt an additional factor under which AEP Ohio has to provide </w:t>
      </w:r>
      <w:r w:rsidR="00E0077D">
        <w:rPr>
          <w:rFonts w:ascii="Times New Roman" w:eastAsia="WenQuanYi Micro Hei" w:hAnsi="Times New Roman" w:cs="Times New Roman"/>
          <w:color w:val="00000A"/>
          <w:sz w:val="24"/>
          <w:szCs w:val="24"/>
          <w:lang w:eastAsia="zh-CN" w:bidi="hi-IN"/>
        </w:rPr>
        <w:t xml:space="preserve">information regarding </w:t>
      </w:r>
      <w:r w:rsidRPr="000B73A3">
        <w:rPr>
          <w:rFonts w:ascii="Times New Roman" w:eastAsia="WenQuanYi Micro Hei" w:hAnsi="Times New Roman" w:cs="Times New Roman"/>
          <w:color w:val="00000A"/>
          <w:sz w:val="24"/>
          <w:szCs w:val="24"/>
          <w:lang w:eastAsia="zh-CN" w:bidi="hi-IN"/>
        </w:rPr>
        <w:t>what combination of</w:t>
      </w:r>
      <w:r w:rsidR="00F96CC1">
        <w:rPr>
          <w:rFonts w:ascii="Times New Roman" w:eastAsia="WenQuanYi Micro Hei" w:hAnsi="Times New Roman" w:cs="Times New Roman"/>
          <w:color w:val="00000A"/>
          <w:sz w:val="24"/>
          <w:szCs w:val="24"/>
          <w:lang w:eastAsia="zh-CN" w:bidi="hi-IN"/>
        </w:rPr>
        <w:t xml:space="preserve"> new</w:t>
      </w:r>
      <w:r w:rsidRPr="000B73A3">
        <w:rPr>
          <w:rFonts w:ascii="Times New Roman" w:eastAsia="WenQuanYi Micro Hei" w:hAnsi="Times New Roman" w:cs="Times New Roman"/>
          <w:color w:val="00000A"/>
          <w:sz w:val="24"/>
          <w:szCs w:val="24"/>
          <w:lang w:eastAsia="zh-CN" w:bidi="hi-IN"/>
        </w:rPr>
        <w:t xml:space="preserve"> transmission and </w:t>
      </w:r>
      <w:r w:rsidR="00F96CC1">
        <w:rPr>
          <w:rFonts w:ascii="Times New Roman" w:eastAsia="WenQuanYi Micro Hei" w:hAnsi="Times New Roman" w:cs="Times New Roman"/>
          <w:color w:val="00000A"/>
          <w:sz w:val="24"/>
          <w:szCs w:val="24"/>
          <w:lang w:eastAsia="zh-CN" w:bidi="hi-IN"/>
        </w:rPr>
        <w:t xml:space="preserve">competitive </w:t>
      </w:r>
      <w:r w:rsidRPr="000B73A3">
        <w:rPr>
          <w:rFonts w:ascii="Times New Roman" w:eastAsia="WenQuanYi Micro Hei" w:hAnsi="Times New Roman" w:cs="Times New Roman"/>
          <w:color w:val="00000A"/>
          <w:sz w:val="24"/>
          <w:szCs w:val="24"/>
          <w:lang w:eastAsia="zh-CN" w:bidi="hi-IN"/>
        </w:rPr>
        <w:t>generation assets could be added to the electric power system to meet current and expected environmental regulations.  A comparison of those benefits and costs then should be made to the compliance measures AEP Ohio proposed in its Amended Application</w:t>
      </w:r>
      <w:r w:rsidR="004F3211">
        <w:rPr>
          <w:rFonts w:ascii="Times New Roman" w:eastAsia="WenQuanYi Micro Hei" w:hAnsi="Times New Roman" w:cs="Times New Roman"/>
          <w:color w:val="00000A"/>
          <w:sz w:val="24"/>
          <w:szCs w:val="24"/>
          <w:lang w:eastAsia="zh-CN" w:bidi="hi-IN"/>
        </w:rPr>
        <w:t>/Modified Amended Application</w:t>
      </w:r>
      <w:r w:rsidRPr="000B73A3">
        <w:rPr>
          <w:rFonts w:ascii="Times New Roman" w:eastAsia="WenQuanYi Micro Hei" w:hAnsi="Times New Roman" w:cs="Times New Roman"/>
          <w:color w:val="00000A"/>
          <w:sz w:val="24"/>
          <w:szCs w:val="24"/>
          <w:lang w:eastAsia="zh-CN" w:bidi="hi-IN"/>
        </w:rPr>
        <w:t>.</w:t>
      </w:r>
      <w:r w:rsidRPr="000B73A3">
        <w:rPr>
          <w:rStyle w:val="FootnoteReference"/>
          <w:rFonts w:ascii="Times New Roman" w:eastAsia="WenQuanYi Micro Hei" w:hAnsi="Times New Roman" w:cs="Times New Roman"/>
          <w:color w:val="00000A"/>
          <w:sz w:val="24"/>
          <w:szCs w:val="24"/>
          <w:lang w:eastAsia="zh-CN" w:bidi="hi-IN"/>
        </w:rPr>
        <w:footnoteReference w:id="759"/>
      </w:r>
      <w:r w:rsidRPr="000B73A3">
        <w:rPr>
          <w:rFonts w:ascii="Times New Roman" w:eastAsia="WenQuanYi Micro Hei" w:hAnsi="Times New Roman" w:cs="Times New Roman"/>
          <w:color w:val="00000A"/>
          <w:sz w:val="24"/>
          <w:szCs w:val="24"/>
          <w:lang w:eastAsia="zh-CN" w:bidi="hi-IN"/>
        </w:rPr>
        <w:t xml:space="preserve">   </w:t>
      </w:r>
    </w:p>
    <w:p w:rsidR="00FB1D85" w:rsidRDefault="00272897" w:rsidP="007D22BE">
      <w:pPr>
        <w:pStyle w:val="Heading2"/>
      </w:pPr>
      <w:bookmarkStart w:id="188" w:name="_Toc435428267"/>
      <w:bookmarkStart w:id="189" w:name="_Toc442104235"/>
      <w:r>
        <w:t>F</w:t>
      </w:r>
      <w:r w:rsidR="00D11155">
        <w:t>.</w:t>
      </w:r>
      <w:r w:rsidR="00D11155">
        <w:tab/>
      </w:r>
      <w:r w:rsidR="00281336" w:rsidRPr="000467AB">
        <w:t xml:space="preserve">The considerable uncertainty </w:t>
      </w:r>
      <w:r w:rsidR="00081CC7">
        <w:t xml:space="preserve">and the potential for consumer harm </w:t>
      </w:r>
      <w:r w:rsidR="00281336" w:rsidRPr="000467AB">
        <w:t xml:space="preserve">created by </w:t>
      </w:r>
      <w:r w:rsidR="00281336">
        <w:t>AEP Ohio’s</w:t>
      </w:r>
      <w:r w:rsidR="00281336" w:rsidRPr="000467AB">
        <w:t xml:space="preserve"> </w:t>
      </w:r>
      <w:r w:rsidR="00281336">
        <w:t>PPA Rider</w:t>
      </w:r>
      <w:r w:rsidR="00281336" w:rsidRPr="000467AB">
        <w:t xml:space="preserve"> proposal confronting the </w:t>
      </w:r>
      <w:r w:rsidR="00281336">
        <w:t>PUCO</w:t>
      </w:r>
      <w:r w:rsidR="00281336" w:rsidRPr="000467AB">
        <w:t xml:space="preserve"> in </w:t>
      </w:r>
      <w:r w:rsidR="00281336">
        <w:t>ESP III</w:t>
      </w:r>
      <w:r w:rsidR="00281336" w:rsidRPr="000467AB">
        <w:t xml:space="preserve"> still exists here</w:t>
      </w:r>
      <w:bookmarkEnd w:id="188"/>
      <w:r w:rsidR="00D11155">
        <w:t>.</w:t>
      </w:r>
      <w:bookmarkEnd w:id="189"/>
    </w:p>
    <w:p w:rsidR="002E57F2" w:rsidRDefault="004C0818" w:rsidP="00A574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explained earlier, the PUCO denied AEP Ohio’s PPA Rider proposal in the ESP III case due to the considerable uncertainty </w:t>
      </w:r>
      <w:r w:rsidR="000C18BA">
        <w:rPr>
          <w:rFonts w:ascii="Times New Roman" w:hAnsi="Times New Roman" w:cs="Times New Roman"/>
          <w:sz w:val="24"/>
          <w:szCs w:val="24"/>
        </w:rPr>
        <w:t xml:space="preserve">surrounding the PPA Rider proposal’s costs and purported benefits </w:t>
      </w:r>
      <w:r>
        <w:rPr>
          <w:rFonts w:ascii="Times New Roman" w:hAnsi="Times New Roman" w:cs="Times New Roman"/>
          <w:sz w:val="24"/>
          <w:szCs w:val="24"/>
        </w:rPr>
        <w:t>based on the record evidence before it.</w:t>
      </w:r>
      <w:r>
        <w:rPr>
          <w:rStyle w:val="FootnoteReference"/>
          <w:rFonts w:ascii="Times New Roman" w:hAnsi="Times New Roman" w:cs="Times New Roman"/>
          <w:sz w:val="24"/>
          <w:szCs w:val="24"/>
        </w:rPr>
        <w:footnoteReference w:id="760"/>
      </w:r>
      <w:r>
        <w:rPr>
          <w:rFonts w:ascii="Times New Roman" w:hAnsi="Times New Roman" w:cs="Times New Roman"/>
          <w:sz w:val="24"/>
          <w:szCs w:val="24"/>
        </w:rPr>
        <w:t xml:space="preserve">  The Amended Application</w:t>
      </w:r>
      <w:r w:rsidR="004F3211">
        <w:rPr>
          <w:rFonts w:ascii="Times New Roman" w:hAnsi="Times New Roman" w:cs="Times New Roman"/>
          <w:sz w:val="24"/>
          <w:szCs w:val="24"/>
        </w:rPr>
        <w:t>/Modified Amended Application</w:t>
      </w:r>
      <w:r>
        <w:rPr>
          <w:rFonts w:ascii="Times New Roman" w:hAnsi="Times New Roman" w:cs="Times New Roman"/>
          <w:sz w:val="24"/>
          <w:szCs w:val="24"/>
        </w:rPr>
        <w:t xml:space="preserve"> should be denied </w:t>
      </w:r>
      <w:r w:rsidR="005152E4">
        <w:rPr>
          <w:rFonts w:ascii="Times New Roman" w:hAnsi="Times New Roman" w:cs="Times New Roman"/>
          <w:sz w:val="24"/>
          <w:szCs w:val="24"/>
        </w:rPr>
        <w:t xml:space="preserve">here </w:t>
      </w:r>
      <w:r>
        <w:rPr>
          <w:rFonts w:ascii="Times New Roman" w:hAnsi="Times New Roman" w:cs="Times New Roman"/>
          <w:sz w:val="24"/>
          <w:szCs w:val="24"/>
        </w:rPr>
        <w:t xml:space="preserve">because, at best, the considerable uncertainty that caused the PUCO to reject AEP Ohio’s PPA Rider proposal in ESP III still remains.  </w:t>
      </w:r>
    </w:p>
    <w:p w:rsidR="00944935" w:rsidRDefault="004C0818" w:rsidP="00A574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AEP Ohio Witness Pearce, the PPA Rider’s credit/charge could range anywhere from a </w:t>
      </w:r>
      <w:r w:rsidR="005726D6">
        <w:rPr>
          <w:rFonts w:ascii="Times New Roman" w:hAnsi="Times New Roman" w:cs="Times New Roman"/>
          <w:sz w:val="24"/>
          <w:szCs w:val="24"/>
        </w:rPr>
        <w:t>$927 million charge over the forecast period to a $2 billion credit.</w:t>
      </w:r>
      <w:r w:rsidR="005726D6">
        <w:rPr>
          <w:rStyle w:val="FootnoteReference"/>
          <w:rFonts w:ascii="Times New Roman" w:hAnsi="Times New Roman" w:cs="Times New Roman"/>
          <w:sz w:val="24"/>
          <w:szCs w:val="24"/>
        </w:rPr>
        <w:footnoteReference w:id="761"/>
      </w:r>
      <w:r w:rsidR="005726D6">
        <w:rPr>
          <w:rFonts w:ascii="Times New Roman" w:hAnsi="Times New Roman" w:cs="Times New Roman"/>
          <w:sz w:val="24"/>
          <w:szCs w:val="24"/>
        </w:rPr>
        <w:t xml:space="preserve">  AEP Ohio Witness Vegas admitted that AEP Ohio Witness Pearce’s forecast, like all forecasts, is inherently uncertain.</w:t>
      </w:r>
      <w:r w:rsidR="005726D6">
        <w:rPr>
          <w:rStyle w:val="FootnoteReference"/>
          <w:rFonts w:ascii="Times New Roman" w:hAnsi="Times New Roman" w:cs="Times New Roman"/>
          <w:sz w:val="24"/>
          <w:szCs w:val="24"/>
        </w:rPr>
        <w:footnoteReference w:id="762"/>
      </w:r>
      <w:r w:rsidR="00FC2319">
        <w:rPr>
          <w:rFonts w:ascii="Times New Roman" w:hAnsi="Times New Roman" w:cs="Times New Roman"/>
          <w:sz w:val="24"/>
          <w:szCs w:val="24"/>
        </w:rPr>
        <w:t xml:space="preserve">  In fact, AEP Ohio Witness Vegas acknowledged that:</w:t>
      </w:r>
    </w:p>
    <w:p w:rsidR="00FC2319" w:rsidRDefault="00FC2319" w:rsidP="004220F9">
      <w:pPr>
        <w:spacing w:after="0" w:line="240" w:lineRule="auto"/>
        <w:ind w:left="1440" w:right="720"/>
        <w:rPr>
          <w:rFonts w:ascii="Times New Roman" w:hAnsi="Times New Roman" w:cs="Times New Roman"/>
          <w:sz w:val="24"/>
          <w:szCs w:val="24"/>
        </w:rPr>
      </w:pPr>
      <w:r>
        <w:rPr>
          <w:rFonts w:ascii="Times New Roman" w:hAnsi="Times New Roman" w:cs="Times New Roman"/>
          <w:sz w:val="24"/>
          <w:szCs w:val="24"/>
        </w:rPr>
        <w:t xml:space="preserve">Market conditions change every day.  Forecasts would change every day.  You could run a forecast every day between now and the end of the </w:t>
      </w:r>
      <w:r w:rsidR="00385852">
        <w:rPr>
          <w:rFonts w:ascii="Times New Roman" w:hAnsi="Times New Roman" w:cs="Times New Roman"/>
          <w:sz w:val="24"/>
          <w:szCs w:val="24"/>
        </w:rPr>
        <w:t>year</w:t>
      </w:r>
      <w:r>
        <w:rPr>
          <w:rFonts w:ascii="Times New Roman" w:hAnsi="Times New Roman" w:cs="Times New Roman"/>
          <w:sz w:val="24"/>
          <w:szCs w:val="24"/>
        </w:rPr>
        <w:t xml:space="preserve"> and you’ll get a different outcome in every single one of them.</w:t>
      </w:r>
      <w:r>
        <w:rPr>
          <w:rStyle w:val="FootnoteReference"/>
          <w:rFonts w:ascii="Times New Roman" w:hAnsi="Times New Roman" w:cs="Times New Roman"/>
          <w:sz w:val="24"/>
          <w:szCs w:val="24"/>
        </w:rPr>
        <w:footnoteReference w:id="763"/>
      </w:r>
    </w:p>
    <w:p w:rsidR="00FC2319" w:rsidRDefault="00FC2319" w:rsidP="00A57413">
      <w:pPr>
        <w:spacing w:after="0" w:line="240" w:lineRule="auto"/>
        <w:ind w:right="720"/>
        <w:rPr>
          <w:rFonts w:ascii="Times New Roman" w:hAnsi="Times New Roman" w:cs="Times New Roman"/>
          <w:sz w:val="24"/>
          <w:szCs w:val="24"/>
        </w:rPr>
      </w:pPr>
    </w:p>
    <w:p w:rsidR="005152E4" w:rsidRDefault="00863DC0" w:rsidP="000C6CFB">
      <w:pPr>
        <w:spacing w:after="0" w:line="480" w:lineRule="auto"/>
        <w:rPr>
          <w:rFonts w:ascii="Times New Roman" w:hAnsi="Times New Roman" w:cs="Times New Roman"/>
          <w:sz w:val="24"/>
          <w:szCs w:val="24"/>
        </w:rPr>
      </w:pPr>
      <w:r>
        <w:rPr>
          <w:rFonts w:ascii="Times New Roman" w:hAnsi="Times New Roman" w:cs="Times New Roman"/>
          <w:sz w:val="24"/>
          <w:szCs w:val="24"/>
        </w:rPr>
        <w:t>An</w:t>
      </w:r>
      <w:r w:rsidR="00873919">
        <w:rPr>
          <w:rFonts w:ascii="Times New Roman" w:hAnsi="Times New Roman" w:cs="Times New Roman"/>
          <w:sz w:val="24"/>
          <w:szCs w:val="24"/>
        </w:rPr>
        <w:t xml:space="preserve">d </w:t>
      </w:r>
      <w:r w:rsidR="00E0077D">
        <w:rPr>
          <w:rFonts w:ascii="Times New Roman" w:hAnsi="Times New Roman" w:cs="Times New Roman"/>
          <w:sz w:val="24"/>
          <w:szCs w:val="24"/>
        </w:rPr>
        <w:t xml:space="preserve">even though </w:t>
      </w:r>
      <w:r w:rsidR="00873919">
        <w:rPr>
          <w:rFonts w:ascii="Times New Roman" w:hAnsi="Times New Roman" w:cs="Times New Roman"/>
          <w:sz w:val="24"/>
          <w:szCs w:val="24"/>
        </w:rPr>
        <w:t xml:space="preserve">AEP Ohio’s </w:t>
      </w:r>
      <w:r>
        <w:rPr>
          <w:rFonts w:ascii="Times New Roman" w:hAnsi="Times New Roman" w:cs="Times New Roman"/>
          <w:sz w:val="24"/>
          <w:szCs w:val="24"/>
        </w:rPr>
        <w:t xml:space="preserve">proposals run for the life of the PPA </w:t>
      </w:r>
      <w:r w:rsidR="00385852">
        <w:rPr>
          <w:rFonts w:ascii="Times New Roman" w:hAnsi="Times New Roman" w:cs="Times New Roman"/>
          <w:sz w:val="24"/>
          <w:szCs w:val="24"/>
        </w:rPr>
        <w:t>Units</w:t>
      </w:r>
      <w:r w:rsidR="00281336">
        <w:rPr>
          <w:rFonts w:ascii="Times New Roman" w:hAnsi="Times New Roman" w:cs="Times New Roman"/>
          <w:sz w:val="24"/>
          <w:szCs w:val="24"/>
        </w:rPr>
        <w:t>,</w:t>
      </w:r>
      <w:r>
        <w:rPr>
          <w:rFonts w:ascii="Times New Roman" w:hAnsi="Times New Roman" w:cs="Times New Roman"/>
          <w:sz w:val="24"/>
          <w:szCs w:val="24"/>
        </w:rPr>
        <w:t xml:space="preserve"> it has done no </w:t>
      </w:r>
      <w:r w:rsidR="00C13643">
        <w:rPr>
          <w:rFonts w:ascii="Times New Roman" w:hAnsi="Times New Roman" w:cs="Times New Roman"/>
          <w:sz w:val="24"/>
          <w:szCs w:val="24"/>
        </w:rPr>
        <w:t>projections of the cost/benefits of the PPA Rider beyond 2024.</w:t>
      </w:r>
      <w:r w:rsidR="00C13643">
        <w:rPr>
          <w:rStyle w:val="FootnoteReference"/>
          <w:rFonts w:ascii="Times New Roman" w:hAnsi="Times New Roman" w:cs="Times New Roman"/>
          <w:sz w:val="24"/>
          <w:szCs w:val="24"/>
        </w:rPr>
        <w:footnoteReference w:id="764"/>
      </w:r>
      <w:r w:rsidR="00C13643">
        <w:rPr>
          <w:rFonts w:ascii="Times New Roman" w:hAnsi="Times New Roman" w:cs="Times New Roman"/>
          <w:sz w:val="24"/>
          <w:szCs w:val="24"/>
        </w:rPr>
        <w:t xml:space="preserve">  </w:t>
      </w:r>
    </w:p>
    <w:p w:rsidR="002E57F2" w:rsidRDefault="005152E4" w:rsidP="000C6C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AEP Ohio</w:t>
      </w:r>
      <w:r w:rsidR="00E0077D">
        <w:rPr>
          <w:rFonts w:ascii="Times New Roman" w:hAnsi="Times New Roman" w:cs="Times New Roman"/>
          <w:sz w:val="24"/>
          <w:szCs w:val="24"/>
        </w:rPr>
        <w:t>’s projections</w:t>
      </w:r>
      <w:r w:rsidR="00C13643">
        <w:rPr>
          <w:rFonts w:ascii="Times New Roman" w:hAnsi="Times New Roman" w:cs="Times New Roman"/>
          <w:sz w:val="24"/>
          <w:szCs w:val="24"/>
        </w:rPr>
        <w:t xml:space="preserve"> did not include costs related to the filing, defense, and settlement of claims, suits, and causes of action,</w:t>
      </w:r>
      <w:r w:rsidR="00C13643">
        <w:rPr>
          <w:rStyle w:val="FootnoteReference"/>
          <w:rFonts w:ascii="Times New Roman" w:hAnsi="Times New Roman" w:cs="Times New Roman"/>
          <w:sz w:val="24"/>
          <w:szCs w:val="24"/>
        </w:rPr>
        <w:footnoteReference w:id="765"/>
      </w:r>
      <w:r w:rsidR="00C13643">
        <w:rPr>
          <w:rFonts w:ascii="Times New Roman" w:hAnsi="Times New Roman" w:cs="Times New Roman"/>
          <w:sz w:val="24"/>
          <w:szCs w:val="24"/>
        </w:rPr>
        <w:t xml:space="preserve"> which would include (among other things) requiring AEP Ohio to cover the costs of any governmental penalties assessed against AEPGR due to legal violations at the PPA Units.</w:t>
      </w:r>
      <w:r w:rsidR="00C13643">
        <w:rPr>
          <w:rStyle w:val="FootnoteReference"/>
          <w:rFonts w:ascii="Times New Roman" w:hAnsi="Times New Roman" w:cs="Times New Roman"/>
          <w:sz w:val="24"/>
          <w:szCs w:val="24"/>
        </w:rPr>
        <w:footnoteReference w:id="766"/>
      </w:r>
      <w:r w:rsidR="00C13643">
        <w:rPr>
          <w:rFonts w:ascii="Times New Roman" w:hAnsi="Times New Roman" w:cs="Times New Roman"/>
          <w:sz w:val="24"/>
          <w:szCs w:val="24"/>
        </w:rPr>
        <w:t xml:space="preserve"> </w:t>
      </w:r>
      <w:r w:rsidR="002E72B1">
        <w:rPr>
          <w:rFonts w:ascii="Times New Roman" w:hAnsi="Times New Roman" w:cs="Times New Roman"/>
          <w:sz w:val="24"/>
          <w:szCs w:val="24"/>
        </w:rPr>
        <w:t xml:space="preserve"> </w:t>
      </w:r>
      <w:r w:rsidR="00A539B1">
        <w:rPr>
          <w:rFonts w:ascii="Times New Roman" w:hAnsi="Times New Roman" w:cs="Times New Roman"/>
          <w:sz w:val="24"/>
          <w:szCs w:val="24"/>
        </w:rPr>
        <w:t xml:space="preserve">Nor </w:t>
      </w:r>
      <w:r w:rsidR="00E0077D">
        <w:rPr>
          <w:rFonts w:ascii="Times New Roman" w:hAnsi="Times New Roman" w:cs="Times New Roman"/>
          <w:sz w:val="24"/>
          <w:szCs w:val="24"/>
        </w:rPr>
        <w:t>did</w:t>
      </w:r>
      <w:r w:rsidR="00A539B1">
        <w:rPr>
          <w:rFonts w:ascii="Times New Roman" w:hAnsi="Times New Roman" w:cs="Times New Roman"/>
          <w:sz w:val="24"/>
          <w:szCs w:val="24"/>
        </w:rPr>
        <w:t xml:space="preserve"> the projections include capacity performance penalties.</w:t>
      </w:r>
      <w:r w:rsidR="00A539B1">
        <w:rPr>
          <w:rStyle w:val="FootnoteReference"/>
          <w:rFonts w:ascii="Times New Roman" w:hAnsi="Times New Roman" w:cs="Times New Roman"/>
          <w:sz w:val="24"/>
          <w:szCs w:val="24"/>
        </w:rPr>
        <w:footnoteReference w:id="767"/>
      </w:r>
      <w:r w:rsidR="00A539B1">
        <w:rPr>
          <w:rFonts w:ascii="Times New Roman" w:hAnsi="Times New Roman" w:cs="Times New Roman"/>
          <w:sz w:val="24"/>
          <w:szCs w:val="24"/>
        </w:rPr>
        <w:t xml:space="preserve">  </w:t>
      </w:r>
      <w:r w:rsidR="00522017">
        <w:rPr>
          <w:rFonts w:ascii="Times New Roman" w:hAnsi="Times New Roman" w:cs="Times New Roman"/>
          <w:sz w:val="24"/>
          <w:szCs w:val="24"/>
        </w:rPr>
        <w:t xml:space="preserve">Any of which, if </w:t>
      </w:r>
      <w:r w:rsidR="006F2E2D">
        <w:rPr>
          <w:rFonts w:ascii="Times New Roman" w:hAnsi="Times New Roman" w:cs="Times New Roman"/>
          <w:sz w:val="24"/>
          <w:szCs w:val="24"/>
        </w:rPr>
        <w:t xml:space="preserve">they </w:t>
      </w:r>
      <w:r w:rsidR="00522017">
        <w:rPr>
          <w:rFonts w:ascii="Times New Roman" w:hAnsi="Times New Roman" w:cs="Times New Roman"/>
          <w:sz w:val="24"/>
          <w:szCs w:val="24"/>
        </w:rPr>
        <w:t>materialize, would be charged to consumers.</w:t>
      </w:r>
    </w:p>
    <w:p w:rsidR="00FC2319" w:rsidRDefault="00FC2319" w:rsidP="00AA2EA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Underscoring the uncertainty, OCC Witness Wilson </w:t>
      </w:r>
      <w:r w:rsidR="008137BB">
        <w:rPr>
          <w:rFonts w:ascii="Times New Roman" w:hAnsi="Times New Roman" w:cs="Times New Roman"/>
          <w:sz w:val="24"/>
          <w:szCs w:val="24"/>
        </w:rPr>
        <w:t xml:space="preserve">estimated that </w:t>
      </w:r>
      <w:r>
        <w:rPr>
          <w:rFonts w:ascii="Times New Roman" w:hAnsi="Times New Roman" w:cs="Times New Roman"/>
          <w:sz w:val="24"/>
          <w:szCs w:val="24"/>
        </w:rPr>
        <w:t>AEP Ohio’s PPA Rider proposal will cost customers $2.0 billion over the period forecast by AEP Ohio.</w:t>
      </w:r>
      <w:r>
        <w:rPr>
          <w:rStyle w:val="FootnoteReference"/>
          <w:rFonts w:ascii="Times New Roman" w:hAnsi="Times New Roman" w:cs="Times New Roman"/>
          <w:sz w:val="24"/>
          <w:szCs w:val="24"/>
        </w:rPr>
        <w:footnoteReference w:id="768"/>
      </w:r>
      <w:r w:rsidR="009A3219">
        <w:rPr>
          <w:rFonts w:ascii="Times New Roman" w:hAnsi="Times New Roman" w:cs="Times New Roman"/>
          <w:sz w:val="24"/>
          <w:szCs w:val="24"/>
        </w:rPr>
        <w:t xml:space="preserve">  Importantly, OCC Witness Wilson</w:t>
      </w:r>
      <w:r w:rsidR="008137BB">
        <w:rPr>
          <w:rFonts w:ascii="Times New Roman" w:hAnsi="Times New Roman" w:cs="Times New Roman"/>
          <w:sz w:val="24"/>
          <w:szCs w:val="24"/>
        </w:rPr>
        <w:t>’s cost estimate is not based on a wholesale departure from AEP Ohio’s estimates.  His</w:t>
      </w:r>
      <w:r w:rsidR="009A3219">
        <w:rPr>
          <w:rFonts w:ascii="Times New Roman" w:hAnsi="Times New Roman" w:cs="Times New Roman"/>
          <w:sz w:val="24"/>
          <w:szCs w:val="24"/>
        </w:rPr>
        <w:t xml:space="preserve"> cost estimate </w:t>
      </w:r>
      <w:r w:rsidR="008137BB">
        <w:rPr>
          <w:rFonts w:ascii="Times New Roman" w:hAnsi="Times New Roman" w:cs="Times New Roman"/>
          <w:sz w:val="24"/>
          <w:szCs w:val="24"/>
        </w:rPr>
        <w:t xml:space="preserve">is based </w:t>
      </w:r>
      <w:r w:rsidR="009A3219">
        <w:rPr>
          <w:rFonts w:ascii="Times New Roman" w:hAnsi="Times New Roman" w:cs="Times New Roman"/>
          <w:sz w:val="24"/>
          <w:szCs w:val="24"/>
        </w:rPr>
        <w:t xml:space="preserve">on AEP Ohio’s PPA Rider Forecast, Low Load scenario, with but three changes to reflect reasonably </w:t>
      </w:r>
      <w:r w:rsidR="008137BB">
        <w:rPr>
          <w:rFonts w:ascii="Times New Roman" w:hAnsi="Times New Roman" w:cs="Times New Roman"/>
          <w:sz w:val="24"/>
          <w:szCs w:val="24"/>
        </w:rPr>
        <w:t>likely</w:t>
      </w:r>
      <w:r w:rsidR="009A3219">
        <w:rPr>
          <w:rFonts w:ascii="Times New Roman" w:hAnsi="Times New Roman" w:cs="Times New Roman"/>
          <w:sz w:val="24"/>
          <w:szCs w:val="24"/>
        </w:rPr>
        <w:t xml:space="preserve"> </w:t>
      </w:r>
      <w:r w:rsidR="000C18BA">
        <w:rPr>
          <w:rFonts w:ascii="Times New Roman" w:hAnsi="Times New Roman" w:cs="Times New Roman"/>
          <w:sz w:val="24"/>
          <w:szCs w:val="24"/>
        </w:rPr>
        <w:t xml:space="preserve">price </w:t>
      </w:r>
      <w:r w:rsidR="009A3219">
        <w:rPr>
          <w:rFonts w:ascii="Times New Roman" w:hAnsi="Times New Roman" w:cs="Times New Roman"/>
          <w:sz w:val="24"/>
          <w:szCs w:val="24"/>
        </w:rPr>
        <w:t>outcomes in the energy and capacity markets.</w:t>
      </w:r>
      <w:r w:rsidR="009A3219">
        <w:rPr>
          <w:rStyle w:val="FootnoteReference"/>
          <w:rFonts w:ascii="Times New Roman" w:hAnsi="Times New Roman" w:cs="Times New Roman"/>
          <w:sz w:val="24"/>
          <w:szCs w:val="24"/>
        </w:rPr>
        <w:footnoteReference w:id="769"/>
      </w:r>
      <w:r w:rsidR="005824F4">
        <w:rPr>
          <w:rFonts w:ascii="Times New Roman" w:hAnsi="Times New Roman" w:cs="Times New Roman"/>
          <w:sz w:val="24"/>
          <w:szCs w:val="24"/>
        </w:rPr>
        <w:t xml:space="preserve"> </w:t>
      </w:r>
      <w:r w:rsidR="002E72B1">
        <w:rPr>
          <w:rFonts w:ascii="Times New Roman" w:hAnsi="Times New Roman" w:cs="Times New Roman"/>
          <w:sz w:val="24"/>
          <w:szCs w:val="24"/>
        </w:rPr>
        <w:t xml:space="preserve"> </w:t>
      </w:r>
      <w:r w:rsidR="005824F4">
        <w:rPr>
          <w:rFonts w:ascii="Times New Roman" w:hAnsi="Times New Roman" w:cs="Times New Roman"/>
          <w:sz w:val="24"/>
          <w:szCs w:val="24"/>
        </w:rPr>
        <w:t>The very substantial difference between AEP Ohio’s forecasts, and between AEP Ohio’s forecasts and OCC Witness Wilson’s, serves to highlight for the PUCO the uncertainty involved in AEP Ohio’s Amended Application</w:t>
      </w:r>
      <w:r w:rsidR="00A240D9">
        <w:rPr>
          <w:rFonts w:ascii="Times New Roman" w:hAnsi="Times New Roman" w:cs="Times New Roman"/>
          <w:sz w:val="24"/>
          <w:szCs w:val="24"/>
        </w:rPr>
        <w:t>/Modified Amended Application</w:t>
      </w:r>
      <w:r w:rsidR="005824F4">
        <w:rPr>
          <w:rFonts w:ascii="Times New Roman" w:hAnsi="Times New Roman" w:cs="Times New Roman"/>
          <w:sz w:val="24"/>
          <w:szCs w:val="24"/>
        </w:rPr>
        <w:t>.</w:t>
      </w:r>
    </w:p>
    <w:p w:rsidR="00281336" w:rsidRDefault="000C18BA" w:rsidP="00AA2EA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Consistent with the uncertainty about the potential </w:t>
      </w:r>
      <w:r w:rsidR="00863DC0">
        <w:rPr>
          <w:rFonts w:ascii="Times New Roman" w:hAnsi="Times New Roman" w:cs="Times New Roman"/>
          <w:sz w:val="24"/>
          <w:szCs w:val="24"/>
        </w:rPr>
        <w:t>financial ramifications</w:t>
      </w:r>
      <w:r>
        <w:rPr>
          <w:rFonts w:ascii="Times New Roman" w:hAnsi="Times New Roman" w:cs="Times New Roman"/>
          <w:sz w:val="24"/>
          <w:szCs w:val="24"/>
        </w:rPr>
        <w:t xml:space="preserve"> of the PPA Rider is the uncertainty surrounding one of the alleged primary </w:t>
      </w:r>
      <w:r w:rsidRPr="00863DC0">
        <w:rPr>
          <w:rFonts w:ascii="Times New Roman" w:hAnsi="Times New Roman" w:cs="Times New Roman"/>
          <w:sz w:val="24"/>
          <w:szCs w:val="24"/>
        </w:rPr>
        <w:t>benefits</w:t>
      </w:r>
      <w:r>
        <w:rPr>
          <w:rFonts w:ascii="Times New Roman" w:hAnsi="Times New Roman" w:cs="Times New Roman"/>
          <w:sz w:val="24"/>
          <w:szCs w:val="24"/>
        </w:rPr>
        <w:t xml:space="preserve"> of the PPA Rider – reducing volatility and smoothing out rates.</w:t>
      </w:r>
      <w:r>
        <w:rPr>
          <w:rStyle w:val="FootnoteReference"/>
          <w:rFonts w:ascii="Times New Roman" w:hAnsi="Times New Roman" w:cs="Times New Roman"/>
          <w:sz w:val="24"/>
          <w:szCs w:val="24"/>
        </w:rPr>
        <w:footnoteReference w:id="770"/>
      </w:r>
      <w:r w:rsidR="00DC7E90">
        <w:rPr>
          <w:rFonts w:ascii="Times New Roman" w:hAnsi="Times New Roman" w:cs="Times New Roman"/>
          <w:sz w:val="24"/>
          <w:szCs w:val="24"/>
        </w:rPr>
        <w:t xml:space="preserve">  AEP Ohio did no quantitative analysis to determine the monetary value of the alleged benefits of smoothing the volatility</w:t>
      </w:r>
      <w:r w:rsidR="00F96CC1">
        <w:rPr>
          <w:rFonts w:ascii="Times New Roman" w:hAnsi="Times New Roman" w:cs="Times New Roman"/>
          <w:sz w:val="24"/>
          <w:szCs w:val="24"/>
        </w:rPr>
        <w:t xml:space="preserve"> (assuming the PPAs actually could smooth out and not exacerbate volatility)</w:t>
      </w:r>
      <w:r w:rsidR="00DC7E90">
        <w:rPr>
          <w:rFonts w:ascii="Times New Roman" w:hAnsi="Times New Roman" w:cs="Times New Roman"/>
          <w:sz w:val="24"/>
          <w:szCs w:val="24"/>
        </w:rPr>
        <w:t>.</w:t>
      </w:r>
      <w:r w:rsidR="00DC7E90">
        <w:rPr>
          <w:rStyle w:val="FootnoteReference"/>
          <w:rFonts w:ascii="Times New Roman" w:hAnsi="Times New Roman" w:cs="Times New Roman"/>
          <w:sz w:val="24"/>
          <w:szCs w:val="24"/>
        </w:rPr>
        <w:footnoteReference w:id="771"/>
      </w:r>
      <w:r w:rsidR="00DC7E90">
        <w:rPr>
          <w:rFonts w:ascii="Times New Roman" w:hAnsi="Times New Roman" w:cs="Times New Roman"/>
          <w:sz w:val="24"/>
          <w:szCs w:val="24"/>
        </w:rPr>
        <w:t xml:space="preserve">  </w:t>
      </w:r>
      <w:r w:rsidR="00442694">
        <w:rPr>
          <w:rFonts w:ascii="Times New Roman" w:hAnsi="Times New Roman" w:cs="Times New Roman"/>
          <w:sz w:val="24"/>
          <w:szCs w:val="24"/>
        </w:rPr>
        <w:t>AEP Ohio cannot even point to any information in the record showing that AEP Ohio’s SSO customers have experienced retail rate volatility.</w:t>
      </w:r>
      <w:r w:rsidR="00442694">
        <w:rPr>
          <w:rStyle w:val="FootnoteReference"/>
          <w:rFonts w:ascii="Times New Roman" w:hAnsi="Times New Roman" w:cs="Times New Roman"/>
          <w:sz w:val="24"/>
          <w:szCs w:val="24"/>
        </w:rPr>
        <w:footnoteReference w:id="772"/>
      </w:r>
      <w:r w:rsidR="00442694">
        <w:rPr>
          <w:rFonts w:ascii="Times New Roman" w:hAnsi="Times New Roman" w:cs="Times New Roman"/>
          <w:sz w:val="24"/>
          <w:szCs w:val="24"/>
        </w:rPr>
        <w:t xml:space="preserve">  </w:t>
      </w:r>
      <w:r w:rsidR="00965423">
        <w:rPr>
          <w:rFonts w:ascii="Times New Roman" w:hAnsi="Times New Roman" w:cs="Times New Roman"/>
          <w:sz w:val="24"/>
          <w:szCs w:val="24"/>
        </w:rPr>
        <w:t>In fact, given al</w:t>
      </w:r>
      <w:r w:rsidR="009D5B27">
        <w:rPr>
          <w:rFonts w:ascii="Times New Roman" w:hAnsi="Times New Roman" w:cs="Times New Roman"/>
          <w:sz w:val="24"/>
          <w:szCs w:val="24"/>
        </w:rPr>
        <w:t xml:space="preserve">l the forecasts, true-ups, over </w:t>
      </w:r>
      <w:r w:rsidR="00965423">
        <w:rPr>
          <w:rFonts w:ascii="Times New Roman" w:hAnsi="Times New Roman" w:cs="Times New Roman"/>
          <w:sz w:val="24"/>
          <w:szCs w:val="24"/>
        </w:rPr>
        <w:t>an</w:t>
      </w:r>
      <w:r w:rsidR="009D5B27">
        <w:rPr>
          <w:rFonts w:ascii="Times New Roman" w:hAnsi="Times New Roman" w:cs="Times New Roman"/>
          <w:sz w:val="24"/>
          <w:szCs w:val="24"/>
        </w:rPr>
        <w:t xml:space="preserve">d </w:t>
      </w:r>
      <w:r w:rsidR="00965423">
        <w:rPr>
          <w:rFonts w:ascii="Times New Roman" w:hAnsi="Times New Roman" w:cs="Times New Roman"/>
          <w:sz w:val="24"/>
          <w:szCs w:val="24"/>
        </w:rPr>
        <w:t>under collection adjustments and</w:t>
      </w:r>
      <w:r w:rsidR="009D5B27">
        <w:rPr>
          <w:rFonts w:ascii="Times New Roman" w:hAnsi="Times New Roman" w:cs="Times New Roman"/>
          <w:sz w:val="24"/>
          <w:szCs w:val="24"/>
        </w:rPr>
        <w:t xml:space="preserve"> yearly/quarterly reconciliations,</w:t>
      </w:r>
      <w:r w:rsidR="00965423">
        <w:rPr>
          <w:rFonts w:ascii="Times New Roman" w:hAnsi="Times New Roman" w:cs="Times New Roman"/>
          <w:sz w:val="24"/>
          <w:szCs w:val="24"/>
        </w:rPr>
        <w:t xml:space="preserve"> </w:t>
      </w:r>
      <w:r w:rsidR="00E0077D">
        <w:rPr>
          <w:rFonts w:ascii="Times New Roman" w:hAnsi="Times New Roman" w:cs="Times New Roman"/>
          <w:sz w:val="24"/>
          <w:szCs w:val="24"/>
        </w:rPr>
        <w:t>it is more likely that</w:t>
      </w:r>
      <w:r w:rsidR="00965423">
        <w:rPr>
          <w:rFonts w:ascii="Times New Roman" w:hAnsi="Times New Roman" w:cs="Times New Roman"/>
          <w:sz w:val="24"/>
          <w:szCs w:val="24"/>
        </w:rPr>
        <w:t xml:space="preserve"> AEP Ohio’s PPA Rider proposal</w:t>
      </w:r>
      <w:r w:rsidR="00E0077D">
        <w:rPr>
          <w:rFonts w:ascii="Times New Roman" w:hAnsi="Times New Roman" w:cs="Times New Roman"/>
          <w:sz w:val="24"/>
          <w:szCs w:val="24"/>
        </w:rPr>
        <w:t xml:space="preserve"> will increase rate volatility</w:t>
      </w:r>
      <w:r w:rsidR="00965423">
        <w:rPr>
          <w:rFonts w:ascii="Times New Roman" w:hAnsi="Times New Roman" w:cs="Times New Roman"/>
          <w:sz w:val="24"/>
          <w:szCs w:val="24"/>
        </w:rPr>
        <w:t xml:space="preserve">.  </w:t>
      </w:r>
    </w:p>
    <w:p w:rsidR="000C18BA" w:rsidRDefault="00DC7E90" w:rsidP="0028133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w:t>
      </w:r>
      <w:r w:rsidR="00E0077D">
        <w:rPr>
          <w:rFonts w:ascii="Times New Roman" w:hAnsi="Times New Roman" w:cs="Times New Roman"/>
          <w:sz w:val="24"/>
          <w:szCs w:val="24"/>
        </w:rPr>
        <w:t>AEP Ohio</w:t>
      </w:r>
      <w:r>
        <w:rPr>
          <w:rFonts w:ascii="Times New Roman" w:hAnsi="Times New Roman" w:cs="Times New Roman"/>
          <w:sz w:val="24"/>
          <w:szCs w:val="24"/>
        </w:rPr>
        <w:t xml:space="preserve"> asserted that the PPA Rider would act as a hedge, it did not quantitatively evaluate the value of the hedge.</w:t>
      </w:r>
      <w:r>
        <w:rPr>
          <w:rStyle w:val="FootnoteReference"/>
          <w:rFonts w:ascii="Times New Roman" w:hAnsi="Times New Roman" w:cs="Times New Roman"/>
          <w:sz w:val="24"/>
          <w:szCs w:val="24"/>
        </w:rPr>
        <w:footnoteReference w:id="773"/>
      </w:r>
      <w:r w:rsidR="00BD6976">
        <w:rPr>
          <w:rFonts w:ascii="Times New Roman" w:hAnsi="Times New Roman" w:cs="Times New Roman"/>
          <w:sz w:val="24"/>
          <w:szCs w:val="24"/>
        </w:rPr>
        <w:t xml:space="preserve">  Staff itself has acknowledged the uncertainty of whether the PPA Rider will result in a </w:t>
      </w:r>
      <w:r w:rsidR="001E237E">
        <w:rPr>
          <w:rFonts w:ascii="Times New Roman" w:hAnsi="Times New Roman" w:cs="Times New Roman"/>
          <w:sz w:val="24"/>
          <w:szCs w:val="24"/>
        </w:rPr>
        <w:t>charge or credit to customers and is unwilling to guarantee that the PPA Rider will be a net financial benefit to customers.</w:t>
      </w:r>
      <w:r w:rsidR="001E237E">
        <w:rPr>
          <w:rStyle w:val="FootnoteReference"/>
          <w:rFonts w:ascii="Times New Roman" w:hAnsi="Times New Roman" w:cs="Times New Roman"/>
          <w:sz w:val="24"/>
          <w:szCs w:val="24"/>
        </w:rPr>
        <w:footnoteReference w:id="774"/>
      </w:r>
    </w:p>
    <w:p w:rsidR="00281336" w:rsidRDefault="00281336" w:rsidP="0028133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denied AEP Ohio’s initial attempt at a PPA Rider due to uncertainty.  The Amended Application</w:t>
      </w:r>
      <w:r w:rsidR="00A240D9">
        <w:rPr>
          <w:rFonts w:ascii="Times New Roman" w:hAnsi="Times New Roman" w:cs="Times New Roman"/>
          <w:sz w:val="24"/>
          <w:szCs w:val="24"/>
        </w:rPr>
        <w:t>/Modified Amended Application</w:t>
      </w:r>
      <w:r>
        <w:rPr>
          <w:rFonts w:ascii="Times New Roman" w:hAnsi="Times New Roman" w:cs="Times New Roman"/>
          <w:sz w:val="24"/>
          <w:szCs w:val="24"/>
        </w:rPr>
        <w:t xml:space="preserve"> and the record evidence have done nothing to </w:t>
      </w:r>
      <w:r w:rsidR="00E0077D">
        <w:rPr>
          <w:rFonts w:ascii="Times New Roman" w:hAnsi="Times New Roman" w:cs="Times New Roman"/>
          <w:sz w:val="24"/>
          <w:szCs w:val="24"/>
        </w:rPr>
        <w:t>resolve</w:t>
      </w:r>
      <w:r>
        <w:rPr>
          <w:rFonts w:ascii="Times New Roman" w:hAnsi="Times New Roman" w:cs="Times New Roman"/>
          <w:sz w:val="24"/>
          <w:szCs w:val="24"/>
        </w:rPr>
        <w:t xml:space="preserve"> that uncertainty.  Accordingly, the Amended Application</w:t>
      </w:r>
      <w:r w:rsidR="00A240D9">
        <w:rPr>
          <w:rFonts w:ascii="Times New Roman" w:hAnsi="Times New Roman" w:cs="Times New Roman"/>
          <w:sz w:val="24"/>
          <w:szCs w:val="24"/>
        </w:rPr>
        <w:t>/Modified Amended Application</w:t>
      </w:r>
      <w:r>
        <w:rPr>
          <w:rFonts w:ascii="Times New Roman" w:hAnsi="Times New Roman" w:cs="Times New Roman"/>
          <w:sz w:val="24"/>
          <w:szCs w:val="24"/>
        </w:rPr>
        <w:t xml:space="preserve"> should be denied.</w:t>
      </w:r>
    </w:p>
    <w:p w:rsidR="00EE4742" w:rsidRDefault="00272897" w:rsidP="007D22BE">
      <w:pPr>
        <w:pStyle w:val="Heading2"/>
      </w:pPr>
      <w:bookmarkStart w:id="190" w:name="_Toc435428268"/>
      <w:bookmarkStart w:id="191" w:name="_Toc442104236"/>
      <w:r>
        <w:t>G</w:t>
      </w:r>
      <w:r w:rsidR="00D11155">
        <w:t>.</w:t>
      </w:r>
      <w:r w:rsidR="00D11155">
        <w:tab/>
      </w:r>
      <w:r w:rsidR="00281336">
        <w:t xml:space="preserve">Staff’s </w:t>
      </w:r>
      <w:r w:rsidR="00281336" w:rsidRPr="000467AB">
        <w:t>alternative recommendations hav</w:t>
      </w:r>
      <w:r w:rsidR="00281336">
        <w:t xml:space="preserve">e the same problems underlying Staff’s </w:t>
      </w:r>
      <w:r w:rsidR="00281336" w:rsidRPr="000467AB">
        <w:t xml:space="preserve">recommendation to deny the </w:t>
      </w:r>
      <w:r w:rsidR="00281336">
        <w:t>A</w:t>
      </w:r>
      <w:r w:rsidR="00281336" w:rsidRPr="000467AB">
        <w:t xml:space="preserve">mended </w:t>
      </w:r>
      <w:r w:rsidR="00281336">
        <w:t>A</w:t>
      </w:r>
      <w:r w:rsidR="00281336" w:rsidRPr="000467AB">
        <w:t>pplication</w:t>
      </w:r>
      <w:bookmarkEnd w:id="190"/>
      <w:r w:rsidR="00D11155">
        <w:t>.</w:t>
      </w:r>
      <w:bookmarkEnd w:id="191"/>
    </w:p>
    <w:p w:rsidR="00336B26" w:rsidRDefault="00336B26" w:rsidP="00A574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PUCO </w:t>
      </w:r>
      <w:r w:rsidR="009F04E9" w:rsidRPr="004D66AC">
        <w:rPr>
          <w:rFonts w:ascii="Times New Roman" w:hAnsi="Times New Roman" w:cs="Times New Roman"/>
          <w:sz w:val="24"/>
          <w:szCs w:val="24"/>
        </w:rPr>
        <w:t>Staff</w:t>
      </w:r>
      <w:r>
        <w:rPr>
          <w:rFonts w:ascii="Times New Roman" w:hAnsi="Times New Roman" w:cs="Times New Roman"/>
          <w:sz w:val="24"/>
          <w:szCs w:val="24"/>
        </w:rPr>
        <w:t>’s original and best recommendation for the PUCO’s protection of Ohioans was its opposition to AEP Ohio’s PPA proposal.  The Staff</w:t>
      </w:r>
      <w:r w:rsidR="009F04E9" w:rsidRPr="004D66AC">
        <w:rPr>
          <w:rFonts w:ascii="Times New Roman" w:hAnsi="Times New Roman" w:cs="Times New Roman"/>
          <w:sz w:val="24"/>
          <w:szCs w:val="24"/>
        </w:rPr>
        <w:t xml:space="preserve"> opposed the PPA Rider in ESP III and </w:t>
      </w:r>
      <w:r w:rsidR="00A240D9">
        <w:rPr>
          <w:rFonts w:ascii="Times New Roman" w:hAnsi="Times New Roman" w:cs="Times New Roman"/>
          <w:sz w:val="24"/>
          <w:szCs w:val="24"/>
        </w:rPr>
        <w:t>did</w:t>
      </w:r>
      <w:r w:rsidR="009F04E9" w:rsidRPr="004D66AC">
        <w:rPr>
          <w:rFonts w:ascii="Times New Roman" w:hAnsi="Times New Roman" w:cs="Times New Roman"/>
          <w:sz w:val="24"/>
          <w:szCs w:val="24"/>
        </w:rPr>
        <w:t xml:space="preserve"> so again here</w:t>
      </w:r>
      <w:r w:rsidR="00A240D9">
        <w:rPr>
          <w:rFonts w:ascii="Times New Roman" w:hAnsi="Times New Roman" w:cs="Times New Roman"/>
          <w:sz w:val="24"/>
          <w:szCs w:val="24"/>
        </w:rPr>
        <w:t xml:space="preserve"> during the first phase of this proceeding</w:t>
      </w:r>
      <w:r w:rsidR="009F04E9" w:rsidRPr="004D66AC">
        <w:rPr>
          <w:rFonts w:ascii="Times New Roman" w:hAnsi="Times New Roman" w:cs="Times New Roman"/>
          <w:sz w:val="24"/>
          <w:szCs w:val="24"/>
        </w:rPr>
        <w:t>.</w:t>
      </w:r>
      <w:r w:rsidR="009F04E9">
        <w:rPr>
          <w:rStyle w:val="FootnoteReference"/>
          <w:rFonts w:ascii="Times New Roman" w:hAnsi="Times New Roman" w:cs="Times New Roman"/>
          <w:sz w:val="24"/>
          <w:szCs w:val="24"/>
        </w:rPr>
        <w:footnoteReference w:id="775"/>
      </w:r>
      <w:r w:rsidR="004D66AC" w:rsidRPr="004D66AC">
        <w:rPr>
          <w:rFonts w:ascii="Times New Roman" w:hAnsi="Times New Roman" w:cs="Times New Roman"/>
          <w:sz w:val="24"/>
          <w:szCs w:val="24"/>
        </w:rPr>
        <w:t xml:space="preserve">  </w:t>
      </w:r>
    </w:p>
    <w:p w:rsidR="00A44086" w:rsidRDefault="004D66AC" w:rsidP="00A57413">
      <w:pPr>
        <w:spacing w:after="0" w:line="480" w:lineRule="auto"/>
        <w:ind w:firstLine="720"/>
        <w:rPr>
          <w:rFonts w:ascii="Times New Roman" w:hAnsi="Times New Roman" w:cs="Times New Roman"/>
          <w:sz w:val="24"/>
          <w:szCs w:val="24"/>
        </w:rPr>
      </w:pPr>
      <w:r w:rsidRPr="004D66AC">
        <w:rPr>
          <w:rFonts w:ascii="Times New Roman" w:hAnsi="Times New Roman" w:cs="Times New Roman"/>
          <w:sz w:val="24"/>
          <w:szCs w:val="24"/>
        </w:rPr>
        <w:t xml:space="preserve">If the PUCO finds that the PPA Rider proposed </w:t>
      </w:r>
      <w:r w:rsidR="00A240D9">
        <w:rPr>
          <w:rFonts w:ascii="Times New Roman" w:hAnsi="Times New Roman" w:cs="Times New Roman"/>
          <w:sz w:val="24"/>
          <w:szCs w:val="24"/>
        </w:rPr>
        <w:t>in the Amended Application</w:t>
      </w:r>
      <w:r w:rsidRPr="004D66AC">
        <w:rPr>
          <w:rFonts w:ascii="Times New Roman" w:hAnsi="Times New Roman" w:cs="Times New Roman"/>
          <w:sz w:val="24"/>
          <w:szCs w:val="24"/>
        </w:rPr>
        <w:t xml:space="preserve"> is in the public interest, Staff has proposed an alternative based on the necessary conditions that the PUCO set in its ESP III Opinion and Order.</w:t>
      </w:r>
      <w:r>
        <w:rPr>
          <w:rStyle w:val="FootnoteReference"/>
          <w:rFonts w:ascii="Times New Roman" w:hAnsi="Times New Roman" w:cs="Times New Roman"/>
          <w:sz w:val="24"/>
          <w:szCs w:val="24"/>
        </w:rPr>
        <w:footnoteReference w:id="776"/>
      </w:r>
      <w:r>
        <w:rPr>
          <w:rFonts w:ascii="Times New Roman" w:hAnsi="Times New Roman" w:cs="Times New Roman"/>
          <w:sz w:val="24"/>
          <w:szCs w:val="24"/>
        </w:rPr>
        <w:t xml:space="preserve">  </w:t>
      </w:r>
      <w:r w:rsidR="00A44086">
        <w:rPr>
          <w:rFonts w:ascii="Times New Roman" w:hAnsi="Times New Roman" w:cs="Times New Roman"/>
          <w:sz w:val="24"/>
          <w:szCs w:val="24"/>
        </w:rPr>
        <w:t>Staff acknowledges that its alternative proposal is not an exhaustive list of factors that the PUCO should consider.</w:t>
      </w:r>
      <w:r w:rsidR="00A44086">
        <w:rPr>
          <w:rStyle w:val="FootnoteReference"/>
          <w:rFonts w:ascii="Times New Roman" w:hAnsi="Times New Roman" w:cs="Times New Roman"/>
          <w:sz w:val="24"/>
          <w:szCs w:val="24"/>
        </w:rPr>
        <w:footnoteReference w:id="777"/>
      </w:r>
      <w:r w:rsidR="00A44086">
        <w:rPr>
          <w:rFonts w:ascii="Times New Roman" w:hAnsi="Times New Roman" w:cs="Times New Roman"/>
          <w:sz w:val="24"/>
          <w:szCs w:val="24"/>
        </w:rPr>
        <w:t xml:space="preserve">  Similarly, Staff acknowledges that meeting all of the factors in its alternative proposal does not, and should not, guarantee adoption were AEP Ohio to agree to the alternative proposal.</w:t>
      </w:r>
      <w:r w:rsidR="00A44086">
        <w:rPr>
          <w:rStyle w:val="FootnoteReference"/>
          <w:rFonts w:ascii="Times New Roman" w:hAnsi="Times New Roman" w:cs="Times New Roman"/>
          <w:sz w:val="24"/>
          <w:szCs w:val="24"/>
        </w:rPr>
        <w:footnoteReference w:id="778"/>
      </w:r>
      <w:r w:rsidR="00A44086">
        <w:rPr>
          <w:rFonts w:ascii="Times New Roman" w:hAnsi="Times New Roman" w:cs="Times New Roman"/>
          <w:sz w:val="24"/>
          <w:szCs w:val="24"/>
        </w:rPr>
        <w:t xml:space="preserve">  Most significantly, Staff acknowledges that the problems underlying its recommendation to deny the Amended Application also underlie its alternative proposal.</w:t>
      </w:r>
    </w:p>
    <w:p w:rsidR="00991A7F" w:rsidRDefault="00970DDE" w:rsidP="00941ED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Limiting the duration of the PPA Rider to the term of ESP III would still represent a move away from a fully competitive and fully functioning generation market.</w:t>
      </w:r>
      <w:r>
        <w:rPr>
          <w:rStyle w:val="FootnoteReference"/>
          <w:rFonts w:ascii="Times New Roman" w:hAnsi="Times New Roman" w:cs="Times New Roman"/>
          <w:sz w:val="24"/>
          <w:szCs w:val="24"/>
        </w:rPr>
        <w:footnoteReference w:id="779"/>
      </w:r>
      <w:r>
        <w:rPr>
          <w:rFonts w:ascii="Times New Roman" w:hAnsi="Times New Roman" w:cs="Times New Roman"/>
          <w:sz w:val="24"/>
          <w:szCs w:val="24"/>
        </w:rPr>
        <w:t xml:space="preserve">  Further, Staff’s alternative proposal regarding information sharing, a risk-sharing mechanism,</w:t>
      </w:r>
      <w:r w:rsidR="00CB07BF">
        <w:rPr>
          <w:rFonts w:ascii="Times New Roman" w:hAnsi="Times New Roman" w:cs="Times New Roman"/>
          <w:sz w:val="24"/>
          <w:szCs w:val="24"/>
        </w:rPr>
        <w:t xml:space="preserve"> and rigorous PUCO review are items to which AEPGR would have to agree.</w:t>
      </w:r>
      <w:r w:rsidR="00CB07BF">
        <w:rPr>
          <w:rStyle w:val="FootnoteReference"/>
          <w:rFonts w:ascii="Times New Roman" w:hAnsi="Times New Roman" w:cs="Times New Roman"/>
          <w:sz w:val="24"/>
          <w:szCs w:val="24"/>
        </w:rPr>
        <w:footnoteReference w:id="780"/>
      </w:r>
      <w:r w:rsidR="00CB07BF">
        <w:rPr>
          <w:rFonts w:ascii="Times New Roman" w:hAnsi="Times New Roman" w:cs="Times New Roman"/>
          <w:sz w:val="24"/>
          <w:szCs w:val="24"/>
        </w:rPr>
        <w:t xml:space="preserve">  Such items would </w:t>
      </w:r>
      <w:r>
        <w:rPr>
          <w:rFonts w:ascii="Times New Roman" w:hAnsi="Times New Roman" w:cs="Times New Roman"/>
          <w:sz w:val="24"/>
          <w:szCs w:val="24"/>
        </w:rPr>
        <w:t>have to be incorporated as condition</w:t>
      </w:r>
      <w:r w:rsidR="00CB07BF">
        <w:rPr>
          <w:rFonts w:ascii="Times New Roman" w:hAnsi="Times New Roman" w:cs="Times New Roman"/>
          <w:sz w:val="24"/>
          <w:szCs w:val="24"/>
        </w:rPr>
        <w:t>s</w:t>
      </w:r>
      <w:r>
        <w:rPr>
          <w:rFonts w:ascii="Times New Roman" w:hAnsi="Times New Roman" w:cs="Times New Roman"/>
          <w:sz w:val="24"/>
          <w:szCs w:val="24"/>
        </w:rPr>
        <w:t xml:space="preserve"> in contract</w:t>
      </w:r>
      <w:r w:rsidR="00CB07BF">
        <w:rPr>
          <w:rFonts w:ascii="Times New Roman" w:hAnsi="Times New Roman" w:cs="Times New Roman"/>
          <w:sz w:val="24"/>
          <w:szCs w:val="24"/>
        </w:rPr>
        <w:t>s – the PPAs –</w:t>
      </w:r>
      <w:r>
        <w:rPr>
          <w:rFonts w:ascii="Times New Roman" w:hAnsi="Times New Roman" w:cs="Times New Roman"/>
          <w:sz w:val="24"/>
          <w:szCs w:val="24"/>
        </w:rPr>
        <w:t xml:space="preserve"> over which the PUCO has no </w:t>
      </w:r>
      <w:r w:rsidR="00F42B3E">
        <w:rPr>
          <w:rFonts w:ascii="Times New Roman" w:hAnsi="Times New Roman" w:cs="Times New Roman"/>
          <w:sz w:val="24"/>
          <w:szCs w:val="24"/>
        </w:rPr>
        <w:t xml:space="preserve">subject matter </w:t>
      </w:r>
      <w:r>
        <w:rPr>
          <w:rFonts w:ascii="Times New Roman" w:hAnsi="Times New Roman" w:cs="Times New Roman"/>
          <w:sz w:val="24"/>
          <w:szCs w:val="24"/>
        </w:rPr>
        <w:t>jurisdiction and agreed to</w:t>
      </w:r>
      <w:r w:rsidR="00CB07BF">
        <w:rPr>
          <w:rFonts w:ascii="Times New Roman" w:hAnsi="Times New Roman" w:cs="Times New Roman"/>
          <w:sz w:val="24"/>
          <w:szCs w:val="24"/>
        </w:rPr>
        <w:t xml:space="preserve"> by a party – AEPGR – over </w:t>
      </w:r>
      <w:r w:rsidR="00F42B3E">
        <w:rPr>
          <w:rFonts w:ascii="Times New Roman" w:hAnsi="Times New Roman" w:cs="Times New Roman"/>
          <w:sz w:val="24"/>
          <w:szCs w:val="24"/>
        </w:rPr>
        <w:t>whose operations</w:t>
      </w:r>
      <w:r w:rsidR="00CB07BF">
        <w:rPr>
          <w:rFonts w:ascii="Times New Roman" w:hAnsi="Times New Roman" w:cs="Times New Roman"/>
          <w:sz w:val="24"/>
          <w:szCs w:val="24"/>
        </w:rPr>
        <w:t xml:space="preserve"> the PUCO has no </w:t>
      </w:r>
      <w:r w:rsidR="00F42B3E">
        <w:rPr>
          <w:rFonts w:ascii="Times New Roman" w:hAnsi="Times New Roman" w:cs="Times New Roman"/>
          <w:sz w:val="24"/>
          <w:szCs w:val="24"/>
        </w:rPr>
        <w:t xml:space="preserve">subject matter </w:t>
      </w:r>
      <w:r w:rsidR="00CB07BF">
        <w:rPr>
          <w:rFonts w:ascii="Times New Roman" w:hAnsi="Times New Roman" w:cs="Times New Roman"/>
          <w:sz w:val="24"/>
          <w:szCs w:val="24"/>
        </w:rPr>
        <w:t>jurisdiction.</w:t>
      </w:r>
      <w:r w:rsidR="00CB07BF">
        <w:rPr>
          <w:rStyle w:val="FootnoteReference"/>
          <w:rFonts w:ascii="Times New Roman" w:hAnsi="Times New Roman" w:cs="Times New Roman"/>
          <w:sz w:val="24"/>
          <w:szCs w:val="24"/>
        </w:rPr>
        <w:footnoteReference w:id="781"/>
      </w:r>
      <w:r w:rsidR="00F42B3E">
        <w:rPr>
          <w:rFonts w:ascii="Times New Roman" w:hAnsi="Times New Roman" w:cs="Times New Roman"/>
          <w:sz w:val="24"/>
          <w:szCs w:val="24"/>
        </w:rPr>
        <w:t xml:space="preserve">  </w:t>
      </w:r>
      <w:r w:rsidR="00F96CC1">
        <w:rPr>
          <w:rFonts w:ascii="Times New Roman" w:hAnsi="Times New Roman" w:cs="Times New Roman"/>
          <w:sz w:val="24"/>
          <w:szCs w:val="24"/>
        </w:rPr>
        <w:t>Because</w:t>
      </w:r>
      <w:r w:rsidR="00F42B3E">
        <w:rPr>
          <w:rFonts w:ascii="Times New Roman" w:hAnsi="Times New Roman" w:cs="Times New Roman"/>
          <w:sz w:val="24"/>
          <w:szCs w:val="24"/>
        </w:rPr>
        <w:t xml:space="preserve"> subject matter jurisdiction cannot be conferred by agreement if it is otherwise lacking, none of these items in Staff’s alternative proposal would create any legally enforceable right </w:t>
      </w:r>
      <w:r w:rsidR="00991A7F">
        <w:rPr>
          <w:rFonts w:ascii="Times New Roman" w:hAnsi="Times New Roman" w:cs="Times New Roman"/>
          <w:sz w:val="24"/>
          <w:szCs w:val="24"/>
        </w:rPr>
        <w:t>at</w:t>
      </w:r>
      <w:r w:rsidR="00F42B3E">
        <w:rPr>
          <w:rFonts w:ascii="Times New Roman" w:hAnsi="Times New Roman" w:cs="Times New Roman"/>
          <w:sz w:val="24"/>
          <w:szCs w:val="24"/>
        </w:rPr>
        <w:t xml:space="preserve"> the PUCO (</w:t>
      </w:r>
      <w:r w:rsidR="00991A7F">
        <w:rPr>
          <w:rFonts w:ascii="Times New Roman" w:hAnsi="Times New Roman" w:cs="Times New Roman"/>
          <w:sz w:val="24"/>
          <w:szCs w:val="24"/>
        </w:rPr>
        <w:t xml:space="preserve">by the PUCO, consumers </w:t>
      </w:r>
      <w:r w:rsidR="00F42B3E">
        <w:rPr>
          <w:rFonts w:ascii="Times New Roman" w:hAnsi="Times New Roman" w:cs="Times New Roman"/>
          <w:sz w:val="24"/>
          <w:szCs w:val="24"/>
        </w:rPr>
        <w:t>or, for that matter, AEP Ohio) to require AEPGR to adhere to Staff’s proposed safeguards.</w:t>
      </w:r>
      <w:r w:rsidR="00F42B3E">
        <w:rPr>
          <w:rStyle w:val="FootnoteReference"/>
          <w:rFonts w:ascii="Times New Roman" w:hAnsi="Times New Roman" w:cs="Times New Roman"/>
          <w:sz w:val="24"/>
          <w:szCs w:val="24"/>
        </w:rPr>
        <w:footnoteReference w:id="782"/>
      </w:r>
      <w:r w:rsidR="00F42B3E">
        <w:rPr>
          <w:rFonts w:ascii="Times New Roman" w:hAnsi="Times New Roman" w:cs="Times New Roman"/>
          <w:sz w:val="24"/>
          <w:szCs w:val="24"/>
        </w:rPr>
        <w:t xml:space="preserve">  </w:t>
      </w:r>
      <w:r w:rsidR="00EA5468">
        <w:rPr>
          <w:rFonts w:ascii="Times New Roman" w:hAnsi="Times New Roman" w:cs="Times New Roman"/>
          <w:sz w:val="24"/>
          <w:szCs w:val="24"/>
        </w:rPr>
        <w:t>As the PUCO has itself declared, “parties cannot confer [on the PUCO] subject matter jurisdiction by mutual consent where non</w:t>
      </w:r>
      <w:r w:rsidR="00B763B7">
        <w:rPr>
          <w:rFonts w:ascii="Times New Roman" w:hAnsi="Times New Roman" w:cs="Times New Roman"/>
          <w:sz w:val="24"/>
          <w:szCs w:val="24"/>
        </w:rPr>
        <w:t>e would otherwise exist, . . .</w:t>
      </w:r>
      <w:r w:rsidR="00EA5468">
        <w:rPr>
          <w:rFonts w:ascii="Times New Roman" w:hAnsi="Times New Roman" w:cs="Times New Roman"/>
          <w:sz w:val="24"/>
          <w:szCs w:val="24"/>
        </w:rPr>
        <w:t>”</w:t>
      </w:r>
      <w:r w:rsidR="00EA5468">
        <w:rPr>
          <w:rStyle w:val="FootnoteReference"/>
          <w:rFonts w:ascii="Times New Roman" w:hAnsi="Times New Roman" w:cs="Times New Roman"/>
          <w:sz w:val="24"/>
          <w:szCs w:val="24"/>
        </w:rPr>
        <w:footnoteReference w:id="783"/>
      </w:r>
      <w:r w:rsidR="00EA5468">
        <w:rPr>
          <w:rFonts w:ascii="Times New Roman" w:hAnsi="Times New Roman" w:cs="Times New Roman"/>
          <w:sz w:val="24"/>
          <w:szCs w:val="24"/>
        </w:rPr>
        <w:t xml:space="preserve">  In short, Staff’s alternative proposal regarding information sharing, a risk-sharing mechanism, and rigorous PUCO review do not legally or meaningfully vest in the PUCO </w:t>
      </w:r>
      <w:r w:rsidR="00991A7F">
        <w:rPr>
          <w:rFonts w:ascii="Times New Roman" w:hAnsi="Times New Roman" w:cs="Times New Roman"/>
          <w:sz w:val="24"/>
          <w:szCs w:val="24"/>
        </w:rPr>
        <w:t>authority</w:t>
      </w:r>
      <w:r w:rsidR="00EA5468">
        <w:rPr>
          <w:rFonts w:ascii="Times New Roman" w:hAnsi="Times New Roman" w:cs="Times New Roman"/>
          <w:sz w:val="24"/>
          <w:szCs w:val="24"/>
        </w:rPr>
        <w:t xml:space="preserve"> to </w:t>
      </w:r>
      <w:r w:rsidR="00357816">
        <w:rPr>
          <w:rFonts w:ascii="Times New Roman" w:hAnsi="Times New Roman" w:cs="Times New Roman"/>
          <w:sz w:val="24"/>
          <w:szCs w:val="24"/>
        </w:rPr>
        <w:t>ensure that Staff’s proposals are followed or enforced.</w:t>
      </w:r>
      <w:r w:rsidR="00357816">
        <w:rPr>
          <w:rStyle w:val="FootnoteReference"/>
          <w:rFonts w:ascii="Times New Roman" w:hAnsi="Times New Roman" w:cs="Times New Roman"/>
          <w:sz w:val="24"/>
          <w:szCs w:val="24"/>
        </w:rPr>
        <w:footnoteReference w:id="784"/>
      </w:r>
      <w:r w:rsidR="00522017">
        <w:rPr>
          <w:rFonts w:ascii="Times New Roman" w:hAnsi="Times New Roman" w:cs="Times New Roman"/>
          <w:sz w:val="24"/>
          <w:szCs w:val="24"/>
        </w:rPr>
        <w:t xml:space="preserve"> Therefore, no consumer benefits should be assumed from Staff’s settlement position in this case.</w:t>
      </w:r>
    </w:p>
    <w:p w:rsidR="003D53BD" w:rsidRDefault="00522017" w:rsidP="00A574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w:t>
      </w:r>
      <w:r w:rsidR="00970DDE">
        <w:rPr>
          <w:rFonts w:ascii="Times New Roman" w:hAnsi="Times New Roman" w:cs="Times New Roman"/>
          <w:sz w:val="24"/>
          <w:szCs w:val="24"/>
        </w:rPr>
        <w:t>onsumers will still bear risk were AEP Ohio and AEPGR to submit to Staff’s alternative proposal.</w:t>
      </w:r>
      <w:r w:rsidR="00970DDE">
        <w:rPr>
          <w:rStyle w:val="FootnoteReference"/>
          <w:rFonts w:ascii="Times New Roman" w:hAnsi="Times New Roman" w:cs="Times New Roman"/>
          <w:sz w:val="24"/>
          <w:szCs w:val="24"/>
        </w:rPr>
        <w:footnoteReference w:id="785"/>
      </w:r>
      <w:r w:rsidR="009070C2">
        <w:rPr>
          <w:rFonts w:ascii="Times New Roman" w:hAnsi="Times New Roman" w:cs="Times New Roman"/>
          <w:sz w:val="24"/>
          <w:szCs w:val="24"/>
        </w:rPr>
        <w:t xml:space="preserve">  And even under Staff’s alternative proposal, customers would be forced to bear generation-related financial risk whether they wanted to or not.</w:t>
      </w:r>
      <w:r w:rsidR="009070C2">
        <w:rPr>
          <w:rStyle w:val="FootnoteReference"/>
          <w:rFonts w:ascii="Times New Roman" w:hAnsi="Times New Roman" w:cs="Times New Roman"/>
          <w:sz w:val="24"/>
          <w:szCs w:val="24"/>
        </w:rPr>
        <w:footnoteReference w:id="786"/>
      </w:r>
    </w:p>
    <w:p w:rsidR="00940E35" w:rsidRDefault="003D53BD" w:rsidP="00A574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Staff opposed the concept of a PPA in ESP III</w:t>
      </w:r>
      <w:r w:rsidR="00946803">
        <w:rPr>
          <w:rFonts w:ascii="Times New Roman" w:hAnsi="Times New Roman" w:cs="Times New Roman"/>
          <w:sz w:val="24"/>
          <w:szCs w:val="24"/>
        </w:rPr>
        <w:t xml:space="preserve"> and </w:t>
      </w:r>
      <w:r w:rsidR="00A240D9">
        <w:rPr>
          <w:rFonts w:ascii="Times New Roman" w:hAnsi="Times New Roman" w:cs="Times New Roman"/>
          <w:sz w:val="24"/>
          <w:szCs w:val="24"/>
        </w:rPr>
        <w:t>did</w:t>
      </w:r>
      <w:r w:rsidR="00946803">
        <w:rPr>
          <w:rFonts w:ascii="Times New Roman" w:hAnsi="Times New Roman" w:cs="Times New Roman"/>
          <w:sz w:val="24"/>
          <w:szCs w:val="24"/>
        </w:rPr>
        <w:t xml:space="preserve"> so here</w:t>
      </w:r>
      <w:r w:rsidR="00A240D9">
        <w:rPr>
          <w:rFonts w:ascii="Times New Roman" w:hAnsi="Times New Roman" w:cs="Times New Roman"/>
          <w:sz w:val="24"/>
          <w:szCs w:val="24"/>
        </w:rPr>
        <w:t xml:space="preserve"> in the first phase of this proceeding</w:t>
      </w:r>
      <w:r w:rsidR="005863AA">
        <w:rPr>
          <w:rFonts w:ascii="Times New Roman" w:hAnsi="Times New Roman" w:cs="Times New Roman"/>
          <w:sz w:val="24"/>
          <w:szCs w:val="24"/>
        </w:rPr>
        <w:t xml:space="preserve"> – even as it relates to Staff’s alternative proposal</w:t>
      </w:r>
      <w:r w:rsidR="00946803">
        <w:rPr>
          <w:rFonts w:ascii="Times New Roman" w:hAnsi="Times New Roman" w:cs="Times New Roman"/>
          <w:sz w:val="24"/>
          <w:szCs w:val="24"/>
        </w:rPr>
        <w:t>.</w:t>
      </w:r>
      <w:r w:rsidR="00946803">
        <w:rPr>
          <w:rStyle w:val="FootnoteReference"/>
          <w:rFonts w:ascii="Times New Roman" w:hAnsi="Times New Roman" w:cs="Times New Roman"/>
          <w:sz w:val="24"/>
          <w:szCs w:val="24"/>
        </w:rPr>
        <w:footnoteReference w:id="787"/>
      </w:r>
      <w:r w:rsidR="00D46A06">
        <w:rPr>
          <w:rFonts w:ascii="Times New Roman" w:hAnsi="Times New Roman" w:cs="Times New Roman"/>
          <w:sz w:val="24"/>
          <w:szCs w:val="24"/>
        </w:rPr>
        <w:t xml:space="preserve">  </w:t>
      </w:r>
      <w:r w:rsidR="009070C2">
        <w:rPr>
          <w:rFonts w:ascii="Times New Roman" w:hAnsi="Times New Roman" w:cs="Times New Roman"/>
          <w:sz w:val="24"/>
          <w:szCs w:val="24"/>
        </w:rPr>
        <w:t>In fact, Staff believes that its alternative proposal would subsidize generation.</w:t>
      </w:r>
      <w:r w:rsidR="009070C2">
        <w:rPr>
          <w:rStyle w:val="FootnoteReference"/>
          <w:rFonts w:ascii="Times New Roman" w:hAnsi="Times New Roman" w:cs="Times New Roman"/>
          <w:sz w:val="24"/>
          <w:szCs w:val="24"/>
        </w:rPr>
        <w:footnoteReference w:id="788"/>
      </w:r>
      <w:r w:rsidR="009070C2">
        <w:rPr>
          <w:rFonts w:ascii="Times New Roman" w:hAnsi="Times New Roman" w:cs="Times New Roman"/>
          <w:sz w:val="24"/>
          <w:szCs w:val="24"/>
        </w:rPr>
        <w:t xml:space="preserve">  </w:t>
      </w:r>
      <w:r w:rsidR="00D46A06">
        <w:rPr>
          <w:rFonts w:ascii="Times New Roman" w:hAnsi="Times New Roman" w:cs="Times New Roman"/>
          <w:sz w:val="24"/>
          <w:szCs w:val="24"/>
        </w:rPr>
        <w:t>Staff was concerned in ESP III that AEP Ohio would use the PPA Rider as a venue for other unregulated generation to be contracted and paid for by AEP Ohio distribution customers without it being competitively bid.</w:t>
      </w:r>
      <w:r w:rsidR="00D46A06">
        <w:rPr>
          <w:rStyle w:val="FootnoteReference"/>
          <w:rFonts w:ascii="Times New Roman" w:hAnsi="Times New Roman" w:cs="Times New Roman"/>
          <w:sz w:val="24"/>
          <w:szCs w:val="24"/>
        </w:rPr>
        <w:footnoteReference w:id="789"/>
      </w:r>
      <w:r w:rsidR="00D46A06">
        <w:rPr>
          <w:rFonts w:ascii="Times New Roman" w:hAnsi="Times New Roman" w:cs="Times New Roman"/>
          <w:sz w:val="24"/>
          <w:szCs w:val="24"/>
        </w:rPr>
        <w:t xml:space="preserve">  Staff has the same concern </w:t>
      </w:r>
      <w:r w:rsidR="005863AA">
        <w:rPr>
          <w:rFonts w:ascii="Times New Roman" w:hAnsi="Times New Roman" w:cs="Times New Roman"/>
          <w:sz w:val="24"/>
          <w:szCs w:val="24"/>
        </w:rPr>
        <w:t>in connection with its alternative proposal</w:t>
      </w:r>
      <w:r w:rsidR="00D46A06">
        <w:rPr>
          <w:rFonts w:ascii="Times New Roman" w:hAnsi="Times New Roman" w:cs="Times New Roman"/>
          <w:sz w:val="24"/>
          <w:szCs w:val="24"/>
        </w:rPr>
        <w:t>.</w:t>
      </w:r>
      <w:r w:rsidR="00D46A06">
        <w:rPr>
          <w:rStyle w:val="FootnoteReference"/>
          <w:rFonts w:ascii="Times New Roman" w:hAnsi="Times New Roman" w:cs="Times New Roman"/>
          <w:sz w:val="24"/>
          <w:szCs w:val="24"/>
        </w:rPr>
        <w:footnoteReference w:id="790"/>
      </w:r>
      <w:r w:rsidR="00A44086">
        <w:rPr>
          <w:rFonts w:ascii="Times New Roman" w:hAnsi="Times New Roman" w:cs="Times New Roman"/>
          <w:sz w:val="24"/>
          <w:szCs w:val="24"/>
        </w:rPr>
        <w:t xml:space="preserve"> </w:t>
      </w:r>
      <w:r w:rsidR="00E861A7">
        <w:rPr>
          <w:rFonts w:ascii="Times New Roman" w:hAnsi="Times New Roman" w:cs="Times New Roman"/>
          <w:sz w:val="24"/>
          <w:szCs w:val="24"/>
        </w:rPr>
        <w:t xml:space="preserve"> </w:t>
      </w:r>
    </w:p>
    <w:p w:rsidR="009F04E9" w:rsidRDefault="00E861A7" w:rsidP="00A574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5863AA">
        <w:rPr>
          <w:rFonts w:ascii="Times New Roman" w:hAnsi="Times New Roman" w:cs="Times New Roman"/>
          <w:sz w:val="24"/>
          <w:szCs w:val="24"/>
        </w:rPr>
        <w:t xml:space="preserve">n ESP III, Staff was concerned that the AEP regulated business unit that bids the OVEC </w:t>
      </w:r>
      <w:r w:rsidR="00F96CC1">
        <w:rPr>
          <w:rFonts w:ascii="Times New Roman" w:hAnsi="Times New Roman" w:cs="Times New Roman"/>
          <w:sz w:val="24"/>
          <w:szCs w:val="24"/>
        </w:rPr>
        <w:t>generation</w:t>
      </w:r>
      <w:r w:rsidR="005863AA">
        <w:rPr>
          <w:rFonts w:ascii="Times New Roman" w:hAnsi="Times New Roman" w:cs="Times New Roman"/>
          <w:sz w:val="24"/>
          <w:szCs w:val="24"/>
        </w:rPr>
        <w:t xml:space="preserve"> into the PJM capacity, energy, and ancillary services markets may use different strategies than those used by is affiliate,</w:t>
      </w:r>
      <w:r w:rsidR="001A6787">
        <w:rPr>
          <w:rFonts w:ascii="Times New Roman" w:hAnsi="Times New Roman" w:cs="Times New Roman"/>
          <w:sz w:val="24"/>
          <w:szCs w:val="24"/>
        </w:rPr>
        <w:t xml:space="preserve"> AEPGR.</w:t>
      </w:r>
      <w:r w:rsidR="005863AA">
        <w:rPr>
          <w:rStyle w:val="FootnoteReference"/>
          <w:rFonts w:ascii="Times New Roman" w:hAnsi="Times New Roman" w:cs="Times New Roman"/>
          <w:sz w:val="24"/>
          <w:szCs w:val="24"/>
        </w:rPr>
        <w:footnoteReference w:id="791"/>
      </w:r>
      <w:r w:rsidR="009070C2">
        <w:rPr>
          <w:rFonts w:ascii="Times New Roman" w:hAnsi="Times New Roman" w:cs="Times New Roman"/>
          <w:sz w:val="24"/>
          <w:szCs w:val="24"/>
        </w:rPr>
        <w:t xml:space="preserve">  Staff has the same concern in connection with its alternative proposal.</w:t>
      </w:r>
      <w:r w:rsidR="009070C2">
        <w:rPr>
          <w:rStyle w:val="FootnoteReference"/>
          <w:rFonts w:ascii="Times New Roman" w:hAnsi="Times New Roman" w:cs="Times New Roman"/>
          <w:sz w:val="24"/>
          <w:szCs w:val="24"/>
        </w:rPr>
        <w:footnoteReference w:id="792"/>
      </w:r>
      <w:r w:rsidR="009070C2">
        <w:rPr>
          <w:rFonts w:ascii="Times New Roman" w:hAnsi="Times New Roman" w:cs="Times New Roman"/>
          <w:sz w:val="24"/>
          <w:szCs w:val="24"/>
        </w:rPr>
        <w:t xml:space="preserve">  Staff’s alternative proposal removes none of the uncertainty regarding whether the PPA Rider will result in a charge or credit</w:t>
      </w:r>
      <w:r w:rsidR="00991A7F">
        <w:rPr>
          <w:rFonts w:ascii="Times New Roman" w:hAnsi="Times New Roman" w:cs="Times New Roman"/>
          <w:sz w:val="24"/>
          <w:szCs w:val="24"/>
        </w:rPr>
        <w:t xml:space="preserve"> to customers</w:t>
      </w:r>
      <w:r w:rsidR="009070C2">
        <w:rPr>
          <w:rFonts w:ascii="Times New Roman" w:hAnsi="Times New Roman" w:cs="Times New Roman"/>
          <w:sz w:val="24"/>
          <w:szCs w:val="24"/>
        </w:rPr>
        <w:t xml:space="preserve"> – “[b]ecause it’s all in the future, no one knows.”</w:t>
      </w:r>
      <w:r w:rsidR="009070C2">
        <w:rPr>
          <w:rStyle w:val="FootnoteReference"/>
          <w:rFonts w:ascii="Times New Roman" w:hAnsi="Times New Roman" w:cs="Times New Roman"/>
          <w:sz w:val="24"/>
          <w:szCs w:val="24"/>
        </w:rPr>
        <w:footnoteReference w:id="793"/>
      </w:r>
      <w:r w:rsidR="009070C2">
        <w:rPr>
          <w:rFonts w:ascii="Times New Roman" w:hAnsi="Times New Roman" w:cs="Times New Roman"/>
          <w:sz w:val="24"/>
          <w:szCs w:val="24"/>
        </w:rPr>
        <w:t xml:space="preserve">  Further, the reliability of the transmission system would still be under the auspices of PJM – even under Staff’s alternative proposal.</w:t>
      </w:r>
      <w:r w:rsidR="009070C2">
        <w:rPr>
          <w:rStyle w:val="FootnoteReference"/>
          <w:rFonts w:ascii="Times New Roman" w:hAnsi="Times New Roman" w:cs="Times New Roman"/>
          <w:sz w:val="24"/>
          <w:szCs w:val="24"/>
        </w:rPr>
        <w:footnoteReference w:id="794"/>
      </w:r>
    </w:p>
    <w:p w:rsidR="00281336" w:rsidRDefault="00281336" w:rsidP="00A574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Staff concedes, the reasons for its recommendation to deny the Amended Application are </w:t>
      </w:r>
      <w:r w:rsidR="00E0077D">
        <w:rPr>
          <w:rFonts w:ascii="Times New Roman" w:hAnsi="Times New Roman" w:cs="Times New Roman"/>
          <w:sz w:val="24"/>
          <w:szCs w:val="24"/>
        </w:rPr>
        <w:t>also</w:t>
      </w:r>
      <w:r>
        <w:rPr>
          <w:rFonts w:ascii="Times New Roman" w:hAnsi="Times New Roman" w:cs="Times New Roman"/>
          <w:sz w:val="24"/>
          <w:szCs w:val="24"/>
        </w:rPr>
        <w:t xml:space="preserve"> applicable to its alternative proposal.</w:t>
      </w:r>
    </w:p>
    <w:p w:rsidR="00161986" w:rsidRPr="000467AB" w:rsidRDefault="00272897" w:rsidP="007D22BE">
      <w:pPr>
        <w:pStyle w:val="Heading2"/>
      </w:pPr>
      <w:bookmarkStart w:id="192" w:name="_Toc435428269"/>
      <w:bookmarkStart w:id="193" w:name="_Toc442104237"/>
      <w:r>
        <w:t>H</w:t>
      </w:r>
      <w:r w:rsidR="00D11155">
        <w:t>.</w:t>
      </w:r>
      <w:r w:rsidR="00D11155">
        <w:tab/>
      </w:r>
      <w:r w:rsidR="00281336" w:rsidRPr="000467AB">
        <w:t xml:space="preserve">The </w:t>
      </w:r>
      <w:r w:rsidR="00281336">
        <w:t>A</w:t>
      </w:r>
      <w:r w:rsidR="00281336" w:rsidRPr="000467AB">
        <w:t xml:space="preserve">mended </w:t>
      </w:r>
      <w:r w:rsidR="00281336">
        <w:t>A</w:t>
      </w:r>
      <w:r w:rsidR="00281336" w:rsidRPr="000467AB">
        <w:t>pplication</w:t>
      </w:r>
      <w:r w:rsidR="00A240D9">
        <w:t>/Modified Amended Application</w:t>
      </w:r>
      <w:r w:rsidR="00281336" w:rsidRPr="000467AB">
        <w:t xml:space="preserve"> must be rejected because including its costs </w:t>
      </w:r>
      <w:r w:rsidR="00081CC7">
        <w:t xml:space="preserve">would </w:t>
      </w:r>
      <w:r w:rsidR="00281336" w:rsidRPr="000467AB">
        <w:t xml:space="preserve">cause </w:t>
      </w:r>
      <w:r w:rsidR="00A83F37">
        <w:t>AEP Ohio’s ESP</w:t>
      </w:r>
      <w:r w:rsidR="00281336" w:rsidRPr="000467AB">
        <w:t xml:space="preserve"> to fail the </w:t>
      </w:r>
      <w:r w:rsidR="00A83F37">
        <w:t>ESP</w:t>
      </w:r>
      <w:r w:rsidR="00281336" w:rsidRPr="000467AB">
        <w:t xml:space="preserve"> v. </w:t>
      </w:r>
      <w:r w:rsidR="00A83F37">
        <w:t>MRO</w:t>
      </w:r>
      <w:r w:rsidR="00281336" w:rsidRPr="000467AB">
        <w:t xml:space="preserve"> test</w:t>
      </w:r>
      <w:bookmarkEnd w:id="192"/>
      <w:r w:rsidR="00D11155">
        <w:t>.</w:t>
      </w:r>
      <w:bookmarkEnd w:id="193"/>
    </w:p>
    <w:p w:rsidR="00F45C3B" w:rsidRDefault="00161986" w:rsidP="00AA2EA0">
      <w:pPr>
        <w:spacing w:after="0" w:line="480" w:lineRule="auto"/>
        <w:ind w:firstLine="720"/>
        <w:rPr>
          <w:rFonts w:ascii="Times New Roman" w:hAnsi="Times New Roman" w:cs="Times New Roman"/>
          <w:sz w:val="24"/>
          <w:szCs w:val="24"/>
        </w:rPr>
      </w:pPr>
      <w:r w:rsidRPr="00161986">
        <w:rPr>
          <w:rFonts w:ascii="Times New Roman" w:hAnsi="Times New Roman" w:cs="Times New Roman"/>
          <w:sz w:val="24"/>
          <w:szCs w:val="24"/>
        </w:rPr>
        <w:t xml:space="preserve">The </w:t>
      </w:r>
      <w:r>
        <w:rPr>
          <w:rFonts w:ascii="Times New Roman" w:hAnsi="Times New Roman" w:cs="Times New Roman"/>
          <w:sz w:val="24"/>
          <w:szCs w:val="24"/>
        </w:rPr>
        <w:t>General Assembly</w:t>
      </w:r>
      <w:r w:rsidRPr="00161986">
        <w:rPr>
          <w:rFonts w:ascii="Times New Roman" w:hAnsi="Times New Roman" w:cs="Times New Roman"/>
          <w:sz w:val="24"/>
          <w:szCs w:val="24"/>
        </w:rPr>
        <w:t xml:space="preserve"> established a statutory test that must be met before the PUCO </w:t>
      </w:r>
      <w:r w:rsidR="00F45C3B">
        <w:rPr>
          <w:rFonts w:ascii="Times New Roman" w:hAnsi="Times New Roman" w:cs="Times New Roman"/>
          <w:sz w:val="24"/>
          <w:szCs w:val="24"/>
        </w:rPr>
        <w:t>can approve, or modify and approve,</w:t>
      </w:r>
      <w:r w:rsidRPr="00161986">
        <w:rPr>
          <w:rFonts w:ascii="Times New Roman" w:hAnsi="Times New Roman" w:cs="Times New Roman"/>
          <w:sz w:val="24"/>
          <w:szCs w:val="24"/>
        </w:rPr>
        <w:t xml:space="preserve"> an electric company’s ESP. </w:t>
      </w:r>
      <w:r w:rsidR="00F45C3B">
        <w:rPr>
          <w:rFonts w:ascii="Times New Roman" w:hAnsi="Times New Roman" w:cs="Times New Roman"/>
          <w:sz w:val="24"/>
          <w:szCs w:val="24"/>
        </w:rPr>
        <w:t xml:space="preserve"> </w:t>
      </w:r>
      <w:r w:rsidRPr="00161986">
        <w:rPr>
          <w:rFonts w:ascii="Times New Roman" w:hAnsi="Times New Roman" w:cs="Times New Roman"/>
          <w:sz w:val="24"/>
          <w:szCs w:val="24"/>
        </w:rPr>
        <w:t xml:space="preserve">This test, according to </w:t>
      </w:r>
      <w:r w:rsidR="00F45C3B">
        <w:rPr>
          <w:rFonts w:ascii="Times New Roman" w:hAnsi="Times New Roman" w:cs="Times New Roman"/>
          <w:sz w:val="24"/>
          <w:szCs w:val="24"/>
        </w:rPr>
        <w:t xml:space="preserve">R.C. </w:t>
      </w:r>
      <w:r w:rsidRPr="00161986">
        <w:rPr>
          <w:rFonts w:ascii="Times New Roman" w:hAnsi="Times New Roman" w:cs="Times New Roman"/>
          <w:sz w:val="24"/>
          <w:szCs w:val="24"/>
        </w:rPr>
        <w:t xml:space="preserve">4928.143(C)(1), states that the </w:t>
      </w:r>
      <w:r w:rsidR="00F45C3B">
        <w:rPr>
          <w:rFonts w:ascii="Times New Roman" w:hAnsi="Times New Roman" w:cs="Times New Roman"/>
          <w:sz w:val="24"/>
          <w:szCs w:val="24"/>
        </w:rPr>
        <w:t>PUCO</w:t>
      </w:r>
      <w:r w:rsidRPr="00161986">
        <w:rPr>
          <w:rFonts w:ascii="Times New Roman" w:hAnsi="Times New Roman" w:cs="Times New Roman"/>
          <w:sz w:val="24"/>
          <w:szCs w:val="24"/>
        </w:rPr>
        <w:t xml:space="preserve"> cannot approve, or modify and approve, an ESP unless the PUCO finds that the ESP “including its pricing and all other terms and conditions, including any deferrals and future recovery of deferrals, is more favorable in the aggregate as compared to the expected results that would otherwise apply under section 4928.142 of the Revised Code.” </w:t>
      </w:r>
      <w:r w:rsidR="00F45C3B">
        <w:rPr>
          <w:rFonts w:ascii="Times New Roman" w:hAnsi="Times New Roman" w:cs="Times New Roman"/>
          <w:sz w:val="24"/>
          <w:szCs w:val="24"/>
        </w:rPr>
        <w:t xml:space="preserve"> R.C. </w:t>
      </w:r>
      <w:r w:rsidRPr="00161986">
        <w:rPr>
          <w:rFonts w:ascii="Times New Roman" w:hAnsi="Times New Roman" w:cs="Times New Roman"/>
          <w:sz w:val="24"/>
          <w:szCs w:val="24"/>
        </w:rPr>
        <w:t xml:space="preserve">4928.142 provides the rules for establishing </w:t>
      </w:r>
      <w:r w:rsidR="00F45C3B">
        <w:rPr>
          <w:rFonts w:ascii="Times New Roman" w:hAnsi="Times New Roman" w:cs="Times New Roman"/>
          <w:sz w:val="24"/>
          <w:szCs w:val="24"/>
        </w:rPr>
        <w:t xml:space="preserve">a </w:t>
      </w:r>
      <w:r w:rsidR="001A6787">
        <w:rPr>
          <w:rFonts w:ascii="Times New Roman" w:hAnsi="Times New Roman" w:cs="Times New Roman"/>
          <w:sz w:val="24"/>
          <w:szCs w:val="24"/>
        </w:rPr>
        <w:t>SSO</w:t>
      </w:r>
      <w:r w:rsidRPr="00161986">
        <w:rPr>
          <w:rFonts w:ascii="Times New Roman" w:hAnsi="Times New Roman" w:cs="Times New Roman"/>
          <w:sz w:val="24"/>
          <w:szCs w:val="24"/>
        </w:rPr>
        <w:t xml:space="preserve"> under a </w:t>
      </w:r>
      <w:r w:rsidR="001A6787">
        <w:rPr>
          <w:rFonts w:ascii="Times New Roman" w:hAnsi="Times New Roman" w:cs="Times New Roman"/>
          <w:sz w:val="24"/>
          <w:szCs w:val="24"/>
        </w:rPr>
        <w:t>MRO.</w:t>
      </w:r>
      <w:r w:rsidRPr="00161986">
        <w:rPr>
          <w:rFonts w:ascii="Times New Roman" w:hAnsi="Times New Roman" w:cs="Times New Roman"/>
          <w:sz w:val="24"/>
          <w:szCs w:val="24"/>
        </w:rPr>
        <w:t xml:space="preserve"> </w:t>
      </w:r>
      <w:r w:rsidR="00F45C3B">
        <w:rPr>
          <w:rFonts w:ascii="Times New Roman" w:hAnsi="Times New Roman" w:cs="Times New Roman"/>
          <w:sz w:val="24"/>
          <w:szCs w:val="24"/>
        </w:rPr>
        <w:t xml:space="preserve"> </w:t>
      </w:r>
      <w:r w:rsidR="00940E35">
        <w:rPr>
          <w:rFonts w:ascii="Times New Roman" w:hAnsi="Times New Roman" w:cs="Times New Roman"/>
          <w:sz w:val="24"/>
          <w:szCs w:val="24"/>
        </w:rPr>
        <w:t>The test should only be applied using quantitative factors.</w:t>
      </w:r>
    </w:p>
    <w:p w:rsidR="00161986" w:rsidRPr="00161986" w:rsidRDefault="00F45C3B" w:rsidP="00D111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Earlier this year, the PUCO determined that AEP Ohio’s ESP, as modified by the PUCO </w:t>
      </w:r>
      <w:r w:rsidRPr="00F45C3B">
        <w:rPr>
          <w:rFonts w:ascii="Times New Roman" w:hAnsi="Times New Roman" w:cs="Times New Roman"/>
          <w:i/>
          <w:sz w:val="24"/>
          <w:szCs w:val="24"/>
        </w:rPr>
        <w:t>and not including a proposed PPA Rider</w:t>
      </w:r>
      <w:r>
        <w:rPr>
          <w:rFonts w:ascii="Times New Roman" w:hAnsi="Times New Roman" w:cs="Times New Roman"/>
          <w:sz w:val="24"/>
          <w:szCs w:val="24"/>
        </w:rPr>
        <w:t>, was more favorable in the aggregate than the expected results under an MRO.</w:t>
      </w:r>
      <w:r w:rsidR="00161986" w:rsidRPr="00161986">
        <w:rPr>
          <w:rStyle w:val="FootnoteReference"/>
          <w:rFonts w:ascii="Times New Roman" w:hAnsi="Times New Roman" w:cs="Times New Roman"/>
          <w:sz w:val="24"/>
          <w:szCs w:val="24"/>
        </w:rPr>
        <w:footnoteReference w:id="795"/>
      </w:r>
      <w:r w:rsidR="00F91BF6">
        <w:rPr>
          <w:rFonts w:ascii="Times New Roman" w:hAnsi="Times New Roman" w:cs="Times New Roman"/>
          <w:sz w:val="24"/>
          <w:szCs w:val="24"/>
        </w:rPr>
        <w:t xml:space="preserve">  </w:t>
      </w:r>
      <w:r w:rsidR="00161986" w:rsidRPr="00161986">
        <w:rPr>
          <w:rFonts w:ascii="Times New Roman" w:hAnsi="Times New Roman" w:cs="Times New Roman"/>
          <w:sz w:val="24"/>
          <w:szCs w:val="24"/>
        </w:rPr>
        <w:t xml:space="preserve">The PUCO clearly reserved judgment on the statutory MRO </w:t>
      </w:r>
      <w:r w:rsidR="00F96CC1">
        <w:rPr>
          <w:rFonts w:ascii="Times New Roman" w:hAnsi="Times New Roman" w:cs="Times New Roman"/>
          <w:sz w:val="24"/>
          <w:szCs w:val="24"/>
        </w:rPr>
        <w:t>v.</w:t>
      </w:r>
      <w:r w:rsidR="00161986" w:rsidRPr="00161986">
        <w:rPr>
          <w:rFonts w:ascii="Times New Roman" w:hAnsi="Times New Roman" w:cs="Times New Roman"/>
          <w:sz w:val="24"/>
          <w:szCs w:val="24"/>
        </w:rPr>
        <w:t xml:space="preserve"> ESP test</w:t>
      </w:r>
      <w:r w:rsidR="00F91BF6">
        <w:rPr>
          <w:rFonts w:ascii="Times New Roman" w:hAnsi="Times New Roman" w:cs="Times New Roman"/>
          <w:sz w:val="24"/>
          <w:szCs w:val="24"/>
        </w:rPr>
        <w:t xml:space="preserve"> – </w:t>
      </w:r>
      <w:r w:rsidR="00161986" w:rsidRPr="00161986">
        <w:rPr>
          <w:rFonts w:ascii="Times New Roman" w:hAnsi="Times New Roman" w:cs="Times New Roman"/>
          <w:sz w:val="24"/>
          <w:szCs w:val="24"/>
        </w:rPr>
        <w:t xml:space="preserve">“we affirm our finding that it is not necessary to attempt to quantify the impact of the PPA rider </w:t>
      </w:r>
      <w:r w:rsidR="00F91BF6">
        <w:rPr>
          <w:rFonts w:ascii="Times New Roman" w:hAnsi="Times New Roman" w:cs="Times New Roman"/>
          <w:sz w:val="24"/>
          <w:szCs w:val="24"/>
        </w:rPr>
        <w:t>. . .</w:t>
      </w:r>
      <w:r w:rsidR="00161986" w:rsidRPr="00161986">
        <w:rPr>
          <w:rFonts w:ascii="Times New Roman" w:hAnsi="Times New Roman" w:cs="Times New Roman"/>
          <w:sz w:val="24"/>
          <w:szCs w:val="24"/>
        </w:rPr>
        <w:t xml:space="preserve"> in the MRO/ESP analysis, given that </w:t>
      </w:r>
      <w:r w:rsidR="00F91BF6">
        <w:rPr>
          <w:rFonts w:ascii="Times New Roman" w:hAnsi="Times New Roman" w:cs="Times New Roman"/>
          <w:sz w:val="24"/>
          <w:szCs w:val="24"/>
        </w:rPr>
        <w:t>[the]</w:t>
      </w:r>
      <w:r w:rsidR="00161986" w:rsidRPr="00161986">
        <w:rPr>
          <w:rFonts w:ascii="Times New Roman" w:hAnsi="Times New Roman" w:cs="Times New Roman"/>
          <w:sz w:val="24"/>
          <w:szCs w:val="24"/>
        </w:rPr>
        <w:t xml:space="preserve"> placeholder rider</w:t>
      </w:r>
      <w:r w:rsidR="00F91BF6">
        <w:rPr>
          <w:rFonts w:ascii="Times New Roman" w:hAnsi="Times New Roman" w:cs="Times New Roman"/>
          <w:sz w:val="24"/>
          <w:szCs w:val="24"/>
        </w:rPr>
        <w:t>[]</w:t>
      </w:r>
      <w:r w:rsidR="00161986" w:rsidRPr="00161986">
        <w:rPr>
          <w:rFonts w:ascii="Times New Roman" w:hAnsi="Times New Roman" w:cs="Times New Roman"/>
          <w:sz w:val="24"/>
          <w:szCs w:val="24"/>
        </w:rPr>
        <w:t xml:space="preserve"> ha</w:t>
      </w:r>
      <w:r w:rsidR="00F91BF6">
        <w:rPr>
          <w:rFonts w:ascii="Times New Roman" w:hAnsi="Times New Roman" w:cs="Times New Roman"/>
          <w:sz w:val="24"/>
          <w:szCs w:val="24"/>
        </w:rPr>
        <w:t>[s]</w:t>
      </w:r>
      <w:r w:rsidR="00161986" w:rsidRPr="00161986">
        <w:rPr>
          <w:rFonts w:ascii="Times New Roman" w:hAnsi="Times New Roman" w:cs="Times New Roman"/>
          <w:sz w:val="24"/>
          <w:szCs w:val="24"/>
        </w:rPr>
        <w:t xml:space="preserve"> been set at zero, </w:t>
      </w:r>
      <w:r w:rsidR="00161986" w:rsidRPr="00F91BF6">
        <w:rPr>
          <w:rFonts w:ascii="Times New Roman" w:hAnsi="Times New Roman" w:cs="Times New Roman"/>
          <w:i/>
          <w:sz w:val="24"/>
          <w:szCs w:val="24"/>
        </w:rPr>
        <w:t>and any future costs associated with these riders are unknown and subject to future proceedings.</w:t>
      </w:r>
      <w:r w:rsidR="00161986" w:rsidRPr="00161986">
        <w:rPr>
          <w:rFonts w:ascii="Times New Roman" w:hAnsi="Times New Roman" w:cs="Times New Roman"/>
          <w:sz w:val="24"/>
          <w:szCs w:val="24"/>
        </w:rPr>
        <w:t>”</w:t>
      </w:r>
      <w:r w:rsidR="00161986" w:rsidRPr="00161986">
        <w:rPr>
          <w:rStyle w:val="FootnoteReference"/>
          <w:rFonts w:ascii="Times New Roman" w:hAnsi="Times New Roman" w:cs="Times New Roman"/>
          <w:sz w:val="24"/>
          <w:szCs w:val="24"/>
        </w:rPr>
        <w:footnoteReference w:id="796"/>
      </w:r>
      <w:r w:rsidR="00161986" w:rsidRPr="00161986">
        <w:rPr>
          <w:rFonts w:ascii="Times New Roman" w:hAnsi="Times New Roman" w:cs="Times New Roman"/>
          <w:sz w:val="24"/>
          <w:szCs w:val="24"/>
        </w:rPr>
        <w:t xml:space="preserve"> </w:t>
      </w:r>
      <w:r w:rsidR="002E72B1">
        <w:rPr>
          <w:rFonts w:ascii="Times New Roman" w:hAnsi="Times New Roman" w:cs="Times New Roman"/>
          <w:sz w:val="24"/>
          <w:szCs w:val="24"/>
        </w:rPr>
        <w:t xml:space="preserve"> </w:t>
      </w:r>
      <w:r w:rsidR="00F96CC1">
        <w:rPr>
          <w:rFonts w:ascii="Times New Roman" w:hAnsi="Times New Roman" w:cs="Times New Roman"/>
          <w:sz w:val="24"/>
          <w:szCs w:val="24"/>
        </w:rPr>
        <w:t>Because</w:t>
      </w:r>
      <w:r w:rsidR="00F91BF6">
        <w:rPr>
          <w:rFonts w:ascii="Times New Roman" w:hAnsi="Times New Roman" w:cs="Times New Roman"/>
          <w:sz w:val="24"/>
          <w:szCs w:val="24"/>
        </w:rPr>
        <w:t xml:space="preserve"> the PUCO did not consider, and could not have considered, the significant impact of the PPA Rider now proposed in this current proceeding on the statutory test, the PUCO’s analysis – </w:t>
      </w:r>
      <w:r w:rsidR="001A6787">
        <w:rPr>
          <w:rFonts w:ascii="Times New Roman" w:hAnsi="Times New Roman" w:cs="Times New Roman"/>
          <w:sz w:val="24"/>
          <w:szCs w:val="24"/>
        </w:rPr>
        <w:t xml:space="preserve">as </w:t>
      </w:r>
      <w:r w:rsidR="00F91BF6">
        <w:rPr>
          <w:rFonts w:ascii="Times New Roman" w:hAnsi="Times New Roman" w:cs="Times New Roman"/>
          <w:sz w:val="24"/>
          <w:szCs w:val="24"/>
        </w:rPr>
        <w:t>the PUCO recognized – was inaccurate and incomplete</w:t>
      </w:r>
      <w:r w:rsidR="00161986" w:rsidRPr="00161986">
        <w:rPr>
          <w:rFonts w:ascii="Times New Roman" w:hAnsi="Times New Roman" w:cs="Times New Roman"/>
          <w:sz w:val="24"/>
          <w:szCs w:val="24"/>
        </w:rPr>
        <w:t>.</w:t>
      </w:r>
      <w:r w:rsidR="00F91BF6">
        <w:rPr>
          <w:rStyle w:val="FootnoteReference"/>
          <w:rFonts w:ascii="Times New Roman" w:hAnsi="Times New Roman" w:cs="Times New Roman"/>
          <w:sz w:val="24"/>
          <w:szCs w:val="24"/>
        </w:rPr>
        <w:footnoteReference w:id="797"/>
      </w:r>
      <w:r w:rsidR="00161986" w:rsidRPr="00161986">
        <w:rPr>
          <w:rFonts w:ascii="Times New Roman" w:hAnsi="Times New Roman" w:cs="Times New Roman"/>
          <w:sz w:val="24"/>
          <w:szCs w:val="24"/>
        </w:rPr>
        <w:t xml:space="preserve"> </w:t>
      </w:r>
    </w:p>
    <w:p w:rsidR="00987E59" w:rsidRDefault="00987E59" w:rsidP="00AA2EA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AEP Ohio Witness Vegas agreed </w:t>
      </w:r>
      <w:r w:rsidR="00E0077D">
        <w:rPr>
          <w:rFonts w:ascii="Times New Roman" w:hAnsi="Times New Roman" w:cs="Times New Roman"/>
          <w:sz w:val="24"/>
          <w:szCs w:val="24"/>
        </w:rPr>
        <w:t xml:space="preserve">that </w:t>
      </w:r>
      <w:r>
        <w:rPr>
          <w:rFonts w:ascii="Times New Roman" w:hAnsi="Times New Roman" w:cs="Times New Roman"/>
          <w:sz w:val="24"/>
          <w:szCs w:val="24"/>
        </w:rPr>
        <w:t>the costs/benefits of the PPA Rider have to be included in the ESP III MRO v. ESP analysis.</w:t>
      </w:r>
      <w:r>
        <w:rPr>
          <w:rStyle w:val="FootnoteReference"/>
          <w:rFonts w:ascii="Times New Roman" w:hAnsi="Times New Roman" w:cs="Times New Roman"/>
          <w:sz w:val="24"/>
          <w:szCs w:val="24"/>
        </w:rPr>
        <w:footnoteReference w:id="798"/>
      </w:r>
      <w:r>
        <w:rPr>
          <w:rFonts w:ascii="Times New Roman" w:hAnsi="Times New Roman" w:cs="Times New Roman"/>
          <w:sz w:val="24"/>
          <w:szCs w:val="24"/>
        </w:rPr>
        <w:t xml:space="preserve">  He also agreed that the PPA Rider, if approved, will be subject to the MRO </w:t>
      </w:r>
      <w:r w:rsidR="00F96CC1">
        <w:rPr>
          <w:rFonts w:ascii="Times New Roman" w:hAnsi="Times New Roman" w:cs="Times New Roman"/>
          <w:sz w:val="24"/>
          <w:szCs w:val="24"/>
        </w:rPr>
        <w:t>v.</w:t>
      </w:r>
      <w:r>
        <w:rPr>
          <w:rFonts w:ascii="Times New Roman" w:hAnsi="Times New Roman" w:cs="Times New Roman"/>
          <w:sz w:val="24"/>
          <w:szCs w:val="24"/>
        </w:rPr>
        <w:t xml:space="preserve"> ESP test in the future.</w:t>
      </w:r>
      <w:r>
        <w:rPr>
          <w:rStyle w:val="FootnoteReference"/>
          <w:rFonts w:ascii="Times New Roman" w:hAnsi="Times New Roman" w:cs="Times New Roman"/>
          <w:sz w:val="24"/>
          <w:szCs w:val="24"/>
        </w:rPr>
        <w:footnoteReference w:id="799"/>
      </w:r>
      <w:r w:rsidR="00AA3584">
        <w:rPr>
          <w:rFonts w:ascii="Times New Roman" w:hAnsi="Times New Roman" w:cs="Times New Roman"/>
          <w:sz w:val="24"/>
          <w:szCs w:val="24"/>
        </w:rPr>
        <w:t xml:space="preserve">  AEP Ohio Witness Vegas so agreed because he acknowledges that it is not technically possible to approve a rider beyond the term of an ESP.</w:t>
      </w:r>
      <w:r w:rsidR="00AA3584">
        <w:rPr>
          <w:rStyle w:val="FootnoteReference"/>
          <w:rFonts w:ascii="Times New Roman" w:hAnsi="Times New Roman" w:cs="Times New Roman"/>
          <w:sz w:val="24"/>
          <w:szCs w:val="24"/>
        </w:rPr>
        <w:footnoteReference w:id="800"/>
      </w:r>
      <w:r>
        <w:rPr>
          <w:rFonts w:ascii="Times New Roman" w:hAnsi="Times New Roman" w:cs="Times New Roman"/>
          <w:sz w:val="24"/>
          <w:szCs w:val="24"/>
        </w:rPr>
        <w:t xml:space="preserve"> </w:t>
      </w:r>
    </w:p>
    <w:p w:rsidR="00161986" w:rsidRPr="00161986" w:rsidRDefault="00161986" w:rsidP="00A57413">
      <w:pPr>
        <w:spacing w:after="0" w:line="480" w:lineRule="auto"/>
        <w:ind w:firstLine="720"/>
        <w:rPr>
          <w:rFonts w:ascii="Times New Roman" w:hAnsi="Times New Roman" w:cs="Times New Roman"/>
          <w:sz w:val="24"/>
          <w:szCs w:val="24"/>
        </w:rPr>
      </w:pPr>
      <w:r w:rsidRPr="00161986">
        <w:rPr>
          <w:rFonts w:ascii="Times New Roman" w:hAnsi="Times New Roman" w:cs="Times New Roman"/>
          <w:sz w:val="24"/>
          <w:szCs w:val="24"/>
        </w:rPr>
        <w:t>OCC Witness Wilson found AEP</w:t>
      </w:r>
      <w:r w:rsidR="00F91BF6">
        <w:rPr>
          <w:rFonts w:ascii="Times New Roman" w:hAnsi="Times New Roman" w:cs="Times New Roman"/>
          <w:sz w:val="24"/>
          <w:szCs w:val="24"/>
        </w:rPr>
        <w:t xml:space="preserve"> Ohio</w:t>
      </w:r>
      <w:r w:rsidRPr="00161986">
        <w:rPr>
          <w:rFonts w:ascii="Times New Roman" w:hAnsi="Times New Roman" w:cs="Times New Roman"/>
          <w:sz w:val="24"/>
          <w:szCs w:val="24"/>
        </w:rPr>
        <w:t xml:space="preserve">’s estimates </w:t>
      </w:r>
      <w:r w:rsidR="001864B4">
        <w:rPr>
          <w:rFonts w:ascii="Times New Roman" w:hAnsi="Times New Roman" w:cs="Times New Roman"/>
          <w:sz w:val="24"/>
          <w:szCs w:val="24"/>
        </w:rPr>
        <w:t>of the benefits/costs of the PPA Rider</w:t>
      </w:r>
      <w:r w:rsidRPr="00161986">
        <w:rPr>
          <w:rFonts w:ascii="Times New Roman" w:hAnsi="Times New Roman" w:cs="Times New Roman"/>
          <w:sz w:val="24"/>
          <w:szCs w:val="24"/>
        </w:rPr>
        <w:t xml:space="preserve"> unreliable and </w:t>
      </w:r>
      <w:r w:rsidR="001864B4">
        <w:rPr>
          <w:rFonts w:ascii="Times New Roman" w:hAnsi="Times New Roman" w:cs="Times New Roman"/>
          <w:sz w:val="24"/>
          <w:szCs w:val="24"/>
        </w:rPr>
        <w:t>overstated.</w:t>
      </w:r>
      <w:r w:rsidR="001864B4">
        <w:rPr>
          <w:rStyle w:val="FootnoteReference"/>
          <w:rFonts w:ascii="Times New Roman" w:hAnsi="Times New Roman" w:cs="Times New Roman"/>
          <w:sz w:val="24"/>
          <w:szCs w:val="24"/>
        </w:rPr>
        <w:footnoteReference w:id="801"/>
      </w:r>
      <w:r w:rsidR="001864B4">
        <w:rPr>
          <w:rFonts w:ascii="Times New Roman" w:hAnsi="Times New Roman" w:cs="Times New Roman"/>
          <w:sz w:val="24"/>
          <w:szCs w:val="24"/>
        </w:rPr>
        <w:t xml:space="preserve">  Based on his analysis, OCC Witness Wilson estimated that the appropriate estimate for the PPA Rider for </w:t>
      </w:r>
      <w:r w:rsidR="001864B4" w:rsidRPr="00AB1176">
        <w:rPr>
          <w:rFonts w:ascii="Times New Roman" w:hAnsi="Times New Roman" w:cs="Times New Roman"/>
          <w:sz w:val="24"/>
          <w:szCs w:val="24"/>
        </w:rPr>
        <w:t>January 2016 through May 2018</w:t>
      </w:r>
      <w:r w:rsidR="001864B4">
        <w:rPr>
          <w:rFonts w:ascii="Times New Roman" w:hAnsi="Times New Roman" w:cs="Times New Roman"/>
          <w:sz w:val="24"/>
          <w:szCs w:val="24"/>
        </w:rPr>
        <w:t xml:space="preserve"> </w:t>
      </w:r>
      <w:r w:rsidR="00E82EA1">
        <w:rPr>
          <w:rFonts w:ascii="Times New Roman" w:hAnsi="Times New Roman" w:cs="Times New Roman"/>
          <w:sz w:val="24"/>
          <w:szCs w:val="24"/>
        </w:rPr>
        <w:t>(the term of ESP</w:t>
      </w:r>
      <w:r w:rsidR="00E861A7">
        <w:rPr>
          <w:rFonts w:ascii="Times New Roman" w:hAnsi="Times New Roman" w:cs="Times New Roman"/>
          <w:sz w:val="24"/>
          <w:szCs w:val="24"/>
        </w:rPr>
        <w:t xml:space="preserve"> III</w:t>
      </w:r>
      <w:r w:rsidR="00E82EA1">
        <w:rPr>
          <w:rFonts w:ascii="Times New Roman" w:hAnsi="Times New Roman" w:cs="Times New Roman"/>
          <w:sz w:val="24"/>
          <w:szCs w:val="24"/>
        </w:rPr>
        <w:t xml:space="preserve">) </w:t>
      </w:r>
      <w:r w:rsidR="001864B4">
        <w:rPr>
          <w:rFonts w:ascii="Times New Roman" w:hAnsi="Times New Roman" w:cs="Times New Roman"/>
          <w:sz w:val="24"/>
          <w:szCs w:val="24"/>
        </w:rPr>
        <w:t>is a cost to customers of $439 million</w:t>
      </w:r>
      <w:r w:rsidRPr="00161986">
        <w:rPr>
          <w:rFonts w:ascii="Times New Roman" w:hAnsi="Times New Roman" w:cs="Times New Roman"/>
          <w:sz w:val="24"/>
          <w:szCs w:val="24"/>
        </w:rPr>
        <w:t>.</w:t>
      </w:r>
      <w:r w:rsidR="001864B4">
        <w:rPr>
          <w:rStyle w:val="FootnoteReference"/>
          <w:rFonts w:ascii="Times New Roman" w:hAnsi="Times New Roman" w:cs="Times New Roman"/>
          <w:sz w:val="24"/>
          <w:szCs w:val="24"/>
        </w:rPr>
        <w:footnoteReference w:id="802"/>
      </w:r>
      <w:r w:rsidR="001864B4">
        <w:rPr>
          <w:rFonts w:ascii="Times New Roman" w:hAnsi="Times New Roman" w:cs="Times New Roman"/>
          <w:sz w:val="24"/>
          <w:szCs w:val="24"/>
        </w:rPr>
        <w:t xml:space="preserve">  Accordingly, were the PUCO to approve the PPA Rider, the estimated cost to customer</w:t>
      </w:r>
      <w:r w:rsidR="00873919">
        <w:rPr>
          <w:rFonts w:ascii="Times New Roman" w:hAnsi="Times New Roman" w:cs="Times New Roman"/>
          <w:sz w:val="24"/>
          <w:szCs w:val="24"/>
        </w:rPr>
        <w:t>s</w:t>
      </w:r>
      <w:r w:rsidR="001864B4">
        <w:rPr>
          <w:rFonts w:ascii="Times New Roman" w:hAnsi="Times New Roman" w:cs="Times New Roman"/>
          <w:sz w:val="24"/>
          <w:szCs w:val="24"/>
        </w:rPr>
        <w:t xml:space="preserve"> of $</w:t>
      </w:r>
      <w:r w:rsidR="001864B4" w:rsidRPr="00AB1176">
        <w:rPr>
          <w:rFonts w:ascii="Times New Roman" w:hAnsi="Times New Roman" w:cs="Times New Roman"/>
          <w:sz w:val="24"/>
          <w:szCs w:val="24"/>
        </w:rPr>
        <w:t>439</w:t>
      </w:r>
      <w:r w:rsidR="001864B4">
        <w:rPr>
          <w:rFonts w:ascii="Times New Roman" w:hAnsi="Times New Roman" w:cs="Times New Roman"/>
          <w:sz w:val="24"/>
          <w:szCs w:val="24"/>
        </w:rPr>
        <w:t xml:space="preserve"> million more than offsets the $53 million in benefits found in ESP III.</w:t>
      </w:r>
      <w:r w:rsidR="001864B4">
        <w:rPr>
          <w:rStyle w:val="FootnoteReference"/>
          <w:rFonts w:ascii="Times New Roman" w:hAnsi="Times New Roman" w:cs="Times New Roman"/>
          <w:sz w:val="24"/>
          <w:szCs w:val="24"/>
        </w:rPr>
        <w:footnoteReference w:id="803"/>
      </w:r>
      <w:r w:rsidR="001864B4">
        <w:rPr>
          <w:rFonts w:ascii="Times New Roman" w:hAnsi="Times New Roman" w:cs="Times New Roman"/>
          <w:sz w:val="24"/>
          <w:szCs w:val="24"/>
        </w:rPr>
        <w:t xml:space="preserve">  The net cost to customers -- $386 million – would not exist under an MRO.</w:t>
      </w:r>
      <w:r w:rsidR="001864B4">
        <w:rPr>
          <w:rStyle w:val="FootnoteReference"/>
          <w:rFonts w:ascii="Times New Roman" w:hAnsi="Times New Roman" w:cs="Times New Roman"/>
          <w:sz w:val="24"/>
          <w:szCs w:val="24"/>
        </w:rPr>
        <w:footnoteReference w:id="804"/>
      </w:r>
      <w:r w:rsidR="001864B4">
        <w:rPr>
          <w:rFonts w:ascii="Times New Roman" w:hAnsi="Times New Roman" w:cs="Times New Roman"/>
          <w:sz w:val="24"/>
          <w:szCs w:val="24"/>
        </w:rPr>
        <w:t xml:space="preserve">  The PUCO should take into consideration the significant cost impact that the PPA Rider, originally approved as a zero placeholder, will now have on customers.</w:t>
      </w:r>
      <w:r w:rsidR="001864B4">
        <w:rPr>
          <w:rStyle w:val="FootnoteReference"/>
          <w:rFonts w:ascii="Times New Roman" w:hAnsi="Times New Roman" w:cs="Times New Roman"/>
          <w:sz w:val="24"/>
          <w:szCs w:val="24"/>
        </w:rPr>
        <w:footnoteReference w:id="805"/>
      </w:r>
      <w:r w:rsidR="001864B4">
        <w:rPr>
          <w:rFonts w:ascii="Times New Roman" w:hAnsi="Times New Roman" w:cs="Times New Roman"/>
          <w:sz w:val="24"/>
          <w:szCs w:val="24"/>
        </w:rPr>
        <w:t xml:space="preserve">  Based on that consideration, the PUCO should reject AEP Ohio’s proposed PPA Rider because if it is approved the ESP is not more favorable than an MRO for customers.</w:t>
      </w:r>
      <w:r w:rsidR="001864B4">
        <w:rPr>
          <w:rStyle w:val="FootnoteReference"/>
          <w:rFonts w:ascii="Times New Roman" w:hAnsi="Times New Roman" w:cs="Times New Roman"/>
          <w:sz w:val="24"/>
          <w:szCs w:val="24"/>
        </w:rPr>
        <w:footnoteReference w:id="806"/>
      </w:r>
    </w:p>
    <w:p w:rsidR="00161986" w:rsidRDefault="00161986" w:rsidP="00AA2EA0">
      <w:pPr>
        <w:spacing w:after="0" w:line="480" w:lineRule="auto"/>
        <w:ind w:firstLine="720"/>
        <w:rPr>
          <w:rFonts w:ascii="Times New Roman" w:hAnsi="Times New Roman" w:cs="Times New Roman"/>
          <w:sz w:val="24"/>
          <w:szCs w:val="24"/>
        </w:rPr>
      </w:pPr>
      <w:r w:rsidRPr="00161986">
        <w:rPr>
          <w:rFonts w:ascii="Times New Roman" w:hAnsi="Times New Roman" w:cs="Times New Roman"/>
          <w:sz w:val="24"/>
          <w:szCs w:val="24"/>
        </w:rPr>
        <w:t xml:space="preserve">According to </w:t>
      </w:r>
      <w:r w:rsidR="001A6787">
        <w:rPr>
          <w:rFonts w:ascii="Times New Roman" w:hAnsi="Times New Roman" w:cs="Times New Roman"/>
          <w:sz w:val="24"/>
          <w:szCs w:val="24"/>
        </w:rPr>
        <w:t xml:space="preserve">the </w:t>
      </w:r>
      <w:r w:rsidRPr="00161986">
        <w:rPr>
          <w:rFonts w:ascii="Times New Roman" w:hAnsi="Times New Roman" w:cs="Times New Roman"/>
          <w:sz w:val="24"/>
          <w:szCs w:val="24"/>
        </w:rPr>
        <w:t>Ohio Revised Code, the PUCO must compare what customers would pay or receive under a</w:t>
      </w:r>
      <w:r w:rsidR="001A6787">
        <w:rPr>
          <w:rFonts w:ascii="Times New Roman" w:hAnsi="Times New Roman" w:cs="Times New Roman"/>
          <w:sz w:val="24"/>
          <w:szCs w:val="24"/>
        </w:rPr>
        <w:t>n</w:t>
      </w:r>
      <w:r w:rsidRPr="00161986">
        <w:rPr>
          <w:rFonts w:ascii="Times New Roman" w:hAnsi="Times New Roman" w:cs="Times New Roman"/>
          <w:sz w:val="24"/>
          <w:szCs w:val="24"/>
        </w:rPr>
        <w:t xml:space="preserve"> MRO to what customers would pay or receive under an ESP. </w:t>
      </w:r>
      <w:r w:rsidR="002E72B1">
        <w:rPr>
          <w:rFonts w:ascii="Times New Roman" w:hAnsi="Times New Roman" w:cs="Times New Roman"/>
          <w:sz w:val="24"/>
          <w:szCs w:val="24"/>
        </w:rPr>
        <w:t xml:space="preserve"> </w:t>
      </w:r>
      <w:r w:rsidRPr="00161986">
        <w:rPr>
          <w:rFonts w:ascii="Times New Roman" w:hAnsi="Times New Roman" w:cs="Times New Roman"/>
          <w:sz w:val="24"/>
          <w:szCs w:val="24"/>
        </w:rPr>
        <w:t xml:space="preserve">In this case, the </w:t>
      </w:r>
      <w:r w:rsidRPr="001F2C1A">
        <w:rPr>
          <w:rFonts w:ascii="Times New Roman" w:hAnsi="Times New Roman" w:cs="Times New Roman"/>
          <w:sz w:val="24"/>
          <w:szCs w:val="24"/>
        </w:rPr>
        <w:t>$</w:t>
      </w:r>
      <w:r w:rsidR="001F2C1A">
        <w:rPr>
          <w:rFonts w:ascii="Times New Roman" w:hAnsi="Times New Roman" w:cs="Times New Roman"/>
          <w:sz w:val="24"/>
          <w:szCs w:val="24"/>
        </w:rPr>
        <w:t>386</w:t>
      </w:r>
      <w:r w:rsidRPr="00161986">
        <w:rPr>
          <w:rFonts w:ascii="Times New Roman" w:hAnsi="Times New Roman" w:cs="Times New Roman"/>
          <w:sz w:val="24"/>
          <w:szCs w:val="24"/>
        </w:rPr>
        <w:t xml:space="preserve"> million </w:t>
      </w:r>
      <w:r w:rsidR="001F2C1A">
        <w:rPr>
          <w:rFonts w:ascii="Times New Roman" w:hAnsi="Times New Roman" w:cs="Times New Roman"/>
          <w:sz w:val="24"/>
          <w:szCs w:val="24"/>
        </w:rPr>
        <w:t xml:space="preserve">(or the $527 million were the PPA Rider as proposed in the Joint Stipulation analyzed) </w:t>
      </w:r>
      <w:r w:rsidRPr="00161986">
        <w:rPr>
          <w:rFonts w:ascii="Times New Roman" w:hAnsi="Times New Roman" w:cs="Times New Roman"/>
          <w:sz w:val="24"/>
          <w:szCs w:val="24"/>
        </w:rPr>
        <w:t xml:space="preserve">cost to customers </w:t>
      </w:r>
      <w:r w:rsidR="00A83F37">
        <w:rPr>
          <w:rFonts w:ascii="Times New Roman" w:hAnsi="Times New Roman" w:cs="Times New Roman"/>
          <w:sz w:val="24"/>
          <w:szCs w:val="24"/>
        </w:rPr>
        <w:t xml:space="preserve">under the PPA Rider </w:t>
      </w:r>
      <w:r w:rsidRPr="00161986">
        <w:rPr>
          <w:rFonts w:ascii="Times New Roman" w:hAnsi="Times New Roman" w:cs="Times New Roman"/>
          <w:sz w:val="24"/>
          <w:szCs w:val="24"/>
        </w:rPr>
        <w:t xml:space="preserve">would not exist under an MRO. </w:t>
      </w:r>
      <w:r w:rsidR="002E72B1">
        <w:rPr>
          <w:rFonts w:ascii="Times New Roman" w:hAnsi="Times New Roman" w:cs="Times New Roman"/>
          <w:sz w:val="24"/>
          <w:szCs w:val="24"/>
        </w:rPr>
        <w:t xml:space="preserve"> </w:t>
      </w:r>
      <w:r w:rsidRPr="00161986">
        <w:rPr>
          <w:rFonts w:ascii="Times New Roman" w:hAnsi="Times New Roman" w:cs="Times New Roman"/>
          <w:sz w:val="24"/>
          <w:szCs w:val="24"/>
        </w:rPr>
        <w:t>Th</w:t>
      </w:r>
      <w:r w:rsidR="001A6787">
        <w:rPr>
          <w:rFonts w:ascii="Times New Roman" w:hAnsi="Times New Roman" w:cs="Times New Roman"/>
          <w:sz w:val="24"/>
          <w:szCs w:val="24"/>
        </w:rPr>
        <w:t xml:space="preserve">is cost to customers over only </w:t>
      </w:r>
      <w:r w:rsidRPr="00161986">
        <w:rPr>
          <w:rFonts w:ascii="Times New Roman" w:hAnsi="Times New Roman" w:cs="Times New Roman"/>
          <w:sz w:val="24"/>
          <w:szCs w:val="24"/>
        </w:rPr>
        <w:t xml:space="preserve">2 years and 5 months demonstrates that the costs of the PPA </w:t>
      </w:r>
      <w:r w:rsidR="00A83F37">
        <w:rPr>
          <w:rFonts w:ascii="Times New Roman" w:hAnsi="Times New Roman" w:cs="Times New Roman"/>
          <w:sz w:val="24"/>
          <w:szCs w:val="24"/>
        </w:rPr>
        <w:t>R</w:t>
      </w:r>
      <w:r w:rsidRPr="00161986">
        <w:rPr>
          <w:rFonts w:ascii="Times New Roman" w:hAnsi="Times New Roman" w:cs="Times New Roman"/>
          <w:sz w:val="24"/>
          <w:szCs w:val="24"/>
        </w:rPr>
        <w:t xml:space="preserve">ider </w:t>
      </w:r>
      <w:r w:rsidR="00A83F37">
        <w:rPr>
          <w:rFonts w:ascii="Times New Roman" w:hAnsi="Times New Roman" w:cs="Times New Roman"/>
          <w:sz w:val="24"/>
          <w:szCs w:val="24"/>
        </w:rPr>
        <w:t>would cause</w:t>
      </w:r>
      <w:r w:rsidRPr="00161986">
        <w:rPr>
          <w:rFonts w:ascii="Times New Roman" w:hAnsi="Times New Roman" w:cs="Times New Roman"/>
          <w:sz w:val="24"/>
          <w:szCs w:val="24"/>
        </w:rPr>
        <w:t xml:space="preserve"> AEP’s ESP to fail the statutory test. </w:t>
      </w:r>
      <w:r w:rsidR="002E72B1">
        <w:rPr>
          <w:rFonts w:ascii="Times New Roman" w:hAnsi="Times New Roman" w:cs="Times New Roman"/>
          <w:sz w:val="24"/>
          <w:szCs w:val="24"/>
        </w:rPr>
        <w:t xml:space="preserve"> </w:t>
      </w:r>
      <w:r w:rsidRPr="00161986">
        <w:rPr>
          <w:rFonts w:ascii="Times New Roman" w:hAnsi="Times New Roman" w:cs="Times New Roman"/>
          <w:sz w:val="24"/>
          <w:szCs w:val="24"/>
        </w:rPr>
        <w:t xml:space="preserve">The PUCO must reject </w:t>
      </w:r>
      <w:r w:rsidR="007F2EED">
        <w:rPr>
          <w:rFonts w:ascii="Times New Roman" w:hAnsi="Times New Roman" w:cs="Times New Roman"/>
          <w:sz w:val="24"/>
          <w:szCs w:val="24"/>
        </w:rPr>
        <w:t>AEP Ohio’s proposals</w:t>
      </w:r>
      <w:r w:rsidRPr="00161986">
        <w:rPr>
          <w:rFonts w:ascii="Times New Roman" w:hAnsi="Times New Roman" w:cs="Times New Roman"/>
          <w:sz w:val="24"/>
          <w:szCs w:val="24"/>
        </w:rPr>
        <w:t xml:space="preserve"> because </w:t>
      </w:r>
      <w:r w:rsidR="007F2EED">
        <w:rPr>
          <w:rFonts w:ascii="Times New Roman" w:hAnsi="Times New Roman" w:cs="Times New Roman"/>
          <w:sz w:val="24"/>
          <w:szCs w:val="24"/>
        </w:rPr>
        <w:t>they fail</w:t>
      </w:r>
      <w:r w:rsidRPr="00161986">
        <w:rPr>
          <w:rFonts w:ascii="Times New Roman" w:hAnsi="Times New Roman" w:cs="Times New Roman"/>
          <w:sz w:val="24"/>
          <w:szCs w:val="24"/>
        </w:rPr>
        <w:t xml:space="preserve"> to meet the legal standard set forth in R.C. 4928.143(C)(1).</w:t>
      </w:r>
    </w:p>
    <w:p w:rsidR="00FC327D" w:rsidRPr="00F84803" w:rsidRDefault="00272897" w:rsidP="007D22BE">
      <w:pPr>
        <w:pStyle w:val="Heading2"/>
      </w:pPr>
      <w:bookmarkStart w:id="194" w:name="_Toc442104238"/>
      <w:r>
        <w:t>I</w:t>
      </w:r>
      <w:r w:rsidR="007D22BE">
        <w:t>.</w:t>
      </w:r>
      <w:r w:rsidR="007D22BE">
        <w:tab/>
      </w:r>
      <w:r w:rsidR="007A03C2">
        <w:t xml:space="preserve">The Commission should reverse certain rulings that </w:t>
      </w:r>
      <w:r w:rsidR="00FC327D" w:rsidRPr="00F84803">
        <w:t>were wrongly decided during the evidentiary hearing on the Joint Stipulation.</w:t>
      </w:r>
      <w:bookmarkEnd w:id="194"/>
    </w:p>
    <w:p w:rsidR="00D6217A" w:rsidRDefault="00E23716" w:rsidP="00941ED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is well-aware of the broad discovery permitted under the governing rules and law.</w:t>
      </w:r>
      <w:r>
        <w:rPr>
          <w:rStyle w:val="FootnoteReference"/>
          <w:rFonts w:ascii="Times New Roman" w:hAnsi="Times New Roman" w:cs="Times New Roman"/>
          <w:sz w:val="24"/>
          <w:szCs w:val="24"/>
        </w:rPr>
        <w:footnoteReference w:id="807"/>
      </w:r>
      <w:r>
        <w:rPr>
          <w:rFonts w:ascii="Times New Roman" w:hAnsi="Times New Roman" w:cs="Times New Roman"/>
          <w:sz w:val="24"/>
          <w:szCs w:val="24"/>
        </w:rPr>
        <w:t xml:space="preserve">  The importance of this case and the corresponding need for a robust record has been acknowledged.</w:t>
      </w:r>
      <w:r>
        <w:rPr>
          <w:rStyle w:val="FootnoteReference"/>
          <w:rFonts w:ascii="Times New Roman" w:hAnsi="Times New Roman" w:cs="Times New Roman"/>
          <w:sz w:val="24"/>
          <w:szCs w:val="24"/>
        </w:rPr>
        <w:footnoteReference w:id="808"/>
      </w:r>
      <w:r>
        <w:rPr>
          <w:rFonts w:ascii="Times New Roman" w:hAnsi="Times New Roman" w:cs="Times New Roman"/>
          <w:sz w:val="24"/>
          <w:szCs w:val="24"/>
        </w:rPr>
        <w:t xml:space="preserve">  </w:t>
      </w:r>
      <w:r w:rsidR="00E0077D">
        <w:rPr>
          <w:rFonts w:ascii="Times New Roman" w:hAnsi="Times New Roman" w:cs="Times New Roman"/>
          <w:sz w:val="24"/>
          <w:szCs w:val="24"/>
        </w:rPr>
        <w:t>Nevertheless</w:t>
      </w:r>
      <w:r>
        <w:rPr>
          <w:rFonts w:ascii="Times New Roman" w:hAnsi="Times New Roman" w:cs="Times New Roman"/>
          <w:sz w:val="24"/>
          <w:szCs w:val="24"/>
        </w:rPr>
        <w:t>, relevant, material evidence was kept out of the record</w:t>
      </w:r>
      <w:r w:rsidR="00D028EB">
        <w:rPr>
          <w:rFonts w:ascii="Times New Roman" w:hAnsi="Times New Roman" w:cs="Times New Roman"/>
          <w:sz w:val="24"/>
          <w:szCs w:val="24"/>
        </w:rPr>
        <w:t xml:space="preserve"> during the evidentiary hearing on the Joint Stipulation</w:t>
      </w:r>
      <w:r>
        <w:rPr>
          <w:rFonts w:ascii="Times New Roman" w:hAnsi="Times New Roman" w:cs="Times New Roman"/>
          <w:sz w:val="24"/>
          <w:szCs w:val="24"/>
        </w:rPr>
        <w:t xml:space="preserve">.  First, the </w:t>
      </w:r>
      <w:r w:rsidR="00B41775">
        <w:rPr>
          <w:rFonts w:ascii="Times New Roman" w:hAnsi="Times New Roman" w:cs="Times New Roman"/>
          <w:sz w:val="24"/>
          <w:szCs w:val="24"/>
        </w:rPr>
        <w:t>settlement discussion confidentiality privilege</w:t>
      </w:r>
      <w:r>
        <w:rPr>
          <w:rFonts w:ascii="Times New Roman" w:hAnsi="Times New Roman" w:cs="Times New Roman"/>
          <w:sz w:val="24"/>
          <w:szCs w:val="24"/>
        </w:rPr>
        <w:t xml:space="preserve"> was applied</w:t>
      </w:r>
      <w:r w:rsidR="00D028EB">
        <w:rPr>
          <w:rFonts w:ascii="Times New Roman" w:hAnsi="Times New Roman" w:cs="Times New Roman"/>
          <w:sz w:val="24"/>
          <w:szCs w:val="24"/>
        </w:rPr>
        <w:t xml:space="preserve"> </w:t>
      </w:r>
      <w:r>
        <w:rPr>
          <w:rFonts w:ascii="Times New Roman" w:hAnsi="Times New Roman" w:cs="Times New Roman"/>
          <w:sz w:val="24"/>
          <w:szCs w:val="24"/>
        </w:rPr>
        <w:t>well beyond</w:t>
      </w:r>
      <w:r w:rsidR="00D028EB">
        <w:rPr>
          <w:rFonts w:ascii="Times New Roman" w:hAnsi="Times New Roman" w:cs="Times New Roman"/>
          <w:sz w:val="24"/>
          <w:szCs w:val="24"/>
        </w:rPr>
        <w:t xml:space="preserve"> legal bounds.  Second, OCC’s subpoenas on Signatory Parties to appear and testify during the evidentiary hearing were quashed. </w:t>
      </w:r>
      <w:r w:rsidR="00B763B7">
        <w:rPr>
          <w:rFonts w:ascii="Times New Roman" w:hAnsi="Times New Roman" w:cs="Times New Roman"/>
          <w:sz w:val="24"/>
          <w:szCs w:val="24"/>
        </w:rPr>
        <w:t xml:space="preserve"> Third, testimony was admitted that shouldn’t have been.  </w:t>
      </w:r>
      <w:r w:rsidR="00D028EB" w:rsidRPr="00062AF7">
        <w:rPr>
          <w:rFonts w:ascii="Times New Roman" w:hAnsi="Times New Roman" w:cs="Times New Roman"/>
          <w:sz w:val="24"/>
          <w:szCs w:val="24"/>
        </w:rPr>
        <w:t xml:space="preserve">Such rulings should be reversed by the PUCO. </w:t>
      </w:r>
      <w:r w:rsidR="00062AF7" w:rsidRPr="00062AF7">
        <w:rPr>
          <w:rFonts w:ascii="Times New Roman" w:hAnsi="Times New Roman" w:cs="Times New Roman"/>
          <w:sz w:val="24"/>
          <w:szCs w:val="24"/>
        </w:rPr>
        <w:t xml:space="preserve"> </w:t>
      </w:r>
    </w:p>
    <w:p w:rsidR="00062AF7" w:rsidRDefault="00062AF7" w:rsidP="00941ED6">
      <w:pPr>
        <w:spacing w:after="0" w:line="480" w:lineRule="auto"/>
        <w:ind w:firstLine="720"/>
        <w:rPr>
          <w:rFonts w:ascii="Times New Roman" w:hAnsi="Times New Roman" w:cs="Times New Roman"/>
          <w:sz w:val="24"/>
          <w:szCs w:val="24"/>
        </w:rPr>
      </w:pPr>
      <w:r w:rsidRPr="00062AF7">
        <w:rPr>
          <w:rFonts w:ascii="Times New Roman" w:hAnsi="Times New Roman" w:cs="Times New Roman"/>
          <w:sz w:val="24"/>
          <w:szCs w:val="24"/>
        </w:rPr>
        <w:t xml:space="preserve">Ohio Adm. Code 4901-1-15(F) allows a party to seek reversal of an Examiner ruling by </w:t>
      </w:r>
      <w:r>
        <w:rPr>
          <w:rFonts w:ascii="Times New Roman" w:hAnsi="Times New Roman" w:cs="Times New Roman"/>
          <w:sz w:val="24"/>
          <w:szCs w:val="24"/>
        </w:rPr>
        <w:t>“</w:t>
      </w:r>
      <w:r w:rsidRPr="003B25BD">
        <w:rPr>
          <w:rFonts w:ascii="Times New Roman" w:hAnsi="Times New Roman" w:cs="Times New Roman"/>
          <w:sz w:val="24"/>
          <w:szCs w:val="24"/>
        </w:rPr>
        <w:t>discussing the matter as a distinct issue in its initial brief</w:t>
      </w:r>
      <w:r>
        <w:rPr>
          <w:rFonts w:ascii="Times New Roman" w:hAnsi="Times New Roman" w:cs="Times New Roman"/>
          <w:sz w:val="24"/>
          <w:szCs w:val="24"/>
        </w:rPr>
        <w:t xml:space="preserve">….”  Accordingly, </w:t>
      </w:r>
      <w:r w:rsidR="00E861A7">
        <w:rPr>
          <w:rFonts w:ascii="Times New Roman" w:hAnsi="Times New Roman" w:cs="Times New Roman"/>
          <w:sz w:val="24"/>
          <w:szCs w:val="24"/>
        </w:rPr>
        <w:t>OCC</w:t>
      </w:r>
      <w:r>
        <w:rPr>
          <w:rFonts w:ascii="Times New Roman" w:hAnsi="Times New Roman" w:cs="Times New Roman"/>
          <w:sz w:val="24"/>
          <w:szCs w:val="24"/>
        </w:rPr>
        <w:t xml:space="preserve"> seek</w:t>
      </w:r>
      <w:r w:rsidR="00E861A7">
        <w:rPr>
          <w:rFonts w:ascii="Times New Roman" w:hAnsi="Times New Roman" w:cs="Times New Roman"/>
          <w:sz w:val="24"/>
          <w:szCs w:val="24"/>
        </w:rPr>
        <w:t>s</w:t>
      </w:r>
      <w:r>
        <w:rPr>
          <w:rFonts w:ascii="Times New Roman" w:hAnsi="Times New Roman" w:cs="Times New Roman"/>
          <w:sz w:val="24"/>
          <w:szCs w:val="24"/>
        </w:rPr>
        <w:t xml:space="preserve"> reversal of the rulings </w:t>
      </w:r>
      <w:r w:rsidR="002058F5">
        <w:rPr>
          <w:rFonts w:ascii="Times New Roman" w:hAnsi="Times New Roman" w:cs="Times New Roman"/>
          <w:sz w:val="24"/>
          <w:szCs w:val="24"/>
        </w:rPr>
        <w:t>described herein.</w:t>
      </w:r>
    </w:p>
    <w:p w:rsidR="00AA2EA0" w:rsidRDefault="00D028EB" w:rsidP="00AA2EA0">
      <w:pPr>
        <w:spacing w:after="0" w:line="480" w:lineRule="auto"/>
        <w:ind w:firstLine="720"/>
        <w:rPr>
          <w:rFonts w:ascii="Times New Roman" w:hAnsi="Times New Roman" w:cs="Times New Roman"/>
          <w:sz w:val="24"/>
          <w:szCs w:val="24"/>
        </w:rPr>
      </w:pPr>
      <w:r w:rsidRPr="00062AF7">
        <w:rPr>
          <w:rFonts w:ascii="Times New Roman" w:hAnsi="Times New Roman" w:cs="Times New Roman"/>
          <w:sz w:val="24"/>
          <w:szCs w:val="24"/>
        </w:rPr>
        <w:t>The evidentiary hearing should be reopened to allow non-Signatory Parties to cross</w:t>
      </w:r>
      <w:r>
        <w:rPr>
          <w:rFonts w:ascii="Times New Roman" w:hAnsi="Times New Roman" w:cs="Times New Roman"/>
          <w:sz w:val="24"/>
          <w:szCs w:val="24"/>
        </w:rPr>
        <w:t>-examine witnesses on matters related to the three-prong test consistent with the proper bounds of</w:t>
      </w:r>
      <w:r w:rsidR="00302146">
        <w:rPr>
          <w:rFonts w:ascii="Times New Roman" w:hAnsi="Times New Roman" w:cs="Times New Roman"/>
          <w:sz w:val="24"/>
          <w:szCs w:val="24"/>
        </w:rPr>
        <w:t xml:space="preserve"> the</w:t>
      </w:r>
      <w:r>
        <w:rPr>
          <w:rFonts w:ascii="Times New Roman" w:hAnsi="Times New Roman" w:cs="Times New Roman"/>
          <w:sz w:val="24"/>
          <w:szCs w:val="24"/>
        </w:rPr>
        <w:t xml:space="preserve"> settlement discussion confidentiality</w:t>
      </w:r>
      <w:r w:rsidR="00302146">
        <w:rPr>
          <w:rFonts w:ascii="Times New Roman" w:hAnsi="Times New Roman" w:cs="Times New Roman"/>
          <w:sz w:val="24"/>
          <w:szCs w:val="24"/>
        </w:rPr>
        <w:t xml:space="preserve"> privilege</w:t>
      </w:r>
      <w:r>
        <w:rPr>
          <w:rFonts w:ascii="Times New Roman" w:hAnsi="Times New Roman" w:cs="Times New Roman"/>
          <w:sz w:val="24"/>
          <w:szCs w:val="24"/>
        </w:rPr>
        <w:t xml:space="preserve">.  The evidentiary </w:t>
      </w:r>
    </w:p>
    <w:p w:rsidR="00AA2EA0" w:rsidRDefault="00AA2EA0">
      <w:pPr>
        <w:rPr>
          <w:rFonts w:ascii="Times New Roman" w:hAnsi="Times New Roman" w:cs="Times New Roman"/>
          <w:sz w:val="24"/>
          <w:szCs w:val="24"/>
        </w:rPr>
      </w:pPr>
      <w:r>
        <w:rPr>
          <w:rFonts w:ascii="Times New Roman" w:hAnsi="Times New Roman" w:cs="Times New Roman"/>
          <w:sz w:val="24"/>
          <w:szCs w:val="24"/>
        </w:rPr>
        <w:br w:type="page"/>
      </w:r>
    </w:p>
    <w:p w:rsidR="002E72B1" w:rsidRDefault="00D028EB" w:rsidP="00AA2EA0">
      <w:pPr>
        <w:spacing w:after="0" w:line="480" w:lineRule="auto"/>
        <w:rPr>
          <w:rFonts w:ascii="Times New Roman Bold" w:eastAsia="WenQuanYi Micro Hei" w:hAnsi="Times New Roman Bold" w:cs="Times New Roman"/>
          <w:b/>
          <w:sz w:val="24"/>
          <w:szCs w:val="24"/>
          <w:lang w:eastAsia="zh-CN" w:bidi="hi-IN"/>
        </w:rPr>
      </w:pPr>
      <w:r>
        <w:rPr>
          <w:rFonts w:ascii="Times New Roman" w:hAnsi="Times New Roman" w:cs="Times New Roman"/>
          <w:sz w:val="24"/>
          <w:szCs w:val="24"/>
        </w:rPr>
        <w:t xml:space="preserve">hearing should also be reopened to allow non-Signatory </w:t>
      </w:r>
      <w:r w:rsidR="00286645">
        <w:rPr>
          <w:rFonts w:ascii="Times New Roman" w:hAnsi="Times New Roman" w:cs="Times New Roman"/>
          <w:sz w:val="24"/>
          <w:szCs w:val="24"/>
        </w:rPr>
        <w:t>P</w:t>
      </w:r>
      <w:r>
        <w:rPr>
          <w:rFonts w:ascii="Times New Roman" w:hAnsi="Times New Roman" w:cs="Times New Roman"/>
          <w:sz w:val="24"/>
          <w:szCs w:val="24"/>
        </w:rPr>
        <w:t>arties to cross-examine the Signatory Parties subpoenaed.</w:t>
      </w:r>
      <w:r w:rsidR="00C56831">
        <w:rPr>
          <w:rStyle w:val="FootnoteReference"/>
          <w:rFonts w:ascii="Times New Roman" w:hAnsi="Times New Roman" w:cs="Times New Roman"/>
          <w:sz w:val="24"/>
          <w:szCs w:val="24"/>
        </w:rPr>
        <w:footnoteReference w:id="809"/>
      </w:r>
    </w:p>
    <w:p w:rsidR="00FC327D" w:rsidRDefault="003C1ECF" w:rsidP="00F27AA5">
      <w:pPr>
        <w:pStyle w:val="Heading3"/>
      </w:pPr>
      <w:bookmarkStart w:id="195" w:name="_Toc442104239"/>
      <w:r>
        <w:t>1.</w:t>
      </w:r>
      <w:r>
        <w:tab/>
      </w:r>
      <w:r w:rsidR="00302146">
        <w:t>Settlement discussion</w:t>
      </w:r>
      <w:r w:rsidR="00D028EB">
        <w:t xml:space="preserve"> confidentiality </w:t>
      </w:r>
      <w:r w:rsidR="00302146">
        <w:t xml:space="preserve">privilege </w:t>
      </w:r>
      <w:r w:rsidR="00D028EB">
        <w:t>is limited in scope and inapplicable to the questions asked during the evidentiary hearing by non-Signatory Parties.</w:t>
      </w:r>
      <w:bookmarkEnd w:id="195"/>
      <w:r w:rsidR="00D028EB">
        <w:t xml:space="preserve"> </w:t>
      </w:r>
      <w:r w:rsidR="00D028EB" w:rsidRPr="00D028EB">
        <w:t xml:space="preserve">  </w:t>
      </w:r>
      <w:r w:rsidR="00E23716" w:rsidRPr="00D028EB">
        <w:t xml:space="preserve">  </w:t>
      </w:r>
    </w:p>
    <w:p w:rsidR="00D028EB" w:rsidRDefault="00BE4144" w:rsidP="007B62E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Signatory Parties had the burden during the evidentiary hearing to show that each part of the three-prong test was met.  Non-Signatory Parties asked numerous questions to probe the degree to which each element of the three-prong test was met.  Without exception, objections to such questions were sustained or a limiting instruction was given to the witness not to divulge matters discussed during settlement.</w:t>
      </w:r>
      <w:r w:rsidR="00F0044D">
        <w:rPr>
          <w:rStyle w:val="FootnoteReference"/>
          <w:rFonts w:ascii="Times New Roman" w:hAnsi="Times New Roman" w:cs="Times New Roman"/>
          <w:sz w:val="24"/>
          <w:szCs w:val="24"/>
        </w:rPr>
        <w:footnoteReference w:id="810"/>
      </w:r>
      <w:r>
        <w:rPr>
          <w:rFonts w:ascii="Times New Roman" w:hAnsi="Times New Roman" w:cs="Times New Roman"/>
          <w:sz w:val="24"/>
          <w:szCs w:val="24"/>
        </w:rPr>
        <w:t xml:space="preserve">  In fact, it was felt necessary to give a general directive that any questions necessitating disclosure, of any kind, regarding settlement discussions would be prohibited.</w:t>
      </w:r>
      <w:r w:rsidR="00F0044D">
        <w:rPr>
          <w:rStyle w:val="FootnoteReference"/>
          <w:rFonts w:ascii="Times New Roman" w:hAnsi="Times New Roman" w:cs="Times New Roman"/>
          <w:sz w:val="24"/>
          <w:szCs w:val="24"/>
        </w:rPr>
        <w:footnoteReference w:id="811"/>
      </w:r>
      <w:r>
        <w:rPr>
          <w:rFonts w:ascii="Times New Roman" w:hAnsi="Times New Roman" w:cs="Times New Roman"/>
          <w:sz w:val="24"/>
          <w:szCs w:val="24"/>
        </w:rPr>
        <w:t xml:space="preserve">  Such broad applications of </w:t>
      </w:r>
      <w:r w:rsidR="006A14C2">
        <w:rPr>
          <w:rFonts w:ascii="Times New Roman" w:hAnsi="Times New Roman" w:cs="Times New Roman"/>
          <w:sz w:val="24"/>
          <w:szCs w:val="24"/>
        </w:rPr>
        <w:t xml:space="preserve">the </w:t>
      </w:r>
      <w:r>
        <w:rPr>
          <w:rFonts w:ascii="Times New Roman" w:hAnsi="Times New Roman" w:cs="Times New Roman"/>
          <w:sz w:val="24"/>
          <w:szCs w:val="24"/>
        </w:rPr>
        <w:t xml:space="preserve">settlement discussion confidentiality </w:t>
      </w:r>
      <w:r w:rsidR="00B41775">
        <w:rPr>
          <w:rFonts w:ascii="Times New Roman" w:hAnsi="Times New Roman" w:cs="Times New Roman"/>
          <w:sz w:val="24"/>
          <w:szCs w:val="24"/>
        </w:rPr>
        <w:t xml:space="preserve">privilege </w:t>
      </w:r>
      <w:r>
        <w:rPr>
          <w:rFonts w:ascii="Times New Roman" w:hAnsi="Times New Roman" w:cs="Times New Roman"/>
          <w:sz w:val="24"/>
          <w:szCs w:val="24"/>
        </w:rPr>
        <w:t>extend well beyond the governing law.</w:t>
      </w:r>
    </w:p>
    <w:p w:rsidR="00BE4144" w:rsidRDefault="00BE4144" w:rsidP="007B62E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Evidence Rule 408 provides limited confidentiality for settlement discussions.  Thus, offering consideration in compromising or attempting to compromise a claim which was disputed is not admissible to prove liability, invalidity of the claim, or its amount.</w:t>
      </w:r>
      <w:r>
        <w:rPr>
          <w:rStyle w:val="FootnoteReference"/>
          <w:rFonts w:ascii="Times New Roman" w:hAnsi="Times New Roman" w:cs="Times New Roman"/>
          <w:sz w:val="24"/>
          <w:szCs w:val="24"/>
        </w:rPr>
        <w:footnoteReference w:id="812"/>
      </w:r>
      <w:r>
        <w:rPr>
          <w:rFonts w:ascii="Times New Roman" w:hAnsi="Times New Roman" w:cs="Times New Roman"/>
          <w:sz w:val="24"/>
          <w:szCs w:val="24"/>
        </w:rPr>
        <w:t xml:space="preserve">  But the Rule “does not require the exclusion of any evidence otherwise discoverable merely because it is presented in the course of compromise negotiations.”</w:t>
      </w:r>
      <w:r>
        <w:rPr>
          <w:rStyle w:val="FootnoteReference"/>
          <w:rFonts w:ascii="Times New Roman" w:hAnsi="Times New Roman" w:cs="Times New Roman"/>
          <w:sz w:val="24"/>
          <w:szCs w:val="24"/>
        </w:rPr>
        <w:footnoteReference w:id="813"/>
      </w:r>
      <w:r>
        <w:rPr>
          <w:rFonts w:ascii="Times New Roman" w:hAnsi="Times New Roman" w:cs="Times New Roman"/>
          <w:sz w:val="24"/>
          <w:szCs w:val="24"/>
        </w:rPr>
        <w:t xml:space="preserve">  </w:t>
      </w:r>
      <w:r w:rsidR="00FF1E41">
        <w:rPr>
          <w:rFonts w:ascii="Times New Roman" w:hAnsi="Times New Roman" w:cs="Times New Roman"/>
          <w:sz w:val="24"/>
          <w:szCs w:val="24"/>
        </w:rPr>
        <w:t>Further, the Rule “does not require exclusion when the evidence is offered for another purpose, . . .”</w:t>
      </w:r>
      <w:r w:rsidR="00FF1E41">
        <w:rPr>
          <w:rStyle w:val="FootnoteReference"/>
          <w:rFonts w:ascii="Times New Roman" w:hAnsi="Times New Roman" w:cs="Times New Roman"/>
          <w:sz w:val="24"/>
          <w:szCs w:val="24"/>
        </w:rPr>
        <w:footnoteReference w:id="814"/>
      </w:r>
      <w:r w:rsidR="00FF1E41">
        <w:rPr>
          <w:rFonts w:ascii="Times New Roman" w:hAnsi="Times New Roman" w:cs="Times New Roman"/>
          <w:sz w:val="24"/>
          <w:szCs w:val="24"/>
        </w:rPr>
        <w:t xml:space="preserve">  Ohio Administrative Code sec. 4901-1-26(E) is analogous to Rule 408.  It provides limited confidentiality for settlement discussions.  But it, too, provides that it “does not require the exclusion of any evidence otherwise discoverable merely because it is presented in the course of compromise negotiations.”</w:t>
      </w:r>
      <w:r w:rsidR="00FF1E41">
        <w:rPr>
          <w:rStyle w:val="FootnoteReference"/>
          <w:rFonts w:ascii="Times New Roman" w:hAnsi="Times New Roman" w:cs="Times New Roman"/>
          <w:sz w:val="24"/>
          <w:szCs w:val="24"/>
        </w:rPr>
        <w:footnoteReference w:id="815"/>
      </w:r>
      <w:r w:rsidR="00FF1E41">
        <w:rPr>
          <w:rFonts w:ascii="Times New Roman" w:hAnsi="Times New Roman" w:cs="Times New Roman"/>
          <w:sz w:val="24"/>
          <w:szCs w:val="24"/>
        </w:rPr>
        <w:t xml:space="preserve">  Also, it, too, provides that it “does not require exclusion when the evidence is offered for another valid purpose.”</w:t>
      </w:r>
      <w:r w:rsidR="00FF1E41">
        <w:rPr>
          <w:rStyle w:val="FootnoteReference"/>
          <w:rFonts w:ascii="Times New Roman" w:hAnsi="Times New Roman" w:cs="Times New Roman"/>
          <w:sz w:val="24"/>
          <w:szCs w:val="24"/>
        </w:rPr>
        <w:footnoteReference w:id="816"/>
      </w:r>
    </w:p>
    <w:p w:rsidR="00FF1E41" w:rsidRDefault="00FF1E41" w:rsidP="007B62E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Ohio Supreme Court has held that there is no blanket “settlement privilege.”</w:t>
      </w:r>
      <w:r>
        <w:rPr>
          <w:rStyle w:val="FootnoteReference"/>
          <w:rFonts w:ascii="Times New Roman" w:hAnsi="Times New Roman" w:cs="Times New Roman"/>
          <w:sz w:val="24"/>
          <w:szCs w:val="24"/>
        </w:rPr>
        <w:footnoteReference w:id="817"/>
      </w:r>
      <w:r w:rsidR="00901D03">
        <w:rPr>
          <w:rFonts w:ascii="Times New Roman" w:hAnsi="Times New Roman" w:cs="Times New Roman"/>
          <w:sz w:val="24"/>
          <w:szCs w:val="24"/>
        </w:rPr>
        <w:t xml:space="preserve">  It has acknowledged that “discovery of settlement terms and agreements is not always impermissible.”</w:t>
      </w:r>
      <w:r w:rsidR="00901D03">
        <w:rPr>
          <w:rStyle w:val="FootnoteReference"/>
          <w:rFonts w:ascii="Times New Roman" w:hAnsi="Times New Roman" w:cs="Times New Roman"/>
          <w:sz w:val="24"/>
          <w:szCs w:val="24"/>
        </w:rPr>
        <w:footnoteReference w:id="818"/>
      </w:r>
      <w:r w:rsidR="00901D03">
        <w:rPr>
          <w:rFonts w:ascii="Times New Roman" w:hAnsi="Times New Roman" w:cs="Times New Roman"/>
          <w:sz w:val="24"/>
          <w:szCs w:val="24"/>
        </w:rPr>
        <w:t xml:space="preserve">  Further, it has indicated that the nature of settlement meetings – for example, exclusionary settlement meetings – are matters of “grave concern[]” to it.</w:t>
      </w:r>
      <w:r w:rsidR="00901D03">
        <w:rPr>
          <w:rStyle w:val="FootnoteReference"/>
          <w:rFonts w:ascii="Times New Roman" w:hAnsi="Times New Roman" w:cs="Times New Roman"/>
          <w:sz w:val="24"/>
          <w:szCs w:val="24"/>
        </w:rPr>
        <w:footnoteReference w:id="819"/>
      </w:r>
      <w:r w:rsidR="007B62E9">
        <w:rPr>
          <w:rFonts w:ascii="Times New Roman" w:hAnsi="Times New Roman" w:cs="Times New Roman"/>
          <w:sz w:val="24"/>
          <w:szCs w:val="24"/>
        </w:rPr>
        <w:t xml:space="preserve">  As such, the Ohio Supreme Court has acknowledged that the nature of settlement meetings is not protected by the limited settlement </w:t>
      </w:r>
      <w:r w:rsidR="006A14C2">
        <w:rPr>
          <w:rFonts w:ascii="Times New Roman" w:hAnsi="Times New Roman" w:cs="Times New Roman"/>
          <w:sz w:val="24"/>
          <w:szCs w:val="24"/>
        </w:rPr>
        <w:t xml:space="preserve">discussion </w:t>
      </w:r>
      <w:r w:rsidR="007B62E9">
        <w:rPr>
          <w:rFonts w:ascii="Times New Roman" w:hAnsi="Times New Roman" w:cs="Times New Roman"/>
          <w:sz w:val="24"/>
          <w:szCs w:val="24"/>
        </w:rPr>
        <w:t xml:space="preserve">confidentiality </w:t>
      </w:r>
      <w:r w:rsidR="006A14C2">
        <w:rPr>
          <w:rFonts w:ascii="Times New Roman" w:hAnsi="Times New Roman" w:cs="Times New Roman"/>
          <w:sz w:val="24"/>
          <w:szCs w:val="24"/>
        </w:rPr>
        <w:t xml:space="preserve">privilege </w:t>
      </w:r>
      <w:r w:rsidR="007B62E9">
        <w:rPr>
          <w:rFonts w:ascii="Times New Roman" w:hAnsi="Times New Roman" w:cs="Times New Roman"/>
          <w:sz w:val="24"/>
          <w:szCs w:val="24"/>
        </w:rPr>
        <w:t>under Rule 408 or Ohio Administrative Code 4901-1-26(E).  The PUCO has admonished against stipulation provisions that result in paying cash or cash equivalents to signatory parties out of consumers’ pockets – and forewarned parties that such provisions are likely to be stricken.</w:t>
      </w:r>
      <w:r w:rsidR="007B62E9">
        <w:rPr>
          <w:rStyle w:val="FootnoteReference"/>
          <w:rFonts w:ascii="Times New Roman" w:hAnsi="Times New Roman" w:cs="Times New Roman"/>
          <w:sz w:val="24"/>
          <w:szCs w:val="24"/>
        </w:rPr>
        <w:footnoteReference w:id="820"/>
      </w:r>
      <w:r w:rsidR="006A14C2">
        <w:rPr>
          <w:rFonts w:ascii="Times New Roman" w:hAnsi="Times New Roman" w:cs="Times New Roman"/>
          <w:sz w:val="24"/>
          <w:szCs w:val="24"/>
        </w:rPr>
        <w:t xml:space="preserve">  As such, the PUCO itself has acknowledged that probing provisions resulting in paying cash or cash equivalents is appropriate.</w:t>
      </w:r>
    </w:p>
    <w:p w:rsidR="00541630" w:rsidRDefault="007B62E9" w:rsidP="007B62E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record demonstrates that the information sought by non-Signatory Parties was not within the limited scope of </w:t>
      </w:r>
      <w:r w:rsidR="006A14C2">
        <w:rPr>
          <w:rFonts w:ascii="Times New Roman" w:hAnsi="Times New Roman" w:cs="Times New Roman"/>
          <w:sz w:val="24"/>
          <w:szCs w:val="24"/>
        </w:rPr>
        <w:t xml:space="preserve">the </w:t>
      </w:r>
      <w:r>
        <w:rPr>
          <w:rFonts w:ascii="Times New Roman" w:hAnsi="Times New Roman" w:cs="Times New Roman"/>
          <w:sz w:val="24"/>
          <w:szCs w:val="24"/>
        </w:rPr>
        <w:t>settlement discussion confidentiality</w:t>
      </w:r>
      <w:r w:rsidR="006A14C2">
        <w:rPr>
          <w:rFonts w:ascii="Times New Roman" w:hAnsi="Times New Roman" w:cs="Times New Roman"/>
          <w:sz w:val="24"/>
          <w:szCs w:val="24"/>
        </w:rPr>
        <w:t xml:space="preserve"> privilege</w:t>
      </w:r>
      <w:r>
        <w:rPr>
          <w:rFonts w:ascii="Times New Roman" w:hAnsi="Times New Roman" w:cs="Times New Roman"/>
          <w:sz w:val="24"/>
          <w:szCs w:val="24"/>
        </w:rPr>
        <w:t xml:space="preserve">.  Instead, </w:t>
      </w:r>
      <w:r w:rsidR="00EA05C9">
        <w:rPr>
          <w:rFonts w:ascii="Times New Roman" w:hAnsi="Times New Roman" w:cs="Times New Roman"/>
          <w:sz w:val="24"/>
          <w:szCs w:val="24"/>
        </w:rPr>
        <w:t>the information sought was for “another valid purpose” – has the three-prong test been met.  For example:  Was there serious bargaining?  If so, was it among knowledgeable parties?</w:t>
      </w:r>
      <w:r w:rsidR="00994314">
        <w:rPr>
          <w:rFonts w:ascii="Times New Roman" w:hAnsi="Times New Roman" w:cs="Times New Roman"/>
          <w:sz w:val="24"/>
          <w:szCs w:val="24"/>
        </w:rPr>
        <w:t xml:space="preserve">  </w:t>
      </w:r>
      <w:r w:rsidR="00EA05C9">
        <w:rPr>
          <w:rFonts w:ascii="Times New Roman" w:hAnsi="Times New Roman" w:cs="Times New Roman"/>
          <w:sz w:val="24"/>
          <w:szCs w:val="24"/>
        </w:rPr>
        <w:t xml:space="preserve">  What was the nature of the settlement meetings?  Were they exclusionary?  What, exactly, is in the “package” for the PUCO’s public interest review?  Is the package in the public interest, or is it merely a compilation of cash or cash equivalent payments to Signatory Parties at consumers’ expense?  </w:t>
      </w:r>
      <w:r w:rsidR="00994314">
        <w:rPr>
          <w:rFonts w:ascii="Times New Roman" w:hAnsi="Times New Roman" w:cs="Times New Roman"/>
          <w:sz w:val="24"/>
          <w:szCs w:val="24"/>
        </w:rPr>
        <w:t>What does the Joint Stipulation mean?</w:t>
      </w:r>
      <w:r w:rsidR="00994314">
        <w:rPr>
          <w:rStyle w:val="FootnoteReference"/>
          <w:rFonts w:ascii="Times New Roman" w:hAnsi="Times New Roman" w:cs="Times New Roman"/>
          <w:sz w:val="24"/>
          <w:szCs w:val="24"/>
        </w:rPr>
        <w:footnoteReference w:id="821"/>
      </w:r>
      <w:r w:rsidR="00994314">
        <w:rPr>
          <w:rFonts w:ascii="Times New Roman" w:hAnsi="Times New Roman" w:cs="Times New Roman"/>
          <w:sz w:val="24"/>
          <w:szCs w:val="24"/>
        </w:rPr>
        <w:t xml:space="preserve">  </w:t>
      </w:r>
      <w:r w:rsidR="00EA05C9">
        <w:rPr>
          <w:rFonts w:ascii="Times New Roman" w:hAnsi="Times New Roman" w:cs="Times New Roman"/>
          <w:sz w:val="24"/>
          <w:szCs w:val="24"/>
        </w:rPr>
        <w:t xml:space="preserve">None of these areas – all proper under governing rules and law, as described above – were permitted to be fully and fairly explored during the evidentiary hearing due to the breadth with which </w:t>
      </w:r>
      <w:r w:rsidR="006A14C2">
        <w:rPr>
          <w:rFonts w:ascii="Times New Roman" w:hAnsi="Times New Roman" w:cs="Times New Roman"/>
          <w:sz w:val="24"/>
          <w:szCs w:val="24"/>
        </w:rPr>
        <w:t xml:space="preserve">the </w:t>
      </w:r>
      <w:r w:rsidR="00EA05C9">
        <w:rPr>
          <w:rFonts w:ascii="Times New Roman" w:hAnsi="Times New Roman" w:cs="Times New Roman"/>
          <w:sz w:val="24"/>
          <w:szCs w:val="24"/>
        </w:rPr>
        <w:t xml:space="preserve">settlement discussion confidentiality </w:t>
      </w:r>
      <w:r w:rsidR="006A14C2">
        <w:rPr>
          <w:rFonts w:ascii="Times New Roman" w:hAnsi="Times New Roman" w:cs="Times New Roman"/>
          <w:sz w:val="24"/>
          <w:szCs w:val="24"/>
        </w:rPr>
        <w:t xml:space="preserve">privilege </w:t>
      </w:r>
      <w:r w:rsidR="00EA05C9">
        <w:rPr>
          <w:rFonts w:ascii="Times New Roman" w:hAnsi="Times New Roman" w:cs="Times New Roman"/>
          <w:sz w:val="24"/>
          <w:szCs w:val="24"/>
        </w:rPr>
        <w:t>was applied.</w:t>
      </w:r>
    </w:p>
    <w:p w:rsidR="007B62E9" w:rsidRDefault="00541630" w:rsidP="00B4177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broad application of </w:t>
      </w:r>
      <w:r w:rsidR="006A14C2">
        <w:rPr>
          <w:rFonts w:ascii="Times New Roman" w:hAnsi="Times New Roman" w:cs="Times New Roman"/>
          <w:sz w:val="24"/>
          <w:szCs w:val="24"/>
        </w:rPr>
        <w:t xml:space="preserve">the </w:t>
      </w:r>
      <w:r>
        <w:rPr>
          <w:rFonts w:ascii="Times New Roman" w:hAnsi="Times New Roman" w:cs="Times New Roman"/>
          <w:sz w:val="24"/>
          <w:szCs w:val="24"/>
        </w:rPr>
        <w:t>settlement discussion confidentiality</w:t>
      </w:r>
      <w:r w:rsidR="006A14C2">
        <w:rPr>
          <w:rFonts w:ascii="Times New Roman" w:hAnsi="Times New Roman" w:cs="Times New Roman"/>
          <w:sz w:val="24"/>
          <w:szCs w:val="24"/>
        </w:rPr>
        <w:t xml:space="preserve"> privilege</w:t>
      </w:r>
      <w:r>
        <w:rPr>
          <w:rFonts w:ascii="Times New Roman" w:hAnsi="Times New Roman" w:cs="Times New Roman"/>
          <w:sz w:val="24"/>
          <w:szCs w:val="24"/>
        </w:rPr>
        <w:t xml:space="preserve"> during the evidentiary hearing effectively resurrected the blanket “settlement privilege” rejected by the Ohio Supreme Court.  It will have far-reaching, prejudicial effects on non-signatory parties</w:t>
      </w:r>
      <w:r w:rsidR="006A14C2">
        <w:rPr>
          <w:rFonts w:ascii="Times New Roman" w:hAnsi="Times New Roman" w:cs="Times New Roman"/>
          <w:sz w:val="24"/>
          <w:szCs w:val="24"/>
        </w:rPr>
        <w:t xml:space="preserve"> and the PUCO’s ability to decide the important matters before it based on a full, accurate, complete record</w:t>
      </w:r>
      <w:r>
        <w:rPr>
          <w:rFonts w:ascii="Times New Roman" w:hAnsi="Times New Roman" w:cs="Times New Roman"/>
          <w:sz w:val="24"/>
          <w:szCs w:val="24"/>
        </w:rPr>
        <w:t>.  As happened here, in a very large, very important, multi-party case, signatory parties could use the three-prong test and associated, purported settlement discussion confidentiality</w:t>
      </w:r>
      <w:r w:rsidR="00B41775">
        <w:rPr>
          <w:rFonts w:ascii="Times New Roman" w:hAnsi="Times New Roman" w:cs="Times New Roman"/>
          <w:sz w:val="24"/>
          <w:szCs w:val="24"/>
        </w:rPr>
        <w:t xml:space="preserve"> privilege </w:t>
      </w:r>
      <w:r>
        <w:rPr>
          <w:rFonts w:ascii="Times New Roman" w:hAnsi="Times New Roman" w:cs="Times New Roman"/>
          <w:sz w:val="24"/>
          <w:szCs w:val="24"/>
        </w:rPr>
        <w:t xml:space="preserve">as a sword and a shield.  </w:t>
      </w:r>
      <w:r w:rsidR="00B41775">
        <w:rPr>
          <w:rFonts w:ascii="Times New Roman" w:hAnsi="Times New Roman" w:cs="Times New Roman"/>
          <w:sz w:val="24"/>
          <w:szCs w:val="24"/>
        </w:rPr>
        <w:t xml:space="preserve">The PUCO’s evaluation of a stipulation under the three-prong test would be limited to whatever “evidence” signatory parties choose to submit in direct testimony.  </w:t>
      </w:r>
      <w:r>
        <w:rPr>
          <w:rFonts w:ascii="Times New Roman" w:hAnsi="Times New Roman" w:cs="Times New Roman"/>
          <w:sz w:val="24"/>
          <w:szCs w:val="24"/>
        </w:rPr>
        <w:t xml:space="preserve">There was serious bargaining among knowledgeable parties, a signatory party </w:t>
      </w:r>
      <w:r w:rsidR="006A14C2">
        <w:rPr>
          <w:rFonts w:ascii="Times New Roman" w:hAnsi="Times New Roman" w:cs="Times New Roman"/>
          <w:sz w:val="24"/>
          <w:szCs w:val="24"/>
        </w:rPr>
        <w:t>would assert</w:t>
      </w:r>
      <w:r>
        <w:rPr>
          <w:rFonts w:ascii="Times New Roman" w:hAnsi="Times New Roman" w:cs="Times New Roman"/>
          <w:sz w:val="24"/>
          <w:szCs w:val="24"/>
        </w:rPr>
        <w:t xml:space="preserve">, but non-signatory parties </w:t>
      </w:r>
      <w:r w:rsidR="006A14C2">
        <w:rPr>
          <w:rFonts w:ascii="Times New Roman" w:hAnsi="Times New Roman" w:cs="Times New Roman"/>
          <w:sz w:val="24"/>
          <w:szCs w:val="24"/>
        </w:rPr>
        <w:t>could not</w:t>
      </w:r>
      <w:r>
        <w:rPr>
          <w:rFonts w:ascii="Times New Roman" w:hAnsi="Times New Roman" w:cs="Times New Roman"/>
          <w:sz w:val="24"/>
          <w:szCs w:val="24"/>
        </w:rPr>
        <w:t xml:space="preserve"> fully explore the assertion.  The stipulation, as a package, does not viola</w:t>
      </w:r>
      <w:r w:rsidR="00E0077D">
        <w:rPr>
          <w:rFonts w:ascii="Times New Roman" w:hAnsi="Times New Roman" w:cs="Times New Roman"/>
          <w:sz w:val="24"/>
          <w:szCs w:val="24"/>
        </w:rPr>
        <w:t>te any regulatory principle</w:t>
      </w:r>
      <w:r>
        <w:rPr>
          <w:rFonts w:ascii="Times New Roman" w:hAnsi="Times New Roman" w:cs="Times New Roman"/>
          <w:sz w:val="24"/>
          <w:szCs w:val="24"/>
        </w:rPr>
        <w:t xml:space="preserve"> or practice, a signatory party </w:t>
      </w:r>
      <w:r w:rsidR="006A14C2">
        <w:rPr>
          <w:rFonts w:ascii="Times New Roman" w:hAnsi="Times New Roman" w:cs="Times New Roman"/>
          <w:sz w:val="24"/>
          <w:szCs w:val="24"/>
        </w:rPr>
        <w:t>would assert</w:t>
      </w:r>
      <w:r>
        <w:rPr>
          <w:rFonts w:ascii="Times New Roman" w:hAnsi="Times New Roman" w:cs="Times New Roman"/>
          <w:sz w:val="24"/>
          <w:szCs w:val="24"/>
        </w:rPr>
        <w:t xml:space="preserve">, but non-signatory parties </w:t>
      </w:r>
      <w:r w:rsidR="006A14C2">
        <w:rPr>
          <w:rFonts w:ascii="Times New Roman" w:hAnsi="Times New Roman" w:cs="Times New Roman"/>
          <w:sz w:val="24"/>
          <w:szCs w:val="24"/>
        </w:rPr>
        <w:t>could not</w:t>
      </w:r>
      <w:r>
        <w:rPr>
          <w:rFonts w:ascii="Times New Roman" w:hAnsi="Times New Roman" w:cs="Times New Roman"/>
          <w:sz w:val="24"/>
          <w:szCs w:val="24"/>
        </w:rPr>
        <w:t xml:space="preserve"> fully explore the assertion.  The stipulation, as a package, is in the public interest, a signatory party </w:t>
      </w:r>
      <w:r w:rsidR="006A14C2">
        <w:rPr>
          <w:rFonts w:ascii="Times New Roman" w:hAnsi="Times New Roman" w:cs="Times New Roman"/>
          <w:sz w:val="24"/>
          <w:szCs w:val="24"/>
        </w:rPr>
        <w:t>would assert</w:t>
      </w:r>
      <w:r>
        <w:rPr>
          <w:rFonts w:ascii="Times New Roman" w:hAnsi="Times New Roman" w:cs="Times New Roman"/>
          <w:sz w:val="24"/>
          <w:szCs w:val="24"/>
        </w:rPr>
        <w:t xml:space="preserve">, but non-signatory parties </w:t>
      </w:r>
      <w:r w:rsidR="006A14C2">
        <w:rPr>
          <w:rFonts w:ascii="Times New Roman" w:hAnsi="Times New Roman" w:cs="Times New Roman"/>
          <w:sz w:val="24"/>
          <w:szCs w:val="24"/>
        </w:rPr>
        <w:t>could not</w:t>
      </w:r>
      <w:r>
        <w:rPr>
          <w:rFonts w:ascii="Times New Roman" w:hAnsi="Times New Roman" w:cs="Times New Roman"/>
          <w:sz w:val="24"/>
          <w:szCs w:val="24"/>
        </w:rPr>
        <w:t xml:space="preserve"> fully explore the assertion.</w:t>
      </w:r>
      <w:r w:rsidR="009C39AB">
        <w:rPr>
          <w:rFonts w:ascii="Times New Roman" w:hAnsi="Times New Roman" w:cs="Times New Roman"/>
          <w:sz w:val="24"/>
          <w:szCs w:val="24"/>
        </w:rPr>
        <w:t xml:space="preserve">  </w:t>
      </w:r>
      <w:r w:rsidR="00B41775">
        <w:rPr>
          <w:rFonts w:ascii="Times New Roman" w:hAnsi="Times New Roman" w:cs="Times New Roman"/>
          <w:sz w:val="24"/>
          <w:szCs w:val="24"/>
        </w:rPr>
        <w:t>But “o</w:t>
      </w:r>
      <w:r w:rsidR="009C39AB">
        <w:rPr>
          <w:rFonts w:ascii="Times New Roman" w:hAnsi="Times New Roman" w:cs="Times New Roman"/>
          <w:sz w:val="24"/>
          <w:szCs w:val="24"/>
        </w:rPr>
        <w:t>ne cannot assert a privilege as both a shield and a sword.”</w:t>
      </w:r>
      <w:r w:rsidR="009C39AB">
        <w:rPr>
          <w:rStyle w:val="FootnoteReference"/>
          <w:rFonts w:ascii="Times New Roman" w:hAnsi="Times New Roman" w:cs="Times New Roman"/>
          <w:sz w:val="24"/>
          <w:szCs w:val="24"/>
        </w:rPr>
        <w:footnoteReference w:id="822"/>
      </w:r>
      <w:r>
        <w:rPr>
          <w:rFonts w:ascii="Times New Roman" w:hAnsi="Times New Roman" w:cs="Times New Roman"/>
          <w:sz w:val="24"/>
          <w:szCs w:val="24"/>
        </w:rPr>
        <w:t xml:space="preserve">  </w:t>
      </w:r>
      <w:r w:rsidR="00EA05C9">
        <w:rPr>
          <w:rFonts w:ascii="Times New Roman" w:hAnsi="Times New Roman" w:cs="Times New Roman"/>
          <w:sz w:val="24"/>
          <w:szCs w:val="24"/>
        </w:rPr>
        <w:t xml:space="preserve"> </w:t>
      </w:r>
    </w:p>
    <w:p w:rsidR="002E72B1" w:rsidRDefault="00B41775" w:rsidP="00941ED6">
      <w:pPr>
        <w:spacing w:after="0" w:line="480" w:lineRule="auto"/>
        <w:ind w:firstLine="720"/>
        <w:rPr>
          <w:rFonts w:ascii="Times New Roman Bold" w:eastAsia="WenQuanYi Micro Hei" w:hAnsi="Times New Roman Bold" w:cs="Times New Roman"/>
          <w:b/>
          <w:sz w:val="24"/>
          <w:szCs w:val="24"/>
          <w:lang w:eastAsia="zh-CN" w:bidi="hi-IN"/>
        </w:rPr>
      </w:pPr>
      <w:r>
        <w:rPr>
          <w:rFonts w:ascii="Times New Roman" w:hAnsi="Times New Roman" w:cs="Times New Roman"/>
          <w:sz w:val="24"/>
          <w:szCs w:val="24"/>
        </w:rPr>
        <w:t>The breadth with which the settlement discussion confidentiality privilege was applied during the hearing exceeds legal bounds.  It resurrect</w:t>
      </w:r>
      <w:r w:rsidR="00AD0856">
        <w:rPr>
          <w:rFonts w:ascii="Times New Roman" w:hAnsi="Times New Roman" w:cs="Times New Roman"/>
          <w:sz w:val="24"/>
          <w:szCs w:val="24"/>
        </w:rPr>
        <w:t>s</w:t>
      </w:r>
      <w:r>
        <w:rPr>
          <w:rFonts w:ascii="Times New Roman" w:hAnsi="Times New Roman" w:cs="Times New Roman"/>
          <w:sz w:val="24"/>
          <w:szCs w:val="24"/>
        </w:rPr>
        <w:t xml:space="preserve"> the blanket settlement privilege rejected by the Ohio Supreme Court.  It will have far-reaching, prejudicial effects on non-signatory parties.  And it will turn the three-prong test into an impregnable barrier.  As a result, and most importantly, it will deprive the PUCO of the opportunity to decide the important matters before it on a full, accurate, complete record.</w:t>
      </w:r>
      <w:r w:rsidR="00302146" w:rsidRPr="00302146">
        <w:rPr>
          <w:rFonts w:ascii="Times New Roman" w:hAnsi="Times New Roman" w:cs="Times New Roman"/>
          <w:sz w:val="24"/>
          <w:szCs w:val="24"/>
        </w:rPr>
        <w:t xml:space="preserve"> </w:t>
      </w:r>
      <w:r w:rsidR="00302146">
        <w:rPr>
          <w:rFonts w:ascii="Times New Roman" w:hAnsi="Times New Roman" w:cs="Times New Roman"/>
          <w:sz w:val="24"/>
          <w:szCs w:val="24"/>
        </w:rPr>
        <w:t xml:space="preserve"> The evidentiary hearing should be reopened to allow non-Signatory Parties to cross-examine witnesses on matters related to the three-prong test consistent with the proper bounds of the settlement discussions confidentiality privilege.</w:t>
      </w:r>
      <w:r w:rsidR="00CA38B1">
        <w:rPr>
          <w:rStyle w:val="FootnoteReference"/>
          <w:rFonts w:ascii="Times New Roman" w:hAnsi="Times New Roman" w:cs="Times New Roman"/>
          <w:sz w:val="24"/>
          <w:szCs w:val="24"/>
        </w:rPr>
        <w:footnoteReference w:id="823"/>
      </w:r>
    </w:p>
    <w:p w:rsidR="00B41775" w:rsidRPr="00302146" w:rsidRDefault="00302146" w:rsidP="00F27AA5">
      <w:pPr>
        <w:pStyle w:val="Heading3"/>
      </w:pPr>
      <w:r w:rsidRPr="00302146">
        <w:t xml:space="preserve"> </w:t>
      </w:r>
      <w:bookmarkStart w:id="196" w:name="_Toc442104240"/>
      <w:r w:rsidR="003C1ECF">
        <w:t>2.</w:t>
      </w:r>
      <w:r w:rsidR="003C1ECF">
        <w:tab/>
      </w:r>
      <w:r>
        <w:t>Hearing testimony, and other evidence submitted for the PUCO’s consideration, should not be limited to that which signatory parties choose to submit.</w:t>
      </w:r>
      <w:bookmarkEnd w:id="196"/>
    </w:p>
    <w:p w:rsidR="00302146" w:rsidRDefault="00302146" w:rsidP="00B96E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subpoena may be quashed if it is unreasonable or oppressive.</w:t>
      </w:r>
      <w:r>
        <w:rPr>
          <w:rStyle w:val="FootnoteReference"/>
          <w:rFonts w:ascii="Times New Roman" w:hAnsi="Times New Roman" w:cs="Times New Roman"/>
          <w:sz w:val="24"/>
          <w:szCs w:val="24"/>
        </w:rPr>
        <w:footnoteReference w:id="824"/>
      </w:r>
      <w:r>
        <w:rPr>
          <w:rFonts w:ascii="Times New Roman" w:hAnsi="Times New Roman" w:cs="Times New Roman"/>
          <w:sz w:val="24"/>
          <w:szCs w:val="24"/>
        </w:rPr>
        <w:t xml:space="preserve">  OCC’s subpoenas on Sierra Club, IGS, and Direct Energy – Signatory Parties all – w</w:t>
      </w:r>
      <w:r w:rsidR="00C56831">
        <w:rPr>
          <w:rFonts w:ascii="Times New Roman" w:hAnsi="Times New Roman" w:cs="Times New Roman"/>
          <w:sz w:val="24"/>
          <w:szCs w:val="24"/>
        </w:rPr>
        <w:t>ere</w:t>
      </w:r>
      <w:r>
        <w:rPr>
          <w:rFonts w:ascii="Times New Roman" w:hAnsi="Times New Roman" w:cs="Times New Roman"/>
          <w:sz w:val="24"/>
          <w:szCs w:val="24"/>
        </w:rPr>
        <w:t xml:space="preserve"> quashed as unreasonable.</w:t>
      </w:r>
      <w:r>
        <w:rPr>
          <w:rStyle w:val="FootnoteReference"/>
          <w:rFonts w:ascii="Times New Roman" w:hAnsi="Times New Roman" w:cs="Times New Roman"/>
          <w:sz w:val="24"/>
          <w:szCs w:val="24"/>
        </w:rPr>
        <w:footnoteReference w:id="825"/>
      </w:r>
      <w:r w:rsidR="00C32758">
        <w:rPr>
          <w:rFonts w:ascii="Times New Roman" w:hAnsi="Times New Roman" w:cs="Times New Roman"/>
          <w:sz w:val="24"/>
          <w:szCs w:val="24"/>
        </w:rPr>
        <w:t xml:space="preserve">  “We don’t want to set a precedent that a non</w:t>
      </w:r>
      <w:r w:rsidR="00031DA4">
        <w:rPr>
          <w:rFonts w:ascii="Times New Roman" w:hAnsi="Times New Roman" w:cs="Times New Roman"/>
          <w:sz w:val="24"/>
          <w:szCs w:val="24"/>
        </w:rPr>
        <w:t>-</w:t>
      </w:r>
      <w:r w:rsidR="00C32758">
        <w:rPr>
          <w:rFonts w:ascii="Times New Roman" w:hAnsi="Times New Roman" w:cs="Times New Roman"/>
          <w:sz w:val="24"/>
          <w:szCs w:val="24"/>
        </w:rPr>
        <w:t>signatory party could command the testimony of a signatory or that a signatory could command the testimony of a non</w:t>
      </w:r>
      <w:r w:rsidR="00031DA4">
        <w:rPr>
          <w:rFonts w:ascii="Times New Roman" w:hAnsi="Times New Roman" w:cs="Times New Roman"/>
          <w:sz w:val="24"/>
          <w:szCs w:val="24"/>
        </w:rPr>
        <w:t>-</w:t>
      </w:r>
      <w:r w:rsidR="00C32758">
        <w:rPr>
          <w:rFonts w:ascii="Times New Roman" w:hAnsi="Times New Roman" w:cs="Times New Roman"/>
          <w:sz w:val="24"/>
          <w:szCs w:val="24"/>
        </w:rPr>
        <w:t>signatory party witness.”</w:t>
      </w:r>
      <w:r w:rsidR="00C32758">
        <w:rPr>
          <w:rStyle w:val="FootnoteReference"/>
          <w:rFonts w:ascii="Times New Roman" w:hAnsi="Times New Roman" w:cs="Times New Roman"/>
          <w:sz w:val="24"/>
          <w:szCs w:val="24"/>
        </w:rPr>
        <w:footnoteReference w:id="826"/>
      </w:r>
      <w:r w:rsidR="00C34151" w:rsidRPr="00C34151">
        <w:rPr>
          <w:rFonts w:ascii="Times New Roman" w:hAnsi="Times New Roman" w:cs="Times New Roman"/>
          <w:sz w:val="24"/>
          <w:szCs w:val="24"/>
        </w:rPr>
        <w:t xml:space="preserve"> </w:t>
      </w:r>
      <w:r w:rsidR="00C34151">
        <w:rPr>
          <w:rFonts w:ascii="Times New Roman" w:hAnsi="Times New Roman" w:cs="Times New Roman"/>
          <w:sz w:val="24"/>
          <w:szCs w:val="24"/>
        </w:rPr>
        <w:t xml:space="preserve"> This decision will have far-reaching, prejudicial effects on non-signatory parties and should not stand.  </w:t>
      </w:r>
    </w:p>
    <w:p w:rsidR="008246D6" w:rsidRDefault="00C34151" w:rsidP="00B96E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 </w:t>
      </w:r>
      <w:r w:rsidR="008246D6">
        <w:rPr>
          <w:rFonts w:ascii="Times New Roman" w:hAnsi="Times New Roman" w:cs="Times New Roman"/>
          <w:sz w:val="24"/>
          <w:szCs w:val="24"/>
        </w:rPr>
        <w:t xml:space="preserve">it will </w:t>
      </w:r>
      <w:r w:rsidR="00AD0856">
        <w:rPr>
          <w:rFonts w:ascii="Times New Roman" w:hAnsi="Times New Roman" w:cs="Times New Roman"/>
          <w:sz w:val="24"/>
          <w:szCs w:val="24"/>
        </w:rPr>
        <w:t>undermine</w:t>
      </w:r>
      <w:r w:rsidR="008246D6">
        <w:rPr>
          <w:rFonts w:ascii="Times New Roman" w:hAnsi="Times New Roman" w:cs="Times New Roman"/>
          <w:sz w:val="24"/>
          <w:szCs w:val="24"/>
        </w:rPr>
        <w:t xml:space="preserve"> parties’ ability to subpoena </w:t>
      </w:r>
      <w:r w:rsidR="00AD0856">
        <w:rPr>
          <w:rFonts w:ascii="Times New Roman" w:hAnsi="Times New Roman" w:cs="Times New Roman"/>
          <w:sz w:val="24"/>
          <w:szCs w:val="24"/>
        </w:rPr>
        <w:t xml:space="preserve">important </w:t>
      </w:r>
      <w:r w:rsidR="008246D6">
        <w:rPr>
          <w:rFonts w:ascii="Times New Roman" w:hAnsi="Times New Roman" w:cs="Times New Roman"/>
          <w:sz w:val="24"/>
          <w:szCs w:val="24"/>
        </w:rPr>
        <w:t xml:space="preserve">witnesses.  Commanding testimony is </w:t>
      </w:r>
      <w:r w:rsidR="008246D6" w:rsidRPr="008246D6">
        <w:rPr>
          <w:rFonts w:ascii="Times New Roman" w:hAnsi="Times New Roman" w:cs="Times New Roman"/>
          <w:i/>
          <w:sz w:val="24"/>
          <w:szCs w:val="24"/>
        </w:rPr>
        <w:t>exactly</w:t>
      </w:r>
      <w:r w:rsidR="008246D6">
        <w:rPr>
          <w:rFonts w:ascii="Times New Roman" w:hAnsi="Times New Roman" w:cs="Times New Roman"/>
          <w:sz w:val="24"/>
          <w:szCs w:val="24"/>
        </w:rPr>
        <w:t xml:space="preserve"> what subpoenas are meant for.</w:t>
      </w:r>
      <w:r w:rsidR="008246D6">
        <w:rPr>
          <w:rStyle w:val="FootnoteReference"/>
          <w:rFonts w:ascii="Times New Roman" w:hAnsi="Times New Roman" w:cs="Times New Roman"/>
          <w:sz w:val="24"/>
          <w:szCs w:val="24"/>
        </w:rPr>
        <w:footnoteReference w:id="827"/>
      </w:r>
      <w:r w:rsidR="008246D6">
        <w:rPr>
          <w:rFonts w:ascii="Times New Roman" w:hAnsi="Times New Roman" w:cs="Times New Roman"/>
          <w:sz w:val="24"/>
          <w:szCs w:val="24"/>
        </w:rPr>
        <w:t xml:space="preserve"> </w:t>
      </w:r>
      <w:r w:rsidR="00933C1F">
        <w:rPr>
          <w:rFonts w:ascii="Times New Roman" w:hAnsi="Times New Roman" w:cs="Times New Roman"/>
          <w:sz w:val="24"/>
          <w:szCs w:val="24"/>
        </w:rPr>
        <w:t xml:space="preserve"> </w:t>
      </w:r>
      <w:r w:rsidR="00933C1F">
        <w:rPr>
          <w:rFonts w:ascii="Times New Roman" w:hAnsi="Times New Roman" w:cs="Times New Roman"/>
        </w:rPr>
        <w:t xml:space="preserve"> </w:t>
      </w:r>
      <w:r w:rsidR="008246D6">
        <w:rPr>
          <w:rFonts w:ascii="Times New Roman" w:hAnsi="Times New Roman" w:cs="Times New Roman"/>
          <w:sz w:val="24"/>
          <w:szCs w:val="24"/>
        </w:rPr>
        <w:t xml:space="preserve"> </w:t>
      </w:r>
    </w:p>
    <w:p w:rsidR="00C34151" w:rsidRDefault="008246D6" w:rsidP="00B96E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 </w:t>
      </w:r>
      <w:r w:rsidR="00C34151">
        <w:rPr>
          <w:rFonts w:ascii="Times New Roman" w:hAnsi="Times New Roman" w:cs="Times New Roman"/>
          <w:sz w:val="24"/>
          <w:szCs w:val="24"/>
        </w:rPr>
        <w:t>it will allow</w:t>
      </w:r>
      <w:r w:rsidR="00C34151" w:rsidRPr="00C34151">
        <w:rPr>
          <w:rFonts w:ascii="Times New Roman" w:hAnsi="Times New Roman" w:cs="Times New Roman"/>
          <w:sz w:val="24"/>
          <w:szCs w:val="24"/>
        </w:rPr>
        <w:t xml:space="preserve"> </w:t>
      </w:r>
      <w:r w:rsidR="00C34151">
        <w:rPr>
          <w:rFonts w:ascii="Times New Roman" w:hAnsi="Times New Roman" w:cs="Times New Roman"/>
          <w:sz w:val="24"/>
          <w:szCs w:val="24"/>
        </w:rPr>
        <w:t>signatory parties in a very large, very important, multi-party case to choose who files testimony to support the stipulation while allowing other signatory parties to evade questioning even where they are not similarly situated.</w:t>
      </w:r>
      <w:r w:rsidR="00C34151">
        <w:rPr>
          <w:rStyle w:val="FootnoteReference"/>
          <w:rFonts w:ascii="Times New Roman" w:hAnsi="Times New Roman" w:cs="Times New Roman"/>
          <w:sz w:val="24"/>
          <w:szCs w:val="24"/>
        </w:rPr>
        <w:footnoteReference w:id="828"/>
      </w:r>
      <w:r w:rsidR="005E2FC2">
        <w:rPr>
          <w:rFonts w:ascii="Times New Roman" w:hAnsi="Times New Roman" w:cs="Times New Roman"/>
          <w:sz w:val="24"/>
          <w:szCs w:val="24"/>
        </w:rPr>
        <w:t xml:space="preserve">  Here, the only witness offered in support of the Joint Stipulation – AEP Ohio Witness Allen – acknowledged that “individual parties can sp</w:t>
      </w:r>
      <w:r>
        <w:rPr>
          <w:rFonts w:ascii="Times New Roman" w:hAnsi="Times New Roman" w:cs="Times New Roman"/>
          <w:sz w:val="24"/>
          <w:szCs w:val="24"/>
        </w:rPr>
        <w:t>e</w:t>
      </w:r>
      <w:r w:rsidR="005E2FC2">
        <w:rPr>
          <w:rFonts w:ascii="Times New Roman" w:hAnsi="Times New Roman" w:cs="Times New Roman"/>
          <w:sz w:val="24"/>
          <w:szCs w:val="24"/>
        </w:rPr>
        <w:t>ak for themselves as to why they support or do not oppose particular provisions or the Stipulation as a whole and the Company can only speak for itself.”</w:t>
      </w:r>
      <w:r w:rsidR="005E2FC2">
        <w:rPr>
          <w:rStyle w:val="FootnoteReference"/>
          <w:rFonts w:ascii="Times New Roman" w:hAnsi="Times New Roman" w:cs="Times New Roman"/>
          <w:sz w:val="24"/>
          <w:szCs w:val="24"/>
        </w:rPr>
        <w:footnoteReference w:id="829"/>
      </w:r>
      <w:r>
        <w:rPr>
          <w:rFonts w:ascii="Times New Roman" w:hAnsi="Times New Roman" w:cs="Times New Roman"/>
          <w:sz w:val="24"/>
          <w:szCs w:val="24"/>
        </w:rPr>
        <w:t xml:space="preserve">  Further, the Signatory Parties subpoenaed are not participating in, not opposing, or both, certain material provisions in the Joint Stipulation.</w:t>
      </w:r>
      <w:r>
        <w:rPr>
          <w:rStyle w:val="FootnoteReference"/>
          <w:rFonts w:ascii="Times New Roman" w:hAnsi="Times New Roman" w:cs="Times New Roman"/>
          <w:sz w:val="24"/>
          <w:szCs w:val="24"/>
        </w:rPr>
        <w:footnoteReference w:id="830"/>
      </w:r>
      <w:r>
        <w:rPr>
          <w:rFonts w:ascii="Times New Roman" w:hAnsi="Times New Roman" w:cs="Times New Roman"/>
          <w:sz w:val="24"/>
          <w:szCs w:val="24"/>
        </w:rPr>
        <w:t xml:space="preserve">  Thus they have identified themselves as being different from other Signatory Parties – including AEP Ohio.</w:t>
      </w:r>
    </w:p>
    <w:p w:rsidR="00B96E69" w:rsidRDefault="00B96E69" w:rsidP="00B96E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Third, it effectively cuts-off non-signatory parties from conducting </w:t>
      </w:r>
      <w:r>
        <w:rPr>
          <w:rFonts w:ascii="Times New Roman" w:hAnsi="Times New Roman" w:cs="Times New Roman"/>
          <w:i/>
          <w:sz w:val="24"/>
          <w:szCs w:val="24"/>
        </w:rPr>
        <w:t xml:space="preserve">any </w:t>
      </w:r>
      <w:r w:rsidR="006A14C2">
        <w:rPr>
          <w:rFonts w:ascii="Times New Roman" w:hAnsi="Times New Roman" w:cs="Times New Roman"/>
          <w:sz w:val="24"/>
          <w:szCs w:val="24"/>
        </w:rPr>
        <w:t>meaningful</w:t>
      </w:r>
      <w:r>
        <w:rPr>
          <w:rFonts w:ascii="Times New Roman" w:hAnsi="Times New Roman" w:cs="Times New Roman"/>
          <w:sz w:val="24"/>
          <w:szCs w:val="24"/>
        </w:rPr>
        <w:t xml:space="preserve"> discovery.  In addition to prohibiting hearing testimony from signatory parties that do not file written testimony, the ruling will practically prevent responses to written discovery from entering the record.  Here, non-Signatory Parties received important responses to written discovery from the subpoenaed Signatory Parties.  Without the testimony from the subpoenaed Signatory Parties, non-Signatory Parties cannot be assured of having the responses to written discovery in the record.</w:t>
      </w:r>
      <w:r>
        <w:rPr>
          <w:rStyle w:val="FootnoteReference"/>
          <w:rFonts w:ascii="Times New Roman" w:hAnsi="Times New Roman" w:cs="Times New Roman"/>
          <w:sz w:val="24"/>
          <w:szCs w:val="24"/>
        </w:rPr>
        <w:footnoteReference w:id="831"/>
      </w:r>
      <w:r>
        <w:rPr>
          <w:rFonts w:ascii="Times New Roman" w:hAnsi="Times New Roman" w:cs="Times New Roman"/>
          <w:sz w:val="24"/>
          <w:szCs w:val="24"/>
        </w:rPr>
        <w:t xml:space="preserve">  The PUCO is thus deprived of a record that includes what such responses were, how they compare to deposition testimony (including inconsistencies), and how they may inform the PUCO’s analysis under the three-prong test.</w:t>
      </w:r>
      <w:r>
        <w:rPr>
          <w:rStyle w:val="FootnoteReference"/>
          <w:rFonts w:ascii="Times New Roman" w:hAnsi="Times New Roman" w:cs="Times New Roman"/>
          <w:sz w:val="24"/>
          <w:szCs w:val="24"/>
        </w:rPr>
        <w:footnoteReference w:id="832"/>
      </w:r>
      <w:r>
        <w:rPr>
          <w:rFonts w:ascii="Times New Roman" w:hAnsi="Times New Roman" w:cs="Times New Roman"/>
          <w:sz w:val="24"/>
          <w:szCs w:val="24"/>
        </w:rPr>
        <w:t xml:space="preserve">  </w:t>
      </w:r>
    </w:p>
    <w:p w:rsidR="00C56831" w:rsidRDefault="00B96E69" w:rsidP="00B96E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Ultimately</w:t>
      </w:r>
      <w:r w:rsidR="008246D6">
        <w:rPr>
          <w:rFonts w:ascii="Times New Roman" w:hAnsi="Times New Roman" w:cs="Times New Roman"/>
          <w:sz w:val="24"/>
          <w:szCs w:val="24"/>
        </w:rPr>
        <w:t xml:space="preserve">, </w:t>
      </w:r>
      <w:r>
        <w:rPr>
          <w:rFonts w:ascii="Times New Roman" w:hAnsi="Times New Roman" w:cs="Times New Roman"/>
          <w:sz w:val="24"/>
          <w:szCs w:val="24"/>
        </w:rPr>
        <w:t>the evidentiary ruling on the subpoenas</w:t>
      </w:r>
      <w:r w:rsidR="008246D6">
        <w:rPr>
          <w:rFonts w:ascii="Times New Roman" w:hAnsi="Times New Roman" w:cs="Times New Roman"/>
          <w:sz w:val="24"/>
          <w:szCs w:val="24"/>
        </w:rPr>
        <w:t xml:space="preserve"> will prevent the PUCO from deciding the important matters before it based on a full, accurate, complete record.</w:t>
      </w:r>
      <w:r w:rsidR="00933C1F">
        <w:rPr>
          <w:rFonts w:ascii="Times New Roman" w:hAnsi="Times New Roman" w:cs="Times New Roman"/>
          <w:sz w:val="24"/>
          <w:szCs w:val="24"/>
        </w:rPr>
        <w:t xml:space="preserve">  Here, non-Signatory Parties are prevented from questioning the Signatory Parties subpoenaed</w:t>
      </w:r>
      <w:r w:rsidR="00BE0715">
        <w:rPr>
          <w:rFonts w:ascii="Times New Roman" w:hAnsi="Times New Roman" w:cs="Times New Roman"/>
          <w:sz w:val="24"/>
          <w:szCs w:val="24"/>
        </w:rPr>
        <w:t>,</w:t>
      </w:r>
      <w:r w:rsidR="00933C1F">
        <w:rPr>
          <w:rFonts w:ascii="Times New Roman" w:hAnsi="Times New Roman" w:cs="Times New Roman"/>
          <w:sz w:val="24"/>
          <w:szCs w:val="24"/>
        </w:rPr>
        <w:t xml:space="preserve"> </w:t>
      </w:r>
      <w:r w:rsidR="00BE0715">
        <w:rPr>
          <w:rFonts w:ascii="Times New Roman" w:hAnsi="Times New Roman" w:cs="Times New Roman"/>
          <w:sz w:val="24"/>
          <w:szCs w:val="24"/>
        </w:rPr>
        <w:t>who</w:t>
      </w:r>
      <w:r w:rsidR="00933C1F">
        <w:rPr>
          <w:rFonts w:ascii="Times New Roman" w:hAnsi="Times New Roman" w:cs="Times New Roman"/>
          <w:sz w:val="24"/>
          <w:szCs w:val="24"/>
        </w:rPr>
        <w:t xml:space="preserve"> clearly and unambiguously set themselves apart from other Signatory Parties by way of the footnotes, about the footnotes’ meaning, their position on the Joint Stipulation, the Joint Stipulation’s meaning, and matters under the three-prong test.</w:t>
      </w:r>
      <w:r w:rsidR="00933C1F">
        <w:rPr>
          <w:rStyle w:val="FootnoteReference"/>
          <w:rFonts w:ascii="Times New Roman" w:hAnsi="Times New Roman" w:cs="Times New Roman"/>
          <w:sz w:val="24"/>
          <w:szCs w:val="24"/>
        </w:rPr>
        <w:footnoteReference w:id="833"/>
      </w:r>
      <w:r>
        <w:rPr>
          <w:rFonts w:ascii="Times New Roman" w:hAnsi="Times New Roman" w:cs="Times New Roman"/>
          <w:sz w:val="24"/>
          <w:szCs w:val="24"/>
        </w:rPr>
        <w:t xml:space="preserve">  The subpoenaed Signatory Parties’ responses to written discovery are excluded from the record.</w:t>
      </w:r>
      <w:r w:rsidR="00C56831">
        <w:rPr>
          <w:rFonts w:ascii="Times New Roman" w:hAnsi="Times New Roman" w:cs="Times New Roman"/>
          <w:sz w:val="24"/>
          <w:szCs w:val="24"/>
        </w:rPr>
        <w:t xml:space="preserve">  The implications are </w:t>
      </w:r>
      <w:r w:rsidR="00BE0715">
        <w:rPr>
          <w:rFonts w:ascii="Times New Roman" w:hAnsi="Times New Roman" w:cs="Times New Roman"/>
          <w:sz w:val="24"/>
          <w:szCs w:val="24"/>
        </w:rPr>
        <w:t>underscored</w:t>
      </w:r>
      <w:r w:rsidR="00C56831">
        <w:rPr>
          <w:rFonts w:ascii="Times New Roman" w:hAnsi="Times New Roman" w:cs="Times New Roman"/>
          <w:sz w:val="24"/>
          <w:szCs w:val="24"/>
        </w:rPr>
        <w:t xml:space="preserve"> here since AEP Ohio Witness Allen conceded that he would not, and could not, speak for the other Signatory Parties.</w:t>
      </w:r>
      <w:r w:rsidR="00C56831">
        <w:rPr>
          <w:rStyle w:val="FootnoteReference"/>
          <w:rFonts w:ascii="Times New Roman" w:hAnsi="Times New Roman" w:cs="Times New Roman"/>
          <w:sz w:val="24"/>
          <w:szCs w:val="24"/>
        </w:rPr>
        <w:footnoteReference w:id="834"/>
      </w:r>
      <w:r w:rsidR="00C56831">
        <w:rPr>
          <w:rFonts w:ascii="Times New Roman" w:hAnsi="Times New Roman" w:cs="Times New Roman"/>
          <w:sz w:val="24"/>
          <w:szCs w:val="24"/>
        </w:rPr>
        <w:t xml:space="preserve">  The PUCO is thus left with no choice but to guess about material issues in the case.</w:t>
      </w:r>
    </w:p>
    <w:p w:rsidR="00B96E69" w:rsidRDefault="00B96E69" w:rsidP="00B96E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evidentiary hearing should also be reopened to allow non-Signatory parties to cross-examine the Signatory Parties subpoenaed.</w:t>
      </w:r>
    </w:p>
    <w:p w:rsidR="00504E31" w:rsidRPr="00504E31" w:rsidRDefault="00504E31" w:rsidP="0020495B">
      <w:pPr>
        <w:pStyle w:val="Heading3"/>
      </w:pPr>
      <w:bookmarkStart w:id="197" w:name="_Toc442104241"/>
      <w:r>
        <w:t>3.</w:t>
      </w:r>
      <w:r>
        <w:tab/>
        <w:t>AEP Ohio Witness Allen should not have been permitted to testify about the alleged economic analysis attached to his testimony because he was unqualified to do so.</w:t>
      </w:r>
      <w:bookmarkEnd w:id="197"/>
    </w:p>
    <w:p w:rsidR="00AA2EA0" w:rsidRDefault="00504E31" w:rsidP="00DD14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described earlier, AEP Ohio Witness Allen was not qualified to testify about the alleged economic analysis </w:t>
      </w:r>
      <w:r w:rsidR="00DD1461">
        <w:rPr>
          <w:rFonts w:ascii="Times New Roman" w:hAnsi="Times New Roman" w:cs="Times New Roman"/>
          <w:sz w:val="24"/>
          <w:szCs w:val="24"/>
        </w:rPr>
        <w:t xml:space="preserve">using the economic base model </w:t>
      </w:r>
      <w:r>
        <w:rPr>
          <w:rFonts w:ascii="Times New Roman" w:hAnsi="Times New Roman" w:cs="Times New Roman"/>
          <w:sz w:val="24"/>
          <w:szCs w:val="24"/>
        </w:rPr>
        <w:t>attached to his testimony.</w:t>
      </w:r>
      <w:r>
        <w:rPr>
          <w:rStyle w:val="FootnoteReference"/>
          <w:rFonts w:ascii="Times New Roman" w:hAnsi="Times New Roman" w:cs="Times New Roman"/>
          <w:sz w:val="24"/>
          <w:szCs w:val="24"/>
        </w:rPr>
        <w:footnoteReference w:id="835"/>
      </w:r>
      <w:r w:rsidR="00505690">
        <w:rPr>
          <w:rFonts w:ascii="Times New Roman" w:hAnsi="Times New Roman" w:cs="Times New Roman"/>
          <w:sz w:val="24"/>
          <w:szCs w:val="24"/>
        </w:rPr>
        <w:t xml:space="preserve">  This is why OCC, among others, moved to strike such testimony during the evidentiary hearing.</w:t>
      </w:r>
      <w:r w:rsidR="00505690">
        <w:rPr>
          <w:rStyle w:val="FootnoteReference"/>
          <w:rFonts w:ascii="Times New Roman" w:hAnsi="Times New Roman" w:cs="Times New Roman"/>
          <w:sz w:val="24"/>
          <w:szCs w:val="24"/>
        </w:rPr>
        <w:footnoteReference w:id="836"/>
      </w:r>
      <w:r w:rsidR="00DD1461">
        <w:rPr>
          <w:rFonts w:ascii="Times New Roman" w:hAnsi="Times New Roman" w:cs="Times New Roman"/>
          <w:sz w:val="24"/>
          <w:szCs w:val="24"/>
        </w:rPr>
        <w:t xml:space="preserve">  AEP Ohio Witness Allen admitted that he is not an expert in the economic base model.</w:t>
      </w:r>
      <w:r w:rsidR="00DD1461">
        <w:rPr>
          <w:rStyle w:val="FootnoteReference"/>
          <w:rFonts w:ascii="Times New Roman" w:hAnsi="Times New Roman" w:cs="Times New Roman"/>
          <w:sz w:val="24"/>
          <w:szCs w:val="24"/>
        </w:rPr>
        <w:footnoteReference w:id="837"/>
      </w:r>
      <w:r w:rsidR="00DD1461">
        <w:rPr>
          <w:rFonts w:ascii="Times New Roman" w:hAnsi="Times New Roman" w:cs="Times New Roman"/>
          <w:sz w:val="24"/>
          <w:szCs w:val="24"/>
        </w:rPr>
        <w:t xml:space="preserve">  He does not even claim to be an economist.</w:t>
      </w:r>
      <w:r w:rsidR="00DD1461">
        <w:rPr>
          <w:rStyle w:val="FootnoteReference"/>
          <w:rFonts w:ascii="Times New Roman" w:hAnsi="Times New Roman" w:cs="Times New Roman"/>
          <w:sz w:val="24"/>
          <w:szCs w:val="24"/>
        </w:rPr>
        <w:footnoteReference w:id="838"/>
      </w:r>
      <w:r w:rsidR="00DD1461">
        <w:rPr>
          <w:rFonts w:ascii="Times New Roman" w:hAnsi="Times New Roman" w:cs="Times New Roman"/>
          <w:sz w:val="24"/>
          <w:szCs w:val="24"/>
        </w:rPr>
        <w:t xml:space="preserve">  Given such admissions, and for the reasons more fully described above, the ruling allowing such testimony into the record should be reversed.   </w:t>
      </w:r>
    </w:p>
    <w:p w:rsidR="00504E31" w:rsidRDefault="00DD1461" w:rsidP="00DD14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FB1D85" w:rsidRPr="00FB1D85" w:rsidRDefault="00A83F37" w:rsidP="00CC2F0B">
      <w:pPr>
        <w:pStyle w:val="Heading1"/>
        <w:spacing w:after="240"/>
      </w:pPr>
      <w:bookmarkStart w:id="198" w:name="_Toc435428270"/>
      <w:bookmarkStart w:id="199" w:name="_Toc442104242"/>
      <w:r>
        <w:t>V</w:t>
      </w:r>
      <w:r w:rsidR="00031DA4">
        <w:t>I</w:t>
      </w:r>
      <w:r w:rsidR="000467AB">
        <w:t>.</w:t>
      </w:r>
      <w:r w:rsidR="000467AB">
        <w:tab/>
      </w:r>
      <w:r w:rsidR="001F20A5">
        <w:t>CONCLUSION</w:t>
      </w:r>
      <w:bookmarkEnd w:id="198"/>
      <w:bookmarkEnd w:id="199"/>
    </w:p>
    <w:p w:rsidR="001A5334" w:rsidRDefault="00AC4BF4" w:rsidP="00CC2F0B">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AEP Ohio’s proposals are</w:t>
      </w:r>
      <w:r w:rsidR="00CB2AB7">
        <w:rPr>
          <w:rFonts w:ascii="Times New Roman" w:hAnsi="Times New Roman" w:cs="Times New Roman"/>
          <w:sz w:val="24"/>
          <w:szCs w:val="24"/>
        </w:rPr>
        <w:t xml:space="preserve"> a frontal attack on electric markets and the benefits to Ohioans that flow from markets.  AEP Ohio’s proposals therefore are also an attempted invalidation of the </w:t>
      </w:r>
      <w:r w:rsidR="00496582">
        <w:rPr>
          <w:rFonts w:ascii="Times New Roman" w:hAnsi="Times New Roman" w:cs="Times New Roman"/>
          <w:sz w:val="24"/>
          <w:szCs w:val="24"/>
        </w:rPr>
        <w:t>Ohio law</w:t>
      </w:r>
      <w:r w:rsidR="00CB2AB7">
        <w:rPr>
          <w:rFonts w:ascii="Times New Roman" w:hAnsi="Times New Roman" w:cs="Times New Roman"/>
          <w:sz w:val="24"/>
          <w:szCs w:val="24"/>
        </w:rPr>
        <w:t xml:space="preserve"> that years ago restructured </w:t>
      </w:r>
      <w:r w:rsidR="00496582">
        <w:rPr>
          <w:rFonts w:ascii="Times New Roman" w:hAnsi="Times New Roman" w:cs="Times New Roman"/>
          <w:sz w:val="24"/>
          <w:szCs w:val="24"/>
        </w:rPr>
        <w:t xml:space="preserve">utilities </w:t>
      </w:r>
      <w:r w:rsidR="00C672E8">
        <w:rPr>
          <w:rFonts w:ascii="Times New Roman" w:hAnsi="Times New Roman" w:cs="Times New Roman"/>
          <w:sz w:val="24"/>
          <w:szCs w:val="24"/>
        </w:rPr>
        <w:t xml:space="preserve">to give Ohioans market prices instead of </w:t>
      </w:r>
      <w:r w:rsidR="00496582">
        <w:rPr>
          <w:rFonts w:ascii="Times New Roman" w:hAnsi="Times New Roman" w:cs="Times New Roman"/>
          <w:sz w:val="24"/>
          <w:szCs w:val="24"/>
        </w:rPr>
        <w:t>govern</w:t>
      </w:r>
      <w:r w:rsidR="00C672E8">
        <w:rPr>
          <w:rFonts w:ascii="Times New Roman" w:hAnsi="Times New Roman" w:cs="Times New Roman"/>
          <w:sz w:val="24"/>
          <w:szCs w:val="24"/>
        </w:rPr>
        <w:t>ment-set prices</w:t>
      </w:r>
      <w:r w:rsidR="00496582">
        <w:rPr>
          <w:rFonts w:ascii="Times New Roman" w:hAnsi="Times New Roman" w:cs="Times New Roman"/>
          <w:sz w:val="24"/>
          <w:szCs w:val="24"/>
        </w:rPr>
        <w:t xml:space="preserve">.  The Ohio General Assembly determined </w:t>
      </w:r>
      <w:r w:rsidR="00C05CEA">
        <w:rPr>
          <w:rFonts w:ascii="Times New Roman" w:hAnsi="Times New Roman" w:cs="Times New Roman"/>
          <w:sz w:val="24"/>
          <w:szCs w:val="24"/>
        </w:rPr>
        <w:t>as state policy that</w:t>
      </w:r>
      <w:r w:rsidR="00496582">
        <w:rPr>
          <w:rFonts w:ascii="Times New Roman" w:hAnsi="Times New Roman" w:cs="Times New Roman"/>
          <w:sz w:val="24"/>
          <w:szCs w:val="24"/>
        </w:rPr>
        <w:t xml:space="preserve"> Ohio will “e</w:t>
      </w:r>
      <w:r w:rsidR="00496582" w:rsidRPr="00496582">
        <w:rPr>
          <w:rFonts w:ascii="Times New Roman" w:hAnsi="Times New Roman" w:cs="Times New Roman"/>
          <w:sz w:val="24"/>
          <w:szCs w:val="24"/>
        </w:rPr>
        <w:t>nsure effective competition in the provision of retail electric service by avoiding anticompetitive subsidie</w:t>
      </w:r>
      <w:r w:rsidR="00E861A7">
        <w:rPr>
          <w:rFonts w:ascii="Times New Roman" w:hAnsi="Times New Roman" w:cs="Times New Roman"/>
          <w:sz w:val="24"/>
          <w:szCs w:val="24"/>
        </w:rPr>
        <w:t>s[.]</w:t>
      </w:r>
      <w:r w:rsidR="00496582">
        <w:rPr>
          <w:rFonts w:ascii="Times New Roman" w:hAnsi="Times New Roman" w:cs="Times New Roman"/>
          <w:sz w:val="24"/>
          <w:szCs w:val="24"/>
        </w:rPr>
        <w:t>”</w:t>
      </w:r>
      <w:r w:rsidR="00C05CEA">
        <w:rPr>
          <w:rStyle w:val="FootnoteReference"/>
          <w:rFonts w:ascii="Times New Roman" w:hAnsi="Times New Roman" w:cs="Times New Roman"/>
          <w:sz w:val="24"/>
          <w:szCs w:val="24"/>
        </w:rPr>
        <w:footnoteReference w:id="839"/>
      </w:r>
      <w:r w:rsidR="00C05CEA">
        <w:rPr>
          <w:rFonts w:ascii="Times New Roman" w:hAnsi="Times New Roman" w:cs="Times New Roman"/>
          <w:sz w:val="24"/>
          <w:szCs w:val="24"/>
        </w:rPr>
        <w:t xml:space="preserve">  And the General Assembly required that, with the termination of transition revenues, the</w:t>
      </w:r>
      <w:r w:rsidR="00496582">
        <w:rPr>
          <w:rFonts w:ascii="Times New Roman" w:hAnsi="Times New Roman" w:cs="Times New Roman"/>
          <w:sz w:val="24"/>
          <w:szCs w:val="24"/>
        </w:rPr>
        <w:t xml:space="preserve"> electric “utility</w:t>
      </w:r>
      <w:r w:rsidR="00496582" w:rsidRPr="00496582">
        <w:rPr>
          <w:rFonts w:ascii="Times New Roman" w:hAnsi="Times New Roman" w:cs="Times New Roman"/>
          <w:sz w:val="24"/>
          <w:szCs w:val="24"/>
        </w:rPr>
        <w:t xml:space="preserve"> shall be fully on its own in the competitive market</w:t>
      </w:r>
      <w:r w:rsidR="00B763B7">
        <w:rPr>
          <w:rFonts w:ascii="Times New Roman" w:hAnsi="Times New Roman" w:cs="Times New Roman"/>
          <w:sz w:val="24"/>
          <w:szCs w:val="24"/>
        </w:rPr>
        <w:t>[.]</w:t>
      </w:r>
      <w:r w:rsidR="00496582">
        <w:rPr>
          <w:rFonts w:ascii="Times New Roman" w:hAnsi="Times New Roman" w:cs="Times New Roman"/>
          <w:sz w:val="24"/>
          <w:szCs w:val="24"/>
        </w:rPr>
        <w:t>”</w:t>
      </w:r>
      <w:r w:rsidR="00B763B7">
        <w:rPr>
          <w:rStyle w:val="FootnoteReference"/>
          <w:rFonts w:ascii="Times New Roman" w:hAnsi="Times New Roman" w:cs="Times New Roman"/>
          <w:sz w:val="24"/>
          <w:szCs w:val="24"/>
        </w:rPr>
        <w:footnoteReference w:id="840"/>
      </w:r>
      <w:r w:rsidR="00496582">
        <w:rPr>
          <w:rFonts w:ascii="Times New Roman" w:hAnsi="Times New Roman" w:cs="Times New Roman"/>
          <w:sz w:val="24"/>
          <w:szCs w:val="24"/>
        </w:rPr>
        <w:t xml:space="preserve"> </w:t>
      </w:r>
      <w:r w:rsidR="00C05CEA">
        <w:rPr>
          <w:rFonts w:ascii="Times New Roman" w:hAnsi="Times New Roman" w:cs="Times New Roman"/>
          <w:sz w:val="24"/>
          <w:szCs w:val="24"/>
        </w:rPr>
        <w:t xml:space="preserve"> </w:t>
      </w:r>
      <w:r w:rsidR="00496582">
        <w:rPr>
          <w:rFonts w:ascii="Times New Roman" w:hAnsi="Times New Roman" w:cs="Times New Roman"/>
          <w:sz w:val="24"/>
          <w:szCs w:val="24"/>
        </w:rPr>
        <w:t xml:space="preserve">AEP Ohio cannot change that </w:t>
      </w:r>
      <w:r w:rsidR="00C05CEA">
        <w:rPr>
          <w:rFonts w:ascii="Times New Roman" w:hAnsi="Times New Roman" w:cs="Times New Roman"/>
          <w:sz w:val="24"/>
          <w:szCs w:val="24"/>
        </w:rPr>
        <w:t>law</w:t>
      </w:r>
      <w:r w:rsidR="00496582">
        <w:rPr>
          <w:rFonts w:ascii="Times New Roman" w:hAnsi="Times New Roman" w:cs="Times New Roman"/>
          <w:sz w:val="24"/>
          <w:szCs w:val="24"/>
        </w:rPr>
        <w:t xml:space="preserve"> by filing a case</w:t>
      </w:r>
      <w:r w:rsidR="00C672E8">
        <w:rPr>
          <w:rFonts w:ascii="Times New Roman" w:hAnsi="Times New Roman" w:cs="Times New Roman"/>
          <w:sz w:val="24"/>
          <w:szCs w:val="24"/>
        </w:rPr>
        <w:t xml:space="preserve"> at the PUCO</w:t>
      </w:r>
      <w:r w:rsidR="00496582">
        <w:rPr>
          <w:rFonts w:ascii="Times New Roman" w:hAnsi="Times New Roman" w:cs="Times New Roman"/>
          <w:sz w:val="24"/>
          <w:szCs w:val="24"/>
        </w:rPr>
        <w:t xml:space="preserve">.  </w:t>
      </w:r>
      <w:r w:rsidR="00CB2AB7">
        <w:rPr>
          <w:rFonts w:ascii="Times New Roman" w:hAnsi="Times New Roman" w:cs="Times New Roman"/>
          <w:sz w:val="24"/>
          <w:szCs w:val="24"/>
        </w:rPr>
        <w:t xml:space="preserve"> </w:t>
      </w:r>
    </w:p>
    <w:p w:rsidR="00C672E8" w:rsidRDefault="00C672E8" w:rsidP="00D111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any event, t</w:t>
      </w:r>
      <w:r w:rsidR="001D2045">
        <w:rPr>
          <w:rFonts w:ascii="Times New Roman" w:hAnsi="Times New Roman" w:cs="Times New Roman"/>
          <w:sz w:val="24"/>
          <w:szCs w:val="24"/>
        </w:rPr>
        <w:t>he PUCO is without jurisdiction under federal and state law to</w:t>
      </w:r>
      <w:r w:rsidR="00AC4BF4">
        <w:rPr>
          <w:rFonts w:ascii="Times New Roman" w:hAnsi="Times New Roman" w:cs="Times New Roman"/>
          <w:sz w:val="24"/>
          <w:szCs w:val="24"/>
        </w:rPr>
        <w:t xml:space="preserve"> approve the PPA Rider</w:t>
      </w:r>
      <w:r w:rsidR="00D6217A">
        <w:rPr>
          <w:rFonts w:ascii="Times New Roman" w:hAnsi="Times New Roman" w:cs="Times New Roman"/>
          <w:sz w:val="24"/>
          <w:szCs w:val="24"/>
        </w:rPr>
        <w:t xml:space="preserve">. </w:t>
      </w:r>
      <w:r>
        <w:rPr>
          <w:rFonts w:ascii="Times New Roman" w:hAnsi="Times New Roman" w:cs="Times New Roman"/>
          <w:sz w:val="24"/>
          <w:szCs w:val="24"/>
        </w:rPr>
        <w:t xml:space="preserve"> As to federal law, the Federal Energy Regulatory Commission is at this moment taking comments on whether to review the </w:t>
      </w:r>
      <w:r w:rsidR="00D6217A">
        <w:rPr>
          <w:rFonts w:ascii="Times New Roman" w:hAnsi="Times New Roman" w:cs="Times New Roman"/>
          <w:sz w:val="24"/>
          <w:szCs w:val="24"/>
        </w:rPr>
        <w:t>PPA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41"/>
      </w:r>
      <w:r>
        <w:rPr>
          <w:rFonts w:ascii="Times New Roman" w:hAnsi="Times New Roman" w:cs="Times New Roman"/>
          <w:sz w:val="24"/>
          <w:szCs w:val="24"/>
        </w:rPr>
        <w:t xml:space="preserve"> </w:t>
      </w:r>
      <w:r w:rsidR="00D6217A">
        <w:rPr>
          <w:rFonts w:ascii="Times New Roman" w:hAnsi="Times New Roman" w:cs="Times New Roman"/>
          <w:sz w:val="24"/>
          <w:szCs w:val="24"/>
        </w:rPr>
        <w:t xml:space="preserve"> </w:t>
      </w:r>
      <w:r w:rsidR="00113933">
        <w:rPr>
          <w:rFonts w:ascii="Times New Roman" w:hAnsi="Times New Roman" w:cs="Times New Roman"/>
          <w:sz w:val="24"/>
          <w:szCs w:val="24"/>
        </w:rPr>
        <w:t xml:space="preserve">The PPA Rider </w:t>
      </w:r>
      <w:r w:rsidR="00AC4BF4">
        <w:rPr>
          <w:rFonts w:ascii="Times New Roman" w:hAnsi="Times New Roman" w:cs="Times New Roman"/>
          <w:sz w:val="24"/>
          <w:szCs w:val="24"/>
        </w:rPr>
        <w:t>will hurt consumers by interfering</w:t>
      </w:r>
      <w:r w:rsidR="001D2045">
        <w:rPr>
          <w:rFonts w:ascii="Times New Roman" w:hAnsi="Times New Roman" w:cs="Times New Roman"/>
          <w:sz w:val="24"/>
          <w:szCs w:val="24"/>
        </w:rPr>
        <w:t xml:space="preserve"> with the competitive generation market, </w:t>
      </w:r>
      <w:r w:rsidR="00D6217A">
        <w:rPr>
          <w:rFonts w:ascii="Times New Roman" w:hAnsi="Times New Roman" w:cs="Times New Roman"/>
          <w:sz w:val="24"/>
          <w:szCs w:val="24"/>
        </w:rPr>
        <w:t xml:space="preserve">by </w:t>
      </w:r>
      <w:r w:rsidR="00AC4BF4">
        <w:rPr>
          <w:rFonts w:ascii="Times New Roman" w:hAnsi="Times New Roman" w:cs="Times New Roman"/>
          <w:sz w:val="24"/>
          <w:szCs w:val="24"/>
        </w:rPr>
        <w:t>awarding</w:t>
      </w:r>
      <w:r w:rsidR="001D2045">
        <w:rPr>
          <w:rFonts w:ascii="Times New Roman" w:hAnsi="Times New Roman" w:cs="Times New Roman"/>
          <w:sz w:val="24"/>
          <w:szCs w:val="24"/>
        </w:rPr>
        <w:t xml:space="preserve"> a subsidy</w:t>
      </w:r>
      <w:r w:rsidR="000203D7">
        <w:rPr>
          <w:rFonts w:ascii="Times New Roman" w:hAnsi="Times New Roman" w:cs="Times New Roman"/>
          <w:sz w:val="24"/>
          <w:szCs w:val="24"/>
        </w:rPr>
        <w:t xml:space="preserve"> that they (consumers) will pay</w:t>
      </w:r>
      <w:r w:rsidR="001D2045">
        <w:rPr>
          <w:rFonts w:ascii="Times New Roman" w:hAnsi="Times New Roman" w:cs="Times New Roman"/>
          <w:sz w:val="24"/>
          <w:szCs w:val="24"/>
        </w:rPr>
        <w:t xml:space="preserve">, </w:t>
      </w:r>
      <w:r w:rsidR="000203D7">
        <w:rPr>
          <w:rFonts w:ascii="Times New Roman" w:hAnsi="Times New Roman" w:cs="Times New Roman"/>
          <w:sz w:val="24"/>
          <w:szCs w:val="24"/>
        </w:rPr>
        <w:t xml:space="preserve">by </w:t>
      </w:r>
      <w:r w:rsidR="001D2045">
        <w:rPr>
          <w:rFonts w:ascii="Times New Roman" w:hAnsi="Times New Roman" w:cs="Times New Roman"/>
          <w:sz w:val="24"/>
          <w:szCs w:val="24"/>
        </w:rPr>
        <w:t>se</w:t>
      </w:r>
      <w:r w:rsidR="00AC4BF4">
        <w:rPr>
          <w:rFonts w:ascii="Times New Roman" w:hAnsi="Times New Roman" w:cs="Times New Roman"/>
          <w:sz w:val="24"/>
          <w:szCs w:val="24"/>
        </w:rPr>
        <w:t>t</w:t>
      </w:r>
      <w:r w:rsidR="001D2045">
        <w:rPr>
          <w:rFonts w:ascii="Times New Roman" w:hAnsi="Times New Roman" w:cs="Times New Roman"/>
          <w:sz w:val="24"/>
          <w:szCs w:val="24"/>
        </w:rPr>
        <w:t>t</w:t>
      </w:r>
      <w:r w:rsidR="00AC4BF4">
        <w:rPr>
          <w:rFonts w:ascii="Times New Roman" w:hAnsi="Times New Roman" w:cs="Times New Roman"/>
          <w:sz w:val="24"/>
          <w:szCs w:val="24"/>
        </w:rPr>
        <w:t>ing</w:t>
      </w:r>
      <w:r w:rsidR="001D2045">
        <w:rPr>
          <w:rFonts w:ascii="Times New Roman" w:hAnsi="Times New Roman" w:cs="Times New Roman"/>
          <w:sz w:val="24"/>
          <w:szCs w:val="24"/>
        </w:rPr>
        <w:t xml:space="preserve"> wholesale market prices, </w:t>
      </w:r>
      <w:r w:rsidR="00AC4BF4">
        <w:rPr>
          <w:rFonts w:ascii="Times New Roman" w:hAnsi="Times New Roman" w:cs="Times New Roman"/>
          <w:sz w:val="24"/>
          <w:szCs w:val="24"/>
        </w:rPr>
        <w:t xml:space="preserve">and </w:t>
      </w:r>
      <w:r w:rsidR="000203D7">
        <w:rPr>
          <w:rFonts w:ascii="Times New Roman" w:hAnsi="Times New Roman" w:cs="Times New Roman"/>
          <w:sz w:val="24"/>
          <w:szCs w:val="24"/>
        </w:rPr>
        <w:t xml:space="preserve">by </w:t>
      </w:r>
      <w:r w:rsidR="00AC4BF4">
        <w:rPr>
          <w:rFonts w:ascii="Times New Roman" w:hAnsi="Times New Roman" w:cs="Times New Roman"/>
          <w:sz w:val="24"/>
          <w:szCs w:val="24"/>
        </w:rPr>
        <w:t>distorting</w:t>
      </w:r>
      <w:r w:rsidR="001D2045">
        <w:rPr>
          <w:rFonts w:ascii="Times New Roman" w:hAnsi="Times New Roman" w:cs="Times New Roman"/>
          <w:sz w:val="24"/>
          <w:szCs w:val="24"/>
        </w:rPr>
        <w:t xml:space="preserve"> the wholesale market.  </w:t>
      </w:r>
    </w:p>
    <w:p w:rsidR="00061384" w:rsidRDefault="00BE0715" w:rsidP="00D111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Joint Stipulation should </w:t>
      </w:r>
      <w:r w:rsidR="000E6C22">
        <w:rPr>
          <w:rFonts w:ascii="Times New Roman" w:hAnsi="Times New Roman" w:cs="Times New Roman"/>
          <w:sz w:val="24"/>
          <w:szCs w:val="24"/>
        </w:rPr>
        <w:t xml:space="preserve">also </w:t>
      </w:r>
      <w:r>
        <w:rPr>
          <w:rFonts w:ascii="Times New Roman" w:hAnsi="Times New Roman" w:cs="Times New Roman"/>
          <w:sz w:val="24"/>
          <w:szCs w:val="24"/>
        </w:rPr>
        <w:t xml:space="preserve">be rejected </w:t>
      </w:r>
      <w:r w:rsidR="00F96CC1">
        <w:rPr>
          <w:rFonts w:ascii="Times New Roman" w:hAnsi="Times New Roman" w:cs="Times New Roman"/>
          <w:sz w:val="24"/>
          <w:szCs w:val="24"/>
        </w:rPr>
        <w:t>because</w:t>
      </w:r>
      <w:r>
        <w:rPr>
          <w:rFonts w:ascii="Times New Roman" w:hAnsi="Times New Roman" w:cs="Times New Roman"/>
          <w:sz w:val="24"/>
          <w:szCs w:val="24"/>
        </w:rPr>
        <w:t xml:space="preserve"> it fails</w:t>
      </w:r>
      <w:r w:rsidR="000E6C22">
        <w:rPr>
          <w:rFonts w:ascii="Times New Roman" w:hAnsi="Times New Roman" w:cs="Times New Roman"/>
          <w:sz w:val="24"/>
          <w:szCs w:val="24"/>
        </w:rPr>
        <w:t xml:space="preserve"> all prongs of</w:t>
      </w:r>
      <w:r>
        <w:rPr>
          <w:rFonts w:ascii="Times New Roman" w:hAnsi="Times New Roman" w:cs="Times New Roman"/>
          <w:sz w:val="24"/>
          <w:szCs w:val="24"/>
        </w:rPr>
        <w:t xml:space="preserve"> the</w:t>
      </w:r>
      <w:r w:rsidR="000E6C22">
        <w:rPr>
          <w:rFonts w:ascii="Times New Roman" w:hAnsi="Times New Roman" w:cs="Times New Roman"/>
          <w:sz w:val="24"/>
          <w:szCs w:val="24"/>
        </w:rPr>
        <w:t xml:space="preserve"> PUCO’s</w:t>
      </w:r>
      <w:r>
        <w:rPr>
          <w:rFonts w:ascii="Times New Roman" w:hAnsi="Times New Roman" w:cs="Times New Roman"/>
          <w:sz w:val="24"/>
          <w:szCs w:val="24"/>
        </w:rPr>
        <w:t xml:space="preserve"> three-prong test</w:t>
      </w:r>
      <w:r w:rsidR="000E6C22">
        <w:rPr>
          <w:rFonts w:ascii="Times New Roman" w:hAnsi="Times New Roman" w:cs="Times New Roman"/>
          <w:sz w:val="24"/>
          <w:szCs w:val="24"/>
        </w:rPr>
        <w:t xml:space="preserve"> for evaluating settlements</w:t>
      </w:r>
      <w:r>
        <w:rPr>
          <w:rFonts w:ascii="Times New Roman" w:hAnsi="Times New Roman" w:cs="Times New Roman"/>
          <w:sz w:val="24"/>
          <w:szCs w:val="24"/>
        </w:rPr>
        <w:t>.</w:t>
      </w:r>
      <w:r w:rsidR="000E6C22">
        <w:rPr>
          <w:rFonts w:ascii="Times New Roman" w:hAnsi="Times New Roman" w:cs="Times New Roman"/>
          <w:sz w:val="24"/>
          <w:szCs w:val="24"/>
        </w:rPr>
        <w:t xml:space="preserve">  </w:t>
      </w:r>
      <w:r w:rsidR="00504E31">
        <w:rPr>
          <w:rFonts w:ascii="Times New Roman" w:hAnsi="Times New Roman" w:cs="Times New Roman"/>
          <w:sz w:val="24"/>
          <w:szCs w:val="24"/>
        </w:rPr>
        <w:t>Further</w:t>
      </w:r>
      <w:r w:rsidR="000E6C22">
        <w:rPr>
          <w:rFonts w:ascii="Times New Roman" w:hAnsi="Times New Roman" w:cs="Times New Roman"/>
          <w:sz w:val="24"/>
          <w:szCs w:val="24"/>
        </w:rPr>
        <w:t xml:space="preserve">, the settlement standard should not be applied to the </w:t>
      </w:r>
      <w:r w:rsidR="00504E31">
        <w:rPr>
          <w:rFonts w:ascii="Times New Roman" w:hAnsi="Times New Roman" w:cs="Times New Roman"/>
          <w:sz w:val="24"/>
          <w:szCs w:val="24"/>
        </w:rPr>
        <w:t xml:space="preserve">Joint </w:t>
      </w:r>
      <w:r w:rsidR="000E6C22">
        <w:rPr>
          <w:rFonts w:ascii="Times New Roman" w:hAnsi="Times New Roman" w:cs="Times New Roman"/>
          <w:sz w:val="24"/>
          <w:szCs w:val="24"/>
        </w:rPr>
        <w:t>Stipulation as a “package” because of the hodgepodge nature of this settlement that includes significant unrelated terms</w:t>
      </w:r>
      <w:r w:rsidR="00A4438E">
        <w:rPr>
          <w:rFonts w:ascii="Times New Roman" w:hAnsi="Times New Roman" w:cs="Times New Roman"/>
          <w:sz w:val="24"/>
          <w:szCs w:val="24"/>
        </w:rPr>
        <w:t>.  Various of these terms</w:t>
      </w:r>
      <w:r w:rsidR="000E6C22">
        <w:rPr>
          <w:rFonts w:ascii="Times New Roman" w:hAnsi="Times New Roman" w:cs="Times New Roman"/>
          <w:sz w:val="24"/>
          <w:szCs w:val="24"/>
        </w:rPr>
        <w:t xml:space="preserve"> emerged </w:t>
      </w:r>
      <w:r w:rsidR="00113933">
        <w:rPr>
          <w:rFonts w:ascii="Times New Roman" w:hAnsi="Times New Roman" w:cs="Times New Roman"/>
          <w:sz w:val="24"/>
          <w:szCs w:val="24"/>
        </w:rPr>
        <w:t xml:space="preserve">at case-end </w:t>
      </w:r>
      <w:r w:rsidR="000E6C22">
        <w:rPr>
          <w:rFonts w:ascii="Times New Roman" w:hAnsi="Times New Roman" w:cs="Times New Roman"/>
          <w:sz w:val="24"/>
          <w:szCs w:val="24"/>
        </w:rPr>
        <w:t xml:space="preserve">unannounced and without earlier notice as a result of the </w:t>
      </w:r>
      <w:r w:rsidR="00A4438E">
        <w:rPr>
          <w:rFonts w:ascii="Times New Roman" w:hAnsi="Times New Roman" w:cs="Times New Roman"/>
          <w:sz w:val="24"/>
          <w:szCs w:val="24"/>
        </w:rPr>
        <w:t xml:space="preserve">concerning approach of </w:t>
      </w:r>
      <w:r w:rsidR="00B763B7">
        <w:rPr>
          <w:rFonts w:ascii="Times New Roman" w:hAnsi="Times New Roman" w:cs="Times New Roman"/>
          <w:sz w:val="24"/>
          <w:szCs w:val="24"/>
        </w:rPr>
        <w:t>utilities offering</w:t>
      </w:r>
      <w:r w:rsidR="00A4438E">
        <w:rPr>
          <w:rFonts w:ascii="Times New Roman" w:hAnsi="Times New Roman" w:cs="Times New Roman"/>
          <w:sz w:val="24"/>
          <w:szCs w:val="24"/>
        </w:rPr>
        <w:t xml:space="preserve"> financial benefits (inducements) for settlement signatures.  The PUCO recently turned a critical eye to this practice in a case involving AEP Ohio.</w:t>
      </w:r>
      <w:r w:rsidR="00A4438E">
        <w:rPr>
          <w:rStyle w:val="FootnoteReference"/>
          <w:rFonts w:ascii="Times New Roman" w:hAnsi="Times New Roman" w:cs="Times New Roman"/>
          <w:sz w:val="24"/>
          <w:szCs w:val="24"/>
        </w:rPr>
        <w:footnoteReference w:id="842"/>
      </w:r>
      <w:r w:rsidR="00A4438E">
        <w:rPr>
          <w:rFonts w:ascii="Times New Roman" w:hAnsi="Times New Roman" w:cs="Times New Roman"/>
          <w:sz w:val="24"/>
          <w:szCs w:val="24"/>
        </w:rPr>
        <w:t xml:space="preserve">  </w:t>
      </w:r>
    </w:p>
    <w:p w:rsidR="00061384" w:rsidRDefault="001D2045" w:rsidP="00D111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Further, a</w:t>
      </w:r>
      <w:r w:rsidR="00102975">
        <w:rPr>
          <w:rFonts w:ascii="Times New Roman" w:hAnsi="Times New Roman" w:cs="Times New Roman"/>
          <w:sz w:val="24"/>
          <w:szCs w:val="24"/>
        </w:rPr>
        <w:t xml:space="preserve">ccording to AEP Ohio’s own forecasts, the </w:t>
      </w:r>
      <w:r w:rsidR="00061384">
        <w:rPr>
          <w:rFonts w:ascii="Times New Roman" w:hAnsi="Times New Roman" w:cs="Times New Roman"/>
          <w:sz w:val="24"/>
          <w:szCs w:val="24"/>
        </w:rPr>
        <w:t xml:space="preserve">bail-out </w:t>
      </w:r>
      <w:r w:rsidR="00102975">
        <w:rPr>
          <w:rFonts w:ascii="Times New Roman" w:hAnsi="Times New Roman" w:cs="Times New Roman"/>
          <w:sz w:val="24"/>
          <w:szCs w:val="24"/>
        </w:rPr>
        <w:t>proposals in the Amended Application</w:t>
      </w:r>
      <w:r w:rsidR="00A240D9">
        <w:rPr>
          <w:rFonts w:ascii="Times New Roman" w:hAnsi="Times New Roman" w:cs="Times New Roman"/>
          <w:sz w:val="24"/>
          <w:szCs w:val="24"/>
        </w:rPr>
        <w:t>/Modified Amended Application</w:t>
      </w:r>
      <w:r w:rsidR="00102975">
        <w:rPr>
          <w:rFonts w:ascii="Times New Roman" w:hAnsi="Times New Roman" w:cs="Times New Roman"/>
          <w:sz w:val="24"/>
          <w:szCs w:val="24"/>
        </w:rPr>
        <w:t xml:space="preserve"> </w:t>
      </w:r>
      <w:r w:rsidR="00061384">
        <w:rPr>
          <w:rFonts w:ascii="Times New Roman" w:hAnsi="Times New Roman" w:cs="Times New Roman"/>
          <w:sz w:val="24"/>
          <w:szCs w:val="24"/>
        </w:rPr>
        <w:t>do not serve the advertised purpose.  T</w:t>
      </w:r>
      <w:r w:rsidR="00102975">
        <w:rPr>
          <w:rFonts w:ascii="Times New Roman" w:hAnsi="Times New Roman" w:cs="Times New Roman"/>
          <w:sz w:val="24"/>
          <w:szCs w:val="24"/>
        </w:rPr>
        <w:t>he</w:t>
      </w:r>
      <w:r w:rsidR="00061384">
        <w:rPr>
          <w:rFonts w:ascii="Times New Roman" w:hAnsi="Times New Roman" w:cs="Times New Roman"/>
          <w:sz w:val="24"/>
          <w:szCs w:val="24"/>
        </w:rPr>
        <w:t xml:space="preserve"> </w:t>
      </w:r>
      <w:r w:rsidR="00102975">
        <w:rPr>
          <w:rFonts w:ascii="Times New Roman" w:hAnsi="Times New Roman" w:cs="Times New Roman"/>
          <w:sz w:val="24"/>
          <w:szCs w:val="24"/>
        </w:rPr>
        <w:t xml:space="preserve">PPA Units are projected to be profitable for the </w:t>
      </w:r>
      <w:r w:rsidR="006A14C2">
        <w:rPr>
          <w:rFonts w:ascii="Times New Roman" w:hAnsi="Times New Roman" w:cs="Times New Roman"/>
          <w:sz w:val="24"/>
          <w:szCs w:val="24"/>
        </w:rPr>
        <w:t>duration of AEP Ohio’s proposals</w:t>
      </w:r>
      <w:r w:rsidR="00102975">
        <w:rPr>
          <w:rFonts w:ascii="Times New Roman" w:hAnsi="Times New Roman" w:cs="Times New Roman"/>
          <w:sz w:val="24"/>
          <w:szCs w:val="24"/>
        </w:rPr>
        <w:t xml:space="preserve">.  </w:t>
      </w:r>
    </w:p>
    <w:p w:rsidR="00BE0715" w:rsidRDefault="00061384" w:rsidP="00D111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interest of </w:t>
      </w:r>
      <w:r w:rsidR="00504E31">
        <w:rPr>
          <w:rFonts w:ascii="Times New Roman" w:hAnsi="Times New Roman" w:cs="Times New Roman"/>
          <w:sz w:val="24"/>
          <w:szCs w:val="24"/>
        </w:rPr>
        <w:t>using</w:t>
      </w:r>
      <w:r>
        <w:rPr>
          <w:rFonts w:ascii="Times New Roman" w:hAnsi="Times New Roman" w:cs="Times New Roman"/>
          <w:sz w:val="24"/>
          <w:szCs w:val="24"/>
        </w:rPr>
        <w:t xml:space="preserve"> electric markets</w:t>
      </w:r>
      <w:r w:rsidR="00504E31">
        <w:rPr>
          <w:rFonts w:ascii="Times New Roman" w:hAnsi="Times New Roman" w:cs="Times New Roman"/>
          <w:sz w:val="24"/>
          <w:szCs w:val="24"/>
        </w:rPr>
        <w:t>, as</w:t>
      </w:r>
      <w:r>
        <w:rPr>
          <w:rFonts w:ascii="Times New Roman" w:hAnsi="Times New Roman" w:cs="Times New Roman"/>
          <w:sz w:val="24"/>
          <w:szCs w:val="24"/>
        </w:rPr>
        <w:t xml:space="preserve"> intended by the Ohio General Assembly</w:t>
      </w:r>
      <w:r w:rsidR="00504E31">
        <w:rPr>
          <w:rFonts w:ascii="Times New Roman" w:hAnsi="Times New Roman" w:cs="Times New Roman"/>
          <w:sz w:val="24"/>
          <w:szCs w:val="24"/>
        </w:rPr>
        <w:t>,</w:t>
      </w:r>
      <w:r>
        <w:rPr>
          <w:rFonts w:ascii="Times New Roman" w:hAnsi="Times New Roman" w:cs="Times New Roman"/>
          <w:sz w:val="24"/>
          <w:szCs w:val="24"/>
        </w:rPr>
        <w:t xml:space="preserve"> and the benefits for Ohioans from those markets, the PUCO should dismiss AEP Ohio’s case or deny its proposals.</w:t>
      </w:r>
    </w:p>
    <w:p w:rsidR="008B0A69" w:rsidRDefault="008B0A69" w:rsidP="00D11155">
      <w:pPr>
        <w:spacing w:after="0" w:line="480" w:lineRule="auto"/>
        <w:ind w:firstLine="720"/>
        <w:rPr>
          <w:rFonts w:ascii="Times New Roman" w:hAnsi="Times New Roman" w:cs="Times New Roman"/>
          <w:sz w:val="24"/>
          <w:szCs w:val="24"/>
        </w:rPr>
      </w:pPr>
    </w:p>
    <w:p w:rsidR="00742312" w:rsidRDefault="00020AF0" w:rsidP="00A574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42312" w:rsidRDefault="00742312">
      <w:pPr>
        <w:rPr>
          <w:rFonts w:ascii="Times New Roman" w:hAnsi="Times New Roman" w:cs="Times New Roman"/>
          <w:sz w:val="24"/>
          <w:szCs w:val="24"/>
        </w:rPr>
      </w:pPr>
      <w:r>
        <w:rPr>
          <w:rFonts w:ascii="Times New Roman" w:hAnsi="Times New Roman" w:cs="Times New Roman"/>
          <w:sz w:val="24"/>
          <w:szCs w:val="24"/>
        </w:rPr>
        <w:br w:type="page"/>
      </w:r>
    </w:p>
    <w:p w:rsidR="00020AF0" w:rsidRDefault="00020AF0" w:rsidP="00742312">
      <w:pPr>
        <w:spacing w:after="0" w:line="480" w:lineRule="auto"/>
        <w:ind w:left="3600" w:firstLine="720"/>
        <w:rPr>
          <w:rFonts w:ascii="Times New Roman" w:hAnsi="Times New Roman" w:cs="Times New Roman"/>
          <w:sz w:val="24"/>
          <w:szCs w:val="24"/>
        </w:rPr>
      </w:pPr>
      <w:r>
        <w:rPr>
          <w:rFonts w:ascii="Times New Roman" w:hAnsi="Times New Roman" w:cs="Times New Roman"/>
          <w:sz w:val="24"/>
          <w:szCs w:val="24"/>
        </w:rPr>
        <w:t>Respectfully submitted,</w:t>
      </w:r>
    </w:p>
    <w:p w:rsidR="00020AF0" w:rsidRPr="0033749E" w:rsidRDefault="00020AF0" w:rsidP="00020AF0">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3D3C97" w:rsidRPr="0033749E">
        <w:rPr>
          <w:rFonts w:ascii="Times New Roman" w:hAnsi="Times New Roman" w:cs="Times New Roman"/>
          <w:sz w:val="24"/>
        </w:rPr>
        <w:t xml:space="preserve">BRUCE J. WESTON </w:t>
      </w:r>
      <w:r w:rsidRPr="0033749E">
        <w:rPr>
          <w:rFonts w:ascii="Times New Roman" w:hAnsi="Times New Roman" w:cs="Times New Roman"/>
          <w:sz w:val="24"/>
        </w:rPr>
        <w:t>(0016973)</w:t>
      </w:r>
    </w:p>
    <w:p w:rsidR="00020AF0" w:rsidRPr="0033749E" w:rsidRDefault="00020AF0" w:rsidP="00020AF0">
      <w:pPr>
        <w:spacing w:after="0" w:line="240" w:lineRule="auto"/>
        <w:rPr>
          <w:rFonts w:ascii="Times New Roman" w:hAnsi="Times New Roman" w:cs="Times New Roman"/>
          <w:sz w:val="24"/>
        </w:rPr>
      </w:pPr>
      <w:r w:rsidRPr="0033749E">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3D3C97">
        <w:rPr>
          <w:rFonts w:ascii="Times New Roman" w:hAnsi="Times New Roman" w:cs="Times New Roman"/>
          <w:sz w:val="24"/>
        </w:rPr>
        <w:t xml:space="preserve">OHIO </w:t>
      </w:r>
      <w:r>
        <w:rPr>
          <w:rFonts w:ascii="Times New Roman" w:hAnsi="Times New Roman" w:cs="Times New Roman"/>
          <w:sz w:val="24"/>
        </w:rPr>
        <w:t>CONSUMERS’ COUNSEL</w:t>
      </w:r>
    </w:p>
    <w:p w:rsidR="00020AF0" w:rsidRPr="0033749E" w:rsidRDefault="00020AF0" w:rsidP="00020AF0">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020AF0" w:rsidRPr="00941ED6" w:rsidRDefault="00020AF0" w:rsidP="00020AF0">
      <w:pPr>
        <w:spacing w:after="0" w:line="240" w:lineRule="auto"/>
        <w:rPr>
          <w:rFonts w:ascii="Times New Roman" w:hAnsi="Times New Roman" w:cs="Times New Roman"/>
          <w:i/>
          <w:sz w:val="24"/>
          <w:u w:val="single"/>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941ED6">
        <w:rPr>
          <w:rFonts w:ascii="Times New Roman" w:hAnsi="Times New Roman" w:cs="Times New Roman"/>
          <w:i/>
          <w:sz w:val="24"/>
          <w:u w:val="single"/>
        </w:rPr>
        <w:t>/s/ William J. Michael</w:t>
      </w:r>
    </w:p>
    <w:p w:rsidR="00020AF0" w:rsidRDefault="00020AF0" w:rsidP="00020AF0">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William J. Michael (0070921)</w:t>
      </w:r>
    </w:p>
    <w:p w:rsidR="00020AF0" w:rsidRDefault="00020AF0" w:rsidP="00020AF0">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Counsel of Record</w:t>
      </w:r>
    </w:p>
    <w:p w:rsidR="00020AF0" w:rsidRDefault="00020AF0" w:rsidP="00020AF0">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Jodi J. Bair (0062921)</w:t>
      </w:r>
    </w:p>
    <w:p w:rsidR="00020AF0" w:rsidRDefault="00020AF0" w:rsidP="00020AF0">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Kevin F. Moore (0089228)</w:t>
      </w:r>
    </w:p>
    <w:p w:rsidR="00020AF0" w:rsidRDefault="00020AF0" w:rsidP="00020AF0">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Assistant Consumers’ Counsel</w:t>
      </w:r>
    </w:p>
    <w:p w:rsidR="00020AF0" w:rsidRDefault="00020AF0" w:rsidP="00020AF0">
      <w:pPr>
        <w:spacing w:after="0" w:line="240" w:lineRule="auto"/>
        <w:rPr>
          <w:rFonts w:ascii="Times New Roman" w:hAnsi="Times New Roman" w:cs="Times New Roman"/>
          <w:sz w:val="24"/>
        </w:rPr>
      </w:pPr>
    </w:p>
    <w:p w:rsidR="00020AF0" w:rsidRPr="00CD7A55" w:rsidRDefault="00020AF0" w:rsidP="00020AF0">
      <w:pPr>
        <w:spacing w:after="0" w:line="24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CD7A55">
        <w:rPr>
          <w:rFonts w:ascii="Times New Roman" w:hAnsi="Times New Roman" w:cs="Times New Roman"/>
          <w:b/>
          <w:sz w:val="24"/>
        </w:rPr>
        <w:t>Office of the Ohio Consumers’ Counsel</w:t>
      </w:r>
    </w:p>
    <w:p w:rsidR="00020AF0" w:rsidRDefault="00020AF0" w:rsidP="00020AF0">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10 W. Broad Street, Suite 1800</w:t>
      </w:r>
    </w:p>
    <w:p w:rsidR="00020AF0" w:rsidRDefault="00020AF0" w:rsidP="00020AF0">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Columbus, Ohio 43215-3485</w:t>
      </w:r>
    </w:p>
    <w:p w:rsidR="00020AF0" w:rsidRDefault="00020AF0" w:rsidP="00020AF0">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Telephone [Michael]: 614-466-1291</w:t>
      </w:r>
    </w:p>
    <w:p w:rsidR="00020AF0" w:rsidRDefault="00020AF0" w:rsidP="00020AF0">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Telephone [Bair]: 614-466-9559</w:t>
      </w:r>
    </w:p>
    <w:p w:rsidR="00020AF0" w:rsidRDefault="00020AF0" w:rsidP="00020AF0">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Telephone [Moore]: 614-466-2965</w:t>
      </w:r>
    </w:p>
    <w:p w:rsidR="00020AF0" w:rsidRDefault="00020AF0" w:rsidP="00020AF0">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hyperlink r:id="rId20" w:history="1">
        <w:r w:rsidRPr="006D4DB2">
          <w:rPr>
            <w:rStyle w:val="Hyperlink"/>
            <w:rFonts w:ascii="Times New Roman" w:hAnsi="Times New Roman" w:cs="Times New Roman"/>
            <w:sz w:val="24"/>
          </w:rPr>
          <w:t>William.michael@occ.ohio.gov</w:t>
        </w:r>
      </w:hyperlink>
    </w:p>
    <w:p w:rsidR="00020AF0" w:rsidRDefault="00020AF0" w:rsidP="00020AF0">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(will accept service via email)</w:t>
      </w:r>
    </w:p>
    <w:p w:rsidR="00020AF0" w:rsidRDefault="00020AF0" w:rsidP="00020AF0">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hyperlink r:id="rId21" w:history="1">
        <w:r w:rsidRPr="006D4DB2">
          <w:rPr>
            <w:rStyle w:val="Hyperlink"/>
            <w:rFonts w:ascii="Times New Roman" w:hAnsi="Times New Roman" w:cs="Times New Roman"/>
            <w:sz w:val="24"/>
          </w:rPr>
          <w:t>Jodi.bair@occ.ohio.gov</w:t>
        </w:r>
      </w:hyperlink>
    </w:p>
    <w:p w:rsidR="00020AF0" w:rsidRDefault="00020AF0" w:rsidP="00020AF0">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(will accept service via email)</w:t>
      </w:r>
    </w:p>
    <w:p w:rsidR="00020AF0" w:rsidRDefault="00020AF0" w:rsidP="00020AF0">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hyperlink r:id="rId22" w:history="1">
        <w:r w:rsidRPr="006D4DB2">
          <w:rPr>
            <w:rStyle w:val="Hyperlink"/>
            <w:rFonts w:ascii="Times New Roman" w:hAnsi="Times New Roman" w:cs="Times New Roman"/>
            <w:sz w:val="24"/>
          </w:rPr>
          <w:t>kevin.moore@occ.ohio.gov</w:t>
        </w:r>
      </w:hyperlink>
    </w:p>
    <w:p w:rsidR="00020AF0" w:rsidRDefault="00020AF0" w:rsidP="00020AF0">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(will accept service via email)</w:t>
      </w:r>
    </w:p>
    <w:p w:rsidR="00742312" w:rsidRDefault="00742312" w:rsidP="00742312">
      <w:pPr>
        <w:spacing w:after="0" w:line="240" w:lineRule="auto"/>
        <w:ind w:firstLine="720"/>
        <w:rPr>
          <w:rFonts w:ascii="Times New Roman" w:hAnsi="Times New Roman" w:cs="Times New Roman"/>
          <w:i/>
          <w:sz w:val="24"/>
          <w:szCs w:val="24"/>
        </w:rPr>
      </w:pPr>
    </w:p>
    <w:p w:rsidR="00742312" w:rsidRDefault="00941ED6" w:rsidP="00742312">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742312">
        <w:rPr>
          <w:rFonts w:ascii="Times New Roman" w:hAnsi="Times New Roman" w:cs="Times New Roman"/>
          <w:sz w:val="24"/>
          <w:szCs w:val="24"/>
        </w:rPr>
        <w:t>Dane Stinson (0019101)</w:t>
      </w:r>
    </w:p>
    <w:p w:rsidR="00742312" w:rsidRDefault="00742312" w:rsidP="00742312">
      <w:pPr>
        <w:autoSpaceDE w:val="0"/>
        <w:autoSpaceDN w:val="0"/>
        <w:adjustRightInd w:val="0"/>
        <w:spacing w:after="0" w:line="240" w:lineRule="auto"/>
        <w:ind w:left="4320"/>
        <w:rPr>
          <w:rFonts w:ascii="Times New Roman" w:hAnsi="Times New Roman" w:cs="Times New Roman"/>
          <w:sz w:val="24"/>
          <w:szCs w:val="24"/>
        </w:rPr>
      </w:pPr>
      <w:r>
        <w:rPr>
          <w:rFonts w:ascii="Times New Roman" w:hAnsi="Times New Roman" w:cs="Times New Roman"/>
          <w:sz w:val="24"/>
          <w:szCs w:val="24"/>
        </w:rPr>
        <w:t>Bricker &amp; Eckler LLP</w:t>
      </w:r>
    </w:p>
    <w:p w:rsidR="00742312" w:rsidRDefault="00742312" w:rsidP="00742312">
      <w:pPr>
        <w:autoSpaceDE w:val="0"/>
        <w:autoSpaceDN w:val="0"/>
        <w:adjustRightInd w:val="0"/>
        <w:spacing w:after="0" w:line="240" w:lineRule="auto"/>
        <w:ind w:left="4320"/>
        <w:rPr>
          <w:rFonts w:ascii="Times New Roman" w:hAnsi="Times New Roman" w:cs="Times New Roman"/>
          <w:sz w:val="24"/>
          <w:szCs w:val="24"/>
        </w:rPr>
      </w:pPr>
      <w:r>
        <w:rPr>
          <w:rFonts w:ascii="Times New Roman" w:hAnsi="Times New Roman" w:cs="Times New Roman"/>
          <w:sz w:val="24"/>
          <w:szCs w:val="24"/>
        </w:rPr>
        <w:t>100 S. Third St.</w:t>
      </w:r>
    </w:p>
    <w:p w:rsidR="00742312" w:rsidRDefault="00742312" w:rsidP="00742312">
      <w:pPr>
        <w:autoSpaceDE w:val="0"/>
        <w:autoSpaceDN w:val="0"/>
        <w:adjustRightInd w:val="0"/>
        <w:spacing w:after="0" w:line="240" w:lineRule="auto"/>
        <w:ind w:left="4320"/>
        <w:rPr>
          <w:rFonts w:ascii="Times New Roman" w:hAnsi="Times New Roman" w:cs="Times New Roman"/>
          <w:sz w:val="24"/>
          <w:szCs w:val="24"/>
        </w:rPr>
      </w:pPr>
      <w:r>
        <w:rPr>
          <w:rFonts w:ascii="Times New Roman" w:hAnsi="Times New Roman" w:cs="Times New Roman"/>
          <w:sz w:val="24"/>
          <w:szCs w:val="24"/>
        </w:rPr>
        <w:t>Columbus, OH 43215</w:t>
      </w:r>
    </w:p>
    <w:p w:rsidR="00742312" w:rsidRDefault="00742312" w:rsidP="00742312">
      <w:pPr>
        <w:autoSpaceDE w:val="0"/>
        <w:autoSpaceDN w:val="0"/>
        <w:adjustRightInd w:val="0"/>
        <w:spacing w:after="0" w:line="240" w:lineRule="auto"/>
        <w:ind w:left="4320"/>
        <w:rPr>
          <w:rFonts w:ascii="Times New Roman" w:hAnsi="Times New Roman" w:cs="Times New Roman"/>
          <w:sz w:val="24"/>
          <w:szCs w:val="24"/>
        </w:rPr>
      </w:pPr>
      <w:r>
        <w:rPr>
          <w:rFonts w:ascii="Times New Roman" w:hAnsi="Times New Roman" w:cs="Times New Roman"/>
          <w:sz w:val="24"/>
          <w:szCs w:val="24"/>
        </w:rPr>
        <w:t>Phone:  (614) 227-2300</w:t>
      </w:r>
    </w:p>
    <w:p w:rsidR="00742312" w:rsidRDefault="00AB6E95" w:rsidP="00742312">
      <w:pPr>
        <w:autoSpaceDE w:val="0"/>
        <w:autoSpaceDN w:val="0"/>
        <w:adjustRightInd w:val="0"/>
        <w:spacing w:after="0" w:line="240" w:lineRule="auto"/>
        <w:ind w:left="4320"/>
        <w:rPr>
          <w:rStyle w:val="Hyperlink"/>
          <w:rFonts w:ascii="Times New Roman" w:hAnsi="Times New Roman" w:cs="Times New Roman"/>
          <w:sz w:val="24"/>
          <w:szCs w:val="24"/>
        </w:rPr>
      </w:pPr>
      <w:hyperlink r:id="rId23" w:history="1">
        <w:r w:rsidR="00742312" w:rsidRPr="008D2359">
          <w:rPr>
            <w:rStyle w:val="Hyperlink"/>
            <w:rFonts w:ascii="Times New Roman" w:hAnsi="Times New Roman" w:cs="Times New Roman"/>
            <w:sz w:val="24"/>
            <w:szCs w:val="24"/>
          </w:rPr>
          <w:t>dstinson@bricker.com</w:t>
        </w:r>
      </w:hyperlink>
    </w:p>
    <w:p w:rsidR="00742312" w:rsidRPr="00742312" w:rsidRDefault="00742312" w:rsidP="00742312">
      <w:pPr>
        <w:autoSpaceDE w:val="0"/>
        <w:autoSpaceDN w:val="0"/>
        <w:adjustRightInd w:val="0"/>
        <w:spacing w:after="0" w:line="240" w:lineRule="auto"/>
        <w:ind w:left="4320"/>
        <w:rPr>
          <w:rFonts w:ascii="Times New Roman" w:hAnsi="Times New Roman" w:cs="Times New Roman"/>
          <w:sz w:val="24"/>
          <w:szCs w:val="24"/>
        </w:rPr>
      </w:pPr>
      <w:r w:rsidRPr="00742312">
        <w:rPr>
          <w:rStyle w:val="Hyperlink"/>
          <w:rFonts w:ascii="Times New Roman" w:hAnsi="Times New Roman" w:cs="Times New Roman"/>
          <w:color w:val="auto"/>
          <w:sz w:val="24"/>
          <w:szCs w:val="24"/>
          <w:u w:val="none"/>
        </w:rPr>
        <w:t>(will accept service via email)</w:t>
      </w:r>
    </w:p>
    <w:p w:rsidR="00742312" w:rsidRDefault="00742312" w:rsidP="00742312">
      <w:pPr>
        <w:autoSpaceDE w:val="0"/>
        <w:autoSpaceDN w:val="0"/>
        <w:adjustRightInd w:val="0"/>
        <w:spacing w:after="0" w:line="240" w:lineRule="auto"/>
        <w:ind w:left="4320"/>
        <w:rPr>
          <w:rFonts w:ascii="Times New Roman" w:hAnsi="Times New Roman" w:cs="Times New Roman"/>
          <w:sz w:val="24"/>
          <w:szCs w:val="24"/>
        </w:rPr>
      </w:pPr>
    </w:p>
    <w:p w:rsidR="00742312" w:rsidRPr="007A7205" w:rsidRDefault="00742312" w:rsidP="00742312">
      <w:pPr>
        <w:autoSpaceDE w:val="0"/>
        <w:autoSpaceDN w:val="0"/>
        <w:adjustRightInd w:val="0"/>
        <w:spacing w:after="0" w:line="240" w:lineRule="auto"/>
        <w:ind w:left="4320"/>
        <w:rPr>
          <w:rFonts w:ascii="Times New Roman" w:hAnsi="Times New Roman" w:cs="Times New Roman"/>
          <w:i/>
          <w:sz w:val="24"/>
          <w:szCs w:val="24"/>
        </w:rPr>
      </w:pPr>
      <w:r w:rsidRPr="007A7205">
        <w:rPr>
          <w:rFonts w:ascii="Times New Roman" w:hAnsi="Times New Roman" w:cs="Times New Roman"/>
          <w:i/>
          <w:sz w:val="24"/>
          <w:szCs w:val="24"/>
        </w:rPr>
        <w:t xml:space="preserve">Outside Counsel for the Office of </w:t>
      </w:r>
    </w:p>
    <w:p w:rsidR="00742312" w:rsidRDefault="00742312" w:rsidP="00742312">
      <w:pPr>
        <w:ind w:left="3600" w:firstLine="720"/>
        <w:rPr>
          <w:rFonts w:ascii="Times New Roman" w:hAnsi="Times New Roman" w:cs="Times New Roman"/>
          <w:i/>
          <w:sz w:val="24"/>
          <w:szCs w:val="24"/>
        </w:rPr>
      </w:pPr>
      <w:r w:rsidRPr="007A7205">
        <w:rPr>
          <w:rFonts w:ascii="Times New Roman" w:hAnsi="Times New Roman" w:cs="Times New Roman"/>
          <w:i/>
          <w:sz w:val="24"/>
          <w:szCs w:val="24"/>
        </w:rPr>
        <w:t>The Ohio Consumers’ Counsel</w:t>
      </w:r>
    </w:p>
    <w:p w:rsidR="00742312" w:rsidRDefault="00742312" w:rsidP="00742312">
      <w:pPr>
        <w:spacing w:after="0" w:line="240" w:lineRule="auto"/>
        <w:ind w:left="3600" w:firstLine="720"/>
        <w:rPr>
          <w:rFonts w:ascii="Times New Roman" w:hAnsi="Times New Roman" w:cs="Times New Roman"/>
          <w:i/>
          <w:sz w:val="24"/>
          <w:szCs w:val="24"/>
          <w:u w:val="single"/>
        </w:rPr>
      </w:pPr>
    </w:p>
    <w:p w:rsidR="00941ED6" w:rsidRPr="00941ED6" w:rsidRDefault="00941ED6" w:rsidP="00742312">
      <w:pPr>
        <w:spacing w:after="0" w:line="240" w:lineRule="auto"/>
        <w:ind w:left="3600" w:firstLine="720"/>
        <w:rPr>
          <w:rFonts w:ascii="Times New Roman" w:hAnsi="Times New Roman" w:cs="Times New Roman"/>
          <w:i/>
          <w:sz w:val="24"/>
          <w:szCs w:val="24"/>
          <w:u w:val="single"/>
        </w:rPr>
      </w:pPr>
      <w:r>
        <w:rPr>
          <w:rFonts w:ascii="Times New Roman" w:hAnsi="Times New Roman" w:cs="Times New Roman"/>
          <w:i/>
          <w:sz w:val="24"/>
          <w:szCs w:val="24"/>
          <w:u w:val="single"/>
        </w:rPr>
        <w:t>/s/ Michael R. Smalz</w:t>
      </w:r>
    </w:p>
    <w:p w:rsidR="00941ED6" w:rsidRPr="003D3C97" w:rsidRDefault="00941ED6" w:rsidP="00941ED6">
      <w:pPr>
        <w:autoSpaceDE w:val="0"/>
        <w:autoSpaceDN w:val="0"/>
        <w:adjustRightInd w:val="0"/>
        <w:spacing w:after="0" w:line="240" w:lineRule="auto"/>
        <w:ind w:left="4320"/>
        <w:rPr>
          <w:rFonts w:ascii="Times New Roman" w:hAnsi="Times New Roman" w:cs="Times New Roman"/>
          <w:sz w:val="24"/>
          <w:szCs w:val="24"/>
        </w:rPr>
      </w:pPr>
      <w:r w:rsidRPr="003D3C97">
        <w:rPr>
          <w:rFonts w:ascii="Times New Roman" w:hAnsi="Times New Roman" w:cs="Times New Roman"/>
          <w:sz w:val="24"/>
          <w:szCs w:val="24"/>
        </w:rPr>
        <w:t>Michael R. Smalz, Counsel of Record</w:t>
      </w:r>
    </w:p>
    <w:p w:rsidR="00941ED6" w:rsidRPr="003D3C97" w:rsidRDefault="00941ED6" w:rsidP="00941ED6">
      <w:pPr>
        <w:autoSpaceDE w:val="0"/>
        <w:autoSpaceDN w:val="0"/>
        <w:adjustRightInd w:val="0"/>
        <w:spacing w:after="0" w:line="240" w:lineRule="auto"/>
        <w:ind w:left="4320"/>
        <w:rPr>
          <w:rFonts w:ascii="Times New Roman" w:hAnsi="Times New Roman" w:cs="Times New Roman"/>
          <w:sz w:val="24"/>
          <w:szCs w:val="24"/>
        </w:rPr>
      </w:pPr>
      <w:r w:rsidRPr="003D3C97">
        <w:rPr>
          <w:rFonts w:ascii="Times New Roman" w:hAnsi="Times New Roman" w:cs="Times New Roman"/>
          <w:sz w:val="24"/>
          <w:szCs w:val="24"/>
        </w:rPr>
        <w:t>(Attorney Registration No. 0041897)</w:t>
      </w:r>
    </w:p>
    <w:p w:rsidR="00941ED6" w:rsidRPr="003D3C97" w:rsidRDefault="00941ED6" w:rsidP="00941ED6">
      <w:pPr>
        <w:autoSpaceDE w:val="0"/>
        <w:autoSpaceDN w:val="0"/>
        <w:adjustRightInd w:val="0"/>
        <w:spacing w:after="0" w:line="240" w:lineRule="auto"/>
        <w:ind w:left="4320"/>
        <w:rPr>
          <w:rFonts w:ascii="Times New Roman" w:hAnsi="Times New Roman" w:cs="Times New Roman"/>
          <w:sz w:val="24"/>
          <w:szCs w:val="24"/>
        </w:rPr>
      </w:pPr>
      <w:r w:rsidRPr="003D3C97">
        <w:rPr>
          <w:rFonts w:ascii="Times New Roman" w:hAnsi="Times New Roman" w:cs="Times New Roman"/>
          <w:sz w:val="24"/>
          <w:szCs w:val="24"/>
        </w:rPr>
        <w:t>Ohio Poverty Law Center</w:t>
      </w:r>
    </w:p>
    <w:p w:rsidR="00941ED6" w:rsidRPr="003D3C97" w:rsidRDefault="00941ED6" w:rsidP="00941ED6">
      <w:pPr>
        <w:autoSpaceDE w:val="0"/>
        <w:autoSpaceDN w:val="0"/>
        <w:adjustRightInd w:val="0"/>
        <w:spacing w:after="0" w:line="240" w:lineRule="auto"/>
        <w:ind w:left="4320"/>
        <w:rPr>
          <w:rFonts w:ascii="Times New Roman" w:hAnsi="Times New Roman" w:cs="Times New Roman"/>
          <w:sz w:val="24"/>
          <w:szCs w:val="24"/>
        </w:rPr>
      </w:pPr>
      <w:r w:rsidRPr="003D3C97">
        <w:rPr>
          <w:rFonts w:ascii="Times New Roman" w:hAnsi="Times New Roman" w:cs="Times New Roman"/>
          <w:sz w:val="24"/>
          <w:szCs w:val="24"/>
        </w:rPr>
        <w:t>555 Buttles Avenue</w:t>
      </w:r>
    </w:p>
    <w:p w:rsidR="00941ED6" w:rsidRPr="003D3C97" w:rsidRDefault="00941ED6" w:rsidP="00941ED6">
      <w:pPr>
        <w:autoSpaceDE w:val="0"/>
        <w:autoSpaceDN w:val="0"/>
        <w:adjustRightInd w:val="0"/>
        <w:spacing w:after="0" w:line="240" w:lineRule="auto"/>
        <w:ind w:left="4320"/>
        <w:rPr>
          <w:rFonts w:ascii="Times New Roman" w:hAnsi="Times New Roman" w:cs="Times New Roman"/>
          <w:sz w:val="24"/>
          <w:szCs w:val="24"/>
        </w:rPr>
      </w:pPr>
      <w:r w:rsidRPr="003D3C97">
        <w:rPr>
          <w:rFonts w:ascii="Times New Roman" w:hAnsi="Times New Roman" w:cs="Times New Roman"/>
          <w:sz w:val="24"/>
          <w:szCs w:val="24"/>
        </w:rPr>
        <w:t>Columbus, OH 3215-1137</w:t>
      </w:r>
    </w:p>
    <w:p w:rsidR="00941ED6" w:rsidRPr="003D3C97" w:rsidRDefault="00941ED6" w:rsidP="00941ED6">
      <w:pPr>
        <w:autoSpaceDE w:val="0"/>
        <w:autoSpaceDN w:val="0"/>
        <w:adjustRightInd w:val="0"/>
        <w:spacing w:after="0" w:line="240" w:lineRule="auto"/>
        <w:ind w:left="4320"/>
        <w:rPr>
          <w:rFonts w:ascii="Times New Roman" w:hAnsi="Times New Roman" w:cs="Times New Roman"/>
          <w:sz w:val="24"/>
          <w:szCs w:val="24"/>
        </w:rPr>
      </w:pPr>
      <w:r w:rsidRPr="003D3C97">
        <w:rPr>
          <w:rFonts w:ascii="Times New Roman" w:hAnsi="Times New Roman" w:cs="Times New Roman"/>
          <w:sz w:val="24"/>
          <w:szCs w:val="24"/>
        </w:rPr>
        <w:t>Telephone: (614) 824-2502</w:t>
      </w:r>
    </w:p>
    <w:p w:rsidR="00941ED6" w:rsidRDefault="00AB6E95" w:rsidP="00941ED6">
      <w:pPr>
        <w:autoSpaceDE w:val="0"/>
        <w:autoSpaceDN w:val="0"/>
        <w:adjustRightInd w:val="0"/>
        <w:spacing w:after="0" w:line="240" w:lineRule="auto"/>
        <w:ind w:left="4320"/>
        <w:rPr>
          <w:rFonts w:ascii="Times New Roman" w:hAnsi="Times New Roman" w:cs="Times New Roman"/>
          <w:sz w:val="24"/>
          <w:szCs w:val="24"/>
        </w:rPr>
      </w:pPr>
      <w:hyperlink r:id="rId24" w:history="1">
        <w:r w:rsidR="00742312" w:rsidRPr="00CA0EBE">
          <w:rPr>
            <w:rStyle w:val="Hyperlink"/>
            <w:rFonts w:ascii="Times New Roman" w:hAnsi="Times New Roman" w:cs="Times New Roman"/>
            <w:sz w:val="24"/>
            <w:szCs w:val="24"/>
          </w:rPr>
          <w:t>msmalz@ohiopovertylaw.org</w:t>
        </w:r>
      </w:hyperlink>
    </w:p>
    <w:p w:rsidR="00941ED6" w:rsidRPr="003D3C97" w:rsidRDefault="00941ED6" w:rsidP="00941ED6">
      <w:pPr>
        <w:spacing w:after="0" w:line="240" w:lineRule="auto"/>
        <w:ind w:left="4320"/>
        <w:rPr>
          <w:rFonts w:ascii="Times New Roman" w:hAnsi="Times New Roman" w:cs="Times New Roman"/>
          <w:sz w:val="24"/>
        </w:rPr>
        <w:sectPr w:rsidR="00941ED6" w:rsidRPr="003D3C97" w:rsidSect="00DD77F9">
          <w:headerReference w:type="default" r:id="rId25"/>
          <w:footerReference w:type="default" r:id="rId26"/>
          <w:pgSz w:w="12240" w:h="15840"/>
          <w:pgMar w:top="1440" w:right="1800" w:bottom="1440" w:left="1800" w:header="720" w:footer="720" w:gutter="0"/>
          <w:pgNumType w:start="1"/>
          <w:cols w:space="720"/>
          <w:docGrid w:linePitch="360"/>
        </w:sectPr>
      </w:pPr>
      <w:r w:rsidRPr="003D3C97">
        <w:rPr>
          <w:rFonts w:ascii="Times New Roman" w:hAnsi="Times New Roman" w:cs="Times New Roman"/>
          <w:sz w:val="24"/>
          <w:szCs w:val="24"/>
        </w:rPr>
        <w:t>(willing to accept email service)</w:t>
      </w:r>
    </w:p>
    <w:p w:rsidR="001F20A5" w:rsidRPr="00A83F37" w:rsidRDefault="008B0A69" w:rsidP="00A83F37">
      <w:pPr>
        <w:spacing w:after="0" w:line="480" w:lineRule="auto"/>
        <w:ind w:firstLine="720"/>
        <w:jc w:val="center"/>
        <w:rPr>
          <w:rFonts w:ascii="Times New Roman" w:hAnsi="Times New Roman" w:cs="Times New Roman"/>
          <w:b/>
          <w:sz w:val="24"/>
          <w:szCs w:val="24"/>
          <w:u w:val="single"/>
        </w:rPr>
      </w:pPr>
      <w:r w:rsidRPr="00A83F37">
        <w:rPr>
          <w:rFonts w:ascii="Times New Roman" w:hAnsi="Times New Roman" w:cs="Times New Roman"/>
          <w:b/>
          <w:sz w:val="24"/>
          <w:szCs w:val="24"/>
          <w:u w:val="single"/>
        </w:rPr>
        <w:t>CERTIFICATE OF SERVICE</w:t>
      </w:r>
    </w:p>
    <w:p w:rsidR="008B0A69" w:rsidRDefault="005D0105" w:rsidP="00A574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00385852">
        <w:rPr>
          <w:rFonts w:ascii="Times New Roman" w:hAnsi="Times New Roman" w:cs="Times New Roman"/>
          <w:sz w:val="24"/>
          <w:szCs w:val="24"/>
        </w:rPr>
        <w:t>hereby</w:t>
      </w:r>
      <w:r>
        <w:rPr>
          <w:rFonts w:ascii="Times New Roman" w:hAnsi="Times New Roman" w:cs="Times New Roman"/>
          <w:sz w:val="24"/>
          <w:szCs w:val="24"/>
        </w:rPr>
        <w:t xml:space="preserve"> certify that a copy of this Initial Post</w:t>
      </w:r>
      <w:r w:rsidR="003D3C97">
        <w:rPr>
          <w:rFonts w:ascii="Times New Roman" w:hAnsi="Times New Roman" w:cs="Times New Roman"/>
          <w:sz w:val="24"/>
          <w:szCs w:val="24"/>
        </w:rPr>
        <w:t>-</w:t>
      </w:r>
      <w:r>
        <w:rPr>
          <w:rFonts w:ascii="Times New Roman" w:hAnsi="Times New Roman" w:cs="Times New Roman"/>
          <w:sz w:val="24"/>
          <w:szCs w:val="24"/>
        </w:rPr>
        <w:t xml:space="preserve">Hearing Brief was served on the persons stated below via electronic transmission, this </w:t>
      </w:r>
      <w:r w:rsidR="00CA393A">
        <w:rPr>
          <w:rFonts w:ascii="Times New Roman" w:hAnsi="Times New Roman" w:cs="Times New Roman"/>
          <w:sz w:val="24"/>
          <w:szCs w:val="24"/>
        </w:rPr>
        <w:t>1st</w:t>
      </w:r>
      <w:r>
        <w:rPr>
          <w:rFonts w:ascii="Times New Roman" w:hAnsi="Times New Roman" w:cs="Times New Roman"/>
          <w:sz w:val="24"/>
          <w:szCs w:val="24"/>
        </w:rPr>
        <w:t xml:space="preserve"> day of </w:t>
      </w:r>
      <w:r w:rsidR="00CA393A">
        <w:rPr>
          <w:rFonts w:ascii="Times New Roman" w:hAnsi="Times New Roman" w:cs="Times New Roman"/>
          <w:sz w:val="24"/>
          <w:szCs w:val="24"/>
        </w:rPr>
        <w:t>February 2016</w:t>
      </w:r>
      <w:r>
        <w:rPr>
          <w:rFonts w:ascii="Times New Roman" w:hAnsi="Times New Roman" w:cs="Times New Roman"/>
          <w:sz w:val="24"/>
          <w:szCs w:val="24"/>
        </w:rPr>
        <w:t>.</w:t>
      </w:r>
    </w:p>
    <w:p w:rsidR="005D0105" w:rsidRPr="005D0105" w:rsidRDefault="005D0105" w:rsidP="00A5741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D0105">
        <w:rPr>
          <w:rFonts w:ascii="Times New Roman" w:hAnsi="Times New Roman" w:cs="Times New Roman"/>
          <w:sz w:val="24"/>
          <w:szCs w:val="24"/>
          <w:u w:val="single"/>
        </w:rPr>
        <w:t xml:space="preserve">/s/ </w:t>
      </w:r>
      <w:r w:rsidRPr="005D0105">
        <w:rPr>
          <w:rFonts w:ascii="Times New Roman" w:hAnsi="Times New Roman" w:cs="Times New Roman"/>
          <w:i/>
          <w:sz w:val="24"/>
          <w:szCs w:val="24"/>
          <w:u w:val="single"/>
        </w:rPr>
        <w:t>William J. Michael</w:t>
      </w:r>
      <w:r w:rsidRPr="005D0105">
        <w:rPr>
          <w:rFonts w:ascii="Times New Roman" w:hAnsi="Times New Roman" w:cs="Times New Roman"/>
          <w:sz w:val="24"/>
          <w:szCs w:val="24"/>
        </w:rPr>
        <w:t>_______</w:t>
      </w:r>
    </w:p>
    <w:p w:rsidR="005D0105" w:rsidRDefault="005D0105" w:rsidP="00A5741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William J. Michael</w:t>
      </w:r>
    </w:p>
    <w:p w:rsidR="005D0105" w:rsidRDefault="005D0105" w:rsidP="00A5741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Assistant Consumers’ Counsel</w:t>
      </w:r>
    </w:p>
    <w:p w:rsidR="005D0105" w:rsidRDefault="005D0105" w:rsidP="00A57413">
      <w:pPr>
        <w:spacing w:after="0" w:line="480" w:lineRule="auto"/>
        <w:ind w:firstLine="72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
        <w:gridCol w:w="8476"/>
      </w:tblGrid>
      <w:tr w:rsidR="00CE247A" w:rsidTr="00842E63">
        <w:tc>
          <w:tcPr>
            <w:tcW w:w="4428" w:type="dxa"/>
          </w:tcPr>
          <w:p w:rsidR="00CE247A" w:rsidRDefault="00CE247A" w:rsidP="006C74EF">
            <w:pPr>
              <w:rPr>
                <w:rFonts w:ascii="Times New Roman" w:hAnsi="Times New Roman" w:cs="Times New Roman"/>
                <w:sz w:val="24"/>
                <w:szCs w:val="24"/>
              </w:rPr>
            </w:pPr>
          </w:p>
        </w:tc>
        <w:tc>
          <w:tcPr>
            <w:tcW w:w="4428" w:type="dxa"/>
          </w:tcPr>
          <w:p w:rsidR="006C74EF" w:rsidRPr="006C74EF" w:rsidRDefault="006C74EF" w:rsidP="006C74EF">
            <w:pPr>
              <w:jc w:val="center"/>
              <w:rPr>
                <w:rFonts w:ascii="Times New Roman" w:eastAsia="Times New Roman" w:hAnsi="Times New Roman" w:cs="Times New Roman"/>
                <w:b/>
                <w:sz w:val="24"/>
                <w:szCs w:val="24"/>
                <w:u w:val="single"/>
              </w:rPr>
            </w:pPr>
            <w:r w:rsidRPr="006C74EF">
              <w:rPr>
                <w:rFonts w:ascii="Times New Roman" w:eastAsia="Times New Roman" w:hAnsi="Times New Roman" w:cs="Times New Roman"/>
                <w:b/>
                <w:sz w:val="24"/>
                <w:szCs w:val="24"/>
                <w:u w:val="single"/>
              </w:rPr>
              <w:t>SERVICE LIST</w:t>
            </w:r>
          </w:p>
          <w:p w:rsidR="006C74EF" w:rsidRPr="006C74EF" w:rsidRDefault="006C74EF" w:rsidP="006C74EF">
            <w:pPr>
              <w:jc w:val="center"/>
              <w:rPr>
                <w:rFonts w:ascii="Times New Roman" w:eastAsiaTheme="minorHAnsi" w:hAnsi="Times New Roman" w:cs="Times New Roman"/>
                <w:b/>
                <w:sz w:val="24"/>
                <w:szCs w:val="24"/>
                <w:u w:val="single"/>
              </w:rPr>
            </w:pPr>
          </w:p>
          <w:tbl>
            <w:tblPr>
              <w:tblW w:w="0" w:type="auto"/>
              <w:tblLook w:val="01E0" w:firstRow="1" w:lastRow="1" w:firstColumn="1" w:lastColumn="1" w:noHBand="0" w:noVBand="0"/>
            </w:tblPr>
            <w:tblGrid>
              <w:gridCol w:w="4143"/>
              <w:gridCol w:w="4117"/>
            </w:tblGrid>
            <w:tr w:rsidR="006C74EF" w:rsidRPr="006C74EF" w:rsidTr="00AC6B26">
              <w:tc>
                <w:tcPr>
                  <w:tcW w:w="4428" w:type="dxa"/>
                </w:tcPr>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00"/>
                      <w:sz w:val="24"/>
                      <w:szCs w:val="24"/>
                    </w:rPr>
                  </w:pPr>
                  <w:hyperlink r:id="rId27" w:history="1">
                    <w:r w:rsidR="006C74EF" w:rsidRPr="006C74EF">
                      <w:rPr>
                        <w:rFonts w:ascii="Times New Roman" w:eastAsia="Times New Roman" w:hAnsi="Times New Roman" w:cs="Times New Roman"/>
                        <w:color w:val="0000FF"/>
                        <w:sz w:val="24"/>
                        <w:szCs w:val="24"/>
                        <w:u w:val="single"/>
                      </w:rPr>
                      <w:t>Steven.beeler@puc.state.oh.us</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00"/>
                      <w:sz w:val="24"/>
                      <w:szCs w:val="24"/>
                    </w:rPr>
                  </w:pPr>
                  <w:hyperlink r:id="rId28" w:history="1">
                    <w:r w:rsidR="006C74EF" w:rsidRPr="006C74EF">
                      <w:rPr>
                        <w:rFonts w:ascii="Times New Roman" w:eastAsia="Times New Roman" w:hAnsi="Times New Roman" w:cs="Times New Roman"/>
                        <w:color w:val="0000FF"/>
                        <w:sz w:val="24"/>
                        <w:szCs w:val="24"/>
                        <w:u w:val="single"/>
                      </w:rPr>
                      <w:t>Werner.margard@puc.state.oh.us</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00"/>
                      <w:sz w:val="24"/>
                      <w:szCs w:val="24"/>
                    </w:rPr>
                  </w:pPr>
                  <w:hyperlink r:id="rId29" w:history="1">
                    <w:r w:rsidR="006C74EF" w:rsidRPr="006C74EF">
                      <w:rPr>
                        <w:rFonts w:ascii="Times New Roman" w:eastAsia="Times New Roman" w:hAnsi="Times New Roman" w:cs="Times New Roman"/>
                        <w:color w:val="0000FF"/>
                        <w:sz w:val="24"/>
                        <w:szCs w:val="24"/>
                        <w:u w:val="single"/>
                      </w:rPr>
                      <w:t>haydenm@firstenergycorp.com</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00"/>
                      <w:sz w:val="24"/>
                      <w:szCs w:val="24"/>
                    </w:rPr>
                  </w:pPr>
                  <w:hyperlink r:id="rId30" w:history="1">
                    <w:r w:rsidR="006C74EF" w:rsidRPr="006C74EF">
                      <w:rPr>
                        <w:rFonts w:ascii="Times New Roman" w:eastAsia="Times New Roman" w:hAnsi="Times New Roman" w:cs="Times New Roman"/>
                        <w:color w:val="0000FF"/>
                        <w:sz w:val="24"/>
                        <w:szCs w:val="24"/>
                        <w:u w:val="single"/>
                      </w:rPr>
                      <w:t>jmcdermott@firstenergycorp.com</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00"/>
                      <w:sz w:val="24"/>
                      <w:szCs w:val="24"/>
                    </w:rPr>
                  </w:pPr>
                  <w:hyperlink r:id="rId31" w:history="1">
                    <w:r w:rsidR="006C74EF" w:rsidRPr="006C74EF">
                      <w:rPr>
                        <w:rFonts w:ascii="Times New Roman" w:eastAsia="Times New Roman" w:hAnsi="Times New Roman" w:cs="Times New Roman"/>
                        <w:color w:val="0000FF"/>
                        <w:sz w:val="24"/>
                        <w:szCs w:val="24"/>
                        <w:u w:val="single"/>
                      </w:rPr>
                      <w:t>scasto@firstenergycorp.com</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00"/>
                      <w:sz w:val="24"/>
                      <w:szCs w:val="24"/>
                    </w:rPr>
                  </w:pPr>
                  <w:hyperlink r:id="rId32" w:history="1">
                    <w:r w:rsidR="006C74EF" w:rsidRPr="006C74EF">
                      <w:rPr>
                        <w:rFonts w:ascii="Times New Roman" w:eastAsia="Times New Roman" w:hAnsi="Times New Roman" w:cs="Times New Roman"/>
                        <w:color w:val="0000FF"/>
                        <w:sz w:val="24"/>
                        <w:szCs w:val="24"/>
                        <w:u w:val="single"/>
                      </w:rPr>
                      <w:t>jlang@calfee.com</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00"/>
                      <w:sz w:val="24"/>
                      <w:szCs w:val="24"/>
                    </w:rPr>
                  </w:pPr>
                  <w:hyperlink r:id="rId33" w:history="1">
                    <w:r w:rsidR="006C74EF" w:rsidRPr="006C74EF">
                      <w:rPr>
                        <w:rFonts w:ascii="Times New Roman" w:eastAsia="Times New Roman" w:hAnsi="Times New Roman" w:cs="Times New Roman"/>
                        <w:color w:val="0000FF"/>
                        <w:sz w:val="24"/>
                        <w:szCs w:val="24"/>
                        <w:u w:val="single"/>
                      </w:rPr>
                      <w:t>talexander@calfee.com</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00"/>
                      <w:sz w:val="24"/>
                      <w:szCs w:val="24"/>
                    </w:rPr>
                  </w:pPr>
                  <w:hyperlink r:id="rId34" w:history="1">
                    <w:r w:rsidR="006C74EF" w:rsidRPr="006C74EF">
                      <w:rPr>
                        <w:rFonts w:ascii="Times New Roman" w:eastAsia="Times New Roman" w:hAnsi="Times New Roman" w:cs="Times New Roman"/>
                        <w:color w:val="0000FF"/>
                        <w:sz w:val="24"/>
                        <w:szCs w:val="24"/>
                        <w:u w:val="single"/>
                      </w:rPr>
                      <w:t>myurick@taftlaw.com</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00"/>
                      <w:sz w:val="24"/>
                      <w:szCs w:val="24"/>
                    </w:rPr>
                  </w:pPr>
                  <w:hyperlink r:id="rId35" w:history="1">
                    <w:r w:rsidR="006C74EF" w:rsidRPr="006C74EF">
                      <w:rPr>
                        <w:rFonts w:ascii="Times New Roman" w:eastAsia="Times New Roman" w:hAnsi="Times New Roman" w:cs="Times New Roman"/>
                        <w:color w:val="0000FF"/>
                        <w:sz w:val="24"/>
                        <w:szCs w:val="24"/>
                        <w:u w:val="single"/>
                      </w:rPr>
                      <w:t>callwein@keglerbrown.com</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00"/>
                      <w:sz w:val="24"/>
                      <w:szCs w:val="24"/>
                    </w:rPr>
                  </w:pPr>
                  <w:hyperlink r:id="rId36" w:history="1">
                    <w:r w:rsidR="006C74EF" w:rsidRPr="006C74EF">
                      <w:rPr>
                        <w:rFonts w:ascii="Times New Roman" w:eastAsia="Times New Roman" w:hAnsi="Times New Roman" w:cs="Times New Roman"/>
                        <w:color w:val="0000FF"/>
                        <w:sz w:val="24"/>
                        <w:szCs w:val="24"/>
                        <w:u w:val="single"/>
                      </w:rPr>
                      <w:t>tony.mendoza@sierraclub.org</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00"/>
                      <w:sz w:val="24"/>
                      <w:szCs w:val="24"/>
                    </w:rPr>
                  </w:pPr>
                  <w:hyperlink r:id="rId37" w:history="1">
                    <w:r w:rsidR="006C74EF" w:rsidRPr="006C74EF">
                      <w:rPr>
                        <w:rFonts w:ascii="Times New Roman" w:eastAsia="Times New Roman" w:hAnsi="Times New Roman" w:cs="Times New Roman"/>
                        <w:color w:val="0000FF"/>
                        <w:sz w:val="24"/>
                        <w:szCs w:val="24"/>
                        <w:u w:val="single"/>
                      </w:rPr>
                      <w:t>tdougherty@theOEC.org</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00"/>
                      <w:sz w:val="24"/>
                      <w:szCs w:val="24"/>
                    </w:rPr>
                  </w:pPr>
                  <w:hyperlink r:id="rId38" w:history="1">
                    <w:r w:rsidR="006C74EF" w:rsidRPr="006C74EF">
                      <w:rPr>
                        <w:rFonts w:ascii="Times New Roman" w:eastAsia="Times New Roman" w:hAnsi="Times New Roman" w:cs="Times New Roman"/>
                        <w:color w:val="0000FF"/>
                        <w:sz w:val="24"/>
                        <w:szCs w:val="24"/>
                        <w:u w:val="single"/>
                      </w:rPr>
                      <w:t>twilliams@snhslaw.com</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00"/>
                      <w:sz w:val="24"/>
                      <w:szCs w:val="24"/>
                    </w:rPr>
                  </w:pPr>
                  <w:hyperlink r:id="rId39" w:history="1">
                    <w:r w:rsidR="006C74EF" w:rsidRPr="006C74EF">
                      <w:rPr>
                        <w:rFonts w:ascii="Times New Roman" w:eastAsia="Times New Roman" w:hAnsi="Times New Roman" w:cs="Times New Roman"/>
                        <w:color w:val="0000FF"/>
                        <w:sz w:val="24"/>
                        <w:szCs w:val="24"/>
                        <w:u w:val="single"/>
                      </w:rPr>
                      <w:t>jeffrey.mayes@monitoringanalytics.com</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00"/>
                      <w:sz w:val="24"/>
                      <w:szCs w:val="24"/>
                    </w:rPr>
                  </w:pPr>
                  <w:hyperlink r:id="rId40" w:history="1">
                    <w:r w:rsidR="006C74EF" w:rsidRPr="006C74EF">
                      <w:rPr>
                        <w:rFonts w:ascii="Times New Roman" w:eastAsia="Times New Roman" w:hAnsi="Times New Roman" w:cs="Times New Roman"/>
                        <w:color w:val="0000FF"/>
                        <w:sz w:val="24"/>
                        <w:szCs w:val="24"/>
                        <w:u w:val="single"/>
                      </w:rPr>
                      <w:t>ricks@ohanet.org</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00"/>
                      <w:sz w:val="24"/>
                      <w:szCs w:val="24"/>
                    </w:rPr>
                  </w:pPr>
                  <w:hyperlink r:id="rId41" w:history="1">
                    <w:r w:rsidR="006C74EF" w:rsidRPr="006C74EF">
                      <w:rPr>
                        <w:rFonts w:ascii="Times New Roman" w:eastAsia="Times New Roman" w:hAnsi="Times New Roman" w:cs="Times New Roman"/>
                        <w:color w:val="0000FF"/>
                        <w:sz w:val="24"/>
                        <w:szCs w:val="24"/>
                        <w:u w:val="single"/>
                      </w:rPr>
                      <w:t>tobrien@bricker.com</w:t>
                    </w:r>
                  </w:hyperlink>
                </w:p>
                <w:p w:rsidR="006C74EF" w:rsidRPr="006C74EF" w:rsidRDefault="006C74EF" w:rsidP="006C74EF">
                  <w:pPr>
                    <w:autoSpaceDE w:val="0"/>
                    <w:autoSpaceDN w:val="0"/>
                    <w:adjustRightInd w:val="0"/>
                    <w:spacing w:after="0" w:line="240" w:lineRule="auto"/>
                    <w:rPr>
                      <w:rFonts w:ascii="Times New Roman" w:eastAsia="Times New Roman" w:hAnsi="Times New Roman" w:cs="Times New Roman"/>
                      <w:color w:val="0000FF"/>
                      <w:sz w:val="24"/>
                      <w:szCs w:val="24"/>
                    </w:rPr>
                  </w:pPr>
                  <w:r w:rsidRPr="006C74EF">
                    <w:rPr>
                      <w:rFonts w:ascii="Times New Roman" w:eastAsia="Times New Roman" w:hAnsi="Times New Roman" w:cs="Times New Roman"/>
                      <w:color w:val="0000FF"/>
                      <w:sz w:val="24"/>
                      <w:szCs w:val="24"/>
                    </w:rPr>
                    <w:t>mhpetricoff@vorys.com</w:t>
                  </w:r>
                </w:p>
                <w:p w:rsidR="006C74EF" w:rsidRPr="006C74EF" w:rsidRDefault="006C74EF" w:rsidP="006C74EF">
                  <w:pPr>
                    <w:autoSpaceDE w:val="0"/>
                    <w:autoSpaceDN w:val="0"/>
                    <w:adjustRightInd w:val="0"/>
                    <w:spacing w:after="0" w:line="240" w:lineRule="auto"/>
                    <w:rPr>
                      <w:rFonts w:ascii="Times New Roman" w:eastAsia="Times New Roman" w:hAnsi="Times New Roman" w:cs="Times New Roman"/>
                      <w:color w:val="0000FF"/>
                      <w:sz w:val="24"/>
                      <w:szCs w:val="24"/>
                    </w:rPr>
                  </w:pPr>
                  <w:r w:rsidRPr="006C74EF">
                    <w:rPr>
                      <w:rFonts w:ascii="Times New Roman" w:eastAsia="Times New Roman" w:hAnsi="Times New Roman" w:cs="Times New Roman"/>
                      <w:color w:val="0000FF"/>
                      <w:sz w:val="24"/>
                      <w:szCs w:val="24"/>
                    </w:rPr>
                    <w:t>mjsettineri@vorys.com</w:t>
                  </w:r>
                </w:p>
                <w:p w:rsidR="006C74EF" w:rsidRPr="006C74EF" w:rsidRDefault="006C74EF" w:rsidP="006C74EF">
                  <w:pPr>
                    <w:autoSpaceDE w:val="0"/>
                    <w:autoSpaceDN w:val="0"/>
                    <w:adjustRightInd w:val="0"/>
                    <w:spacing w:after="0" w:line="240" w:lineRule="auto"/>
                    <w:rPr>
                      <w:rFonts w:ascii="Times New Roman" w:eastAsia="Times New Roman" w:hAnsi="Times New Roman" w:cs="Times New Roman"/>
                      <w:color w:val="0000FF"/>
                      <w:sz w:val="24"/>
                      <w:szCs w:val="24"/>
                    </w:rPr>
                  </w:pPr>
                  <w:r w:rsidRPr="006C74EF">
                    <w:rPr>
                      <w:rFonts w:ascii="Times New Roman" w:eastAsia="Times New Roman" w:hAnsi="Times New Roman" w:cs="Times New Roman"/>
                      <w:color w:val="0000FF"/>
                      <w:sz w:val="24"/>
                      <w:szCs w:val="24"/>
                    </w:rPr>
                    <w:t>glpetrucci@vorys.com</w:t>
                  </w:r>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sz w:val="24"/>
                      <w:szCs w:val="24"/>
                    </w:rPr>
                  </w:pPr>
                  <w:hyperlink r:id="rId42" w:history="1">
                    <w:r w:rsidR="006C74EF" w:rsidRPr="006C74EF">
                      <w:rPr>
                        <w:rFonts w:ascii="Times New Roman" w:eastAsia="Times New Roman" w:hAnsi="Times New Roman" w:cs="Times New Roman"/>
                        <w:color w:val="0000FF"/>
                        <w:sz w:val="24"/>
                        <w:szCs w:val="24"/>
                        <w:u w:val="single"/>
                      </w:rPr>
                      <w:t>mdortch@kravitzllc.com</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sz w:val="24"/>
                      <w:szCs w:val="24"/>
                    </w:rPr>
                  </w:pPr>
                  <w:hyperlink r:id="rId43" w:history="1">
                    <w:r w:rsidR="006C74EF" w:rsidRPr="006C74EF">
                      <w:rPr>
                        <w:rFonts w:ascii="Times New Roman" w:eastAsia="Times New Roman" w:hAnsi="Times New Roman" w:cs="Times New Roman"/>
                        <w:color w:val="0000FF"/>
                        <w:sz w:val="24"/>
                        <w:szCs w:val="24"/>
                        <w:u w:val="single"/>
                      </w:rPr>
                      <w:t>joliker@igsenergy.com</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sz w:val="24"/>
                      <w:szCs w:val="24"/>
                    </w:rPr>
                  </w:pPr>
                  <w:hyperlink r:id="rId44" w:history="1">
                    <w:r w:rsidR="006C74EF" w:rsidRPr="006C74EF">
                      <w:rPr>
                        <w:rFonts w:ascii="Times New Roman" w:eastAsia="Times New Roman" w:hAnsi="Times New Roman" w:cs="Times New Roman"/>
                        <w:color w:val="0000FF"/>
                        <w:sz w:val="24"/>
                        <w:szCs w:val="24"/>
                        <w:u w:val="single"/>
                      </w:rPr>
                      <w:t>sechler@carpenterlipps.com</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sz w:val="24"/>
                      <w:szCs w:val="24"/>
                    </w:rPr>
                  </w:pPr>
                  <w:hyperlink r:id="rId45" w:history="1">
                    <w:r w:rsidR="006C74EF" w:rsidRPr="006C74EF">
                      <w:rPr>
                        <w:rFonts w:ascii="Times New Roman" w:eastAsia="Times New Roman" w:hAnsi="Times New Roman" w:cs="Times New Roman"/>
                        <w:color w:val="0000FF"/>
                        <w:sz w:val="24"/>
                        <w:szCs w:val="24"/>
                        <w:u w:val="single"/>
                      </w:rPr>
                      <w:t>gpoulos@enernoc.com</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sz w:val="24"/>
                      <w:szCs w:val="24"/>
                    </w:rPr>
                  </w:pPr>
                  <w:hyperlink r:id="rId46" w:history="1">
                    <w:r w:rsidR="006C74EF" w:rsidRPr="006C74EF">
                      <w:rPr>
                        <w:rFonts w:ascii="Times New Roman" w:eastAsia="Times New Roman" w:hAnsi="Times New Roman" w:cs="Times New Roman"/>
                        <w:color w:val="0000FF"/>
                        <w:sz w:val="24"/>
                        <w:szCs w:val="24"/>
                        <w:u w:val="single"/>
                      </w:rPr>
                      <w:t>sfisk@earthjustice.org</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sz w:val="24"/>
                      <w:szCs w:val="24"/>
                    </w:rPr>
                  </w:pPr>
                  <w:hyperlink r:id="rId47" w:history="1">
                    <w:r w:rsidR="006C74EF" w:rsidRPr="006C74EF">
                      <w:rPr>
                        <w:rFonts w:ascii="Times New Roman" w:eastAsia="Times New Roman" w:hAnsi="Times New Roman" w:cs="Times New Roman"/>
                        <w:color w:val="0000FF"/>
                        <w:sz w:val="24"/>
                        <w:szCs w:val="24"/>
                        <w:u w:val="single"/>
                      </w:rPr>
                      <w:t>Kristin.henry@sierraclub.org</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FF"/>
                      <w:sz w:val="24"/>
                      <w:szCs w:val="24"/>
                      <w:u w:val="single"/>
                    </w:rPr>
                  </w:pPr>
                  <w:hyperlink r:id="rId48" w:history="1">
                    <w:r w:rsidR="006C74EF" w:rsidRPr="006C74EF">
                      <w:rPr>
                        <w:rFonts w:ascii="Times New Roman" w:eastAsia="Times New Roman" w:hAnsi="Times New Roman" w:cs="Times New Roman"/>
                        <w:color w:val="0000FF"/>
                        <w:sz w:val="24"/>
                        <w:szCs w:val="24"/>
                        <w:u w:val="single"/>
                      </w:rPr>
                      <w:t>chris@envlaw.com</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FF"/>
                      <w:sz w:val="24"/>
                      <w:szCs w:val="24"/>
                      <w:u w:val="single"/>
                    </w:rPr>
                  </w:pPr>
                  <w:hyperlink r:id="rId49" w:history="1">
                    <w:r w:rsidR="006C74EF" w:rsidRPr="006C74EF">
                      <w:rPr>
                        <w:rFonts w:ascii="Times New Roman" w:eastAsia="Times New Roman" w:hAnsi="Times New Roman" w:cs="Times New Roman"/>
                        <w:color w:val="0000FF"/>
                        <w:sz w:val="24"/>
                        <w:szCs w:val="24"/>
                        <w:u w:val="single"/>
                      </w:rPr>
                      <w:t>todonnell@dickinsonwright.com</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FF"/>
                      <w:sz w:val="24"/>
                      <w:szCs w:val="24"/>
                      <w:u w:val="single"/>
                    </w:rPr>
                  </w:pPr>
                  <w:hyperlink r:id="rId50" w:history="1">
                    <w:r w:rsidR="006C74EF" w:rsidRPr="006C74EF">
                      <w:rPr>
                        <w:rFonts w:ascii="Times New Roman" w:eastAsia="Times New Roman" w:hAnsi="Times New Roman" w:cs="Times New Roman"/>
                        <w:color w:val="0000FF"/>
                        <w:sz w:val="24"/>
                        <w:szCs w:val="24"/>
                        <w:u w:val="single"/>
                      </w:rPr>
                      <w:t>rseiler@dickinsonwright.com</w:t>
                    </w:r>
                  </w:hyperlink>
                </w:p>
                <w:p w:rsidR="006C74EF" w:rsidRPr="006C74EF" w:rsidRDefault="006C74EF" w:rsidP="006C74EF">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428" w:type="dxa"/>
                </w:tcPr>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00"/>
                      <w:sz w:val="24"/>
                      <w:szCs w:val="24"/>
                    </w:rPr>
                  </w:pPr>
                  <w:hyperlink r:id="rId51" w:history="1">
                    <w:r w:rsidR="006C74EF" w:rsidRPr="006C74EF">
                      <w:rPr>
                        <w:rFonts w:ascii="Times New Roman" w:eastAsia="Times New Roman" w:hAnsi="Times New Roman" w:cs="Times New Roman"/>
                        <w:color w:val="0000FF"/>
                        <w:sz w:val="24"/>
                        <w:szCs w:val="24"/>
                        <w:u w:val="single"/>
                      </w:rPr>
                      <w:t>stnourse@aep.com</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00"/>
                      <w:sz w:val="24"/>
                      <w:szCs w:val="24"/>
                    </w:rPr>
                  </w:pPr>
                  <w:hyperlink r:id="rId52" w:history="1">
                    <w:r w:rsidR="006C74EF" w:rsidRPr="006C74EF">
                      <w:rPr>
                        <w:rFonts w:ascii="Times New Roman" w:eastAsia="Times New Roman" w:hAnsi="Times New Roman" w:cs="Times New Roman"/>
                        <w:color w:val="0000FF"/>
                        <w:sz w:val="24"/>
                        <w:szCs w:val="24"/>
                        <w:u w:val="single"/>
                      </w:rPr>
                      <w:t>mjsatterwhite@aep.com</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FF"/>
                      <w:sz w:val="24"/>
                      <w:szCs w:val="24"/>
                      <w:u w:val="single"/>
                    </w:rPr>
                  </w:pPr>
                  <w:hyperlink r:id="rId53" w:history="1">
                    <w:r w:rsidR="006C74EF" w:rsidRPr="006C74EF">
                      <w:rPr>
                        <w:rFonts w:ascii="Times New Roman" w:eastAsia="Times New Roman" w:hAnsi="Times New Roman" w:cs="Times New Roman"/>
                        <w:color w:val="0000FF"/>
                        <w:sz w:val="24"/>
                        <w:szCs w:val="24"/>
                        <w:u w:val="single"/>
                      </w:rPr>
                      <w:t>msmckenzie@aep.com</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FF"/>
                      <w:sz w:val="24"/>
                      <w:szCs w:val="24"/>
                      <w:u w:val="single"/>
                    </w:rPr>
                  </w:pPr>
                  <w:hyperlink r:id="rId54" w:history="1">
                    <w:r w:rsidR="006C74EF" w:rsidRPr="006C74EF">
                      <w:rPr>
                        <w:rFonts w:ascii="Times New Roman" w:eastAsia="Times New Roman" w:hAnsi="Times New Roman" w:cs="Times New Roman"/>
                        <w:color w:val="0000FF"/>
                        <w:sz w:val="24"/>
                        <w:szCs w:val="24"/>
                        <w:u w:val="single"/>
                      </w:rPr>
                      <w:t>dconway@porterwright.com</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00"/>
                      <w:sz w:val="24"/>
                      <w:szCs w:val="24"/>
                    </w:rPr>
                  </w:pPr>
                  <w:hyperlink r:id="rId55" w:history="1">
                    <w:r w:rsidR="006C74EF" w:rsidRPr="006C74EF">
                      <w:rPr>
                        <w:rFonts w:ascii="Times New Roman" w:eastAsia="Times New Roman" w:hAnsi="Times New Roman" w:cs="Times New Roman"/>
                        <w:color w:val="0000FF"/>
                        <w:sz w:val="24"/>
                        <w:szCs w:val="24"/>
                        <w:u w:val="single"/>
                      </w:rPr>
                      <w:t>mkurtz@BKLlawfirm.com</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00"/>
                      <w:sz w:val="24"/>
                      <w:szCs w:val="24"/>
                    </w:rPr>
                  </w:pPr>
                  <w:hyperlink r:id="rId56" w:history="1">
                    <w:r w:rsidR="006C74EF" w:rsidRPr="006C74EF">
                      <w:rPr>
                        <w:rFonts w:ascii="Times New Roman" w:eastAsia="Times New Roman" w:hAnsi="Times New Roman" w:cs="Times New Roman"/>
                        <w:color w:val="0000FF"/>
                        <w:sz w:val="24"/>
                        <w:szCs w:val="24"/>
                        <w:u w:val="single"/>
                      </w:rPr>
                      <w:t>kboehm@BKLlawfirm.com</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00"/>
                      <w:sz w:val="24"/>
                      <w:szCs w:val="24"/>
                    </w:rPr>
                  </w:pPr>
                  <w:hyperlink r:id="rId57" w:history="1">
                    <w:r w:rsidR="006C74EF" w:rsidRPr="006C74EF">
                      <w:rPr>
                        <w:rFonts w:ascii="Times New Roman" w:eastAsia="Times New Roman" w:hAnsi="Times New Roman" w:cs="Times New Roman"/>
                        <w:color w:val="0000FF"/>
                        <w:sz w:val="24"/>
                        <w:szCs w:val="24"/>
                        <w:u w:val="single"/>
                      </w:rPr>
                      <w:t>jkylercohn@BKLlawfirm.com</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00"/>
                      <w:sz w:val="24"/>
                      <w:szCs w:val="24"/>
                    </w:rPr>
                  </w:pPr>
                  <w:hyperlink r:id="rId58" w:history="1">
                    <w:r w:rsidR="006C74EF" w:rsidRPr="006C74EF">
                      <w:rPr>
                        <w:rFonts w:ascii="Times New Roman" w:eastAsia="Times New Roman" w:hAnsi="Times New Roman" w:cs="Times New Roman"/>
                        <w:color w:val="0000FF"/>
                        <w:sz w:val="24"/>
                        <w:szCs w:val="24"/>
                        <w:u w:val="single"/>
                      </w:rPr>
                      <w:t>sam@mwncmh.com</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00"/>
                      <w:sz w:val="24"/>
                      <w:szCs w:val="24"/>
                    </w:rPr>
                  </w:pPr>
                  <w:hyperlink r:id="rId59" w:history="1">
                    <w:r w:rsidR="006C74EF" w:rsidRPr="006C74EF">
                      <w:rPr>
                        <w:rFonts w:ascii="Times New Roman" w:eastAsia="Times New Roman" w:hAnsi="Times New Roman" w:cs="Times New Roman"/>
                        <w:color w:val="0000FF"/>
                        <w:sz w:val="24"/>
                        <w:szCs w:val="24"/>
                        <w:u w:val="single"/>
                      </w:rPr>
                      <w:t>fdarr@mwncmh.com</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00"/>
                      <w:sz w:val="24"/>
                      <w:szCs w:val="24"/>
                    </w:rPr>
                  </w:pPr>
                  <w:hyperlink r:id="rId60" w:history="1">
                    <w:r w:rsidR="006C74EF" w:rsidRPr="006C74EF">
                      <w:rPr>
                        <w:rFonts w:ascii="Times New Roman" w:eastAsia="Times New Roman" w:hAnsi="Times New Roman" w:cs="Times New Roman"/>
                        <w:color w:val="0000FF"/>
                        <w:sz w:val="24"/>
                        <w:szCs w:val="24"/>
                        <w:u w:val="single"/>
                      </w:rPr>
                      <w:t>mpritchard@mwncmh.com</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00"/>
                      <w:sz w:val="24"/>
                      <w:szCs w:val="24"/>
                    </w:rPr>
                  </w:pPr>
                  <w:hyperlink r:id="rId61" w:history="1">
                    <w:r w:rsidR="006C74EF" w:rsidRPr="006C74EF">
                      <w:rPr>
                        <w:rFonts w:ascii="Times New Roman" w:eastAsia="Times New Roman" w:hAnsi="Times New Roman" w:cs="Times New Roman"/>
                        <w:color w:val="0000FF"/>
                        <w:sz w:val="24"/>
                        <w:szCs w:val="24"/>
                        <w:u w:val="single"/>
                      </w:rPr>
                      <w:t>Kurt.Helfrich@ThompsonHine.com</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00"/>
                      <w:sz w:val="24"/>
                      <w:szCs w:val="24"/>
                    </w:rPr>
                  </w:pPr>
                  <w:hyperlink r:id="rId62" w:history="1">
                    <w:r w:rsidR="006C74EF" w:rsidRPr="006C74EF">
                      <w:rPr>
                        <w:rFonts w:ascii="Times New Roman" w:eastAsia="Times New Roman" w:hAnsi="Times New Roman" w:cs="Times New Roman"/>
                        <w:color w:val="0000FF"/>
                        <w:sz w:val="24"/>
                        <w:szCs w:val="24"/>
                        <w:u w:val="single"/>
                      </w:rPr>
                      <w:t>Scott.Campbell@ThompsonHine.com</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00"/>
                      <w:sz w:val="24"/>
                      <w:szCs w:val="24"/>
                    </w:rPr>
                  </w:pPr>
                  <w:hyperlink r:id="rId63" w:history="1">
                    <w:r w:rsidR="006C74EF" w:rsidRPr="006C74EF">
                      <w:rPr>
                        <w:rFonts w:ascii="Times New Roman" w:eastAsia="Times New Roman" w:hAnsi="Times New Roman" w:cs="Times New Roman"/>
                        <w:color w:val="0000FF"/>
                        <w:sz w:val="24"/>
                        <w:szCs w:val="24"/>
                        <w:u w:val="single"/>
                      </w:rPr>
                      <w:t>Stephanie.Chmiel@ThompsonHine.com</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00"/>
                      <w:sz w:val="24"/>
                      <w:szCs w:val="24"/>
                    </w:rPr>
                  </w:pPr>
                  <w:hyperlink r:id="rId64" w:history="1">
                    <w:r w:rsidR="006C74EF" w:rsidRPr="006C74EF">
                      <w:rPr>
                        <w:rFonts w:ascii="Times New Roman" w:eastAsia="Times New Roman" w:hAnsi="Times New Roman" w:cs="Times New Roman"/>
                        <w:color w:val="0000FF"/>
                        <w:sz w:val="24"/>
                        <w:szCs w:val="24"/>
                        <w:u w:val="single"/>
                      </w:rPr>
                      <w:t>lhawrot@spilmanlaw.com</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00"/>
                      <w:sz w:val="24"/>
                      <w:szCs w:val="24"/>
                    </w:rPr>
                  </w:pPr>
                  <w:hyperlink r:id="rId65" w:history="1">
                    <w:r w:rsidR="006C74EF" w:rsidRPr="006C74EF">
                      <w:rPr>
                        <w:rFonts w:ascii="Times New Roman" w:eastAsia="Times New Roman" w:hAnsi="Times New Roman" w:cs="Times New Roman"/>
                        <w:color w:val="0000FF"/>
                        <w:sz w:val="24"/>
                        <w:szCs w:val="24"/>
                        <w:u w:val="single"/>
                      </w:rPr>
                      <w:t>dwilliamson@spilmanlaw.com</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00"/>
                      <w:sz w:val="24"/>
                      <w:szCs w:val="24"/>
                    </w:rPr>
                  </w:pPr>
                  <w:hyperlink r:id="rId66" w:history="1">
                    <w:r w:rsidR="006C74EF" w:rsidRPr="006C74EF">
                      <w:rPr>
                        <w:rFonts w:ascii="Times New Roman" w:eastAsia="Times New Roman" w:hAnsi="Times New Roman" w:cs="Times New Roman"/>
                        <w:color w:val="0000FF"/>
                        <w:sz w:val="24"/>
                        <w:szCs w:val="24"/>
                        <w:u w:val="single"/>
                      </w:rPr>
                      <w:t>charris@spilmanlaw.com</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00"/>
                      <w:sz w:val="24"/>
                      <w:szCs w:val="24"/>
                    </w:rPr>
                  </w:pPr>
                  <w:hyperlink r:id="rId67" w:history="1">
                    <w:r w:rsidR="006C74EF" w:rsidRPr="006C74EF">
                      <w:rPr>
                        <w:rFonts w:ascii="Times New Roman" w:eastAsia="Times New Roman" w:hAnsi="Times New Roman" w:cs="Times New Roman"/>
                        <w:color w:val="0000FF"/>
                        <w:sz w:val="24"/>
                        <w:szCs w:val="24"/>
                        <w:u w:val="single"/>
                      </w:rPr>
                      <w:t>Stephen.Chriss@walmart.com</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00"/>
                      <w:sz w:val="24"/>
                      <w:szCs w:val="24"/>
                    </w:rPr>
                  </w:pPr>
                  <w:hyperlink r:id="rId68" w:history="1">
                    <w:r w:rsidR="006C74EF" w:rsidRPr="006C74EF">
                      <w:rPr>
                        <w:rFonts w:ascii="Times New Roman" w:eastAsia="Times New Roman" w:hAnsi="Times New Roman" w:cs="Times New Roman"/>
                        <w:color w:val="0000FF"/>
                        <w:sz w:val="24"/>
                        <w:szCs w:val="24"/>
                        <w:u w:val="single"/>
                      </w:rPr>
                      <w:t>Schmidt@sppgrp.com</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FF"/>
                      <w:sz w:val="24"/>
                      <w:szCs w:val="24"/>
                      <w:u w:val="single"/>
                    </w:rPr>
                  </w:pPr>
                  <w:hyperlink r:id="rId69" w:history="1">
                    <w:r w:rsidR="006C74EF" w:rsidRPr="006C74EF">
                      <w:rPr>
                        <w:rFonts w:ascii="Times New Roman" w:eastAsia="Times New Roman" w:hAnsi="Times New Roman" w:cs="Times New Roman"/>
                        <w:color w:val="0000FF"/>
                        <w:sz w:val="24"/>
                        <w:szCs w:val="24"/>
                        <w:u w:val="single"/>
                      </w:rPr>
                      <w:t>Bojko@carpenterlipps.com</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FF"/>
                      <w:sz w:val="24"/>
                      <w:szCs w:val="24"/>
                      <w:u w:val="single"/>
                    </w:rPr>
                  </w:pPr>
                  <w:hyperlink r:id="rId70" w:history="1">
                    <w:r w:rsidR="006C74EF" w:rsidRPr="006C74EF">
                      <w:rPr>
                        <w:rFonts w:ascii="Times New Roman" w:eastAsia="Times New Roman" w:hAnsi="Times New Roman" w:cs="Times New Roman"/>
                        <w:color w:val="0000FF"/>
                        <w:sz w:val="24"/>
                        <w:szCs w:val="24"/>
                        <w:u w:val="single"/>
                      </w:rPr>
                      <w:t>orourke@carpenterlipps.com</w:t>
                    </w:r>
                  </w:hyperlink>
                </w:p>
                <w:p w:rsidR="006C74EF" w:rsidRPr="006C74EF" w:rsidRDefault="006C74EF" w:rsidP="006C74EF">
                  <w:pPr>
                    <w:autoSpaceDE w:val="0"/>
                    <w:autoSpaceDN w:val="0"/>
                    <w:adjustRightInd w:val="0"/>
                    <w:spacing w:after="0" w:line="240" w:lineRule="auto"/>
                    <w:rPr>
                      <w:rFonts w:ascii="Times New Roman" w:eastAsia="Times New Roman" w:hAnsi="Times New Roman" w:cs="Times New Roman"/>
                      <w:color w:val="0000FF"/>
                      <w:sz w:val="24"/>
                      <w:szCs w:val="24"/>
                    </w:rPr>
                  </w:pPr>
                  <w:r w:rsidRPr="006C74EF">
                    <w:rPr>
                      <w:rFonts w:ascii="Times New Roman" w:eastAsia="Times New Roman" w:hAnsi="Times New Roman" w:cs="Times New Roman"/>
                      <w:color w:val="0000FF"/>
                      <w:sz w:val="24"/>
                      <w:szCs w:val="24"/>
                    </w:rPr>
                    <w:t>mfleisher@elpc.org</w:t>
                  </w:r>
                </w:p>
                <w:p w:rsidR="006C74EF" w:rsidRPr="006C74EF" w:rsidRDefault="006C74EF" w:rsidP="006C74EF">
                  <w:pPr>
                    <w:autoSpaceDE w:val="0"/>
                    <w:autoSpaceDN w:val="0"/>
                    <w:adjustRightInd w:val="0"/>
                    <w:spacing w:after="0" w:line="240" w:lineRule="auto"/>
                    <w:rPr>
                      <w:rFonts w:ascii="Times New Roman" w:eastAsia="Times New Roman" w:hAnsi="Times New Roman" w:cs="Times New Roman"/>
                      <w:color w:val="0000FF"/>
                      <w:sz w:val="24"/>
                      <w:szCs w:val="24"/>
                    </w:rPr>
                  </w:pPr>
                  <w:r w:rsidRPr="006C74EF">
                    <w:rPr>
                      <w:rFonts w:ascii="Times New Roman" w:eastAsia="Times New Roman" w:hAnsi="Times New Roman" w:cs="Times New Roman"/>
                      <w:color w:val="0000FF"/>
                      <w:sz w:val="24"/>
                      <w:szCs w:val="24"/>
                    </w:rPr>
                    <w:t>msmalz@ohiopovertylaw.org</w:t>
                  </w:r>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FF"/>
                      <w:sz w:val="24"/>
                      <w:szCs w:val="24"/>
                    </w:rPr>
                  </w:pPr>
                  <w:hyperlink r:id="rId71" w:history="1">
                    <w:r w:rsidR="006C74EF" w:rsidRPr="006C74EF">
                      <w:rPr>
                        <w:rFonts w:ascii="Times New Roman" w:eastAsia="Times New Roman" w:hAnsi="Times New Roman" w:cs="Times New Roman"/>
                        <w:color w:val="0000FF"/>
                        <w:sz w:val="24"/>
                        <w:szCs w:val="24"/>
                        <w:u w:val="single"/>
                      </w:rPr>
                      <w:t>cmooney@ohiopartners.org</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FF"/>
                      <w:sz w:val="24"/>
                      <w:szCs w:val="24"/>
                    </w:rPr>
                  </w:pPr>
                  <w:hyperlink r:id="rId72" w:history="1">
                    <w:r w:rsidR="006C74EF" w:rsidRPr="006C74EF">
                      <w:rPr>
                        <w:rFonts w:ascii="Times New Roman" w:eastAsia="Times New Roman" w:hAnsi="Times New Roman" w:cs="Times New Roman"/>
                        <w:color w:val="0000FF"/>
                        <w:sz w:val="24"/>
                        <w:szCs w:val="24"/>
                        <w:u w:val="single"/>
                      </w:rPr>
                      <w:t>drinebolt@ohiopartners.org</w:t>
                    </w:r>
                  </w:hyperlink>
                </w:p>
                <w:p w:rsidR="006C74EF" w:rsidRPr="006C74EF" w:rsidRDefault="006C74EF" w:rsidP="006C74EF">
                  <w:pPr>
                    <w:autoSpaceDE w:val="0"/>
                    <w:autoSpaceDN w:val="0"/>
                    <w:adjustRightInd w:val="0"/>
                    <w:spacing w:after="0" w:line="240" w:lineRule="auto"/>
                    <w:rPr>
                      <w:rFonts w:ascii="Times New Roman" w:eastAsia="Times New Roman" w:hAnsi="Times New Roman" w:cs="Times New Roman"/>
                      <w:color w:val="0000FF"/>
                      <w:sz w:val="24"/>
                      <w:szCs w:val="24"/>
                    </w:rPr>
                  </w:pPr>
                  <w:r w:rsidRPr="006C74EF">
                    <w:rPr>
                      <w:rFonts w:ascii="Times New Roman" w:eastAsia="Times New Roman" w:hAnsi="Times New Roman" w:cs="Times New Roman"/>
                      <w:color w:val="0000FF"/>
                      <w:sz w:val="24"/>
                      <w:szCs w:val="24"/>
                    </w:rPr>
                    <w:t>ghull@eckertseamans.com</w:t>
                  </w:r>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FF"/>
                      <w:sz w:val="24"/>
                      <w:szCs w:val="24"/>
                    </w:rPr>
                  </w:pPr>
                  <w:hyperlink r:id="rId73" w:history="1">
                    <w:r w:rsidR="006C74EF" w:rsidRPr="006C74EF">
                      <w:rPr>
                        <w:rFonts w:ascii="Times New Roman" w:eastAsia="Times New Roman" w:hAnsi="Times New Roman" w:cs="Times New Roman"/>
                        <w:color w:val="0000FF"/>
                        <w:sz w:val="24"/>
                        <w:szCs w:val="24"/>
                        <w:u w:val="single"/>
                      </w:rPr>
                      <w:t>msoules@earthjustice.org</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FF"/>
                      <w:sz w:val="24"/>
                      <w:szCs w:val="24"/>
                    </w:rPr>
                  </w:pPr>
                  <w:hyperlink r:id="rId74" w:history="1">
                    <w:r w:rsidR="006C74EF" w:rsidRPr="006C74EF">
                      <w:rPr>
                        <w:rFonts w:ascii="Times New Roman" w:eastAsia="Times New Roman" w:hAnsi="Times New Roman" w:cs="Times New Roman"/>
                        <w:color w:val="0000FF"/>
                        <w:sz w:val="24"/>
                        <w:szCs w:val="24"/>
                        <w:u w:val="single"/>
                      </w:rPr>
                      <w:t>jennifer.spinosi@directenergy.com</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FF"/>
                      <w:sz w:val="24"/>
                      <w:szCs w:val="24"/>
                      <w:u w:val="single"/>
                    </w:rPr>
                  </w:pPr>
                  <w:hyperlink r:id="rId75" w:history="1">
                    <w:r w:rsidR="006C74EF" w:rsidRPr="006C74EF">
                      <w:rPr>
                        <w:rFonts w:ascii="Times New Roman" w:eastAsia="Times New Roman" w:hAnsi="Times New Roman" w:cs="Times New Roman"/>
                        <w:color w:val="0000FF"/>
                        <w:sz w:val="24"/>
                        <w:szCs w:val="24"/>
                        <w:u w:val="single"/>
                      </w:rPr>
                      <w:t>laurie.williams@sierraclub.org</w:t>
                    </w:r>
                  </w:hyperlink>
                </w:p>
                <w:p w:rsidR="006C74EF" w:rsidRPr="006C74EF" w:rsidRDefault="00AB6E95" w:rsidP="006C74EF">
                  <w:pPr>
                    <w:autoSpaceDE w:val="0"/>
                    <w:autoSpaceDN w:val="0"/>
                    <w:adjustRightInd w:val="0"/>
                    <w:spacing w:after="0" w:line="240" w:lineRule="auto"/>
                    <w:rPr>
                      <w:rFonts w:ascii="Times New Roman" w:eastAsia="Times New Roman" w:hAnsi="Times New Roman" w:cs="Times New Roman"/>
                      <w:color w:val="000000"/>
                      <w:sz w:val="24"/>
                      <w:szCs w:val="24"/>
                    </w:rPr>
                  </w:pPr>
                  <w:hyperlink r:id="rId76" w:history="1">
                    <w:r w:rsidR="006C74EF" w:rsidRPr="006C74EF">
                      <w:rPr>
                        <w:rFonts w:ascii="Times New Roman" w:eastAsiaTheme="minorHAnsi" w:hAnsi="Times New Roman" w:cs="Times New Roman"/>
                        <w:color w:val="0000FF"/>
                        <w:sz w:val="24"/>
                        <w:szCs w:val="24"/>
                        <w:u w:val="single"/>
                      </w:rPr>
                      <w:t>evelyn.robinson@pjm.com</w:t>
                    </w:r>
                  </w:hyperlink>
                </w:p>
              </w:tc>
            </w:tr>
          </w:tbl>
          <w:p w:rsidR="006C74EF" w:rsidRPr="006C74EF" w:rsidRDefault="006C74EF" w:rsidP="006C74EF">
            <w:pPr>
              <w:autoSpaceDE w:val="0"/>
              <w:autoSpaceDN w:val="0"/>
              <w:adjustRightInd w:val="0"/>
              <w:rPr>
                <w:rFonts w:ascii="Times New Roman" w:eastAsia="Calibri" w:hAnsi="Times New Roman" w:cs="Times New Roman"/>
                <w:color w:val="000000"/>
                <w:sz w:val="24"/>
                <w:szCs w:val="24"/>
                <w:u w:val="single"/>
              </w:rPr>
            </w:pPr>
            <w:r w:rsidRPr="006C74EF">
              <w:rPr>
                <w:rFonts w:ascii="Times New Roman" w:eastAsia="Calibri" w:hAnsi="Times New Roman" w:cs="Times New Roman"/>
                <w:color w:val="000000"/>
                <w:sz w:val="24"/>
                <w:szCs w:val="24"/>
                <w:u w:val="single"/>
              </w:rPr>
              <w:t>Attorney Examiners:</w:t>
            </w:r>
          </w:p>
          <w:p w:rsidR="006C74EF" w:rsidRPr="006C74EF" w:rsidRDefault="006C74EF" w:rsidP="006C74EF">
            <w:pPr>
              <w:autoSpaceDE w:val="0"/>
              <w:autoSpaceDN w:val="0"/>
              <w:adjustRightInd w:val="0"/>
              <w:rPr>
                <w:rFonts w:ascii="Times New Roman" w:eastAsia="Calibri" w:hAnsi="Times New Roman" w:cs="Times New Roman"/>
                <w:color w:val="000000"/>
                <w:sz w:val="24"/>
                <w:szCs w:val="24"/>
                <w:u w:val="single"/>
              </w:rPr>
            </w:pPr>
            <w:r w:rsidRPr="006C74EF">
              <w:rPr>
                <w:rFonts w:ascii="Times New Roman" w:eastAsia="Calibri" w:hAnsi="Times New Roman" w:cs="Times New Roman"/>
                <w:color w:val="0000FF"/>
                <w:sz w:val="24"/>
                <w:szCs w:val="24"/>
                <w:u w:val="single"/>
              </w:rPr>
              <w:t>Sarah.parrot@puc.state.oh.us</w:t>
            </w:r>
          </w:p>
          <w:p w:rsidR="00CE247A" w:rsidRDefault="006C74EF" w:rsidP="006C74EF">
            <w:pPr>
              <w:rPr>
                <w:rFonts w:ascii="Times New Roman" w:hAnsi="Times New Roman" w:cs="Times New Roman"/>
                <w:sz w:val="24"/>
                <w:szCs w:val="24"/>
              </w:rPr>
            </w:pPr>
            <w:r w:rsidRPr="006C74EF">
              <w:rPr>
                <w:rFonts w:ascii="Times New Roman" w:eastAsia="Calibri" w:hAnsi="Times New Roman" w:cs="Times New Roman"/>
                <w:color w:val="0000FF"/>
                <w:sz w:val="24"/>
                <w:szCs w:val="24"/>
                <w:u w:val="single"/>
              </w:rPr>
              <w:t>Greta.see@puc.state.oh.us</w:t>
            </w:r>
          </w:p>
        </w:tc>
      </w:tr>
    </w:tbl>
    <w:p w:rsidR="005D0105" w:rsidRPr="008B0A69" w:rsidRDefault="005D0105" w:rsidP="00020AF0">
      <w:pPr>
        <w:spacing w:after="0" w:line="240" w:lineRule="auto"/>
        <w:ind w:firstLine="720"/>
        <w:rPr>
          <w:rFonts w:ascii="Times New Roman" w:hAnsi="Times New Roman" w:cs="Times New Roman"/>
          <w:sz w:val="24"/>
          <w:szCs w:val="24"/>
        </w:rPr>
      </w:pPr>
    </w:p>
    <w:sectPr w:rsidR="005D0105" w:rsidRPr="008B0A69" w:rsidSect="00951324">
      <w:headerReference w:type="default" r:id="rId77"/>
      <w:footerReference w:type="default" r:id="rId78"/>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F410A6" w15:done="0"/>
  <w15:commentEx w15:paraId="3819B911" w15:done="0"/>
  <w15:commentEx w15:paraId="4DDD83F0" w15:done="0"/>
  <w15:commentEx w15:paraId="27FAA079" w15:done="0"/>
  <w15:commentEx w15:paraId="461B61F5" w15:done="0"/>
  <w15:commentEx w15:paraId="5BA8387D" w15:done="0"/>
  <w15:commentEx w15:paraId="70DAB6A5" w15:done="0"/>
  <w15:commentEx w15:paraId="0CBBBD22" w15:done="0"/>
  <w15:commentEx w15:paraId="2389D0B1" w15:done="0"/>
  <w15:commentEx w15:paraId="4FF0C9B3" w15:done="0"/>
  <w15:commentEx w15:paraId="7917E439" w15:done="0"/>
  <w15:commentEx w15:paraId="249B5B51" w15:done="0"/>
  <w15:commentEx w15:paraId="770AE899" w15:done="0"/>
  <w15:commentEx w15:paraId="788A1BEE" w15:done="0"/>
  <w15:commentEx w15:paraId="655E7E75" w15:done="0"/>
  <w15:commentEx w15:paraId="7526383A" w15:done="0"/>
  <w15:commentEx w15:paraId="5647EE39" w15:done="0"/>
  <w15:commentEx w15:paraId="208AE2F1" w15:done="0"/>
  <w15:commentEx w15:paraId="0B30F00D" w15:done="0"/>
  <w15:commentEx w15:paraId="6F75D48C" w15:done="0"/>
  <w15:commentEx w15:paraId="1667F70C" w15:done="0"/>
  <w15:commentEx w15:paraId="2D7D4853" w15:done="0"/>
  <w15:commentEx w15:paraId="3A4C5E23" w15:done="0"/>
  <w15:commentEx w15:paraId="1EC43138" w15:done="0"/>
  <w15:commentEx w15:paraId="67A0F647" w15:done="0"/>
  <w15:commentEx w15:paraId="2514DFD4" w15:done="0"/>
  <w15:commentEx w15:paraId="2CDBA048" w15:done="0"/>
  <w15:commentEx w15:paraId="00A0C2F3" w15:done="0"/>
  <w15:commentEx w15:paraId="3263A11F" w15:done="0"/>
  <w15:commentEx w15:paraId="3328E89F" w15:done="0"/>
  <w15:commentEx w15:paraId="4370F03E" w15:done="0"/>
  <w15:commentEx w15:paraId="5EBD5FDD" w15:done="0"/>
  <w15:commentEx w15:paraId="221381A5" w15:done="0"/>
  <w15:commentEx w15:paraId="6161610B" w15:done="0"/>
  <w15:commentEx w15:paraId="6FD4D57C" w15:done="0"/>
  <w15:commentEx w15:paraId="530EE4DD" w15:done="0"/>
  <w15:commentEx w15:paraId="7D6EE4FF" w15:done="0"/>
  <w15:commentEx w15:paraId="22540E5D" w15:done="0"/>
  <w15:commentEx w15:paraId="0DB7C5DA" w15:done="0"/>
  <w15:commentEx w15:paraId="5E2DFB49" w15:done="0"/>
  <w15:commentEx w15:paraId="250DF71D" w15:done="0"/>
  <w15:commentEx w15:paraId="23CDD3FA" w15:done="0"/>
  <w15:commentEx w15:paraId="2A49D964" w15:done="0"/>
  <w15:commentEx w15:paraId="6E259450" w15:done="0"/>
  <w15:commentEx w15:paraId="32B7A9BD" w15:done="0"/>
  <w15:commentEx w15:paraId="4AF7880F" w15:done="0"/>
  <w15:commentEx w15:paraId="152B7D78" w15:done="0"/>
  <w15:commentEx w15:paraId="40792C27" w15:done="0"/>
  <w15:commentEx w15:paraId="039F998E" w15:done="0"/>
  <w15:commentEx w15:paraId="1CD297B5" w15:done="0"/>
  <w15:commentEx w15:paraId="5612BA4B" w15:done="0"/>
  <w15:commentEx w15:paraId="7132306D" w15:done="0"/>
  <w15:commentEx w15:paraId="6BCAFD85" w15:done="0"/>
  <w15:commentEx w15:paraId="346E8099" w15:done="0"/>
  <w15:commentEx w15:paraId="3F5D0452" w15:done="0"/>
  <w15:commentEx w15:paraId="0E482B67" w15:done="0"/>
  <w15:commentEx w15:paraId="45D79A23" w15:done="0"/>
  <w15:commentEx w15:paraId="09AB9E55" w15:done="0"/>
  <w15:commentEx w15:paraId="01BF9F3B" w15:done="0"/>
  <w15:commentEx w15:paraId="0FBBD45D" w15:done="0"/>
  <w15:commentEx w15:paraId="01B5BC47" w15:done="0"/>
  <w15:commentEx w15:paraId="6D275424" w15:done="0"/>
  <w15:commentEx w15:paraId="1A7D405A" w15:done="0"/>
  <w15:commentEx w15:paraId="635F974A" w15:done="0"/>
  <w15:commentEx w15:paraId="1FD39D6F" w15:done="0"/>
  <w15:commentEx w15:paraId="3404A990" w15:done="0"/>
  <w15:commentEx w15:paraId="6B531333" w15:done="0"/>
  <w15:commentEx w15:paraId="060261D0" w15:done="0"/>
  <w15:commentEx w15:paraId="31E9D4E1" w15:done="0"/>
  <w15:commentEx w15:paraId="729884DE" w15:done="0"/>
  <w15:commentEx w15:paraId="602E1D47" w15:done="0"/>
  <w15:commentEx w15:paraId="64260488" w15:done="0"/>
  <w15:commentEx w15:paraId="15647F7A" w15:done="0"/>
  <w15:commentEx w15:paraId="57A1E535" w15:done="0"/>
  <w15:commentEx w15:paraId="2188CA26" w15:done="0"/>
  <w15:commentEx w15:paraId="17BFC722" w15:done="0"/>
  <w15:commentEx w15:paraId="66F6530B" w15:done="0"/>
  <w15:commentEx w15:paraId="33472716" w15:done="0"/>
  <w15:commentEx w15:paraId="4BB358A0" w15:done="0"/>
  <w15:commentEx w15:paraId="3A5BBF9A" w15:done="0"/>
  <w15:commentEx w15:paraId="6CD249BD" w15:done="0"/>
  <w15:commentEx w15:paraId="6791C322" w15:done="0"/>
  <w15:commentEx w15:paraId="6AA810CD" w15:done="0"/>
  <w15:commentEx w15:paraId="58407B68" w15:done="0"/>
  <w15:commentEx w15:paraId="5A63CCD9" w15:done="0"/>
  <w15:commentEx w15:paraId="18ADD489" w15:done="0"/>
  <w15:commentEx w15:paraId="324A8938" w15:done="0"/>
  <w15:commentEx w15:paraId="54BC2585" w15:done="0"/>
  <w15:commentEx w15:paraId="16EAF888" w15:done="0"/>
  <w15:commentEx w15:paraId="3A989862" w15:done="0"/>
  <w15:commentEx w15:paraId="1C69D079" w15:done="0"/>
  <w15:commentEx w15:paraId="0CAA95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92B" w:rsidRDefault="0020192B" w:rsidP="00875E64">
      <w:pPr>
        <w:spacing w:after="0" w:line="240" w:lineRule="auto"/>
      </w:pPr>
      <w:r>
        <w:separator/>
      </w:r>
    </w:p>
  </w:endnote>
  <w:endnote w:type="continuationSeparator" w:id="0">
    <w:p w:rsidR="0020192B" w:rsidRDefault="0020192B" w:rsidP="00875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enQuanYi Micro Hei">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F2" w:rsidRDefault="00711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95B" w:rsidRDefault="0020495B">
    <w:pPr>
      <w:pStyle w:val="Footer"/>
      <w:jc w:val="center"/>
    </w:pPr>
  </w:p>
  <w:p w:rsidR="0020495B" w:rsidRDefault="002049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F2" w:rsidRDefault="007110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353953"/>
      <w:docPartObj>
        <w:docPartGallery w:val="Page Numbers (Bottom of Page)"/>
        <w:docPartUnique/>
      </w:docPartObj>
    </w:sdtPr>
    <w:sdtEndPr>
      <w:rPr>
        <w:rFonts w:ascii="Times New Roman" w:hAnsi="Times New Roman" w:cs="Times New Roman"/>
        <w:noProof/>
        <w:sz w:val="24"/>
      </w:rPr>
    </w:sdtEndPr>
    <w:sdtContent>
      <w:p w:rsidR="0020495B" w:rsidRPr="00F72017" w:rsidRDefault="0020495B">
        <w:pPr>
          <w:pStyle w:val="Footer"/>
          <w:jc w:val="center"/>
          <w:rPr>
            <w:rFonts w:ascii="Times New Roman" w:hAnsi="Times New Roman" w:cs="Times New Roman"/>
            <w:sz w:val="24"/>
          </w:rPr>
        </w:pPr>
        <w:r w:rsidRPr="00F72017">
          <w:rPr>
            <w:rFonts w:ascii="Times New Roman" w:hAnsi="Times New Roman" w:cs="Times New Roman"/>
            <w:sz w:val="24"/>
          </w:rPr>
          <w:fldChar w:fldCharType="begin"/>
        </w:r>
        <w:r w:rsidRPr="00F72017">
          <w:rPr>
            <w:rFonts w:ascii="Times New Roman" w:hAnsi="Times New Roman" w:cs="Times New Roman"/>
            <w:sz w:val="24"/>
          </w:rPr>
          <w:instrText xml:space="preserve"> PAGE   \* MERGEFORMAT </w:instrText>
        </w:r>
        <w:r w:rsidRPr="00F72017">
          <w:rPr>
            <w:rFonts w:ascii="Times New Roman" w:hAnsi="Times New Roman" w:cs="Times New Roman"/>
            <w:sz w:val="24"/>
          </w:rPr>
          <w:fldChar w:fldCharType="separate"/>
        </w:r>
        <w:r w:rsidR="007110F2">
          <w:rPr>
            <w:rFonts w:ascii="Times New Roman" w:hAnsi="Times New Roman" w:cs="Times New Roman"/>
            <w:noProof/>
            <w:sz w:val="24"/>
          </w:rPr>
          <w:t>x</w:t>
        </w:r>
        <w:r w:rsidRPr="00F72017">
          <w:rPr>
            <w:rFonts w:ascii="Times New Roman" w:hAnsi="Times New Roman" w:cs="Times New Roman"/>
            <w:noProof/>
            <w:sz w:val="24"/>
          </w:rPr>
          <w:fldChar w:fldCharType="end"/>
        </w:r>
      </w:p>
    </w:sdtContent>
  </w:sdt>
  <w:p w:rsidR="0020495B" w:rsidRDefault="0020495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234795"/>
      <w:docPartObj>
        <w:docPartGallery w:val="Page Numbers (Bottom of Page)"/>
        <w:docPartUnique/>
      </w:docPartObj>
    </w:sdtPr>
    <w:sdtEndPr>
      <w:rPr>
        <w:rFonts w:ascii="Times New Roman" w:hAnsi="Times New Roman" w:cs="Times New Roman"/>
        <w:noProof/>
        <w:sz w:val="24"/>
        <w:szCs w:val="24"/>
      </w:rPr>
    </w:sdtEndPr>
    <w:sdtContent>
      <w:p w:rsidR="0020495B" w:rsidRPr="00015688" w:rsidRDefault="0020495B">
        <w:pPr>
          <w:pStyle w:val="Footer"/>
          <w:jc w:val="center"/>
          <w:rPr>
            <w:rFonts w:ascii="Times New Roman" w:hAnsi="Times New Roman" w:cs="Times New Roman"/>
            <w:sz w:val="24"/>
            <w:szCs w:val="24"/>
          </w:rPr>
        </w:pPr>
        <w:r w:rsidRPr="00015688">
          <w:rPr>
            <w:rFonts w:ascii="Times New Roman" w:hAnsi="Times New Roman" w:cs="Times New Roman"/>
            <w:sz w:val="24"/>
            <w:szCs w:val="24"/>
          </w:rPr>
          <w:fldChar w:fldCharType="begin"/>
        </w:r>
        <w:r w:rsidRPr="00015688">
          <w:rPr>
            <w:rFonts w:ascii="Times New Roman" w:hAnsi="Times New Roman" w:cs="Times New Roman"/>
            <w:sz w:val="24"/>
            <w:szCs w:val="24"/>
          </w:rPr>
          <w:instrText xml:space="preserve"> PAGE   \* MERGEFORMAT </w:instrText>
        </w:r>
        <w:r w:rsidRPr="00015688">
          <w:rPr>
            <w:rFonts w:ascii="Times New Roman" w:hAnsi="Times New Roman" w:cs="Times New Roman"/>
            <w:sz w:val="24"/>
            <w:szCs w:val="24"/>
          </w:rPr>
          <w:fldChar w:fldCharType="separate"/>
        </w:r>
        <w:r w:rsidR="007110F2">
          <w:rPr>
            <w:rFonts w:ascii="Times New Roman" w:hAnsi="Times New Roman" w:cs="Times New Roman"/>
            <w:noProof/>
            <w:sz w:val="24"/>
            <w:szCs w:val="24"/>
          </w:rPr>
          <w:t>173</w:t>
        </w:r>
        <w:r w:rsidRPr="00015688">
          <w:rPr>
            <w:rFonts w:ascii="Times New Roman" w:hAnsi="Times New Roman" w:cs="Times New Roman"/>
            <w:noProof/>
            <w:sz w:val="24"/>
            <w:szCs w:val="24"/>
          </w:rPr>
          <w:fldChar w:fldCharType="end"/>
        </w:r>
      </w:p>
    </w:sdtContent>
  </w:sdt>
  <w:p w:rsidR="0020495B" w:rsidRDefault="0020495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721528"/>
      <w:docPartObj>
        <w:docPartGallery w:val="Page Numbers (Bottom of Page)"/>
        <w:docPartUnique/>
      </w:docPartObj>
    </w:sdtPr>
    <w:sdtEndPr>
      <w:rPr>
        <w:noProof/>
      </w:rPr>
    </w:sdtEndPr>
    <w:sdtContent>
      <w:p w:rsidR="0020495B" w:rsidRDefault="0020495B">
        <w:pPr>
          <w:pStyle w:val="Footer"/>
          <w:jc w:val="center"/>
        </w:pPr>
        <w:r>
          <w:fldChar w:fldCharType="begin"/>
        </w:r>
        <w:r>
          <w:instrText xml:space="preserve"> PAGE   \* MERGEFORMAT </w:instrText>
        </w:r>
        <w:r>
          <w:fldChar w:fldCharType="separate"/>
        </w:r>
        <w:r w:rsidR="007110F2">
          <w:rPr>
            <w:noProof/>
          </w:rPr>
          <w:t>174</w:t>
        </w:r>
        <w:r>
          <w:rPr>
            <w:noProof/>
          </w:rPr>
          <w:fldChar w:fldCharType="end"/>
        </w:r>
      </w:p>
    </w:sdtContent>
  </w:sdt>
  <w:p w:rsidR="0020495B" w:rsidRDefault="00204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92B" w:rsidRDefault="0020192B" w:rsidP="00875E64">
      <w:pPr>
        <w:spacing w:after="0" w:line="240" w:lineRule="auto"/>
      </w:pPr>
      <w:r>
        <w:separator/>
      </w:r>
    </w:p>
  </w:footnote>
  <w:footnote w:type="continuationSeparator" w:id="0">
    <w:p w:rsidR="0020192B" w:rsidRDefault="0020192B" w:rsidP="00875E64">
      <w:pPr>
        <w:spacing w:after="0" w:line="240" w:lineRule="auto"/>
      </w:pPr>
      <w:r>
        <w:continuationSeparator/>
      </w:r>
    </w:p>
  </w:footnote>
  <w:footnote w:id="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Hearing Transcript at Vol. XVI, p. 3915:17-22 (October 23, 2015).</w:t>
      </w:r>
    </w:p>
  </w:footnote>
  <w:footnote w:id="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First Supplemental Testimony of Joseph E. Bowring on behalf of the Independent Market Monitor for PJM (IMM Ex. 2) filed December 28, 2015 at p. 6:16-33.</w:t>
      </w:r>
    </w:p>
  </w:footnote>
  <w:footnote w:id="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Hearing Transcript at Vol. XVIII, p. 4473:15-19.</w:t>
      </w:r>
    </w:p>
  </w:footnote>
  <w:footnote w:id="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In important respects, “debate” among the signatory parties about the Joint Stipulation’s meaning will be required.  </w:t>
      </w:r>
      <w:r w:rsidRPr="00856315">
        <w:rPr>
          <w:rFonts w:ascii="Times New Roman" w:hAnsi="Times New Roman" w:cs="Times New Roman"/>
          <w:i/>
        </w:rPr>
        <w:t xml:space="preserve">See id. </w:t>
      </w:r>
      <w:r w:rsidRPr="00856315">
        <w:rPr>
          <w:rFonts w:ascii="Times New Roman" w:hAnsi="Times New Roman" w:cs="Times New Roman"/>
        </w:rPr>
        <w:t>at Vol. XIX, p. 4719:7-4720:1.</w:t>
      </w:r>
    </w:p>
  </w:footnote>
  <w:footnote w:id="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In the Matter of the Application of Ohio Power Company for Authority to Establish a Standard Service Offer Pursuant to R.C. 4928.143, in the Form of an Electric Security Plan</w:t>
      </w:r>
      <w:r w:rsidRPr="00856315">
        <w:rPr>
          <w:rFonts w:ascii="Times New Roman" w:hAnsi="Times New Roman" w:cs="Times New Roman"/>
        </w:rPr>
        <w:t>, Case No. 13-2385-EL-SSO (“ESP III”), Opinion and Order at 25.</w:t>
      </w:r>
    </w:p>
  </w:footnote>
  <w:footnote w:id="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(in denying cost recovery, explained that “the Commission is not persuaded, based on the evidence of record in these proceedings, that AEP Ohio’s PPA rider proposal would provide customers with sufficient benefit from the rider’s financial hedging mechanism or any other benefit that is commensurate with the rider’s potential cost.”).</w:t>
      </w:r>
    </w:p>
  </w:footnote>
  <w:footnote w:id="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AK Steel Corp. v. PUCO</w:t>
      </w:r>
      <w:r w:rsidRPr="00856315">
        <w:rPr>
          <w:rFonts w:ascii="Times New Roman" w:hAnsi="Times New Roman" w:cs="Times New Roman"/>
        </w:rPr>
        <w:t xml:space="preserve">, 95 Ohio St. 3d 81, 81 (2002); </w:t>
      </w:r>
      <w:r w:rsidRPr="00856315">
        <w:rPr>
          <w:rFonts w:ascii="Times New Roman" w:hAnsi="Times New Roman" w:cs="Times New Roman"/>
          <w:i/>
        </w:rPr>
        <w:t>OCC v. PUCO</w:t>
      </w:r>
      <w:r w:rsidRPr="00856315">
        <w:rPr>
          <w:rFonts w:ascii="Times New Roman" w:hAnsi="Times New Roman" w:cs="Times New Roman"/>
        </w:rPr>
        <w:t>, 114 Ohio St. 3d 340, 340 (2007).</w:t>
      </w:r>
    </w:p>
  </w:footnote>
  <w:footnote w:id="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OCC v. PUCO</w:t>
      </w:r>
      <w:r w:rsidRPr="00856315">
        <w:rPr>
          <w:rFonts w:ascii="Times New Roman" w:hAnsi="Times New Roman" w:cs="Times New Roman"/>
        </w:rPr>
        <w:t>, 114 Ohio St. 3d 340, 343 (2007).</w:t>
      </w:r>
    </w:p>
  </w:footnote>
  <w:footnote w:id="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In re Columbus S. Power Co.</w:t>
      </w:r>
      <w:r w:rsidRPr="00856315">
        <w:rPr>
          <w:rFonts w:ascii="Times New Roman" w:hAnsi="Times New Roman" w:cs="Times New Roman"/>
        </w:rPr>
        <w:t>, 128 Ohio St. 3d 512, 513 (2011).</w:t>
      </w:r>
    </w:p>
  </w:footnote>
  <w:footnote w:id="1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(citations omitted).</w:t>
      </w:r>
    </w:p>
  </w:footnote>
  <w:footnote w:id="1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w:t>
      </w:r>
      <w:r w:rsidRPr="00856315">
        <w:rPr>
          <w:rFonts w:ascii="Times New Roman" w:hAnsi="Times New Roman" w:cs="Times New Roman"/>
          <w:i/>
        </w:rPr>
        <w:t xml:space="preserve">see also </w:t>
      </w:r>
      <w:r w:rsidRPr="00856315">
        <w:rPr>
          <w:rFonts w:ascii="Times New Roman" w:hAnsi="Times New Roman" w:cs="Times New Roman"/>
        </w:rPr>
        <w:t>R.C. secs. 4928.141-4928.144.</w:t>
      </w:r>
    </w:p>
  </w:footnote>
  <w:footnote w:id="1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w:t>
      </w:r>
      <w:r w:rsidRPr="00856315">
        <w:rPr>
          <w:rFonts w:ascii="Times New Roman" w:hAnsi="Times New Roman" w:cs="Times New Roman"/>
        </w:rPr>
        <w:t xml:space="preserve"> R.C. 4928.142.  An “MRO” sets “rates using a competitive-bidding process to harness market forces.”  </w:t>
      </w:r>
      <w:r w:rsidRPr="00856315">
        <w:rPr>
          <w:rFonts w:ascii="Times New Roman" w:hAnsi="Times New Roman" w:cs="Times New Roman"/>
          <w:i/>
        </w:rPr>
        <w:t>See In re Columbus S. Power Co.</w:t>
      </w:r>
      <w:r w:rsidRPr="00856315">
        <w:rPr>
          <w:rFonts w:ascii="Times New Roman" w:hAnsi="Times New Roman" w:cs="Times New Roman"/>
        </w:rPr>
        <w:t>, 128 Ohio St. 3d at 514.</w:t>
      </w:r>
    </w:p>
  </w:footnote>
  <w:footnote w:id="1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w:t>
      </w:r>
      <w:r w:rsidRPr="00856315">
        <w:rPr>
          <w:rFonts w:ascii="Times New Roman" w:hAnsi="Times New Roman" w:cs="Times New Roman"/>
        </w:rPr>
        <w:t xml:space="preserve"> R.C. 4928.143.</w:t>
      </w:r>
    </w:p>
  </w:footnote>
  <w:footnote w:id="1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R.C. 4928.143(C)(1).  This test should be limited to considering quantitative factors.</w:t>
      </w:r>
    </w:p>
  </w:footnote>
  <w:footnote w:id="1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ESP III Opinion and Order at 8-27.</w:t>
      </w:r>
    </w:p>
  </w:footnote>
  <w:footnote w:id="1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8.</w:t>
      </w:r>
    </w:p>
  </w:footnote>
  <w:footnote w:id="1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p>
  </w:footnote>
  <w:footnote w:id="18">
    <w:p w:rsidR="0020495B" w:rsidRPr="00856315" w:rsidRDefault="0020495B" w:rsidP="00856315">
      <w:pPr>
        <w:pStyle w:val="FootnoteText"/>
        <w:spacing w:after="120"/>
        <w:rPr>
          <w:rFonts w:ascii="Times New Roman" w:hAnsi="Times New Roman" w:cs="Times New Roman"/>
          <w:i/>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p>
  </w:footnote>
  <w:footnote w:id="19">
    <w:p w:rsidR="0020495B" w:rsidRPr="00856315" w:rsidRDefault="0020495B" w:rsidP="00856315">
      <w:pPr>
        <w:pStyle w:val="FootnoteText"/>
        <w:spacing w:after="120"/>
        <w:rPr>
          <w:rFonts w:ascii="Times New Roman" w:hAnsi="Times New Roman" w:cs="Times New Roman"/>
          <w:i/>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p>
  </w:footnote>
  <w:footnote w:id="2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p>
  </w:footnote>
  <w:footnote w:id="2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9.</w:t>
      </w:r>
    </w:p>
  </w:footnote>
  <w:footnote w:id="2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12.</w:t>
      </w:r>
    </w:p>
  </w:footnote>
  <w:footnote w:id="23">
    <w:p w:rsidR="0020495B" w:rsidRPr="00856315" w:rsidRDefault="0020495B" w:rsidP="00856315">
      <w:pPr>
        <w:pStyle w:val="FootnoteText"/>
        <w:spacing w:after="120"/>
        <w:rPr>
          <w:rFonts w:ascii="Times New Roman" w:hAnsi="Times New Roman" w:cs="Times New Roman"/>
          <w:i/>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p>
  </w:footnote>
  <w:footnote w:id="2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13.</w:t>
      </w:r>
    </w:p>
  </w:footnote>
  <w:footnote w:id="2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13-14.</w:t>
      </w:r>
    </w:p>
  </w:footnote>
  <w:footnote w:id="2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17.</w:t>
      </w:r>
    </w:p>
  </w:footnote>
  <w:footnote w:id="2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16.</w:t>
      </w:r>
    </w:p>
  </w:footnote>
  <w:footnote w:id="2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18.</w:t>
      </w:r>
    </w:p>
  </w:footnote>
  <w:footnote w:id="2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w:t>
      </w:r>
      <w:r w:rsidRPr="00856315">
        <w:rPr>
          <w:rFonts w:ascii="Times New Roman" w:hAnsi="Times New Roman" w:cs="Times New Roman"/>
        </w:rPr>
        <w:t xml:space="preserve"> </w:t>
      </w:r>
      <w:r w:rsidRPr="00856315">
        <w:rPr>
          <w:rFonts w:ascii="Times New Roman" w:hAnsi="Times New Roman" w:cs="Times New Roman"/>
          <w:i/>
        </w:rPr>
        <w:t xml:space="preserve">id. </w:t>
      </w:r>
      <w:r w:rsidRPr="00856315">
        <w:rPr>
          <w:rFonts w:ascii="Times New Roman" w:hAnsi="Times New Roman" w:cs="Times New Roman"/>
        </w:rPr>
        <w:t>at 19.</w:t>
      </w:r>
    </w:p>
  </w:footnote>
  <w:footnote w:id="3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21.</w:t>
      </w:r>
    </w:p>
  </w:footnote>
  <w:footnote w:id="3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23.</w:t>
      </w:r>
    </w:p>
  </w:footnote>
  <w:footnote w:id="3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p>
  </w:footnote>
  <w:footnote w:id="3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24.</w:t>
      </w:r>
    </w:p>
  </w:footnote>
  <w:footnote w:id="3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p>
  </w:footnote>
  <w:footnote w:id="35">
    <w:p w:rsidR="0020495B" w:rsidRPr="00856315" w:rsidRDefault="0020495B" w:rsidP="00856315">
      <w:pPr>
        <w:pStyle w:val="FootnoteText"/>
        <w:spacing w:after="120"/>
        <w:rPr>
          <w:rFonts w:ascii="Times New Roman" w:hAnsi="Times New Roman" w:cs="Times New Roman"/>
          <w:i/>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p>
  </w:footnote>
  <w:footnote w:id="3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 xml:space="preserve">at 25.  </w:t>
      </w:r>
    </w:p>
  </w:footnote>
  <w:footnote w:id="3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p>
  </w:footnote>
  <w:footnote w:id="38">
    <w:p w:rsidR="0020495B" w:rsidRPr="00856315" w:rsidRDefault="0020495B" w:rsidP="00856315">
      <w:pPr>
        <w:pStyle w:val="FootnoteText"/>
        <w:spacing w:after="120"/>
        <w:rPr>
          <w:rFonts w:ascii="Times New Roman" w:hAnsi="Times New Roman" w:cs="Times New Roman"/>
          <w:i/>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p>
  </w:footnote>
  <w:footnote w:id="3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 xml:space="preserve">As Staff explained in the initial phase of this case, AEP Ohio could satisfy all of these factors and the PUCO may still say “no” to its Amended Application/Modified Amended Application.  </w:t>
      </w:r>
      <w:r w:rsidRPr="00856315">
        <w:rPr>
          <w:rFonts w:ascii="Times New Roman" w:hAnsi="Times New Roman" w:cs="Times New Roman"/>
          <w:i/>
        </w:rPr>
        <w:t xml:space="preserve">See </w:t>
      </w:r>
      <w:r w:rsidRPr="00856315">
        <w:rPr>
          <w:rFonts w:ascii="Times New Roman" w:hAnsi="Times New Roman" w:cs="Times New Roman"/>
        </w:rPr>
        <w:t>Hearing Transcript at Vol. XVI, p. 3893:6-16.</w:t>
      </w:r>
    </w:p>
  </w:footnote>
  <w:footnote w:id="4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ESP III Opinion and Order</w:t>
      </w:r>
      <w:r w:rsidRPr="00856315">
        <w:rPr>
          <w:rFonts w:ascii="Times New Roman" w:hAnsi="Times New Roman" w:cs="Times New Roman"/>
          <w:i/>
        </w:rPr>
        <w:t xml:space="preserve"> </w:t>
      </w:r>
      <w:r w:rsidRPr="00856315">
        <w:rPr>
          <w:rFonts w:ascii="Times New Roman" w:hAnsi="Times New Roman" w:cs="Times New Roman"/>
        </w:rPr>
        <w:t>at 25-26.</w:t>
      </w:r>
    </w:p>
  </w:footnote>
  <w:footnote w:id="4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w:t>
      </w:r>
      <w:r w:rsidRPr="00856315">
        <w:rPr>
          <w:rFonts w:ascii="Times New Roman" w:hAnsi="Times New Roman" w:cs="Times New Roman"/>
        </w:rPr>
        <w:t xml:space="preserve"> Application filed October 3, 2015.</w:t>
      </w:r>
    </w:p>
  </w:footnote>
  <w:footnote w:id="4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Amended Application filed May 15, 2015.  A cover letter from AEP Ohio’s President accompanied the Amended Application.  In it, AEP Ohio’s President said that AEP Ohio intends to continue “partnering” with the PUCO.  </w:t>
      </w:r>
      <w:r w:rsidRPr="00856315">
        <w:rPr>
          <w:rFonts w:ascii="Times New Roman" w:hAnsi="Times New Roman" w:cs="Times New Roman"/>
          <w:i/>
        </w:rPr>
        <w:t xml:space="preserve">See </w:t>
      </w:r>
      <w:r w:rsidRPr="00856315">
        <w:rPr>
          <w:rFonts w:ascii="Times New Roman" w:hAnsi="Times New Roman" w:cs="Times New Roman"/>
        </w:rPr>
        <w:t xml:space="preserve">5-15-15 Letter to Commission from Mr. Vegas (OCC Ex. 2, admitted at Hearing Transcript Vol. II, p. 365).  AEP Ohio Witness Fetter, a former Michigan Public Service Commission Chairman, did not view his role as a regulator as being a “partner” with the utilities he regulated.  </w:t>
      </w:r>
      <w:r w:rsidRPr="00856315">
        <w:rPr>
          <w:rFonts w:ascii="Times New Roman" w:hAnsi="Times New Roman" w:cs="Times New Roman"/>
          <w:i/>
        </w:rPr>
        <w:t xml:space="preserve">See </w:t>
      </w:r>
      <w:r w:rsidRPr="00856315">
        <w:rPr>
          <w:rFonts w:ascii="Times New Roman" w:hAnsi="Times New Roman" w:cs="Times New Roman"/>
        </w:rPr>
        <w:t>Hearing Transcript at Vol. III, p. 884:17-20.  Nor should the PUCO.</w:t>
      </w:r>
    </w:p>
  </w:footnote>
  <w:footnote w:id="4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William A. Allen in support of AEP Ohio’s Settlement Agreement (AEP Ohio Ex. 52) filed December 14, 2015 at p. 2:18-21.</w:t>
      </w:r>
    </w:p>
  </w:footnote>
  <w:footnote w:id="4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Hearing Transcript at Vol. XVIII, p. 4473:15-19.  As noted earlier, the Amended Application as modified by the Joint Stipulation is referred to herein as the Modified Amended Application.</w:t>
      </w:r>
    </w:p>
  </w:footnote>
  <w:footnote w:id="4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i/>
        </w:rPr>
        <w:t xml:space="preserve"> Duff v. Pub. Util. Comm</w:t>
      </w:r>
      <w:r w:rsidRPr="00856315">
        <w:rPr>
          <w:rFonts w:ascii="Times New Roman" w:hAnsi="Times New Roman" w:cs="Times New Roman"/>
        </w:rPr>
        <w:t xml:space="preserve">., 56 Ohio St.2d  367 (1978); </w:t>
      </w:r>
      <w:r w:rsidRPr="00856315">
        <w:rPr>
          <w:rFonts w:ascii="Times New Roman" w:hAnsi="Times New Roman" w:cs="Times New Roman"/>
          <w:i/>
        </w:rPr>
        <w:t>see also</w:t>
      </w:r>
      <w:r w:rsidRPr="00856315">
        <w:rPr>
          <w:rFonts w:ascii="Times New Roman" w:hAnsi="Times New Roman" w:cs="Times New Roman"/>
        </w:rPr>
        <w:t xml:space="preserve"> Ohio Adm. Code 4901-1-30(E).</w:t>
      </w:r>
    </w:p>
  </w:footnote>
  <w:footnote w:id="46">
    <w:p w:rsidR="0020495B" w:rsidRPr="00856315" w:rsidRDefault="0020495B" w:rsidP="00856315">
      <w:pPr>
        <w:pStyle w:val="FootnoteText"/>
        <w:spacing w:after="120"/>
        <w:rPr>
          <w:rFonts w:ascii="Times New Roman" w:hAnsi="Times New Roman" w:cs="Times New Roman"/>
          <w:i/>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p>
  </w:footnote>
  <w:footnote w:id="47">
    <w:p w:rsidR="0020495B" w:rsidRPr="00856315" w:rsidRDefault="0020495B" w:rsidP="00856315">
      <w:pPr>
        <w:pStyle w:val="FootnoteText"/>
        <w:spacing w:after="120"/>
        <w:rPr>
          <w:rFonts w:ascii="Times New Roman" w:hAnsi="Times New Roman" w:cs="Times New Roman"/>
        </w:rPr>
      </w:pPr>
      <w:r w:rsidRPr="00856315">
        <w:rPr>
          <w:rFonts w:ascii="Times New Roman" w:hAnsi="Times New Roman" w:cs="Times New Roman"/>
          <w:i/>
        </w:rPr>
        <w:t xml:space="preserve"> </w:t>
      </w:r>
      <w:r w:rsidRPr="00856315">
        <w:rPr>
          <w:rStyle w:val="FootnoteReference"/>
          <w:rFonts w:ascii="Times New Roman" w:hAnsi="Times New Roman" w:cs="Times New Roman"/>
        </w:rPr>
        <w:footnoteRef/>
      </w:r>
      <w:r w:rsidRPr="00856315">
        <w:rPr>
          <w:rFonts w:ascii="Times New Roman" w:hAnsi="Times New Roman" w:cs="Times New Roman"/>
          <w:i/>
        </w:rPr>
        <w:t xml:space="preserve"> Consumers’ Counsel v. Pub. Util. Comm.</w:t>
      </w:r>
      <w:r w:rsidRPr="00856315">
        <w:rPr>
          <w:rFonts w:ascii="Times New Roman" w:hAnsi="Times New Roman" w:cs="Times New Roman"/>
        </w:rPr>
        <w:t>, 64 Ohio St.3d  123, 126 (1992).</w:t>
      </w:r>
    </w:p>
  </w:footnote>
  <w:footnote w:id="4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As described in detail earlier, in its ESP III Opinion and Order the PUCO could not conclude based on the record before it that AEP Ohio’s PPA Rider proposal was in the public interest.  </w:t>
      </w:r>
      <w:r w:rsidRPr="00856315">
        <w:rPr>
          <w:rFonts w:ascii="Times New Roman" w:hAnsi="Times New Roman" w:cs="Times New Roman"/>
          <w:i/>
        </w:rPr>
        <w:t xml:space="preserve">See </w:t>
      </w:r>
      <w:r w:rsidRPr="00856315">
        <w:rPr>
          <w:rFonts w:ascii="Times New Roman" w:hAnsi="Times New Roman" w:cs="Times New Roman"/>
        </w:rPr>
        <w:t xml:space="preserve">IIIB, </w:t>
      </w:r>
      <w:r w:rsidRPr="00856315">
        <w:rPr>
          <w:rFonts w:ascii="Times New Roman" w:hAnsi="Times New Roman" w:cs="Times New Roman"/>
          <w:i/>
        </w:rPr>
        <w:t>supra</w:t>
      </w:r>
      <w:r w:rsidRPr="00856315">
        <w:rPr>
          <w:rFonts w:ascii="Times New Roman" w:hAnsi="Times New Roman" w:cs="Times New Roman"/>
        </w:rPr>
        <w:t xml:space="preserve">.  It therefore required that AEP Ohio make various showings in a future filing.  </w:t>
      </w:r>
      <w:r w:rsidRPr="00856315">
        <w:rPr>
          <w:rFonts w:ascii="Times New Roman" w:hAnsi="Times New Roman" w:cs="Times New Roman"/>
          <w:i/>
        </w:rPr>
        <w:t>See id.</w:t>
      </w:r>
      <w:r w:rsidRPr="00856315">
        <w:rPr>
          <w:rFonts w:ascii="Times New Roman" w:hAnsi="Times New Roman" w:cs="Times New Roman"/>
        </w:rPr>
        <w:t xml:space="preserve">  Thus, the PUCO has already decided what AEP Ohio must show before it will find that AEP Ohio’s PPA Rider proposal is in the public interest.  Accordingly, the showings announced in ESP III that AEP Ohio must make are necessary showings that AEP Ohio must make in connection with the “public interest” prong of the three-prong test.  As a result, the evidentiary record from the initial stage of this proceeding and the discussion herein based on that evidentiary record are applicable not only to the PUCO’s determination on the Amended Application or, if the Joint Stipulation is approved, the Modified Amended Application, but equally to the PUCO’s public interest analysis of the Joint Stipulation, itself, under the three-prong test.   </w:t>
      </w:r>
    </w:p>
  </w:footnote>
  <w:footnote w:id="4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As described below, and in the testimony of OCC Witnesses Hixon (OCC Ex. 9) filed September 11, 2015, and Haugh (OCC Ex. 33) filed December 28, 2015, the PUCO's ESP III analysis was not, and could not have been, complete because the PPA Rider had not been populated.  Accordingly, the PUCO should evaluate AEP Ohio's proposals here in light of the requirements governing ESPs.</w:t>
      </w:r>
    </w:p>
  </w:footnote>
  <w:footnote w:id="50">
    <w:p w:rsidR="0020495B" w:rsidRPr="00856315" w:rsidRDefault="0020495B" w:rsidP="00856315">
      <w:pPr>
        <w:autoSpaceDE w:val="0"/>
        <w:autoSpaceDN w:val="0"/>
        <w:adjustRightInd w:val="0"/>
        <w:spacing w:after="120" w:line="240" w:lineRule="auto"/>
        <w:rPr>
          <w:rFonts w:ascii="Times New Roman" w:hAnsi="Times New Roman" w:cs="Times New Roman"/>
          <w:sz w:val="20"/>
          <w:szCs w:val="20"/>
        </w:rPr>
      </w:pPr>
      <w:r w:rsidRPr="00856315">
        <w:rPr>
          <w:rStyle w:val="FootnoteReference"/>
          <w:rFonts w:ascii="Times New Roman" w:hAnsi="Times New Roman" w:cs="Times New Roman"/>
          <w:sz w:val="20"/>
          <w:szCs w:val="20"/>
        </w:rPr>
        <w:footnoteRef/>
      </w:r>
      <w:r w:rsidRPr="00856315">
        <w:rPr>
          <w:rFonts w:ascii="Times New Roman" w:hAnsi="Times New Roman" w:cs="Times New Roman"/>
          <w:sz w:val="20"/>
          <w:szCs w:val="20"/>
        </w:rPr>
        <w:t xml:space="preserve"> </w:t>
      </w:r>
      <w:r w:rsidRPr="00856315">
        <w:rPr>
          <w:rFonts w:ascii="Times New Roman" w:hAnsi="Times New Roman" w:cs="Times New Roman"/>
          <w:i/>
          <w:iCs/>
          <w:sz w:val="20"/>
          <w:szCs w:val="20"/>
        </w:rPr>
        <w:t>In re FirstEnergy’s 2008 ESP Case</w:t>
      </w:r>
      <w:r w:rsidRPr="00856315">
        <w:rPr>
          <w:rFonts w:ascii="Times New Roman" w:hAnsi="Times New Roman" w:cs="Times New Roman"/>
          <w:sz w:val="20"/>
          <w:szCs w:val="20"/>
        </w:rPr>
        <w:t>, Case No. 08-935-EL-SSO, Second Opinion and Order, Opinion of Commissioner Cheryl L. Roberto Concurring in Part and Dissenting in Part (Mar. 25, 2009) at 1-2 (citations omitted).</w:t>
      </w:r>
    </w:p>
  </w:footnote>
  <w:footnote w:id="51">
    <w:p w:rsidR="0020495B" w:rsidRPr="00856315" w:rsidRDefault="0020495B" w:rsidP="00856315">
      <w:pPr>
        <w:autoSpaceDE w:val="0"/>
        <w:autoSpaceDN w:val="0"/>
        <w:adjustRightInd w:val="0"/>
        <w:spacing w:after="120" w:line="240" w:lineRule="auto"/>
        <w:rPr>
          <w:rFonts w:ascii="Times New Roman" w:hAnsi="Times New Roman" w:cs="Times New Roman"/>
          <w:sz w:val="20"/>
          <w:szCs w:val="20"/>
        </w:rPr>
      </w:pPr>
      <w:r w:rsidRPr="00856315">
        <w:rPr>
          <w:rStyle w:val="FootnoteReference"/>
          <w:rFonts w:ascii="Times New Roman" w:hAnsi="Times New Roman" w:cs="Times New Roman"/>
          <w:sz w:val="20"/>
          <w:szCs w:val="20"/>
        </w:rPr>
        <w:footnoteRef/>
      </w:r>
      <w:r w:rsidRPr="00856315">
        <w:rPr>
          <w:rFonts w:ascii="Times New Roman" w:hAnsi="Times New Roman" w:cs="Times New Roman"/>
          <w:sz w:val="20"/>
          <w:szCs w:val="20"/>
        </w:rPr>
        <w:t xml:space="preserve"> </w:t>
      </w:r>
      <w:r w:rsidRPr="00856315">
        <w:rPr>
          <w:rFonts w:ascii="Times New Roman" w:hAnsi="Times New Roman" w:cs="Times New Roman"/>
          <w:i/>
          <w:sz w:val="20"/>
          <w:szCs w:val="20"/>
        </w:rPr>
        <w:t>See id.,</w:t>
      </w:r>
      <w:r w:rsidRPr="00856315">
        <w:rPr>
          <w:rFonts w:ascii="Times New Roman" w:hAnsi="Times New Roman" w:cs="Times New Roman"/>
          <w:sz w:val="20"/>
          <w:szCs w:val="20"/>
        </w:rPr>
        <w:t xml:space="preserve"> Opinion of Commissioners Paul A. Centolella and Valerie A. Lemmie, Concurring (Mar. 25, 2009) at 2 (the ability of an electric distribution utility to withdraw (and its prior withdrawal)” need to be taken into account when considering the weight to be given to this stipulation” and “The Commission must evaluate whether the stipulation represents a balanced and appropriate resolution of issues.”).</w:t>
      </w:r>
    </w:p>
  </w:footnote>
  <w:footnote w:id="5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e.g., </w:t>
      </w:r>
      <w:r w:rsidRPr="00856315">
        <w:rPr>
          <w:rFonts w:ascii="Times New Roman" w:hAnsi="Times New Roman" w:cs="Times New Roman"/>
        </w:rPr>
        <w:t xml:space="preserve">R.C. 4928.143(C)(1); </w:t>
      </w:r>
      <w:r w:rsidRPr="00856315">
        <w:rPr>
          <w:rFonts w:ascii="Times New Roman" w:hAnsi="Times New Roman" w:cs="Times New Roman"/>
          <w:i/>
        </w:rPr>
        <w:t>In the Matter of the Application of The Ohio Bell Telephone Company for Authority to Amend Certain of its Intrastate Tariffs to Increase and Adjust its Rates and Charges and to Change its Regulations</w:t>
      </w:r>
      <w:r w:rsidRPr="00856315">
        <w:rPr>
          <w:rFonts w:ascii="Times New Roman" w:hAnsi="Times New Roman" w:cs="Times New Roman"/>
        </w:rPr>
        <w:t xml:space="preserve">, 1985 Ohio PUC Lexis 7, 91 (PUCO Case No. 84-1435-TP-AIR); </w:t>
      </w:r>
      <w:r w:rsidRPr="00856315">
        <w:rPr>
          <w:rFonts w:ascii="Times New Roman" w:hAnsi="Times New Roman" w:cs="Times New Roman"/>
          <w:i/>
        </w:rPr>
        <w:t>In the Matter of the Application of the Ottoville Mutual Telephone Company for Authority to Increase its Rates and Charges and to Revise its Tariffs on an Emergency and Temporary Basis Pursuant to Section 4909.16 Revised Code</w:t>
      </w:r>
      <w:r w:rsidRPr="00856315">
        <w:rPr>
          <w:rFonts w:ascii="Times New Roman" w:hAnsi="Times New Roman" w:cs="Times New Roman"/>
        </w:rPr>
        <w:t>, 1973 Ohio PUC Lexis 3, 4 (PUCO Case No. 73-356-Y) (“Although the applicant must shoulder the burden of proof in every application proceeding before the Commission, this burden takes on an added dimension in the context of an emergency rate case.”).</w:t>
      </w:r>
    </w:p>
  </w:footnote>
  <w:footnote w:id="5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e.g., In the Matter of the Complaint of Mentor Trailer Park, Inc.</w:t>
      </w:r>
      <w:r w:rsidRPr="00856315">
        <w:rPr>
          <w:rFonts w:ascii="Times New Roman" w:hAnsi="Times New Roman" w:cs="Times New Roman"/>
        </w:rPr>
        <w:t>, 1985 Ohio PUC Lexis 574, 14 (PUCO Case No. 84-757-WW-CSS).</w:t>
      </w:r>
    </w:p>
  </w:footnote>
  <w:footnote w:id="5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e.g., In the Matter of the Commission Investigation into the Operations and Service of Lake Erie Utilities Company</w:t>
      </w:r>
      <w:r w:rsidRPr="00856315">
        <w:rPr>
          <w:rFonts w:ascii="Times New Roman" w:hAnsi="Times New Roman" w:cs="Times New Roman"/>
        </w:rPr>
        <w:t>, 1988 Ohio PUC Lexis 958, 4 (PUCO Case No. 86-1561-WS-COI).</w:t>
      </w:r>
    </w:p>
  </w:footnote>
  <w:footnote w:id="5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e.g., In the Matter of the Complaint of Chatham v. Lakeside Utilities Corp.</w:t>
      </w:r>
      <w:r w:rsidRPr="00856315">
        <w:rPr>
          <w:rFonts w:ascii="Times New Roman" w:hAnsi="Times New Roman" w:cs="Times New Roman"/>
        </w:rPr>
        <w:t>, 1984 Ohio PUC Lexis 458, 17-18 (PUCO Case No. 83-413-WS-CSS).</w:t>
      </w:r>
    </w:p>
  </w:footnote>
  <w:footnote w:id="5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In re Complaint of Residents of Struthers</w:t>
      </w:r>
      <w:r w:rsidRPr="00856315">
        <w:rPr>
          <w:rFonts w:ascii="Times New Roman" w:hAnsi="Times New Roman" w:cs="Times New Roman"/>
        </w:rPr>
        <w:t xml:space="preserve">, 45 Ohio St. 3d 227, 231 (1989).  Stated differently in an analogous context, when trial courts’ subject matter jurisdiction is challenged by way of a motion under Ohio Civil Rule 12(B)(1), appellate courts have explained that “the trial court </w:t>
      </w:r>
      <w:r w:rsidRPr="00856315">
        <w:rPr>
          <w:rFonts w:ascii="Times New Roman" w:hAnsi="Times New Roman" w:cs="Times New Roman"/>
          <w:i/>
        </w:rPr>
        <w:t xml:space="preserve">must decide </w:t>
      </w:r>
      <w:r w:rsidRPr="00856315">
        <w:rPr>
          <w:rFonts w:ascii="Times New Roman" w:hAnsi="Times New Roman" w:cs="Times New Roman"/>
        </w:rPr>
        <w:t xml:space="preserve">whether the plaintiff has alleged any cause of action which the court has the authority to decide.”  </w:t>
      </w:r>
      <w:r w:rsidRPr="00856315">
        <w:rPr>
          <w:rFonts w:ascii="Times New Roman" w:hAnsi="Times New Roman" w:cs="Times New Roman"/>
          <w:i/>
        </w:rPr>
        <w:t>Westside Cellular v. Northern Ohio Cellular Tel. Co.</w:t>
      </w:r>
      <w:r w:rsidRPr="00856315">
        <w:rPr>
          <w:rFonts w:ascii="Times New Roman" w:hAnsi="Times New Roman" w:cs="Times New Roman"/>
        </w:rPr>
        <w:t xml:space="preserve">, 100 Ohio App. 3d 768, 770 (Cuyahoga 1995) (italics added). </w:t>
      </w:r>
    </w:p>
  </w:footnote>
  <w:footnote w:id="5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To date, the PUCO has deferred ruling on the preemption issue.  It has made clear, however, that it reserved the right to revisit the issue.  </w:t>
      </w:r>
      <w:r w:rsidRPr="00856315">
        <w:rPr>
          <w:rFonts w:ascii="Times New Roman" w:hAnsi="Times New Roman" w:cs="Times New Roman"/>
          <w:i/>
        </w:rPr>
        <w:t xml:space="preserve">See, e.g., </w:t>
      </w:r>
      <w:r w:rsidRPr="00856315">
        <w:rPr>
          <w:rFonts w:ascii="Times New Roman" w:hAnsi="Times New Roman" w:cs="Times New Roman"/>
        </w:rPr>
        <w:t>ESP III Second Entry on Rehearing at 6.  As the authority discussed here confirms, it is necessary and appropriate for the PUCO to decide if it has jurisdiction.</w:t>
      </w:r>
    </w:p>
  </w:footnote>
  <w:footnote w:id="5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16 U.S.C. 824d (2006).</w:t>
      </w:r>
    </w:p>
  </w:footnote>
  <w:footnote w:id="5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16 U.S.C. 824(b)(1); </w:t>
      </w:r>
      <w:r w:rsidRPr="00856315">
        <w:rPr>
          <w:rFonts w:ascii="Times New Roman" w:hAnsi="Times New Roman" w:cs="Times New Roman"/>
          <w:i/>
        </w:rPr>
        <w:t>Nantahala Power &amp; Light Co. v. Thornburg</w:t>
      </w:r>
      <w:r w:rsidRPr="00856315">
        <w:rPr>
          <w:rFonts w:ascii="Times New Roman" w:hAnsi="Times New Roman" w:cs="Times New Roman"/>
        </w:rPr>
        <w:t xml:space="preserve">, 476 U.S. 953, 966 (1986); </w:t>
      </w:r>
      <w:r w:rsidRPr="00856315">
        <w:rPr>
          <w:rFonts w:ascii="Times New Roman" w:hAnsi="Times New Roman" w:cs="Times New Roman"/>
          <w:i/>
        </w:rPr>
        <w:t>see also PPL EnergyPlus, LLC v. Solomon</w:t>
      </w:r>
      <w:r w:rsidRPr="00856315">
        <w:rPr>
          <w:rFonts w:ascii="Times New Roman" w:hAnsi="Times New Roman" w:cs="Times New Roman"/>
        </w:rPr>
        <w:t>, 766 F.3d 241, 251 (3</w:t>
      </w:r>
      <w:r w:rsidRPr="00856315">
        <w:rPr>
          <w:rFonts w:ascii="Times New Roman" w:hAnsi="Times New Roman" w:cs="Times New Roman"/>
          <w:vertAlign w:val="superscript"/>
        </w:rPr>
        <w:t>rd</w:t>
      </w:r>
      <w:r w:rsidRPr="00856315">
        <w:rPr>
          <w:rFonts w:ascii="Times New Roman" w:hAnsi="Times New Roman" w:cs="Times New Roman"/>
        </w:rPr>
        <w:t xml:space="preserve"> Cir. 2014) (“the wholesale price for capacity . . . is squarely, and indeed exclusively, within FERC’s jurisdiction.”) (citation omitted).</w:t>
      </w:r>
    </w:p>
  </w:footnote>
  <w:footnote w:id="6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16 U.S.C. 824(d).</w:t>
      </w:r>
    </w:p>
  </w:footnote>
  <w:footnote w:id="6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PPL EnergyPlus, LLC v. Nazarian, </w:t>
      </w:r>
      <w:r w:rsidRPr="00856315">
        <w:rPr>
          <w:rFonts w:ascii="Times New Roman" w:hAnsi="Times New Roman" w:cs="Times New Roman"/>
        </w:rPr>
        <w:t>753 F.3d 467, 472 (4</w:t>
      </w:r>
      <w:r w:rsidRPr="00856315">
        <w:rPr>
          <w:rFonts w:ascii="Times New Roman" w:hAnsi="Times New Roman" w:cs="Times New Roman"/>
          <w:vertAlign w:val="superscript"/>
        </w:rPr>
        <w:t>th</w:t>
      </w:r>
      <w:r w:rsidRPr="00856315">
        <w:rPr>
          <w:rFonts w:ascii="Times New Roman" w:hAnsi="Times New Roman" w:cs="Times New Roman"/>
        </w:rPr>
        <w:t xml:space="preserve"> Cir. 2014); </w:t>
      </w:r>
      <w:r w:rsidRPr="00856315">
        <w:rPr>
          <w:rFonts w:ascii="Times New Roman" w:hAnsi="Times New Roman" w:cs="Times New Roman"/>
          <w:i/>
        </w:rPr>
        <w:t>see also Solomon</w:t>
      </w:r>
      <w:r w:rsidRPr="00856315">
        <w:rPr>
          <w:rFonts w:ascii="Times New Roman" w:hAnsi="Times New Roman" w:cs="Times New Roman"/>
        </w:rPr>
        <w:t>, 766 F.3d at 248 (“FERC favors using market mechanisms to produce competitive rates for interstate sales and transmissions of energy.”).</w:t>
      </w:r>
    </w:p>
  </w:footnote>
  <w:footnote w:id="6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Nazarian</w:t>
      </w:r>
      <w:r w:rsidRPr="00856315">
        <w:rPr>
          <w:rFonts w:ascii="Times New Roman" w:hAnsi="Times New Roman" w:cs="Times New Roman"/>
        </w:rPr>
        <w:t>, 753 F.3d at 472.</w:t>
      </w:r>
    </w:p>
  </w:footnote>
  <w:footnote w:id="63">
    <w:p w:rsidR="0020495B" w:rsidRPr="00856315" w:rsidRDefault="0020495B" w:rsidP="00856315">
      <w:pPr>
        <w:pStyle w:val="FootnoteText"/>
        <w:spacing w:after="120"/>
        <w:rPr>
          <w:rFonts w:ascii="Times New Roman" w:hAnsi="Times New Roman" w:cs="Times New Roman"/>
          <w:i/>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p>
  </w:footnote>
  <w:footnote w:id="64">
    <w:p w:rsidR="0020495B" w:rsidRPr="00856315" w:rsidRDefault="0020495B" w:rsidP="00856315">
      <w:pPr>
        <w:pStyle w:val="FootnoteText"/>
        <w:spacing w:after="120"/>
        <w:rPr>
          <w:rFonts w:ascii="Times New Roman" w:hAnsi="Times New Roman" w:cs="Times New Roman"/>
          <w:i/>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p>
  </w:footnote>
  <w:footnote w:id="65">
    <w:p w:rsidR="0020495B" w:rsidRPr="00856315" w:rsidRDefault="0020495B" w:rsidP="00856315">
      <w:pPr>
        <w:pStyle w:val="FootnoteText"/>
        <w:spacing w:after="120"/>
        <w:rPr>
          <w:rFonts w:ascii="Times New Roman" w:hAnsi="Times New Roman" w:cs="Times New Roman"/>
          <w:i/>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p>
  </w:footnote>
  <w:footnote w:id="6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Id. </w:t>
      </w:r>
      <w:r w:rsidRPr="00856315">
        <w:rPr>
          <w:rFonts w:ascii="Times New Roman" w:hAnsi="Times New Roman" w:cs="Times New Roman"/>
        </w:rPr>
        <w:t>at 474.</w:t>
      </w:r>
    </w:p>
  </w:footnote>
  <w:footnote w:id="6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Id. </w:t>
      </w:r>
    </w:p>
  </w:footnote>
  <w:footnote w:id="6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Id. </w:t>
      </w:r>
      <w:r w:rsidRPr="00856315">
        <w:rPr>
          <w:rFonts w:ascii="Times New Roman" w:hAnsi="Times New Roman" w:cs="Times New Roman"/>
        </w:rPr>
        <w:t>at 475 (citations omitted).</w:t>
      </w:r>
    </w:p>
  </w:footnote>
  <w:footnote w:id="6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Id. </w:t>
      </w:r>
      <w:r w:rsidRPr="00856315">
        <w:rPr>
          <w:rFonts w:ascii="Times New Roman" w:hAnsi="Times New Roman" w:cs="Times New Roman"/>
        </w:rPr>
        <w:t>(citation omitted).</w:t>
      </w:r>
    </w:p>
  </w:footnote>
  <w:footnote w:id="7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Id. </w:t>
      </w:r>
      <w:r w:rsidRPr="00856315">
        <w:rPr>
          <w:rFonts w:ascii="Times New Roman" w:hAnsi="Times New Roman" w:cs="Times New Roman"/>
        </w:rPr>
        <w:t>at 476.</w:t>
      </w:r>
    </w:p>
  </w:footnote>
  <w:footnote w:id="7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476-77.</w:t>
      </w:r>
    </w:p>
  </w:footnote>
  <w:footnote w:id="7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Solomon</w:t>
      </w:r>
      <w:r w:rsidRPr="00856315">
        <w:rPr>
          <w:rFonts w:ascii="Times New Roman" w:hAnsi="Times New Roman" w:cs="Times New Roman"/>
        </w:rPr>
        <w:t>, 766 F.3d at 252.</w:t>
      </w:r>
    </w:p>
  </w:footnote>
  <w:footnote w:id="7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Nazarain</w:t>
      </w:r>
      <w:r w:rsidRPr="00856315">
        <w:rPr>
          <w:rFonts w:ascii="Times New Roman" w:hAnsi="Times New Roman" w:cs="Times New Roman"/>
        </w:rPr>
        <w:t>, 753 F.3d</w:t>
      </w:r>
      <w:r w:rsidRPr="00856315">
        <w:rPr>
          <w:rFonts w:ascii="Times New Roman" w:hAnsi="Times New Roman" w:cs="Times New Roman"/>
          <w:i/>
        </w:rPr>
        <w:t xml:space="preserve"> </w:t>
      </w:r>
      <w:r w:rsidRPr="00856315">
        <w:rPr>
          <w:rFonts w:ascii="Times New Roman" w:hAnsi="Times New Roman" w:cs="Times New Roman"/>
        </w:rPr>
        <w:t xml:space="preserve">at 477.  Importantly, whether a state program functionally sets the price received by the PJM market participant for energy and capacity at a just and reasonable rate is immaterial to the preemption analysis.  </w:t>
      </w:r>
      <w:r w:rsidRPr="00856315">
        <w:rPr>
          <w:rFonts w:ascii="Times New Roman" w:hAnsi="Times New Roman" w:cs="Times New Roman"/>
          <w:i/>
        </w:rPr>
        <w:t>Solomon</w:t>
      </w:r>
      <w:r w:rsidRPr="00856315">
        <w:rPr>
          <w:rFonts w:ascii="Times New Roman" w:hAnsi="Times New Roman" w:cs="Times New Roman"/>
        </w:rPr>
        <w:t xml:space="preserve">, 766 F.3d at 253.   </w:t>
      </w:r>
    </w:p>
  </w:footnote>
  <w:footnote w:id="7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Solomon</w:t>
      </w:r>
      <w:r w:rsidRPr="00856315">
        <w:rPr>
          <w:rFonts w:ascii="Times New Roman" w:hAnsi="Times New Roman" w:cs="Times New Roman"/>
        </w:rPr>
        <w:t>, 766 F.3d at 254.</w:t>
      </w:r>
    </w:p>
  </w:footnote>
  <w:footnote w:id="75">
    <w:p w:rsidR="0020495B" w:rsidRPr="00856315" w:rsidRDefault="0020495B" w:rsidP="00856315">
      <w:pPr>
        <w:pStyle w:val="BodyText"/>
        <w:spacing w:after="120" w:line="240" w:lineRule="auto"/>
        <w:ind w:firstLine="0"/>
        <w:rPr>
          <w:sz w:val="20"/>
        </w:rPr>
      </w:pPr>
      <w:r w:rsidRPr="00856315">
        <w:rPr>
          <w:rStyle w:val="FootnoteReference"/>
          <w:sz w:val="20"/>
        </w:rPr>
        <w:footnoteRef/>
      </w:r>
      <w:r w:rsidRPr="00856315">
        <w:rPr>
          <w:sz w:val="20"/>
        </w:rPr>
        <w:t xml:space="preserve"> </w:t>
      </w:r>
      <w:r w:rsidRPr="00856315">
        <w:rPr>
          <w:i/>
          <w:sz w:val="20"/>
        </w:rPr>
        <w:t>Nazarian</w:t>
      </w:r>
      <w:r w:rsidRPr="00856315">
        <w:rPr>
          <w:sz w:val="20"/>
        </w:rPr>
        <w:t>, 753 F.3d</w:t>
      </w:r>
      <w:r w:rsidRPr="00856315">
        <w:rPr>
          <w:i/>
          <w:sz w:val="20"/>
        </w:rPr>
        <w:t xml:space="preserve"> </w:t>
      </w:r>
      <w:r w:rsidRPr="00856315">
        <w:rPr>
          <w:sz w:val="20"/>
        </w:rPr>
        <w:t xml:space="preserve">at 478 (citation omitted).  </w:t>
      </w:r>
    </w:p>
  </w:footnote>
  <w:footnote w:id="7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Id. </w:t>
      </w:r>
      <w:r w:rsidRPr="00856315">
        <w:rPr>
          <w:rFonts w:ascii="Times New Roman" w:hAnsi="Times New Roman" w:cs="Times New Roman"/>
        </w:rPr>
        <w:t>at 478-79.</w:t>
      </w:r>
    </w:p>
  </w:footnote>
  <w:footnote w:id="7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Hearing Transcript at Vol. VII, p. 1951:18-24.</w:t>
      </w:r>
    </w:p>
  </w:footnote>
  <w:footnote w:id="7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Hearing Transcript at Vol. I, p. 211:6-11; Vol. VI, p. 1706:2-1707:6.</w:t>
      </w:r>
    </w:p>
  </w:footnote>
  <w:footnote w:id="7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OCC Request for Admission 3-015 (OCC Ex. 22, admitted at Hearing Transcript Vol. XVII, p. 4413).</w:t>
      </w:r>
    </w:p>
  </w:footnote>
  <w:footnote w:id="8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OCC Request for Admission 3-016 (OCC Ex. 23, admitted at Hearing Transcript Vol. XVII, p. 4413).</w:t>
      </w:r>
    </w:p>
  </w:footnote>
  <w:footnote w:id="8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OCC Request for Admission 3-017 (OCC Ex. 24, admitted at Hearing Transcript Vol. XVII, p. 4413).</w:t>
      </w:r>
    </w:p>
  </w:footnote>
  <w:footnote w:id="8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e.g., </w:t>
      </w:r>
      <w:r w:rsidRPr="00856315">
        <w:rPr>
          <w:rFonts w:ascii="Times New Roman" w:hAnsi="Times New Roman" w:cs="Times New Roman"/>
        </w:rPr>
        <w:t>Hearing Transcript at Vol. VII, p. 1977:3-8.</w:t>
      </w:r>
    </w:p>
  </w:footnote>
  <w:footnote w:id="8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1977:14-1978:1.</w:t>
      </w:r>
    </w:p>
  </w:footnote>
  <w:footnote w:id="8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1978:6-10.</w:t>
      </w:r>
    </w:p>
  </w:footnote>
  <w:footnote w:id="8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1978:11-15.</w:t>
      </w:r>
    </w:p>
  </w:footnote>
  <w:footnote w:id="8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1978:16-20.</w:t>
      </w:r>
    </w:p>
  </w:footnote>
  <w:footnote w:id="8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1980:3-20; 1981:14-25; 1982:1-8.</w:t>
      </w:r>
    </w:p>
  </w:footnote>
  <w:footnote w:id="88">
    <w:p w:rsidR="0020495B" w:rsidRPr="00856315" w:rsidRDefault="0020495B" w:rsidP="00856315">
      <w:pPr>
        <w:pStyle w:val="FootnoteText"/>
        <w:spacing w:after="120"/>
        <w:rPr>
          <w:rFonts w:ascii="Times New Roman" w:hAnsi="Times New Roman" w:cs="Times New Roman"/>
          <w:i/>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VA2, </w:t>
      </w:r>
      <w:r w:rsidRPr="00856315">
        <w:rPr>
          <w:rFonts w:ascii="Times New Roman" w:hAnsi="Times New Roman" w:cs="Times New Roman"/>
          <w:i/>
        </w:rPr>
        <w:t>supra.</w:t>
      </w:r>
    </w:p>
  </w:footnote>
  <w:footnote w:id="8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Hearing Transcript at Vol. I, p. 187:24-188:1.</w:t>
      </w:r>
    </w:p>
  </w:footnote>
  <w:footnote w:id="9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188:2-5.</w:t>
      </w:r>
    </w:p>
  </w:footnote>
  <w:footnote w:id="9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188:6-10.</w:t>
      </w:r>
    </w:p>
  </w:footnote>
  <w:footnote w:id="9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 xml:space="preserve">at p. 188:11-14; </w:t>
      </w:r>
      <w:r w:rsidRPr="00856315">
        <w:rPr>
          <w:rFonts w:ascii="Times New Roman" w:hAnsi="Times New Roman" w:cs="Times New Roman"/>
          <w:i/>
        </w:rPr>
        <w:t xml:space="preserve">see also id. </w:t>
      </w:r>
      <w:r w:rsidRPr="00856315">
        <w:rPr>
          <w:rFonts w:ascii="Times New Roman" w:hAnsi="Times New Roman" w:cs="Times New Roman"/>
        </w:rPr>
        <w:t>at Vol. VII, p. 1947:11-17 (PJM revenue available to AEP Ohio from OVEC under governing PUCO orders).</w:t>
      </w:r>
    </w:p>
  </w:footnote>
  <w:footnote w:id="9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Vol. I, p. 188:15-18.</w:t>
      </w:r>
    </w:p>
  </w:footnote>
  <w:footnote w:id="9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165:12-16.</w:t>
      </w:r>
    </w:p>
  </w:footnote>
  <w:footnote w:id="9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Vol. IV, p. 1234:17-22.</w:t>
      </w:r>
    </w:p>
  </w:footnote>
  <w:footnote w:id="9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1234:23-1235:2.</w:t>
      </w:r>
    </w:p>
  </w:footnote>
  <w:footnote w:id="9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1235:3-6.</w:t>
      </w:r>
    </w:p>
  </w:footnote>
  <w:footnote w:id="9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 xml:space="preserve">at p. 1235:7-14.  Importantly, the history of AEP Generation Resources (“AEPGR”) over the last several years proves the point that the market is working.  AEPGR is, and has been, engaging in efficiency enhancing cost-cutting.  </w:t>
      </w:r>
      <w:r w:rsidRPr="00856315">
        <w:rPr>
          <w:rFonts w:ascii="Times New Roman" w:hAnsi="Times New Roman" w:cs="Times New Roman"/>
          <w:i/>
        </w:rPr>
        <w:t xml:space="preserve">See id. </w:t>
      </w:r>
      <w:r w:rsidRPr="00856315">
        <w:rPr>
          <w:rFonts w:ascii="Times New Roman" w:hAnsi="Times New Roman" w:cs="Times New Roman"/>
        </w:rPr>
        <w:t xml:space="preserve">at p. 1238:15-1239:12.  It will continue doing so if the Amended Application/Modified Amended Application is denied.  </w:t>
      </w:r>
      <w:r w:rsidRPr="00856315">
        <w:rPr>
          <w:rFonts w:ascii="Times New Roman" w:hAnsi="Times New Roman" w:cs="Times New Roman"/>
          <w:i/>
        </w:rPr>
        <w:t xml:space="preserve">See id. </w:t>
      </w:r>
      <w:r w:rsidRPr="00856315">
        <w:rPr>
          <w:rFonts w:ascii="Times New Roman" w:hAnsi="Times New Roman" w:cs="Times New Roman"/>
        </w:rPr>
        <w:t xml:space="preserve">at p. 1239:13-16.  </w:t>
      </w:r>
    </w:p>
  </w:footnote>
  <w:footnote w:id="9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at Vol. I, p. 147:10-15.</w:t>
      </w:r>
    </w:p>
  </w:footnote>
  <w:footnote w:id="10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Vol. III, p. 799:9-19; Vol. VII, p. 2023:15-22.</w:t>
      </w:r>
    </w:p>
  </w:footnote>
  <w:footnote w:id="10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First Supplemental Testimony of Joseph E. Bowring on behalf of the Independent Market Monitor for PJM (IMM Ex. 2) filed December 28, 2015 at 4:25-27.</w:t>
      </w:r>
    </w:p>
  </w:footnote>
  <w:footnote w:id="10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sec. D (3)-(6), </w:t>
      </w:r>
      <w:r w:rsidRPr="00856315">
        <w:rPr>
          <w:rFonts w:ascii="Times New Roman" w:hAnsi="Times New Roman" w:cs="Times New Roman"/>
          <w:i/>
        </w:rPr>
        <w:t xml:space="preserve">infra </w:t>
      </w:r>
      <w:r w:rsidRPr="00856315">
        <w:rPr>
          <w:rFonts w:ascii="Times New Roman" w:hAnsi="Times New Roman" w:cs="Times New Roman"/>
        </w:rPr>
        <w:t xml:space="preserve">p. </w:t>
      </w:r>
      <w:r>
        <w:rPr>
          <w:rFonts w:ascii="Times New Roman" w:hAnsi="Times New Roman" w:cs="Times New Roman"/>
        </w:rPr>
        <w:t>106-112</w:t>
      </w:r>
      <w:r w:rsidRPr="00856315">
        <w:rPr>
          <w:rFonts w:ascii="Times New Roman" w:hAnsi="Times New Roman" w:cs="Times New Roman"/>
        </w:rPr>
        <w:t>.</w:t>
      </w:r>
    </w:p>
  </w:footnote>
  <w:footnote w:id="10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Ohio Edison Co. v. Pub. Util. Comm</w:t>
      </w:r>
      <w:r w:rsidRPr="00856315">
        <w:rPr>
          <w:rFonts w:ascii="Times New Roman" w:hAnsi="Times New Roman" w:cs="Times New Roman"/>
        </w:rPr>
        <w:t>., 52 Ohio St.2d 123 (1977).</w:t>
      </w:r>
    </w:p>
  </w:footnote>
  <w:footnote w:id="104">
    <w:p w:rsidR="0020495B" w:rsidRPr="00856315" w:rsidRDefault="0020495B" w:rsidP="00856315">
      <w:pPr>
        <w:pStyle w:val="ListParagraph"/>
        <w:spacing w:after="120" w:line="240" w:lineRule="auto"/>
        <w:ind w:left="0"/>
        <w:jc w:val="both"/>
        <w:rPr>
          <w:rFonts w:ascii="Times New Roman" w:hAnsi="Times New Roman" w:cs="Times New Roman"/>
          <w:sz w:val="20"/>
          <w:szCs w:val="20"/>
        </w:rPr>
      </w:pPr>
      <w:r w:rsidRPr="00856315">
        <w:rPr>
          <w:rStyle w:val="FootnoteReference"/>
          <w:rFonts w:ascii="Times New Roman" w:hAnsi="Times New Roman" w:cs="Times New Roman"/>
          <w:sz w:val="20"/>
          <w:szCs w:val="20"/>
        </w:rPr>
        <w:footnoteRef/>
      </w:r>
      <w:r w:rsidRPr="00856315">
        <w:rPr>
          <w:rFonts w:ascii="Times New Roman" w:hAnsi="Times New Roman" w:cs="Times New Roman"/>
          <w:sz w:val="20"/>
          <w:szCs w:val="20"/>
        </w:rPr>
        <w:t xml:space="preserve"> </w:t>
      </w:r>
      <w:r w:rsidRPr="00856315">
        <w:rPr>
          <w:rFonts w:ascii="Times New Roman" w:hAnsi="Times New Roman" w:cs="Times New Roman"/>
          <w:i/>
          <w:iCs/>
          <w:sz w:val="20"/>
          <w:szCs w:val="20"/>
        </w:rPr>
        <w:t>Columbus S. Power Co. v. Pub. Util. Comm</w:t>
      </w:r>
      <w:r w:rsidRPr="00856315">
        <w:rPr>
          <w:rFonts w:ascii="Times New Roman" w:hAnsi="Times New Roman" w:cs="Times New Roman"/>
          <w:sz w:val="20"/>
          <w:szCs w:val="20"/>
        </w:rPr>
        <w:t xml:space="preserve">., 67 Ohio St. 3d 535 (1993); </w:t>
      </w:r>
      <w:r w:rsidRPr="00856315">
        <w:rPr>
          <w:rFonts w:ascii="Times New Roman" w:hAnsi="Times New Roman" w:cs="Times New Roman"/>
          <w:i/>
          <w:iCs/>
          <w:sz w:val="20"/>
          <w:szCs w:val="20"/>
        </w:rPr>
        <w:t>Pike Natural Gas Co. v. Pub. Util. Comm</w:t>
      </w:r>
      <w:r w:rsidRPr="00856315">
        <w:rPr>
          <w:rFonts w:ascii="Times New Roman" w:hAnsi="Times New Roman" w:cs="Times New Roman"/>
          <w:sz w:val="20"/>
          <w:szCs w:val="20"/>
        </w:rPr>
        <w:t xml:space="preserve">., 68 Ohio St. 2d 181 (1981); </w:t>
      </w:r>
      <w:r w:rsidRPr="00856315">
        <w:rPr>
          <w:rFonts w:ascii="Times New Roman" w:hAnsi="Times New Roman" w:cs="Times New Roman"/>
          <w:i/>
          <w:iCs/>
          <w:sz w:val="20"/>
          <w:szCs w:val="20"/>
        </w:rPr>
        <w:t>Consumers' Counsel v. Pub. Util. Comm.</w:t>
      </w:r>
      <w:r w:rsidRPr="00856315">
        <w:rPr>
          <w:rFonts w:ascii="Times New Roman" w:hAnsi="Times New Roman" w:cs="Times New Roman"/>
          <w:sz w:val="20"/>
          <w:szCs w:val="20"/>
        </w:rPr>
        <w:t>, 67 Ohio St. 2d 153 (1981)</w:t>
      </w:r>
      <w:bookmarkStart w:id="30" w:name="3352-89"/>
      <w:bookmarkEnd w:id="30"/>
      <w:r w:rsidRPr="00856315">
        <w:rPr>
          <w:rFonts w:ascii="Times New Roman" w:hAnsi="Times New Roman" w:cs="Times New Roman"/>
          <w:sz w:val="20"/>
          <w:szCs w:val="20"/>
        </w:rPr>
        <w:t xml:space="preserve">; </w:t>
      </w:r>
      <w:r w:rsidRPr="00856315">
        <w:rPr>
          <w:rFonts w:ascii="Times New Roman" w:hAnsi="Times New Roman" w:cs="Times New Roman"/>
          <w:i/>
          <w:iCs/>
          <w:sz w:val="20"/>
          <w:szCs w:val="20"/>
        </w:rPr>
        <w:t>Dayton Communications Corp. v. Pub. Util. Comm</w:t>
      </w:r>
      <w:r w:rsidRPr="00856315">
        <w:rPr>
          <w:rFonts w:ascii="Times New Roman" w:hAnsi="Times New Roman" w:cs="Times New Roman"/>
          <w:sz w:val="20"/>
          <w:szCs w:val="20"/>
        </w:rPr>
        <w:t>., 64 Ohio St. 2d 302 (1980).</w:t>
      </w:r>
    </w:p>
  </w:footnote>
  <w:footnote w:id="10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w:t>
      </w:r>
      <w:r w:rsidRPr="00856315">
        <w:rPr>
          <w:rFonts w:ascii="Times New Roman" w:hAnsi="Times New Roman" w:cs="Times New Roman"/>
        </w:rPr>
        <w:t xml:space="preserve"> </w:t>
      </w:r>
      <w:r w:rsidRPr="00856315">
        <w:rPr>
          <w:rFonts w:ascii="Times New Roman" w:hAnsi="Times New Roman" w:cs="Times New Roman"/>
          <w:i/>
        </w:rPr>
        <w:t>Cleveland Elec. Illum. Co. v. Pub. Util. Comm</w:t>
      </w:r>
      <w:r w:rsidRPr="00856315">
        <w:rPr>
          <w:rFonts w:ascii="Times New Roman" w:hAnsi="Times New Roman" w:cs="Times New Roman"/>
        </w:rPr>
        <w:t>., 76 Ohio St.3d 521, fn. 4 (1996) (italics added, citation omitted).</w:t>
      </w:r>
    </w:p>
  </w:footnote>
  <w:footnote w:id="10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iCs/>
        </w:rPr>
        <w:t>Fed. Power Comm. v. S. California Edison Co.</w:t>
      </w:r>
      <w:r w:rsidRPr="00856315">
        <w:rPr>
          <w:rFonts w:ascii="Times New Roman" w:hAnsi="Times New Roman" w:cs="Times New Roman"/>
        </w:rPr>
        <w:t xml:space="preserve">, 376 U.S. 205, 215-216 (1964). </w:t>
      </w:r>
    </w:p>
  </w:footnote>
  <w:footnote w:id="10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w:t>
      </w:r>
      <w:r w:rsidRPr="00856315">
        <w:rPr>
          <w:rFonts w:ascii="Times New Roman" w:hAnsi="Times New Roman" w:cs="Times New Roman"/>
        </w:rPr>
        <w:t xml:space="preserve"> R.C. 4905.03.</w:t>
      </w:r>
    </w:p>
  </w:footnote>
  <w:footnote w:id="10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R.C. 4928.141(A).</w:t>
      </w:r>
    </w:p>
  </w:footnote>
  <w:footnote w:id="10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R.C. 4928.143(A).</w:t>
      </w:r>
    </w:p>
  </w:footnote>
  <w:footnote w:id="11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R.C. 4928.01(A)(6).</w:t>
      </w:r>
    </w:p>
  </w:footnote>
  <w:footnote w:id="11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R.C. 4928.01(A)(11).</w:t>
      </w:r>
    </w:p>
  </w:footnote>
  <w:footnote w:id="11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R.C. 4928.01(A)(8).</w:t>
      </w:r>
      <w:bookmarkStart w:id="35" w:name="4928.01(A)(7)"/>
      <w:bookmarkEnd w:id="35"/>
    </w:p>
  </w:footnote>
  <w:footnote w:id="11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e.g., </w:t>
      </w:r>
      <w:r w:rsidRPr="00856315">
        <w:rPr>
          <w:rFonts w:ascii="Times New Roman" w:hAnsi="Times New Roman" w:cs="Times New Roman"/>
        </w:rPr>
        <w:t xml:space="preserve">Hearing Transcript at Vol. I, p. 274.  </w:t>
      </w:r>
    </w:p>
  </w:footnote>
  <w:footnote w:id="11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generally </w:t>
      </w:r>
      <w:r w:rsidRPr="00856315">
        <w:rPr>
          <w:rFonts w:ascii="Times New Roman" w:hAnsi="Times New Roman" w:cs="Times New Roman"/>
        </w:rPr>
        <w:t>Amended Application.</w:t>
      </w:r>
    </w:p>
  </w:footnote>
  <w:footnote w:id="115">
    <w:p w:rsidR="0020495B" w:rsidRPr="00856315" w:rsidRDefault="0020495B" w:rsidP="00856315">
      <w:pPr>
        <w:pStyle w:val="FootnoteText"/>
        <w:spacing w:after="120"/>
        <w:rPr>
          <w:rFonts w:ascii="Times New Roman" w:hAnsi="Times New Roman" w:cs="Times New Roman"/>
          <w:i/>
        </w:rPr>
      </w:pPr>
      <w:r w:rsidRPr="00856315">
        <w:rPr>
          <w:rStyle w:val="FootnoteReference"/>
          <w:rFonts w:ascii="Times New Roman" w:hAnsi="Times New Roman" w:cs="Times New Roman"/>
        </w:rPr>
        <w:footnoteRef/>
      </w:r>
      <w:r w:rsidRPr="00856315">
        <w:rPr>
          <w:rFonts w:ascii="Times New Roman" w:hAnsi="Times New Roman" w:cs="Times New Roman"/>
        </w:rPr>
        <w:t xml:space="preserve"> 753 F.3d at 473-74.</w:t>
      </w:r>
    </w:p>
  </w:footnote>
  <w:footnote w:id="11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766 F.3d at 248; 252.</w:t>
      </w:r>
    </w:p>
  </w:footnote>
  <w:footnote w:id="11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Background at IIIA, </w:t>
      </w:r>
      <w:r w:rsidRPr="00856315">
        <w:rPr>
          <w:rFonts w:ascii="Times New Roman" w:hAnsi="Times New Roman" w:cs="Times New Roman"/>
          <w:i/>
        </w:rPr>
        <w:t>supra</w:t>
      </w:r>
      <w:r w:rsidRPr="00856315">
        <w:rPr>
          <w:rFonts w:ascii="Times New Roman" w:hAnsi="Times New Roman" w:cs="Times New Roman"/>
        </w:rPr>
        <w:t>.</w:t>
      </w:r>
    </w:p>
  </w:footnote>
  <w:footnote w:id="11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Steven M. Fetter (AEP Ohio Ex. 3) filed May 15, 2015 at 9 (“after access to choice was opened up to all customers . . . , the Legislature pulled that policy back . . . .”).</w:t>
      </w:r>
    </w:p>
  </w:footnote>
  <w:footnote w:id="11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Hearing Transcript</w:t>
      </w:r>
      <w:r w:rsidRPr="00856315">
        <w:rPr>
          <w:rFonts w:ascii="Times New Roman" w:hAnsi="Times New Roman" w:cs="Times New Roman"/>
          <w:i/>
        </w:rPr>
        <w:t xml:space="preserve"> </w:t>
      </w:r>
      <w:r w:rsidRPr="00856315">
        <w:rPr>
          <w:rFonts w:ascii="Times New Roman" w:hAnsi="Times New Roman" w:cs="Times New Roman"/>
        </w:rPr>
        <w:t>at Vol. III, p. 799:9-19; Vol. VII, p. 2023:15-22.</w:t>
      </w:r>
    </w:p>
  </w:footnote>
  <w:footnote w:id="12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Vol. III, p. 895:6-11.</w:t>
      </w:r>
    </w:p>
  </w:footnote>
  <w:footnote w:id="12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Direct Testimony of Edward W. Hill (OMAEG Ex. 19) filed September 11, 2015 at 6.</w:t>
      </w:r>
    </w:p>
  </w:footnote>
  <w:footnote w:id="12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Hearing Transcript at Vol. III, p. 894:8-17.</w:t>
      </w:r>
    </w:p>
  </w:footnote>
  <w:footnote w:id="12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895:6-11.</w:t>
      </w:r>
    </w:p>
  </w:footnote>
  <w:footnote w:id="12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OCC does not concede the credibility of any of AEP Ohio’s “evidence” discussed in this section.  Instead, OCC shows that the Joint Stipulation should be rejected based on analysis similar to what would be applied under Rules 12(B)(6) and 50(A) of the Ohio Rules of Civil Procedure and in light of the governing law squarely placing the burden of proof on AEP Ohio as the applicant.  Nonetheless, OCC would be remiss if it did not point out that AEP Ohio Ex. 52, WAA-2 -- AEP Ohio's forecast for the PPA Rider presented during the evidentiary hearing on the Joint Stipulation -- is founded on a 2013 Fundamentals Forecast.  </w:t>
      </w:r>
      <w:r w:rsidRPr="00856315">
        <w:rPr>
          <w:rFonts w:ascii="Times New Roman" w:hAnsi="Times New Roman" w:cs="Times New Roman"/>
          <w:i/>
        </w:rPr>
        <w:t xml:space="preserve">See </w:t>
      </w:r>
      <w:r w:rsidRPr="00856315">
        <w:rPr>
          <w:rFonts w:ascii="Times New Roman" w:hAnsi="Times New Roman" w:cs="Times New Roman"/>
        </w:rPr>
        <w:t xml:space="preserve">Hearing Transcript at Vol. XVIII, p. 4567:18-25.  This notwithstanding that, unlike when AEP Ohio ran its model to forecast the PPA Rider in connection with the first phase of this proceeding, the 2015 Fundamentals Forecast </w:t>
      </w:r>
      <w:r w:rsidRPr="00856315">
        <w:rPr>
          <w:rFonts w:ascii="Times New Roman" w:hAnsi="Times New Roman" w:cs="Times New Roman"/>
          <w:i/>
        </w:rPr>
        <w:t xml:space="preserve">was </w:t>
      </w:r>
      <w:r w:rsidRPr="00856315">
        <w:rPr>
          <w:rFonts w:ascii="Times New Roman" w:hAnsi="Times New Roman" w:cs="Times New Roman"/>
        </w:rPr>
        <w:t xml:space="preserve">complete before AEP Ohio Witness Allen prepared AEP Ohio Ex. 52, WAA-2, and no fundamentals forecasts have been prepared since.  </w:t>
      </w:r>
      <w:r w:rsidRPr="00856315">
        <w:rPr>
          <w:rFonts w:ascii="Times New Roman" w:hAnsi="Times New Roman" w:cs="Times New Roman"/>
          <w:i/>
        </w:rPr>
        <w:t xml:space="preserve">See id. </w:t>
      </w:r>
      <w:r w:rsidRPr="00856315">
        <w:rPr>
          <w:rFonts w:ascii="Times New Roman" w:hAnsi="Times New Roman" w:cs="Times New Roman"/>
        </w:rPr>
        <w:t xml:space="preserve">at Vol. XIX, p. 4665:21-4667:22. </w:t>
      </w:r>
    </w:p>
  </w:footnote>
  <w:footnote w:id="12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e.g., </w:t>
      </w:r>
      <w:r w:rsidRPr="00856315">
        <w:rPr>
          <w:rFonts w:ascii="Times New Roman" w:hAnsi="Times New Roman" w:cs="Times New Roman"/>
        </w:rPr>
        <w:t xml:space="preserve">R.C. 4928.143(C)(1); </w:t>
      </w:r>
      <w:r w:rsidRPr="00856315">
        <w:rPr>
          <w:rFonts w:ascii="Times New Roman" w:hAnsi="Times New Roman" w:cs="Times New Roman"/>
          <w:i/>
        </w:rPr>
        <w:t>In the Matter of the Application of The Ohio Bell Telephone Company for Authority to Amend Certain of its Intrastate Tariffs to Increase and Adjust its Rates and Charges and to Change its Regulations</w:t>
      </w:r>
      <w:r w:rsidRPr="00856315">
        <w:rPr>
          <w:rFonts w:ascii="Times New Roman" w:hAnsi="Times New Roman" w:cs="Times New Roman"/>
        </w:rPr>
        <w:t xml:space="preserve">, 1985 Ohio PUC Lexis 7, 91 (PUCO Case No. 84-1435-TP-AIR); </w:t>
      </w:r>
      <w:r w:rsidRPr="00856315">
        <w:rPr>
          <w:rFonts w:ascii="Times New Roman" w:hAnsi="Times New Roman" w:cs="Times New Roman"/>
          <w:i/>
        </w:rPr>
        <w:t>In the Matter of the Application of the Ottoville Mutual Telephone Company for Authority to Increase its Rates and Charges and to Revise its Tariffs on an Emergency and Temporary Basis Pursuant to Section 4909.16 Revised Code</w:t>
      </w:r>
      <w:r w:rsidRPr="00856315">
        <w:rPr>
          <w:rFonts w:ascii="Times New Roman" w:hAnsi="Times New Roman" w:cs="Times New Roman"/>
        </w:rPr>
        <w:t>, 1973 Ohio PUC Lexis 3, 4 (PUCO Case No. 73-356-Y) (“Although the applicant must shoulder the burden of proof in every application proceeding before the Commission, this burden takes on an added dimension in the context of an emergency rate case.”).</w:t>
      </w:r>
    </w:p>
  </w:footnote>
  <w:footnote w:id="12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Direct Testimony of William A. Allen (AEP Ohio Ex. 52) filed December 14, 2015 at p. 14:18-20; </w:t>
      </w:r>
      <w:r w:rsidRPr="00856315">
        <w:rPr>
          <w:rFonts w:ascii="Times New Roman" w:hAnsi="Times New Roman" w:cs="Times New Roman"/>
          <w:i/>
        </w:rPr>
        <w:t xml:space="preserve">see also </w:t>
      </w:r>
      <w:r w:rsidRPr="00856315">
        <w:rPr>
          <w:rFonts w:ascii="Times New Roman" w:hAnsi="Times New Roman" w:cs="Times New Roman"/>
        </w:rPr>
        <w:t xml:space="preserve">Hearing Transcript at Vol. XVIII, p. 4626:23-4627:6; 4627:16-4628:4.  Significantly, AEP Ohio has not analyzed the rate impact, or the net customer impact, of the Joint Stipulation beyond year one.  </w:t>
      </w:r>
      <w:r w:rsidRPr="00856315">
        <w:rPr>
          <w:rFonts w:ascii="Times New Roman" w:hAnsi="Times New Roman" w:cs="Times New Roman"/>
          <w:i/>
        </w:rPr>
        <w:t xml:space="preserve">See </w:t>
      </w:r>
      <w:r w:rsidRPr="00856315">
        <w:rPr>
          <w:rFonts w:ascii="Times New Roman" w:hAnsi="Times New Roman" w:cs="Times New Roman"/>
        </w:rPr>
        <w:t>Hearing Transcript at Vol. XVIII, pp. 4623:9-4625:7.  Thus, the only record evidence of the Joint Stipulation's impact is that it will cost $.62 per month per typical residential customer using 1,000 kwh in the first year.</w:t>
      </w:r>
    </w:p>
  </w:footnote>
  <w:footnote w:id="12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William A. Allen (AEP Ohio Ex. 52) filed December 14, 2015</w:t>
      </w:r>
      <w:r w:rsidRPr="00856315">
        <w:rPr>
          <w:rFonts w:ascii="Times New Roman" w:hAnsi="Times New Roman" w:cs="Times New Roman"/>
          <w:i/>
        </w:rPr>
        <w:t xml:space="preserve"> </w:t>
      </w:r>
      <w:r w:rsidRPr="00856315">
        <w:rPr>
          <w:rFonts w:ascii="Times New Roman" w:hAnsi="Times New Roman" w:cs="Times New Roman"/>
        </w:rPr>
        <w:t xml:space="preserve">at WAA-2; </w:t>
      </w:r>
      <w:r w:rsidRPr="00856315">
        <w:rPr>
          <w:rFonts w:ascii="Times New Roman" w:hAnsi="Times New Roman" w:cs="Times New Roman"/>
          <w:i/>
        </w:rPr>
        <w:t xml:space="preserve">see also </w:t>
      </w:r>
      <w:r w:rsidRPr="00856315">
        <w:rPr>
          <w:rFonts w:ascii="Times New Roman" w:hAnsi="Times New Roman" w:cs="Times New Roman"/>
        </w:rPr>
        <w:t>KDP-2 (OCC Ex. 1, admitted at Hearing Transcript Vol. II, p. 365) (PPA Rider proposed in first phase of this proceeding shows a net credit each year from 2016-2024).</w:t>
      </w:r>
    </w:p>
  </w:footnote>
  <w:footnote w:id="12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$.62 x 12 x 1.</w:t>
      </w:r>
      <w:r>
        <w:rPr>
          <w:rFonts w:ascii="Times New Roman" w:hAnsi="Times New Roman" w:cs="Times New Roman"/>
        </w:rPr>
        <w:t>3</w:t>
      </w:r>
      <w:r w:rsidRPr="00856315">
        <w:rPr>
          <w:rFonts w:ascii="Times New Roman" w:hAnsi="Times New Roman" w:cs="Times New Roman"/>
        </w:rPr>
        <w:t xml:space="preserve"> million customers; </w:t>
      </w:r>
      <w:r w:rsidRPr="00856315">
        <w:rPr>
          <w:rFonts w:ascii="Times New Roman" w:hAnsi="Times New Roman" w:cs="Times New Roman"/>
          <w:i/>
        </w:rPr>
        <w:t xml:space="preserve">see also </w:t>
      </w:r>
      <w:r w:rsidRPr="00856315">
        <w:rPr>
          <w:rFonts w:ascii="Times New Roman" w:hAnsi="Times New Roman" w:cs="Times New Roman"/>
        </w:rPr>
        <w:t xml:space="preserve">Hearing Transcript at Vol. XVIII, p. 4627:16-4628:4. </w:t>
      </w:r>
    </w:p>
  </w:footnote>
  <w:footnote w:id="12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The PUCO should also require a level of certitude from a stipulation as a matter of regulatory principle and policy.  The Joint Stipulation is uncertain.</w:t>
      </w:r>
    </w:p>
  </w:footnote>
  <w:footnote w:id="13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Interrogatories, Requests for Admission, and Request for Production of Documents (OCC Ex. 30, admitted at Hearing Transcript Vol. XXI, p. 5207), Int. No. 8.</w:t>
      </w:r>
    </w:p>
  </w:footnote>
  <w:footnote w:id="13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 xml:space="preserve">at Int. No. 16; </w:t>
      </w:r>
      <w:r w:rsidRPr="00856315">
        <w:rPr>
          <w:rFonts w:ascii="Times New Roman" w:hAnsi="Times New Roman" w:cs="Times New Roman"/>
          <w:i/>
        </w:rPr>
        <w:t xml:space="preserve">see also </w:t>
      </w:r>
      <w:r w:rsidRPr="00856315">
        <w:rPr>
          <w:rFonts w:ascii="Times New Roman" w:hAnsi="Times New Roman" w:cs="Times New Roman"/>
        </w:rPr>
        <w:t>Joint Stipulation and Recommendation (Joint Ex. 1, admitted at Hearing Transcript Vol. XX, p. 5011) at pp. 28-29, para. E (1).</w:t>
      </w:r>
    </w:p>
  </w:footnote>
  <w:footnote w:id="13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OCC Ex. 30, Int. No. 17; </w:t>
      </w:r>
      <w:r w:rsidRPr="00856315">
        <w:rPr>
          <w:rFonts w:ascii="Times New Roman" w:hAnsi="Times New Roman" w:cs="Times New Roman"/>
          <w:i/>
        </w:rPr>
        <w:t xml:space="preserve">see also </w:t>
      </w:r>
      <w:r w:rsidRPr="00856315">
        <w:rPr>
          <w:rFonts w:ascii="Times New Roman" w:hAnsi="Times New Roman" w:cs="Times New Roman"/>
        </w:rPr>
        <w:t>Joint Ex. 1 at pp. 28-29, para. E (1).</w:t>
      </w:r>
    </w:p>
  </w:footnote>
  <w:footnote w:id="13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OCC Ex. 30, Int. No. 18; </w:t>
      </w:r>
      <w:r w:rsidRPr="00856315">
        <w:rPr>
          <w:rFonts w:ascii="Times New Roman" w:hAnsi="Times New Roman" w:cs="Times New Roman"/>
          <w:i/>
        </w:rPr>
        <w:t xml:space="preserve">see also </w:t>
      </w:r>
      <w:r w:rsidRPr="00856315">
        <w:rPr>
          <w:rFonts w:ascii="Times New Roman" w:hAnsi="Times New Roman" w:cs="Times New Roman"/>
        </w:rPr>
        <w:t>Joint Ex. 1 at p. 29, para. E (2).</w:t>
      </w:r>
    </w:p>
  </w:footnote>
  <w:footnote w:id="13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OCC Ex. 30, Int. No. 19; </w:t>
      </w:r>
      <w:r w:rsidRPr="00856315">
        <w:rPr>
          <w:rFonts w:ascii="Times New Roman" w:hAnsi="Times New Roman" w:cs="Times New Roman"/>
          <w:i/>
        </w:rPr>
        <w:t xml:space="preserve">see also </w:t>
      </w:r>
      <w:r w:rsidRPr="00856315">
        <w:rPr>
          <w:rFonts w:ascii="Times New Roman" w:hAnsi="Times New Roman" w:cs="Times New Roman"/>
        </w:rPr>
        <w:t>Joint Ex. 1 at p. 29, para. E (2).</w:t>
      </w:r>
    </w:p>
  </w:footnote>
  <w:footnote w:id="13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OCC Ex. 30, Int. No. 20; </w:t>
      </w:r>
      <w:r w:rsidRPr="00856315">
        <w:rPr>
          <w:rFonts w:ascii="Times New Roman" w:hAnsi="Times New Roman" w:cs="Times New Roman"/>
          <w:i/>
        </w:rPr>
        <w:t xml:space="preserve">see also </w:t>
      </w:r>
      <w:r w:rsidRPr="00856315">
        <w:rPr>
          <w:rFonts w:ascii="Times New Roman" w:hAnsi="Times New Roman" w:cs="Times New Roman"/>
        </w:rPr>
        <w:t>Joint Ex. 1 at p. 29, para. E (3).</w:t>
      </w:r>
    </w:p>
  </w:footnote>
  <w:footnote w:id="136">
    <w:p w:rsidR="0020495B" w:rsidRPr="00856315" w:rsidRDefault="0020495B" w:rsidP="00856315">
      <w:pPr>
        <w:pStyle w:val="FootnoteText"/>
        <w:spacing w:after="120"/>
        <w:rPr>
          <w:rFonts w:ascii="Times New Roman" w:hAnsi="Times New Roman" w:cs="Times New Roman"/>
          <w:i/>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OCC Ex. 30, Int. No. 21;</w:t>
      </w:r>
      <w:r w:rsidRPr="00856315">
        <w:rPr>
          <w:rFonts w:ascii="Times New Roman" w:hAnsi="Times New Roman" w:cs="Times New Roman"/>
          <w:i/>
        </w:rPr>
        <w:t xml:space="preserve"> see also </w:t>
      </w:r>
      <w:r w:rsidRPr="00856315">
        <w:rPr>
          <w:rFonts w:ascii="Times New Roman" w:hAnsi="Times New Roman" w:cs="Times New Roman"/>
        </w:rPr>
        <w:t xml:space="preserve">Joint Ex. 1 at p. 29, para. E (3). </w:t>
      </w:r>
    </w:p>
  </w:footnote>
  <w:footnote w:id="13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OCC Ex. 30, Int. No. 22; </w:t>
      </w:r>
      <w:r w:rsidRPr="00856315">
        <w:rPr>
          <w:rFonts w:ascii="Times New Roman" w:hAnsi="Times New Roman" w:cs="Times New Roman"/>
          <w:i/>
        </w:rPr>
        <w:t xml:space="preserve">see also </w:t>
      </w:r>
      <w:r w:rsidRPr="00856315">
        <w:rPr>
          <w:rFonts w:ascii="Times New Roman" w:hAnsi="Times New Roman" w:cs="Times New Roman"/>
        </w:rPr>
        <w:t>Joint Ex. 1 at p. 29, para. E (4).</w:t>
      </w:r>
    </w:p>
  </w:footnote>
  <w:footnote w:id="13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OCC Ex. 30, Int. No. 23; </w:t>
      </w:r>
      <w:r w:rsidRPr="00856315">
        <w:rPr>
          <w:rFonts w:ascii="Times New Roman" w:hAnsi="Times New Roman" w:cs="Times New Roman"/>
          <w:i/>
        </w:rPr>
        <w:t xml:space="preserve">see also </w:t>
      </w:r>
      <w:r w:rsidRPr="00856315">
        <w:rPr>
          <w:rFonts w:ascii="Times New Roman" w:hAnsi="Times New Roman" w:cs="Times New Roman"/>
        </w:rPr>
        <w:t>Joint Ex. 1 at p. 29, para. E (4).</w:t>
      </w:r>
    </w:p>
  </w:footnote>
  <w:footnote w:id="13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OCC Ex. 30, Int. No. 25; </w:t>
      </w:r>
      <w:r w:rsidRPr="00856315">
        <w:rPr>
          <w:rFonts w:ascii="Times New Roman" w:hAnsi="Times New Roman" w:cs="Times New Roman"/>
          <w:i/>
        </w:rPr>
        <w:t xml:space="preserve">see also </w:t>
      </w:r>
      <w:r w:rsidRPr="00856315">
        <w:rPr>
          <w:rFonts w:ascii="Times New Roman" w:hAnsi="Times New Roman" w:cs="Times New Roman"/>
        </w:rPr>
        <w:t>Joint Ex. 1 at p. 30, para. H.</w:t>
      </w:r>
    </w:p>
  </w:footnote>
  <w:footnote w:id="14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OCC Ex. 30, Int. No. 43; </w:t>
      </w:r>
      <w:r w:rsidRPr="00856315">
        <w:rPr>
          <w:rFonts w:ascii="Times New Roman" w:hAnsi="Times New Roman" w:cs="Times New Roman"/>
          <w:i/>
        </w:rPr>
        <w:t xml:space="preserve">see also </w:t>
      </w:r>
      <w:r w:rsidRPr="00856315">
        <w:rPr>
          <w:rFonts w:ascii="Times New Roman" w:hAnsi="Times New Roman" w:cs="Times New Roman"/>
        </w:rPr>
        <w:t>Joint Ex. 1 at pp. 12-13, para. 12.</w:t>
      </w:r>
    </w:p>
  </w:footnote>
  <w:footnote w:id="14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OCC Ex. 30, Int. No. 47; </w:t>
      </w:r>
      <w:r w:rsidRPr="00856315">
        <w:rPr>
          <w:rFonts w:ascii="Times New Roman" w:hAnsi="Times New Roman" w:cs="Times New Roman"/>
          <w:i/>
        </w:rPr>
        <w:t xml:space="preserve">see also </w:t>
      </w:r>
      <w:r w:rsidRPr="00856315">
        <w:rPr>
          <w:rFonts w:ascii="Times New Roman" w:hAnsi="Times New Roman" w:cs="Times New Roman"/>
        </w:rPr>
        <w:t>Joint Ex. 1 at pp. 16-19, para. 7.</w:t>
      </w:r>
    </w:p>
  </w:footnote>
  <w:footnote w:id="14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OCC Ex. 30, Int. No. 48; </w:t>
      </w:r>
      <w:r w:rsidRPr="00856315">
        <w:rPr>
          <w:rFonts w:ascii="Times New Roman" w:hAnsi="Times New Roman" w:cs="Times New Roman"/>
          <w:i/>
        </w:rPr>
        <w:t xml:space="preserve">see also </w:t>
      </w:r>
      <w:r w:rsidRPr="00856315">
        <w:rPr>
          <w:rFonts w:ascii="Times New Roman" w:hAnsi="Times New Roman" w:cs="Times New Roman"/>
        </w:rPr>
        <w:t>Joint Ex. 1 at pp. 19-20, para. D (9).</w:t>
      </w:r>
    </w:p>
  </w:footnote>
  <w:footnote w:id="143">
    <w:p w:rsidR="0020495B" w:rsidRPr="00856315" w:rsidRDefault="0020495B" w:rsidP="00856315">
      <w:pPr>
        <w:pStyle w:val="FootnoteText"/>
        <w:spacing w:after="120"/>
        <w:rPr>
          <w:rFonts w:ascii="Times New Roman" w:hAnsi="Times New Roman" w:cs="Times New Roman"/>
          <w:i/>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p>
  </w:footnote>
  <w:footnote w:id="14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OCC Ex. 30, Int. No. 51; </w:t>
      </w:r>
      <w:r w:rsidRPr="00856315">
        <w:rPr>
          <w:rFonts w:ascii="Times New Roman" w:hAnsi="Times New Roman" w:cs="Times New Roman"/>
          <w:i/>
        </w:rPr>
        <w:t xml:space="preserve">see also </w:t>
      </w:r>
      <w:r w:rsidRPr="00856315">
        <w:rPr>
          <w:rFonts w:ascii="Times New Roman" w:hAnsi="Times New Roman" w:cs="Times New Roman"/>
        </w:rPr>
        <w:t>Joint Ex. 1 at p. 20, paras. D (9) and (10).</w:t>
      </w:r>
    </w:p>
  </w:footnote>
  <w:footnote w:id="14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OCC Ex. 30, Int. No. 52; </w:t>
      </w:r>
      <w:r w:rsidRPr="00856315">
        <w:rPr>
          <w:rFonts w:ascii="Times New Roman" w:hAnsi="Times New Roman" w:cs="Times New Roman"/>
          <w:i/>
        </w:rPr>
        <w:t xml:space="preserve">see also </w:t>
      </w:r>
      <w:r w:rsidRPr="00856315">
        <w:rPr>
          <w:rFonts w:ascii="Times New Roman" w:hAnsi="Times New Roman" w:cs="Times New Roman"/>
        </w:rPr>
        <w:t>Joint Ex. 1 at pp. 21-23, para. D (11).</w:t>
      </w:r>
    </w:p>
  </w:footnote>
  <w:footnote w:id="14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OCC Ex. 30, Int. No. 53; </w:t>
      </w:r>
      <w:r w:rsidRPr="00856315">
        <w:rPr>
          <w:rFonts w:ascii="Times New Roman" w:hAnsi="Times New Roman" w:cs="Times New Roman"/>
          <w:i/>
        </w:rPr>
        <w:t xml:space="preserve">see also </w:t>
      </w:r>
      <w:r w:rsidRPr="00856315">
        <w:rPr>
          <w:rFonts w:ascii="Times New Roman" w:hAnsi="Times New Roman" w:cs="Times New Roman"/>
        </w:rPr>
        <w:t>Joint Ex. 1 at pp. 21-23, para. D (11).</w:t>
      </w:r>
    </w:p>
  </w:footnote>
  <w:footnote w:id="14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OCC Ex. 30, Int. No. 54; </w:t>
      </w:r>
      <w:r w:rsidRPr="00856315">
        <w:rPr>
          <w:rFonts w:ascii="Times New Roman" w:hAnsi="Times New Roman" w:cs="Times New Roman"/>
          <w:i/>
        </w:rPr>
        <w:t xml:space="preserve">see also </w:t>
      </w:r>
      <w:r w:rsidRPr="00856315">
        <w:rPr>
          <w:rFonts w:ascii="Times New Roman" w:hAnsi="Times New Roman" w:cs="Times New Roman"/>
        </w:rPr>
        <w:t>Joint Ex. 1 at pp. 23-26, para. D (12).</w:t>
      </w:r>
    </w:p>
  </w:footnote>
  <w:footnote w:id="14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OCC Ex. 30, Int. No. 55; </w:t>
      </w:r>
      <w:r w:rsidRPr="00856315">
        <w:rPr>
          <w:rFonts w:ascii="Times New Roman" w:hAnsi="Times New Roman" w:cs="Times New Roman"/>
          <w:i/>
        </w:rPr>
        <w:t xml:space="preserve">see also </w:t>
      </w:r>
      <w:r w:rsidRPr="00856315">
        <w:rPr>
          <w:rFonts w:ascii="Times New Roman" w:hAnsi="Times New Roman" w:cs="Times New Roman"/>
        </w:rPr>
        <w:t>Joint Ex. 1 at pp. 23-26, para. D (12).</w:t>
      </w:r>
    </w:p>
  </w:footnote>
  <w:footnote w:id="14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OCC Ex. 30, Int. No. 56; </w:t>
      </w:r>
      <w:r w:rsidRPr="00856315">
        <w:rPr>
          <w:rFonts w:ascii="Times New Roman" w:hAnsi="Times New Roman" w:cs="Times New Roman"/>
          <w:i/>
        </w:rPr>
        <w:t xml:space="preserve">see also </w:t>
      </w:r>
      <w:r w:rsidRPr="00856315">
        <w:rPr>
          <w:rFonts w:ascii="Times New Roman" w:hAnsi="Times New Roman" w:cs="Times New Roman"/>
        </w:rPr>
        <w:t>Joint Ex. 1 at pp. 23-26, para. D (12).</w:t>
      </w:r>
    </w:p>
  </w:footnote>
  <w:footnote w:id="15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OCC Ex. 30, Int. No. 57; </w:t>
      </w:r>
      <w:r w:rsidRPr="00856315">
        <w:rPr>
          <w:rFonts w:ascii="Times New Roman" w:hAnsi="Times New Roman" w:cs="Times New Roman"/>
          <w:i/>
        </w:rPr>
        <w:t xml:space="preserve">see also </w:t>
      </w:r>
      <w:r w:rsidRPr="00856315">
        <w:rPr>
          <w:rFonts w:ascii="Times New Roman" w:hAnsi="Times New Roman" w:cs="Times New Roman"/>
        </w:rPr>
        <w:t>Joint Ex. 1 at p. 28, para. D (15).</w:t>
      </w:r>
    </w:p>
  </w:footnote>
  <w:footnote w:id="15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OCC Ex. 30, RFA No. 8; </w:t>
      </w:r>
      <w:r w:rsidRPr="00856315">
        <w:rPr>
          <w:rFonts w:ascii="Times New Roman" w:hAnsi="Times New Roman" w:cs="Times New Roman"/>
          <w:i/>
        </w:rPr>
        <w:t xml:space="preserve">see also </w:t>
      </w:r>
      <w:r w:rsidRPr="00856315">
        <w:rPr>
          <w:rFonts w:ascii="Times New Roman" w:hAnsi="Times New Roman" w:cs="Times New Roman"/>
        </w:rPr>
        <w:t>Joint Ex. 1 at pp. 10-13.</w:t>
      </w:r>
    </w:p>
  </w:footnote>
  <w:footnote w:id="15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OCC Ex. 30, RFA No. 10.</w:t>
      </w:r>
    </w:p>
  </w:footnote>
  <w:footnote w:id="15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RFA No. 12.</w:t>
      </w:r>
    </w:p>
  </w:footnote>
  <w:footnote w:id="15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RFA No. 13.</w:t>
      </w:r>
    </w:p>
  </w:footnote>
  <w:footnote w:id="15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RFA No. 14.</w:t>
      </w:r>
    </w:p>
  </w:footnote>
  <w:footnote w:id="15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RFA No. 15.</w:t>
      </w:r>
    </w:p>
  </w:footnote>
  <w:footnote w:id="15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w:t>
      </w:r>
      <w:r w:rsidRPr="00856315">
        <w:rPr>
          <w:rFonts w:ascii="Times New Roman" w:hAnsi="Times New Roman" w:cs="Times New Roman"/>
        </w:rPr>
        <w:t xml:space="preserve"> </w:t>
      </w:r>
      <w:r w:rsidRPr="00856315">
        <w:rPr>
          <w:rFonts w:ascii="Times New Roman" w:hAnsi="Times New Roman" w:cs="Times New Roman"/>
          <w:i/>
        </w:rPr>
        <w:t xml:space="preserve">id. </w:t>
      </w:r>
      <w:r w:rsidRPr="00856315">
        <w:rPr>
          <w:rFonts w:ascii="Times New Roman" w:hAnsi="Times New Roman" w:cs="Times New Roman"/>
        </w:rPr>
        <w:t xml:space="preserve">at RFA No. 16; </w:t>
      </w:r>
      <w:r w:rsidRPr="00856315">
        <w:rPr>
          <w:rFonts w:ascii="Times New Roman" w:hAnsi="Times New Roman" w:cs="Times New Roman"/>
          <w:i/>
        </w:rPr>
        <w:t xml:space="preserve">see also </w:t>
      </w:r>
      <w:r w:rsidRPr="00856315">
        <w:rPr>
          <w:rFonts w:ascii="Times New Roman" w:hAnsi="Times New Roman" w:cs="Times New Roman"/>
        </w:rPr>
        <w:t>Joint Ex. 1 at p. 28-29, para. E.</w:t>
      </w:r>
    </w:p>
  </w:footnote>
  <w:footnote w:id="15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OCC Ex. 30, RFA No. 17; </w:t>
      </w:r>
      <w:r w:rsidRPr="00856315">
        <w:rPr>
          <w:rFonts w:ascii="Times New Roman" w:hAnsi="Times New Roman" w:cs="Times New Roman"/>
          <w:i/>
        </w:rPr>
        <w:t xml:space="preserve">see also </w:t>
      </w:r>
      <w:r w:rsidRPr="00856315">
        <w:rPr>
          <w:rFonts w:ascii="Times New Roman" w:hAnsi="Times New Roman" w:cs="Times New Roman"/>
        </w:rPr>
        <w:t xml:space="preserve">Joint Ex. 1 at p. 29, para. F. </w:t>
      </w:r>
    </w:p>
  </w:footnote>
  <w:footnote w:id="15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Joint Ex. 1 at p. 12, para. 12a.</w:t>
      </w:r>
    </w:p>
  </w:footnote>
  <w:footnote w:id="16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16, para. 7.</w:t>
      </w:r>
    </w:p>
  </w:footnote>
  <w:footnote w:id="16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Hearing Transcript at Vol. XVIII, p. 4659:15-4661:1; </w:t>
      </w:r>
      <w:r w:rsidRPr="00856315">
        <w:rPr>
          <w:rFonts w:ascii="Times New Roman" w:hAnsi="Times New Roman" w:cs="Times New Roman"/>
          <w:i/>
        </w:rPr>
        <w:t xml:space="preserve">see also id. </w:t>
      </w:r>
      <w:r w:rsidRPr="00856315">
        <w:rPr>
          <w:rFonts w:ascii="Times New Roman" w:hAnsi="Times New Roman" w:cs="Times New Roman"/>
        </w:rPr>
        <w:t>at 4485:16-21 (AEPGR will actually offer the PPA Units into PJM).</w:t>
      </w:r>
    </w:p>
  </w:footnote>
  <w:footnote w:id="16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 xml:space="preserve">at Vol. XIX, p. 4759:22-4760:8; </w:t>
      </w:r>
      <w:r w:rsidRPr="00856315">
        <w:rPr>
          <w:rFonts w:ascii="Times New Roman" w:hAnsi="Times New Roman" w:cs="Times New Roman"/>
          <w:i/>
        </w:rPr>
        <w:t xml:space="preserve">see also </w:t>
      </w:r>
      <w:r w:rsidRPr="00856315">
        <w:rPr>
          <w:rFonts w:ascii="Times New Roman" w:hAnsi="Times New Roman" w:cs="Times New Roman"/>
        </w:rPr>
        <w:t>Joint Ex. 1 at p. 10-11, para. 7.</w:t>
      </w:r>
    </w:p>
  </w:footnote>
  <w:footnote w:id="16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Hearing Transcript at Vol. XIX, p. 4790:10-21; </w:t>
      </w:r>
      <w:r w:rsidRPr="00856315">
        <w:rPr>
          <w:rFonts w:ascii="Times New Roman" w:hAnsi="Times New Roman" w:cs="Times New Roman"/>
          <w:i/>
        </w:rPr>
        <w:t xml:space="preserve">see also </w:t>
      </w:r>
      <w:r w:rsidRPr="00856315">
        <w:rPr>
          <w:rFonts w:ascii="Times New Roman" w:hAnsi="Times New Roman" w:cs="Times New Roman"/>
        </w:rPr>
        <w:t>Joint Ex. 1 at p. 30, para. I1c.</w:t>
      </w:r>
    </w:p>
  </w:footnote>
  <w:footnote w:id="16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 xml:space="preserve">at 4807:11-18; </w:t>
      </w:r>
      <w:r w:rsidRPr="00856315">
        <w:rPr>
          <w:rFonts w:ascii="Times New Roman" w:hAnsi="Times New Roman" w:cs="Times New Roman"/>
          <w:i/>
        </w:rPr>
        <w:t xml:space="preserve">see also </w:t>
      </w:r>
      <w:r w:rsidRPr="00856315">
        <w:rPr>
          <w:rFonts w:ascii="Times New Roman" w:hAnsi="Times New Roman" w:cs="Times New Roman"/>
        </w:rPr>
        <w:t>Joint Ex. 1 at p. 26, para. 13.</w:t>
      </w:r>
    </w:p>
  </w:footnote>
  <w:footnote w:id="16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e.g., </w:t>
      </w:r>
      <w:r w:rsidRPr="00856315">
        <w:rPr>
          <w:rFonts w:ascii="Times New Roman" w:hAnsi="Times New Roman" w:cs="Times New Roman"/>
        </w:rPr>
        <w:t xml:space="preserve">KDP-2 (OCC Ex. 1, admitted at Hearing Transcript Vol. II, p. 365), Direct Testimony of William A. Allen (AEP Ohio Ex. 52) filed December 14, 2015, Direct Testimony of James F. Wilson (OCC Ex. 34) filed December 28, 2015, Direct Testimony of James F. Wilson (OCC Ex. 15) filed September 11, 2015; Hearing Transcript at Vol. I, p. 272:15-19; </w:t>
      </w:r>
      <w:r w:rsidRPr="00856315">
        <w:rPr>
          <w:rFonts w:ascii="Times New Roman" w:hAnsi="Times New Roman" w:cs="Times New Roman"/>
          <w:i/>
        </w:rPr>
        <w:t>id</w:t>
      </w:r>
      <w:r w:rsidRPr="00856315">
        <w:rPr>
          <w:rFonts w:ascii="Times New Roman" w:hAnsi="Times New Roman" w:cs="Times New Roman"/>
        </w:rPr>
        <w:t xml:space="preserve"> at 172:15-19.   </w:t>
      </w:r>
    </w:p>
  </w:footnote>
  <w:footnote w:id="16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The PUCO should also require a level of clarity in a stipulation as a matter of regulatory principle and policy.  The Joint Stipulation provides no clarity.</w:t>
      </w:r>
    </w:p>
  </w:footnote>
  <w:footnote w:id="16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Joint Exhibit 1 at p. 2 and fn. 1. </w:t>
      </w:r>
    </w:p>
  </w:footnote>
  <w:footnote w:id="16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4 and fn. 3.</w:t>
      </w:r>
    </w:p>
  </w:footnote>
  <w:footnote w:id="16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fn. 4.</w:t>
      </w:r>
    </w:p>
  </w:footnote>
  <w:footnote w:id="17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fn. 5.</w:t>
      </w:r>
    </w:p>
  </w:footnote>
  <w:footnote w:id="17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12 and fn. 11.</w:t>
      </w:r>
    </w:p>
  </w:footnote>
  <w:footnote w:id="17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20 and fn. 12.</w:t>
      </w:r>
    </w:p>
  </w:footnote>
  <w:footnote w:id="17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33 and fn. 14.</w:t>
      </w:r>
    </w:p>
  </w:footnote>
  <w:footnote w:id="17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34 and fn. 15.</w:t>
      </w:r>
    </w:p>
  </w:footnote>
  <w:footnote w:id="17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36 and fn. 16.</w:t>
      </w:r>
    </w:p>
  </w:footnote>
  <w:footnote w:id="17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37 and fn. 17.</w:t>
      </w:r>
    </w:p>
  </w:footnote>
  <w:footnote w:id="17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color w:val="000000"/>
        </w:rPr>
        <w:t>Parties in this proceeding may interpret the footnotes differently.  Therefore, at best, the footnotes introduce so much vagueness and ambiguity into material provisions of the Joint Stipulation that the PUCO cannot meaningfully evaluate it under the three-prong test.</w:t>
      </w:r>
    </w:p>
  </w:footnote>
  <w:footnote w:id="17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Hearing Transcript at Vol. XVIII, p. 4441:17-23.  </w:t>
      </w:r>
    </w:p>
  </w:footnote>
  <w:footnote w:id="17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 xml:space="preserve">at p. 4454:24-4455:6.  </w:t>
      </w:r>
    </w:p>
  </w:footnote>
  <w:footnote w:id="18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 xml:space="preserve">at Vol. XIX, p. 4697:24-25.  </w:t>
      </w:r>
    </w:p>
  </w:footnote>
  <w:footnote w:id="18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Joint Ex. 1 at p. 5, para. 3.</w:t>
      </w:r>
    </w:p>
  </w:footnote>
  <w:footnote w:id="18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7, para. 5a.</w:t>
      </w:r>
    </w:p>
  </w:footnote>
  <w:footnote w:id="18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9, para. B1.</w:t>
      </w:r>
    </w:p>
  </w:footnote>
  <w:footnote w:id="18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 xml:space="preserve">at p. 13, para. D2; </w:t>
      </w:r>
      <w:r w:rsidRPr="00856315">
        <w:rPr>
          <w:rFonts w:ascii="Times New Roman" w:hAnsi="Times New Roman" w:cs="Times New Roman"/>
          <w:i/>
        </w:rPr>
        <w:t xml:space="preserve">see also id. </w:t>
      </w:r>
      <w:r w:rsidRPr="00856315">
        <w:rPr>
          <w:rFonts w:ascii="Times New Roman" w:hAnsi="Times New Roman" w:cs="Times New Roman"/>
        </w:rPr>
        <w:t xml:space="preserve">at p. 14, para. D2b (“work together” to develop and automate Energy Star benchmarking); </w:t>
      </w:r>
      <w:r w:rsidRPr="00856315">
        <w:rPr>
          <w:rFonts w:ascii="Times New Roman" w:hAnsi="Times New Roman" w:cs="Times New Roman"/>
          <w:i/>
        </w:rPr>
        <w:t xml:space="preserve">id. </w:t>
      </w:r>
      <w:r w:rsidRPr="00856315">
        <w:rPr>
          <w:rFonts w:ascii="Times New Roman" w:hAnsi="Times New Roman" w:cs="Times New Roman"/>
        </w:rPr>
        <w:t>at para. D2d (“prioritize” circuits with OHA members for Volt-Var Optimization deployments).</w:t>
      </w:r>
    </w:p>
  </w:footnote>
  <w:footnote w:id="18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16, para. 6.</w:t>
      </w:r>
    </w:p>
  </w:footnote>
  <w:footnote w:id="18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e.g., id. </w:t>
      </w:r>
      <w:r w:rsidRPr="00856315">
        <w:rPr>
          <w:rFonts w:ascii="Times New Roman" w:hAnsi="Times New Roman" w:cs="Times New Roman"/>
        </w:rPr>
        <w:t xml:space="preserve">at p. 19, para. 9 (“best efforts” to seek cost recovery for co-firing Conesville Units 5 and 6); </w:t>
      </w:r>
      <w:r w:rsidRPr="00856315">
        <w:rPr>
          <w:rFonts w:ascii="Times New Roman" w:hAnsi="Times New Roman" w:cs="Times New Roman"/>
          <w:i/>
        </w:rPr>
        <w:t xml:space="preserve">id. </w:t>
      </w:r>
      <w:r w:rsidRPr="00856315">
        <w:rPr>
          <w:rFonts w:ascii="Times New Roman" w:hAnsi="Times New Roman" w:cs="Times New Roman"/>
        </w:rPr>
        <w:t xml:space="preserve">at p. 25-26, para. i (“best efforts” to develop plan with joint owners to retire, repower, or refuel jointly owned PPA Units and to consolidate ownership); </w:t>
      </w:r>
      <w:r w:rsidRPr="00856315">
        <w:rPr>
          <w:rFonts w:ascii="Times New Roman" w:hAnsi="Times New Roman" w:cs="Times New Roman"/>
          <w:i/>
        </w:rPr>
        <w:t xml:space="preserve">id. </w:t>
      </w:r>
      <w:r w:rsidRPr="00856315">
        <w:rPr>
          <w:rFonts w:ascii="Times New Roman" w:hAnsi="Times New Roman" w:cs="Times New Roman"/>
        </w:rPr>
        <w:t xml:space="preserve">at p. 26, para. 13 (“best efforts” to pursue Volt-Var matters); </w:t>
      </w:r>
      <w:r w:rsidRPr="00856315">
        <w:rPr>
          <w:rFonts w:ascii="Times New Roman" w:hAnsi="Times New Roman" w:cs="Times New Roman"/>
          <w:i/>
        </w:rPr>
        <w:t xml:space="preserve">id. </w:t>
      </w:r>
      <w:r w:rsidRPr="00856315">
        <w:rPr>
          <w:rFonts w:ascii="Times New Roman" w:hAnsi="Times New Roman" w:cs="Times New Roman"/>
        </w:rPr>
        <w:t xml:space="preserve">at p. 30, para. I1b (“best efforts” to obtain cost recovery for environmental and renewable energy projects, with cost recovery being a condition precedent to developing the projects); </w:t>
      </w:r>
      <w:r w:rsidRPr="00856315">
        <w:rPr>
          <w:rFonts w:ascii="Times New Roman" w:hAnsi="Times New Roman" w:cs="Times New Roman"/>
          <w:i/>
        </w:rPr>
        <w:t xml:space="preserve">id. </w:t>
      </w:r>
      <w:r w:rsidRPr="00856315">
        <w:rPr>
          <w:rFonts w:ascii="Times New Roman" w:hAnsi="Times New Roman" w:cs="Times New Roman"/>
        </w:rPr>
        <w:t xml:space="preserve">at p. 32, para. 2 (“best efforts” to complete solar energy projects by 2021).  </w:t>
      </w:r>
    </w:p>
  </w:footnote>
  <w:footnote w:id="18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e.g., id. </w:t>
      </w:r>
      <w:r w:rsidRPr="00856315">
        <w:rPr>
          <w:rFonts w:ascii="Times New Roman" w:hAnsi="Times New Roman" w:cs="Times New Roman"/>
        </w:rPr>
        <w:t xml:space="preserve">at p. 22, para. c (AEP Ohio must take “reasonable steps” to implement any necessary transmission upgrades or non-transmission alternatives).  What is “reasonable” is not defined in the Joint Stipulation.  </w:t>
      </w:r>
      <w:r w:rsidRPr="00856315">
        <w:rPr>
          <w:rFonts w:ascii="Times New Roman" w:hAnsi="Times New Roman" w:cs="Times New Roman"/>
          <w:i/>
        </w:rPr>
        <w:t xml:space="preserve">See </w:t>
      </w:r>
      <w:r w:rsidRPr="00856315">
        <w:rPr>
          <w:rFonts w:ascii="Times New Roman" w:hAnsi="Times New Roman" w:cs="Times New Roman"/>
        </w:rPr>
        <w:t>Hearing Transcript at Vol. XIX, p. 4792:13-15.</w:t>
      </w:r>
    </w:p>
  </w:footnote>
  <w:footnote w:id="18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Joint Ex. 1</w:t>
      </w:r>
      <w:r w:rsidRPr="00856315">
        <w:rPr>
          <w:rFonts w:ascii="Times New Roman" w:hAnsi="Times New Roman" w:cs="Times New Roman"/>
          <w:i/>
        </w:rPr>
        <w:t xml:space="preserve"> </w:t>
      </w:r>
      <w:r w:rsidRPr="00856315">
        <w:rPr>
          <w:rFonts w:ascii="Times New Roman" w:hAnsi="Times New Roman" w:cs="Times New Roman"/>
        </w:rPr>
        <w:t>at p. 29, paras. F (fuel diversification) and G (“explore avenues to empower consumers through grid modernization initiatives[.]”).</w:t>
      </w:r>
    </w:p>
  </w:footnote>
  <w:footnote w:id="18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32, para. 2 (“preference” must be given to Appalachian Ohio in connection with solar projects).</w:t>
      </w:r>
    </w:p>
  </w:footnote>
  <w:footnote w:id="19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e.g., id. </w:t>
      </w:r>
      <w:r w:rsidRPr="00856315">
        <w:rPr>
          <w:rFonts w:ascii="Times New Roman" w:hAnsi="Times New Roman" w:cs="Times New Roman"/>
        </w:rPr>
        <w:t xml:space="preserve">at pp. 10-13 (ESP III extension); </w:t>
      </w:r>
      <w:r w:rsidRPr="00856315">
        <w:rPr>
          <w:rFonts w:ascii="Times New Roman" w:hAnsi="Times New Roman" w:cs="Times New Roman"/>
          <w:i/>
        </w:rPr>
        <w:t xml:space="preserve">id. </w:t>
      </w:r>
      <w:r w:rsidRPr="00856315">
        <w:rPr>
          <w:rFonts w:ascii="Times New Roman" w:hAnsi="Times New Roman" w:cs="Times New Roman"/>
        </w:rPr>
        <w:t xml:space="preserve">at p. 19, para. 19 (future filing regarding co-firing Conesville Units 5 and 6); </w:t>
      </w:r>
      <w:r w:rsidRPr="00856315">
        <w:rPr>
          <w:rFonts w:ascii="Times New Roman" w:hAnsi="Times New Roman" w:cs="Times New Roman"/>
          <w:i/>
        </w:rPr>
        <w:t xml:space="preserve">id. </w:t>
      </w:r>
      <w:r w:rsidRPr="00856315">
        <w:rPr>
          <w:rFonts w:ascii="Times New Roman" w:hAnsi="Times New Roman" w:cs="Times New Roman"/>
        </w:rPr>
        <w:t xml:space="preserve">at p. 21, para. 11 (future filing to open a docket regarding retiring, refueling, or repowering Conesville Units 5 and 6); </w:t>
      </w:r>
      <w:r w:rsidRPr="00856315">
        <w:rPr>
          <w:rFonts w:ascii="Times New Roman" w:hAnsi="Times New Roman" w:cs="Times New Roman"/>
          <w:i/>
        </w:rPr>
        <w:t xml:space="preserve">id. </w:t>
      </w:r>
      <w:r w:rsidRPr="00856315">
        <w:rPr>
          <w:rFonts w:ascii="Times New Roman" w:hAnsi="Times New Roman" w:cs="Times New Roman"/>
        </w:rPr>
        <w:t xml:space="preserve">at 23, para. 12 (future filing to open a docket regarding retiring, refueling, or repowering the co-owned PPA Units); </w:t>
      </w:r>
      <w:r w:rsidRPr="00856315">
        <w:rPr>
          <w:rFonts w:ascii="Times New Roman" w:hAnsi="Times New Roman" w:cs="Times New Roman"/>
          <w:i/>
        </w:rPr>
        <w:t xml:space="preserve">id. </w:t>
      </w:r>
      <w:r w:rsidRPr="00856315">
        <w:rPr>
          <w:rFonts w:ascii="Times New Roman" w:hAnsi="Times New Roman" w:cs="Times New Roman"/>
        </w:rPr>
        <w:t xml:space="preserve">at 27, para. c (future filling to seek cost recovery for Volt-Var technology, a condition precedent to deploying the technology); </w:t>
      </w:r>
      <w:r w:rsidRPr="00856315">
        <w:rPr>
          <w:rFonts w:ascii="Times New Roman" w:hAnsi="Times New Roman" w:cs="Times New Roman"/>
          <w:i/>
        </w:rPr>
        <w:t xml:space="preserve">id. </w:t>
      </w:r>
      <w:r w:rsidRPr="00856315">
        <w:rPr>
          <w:rFonts w:ascii="Times New Roman" w:hAnsi="Times New Roman" w:cs="Times New Roman"/>
        </w:rPr>
        <w:t xml:space="preserve">at 28, para. 15 (future filing regarding 2017-2019 EE/PDR Plan); </w:t>
      </w:r>
      <w:r w:rsidRPr="00856315">
        <w:rPr>
          <w:rFonts w:ascii="Times New Roman" w:hAnsi="Times New Roman" w:cs="Times New Roman"/>
          <w:i/>
        </w:rPr>
        <w:t xml:space="preserve">id. </w:t>
      </w:r>
      <w:r w:rsidRPr="00856315">
        <w:rPr>
          <w:rFonts w:ascii="Times New Roman" w:hAnsi="Times New Roman" w:cs="Times New Roman"/>
        </w:rPr>
        <w:t>at 31, para. e (future filing regarding cost recovery of environmental and renewable energy projects, a condition precedent to proceeding with the projects).</w:t>
      </w:r>
    </w:p>
  </w:footnote>
  <w:footnote w:id="19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e.g., id. </w:t>
      </w:r>
      <w:r w:rsidRPr="00856315">
        <w:rPr>
          <w:rFonts w:ascii="Times New Roman" w:hAnsi="Times New Roman" w:cs="Times New Roman"/>
        </w:rPr>
        <w:t xml:space="preserve">at p. 15, para. f (OHA’s rights under the clause “contingent” on continued approval of AEP Ohio’s EE/PDR plan, approved funding, and continued recovery of net lost distribution revenues); </w:t>
      </w:r>
      <w:r w:rsidRPr="00856315">
        <w:rPr>
          <w:rFonts w:ascii="Times New Roman" w:hAnsi="Times New Roman" w:cs="Times New Roman"/>
          <w:i/>
        </w:rPr>
        <w:t xml:space="preserve">id. </w:t>
      </w:r>
      <w:r w:rsidRPr="00856315">
        <w:rPr>
          <w:rFonts w:ascii="Times New Roman" w:hAnsi="Times New Roman" w:cs="Times New Roman"/>
        </w:rPr>
        <w:t xml:space="preserve">at 15, para. d (OPAE’s partnership and rights under the clause “contingent” on continued approval of AEP Ohio’s EE/PDR plan, approved funding, and continued recovery of net lost distribution revenues); </w:t>
      </w:r>
      <w:r w:rsidRPr="00856315">
        <w:rPr>
          <w:rFonts w:ascii="Times New Roman" w:hAnsi="Times New Roman" w:cs="Times New Roman"/>
          <w:i/>
        </w:rPr>
        <w:t xml:space="preserve">id. </w:t>
      </w:r>
      <w:r w:rsidRPr="00856315">
        <w:rPr>
          <w:rFonts w:ascii="Times New Roman" w:hAnsi="Times New Roman" w:cs="Times New Roman"/>
        </w:rPr>
        <w:t xml:space="preserve">at 19, para. 9 (co-firing Conesville 5 and 6 “subject to approval for cost recovery”); </w:t>
      </w:r>
      <w:r w:rsidRPr="00856315">
        <w:rPr>
          <w:rFonts w:ascii="Times New Roman" w:hAnsi="Times New Roman" w:cs="Times New Roman"/>
          <w:i/>
        </w:rPr>
        <w:t xml:space="preserve">id. </w:t>
      </w:r>
      <w:r w:rsidRPr="00856315">
        <w:rPr>
          <w:rFonts w:ascii="Times New Roman" w:hAnsi="Times New Roman" w:cs="Times New Roman"/>
        </w:rPr>
        <w:t xml:space="preserve">at 27, para. c (Volt-Var deployment subject to cost recovery); </w:t>
      </w:r>
      <w:r w:rsidRPr="00856315">
        <w:rPr>
          <w:rFonts w:ascii="Times New Roman" w:hAnsi="Times New Roman" w:cs="Times New Roman"/>
          <w:i/>
        </w:rPr>
        <w:t xml:space="preserve">id. </w:t>
      </w:r>
      <w:r w:rsidRPr="00856315">
        <w:rPr>
          <w:rFonts w:ascii="Times New Roman" w:hAnsi="Times New Roman" w:cs="Times New Roman"/>
        </w:rPr>
        <w:t xml:space="preserve">at 28, para. 15 (commitments regarding 2017-2019 EE/PDR Plan “contingent” on funding and any other mechanism to ensure continued recovery of net lost distribution revenues); </w:t>
      </w:r>
      <w:r w:rsidRPr="00856315">
        <w:rPr>
          <w:rFonts w:ascii="Times New Roman" w:hAnsi="Times New Roman" w:cs="Times New Roman"/>
          <w:i/>
        </w:rPr>
        <w:t xml:space="preserve">id. </w:t>
      </w:r>
      <w:r w:rsidRPr="00856315">
        <w:rPr>
          <w:rFonts w:ascii="Times New Roman" w:hAnsi="Times New Roman" w:cs="Times New Roman"/>
        </w:rPr>
        <w:t>at 30, para. I1e and 2 (commitment regarding environmental and renewable energy projects “premised upon” and “subject to” cost recovery).</w:t>
      </w:r>
    </w:p>
  </w:footnote>
  <w:footnote w:id="19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Hearing Transcript at Vol. XVIII, p. 4650:10-14.</w:t>
      </w:r>
    </w:p>
  </w:footnote>
  <w:footnote w:id="19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4650:15-4651:19.</w:t>
      </w:r>
    </w:p>
  </w:footnote>
  <w:footnote w:id="19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4652:18-4653:6.</w:t>
      </w:r>
    </w:p>
  </w:footnote>
  <w:footnote w:id="19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4648:7-18.</w:t>
      </w:r>
    </w:p>
  </w:footnote>
  <w:footnote w:id="19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4682:5-9.</w:t>
      </w:r>
    </w:p>
  </w:footnote>
  <w:footnote w:id="19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 xml:space="preserve">at Vol. XIX, p. 4685:24-4686:17.  This is significant since capacity performance penalties can exceed capacity revenues.  </w:t>
      </w:r>
      <w:r w:rsidRPr="00856315">
        <w:rPr>
          <w:rFonts w:ascii="Times New Roman" w:hAnsi="Times New Roman" w:cs="Times New Roman"/>
          <w:i/>
        </w:rPr>
        <w:t xml:space="preserve">See id. </w:t>
      </w:r>
      <w:r w:rsidRPr="00856315">
        <w:rPr>
          <w:rFonts w:ascii="Times New Roman" w:hAnsi="Times New Roman" w:cs="Times New Roman"/>
        </w:rPr>
        <w:t>at XVIII, p. 4571:12-17.</w:t>
      </w:r>
    </w:p>
  </w:footnote>
  <w:footnote w:id="19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Joint Ex. 1 at p. 5, para. 3; Hearing Transcript at Vol. XIX, p. 4728:22-4729:4. </w:t>
      </w:r>
    </w:p>
  </w:footnote>
  <w:footnote w:id="19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Hearing Transcript at Vol. XIX, p. 4715:7-24.</w:t>
      </w:r>
    </w:p>
  </w:footnote>
  <w:footnote w:id="20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4716:7-14.</w:t>
      </w:r>
    </w:p>
  </w:footnote>
  <w:footnote w:id="20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Hearing Transcript at Vol. XVIII, p. 4500:5-19.</w:t>
      </w:r>
    </w:p>
  </w:footnote>
  <w:footnote w:id="20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Vol. XIX, p. 4740:7-4743:19.</w:t>
      </w:r>
    </w:p>
  </w:footnote>
  <w:footnote w:id="20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Pr>
          <w:rFonts w:ascii="Times New Roman" w:hAnsi="Times New Roman" w:cs="Times New Roman"/>
        </w:rPr>
        <w:t xml:space="preserve"> The Joint Stipulation’</w:t>
      </w:r>
      <w:r w:rsidRPr="00856315">
        <w:rPr>
          <w:rFonts w:ascii="Times New Roman" w:hAnsi="Times New Roman" w:cs="Times New Roman"/>
        </w:rPr>
        <w:t xml:space="preserve">s problems should not necessarily surprise.  AEP Ohio asserts that equal bargaining power is not even necessary to serious bargaining.  </w:t>
      </w:r>
      <w:r w:rsidRPr="00856315">
        <w:rPr>
          <w:rFonts w:ascii="Times New Roman" w:hAnsi="Times New Roman" w:cs="Times New Roman"/>
          <w:i/>
        </w:rPr>
        <w:t xml:space="preserve">See </w:t>
      </w:r>
      <w:r w:rsidRPr="00856315">
        <w:rPr>
          <w:rFonts w:ascii="Times New Roman" w:hAnsi="Times New Roman" w:cs="Times New Roman"/>
        </w:rPr>
        <w:t>Hearing Transcript at Vol. XIX, p. 4683:20-24.</w:t>
      </w:r>
    </w:p>
  </w:footnote>
  <w:footnote w:id="20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As noted earlier, the PUCO set out in ESP III factors it would consider, but not be bound by, when determining if the PPA Rider is in the public interest.  Accordingly, evidence from the first phase of this proceeding, discussed below, is equally applicable to the PUCO's public interest analysis of the Joint Stipulation under the three-prong test.  That discussion also confirms that the Joint Stipulation should be rejected.  It is incorporated here by reference. </w:t>
      </w:r>
    </w:p>
  </w:footnote>
  <w:footnote w:id="20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Direct Testimony of Dr. Noah Dormady (OCC Ex. 36) filed December 28, 2015 at 2.</w:t>
      </w:r>
    </w:p>
  </w:footnote>
  <w:footnote w:id="20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Id. </w:t>
      </w:r>
      <w:r w:rsidRPr="00856315">
        <w:rPr>
          <w:rFonts w:ascii="Times New Roman" w:hAnsi="Times New Roman" w:cs="Times New Roman"/>
        </w:rPr>
        <w:t>at 22.</w:t>
      </w:r>
    </w:p>
  </w:footnote>
  <w:footnote w:id="207">
    <w:p w:rsidR="0020495B" w:rsidRPr="00856315" w:rsidRDefault="0020495B" w:rsidP="00856315">
      <w:pPr>
        <w:pStyle w:val="FootnoteText"/>
        <w:spacing w:after="120"/>
        <w:rPr>
          <w:rFonts w:ascii="Times New Roman" w:hAnsi="Times New Roman" w:cs="Times New Roman"/>
        </w:rPr>
      </w:pPr>
      <w:r w:rsidRPr="00856315">
        <w:rPr>
          <w:rFonts w:ascii="Times New Roman" w:hAnsi="Times New Roman" w:cs="Times New Roman"/>
          <w:vertAlign w:val="superscript"/>
        </w:rPr>
        <w:t>2</w:t>
      </w:r>
      <w:r>
        <w:rPr>
          <w:rFonts w:ascii="Times New Roman" w:hAnsi="Times New Roman" w:cs="Times New Roman"/>
          <w:vertAlign w:val="superscript"/>
        </w:rPr>
        <w:t>07</w:t>
      </w:r>
      <w:r w:rsidRPr="00856315">
        <w:rPr>
          <w:rFonts w:ascii="Times New Roman" w:hAnsi="Times New Roman" w:cs="Times New Roman"/>
          <w:vertAlign w:val="superscript"/>
        </w:rPr>
        <w:t xml:space="preserve"> </w:t>
      </w:r>
      <w:r w:rsidRPr="00856315">
        <w:rPr>
          <w:rFonts w:ascii="Times New Roman" w:hAnsi="Times New Roman" w:cs="Times New Roman"/>
          <w:i/>
        </w:rPr>
        <w:t>Id.</w:t>
      </w:r>
      <w:r w:rsidRPr="00856315">
        <w:rPr>
          <w:rFonts w:ascii="Times New Roman" w:hAnsi="Times New Roman" w:cs="Times New Roman"/>
        </w:rPr>
        <w:t xml:space="preserve"> at 6.</w:t>
      </w:r>
    </w:p>
  </w:footnote>
  <w:footnote w:id="20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w:t>
      </w:r>
    </w:p>
  </w:footnote>
  <w:footnote w:id="20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7. </w:t>
      </w:r>
    </w:p>
  </w:footnote>
  <w:footnote w:id="21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9. </w:t>
      </w:r>
    </w:p>
  </w:footnote>
  <w:footnote w:id="21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10.</w:t>
      </w:r>
    </w:p>
  </w:footnote>
  <w:footnote w:id="21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w:t>
      </w:r>
    </w:p>
  </w:footnote>
  <w:footnote w:id="21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Id. </w:t>
      </w:r>
      <w:r w:rsidRPr="00856315">
        <w:rPr>
          <w:rFonts w:ascii="Times New Roman" w:hAnsi="Times New Roman" w:cs="Times New Roman"/>
        </w:rPr>
        <w:t xml:space="preserve">at 11. </w:t>
      </w:r>
    </w:p>
  </w:footnote>
  <w:footnote w:id="21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Id. </w:t>
      </w:r>
    </w:p>
  </w:footnote>
  <w:footnote w:id="21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12. </w:t>
      </w:r>
    </w:p>
  </w:footnote>
  <w:footnote w:id="21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13. </w:t>
      </w:r>
    </w:p>
  </w:footnote>
  <w:footnote w:id="21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14. </w:t>
      </w:r>
    </w:p>
  </w:footnote>
  <w:footnote w:id="21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13.</w:t>
      </w:r>
    </w:p>
  </w:footnote>
  <w:footnote w:id="21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14. </w:t>
      </w:r>
    </w:p>
  </w:footnote>
  <w:footnote w:id="22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w:t>
      </w:r>
    </w:p>
  </w:footnote>
  <w:footnote w:id="22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15. </w:t>
      </w:r>
    </w:p>
  </w:footnote>
  <w:footnote w:id="22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Id. </w:t>
      </w:r>
    </w:p>
  </w:footnote>
  <w:footnote w:id="22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16. </w:t>
      </w:r>
    </w:p>
  </w:footnote>
  <w:footnote w:id="22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17.</w:t>
      </w:r>
    </w:p>
  </w:footnote>
  <w:footnote w:id="22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w:t>
      </w:r>
    </w:p>
  </w:footnote>
  <w:footnote w:id="22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w:t>
      </w:r>
    </w:p>
  </w:footnote>
  <w:footnote w:id="22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e.g., In the Matter of the Application of Ohio Power Company and Columbus Southern Power Company for Authority to Establish a Standard Service Offer Pursuant to Section 4928.143, Revised Code, in the Form of an Electric Security Plan,</w:t>
      </w:r>
      <w:r w:rsidRPr="00856315">
        <w:rPr>
          <w:rFonts w:ascii="Times New Roman" w:hAnsi="Times New Roman" w:cs="Times New Roman"/>
        </w:rPr>
        <w:t xml:space="preserve"> Case No. 11-346-EL-SSO Opinion and Order at pp. 38-40 (December 14, 2011).</w:t>
      </w:r>
    </w:p>
  </w:footnote>
  <w:footnote w:id="22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In the Matter of the Long-Term Forecast Report of the Ohio Power Company and Related Matters</w:t>
      </w:r>
      <w:r w:rsidRPr="00856315">
        <w:rPr>
          <w:rFonts w:ascii="Times New Roman" w:hAnsi="Times New Roman" w:cs="Times New Roman"/>
        </w:rPr>
        <w:t>, Case No. 10-501-EL-FOR Opinion and Order at p. 26.</w:t>
      </w:r>
    </w:p>
    <w:p w:rsidR="0020495B" w:rsidRPr="00856315" w:rsidRDefault="0020495B" w:rsidP="00856315">
      <w:pPr>
        <w:pStyle w:val="FootnoteText"/>
        <w:spacing w:after="120"/>
        <w:rPr>
          <w:rFonts w:ascii="Times New Roman" w:hAnsi="Times New Roman" w:cs="Times New Roman"/>
        </w:rPr>
      </w:pPr>
    </w:p>
  </w:footnote>
  <w:footnote w:id="22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Id. </w:t>
      </w:r>
      <w:r w:rsidRPr="00856315">
        <w:rPr>
          <w:rFonts w:ascii="Times New Roman" w:hAnsi="Times New Roman" w:cs="Times New Roman"/>
        </w:rPr>
        <w:t xml:space="preserve">at 18. </w:t>
      </w:r>
    </w:p>
  </w:footnote>
  <w:footnote w:id="23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19.</w:t>
      </w:r>
    </w:p>
  </w:footnote>
  <w:footnote w:id="23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Id. </w:t>
      </w:r>
      <w:r w:rsidRPr="00856315">
        <w:rPr>
          <w:rFonts w:ascii="Times New Roman" w:hAnsi="Times New Roman" w:cs="Times New Roman"/>
        </w:rPr>
        <w:t>at 20.</w:t>
      </w:r>
    </w:p>
  </w:footnote>
  <w:footnote w:id="23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w:t>
      </w:r>
    </w:p>
  </w:footnote>
  <w:footnote w:id="23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Id. </w:t>
      </w:r>
      <w:r w:rsidRPr="00856315">
        <w:rPr>
          <w:rFonts w:ascii="Times New Roman" w:hAnsi="Times New Roman" w:cs="Times New Roman"/>
        </w:rPr>
        <w:t xml:space="preserve"> In the words of PJM’s Independent Market Monitor, “[t]he purpose of the PPA Rider is to transfer the costs and market risks associated with the PPA Rider Units from AEP’s shareholders to AEP’s ratepayers.”   First Supplemental Testimony of Joseph E. Bowring on behalf of the Independent Market Monitor for PJM (IMM Ex. 2) filed December 28, 2015 at 4:13-14.</w:t>
      </w:r>
    </w:p>
  </w:footnote>
  <w:footnote w:id="23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Direct Testimony of Dr. Noah Dormady (OCC Ex. 36) filed December 28, 2015 at 21. </w:t>
      </w:r>
    </w:p>
  </w:footnote>
  <w:footnote w:id="23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Supplemental Direct Testimony of James F. Wilson (OCC Ex. 34) filed December 28, 2015 at 5:4-5.  This estimate assumes that the PPA Units will clear PJM’s Base Residual Auctions.  If they do not, costs to consumers would be much higher.</w:t>
      </w:r>
    </w:p>
  </w:footnote>
  <w:footnote w:id="23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16:3-4.</w:t>
      </w:r>
    </w:p>
  </w:footnote>
  <w:footnote w:id="23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10:12-14.</w:t>
      </w:r>
    </w:p>
  </w:footnote>
  <w:footnote w:id="23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11:3-5.</w:t>
      </w:r>
    </w:p>
  </w:footnote>
  <w:footnote w:id="23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5:8-10.</w:t>
      </w:r>
    </w:p>
  </w:footnote>
  <w:footnote w:id="24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p>
  </w:footnote>
  <w:footnote w:id="24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First Supplemental Testimony of Joseph E. Bowring on behalf of the Independent Market Monitor for PJM (IMM Ex. 2) filed December 28, 2015 at p. 6:16-33.</w:t>
      </w:r>
    </w:p>
  </w:footnote>
  <w:footnote w:id="24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17:8-15.</w:t>
      </w:r>
    </w:p>
  </w:footnote>
  <w:footnote w:id="24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17:15-20.</w:t>
      </w:r>
    </w:p>
  </w:footnote>
  <w:footnote w:id="24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18:5-9.</w:t>
      </w:r>
    </w:p>
  </w:footnote>
  <w:footnote w:id="24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18:10-11.</w:t>
      </w:r>
    </w:p>
  </w:footnote>
  <w:footnote w:id="24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18:12.</w:t>
      </w:r>
    </w:p>
  </w:footnote>
  <w:footnote w:id="24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 Id.</w:t>
      </w:r>
      <w:r w:rsidRPr="00856315">
        <w:rPr>
          <w:rFonts w:ascii="Times New Roman" w:hAnsi="Times New Roman" w:cs="Times New Roman"/>
        </w:rPr>
        <w:t xml:space="preserve"> at 11:8-12.</w:t>
      </w:r>
    </w:p>
  </w:footnote>
  <w:footnote w:id="24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11:13-16.</w:t>
      </w:r>
    </w:p>
  </w:footnote>
  <w:footnote w:id="24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at 12:4-10.</w:t>
      </w:r>
    </w:p>
  </w:footnote>
  <w:footnote w:id="25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12:10-14.</w:t>
      </w:r>
    </w:p>
  </w:footnote>
  <w:footnote w:id="25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13:1-9.</w:t>
      </w:r>
    </w:p>
  </w:footnote>
  <w:footnote w:id="25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13:9-11.</w:t>
      </w:r>
    </w:p>
  </w:footnote>
  <w:footnote w:id="25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13:12-20.</w:t>
      </w:r>
    </w:p>
  </w:footnote>
  <w:footnote w:id="25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14:14-17.</w:t>
      </w:r>
    </w:p>
  </w:footnote>
  <w:footnote w:id="25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14:17-22.</w:t>
      </w:r>
    </w:p>
  </w:footnote>
  <w:footnote w:id="25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15:1-5.</w:t>
      </w:r>
    </w:p>
  </w:footnote>
  <w:footnote w:id="25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15:5-7.</w:t>
      </w:r>
    </w:p>
  </w:footnote>
  <w:footnote w:id="25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15:5-7.</w:t>
      </w:r>
    </w:p>
  </w:footnote>
  <w:footnote w:id="25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18:14-20.</w:t>
      </w:r>
    </w:p>
  </w:footnote>
  <w:footnote w:id="26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18:20-19:9.</w:t>
      </w:r>
    </w:p>
  </w:footnote>
  <w:footnote w:id="26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18:18-20.</w:t>
      </w:r>
    </w:p>
  </w:footnote>
  <w:footnote w:id="26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Id. </w:t>
      </w:r>
      <w:r w:rsidRPr="00856315">
        <w:rPr>
          <w:rFonts w:ascii="Times New Roman" w:hAnsi="Times New Roman" w:cs="Times New Roman"/>
        </w:rPr>
        <w:t>at 19:15-17.</w:t>
      </w:r>
    </w:p>
  </w:footnote>
  <w:footnote w:id="26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Id. </w:t>
      </w:r>
      <w:r w:rsidRPr="00856315">
        <w:rPr>
          <w:rFonts w:ascii="Times New Roman" w:hAnsi="Times New Roman" w:cs="Times New Roman"/>
        </w:rPr>
        <w:t>at 19:20.</w:t>
      </w:r>
    </w:p>
  </w:footnote>
  <w:footnote w:id="26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Direct Testimony of Michael P. Haugh (OCC Ex. 33) filed December 28, 2015 at 3.</w:t>
      </w:r>
    </w:p>
  </w:footnote>
  <w:footnote w:id="26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w:t>
      </w:r>
    </w:p>
  </w:footnote>
  <w:footnote w:id="26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i/>
        </w:rPr>
        <w:t xml:space="preserve"> Id</w:t>
      </w:r>
      <w:r w:rsidRPr="00856315">
        <w:rPr>
          <w:rFonts w:ascii="Times New Roman" w:hAnsi="Times New Roman" w:cs="Times New Roman"/>
        </w:rPr>
        <w:t>. at 5.</w:t>
      </w:r>
    </w:p>
  </w:footnote>
  <w:footnote w:id="26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In the Matter of the Application of Columbus Southern Power Company and Ohio Power Company for Authority to Recover Costs Associated with the Ultimate Construction and Operation of an Integrated Gasification Combined Cycle Electric Generation Facility</w:t>
      </w:r>
      <w:r w:rsidRPr="00856315">
        <w:rPr>
          <w:rFonts w:ascii="Times New Roman" w:hAnsi="Times New Roman" w:cs="Times New Roman"/>
        </w:rPr>
        <w:t>, Case No. 05-376-EL-UNC, Order on Remand at 12 (Feb. 11, 2015).</w:t>
      </w:r>
    </w:p>
  </w:footnote>
  <w:footnote w:id="26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Direct Testimony of Michael P. Haugh (OCC Ex. 33) filed December 28, 2015 at 5. </w:t>
      </w:r>
    </w:p>
  </w:footnote>
  <w:footnote w:id="26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Id. </w:t>
      </w:r>
      <w:r w:rsidRPr="00856315">
        <w:rPr>
          <w:rFonts w:ascii="Times New Roman" w:hAnsi="Times New Roman" w:cs="Times New Roman"/>
        </w:rPr>
        <w:t>at 4.</w:t>
      </w:r>
    </w:p>
  </w:footnote>
  <w:footnote w:id="27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7. </w:t>
      </w:r>
    </w:p>
  </w:footnote>
  <w:footnote w:id="27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w:t>
      </w:r>
    </w:p>
  </w:footnote>
  <w:footnote w:id="27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w:t>
      </w:r>
    </w:p>
  </w:footnote>
  <w:footnote w:id="27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w:t>
      </w:r>
    </w:p>
  </w:footnote>
  <w:footnote w:id="27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at 8, citing Joint Stipulation at footnote 17.</w:t>
      </w:r>
    </w:p>
  </w:footnote>
  <w:footnote w:id="27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Direct Testimony of Michael P. Haugh (OCC Ex. 33) filed December 28, 2015 at 8.</w:t>
      </w:r>
    </w:p>
  </w:footnote>
  <w:footnote w:id="27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Direct Testimony of Edward W. Hill (OMAEG Ex. 29) filed December 28, 2015 at 4.</w:t>
      </w:r>
    </w:p>
  </w:footnote>
  <w:footnote w:id="27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Direct Testimony of Michael P. Haugh (OCC Ex. 33) filed December 28, 2015 at 13. </w:t>
      </w:r>
    </w:p>
  </w:footnote>
  <w:footnote w:id="27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at 13.</w:t>
      </w:r>
    </w:p>
  </w:footnote>
  <w:footnote w:id="27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14. </w:t>
      </w:r>
    </w:p>
  </w:footnote>
  <w:footnote w:id="28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w:t>
      </w:r>
    </w:p>
  </w:footnote>
  <w:footnote w:id="28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at 15, citing http://www.oica.net/category/production-statistics/2009-statistics.</w:t>
      </w:r>
    </w:p>
  </w:footnote>
  <w:footnote w:id="28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at 15, citing http://www.oica.net/category/production-statistics/2014-statistics.</w:t>
      </w:r>
    </w:p>
  </w:footnote>
  <w:footnote w:id="28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15.  OCC Witness Haugh's conclusion regarding the hand out to automakers is confirmed by AEP Ohio Witness Allen's testimony.  </w:t>
      </w:r>
      <w:r w:rsidRPr="00856315">
        <w:rPr>
          <w:rFonts w:ascii="Times New Roman" w:hAnsi="Times New Roman" w:cs="Times New Roman"/>
          <w:i/>
        </w:rPr>
        <w:t xml:space="preserve">See </w:t>
      </w:r>
      <w:r w:rsidRPr="00856315">
        <w:rPr>
          <w:rFonts w:ascii="Times New Roman" w:hAnsi="Times New Roman" w:cs="Times New Roman"/>
        </w:rPr>
        <w:t xml:space="preserve">Hearing Transcript at Vol. XIX, p. 4762 (no current automaker credit, arose as a result of Joint Stipulation).  Further, AEP Ohio did not know what the aggregate automaker electricity bill within AEP Ohio’s service territory is.  </w:t>
      </w:r>
      <w:r w:rsidRPr="00856315">
        <w:rPr>
          <w:rFonts w:ascii="Times New Roman" w:hAnsi="Times New Roman" w:cs="Times New Roman"/>
          <w:i/>
        </w:rPr>
        <w:t xml:space="preserve">See </w:t>
      </w:r>
      <w:r w:rsidRPr="00856315">
        <w:rPr>
          <w:rFonts w:ascii="Times New Roman" w:hAnsi="Times New Roman" w:cs="Times New Roman"/>
        </w:rPr>
        <w:t xml:space="preserve">Hearing Transcript at Vol. XX, p. 4961:3-24.  Thus, the PUCO cannot conclude based on the record evidence that the automaker credit will have any meaningful effect on automakers.  </w:t>
      </w:r>
    </w:p>
  </w:footnote>
  <w:footnote w:id="28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Direct Testimony of Michael P. Haugh (OCC Ex. 33) filed December 28, 2015 at 15.  OCC Witness Haugh's conclusion regarding the hand out to OHA is confirmed by AEP Ohio Witness Allen's testimony.  </w:t>
      </w:r>
      <w:r w:rsidRPr="00856315">
        <w:rPr>
          <w:rFonts w:ascii="Times New Roman" w:hAnsi="Times New Roman" w:cs="Times New Roman"/>
          <w:i/>
        </w:rPr>
        <w:t xml:space="preserve">See </w:t>
      </w:r>
      <w:r w:rsidRPr="00856315">
        <w:rPr>
          <w:rFonts w:ascii="Times New Roman" w:hAnsi="Times New Roman" w:cs="Times New Roman"/>
        </w:rPr>
        <w:t xml:space="preserve">Hearing Transcript at Vol. XVIII, p. 4541:18-23; 4547:7-13 (under the Joint Stipulation, approximately $1 million "earmarked" for OHA); </w:t>
      </w:r>
      <w:r w:rsidRPr="00856315">
        <w:rPr>
          <w:rFonts w:ascii="Times New Roman" w:hAnsi="Times New Roman" w:cs="Times New Roman"/>
          <w:i/>
        </w:rPr>
        <w:t xml:space="preserve">id. </w:t>
      </w:r>
      <w:r w:rsidRPr="00856315">
        <w:rPr>
          <w:rFonts w:ascii="Times New Roman" w:hAnsi="Times New Roman" w:cs="Times New Roman"/>
        </w:rPr>
        <w:t xml:space="preserve">at 4551:1-4; 4552:15-18 (rate reduction under Joint Stipulation to Alternative Feed Service would save participating OHA members $100,000). </w:t>
      </w:r>
    </w:p>
  </w:footnote>
  <w:footnote w:id="28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Direct Testimony of Michael P. Haugh (OCC Ex. 33) filed December 28, 2015 at 16.</w:t>
      </w:r>
    </w:p>
  </w:footnote>
  <w:footnote w:id="28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OCC Witness Haugh's conclusions regarding the handout to OPAE are confirmed by the testimony of AEP Ohio Witness Allen.  </w:t>
      </w:r>
      <w:r w:rsidRPr="00856315">
        <w:rPr>
          <w:rFonts w:ascii="Times New Roman" w:hAnsi="Times New Roman" w:cs="Times New Roman"/>
          <w:i/>
        </w:rPr>
        <w:t xml:space="preserve">See </w:t>
      </w:r>
      <w:r w:rsidRPr="00856315">
        <w:rPr>
          <w:rFonts w:ascii="Times New Roman" w:hAnsi="Times New Roman" w:cs="Times New Roman"/>
        </w:rPr>
        <w:t xml:space="preserve">Hearing Testimony at Vol. XVIII, p. 4556:4-23 ($200,000 "earmarked" for OPAE to assist with CAP program notwithstanding nothing prevents OPAE from seeking that funding irrespective of the Joint Stipulation); </w:t>
      </w:r>
      <w:r w:rsidRPr="00856315">
        <w:rPr>
          <w:rFonts w:ascii="Times New Roman" w:hAnsi="Times New Roman" w:cs="Times New Roman"/>
          <w:i/>
        </w:rPr>
        <w:t xml:space="preserve">id. </w:t>
      </w:r>
      <w:r w:rsidRPr="00856315">
        <w:rPr>
          <w:rFonts w:ascii="Times New Roman" w:hAnsi="Times New Roman" w:cs="Times New Roman"/>
        </w:rPr>
        <w:t xml:space="preserve">at p. 4562:12-15 (OPAE not currently administering CAP program); </w:t>
      </w:r>
      <w:r w:rsidRPr="00856315">
        <w:rPr>
          <w:rFonts w:ascii="Times New Roman" w:hAnsi="Times New Roman" w:cs="Times New Roman"/>
          <w:i/>
        </w:rPr>
        <w:t xml:space="preserve">id. </w:t>
      </w:r>
      <w:r w:rsidRPr="00856315">
        <w:rPr>
          <w:rFonts w:ascii="Times New Roman" w:hAnsi="Times New Roman" w:cs="Times New Roman"/>
        </w:rPr>
        <w:t>at p. 4558:2-8; 4558:24-4559:2 (up to $8,000,000 "earmarked" for programs to be administered by OPAE, for which OPAE will receive a 5% management fee).</w:t>
      </w:r>
    </w:p>
  </w:footnote>
  <w:footnote w:id="28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Direct Testimony of Michael P. Haugh (OCC Ex. 33) filed December 28, 2015 at 17; </w:t>
      </w:r>
      <w:r w:rsidRPr="00856315">
        <w:rPr>
          <w:rFonts w:ascii="Times New Roman" w:hAnsi="Times New Roman" w:cs="Times New Roman"/>
          <w:i/>
        </w:rPr>
        <w:t xml:space="preserve">see also </w:t>
      </w:r>
      <w:r w:rsidRPr="00856315">
        <w:rPr>
          <w:rFonts w:ascii="Times New Roman" w:hAnsi="Times New Roman" w:cs="Times New Roman"/>
        </w:rPr>
        <w:t>Hearing Transcript at Vol. XVIII, p. 4573:8-20.</w:t>
      </w:r>
    </w:p>
  </w:footnote>
  <w:footnote w:id="28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The Global Settlement Agreement, P3/EPSA Ex. 11 (admitted at Hearing Transcript Vol. XX, p. 5012), between IEU and AEP Ohio further calls into question whether the Joint Stipulation was the product of serious bargaining among knowledgeable parties.  The only witness to testify at the evidentiary hearing supporting the Joint Stipulation could say nothing more than that "some parties" were aware of the Global Settlement Agreement before they signed the Joint Stipulation.  </w:t>
      </w:r>
      <w:r w:rsidRPr="00856315">
        <w:rPr>
          <w:rFonts w:ascii="Times New Roman" w:hAnsi="Times New Roman" w:cs="Times New Roman"/>
          <w:i/>
        </w:rPr>
        <w:t xml:space="preserve">See </w:t>
      </w:r>
      <w:r w:rsidRPr="00856315">
        <w:rPr>
          <w:rFonts w:ascii="Times New Roman" w:hAnsi="Times New Roman" w:cs="Times New Roman"/>
        </w:rPr>
        <w:t xml:space="preserve">Hearing Transcript at Vol. XIX, p. 4814:14-17.  </w:t>
      </w:r>
    </w:p>
  </w:footnote>
  <w:footnote w:id="28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Direct Testimony of Michael P. Haugh (OCC Ex. 33) filed December 28, 2015 at 9, citing Stipulation at 4.</w:t>
      </w:r>
    </w:p>
  </w:footnote>
  <w:footnote w:id="29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Direct Testimony of Michael P. Haugh (OCC Ex. 33) filed December 28, 2015 at 9, citing the Stipulation at 4.</w:t>
      </w:r>
    </w:p>
  </w:footnote>
  <w:footnote w:id="29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AEP Ohio has asserted that the CIR will promote retail competition and that the PUCO has implemented programs to support retail competition.  The best it could do to support the assertion was to cite to a case from fifteen years ago when retail competition was in its infancy.  </w:t>
      </w:r>
      <w:r w:rsidRPr="00856315">
        <w:rPr>
          <w:rFonts w:ascii="Times New Roman" w:hAnsi="Times New Roman" w:cs="Times New Roman"/>
          <w:i/>
        </w:rPr>
        <w:t xml:space="preserve">See </w:t>
      </w:r>
      <w:r w:rsidRPr="00856315">
        <w:rPr>
          <w:rFonts w:ascii="Times New Roman" w:hAnsi="Times New Roman" w:cs="Times New Roman"/>
        </w:rPr>
        <w:t xml:space="preserve">Hearing Transcript at Vol. XX, p. 4958:11-4959:1.  Yet it acknowledged that now seventy percent of the load is shopping and approximately fifty percent of the customer count.  </w:t>
      </w:r>
      <w:r w:rsidRPr="00856315">
        <w:rPr>
          <w:rFonts w:ascii="Times New Roman" w:hAnsi="Times New Roman" w:cs="Times New Roman"/>
          <w:i/>
        </w:rPr>
        <w:t>See id.</w:t>
      </w:r>
      <w:r w:rsidRPr="00856315">
        <w:rPr>
          <w:rFonts w:ascii="Times New Roman" w:hAnsi="Times New Roman" w:cs="Times New Roman"/>
        </w:rPr>
        <w:t xml:space="preserve">  </w:t>
      </w:r>
    </w:p>
  </w:footnote>
  <w:footnote w:id="29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Direct Testimony of Michael P. Haugh (OCC Ex. 33) filed December 28, 2015 at 9. </w:t>
      </w:r>
    </w:p>
  </w:footnote>
  <w:footnote w:id="29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Joint Ex. 1 at 18, para. f; Hearing Transcript at Vol. XVIII, p. 4644:1-11.</w:t>
      </w:r>
    </w:p>
  </w:footnote>
  <w:footnote w:id="29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Direct Testimony of Michael P. Haugh (OCC Ex. 33) filed December 28, 2015 at 11.</w:t>
      </w:r>
    </w:p>
  </w:footnote>
  <w:footnote w:id="29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Further, neither the CIR nor the SCB, each offering certain benefits to certain Signatory Parties, were part of AEP Ohio's Amended Application.  </w:t>
      </w:r>
      <w:r w:rsidRPr="00856315">
        <w:rPr>
          <w:rFonts w:ascii="Times New Roman" w:hAnsi="Times New Roman" w:cs="Times New Roman"/>
          <w:i/>
        </w:rPr>
        <w:t xml:space="preserve">See </w:t>
      </w:r>
      <w:r w:rsidRPr="00856315">
        <w:rPr>
          <w:rFonts w:ascii="Times New Roman" w:hAnsi="Times New Roman" w:cs="Times New Roman"/>
        </w:rPr>
        <w:t xml:space="preserve">Hearing Transcript at Vol. XVIII, p. 4643:13-15 (CIR) and 4645:3-5 (SCB).  They only arose as part of the Joint Stipulation. </w:t>
      </w:r>
    </w:p>
  </w:footnote>
  <w:footnote w:id="29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Direct Testimony of Michael P. Haugh (OCC Ex. 33) filed December 28, 2015 at 19.</w:t>
      </w:r>
    </w:p>
  </w:footnote>
  <w:footnote w:id="29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17, citing Direct Testimony of William A. Allen (AEP Ohio Ex. 52) filed December 14, 2015 at 3. </w:t>
      </w:r>
    </w:p>
  </w:footnote>
  <w:footnote w:id="29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Direct Testimony of Michael P. Haugh (OCC Ex. 33) filed December 28, 2015 at 18, citing Direct Testimony of William A. Allen (AEP Ohio Ex. 52) filed December 14, 2015 at 14.</w:t>
      </w:r>
    </w:p>
  </w:footnote>
  <w:footnote w:id="29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Direct Testimony of Michael P. Haugh (OCC Ex. 33) filed December 28, 2015 at 18.</w:t>
      </w:r>
    </w:p>
  </w:footnote>
  <w:footnote w:id="30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19, citing Direct Testimony of James F. Wilson (OCC Ex. 34) filed December 28, 2015 at 6. </w:t>
      </w:r>
    </w:p>
  </w:footnote>
  <w:footnote w:id="30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Direct Testimony of Michael P. Haugh (OCC Ex. 33) filed December 28, 2015 at 20, citing Direct Testimony of Beth E. Hixon (OCC Ex. 9) filed September 11, 2015 at 4. </w:t>
      </w:r>
    </w:p>
  </w:footnote>
  <w:footnote w:id="30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This quantification does not take into account the Joint Stipulation's other additional costs.</w:t>
      </w:r>
    </w:p>
  </w:footnote>
  <w:footnote w:id="30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Direct Testimony of Robert B. Fortney (OCC Ex. 31) filed December 28, 2015 at 3:13-16.</w:t>
      </w:r>
    </w:p>
  </w:footnote>
  <w:footnote w:id="30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3:16-18.</w:t>
      </w:r>
    </w:p>
  </w:footnote>
  <w:footnote w:id="30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3:18-21.</w:t>
      </w:r>
    </w:p>
  </w:footnote>
  <w:footnote w:id="30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3:21-4:3; </w:t>
      </w:r>
      <w:r w:rsidRPr="00856315">
        <w:rPr>
          <w:rFonts w:ascii="Times New Roman" w:hAnsi="Times New Roman" w:cs="Times New Roman"/>
          <w:i/>
        </w:rPr>
        <w:t xml:space="preserve">see also </w:t>
      </w:r>
      <w:r w:rsidRPr="00856315">
        <w:rPr>
          <w:rFonts w:ascii="Times New Roman" w:hAnsi="Times New Roman" w:cs="Times New Roman"/>
        </w:rPr>
        <w:t>Hearing Transcript at Vol. XVIII, p. 4566:3-12 (transferring riders into EDR not approved in last ESP proceeding).</w:t>
      </w:r>
    </w:p>
  </w:footnote>
  <w:footnote w:id="30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Direct Testimony of Robert B. Fortney (OCC Ex. 31) filed December 28, 2015 at 5:17-19.</w:t>
      </w:r>
    </w:p>
  </w:footnote>
  <w:footnote w:id="30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5:19-21.</w:t>
      </w:r>
    </w:p>
  </w:footnote>
  <w:footnote w:id="30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6:2-4.  Of note, the Joint Stipulation proposes to increase PPA Rider costs borne by residential customers by ten percent.</w:t>
      </w:r>
    </w:p>
  </w:footnote>
  <w:footnote w:id="31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6:4-5.</w:t>
      </w:r>
    </w:p>
  </w:footnote>
  <w:footnote w:id="31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note </w:t>
      </w:r>
      <w:r>
        <w:rPr>
          <w:rFonts w:ascii="Times New Roman" w:hAnsi="Times New Roman" w:cs="Times New Roman"/>
        </w:rPr>
        <w:t>125</w:t>
      </w:r>
      <w:r w:rsidRPr="00856315">
        <w:rPr>
          <w:rFonts w:ascii="Times New Roman" w:hAnsi="Times New Roman" w:cs="Times New Roman"/>
        </w:rPr>
        <w:t>,</w:t>
      </w:r>
      <w:r w:rsidRPr="00856315">
        <w:rPr>
          <w:rFonts w:ascii="Times New Roman" w:hAnsi="Times New Roman" w:cs="Times New Roman"/>
          <w:i/>
        </w:rPr>
        <w:t xml:space="preserve"> supra.</w:t>
      </w:r>
    </w:p>
  </w:footnote>
  <w:footnote w:id="31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OCC does not concede the credibility of any of AEP Ohio’s “evidence” discussed in this section.  Instead, OCC shows that AEP Ohio’s Amended Application/Modified Amended Application should be rejected based on analysis similar to what would be applied under Rules 12(B)(6) and 50(A) of the Ohio Rules of Civil Procedure and in light of the governing law squarely placing the burden of proof on AEP Ohio as the applicant.</w:t>
      </w:r>
    </w:p>
  </w:footnote>
  <w:footnote w:id="313">
    <w:p w:rsidR="0020495B" w:rsidRPr="00856315" w:rsidRDefault="0020495B" w:rsidP="00856315">
      <w:pPr>
        <w:pStyle w:val="FootnoteText"/>
        <w:spacing w:after="120"/>
        <w:rPr>
          <w:rFonts w:ascii="Times New Roman" w:hAnsi="Times New Roman" w:cs="Times New Roman"/>
          <w:i/>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ESP III Opinion and Order at 25</w:t>
      </w:r>
      <w:r w:rsidRPr="00856315">
        <w:rPr>
          <w:rFonts w:ascii="Times New Roman" w:hAnsi="Times New Roman" w:cs="Times New Roman"/>
          <w:i/>
        </w:rPr>
        <w:t>.</w:t>
      </w:r>
    </w:p>
  </w:footnote>
  <w:footnote w:id="31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 xml:space="preserve">As Staff explained in the initial phase of this case, AEP Ohio could satisfy all of these factors and the PUCO may still say “no” to its Amended Application/Modified Amended Application.  </w:t>
      </w:r>
      <w:r w:rsidRPr="00856315">
        <w:rPr>
          <w:rFonts w:ascii="Times New Roman" w:hAnsi="Times New Roman" w:cs="Times New Roman"/>
          <w:i/>
        </w:rPr>
        <w:t xml:space="preserve">See </w:t>
      </w:r>
      <w:r w:rsidRPr="00856315">
        <w:rPr>
          <w:rFonts w:ascii="Times New Roman" w:hAnsi="Times New Roman" w:cs="Times New Roman"/>
        </w:rPr>
        <w:t>Hearing Transcript at Vol. XVI, p. 3893:6-16.</w:t>
      </w:r>
    </w:p>
  </w:footnote>
  <w:footnote w:id="31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e.g., </w:t>
      </w:r>
      <w:r w:rsidRPr="00856315">
        <w:rPr>
          <w:rFonts w:ascii="Times New Roman" w:hAnsi="Times New Roman" w:cs="Times New Roman"/>
        </w:rPr>
        <w:t>Amended Application at 6, para. 9; Direct Testimony of Toby L. Thomas (AEP Ohio Ex. 5) filed May 15, 2015 at p. 11:7; Direct Testimony of Pablo A. Vegas (AEP Ohio Ex. 1) filed May 15, 2015 at p. 16:14.</w:t>
      </w:r>
    </w:p>
  </w:footnote>
  <w:footnote w:id="31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Hearing Transcript at Vol. I, p. 191:2-192:2; AEP 49</w:t>
      </w:r>
      <w:r w:rsidRPr="00856315">
        <w:rPr>
          <w:rFonts w:ascii="Times New Roman" w:hAnsi="Times New Roman" w:cs="Times New Roman"/>
          <w:vertAlign w:val="superscript"/>
        </w:rPr>
        <w:t>th</w:t>
      </w:r>
      <w:r w:rsidRPr="00856315">
        <w:rPr>
          <w:rFonts w:ascii="Times New Roman" w:hAnsi="Times New Roman" w:cs="Times New Roman"/>
        </w:rPr>
        <w:t xml:space="preserve"> EEI Financial Conference Presentation, 11-13-14 (OCC Ex. 4, admitted at Hearing Transcript Vol. II, p. 365) at p. 3.</w:t>
      </w:r>
    </w:p>
  </w:footnote>
  <w:footnote w:id="31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Hearing Transcript at Vol. I, p. 192:18-193:1; AEP May 2015 Investor Meeting (OCC Ex. 5, admitted at Hearing Transcript Vol. II, p. 365) at p. 3.</w:t>
      </w:r>
    </w:p>
  </w:footnote>
  <w:footnote w:id="31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Hearing Transcript at Vol. I, p. 194:7-21; AEP September 2015 Investor Meetings (OCC Ex. 7, admitted at Hearing Transcript Vol. II, p. 365). </w:t>
      </w:r>
    </w:p>
  </w:footnote>
  <w:footnote w:id="31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Hearing Transcript at Vol. I, p. 195:1-4.</w:t>
      </w:r>
    </w:p>
  </w:footnote>
  <w:footnote w:id="32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AEP 2</w:t>
      </w:r>
      <w:r w:rsidRPr="00856315">
        <w:rPr>
          <w:rFonts w:ascii="Times New Roman" w:hAnsi="Times New Roman" w:cs="Times New Roman"/>
          <w:vertAlign w:val="superscript"/>
        </w:rPr>
        <w:t>nd</w:t>
      </w:r>
      <w:r w:rsidRPr="00856315">
        <w:rPr>
          <w:rFonts w:ascii="Times New Roman" w:hAnsi="Times New Roman" w:cs="Times New Roman"/>
        </w:rPr>
        <w:t xml:space="preserve"> Quarter 2014 Earnings Release Presentation (OCC Ex. 3, admitted at Hearing Transcript Vol. II, p. 365) at 31; </w:t>
      </w:r>
      <w:r w:rsidRPr="00856315">
        <w:rPr>
          <w:rFonts w:ascii="Times New Roman" w:hAnsi="Times New Roman" w:cs="Times New Roman"/>
          <w:i/>
        </w:rPr>
        <w:t xml:space="preserve">see also </w:t>
      </w:r>
      <w:r w:rsidRPr="00856315">
        <w:rPr>
          <w:rFonts w:ascii="Times New Roman" w:hAnsi="Times New Roman" w:cs="Times New Roman"/>
        </w:rPr>
        <w:t>Hearing Transcript at Vol. I, p. 190:1-25.</w:t>
      </w:r>
    </w:p>
  </w:footnote>
  <w:footnote w:id="32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AEP May 2015 Investor Meeting (OCC Ex. 5, admitted at Hearing Transcript Vol. II, p. 365) at 23; </w:t>
      </w:r>
      <w:r w:rsidRPr="00856315">
        <w:rPr>
          <w:rFonts w:ascii="Times New Roman" w:hAnsi="Times New Roman" w:cs="Times New Roman"/>
          <w:i/>
        </w:rPr>
        <w:t xml:space="preserve">see also </w:t>
      </w:r>
      <w:r w:rsidRPr="00856315">
        <w:rPr>
          <w:rFonts w:ascii="Times New Roman" w:hAnsi="Times New Roman" w:cs="Times New Roman"/>
        </w:rPr>
        <w:t>Hearing Transcript at Vol. I, p. 192:4-193:7.</w:t>
      </w:r>
    </w:p>
  </w:footnote>
  <w:footnote w:id="32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AEP June 2015 Investor Meetings (OCC Ex. 6, admitted at Hearing Transcript Vol. II, p. 365) at 28; </w:t>
      </w:r>
      <w:r w:rsidRPr="00856315">
        <w:rPr>
          <w:rFonts w:ascii="Times New Roman" w:hAnsi="Times New Roman" w:cs="Times New Roman"/>
          <w:i/>
        </w:rPr>
        <w:t xml:space="preserve">see also </w:t>
      </w:r>
      <w:r w:rsidRPr="00856315">
        <w:rPr>
          <w:rFonts w:ascii="Times New Roman" w:hAnsi="Times New Roman" w:cs="Times New Roman"/>
        </w:rPr>
        <w:t>Hearing Transcript at Vol. I, p. 193:16-194:6.</w:t>
      </w:r>
    </w:p>
  </w:footnote>
  <w:footnote w:id="32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AEP September 2015 Investor Meetings (OCC Ex. 7, admitted at Hearing Transcript Vol. II, p. 365) at 28; </w:t>
      </w:r>
      <w:r w:rsidRPr="00856315">
        <w:rPr>
          <w:rFonts w:ascii="Times New Roman" w:hAnsi="Times New Roman" w:cs="Times New Roman"/>
          <w:i/>
        </w:rPr>
        <w:t xml:space="preserve">see also </w:t>
      </w:r>
      <w:r w:rsidRPr="00856315">
        <w:rPr>
          <w:rFonts w:ascii="Times New Roman" w:hAnsi="Times New Roman" w:cs="Times New Roman"/>
        </w:rPr>
        <w:t xml:space="preserve">Hearing Transcript at Vol. I, p. 194:7-25.  AEP’s public representations that AEPGR’s generation fleet, including the PPA Units, is cost-effective and competitive as reflected in OCC Exs. 3, 5-7 were all made </w:t>
      </w:r>
      <w:r w:rsidRPr="00856315">
        <w:rPr>
          <w:rFonts w:ascii="Times New Roman" w:hAnsi="Times New Roman" w:cs="Times New Roman"/>
          <w:i/>
        </w:rPr>
        <w:t>after</w:t>
      </w:r>
      <w:r w:rsidRPr="00856315">
        <w:rPr>
          <w:rFonts w:ascii="Times New Roman" w:hAnsi="Times New Roman" w:cs="Times New Roman"/>
        </w:rPr>
        <w:t xml:space="preserve"> statements made by AEP’s CEO during the April 23, 2015 earnings call referenced in the May 15, 2015 cover letter from AEP Ohio’s President accompanying the filing of the Amended Application.</w:t>
      </w:r>
    </w:p>
  </w:footnote>
  <w:footnote w:id="32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Hearing Transcript at Vol. VI, p. 1716:20-1717:4.</w:t>
      </w:r>
    </w:p>
  </w:footnote>
  <w:footnote w:id="32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Id. </w:t>
      </w:r>
      <w:r w:rsidRPr="00856315">
        <w:rPr>
          <w:rFonts w:ascii="Times New Roman" w:hAnsi="Times New Roman" w:cs="Times New Roman"/>
        </w:rPr>
        <w:t>at p. 1718:20-23.</w:t>
      </w:r>
    </w:p>
  </w:footnote>
  <w:footnote w:id="32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Id. </w:t>
      </w:r>
      <w:r w:rsidRPr="00856315">
        <w:rPr>
          <w:rFonts w:ascii="Times New Roman" w:hAnsi="Times New Roman" w:cs="Times New Roman"/>
        </w:rPr>
        <w:t>at p. 1718:24-1719:7.</w:t>
      </w:r>
    </w:p>
  </w:footnote>
  <w:footnote w:id="32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Id. </w:t>
      </w:r>
      <w:r w:rsidRPr="00856315">
        <w:rPr>
          <w:rFonts w:ascii="Times New Roman" w:hAnsi="Times New Roman" w:cs="Times New Roman"/>
        </w:rPr>
        <w:t>at p. 1719:23-1720:2.</w:t>
      </w:r>
    </w:p>
  </w:footnote>
  <w:footnote w:id="32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Vol. I, p. 168:20:23.</w:t>
      </w:r>
    </w:p>
  </w:footnote>
  <w:footnote w:id="32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 xml:space="preserve">at p. 169:6-15; KDP-2 (OCC Ex. 1, admitted at Hearing Transcript Vol. II, p. 365).  Likewise, AEP Ohio projects that the PPA Rider as modified by the Joint Stipulation will result in a $721 million profit.  </w:t>
      </w:r>
      <w:r w:rsidRPr="00856315">
        <w:rPr>
          <w:rFonts w:ascii="Times New Roman" w:hAnsi="Times New Roman" w:cs="Times New Roman"/>
          <w:i/>
        </w:rPr>
        <w:t xml:space="preserve">See </w:t>
      </w:r>
      <w:r w:rsidRPr="00856315">
        <w:rPr>
          <w:rFonts w:ascii="Times New Roman" w:hAnsi="Times New Roman" w:cs="Times New Roman"/>
        </w:rPr>
        <w:t>Direct Testimony of William A. Allen (AEP Ohio Ex. 52) filed December 14, 2015 at WAA-2, Average of High Load and Low Load Forecast.</w:t>
      </w:r>
    </w:p>
  </w:footnote>
  <w:footnote w:id="33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Hearing Transcript</w:t>
      </w:r>
      <w:r w:rsidRPr="00856315">
        <w:rPr>
          <w:rFonts w:ascii="Times New Roman" w:hAnsi="Times New Roman" w:cs="Times New Roman"/>
          <w:i/>
        </w:rPr>
        <w:t xml:space="preserve"> </w:t>
      </w:r>
      <w:r w:rsidRPr="00856315">
        <w:rPr>
          <w:rFonts w:ascii="Times New Roman" w:hAnsi="Times New Roman" w:cs="Times New Roman"/>
        </w:rPr>
        <w:t>at Vol. I, p. 169:16-19. Presumably AEPGR, AEP’s wholly-owned subsidiary and AEP Ohio’s affiliate, could make the same investment.  Under the PPA Rider as modified by the Joint Stipulation, AEP Ohio would not even have to make a short-term “investment” – each and every year of the PPA Rider is forecast by AEP Ohio to net a profit.</w:t>
      </w:r>
      <w:r w:rsidRPr="00856315">
        <w:rPr>
          <w:rFonts w:ascii="Times New Roman" w:hAnsi="Times New Roman" w:cs="Times New Roman"/>
          <w:i/>
        </w:rPr>
        <w:t xml:space="preserve">  See </w:t>
      </w:r>
      <w:r w:rsidRPr="00856315">
        <w:rPr>
          <w:rFonts w:ascii="Times New Roman" w:hAnsi="Times New Roman" w:cs="Times New Roman"/>
        </w:rPr>
        <w:t>Direct Testimony of William A. Allen (AEP Ohio Ex. 52) filed December 14, 2015 at WAA-2, Average of High Load and Low Load Forecast.</w:t>
      </w:r>
    </w:p>
  </w:footnote>
  <w:footnote w:id="33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Hearing Transcript at Vol. I, p. 169:20-170:12.</w:t>
      </w:r>
    </w:p>
  </w:footnote>
  <w:footnote w:id="33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Or $721 million, if the Joint Stipulation is approved.</w:t>
      </w:r>
    </w:p>
  </w:footnote>
  <w:footnote w:id="33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Hearing Transcript at Vol. I, p. 167:13-18; </w:t>
      </w:r>
      <w:r w:rsidRPr="00856315">
        <w:rPr>
          <w:rFonts w:ascii="Times New Roman" w:hAnsi="Times New Roman" w:cs="Times New Roman"/>
          <w:i/>
        </w:rPr>
        <w:t xml:space="preserve">see also </w:t>
      </w:r>
      <w:r w:rsidRPr="00856315">
        <w:rPr>
          <w:rFonts w:ascii="Times New Roman" w:hAnsi="Times New Roman" w:cs="Times New Roman"/>
        </w:rPr>
        <w:t>Direct Testimony of William A. Allen (AEP Ohio Ex. 52) filed December 14, 2015 at WAA-2, Average of High Load and Low Load Forecast (projecting a net profit and, thus, benefit to consumers, of $721 million under the modified PPA Rider proposal).</w:t>
      </w:r>
    </w:p>
  </w:footnote>
  <w:footnote w:id="33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KDP-2 (OCC Ex. 1, admitted at Hearing Transcript Vol. II, p. 365).  A “good forecast” and the one AEP Witnesses Pearce and Vegas suggest should inform the PUCO’s consideration of the Amended Application.  </w:t>
      </w:r>
      <w:r w:rsidRPr="00856315">
        <w:rPr>
          <w:rFonts w:ascii="Times New Roman" w:hAnsi="Times New Roman" w:cs="Times New Roman"/>
          <w:i/>
        </w:rPr>
        <w:t xml:space="preserve">See, e.g., </w:t>
      </w:r>
      <w:r w:rsidRPr="00856315">
        <w:rPr>
          <w:rFonts w:ascii="Times New Roman" w:hAnsi="Times New Roman" w:cs="Times New Roman"/>
        </w:rPr>
        <w:t xml:space="preserve">Hearing Transcript at Vol. VII, p. 1868:2-7; Direct Testimony of Kelly D. Pearce (AEP Ohio Ex. 2) filed May 15, 2015 at 5, Table 1; </w:t>
      </w:r>
      <w:r w:rsidRPr="00856315">
        <w:rPr>
          <w:rFonts w:ascii="Times New Roman" w:hAnsi="Times New Roman" w:cs="Times New Roman"/>
          <w:i/>
        </w:rPr>
        <w:t xml:space="preserve">id. </w:t>
      </w:r>
      <w:r w:rsidRPr="00856315">
        <w:rPr>
          <w:rFonts w:ascii="Times New Roman" w:hAnsi="Times New Roman" w:cs="Times New Roman"/>
        </w:rPr>
        <w:t xml:space="preserve">at 13:1-7; 5-15-15 Letter to Commission from Mr. Vegas (OCC Ex. 2, admitted at Hearing Transcript Vol. II, p. 365).  </w:t>
      </w:r>
    </w:p>
  </w:footnote>
  <w:footnote w:id="33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Hearing Transcript at Vol. VII, p. 1868:8-11; </w:t>
      </w:r>
      <w:r w:rsidRPr="00856315">
        <w:rPr>
          <w:rFonts w:ascii="Times New Roman" w:hAnsi="Times New Roman" w:cs="Times New Roman"/>
          <w:i/>
        </w:rPr>
        <w:t xml:space="preserve">see also </w:t>
      </w:r>
      <w:r w:rsidRPr="00856315">
        <w:rPr>
          <w:rFonts w:ascii="Times New Roman" w:hAnsi="Times New Roman" w:cs="Times New Roman"/>
        </w:rPr>
        <w:t xml:space="preserve">KDP-2 (OCC Ex. 1, admitted at Hearing Transcript Vol. II, p. 365).  The forecasted revenues under the modified PPA Rider proposal are $10.8 billion.  </w:t>
      </w:r>
      <w:r w:rsidRPr="00856315">
        <w:rPr>
          <w:rFonts w:ascii="Times New Roman" w:hAnsi="Times New Roman" w:cs="Times New Roman"/>
          <w:i/>
        </w:rPr>
        <w:t xml:space="preserve">See </w:t>
      </w:r>
      <w:r w:rsidRPr="00856315">
        <w:rPr>
          <w:rFonts w:ascii="Times New Roman" w:hAnsi="Times New Roman" w:cs="Times New Roman"/>
        </w:rPr>
        <w:t>Direct Testimony of William A. Allen (AEP Ohio Ex. 52) filed December 14, 2015 at WAA-2, Average of High Load and Low Load Forecast.</w:t>
      </w:r>
    </w:p>
  </w:footnote>
  <w:footnote w:id="33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Hearing Transcript at Vol. VII, p. 1868:13-16; </w:t>
      </w:r>
      <w:r w:rsidRPr="00856315">
        <w:rPr>
          <w:rFonts w:ascii="Times New Roman" w:hAnsi="Times New Roman" w:cs="Times New Roman"/>
          <w:i/>
        </w:rPr>
        <w:t xml:space="preserve">see also </w:t>
      </w:r>
      <w:r w:rsidRPr="00856315">
        <w:rPr>
          <w:rFonts w:ascii="Times New Roman" w:hAnsi="Times New Roman" w:cs="Times New Roman"/>
        </w:rPr>
        <w:t>KDP-2 (OCC Ex. 1, admitted at Hearing Transcript Vol. II, p. 365).  The forecasted costs under the modified PPA Rider proposal are $10 billion.</w:t>
      </w:r>
      <w:r w:rsidRPr="00856315">
        <w:rPr>
          <w:rFonts w:ascii="Times New Roman" w:hAnsi="Times New Roman" w:cs="Times New Roman"/>
          <w:i/>
        </w:rPr>
        <w:t xml:space="preserve"> See </w:t>
      </w:r>
      <w:r w:rsidRPr="00856315">
        <w:rPr>
          <w:rFonts w:ascii="Times New Roman" w:hAnsi="Times New Roman" w:cs="Times New Roman"/>
        </w:rPr>
        <w:t xml:space="preserve">Direct Testimony of William A. Allen (AEP Ohio Ex. 52) filed December 14, 2015 at WAA-2, Average of High Load and Low Load Forecast.  </w:t>
      </w:r>
    </w:p>
  </w:footnote>
  <w:footnote w:id="337">
    <w:p w:rsidR="0020495B" w:rsidRPr="00856315" w:rsidRDefault="0020495B" w:rsidP="00856315">
      <w:pPr>
        <w:pStyle w:val="FootnoteText"/>
        <w:spacing w:after="120"/>
        <w:rPr>
          <w:rFonts w:ascii="Times New Roman" w:hAnsi="Times New Roman" w:cs="Times New Roman"/>
          <w:i/>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Hearing Transcript at Vol. VII, p. 1868:13-16</w:t>
      </w:r>
      <w:r w:rsidRPr="00856315">
        <w:rPr>
          <w:rFonts w:ascii="Times New Roman" w:hAnsi="Times New Roman" w:cs="Times New Roman"/>
          <w:i/>
        </w:rPr>
        <w:t>.</w:t>
      </w:r>
    </w:p>
  </w:footnote>
  <w:footnote w:id="33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w:t>
      </w:r>
      <w:r w:rsidRPr="00856315">
        <w:rPr>
          <w:rFonts w:ascii="Times New Roman" w:hAnsi="Times New Roman" w:cs="Times New Roman"/>
        </w:rPr>
        <w:t xml:space="preserve"> </w:t>
      </w:r>
      <w:r w:rsidRPr="00856315">
        <w:rPr>
          <w:rFonts w:ascii="Times New Roman" w:hAnsi="Times New Roman" w:cs="Times New Roman"/>
          <w:i/>
        </w:rPr>
        <w:t xml:space="preserve">id. </w:t>
      </w:r>
      <w:r w:rsidRPr="00856315">
        <w:rPr>
          <w:rFonts w:ascii="Times New Roman" w:hAnsi="Times New Roman" w:cs="Times New Roman"/>
        </w:rPr>
        <w:t>at p. 1868:25.</w:t>
      </w:r>
    </w:p>
  </w:footnote>
  <w:footnote w:id="33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Id. </w:t>
      </w:r>
      <w:r w:rsidRPr="00856315">
        <w:rPr>
          <w:rFonts w:ascii="Times New Roman" w:hAnsi="Times New Roman" w:cs="Times New Roman"/>
        </w:rPr>
        <w:t xml:space="preserve">at p. 1869:12-1870:4 (italics added).  To the degree AEP Ohio has “great confidence” in its forecasts, there is no reason that AEPGR should not run the PPA Units as it is asserted they would be run under the Amended Application/Modified Amended Application, but without the PPA Rider.  </w:t>
      </w:r>
      <w:r w:rsidRPr="00856315">
        <w:rPr>
          <w:rFonts w:ascii="Times New Roman" w:hAnsi="Times New Roman" w:cs="Times New Roman"/>
          <w:i/>
        </w:rPr>
        <w:t xml:space="preserve">See id. </w:t>
      </w:r>
      <w:r w:rsidRPr="00856315">
        <w:rPr>
          <w:rFonts w:ascii="Times New Roman" w:hAnsi="Times New Roman" w:cs="Times New Roman"/>
        </w:rPr>
        <w:t>at Vol. I, p. 237:1-2.</w:t>
      </w:r>
    </w:p>
  </w:footnote>
  <w:footnote w:id="34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Id. </w:t>
      </w:r>
      <w:r w:rsidRPr="00856315">
        <w:rPr>
          <w:rFonts w:ascii="Times New Roman" w:hAnsi="Times New Roman" w:cs="Times New Roman"/>
        </w:rPr>
        <w:t>at Vol. VII, p. 1890:13-16.  Or, under the modified PPA Rider proposal, $721 million.</w:t>
      </w:r>
      <w:r w:rsidRPr="00856315">
        <w:rPr>
          <w:rFonts w:ascii="Times New Roman" w:hAnsi="Times New Roman" w:cs="Times New Roman"/>
          <w:i/>
        </w:rPr>
        <w:t xml:space="preserve"> See </w:t>
      </w:r>
      <w:r w:rsidRPr="00856315">
        <w:rPr>
          <w:rFonts w:ascii="Times New Roman" w:hAnsi="Times New Roman" w:cs="Times New Roman"/>
        </w:rPr>
        <w:t>Direct Testimony of William A. Allen (AEP Ohio Ex. 52) filed December 14, 2015 at WAA-2, Average of High Load and Low Load Forecast.</w:t>
      </w:r>
    </w:p>
  </w:footnote>
  <w:footnote w:id="34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Hearing Transcript</w:t>
      </w:r>
      <w:r w:rsidRPr="00856315">
        <w:rPr>
          <w:rFonts w:ascii="Times New Roman" w:hAnsi="Times New Roman" w:cs="Times New Roman"/>
          <w:i/>
        </w:rPr>
        <w:t xml:space="preserve"> </w:t>
      </w:r>
      <w:r w:rsidRPr="00856315">
        <w:rPr>
          <w:rFonts w:ascii="Times New Roman" w:hAnsi="Times New Roman" w:cs="Times New Roman"/>
        </w:rPr>
        <w:t>at Vol. I, p. 235:15-236:13 (italics added).  It does not require a stretch of any sort to conclude that the “exhibitions” to which AEP Ohio’s President was referring are AEP 2</w:t>
      </w:r>
      <w:r w:rsidRPr="00856315">
        <w:rPr>
          <w:rFonts w:ascii="Times New Roman" w:hAnsi="Times New Roman" w:cs="Times New Roman"/>
          <w:vertAlign w:val="superscript"/>
        </w:rPr>
        <w:t>nd</w:t>
      </w:r>
      <w:r w:rsidRPr="00856315">
        <w:rPr>
          <w:rFonts w:ascii="Times New Roman" w:hAnsi="Times New Roman" w:cs="Times New Roman"/>
        </w:rPr>
        <w:t xml:space="preserve"> Quarter 2014 Earnings Release Presentation, AEP May 2015 Investor Meetings, AEP June 2015 Investor Meetings, and AEP September 2015 Investor Meetings (OCC Exs. 3, 5-7, respectively). </w:t>
      </w:r>
    </w:p>
  </w:footnote>
  <w:footnote w:id="34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Since the PPA Units are not in financial need and, in fact, are very profitable now and, as forecast, into the future (according to AEP and AEP Ohio’s witnesses), there is no need to address the other three factors.  Since AEPGR can profitably operate the PPA Units in the same manner proposed under the Amended Application/Modified Amended Application, but without the PPA Rider, there is no material concern about future reliability, including supply diversity.  Since AEPGR can profitably operate the PPA Units in the same manner proposed under the Amended Application/Modified Amended Application, but without the PPA Rider, compliance with pertinent and pending environmental regulations is not a concern.  Since AEPGR can profitably operate the PPA Units in the same manner proposed under the Amended Application/Modified Amended Application, but without the PPA Rider, closing the PPA Units and any purported impact doing so would have on electric prices and the resulting effect on economic development in Ohio is not a concern.</w:t>
      </w:r>
    </w:p>
  </w:footnote>
  <w:footnote w:id="34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notes 31</w:t>
      </w:r>
      <w:r>
        <w:rPr>
          <w:rFonts w:ascii="Times New Roman" w:hAnsi="Times New Roman" w:cs="Times New Roman"/>
        </w:rPr>
        <w:t>6</w:t>
      </w:r>
      <w:r w:rsidRPr="00856315">
        <w:rPr>
          <w:rFonts w:ascii="Times New Roman" w:hAnsi="Times New Roman" w:cs="Times New Roman"/>
        </w:rPr>
        <w:t>-3</w:t>
      </w:r>
      <w:r>
        <w:rPr>
          <w:rFonts w:ascii="Times New Roman" w:hAnsi="Times New Roman" w:cs="Times New Roman"/>
        </w:rPr>
        <w:t>23</w:t>
      </w:r>
      <w:r w:rsidRPr="00856315">
        <w:rPr>
          <w:rFonts w:ascii="Times New Roman" w:hAnsi="Times New Roman" w:cs="Times New Roman"/>
        </w:rPr>
        <w:t xml:space="preserve">, </w:t>
      </w:r>
      <w:r w:rsidRPr="00856315">
        <w:rPr>
          <w:rFonts w:ascii="Times New Roman" w:hAnsi="Times New Roman" w:cs="Times New Roman"/>
          <w:i/>
        </w:rPr>
        <w:t>supra</w:t>
      </w:r>
      <w:r w:rsidRPr="00856315">
        <w:rPr>
          <w:rFonts w:ascii="Times New Roman" w:hAnsi="Times New Roman" w:cs="Times New Roman"/>
        </w:rPr>
        <w:t xml:space="preserve">. AEP’s representations to the public regarding the PPA Units’ competitive merits were not made contingent on passage of the PPA Rider.  </w:t>
      </w:r>
      <w:r w:rsidRPr="00856315">
        <w:rPr>
          <w:rFonts w:ascii="Times New Roman" w:hAnsi="Times New Roman" w:cs="Times New Roman"/>
          <w:i/>
        </w:rPr>
        <w:t xml:space="preserve">See </w:t>
      </w:r>
      <w:r w:rsidRPr="00856315">
        <w:rPr>
          <w:rFonts w:ascii="Times New Roman" w:hAnsi="Times New Roman" w:cs="Times New Roman"/>
        </w:rPr>
        <w:t>AEP 2</w:t>
      </w:r>
      <w:r w:rsidRPr="00856315">
        <w:rPr>
          <w:rFonts w:ascii="Times New Roman" w:hAnsi="Times New Roman" w:cs="Times New Roman"/>
          <w:vertAlign w:val="superscript"/>
        </w:rPr>
        <w:t>nd</w:t>
      </w:r>
      <w:r w:rsidRPr="00856315">
        <w:rPr>
          <w:rFonts w:ascii="Times New Roman" w:hAnsi="Times New Roman" w:cs="Times New Roman"/>
        </w:rPr>
        <w:t xml:space="preserve"> Quarter 2014 Earnings Release Presentation, AEP May 2015 Investor Meetings, AEP June 2015 Investor Meetings, and AEP September 2015 Investor Meetings (OCC Exs. 3, 5-7, respectively); </w:t>
      </w:r>
      <w:r w:rsidRPr="00856315">
        <w:rPr>
          <w:rFonts w:ascii="Times New Roman" w:hAnsi="Times New Roman" w:cs="Times New Roman"/>
          <w:i/>
        </w:rPr>
        <w:t xml:space="preserve">see also </w:t>
      </w:r>
      <w:r w:rsidRPr="00856315">
        <w:rPr>
          <w:rFonts w:ascii="Times New Roman" w:hAnsi="Times New Roman" w:cs="Times New Roman"/>
        </w:rPr>
        <w:t>Hearing Transcript at Vol. III, p. 890:4-17 (AEP Ohio Witness Fetter acknowledges that the PPA Units are going to be profitable based on AEP Ohio Witness Pearce’s forecasts).</w:t>
      </w:r>
    </w:p>
  </w:footnote>
  <w:footnote w:id="34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Hearing Transcript at Vol. I, p. 214:3-8; 137:19-23.</w:t>
      </w:r>
    </w:p>
  </w:footnote>
  <w:footnote w:id="34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Vol. VI, p. 1618:23-25.</w:t>
      </w:r>
    </w:p>
  </w:footnote>
  <w:footnote w:id="34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Vol. II, p. 451:12-20.</w:t>
      </w:r>
    </w:p>
  </w:footnote>
  <w:footnote w:id="34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453:8-11; 454:1-6.</w:t>
      </w:r>
    </w:p>
  </w:footnote>
  <w:footnote w:id="34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451:21-452:22; 454:18-22.</w:t>
      </w:r>
    </w:p>
  </w:footnote>
  <w:footnote w:id="34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Direct Testimony of Kelly D. Pearce (AEP Ohio Ex. 2) filed May 15, 2015 at 21:21-23. </w:t>
      </w:r>
    </w:p>
  </w:footnote>
  <w:footnote w:id="35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Hearing Transcript at Vol. II, p. 512:3-14.</w:t>
      </w:r>
    </w:p>
  </w:footnote>
  <w:footnote w:id="35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 xml:space="preserve">at Vol. I, 95:24-96:3; 96:18-22; </w:t>
      </w:r>
      <w:r w:rsidRPr="00856315">
        <w:rPr>
          <w:rFonts w:ascii="Times New Roman" w:hAnsi="Times New Roman" w:cs="Times New Roman"/>
          <w:i/>
        </w:rPr>
        <w:t xml:space="preserve">see also id. </w:t>
      </w:r>
      <w:r w:rsidRPr="00856315">
        <w:rPr>
          <w:rFonts w:ascii="Times New Roman" w:hAnsi="Times New Roman" w:cs="Times New Roman"/>
        </w:rPr>
        <w:t xml:space="preserve">at Vol. 6, p. 1580:10-24 (AEP Ohio Witness Bradish); </w:t>
      </w:r>
      <w:r w:rsidRPr="00856315">
        <w:rPr>
          <w:rFonts w:ascii="Times New Roman" w:hAnsi="Times New Roman" w:cs="Times New Roman"/>
          <w:i/>
        </w:rPr>
        <w:t xml:space="preserve">id. </w:t>
      </w:r>
      <w:r w:rsidRPr="00856315">
        <w:rPr>
          <w:rFonts w:ascii="Times New Roman" w:hAnsi="Times New Roman" w:cs="Times New Roman"/>
        </w:rPr>
        <w:t>at Vol. III, p. 830:5-8.</w:t>
      </w:r>
    </w:p>
  </w:footnote>
  <w:footnote w:id="35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Vol. IV, p. 1202:24-1203:4.</w:t>
      </w:r>
    </w:p>
  </w:footnote>
  <w:footnote w:id="35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w:t>
      </w:r>
      <w:r w:rsidRPr="00856315">
        <w:rPr>
          <w:rFonts w:ascii="Times New Roman" w:hAnsi="Times New Roman" w:cs="Times New Roman"/>
          <w:i/>
        </w:rPr>
        <w:t xml:space="preserve">see also id. </w:t>
      </w:r>
      <w:r w:rsidRPr="00856315">
        <w:rPr>
          <w:rFonts w:ascii="Times New Roman" w:hAnsi="Times New Roman" w:cs="Times New Roman"/>
        </w:rPr>
        <w:t xml:space="preserve">at 1215:1-11; </w:t>
      </w:r>
      <w:r w:rsidRPr="00856315">
        <w:rPr>
          <w:rFonts w:ascii="Times New Roman" w:hAnsi="Times New Roman" w:cs="Times New Roman"/>
          <w:i/>
        </w:rPr>
        <w:t xml:space="preserve">id. </w:t>
      </w:r>
      <w:r w:rsidRPr="00856315">
        <w:rPr>
          <w:rFonts w:ascii="Times New Roman" w:hAnsi="Times New Roman" w:cs="Times New Roman"/>
        </w:rPr>
        <w:t xml:space="preserve">at Vol. VII, p. 1912:21-25; </w:t>
      </w:r>
      <w:r w:rsidRPr="00856315">
        <w:rPr>
          <w:rFonts w:ascii="Times New Roman" w:hAnsi="Times New Roman" w:cs="Times New Roman"/>
          <w:i/>
        </w:rPr>
        <w:t xml:space="preserve">id. </w:t>
      </w:r>
      <w:r w:rsidRPr="00856315">
        <w:rPr>
          <w:rFonts w:ascii="Times New Roman" w:hAnsi="Times New Roman" w:cs="Times New Roman"/>
        </w:rPr>
        <w:t xml:space="preserve">at Vol. I, p. 128:5-8; </w:t>
      </w:r>
      <w:r w:rsidRPr="00856315">
        <w:rPr>
          <w:rFonts w:ascii="Times New Roman" w:hAnsi="Times New Roman" w:cs="Times New Roman"/>
          <w:i/>
        </w:rPr>
        <w:t xml:space="preserve">id. </w:t>
      </w:r>
      <w:r w:rsidRPr="00856315">
        <w:rPr>
          <w:rFonts w:ascii="Times New Roman" w:hAnsi="Times New Roman" w:cs="Times New Roman"/>
        </w:rPr>
        <w:t xml:space="preserve">at Vol. II, p.272:14-19; </w:t>
      </w:r>
      <w:r w:rsidRPr="00856315">
        <w:rPr>
          <w:rFonts w:ascii="Times New Roman" w:hAnsi="Times New Roman" w:cs="Times New Roman"/>
          <w:i/>
        </w:rPr>
        <w:t xml:space="preserve">id. </w:t>
      </w:r>
      <w:r w:rsidRPr="00856315">
        <w:rPr>
          <w:rFonts w:ascii="Times New Roman" w:hAnsi="Times New Roman" w:cs="Times New Roman"/>
        </w:rPr>
        <w:t>at 492:2-5.</w:t>
      </w:r>
    </w:p>
  </w:footnote>
  <w:footnote w:id="35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e.g., id. </w:t>
      </w:r>
      <w:r w:rsidRPr="00856315">
        <w:rPr>
          <w:rFonts w:ascii="Times New Roman" w:hAnsi="Times New Roman" w:cs="Times New Roman"/>
        </w:rPr>
        <w:t xml:space="preserve">at Vol. I, p. 259:24-260:1 (Cardinal Unit); p. 260:24-261:1 (Conesville Units 5 and 6). </w:t>
      </w:r>
    </w:p>
  </w:footnote>
  <w:footnote w:id="35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p. 209:20-24; AEP September 2015 Investor Meetings (OCC Ex. 7, admitted at Hearing Transcript Vol. II, p. 365).</w:t>
      </w:r>
    </w:p>
  </w:footnote>
  <w:footnote w:id="35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Vol. I, p. 122:5-10.</w:t>
      </w:r>
    </w:p>
  </w:footnote>
  <w:footnote w:id="35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Vol IV, p. 1206:10-13.</w:t>
      </w:r>
    </w:p>
  </w:footnote>
  <w:footnote w:id="35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Vol. I, p. 121:24-122:1.</w:t>
      </w:r>
    </w:p>
  </w:footnote>
  <w:footnote w:id="35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 xml:space="preserve">at p. 110:10-24.  It did, however, acknowledge that there was a “substantial number” of coal-fired megawatts that were offline during the so-called Polar Vortex.  </w:t>
      </w:r>
      <w:r w:rsidRPr="00856315">
        <w:rPr>
          <w:rFonts w:ascii="Times New Roman" w:hAnsi="Times New Roman" w:cs="Times New Roman"/>
          <w:i/>
        </w:rPr>
        <w:t xml:space="preserve">See id. </w:t>
      </w:r>
      <w:r w:rsidRPr="00856315">
        <w:rPr>
          <w:rFonts w:ascii="Times New Roman" w:hAnsi="Times New Roman" w:cs="Times New Roman"/>
        </w:rPr>
        <w:t xml:space="preserve">at p. 128:17-21.  And it acknowledged that the percentage of the total unforced outages during the so-called Polar Vortex was greater for coal than natural gas.  </w:t>
      </w:r>
      <w:r w:rsidRPr="00856315">
        <w:rPr>
          <w:rFonts w:ascii="Times New Roman" w:hAnsi="Times New Roman" w:cs="Times New Roman"/>
          <w:i/>
        </w:rPr>
        <w:t xml:space="preserve">See id. </w:t>
      </w:r>
      <w:r w:rsidRPr="00856315">
        <w:rPr>
          <w:rFonts w:ascii="Times New Roman" w:hAnsi="Times New Roman" w:cs="Times New Roman"/>
        </w:rPr>
        <w:t xml:space="preserve">at 129:22-130:1.   </w:t>
      </w:r>
    </w:p>
  </w:footnote>
  <w:footnote w:id="36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 xml:space="preserve">at Vol. VIII, p. 2096:6-14 (Carrol County Energy); p. 2099:12-20 and 2100:21-25 (Middletown Energy Center); p. 2103:7-18 (Oregon Clean Energy Center).  Proposed new generation arose even during the pendency of the hearing in this matter.  </w:t>
      </w:r>
      <w:r w:rsidRPr="00856315">
        <w:rPr>
          <w:rFonts w:ascii="Times New Roman" w:hAnsi="Times New Roman" w:cs="Times New Roman"/>
          <w:i/>
        </w:rPr>
        <w:t xml:space="preserve">See id. </w:t>
      </w:r>
      <w:r w:rsidRPr="00856315">
        <w:rPr>
          <w:rFonts w:ascii="Times New Roman" w:hAnsi="Times New Roman" w:cs="Times New Roman"/>
        </w:rPr>
        <w:t>at 2145:8-19.</w:t>
      </w:r>
    </w:p>
  </w:footnote>
  <w:footnote w:id="36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 xml:space="preserve">at p. 2122:18-21.  Conveniently, AEP Ohio did not consider this new generation for purposes of this proceeding.  </w:t>
      </w:r>
      <w:r w:rsidRPr="00856315">
        <w:rPr>
          <w:rFonts w:ascii="Times New Roman" w:hAnsi="Times New Roman" w:cs="Times New Roman"/>
          <w:i/>
        </w:rPr>
        <w:t xml:space="preserve">See id. </w:t>
      </w:r>
      <w:r w:rsidRPr="00856315">
        <w:rPr>
          <w:rFonts w:ascii="Times New Roman" w:hAnsi="Times New Roman" w:cs="Times New Roman"/>
        </w:rPr>
        <w:t xml:space="preserve">at p. 2139:5-12.  Nor, conveniently, did AEP Ohio consider the effects of increased natural gas production in Ohio on bringing new generation to Ohio.  </w:t>
      </w:r>
      <w:r w:rsidRPr="00856315">
        <w:rPr>
          <w:rFonts w:ascii="Times New Roman" w:hAnsi="Times New Roman" w:cs="Times New Roman"/>
          <w:i/>
        </w:rPr>
        <w:t xml:space="preserve">See id. </w:t>
      </w:r>
      <w:r w:rsidRPr="00856315">
        <w:rPr>
          <w:rFonts w:ascii="Times New Roman" w:hAnsi="Times New Roman" w:cs="Times New Roman"/>
        </w:rPr>
        <w:t>at 2136:6-11 and 2137:22-2138:1.</w:t>
      </w:r>
    </w:p>
  </w:footnote>
  <w:footnote w:id="36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e.g., id. </w:t>
      </w:r>
      <w:r w:rsidRPr="00856315">
        <w:rPr>
          <w:rFonts w:ascii="Times New Roman" w:hAnsi="Times New Roman" w:cs="Times New Roman"/>
        </w:rPr>
        <w:t>at Vol. VI, p. 1582:10-1583:1 (did not consider Carrol County Energy); p. 1583:21-1584:4 (did not consider Oregon Clean Energy Center).</w:t>
      </w:r>
    </w:p>
  </w:footnote>
  <w:footnote w:id="36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1553:3-8; 1563:2-5.  AEP Ohio Witness Fetter neither reviewed AEP Ohio Witness Bradish’s transmission “analysis” nor is he offering an opinion about its reasonableness.  </w:t>
      </w:r>
      <w:r w:rsidRPr="00856315">
        <w:rPr>
          <w:rFonts w:ascii="Times New Roman" w:hAnsi="Times New Roman" w:cs="Times New Roman"/>
          <w:i/>
        </w:rPr>
        <w:t xml:space="preserve">See id. </w:t>
      </w:r>
      <w:r w:rsidRPr="00856315">
        <w:rPr>
          <w:rFonts w:ascii="Times New Roman" w:hAnsi="Times New Roman" w:cs="Times New Roman"/>
        </w:rPr>
        <w:t>at Vol. III, p. 831:16-24.</w:t>
      </w:r>
    </w:p>
  </w:footnote>
  <w:footnote w:id="36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Vol. VI, p. 1555:19-25.</w:t>
      </w:r>
    </w:p>
  </w:footnote>
  <w:footnote w:id="36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e.g., id. </w:t>
      </w:r>
      <w:r w:rsidRPr="00856315">
        <w:rPr>
          <w:rFonts w:ascii="Times New Roman" w:hAnsi="Times New Roman" w:cs="Times New Roman"/>
        </w:rPr>
        <w:t>at 1554:9-16; 1556:15-21; 1557:1-15; 1558:4-14; 1559:14-19.</w:t>
      </w:r>
    </w:p>
  </w:footnote>
  <w:footnote w:id="36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1547:6-12.</w:t>
      </w:r>
    </w:p>
  </w:footnote>
  <w:footnote w:id="36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 xml:space="preserve">at p. 1569:17-21; 1578:22-25.  One of AEP’s own generating facilities was included in the model as a non-PPA Unit retirement but has since gotten approval, and begun the process of, converting fuel supply in such a manner that makes it less likely to retire.  </w:t>
      </w:r>
      <w:r w:rsidRPr="00856315">
        <w:rPr>
          <w:rFonts w:ascii="Times New Roman" w:hAnsi="Times New Roman" w:cs="Times New Roman"/>
          <w:i/>
        </w:rPr>
        <w:t xml:space="preserve">See id. </w:t>
      </w:r>
      <w:r w:rsidRPr="00856315">
        <w:rPr>
          <w:rFonts w:ascii="Times New Roman" w:hAnsi="Times New Roman" w:cs="Times New Roman"/>
        </w:rPr>
        <w:t>at 1570:4-25.</w:t>
      </w:r>
    </w:p>
  </w:footnote>
  <w:footnote w:id="36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 xml:space="preserve">at p. 1553:18-22; </w:t>
      </w:r>
      <w:r w:rsidRPr="00856315">
        <w:rPr>
          <w:rFonts w:ascii="Times New Roman" w:hAnsi="Times New Roman" w:cs="Times New Roman"/>
          <w:i/>
        </w:rPr>
        <w:t xml:space="preserve">id. </w:t>
      </w:r>
      <w:r w:rsidRPr="00856315">
        <w:rPr>
          <w:rFonts w:ascii="Times New Roman" w:hAnsi="Times New Roman" w:cs="Times New Roman"/>
        </w:rPr>
        <w:t xml:space="preserve">at Vol. I, p. 184:21-185:10; </w:t>
      </w:r>
      <w:r w:rsidRPr="00856315">
        <w:rPr>
          <w:rFonts w:ascii="Times New Roman" w:hAnsi="Times New Roman" w:cs="Times New Roman"/>
          <w:i/>
        </w:rPr>
        <w:t xml:space="preserve">id. </w:t>
      </w:r>
      <w:r w:rsidRPr="00856315">
        <w:rPr>
          <w:rFonts w:ascii="Times New Roman" w:hAnsi="Times New Roman" w:cs="Times New Roman"/>
        </w:rPr>
        <w:t>at Vol. VII, p. 1912:5-7.</w:t>
      </w:r>
    </w:p>
  </w:footnote>
  <w:footnote w:id="36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 xml:space="preserve">at Vol. I, p. 185:11-14; </w:t>
      </w:r>
      <w:r w:rsidRPr="00856315">
        <w:rPr>
          <w:rFonts w:ascii="Times New Roman" w:hAnsi="Times New Roman" w:cs="Times New Roman"/>
          <w:i/>
        </w:rPr>
        <w:t xml:space="preserve">id. </w:t>
      </w:r>
      <w:r w:rsidRPr="00856315">
        <w:rPr>
          <w:rFonts w:ascii="Times New Roman" w:hAnsi="Times New Roman" w:cs="Times New Roman"/>
        </w:rPr>
        <w:t>at Vol. VII, p. 1912:8-11.</w:t>
      </w:r>
    </w:p>
  </w:footnote>
  <w:footnote w:id="37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Vol. IV, p. 970:24-971:3 (Stuart and Zimmer).</w:t>
      </w:r>
    </w:p>
  </w:footnote>
  <w:footnote w:id="37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977:12-16.</w:t>
      </w:r>
    </w:p>
  </w:footnote>
  <w:footnote w:id="37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978:13-22.</w:t>
      </w:r>
    </w:p>
  </w:footnote>
  <w:footnote w:id="37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980:16-981:3</w:t>
      </w:r>
      <w:r>
        <w:rPr>
          <w:rFonts w:ascii="Times New Roman" w:hAnsi="Times New Roman" w:cs="Times New Roman"/>
        </w:rPr>
        <w:t>.</w:t>
      </w:r>
    </w:p>
  </w:footnote>
  <w:footnote w:id="37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993:23-994:9.</w:t>
      </w:r>
    </w:p>
  </w:footnote>
  <w:footnote w:id="37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e.g., id. </w:t>
      </w:r>
      <w:r w:rsidRPr="00856315">
        <w:rPr>
          <w:rFonts w:ascii="Times New Roman" w:hAnsi="Times New Roman" w:cs="Times New Roman"/>
        </w:rPr>
        <w:t xml:space="preserve">at 1028:11-19 (price for purchasing allowances for complying with CASPR); </w:t>
      </w:r>
      <w:r w:rsidRPr="00856315">
        <w:rPr>
          <w:rFonts w:ascii="Times New Roman" w:hAnsi="Times New Roman" w:cs="Times New Roman"/>
          <w:i/>
        </w:rPr>
        <w:t xml:space="preserve">id. </w:t>
      </w:r>
      <w:r w:rsidRPr="00856315">
        <w:rPr>
          <w:rFonts w:ascii="Times New Roman" w:hAnsi="Times New Roman" w:cs="Times New Roman"/>
        </w:rPr>
        <w:t>at 1028:23-1029:3 (does not know if it is more cost-effective to buy allowances or make additional investments).</w:t>
      </w:r>
    </w:p>
  </w:footnote>
  <w:footnote w:id="37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1071:4-11.</w:t>
      </w:r>
    </w:p>
  </w:footnote>
  <w:footnote w:id="37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at p. 1072:7-12.</w:t>
      </w:r>
    </w:p>
  </w:footnote>
  <w:footnote w:id="37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1072:22-1073:6.</w:t>
      </w:r>
    </w:p>
  </w:footnote>
  <w:footnote w:id="37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1084:13-24.</w:t>
      </w:r>
    </w:p>
  </w:footnote>
  <w:footnote w:id="38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1073:21-25.</w:t>
      </w:r>
    </w:p>
  </w:footnote>
  <w:footnote w:id="38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962:4-12; 979:3-11.</w:t>
      </w:r>
    </w:p>
  </w:footnote>
  <w:footnote w:id="38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1074:19-23.</w:t>
      </w:r>
    </w:p>
  </w:footnote>
  <w:footnote w:id="38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1075:13-17.  Or if the Joint Stipulation is approved and the Amended Application modified, for at least eight and a half years.</w:t>
      </w:r>
    </w:p>
  </w:footnote>
  <w:footnote w:id="38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 xml:space="preserve">at p. 1076:6-10; </w:t>
      </w:r>
      <w:r w:rsidRPr="00856315">
        <w:rPr>
          <w:rFonts w:ascii="Times New Roman" w:hAnsi="Times New Roman" w:cs="Times New Roman"/>
          <w:i/>
        </w:rPr>
        <w:t xml:space="preserve">id. </w:t>
      </w:r>
      <w:r w:rsidRPr="00856315">
        <w:rPr>
          <w:rFonts w:ascii="Times New Roman" w:hAnsi="Times New Roman" w:cs="Times New Roman"/>
        </w:rPr>
        <w:t>at 1079:19-22.</w:t>
      </w:r>
    </w:p>
  </w:footnote>
  <w:footnote w:id="38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959:8-12.</w:t>
      </w:r>
    </w:p>
  </w:footnote>
  <w:footnote w:id="38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1182:12-1183:2.</w:t>
      </w:r>
    </w:p>
  </w:footnote>
  <w:footnote w:id="38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1185:11-15.</w:t>
      </w:r>
    </w:p>
  </w:footnote>
  <w:footnote w:id="38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To the degree that AEP Ohio’s “analysis” of the impact on the transmission system were the PPA Units to close was meant to address economic impact in addition to reliability, the “analysis” should be rejected for the same reasons demonstrated earlier.  </w:t>
      </w:r>
      <w:r w:rsidRPr="00856315">
        <w:rPr>
          <w:rFonts w:ascii="Times New Roman" w:hAnsi="Times New Roman" w:cs="Times New Roman"/>
          <w:i/>
        </w:rPr>
        <w:t xml:space="preserve">See </w:t>
      </w:r>
      <w:r w:rsidRPr="00856315">
        <w:rPr>
          <w:rFonts w:ascii="Times New Roman" w:hAnsi="Times New Roman" w:cs="Times New Roman"/>
        </w:rPr>
        <w:t xml:space="preserve">sec. 2d, </w:t>
      </w:r>
      <w:r w:rsidRPr="00856315">
        <w:rPr>
          <w:rFonts w:ascii="Times New Roman" w:hAnsi="Times New Roman" w:cs="Times New Roman"/>
          <w:i/>
        </w:rPr>
        <w:t>supra</w:t>
      </w:r>
      <w:r w:rsidRPr="00856315">
        <w:rPr>
          <w:rFonts w:ascii="Times New Roman" w:hAnsi="Times New Roman" w:cs="Times New Roman"/>
        </w:rPr>
        <w:t xml:space="preserve">.  </w:t>
      </w:r>
    </w:p>
  </w:footnote>
  <w:footnote w:id="38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William A. Allen (AEP Ohio Ex. 10) filed May 15, 2015 at p. 11:4-18; WAA-3 and WAA-4.</w:t>
      </w:r>
    </w:p>
  </w:footnote>
  <w:footnote w:id="39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WAA-3, p. 2-3; WAA-4, p. 7.</w:t>
      </w:r>
    </w:p>
  </w:footnote>
  <w:footnote w:id="39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WAA-3, p. 4 (defining OVEC Region); WAA-4, p. 10 (defining Cardinal Region, Conesville Region, and Stuart-Zimmer Region).</w:t>
      </w:r>
    </w:p>
  </w:footnote>
  <w:footnote w:id="39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e.g., id. </w:t>
      </w:r>
      <w:r w:rsidRPr="00856315">
        <w:rPr>
          <w:rFonts w:ascii="Times New Roman" w:hAnsi="Times New Roman" w:cs="Times New Roman"/>
        </w:rPr>
        <w:t>at WAA-3, p. 3; WAA-4, p. 7-8.</w:t>
      </w:r>
    </w:p>
  </w:footnote>
  <w:footnote w:id="39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Hearing Transcript at Vol. VII, p. 1779:24-1780:4.</w:t>
      </w:r>
    </w:p>
  </w:footnote>
  <w:footnote w:id="39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1777:17-19.</w:t>
      </w:r>
    </w:p>
  </w:footnote>
  <w:footnote w:id="39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1779:3-6.</w:t>
      </w:r>
    </w:p>
  </w:footnote>
  <w:footnote w:id="39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1820:4-12.</w:t>
      </w:r>
    </w:p>
  </w:footnote>
  <w:footnote w:id="39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1787:8-11.</w:t>
      </w:r>
    </w:p>
  </w:footnote>
  <w:footnote w:id="39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1936:13-25.</w:t>
      </w:r>
    </w:p>
  </w:footnote>
  <w:footnote w:id="39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1933:16-19; 1781:7-10.</w:t>
      </w:r>
    </w:p>
  </w:footnote>
  <w:footnote w:id="40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1933:20-23.</w:t>
      </w:r>
    </w:p>
  </w:footnote>
  <w:footnote w:id="40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 xml:space="preserve">at p. 1933:24-1934:6. </w:t>
      </w:r>
    </w:p>
  </w:footnote>
  <w:footnote w:id="40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1934:12-16.</w:t>
      </w:r>
    </w:p>
  </w:footnote>
  <w:footnote w:id="40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1934:17-20.</w:t>
      </w:r>
    </w:p>
  </w:footnote>
  <w:footnote w:id="40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1934:21-24.</w:t>
      </w:r>
    </w:p>
  </w:footnote>
  <w:footnote w:id="40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1934:25-1935:3.</w:t>
      </w:r>
    </w:p>
  </w:footnote>
  <w:footnote w:id="40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1935:12-15.</w:t>
      </w:r>
    </w:p>
  </w:footnote>
  <w:footnote w:id="40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1788:5-25.</w:t>
      </w:r>
    </w:p>
  </w:footnote>
  <w:footnote w:id="40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1787:13-21.</w:t>
      </w:r>
    </w:p>
  </w:footnote>
  <w:footnote w:id="40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1806:13-19.</w:t>
      </w:r>
    </w:p>
  </w:footnote>
  <w:footnote w:id="41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1792:23-1793:4.</w:t>
      </w:r>
    </w:p>
  </w:footnote>
  <w:footnote w:id="41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1789:5-12.</w:t>
      </w:r>
    </w:p>
  </w:footnote>
  <w:footnote w:id="41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1806:23-1807:4; 1816:24-1817:4; 2018:1-7.</w:t>
      </w:r>
    </w:p>
  </w:footnote>
  <w:footnote w:id="41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Vol. I, p. 156:20-157:7.</w:t>
      </w:r>
    </w:p>
  </w:footnote>
  <w:footnote w:id="41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Vol. VII, p. 1806:23-1807:4; 1816:24-1817:4; 2018:1-7.</w:t>
      </w:r>
    </w:p>
  </w:footnote>
  <w:footnote w:id="41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1807:18-22.</w:t>
      </w:r>
    </w:p>
  </w:footnote>
  <w:footnote w:id="41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p.1812:6-10.</w:t>
      </w:r>
    </w:p>
  </w:footnote>
  <w:footnote w:id="41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ESP III Opinion and Order</w:t>
      </w:r>
      <w:r w:rsidRPr="00856315">
        <w:rPr>
          <w:rFonts w:ascii="Times New Roman" w:hAnsi="Times New Roman" w:cs="Times New Roman"/>
          <w:i/>
        </w:rPr>
        <w:t xml:space="preserve"> </w:t>
      </w:r>
      <w:r w:rsidRPr="00856315">
        <w:rPr>
          <w:rFonts w:ascii="Times New Roman" w:hAnsi="Times New Roman" w:cs="Times New Roman"/>
        </w:rPr>
        <w:t>at 25-26.</w:t>
      </w:r>
    </w:p>
  </w:footnote>
  <w:footnote w:id="41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The Joint Stipulation does not change the PUCO's review from that contemplated under the Amended Application.  </w:t>
      </w:r>
      <w:r w:rsidRPr="00856315">
        <w:rPr>
          <w:rFonts w:ascii="Times New Roman" w:hAnsi="Times New Roman" w:cs="Times New Roman"/>
          <w:i/>
        </w:rPr>
        <w:t xml:space="preserve">See </w:t>
      </w:r>
      <w:r w:rsidRPr="00856315">
        <w:rPr>
          <w:rFonts w:ascii="Times New Roman" w:hAnsi="Times New Roman" w:cs="Times New Roman"/>
        </w:rPr>
        <w:t xml:space="preserve">Hearing Transcript at Vol. XIX, p. 4728:22-4729:4. </w:t>
      </w:r>
    </w:p>
  </w:footnote>
  <w:footnote w:id="41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Vol. I, p. 75:2-7.</w:t>
      </w:r>
    </w:p>
  </w:footnote>
  <w:footnote w:id="42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74:1-8.</w:t>
      </w:r>
    </w:p>
  </w:footnote>
  <w:footnote w:id="42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161:3-17.</w:t>
      </w:r>
    </w:p>
  </w:footnote>
  <w:footnote w:id="42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184:1-6.</w:t>
      </w:r>
    </w:p>
  </w:footnote>
  <w:footnote w:id="42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184:13-20.</w:t>
      </w:r>
    </w:p>
  </w:footnote>
  <w:footnote w:id="42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e.g., id. </w:t>
      </w:r>
      <w:r w:rsidRPr="00856315">
        <w:rPr>
          <w:rFonts w:ascii="Times New Roman" w:hAnsi="Times New Roman" w:cs="Times New Roman"/>
        </w:rPr>
        <w:t>at Vol. VII, p. 1830:24-1831:3.</w:t>
      </w:r>
    </w:p>
  </w:footnote>
  <w:footnote w:id="42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Vol. I, p. 65:25-66:3.</w:t>
      </w:r>
    </w:p>
  </w:footnote>
  <w:footnote w:id="42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67:7-9.</w:t>
      </w:r>
    </w:p>
  </w:footnote>
  <w:footnote w:id="42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72:24:73:5.</w:t>
      </w:r>
    </w:p>
  </w:footnote>
  <w:footnote w:id="42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73:6-11.</w:t>
      </w:r>
    </w:p>
  </w:footnote>
  <w:footnote w:id="42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Joint Ex. 1 at p. 7, para. 5b.</w:t>
      </w:r>
    </w:p>
  </w:footnote>
  <w:footnote w:id="43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Hearing Transcript at Vol. I, p. 94:2-7; 179:11-15.</w:t>
      </w:r>
    </w:p>
  </w:footnote>
  <w:footnote w:id="43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Pablo A. Vegas (AEP Ohio Ex. 1) filed May 15, 2015 at p. 29:6-7.</w:t>
      </w:r>
    </w:p>
  </w:footnote>
  <w:footnote w:id="43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e.g., </w:t>
      </w:r>
      <w:r w:rsidRPr="00856315">
        <w:rPr>
          <w:rFonts w:ascii="Times New Roman" w:hAnsi="Times New Roman" w:cs="Times New Roman"/>
        </w:rPr>
        <w:t xml:space="preserve">Hearing Transcript at Vol. I, p. 77:2-8.  Further, AEP Ohio is not waiving any rights to challenge a disallowance.  </w:t>
      </w:r>
      <w:r w:rsidRPr="00856315">
        <w:rPr>
          <w:rFonts w:ascii="Times New Roman" w:hAnsi="Times New Roman" w:cs="Times New Roman"/>
          <w:i/>
        </w:rPr>
        <w:t xml:space="preserve">See id. </w:t>
      </w:r>
      <w:r w:rsidRPr="00856315">
        <w:rPr>
          <w:rFonts w:ascii="Times New Roman" w:hAnsi="Times New Roman" w:cs="Times New Roman"/>
        </w:rPr>
        <w:t>at Vol. XVIII, pp. 4493:21-4494:1.</w:t>
      </w:r>
    </w:p>
  </w:footnote>
  <w:footnote w:id="43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Hearing Transcript at Vol. I, p. 177:14-20; Power Purchase and Sale Agreement By and Between GenCo and OPC (Sierra Club Ex. 2, admitted at Hearing Transcript Vol. II, p. 360) at Art. II, sec. 2.3; Art. V, sec. 5.7(B); Draft Power Purchase and Sale Agreement by and between AEP Generation Resources Inc. and Ohio Power Company (P3/EPSA Ex. 10, admitted at Hearing Transcript Vol. XX, p. 5012) at Art. II, sec. 2.3; Art. V, sec. 5.7(B) (if Joint Stipulation were approved, AEP Ohio could terminate the PPA if cost recovery were discontinued).</w:t>
      </w:r>
    </w:p>
  </w:footnote>
  <w:footnote w:id="43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Hearing Transcript</w:t>
      </w:r>
      <w:r w:rsidRPr="00856315">
        <w:rPr>
          <w:rFonts w:ascii="Times New Roman" w:hAnsi="Times New Roman" w:cs="Times New Roman"/>
          <w:i/>
        </w:rPr>
        <w:t xml:space="preserve"> </w:t>
      </w:r>
      <w:r w:rsidRPr="00856315">
        <w:rPr>
          <w:rFonts w:ascii="Times New Roman" w:hAnsi="Times New Roman" w:cs="Times New Roman"/>
        </w:rPr>
        <w:t xml:space="preserve">at Vol. I, p. 177:21-178:6.  If the Joint Stipulation were approved, AEP Ohio would have to pay AEPGR “liquidated damages” of an annual payment equal to the most recent 12 months of actual fixed costs for the shorter of i) three years, or ii) the remainder of the Delivery Period, minus the amount of AEPGR’s forecasted net revenues for Capacity (based on cleared BRA prices) during such shorter period.  </w:t>
      </w:r>
      <w:r w:rsidRPr="00856315">
        <w:rPr>
          <w:rFonts w:ascii="Times New Roman" w:hAnsi="Times New Roman" w:cs="Times New Roman"/>
          <w:i/>
        </w:rPr>
        <w:t xml:space="preserve">See </w:t>
      </w:r>
      <w:r w:rsidRPr="00856315">
        <w:rPr>
          <w:rFonts w:ascii="Times New Roman" w:hAnsi="Times New Roman" w:cs="Times New Roman"/>
        </w:rPr>
        <w:t xml:space="preserve">Draft Power Purchase and Sale Agreement by and between AEP Generation Resources Inc. and Ohio Power Company (P3/EPSA Ex. 10, admitted at Hearing Transcript Vol. XX, p. 5012) at Art. II, sec. 2.3; Art. V, sec. 5.7(B) (if Joint Stipulation were approved, AEP Ohio could terminate the PPA if cost recovery were discontinued); Direct Testimony of William A. Allen (AEP Ohio Ex. 52) filed December 14, 2015 at Attachment A para. 3.   </w:t>
      </w:r>
    </w:p>
  </w:footnote>
  <w:footnote w:id="435">
    <w:p w:rsidR="0020495B" w:rsidRPr="00856315" w:rsidRDefault="0020495B" w:rsidP="00856315">
      <w:pPr>
        <w:pStyle w:val="FootnoteText"/>
        <w:spacing w:after="120"/>
        <w:rPr>
          <w:rFonts w:ascii="Times New Roman" w:hAnsi="Times New Roman" w:cs="Times New Roman"/>
          <w:i/>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p>
  </w:footnote>
  <w:footnote w:id="43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Hearing Transcript at Vol. I, p. 178:7-179:2.</w:t>
      </w:r>
    </w:p>
  </w:footnote>
  <w:footnote w:id="43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174:8-19.</w:t>
      </w:r>
    </w:p>
  </w:footnote>
  <w:footnote w:id="438">
    <w:p w:rsidR="0020495B" w:rsidRPr="00856315" w:rsidRDefault="0020495B" w:rsidP="00856315">
      <w:pPr>
        <w:pStyle w:val="FootnoteText"/>
        <w:spacing w:after="120"/>
        <w:rPr>
          <w:rFonts w:ascii="Times New Roman" w:hAnsi="Times New Roman" w:cs="Times New Roman"/>
          <w:b/>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175:12-18; Power Purchase and Sale Agreement By and Between GenCo and OPC (Sierra Club Ex. 2, admitted at Hearing Transcript Vol. II, p. 360) at Art. II, sec. 2.3; Art. V, sec. 5.7(B); Draft Power Purchase and Sale Agreement by and between AEP Generation Resources Inc. and Ohio Power Company (P3/EPSA Ex. 10, admitted at Hearing Transcript Vol. XX, p. 5012)  at Art. II, sec. 2.3; Art. V, sec. 5.7(B).</w:t>
      </w:r>
    </w:p>
  </w:footnote>
  <w:footnote w:id="43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Hearing Transcript at Vol. I, p. 176:21-177:2; Vol. II, 490:2-13;</w:t>
      </w:r>
      <w:r w:rsidRPr="00856315">
        <w:rPr>
          <w:rFonts w:ascii="Times New Roman" w:hAnsi="Times New Roman" w:cs="Times New Roman"/>
          <w:b/>
        </w:rPr>
        <w:t xml:space="preserve"> </w:t>
      </w:r>
      <w:r w:rsidRPr="00856315">
        <w:rPr>
          <w:rFonts w:ascii="Times New Roman" w:hAnsi="Times New Roman" w:cs="Times New Roman"/>
        </w:rPr>
        <w:t xml:space="preserve">Power Purchase and Sale Agreement By and Between GenCo and OPC (Sierra Club Ex. 2, admitted at Hearing Transcript Vol. II, p. 360) at Art. II, sec. 2.3; Art. V, sec. 5.7(B).  If the Joint Stipulation were approved, AEP Ohio would have to pay AEPGR “liquidated damages” of an annual payment equal to the most recent 12 months of actual fixed costs for the shorter of i) three years, or ii) the remainder of the Delivery Period, minus the amount of AEPGR’s forecasted net revenues for Capacity (based on cleared BRA prices) during such shorter period.  </w:t>
      </w:r>
      <w:r w:rsidRPr="00856315">
        <w:rPr>
          <w:rFonts w:ascii="Times New Roman" w:hAnsi="Times New Roman" w:cs="Times New Roman"/>
          <w:i/>
        </w:rPr>
        <w:t xml:space="preserve">See </w:t>
      </w:r>
      <w:r w:rsidRPr="00856315">
        <w:rPr>
          <w:rFonts w:ascii="Times New Roman" w:hAnsi="Times New Roman" w:cs="Times New Roman"/>
        </w:rPr>
        <w:t>Draft Power Purchase and Sale Agreement by and between AEP Generation Resources Inc. and Ohio Power Company (P3/EPSA Ex. 10, admitted at Hearing Transcript Vol. XX, p. 5012) at Art. II, sec. 2.3; Art. V, sec. 5.7(B); Direct Testimony of William A. Allen (AEP Ohio Ex. 52) filed December 14, 2015 at Attachment A para. 3.</w:t>
      </w:r>
    </w:p>
  </w:footnote>
  <w:footnote w:id="44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w:t>
      </w:r>
      <w:r w:rsidRPr="00856315">
        <w:rPr>
          <w:rFonts w:ascii="Times New Roman" w:hAnsi="Times New Roman" w:cs="Times New Roman"/>
          <w:i/>
        </w:rPr>
        <w:t xml:space="preserve">see also </w:t>
      </w:r>
      <w:r w:rsidRPr="00856315">
        <w:rPr>
          <w:rFonts w:ascii="Times New Roman" w:hAnsi="Times New Roman" w:cs="Times New Roman"/>
        </w:rPr>
        <w:t>Hearing Transcript</w:t>
      </w:r>
      <w:r w:rsidRPr="00856315">
        <w:rPr>
          <w:rFonts w:ascii="Times New Roman" w:hAnsi="Times New Roman" w:cs="Times New Roman"/>
          <w:i/>
        </w:rPr>
        <w:t xml:space="preserve"> </w:t>
      </w:r>
      <w:r w:rsidRPr="00856315">
        <w:rPr>
          <w:rFonts w:ascii="Times New Roman" w:hAnsi="Times New Roman" w:cs="Times New Roman"/>
        </w:rPr>
        <w:t>at Vol. I, p. 177:3-13.</w:t>
      </w:r>
    </w:p>
  </w:footnote>
  <w:footnote w:id="44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 xml:space="preserve">at 178:7-179:2; </w:t>
      </w:r>
      <w:r w:rsidRPr="00856315">
        <w:rPr>
          <w:rFonts w:ascii="Times New Roman" w:hAnsi="Times New Roman" w:cs="Times New Roman"/>
          <w:i/>
        </w:rPr>
        <w:t xml:space="preserve">see also id. </w:t>
      </w:r>
      <w:r w:rsidRPr="00856315">
        <w:rPr>
          <w:rFonts w:ascii="Times New Roman" w:hAnsi="Times New Roman" w:cs="Times New Roman"/>
        </w:rPr>
        <w:t xml:space="preserve">at Vol. III, p. 892:4-893:5 (AEP Ohio Witness Fetter).  Meanwhile, AEPGR could continue operating the PPA Units even after having been paid the undepreciated net book value and expected retirement-related costs.  </w:t>
      </w:r>
      <w:r w:rsidRPr="00856315">
        <w:rPr>
          <w:rFonts w:ascii="Times New Roman" w:hAnsi="Times New Roman" w:cs="Times New Roman"/>
          <w:i/>
        </w:rPr>
        <w:t xml:space="preserve">See id. </w:t>
      </w:r>
      <w:r w:rsidRPr="00856315">
        <w:rPr>
          <w:rFonts w:ascii="Times New Roman" w:hAnsi="Times New Roman" w:cs="Times New Roman"/>
        </w:rPr>
        <w:t>at Vol. II, p. 424:8-12.</w:t>
      </w:r>
    </w:p>
  </w:footnote>
  <w:footnote w:id="44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Vol. XVI, p. 3949:21-3950:15.</w:t>
      </w:r>
    </w:p>
  </w:footnote>
  <w:footnote w:id="44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3949:5-20.</w:t>
      </w:r>
    </w:p>
  </w:footnote>
  <w:footnote w:id="44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Direct Testimony of Dr. Hisham Choueiki (Staff Ex. 1) filed October 9, 2015 at p. 15:3-12. </w:t>
      </w:r>
    </w:p>
  </w:footnote>
  <w:footnote w:id="44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Hearing Transcript at Vol. XVIII, p. 4566:22-4567:5.</w:t>
      </w:r>
    </w:p>
  </w:footnote>
  <w:footnote w:id="44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Vol. I, p. 172:15-173:2; </w:t>
      </w:r>
      <w:r w:rsidRPr="00856315">
        <w:rPr>
          <w:rFonts w:ascii="Times New Roman" w:hAnsi="Times New Roman" w:cs="Times New Roman"/>
          <w:i/>
        </w:rPr>
        <w:t xml:space="preserve">id. </w:t>
      </w:r>
      <w:r w:rsidRPr="00856315">
        <w:rPr>
          <w:rFonts w:ascii="Times New Roman" w:hAnsi="Times New Roman" w:cs="Times New Roman"/>
        </w:rPr>
        <w:t xml:space="preserve">at Vol. III, p. 921:10-17; </w:t>
      </w:r>
      <w:r w:rsidRPr="00856315">
        <w:rPr>
          <w:rFonts w:ascii="Times New Roman" w:hAnsi="Times New Roman" w:cs="Times New Roman"/>
          <w:i/>
        </w:rPr>
        <w:t xml:space="preserve">id. </w:t>
      </w:r>
      <w:r w:rsidRPr="00856315">
        <w:rPr>
          <w:rFonts w:ascii="Times New Roman" w:hAnsi="Times New Roman" w:cs="Times New Roman"/>
        </w:rPr>
        <w:t>at Vol III, p. 849:8-17.</w:t>
      </w:r>
    </w:p>
  </w:footnote>
  <w:footnote w:id="44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Vol. II, p. 463:10-464:22.</w:t>
      </w:r>
    </w:p>
  </w:footnote>
  <w:footnote w:id="44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Vol. I, p. 111:1-6.</w:t>
      </w:r>
    </w:p>
  </w:footnote>
  <w:footnote w:id="44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111:7-11.</w:t>
      </w:r>
    </w:p>
  </w:footnote>
  <w:footnote w:id="45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111:12-15.</w:t>
      </w:r>
    </w:p>
  </w:footnote>
  <w:footnote w:id="45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111:16-25.</w:t>
      </w:r>
    </w:p>
  </w:footnote>
  <w:footnote w:id="45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Vol. II, p. 328:13-19.</w:t>
      </w:r>
    </w:p>
  </w:footnote>
  <w:footnote w:id="453">
    <w:p w:rsidR="0020495B" w:rsidRPr="00856315" w:rsidRDefault="0020495B" w:rsidP="00856315">
      <w:pPr>
        <w:pStyle w:val="FootnoteText"/>
        <w:spacing w:after="120"/>
        <w:rPr>
          <w:rFonts w:ascii="Times New Roman" w:hAnsi="Times New Roman" w:cs="Times New Roman"/>
          <w:i/>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328:20-25.</w:t>
      </w:r>
      <w:r w:rsidRPr="00856315">
        <w:rPr>
          <w:rFonts w:ascii="Times New Roman" w:hAnsi="Times New Roman" w:cs="Times New Roman"/>
          <w:i/>
        </w:rPr>
        <w:t xml:space="preserve"> </w:t>
      </w:r>
    </w:p>
  </w:footnote>
  <w:footnote w:id="45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333:20-334:5.</w:t>
      </w:r>
    </w:p>
  </w:footnote>
  <w:footnote w:id="455">
    <w:p w:rsidR="0020495B" w:rsidRPr="00856315" w:rsidRDefault="0020495B" w:rsidP="00856315">
      <w:pPr>
        <w:pStyle w:val="FootnoteText"/>
        <w:spacing w:after="120"/>
        <w:rPr>
          <w:rFonts w:ascii="Times New Roman" w:hAnsi="Times New Roman" w:cs="Times New Roman"/>
          <w:i/>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377:7-15.</w:t>
      </w:r>
      <w:r w:rsidRPr="00856315">
        <w:rPr>
          <w:rFonts w:ascii="Times New Roman" w:hAnsi="Times New Roman" w:cs="Times New Roman"/>
          <w:i/>
        </w:rPr>
        <w:t xml:space="preserve"> </w:t>
      </w:r>
    </w:p>
  </w:footnote>
  <w:footnote w:id="45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Vol. I, p. 94:2-15.</w:t>
      </w:r>
    </w:p>
  </w:footnote>
  <w:footnote w:id="45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111:24-25.</w:t>
      </w:r>
    </w:p>
  </w:footnote>
  <w:footnote w:id="45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w:t>
      </w:r>
      <w:r w:rsidRPr="00856315">
        <w:rPr>
          <w:rFonts w:ascii="Times New Roman" w:hAnsi="Times New Roman" w:cs="Times New Roman"/>
        </w:rPr>
        <w:t xml:space="preserve"> R.C. 4928.02(H); Direct Testimony of Kenneth Rose (OCC Ex. 11) filed September 11, 2015 at p. 19.</w:t>
      </w:r>
    </w:p>
  </w:footnote>
  <w:footnote w:id="45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i/>
        </w:rPr>
        <w:t xml:space="preserve"> See</w:t>
      </w:r>
      <w:r w:rsidRPr="00856315">
        <w:rPr>
          <w:rFonts w:ascii="Times New Roman" w:hAnsi="Times New Roman" w:cs="Times New Roman"/>
        </w:rPr>
        <w:t xml:space="preserve"> Hearing Transcript at Vol. XIII, p. 3424:21-3425:2</w:t>
      </w:r>
      <w:r>
        <w:rPr>
          <w:rFonts w:ascii="Times New Roman" w:hAnsi="Times New Roman" w:cs="Times New Roman"/>
        </w:rPr>
        <w:t xml:space="preserve">; </w:t>
      </w:r>
      <w:r>
        <w:rPr>
          <w:rFonts w:ascii="Times New Roman" w:hAnsi="Times New Roman" w:cs="Times New Roman"/>
          <w:i/>
        </w:rPr>
        <w:t xml:space="preserve">see also </w:t>
      </w:r>
      <w:r>
        <w:rPr>
          <w:rFonts w:ascii="Times New Roman" w:hAnsi="Times New Roman" w:cs="Times New Roman"/>
        </w:rPr>
        <w:t>R.C. 4905.33 (prohibiting discrimination)</w:t>
      </w:r>
      <w:r w:rsidRPr="00856315">
        <w:rPr>
          <w:rFonts w:ascii="Times New Roman" w:hAnsi="Times New Roman" w:cs="Times New Roman"/>
        </w:rPr>
        <w:t xml:space="preserve">. </w:t>
      </w:r>
    </w:p>
  </w:footnote>
  <w:footnote w:id="46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If the Joint Stipulation is approved, the figures would be $1.9 billion and $1.5 billion, respectively.  </w:t>
      </w:r>
      <w:r w:rsidRPr="00856315">
        <w:rPr>
          <w:rFonts w:ascii="Times New Roman" w:hAnsi="Times New Roman" w:cs="Times New Roman"/>
          <w:i/>
        </w:rPr>
        <w:t xml:space="preserve">See </w:t>
      </w:r>
      <w:r w:rsidRPr="00856315">
        <w:rPr>
          <w:rFonts w:ascii="Times New Roman" w:hAnsi="Times New Roman" w:cs="Times New Roman"/>
        </w:rPr>
        <w:t>Supplemental Direct Testimony of James F. Wilson (OCC Ex. 35) filed December 28, 2015 at 7.  The PPA Rider’s cost under the Joint Stipulation confirms that the Joint Stipulation offers nothing in the way of a “fix” to the PPA Rider’s enormous cost.</w:t>
      </w:r>
    </w:p>
  </w:footnote>
  <w:footnote w:id="46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Direct Testimony of James E. Wilson (OCC Ex. 15) filed September 11, 2015 at p. 13; Direct Testimony of James F. Wilson (OCC Ex. 34) filed December 28, 2015 at 7 (if Joint Stipulation approved). </w:t>
      </w:r>
    </w:p>
  </w:footnote>
  <w:footnote w:id="46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As Passed by the Ohio 123rd General Assembly, 1999.</w:t>
      </w:r>
    </w:p>
  </w:footnote>
  <w:footnote w:id="46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Kenneth Rose (OCC Ex. 11) filed September 11, 2015 at p. 11:1-3.</w:t>
      </w:r>
    </w:p>
  </w:footnote>
  <w:footnote w:id="46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Legislative Service Commission, Final Analysis, Am. Sub. S.B. 3, 123rd General Assembly, 1999; </w:t>
      </w:r>
      <w:r w:rsidRPr="00856315">
        <w:rPr>
          <w:rFonts w:ascii="Times New Roman" w:hAnsi="Times New Roman" w:cs="Times New Roman"/>
          <w:i/>
        </w:rPr>
        <w:t xml:space="preserve">see </w:t>
      </w:r>
      <w:r w:rsidRPr="00856315">
        <w:rPr>
          <w:rFonts w:ascii="Times New Roman" w:hAnsi="Times New Roman" w:cs="Times New Roman"/>
        </w:rPr>
        <w:t>Direct Testimony of Kenneth Rose (OCC Ex. 11) filed September 11, 2015 at 11:5-7.</w:t>
      </w:r>
    </w:p>
  </w:footnote>
  <w:footnote w:id="46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Kenneth Rose (OCC Ex. 11) filed September 11, 2015 at p. 11:7-9.</w:t>
      </w:r>
    </w:p>
  </w:footnote>
  <w:footnote w:id="46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11:9-11.</w:t>
      </w:r>
    </w:p>
  </w:footnote>
  <w:footnote w:id="46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R.C.  4928.39 defines transition costs as costs unrecoverable in a competitive environment.</w:t>
      </w:r>
    </w:p>
  </w:footnote>
  <w:footnote w:id="468">
    <w:p w:rsidR="0020495B" w:rsidRPr="00856315" w:rsidRDefault="0020495B" w:rsidP="00856315">
      <w:pPr>
        <w:pStyle w:val="CommentText"/>
        <w:spacing w:after="120"/>
      </w:pPr>
      <w:r w:rsidRPr="00856315">
        <w:rPr>
          <w:rStyle w:val="FootnoteReference"/>
        </w:rPr>
        <w:footnoteRef/>
      </w:r>
      <w:r w:rsidRPr="00856315">
        <w:t xml:space="preserve"> It should be noted that the “Generation Transition Charge” (GTC) ended at the end of 2005, but, for “regulatory transition charges” (RTC), the end dates were extended, per the PUCO-approved stipulation.  Specifically, the stipulation indicates that the RTC recovery periods will not extend beyond December 31, 2006 for Ohio Edison, June 30, 2007 for Toledo Edison, and December 31, 2008 for CEI except in some limited circumstances.  </w:t>
      </w:r>
      <w:r w:rsidRPr="00856315">
        <w:rPr>
          <w:i/>
        </w:rPr>
        <w:t>See</w:t>
      </w:r>
      <w:r w:rsidRPr="00856315">
        <w:t xml:space="preserve"> </w:t>
      </w:r>
      <w:r w:rsidRPr="00856315">
        <w:rPr>
          <w:i/>
        </w:rPr>
        <w:t xml:space="preserve">In the Matter of the Application of FirstEnergy Corp. on Behalf of Ohio Edison Company, The Cleveland Electric Illuminating Company, and The Toledo Edison Company for Approval of Their Transition Plans and for Authorization to Collect Transition Revenues, </w:t>
      </w:r>
      <w:r w:rsidRPr="00856315">
        <w:t xml:space="preserve">PUCO Case Nos. 99-1212-EL-ETP, 99-1213-EL-ATA, and 99-1214-EL-AAM, Opinion and Order (July 19, 2000).  </w:t>
      </w:r>
    </w:p>
  </w:footnote>
  <w:footnote w:id="46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w:t>
      </w:r>
      <w:r w:rsidRPr="00856315">
        <w:rPr>
          <w:rFonts w:ascii="Times New Roman" w:hAnsi="Times New Roman" w:cs="Times New Roman"/>
        </w:rPr>
        <w:t xml:space="preserve"> R.C. 4928.38 (requiring that after the market development period is over, the utility is to no longer receive transition revenues and “shall be fully on its own in the competitive market.”).</w:t>
      </w:r>
    </w:p>
  </w:footnote>
  <w:footnote w:id="47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Kenneth Rose (OCC Ex. 11) filed September 11, 2015 at 16:3-15.</w:t>
      </w:r>
    </w:p>
  </w:footnote>
  <w:footnote w:id="47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10:6-8.</w:t>
      </w:r>
    </w:p>
  </w:footnote>
  <w:footnote w:id="47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12:16-17.</w:t>
      </w:r>
    </w:p>
  </w:footnote>
  <w:footnote w:id="47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12:17-19.</w:t>
      </w:r>
    </w:p>
  </w:footnote>
  <w:footnote w:id="47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8:11-13.</w:t>
      </w:r>
    </w:p>
  </w:footnote>
  <w:footnote w:id="47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 xml:space="preserve">at p. 13:8-11, 15:5-6, 21:17-20; </w:t>
      </w:r>
      <w:r w:rsidRPr="00856315">
        <w:rPr>
          <w:rFonts w:ascii="Times New Roman" w:hAnsi="Times New Roman" w:cs="Times New Roman"/>
          <w:i/>
        </w:rPr>
        <w:t>see also</w:t>
      </w:r>
      <w:r w:rsidRPr="00856315">
        <w:rPr>
          <w:rFonts w:ascii="Times New Roman" w:hAnsi="Times New Roman" w:cs="Times New Roman"/>
        </w:rPr>
        <w:t xml:space="preserve"> R.C. sec. 4928.38 ( requiring that after the market development period is over, the utility is to no longer receive transition revenues and “shall be fully on its own in the competitive market.”).  AEP Ohio’s market development period ended on December 31, 2005. </w:t>
      </w:r>
      <w:r w:rsidRPr="00856315">
        <w:rPr>
          <w:rFonts w:ascii="Times New Roman" w:hAnsi="Times New Roman" w:cs="Times New Roman"/>
          <w:i/>
        </w:rPr>
        <w:t>See In the Matter of the Application of Columbus Southern Power of Company and Ohio Power Company for Approval of a Post Market Development Period Rate Stabilization Plan,</w:t>
      </w:r>
      <w:r w:rsidRPr="00856315">
        <w:rPr>
          <w:rFonts w:ascii="Times New Roman" w:hAnsi="Times New Roman" w:cs="Times New Roman"/>
        </w:rPr>
        <w:t xml:space="preserve"> Case No. 04-169-EL-UNC. Opinion and Order of January 26, 2005 at 5, 14.</w:t>
      </w:r>
    </w:p>
  </w:footnote>
  <w:footnote w:id="47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Kenneth Rose (OCC Ex. 11) filed September 11, 2015 at p. 13:13-17.</w:t>
      </w:r>
    </w:p>
  </w:footnote>
  <w:footnote w:id="47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13:17-20.</w:t>
      </w:r>
    </w:p>
  </w:footnote>
  <w:footnote w:id="47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14:11-13.</w:t>
      </w:r>
    </w:p>
  </w:footnote>
  <w:footnote w:id="47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14:13-15.</w:t>
      </w:r>
    </w:p>
  </w:footnote>
  <w:footnote w:id="48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14:17-19.</w:t>
      </w:r>
    </w:p>
  </w:footnote>
  <w:footnote w:id="48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14:19-22.</w:t>
      </w:r>
    </w:p>
  </w:footnote>
  <w:footnote w:id="48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14:22-23.</w:t>
      </w:r>
    </w:p>
  </w:footnote>
  <w:footnote w:id="48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14:23-15:1-3.</w:t>
      </w:r>
    </w:p>
  </w:footnote>
  <w:footnote w:id="48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15:5-6.</w:t>
      </w:r>
    </w:p>
  </w:footnote>
  <w:footnote w:id="48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15:6-8.</w:t>
      </w:r>
    </w:p>
  </w:footnote>
  <w:footnote w:id="48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15:8-10</w:t>
      </w:r>
      <w:r>
        <w:rPr>
          <w:rFonts w:ascii="Times New Roman" w:hAnsi="Times New Roman" w:cs="Times New Roman"/>
        </w:rPr>
        <w:t xml:space="preserve">; </w:t>
      </w:r>
      <w:r>
        <w:rPr>
          <w:rFonts w:ascii="Times New Roman" w:hAnsi="Times New Roman" w:cs="Times New Roman"/>
          <w:i/>
        </w:rPr>
        <w:t xml:space="preserve">see also </w:t>
      </w:r>
      <w:r>
        <w:rPr>
          <w:rFonts w:ascii="Times New Roman" w:hAnsi="Times New Roman" w:cs="Times New Roman"/>
        </w:rPr>
        <w:t>R.C. 4905.35 (prohibiting discrimination)</w:t>
      </w:r>
      <w:r w:rsidRPr="00856315">
        <w:rPr>
          <w:rFonts w:ascii="Times New Roman" w:hAnsi="Times New Roman" w:cs="Times New Roman"/>
        </w:rPr>
        <w:t>.</w:t>
      </w:r>
    </w:p>
  </w:footnote>
  <w:footnote w:id="48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Kenneth Rose (OCC Ex. 11) filed September 11, 2015</w:t>
      </w:r>
      <w:r>
        <w:rPr>
          <w:rFonts w:ascii="Times New Roman" w:hAnsi="Times New Roman" w:cs="Times New Roman"/>
        </w:rPr>
        <w:t xml:space="preserve"> </w:t>
      </w:r>
      <w:r w:rsidRPr="00856315">
        <w:rPr>
          <w:rFonts w:ascii="Times New Roman" w:hAnsi="Times New Roman" w:cs="Times New Roman"/>
        </w:rPr>
        <w:t>at p. 15:10-12.</w:t>
      </w:r>
    </w:p>
  </w:footnote>
  <w:footnote w:id="48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15:12-14.</w:t>
      </w:r>
    </w:p>
  </w:footnote>
  <w:footnote w:id="48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19.</w:t>
      </w:r>
    </w:p>
  </w:footnote>
  <w:footnote w:id="49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R.C. 4928.02(H); Direct Testimony of Kenneth Rose (OCC Ex. 11) filed September 11, 2015 at p. 19:6-11.</w:t>
      </w:r>
    </w:p>
  </w:footnote>
  <w:footnote w:id="49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Kenneth Rose (OCC Ex. 11) filed September 11, 2015 at p. 19:13-15.</w:t>
      </w:r>
    </w:p>
  </w:footnote>
  <w:footnote w:id="49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19:15-18.</w:t>
      </w:r>
    </w:p>
  </w:footnote>
  <w:footnote w:id="49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19:20.</w:t>
      </w:r>
    </w:p>
  </w:footnote>
  <w:footnote w:id="49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19:20-23.</w:t>
      </w:r>
    </w:p>
  </w:footnote>
  <w:footnote w:id="49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Direct Testimony of Kelly D. Pearce (AEP Ohio Ex. 2) filed May 15, 2015 at KDP-2.  The germane net loss to customers were the Joint Stipulation approved would be nearly $.7 billion over the eight and a half years or $.6 billion net present value at a five percent discount rate.  </w:t>
      </w:r>
      <w:r w:rsidRPr="00856315">
        <w:rPr>
          <w:rFonts w:ascii="Times New Roman" w:hAnsi="Times New Roman" w:cs="Times New Roman"/>
          <w:i/>
        </w:rPr>
        <w:t xml:space="preserve">See </w:t>
      </w:r>
      <w:r w:rsidRPr="00856315">
        <w:rPr>
          <w:rFonts w:ascii="Times New Roman" w:hAnsi="Times New Roman" w:cs="Times New Roman"/>
        </w:rPr>
        <w:t>Direct Testimony of William A. Allen (AEP Ohio Ex. 52) filed December 14, 2015 at WAA-2, Low Load Forecast.</w:t>
      </w:r>
    </w:p>
  </w:footnote>
  <w:footnote w:id="496">
    <w:p w:rsidR="0020495B" w:rsidRPr="00856315" w:rsidRDefault="0020495B" w:rsidP="00856315">
      <w:pPr>
        <w:pStyle w:val="FootnoteText"/>
        <w:spacing w:after="120"/>
        <w:rPr>
          <w:rFonts w:ascii="Times New Roman" w:hAnsi="Times New Roman" w:cs="Times New Roman"/>
          <w:i/>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p>
  </w:footnote>
  <w:footnote w:id="497">
    <w:p w:rsidR="0020495B" w:rsidRPr="00856315" w:rsidRDefault="0020495B" w:rsidP="00856315">
      <w:pPr>
        <w:pStyle w:val="FootnoteText"/>
        <w:spacing w:after="120"/>
        <w:rPr>
          <w:rFonts w:ascii="Times New Roman" w:hAnsi="Times New Roman" w:cs="Times New Roman"/>
          <w:i/>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generally </w:t>
      </w:r>
      <w:r w:rsidRPr="00856315">
        <w:rPr>
          <w:rFonts w:ascii="Times New Roman" w:hAnsi="Times New Roman" w:cs="Times New Roman"/>
        </w:rPr>
        <w:t>Direct Testimony of Kelly D. Pearce (AEP Ohio Ex. 2) filed May 15, 2015; Direct Testimony of William A. Allen (AEP Ohio Ex. 52) filed December 14, 2015 at WAA-2.</w:t>
      </w:r>
    </w:p>
  </w:footnote>
  <w:footnote w:id="49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w:t>
      </w:r>
      <w:r w:rsidRPr="00856315">
        <w:rPr>
          <w:rFonts w:ascii="Times New Roman" w:hAnsi="Times New Roman" w:cs="Times New Roman"/>
        </w:rPr>
        <w:t xml:space="preserve"> Direct Testimony of James F. Wilson (OCC Ex. 15) filed September 11, 2015 at p. 13; Direct Testimony of James F. Wilson (OCC Ex. 35) filed December 28, 2015 at 7.</w:t>
      </w:r>
    </w:p>
  </w:footnote>
  <w:footnote w:id="49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Direct Testimony of James F. Wilson (OCC Ex. 15) filed September 11, 2015 at p. 13:3-5 and Table 2.  Were the Joint Stipulation approved, the costs would be $1.9 billion and $1.5 billion, respectively.  </w:t>
      </w:r>
      <w:r w:rsidRPr="00856315">
        <w:rPr>
          <w:rFonts w:ascii="Times New Roman" w:hAnsi="Times New Roman" w:cs="Times New Roman"/>
          <w:i/>
        </w:rPr>
        <w:t xml:space="preserve">See </w:t>
      </w:r>
      <w:r w:rsidRPr="00856315">
        <w:rPr>
          <w:rFonts w:ascii="Times New Roman" w:hAnsi="Times New Roman" w:cs="Times New Roman"/>
        </w:rPr>
        <w:t>Direct Testimony of James F. Wilson (OCC Ex. 35) filed December 28, 2015 at 7 and Table 1.</w:t>
      </w:r>
    </w:p>
  </w:footnote>
  <w:footnote w:id="500">
    <w:p w:rsidR="0020495B" w:rsidRPr="00856315" w:rsidRDefault="0020495B" w:rsidP="00856315">
      <w:pPr>
        <w:pStyle w:val="FootnoteText"/>
        <w:spacing w:after="120"/>
        <w:rPr>
          <w:rFonts w:ascii="Times New Roman" w:hAnsi="Times New Roman" w:cs="Times New Roman"/>
          <w:i/>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James F. Wilson (OCC Ex. 15) filed September 11, 2015</w:t>
      </w:r>
      <w:r w:rsidRPr="00856315">
        <w:rPr>
          <w:rFonts w:ascii="Times New Roman" w:hAnsi="Times New Roman" w:cs="Times New Roman"/>
          <w:i/>
        </w:rPr>
        <w:t xml:space="preserve"> </w:t>
      </w:r>
      <w:r w:rsidRPr="00856315">
        <w:rPr>
          <w:rFonts w:ascii="Times New Roman" w:hAnsi="Times New Roman" w:cs="Times New Roman"/>
        </w:rPr>
        <w:t>at p. 13:3-5; Direct Testimony of James F. Wilson (OCC Ex. 35) filed December 28, 2015 at 7 and Table 1 (ranging from $269 million to $50 million, were the Joint Stipulation approved).</w:t>
      </w:r>
    </w:p>
  </w:footnote>
  <w:footnote w:id="50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James F. Wilson (OCC Ex. 15) filed September 11, 2015</w:t>
      </w:r>
      <w:r w:rsidRPr="00856315">
        <w:rPr>
          <w:rFonts w:ascii="Times New Roman" w:hAnsi="Times New Roman" w:cs="Times New Roman"/>
          <w:i/>
        </w:rPr>
        <w:t xml:space="preserve"> </w:t>
      </w:r>
      <w:r w:rsidRPr="00856315">
        <w:rPr>
          <w:rFonts w:ascii="Times New Roman" w:hAnsi="Times New Roman" w:cs="Times New Roman"/>
        </w:rPr>
        <w:t>at p. 13:7-9; Direct Testimony of James F. Wilson (OCC Ex. 35) filed December 28, 2015 at 7:12-14 ($74.3/MWh and $107.3/MWh, respectively, were the Joint Stipulation approved).</w:t>
      </w:r>
    </w:p>
  </w:footnote>
  <w:footnote w:id="50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w:t>
      </w:r>
      <w:r w:rsidRPr="00856315">
        <w:rPr>
          <w:rFonts w:ascii="Times New Roman" w:hAnsi="Times New Roman" w:cs="Times New Roman"/>
        </w:rPr>
        <w:t xml:space="preserve"> Direct Testimony of James F. Wilson (OCC Ex. 15) filed September 11, 2015 at p. 10:5-23-11:1-9.</w:t>
      </w:r>
    </w:p>
  </w:footnote>
  <w:footnote w:id="50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10:7-10.</w:t>
      </w:r>
    </w:p>
  </w:footnote>
  <w:footnote w:id="50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w:t>
      </w:r>
      <w:r w:rsidRPr="00856315">
        <w:rPr>
          <w:rFonts w:ascii="Times New Roman" w:hAnsi="Times New Roman" w:cs="Times New Roman"/>
        </w:rPr>
        <w:t xml:space="preserve"> Hearing Transcript at Vol. I, p. 272:15-19; </w:t>
      </w:r>
      <w:r w:rsidRPr="00856315">
        <w:rPr>
          <w:rFonts w:ascii="Times New Roman" w:hAnsi="Times New Roman" w:cs="Times New Roman"/>
          <w:i/>
        </w:rPr>
        <w:t>id</w:t>
      </w:r>
      <w:r w:rsidRPr="00856315">
        <w:rPr>
          <w:rFonts w:ascii="Times New Roman" w:hAnsi="Times New Roman" w:cs="Times New Roman"/>
        </w:rPr>
        <w:t xml:space="preserve"> at 172:15-19.  Nothing changed with AEP Ohio Ex. 52, WAA-2, prepared at AEP Ohio Witness Allen’s direction for purposes of the Joint Stipulation, except the ROE, removing 2015 from the forecast, ending the forecast at May 31, 2024, and including PJM CP auctions.  </w:t>
      </w:r>
      <w:r w:rsidRPr="00856315">
        <w:rPr>
          <w:rFonts w:ascii="Times New Roman" w:hAnsi="Times New Roman" w:cs="Times New Roman"/>
          <w:i/>
        </w:rPr>
        <w:t xml:space="preserve">See </w:t>
      </w:r>
      <w:r w:rsidRPr="00856315">
        <w:rPr>
          <w:rFonts w:ascii="Times New Roman" w:hAnsi="Times New Roman" w:cs="Times New Roman"/>
        </w:rPr>
        <w:t xml:space="preserve">Direct Testimony of William A. Allen (AEP Ohio Ex. 52) filed December 14, 2015 at WAA-2; </w:t>
      </w:r>
      <w:r w:rsidRPr="00856315">
        <w:rPr>
          <w:rFonts w:ascii="Times New Roman" w:hAnsi="Times New Roman" w:cs="Times New Roman"/>
          <w:i/>
        </w:rPr>
        <w:t xml:space="preserve">see also </w:t>
      </w:r>
      <w:r w:rsidRPr="00856315">
        <w:rPr>
          <w:rFonts w:ascii="Times New Roman" w:hAnsi="Times New Roman" w:cs="Times New Roman"/>
        </w:rPr>
        <w:t>Hearing Transcript at Vol. XVIII, p. 4567:18-4568:10.</w:t>
      </w:r>
    </w:p>
  </w:footnote>
  <w:footnote w:id="50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Hearing Transcript at Vol. I, p. 170:25-174:4. </w:t>
      </w:r>
    </w:p>
  </w:footnote>
  <w:footnote w:id="50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James F. Wilson (OCC Ex. 15) filed September 11, 2015 at p. 10:12-13.</w:t>
      </w:r>
    </w:p>
  </w:footnote>
  <w:footnote w:id="50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w:t>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p. 66:1-9.</w:t>
      </w:r>
    </w:p>
  </w:footnote>
  <w:footnote w:id="50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14:5-7.</w:t>
      </w:r>
    </w:p>
  </w:footnote>
  <w:footnote w:id="50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14:7-9.</w:t>
      </w:r>
    </w:p>
  </w:footnote>
  <w:footnote w:id="51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35-36.</w:t>
      </w:r>
    </w:p>
  </w:footnote>
  <w:footnote w:id="51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14:11-14; </w:t>
      </w:r>
      <w:r w:rsidRPr="00856315">
        <w:rPr>
          <w:rFonts w:ascii="Times New Roman" w:hAnsi="Times New Roman" w:cs="Times New Roman"/>
          <w:i/>
        </w:rPr>
        <w:t>see also</w:t>
      </w:r>
      <w:r w:rsidRPr="00856315">
        <w:rPr>
          <w:rFonts w:ascii="Times New Roman" w:hAnsi="Times New Roman" w:cs="Times New Roman"/>
        </w:rPr>
        <w:t xml:space="preserve"> notes 8</w:t>
      </w:r>
      <w:r>
        <w:rPr>
          <w:rFonts w:ascii="Times New Roman" w:hAnsi="Times New Roman" w:cs="Times New Roman"/>
        </w:rPr>
        <w:t>2</w:t>
      </w:r>
      <w:r w:rsidRPr="00856315">
        <w:rPr>
          <w:rFonts w:ascii="Times New Roman" w:hAnsi="Times New Roman" w:cs="Times New Roman"/>
        </w:rPr>
        <w:t>-8</w:t>
      </w:r>
      <w:r>
        <w:rPr>
          <w:rFonts w:ascii="Times New Roman" w:hAnsi="Times New Roman" w:cs="Times New Roman"/>
        </w:rPr>
        <w:t>7</w:t>
      </w:r>
      <w:r w:rsidRPr="00856315">
        <w:rPr>
          <w:rFonts w:ascii="Times New Roman" w:hAnsi="Times New Roman" w:cs="Times New Roman"/>
        </w:rPr>
        <w:t xml:space="preserve">, </w:t>
      </w:r>
      <w:r w:rsidRPr="00856315">
        <w:rPr>
          <w:rFonts w:ascii="Times New Roman" w:hAnsi="Times New Roman" w:cs="Times New Roman"/>
          <w:i/>
        </w:rPr>
        <w:t>supra</w:t>
      </w:r>
      <w:r w:rsidRPr="00856315">
        <w:rPr>
          <w:rFonts w:ascii="Times New Roman" w:hAnsi="Times New Roman" w:cs="Times New Roman"/>
        </w:rPr>
        <w:t>; Hearing Transcript at Vol. XVIII, p. 4519:16-22</w:t>
      </w:r>
      <w:r w:rsidRPr="00856315">
        <w:rPr>
          <w:rFonts w:ascii="Times New Roman" w:hAnsi="Times New Roman" w:cs="Times New Roman"/>
          <w:i/>
        </w:rPr>
        <w:t xml:space="preserve"> </w:t>
      </w:r>
      <w:r w:rsidRPr="00856315">
        <w:rPr>
          <w:rFonts w:ascii="Times New Roman" w:hAnsi="Times New Roman" w:cs="Times New Roman"/>
        </w:rPr>
        <w:t>(PPA Rider would be adjusted quarterly to reflect deviations between forecasted and actual).</w:t>
      </w:r>
    </w:p>
  </w:footnote>
  <w:footnote w:id="51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Direct Testimony of James F. Wilson (OCC Ex. 15) filed September 11, 2015 at p. 14:14-15; </w:t>
      </w:r>
      <w:r w:rsidRPr="00856315">
        <w:rPr>
          <w:rFonts w:ascii="Times New Roman" w:hAnsi="Times New Roman" w:cs="Times New Roman"/>
          <w:i/>
        </w:rPr>
        <w:t>see also</w:t>
      </w:r>
      <w:r w:rsidRPr="00856315">
        <w:rPr>
          <w:rFonts w:ascii="Times New Roman" w:hAnsi="Times New Roman" w:cs="Times New Roman"/>
        </w:rPr>
        <w:t xml:space="preserve"> notes 8</w:t>
      </w:r>
      <w:r>
        <w:rPr>
          <w:rFonts w:ascii="Times New Roman" w:hAnsi="Times New Roman" w:cs="Times New Roman"/>
        </w:rPr>
        <w:t>2</w:t>
      </w:r>
      <w:r w:rsidRPr="00856315">
        <w:rPr>
          <w:rFonts w:ascii="Times New Roman" w:hAnsi="Times New Roman" w:cs="Times New Roman"/>
        </w:rPr>
        <w:t>-8</w:t>
      </w:r>
      <w:r>
        <w:rPr>
          <w:rFonts w:ascii="Times New Roman" w:hAnsi="Times New Roman" w:cs="Times New Roman"/>
        </w:rPr>
        <w:t>7</w:t>
      </w:r>
      <w:r w:rsidRPr="00856315">
        <w:rPr>
          <w:rFonts w:ascii="Times New Roman" w:hAnsi="Times New Roman" w:cs="Times New Roman"/>
        </w:rPr>
        <w:t xml:space="preserve">, </w:t>
      </w:r>
      <w:r w:rsidRPr="00856315">
        <w:rPr>
          <w:rFonts w:ascii="Times New Roman" w:hAnsi="Times New Roman" w:cs="Times New Roman"/>
          <w:i/>
        </w:rPr>
        <w:t>supra</w:t>
      </w:r>
      <w:r w:rsidRPr="00856315">
        <w:rPr>
          <w:rFonts w:ascii="Times New Roman" w:hAnsi="Times New Roman" w:cs="Times New Roman"/>
        </w:rPr>
        <w:t>; Hearing Transcript at Vol. XVIII, p. 4519:16-22</w:t>
      </w:r>
      <w:r w:rsidRPr="00856315">
        <w:rPr>
          <w:rFonts w:ascii="Times New Roman" w:hAnsi="Times New Roman" w:cs="Times New Roman"/>
          <w:i/>
        </w:rPr>
        <w:t xml:space="preserve"> </w:t>
      </w:r>
      <w:r w:rsidRPr="00856315">
        <w:rPr>
          <w:rFonts w:ascii="Times New Roman" w:hAnsi="Times New Roman" w:cs="Times New Roman"/>
        </w:rPr>
        <w:t>(PPA Rider would be adjusted quarterly to reflect deviations between forecasted and actual).</w:t>
      </w:r>
    </w:p>
  </w:footnote>
  <w:footnote w:id="51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James F. Wilson (OCC Ex. 15) filed September 11, 2015) at p. 14:15-18.</w:t>
      </w:r>
    </w:p>
  </w:footnote>
  <w:footnote w:id="51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14:18-20.</w:t>
      </w:r>
    </w:p>
  </w:footnote>
  <w:footnote w:id="51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14:20-22.</w:t>
      </w:r>
    </w:p>
  </w:footnote>
  <w:footnote w:id="51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15:1-3.</w:t>
      </w:r>
    </w:p>
  </w:footnote>
  <w:footnote w:id="51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15:3-4.</w:t>
      </w:r>
    </w:p>
  </w:footnote>
  <w:footnote w:id="51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ESP III Opinion and Order at 24.</w:t>
      </w:r>
    </w:p>
  </w:footnote>
  <w:footnote w:id="51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Rebuttal Testimony of Karl R. Bletzacker (AEP Ohio Ex. 50) filed October 27, 2015 at p. 7:10-8:3.</w:t>
      </w:r>
    </w:p>
  </w:footnote>
  <w:footnote w:id="52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Hearing Transcript at Vol. XVII, p. 4091:17-21.</w:t>
      </w:r>
    </w:p>
  </w:footnote>
  <w:footnote w:id="521">
    <w:p w:rsidR="0020495B" w:rsidRPr="00856315" w:rsidRDefault="0020495B" w:rsidP="00856315">
      <w:pPr>
        <w:pStyle w:val="FootnoteText"/>
        <w:spacing w:after="120"/>
        <w:rPr>
          <w:rFonts w:ascii="Times New Roman" w:hAnsi="Times New Roman" w:cs="Times New Roman"/>
          <w:i/>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p>
  </w:footnote>
  <w:footnote w:id="52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4098:18-20.</w:t>
      </w:r>
    </w:p>
  </w:footnote>
  <w:footnote w:id="52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ESP III Opinion and Order at 16.</w:t>
      </w:r>
    </w:p>
  </w:footnote>
  <w:footnote w:id="52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Direct Testimony of Ramteen Sioshansi (OCC Ex. 12) filed September 11, 2015 at 9.</w:t>
      </w:r>
    </w:p>
  </w:footnote>
  <w:footnote w:id="52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11:12-20.</w:t>
      </w:r>
    </w:p>
  </w:footnote>
  <w:footnote w:id="52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12:4-12.</w:t>
      </w:r>
    </w:p>
  </w:footnote>
  <w:footnote w:id="52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12:14-23.</w:t>
      </w:r>
    </w:p>
  </w:footnote>
  <w:footnote w:id="52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10:21-23.</w:t>
      </w:r>
    </w:p>
  </w:footnote>
  <w:footnote w:id="52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10:4-7.</w:t>
      </w:r>
    </w:p>
  </w:footnote>
  <w:footnote w:id="53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11:3-6.</w:t>
      </w:r>
    </w:p>
  </w:footnote>
  <w:footnote w:id="53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11:6-8.</w:t>
      </w:r>
    </w:p>
  </w:footnote>
  <w:footnote w:id="53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generally id. </w:t>
      </w:r>
      <w:r w:rsidRPr="00856315">
        <w:rPr>
          <w:rFonts w:ascii="Times New Roman" w:hAnsi="Times New Roman" w:cs="Times New Roman"/>
        </w:rPr>
        <w:t>at p. 10-11.</w:t>
      </w:r>
    </w:p>
  </w:footnote>
  <w:footnote w:id="53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 xml:space="preserve">at p. 14:21-15:10. </w:t>
      </w:r>
    </w:p>
  </w:footnote>
  <w:footnote w:id="53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15:5-16.</w:t>
      </w:r>
    </w:p>
  </w:footnote>
  <w:footnote w:id="53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15:12-16.</w:t>
      </w:r>
    </w:p>
  </w:footnote>
  <w:footnote w:id="53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 xml:space="preserve">at p. 15:1-10. </w:t>
      </w:r>
    </w:p>
  </w:footnote>
  <w:footnote w:id="53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e.g., </w:t>
      </w:r>
      <w:r w:rsidRPr="00856315">
        <w:rPr>
          <w:rFonts w:ascii="Times New Roman" w:hAnsi="Times New Roman" w:cs="Times New Roman"/>
        </w:rPr>
        <w:t>Direct Testimony of Dr. Hisham Choueiki (Staff</w:t>
      </w:r>
      <w:r w:rsidRPr="00856315">
        <w:rPr>
          <w:rFonts w:ascii="Times New Roman" w:hAnsi="Times New Roman" w:cs="Times New Roman"/>
          <w:i/>
        </w:rPr>
        <w:t xml:space="preserve"> </w:t>
      </w:r>
      <w:r w:rsidRPr="00856315">
        <w:rPr>
          <w:rFonts w:ascii="Times New Roman" w:hAnsi="Times New Roman" w:cs="Times New Roman"/>
        </w:rPr>
        <w:t xml:space="preserve">Ex. 1) filed October 9, 2015 at p. 14:4-11. </w:t>
      </w:r>
    </w:p>
  </w:footnote>
  <w:footnote w:id="53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Ramteen Sioshansi (OCC Ex. 12) filed September 11, 2015 at p. 15:18-22.</w:t>
      </w:r>
    </w:p>
  </w:footnote>
  <w:footnote w:id="53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16:4-18.</w:t>
      </w:r>
    </w:p>
  </w:footnote>
  <w:footnote w:id="54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16:12-15.</w:t>
      </w:r>
    </w:p>
  </w:footnote>
  <w:footnote w:id="54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generally id.</w:t>
      </w:r>
      <w:r w:rsidRPr="00856315">
        <w:rPr>
          <w:rFonts w:ascii="Times New Roman" w:hAnsi="Times New Roman" w:cs="Times New Roman"/>
        </w:rPr>
        <w:t xml:space="preserve"> at p. 16.</w:t>
      </w:r>
    </w:p>
  </w:footnote>
  <w:footnote w:id="54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17:5-6.</w:t>
      </w:r>
    </w:p>
  </w:footnote>
  <w:footnote w:id="54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17:6-11.</w:t>
      </w:r>
    </w:p>
  </w:footnote>
  <w:footnote w:id="544">
    <w:p w:rsidR="0020495B" w:rsidRPr="00856315" w:rsidRDefault="0020495B" w:rsidP="00856315">
      <w:pPr>
        <w:pStyle w:val="FootnoteText"/>
        <w:spacing w:after="120"/>
        <w:rPr>
          <w:rFonts w:ascii="Times New Roman" w:hAnsi="Times New Roman" w:cs="Times New Roman"/>
          <w:i/>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sec. 3, </w:t>
      </w:r>
      <w:r w:rsidRPr="00856315">
        <w:rPr>
          <w:rFonts w:ascii="Times New Roman" w:hAnsi="Times New Roman" w:cs="Times New Roman"/>
          <w:i/>
        </w:rPr>
        <w:t>supra</w:t>
      </w:r>
      <w:r w:rsidRPr="00856315">
        <w:rPr>
          <w:rFonts w:ascii="Times New Roman" w:hAnsi="Times New Roman" w:cs="Times New Roman"/>
        </w:rPr>
        <w:t>.</w:t>
      </w:r>
      <w:r w:rsidRPr="00856315">
        <w:rPr>
          <w:rFonts w:ascii="Times New Roman" w:hAnsi="Times New Roman" w:cs="Times New Roman"/>
          <w:i/>
        </w:rPr>
        <w:t xml:space="preserve"> </w:t>
      </w:r>
    </w:p>
  </w:footnote>
  <w:footnote w:id="54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Direct Testimony of Ramteen Sioshansi (OCC Ex. 12) filed September 11, 2015 at p. 17:6-18:9.  AEP Ohio has not set up a "firewall" between those that will offer the PPA Units and those that will offer the non-PPA Units into PJM.  </w:t>
      </w:r>
      <w:r w:rsidRPr="00856315">
        <w:rPr>
          <w:rFonts w:ascii="Times New Roman" w:hAnsi="Times New Roman" w:cs="Times New Roman"/>
          <w:i/>
        </w:rPr>
        <w:t xml:space="preserve">See </w:t>
      </w:r>
      <w:r w:rsidRPr="00856315">
        <w:rPr>
          <w:rFonts w:ascii="Times New Roman" w:hAnsi="Times New Roman" w:cs="Times New Roman"/>
        </w:rPr>
        <w:t>Hearing Transcript at Vol. XVIII, p. 4492:18-21.</w:t>
      </w:r>
    </w:p>
  </w:footnote>
  <w:footnote w:id="54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Hearing Transcript at Vol. XIII, p. 3450:9-24.</w:t>
      </w:r>
    </w:p>
  </w:footnote>
  <w:footnote w:id="54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Ramteen Sioshansi (OCC Ex. 12) filed September 11, 2015 at p. 20:6-14.</w:t>
      </w:r>
    </w:p>
  </w:footnote>
  <w:footnote w:id="54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20:16-18.</w:t>
      </w:r>
    </w:p>
  </w:footnote>
  <w:footnote w:id="54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generally id.</w:t>
      </w:r>
      <w:r w:rsidRPr="00856315">
        <w:rPr>
          <w:rFonts w:ascii="Times New Roman" w:hAnsi="Times New Roman" w:cs="Times New Roman"/>
        </w:rPr>
        <w:t xml:space="preserve"> at p. 19:14-20:22.</w:t>
      </w:r>
    </w:p>
  </w:footnote>
  <w:footnote w:id="55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e.g., </w:t>
      </w:r>
      <w:r w:rsidRPr="00856315">
        <w:rPr>
          <w:rFonts w:ascii="Times New Roman" w:hAnsi="Times New Roman" w:cs="Times New Roman"/>
        </w:rPr>
        <w:t>Direct Testimony of Kenneth Rose (OCC Ex. 11) filed September 11, 2015 at p. 21:1-20.</w:t>
      </w:r>
    </w:p>
  </w:footnote>
  <w:footnote w:id="55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21:24-25; </w:t>
      </w:r>
      <w:r w:rsidRPr="00856315">
        <w:rPr>
          <w:rFonts w:ascii="Times New Roman" w:hAnsi="Times New Roman" w:cs="Times New Roman"/>
          <w:i/>
        </w:rPr>
        <w:t xml:space="preserve">see also </w:t>
      </w:r>
      <w:r w:rsidRPr="00856315">
        <w:rPr>
          <w:rFonts w:ascii="Times New Roman" w:hAnsi="Times New Roman" w:cs="Times New Roman"/>
        </w:rPr>
        <w:t>ESP III Opinion and Order at 25.</w:t>
      </w:r>
    </w:p>
  </w:footnote>
  <w:footnote w:id="55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e.g., </w:t>
      </w:r>
      <w:r w:rsidRPr="00856315">
        <w:rPr>
          <w:rFonts w:ascii="Times New Roman" w:hAnsi="Times New Roman" w:cs="Times New Roman"/>
        </w:rPr>
        <w:t xml:space="preserve">Direct Testimony of Pablo A. Vegas (AEP Ohio Ex. 1) filed May 15, 2015 at p. 16:14-15; Direct Testimony of Toby L. Thomas (AEP Ohio Ex. 5) filed May 15, 2015 at p. 11:7-9.  </w:t>
      </w:r>
    </w:p>
  </w:footnote>
  <w:footnote w:id="55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generally </w:t>
      </w:r>
      <w:r w:rsidRPr="00856315">
        <w:rPr>
          <w:rFonts w:ascii="Times New Roman" w:hAnsi="Times New Roman" w:cs="Times New Roman"/>
        </w:rPr>
        <w:t>Direct Testimony of Kenneth Rose (OCC Ex. 11) filed September 11, 2015 at p. 21:1-22:6; Direct Testimony of Ramteen Sioshansi (OCC Ex. 12) filed September 11, 2015 at p. 25:11-26:15.</w:t>
      </w:r>
    </w:p>
  </w:footnote>
  <w:footnote w:id="55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generally </w:t>
      </w:r>
      <w:r w:rsidRPr="00856315">
        <w:rPr>
          <w:rFonts w:ascii="Times New Roman" w:hAnsi="Times New Roman" w:cs="Times New Roman"/>
        </w:rPr>
        <w:t>Direct Testimony of Ramteen Sioshansi (OCC Ex. 12) filed September 11, 2015 at p. 45:9-20.</w:t>
      </w:r>
    </w:p>
  </w:footnote>
  <w:footnote w:id="55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46:4-7.</w:t>
      </w:r>
    </w:p>
  </w:footnote>
  <w:footnote w:id="556">
    <w:p w:rsidR="0020495B" w:rsidRPr="00856315" w:rsidRDefault="0020495B" w:rsidP="00856315">
      <w:pPr>
        <w:pStyle w:val="Footnote"/>
        <w:spacing w:after="120"/>
        <w:rPr>
          <w:rFonts w:ascii="Times New Roman" w:hAnsi="Times New Roman" w:cs="Times New Roman"/>
          <w:sz w:val="20"/>
          <w:szCs w:val="20"/>
        </w:rPr>
      </w:pPr>
      <w:r w:rsidRPr="00856315">
        <w:rPr>
          <w:rFonts w:ascii="Times New Roman" w:hAnsi="Times New Roman" w:cs="Times New Roman"/>
          <w:sz w:val="20"/>
          <w:szCs w:val="20"/>
          <w:vertAlign w:val="superscript"/>
        </w:rPr>
        <w:footnoteRef/>
      </w:r>
      <w:r w:rsidRPr="00856315">
        <w:rPr>
          <w:rFonts w:ascii="Times New Roman" w:hAnsi="Times New Roman" w:cs="Times New Roman"/>
          <w:sz w:val="20"/>
          <w:szCs w:val="20"/>
          <w:vertAlign w:val="superscript"/>
        </w:rPr>
        <w:t xml:space="preserve"> </w:t>
      </w:r>
      <w:r w:rsidRPr="00856315">
        <w:rPr>
          <w:rFonts w:ascii="Times New Roman" w:hAnsi="Times New Roman" w:cs="Times New Roman"/>
          <w:i/>
          <w:sz w:val="20"/>
          <w:szCs w:val="20"/>
        </w:rPr>
        <w:t>See</w:t>
      </w:r>
      <w:r w:rsidRPr="00856315">
        <w:rPr>
          <w:rFonts w:ascii="Times New Roman" w:hAnsi="Times New Roman" w:cs="Times New Roman"/>
          <w:i/>
          <w:sz w:val="20"/>
          <w:szCs w:val="20"/>
          <w:vertAlign w:val="superscript"/>
        </w:rPr>
        <w:t xml:space="preserve"> </w:t>
      </w:r>
      <w:r w:rsidRPr="00856315">
        <w:rPr>
          <w:rFonts w:ascii="Times New Roman" w:hAnsi="Times New Roman" w:cs="Times New Roman"/>
          <w:i/>
          <w:sz w:val="20"/>
          <w:szCs w:val="20"/>
        </w:rPr>
        <w:t xml:space="preserve">id. </w:t>
      </w:r>
      <w:r w:rsidRPr="00856315">
        <w:rPr>
          <w:rFonts w:ascii="Times New Roman" w:hAnsi="Times New Roman" w:cs="Times New Roman"/>
          <w:sz w:val="20"/>
          <w:szCs w:val="20"/>
        </w:rPr>
        <w:t xml:space="preserve">at p. 46:7-9.  </w:t>
      </w:r>
    </w:p>
  </w:footnote>
  <w:footnote w:id="55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46:11-13.</w:t>
      </w:r>
    </w:p>
  </w:footnote>
  <w:footnote w:id="558">
    <w:p w:rsidR="0020495B" w:rsidRPr="00856315" w:rsidRDefault="0020495B" w:rsidP="00856315">
      <w:pPr>
        <w:pStyle w:val="Footnote"/>
        <w:spacing w:after="120"/>
        <w:rPr>
          <w:rFonts w:ascii="Times New Roman" w:hAnsi="Times New Roman" w:cs="Times New Roman"/>
          <w:sz w:val="20"/>
          <w:szCs w:val="20"/>
        </w:rPr>
      </w:pPr>
      <w:r w:rsidRPr="00856315">
        <w:rPr>
          <w:rFonts w:ascii="Times New Roman" w:hAnsi="Times New Roman" w:cs="Times New Roman"/>
          <w:sz w:val="20"/>
          <w:szCs w:val="20"/>
          <w:vertAlign w:val="superscript"/>
        </w:rPr>
        <w:footnoteRef/>
      </w:r>
      <w:r w:rsidRPr="00856315">
        <w:rPr>
          <w:rFonts w:ascii="Times New Roman" w:hAnsi="Times New Roman" w:cs="Times New Roman"/>
          <w:i/>
          <w:sz w:val="20"/>
          <w:szCs w:val="20"/>
        </w:rPr>
        <w:t xml:space="preserve"> See id. </w:t>
      </w:r>
      <w:r w:rsidRPr="00856315">
        <w:rPr>
          <w:rFonts w:ascii="Times New Roman" w:hAnsi="Times New Roman" w:cs="Times New Roman"/>
          <w:sz w:val="20"/>
          <w:szCs w:val="20"/>
        </w:rPr>
        <w:t xml:space="preserve">at p. 46:13-17.  </w:t>
      </w:r>
    </w:p>
  </w:footnote>
  <w:footnote w:id="55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46:19-47:2.</w:t>
      </w:r>
    </w:p>
  </w:footnote>
  <w:footnote w:id="56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47:2-5.</w:t>
      </w:r>
    </w:p>
  </w:footnote>
  <w:footnote w:id="56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47:5-7.</w:t>
      </w:r>
    </w:p>
  </w:footnote>
  <w:footnote w:id="56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47:7-9.</w:t>
      </w:r>
    </w:p>
  </w:footnote>
  <w:footnote w:id="56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 xml:space="preserve">at p. 47:16-18.  If the Joint Stipulation is approved, the purported net profit is $721 million.  </w:t>
      </w:r>
      <w:r w:rsidRPr="00856315">
        <w:rPr>
          <w:rFonts w:ascii="Times New Roman" w:hAnsi="Times New Roman" w:cs="Times New Roman"/>
          <w:i/>
        </w:rPr>
        <w:t xml:space="preserve">See </w:t>
      </w:r>
      <w:r w:rsidRPr="00856315">
        <w:rPr>
          <w:rFonts w:ascii="Times New Roman" w:hAnsi="Times New Roman" w:cs="Times New Roman"/>
        </w:rPr>
        <w:t>Direct Testimony of William A. Allen (AEP Ohio Ex. 52) filed December 14, 2015 at WAA-2.</w:t>
      </w:r>
    </w:p>
  </w:footnote>
  <w:footnote w:id="56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Ramteen Sioshansi (OCC Ex. 12) filed September 11, 2015</w:t>
      </w:r>
      <w:r w:rsidRPr="00856315">
        <w:rPr>
          <w:rFonts w:ascii="Times New Roman" w:hAnsi="Times New Roman" w:cs="Times New Roman"/>
          <w:i/>
        </w:rPr>
        <w:t xml:space="preserve"> </w:t>
      </w:r>
      <w:r w:rsidRPr="00856315">
        <w:rPr>
          <w:rFonts w:ascii="Times New Roman" w:hAnsi="Times New Roman" w:cs="Times New Roman"/>
        </w:rPr>
        <w:t>at p. 48:1-3.</w:t>
      </w:r>
    </w:p>
  </w:footnote>
  <w:footnote w:id="56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48:3-8.</w:t>
      </w:r>
    </w:p>
  </w:footnote>
  <w:footnote w:id="56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48:9-12.</w:t>
      </w:r>
    </w:p>
  </w:footnote>
  <w:footnote w:id="56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Dr. Daniel J. Duann (OCC Ex. 8) filed September 11, 2015 at p. 4:2-7.</w:t>
      </w:r>
    </w:p>
  </w:footnote>
  <w:footnote w:id="56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w:t>
      </w:r>
      <w:r w:rsidRPr="00856315">
        <w:rPr>
          <w:rFonts w:ascii="Times New Roman" w:hAnsi="Times New Roman" w:cs="Times New Roman"/>
        </w:rPr>
        <w:t xml:space="preserve"> Legislative Service Commission, Final Analysis, Am. Sub. S.B. 3, 123rd General Assembly, 1999; Hearing Transcript at Vol. VI, p. 1660:19-21.</w:t>
      </w:r>
    </w:p>
  </w:footnote>
  <w:footnote w:id="56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w:t>
      </w:r>
      <w:r w:rsidRPr="00856315">
        <w:rPr>
          <w:rFonts w:ascii="Times New Roman" w:hAnsi="Times New Roman" w:cs="Times New Roman"/>
        </w:rPr>
        <w:t xml:space="preserve"> Hearing Transcript at Vol.VI, p. 1660:22-24.</w:t>
      </w:r>
    </w:p>
  </w:footnote>
  <w:footnote w:id="57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1661:1-25-1662:1 (generators that do not have power purchase agreements do not receive a guaranteed rate of return).</w:t>
      </w:r>
    </w:p>
  </w:footnote>
  <w:footnote w:id="571">
    <w:p w:rsidR="0020495B" w:rsidRPr="00856315" w:rsidRDefault="0020495B" w:rsidP="00856315">
      <w:pPr>
        <w:pStyle w:val="FootnoteText"/>
        <w:spacing w:after="120"/>
        <w:rPr>
          <w:rFonts w:ascii="Times New Roman" w:hAnsi="Times New Roman" w:cs="Times New Roman"/>
          <w:i/>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1661:22-1662:1.</w:t>
      </w:r>
    </w:p>
  </w:footnote>
  <w:footnote w:id="572">
    <w:p w:rsidR="0020495B" w:rsidRPr="00856315" w:rsidRDefault="0020495B" w:rsidP="00856315">
      <w:pPr>
        <w:pStyle w:val="FootnoteText"/>
        <w:spacing w:after="120"/>
        <w:rPr>
          <w:rFonts w:ascii="Times New Roman" w:hAnsi="Times New Roman" w:cs="Times New Roman"/>
          <w:i/>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1661:1-25-1662:1.</w:t>
      </w:r>
    </w:p>
  </w:footnote>
  <w:footnote w:id="573">
    <w:p w:rsidR="0020495B" w:rsidRPr="00856315" w:rsidRDefault="0020495B" w:rsidP="00856315">
      <w:pPr>
        <w:pStyle w:val="FootnoteText"/>
        <w:spacing w:after="120"/>
        <w:rPr>
          <w:rFonts w:ascii="Times New Roman" w:hAnsi="Times New Roman" w:cs="Times New Roman"/>
          <w:i/>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p>
  </w:footnote>
  <w:footnote w:id="57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Dr. Daniel J. Duann (OCC Ex. 8) filed September 11, 2015 at 4:11-15.</w:t>
      </w:r>
    </w:p>
  </w:footnote>
  <w:footnote w:id="575">
    <w:p w:rsidR="0020495B" w:rsidRPr="00856315" w:rsidRDefault="0020495B" w:rsidP="00856315">
      <w:pPr>
        <w:pStyle w:val="FootnoteText"/>
        <w:spacing w:after="120"/>
        <w:rPr>
          <w:rFonts w:ascii="Times New Roman" w:hAnsi="Times New Roman" w:cs="Times New Roman"/>
          <w:i/>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4:15-19.</w:t>
      </w:r>
    </w:p>
  </w:footnote>
  <w:footnote w:id="57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4:19-23-5:1.</w:t>
      </w:r>
    </w:p>
  </w:footnote>
  <w:footnote w:id="57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5:2-5.</w:t>
      </w:r>
    </w:p>
  </w:footnote>
  <w:footnote w:id="57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5:5-8.</w:t>
      </w:r>
    </w:p>
  </w:footnote>
  <w:footnote w:id="57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5:8-10.</w:t>
      </w:r>
    </w:p>
  </w:footnote>
  <w:footnote w:id="58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5:10-12; </w:t>
      </w:r>
      <w:r w:rsidRPr="00856315">
        <w:rPr>
          <w:rFonts w:ascii="Times New Roman" w:hAnsi="Times New Roman" w:cs="Times New Roman"/>
          <w:i/>
        </w:rPr>
        <w:t xml:space="preserve">see also </w:t>
      </w:r>
      <w:r w:rsidRPr="00856315">
        <w:rPr>
          <w:rFonts w:ascii="Times New Roman" w:hAnsi="Times New Roman" w:cs="Times New Roman"/>
        </w:rPr>
        <w:t>Direct Testimony of Pablo A. Vegas (AEP Ohio Ex. 1) filed May 15, 2015 at p. 11:20-23 and 13:1-3.</w:t>
      </w:r>
    </w:p>
  </w:footnote>
  <w:footnote w:id="58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Dr. Daniel J. Duann (OCC Ex. 8) filed September 11, 2015 at p. 5:12-14.</w:t>
      </w:r>
    </w:p>
  </w:footnote>
  <w:footnote w:id="58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5:16-17.</w:t>
      </w:r>
    </w:p>
  </w:footnote>
  <w:footnote w:id="58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5:17-20.</w:t>
      </w:r>
    </w:p>
  </w:footnote>
  <w:footnote w:id="58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5:20-23.</w:t>
      </w:r>
    </w:p>
  </w:footnote>
  <w:footnote w:id="58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5:23-6:1-3.</w:t>
      </w:r>
    </w:p>
  </w:footnote>
  <w:footnote w:id="58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6:4-7.</w:t>
      </w:r>
    </w:p>
  </w:footnote>
  <w:footnote w:id="58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6:7-9.</w:t>
      </w:r>
    </w:p>
  </w:footnote>
  <w:footnote w:id="58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15:15-16.</w:t>
      </w:r>
    </w:p>
  </w:footnote>
  <w:footnote w:id="58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15:17-18.</w:t>
      </w:r>
    </w:p>
  </w:footnote>
  <w:footnote w:id="59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15:18-20.</w:t>
      </w:r>
    </w:p>
  </w:footnote>
  <w:footnote w:id="59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Hearing Transcript at Vol. VI, p. 1663:10-17.</w:t>
      </w:r>
    </w:p>
  </w:footnote>
  <w:footnote w:id="59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1663:18-23.</w:t>
      </w:r>
    </w:p>
  </w:footnote>
  <w:footnote w:id="59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1664:4-12.</w:t>
      </w:r>
    </w:p>
  </w:footnote>
  <w:footnote w:id="59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1664-1666:1-10.</w:t>
      </w:r>
    </w:p>
  </w:footnote>
  <w:footnote w:id="59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Dr. Daniel J. Duann (OCC Ex. 8) filed September 11, 2015 at p.15:22-16:1.</w:t>
      </w:r>
    </w:p>
  </w:footnote>
  <w:footnote w:id="59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Hearing Transcript at Vol. VI, p. 1666:11-17; Direct Testimony of Dr. Daniel J. Duann (OCC Ex. 8) filed September 11, 2015 at p. 16:1-3.</w:t>
      </w:r>
    </w:p>
  </w:footnote>
  <w:footnote w:id="59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Dr. Daniel J. Duann (OCC Ex. 8) filed September 11, 2015 at p. 16:5-6.</w:t>
      </w:r>
    </w:p>
  </w:footnote>
  <w:footnote w:id="59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15:6-10.</w:t>
      </w:r>
    </w:p>
  </w:footnote>
  <w:footnote w:id="59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Hearing Transcript at Vol. IX, p. 2264:5-15.</w:t>
      </w:r>
    </w:p>
  </w:footnote>
  <w:footnote w:id="60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2266:22-25.</w:t>
      </w:r>
    </w:p>
  </w:footnote>
  <w:footnote w:id="60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Dr. Daniel J. Duann (OCC Ex. 8) filed September 11, 2015 at p. 16:21-17:1-2.</w:t>
      </w:r>
    </w:p>
  </w:footnote>
  <w:footnote w:id="60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17:1-2.</w:t>
      </w:r>
    </w:p>
  </w:footnote>
  <w:footnote w:id="60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6-7; Hearing Transcript at Vol. IX, p. 2263:10-22.</w:t>
      </w:r>
    </w:p>
  </w:footnote>
  <w:footnote w:id="60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Pablo A. Vegas (AEP Ohio Ex. 1) filed May 15, 2015 at p. 19-25.</w:t>
      </w:r>
    </w:p>
  </w:footnote>
  <w:footnote w:id="60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Kelly D. Pearce (AEP Ohio Ex. 2) filed May 15, 2015 at p. 21-31.</w:t>
      </w:r>
    </w:p>
  </w:footnote>
  <w:footnote w:id="606">
    <w:p w:rsidR="0020495B" w:rsidRPr="00856315" w:rsidRDefault="0020495B" w:rsidP="00856315">
      <w:pPr>
        <w:pStyle w:val="FootnoteText"/>
        <w:spacing w:after="120"/>
        <w:rPr>
          <w:rFonts w:ascii="Times New Roman" w:hAnsi="Times New Roman" w:cs="Times New Roman"/>
          <w:i/>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e.g., id.</w:t>
      </w:r>
    </w:p>
  </w:footnote>
  <w:footnote w:id="60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w:t>
      </w:r>
      <w:r w:rsidRPr="00856315">
        <w:rPr>
          <w:rFonts w:ascii="Times New Roman" w:hAnsi="Times New Roman" w:cs="Times New Roman"/>
        </w:rPr>
        <w:t xml:space="preserve"> Direct Testimony of James F. Wilson (OCC Ex. 15) filed September 11, 2015 at p. 18:14-15.</w:t>
      </w:r>
    </w:p>
  </w:footnote>
  <w:footnote w:id="60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20:12-13.</w:t>
      </w:r>
    </w:p>
  </w:footnote>
  <w:footnote w:id="60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21:15-17.</w:t>
      </w:r>
    </w:p>
  </w:footnote>
  <w:footnote w:id="61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21.</w:t>
      </w:r>
    </w:p>
  </w:footnote>
  <w:footnote w:id="61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23:9-11.</w:t>
      </w:r>
    </w:p>
  </w:footnote>
  <w:footnote w:id="61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23:9-14, citing PJM, 2018/19 RPM Base Residual Auction Results, pp. 21-26.</w:t>
      </w:r>
    </w:p>
  </w:footnote>
  <w:footnote w:id="61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Pablo A. Vegas (AEP Ohio Ex. 1) filed May 15, 2015 at 11, 21.</w:t>
      </w:r>
    </w:p>
  </w:footnote>
  <w:footnote w:id="614">
    <w:p w:rsidR="0020495B" w:rsidRPr="00856315" w:rsidRDefault="0020495B" w:rsidP="00856315">
      <w:pPr>
        <w:pStyle w:val="FootnoteText"/>
        <w:spacing w:after="120"/>
        <w:contextualSpacing/>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PJM, </w:t>
      </w:r>
      <w:r w:rsidRPr="00856315">
        <w:rPr>
          <w:rFonts w:ascii="Times New Roman" w:hAnsi="Times New Roman" w:cs="Times New Roman"/>
          <w:i/>
        </w:rPr>
        <w:t>2012/13 RPM Base Residual Auction Results</w:t>
      </w:r>
      <w:r w:rsidRPr="00856315">
        <w:rPr>
          <w:rFonts w:ascii="Times New Roman" w:hAnsi="Times New Roman" w:cs="Times New Roman"/>
        </w:rPr>
        <w:t xml:space="preserve">, p. 1 and Figure 2 p. 10, and PJM, </w:t>
      </w:r>
      <w:r w:rsidRPr="00856315">
        <w:rPr>
          <w:rFonts w:ascii="Times New Roman" w:hAnsi="Times New Roman" w:cs="Times New Roman"/>
          <w:i/>
        </w:rPr>
        <w:t>2013/14 RPM Base Residual Auction Results</w:t>
      </w:r>
      <w:r w:rsidRPr="00856315">
        <w:rPr>
          <w:rFonts w:ascii="Times New Roman" w:hAnsi="Times New Roman" w:cs="Times New Roman"/>
        </w:rPr>
        <w:t>, p. 1.</w:t>
      </w:r>
    </w:p>
    <w:p w:rsidR="0020495B" w:rsidRPr="00856315" w:rsidRDefault="0020495B" w:rsidP="00856315">
      <w:pPr>
        <w:pStyle w:val="FootnoteText"/>
        <w:spacing w:after="120"/>
        <w:contextualSpacing/>
        <w:rPr>
          <w:rFonts w:ascii="Times New Roman" w:hAnsi="Times New Roman" w:cs="Times New Roman"/>
        </w:rPr>
      </w:pPr>
    </w:p>
  </w:footnote>
  <w:footnote w:id="615">
    <w:p w:rsidR="0020495B" w:rsidRPr="00856315" w:rsidRDefault="0020495B" w:rsidP="00856315">
      <w:pPr>
        <w:pStyle w:val="FootnoteText"/>
        <w:spacing w:after="120"/>
        <w:contextualSpacing/>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Direct Testimony of James F. Wilson (OCC Ex. 15) filed September 11, 2015 at p. 19:16-20-17:1-3, citing PJM, </w:t>
      </w:r>
      <w:r w:rsidRPr="00856315">
        <w:rPr>
          <w:rFonts w:ascii="Times New Roman" w:hAnsi="Times New Roman" w:cs="Times New Roman"/>
          <w:i/>
        </w:rPr>
        <w:t>2016/17 RPM Base Residual Auction Results</w:t>
      </w:r>
      <w:r w:rsidRPr="00856315">
        <w:rPr>
          <w:rFonts w:ascii="Times New Roman" w:hAnsi="Times New Roman" w:cs="Times New Roman"/>
        </w:rPr>
        <w:t>, p. 31.</w:t>
      </w:r>
    </w:p>
    <w:p w:rsidR="0020495B" w:rsidRPr="00856315" w:rsidRDefault="0020495B" w:rsidP="00856315">
      <w:pPr>
        <w:pStyle w:val="FootnoteText"/>
        <w:spacing w:after="120"/>
        <w:contextualSpacing/>
        <w:rPr>
          <w:rFonts w:ascii="Times New Roman" w:hAnsi="Times New Roman" w:cs="Times New Roman"/>
        </w:rPr>
      </w:pPr>
    </w:p>
  </w:footnote>
  <w:footnote w:id="61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James F. Wilson (OCC Ex. 15) filed September 11, 2015 at p. 27:1-2.</w:t>
      </w:r>
    </w:p>
  </w:footnote>
  <w:footnote w:id="61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27:3-4.</w:t>
      </w:r>
    </w:p>
  </w:footnote>
  <w:footnote w:id="61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27:5-8.</w:t>
      </w:r>
    </w:p>
  </w:footnote>
  <w:footnote w:id="61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generally id.</w:t>
      </w:r>
      <w:r w:rsidRPr="00856315">
        <w:rPr>
          <w:rFonts w:ascii="Times New Roman" w:hAnsi="Times New Roman" w:cs="Times New Roman"/>
        </w:rPr>
        <w:t xml:space="preserve"> at p. 26:20-27:17.</w:t>
      </w:r>
    </w:p>
  </w:footnote>
  <w:footnote w:id="620">
    <w:p w:rsidR="0020495B" w:rsidRPr="00856315" w:rsidRDefault="0020495B" w:rsidP="00856315">
      <w:pPr>
        <w:pStyle w:val="Footnote"/>
        <w:spacing w:after="120"/>
        <w:rPr>
          <w:rFonts w:ascii="Times New Roman" w:hAnsi="Times New Roman" w:cs="Times New Roman"/>
          <w:sz w:val="20"/>
          <w:szCs w:val="20"/>
        </w:rPr>
      </w:pPr>
      <w:r w:rsidRPr="00856315">
        <w:rPr>
          <w:rFonts w:ascii="Times New Roman" w:hAnsi="Times New Roman" w:cs="Times New Roman"/>
          <w:sz w:val="20"/>
          <w:szCs w:val="20"/>
          <w:vertAlign w:val="superscript"/>
        </w:rPr>
        <w:footnoteRef/>
      </w:r>
      <w:r w:rsidRPr="00856315">
        <w:rPr>
          <w:rFonts w:ascii="Times New Roman" w:hAnsi="Times New Roman" w:cs="Times New Roman"/>
          <w:sz w:val="20"/>
          <w:szCs w:val="20"/>
          <w:vertAlign w:val="superscript"/>
        </w:rPr>
        <w:t xml:space="preserve"> </w:t>
      </w:r>
      <w:r w:rsidRPr="00856315">
        <w:rPr>
          <w:rFonts w:ascii="Times New Roman" w:hAnsi="Times New Roman" w:cs="Times New Roman"/>
          <w:i/>
          <w:sz w:val="20"/>
          <w:szCs w:val="20"/>
        </w:rPr>
        <w:t xml:space="preserve">See id. </w:t>
      </w:r>
      <w:r w:rsidRPr="00856315">
        <w:rPr>
          <w:rFonts w:ascii="Times New Roman" w:hAnsi="Times New Roman" w:cs="Times New Roman"/>
          <w:sz w:val="20"/>
          <w:szCs w:val="20"/>
        </w:rPr>
        <w:t>at p. 27:20-22.</w:t>
      </w:r>
    </w:p>
  </w:footnote>
  <w:footnote w:id="621">
    <w:p w:rsidR="0020495B" w:rsidRPr="00856315" w:rsidRDefault="0020495B" w:rsidP="00856315">
      <w:pPr>
        <w:pStyle w:val="Footnote"/>
        <w:spacing w:after="120"/>
        <w:rPr>
          <w:rFonts w:ascii="Times New Roman" w:hAnsi="Times New Roman" w:cs="Times New Roman"/>
          <w:sz w:val="20"/>
          <w:szCs w:val="20"/>
        </w:rPr>
      </w:pPr>
      <w:r w:rsidRPr="00856315">
        <w:rPr>
          <w:rFonts w:ascii="Times New Roman" w:hAnsi="Times New Roman" w:cs="Times New Roman"/>
          <w:sz w:val="20"/>
          <w:szCs w:val="20"/>
          <w:vertAlign w:val="superscript"/>
        </w:rPr>
        <w:footnoteRef/>
      </w:r>
      <w:r w:rsidRPr="00856315">
        <w:rPr>
          <w:rFonts w:ascii="Times New Roman" w:hAnsi="Times New Roman" w:cs="Times New Roman"/>
          <w:sz w:val="20"/>
          <w:szCs w:val="20"/>
        </w:rPr>
        <w:t xml:space="preserve"> </w:t>
      </w:r>
      <w:r w:rsidRPr="00856315">
        <w:rPr>
          <w:rFonts w:ascii="Times New Roman" w:hAnsi="Times New Roman" w:cs="Times New Roman"/>
          <w:i/>
          <w:sz w:val="20"/>
          <w:szCs w:val="20"/>
        </w:rPr>
        <w:t xml:space="preserve">See id. </w:t>
      </w:r>
      <w:r w:rsidRPr="00856315">
        <w:rPr>
          <w:rFonts w:ascii="Times New Roman" w:hAnsi="Times New Roman" w:cs="Times New Roman"/>
          <w:sz w:val="20"/>
          <w:szCs w:val="20"/>
        </w:rPr>
        <w:t>at p. 27:22-28:2.</w:t>
      </w:r>
    </w:p>
  </w:footnote>
  <w:footnote w:id="62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28:3-4.</w:t>
      </w:r>
    </w:p>
  </w:footnote>
  <w:footnote w:id="62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28:4-8.</w:t>
      </w:r>
    </w:p>
  </w:footnote>
  <w:footnote w:id="62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Sarah E. Jackson (OCC Ex. 13) filed September 11, 2015 at p. 5:3-5.</w:t>
      </w:r>
    </w:p>
  </w:footnote>
  <w:footnote w:id="62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5:1–2.</w:t>
      </w:r>
    </w:p>
  </w:footnote>
  <w:footnote w:id="62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 xml:space="preserve">at p. 29:4-10; </w:t>
      </w:r>
      <w:r w:rsidRPr="00856315">
        <w:rPr>
          <w:rFonts w:ascii="Times New Roman" w:hAnsi="Times New Roman" w:cs="Times New Roman"/>
          <w:i/>
        </w:rPr>
        <w:t xml:space="preserve">see also id. </w:t>
      </w:r>
      <w:r w:rsidRPr="00856315">
        <w:rPr>
          <w:rFonts w:ascii="Times New Roman" w:hAnsi="Times New Roman" w:cs="Times New Roman"/>
        </w:rPr>
        <w:t>at p. 16:9-18.</w:t>
      </w:r>
    </w:p>
  </w:footnote>
  <w:footnote w:id="62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8:12-13.</w:t>
      </w:r>
    </w:p>
  </w:footnote>
  <w:footnote w:id="62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at p. 8:12–14.</w:t>
      </w:r>
    </w:p>
  </w:footnote>
  <w:footnote w:id="62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8:14–19.</w:t>
      </w:r>
    </w:p>
  </w:footnote>
  <w:footnote w:id="63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9:3-8. </w:t>
      </w:r>
    </w:p>
  </w:footnote>
  <w:footnote w:id="63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12:1-11.</w:t>
      </w:r>
    </w:p>
  </w:footnote>
  <w:footnote w:id="63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Direct Testimony of Sarah E. Jackson (OCC Ex. 13) filed September 11, 2015 at p. 13:14-18. </w:t>
      </w:r>
    </w:p>
  </w:footnote>
  <w:footnote w:id="63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at p. 14:1-4.</w:t>
      </w:r>
    </w:p>
  </w:footnote>
  <w:footnote w:id="63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14:6-17.</w:t>
      </w:r>
    </w:p>
  </w:footnote>
  <w:footnote w:id="63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at p. 15:5-8.</w:t>
      </w:r>
    </w:p>
  </w:footnote>
  <w:footnote w:id="63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15:8-11.</w:t>
      </w:r>
    </w:p>
  </w:footnote>
  <w:footnote w:id="63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15:11-13.</w:t>
      </w:r>
    </w:p>
  </w:footnote>
  <w:footnote w:id="63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15:13-16.</w:t>
      </w:r>
    </w:p>
  </w:footnote>
  <w:footnote w:id="63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15:18-21.</w:t>
      </w:r>
    </w:p>
  </w:footnote>
  <w:footnote w:id="64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at p. 16:3-16.</w:t>
      </w:r>
    </w:p>
  </w:footnote>
  <w:footnote w:id="641">
    <w:p w:rsidR="0020495B" w:rsidRPr="00856315" w:rsidRDefault="0020495B" w:rsidP="00856315">
      <w:pPr>
        <w:pStyle w:val="FootnoteText"/>
        <w:spacing w:after="120"/>
        <w:rPr>
          <w:rFonts w:ascii="Times New Roman" w:hAnsi="Times New Roman" w:cs="Times New Roman"/>
          <w:i/>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p>
  </w:footnote>
  <w:footnote w:id="64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at p. 23:12-15, citing US EPA, 2014. Counties Violating the Primary Ground-level Ozone Standard: http://www.epa.gov/ozonepollution/pdfs/20141126-20112013datatable.pdf.</w:t>
      </w:r>
    </w:p>
  </w:footnote>
  <w:footnote w:id="64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i/>
        </w:rPr>
        <w:t xml:space="preserve"> See</w:t>
      </w:r>
      <w:r w:rsidRPr="00856315">
        <w:rPr>
          <w:rFonts w:ascii="Times New Roman" w:hAnsi="Times New Roman" w:cs="Times New Roman"/>
        </w:rPr>
        <w:t xml:space="preserve"> Direct Testimony of Sarah E. Jackson (OCC Ex. 13) filed September 11, 2015 at p. 23:15-17.</w:t>
      </w:r>
    </w:p>
  </w:footnote>
  <w:footnote w:id="64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i/>
        </w:rPr>
        <w:t xml:space="preserve"> See</w:t>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p. 23:15-19.</w:t>
      </w:r>
    </w:p>
  </w:footnote>
  <w:footnote w:id="645">
    <w:p w:rsidR="0020495B" w:rsidRPr="00856315" w:rsidRDefault="0020495B" w:rsidP="00856315">
      <w:pPr>
        <w:spacing w:after="120" w:line="240" w:lineRule="auto"/>
        <w:rPr>
          <w:rFonts w:ascii="Times New Roman" w:hAnsi="Times New Roman" w:cs="Times New Roman"/>
          <w:sz w:val="20"/>
          <w:szCs w:val="20"/>
        </w:rPr>
      </w:pPr>
      <w:r w:rsidRPr="00856315">
        <w:rPr>
          <w:rStyle w:val="FootnoteReference"/>
          <w:rFonts w:ascii="Times New Roman" w:hAnsi="Times New Roman" w:cs="Times New Roman"/>
          <w:sz w:val="20"/>
          <w:szCs w:val="20"/>
        </w:rPr>
        <w:footnoteRef/>
      </w:r>
      <w:r w:rsidRPr="00856315">
        <w:rPr>
          <w:rFonts w:ascii="Times New Roman" w:hAnsi="Times New Roman" w:cs="Times New Roman"/>
          <w:sz w:val="20"/>
          <w:szCs w:val="20"/>
        </w:rPr>
        <w:t xml:space="preserve"> </w:t>
      </w:r>
      <w:r w:rsidRPr="00856315">
        <w:rPr>
          <w:rFonts w:ascii="Times New Roman" w:hAnsi="Times New Roman" w:cs="Times New Roman"/>
          <w:i/>
          <w:sz w:val="20"/>
          <w:szCs w:val="20"/>
        </w:rPr>
        <w:t>See id</w:t>
      </w:r>
      <w:r w:rsidRPr="00856315">
        <w:rPr>
          <w:rFonts w:ascii="Times New Roman" w:hAnsi="Times New Roman" w:cs="Times New Roman"/>
          <w:sz w:val="20"/>
          <w:szCs w:val="20"/>
        </w:rPr>
        <w:t>. at p. 24:8-12.</w:t>
      </w:r>
    </w:p>
  </w:footnote>
  <w:footnote w:id="64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at p. 24:18-25:4.</w:t>
      </w:r>
    </w:p>
  </w:footnote>
  <w:footnote w:id="64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at p. 25:9-10.</w:t>
      </w:r>
    </w:p>
  </w:footnote>
  <w:footnote w:id="64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at p. 27:11-13, citing 2014 OVEC Annual Report at 29; http://www.ovec.com/FinancialStatements/AnnualReport-2014-Signed.pdf.</w:t>
      </w:r>
    </w:p>
  </w:footnote>
  <w:footnote w:id="64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Direct Testimony of Sarah E. Jackson (OCC Ex. 13) filed September 11, 2015 at p. 25:11-15, referring to EPA IPM v.5.13 Appendix 5-3 (Sargent &amp; Lundy), </w:t>
      </w:r>
      <w:r w:rsidRPr="00856315">
        <w:rPr>
          <w:rFonts w:ascii="Times New Roman" w:hAnsi="Times New Roman" w:cs="Times New Roman"/>
          <w:i/>
        </w:rPr>
        <w:t>Revisions to Cost and Performance for APC Technologies: SCR Cost Development Methodology</w:t>
      </w:r>
      <w:r w:rsidRPr="00856315">
        <w:rPr>
          <w:rFonts w:ascii="Times New Roman" w:hAnsi="Times New Roman" w:cs="Times New Roman"/>
        </w:rPr>
        <w:t xml:space="preserve">, htt://www.epa.gov/powersectormodeling/doc/v513/attachments5_3.pdf. </w:t>
      </w:r>
    </w:p>
  </w:footnote>
  <w:footnote w:id="65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w:t>
      </w:r>
      <w:r w:rsidRPr="00856315">
        <w:rPr>
          <w:rFonts w:ascii="Times New Roman" w:hAnsi="Times New Roman" w:cs="Times New Roman"/>
        </w:rPr>
        <w:t xml:space="preserve"> Direct Testimony of Sarah E. Jackson (OCC Ex. 13) filed September 11, 2015 at p. 25:17-26:2.</w:t>
      </w:r>
    </w:p>
  </w:footnote>
  <w:footnote w:id="65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28:14-15.</w:t>
      </w:r>
    </w:p>
  </w:footnote>
  <w:footnote w:id="65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35:5-7.</w:t>
      </w:r>
    </w:p>
  </w:footnote>
  <w:footnote w:id="65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30:14-15.</w:t>
      </w:r>
    </w:p>
  </w:footnote>
  <w:footnote w:id="65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at p. 31:7.</w:t>
      </w:r>
    </w:p>
  </w:footnote>
  <w:footnote w:id="65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at p. 32:21.</w:t>
      </w:r>
    </w:p>
  </w:footnote>
  <w:footnote w:id="65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 xml:space="preserve">at p. 27:19-28:3. </w:t>
      </w:r>
    </w:p>
  </w:footnote>
  <w:footnote w:id="65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at p. 16:12-14.</w:t>
      </w:r>
    </w:p>
  </w:footnote>
  <w:footnote w:id="65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at p. 16:14-18.</w:t>
      </w:r>
    </w:p>
  </w:footnote>
  <w:footnote w:id="65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at p. 29:6.</w:t>
      </w:r>
    </w:p>
  </w:footnote>
  <w:footnote w:id="66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at p. 29:16-17.</w:t>
      </w:r>
    </w:p>
  </w:footnote>
  <w:footnote w:id="66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Dr. Noah C. Dormady (OCC Ex. 10) filed September 11, 2015 at p. 5:23-6:3.</w:t>
      </w:r>
    </w:p>
  </w:footnote>
  <w:footnote w:id="66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r w:rsidRPr="00856315">
        <w:rPr>
          <w:rFonts w:ascii="Times New Roman" w:hAnsi="Times New Roman" w:cs="Times New Roman"/>
        </w:rPr>
        <w:t xml:space="preserve"> at p. 6:7-13, citing Schaffer, “Regional Impact Models” in </w:t>
      </w:r>
      <w:r w:rsidRPr="00856315">
        <w:rPr>
          <w:rFonts w:ascii="Times New Roman" w:hAnsi="Times New Roman" w:cs="Times New Roman"/>
          <w:i/>
        </w:rPr>
        <w:t>The Web Book of Regional Science</w:t>
      </w:r>
      <w:r w:rsidRPr="00856315">
        <w:rPr>
          <w:rFonts w:ascii="Times New Roman" w:hAnsi="Times New Roman" w:cs="Times New Roman"/>
        </w:rPr>
        <w:t>, West Virginia, Revised 2010, Chapter 2.</w:t>
      </w:r>
    </w:p>
  </w:footnote>
  <w:footnote w:id="66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w:t>
      </w:r>
      <w:r w:rsidRPr="00856315">
        <w:rPr>
          <w:rFonts w:ascii="Times New Roman" w:hAnsi="Times New Roman" w:cs="Times New Roman"/>
        </w:rPr>
        <w:t xml:space="preserve"> Direct Testimony of Dr. Noah C. Dormady (OCC Ex. 10) filed September 11, 2015 at 6:11-13, citing Richardson, “Input-Output and Economic Base Multipliers: Looking Backward and Forward,” </w:t>
      </w:r>
      <w:r w:rsidRPr="00856315">
        <w:rPr>
          <w:rFonts w:ascii="Times New Roman" w:hAnsi="Times New Roman" w:cs="Times New Roman"/>
          <w:i/>
        </w:rPr>
        <w:t>Journal of Regional Science</w:t>
      </w:r>
      <w:r w:rsidRPr="00856315">
        <w:rPr>
          <w:rFonts w:ascii="Times New Roman" w:hAnsi="Times New Roman" w:cs="Times New Roman"/>
        </w:rPr>
        <w:t>, 1985, pg. 608.</w:t>
      </w:r>
    </w:p>
  </w:footnote>
  <w:footnote w:id="66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Dr. Noah C. Dormady (OCC Ex. 10) filed September 11, 2015 at p. 5:22-23.</w:t>
      </w:r>
    </w:p>
  </w:footnote>
  <w:footnote w:id="66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4:15-17.</w:t>
      </w:r>
    </w:p>
  </w:footnote>
  <w:footnote w:id="66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4:15-5:7.</w:t>
      </w:r>
    </w:p>
  </w:footnote>
  <w:footnote w:id="66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8:2-5.</w:t>
      </w:r>
    </w:p>
  </w:footnote>
  <w:footnote w:id="66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8:17-19.</w:t>
      </w:r>
    </w:p>
  </w:footnote>
  <w:footnote w:id="66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9:1-4.</w:t>
      </w:r>
    </w:p>
  </w:footnote>
  <w:footnote w:id="67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9:4-7.</w:t>
      </w:r>
    </w:p>
  </w:footnote>
  <w:footnote w:id="67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p.9:8-11.</w:t>
      </w:r>
    </w:p>
  </w:footnote>
  <w:footnote w:id="67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p>
  </w:footnote>
  <w:footnote w:id="67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9:18-21.</w:t>
      </w:r>
    </w:p>
  </w:footnote>
  <w:footnote w:id="67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10:5-9.</w:t>
      </w:r>
    </w:p>
  </w:footnote>
  <w:footnote w:id="67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10:9-13.</w:t>
      </w:r>
    </w:p>
  </w:footnote>
  <w:footnote w:id="67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10:14-15.</w:t>
      </w:r>
    </w:p>
  </w:footnote>
  <w:footnote w:id="67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10:19-22.</w:t>
      </w:r>
    </w:p>
  </w:footnote>
  <w:footnote w:id="67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11:1-4.</w:t>
      </w:r>
    </w:p>
  </w:footnote>
  <w:footnote w:id="67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i/>
        </w:rPr>
        <w:t xml:space="preserve"> See id.</w:t>
      </w:r>
      <w:r w:rsidRPr="00856315">
        <w:rPr>
          <w:rFonts w:ascii="Times New Roman" w:hAnsi="Times New Roman" w:cs="Times New Roman"/>
        </w:rPr>
        <w:t xml:space="preserve"> at p. 11:4-9.</w:t>
      </w:r>
    </w:p>
  </w:footnote>
  <w:footnote w:id="68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11:9-13.</w:t>
      </w:r>
    </w:p>
  </w:footnote>
  <w:footnote w:id="68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11:16-18.</w:t>
      </w:r>
    </w:p>
  </w:footnote>
  <w:footnote w:id="68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12:14-13:3.</w:t>
      </w:r>
    </w:p>
  </w:footnote>
  <w:footnote w:id="68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13:4-6.</w:t>
      </w:r>
    </w:p>
  </w:footnote>
  <w:footnote w:id="68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13:6-8.</w:t>
      </w:r>
    </w:p>
  </w:footnote>
  <w:footnote w:id="68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13:10-12.</w:t>
      </w:r>
    </w:p>
  </w:footnote>
  <w:footnote w:id="68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13:12-14.</w:t>
      </w:r>
    </w:p>
  </w:footnote>
  <w:footnote w:id="68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13:12-17.</w:t>
      </w:r>
    </w:p>
  </w:footnote>
  <w:footnote w:id="68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13:17-18.</w:t>
      </w:r>
    </w:p>
  </w:footnote>
  <w:footnote w:id="68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13:19:21.</w:t>
      </w:r>
    </w:p>
  </w:footnote>
  <w:footnote w:id="69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13:21-14:3.</w:t>
      </w:r>
    </w:p>
  </w:footnote>
  <w:footnote w:id="69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14:5-10.</w:t>
      </w:r>
    </w:p>
  </w:footnote>
  <w:footnote w:id="69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14:10-16.</w:t>
      </w:r>
    </w:p>
  </w:footnote>
  <w:footnote w:id="69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14:16-20.</w:t>
      </w:r>
    </w:p>
  </w:footnote>
  <w:footnote w:id="69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14:20-22.</w:t>
      </w:r>
    </w:p>
  </w:footnote>
  <w:footnote w:id="69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15:5-15.</w:t>
      </w:r>
    </w:p>
  </w:footnote>
  <w:footnote w:id="696">
    <w:p w:rsidR="0020495B" w:rsidRPr="00856315" w:rsidRDefault="0020495B" w:rsidP="00856315">
      <w:pPr>
        <w:pStyle w:val="FootnoteText"/>
        <w:spacing w:after="120"/>
        <w:rPr>
          <w:rFonts w:ascii="Times New Roman" w:hAnsi="Times New Roman" w:cs="Times New Roman"/>
          <w:i/>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p>
  </w:footnote>
  <w:footnote w:id="69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15:6-11.</w:t>
      </w:r>
    </w:p>
  </w:footnote>
  <w:footnote w:id="69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15:14-15.</w:t>
      </w:r>
    </w:p>
  </w:footnote>
  <w:footnote w:id="69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15:17-21.</w:t>
      </w:r>
    </w:p>
  </w:footnote>
  <w:footnote w:id="70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16:12-14.</w:t>
      </w:r>
    </w:p>
  </w:footnote>
  <w:footnote w:id="70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16:19-23.</w:t>
      </w:r>
    </w:p>
  </w:footnote>
  <w:footnote w:id="70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17:3-5.  AEP Ohio’s forecast provided in connection with the Joint Stipulation also encompasses 2022.  </w:t>
      </w:r>
      <w:r w:rsidRPr="00856315">
        <w:rPr>
          <w:rFonts w:ascii="Times New Roman" w:hAnsi="Times New Roman" w:cs="Times New Roman"/>
          <w:i/>
        </w:rPr>
        <w:t xml:space="preserve">See </w:t>
      </w:r>
      <w:r w:rsidRPr="00856315">
        <w:rPr>
          <w:rFonts w:ascii="Times New Roman" w:hAnsi="Times New Roman" w:cs="Times New Roman"/>
        </w:rPr>
        <w:t>Direct Testimony of William A. Allen (AEP Ohio Ex. 52) filed December 14, 2015 at WAA-2.</w:t>
      </w:r>
    </w:p>
  </w:footnote>
  <w:footnote w:id="70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Dr. Noah C. Dormady (OCC Ex. 10) filed September 11, 2015 at p. 17:6-8.</w:t>
      </w:r>
    </w:p>
  </w:footnote>
  <w:footnote w:id="70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19:1-2.</w:t>
      </w:r>
    </w:p>
  </w:footnote>
  <w:footnote w:id="70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19:5-7.</w:t>
      </w:r>
    </w:p>
  </w:footnote>
  <w:footnote w:id="70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19:10-11.</w:t>
      </w:r>
    </w:p>
  </w:footnote>
  <w:footnote w:id="70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at 19:13-15.</w:t>
      </w:r>
    </w:p>
  </w:footnote>
  <w:footnote w:id="70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at 19:16.</w:t>
      </w:r>
    </w:p>
  </w:footnote>
  <w:footnote w:id="70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at 20:1-2.</w:t>
      </w:r>
    </w:p>
  </w:footnote>
  <w:footnote w:id="71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at 20:13-16.</w:t>
      </w:r>
    </w:p>
  </w:footnote>
  <w:footnote w:id="71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at 20:16-22.</w:t>
      </w:r>
    </w:p>
  </w:footnote>
  <w:footnote w:id="71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at 21:1-5.</w:t>
      </w:r>
    </w:p>
  </w:footnote>
  <w:footnote w:id="71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Rebuttal Testimony of William A. Allen (AEP Ohio Ex. 51) filed October 27, 2015.</w:t>
      </w:r>
    </w:p>
  </w:footnote>
  <w:footnote w:id="71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8:5-9:10; </w:t>
      </w:r>
      <w:r w:rsidRPr="00856315">
        <w:rPr>
          <w:rFonts w:ascii="Times New Roman" w:hAnsi="Times New Roman" w:cs="Times New Roman"/>
          <w:i/>
        </w:rPr>
        <w:t xml:space="preserve">id. </w:t>
      </w:r>
      <w:r w:rsidRPr="00856315">
        <w:rPr>
          <w:rFonts w:ascii="Times New Roman" w:hAnsi="Times New Roman" w:cs="Times New Roman"/>
        </w:rPr>
        <w:t xml:space="preserve">at 8:9, fn. 10 and 9:6-7, n. 11 and 12; </w:t>
      </w:r>
      <w:r w:rsidRPr="00856315">
        <w:rPr>
          <w:rFonts w:ascii="Times New Roman" w:hAnsi="Times New Roman" w:cs="Times New Roman"/>
          <w:i/>
        </w:rPr>
        <w:t xml:space="preserve">see also </w:t>
      </w:r>
      <w:r w:rsidRPr="00856315">
        <w:rPr>
          <w:rFonts w:ascii="Times New Roman" w:hAnsi="Times New Roman" w:cs="Times New Roman"/>
        </w:rPr>
        <w:t>“The Business Owner’s Guide to Discussing Economic Impacts” (OMAEG Ex. 21, admitted at Hearing Transcript Vol. XVII, p. 4410); Hearing Transcript at Vol. XVII, p. 4295:12-15 and 4296:1-3 (Texas), “Regional Economic Growth and the Economic Base Concept” (OMAEG Ex. 22, admitted at Hearing Transcript Vol. XVII, p. 4410); Hearing Transcript at Vol. XVII, p. 4305:25-4306:4 (Utah), and “Regional and Local Economic Analysis Tools” (OMAEG Ex. 23, admitted at Hearing Transcript Vol. XVII, p. 4410); Hearing Transcript at Vol. XVII, p. 4312:25-4313:4 (prepared for World Bank).</w:t>
      </w:r>
    </w:p>
  </w:footnote>
  <w:footnote w:id="71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OMAEG Exs. 21-23.</w:t>
      </w:r>
    </w:p>
  </w:footnote>
  <w:footnote w:id="71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Hearing Transcript at Vol. IX, p. 2332:3–7.</w:t>
      </w:r>
    </w:p>
  </w:footnote>
  <w:footnote w:id="71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2332:8–10.</w:t>
      </w:r>
    </w:p>
  </w:footnote>
  <w:footnote w:id="71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2332:13-16.</w:t>
      </w:r>
    </w:p>
  </w:footnote>
  <w:footnote w:id="71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It is noteworthy that although AEP Witness Allen cited to the Utah and Texas documents to support his assertion that the economic based model is still used, </w:t>
      </w:r>
      <w:r w:rsidRPr="00856315">
        <w:rPr>
          <w:rFonts w:ascii="Times New Roman" w:hAnsi="Times New Roman" w:cs="Times New Roman"/>
          <w:i/>
        </w:rPr>
        <w:t xml:space="preserve">see </w:t>
      </w:r>
      <w:r w:rsidRPr="00856315">
        <w:rPr>
          <w:rFonts w:ascii="Times New Roman" w:hAnsi="Times New Roman" w:cs="Times New Roman"/>
        </w:rPr>
        <w:t xml:space="preserve">Rebuttal Testimony of William A. Allen (AEP Ohio Ex. 51) filed October 27, 2015 at 9:4-7, he admitted that, in fact, the economic based model was </w:t>
      </w:r>
      <w:r w:rsidRPr="00856315">
        <w:rPr>
          <w:rFonts w:ascii="Times New Roman" w:hAnsi="Times New Roman" w:cs="Times New Roman"/>
          <w:i/>
        </w:rPr>
        <w:t xml:space="preserve">not </w:t>
      </w:r>
      <w:r w:rsidRPr="00856315">
        <w:rPr>
          <w:rFonts w:ascii="Times New Roman" w:hAnsi="Times New Roman" w:cs="Times New Roman"/>
        </w:rPr>
        <w:t xml:space="preserve">used in the documents.  </w:t>
      </w:r>
      <w:r w:rsidRPr="00856315">
        <w:rPr>
          <w:rFonts w:ascii="Times New Roman" w:hAnsi="Times New Roman" w:cs="Times New Roman"/>
          <w:i/>
        </w:rPr>
        <w:t xml:space="preserve">See </w:t>
      </w:r>
      <w:r w:rsidRPr="00856315">
        <w:rPr>
          <w:rFonts w:ascii="Times New Roman" w:hAnsi="Times New Roman" w:cs="Times New Roman"/>
        </w:rPr>
        <w:t xml:space="preserve">Hearing Transcript at Vol. XVII, p. 4296:18-20 (Texas); </w:t>
      </w:r>
      <w:r w:rsidRPr="00856315">
        <w:rPr>
          <w:rFonts w:ascii="Times New Roman" w:hAnsi="Times New Roman" w:cs="Times New Roman"/>
          <w:i/>
        </w:rPr>
        <w:t xml:space="preserve">id. </w:t>
      </w:r>
      <w:r w:rsidRPr="00856315">
        <w:rPr>
          <w:rFonts w:ascii="Times New Roman" w:hAnsi="Times New Roman" w:cs="Times New Roman"/>
        </w:rPr>
        <w:t>at p. 4307:16-4308:1 (Utah).</w:t>
      </w:r>
    </w:p>
  </w:footnote>
  <w:footnote w:id="72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William A. Allen (AEP Ohio Ex. 10) filed May 15, 2015 at p. 10:2-11:2.</w:t>
      </w:r>
    </w:p>
  </w:footnote>
  <w:footnote w:id="72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Dr. Hisham Choueiki (Staff Ex. 1) filed October 9, 2015 at p. 14:4-11.</w:t>
      </w:r>
    </w:p>
  </w:footnote>
  <w:footnote w:id="72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Were the Joint Stipulation approved, the early termination clause could be invoked if retail cost recovery were discontinued.  </w:t>
      </w:r>
      <w:r w:rsidRPr="00856315">
        <w:rPr>
          <w:rFonts w:ascii="Times New Roman" w:hAnsi="Times New Roman" w:cs="Times New Roman"/>
          <w:i/>
        </w:rPr>
        <w:t xml:space="preserve">See </w:t>
      </w:r>
      <w:r w:rsidRPr="00856315">
        <w:rPr>
          <w:rFonts w:ascii="Times New Roman" w:hAnsi="Times New Roman" w:cs="Times New Roman"/>
        </w:rPr>
        <w:t>Draft Power Purchase and Sale Agreement by and between AEP Generation Resources Inc. and Ohio Power Company (P3/EPSA Ex. 10, admitted at Hearing Transcript Vol. XX, p. 5012) at sec. 2.3.</w:t>
      </w:r>
    </w:p>
  </w:footnote>
  <w:footnote w:id="72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e.g., </w:t>
      </w:r>
      <w:r w:rsidRPr="00856315">
        <w:rPr>
          <w:rFonts w:ascii="Times New Roman" w:hAnsi="Times New Roman" w:cs="Times New Roman"/>
        </w:rPr>
        <w:t xml:space="preserve">Direct Testimony of Kelly D. Pearce (AEP Ohio Ex. 2) filed May 15, 2015 at KDP-1, p. 5.  If the Joint Stipulation were approved, AEP Ohio would have to pay AEPGR “liquidated damages” of an annual payment equal to the most recent 12 months of actual fixed costs for the shorter of i) three years, or ii) the remainder of the Delivery Period, minus the amount of AEPGR’s forecasted net revenues for Capacity (based on cleared BRA prices) during such shorter period.  </w:t>
      </w:r>
      <w:r w:rsidRPr="00856315">
        <w:rPr>
          <w:rFonts w:ascii="Times New Roman" w:hAnsi="Times New Roman" w:cs="Times New Roman"/>
          <w:i/>
        </w:rPr>
        <w:t xml:space="preserve">See </w:t>
      </w:r>
      <w:r w:rsidRPr="00856315">
        <w:rPr>
          <w:rFonts w:ascii="Times New Roman" w:hAnsi="Times New Roman" w:cs="Times New Roman"/>
        </w:rPr>
        <w:t>Draft Power Purchase and Sale Agreement by and between AEP Generation Resources Inc. and Ohio Power Company (P3/EPSA Ex. 10, admitted at Hearing Transcript Vol. XX, p. 5012) at Art. II, sec. 2.3; Art. V, sec. 5.7(B); Direct Testimony of William A. Allen (AEP Ohio Ex. 52) filed December 14, 2015 at Attachment A para. 3.</w:t>
      </w:r>
    </w:p>
  </w:footnote>
  <w:footnote w:id="72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Were the Joint Stipulation approved, the early termination clause could be invoked if retail cost recovery were discontinued.  </w:t>
      </w:r>
      <w:r w:rsidRPr="00856315">
        <w:rPr>
          <w:rFonts w:ascii="Times New Roman" w:hAnsi="Times New Roman" w:cs="Times New Roman"/>
          <w:i/>
        </w:rPr>
        <w:t xml:space="preserve">See </w:t>
      </w:r>
      <w:r w:rsidRPr="00856315">
        <w:rPr>
          <w:rFonts w:ascii="Times New Roman" w:hAnsi="Times New Roman" w:cs="Times New Roman"/>
        </w:rPr>
        <w:t>Draft Power Purchase and Sale Agreement by and between AEP Generation Resources Inc. and Ohio Power Company (P3/EPSA Ex. 10, admitted at Hearing Transcript Vol. XX, p. 5012) at sec. 2.3.</w:t>
      </w:r>
    </w:p>
  </w:footnote>
  <w:footnote w:id="72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generally </w:t>
      </w:r>
      <w:r w:rsidRPr="00856315">
        <w:rPr>
          <w:rFonts w:ascii="Times New Roman" w:hAnsi="Times New Roman" w:cs="Times New Roman"/>
        </w:rPr>
        <w:t>Direct Testimony of Ramteen Sioshansi (OCC Ex. 12) filed September 11, 2015 at p. 21:1-22:14.</w:t>
      </w:r>
    </w:p>
  </w:footnote>
  <w:footnote w:id="72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w:t>
      </w:r>
      <w:r w:rsidRPr="00856315">
        <w:rPr>
          <w:rFonts w:ascii="Times New Roman" w:hAnsi="Times New Roman" w:cs="Times New Roman"/>
        </w:rPr>
        <w:t xml:space="preserve"> Direct Testimony of Pablo A. Vegas (AEP Ohio Ex. 1) filed May 15, 2015 at p. 27:20-21.</w:t>
      </w:r>
    </w:p>
  </w:footnote>
  <w:footnote w:id="72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Ramteen Sioshansi (OCC Ex. 12) filed September 11, 2015 at p. 31:19-23.</w:t>
      </w:r>
    </w:p>
  </w:footnote>
  <w:footnote w:id="72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Kelly D. Pearce (AEP Ohio Ex. 2) filed May 15, 2015 at p. 13:1-7; Direct Testimony of William A. Allen (AEP Ohio Ex. 52) filed December 14, 2015 at WAA-2 (if Joint Stipulation approved).</w:t>
      </w:r>
    </w:p>
  </w:footnote>
  <w:footnote w:id="72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w:t>
      </w:r>
      <w:r w:rsidRPr="00856315">
        <w:rPr>
          <w:rFonts w:ascii="Times New Roman" w:hAnsi="Times New Roman" w:cs="Times New Roman"/>
        </w:rPr>
        <w:t xml:space="preserve"> Direct Testimony of James F. Wilson (OCC Ex. 15) filed September 11, 2015 at p. 13:3-5; Direct Testimony of James F. Wilson (OCC Ex. 35) filed December 28, 2015 at p. 7 and Table 1 ($1.9 billion, $1.5 billion on net present value basis if Joint Stipulation approved).</w:t>
      </w:r>
    </w:p>
  </w:footnote>
  <w:footnote w:id="73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ESP III Opinion and Order p. 25.</w:t>
      </w:r>
    </w:p>
  </w:footnote>
  <w:footnote w:id="73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Pablo A. Vegas (AEP Ohio Ex. 1) filed May 15, 2015 at p. 29:5-14.</w:t>
      </w:r>
    </w:p>
  </w:footnote>
  <w:footnote w:id="73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ESP III Opinion and Order</w:t>
      </w:r>
      <w:r w:rsidRPr="00856315">
        <w:rPr>
          <w:rFonts w:ascii="Times New Roman" w:hAnsi="Times New Roman" w:cs="Times New Roman"/>
          <w:i/>
        </w:rPr>
        <w:t xml:space="preserve"> </w:t>
      </w:r>
      <w:r w:rsidRPr="00856315">
        <w:rPr>
          <w:rFonts w:ascii="Times New Roman" w:hAnsi="Times New Roman" w:cs="Times New Roman"/>
        </w:rPr>
        <w:t>at p. 25.</w:t>
      </w:r>
    </w:p>
  </w:footnote>
  <w:footnote w:id="73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Ramteen Sioshansi (OCC Ex. 12) filed September 11, 2015 at p. 32:13-33:23.</w:t>
      </w:r>
    </w:p>
  </w:footnote>
  <w:footnote w:id="73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33:12-23.</w:t>
      </w:r>
    </w:p>
  </w:footnote>
  <w:footnote w:id="73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R.C. sec. 4928.02(A).</w:t>
      </w:r>
    </w:p>
  </w:footnote>
  <w:footnote w:id="73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eastAsia="WenQuanYi Micro Hei" w:hAnsi="Times New Roman" w:cs="Times New Roman"/>
          <w:color w:val="00000A"/>
          <w:lang w:eastAsia="zh-CN" w:bidi="hi-IN"/>
        </w:rPr>
        <w:t>ESP III Opinion and Order at p. 25.</w:t>
      </w:r>
    </w:p>
  </w:footnote>
  <w:footnote w:id="73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Karl A. Bletzacker (AEP Ohio Ex. 6) filed May 15, 2015.</w:t>
      </w:r>
    </w:p>
  </w:footnote>
  <w:footnote w:id="73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5-15-15 Letter to Commission from Mr. Vegas (OCC Ex. 2, admitted at Hearing Transcript Vol. II, p. 365); Direct Testimony of Kelly D. Pearce (AEP Ohio Ex. 2) filed May 15, 2015 at Exhibit KDP-2.  In connection with the Joint Stipulation, such assumptions were used at the direction of AEP Ohio Witness Allen to create WAA-2, which reflects a purported credit of $721 million for the eight and a half years.  </w:t>
      </w:r>
      <w:r w:rsidRPr="00856315">
        <w:rPr>
          <w:rFonts w:ascii="Times New Roman" w:hAnsi="Times New Roman" w:cs="Times New Roman"/>
          <w:i/>
        </w:rPr>
        <w:t xml:space="preserve">See </w:t>
      </w:r>
      <w:r w:rsidRPr="00856315">
        <w:rPr>
          <w:rFonts w:ascii="Times New Roman" w:hAnsi="Times New Roman" w:cs="Times New Roman"/>
        </w:rPr>
        <w:t xml:space="preserve">Direct Testimony of William A. Allen (AEP Ohio Ex. 52) filed December 14, 2015 at WAA-2.  </w:t>
      </w:r>
    </w:p>
  </w:footnote>
  <w:footnote w:id="73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w:t>
      </w:r>
      <w:r w:rsidRPr="00856315">
        <w:rPr>
          <w:rFonts w:ascii="Times New Roman" w:hAnsi="Times New Roman" w:cs="Times New Roman"/>
        </w:rPr>
        <w:t xml:space="preserve"> Direct Testimony of James F. Wilson (OCC Ex. 15) filed September 11, 2015 at p. 13:3-5; Direct Testimony of Ramteen Sioshansi (OCC Ex. 12) filed September 11, 2015 at p. 36:6-11.  Were the Joint Stipulation approved, OCC Witness Wilson projects that the costs would be $1.9 and $1.5 billion, respectively.  </w:t>
      </w:r>
      <w:r w:rsidRPr="00856315">
        <w:rPr>
          <w:rFonts w:ascii="Times New Roman" w:hAnsi="Times New Roman" w:cs="Times New Roman"/>
          <w:i/>
        </w:rPr>
        <w:t xml:space="preserve">See </w:t>
      </w:r>
      <w:r w:rsidRPr="00856315">
        <w:rPr>
          <w:rFonts w:ascii="Times New Roman" w:hAnsi="Times New Roman" w:cs="Times New Roman"/>
        </w:rPr>
        <w:t>Direct Testimony of James F. Wilson (OCC Ex. 34) filed December 28, 2015 at 7 and Table 1.</w:t>
      </w:r>
    </w:p>
  </w:footnote>
  <w:footnote w:id="74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Direct Testimony of Paul A. Chernick (Sierra Club Ex. 37) filed September 11, 2015. </w:t>
      </w:r>
    </w:p>
  </w:footnote>
  <w:footnote w:id="74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Direct Testimony of Paul Leanza (IGS Ex. 6) filed September 11, 2015. </w:t>
      </w:r>
    </w:p>
  </w:footnote>
  <w:footnote w:id="74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Ramteen Sioshansi (OCC Ex. 12) filed September 11, 2015 at p. 37:6-38:23.</w:t>
      </w:r>
    </w:p>
  </w:footnote>
  <w:footnote w:id="74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38:11-23.</w:t>
      </w:r>
    </w:p>
  </w:footnote>
  <w:footnote w:id="74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w:t>
      </w:r>
      <w:r w:rsidRPr="00856315">
        <w:rPr>
          <w:rFonts w:ascii="Times New Roman" w:hAnsi="Times New Roman" w:cs="Times New Roman"/>
        </w:rPr>
        <w:t xml:space="preserve"> Direct Testimony of James F. Wilson (OCC Ex. 15) filed September 11, 2015 at p. 15:6-13.</w:t>
      </w:r>
    </w:p>
  </w:footnote>
  <w:footnote w:id="745">
    <w:p w:rsidR="0020495B" w:rsidRPr="00856315" w:rsidRDefault="0020495B" w:rsidP="00856315">
      <w:pPr>
        <w:pStyle w:val="FootnoteText"/>
        <w:spacing w:after="120"/>
        <w:rPr>
          <w:rFonts w:ascii="Times New Roman" w:hAnsi="Times New Roman" w:cs="Times New Roman"/>
          <w:i/>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15:9-11.</w:t>
      </w:r>
    </w:p>
  </w:footnote>
  <w:footnote w:id="74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15:11-13.</w:t>
      </w:r>
    </w:p>
  </w:footnote>
  <w:footnote w:id="74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61-62: p. 64:1-66:21.</w:t>
      </w:r>
    </w:p>
  </w:footnote>
  <w:footnote w:id="748">
    <w:p w:rsidR="0020495B" w:rsidRPr="00856315" w:rsidRDefault="0020495B" w:rsidP="00856315">
      <w:pPr>
        <w:pStyle w:val="FootnoteText"/>
        <w:spacing w:after="120"/>
        <w:rPr>
          <w:rFonts w:ascii="Times New Roman" w:hAnsi="Times New Roman" w:cs="Times New Roman"/>
          <w:i/>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p>
  </w:footnote>
  <w:footnote w:id="74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generally id. </w:t>
      </w:r>
      <w:r w:rsidRPr="00856315">
        <w:rPr>
          <w:rFonts w:ascii="Times New Roman" w:hAnsi="Times New Roman" w:cs="Times New Roman"/>
        </w:rPr>
        <w:t>at p. 39:1-40:2.</w:t>
      </w:r>
    </w:p>
  </w:footnote>
  <w:footnote w:id="75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w:t>
      </w:r>
      <w:r w:rsidRPr="00856315">
        <w:rPr>
          <w:rFonts w:ascii="Times New Roman" w:hAnsi="Times New Roman" w:cs="Times New Roman"/>
        </w:rPr>
        <w:t xml:space="preserve"> Direct Testimony of Dr. Noah C. Dormady (OCC Ex. 10) filed September 11, 2015.</w:t>
      </w:r>
    </w:p>
  </w:footnote>
  <w:footnote w:id="75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Ramteen Sioshansi (OCC Ex. 12) filed September 11, 2015 at p. 29:11- 31:2.</w:t>
      </w:r>
    </w:p>
  </w:footnote>
  <w:footnote w:id="75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James F. Wilson (OCC Exs. 15 and 35) filed September 11, 2015 and December 28, 2015, respectively.</w:t>
      </w:r>
    </w:p>
  </w:footnote>
  <w:footnote w:id="75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R.C. sec. 4928.02(N); Direct Testimony of Ramteen Sioshansi (OCC Ex. 12) filed September 11, 2015 at p. 30:12-23.</w:t>
      </w:r>
    </w:p>
  </w:footnote>
  <w:footnote w:id="75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Ramteen Sioshansi (OCC Ex. 12) filed September 11, 2015 at p. 40:4-20.</w:t>
      </w:r>
    </w:p>
  </w:footnote>
  <w:footnote w:id="75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at p. 41:11-15.</w:t>
      </w:r>
    </w:p>
  </w:footnote>
  <w:footnote w:id="75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generally id. </w:t>
      </w:r>
      <w:r w:rsidRPr="00856315">
        <w:rPr>
          <w:rFonts w:ascii="Times New Roman" w:hAnsi="Times New Roman" w:cs="Times New Roman"/>
        </w:rPr>
        <w:t>at p. 41:17-42:2.</w:t>
      </w:r>
    </w:p>
  </w:footnote>
  <w:footnote w:id="75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p. 42:15-23.</w:t>
      </w:r>
    </w:p>
  </w:footnote>
  <w:footnote w:id="75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Direct Testimony of Sarah Jackson (OCC Ex. 13) filed September 11, 2015. </w:t>
      </w:r>
    </w:p>
  </w:footnote>
  <w:footnote w:id="75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generally </w:t>
      </w:r>
      <w:r w:rsidRPr="00856315">
        <w:rPr>
          <w:rFonts w:ascii="Times New Roman" w:hAnsi="Times New Roman" w:cs="Times New Roman"/>
        </w:rPr>
        <w:t>Direct Testimony of Ramteen Sioshansi (OCC Ex. 12) filed September 11, 2015 at p. 44:1-45:2.</w:t>
      </w:r>
    </w:p>
  </w:footnote>
  <w:footnote w:id="76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Background, </w:t>
      </w:r>
      <w:r w:rsidRPr="00856315">
        <w:rPr>
          <w:rFonts w:ascii="Times New Roman" w:hAnsi="Times New Roman" w:cs="Times New Roman"/>
          <w:i/>
        </w:rPr>
        <w:t xml:space="preserve">supra.  </w:t>
      </w:r>
      <w:r w:rsidRPr="00856315">
        <w:rPr>
          <w:rFonts w:ascii="Times New Roman" w:hAnsi="Times New Roman" w:cs="Times New Roman"/>
        </w:rPr>
        <w:t xml:space="preserve">AEP Ohio Witness Fetter does not offer any opinions regarding the reasonableness of AEP Ohio’s forecasts on energy or capacity prices.  </w:t>
      </w:r>
      <w:r w:rsidRPr="00856315">
        <w:rPr>
          <w:rFonts w:ascii="Times New Roman" w:hAnsi="Times New Roman" w:cs="Times New Roman"/>
          <w:i/>
        </w:rPr>
        <w:t xml:space="preserve">See </w:t>
      </w:r>
      <w:r w:rsidRPr="00856315">
        <w:rPr>
          <w:rFonts w:ascii="Times New Roman" w:hAnsi="Times New Roman" w:cs="Times New Roman"/>
        </w:rPr>
        <w:t xml:space="preserve">Hearing Transcript at Vol. III, p. 847:12-15. </w:t>
      </w:r>
    </w:p>
  </w:footnote>
  <w:footnote w:id="76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Kelly D. Pearce (AEP Ohio Ex. 2) filed May 15, 2015</w:t>
      </w:r>
      <w:r w:rsidRPr="00856315">
        <w:rPr>
          <w:rFonts w:ascii="Times New Roman" w:hAnsi="Times New Roman" w:cs="Times New Roman"/>
          <w:i/>
        </w:rPr>
        <w:t xml:space="preserve"> </w:t>
      </w:r>
      <w:r w:rsidRPr="00856315">
        <w:rPr>
          <w:rFonts w:ascii="Times New Roman" w:hAnsi="Times New Roman" w:cs="Times New Roman"/>
        </w:rPr>
        <w:t xml:space="preserve">at KDP-2; </w:t>
      </w:r>
      <w:r w:rsidRPr="00856315">
        <w:rPr>
          <w:rFonts w:ascii="Times New Roman" w:hAnsi="Times New Roman" w:cs="Times New Roman"/>
          <w:i/>
        </w:rPr>
        <w:t xml:space="preserve">see also </w:t>
      </w:r>
      <w:r w:rsidRPr="00856315">
        <w:rPr>
          <w:rFonts w:ascii="Times New Roman" w:hAnsi="Times New Roman" w:cs="Times New Roman"/>
        </w:rPr>
        <w:t>Direct Testimony of William A. Allen (AEP Ohio Ex. 52) filed December 14, 2015 at WAA-2 ($690 million cost to $2.1 billion benefit).</w:t>
      </w:r>
    </w:p>
  </w:footnote>
  <w:footnote w:id="76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Hearing Transcript at Vol. I, p. 272:15-19; </w:t>
      </w:r>
      <w:r w:rsidRPr="00856315">
        <w:rPr>
          <w:rFonts w:ascii="Times New Roman" w:hAnsi="Times New Roman" w:cs="Times New Roman"/>
          <w:i/>
        </w:rPr>
        <w:t xml:space="preserve">id. </w:t>
      </w:r>
      <w:r w:rsidRPr="00856315">
        <w:rPr>
          <w:rFonts w:ascii="Times New Roman" w:hAnsi="Times New Roman" w:cs="Times New Roman"/>
        </w:rPr>
        <w:t>at 172:15-19.</w:t>
      </w:r>
    </w:p>
  </w:footnote>
  <w:footnote w:id="76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170:25-171:4.</w:t>
      </w:r>
    </w:p>
  </w:footnote>
  <w:footnote w:id="76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232:21-233:1.  While considering the Modified Amended Application, the PUCO should note that AEP Ohio does not rule out seeking an extension of the PPA Rider.</w:t>
      </w:r>
    </w:p>
  </w:footnote>
  <w:footnote w:id="76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Vol. II, p. 328:13-19; 575:18-23.</w:t>
      </w:r>
    </w:p>
  </w:footnote>
  <w:footnote w:id="76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328:20-25.</w:t>
      </w:r>
    </w:p>
  </w:footnote>
  <w:footnote w:id="76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648:3-21.</w:t>
      </w:r>
    </w:p>
  </w:footnote>
  <w:footnote w:id="76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Direct Testimony of James F. Wilson (OCC Exhibit No. 15) filed September 11, 2015; Hearing Transcript at Vol. XV, p. 3766:19-3767:6; </w:t>
      </w:r>
      <w:r w:rsidRPr="00856315">
        <w:rPr>
          <w:rFonts w:ascii="Times New Roman" w:hAnsi="Times New Roman" w:cs="Times New Roman"/>
          <w:i/>
        </w:rPr>
        <w:t xml:space="preserve">see also </w:t>
      </w:r>
      <w:r w:rsidRPr="00856315">
        <w:rPr>
          <w:rFonts w:ascii="Times New Roman" w:hAnsi="Times New Roman" w:cs="Times New Roman"/>
        </w:rPr>
        <w:t>Direct Testimony of James F. Wilson (OCC Ex. 35) filed December 28, 2015 at 7 ($1.9 billion cost associated with PPA Rider term under the Joint Stipulation).</w:t>
      </w:r>
    </w:p>
  </w:footnote>
  <w:footnote w:id="76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James F. Wilson (OCC Ex. 15) filed September 11, 2015</w:t>
      </w:r>
      <w:r w:rsidRPr="00856315">
        <w:rPr>
          <w:rFonts w:ascii="Times New Roman" w:hAnsi="Times New Roman" w:cs="Times New Roman"/>
          <w:i/>
        </w:rPr>
        <w:t xml:space="preserve"> </w:t>
      </w:r>
      <w:r w:rsidRPr="00856315">
        <w:rPr>
          <w:rFonts w:ascii="Times New Roman" w:hAnsi="Times New Roman" w:cs="Times New Roman"/>
        </w:rPr>
        <w:t xml:space="preserve">at p. 51:1-53:2; </w:t>
      </w:r>
      <w:r w:rsidRPr="00856315">
        <w:rPr>
          <w:rFonts w:ascii="Times New Roman" w:hAnsi="Times New Roman" w:cs="Times New Roman"/>
          <w:i/>
        </w:rPr>
        <w:t xml:space="preserve">see also </w:t>
      </w:r>
      <w:r w:rsidRPr="00856315">
        <w:rPr>
          <w:rFonts w:ascii="Times New Roman" w:hAnsi="Times New Roman" w:cs="Times New Roman"/>
        </w:rPr>
        <w:t>Direct Testimony of James F. Wilson (OCC Ex. 35) filed December 28, 2015.</w:t>
      </w:r>
    </w:p>
  </w:footnote>
  <w:footnote w:id="77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Hearing Transcript at Vol. I, p. 102:21-103:4.  If anything, what with all the adjustments to “true up” AEP Ohio’s projections with actual figures, the PPA Rider is going to increase volatility.  </w:t>
      </w:r>
      <w:r w:rsidRPr="00856315">
        <w:rPr>
          <w:rFonts w:ascii="Times New Roman" w:hAnsi="Times New Roman" w:cs="Times New Roman"/>
          <w:i/>
        </w:rPr>
        <w:t xml:space="preserve">See </w:t>
      </w:r>
      <w:r w:rsidRPr="00856315">
        <w:rPr>
          <w:rFonts w:ascii="Times New Roman" w:hAnsi="Times New Roman" w:cs="Times New Roman"/>
        </w:rPr>
        <w:t>notes 8</w:t>
      </w:r>
      <w:r>
        <w:rPr>
          <w:rFonts w:ascii="Times New Roman" w:hAnsi="Times New Roman" w:cs="Times New Roman"/>
        </w:rPr>
        <w:t>2</w:t>
      </w:r>
      <w:r w:rsidRPr="00856315">
        <w:rPr>
          <w:rFonts w:ascii="Times New Roman" w:hAnsi="Times New Roman" w:cs="Times New Roman"/>
        </w:rPr>
        <w:t>-8</w:t>
      </w:r>
      <w:r>
        <w:rPr>
          <w:rFonts w:ascii="Times New Roman" w:hAnsi="Times New Roman" w:cs="Times New Roman"/>
        </w:rPr>
        <w:t>7</w:t>
      </w:r>
      <w:r w:rsidRPr="00856315">
        <w:rPr>
          <w:rFonts w:ascii="Times New Roman" w:hAnsi="Times New Roman" w:cs="Times New Roman"/>
        </w:rPr>
        <w:t xml:space="preserve">, </w:t>
      </w:r>
      <w:r w:rsidRPr="00856315">
        <w:rPr>
          <w:rFonts w:ascii="Times New Roman" w:hAnsi="Times New Roman" w:cs="Times New Roman"/>
          <w:i/>
        </w:rPr>
        <w:t>supra</w:t>
      </w:r>
      <w:r w:rsidRPr="00856315">
        <w:rPr>
          <w:rFonts w:ascii="Times New Roman" w:hAnsi="Times New Roman" w:cs="Times New Roman"/>
        </w:rPr>
        <w:t>.</w:t>
      </w:r>
    </w:p>
  </w:footnote>
  <w:footnote w:id="77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Hearing Transcript at Vol. I, p. 103:11-15.</w:t>
      </w:r>
    </w:p>
  </w:footnote>
  <w:footnote w:id="77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Vol. VII, p. 1957:24-1958:19-21.</w:t>
      </w:r>
    </w:p>
  </w:footnote>
  <w:footnote w:id="77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Vol. I, p. 103:24-104:4.</w:t>
      </w:r>
    </w:p>
  </w:footnote>
  <w:footnote w:id="77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Vol. XVI, p. 3925:2-12.</w:t>
      </w:r>
    </w:p>
  </w:footnote>
  <w:footnote w:id="77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 xml:space="preserve">at p. 3892:2-10; </w:t>
      </w:r>
      <w:r w:rsidRPr="00856315">
        <w:rPr>
          <w:rFonts w:ascii="Times New Roman" w:hAnsi="Times New Roman" w:cs="Times New Roman"/>
          <w:i/>
        </w:rPr>
        <w:t>see also</w:t>
      </w:r>
      <w:r w:rsidRPr="00856315">
        <w:rPr>
          <w:rFonts w:ascii="Times New Roman" w:hAnsi="Times New Roman" w:cs="Times New Roman"/>
        </w:rPr>
        <w:t xml:space="preserve">, Direct Testimony of Dr. Hisham Choueiki (Staff Ex. 1) filed October 9, 2015 at 13-16.  Notwithstanding the PUCO’s finding in ESP III that a PPA Rider, properly conceived, could be in the public interest, Staff still opposes the PPA Rider that AEP Ohio proposes here.  </w:t>
      </w:r>
      <w:r w:rsidRPr="00856315">
        <w:rPr>
          <w:rFonts w:ascii="Times New Roman" w:hAnsi="Times New Roman" w:cs="Times New Roman"/>
          <w:i/>
        </w:rPr>
        <w:t xml:space="preserve">See </w:t>
      </w:r>
      <w:r w:rsidRPr="00856315">
        <w:rPr>
          <w:rFonts w:ascii="Times New Roman" w:hAnsi="Times New Roman" w:cs="Times New Roman"/>
        </w:rPr>
        <w:t xml:space="preserve">Hearing Transcript at Vol. XVI, p. 3903:24-3904:4.  As explained earlier, if the PUCO rejects the Joint Stipulation, it must evaluate the Amended Application.  Thus Staff’s alternative recommendations necessitate discussion.    </w:t>
      </w:r>
    </w:p>
  </w:footnote>
  <w:footnote w:id="77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at Vol. XVI, p. 3892:6-3893:5.</w:t>
      </w:r>
    </w:p>
  </w:footnote>
  <w:footnote w:id="77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3894:21-3895:12.</w:t>
      </w:r>
    </w:p>
  </w:footnote>
  <w:footnote w:id="778">
    <w:p w:rsidR="0020495B" w:rsidRPr="00856315" w:rsidRDefault="0020495B" w:rsidP="00856315">
      <w:pPr>
        <w:pStyle w:val="FootnoteText"/>
        <w:spacing w:after="120"/>
        <w:rPr>
          <w:rFonts w:ascii="Times New Roman" w:hAnsi="Times New Roman" w:cs="Times New Roman"/>
          <w:i/>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p>
  </w:footnote>
  <w:footnote w:id="77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 xml:space="preserve">at p. 3895:22-3896:10; </w:t>
      </w:r>
      <w:r w:rsidRPr="00856315">
        <w:rPr>
          <w:rFonts w:ascii="Times New Roman" w:hAnsi="Times New Roman" w:cs="Times New Roman"/>
          <w:i/>
        </w:rPr>
        <w:t xml:space="preserve">id. </w:t>
      </w:r>
      <w:r w:rsidRPr="00856315">
        <w:rPr>
          <w:rFonts w:ascii="Times New Roman" w:hAnsi="Times New Roman" w:cs="Times New Roman"/>
        </w:rPr>
        <w:t>at 3904:23-3905:14.</w:t>
      </w:r>
    </w:p>
  </w:footnote>
  <w:footnote w:id="78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Dr. Hisham Choueiki (Staff Ex. 1) filed October 9, 2015 at p. 17:16-19:5.</w:t>
      </w:r>
    </w:p>
  </w:footnote>
  <w:footnote w:id="78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Hearing Transcript at Vol. XVI, p. 3901:2-3902:10.</w:t>
      </w:r>
    </w:p>
  </w:footnote>
  <w:footnote w:id="78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e.g., Fox v. Eaton Corp.</w:t>
      </w:r>
      <w:r w:rsidRPr="00856315">
        <w:rPr>
          <w:rFonts w:ascii="Times New Roman" w:hAnsi="Times New Roman" w:cs="Times New Roman"/>
        </w:rPr>
        <w:t xml:space="preserve">, 48 Ohio St. 2d 236, 238 (1976), overruled on other rounds, </w:t>
      </w:r>
      <w:r w:rsidRPr="00856315">
        <w:rPr>
          <w:rFonts w:ascii="Times New Roman" w:hAnsi="Times New Roman" w:cs="Times New Roman"/>
          <w:i/>
        </w:rPr>
        <w:t>Manning v. Ohio State Library Board</w:t>
      </w:r>
      <w:r w:rsidRPr="00856315">
        <w:rPr>
          <w:rFonts w:ascii="Times New Roman" w:hAnsi="Times New Roman" w:cs="Times New Roman"/>
        </w:rPr>
        <w:t xml:space="preserve">, 62 Ohio St.3d 24 (1991); </w:t>
      </w:r>
      <w:r w:rsidRPr="00856315">
        <w:rPr>
          <w:rFonts w:ascii="Times New Roman" w:hAnsi="Times New Roman" w:cs="Times New Roman"/>
          <w:i/>
        </w:rPr>
        <w:t>cited with approval In re Dunn</w:t>
      </w:r>
      <w:r w:rsidRPr="00856315">
        <w:rPr>
          <w:rFonts w:ascii="Times New Roman" w:hAnsi="Times New Roman" w:cs="Times New Roman"/>
        </w:rPr>
        <w:t xml:space="preserve">, 101 Ohio App. 3d 1, 10 (Clinton 1995); </w:t>
      </w:r>
      <w:r w:rsidRPr="00856315">
        <w:rPr>
          <w:rFonts w:ascii="Times New Roman" w:hAnsi="Times New Roman" w:cs="Times New Roman"/>
          <w:i/>
        </w:rPr>
        <w:t>In re Kerry Ford, Inc.</w:t>
      </w:r>
      <w:r w:rsidRPr="00856315">
        <w:rPr>
          <w:rFonts w:ascii="Times New Roman" w:hAnsi="Times New Roman" w:cs="Times New Roman"/>
        </w:rPr>
        <w:t>, 106 Ohio App. 3d 643, 651 (Franklin 1995) (“parties may not, by stipulation or agreement, confer subject-matter jurisdiction on a court or administrative body where such jurisdiction does not otherwise exist.”);</w:t>
      </w:r>
      <w:r w:rsidRPr="00856315">
        <w:rPr>
          <w:rFonts w:ascii="Times New Roman" w:hAnsi="Times New Roman" w:cs="Times New Roman"/>
          <w:i/>
        </w:rPr>
        <w:t xml:space="preserve"> see also Rieser v. Rieser</w:t>
      </w:r>
      <w:r w:rsidRPr="00856315">
        <w:rPr>
          <w:rFonts w:ascii="Times New Roman" w:hAnsi="Times New Roman" w:cs="Times New Roman"/>
        </w:rPr>
        <w:t>, 191 Ohio App. 3d 616, 621 (Montgomery 2010) (parties may not “by agreement, confer jurisdiction on a court which by law it does not have.”) (citation omitted).</w:t>
      </w:r>
    </w:p>
  </w:footnote>
  <w:footnote w:id="78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In the Matter of the Complaint of Stand Energy Corp. v. The Cincinnati Gas and Electric Co.</w:t>
      </w:r>
      <w:r w:rsidRPr="00856315">
        <w:rPr>
          <w:rFonts w:ascii="Times New Roman" w:hAnsi="Times New Roman" w:cs="Times New Roman"/>
        </w:rPr>
        <w:t>, 2000 Ohio PUCO Lexis 1006, 5-6 (PUCO Case No. 99-960-GA-CSS).</w:t>
      </w:r>
    </w:p>
  </w:footnote>
  <w:footnote w:id="78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Hearing Transcript at Vol. XVI, p. 3905:21-25.  </w:t>
      </w:r>
    </w:p>
  </w:footnote>
  <w:footnote w:id="78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3900:21-22.</w:t>
      </w:r>
    </w:p>
  </w:footnote>
  <w:footnote w:id="78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3924:1-22.</w:t>
      </w:r>
    </w:p>
  </w:footnote>
  <w:footnote w:id="78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3915:12-22.</w:t>
      </w:r>
    </w:p>
  </w:footnote>
  <w:footnote w:id="78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3924:23-3925:1.</w:t>
      </w:r>
    </w:p>
  </w:footnote>
  <w:footnote w:id="78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3912:9-19; Prefiled Testimony of Dr. Hisham M. Choueiki, Case No. 13-2385 (OCC Ex. 20, admitted at Hearing Transcript Vol. XVI, p. 4041) at p. 12.</w:t>
      </w:r>
    </w:p>
  </w:footnote>
  <w:footnote w:id="79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Hearing Transcript at Vol. XVI, p. 3910:21-3919:24.  Based on the Amended Application, Staff asserts that AEP Ohio has committed to limiting the generation assets to be included in a PPA Rider to only those in the Amended Application.  </w:t>
      </w:r>
      <w:r w:rsidRPr="00856315">
        <w:rPr>
          <w:rFonts w:ascii="Times New Roman" w:hAnsi="Times New Roman" w:cs="Times New Roman"/>
          <w:i/>
        </w:rPr>
        <w:t xml:space="preserve">See id. </w:t>
      </w:r>
      <w:r w:rsidRPr="00856315">
        <w:rPr>
          <w:rFonts w:ascii="Times New Roman" w:hAnsi="Times New Roman" w:cs="Times New Roman"/>
        </w:rPr>
        <w:t xml:space="preserve">at p. 3917:21-3918:12.  But AEP Ohio in ESP III reserved the right to include additional generation assets in a PPA Rider.  </w:t>
      </w:r>
      <w:r w:rsidRPr="00856315">
        <w:rPr>
          <w:rFonts w:ascii="Times New Roman" w:hAnsi="Times New Roman" w:cs="Times New Roman"/>
          <w:i/>
        </w:rPr>
        <w:t xml:space="preserve">See </w:t>
      </w:r>
      <w:r w:rsidRPr="00856315">
        <w:rPr>
          <w:rFonts w:ascii="Times New Roman" w:hAnsi="Times New Roman" w:cs="Times New Roman"/>
        </w:rPr>
        <w:t xml:space="preserve">ESP III Opinion and Order at 8.  AEP Ohio’s reserved right to include additional generation assets in the PPA Rider flows from ESP III.  Nothing in AEP Ohio’s Amended Application withdraws that reservation of right.  </w:t>
      </w:r>
      <w:r w:rsidRPr="00856315">
        <w:rPr>
          <w:rFonts w:ascii="Times New Roman" w:hAnsi="Times New Roman" w:cs="Times New Roman"/>
          <w:i/>
        </w:rPr>
        <w:t xml:space="preserve">See </w:t>
      </w:r>
      <w:r w:rsidRPr="00856315">
        <w:rPr>
          <w:rFonts w:ascii="Times New Roman" w:hAnsi="Times New Roman" w:cs="Times New Roman"/>
        </w:rPr>
        <w:t>Amended Application.</w:t>
      </w:r>
    </w:p>
  </w:footnote>
  <w:footnote w:id="79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Hearing Transcript at Vol. XVI, p. 3919:25-3920:11; Prefiled Testimony of Dr. Hisham M. Choueiki, Case No. 13-2385 (OCC Ex. 20, admitted at Hearing Transcript Vol. XVI, p. 4041) at p. 13.</w:t>
      </w:r>
    </w:p>
  </w:footnote>
  <w:footnote w:id="79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Hearing Transcript at Vol. XVI, p. 3920:25-3921:8.</w:t>
      </w:r>
    </w:p>
  </w:footnote>
  <w:footnote w:id="79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3925:2-7.</w:t>
      </w:r>
    </w:p>
  </w:footnote>
  <w:footnote w:id="79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3921:9-12.</w:t>
      </w:r>
    </w:p>
  </w:footnote>
  <w:footnote w:id="79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ESP III Opinion and Order at 94-95.</w:t>
      </w:r>
    </w:p>
  </w:footnote>
  <w:footnote w:id="79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In the matter of the Application of Ohio Power Company for Authority to Establish a Standard Service Offer Pursuant to R.C. 4928.143, in the Form of an Electric Security Plan</w:t>
      </w:r>
      <w:r w:rsidRPr="00856315">
        <w:rPr>
          <w:rFonts w:ascii="Times New Roman" w:hAnsi="Times New Roman" w:cs="Times New Roman"/>
        </w:rPr>
        <w:t>, Case No. 13-2385-EL-SSO, Entry at 56 (May 28, 2015) (italics added).</w:t>
      </w:r>
    </w:p>
  </w:footnote>
  <w:footnote w:id="79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id.</w:t>
      </w:r>
      <w:r w:rsidRPr="00856315">
        <w:rPr>
          <w:rFonts w:ascii="Times New Roman" w:hAnsi="Times New Roman" w:cs="Times New Roman"/>
        </w:rPr>
        <w:t xml:space="preserve">; </w:t>
      </w:r>
      <w:r w:rsidRPr="00856315">
        <w:rPr>
          <w:rFonts w:ascii="Times New Roman" w:hAnsi="Times New Roman" w:cs="Times New Roman"/>
          <w:i/>
        </w:rPr>
        <w:t xml:space="preserve">see also </w:t>
      </w:r>
      <w:r w:rsidRPr="00856315">
        <w:rPr>
          <w:rFonts w:ascii="Times New Roman" w:hAnsi="Times New Roman" w:cs="Times New Roman"/>
        </w:rPr>
        <w:t>Direct Testimony of Beth E. Hixon (OCC Ex. 9) filed September 11, 2015 at p. 5:4-7.</w:t>
      </w:r>
    </w:p>
  </w:footnote>
  <w:footnote w:id="79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Hearing Transcript at Vol. I, p. 187:16-23; </w:t>
      </w:r>
      <w:r w:rsidRPr="00856315">
        <w:rPr>
          <w:rFonts w:ascii="Times New Roman" w:hAnsi="Times New Roman" w:cs="Times New Roman"/>
          <w:i/>
        </w:rPr>
        <w:t xml:space="preserve">see also </w:t>
      </w:r>
      <w:r w:rsidRPr="00856315">
        <w:rPr>
          <w:rFonts w:ascii="Times New Roman" w:hAnsi="Times New Roman" w:cs="Times New Roman"/>
        </w:rPr>
        <w:t xml:space="preserve">5-15-15 Letter to Commission from Mr. Vegas (OCC Ex. 2, admitted at Hearing Transcript Vol. II, p. 365).  AEP Ohio Witness Vegas appears later to have changed his tune.  </w:t>
      </w:r>
      <w:r w:rsidRPr="00856315">
        <w:rPr>
          <w:rFonts w:ascii="Times New Roman" w:hAnsi="Times New Roman" w:cs="Times New Roman"/>
          <w:i/>
        </w:rPr>
        <w:t xml:space="preserve">See </w:t>
      </w:r>
      <w:r w:rsidRPr="00856315">
        <w:rPr>
          <w:rFonts w:ascii="Times New Roman" w:hAnsi="Times New Roman" w:cs="Times New Roman"/>
        </w:rPr>
        <w:t>Hearing Transcript at Vol. I, p. 241:17-19.  But the tune brought to mind by AEP Ohio Witness Vegas’ changed answer is the hit single by country music superstar Waylon Jennings, “Wrong!”  Given what is stated in his cover letter (OCC Ex. 2), his initial response to the question, the PUCO’s confirmation that the costs of the PPA Rider would be subject to a future proceeding, and (not to mention) the governing law, AEP Ohio Witness Vegas’s second apparent answer is clearly wrong.</w:t>
      </w:r>
    </w:p>
  </w:footnote>
  <w:footnote w:id="79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Hearing Transcript at Vol. I, p. 173:20-23.</w:t>
      </w:r>
    </w:p>
  </w:footnote>
  <w:footnote w:id="80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173:116:16-21.</w:t>
      </w:r>
    </w:p>
  </w:footnote>
  <w:footnote w:id="80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Beth E. Hixon (OCC Ex. 9) filed September 11, 2015</w:t>
      </w:r>
      <w:r w:rsidRPr="00856315">
        <w:rPr>
          <w:rFonts w:ascii="Times New Roman" w:hAnsi="Times New Roman" w:cs="Times New Roman"/>
          <w:i/>
        </w:rPr>
        <w:t xml:space="preserve"> </w:t>
      </w:r>
      <w:r w:rsidRPr="00856315">
        <w:rPr>
          <w:rFonts w:ascii="Times New Roman" w:hAnsi="Times New Roman" w:cs="Times New Roman"/>
        </w:rPr>
        <w:t>at p. 6:4-10; Direct Testimony of James F. Wilson (OCC Ex. 34) filed December 28, 2015.</w:t>
      </w:r>
    </w:p>
  </w:footnote>
  <w:footnote w:id="80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Beth E. Hixon (OCC Ex. 9) filed September 11, 2015</w:t>
      </w:r>
      <w:r w:rsidRPr="00856315">
        <w:rPr>
          <w:rFonts w:ascii="Times New Roman" w:hAnsi="Times New Roman" w:cs="Times New Roman"/>
          <w:i/>
        </w:rPr>
        <w:t xml:space="preserve"> </w:t>
      </w:r>
      <w:r w:rsidRPr="00856315">
        <w:rPr>
          <w:rFonts w:ascii="Times New Roman" w:hAnsi="Times New Roman" w:cs="Times New Roman"/>
        </w:rPr>
        <w:t xml:space="preserve">at p. 6:7-10.  Were the Joint Stipulation approved, the relevant figure would be $580 million.  </w:t>
      </w:r>
      <w:r w:rsidRPr="00856315">
        <w:rPr>
          <w:rFonts w:ascii="Times New Roman" w:hAnsi="Times New Roman" w:cs="Times New Roman"/>
          <w:i/>
        </w:rPr>
        <w:t xml:space="preserve">See </w:t>
      </w:r>
      <w:r w:rsidRPr="00856315">
        <w:rPr>
          <w:rFonts w:ascii="Times New Roman" w:hAnsi="Times New Roman" w:cs="Times New Roman"/>
        </w:rPr>
        <w:t>Direct Testimony of Michael P. Haugh (OCC Ex. 33) filed December 28, 2015 at 19:13-19.</w:t>
      </w:r>
    </w:p>
  </w:footnote>
  <w:footnote w:id="80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Beth E. Hixon (OCC Ex. 9) filed September 11, 2015</w:t>
      </w:r>
      <w:r w:rsidRPr="00856315">
        <w:rPr>
          <w:rFonts w:ascii="Times New Roman" w:hAnsi="Times New Roman" w:cs="Times New Roman"/>
          <w:i/>
        </w:rPr>
        <w:t xml:space="preserve"> </w:t>
      </w:r>
      <w:r w:rsidRPr="00856315">
        <w:rPr>
          <w:rFonts w:ascii="Times New Roman" w:hAnsi="Times New Roman" w:cs="Times New Roman"/>
        </w:rPr>
        <w:t xml:space="preserve">at p. 6:14-20; </w:t>
      </w:r>
      <w:r w:rsidRPr="00856315">
        <w:rPr>
          <w:rFonts w:ascii="Times New Roman" w:hAnsi="Times New Roman" w:cs="Times New Roman"/>
          <w:i/>
        </w:rPr>
        <w:t xml:space="preserve">see also </w:t>
      </w:r>
      <w:r w:rsidRPr="00856315">
        <w:rPr>
          <w:rFonts w:ascii="Times New Roman" w:hAnsi="Times New Roman" w:cs="Times New Roman"/>
        </w:rPr>
        <w:t>Direct Testimony of Michael P. Haugh (OCC Ex. 33) filed December 28, 2015 at 19:13-20:9 ($580 million cost would more than offset $53 million benefit).</w:t>
      </w:r>
    </w:p>
  </w:footnote>
  <w:footnote w:id="80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Beth E. Hixon (OCC Ex. 9) filed September 11, 2015</w:t>
      </w:r>
      <w:r w:rsidRPr="00856315">
        <w:rPr>
          <w:rFonts w:ascii="Times New Roman" w:hAnsi="Times New Roman" w:cs="Times New Roman"/>
          <w:i/>
        </w:rPr>
        <w:t xml:space="preserve"> </w:t>
      </w:r>
      <w:r w:rsidRPr="00856315">
        <w:rPr>
          <w:rFonts w:ascii="Times New Roman" w:hAnsi="Times New Roman" w:cs="Times New Roman"/>
        </w:rPr>
        <w:t xml:space="preserve">at p. 6:19-7:3; </w:t>
      </w:r>
      <w:r w:rsidRPr="00856315">
        <w:rPr>
          <w:rFonts w:ascii="Times New Roman" w:hAnsi="Times New Roman" w:cs="Times New Roman"/>
          <w:i/>
        </w:rPr>
        <w:t xml:space="preserve">see also </w:t>
      </w:r>
      <w:r w:rsidRPr="00856315">
        <w:rPr>
          <w:rFonts w:ascii="Times New Roman" w:hAnsi="Times New Roman" w:cs="Times New Roman"/>
        </w:rPr>
        <w:t>Direct Testimony of Michael P. Haugh (OCC Ex. 33) filed December 28, 2015 at 20:1-9 (net cost to consumers of $527 million were PPA Rider as proposed in Joint Stipulation analyzed).</w:t>
      </w:r>
    </w:p>
  </w:footnote>
  <w:footnote w:id="80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Direct Testimony of Beth E. Hixon (OCC Ex. 9) filed September 11, 2015</w:t>
      </w:r>
      <w:r w:rsidRPr="00856315">
        <w:rPr>
          <w:rFonts w:ascii="Times New Roman" w:hAnsi="Times New Roman" w:cs="Times New Roman"/>
          <w:i/>
        </w:rPr>
        <w:t xml:space="preserve"> </w:t>
      </w:r>
      <w:r w:rsidRPr="00856315">
        <w:rPr>
          <w:rFonts w:ascii="Times New Roman" w:hAnsi="Times New Roman" w:cs="Times New Roman"/>
        </w:rPr>
        <w:t xml:space="preserve">at p. 7:4-6. </w:t>
      </w:r>
    </w:p>
  </w:footnote>
  <w:footnote w:id="80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7:6-9.</w:t>
      </w:r>
    </w:p>
  </w:footnote>
  <w:footnote w:id="80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generally </w:t>
      </w:r>
      <w:r w:rsidRPr="00856315">
        <w:rPr>
          <w:rFonts w:ascii="Times New Roman" w:hAnsi="Times New Roman" w:cs="Times New Roman"/>
        </w:rPr>
        <w:t xml:space="preserve">Memorandum Contra by The Office of the Ohio Consumers’ Counsel (Expedited Treatment Requested) filed in this docket on January 4, 2016, pp. 3-4; </w:t>
      </w:r>
      <w:r w:rsidRPr="00856315">
        <w:rPr>
          <w:rFonts w:ascii="Times New Roman" w:hAnsi="Times New Roman" w:cs="Times New Roman"/>
          <w:i/>
        </w:rPr>
        <w:t xml:space="preserve">see also </w:t>
      </w:r>
      <w:r w:rsidRPr="00856315">
        <w:rPr>
          <w:rFonts w:ascii="Times New Roman" w:hAnsi="Times New Roman" w:cs="Times New Roman"/>
        </w:rPr>
        <w:t>R.C. 4903.082 and OAC 4901-1-16.</w:t>
      </w:r>
    </w:p>
  </w:footnote>
  <w:footnote w:id="80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e.g., </w:t>
      </w:r>
      <w:r w:rsidRPr="00856315">
        <w:rPr>
          <w:rFonts w:ascii="Times New Roman" w:hAnsi="Times New Roman" w:cs="Times New Roman"/>
        </w:rPr>
        <w:t>Hearing Transcript at Vol. XVIII, pp. 4431-4433.</w:t>
      </w:r>
    </w:p>
  </w:footnote>
  <w:footnote w:id="80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i/>
        </w:rPr>
        <w:t xml:space="preserve">See </w:t>
      </w:r>
      <w:r w:rsidRPr="00856315">
        <w:rPr>
          <w:rFonts w:ascii="Times New Roman" w:hAnsi="Times New Roman" w:cs="Times New Roman"/>
        </w:rPr>
        <w:t xml:space="preserve">O.A.C. sec. 4901-1-34.  Although the evidentiary record to date necessitates denying AEP Ohio’s proposal, as described above, it does not, and cannot, support granting the proposal.  As described in this section, material evidentiary matters were wrongly decided, thus excluding material evidence from the record.  </w:t>
      </w:r>
    </w:p>
  </w:footnote>
  <w:footnote w:id="81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e.g., </w:t>
      </w:r>
      <w:r w:rsidRPr="00856315">
        <w:rPr>
          <w:rFonts w:ascii="Times New Roman" w:hAnsi="Times New Roman" w:cs="Times New Roman"/>
        </w:rPr>
        <w:t xml:space="preserve">Hearing Transcript at Vol. XIX, p. 4688:10-19; 4695:7-14; 4813:12-20; 4816:11-4817:11; 4862:3-16.  </w:t>
      </w:r>
    </w:p>
  </w:footnote>
  <w:footnote w:id="81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4695:7-4696:3.</w:t>
      </w:r>
    </w:p>
  </w:footnote>
  <w:footnote w:id="81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Ohio R. Ev. 408.</w:t>
      </w:r>
    </w:p>
  </w:footnote>
  <w:footnote w:id="813">
    <w:p w:rsidR="0020495B" w:rsidRPr="00856315" w:rsidRDefault="0020495B" w:rsidP="00856315">
      <w:pPr>
        <w:pStyle w:val="FootnoteText"/>
        <w:spacing w:after="120"/>
        <w:rPr>
          <w:rFonts w:ascii="Times New Roman" w:hAnsi="Times New Roman" w:cs="Times New Roman"/>
          <w:i/>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p>
  </w:footnote>
  <w:footnote w:id="814">
    <w:p w:rsidR="0020495B" w:rsidRPr="00856315" w:rsidRDefault="0020495B" w:rsidP="00856315">
      <w:pPr>
        <w:pStyle w:val="FootnoteText"/>
        <w:spacing w:after="120"/>
        <w:rPr>
          <w:rFonts w:ascii="Times New Roman" w:hAnsi="Times New Roman" w:cs="Times New Roman"/>
          <w:i/>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p>
  </w:footnote>
  <w:footnote w:id="81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O.A.C. sec. 4901-1-26(E).</w:t>
      </w:r>
    </w:p>
  </w:footnote>
  <w:footnote w:id="816">
    <w:p w:rsidR="0020495B" w:rsidRPr="00856315" w:rsidRDefault="0020495B" w:rsidP="00856315">
      <w:pPr>
        <w:pStyle w:val="FootnoteText"/>
        <w:spacing w:after="120"/>
        <w:rPr>
          <w:rFonts w:ascii="Times New Roman" w:hAnsi="Times New Roman" w:cs="Times New Roman"/>
          <w:i/>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Id.</w:t>
      </w:r>
    </w:p>
  </w:footnote>
  <w:footnote w:id="81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Ohio Consumers’ Counsel v. PUC</w:t>
      </w:r>
      <w:r w:rsidRPr="00856315">
        <w:rPr>
          <w:rFonts w:ascii="Times New Roman" w:hAnsi="Times New Roman" w:cs="Times New Roman"/>
        </w:rPr>
        <w:t>, 111 Ohio St. 3d 300 (2006).</w:t>
      </w:r>
    </w:p>
  </w:footnote>
  <w:footnote w:id="81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322.</w:t>
      </w:r>
    </w:p>
  </w:footnote>
  <w:footnote w:id="81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Time Warner v. PUC</w:t>
      </w:r>
      <w:r w:rsidRPr="00856315">
        <w:rPr>
          <w:rFonts w:ascii="Times New Roman" w:hAnsi="Times New Roman" w:cs="Times New Roman"/>
        </w:rPr>
        <w:t>, 75 Ohio St. 3d 229, n. 2 (1996).</w:t>
      </w:r>
    </w:p>
  </w:footnote>
  <w:footnote w:id="82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In the Matter of the Application of Columbus Southern Power Company and Ohio Power Company for Authority to Recover Costs Associated with the Ultimate Construction and Operation of an Integrated Gasification Combined Cycle Electric Generation Facility</w:t>
      </w:r>
      <w:r w:rsidRPr="00856315">
        <w:rPr>
          <w:rFonts w:ascii="Times New Roman" w:hAnsi="Times New Roman" w:cs="Times New Roman"/>
        </w:rPr>
        <w:t>, Case No. 05-376-EL-UNC Order on Remand at 11-12 (February 11, 2014).</w:t>
      </w:r>
    </w:p>
  </w:footnote>
  <w:footnote w:id="82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The Joint Stipulation, as a settlement agreement, is a contract like any other contract.  </w:t>
      </w:r>
      <w:r w:rsidRPr="00856315">
        <w:rPr>
          <w:rFonts w:ascii="Times New Roman" w:hAnsi="Times New Roman" w:cs="Times New Roman"/>
          <w:i/>
        </w:rPr>
        <w:t>See, e.g., In re All Kelley &amp; Ferraro Asbestos Cases</w:t>
      </w:r>
      <w:r w:rsidRPr="00856315">
        <w:rPr>
          <w:rFonts w:ascii="Times New Roman" w:hAnsi="Times New Roman" w:cs="Times New Roman"/>
        </w:rPr>
        <w:t xml:space="preserve">, 104 Ohio St. 3d 605, 613 (2004) (citations omitted); </w:t>
      </w:r>
      <w:r w:rsidRPr="00856315">
        <w:rPr>
          <w:rFonts w:ascii="Times New Roman" w:hAnsi="Times New Roman" w:cs="Times New Roman"/>
          <w:i/>
        </w:rPr>
        <w:t>State ex rel. Petro v. R.J. Reynolds Tobacco Co.</w:t>
      </w:r>
      <w:r w:rsidRPr="00856315">
        <w:rPr>
          <w:rFonts w:ascii="Times New Roman" w:hAnsi="Times New Roman" w:cs="Times New Roman"/>
        </w:rPr>
        <w:t xml:space="preserve">, 104 Ohio St. 3d 559, 564 (2004).  “A settlement agreement is a contract to which general rules of contract law apply.”  </w:t>
      </w:r>
      <w:r w:rsidRPr="00856315">
        <w:rPr>
          <w:rFonts w:ascii="Times New Roman" w:hAnsi="Times New Roman" w:cs="Times New Roman"/>
          <w:i/>
        </w:rPr>
        <w:t>Huffy Corp. v. MRED Properties</w:t>
      </w:r>
      <w:r w:rsidRPr="00856315">
        <w:rPr>
          <w:rFonts w:ascii="Times New Roman" w:hAnsi="Times New Roman" w:cs="Times New Roman"/>
        </w:rPr>
        <w:t xml:space="preserve">, 1993 Ohio App. Lexis 5620, *6 (Mercer 1993).  “It is axiomatic that, where [as here] a contract is ambiguous, parol evidence may be employed to resolve the ambiguity and ascertain the intention of the parties.”  </w:t>
      </w:r>
      <w:r w:rsidRPr="00856315">
        <w:rPr>
          <w:rFonts w:ascii="Times New Roman" w:hAnsi="Times New Roman" w:cs="Times New Roman"/>
          <w:i/>
        </w:rPr>
        <w:t>Illinois Controls v. Langham</w:t>
      </w:r>
      <w:r w:rsidRPr="00856315">
        <w:rPr>
          <w:rFonts w:ascii="Times New Roman" w:hAnsi="Times New Roman" w:cs="Times New Roman"/>
        </w:rPr>
        <w:t>, 70 Ohio St. 3d 512, 521 (1994) (citations omitted).</w:t>
      </w:r>
    </w:p>
  </w:footnote>
  <w:footnote w:id="82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Mota v. Gruszczynski</w:t>
      </w:r>
      <w:r w:rsidRPr="00856315">
        <w:rPr>
          <w:rFonts w:ascii="Times New Roman" w:hAnsi="Times New Roman" w:cs="Times New Roman"/>
        </w:rPr>
        <w:t xml:space="preserve">, 2011 Ohio Misc. Lexis 830, *14-15 (Cuyahoga Comm. Pls. 2011), citing </w:t>
      </w:r>
      <w:r w:rsidRPr="00856315">
        <w:rPr>
          <w:rFonts w:ascii="Times New Roman" w:hAnsi="Times New Roman" w:cs="Times New Roman"/>
          <w:i/>
        </w:rPr>
        <w:t>SS&amp;D v. Givaudan Flavors Corp.</w:t>
      </w:r>
      <w:r w:rsidRPr="00856315">
        <w:rPr>
          <w:rFonts w:ascii="Times New Roman" w:hAnsi="Times New Roman" w:cs="Times New Roman"/>
        </w:rPr>
        <w:t xml:space="preserve">, 127 Ohio St. 3d 161 (holding, in part, that “a client may not rely on attorney-client communications to establish a claim against the attorney while asserting the attorney-client privilege to prevent the attorney from rebutting that claim”); </w:t>
      </w:r>
      <w:r w:rsidRPr="00856315">
        <w:rPr>
          <w:rFonts w:ascii="Times New Roman" w:hAnsi="Times New Roman" w:cs="Times New Roman"/>
          <w:i/>
        </w:rPr>
        <w:t>Vandenhaute v. Filer</w:t>
      </w:r>
      <w:r w:rsidRPr="00856315">
        <w:rPr>
          <w:rFonts w:ascii="Times New Roman" w:hAnsi="Times New Roman" w:cs="Times New Roman"/>
        </w:rPr>
        <w:t xml:space="preserve">, 2002 Ohio App. Lexis 3709, para. 9 (Cuyahoga 2002) (“Like all privileges, the physician-patient privilege is intended to be used as a shield of privacy, not a sward to escape liability or to otherwise gain an advantage.”); </w:t>
      </w:r>
      <w:r w:rsidRPr="00856315">
        <w:rPr>
          <w:rFonts w:ascii="Times New Roman" w:hAnsi="Times New Roman" w:cs="Times New Roman"/>
          <w:i/>
        </w:rPr>
        <w:t>Haydocy Pontiac, Inc. v. Lee</w:t>
      </w:r>
      <w:r w:rsidRPr="00856315">
        <w:rPr>
          <w:rFonts w:ascii="Times New Roman" w:hAnsi="Times New Roman" w:cs="Times New Roman"/>
        </w:rPr>
        <w:t>, 19 Ohio App. 2d 217, 219 (Franklin 1969) (allowing an infant to rescind a contract without requiring return of the property received would permit him to use his privilege as a sword rather than a shield).</w:t>
      </w:r>
    </w:p>
  </w:footnote>
  <w:footnote w:id="82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The foregoing discussion underscores that the three-prong test is inherently unfair and unworkable.  Signatory parties need do little more than assert that each prong of the three-prong test is met and then prohibit meaningful discovery and cross-examination by retreating behind the settlement discussion confidentiality privilege.  </w:t>
      </w:r>
    </w:p>
  </w:footnote>
  <w:footnote w:id="82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O.A.C. sec. 4901-1-25(C).</w:t>
      </w:r>
    </w:p>
  </w:footnote>
  <w:footnote w:id="82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Hearing Transcript at Vol. XXII, p. 5659:5-9.</w:t>
      </w:r>
    </w:p>
  </w:footnote>
  <w:footnote w:id="82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Id. </w:t>
      </w:r>
      <w:r w:rsidRPr="00856315">
        <w:rPr>
          <w:rFonts w:ascii="Times New Roman" w:hAnsi="Times New Roman" w:cs="Times New Roman"/>
        </w:rPr>
        <w:t xml:space="preserve">at 5659:10-20.  Very importantly, the subpoenas were not quashed because the information sought by OCC was irrelevant, protected by the attorney-client privilege, protected by the settlement discussion confidentiality privilege, or protected under the First Amendment as argued by Sierra Club, IGS, and Direct Energy in their motions to quash.  </w:t>
      </w:r>
      <w:r w:rsidRPr="00856315">
        <w:rPr>
          <w:rFonts w:ascii="Times New Roman" w:hAnsi="Times New Roman" w:cs="Times New Roman"/>
          <w:i/>
        </w:rPr>
        <w:t xml:space="preserve">See </w:t>
      </w:r>
      <w:r w:rsidRPr="00856315">
        <w:rPr>
          <w:rFonts w:ascii="Times New Roman" w:hAnsi="Times New Roman" w:cs="Times New Roman"/>
        </w:rPr>
        <w:t>Motions to Quash filed in this docket on December 31, 2015.</w:t>
      </w:r>
    </w:p>
  </w:footnote>
  <w:footnote w:id="82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O.A.C. sec. 4901-1-25(A) (“A subpoena shall </w:t>
      </w:r>
      <w:r w:rsidRPr="00856315">
        <w:rPr>
          <w:rFonts w:ascii="Times New Roman" w:hAnsi="Times New Roman" w:cs="Times New Roman"/>
          <w:i/>
        </w:rPr>
        <w:t xml:space="preserve">command </w:t>
      </w:r>
      <w:r w:rsidRPr="00856315">
        <w:rPr>
          <w:rFonts w:ascii="Times New Roman" w:hAnsi="Times New Roman" w:cs="Times New Roman"/>
        </w:rPr>
        <w:t xml:space="preserve">the person to whom it is directed to attend and give testimony at the time and place specified therein.”) (italics added).  </w:t>
      </w:r>
    </w:p>
  </w:footnote>
  <w:footnote w:id="82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O.A.C. sec. 4901-1-30(D) states:  “Unless otherwise ordered, parties who file a full or partial written stipulation or make an oral stipulation must file or provide the testimony of at least one signatory party that supports the stipulation.”  By its plain terms, it establishes a floor, not a ceiling, on signatory parties’ testimony at a hearing on a stipulation.  So it does not prevent non-signatory parties from subpoenaing signatory parties that do not file or provide the testimony required. </w:t>
      </w:r>
    </w:p>
  </w:footnote>
  <w:footnote w:id="82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INT-S1-034, INT-S1-035, e-mail correspondence (OCC Ex. 25, admitted at Hearing Transcript Vol. XX, p. 5015).</w:t>
      </w:r>
    </w:p>
  </w:footnote>
  <w:footnote w:id="830">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footnotes in Joint Ex 1.</w:t>
      </w:r>
    </w:p>
  </w:footnote>
  <w:footnote w:id="831">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e.g., </w:t>
      </w:r>
      <w:r w:rsidRPr="00856315">
        <w:rPr>
          <w:rFonts w:ascii="Times New Roman" w:hAnsi="Times New Roman" w:cs="Times New Roman"/>
        </w:rPr>
        <w:t xml:space="preserve">Ohio Rs. Ev. 401, 402, 403, 801, 802, 803, 804, and 901. </w:t>
      </w:r>
    </w:p>
  </w:footnote>
  <w:footnote w:id="83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OCC made this very point in describing why the Motions to Quash should be denied.  </w:t>
      </w:r>
      <w:r w:rsidRPr="00856315">
        <w:rPr>
          <w:rFonts w:ascii="Times New Roman" w:hAnsi="Times New Roman" w:cs="Times New Roman"/>
          <w:i/>
        </w:rPr>
        <w:t xml:space="preserve">See </w:t>
      </w:r>
      <w:r w:rsidRPr="00856315">
        <w:rPr>
          <w:rFonts w:ascii="Times New Roman" w:hAnsi="Times New Roman" w:cs="Times New Roman"/>
        </w:rPr>
        <w:t>Hearing Transcript at Vol. XII, p. 5657:14-5658:3.</w:t>
      </w:r>
    </w:p>
  </w:footnote>
  <w:footnote w:id="833">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This would not be an exercise in futility, as noted earlier.  </w:t>
      </w:r>
      <w:r w:rsidRPr="00856315">
        <w:rPr>
          <w:rFonts w:ascii="Times New Roman" w:hAnsi="Times New Roman" w:cs="Times New Roman"/>
          <w:i/>
        </w:rPr>
        <w:t xml:space="preserve">See, e.g., </w:t>
      </w:r>
      <w:r w:rsidRPr="00856315">
        <w:rPr>
          <w:rFonts w:ascii="Times New Roman" w:hAnsi="Times New Roman" w:cs="Times New Roman"/>
        </w:rPr>
        <w:t xml:space="preserve">pp. </w:t>
      </w:r>
      <w:r>
        <w:rPr>
          <w:rFonts w:ascii="Times New Roman" w:hAnsi="Times New Roman" w:cs="Times New Roman"/>
        </w:rPr>
        <w:t>40-41</w:t>
      </w:r>
      <w:r w:rsidRPr="00856315">
        <w:rPr>
          <w:rFonts w:ascii="Times New Roman" w:hAnsi="Times New Roman" w:cs="Times New Roman"/>
        </w:rPr>
        <w:t xml:space="preserve">, </w:t>
      </w:r>
      <w:r w:rsidRPr="00856315">
        <w:rPr>
          <w:rFonts w:ascii="Times New Roman" w:hAnsi="Times New Roman" w:cs="Times New Roman"/>
          <w:i/>
        </w:rPr>
        <w:t>supra</w:t>
      </w:r>
      <w:r w:rsidRPr="00856315">
        <w:rPr>
          <w:rFonts w:ascii="Times New Roman" w:hAnsi="Times New Roman" w:cs="Times New Roman"/>
        </w:rPr>
        <w:t xml:space="preserve">.  </w:t>
      </w:r>
    </w:p>
  </w:footnote>
  <w:footnote w:id="834">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e.g., </w:t>
      </w:r>
      <w:r w:rsidRPr="00856315">
        <w:rPr>
          <w:rFonts w:ascii="Times New Roman" w:hAnsi="Times New Roman" w:cs="Times New Roman"/>
        </w:rPr>
        <w:t>INT-S1-034, INT-S1-035, e-mail correspondence (OCC Ex. 25, admitted at Hearing Transcript at Vol. XX, p. 5015).</w:t>
      </w:r>
    </w:p>
  </w:footnote>
  <w:footnote w:id="835">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section </w:t>
      </w:r>
      <w:r>
        <w:rPr>
          <w:rFonts w:ascii="Times New Roman" w:hAnsi="Times New Roman" w:cs="Times New Roman"/>
        </w:rPr>
        <w:t>pp. 84-85</w:t>
      </w:r>
      <w:r w:rsidRPr="00856315">
        <w:rPr>
          <w:rFonts w:ascii="Times New Roman" w:hAnsi="Times New Roman" w:cs="Times New Roman"/>
        </w:rPr>
        <w:t xml:space="preserve">, </w:t>
      </w:r>
      <w:r w:rsidRPr="00856315">
        <w:rPr>
          <w:rFonts w:ascii="Times New Roman" w:hAnsi="Times New Roman" w:cs="Times New Roman"/>
          <w:i/>
        </w:rPr>
        <w:t>supra</w:t>
      </w:r>
      <w:r w:rsidRPr="00856315">
        <w:rPr>
          <w:rFonts w:ascii="Times New Roman" w:hAnsi="Times New Roman" w:cs="Times New Roman"/>
        </w:rPr>
        <w:t>.</w:t>
      </w:r>
    </w:p>
  </w:footnote>
  <w:footnote w:id="836">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w:t>
      </w:r>
      <w:r w:rsidRPr="00856315">
        <w:rPr>
          <w:rFonts w:ascii="Times New Roman" w:hAnsi="Times New Roman" w:cs="Times New Roman"/>
        </w:rPr>
        <w:t xml:space="preserve">Hearing Transcript at Vol. VII, pp. 1739-64; 2054-2060.  </w:t>
      </w:r>
    </w:p>
  </w:footnote>
  <w:footnote w:id="837">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1787:8-11.</w:t>
      </w:r>
    </w:p>
  </w:footnote>
  <w:footnote w:id="838">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 xml:space="preserve">See id. </w:t>
      </w:r>
      <w:r w:rsidRPr="00856315">
        <w:rPr>
          <w:rFonts w:ascii="Times New Roman" w:hAnsi="Times New Roman" w:cs="Times New Roman"/>
        </w:rPr>
        <w:t>at p. 1936:13-25.</w:t>
      </w:r>
    </w:p>
  </w:footnote>
  <w:footnote w:id="839">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Pr>
          <w:rFonts w:ascii="Times New Roman" w:hAnsi="Times New Roman" w:cs="Times New Roman"/>
        </w:rPr>
        <w:t>R.C.</w:t>
      </w:r>
      <w:r w:rsidRPr="00856315">
        <w:rPr>
          <w:rFonts w:ascii="Times New Roman" w:hAnsi="Times New Roman" w:cs="Times New Roman"/>
        </w:rPr>
        <w:t xml:space="preserve"> 4928.02(H).</w:t>
      </w:r>
    </w:p>
  </w:footnote>
  <w:footnote w:id="840">
    <w:p w:rsidR="0020495B" w:rsidRPr="00B763B7" w:rsidRDefault="0020495B" w:rsidP="00B763B7">
      <w:pPr>
        <w:pStyle w:val="FootnoteText"/>
        <w:spacing w:after="120"/>
        <w:rPr>
          <w:rFonts w:ascii="Times New Roman" w:hAnsi="Times New Roman" w:cs="Times New Roman"/>
        </w:rPr>
      </w:pPr>
      <w:r>
        <w:rPr>
          <w:rStyle w:val="FootnoteReference"/>
        </w:rPr>
        <w:footnoteRef/>
      </w:r>
      <w:r>
        <w:t xml:space="preserve"> </w:t>
      </w:r>
      <w:r>
        <w:rPr>
          <w:rFonts w:ascii="Times New Roman" w:hAnsi="Times New Roman" w:cs="Times New Roman"/>
        </w:rPr>
        <w:t>R.C. 4928.38.</w:t>
      </w:r>
    </w:p>
  </w:footnote>
  <w:footnote w:id="841">
    <w:p w:rsidR="0020495B" w:rsidRPr="00856315" w:rsidRDefault="0020495B" w:rsidP="00B763B7">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See Electric Power Supply Assoc., et al. v. AEP Generation Resources, Inc.</w:t>
      </w:r>
      <w:r w:rsidRPr="00856315">
        <w:rPr>
          <w:rFonts w:ascii="Times New Roman" w:hAnsi="Times New Roman" w:cs="Times New Roman"/>
        </w:rPr>
        <w:t xml:space="preserve">, EL16-33-000, Notice of Complaint (January 28, 2016); </w:t>
      </w:r>
      <w:r w:rsidRPr="00856315">
        <w:rPr>
          <w:rFonts w:ascii="Times New Roman" w:hAnsi="Times New Roman" w:cs="Times New Roman"/>
          <w:i/>
        </w:rPr>
        <w:t>see also</w:t>
      </w:r>
      <w:r w:rsidRPr="00856315">
        <w:rPr>
          <w:rFonts w:ascii="Times New Roman" w:hAnsi="Times New Roman" w:cs="Times New Roman"/>
        </w:rPr>
        <w:t xml:space="preserve"> </w:t>
      </w:r>
      <w:r w:rsidRPr="00856315">
        <w:rPr>
          <w:rFonts w:ascii="Times New Roman" w:hAnsi="Times New Roman" w:cs="Times New Roman"/>
          <w:i/>
        </w:rPr>
        <w:t xml:space="preserve">Electric Power Supply Association v. FirstEnergy Solutions, Corporation, </w:t>
      </w:r>
      <w:r w:rsidRPr="00856315">
        <w:rPr>
          <w:rFonts w:ascii="Times New Roman" w:hAnsi="Times New Roman" w:cs="Times New Roman"/>
        </w:rPr>
        <w:t>FERC EL16-34-000, Notice of Complaint (January 28, 2016).</w:t>
      </w:r>
    </w:p>
  </w:footnote>
  <w:footnote w:id="842">
    <w:p w:rsidR="0020495B" w:rsidRPr="00856315" w:rsidRDefault="0020495B" w:rsidP="00856315">
      <w:pPr>
        <w:pStyle w:val="FootnoteText"/>
        <w:spacing w:after="120"/>
        <w:rPr>
          <w:rFonts w:ascii="Times New Roman" w:hAnsi="Times New Roman" w:cs="Times New Roman"/>
        </w:rPr>
      </w:pPr>
      <w:r w:rsidRPr="00856315">
        <w:rPr>
          <w:rStyle w:val="FootnoteReference"/>
          <w:rFonts w:ascii="Times New Roman" w:hAnsi="Times New Roman" w:cs="Times New Roman"/>
        </w:rPr>
        <w:footnoteRef/>
      </w:r>
      <w:r w:rsidRPr="00856315">
        <w:rPr>
          <w:rFonts w:ascii="Times New Roman" w:hAnsi="Times New Roman" w:cs="Times New Roman"/>
        </w:rPr>
        <w:t xml:space="preserve"> </w:t>
      </w:r>
      <w:r w:rsidRPr="00856315">
        <w:rPr>
          <w:rFonts w:ascii="Times New Roman" w:hAnsi="Times New Roman" w:cs="Times New Roman"/>
          <w:i/>
        </w:rPr>
        <w:t>In the Matter of the Application of Columbus Southern Power Company and Ohio Power Company for Authority to Recover Costs Associated with the Ultimate Construction and Operation of an Integrated Gasification Combined Cycle Electric Generation Facility</w:t>
      </w:r>
      <w:r w:rsidRPr="00856315">
        <w:rPr>
          <w:rFonts w:ascii="Times New Roman" w:hAnsi="Times New Roman" w:cs="Times New Roman"/>
        </w:rPr>
        <w:t>, Case No. 05-376-EL-UNC, Order on Remand at 12 (Feb. 11, 2015).</w:t>
      </w:r>
    </w:p>
    <w:p w:rsidR="0020495B" w:rsidRPr="00856315" w:rsidRDefault="0020495B" w:rsidP="00856315">
      <w:pPr>
        <w:pStyle w:val="FootnoteText"/>
        <w:spacing w:after="120"/>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F2" w:rsidRDefault="00711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95B" w:rsidRDefault="0020495B">
    <w:pPr>
      <w:pStyle w:val="Header"/>
      <w:jc w:val="center"/>
    </w:pPr>
  </w:p>
  <w:p w:rsidR="0020495B" w:rsidRDefault="002049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F2" w:rsidRDefault="007110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95B" w:rsidRDefault="0020495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95B" w:rsidRDefault="002049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23E7FD8"/>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4CB41042"/>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3E221F18"/>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F986226"/>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32182A34"/>
    <w:lvl w:ilvl="0">
      <w:start w:val="1"/>
      <w:numFmt w:val="bullet"/>
      <w:lvlText w:val=""/>
      <w:lvlJc w:val="left"/>
      <w:pPr>
        <w:tabs>
          <w:tab w:val="num" w:pos="360"/>
        </w:tabs>
        <w:ind w:left="360" w:hanging="360"/>
      </w:pPr>
      <w:rPr>
        <w:rFonts w:ascii="Symbol" w:hAnsi="Symbol" w:hint="default"/>
      </w:rPr>
    </w:lvl>
  </w:abstractNum>
  <w:abstractNum w:abstractNumId="5">
    <w:nsid w:val="012C35CA"/>
    <w:multiLevelType w:val="hybridMultilevel"/>
    <w:tmpl w:val="B6C2D678"/>
    <w:lvl w:ilvl="0" w:tplc="C908DA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3F57518"/>
    <w:multiLevelType w:val="hybridMultilevel"/>
    <w:tmpl w:val="A63613D2"/>
    <w:lvl w:ilvl="0" w:tplc="32DCA9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09D909D8"/>
    <w:multiLevelType w:val="hybridMultilevel"/>
    <w:tmpl w:val="292E53AE"/>
    <w:lvl w:ilvl="0" w:tplc="C466F6E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nsid w:val="25A562EE"/>
    <w:multiLevelType w:val="hybridMultilevel"/>
    <w:tmpl w:val="7EBC65E2"/>
    <w:lvl w:ilvl="0" w:tplc="1B3C209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A827BA"/>
    <w:multiLevelType w:val="hybridMultilevel"/>
    <w:tmpl w:val="5B22C48C"/>
    <w:lvl w:ilvl="0" w:tplc="E2B4BE26">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186F10"/>
    <w:multiLevelType w:val="hybridMultilevel"/>
    <w:tmpl w:val="1D8E18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8A75D0"/>
    <w:multiLevelType w:val="hybridMultilevel"/>
    <w:tmpl w:val="325A1BB2"/>
    <w:lvl w:ilvl="0" w:tplc="CC7C467A">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nsid w:val="43443B9F"/>
    <w:multiLevelType w:val="hybridMultilevel"/>
    <w:tmpl w:val="E3560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3915400"/>
    <w:multiLevelType w:val="hybridMultilevel"/>
    <w:tmpl w:val="2362C412"/>
    <w:lvl w:ilvl="0" w:tplc="D114925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47AB208B"/>
    <w:multiLevelType w:val="hybridMultilevel"/>
    <w:tmpl w:val="1A2457B2"/>
    <w:lvl w:ilvl="0" w:tplc="76CCDF96">
      <w:start w:val="1"/>
      <w:numFmt w:val="decimal"/>
      <w:lvlText w:val="%1."/>
      <w:lvlJc w:val="left"/>
      <w:pPr>
        <w:ind w:left="2520" w:hanging="360"/>
      </w:pPr>
      <w:rPr>
        <w:rFonts w:ascii="Times New Roman Bold" w:eastAsiaTheme="majorEastAsia" w:hAnsi="Times New Roman Bold"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35528FC"/>
    <w:multiLevelType w:val="hybridMultilevel"/>
    <w:tmpl w:val="66764436"/>
    <w:lvl w:ilvl="0" w:tplc="511284C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5B13F83"/>
    <w:multiLevelType w:val="hybridMultilevel"/>
    <w:tmpl w:val="F7FE8A88"/>
    <w:lvl w:ilvl="0" w:tplc="639E3852">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nsid w:val="57D72380"/>
    <w:multiLevelType w:val="hybridMultilevel"/>
    <w:tmpl w:val="D0F87632"/>
    <w:lvl w:ilvl="0" w:tplc="B642870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625C2347"/>
    <w:multiLevelType w:val="hybridMultilevel"/>
    <w:tmpl w:val="F6DC2254"/>
    <w:lvl w:ilvl="0" w:tplc="DF263D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9150DE"/>
    <w:multiLevelType w:val="hybridMultilevel"/>
    <w:tmpl w:val="6298CDB2"/>
    <w:lvl w:ilvl="0" w:tplc="DB7E31E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nsid w:val="664F2DB0"/>
    <w:multiLevelType w:val="hybridMultilevel"/>
    <w:tmpl w:val="03FE8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D423BC5"/>
    <w:multiLevelType w:val="hybridMultilevel"/>
    <w:tmpl w:val="6116F390"/>
    <w:lvl w:ilvl="0" w:tplc="63AAEE9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6F3D4C58"/>
    <w:multiLevelType w:val="hybridMultilevel"/>
    <w:tmpl w:val="3768121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3">
    <w:nsid w:val="76DD4997"/>
    <w:multiLevelType w:val="hybridMultilevel"/>
    <w:tmpl w:val="BD446C16"/>
    <w:lvl w:ilvl="0" w:tplc="0A7479F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2"/>
  </w:num>
  <w:num w:numId="2">
    <w:abstractNumId w:val="20"/>
  </w:num>
  <w:num w:numId="3">
    <w:abstractNumId w:val="17"/>
  </w:num>
  <w:num w:numId="4">
    <w:abstractNumId w:val="14"/>
  </w:num>
  <w:num w:numId="5">
    <w:abstractNumId w:val="13"/>
  </w:num>
  <w:num w:numId="6">
    <w:abstractNumId w:val="23"/>
  </w:num>
  <w:num w:numId="7">
    <w:abstractNumId w:val="19"/>
  </w:num>
  <w:num w:numId="8">
    <w:abstractNumId w:val="8"/>
  </w:num>
  <w:num w:numId="9">
    <w:abstractNumId w:val="9"/>
  </w:num>
  <w:num w:numId="10">
    <w:abstractNumId w:val="5"/>
  </w:num>
  <w:num w:numId="11">
    <w:abstractNumId w:val="22"/>
  </w:num>
  <w:num w:numId="12">
    <w:abstractNumId w:val="10"/>
  </w:num>
  <w:num w:numId="13">
    <w:abstractNumId w:val="6"/>
  </w:num>
  <w:num w:numId="14">
    <w:abstractNumId w:val="15"/>
  </w:num>
  <w:num w:numId="15">
    <w:abstractNumId w:val="7"/>
  </w:num>
  <w:num w:numId="16">
    <w:abstractNumId w:val="16"/>
  </w:num>
  <w:num w:numId="17">
    <w:abstractNumId w:val="11"/>
  </w:num>
  <w:num w:numId="18">
    <w:abstractNumId w:val="21"/>
  </w:num>
  <w:num w:numId="19">
    <w:abstractNumId w:val="4"/>
  </w:num>
  <w:num w:numId="20">
    <w:abstractNumId w:val="3"/>
  </w:num>
  <w:num w:numId="21">
    <w:abstractNumId w:val="2"/>
  </w:num>
  <w:num w:numId="22">
    <w:abstractNumId w:val="1"/>
  </w:num>
  <w:num w:numId="23">
    <w:abstractNumId w:val="0"/>
  </w:num>
  <w:num w:numId="2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B3"/>
    <w:rsid w:val="00002DD7"/>
    <w:rsid w:val="00004EF3"/>
    <w:rsid w:val="00005F6E"/>
    <w:rsid w:val="00015688"/>
    <w:rsid w:val="0001687C"/>
    <w:rsid w:val="0001699E"/>
    <w:rsid w:val="000203D7"/>
    <w:rsid w:val="00020AF0"/>
    <w:rsid w:val="00024CAD"/>
    <w:rsid w:val="00026858"/>
    <w:rsid w:val="00027061"/>
    <w:rsid w:val="00030E5A"/>
    <w:rsid w:val="0003180C"/>
    <w:rsid w:val="00031C37"/>
    <w:rsid w:val="00031DA4"/>
    <w:rsid w:val="000322AF"/>
    <w:rsid w:val="0003244E"/>
    <w:rsid w:val="00033474"/>
    <w:rsid w:val="00033E6A"/>
    <w:rsid w:val="00034B2E"/>
    <w:rsid w:val="00034FC7"/>
    <w:rsid w:val="0003548F"/>
    <w:rsid w:val="00043308"/>
    <w:rsid w:val="00043FC6"/>
    <w:rsid w:val="000467AB"/>
    <w:rsid w:val="00054CAA"/>
    <w:rsid w:val="00055E90"/>
    <w:rsid w:val="000560B5"/>
    <w:rsid w:val="0005787A"/>
    <w:rsid w:val="000603B9"/>
    <w:rsid w:val="00061384"/>
    <w:rsid w:val="00062AF7"/>
    <w:rsid w:val="00063A49"/>
    <w:rsid w:val="00063FFE"/>
    <w:rsid w:val="00066165"/>
    <w:rsid w:val="0007392E"/>
    <w:rsid w:val="000739AE"/>
    <w:rsid w:val="00081CC7"/>
    <w:rsid w:val="00081EBB"/>
    <w:rsid w:val="000821A7"/>
    <w:rsid w:val="000856AA"/>
    <w:rsid w:val="00091835"/>
    <w:rsid w:val="0009445F"/>
    <w:rsid w:val="000A000D"/>
    <w:rsid w:val="000A0A44"/>
    <w:rsid w:val="000A36E8"/>
    <w:rsid w:val="000A698D"/>
    <w:rsid w:val="000B33D1"/>
    <w:rsid w:val="000B518B"/>
    <w:rsid w:val="000B73A3"/>
    <w:rsid w:val="000C18BA"/>
    <w:rsid w:val="000C6CFB"/>
    <w:rsid w:val="000D2BBE"/>
    <w:rsid w:val="000D55F7"/>
    <w:rsid w:val="000D5D69"/>
    <w:rsid w:val="000E46CF"/>
    <w:rsid w:val="000E59DD"/>
    <w:rsid w:val="000E5DB5"/>
    <w:rsid w:val="000E6C22"/>
    <w:rsid w:val="000E7048"/>
    <w:rsid w:val="000F0FCD"/>
    <w:rsid w:val="00100845"/>
    <w:rsid w:val="00100EA4"/>
    <w:rsid w:val="00102975"/>
    <w:rsid w:val="00105C06"/>
    <w:rsid w:val="001078D5"/>
    <w:rsid w:val="001136B4"/>
    <w:rsid w:val="00113933"/>
    <w:rsid w:val="00114248"/>
    <w:rsid w:val="00114487"/>
    <w:rsid w:val="00117162"/>
    <w:rsid w:val="00120072"/>
    <w:rsid w:val="001245F6"/>
    <w:rsid w:val="00124C12"/>
    <w:rsid w:val="00124FCE"/>
    <w:rsid w:val="0012503D"/>
    <w:rsid w:val="001301B8"/>
    <w:rsid w:val="00130FD0"/>
    <w:rsid w:val="001342DA"/>
    <w:rsid w:val="0013749F"/>
    <w:rsid w:val="00137865"/>
    <w:rsid w:val="00144044"/>
    <w:rsid w:val="0014627D"/>
    <w:rsid w:val="00147BC4"/>
    <w:rsid w:val="00151E60"/>
    <w:rsid w:val="00152619"/>
    <w:rsid w:val="0015288E"/>
    <w:rsid w:val="00153CDF"/>
    <w:rsid w:val="00153ED7"/>
    <w:rsid w:val="00155359"/>
    <w:rsid w:val="00156F20"/>
    <w:rsid w:val="00161191"/>
    <w:rsid w:val="00161986"/>
    <w:rsid w:val="00161B77"/>
    <w:rsid w:val="001627C8"/>
    <w:rsid w:val="00165F76"/>
    <w:rsid w:val="00167B9B"/>
    <w:rsid w:val="001714F9"/>
    <w:rsid w:val="001715A0"/>
    <w:rsid w:val="00176F14"/>
    <w:rsid w:val="00176F22"/>
    <w:rsid w:val="0018261C"/>
    <w:rsid w:val="00183F67"/>
    <w:rsid w:val="00183FAF"/>
    <w:rsid w:val="001864B4"/>
    <w:rsid w:val="00190FE1"/>
    <w:rsid w:val="001916DC"/>
    <w:rsid w:val="00192D7E"/>
    <w:rsid w:val="001941E5"/>
    <w:rsid w:val="0019498E"/>
    <w:rsid w:val="00194B13"/>
    <w:rsid w:val="001A0A37"/>
    <w:rsid w:val="001A2536"/>
    <w:rsid w:val="001A3BBF"/>
    <w:rsid w:val="001A5334"/>
    <w:rsid w:val="001A6787"/>
    <w:rsid w:val="001B29E8"/>
    <w:rsid w:val="001C2E4A"/>
    <w:rsid w:val="001D0D99"/>
    <w:rsid w:val="001D2045"/>
    <w:rsid w:val="001D77BB"/>
    <w:rsid w:val="001E076E"/>
    <w:rsid w:val="001E1562"/>
    <w:rsid w:val="001E237E"/>
    <w:rsid w:val="001F0053"/>
    <w:rsid w:val="001F0B33"/>
    <w:rsid w:val="001F20A5"/>
    <w:rsid w:val="001F2C1A"/>
    <w:rsid w:val="001F57B4"/>
    <w:rsid w:val="001F7957"/>
    <w:rsid w:val="0020192B"/>
    <w:rsid w:val="0020495B"/>
    <w:rsid w:val="002058F5"/>
    <w:rsid w:val="00205FD8"/>
    <w:rsid w:val="002101EB"/>
    <w:rsid w:val="0021094B"/>
    <w:rsid w:val="0021140F"/>
    <w:rsid w:val="00211CAA"/>
    <w:rsid w:val="0021405A"/>
    <w:rsid w:val="002142DB"/>
    <w:rsid w:val="002151ED"/>
    <w:rsid w:val="00215DC9"/>
    <w:rsid w:val="00222729"/>
    <w:rsid w:val="002253DD"/>
    <w:rsid w:val="002258BA"/>
    <w:rsid w:val="00235743"/>
    <w:rsid w:val="00235C3B"/>
    <w:rsid w:val="00235C56"/>
    <w:rsid w:val="002406FE"/>
    <w:rsid w:val="00241333"/>
    <w:rsid w:val="002424EE"/>
    <w:rsid w:val="002468F2"/>
    <w:rsid w:val="002579E1"/>
    <w:rsid w:val="00260C55"/>
    <w:rsid w:val="00262B1F"/>
    <w:rsid w:val="0026305C"/>
    <w:rsid w:val="00264B33"/>
    <w:rsid w:val="00264E3C"/>
    <w:rsid w:val="00266070"/>
    <w:rsid w:val="00272897"/>
    <w:rsid w:val="002740CC"/>
    <w:rsid w:val="00274D47"/>
    <w:rsid w:val="002764E9"/>
    <w:rsid w:val="00280E01"/>
    <w:rsid w:val="00281336"/>
    <w:rsid w:val="00283B0B"/>
    <w:rsid w:val="002842EF"/>
    <w:rsid w:val="0028529B"/>
    <w:rsid w:val="002863A0"/>
    <w:rsid w:val="00286645"/>
    <w:rsid w:val="002A253C"/>
    <w:rsid w:val="002A46DE"/>
    <w:rsid w:val="002B027F"/>
    <w:rsid w:val="002B0429"/>
    <w:rsid w:val="002B2837"/>
    <w:rsid w:val="002B33E8"/>
    <w:rsid w:val="002B3E3F"/>
    <w:rsid w:val="002B728C"/>
    <w:rsid w:val="002B7ED7"/>
    <w:rsid w:val="002C2314"/>
    <w:rsid w:val="002C241C"/>
    <w:rsid w:val="002C332F"/>
    <w:rsid w:val="002C3AE1"/>
    <w:rsid w:val="002C3C29"/>
    <w:rsid w:val="002C78E0"/>
    <w:rsid w:val="002D0C47"/>
    <w:rsid w:val="002D0CC8"/>
    <w:rsid w:val="002D40D0"/>
    <w:rsid w:val="002E02F4"/>
    <w:rsid w:val="002E1C0A"/>
    <w:rsid w:val="002E57F2"/>
    <w:rsid w:val="002E6FEA"/>
    <w:rsid w:val="002E72B1"/>
    <w:rsid w:val="002E75F4"/>
    <w:rsid w:val="002F19E5"/>
    <w:rsid w:val="002F3B89"/>
    <w:rsid w:val="002F3BC6"/>
    <w:rsid w:val="002F6D49"/>
    <w:rsid w:val="00302146"/>
    <w:rsid w:val="003023F5"/>
    <w:rsid w:val="003035C8"/>
    <w:rsid w:val="003059F8"/>
    <w:rsid w:val="00310B32"/>
    <w:rsid w:val="00310FFC"/>
    <w:rsid w:val="00313082"/>
    <w:rsid w:val="003137FA"/>
    <w:rsid w:val="00314C57"/>
    <w:rsid w:val="00316B0F"/>
    <w:rsid w:val="003177B0"/>
    <w:rsid w:val="0032705F"/>
    <w:rsid w:val="00331613"/>
    <w:rsid w:val="003331ED"/>
    <w:rsid w:val="00336B26"/>
    <w:rsid w:val="0033749E"/>
    <w:rsid w:val="00340669"/>
    <w:rsid w:val="00346241"/>
    <w:rsid w:val="003462C0"/>
    <w:rsid w:val="00352C95"/>
    <w:rsid w:val="0035390B"/>
    <w:rsid w:val="00354952"/>
    <w:rsid w:val="00356057"/>
    <w:rsid w:val="0035653D"/>
    <w:rsid w:val="003565DE"/>
    <w:rsid w:val="00357816"/>
    <w:rsid w:val="0036344E"/>
    <w:rsid w:val="00363559"/>
    <w:rsid w:val="00363B61"/>
    <w:rsid w:val="00365B47"/>
    <w:rsid w:val="00367855"/>
    <w:rsid w:val="003711D1"/>
    <w:rsid w:val="00371236"/>
    <w:rsid w:val="00374987"/>
    <w:rsid w:val="00376C37"/>
    <w:rsid w:val="0037702E"/>
    <w:rsid w:val="00380F28"/>
    <w:rsid w:val="00382453"/>
    <w:rsid w:val="00382B75"/>
    <w:rsid w:val="00382CD7"/>
    <w:rsid w:val="00384C6A"/>
    <w:rsid w:val="00385852"/>
    <w:rsid w:val="00387302"/>
    <w:rsid w:val="00387818"/>
    <w:rsid w:val="00390AD5"/>
    <w:rsid w:val="003925CD"/>
    <w:rsid w:val="0039332A"/>
    <w:rsid w:val="003A450A"/>
    <w:rsid w:val="003A47E3"/>
    <w:rsid w:val="003A511B"/>
    <w:rsid w:val="003A6B1F"/>
    <w:rsid w:val="003A7F2E"/>
    <w:rsid w:val="003B2716"/>
    <w:rsid w:val="003B569D"/>
    <w:rsid w:val="003C1ECF"/>
    <w:rsid w:val="003C5BF4"/>
    <w:rsid w:val="003C7E26"/>
    <w:rsid w:val="003D0374"/>
    <w:rsid w:val="003D2636"/>
    <w:rsid w:val="003D38C3"/>
    <w:rsid w:val="003D3C97"/>
    <w:rsid w:val="003D53BD"/>
    <w:rsid w:val="003E2433"/>
    <w:rsid w:val="003E250E"/>
    <w:rsid w:val="003E40F4"/>
    <w:rsid w:val="003F0FD5"/>
    <w:rsid w:val="003F176A"/>
    <w:rsid w:val="003F19C5"/>
    <w:rsid w:val="003F1A46"/>
    <w:rsid w:val="003F1D5A"/>
    <w:rsid w:val="003F3C37"/>
    <w:rsid w:val="003F4403"/>
    <w:rsid w:val="003F49BD"/>
    <w:rsid w:val="003F525C"/>
    <w:rsid w:val="003F6CA2"/>
    <w:rsid w:val="004027F2"/>
    <w:rsid w:val="0040636B"/>
    <w:rsid w:val="00406929"/>
    <w:rsid w:val="00406B44"/>
    <w:rsid w:val="004201B3"/>
    <w:rsid w:val="004220F9"/>
    <w:rsid w:val="00422378"/>
    <w:rsid w:val="00422A7A"/>
    <w:rsid w:val="00423C52"/>
    <w:rsid w:val="00431103"/>
    <w:rsid w:val="00432D13"/>
    <w:rsid w:val="00433C5D"/>
    <w:rsid w:val="0043455F"/>
    <w:rsid w:val="00434A95"/>
    <w:rsid w:val="00435ECA"/>
    <w:rsid w:val="0043612C"/>
    <w:rsid w:val="00437EAF"/>
    <w:rsid w:val="00441CAD"/>
    <w:rsid w:val="00442694"/>
    <w:rsid w:val="00442F76"/>
    <w:rsid w:val="004442BC"/>
    <w:rsid w:val="00445A9D"/>
    <w:rsid w:val="00445BA1"/>
    <w:rsid w:val="00447E90"/>
    <w:rsid w:val="00456102"/>
    <w:rsid w:val="00456A96"/>
    <w:rsid w:val="004618B0"/>
    <w:rsid w:val="004620C7"/>
    <w:rsid w:val="00462316"/>
    <w:rsid w:val="00463A3D"/>
    <w:rsid w:val="00463F93"/>
    <w:rsid w:val="00463FC1"/>
    <w:rsid w:val="00464689"/>
    <w:rsid w:val="004671C8"/>
    <w:rsid w:val="0047225D"/>
    <w:rsid w:val="004750AB"/>
    <w:rsid w:val="004756A6"/>
    <w:rsid w:val="0047778E"/>
    <w:rsid w:val="00477F2A"/>
    <w:rsid w:val="00480299"/>
    <w:rsid w:val="0048238B"/>
    <w:rsid w:val="004831DC"/>
    <w:rsid w:val="004900D9"/>
    <w:rsid w:val="004928C0"/>
    <w:rsid w:val="00493FF8"/>
    <w:rsid w:val="00496582"/>
    <w:rsid w:val="004A0146"/>
    <w:rsid w:val="004A0C90"/>
    <w:rsid w:val="004A10C0"/>
    <w:rsid w:val="004A19D6"/>
    <w:rsid w:val="004A1CBC"/>
    <w:rsid w:val="004A598F"/>
    <w:rsid w:val="004A5B20"/>
    <w:rsid w:val="004A5F54"/>
    <w:rsid w:val="004B21A6"/>
    <w:rsid w:val="004B358D"/>
    <w:rsid w:val="004B49C5"/>
    <w:rsid w:val="004B5AC8"/>
    <w:rsid w:val="004B6294"/>
    <w:rsid w:val="004C0818"/>
    <w:rsid w:val="004C49CB"/>
    <w:rsid w:val="004C4C2C"/>
    <w:rsid w:val="004C6AA6"/>
    <w:rsid w:val="004D0000"/>
    <w:rsid w:val="004D421C"/>
    <w:rsid w:val="004D59B5"/>
    <w:rsid w:val="004D66AC"/>
    <w:rsid w:val="004E35BA"/>
    <w:rsid w:val="004E4E11"/>
    <w:rsid w:val="004E6BD9"/>
    <w:rsid w:val="004F3211"/>
    <w:rsid w:val="004F3D69"/>
    <w:rsid w:val="004F3EBE"/>
    <w:rsid w:val="004F6565"/>
    <w:rsid w:val="004F7B70"/>
    <w:rsid w:val="0050275E"/>
    <w:rsid w:val="00504E31"/>
    <w:rsid w:val="00505690"/>
    <w:rsid w:val="0050784B"/>
    <w:rsid w:val="00513C0B"/>
    <w:rsid w:val="005152E4"/>
    <w:rsid w:val="0051561D"/>
    <w:rsid w:val="005214D9"/>
    <w:rsid w:val="00522017"/>
    <w:rsid w:val="0052308A"/>
    <w:rsid w:val="00526357"/>
    <w:rsid w:val="00526B77"/>
    <w:rsid w:val="00526BFE"/>
    <w:rsid w:val="00530051"/>
    <w:rsid w:val="00530FFC"/>
    <w:rsid w:val="0054076F"/>
    <w:rsid w:val="00541630"/>
    <w:rsid w:val="00542EB9"/>
    <w:rsid w:val="00543E0B"/>
    <w:rsid w:val="005440CE"/>
    <w:rsid w:val="00545138"/>
    <w:rsid w:val="00546401"/>
    <w:rsid w:val="00551468"/>
    <w:rsid w:val="00554D60"/>
    <w:rsid w:val="00561366"/>
    <w:rsid w:val="00563F16"/>
    <w:rsid w:val="00565D33"/>
    <w:rsid w:val="00565E19"/>
    <w:rsid w:val="00567F3B"/>
    <w:rsid w:val="00570F8D"/>
    <w:rsid w:val="005723C9"/>
    <w:rsid w:val="005726D6"/>
    <w:rsid w:val="00573E04"/>
    <w:rsid w:val="005824F4"/>
    <w:rsid w:val="00583FFE"/>
    <w:rsid w:val="005863AA"/>
    <w:rsid w:val="00586495"/>
    <w:rsid w:val="00587D71"/>
    <w:rsid w:val="00593F0B"/>
    <w:rsid w:val="00594264"/>
    <w:rsid w:val="005A2920"/>
    <w:rsid w:val="005A3CE5"/>
    <w:rsid w:val="005A4AF0"/>
    <w:rsid w:val="005A72B0"/>
    <w:rsid w:val="005A7B6C"/>
    <w:rsid w:val="005B28C6"/>
    <w:rsid w:val="005B2A32"/>
    <w:rsid w:val="005B3227"/>
    <w:rsid w:val="005B3B67"/>
    <w:rsid w:val="005B5315"/>
    <w:rsid w:val="005C179C"/>
    <w:rsid w:val="005C2FD9"/>
    <w:rsid w:val="005C3DC7"/>
    <w:rsid w:val="005C56FF"/>
    <w:rsid w:val="005D0105"/>
    <w:rsid w:val="005D12EF"/>
    <w:rsid w:val="005D1DFB"/>
    <w:rsid w:val="005D68BC"/>
    <w:rsid w:val="005E2DA6"/>
    <w:rsid w:val="005E2FC2"/>
    <w:rsid w:val="005E6EA6"/>
    <w:rsid w:val="005E7676"/>
    <w:rsid w:val="005F22CF"/>
    <w:rsid w:val="005F3962"/>
    <w:rsid w:val="005F715F"/>
    <w:rsid w:val="00607CDA"/>
    <w:rsid w:val="00607DD4"/>
    <w:rsid w:val="00613394"/>
    <w:rsid w:val="00613BA2"/>
    <w:rsid w:val="0061518F"/>
    <w:rsid w:val="006174B3"/>
    <w:rsid w:val="00617565"/>
    <w:rsid w:val="0062129D"/>
    <w:rsid w:val="00634B9F"/>
    <w:rsid w:val="00634D18"/>
    <w:rsid w:val="00636B4D"/>
    <w:rsid w:val="00640640"/>
    <w:rsid w:val="0064097A"/>
    <w:rsid w:val="0064262A"/>
    <w:rsid w:val="00647BA3"/>
    <w:rsid w:val="00650984"/>
    <w:rsid w:val="006526F4"/>
    <w:rsid w:val="00655826"/>
    <w:rsid w:val="00660984"/>
    <w:rsid w:val="00660B4A"/>
    <w:rsid w:val="0066217D"/>
    <w:rsid w:val="006643C3"/>
    <w:rsid w:val="00664A8D"/>
    <w:rsid w:val="00665FE8"/>
    <w:rsid w:val="006815E3"/>
    <w:rsid w:val="00681805"/>
    <w:rsid w:val="0068214B"/>
    <w:rsid w:val="006826F7"/>
    <w:rsid w:val="006834D0"/>
    <w:rsid w:val="006842A4"/>
    <w:rsid w:val="00684ADC"/>
    <w:rsid w:val="006853A1"/>
    <w:rsid w:val="00687692"/>
    <w:rsid w:val="00692754"/>
    <w:rsid w:val="00693904"/>
    <w:rsid w:val="00693C34"/>
    <w:rsid w:val="00694F39"/>
    <w:rsid w:val="00695844"/>
    <w:rsid w:val="006A0B34"/>
    <w:rsid w:val="006A14C2"/>
    <w:rsid w:val="006C1B41"/>
    <w:rsid w:val="006C36AC"/>
    <w:rsid w:val="006C3E11"/>
    <w:rsid w:val="006C4E00"/>
    <w:rsid w:val="006C4EBC"/>
    <w:rsid w:val="006C63C9"/>
    <w:rsid w:val="006C7120"/>
    <w:rsid w:val="006C74EF"/>
    <w:rsid w:val="006C7F3B"/>
    <w:rsid w:val="006D0023"/>
    <w:rsid w:val="006D415C"/>
    <w:rsid w:val="006D6252"/>
    <w:rsid w:val="006D703C"/>
    <w:rsid w:val="006E1E0F"/>
    <w:rsid w:val="006E7EDA"/>
    <w:rsid w:val="006F2692"/>
    <w:rsid w:val="006F2E2D"/>
    <w:rsid w:val="006F59F2"/>
    <w:rsid w:val="00703AC5"/>
    <w:rsid w:val="007040A2"/>
    <w:rsid w:val="00704A4C"/>
    <w:rsid w:val="00707C11"/>
    <w:rsid w:val="007102A0"/>
    <w:rsid w:val="007110F2"/>
    <w:rsid w:val="00715F36"/>
    <w:rsid w:val="00717FFE"/>
    <w:rsid w:val="00722769"/>
    <w:rsid w:val="007232E2"/>
    <w:rsid w:val="00723D8A"/>
    <w:rsid w:val="0072418C"/>
    <w:rsid w:val="00725458"/>
    <w:rsid w:val="00730306"/>
    <w:rsid w:val="0073251A"/>
    <w:rsid w:val="00732B81"/>
    <w:rsid w:val="00735BC3"/>
    <w:rsid w:val="00737B31"/>
    <w:rsid w:val="00741062"/>
    <w:rsid w:val="00742312"/>
    <w:rsid w:val="007456E4"/>
    <w:rsid w:val="00750A66"/>
    <w:rsid w:val="00751578"/>
    <w:rsid w:val="00751586"/>
    <w:rsid w:val="00751D9B"/>
    <w:rsid w:val="00754189"/>
    <w:rsid w:val="00754677"/>
    <w:rsid w:val="00764BD9"/>
    <w:rsid w:val="007672CB"/>
    <w:rsid w:val="00776348"/>
    <w:rsid w:val="007775BD"/>
    <w:rsid w:val="007806E9"/>
    <w:rsid w:val="00781E76"/>
    <w:rsid w:val="007820A1"/>
    <w:rsid w:val="00782E27"/>
    <w:rsid w:val="00783264"/>
    <w:rsid w:val="00785D35"/>
    <w:rsid w:val="007869DA"/>
    <w:rsid w:val="00792DD2"/>
    <w:rsid w:val="007942AF"/>
    <w:rsid w:val="007A0055"/>
    <w:rsid w:val="007A03C2"/>
    <w:rsid w:val="007A1B1A"/>
    <w:rsid w:val="007A48EA"/>
    <w:rsid w:val="007A7205"/>
    <w:rsid w:val="007A7CA5"/>
    <w:rsid w:val="007B1B35"/>
    <w:rsid w:val="007B31CB"/>
    <w:rsid w:val="007B443B"/>
    <w:rsid w:val="007B486D"/>
    <w:rsid w:val="007B62E9"/>
    <w:rsid w:val="007B6365"/>
    <w:rsid w:val="007B698F"/>
    <w:rsid w:val="007C0494"/>
    <w:rsid w:val="007C21B1"/>
    <w:rsid w:val="007C2E55"/>
    <w:rsid w:val="007C4838"/>
    <w:rsid w:val="007C4C5F"/>
    <w:rsid w:val="007C55BB"/>
    <w:rsid w:val="007D22BE"/>
    <w:rsid w:val="007D3E28"/>
    <w:rsid w:val="007D58F5"/>
    <w:rsid w:val="007D62E4"/>
    <w:rsid w:val="007D674E"/>
    <w:rsid w:val="007D7CEE"/>
    <w:rsid w:val="007E0099"/>
    <w:rsid w:val="007E1654"/>
    <w:rsid w:val="007E1B6E"/>
    <w:rsid w:val="007E4760"/>
    <w:rsid w:val="007E6A32"/>
    <w:rsid w:val="007E7CE8"/>
    <w:rsid w:val="007F0F7A"/>
    <w:rsid w:val="007F28A0"/>
    <w:rsid w:val="007F2EED"/>
    <w:rsid w:val="007F6261"/>
    <w:rsid w:val="0080416C"/>
    <w:rsid w:val="008102BF"/>
    <w:rsid w:val="0081081C"/>
    <w:rsid w:val="00812406"/>
    <w:rsid w:val="0081245A"/>
    <w:rsid w:val="008137BB"/>
    <w:rsid w:val="00813E2F"/>
    <w:rsid w:val="008148CC"/>
    <w:rsid w:val="00814F86"/>
    <w:rsid w:val="0081545D"/>
    <w:rsid w:val="008156DA"/>
    <w:rsid w:val="00820174"/>
    <w:rsid w:val="008208D0"/>
    <w:rsid w:val="0082189A"/>
    <w:rsid w:val="008246D6"/>
    <w:rsid w:val="00834841"/>
    <w:rsid w:val="0083576B"/>
    <w:rsid w:val="0084175D"/>
    <w:rsid w:val="00841C94"/>
    <w:rsid w:val="00842E63"/>
    <w:rsid w:val="00845451"/>
    <w:rsid w:val="0085172B"/>
    <w:rsid w:val="0085292A"/>
    <w:rsid w:val="00854F92"/>
    <w:rsid w:val="008557EB"/>
    <w:rsid w:val="00856315"/>
    <w:rsid w:val="00862CDA"/>
    <w:rsid w:val="00863DC0"/>
    <w:rsid w:val="00864CF9"/>
    <w:rsid w:val="00865A7C"/>
    <w:rsid w:val="00871255"/>
    <w:rsid w:val="00873041"/>
    <w:rsid w:val="00873919"/>
    <w:rsid w:val="00873D53"/>
    <w:rsid w:val="00875E64"/>
    <w:rsid w:val="00880F07"/>
    <w:rsid w:val="00886759"/>
    <w:rsid w:val="008901FF"/>
    <w:rsid w:val="008913D3"/>
    <w:rsid w:val="008922E0"/>
    <w:rsid w:val="00892D39"/>
    <w:rsid w:val="0089427E"/>
    <w:rsid w:val="008A17EB"/>
    <w:rsid w:val="008A2751"/>
    <w:rsid w:val="008A5172"/>
    <w:rsid w:val="008A5D90"/>
    <w:rsid w:val="008B0A69"/>
    <w:rsid w:val="008B1AE2"/>
    <w:rsid w:val="008B2D48"/>
    <w:rsid w:val="008B36E9"/>
    <w:rsid w:val="008C3F16"/>
    <w:rsid w:val="008C54B4"/>
    <w:rsid w:val="008D0DAE"/>
    <w:rsid w:val="008D4B95"/>
    <w:rsid w:val="008D5795"/>
    <w:rsid w:val="008E0D71"/>
    <w:rsid w:val="008E507D"/>
    <w:rsid w:val="008E5B8E"/>
    <w:rsid w:val="008F01E6"/>
    <w:rsid w:val="008F048C"/>
    <w:rsid w:val="008F3DA4"/>
    <w:rsid w:val="008F685C"/>
    <w:rsid w:val="008F6F7C"/>
    <w:rsid w:val="008F788E"/>
    <w:rsid w:val="008F79C9"/>
    <w:rsid w:val="009001D0"/>
    <w:rsid w:val="0090107E"/>
    <w:rsid w:val="009014B2"/>
    <w:rsid w:val="00901D03"/>
    <w:rsid w:val="00903611"/>
    <w:rsid w:val="00903726"/>
    <w:rsid w:val="009069B9"/>
    <w:rsid w:val="00906DB3"/>
    <w:rsid w:val="009070C2"/>
    <w:rsid w:val="00907350"/>
    <w:rsid w:val="00911022"/>
    <w:rsid w:val="00911D71"/>
    <w:rsid w:val="009121C7"/>
    <w:rsid w:val="0091685F"/>
    <w:rsid w:val="00917171"/>
    <w:rsid w:val="00920136"/>
    <w:rsid w:val="00922F1C"/>
    <w:rsid w:val="0092318F"/>
    <w:rsid w:val="00925BC1"/>
    <w:rsid w:val="00926ED7"/>
    <w:rsid w:val="00927274"/>
    <w:rsid w:val="00927488"/>
    <w:rsid w:val="00931095"/>
    <w:rsid w:val="009320CD"/>
    <w:rsid w:val="0093397C"/>
    <w:rsid w:val="00933C1F"/>
    <w:rsid w:val="00934B22"/>
    <w:rsid w:val="009361BA"/>
    <w:rsid w:val="00940E35"/>
    <w:rsid w:val="00940EFB"/>
    <w:rsid w:val="00941ED6"/>
    <w:rsid w:val="009427BA"/>
    <w:rsid w:val="009440F4"/>
    <w:rsid w:val="00944935"/>
    <w:rsid w:val="00944942"/>
    <w:rsid w:val="00945BB4"/>
    <w:rsid w:val="00946803"/>
    <w:rsid w:val="00951324"/>
    <w:rsid w:val="009541C9"/>
    <w:rsid w:val="00956C9E"/>
    <w:rsid w:val="00956CFC"/>
    <w:rsid w:val="009574B5"/>
    <w:rsid w:val="0096401E"/>
    <w:rsid w:val="00964859"/>
    <w:rsid w:val="00965423"/>
    <w:rsid w:val="00970C44"/>
    <w:rsid w:val="00970DDE"/>
    <w:rsid w:val="0097287E"/>
    <w:rsid w:val="00973A6C"/>
    <w:rsid w:val="00976B2A"/>
    <w:rsid w:val="00983524"/>
    <w:rsid w:val="00985C80"/>
    <w:rsid w:val="009868CC"/>
    <w:rsid w:val="00987E59"/>
    <w:rsid w:val="00991A3B"/>
    <w:rsid w:val="00991A7F"/>
    <w:rsid w:val="009922D8"/>
    <w:rsid w:val="009928B7"/>
    <w:rsid w:val="00994314"/>
    <w:rsid w:val="00996756"/>
    <w:rsid w:val="00997493"/>
    <w:rsid w:val="00997668"/>
    <w:rsid w:val="009A3219"/>
    <w:rsid w:val="009A3D5A"/>
    <w:rsid w:val="009A4464"/>
    <w:rsid w:val="009A4D03"/>
    <w:rsid w:val="009A50E6"/>
    <w:rsid w:val="009B1A26"/>
    <w:rsid w:val="009B1F15"/>
    <w:rsid w:val="009B2202"/>
    <w:rsid w:val="009B2891"/>
    <w:rsid w:val="009B397C"/>
    <w:rsid w:val="009C07E1"/>
    <w:rsid w:val="009C1DFB"/>
    <w:rsid w:val="009C39AB"/>
    <w:rsid w:val="009C4919"/>
    <w:rsid w:val="009C4A2B"/>
    <w:rsid w:val="009C4F9B"/>
    <w:rsid w:val="009C5026"/>
    <w:rsid w:val="009D07A4"/>
    <w:rsid w:val="009D375F"/>
    <w:rsid w:val="009D4A44"/>
    <w:rsid w:val="009D5B27"/>
    <w:rsid w:val="009D7820"/>
    <w:rsid w:val="009E1D8F"/>
    <w:rsid w:val="009E5504"/>
    <w:rsid w:val="009E6170"/>
    <w:rsid w:val="009E6730"/>
    <w:rsid w:val="009E7903"/>
    <w:rsid w:val="009F04E9"/>
    <w:rsid w:val="009F11E1"/>
    <w:rsid w:val="009F59F4"/>
    <w:rsid w:val="009F5A13"/>
    <w:rsid w:val="009F68B6"/>
    <w:rsid w:val="00A03295"/>
    <w:rsid w:val="00A05CD8"/>
    <w:rsid w:val="00A05FE1"/>
    <w:rsid w:val="00A0778C"/>
    <w:rsid w:val="00A07E85"/>
    <w:rsid w:val="00A1044D"/>
    <w:rsid w:val="00A114E3"/>
    <w:rsid w:val="00A11E25"/>
    <w:rsid w:val="00A126AA"/>
    <w:rsid w:val="00A1338D"/>
    <w:rsid w:val="00A1360A"/>
    <w:rsid w:val="00A148A8"/>
    <w:rsid w:val="00A166F8"/>
    <w:rsid w:val="00A227BB"/>
    <w:rsid w:val="00A240D9"/>
    <w:rsid w:val="00A2609E"/>
    <w:rsid w:val="00A31778"/>
    <w:rsid w:val="00A31BF4"/>
    <w:rsid w:val="00A35198"/>
    <w:rsid w:val="00A406C8"/>
    <w:rsid w:val="00A433F8"/>
    <w:rsid w:val="00A43E4E"/>
    <w:rsid w:val="00A44086"/>
    <w:rsid w:val="00A4438E"/>
    <w:rsid w:val="00A44C59"/>
    <w:rsid w:val="00A50D22"/>
    <w:rsid w:val="00A513AF"/>
    <w:rsid w:val="00A52DDC"/>
    <w:rsid w:val="00A53668"/>
    <w:rsid w:val="00A539B1"/>
    <w:rsid w:val="00A57413"/>
    <w:rsid w:val="00A60C9B"/>
    <w:rsid w:val="00A6167C"/>
    <w:rsid w:val="00A61887"/>
    <w:rsid w:val="00A62C57"/>
    <w:rsid w:val="00A6371D"/>
    <w:rsid w:val="00A67B5A"/>
    <w:rsid w:val="00A72469"/>
    <w:rsid w:val="00A7374B"/>
    <w:rsid w:val="00A7755A"/>
    <w:rsid w:val="00A82481"/>
    <w:rsid w:val="00A83F37"/>
    <w:rsid w:val="00A84578"/>
    <w:rsid w:val="00A8546E"/>
    <w:rsid w:val="00A86C3B"/>
    <w:rsid w:val="00A92E52"/>
    <w:rsid w:val="00A96062"/>
    <w:rsid w:val="00A96496"/>
    <w:rsid w:val="00AA2EA0"/>
    <w:rsid w:val="00AA2FFB"/>
    <w:rsid w:val="00AA342D"/>
    <w:rsid w:val="00AA3584"/>
    <w:rsid w:val="00AA6E6C"/>
    <w:rsid w:val="00AA7D85"/>
    <w:rsid w:val="00AB0594"/>
    <w:rsid w:val="00AB1176"/>
    <w:rsid w:val="00AB1DAF"/>
    <w:rsid w:val="00AB3F30"/>
    <w:rsid w:val="00AB59E8"/>
    <w:rsid w:val="00AB68EE"/>
    <w:rsid w:val="00AB6E95"/>
    <w:rsid w:val="00AB73BB"/>
    <w:rsid w:val="00AC0A89"/>
    <w:rsid w:val="00AC3945"/>
    <w:rsid w:val="00AC4BF4"/>
    <w:rsid w:val="00AC6B26"/>
    <w:rsid w:val="00AC6CA0"/>
    <w:rsid w:val="00AD0856"/>
    <w:rsid w:val="00AD0C34"/>
    <w:rsid w:val="00AD3AA8"/>
    <w:rsid w:val="00AD6522"/>
    <w:rsid w:val="00AD6A9A"/>
    <w:rsid w:val="00AD6CD9"/>
    <w:rsid w:val="00AE0A04"/>
    <w:rsid w:val="00AE41DD"/>
    <w:rsid w:val="00AE4AA0"/>
    <w:rsid w:val="00AE546D"/>
    <w:rsid w:val="00AE56FA"/>
    <w:rsid w:val="00AE7B1B"/>
    <w:rsid w:val="00AF0011"/>
    <w:rsid w:val="00AF23C5"/>
    <w:rsid w:val="00AF25EC"/>
    <w:rsid w:val="00AF2E61"/>
    <w:rsid w:val="00AF5B4B"/>
    <w:rsid w:val="00AF64A0"/>
    <w:rsid w:val="00AF66FC"/>
    <w:rsid w:val="00B03B3B"/>
    <w:rsid w:val="00B0509D"/>
    <w:rsid w:val="00B164DC"/>
    <w:rsid w:val="00B16CDC"/>
    <w:rsid w:val="00B234F2"/>
    <w:rsid w:val="00B259CE"/>
    <w:rsid w:val="00B26977"/>
    <w:rsid w:val="00B270B1"/>
    <w:rsid w:val="00B30BCA"/>
    <w:rsid w:val="00B31AE6"/>
    <w:rsid w:val="00B327A1"/>
    <w:rsid w:val="00B34067"/>
    <w:rsid w:val="00B35F74"/>
    <w:rsid w:val="00B36B93"/>
    <w:rsid w:val="00B36F4F"/>
    <w:rsid w:val="00B41775"/>
    <w:rsid w:val="00B4278B"/>
    <w:rsid w:val="00B4413C"/>
    <w:rsid w:val="00B458E1"/>
    <w:rsid w:val="00B50595"/>
    <w:rsid w:val="00B51AEC"/>
    <w:rsid w:val="00B564DC"/>
    <w:rsid w:val="00B57F5D"/>
    <w:rsid w:val="00B60D75"/>
    <w:rsid w:val="00B61DCF"/>
    <w:rsid w:val="00B6221B"/>
    <w:rsid w:val="00B637BB"/>
    <w:rsid w:val="00B63E76"/>
    <w:rsid w:val="00B738FF"/>
    <w:rsid w:val="00B74362"/>
    <w:rsid w:val="00B74ACB"/>
    <w:rsid w:val="00B763B7"/>
    <w:rsid w:val="00B7743E"/>
    <w:rsid w:val="00B77EF5"/>
    <w:rsid w:val="00B809D3"/>
    <w:rsid w:val="00B812E0"/>
    <w:rsid w:val="00B859F6"/>
    <w:rsid w:val="00B85BC4"/>
    <w:rsid w:val="00B8720E"/>
    <w:rsid w:val="00B87C50"/>
    <w:rsid w:val="00B90E32"/>
    <w:rsid w:val="00B913F6"/>
    <w:rsid w:val="00B9212A"/>
    <w:rsid w:val="00B94CEE"/>
    <w:rsid w:val="00B95ADE"/>
    <w:rsid w:val="00B96E69"/>
    <w:rsid w:val="00BA3BE0"/>
    <w:rsid w:val="00BA5B4A"/>
    <w:rsid w:val="00BA5F79"/>
    <w:rsid w:val="00BA7BBB"/>
    <w:rsid w:val="00BB12C6"/>
    <w:rsid w:val="00BB20AC"/>
    <w:rsid w:val="00BB733F"/>
    <w:rsid w:val="00BC0E14"/>
    <w:rsid w:val="00BC4CDA"/>
    <w:rsid w:val="00BC7FF5"/>
    <w:rsid w:val="00BD0878"/>
    <w:rsid w:val="00BD6976"/>
    <w:rsid w:val="00BE0269"/>
    <w:rsid w:val="00BE0715"/>
    <w:rsid w:val="00BE1CE2"/>
    <w:rsid w:val="00BE4144"/>
    <w:rsid w:val="00BE497E"/>
    <w:rsid w:val="00BE6CE7"/>
    <w:rsid w:val="00BE6FCD"/>
    <w:rsid w:val="00BF045A"/>
    <w:rsid w:val="00BF0EAC"/>
    <w:rsid w:val="00BF1512"/>
    <w:rsid w:val="00BF1B18"/>
    <w:rsid w:val="00BF39A3"/>
    <w:rsid w:val="00BF587E"/>
    <w:rsid w:val="00BF70AB"/>
    <w:rsid w:val="00C0091B"/>
    <w:rsid w:val="00C0196C"/>
    <w:rsid w:val="00C02BD1"/>
    <w:rsid w:val="00C02E04"/>
    <w:rsid w:val="00C0374A"/>
    <w:rsid w:val="00C04A29"/>
    <w:rsid w:val="00C05CEA"/>
    <w:rsid w:val="00C10FF8"/>
    <w:rsid w:val="00C11957"/>
    <w:rsid w:val="00C129FD"/>
    <w:rsid w:val="00C13643"/>
    <w:rsid w:val="00C1653A"/>
    <w:rsid w:val="00C20061"/>
    <w:rsid w:val="00C22382"/>
    <w:rsid w:val="00C22CCD"/>
    <w:rsid w:val="00C25203"/>
    <w:rsid w:val="00C2532A"/>
    <w:rsid w:val="00C312BF"/>
    <w:rsid w:val="00C31900"/>
    <w:rsid w:val="00C31E63"/>
    <w:rsid w:val="00C325AF"/>
    <w:rsid w:val="00C32758"/>
    <w:rsid w:val="00C34151"/>
    <w:rsid w:val="00C34C0D"/>
    <w:rsid w:val="00C354CD"/>
    <w:rsid w:val="00C37446"/>
    <w:rsid w:val="00C401CE"/>
    <w:rsid w:val="00C4115E"/>
    <w:rsid w:val="00C4116E"/>
    <w:rsid w:val="00C413D7"/>
    <w:rsid w:val="00C419C8"/>
    <w:rsid w:val="00C41B11"/>
    <w:rsid w:val="00C44A78"/>
    <w:rsid w:val="00C453FF"/>
    <w:rsid w:val="00C45C4E"/>
    <w:rsid w:val="00C5389B"/>
    <w:rsid w:val="00C54CFA"/>
    <w:rsid w:val="00C561DA"/>
    <w:rsid w:val="00C56831"/>
    <w:rsid w:val="00C61A1E"/>
    <w:rsid w:val="00C63B40"/>
    <w:rsid w:val="00C654C8"/>
    <w:rsid w:val="00C672E8"/>
    <w:rsid w:val="00C67791"/>
    <w:rsid w:val="00C704DB"/>
    <w:rsid w:val="00C74BB8"/>
    <w:rsid w:val="00C8061F"/>
    <w:rsid w:val="00C80F07"/>
    <w:rsid w:val="00C81BD3"/>
    <w:rsid w:val="00C84002"/>
    <w:rsid w:val="00C8404C"/>
    <w:rsid w:val="00C863A8"/>
    <w:rsid w:val="00C86825"/>
    <w:rsid w:val="00C87C35"/>
    <w:rsid w:val="00C93F1D"/>
    <w:rsid w:val="00C97008"/>
    <w:rsid w:val="00C97AB6"/>
    <w:rsid w:val="00C97F69"/>
    <w:rsid w:val="00CA382B"/>
    <w:rsid w:val="00CA38B1"/>
    <w:rsid w:val="00CA393A"/>
    <w:rsid w:val="00CA6F8E"/>
    <w:rsid w:val="00CB07BF"/>
    <w:rsid w:val="00CB1A5D"/>
    <w:rsid w:val="00CB27AB"/>
    <w:rsid w:val="00CB2AB7"/>
    <w:rsid w:val="00CC06B3"/>
    <w:rsid w:val="00CC107A"/>
    <w:rsid w:val="00CC2F0B"/>
    <w:rsid w:val="00CC44EA"/>
    <w:rsid w:val="00CD0130"/>
    <w:rsid w:val="00CD0E3C"/>
    <w:rsid w:val="00CD30E8"/>
    <w:rsid w:val="00CD7A55"/>
    <w:rsid w:val="00CE0BEF"/>
    <w:rsid w:val="00CE247A"/>
    <w:rsid w:val="00CE4619"/>
    <w:rsid w:val="00CE665B"/>
    <w:rsid w:val="00CE7975"/>
    <w:rsid w:val="00CF266B"/>
    <w:rsid w:val="00CF2D5B"/>
    <w:rsid w:val="00CF7014"/>
    <w:rsid w:val="00D0102B"/>
    <w:rsid w:val="00D028EB"/>
    <w:rsid w:val="00D0411D"/>
    <w:rsid w:val="00D04677"/>
    <w:rsid w:val="00D07329"/>
    <w:rsid w:val="00D10367"/>
    <w:rsid w:val="00D11155"/>
    <w:rsid w:val="00D213A1"/>
    <w:rsid w:val="00D2177B"/>
    <w:rsid w:val="00D2282D"/>
    <w:rsid w:val="00D24504"/>
    <w:rsid w:val="00D323DB"/>
    <w:rsid w:val="00D34055"/>
    <w:rsid w:val="00D35B04"/>
    <w:rsid w:val="00D36E0F"/>
    <w:rsid w:val="00D411DC"/>
    <w:rsid w:val="00D41D6D"/>
    <w:rsid w:val="00D441DB"/>
    <w:rsid w:val="00D46A06"/>
    <w:rsid w:val="00D47B44"/>
    <w:rsid w:val="00D520AE"/>
    <w:rsid w:val="00D52B33"/>
    <w:rsid w:val="00D54234"/>
    <w:rsid w:val="00D57249"/>
    <w:rsid w:val="00D575DB"/>
    <w:rsid w:val="00D57ED3"/>
    <w:rsid w:val="00D60151"/>
    <w:rsid w:val="00D6217A"/>
    <w:rsid w:val="00D6685B"/>
    <w:rsid w:val="00D67A19"/>
    <w:rsid w:val="00D70313"/>
    <w:rsid w:val="00D81383"/>
    <w:rsid w:val="00D86447"/>
    <w:rsid w:val="00D910EA"/>
    <w:rsid w:val="00D91309"/>
    <w:rsid w:val="00D9178A"/>
    <w:rsid w:val="00D91BC5"/>
    <w:rsid w:val="00D92536"/>
    <w:rsid w:val="00D92D8C"/>
    <w:rsid w:val="00D95096"/>
    <w:rsid w:val="00DA069D"/>
    <w:rsid w:val="00DA255A"/>
    <w:rsid w:val="00DA768C"/>
    <w:rsid w:val="00DB0A08"/>
    <w:rsid w:val="00DB1632"/>
    <w:rsid w:val="00DB2373"/>
    <w:rsid w:val="00DB481C"/>
    <w:rsid w:val="00DB706D"/>
    <w:rsid w:val="00DC2F68"/>
    <w:rsid w:val="00DC7E90"/>
    <w:rsid w:val="00DD1461"/>
    <w:rsid w:val="00DD3B04"/>
    <w:rsid w:val="00DD51F4"/>
    <w:rsid w:val="00DD57AE"/>
    <w:rsid w:val="00DD77F9"/>
    <w:rsid w:val="00DE06AF"/>
    <w:rsid w:val="00DE6C87"/>
    <w:rsid w:val="00DE7F45"/>
    <w:rsid w:val="00DF477E"/>
    <w:rsid w:val="00DF5F01"/>
    <w:rsid w:val="00DF6EA1"/>
    <w:rsid w:val="00DF7E02"/>
    <w:rsid w:val="00E0077D"/>
    <w:rsid w:val="00E0299A"/>
    <w:rsid w:val="00E1168B"/>
    <w:rsid w:val="00E11E35"/>
    <w:rsid w:val="00E120F7"/>
    <w:rsid w:val="00E1394C"/>
    <w:rsid w:val="00E23716"/>
    <w:rsid w:val="00E2461E"/>
    <w:rsid w:val="00E25558"/>
    <w:rsid w:val="00E27028"/>
    <w:rsid w:val="00E3373C"/>
    <w:rsid w:val="00E33877"/>
    <w:rsid w:val="00E34A12"/>
    <w:rsid w:val="00E360FD"/>
    <w:rsid w:val="00E40D71"/>
    <w:rsid w:val="00E423AF"/>
    <w:rsid w:val="00E428DF"/>
    <w:rsid w:val="00E45F4E"/>
    <w:rsid w:val="00E46AAA"/>
    <w:rsid w:val="00E501AA"/>
    <w:rsid w:val="00E52636"/>
    <w:rsid w:val="00E62EDF"/>
    <w:rsid w:val="00E635EB"/>
    <w:rsid w:val="00E651C1"/>
    <w:rsid w:val="00E6768C"/>
    <w:rsid w:val="00E71782"/>
    <w:rsid w:val="00E7648B"/>
    <w:rsid w:val="00E82EA1"/>
    <w:rsid w:val="00E85D00"/>
    <w:rsid w:val="00E861A7"/>
    <w:rsid w:val="00E86B6F"/>
    <w:rsid w:val="00E91D6B"/>
    <w:rsid w:val="00E93200"/>
    <w:rsid w:val="00E95C05"/>
    <w:rsid w:val="00EA05C9"/>
    <w:rsid w:val="00EA2677"/>
    <w:rsid w:val="00EA37A8"/>
    <w:rsid w:val="00EA528E"/>
    <w:rsid w:val="00EA5468"/>
    <w:rsid w:val="00EA5AEB"/>
    <w:rsid w:val="00EB0054"/>
    <w:rsid w:val="00EB18A9"/>
    <w:rsid w:val="00EB2DB9"/>
    <w:rsid w:val="00EB4854"/>
    <w:rsid w:val="00EB5ACE"/>
    <w:rsid w:val="00EB630D"/>
    <w:rsid w:val="00EC1601"/>
    <w:rsid w:val="00EC45A6"/>
    <w:rsid w:val="00ED129E"/>
    <w:rsid w:val="00ED18C7"/>
    <w:rsid w:val="00ED1F9F"/>
    <w:rsid w:val="00ED3489"/>
    <w:rsid w:val="00ED6E38"/>
    <w:rsid w:val="00EE07AD"/>
    <w:rsid w:val="00EE0BF1"/>
    <w:rsid w:val="00EE4742"/>
    <w:rsid w:val="00EE4FAF"/>
    <w:rsid w:val="00EE61E7"/>
    <w:rsid w:val="00EE676A"/>
    <w:rsid w:val="00EF05EA"/>
    <w:rsid w:val="00EF0935"/>
    <w:rsid w:val="00EF13AF"/>
    <w:rsid w:val="00EF3487"/>
    <w:rsid w:val="00F0044D"/>
    <w:rsid w:val="00F047EC"/>
    <w:rsid w:val="00F0651C"/>
    <w:rsid w:val="00F07A06"/>
    <w:rsid w:val="00F106A3"/>
    <w:rsid w:val="00F14497"/>
    <w:rsid w:val="00F15D2F"/>
    <w:rsid w:val="00F161C7"/>
    <w:rsid w:val="00F22262"/>
    <w:rsid w:val="00F22AFC"/>
    <w:rsid w:val="00F23EE9"/>
    <w:rsid w:val="00F24FB1"/>
    <w:rsid w:val="00F25E98"/>
    <w:rsid w:val="00F269A1"/>
    <w:rsid w:val="00F27AA5"/>
    <w:rsid w:val="00F36276"/>
    <w:rsid w:val="00F36870"/>
    <w:rsid w:val="00F369B9"/>
    <w:rsid w:val="00F40AC2"/>
    <w:rsid w:val="00F41258"/>
    <w:rsid w:val="00F42B3E"/>
    <w:rsid w:val="00F42EFD"/>
    <w:rsid w:val="00F43E65"/>
    <w:rsid w:val="00F44710"/>
    <w:rsid w:val="00F45598"/>
    <w:rsid w:val="00F45C3B"/>
    <w:rsid w:val="00F4645E"/>
    <w:rsid w:val="00F47607"/>
    <w:rsid w:val="00F47661"/>
    <w:rsid w:val="00F47E76"/>
    <w:rsid w:val="00F51D4B"/>
    <w:rsid w:val="00F5296A"/>
    <w:rsid w:val="00F535D5"/>
    <w:rsid w:val="00F540D5"/>
    <w:rsid w:val="00F55796"/>
    <w:rsid w:val="00F56C2B"/>
    <w:rsid w:val="00F61493"/>
    <w:rsid w:val="00F63009"/>
    <w:rsid w:val="00F66FEC"/>
    <w:rsid w:val="00F71D7C"/>
    <w:rsid w:val="00F71E1C"/>
    <w:rsid w:val="00F72017"/>
    <w:rsid w:val="00F73948"/>
    <w:rsid w:val="00F741B5"/>
    <w:rsid w:val="00F82112"/>
    <w:rsid w:val="00F84803"/>
    <w:rsid w:val="00F90D2D"/>
    <w:rsid w:val="00F91BF6"/>
    <w:rsid w:val="00F91D34"/>
    <w:rsid w:val="00F91EBC"/>
    <w:rsid w:val="00F95930"/>
    <w:rsid w:val="00F96CC1"/>
    <w:rsid w:val="00F978F9"/>
    <w:rsid w:val="00FA42B2"/>
    <w:rsid w:val="00FA6E2C"/>
    <w:rsid w:val="00FB0671"/>
    <w:rsid w:val="00FB1D85"/>
    <w:rsid w:val="00FB2834"/>
    <w:rsid w:val="00FB4E9D"/>
    <w:rsid w:val="00FB7716"/>
    <w:rsid w:val="00FB7AC1"/>
    <w:rsid w:val="00FB7E30"/>
    <w:rsid w:val="00FC2319"/>
    <w:rsid w:val="00FC27D6"/>
    <w:rsid w:val="00FC327D"/>
    <w:rsid w:val="00FC4EF9"/>
    <w:rsid w:val="00FC53F6"/>
    <w:rsid w:val="00FD0EA4"/>
    <w:rsid w:val="00FD131F"/>
    <w:rsid w:val="00FD2FC5"/>
    <w:rsid w:val="00FD4188"/>
    <w:rsid w:val="00FD62EC"/>
    <w:rsid w:val="00FD67D9"/>
    <w:rsid w:val="00FD6AAC"/>
    <w:rsid w:val="00FE49EF"/>
    <w:rsid w:val="00FE589F"/>
    <w:rsid w:val="00FE5A9A"/>
    <w:rsid w:val="00FE5C82"/>
    <w:rsid w:val="00FE68B4"/>
    <w:rsid w:val="00FE746F"/>
    <w:rsid w:val="00FF1C59"/>
    <w:rsid w:val="00FF1E41"/>
    <w:rsid w:val="00FF5A05"/>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qFormat="1"/>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Block Text" w:uiPriority="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1D77BB"/>
    <w:pPr>
      <w:keepNext/>
      <w:keepLines/>
      <w:spacing w:after="0" w:line="240" w:lineRule="auto"/>
      <w:ind w:left="720" w:hanging="720"/>
      <w:outlineLvl w:val="0"/>
    </w:pPr>
    <w:rPr>
      <w:rFonts w:ascii="Times New Roman Bold" w:eastAsiaTheme="majorEastAsia" w:hAnsi="Times New Roman Bold" w:cstheme="majorBidi"/>
      <w:b/>
      <w:bCs/>
      <w:caps/>
      <w:sz w:val="24"/>
      <w:szCs w:val="28"/>
    </w:rPr>
  </w:style>
  <w:style w:type="paragraph" w:styleId="Heading2">
    <w:name w:val="heading 2"/>
    <w:basedOn w:val="Normal"/>
    <w:next w:val="Normal"/>
    <w:link w:val="Heading2Char"/>
    <w:autoRedefine/>
    <w:unhideWhenUsed/>
    <w:qFormat/>
    <w:rsid w:val="007D22BE"/>
    <w:pPr>
      <w:keepNext/>
      <w:keepLines/>
      <w:spacing w:after="240" w:line="240" w:lineRule="auto"/>
      <w:ind w:left="1440" w:right="720" w:hanging="720"/>
      <w:outlineLvl w:val="1"/>
    </w:pPr>
    <w:rPr>
      <w:rFonts w:ascii="Times New Roman Bold" w:eastAsiaTheme="majorEastAsia" w:hAnsi="Times New Roman Bold" w:cs="Times New Roman"/>
      <w:b/>
      <w:bCs/>
      <w:sz w:val="24"/>
      <w:szCs w:val="26"/>
    </w:rPr>
  </w:style>
  <w:style w:type="paragraph" w:styleId="Heading3">
    <w:name w:val="heading 3"/>
    <w:basedOn w:val="Normal"/>
    <w:next w:val="Normal"/>
    <w:link w:val="Heading3Char"/>
    <w:autoRedefine/>
    <w:qFormat/>
    <w:rsid w:val="009F59F4"/>
    <w:pPr>
      <w:widowControl w:val="0"/>
      <w:spacing w:after="240" w:line="240" w:lineRule="auto"/>
      <w:ind w:left="2160" w:right="720" w:hanging="720"/>
      <w:outlineLvl w:val="2"/>
    </w:pPr>
    <w:rPr>
      <w:rFonts w:ascii="Times New Roman Bold" w:eastAsia="WenQuanYi Micro Hei" w:hAnsi="Times New Roman Bold" w:cs="Times New Roman"/>
      <w:b/>
      <w:sz w:val="24"/>
      <w:szCs w:val="24"/>
      <w:lang w:eastAsia="zh-CN" w:bidi="hi-IN"/>
    </w:rPr>
  </w:style>
  <w:style w:type="paragraph" w:styleId="Heading4">
    <w:name w:val="heading 4"/>
    <w:basedOn w:val="Normal"/>
    <w:next w:val="Normal"/>
    <w:link w:val="Heading4Char"/>
    <w:autoRedefine/>
    <w:unhideWhenUsed/>
    <w:qFormat/>
    <w:rsid w:val="00C401CE"/>
    <w:pPr>
      <w:keepNext/>
      <w:keepLines/>
      <w:spacing w:after="240" w:line="240" w:lineRule="auto"/>
      <w:ind w:left="2880" w:right="720" w:hanging="720"/>
      <w:outlineLvl w:val="3"/>
    </w:pPr>
    <w:rPr>
      <w:rFonts w:ascii="Times New Roman Bold" w:eastAsia="WenQuanYi Micro Hei" w:hAnsi="Times New Roman Bold" w:cstheme="majorBidi"/>
      <w:bCs/>
      <w:iCs/>
      <w:sz w:val="24"/>
      <w:szCs w:val="24"/>
      <w:lang w:eastAsia="zh-CN" w:bidi="hi-IN"/>
    </w:rPr>
  </w:style>
  <w:style w:type="paragraph" w:styleId="Heading5">
    <w:name w:val="heading 5"/>
    <w:basedOn w:val="Normal"/>
    <w:next w:val="Normal"/>
    <w:link w:val="Heading5Char"/>
    <w:autoRedefine/>
    <w:unhideWhenUsed/>
    <w:qFormat/>
    <w:rsid w:val="00316B0F"/>
    <w:pPr>
      <w:keepNext/>
      <w:keepLines/>
      <w:spacing w:after="240" w:line="240" w:lineRule="auto"/>
      <w:ind w:left="3600" w:right="720" w:hanging="720"/>
      <w:outlineLvl w:val="4"/>
    </w:pPr>
    <w:rPr>
      <w:rFonts w:ascii="Times New Roman" w:eastAsiaTheme="majorEastAsia" w:hAnsi="Times New Roman" w:cstheme="majorBidi"/>
      <w:b/>
      <w:sz w:val="24"/>
      <w:szCs w:val="24"/>
    </w:rPr>
  </w:style>
  <w:style w:type="paragraph" w:styleId="Heading6">
    <w:name w:val="heading 6"/>
    <w:basedOn w:val="Normal"/>
    <w:next w:val="BodyText"/>
    <w:link w:val="Heading6Char"/>
    <w:autoRedefine/>
    <w:unhideWhenUsed/>
    <w:qFormat/>
    <w:rsid w:val="00FE589F"/>
    <w:pPr>
      <w:keepNext/>
      <w:keepLines/>
      <w:spacing w:after="240" w:line="240" w:lineRule="auto"/>
      <w:ind w:left="4320" w:right="720" w:hanging="720"/>
      <w:outlineLvl w:val="5"/>
    </w:pPr>
    <w:rPr>
      <w:rFonts w:ascii="Times New Roman Bold" w:eastAsiaTheme="majorEastAsia" w:hAnsi="Times New Roman Bold" w:cstheme="majorBidi"/>
      <w:b/>
      <w:iCs/>
      <w:sz w:val="24"/>
      <w:szCs w:val="24"/>
    </w:rPr>
  </w:style>
  <w:style w:type="paragraph" w:styleId="Heading7">
    <w:name w:val="heading 7"/>
    <w:basedOn w:val="Normal"/>
    <w:next w:val="BodyText"/>
    <w:link w:val="Heading7Char"/>
    <w:semiHidden/>
    <w:unhideWhenUsed/>
    <w:qFormat/>
    <w:rsid w:val="000B73A3"/>
    <w:pPr>
      <w:keepNext/>
      <w:keepLines/>
      <w:spacing w:before="200" w:after="0" w:line="240" w:lineRule="auto"/>
      <w:outlineLvl w:val="6"/>
    </w:pPr>
    <w:rPr>
      <w:rFonts w:ascii="Times New Roman" w:eastAsiaTheme="majorEastAsia" w:hAnsi="Times New Roman" w:cstheme="majorBidi"/>
      <w:i/>
      <w:iCs/>
      <w:sz w:val="24"/>
      <w:szCs w:val="24"/>
    </w:rPr>
  </w:style>
  <w:style w:type="paragraph" w:styleId="Heading8">
    <w:name w:val="heading 8"/>
    <w:basedOn w:val="Normal"/>
    <w:next w:val="BodyText"/>
    <w:link w:val="Heading8Char"/>
    <w:semiHidden/>
    <w:unhideWhenUsed/>
    <w:qFormat/>
    <w:rsid w:val="000B73A3"/>
    <w:pPr>
      <w:keepNext/>
      <w:keepLines/>
      <w:spacing w:before="200" w:after="0" w:line="240" w:lineRule="auto"/>
      <w:outlineLvl w:val="7"/>
    </w:pPr>
    <w:rPr>
      <w:rFonts w:ascii="Times New Roman" w:eastAsiaTheme="majorEastAsia" w:hAnsi="Times New Roman" w:cstheme="majorBidi"/>
      <w:sz w:val="20"/>
      <w:szCs w:val="20"/>
    </w:rPr>
  </w:style>
  <w:style w:type="paragraph" w:styleId="Heading9">
    <w:name w:val="heading 9"/>
    <w:basedOn w:val="Normal"/>
    <w:next w:val="BodyText"/>
    <w:link w:val="Heading9Char"/>
    <w:semiHidden/>
    <w:unhideWhenUsed/>
    <w:qFormat/>
    <w:rsid w:val="000B73A3"/>
    <w:pPr>
      <w:keepNext/>
      <w:keepLines/>
      <w:spacing w:before="200" w:after="0" w:line="240" w:lineRule="auto"/>
      <w:outlineLvl w:val="8"/>
    </w:pPr>
    <w:rPr>
      <w:rFonts w:ascii="Times New Roman" w:eastAsiaTheme="majorEastAsia" w:hAnsi="Times New Roman"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7BB"/>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rsid w:val="007D22BE"/>
    <w:rPr>
      <w:rFonts w:ascii="Times New Roman Bold" w:eastAsiaTheme="majorEastAsia" w:hAnsi="Times New Roman Bold" w:cs="Times New Roman"/>
      <w:b/>
      <w:bCs/>
      <w:sz w:val="24"/>
      <w:szCs w:val="26"/>
    </w:rPr>
  </w:style>
  <w:style w:type="character" w:customStyle="1" w:styleId="Heading3Char">
    <w:name w:val="Heading 3 Char"/>
    <w:basedOn w:val="DefaultParagraphFont"/>
    <w:link w:val="Heading3"/>
    <w:rsid w:val="009F59F4"/>
    <w:rPr>
      <w:rFonts w:ascii="Times New Roman Bold" w:eastAsia="WenQuanYi Micro Hei" w:hAnsi="Times New Roman Bold" w:cs="Times New Roman"/>
      <w:b/>
      <w:sz w:val="24"/>
      <w:szCs w:val="24"/>
      <w:lang w:eastAsia="zh-CN" w:bidi="hi-IN"/>
    </w:rPr>
  </w:style>
  <w:style w:type="character" w:customStyle="1" w:styleId="Heading4Char">
    <w:name w:val="Heading 4 Char"/>
    <w:basedOn w:val="DefaultParagraphFont"/>
    <w:link w:val="Heading4"/>
    <w:rsid w:val="00C401CE"/>
    <w:rPr>
      <w:rFonts w:ascii="Times New Roman Bold" w:eastAsia="WenQuanYi Micro Hei" w:hAnsi="Times New Roman Bold" w:cstheme="majorBidi"/>
      <w:bCs/>
      <w:iCs/>
      <w:sz w:val="24"/>
      <w:szCs w:val="24"/>
      <w:lang w:eastAsia="zh-CN" w:bidi="hi-IN"/>
    </w:rPr>
  </w:style>
  <w:style w:type="character" w:customStyle="1" w:styleId="Heading5Char">
    <w:name w:val="Heading 5 Char"/>
    <w:basedOn w:val="DefaultParagraphFont"/>
    <w:link w:val="Heading5"/>
    <w:rsid w:val="00316B0F"/>
    <w:rPr>
      <w:rFonts w:ascii="Times New Roman" w:eastAsiaTheme="majorEastAsia" w:hAnsi="Times New Roman" w:cstheme="majorBidi"/>
      <w:b/>
      <w:sz w:val="24"/>
      <w:szCs w:val="24"/>
    </w:rPr>
  </w:style>
  <w:style w:type="paragraph" w:styleId="BodyText">
    <w:name w:val="Body Text"/>
    <w:basedOn w:val="Normal"/>
    <w:link w:val="BodyTextChar"/>
    <w:qFormat/>
    <w:rsid w:val="00F25E98"/>
    <w:pPr>
      <w:tabs>
        <w:tab w:val="left" w:pos="0"/>
        <w:tab w:val="left" w:pos="720"/>
      </w:tabs>
      <w:spacing w:after="0" w:line="48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25E98"/>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FE589F"/>
    <w:rPr>
      <w:rFonts w:ascii="Times New Roman Bold" w:eastAsiaTheme="majorEastAsia" w:hAnsi="Times New Roman Bold" w:cstheme="majorBidi"/>
      <w:b/>
      <w:iCs/>
      <w:sz w:val="24"/>
      <w:szCs w:val="24"/>
    </w:rPr>
  </w:style>
  <w:style w:type="character" w:customStyle="1" w:styleId="Heading7Char">
    <w:name w:val="Heading 7 Char"/>
    <w:basedOn w:val="DefaultParagraphFont"/>
    <w:link w:val="Heading7"/>
    <w:semiHidden/>
    <w:rsid w:val="000B73A3"/>
    <w:rPr>
      <w:rFonts w:ascii="Times New Roman" w:eastAsiaTheme="majorEastAsia" w:hAnsi="Times New Roman" w:cstheme="majorBidi"/>
      <w:i/>
      <w:iCs/>
      <w:sz w:val="24"/>
      <w:szCs w:val="24"/>
    </w:rPr>
  </w:style>
  <w:style w:type="character" w:customStyle="1" w:styleId="Heading8Char">
    <w:name w:val="Heading 8 Char"/>
    <w:basedOn w:val="DefaultParagraphFont"/>
    <w:link w:val="Heading8"/>
    <w:semiHidden/>
    <w:rsid w:val="000B73A3"/>
    <w:rPr>
      <w:rFonts w:ascii="Times New Roman" w:eastAsiaTheme="majorEastAsia" w:hAnsi="Times New Roman" w:cstheme="majorBidi"/>
      <w:sz w:val="20"/>
      <w:szCs w:val="20"/>
    </w:rPr>
  </w:style>
  <w:style w:type="character" w:customStyle="1" w:styleId="Heading9Char">
    <w:name w:val="Heading 9 Char"/>
    <w:basedOn w:val="DefaultParagraphFont"/>
    <w:link w:val="Heading9"/>
    <w:semiHidden/>
    <w:rsid w:val="000B73A3"/>
    <w:rPr>
      <w:rFonts w:ascii="Times New Roman" w:eastAsiaTheme="majorEastAsia" w:hAnsi="Times New Roman" w:cstheme="majorBidi"/>
      <w:i/>
      <w:iCs/>
      <w:sz w:val="20"/>
      <w:szCs w:val="20"/>
    </w:rPr>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Footnote Text Char Char,fn"/>
    <w:basedOn w:val="Normal"/>
    <w:link w:val="FootnoteTextChar"/>
    <w:uiPriority w:val="99"/>
    <w:unhideWhenUsed/>
    <w:rsid w:val="00875E64"/>
    <w:pPr>
      <w:spacing w:after="0" w:line="240" w:lineRule="auto"/>
    </w:pPr>
    <w:rPr>
      <w:sz w:val="20"/>
      <w:szCs w:val="20"/>
    </w:rPr>
  </w:style>
  <w:style w:type="character" w:customStyle="1" w:styleId="FootnoteTextChar">
    <w:name w:val="Footnote Text Char"/>
    <w:aliases w:val="Footnote Text Char2 Char,Footnote Text Char1 Char1 Char,Footnote Text Char Char Char1 Char,Footnote Text Char Char1 Char,Footnote Text Char1 Char Char Char,Footnote Text Char Char Char Char Char,Footnote Text Char Char Char,fn Char"/>
    <w:basedOn w:val="DefaultParagraphFont"/>
    <w:link w:val="FootnoteText"/>
    <w:uiPriority w:val="99"/>
    <w:rsid w:val="00875E64"/>
    <w:rPr>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Style 11,Style 21,Style 4"/>
    <w:basedOn w:val="DefaultParagraphFont"/>
    <w:uiPriority w:val="99"/>
    <w:unhideWhenUsed/>
    <w:rsid w:val="00875E64"/>
    <w:rPr>
      <w:vertAlign w:val="superscript"/>
    </w:rPr>
  </w:style>
  <w:style w:type="paragraph" w:styleId="ListParagraph">
    <w:name w:val="List Paragraph"/>
    <w:basedOn w:val="Normal"/>
    <w:uiPriority w:val="34"/>
    <w:qFormat/>
    <w:rsid w:val="00EE4742"/>
    <w:pPr>
      <w:ind w:left="720"/>
      <w:contextualSpacing/>
    </w:pPr>
  </w:style>
  <w:style w:type="character" w:styleId="CommentReference">
    <w:name w:val="annotation reference"/>
    <w:uiPriority w:val="99"/>
    <w:semiHidden/>
    <w:unhideWhenUsed/>
    <w:rsid w:val="00EE4742"/>
    <w:rPr>
      <w:sz w:val="16"/>
      <w:szCs w:val="16"/>
    </w:rPr>
  </w:style>
  <w:style w:type="paragraph" w:styleId="CommentText">
    <w:name w:val="annotation text"/>
    <w:basedOn w:val="Normal"/>
    <w:link w:val="CommentTextChar"/>
    <w:semiHidden/>
    <w:unhideWhenUsed/>
    <w:rsid w:val="00EE47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E474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4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742"/>
    <w:rPr>
      <w:rFonts w:ascii="Tahoma" w:hAnsi="Tahoma" w:cs="Tahoma"/>
      <w:sz w:val="16"/>
      <w:szCs w:val="16"/>
    </w:rPr>
  </w:style>
  <w:style w:type="character" w:customStyle="1" w:styleId="FootnoteTextChar3">
    <w:name w:val="Footnote Text Char3"/>
    <w:aliases w:val="Footnote Text Char2 Char2,Footnote Text Char1 Char1 Char1,Footnote Text Char Char Char1 Char1,Footnote Text Char Char1 Char1,Footnote Text Char1 Char Char Char1,Footnote Text Char Char Char Char Char1,Footnote Text Char Char Char2"/>
    <w:uiPriority w:val="99"/>
    <w:locked/>
    <w:rsid w:val="00A6371D"/>
    <w:rPr>
      <w:rFonts w:eastAsia="Times New Roman"/>
    </w:rPr>
  </w:style>
  <w:style w:type="character" w:styleId="Hyperlink">
    <w:name w:val="Hyperlink"/>
    <w:uiPriority w:val="99"/>
    <w:rsid w:val="00F25E98"/>
    <w:rPr>
      <w:color w:val="0000FF"/>
      <w:u w:val="single"/>
    </w:rPr>
  </w:style>
  <w:style w:type="paragraph" w:customStyle="1" w:styleId="Default">
    <w:name w:val="Default"/>
    <w:rsid w:val="00F25E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944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35"/>
  </w:style>
  <w:style w:type="paragraph" w:styleId="Footer">
    <w:name w:val="footer"/>
    <w:basedOn w:val="Normal"/>
    <w:link w:val="FooterChar"/>
    <w:uiPriority w:val="99"/>
    <w:unhideWhenUsed/>
    <w:rsid w:val="00944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35"/>
  </w:style>
  <w:style w:type="paragraph" w:styleId="Title">
    <w:name w:val="Title"/>
    <w:basedOn w:val="Normal"/>
    <w:next w:val="BodyText"/>
    <w:link w:val="TitleChar"/>
    <w:uiPriority w:val="10"/>
    <w:qFormat/>
    <w:rsid w:val="000B73A3"/>
    <w:pPr>
      <w:pBdr>
        <w:bottom w:val="single" w:sz="8" w:space="4" w:color="auto"/>
      </w:pBdr>
      <w:spacing w:after="240" w:line="240" w:lineRule="auto"/>
    </w:pPr>
    <w:rPr>
      <w:rFonts w:ascii="Times New Roman" w:eastAsiaTheme="majorEastAsia" w:hAnsi="Times New Roman" w:cstheme="majorBidi"/>
      <w:b/>
      <w:spacing w:val="5"/>
      <w:kern w:val="28"/>
      <w:sz w:val="24"/>
      <w:szCs w:val="52"/>
    </w:rPr>
  </w:style>
  <w:style w:type="character" w:customStyle="1" w:styleId="TitleChar">
    <w:name w:val="Title Char"/>
    <w:basedOn w:val="DefaultParagraphFont"/>
    <w:link w:val="Title"/>
    <w:uiPriority w:val="10"/>
    <w:rsid w:val="000B73A3"/>
    <w:rPr>
      <w:rFonts w:ascii="Times New Roman" w:eastAsiaTheme="majorEastAsia" w:hAnsi="Times New Roman" w:cstheme="majorBidi"/>
      <w:b/>
      <w:spacing w:val="5"/>
      <w:kern w:val="28"/>
      <w:sz w:val="24"/>
      <w:szCs w:val="52"/>
    </w:rPr>
  </w:style>
  <w:style w:type="paragraph" w:styleId="BodyText2">
    <w:name w:val="Body Text 2"/>
    <w:basedOn w:val="Normal"/>
    <w:link w:val="BodyText2Char"/>
    <w:qFormat/>
    <w:rsid w:val="000B73A3"/>
    <w:pPr>
      <w:spacing w:after="240" w:line="480" w:lineRule="auto"/>
      <w:ind w:firstLine="720"/>
    </w:pPr>
    <w:rPr>
      <w:rFonts w:ascii="Times New Roman" w:hAnsi="Times New Roman" w:cs="Times New Roman"/>
      <w:sz w:val="24"/>
      <w:szCs w:val="24"/>
    </w:rPr>
  </w:style>
  <w:style w:type="character" w:customStyle="1" w:styleId="BodyText2Char">
    <w:name w:val="Body Text 2 Char"/>
    <w:basedOn w:val="DefaultParagraphFont"/>
    <w:link w:val="BodyText2"/>
    <w:rsid w:val="000B73A3"/>
    <w:rPr>
      <w:rFonts w:ascii="Times New Roman" w:hAnsi="Times New Roman" w:cs="Times New Roman"/>
      <w:sz w:val="24"/>
      <w:szCs w:val="24"/>
    </w:rPr>
  </w:style>
  <w:style w:type="paragraph" w:styleId="BlockText">
    <w:name w:val="Block Text"/>
    <w:basedOn w:val="Normal"/>
    <w:qFormat/>
    <w:rsid w:val="000B73A3"/>
    <w:pPr>
      <w:spacing w:after="240" w:line="240" w:lineRule="auto"/>
    </w:pPr>
    <w:rPr>
      <w:rFonts w:ascii="Times New Roman" w:hAnsi="Times New Roman"/>
      <w:iCs/>
      <w:sz w:val="24"/>
      <w:szCs w:val="24"/>
    </w:rPr>
  </w:style>
  <w:style w:type="paragraph" w:styleId="Quote">
    <w:name w:val="Quote"/>
    <w:basedOn w:val="Normal"/>
    <w:next w:val="Normal"/>
    <w:link w:val="QuoteChar"/>
    <w:qFormat/>
    <w:rsid w:val="000B73A3"/>
    <w:pPr>
      <w:spacing w:after="240" w:line="240" w:lineRule="auto"/>
      <w:ind w:left="720" w:right="720"/>
    </w:pPr>
    <w:rPr>
      <w:rFonts w:ascii="Times New Roman" w:hAnsi="Times New Roman" w:cs="Times New Roman"/>
      <w:iCs/>
      <w:sz w:val="24"/>
      <w:szCs w:val="24"/>
    </w:rPr>
  </w:style>
  <w:style w:type="character" w:customStyle="1" w:styleId="QuoteChar">
    <w:name w:val="Quote Char"/>
    <w:basedOn w:val="DefaultParagraphFont"/>
    <w:link w:val="Quote"/>
    <w:rsid w:val="000B73A3"/>
    <w:rPr>
      <w:rFonts w:ascii="Times New Roman" w:hAnsi="Times New Roman" w:cs="Times New Roman"/>
      <w:iCs/>
      <w:sz w:val="24"/>
      <w:szCs w:val="24"/>
    </w:rPr>
  </w:style>
  <w:style w:type="paragraph" w:styleId="Subtitle">
    <w:name w:val="Subtitle"/>
    <w:basedOn w:val="Normal"/>
    <w:next w:val="BodyText"/>
    <w:link w:val="SubtitleChar"/>
    <w:uiPriority w:val="11"/>
    <w:rsid w:val="000B73A3"/>
    <w:pPr>
      <w:numPr>
        <w:ilvl w:val="1"/>
      </w:numPr>
      <w:spacing w:after="0" w:line="240" w:lineRule="auto"/>
    </w:pPr>
    <w:rPr>
      <w:rFonts w:ascii="Times New Roman" w:eastAsiaTheme="majorEastAsia" w:hAnsi="Times New Roman" w:cstheme="majorBidi"/>
      <w:i/>
      <w:iCs/>
      <w:sz w:val="24"/>
      <w:szCs w:val="24"/>
    </w:rPr>
  </w:style>
  <w:style w:type="character" w:customStyle="1" w:styleId="SubtitleChar">
    <w:name w:val="Subtitle Char"/>
    <w:basedOn w:val="DefaultParagraphFont"/>
    <w:link w:val="Subtitle"/>
    <w:uiPriority w:val="11"/>
    <w:rsid w:val="000B73A3"/>
    <w:rPr>
      <w:rFonts w:ascii="Times New Roman" w:eastAsiaTheme="majorEastAsia" w:hAnsi="Times New Roman" w:cstheme="majorBidi"/>
      <w:i/>
      <w:iCs/>
      <w:sz w:val="24"/>
      <w:szCs w:val="24"/>
    </w:rPr>
  </w:style>
  <w:style w:type="paragraph" w:styleId="TOC2">
    <w:name w:val="toc 2"/>
    <w:basedOn w:val="Normal"/>
    <w:next w:val="Normal"/>
    <w:autoRedefine/>
    <w:uiPriority w:val="39"/>
    <w:unhideWhenUsed/>
    <w:rsid w:val="00260C55"/>
    <w:pPr>
      <w:tabs>
        <w:tab w:val="decimal" w:leader="dot" w:pos="8640"/>
      </w:tabs>
      <w:spacing w:after="240" w:line="240" w:lineRule="auto"/>
      <w:ind w:left="1440" w:hanging="720"/>
    </w:pPr>
    <w:rPr>
      <w:rFonts w:ascii="Times New Roman" w:hAnsi="Times New Roman" w:cs="Times New Roman"/>
      <w:sz w:val="24"/>
      <w:szCs w:val="24"/>
    </w:rPr>
  </w:style>
  <w:style w:type="paragraph" w:styleId="TOC5">
    <w:name w:val="toc 5"/>
    <w:basedOn w:val="Normal"/>
    <w:next w:val="Normal"/>
    <w:autoRedefine/>
    <w:uiPriority w:val="39"/>
    <w:unhideWhenUsed/>
    <w:rsid w:val="00260C55"/>
    <w:pPr>
      <w:tabs>
        <w:tab w:val="decimal" w:leader="dot" w:pos="8640"/>
      </w:tabs>
      <w:spacing w:after="240" w:line="240" w:lineRule="auto"/>
      <w:ind w:left="3600" w:hanging="720"/>
    </w:pPr>
    <w:rPr>
      <w:rFonts w:ascii="Times New Roman" w:hAnsi="Times New Roman" w:cs="Times New Roman"/>
      <w:sz w:val="24"/>
      <w:szCs w:val="24"/>
    </w:rPr>
  </w:style>
  <w:style w:type="character" w:customStyle="1" w:styleId="DocID">
    <w:name w:val="DocID"/>
    <w:basedOn w:val="DefaultParagraphFont"/>
    <w:uiPriority w:val="99"/>
    <w:semiHidden/>
    <w:rsid w:val="000B73A3"/>
    <w:rPr>
      <w:sz w:val="16"/>
    </w:rPr>
  </w:style>
  <w:style w:type="paragraph" w:customStyle="1" w:styleId="TaxDisclaimer">
    <w:name w:val="TaxDisclaimer"/>
    <w:basedOn w:val="Normal"/>
    <w:rsid w:val="000B73A3"/>
    <w:pPr>
      <w:spacing w:after="240" w:line="240" w:lineRule="auto"/>
      <w:jc w:val="both"/>
    </w:pPr>
    <w:rPr>
      <w:rFonts w:ascii="Times New Roman" w:eastAsia="Times New Roman" w:hAnsi="Times New Roman" w:cs="Times New Roman"/>
      <w:bCs/>
      <w:sz w:val="24"/>
      <w:szCs w:val="24"/>
    </w:rPr>
  </w:style>
  <w:style w:type="paragraph" w:customStyle="1" w:styleId="Footnote">
    <w:name w:val="Footnote"/>
    <w:basedOn w:val="Normal"/>
    <w:rsid w:val="000B73A3"/>
    <w:pPr>
      <w:widowControl w:val="0"/>
      <w:suppressAutoHyphens/>
      <w:spacing w:after="0" w:line="240" w:lineRule="auto"/>
    </w:pPr>
    <w:rPr>
      <w:rFonts w:ascii="Liberation Serif" w:eastAsia="WenQuanYi Micro Hei" w:hAnsi="Liberation Serif" w:cs="Lohit Devanagari"/>
      <w:color w:val="00000A"/>
      <w:sz w:val="24"/>
      <w:szCs w:val="24"/>
      <w:lang w:eastAsia="zh-CN" w:bidi="hi-IN"/>
    </w:rPr>
  </w:style>
  <w:style w:type="character" w:customStyle="1" w:styleId="FootnoteAnchor">
    <w:name w:val="Footnote Anchor"/>
    <w:rsid w:val="000B73A3"/>
    <w:rPr>
      <w:vertAlign w:val="superscript"/>
    </w:rPr>
  </w:style>
  <w:style w:type="character" w:customStyle="1" w:styleId="CommentSubjectChar">
    <w:name w:val="Comment Subject Char"/>
    <w:basedOn w:val="CommentTextChar"/>
    <w:link w:val="CommentSubject"/>
    <w:uiPriority w:val="99"/>
    <w:semiHidden/>
    <w:rsid w:val="000B73A3"/>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0B73A3"/>
    <w:pPr>
      <w:widowControl/>
      <w:overflowPunct/>
      <w:autoSpaceDE/>
      <w:autoSpaceDN/>
      <w:adjustRightInd/>
      <w:textAlignment w:val="auto"/>
    </w:pPr>
    <w:rPr>
      <w:rFonts w:eastAsiaTheme="minorHAnsi"/>
      <w:b/>
      <w:bCs/>
    </w:rPr>
  </w:style>
  <w:style w:type="paragraph" w:customStyle="1" w:styleId="A1">
    <w:name w:val="A1"/>
    <w:basedOn w:val="Normal"/>
    <w:qFormat/>
    <w:rsid w:val="000B73A3"/>
    <w:rPr>
      <w:rFonts w:ascii="Times New Roman" w:hAnsi="Times New Roman"/>
      <w:sz w:val="24"/>
    </w:rPr>
  </w:style>
  <w:style w:type="paragraph" w:styleId="HTMLPreformatted">
    <w:name w:val="HTML Preformatted"/>
    <w:basedOn w:val="Normal"/>
    <w:link w:val="HTMLPreformattedChar"/>
    <w:unhideWhenUsed/>
    <w:rsid w:val="00337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3749E"/>
    <w:rPr>
      <w:rFonts w:ascii="Courier New" w:eastAsia="Courier New" w:hAnsi="Courier New" w:cs="Courier New"/>
      <w:sz w:val="20"/>
      <w:szCs w:val="20"/>
    </w:rPr>
  </w:style>
  <w:style w:type="table" w:styleId="TableGrid">
    <w:name w:val="Table Grid"/>
    <w:basedOn w:val="TableNormal"/>
    <w:uiPriority w:val="59"/>
    <w:rsid w:val="00AE4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60C55"/>
    <w:pPr>
      <w:tabs>
        <w:tab w:val="decimal" w:leader="dot" w:pos="8640"/>
      </w:tabs>
      <w:spacing w:after="240" w:line="240" w:lineRule="auto"/>
      <w:ind w:left="720" w:hanging="720"/>
    </w:pPr>
    <w:rPr>
      <w:rFonts w:ascii="Times New Roman" w:hAnsi="Times New Roman"/>
      <w:sz w:val="24"/>
    </w:rPr>
  </w:style>
  <w:style w:type="paragraph" w:styleId="TOC3">
    <w:name w:val="toc 3"/>
    <w:basedOn w:val="Normal"/>
    <w:next w:val="Normal"/>
    <w:autoRedefine/>
    <w:uiPriority w:val="39"/>
    <w:unhideWhenUsed/>
    <w:rsid w:val="00BF587E"/>
    <w:pPr>
      <w:tabs>
        <w:tab w:val="decimal" w:leader="dot" w:pos="8640"/>
      </w:tabs>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rsid w:val="00260C55"/>
    <w:pPr>
      <w:tabs>
        <w:tab w:val="decimal" w:leader="dot" w:pos="8640"/>
      </w:tabs>
      <w:spacing w:after="240" w:line="240" w:lineRule="auto"/>
      <w:ind w:left="2880" w:hanging="720"/>
    </w:pPr>
    <w:rPr>
      <w:rFonts w:ascii="Times New Roman" w:hAnsi="Times New Roman"/>
      <w:sz w:val="24"/>
    </w:rPr>
  </w:style>
  <w:style w:type="paragraph" w:styleId="EndnoteText">
    <w:name w:val="endnote text"/>
    <w:basedOn w:val="Normal"/>
    <w:link w:val="EndnoteTextChar"/>
    <w:uiPriority w:val="99"/>
    <w:semiHidden/>
    <w:unhideWhenUsed/>
    <w:rsid w:val="00664A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4A8D"/>
    <w:rPr>
      <w:sz w:val="20"/>
      <w:szCs w:val="20"/>
    </w:rPr>
  </w:style>
  <w:style w:type="character" w:styleId="EndnoteReference">
    <w:name w:val="endnote reference"/>
    <w:basedOn w:val="DefaultParagraphFont"/>
    <w:uiPriority w:val="99"/>
    <w:semiHidden/>
    <w:unhideWhenUsed/>
    <w:rsid w:val="00664A8D"/>
    <w:rPr>
      <w:vertAlign w:val="superscript"/>
    </w:rPr>
  </w:style>
  <w:style w:type="paragraph" w:styleId="TOC6">
    <w:name w:val="toc 6"/>
    <w:basedOn w:val="Normal"/>
    <w:next w:val="Normal"/>
    <w:autoRedefine/>
    <w:uiPriority w:val="39"/>
    <w:unhideWhenUsed/>
    <w:qFormat/>
    <w:rsid w:val="008E5B8E"/>
    <w:pPr>
      <w:tabs>
        <w:tab w:val="decimal" w:leader="dot" w:pos="8640"/>
      </w:tabs>
      <w:spacing w:after="240" w:line="240" w:lineRule="auto"/>
      <w:ind w:left="4320" w:hanging="720"/>
    </w:pPr>
    <w:rPr>
      <w:rFonts w:ascii="Times New Roman" w:hAnsi="Times New Roman"/>
      <w:sz w:val="24"/>
    </w:rPr>
  </w:style>
  <w:style w:type="paragraph" w:styleId="TOC7">
    <w:name w:val="toc 7"/>
    <w:basedOn w:val="Normal"/>
    <w:next w:val="Normal"/>
    <w:autoRedefine/>
    <w:uiPriority w:val="39"/>
    <w:unhideWhenUsed/>
    <w:rsid w:val="009C4919"/>
    <w:pPr>
      <w:spacing w:after="100"/>
      <w:ind w:left="1320"/>
    </w:pPr>
  </w:style>
  <w:style w:type="paragraph" w:styleId="TOC8">
    <w:name w:val="toc 8"/>
    <w:basedOn w:val="Normal"/>
    <w:next w:val="Normal"/>
    <w:autoRedefine/>
    <w:uiPriority w:val="39"/>
    <w:unhideWhenUsed/>
    <w:rsid w:val="009C4919"/>
    <w:pPr>
      <w:spacing w:after="100"/>
      <w:ind w:left="1540"/>
    </w:pPr>
  </w:style>
  <w:style w:type="paragraph" w:styleId="TOC9">
    <w:name w:val="toc 9"/>
    <w:basedOn w:val="Normal"/>
    <w:next w:val="Normal"/>
    <w:autoRedefine/>
    <w:uiPriority w:val="39"/>
    <w:unhideWhenUsed/>
    <w:rsid w:val="009C4919"/>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qFormat="1"/>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Block Text" w:uiPriority="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1D77BB"/>
    <w:pPr>
      <w:keepNext/>
      <w:keepLines/>
      <w:spacing w:after="0" w:line="240" w:lineRule="auto"/>
      <w:ind w:left="720" w:hanging="720"/>
      <w:outlineLvl w:val="0"/>
    </w:pPr>
    <w:rPr>
      <w:rFonts w:ascii="Times New Roman Bold" w:eastAsiaTheme="majorEastAsia" w:hAnsi="Times New Roman Bold" w:cstheme="majorBidi"/>
      <w:b/>
      <w:bCs/>
      <w:caps/>
      <w:sz w:val="24"/>
      <w:szCs w:val="28"/>
    </w:rPr>
  </w:style>
  <w:style w:type="paragraph" w:styleId="Heading2">
    <w:name w:val="heading 2"/>
    <w:basedOn w:val="Normal"/>
    <w:next w:val="Normal"/>
    <w:link w:val="Heading2Char"/>
    <w:autoRedefine/>
    <w:unhideWhenUsed/>
    <w:qFormat/>
    <w:rsid w:val="007D22BE"/>
    <w:pPr>
      <w:keepNext/>
      <w:keepLines/>
      <w:spacing w:after="240" w:line="240" w:lineRule="auto"/>
      <w:ind w:left="1440" w:right="720" w:hanging="720"/>
      <w:outlineLvl w:val="1"/>
    </w:pPr>
    <w:rPr>
      <w:rFonts w:ascii="Times New Roman Bold" w:eastAsiaTheme="majorEastAsia" w:hAnsi="Times New Roman Bold" w:cs="Times New Roman"/>
      <w:b/>
      <w:bCs/>
      <w:sz w:val="24"/>
      <w:szCs w:val="26"/>
    </w:rPr>
  </w:style>
  <w:style w:type="paragraph" w:styleId="Heading3">
    <w:name w:val="heading 3"/>
    <w:basedOn w:val="Normal"/>
    <w:next w:val="Normal"/>
    <w:link w:val="Heading3Char"/>
    <w:autoRedefine/>
    <w:qFormat/>
    <w:rsid w:val="009F59F4"/>
    <w:pPr>
      <w:widowControl w:val="0"/>
      <w:spacing w:after="240" w:line="240" w:lineRule="auto"/>
      <w:ind w:left="2160" w:right="720" w:hanging="720"/>
      <w:outlineLvl w:val="2"/>
    </w:pPr>
    <w:rPr>
      <w:rFonts w:ascii="Times New Roman Bold" w:eastAsia="WenQuanYi Micro Hei" w:hAnsi="Times New Roman Bold" w:cs="Times New Roman"/>
      <w:b/>
      <w:sz w:val="24"/>
      <w:szCs w:val="24"/>
      <w:lang w:eastAsia="zh-CN" w:bidi="hi-IN"/>
    </w:rPr>
  </w:style>
  <w:style w:type="paragraph" w:styleId="Heading4">
    <w:name w:val="heading 4"/>
    <w:basedOn w:val="Normal"/>
    <w:next w:val="Normal"/>
    <w:link w:val="Heading4Char"/>
    <w:autoRedefine/>
    <w:unhideWhenUsed/>
    <w:qFormat/>
    <w:rsid w:val="00C401CE"/>
    <w:pPr>
      <w:keepNext/>
      <w:keepLines/>
      <w:spacing w:after="240" w:line="240" w:lineRule="auto"/>
      <w:ind w:left="2880" w:right="720" w:hanging="720"/>
      <w:outlineLvl w:val="3"/>
    </w:pPr>
    <w:rPr>
      <w:rFonts w:ascii="Times New Roman Bold" w:eastAsia="WenQuanYi Micro Hei" w:hAnsi="Times New Roman Bold" w:cstheme="majorBidi"/>
      <w:bCs/>
      <w:iCs/>
      <w:sz w:val="24"/>
      <w:szCs w:val="24"/>
      <w:lang w:eastAsia="zh-CN" w:bidi="hi-IN"/>
    </w:rPr>
  </w:style>
  <w:style w:type="paragraph" w:styleId="Heading5">
    <w:name w:val="heading 5"/>
    <w:basedOn w:val="Normal"/>
    <w:next w:val="Normal"/>
    <w:link w:val="Heading5Char"/>
    <w:autoRedefine/>
    <w:unhideWhenUsed/>
    <w:qFormat/>
    <w:rsid w:val="00316B0F"/>
    <w:pPr>
      <w:keepNext/>
      <w:keepLines/>
      <w:spacing w:after="240" w:line="240" w:lineRule="auto"/>
      <w:ind w:left="3600" w:right="720" w:hanging="720"/>
      <w:outlineLvl w:val="4"/>
    </w:pPr>
    <w:rPr>
      <w:rFonts w:ascii="Times New Roman" w:eastAsiaTheme="majorEastAsia" w:hAnsi="Times New Roman" w:cstheme="majorBidi"/>
      <w:b/>
      <w:sz w:val="24"/>
      <w:szCs w:val="24"/>
    </w:rPr>
  </w:style>
  <w:style w:type="paragraph" w:styleId="Heading6">
    <w:name w:val="heading 6"/>
    <w:basedOn w:val="Normal"/>
    <w:next w:val="BodyText"/>
    <w:link w:val="Heading6Char"/>
    <w:autoRedefine/>
    <w:unhideWhenUsed/>
    <w:qFormat/>
    <w:rsid w:val="00FE589F"/>
    <w:pPr>
      <w:keepNext/>
      <w:keepLines/>
      <w:spacing w:after="240" w:line="240" w:lineRule="auto"/>
      <w:ind w:left="4320" w:right="720" w:hanging="720"/>
      <w:outlineLvl w:val="5"/>
    </w:pPr>
    <w:rPr>
      <w:rFonts w:ascii="Times New Roman Bold" w:eastAsiaTheme="majorEastAsia" w:hAnsi="Times New Roman Bold" w:cstheme="majorBidi"/>
      <w:b/>
      <w:iCs/>
      <w:sz w:val="24"/>
      <w:szCs w:val="24"/>
    </w:rPr>
  </w:style>
  <w:style w:type="paragraph" w:styleId="Heading7">
    <w:name w:val="heading 7"/>
    <w:basedOn w:val="Normal"/>
    <w:next w:val="BodyText"/>
    <w:link w:val="Heading7Char"/>
    <w:semiHidden/>
    <w:unhideWhenUsed/>
    <w:qFormat/>
    <w:rsid w:val="000B73A3"/>
    <w:pPr>
      <w:keepNext/>
      <w:keepLines/>
      <w:spacing w:before="200" w:after="0" w:line="240" w:lineRule="auto"/>
      <w:outlineLvl w:val="6"/>
    </w:pPr>
    <w:rPr>
      <w:rFonts w:ascii="Times New Roman" w:eastAsiaTheme="majorEastAsia" w:hAnsi="Times New Roman" w:cstheme="majorBidi"/>
      <w:i/>
      <w:iCs/>
      <w:sz w:val="24"/>
      <w:szCs w:val="24"/>
    </w:rPr>
  </w:style>
  <w:style w:type="paragraph" w:styleId="Heading8">
    <w:name w:val="heading 8"/>
    <w:basedOn w:val="Normal"/>
    <w:next w:val="BodyText"/>
    <w:link w:val="Heading8Char"/>
    <w:semiHidden/>
    <w:unhideWhenUsed/>
    <w:qFormat/>
    <w:rsid w:val="000B73A3"/>
    <w:pPr>
      <w:keepNext/>
      <w:keepLines/>
      <w:spacing w:before="200" w:after="0" w:line="240" w:lineRule="auto"/>
      <w:outlineLvl w:val="7"/>
    </w:pPr>
    <w:rPr>
      <w:rFonts w:ascii="Times New Roman" w:eastAsiaTheme="majorEastAsia" w:hAnsi="Times New Roman" w:cstheme="majorBidi"/>
      <w:sz w:val="20"/>
      <w:szCs w:val="20"/>
    </w:rPr>
  </w:style>
  <w:style w:type="paragraph" w:styleId="Heading9">
    <w:name w:val="heading 9"/>
    <w:basedOn w:val="Normal"/>
    <w:next w:val="BodyText"/>
    <w:link w:val="Heading9Char"/>
    <w:semiHidden/>
    <w:unhideWhenUsed/>
    <w:qFormat/>
    <w:rsid w:val="000B73A3"/>
    <w:pPr>
      <w:keepNext/>
      <w:keepLines/>
      <w:spacing w:before="200" w:after="0" w:line="240" w:lineRule="auto"/>
      <w:outlineLvl w:val="8"/>
    </w:pPr>
    <w:rPr>
      <w:rFonts w:ascii="Times New Roman" w:eastAsiaTheme="majorEastAsia" w:hAnsi="Times New Roman"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7BB"/>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rsid w:val="007D22BE"/>
    <w:rPr>
      <w:rFonts w:ascii="Times New Roman Bold" w:eastAsiaTheme="majorEastAsia" w:hAnsi="Times New Roman Bold" w:cs="Times New Roman"/>
      <w:b/>
      <w:bCs/>
      <w:sz w:val="24"/>
      <w:szCs w:val="26"/>
    </w:rPr>
  </w:style>
  <w:style w:type="character" w:customStyle="1" w:styleId="Heading3Char">
    <w:name w:val="Heading 3 Char"/>
    <w:basedOn w:val="DefaultParagraphFont"/>
    <w:link w:val="Heading3"/>
    <w:rsid w:val="009F59F4"/>
    <w:rPr>
      <w:rFonts w:ascii="Times New Roman Bold" w:eastAsia="WenQuanYi Micro Hei" w:hAnsi="Times New Roman Bold" w:cs="Times New Roman"/>
      <w:b/>
      <w:sz w:val="24"/>
      <w:szCs w:val="24"/>
      <w:lang w:eastAsia="zh-CN" w:bidi="hi-IN"/>
    </w:rPr>
  </w:style>
  <w:style w:type="character" w:customStyle="1" w:styleId="Heading4Char">
    <w:name w:val="Heading 4 Char"/>
    <w:basedOn w:val="DefaultParagraphFont"/>
    <w:link w:val="Heading4"/>
    <w:rsid w:val="00C401CE"/>
    <w:rPr>
      <w:rFonts w:ascii="Times New Roman Bold" w:eastAsia="WenQuanYi Micro Hei" w:hAnsi="Times New Roman Bold" w:cstheme="majorBidi"/>
      <w:bCs/>
      <w:iCs/>
      <w:sz w:val="24"/>
      <w:szCs w:val="24"/>
      <w:lang w:eastAsia="zh-CN" w:bidi="hi-IN"/>
    </w:rPr>
  </w:style>
  <w:style w:type="character" w:customStyle="1" w:styleId="Heading5Char">
    <w:name w:val="Heading 5 Char"/>
    <w:basedOn w:val="DefaultParagraphFont"/>
    <w:link w:val="Heading5"/>
    <w:rsid w:val="00316B0F"/>
    <w:rPr>
      <w:rFonts w:ascii="Times New Roman" w:eastAsiaTheme="majorEastAsia" w:hAnsi="Times New Roman" w:cstheme="majorBidi"/>
      <w:b/>
      <w:sz w:val="24"/>
      <w:szCs w:val="24"/>
    </w:rPr>
  </w:style>
  <w:style w:type="paragraph" w:styleId="BodyText">
    <w:name w:val="Body Text"/>
    <w:basedOn w:val="Normal"/>
    <w:link w:val="BodyTextChar"/>
    <w:qFormat/>
    <w:rsid w:val="00F25E98"/>
    <w:pPr>
      <w:tabs>
        <w:tab w:val="left" w:pos="0"/>
        <w:tab w:val="left" w:pos="720"/>
      </w:tabs>
      <w:spacing w:after="0" w:line="48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25E98"/>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FE589F"/>
    <w:rPr>
      <w:rFonts w:ascii="Times New Roman Bold" w:eastAsiaTheme="majorEastAsia" w:hAnsi="Times New Roman Bold" w:cstheme="majorBidi"/>
      <w:b/>
      <w:iCs/>
      <w:sz w:val="24"/>
      <w:szCs w:val="24"/>
    </w:rPr>
  </w:style>
  <w:style w:type="character" w:customStyle="1" w:styleId="Heading7Char">
    <w:name w:val="Heading 7 Char"/>
    <w:basedOn w:val="DefaultParagraphFont"/>
    <w:link w:val="Heading7"/>
    <w:semiHidden/>
    <w:rsid w:val="000B73A3"/>
    <w:rPr>
      <w:rFonts w:ascii="Times New Roman" w:eastAsiaTheme="majorEastAsia" w:hAnsi="Times New Roman" w:cstheme="majorBidi"/>
      <w:i/>
      <w:iCs/>
      <w:sz w:val="24"/>
      <w:szCs w:val="24"/>
    </w:rPr>
  </w:style>
  <w:style w:type="character" w:customStyle="1" w:styleId="Heading8Char">
    <w:name w:val="Heading 8 Char"/>
    <w:basedOn w:val="DefaultParagraphFont"/>
    <w:link w:val="Heading8"/>
    <w:semiHidden/>
    <w:rsid w:val="000B73A3"/>
    <w:rPr>
      <w:rFonts w:ascii="Times New Roman" w:eastAsiaTheme="majorEastAsia" w:hAnsi="Times New Roman" w:cstheme="majorBidi"/>
      <w:sz w:val="20"/>
      <w:szCs w:val="20"/>
    </w:rPr>
  </w:style>
  <w:style w:type="character" w:customStyle="1" w:styleId="Heading9Char">
    <w:name w:val="Heading 9 Char"/>
    <w:basedOn w:val="DefaultParagraphFont"/>
    <w:link w:val="Heading9"/>
    <w:semiHidden/>
    <w:rsid w:val="000B73A3"/>
    <w:rPr>
      <w:rFonts w:ascii="Times New Roman" w:eastAsiaTheme="majorEastAsia" w:hAnsi="Times New Roman" w:cstheme="majorBidi"/>
      <w:i/>
      <w:iCs/>
      <w:sz w:val="20"/>
      <w:szCs w:val="20"/>
    </w:rPr>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Footnote Text Char Char,fn"/>
    <w:basedOn w:val="Normal"/>
    <w:link w:val="FootnoteTextChar"/>
    <w:uiPriority w:val="99"/>
    <w:unhideWhenUsed/>
    <w:rsid w:val="00875E64"/>
    <w:pPr>
      <w:spacing w:after="0" w:line="240" w:lineRule="auto"/>
    </w:pPr>
    <w:rPr>
      <w:sz w:val="20"/>
      <w:szCs w:val="20"/>
    </w:rPr>
  </w:style>
  <w:style w:type="character" w:customStyle="1" w:styleId="FootnoteTextChar">
    <w:name w:val="Footnote Text Char"/>
    <w:aliases w:val="Footnote Text Char2 Char,Footnote Text Char1 Char1 Char,Footnote Text Char Char Char1 Char,Footnote Text Char Char1 Char,Footnote Text Char1 Char Char Char,Footnote Text Char Char Char Char Char,Footnote Text Char Char Char,fn Char"/>
    <w:basedOn w:val="DefaultParagraphFont"/>
    <w:link w:val="FootnoteText"/>
    <w:uiPriority w:val="99"/>
    <w:rsid w:val="00875E64"/>
    <w:rPr>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Style 11,Style 21,Style 4"/>
    <w:basedOn w:val="DefaultParagraphFont"/>
    <w:uiPriority w:val="99"/>
    <w:unhideWhenUsed/>
    <w:rsid w:val="00875E64"/>
    <w:rPr>
      <w:vertAlign w:val="superscript"/>
    </w:rPr>
  </w:style>
  <w:style w:type="paragraph" w:styleId="ListParagraph">
    <w:name w:val="List Paragraph"/>
    <w:basedOn w:val="Normal"/>
    <w:uiPriority w:val="34"/>
    <w:qFormat/>
    <w:rsid w:val="00EE4742"/>
    <w:pPr>
      <w:ind w:left="720"/>
      <w:contextualSpacing/>
    </w:pPr>
  </w:style>
  <w:style w:type="character" w:styleId="CommentReference">
    <w:name w:val="annotation reference"/>
    <w:uiPriority w:val="99"/>
    <w:semiHidden/>
    <w:unhideWhenUsed/>
    <w:rsid w:val="00EE4742"/>
    <w:rPr>
      <w:sz w:val="16"/>
      <w:szCs w:val="16"/>
    </w:rPr>
  </w:style>
  <w:style w:type="paragraph" w:styleId="CommentText">
    <w:name w:val="annotation text"/>
    <w:basedOn w:val="Normal"/>
    <w:link w:val="CommentTextChar"/>
    <w:semiHidden/>
    <w:unhideWhenUsed/>
    <w:rsid w:val="00EE47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E474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4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742"/>
    <w:rPr>
      <w:rFonts w:ascii="Tahoma" w:hAnsi="Tahoma" w:cs="Tahoma"/>
      <w:sz w:val="16"/>
      <w:szCs w:val="16"/>
    </w:rPr>
  </w:style>
  <w:style w:type="character" w:customStyle="1" w:styleId="FootnoteTextChar3">
    <w:name w:val="Footnote Text Char3"/>
    <w:aliases w:val="Footnote Text Char2 Char2,Footnote Text Char1 Char1 Char1,Footnote Text Char Char Char1 Char1,Footnote Text Char Char1 Char1,Footnote Text Char1 Char Char Char1,Footnote Text Char Char Char Char Char1,Footnote Text Char Char Char2"/>
    <w:uiPriority w:val="99"/>
    <w:locked/>
    <w:rsid w:val="00A6371D"/>
    <w:rPr>
      <w:rFonts w:eastAsia="Times New Roman"/>
    </w:rPr>
  </w:style>
  <w:style w:type="character" w:styleId="Hyperlink">
    <w:name w:val="Hyperlink"/>
    <w:uiPriority w:val="99"/>
    <w:rsid w:val="00F25E98"/>
    <w:rPr>
      <w:color w:val="0000FF"/>
      <w:u w:val="single"/>
    </w:rPr>
  </w:style>
  <w:style w:type="paragraph" w:customStyle="1" w:styleId="Default">
    <w:name w:val="Default"/>
    <w:rsid w:val="00F25E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944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35"/>
  </w:style>
  <w:style w:type="paragraph" w:styleId="Footer">
    <w:name w:val="footer"/>
    <w:basedOn w:val="Normal"/>
    <w:link w:val="FooterChar"/>
    <w:uiPriority w:val="99"/>
    <w:unhideWhenUsed/>
    <w:rsid w:val="00944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35"/>
  </w:style>
  <w:style w:type="paragraph" w:styleId="Title">
    <w:name w:val="Title"/>
    <w:basedOn w:val="Normal"/>
    <w:next w:val="BodyText"/>
    <w:link w:val="TitleChar"/>
    <w:uiPriority w:val="10"/>
    <w:qFormat/>
    <w:rsid w:val="000B73A3"/>
    <w:pPr>
      <w:pBdr>
        <w:bottom w:val="single" w:sz="8" w:space="4" w:color="auto"/>
      </w:pBdr>
      <w:spacing w:after="240" w:line="240" w:lineRule="auto"/>
    </w:pPr>
    <w:rPr>
      <w:rFonts w:ascii="Times New Roman" w:eastAsiaTheme="majorEastAsia" w:hAnsi="Times New Roman" w:cstheme="majorBidi"/>
      <w:b/>
      <w:spacing w:val="5"/>
      <w:kern w:val="28"/>
      <w:sz w:val="24"/>
      <w:szCs w:val="52"/>
    </w:rPr>
  </w:style>
  <w:style w:type="character" w:customStyle="1" w:styleId="TitleChar">
    <w:name w:val="Title Char"/>
    <w:basedOn w:val="DefaultParagraphFont"/>
    <w:link w:val="Title"/>
    <w:uiPriority w:val="10"/>
    <w:rsid w:val="000B73A3"/>
    <w:rPr>
      <w:rFonts w:ascii="Times New Roman" w:eastAsiaTheme="majorEastAsia" w:hAnsi="Times New Roman" w:cstheme="majorBidi"/>
      <w:b/>
      <w:spacing w:val="5"/>
      <w:kern w:val="28"/>
      <w:sz w:val="24"/>
      <w:szCs w:val="52"/>
    </w:rPr>
  </w:style>
  <w:style w:type="paragraph" w:styleId="BodyText2">
    <w:name w:val="Body Text 2"/>
    <w:basedOn w:val="Normal"/>
    <w:link w:val="BodyText2Char"/>
    <w:qFormat/>
    <w:rsid w:val="000B73A3"/>
    <w:pPr>
      <w:spacing w:after="240" w:line="480" w:lineRule="auto"/>
      <w:ind w:firstLine="720"/>
    </w:pPr>
    <w:rPr>
      <w:rFonts w:ascii="Times New Roman" w:hAnsi="Times New Roman" w:cs="Times New Roman"/>
      <w:sz w:val="24"/>
      <w:szCs w:val="24"/>
    </w:rPr>
  </w:style>
  <w:style w:type="character" w:customStyle="1" w:styleId="BodyText2Char">
    <w:name w:val="Body Text 2 Char"/>
    <w:basedOn w:val="DefaultParagraphFont"/>
    <w:link w:val="BodyText2"/>
    <w:rsid w:val="000B73A3"/>
    <w:rPr>
      <w:rFonts w:ascii="Times New Roman" w:hAnsi="Times New Roman" w:cs="Times New Roman"/>
      <w:sz w:val="24"/>
      <w:szCs w:val="24"/>
    </w:rPr>
  </w:style>
  <w:style w:type="paragraph" w:styleId="BlockText">
    <w:name w:val="Block Text"/>
    <w:basedOn w:val="Normal"/>
    <w:qFormat/>
    <w:rsid w:val="000B73A3"/>
    <w:pPr>
      <w:spacing w:after="240" w:line="240" w:lineRule="auto"/>
    </w:pPr>
    <w:rPr>
      <w:rFonts w:ascii="Times New Roman" w:hAnsi="Times New Roman"/>
      <w:iCs/>
      <w:sz w:val="24"/>
      <w:szCs w:val="24"/>
    </w:rPr>
  </w:style>
  <w:style w:type="paragraph" w:styleId="Quote">
    <w:name w:val="Quote"/>
    <w:basedOn w:val="Normal"/>
    <w:next w:val="Normal"/>
    <w:link w:val="QuoteChar"/>
    <w:qFormat/>
    <w:rsid w:val="000B73A3"/>
    <w:pPr>
      <w:spacing w:after="240" w:line="240" w:lineRule="auto"/>
      <w:ind w:left="720" w:right="720"/>
    </w:pPr>
    <w:rPr>
      <w:rFonts w:ascii="Times New Roman" w:hAnsi="Times New Roman" w:cs="Times New Roman"/>
      <w:iCs/>
      <w:sz w:val="24"/>
      <w:szCs w:val="24"/>
    </w:rPr>
  </w:style>
  <w:style w:type="character" w:customStyle="1" w:styleId="QuoteChar">
    <w:name w:val="Quote Char"/>
    <w:basedOn w:val="DefaultParagraphFont"/>
    <w:link w:val="Quote"/>
    <w:rsid w:val="000B73A3"/>
    <w:rPr>
      <w:rFonts w:ascii="Times New Roman" w:hAnsi="Times New Roman" w:cs="Times New Roman"/>
      <w:iCs/>
      <w:sz w:val="24"/>
      <w:szCs w:val="24"/>
    </w:rPr>
  </w:style>
  <w:style w:type="paragraph" w:styleId="Subtitle">
    <w:name w:val="Subtitle"/>
    <w:basedOn w:val="Normal"/>
    <w:next w:val="BodyText"/>
    <w:link w:val="SubtitleChar"/>
    <w:uiPriority w:val="11"/>
    <w:rsid w:val="000B73A3"/>
    <w:pPr>
      <w:numPr>
        <w:ilvl w:val="1"/>
      </w:numPr>
      <w:spacing w:after="0" w:line="240" w:lineRule="auto"/>
    </w:pPr>
    <w:rPr>
      <w:rFonts w:ascii="Times New Roman" w:eastAsiaTheme="majorEastAsia" w:hAnsi="Times New Roman" w:cstheme="majorBidi"/>
      <w:i/>
      <w:iCs/>
      <w:sz w:val="24"/>
      <w:szCs w:val="24"/>
    </w:rPr>
  </w:style>
  <w:style w:type="character" w:customStyle="1" w:styleId="SubtitleChar">
    <w:name w:val="Subtitle Char"/>
    <w:basedOn w:val="DefaultParagraphFont"/>
    <w:link w:val="Subtitle"/>
    <w:uiPriority w:val="11"/>
    <w:rsid w:val="000B73A3"/>
    <w:rPr>
      <w:rFonts w:ascii="Times New Roman" w:eastAsiaTheme="majorEastAsia" w:hAnsi="Times New Roman" w:cstheme="majorBidi"/>
      <w:i/>
      <w:iCs/>
      <w:sz w:val="24"/>
      <w:szCs w:val="24"/>
    </w:rPr>
  </w:style>
  <w:style w:type="paragraph" w:styleId="TOC2">
    <w:name w:val="toc 2"/>
    <w:basedOn w:val="Normal"/>
    <w:next w:val="Normal"/>
    <w:autoRedefine/>
    <w:uiPriority w:val="39"/>
    <w:unhideWhenUsed/>
    <w:rsid w:val="00260C55"/>
    <w:pPr>
      <w:tabs>
        <w:tab w:val="decimal" w:leader="dot" w:pos="8640"/>
      </w:tabs>
      <w:spacing w:after="240" w:line="240" w:lineRule="auto"/>
      <w:ind w:left="1440" w:hanging="720"/>
    </w:pPr>
    <w:rPr>
      <w:rFonts w:ascii="Times New Roman" w:hAnsi="Times New Roman" w:cs="Times New Roman"/>
      <w:sz w:val="24"/>
      <w:szCs w:val="24"/>
    </w:rPr>
  </w:style>
  <w:style w:type="paragraph" w:styleId="TOC5">
    <w:name w:val="toc 5"/>
    <w:basedOn w:val="Normal"/>
    <w:next w:val="Normal"/>
    <w:autoRedefine/>
    <w:uiPriority w:val="39"/>
    <w:unhideWhenUsed/>
    <w:rsid w:val="00260C55"/>
    <w:pPr>
      <w:tabs>
        <w:tab w:val="decimal" w:leader="dot" w:pos="8640"/>
      </w:tabs>
      <w:spacing w:after="240" w:line="240" w:lineRule="auto"/>
      <w:ind w:left="3600" w:hanging="720"/>
    </w:pPr>
    <w:rPr>
      <w:rFonts w:ascii="Times New Roman" w:hAnsi="Times New Roman" w:cs="Times New Roman"/>
      <w:sz w:val="24"/>
      <w:szCs w:val="24"/>
    </w:rPr>
  </w:style>
  <w:style w:type="character" w:customStyle="1" w:styleId="DocID">
    <w:name w:val="DocID"/>
    <w:basedOn w:val="DefaultParagraphFont"/>
    <w:uiPriority w:val="99"/>
    <w:semiHidden/>
    <w:rsid w:val="000B73A3"/>
    <w:rPr>
      <w:sz w:val="16"/>
    </w:rPr>
  </w:style>
  <w:style w:type="paragraph" w:customStyle="1" w:styleId="TaxDisclaimer">
    <w:name w:val="TaxDisclaimer"/>
    <w:basedOn w:val="Normal"/>
    <w:rsid w:val="000B73A3"/>
    <w:pPr>
      <w:spacing w:after="240" w:line="240" w:lineRule="auto"/>
      <w:jc w:val="both"/>
    </w:pPr>
    <w:rPr>
      <w:rFonts w:ascii="Times New Roman" w:eastAsia="Times New Roman" w:hAnsi="Times New Roman" w:cs="Times New Roman"/>
      <w:bCs/>
      <w:sz w:val="24"/>
      <w:szCs w:val="24"/>
    </w:rPr>
  </w:style>
  <w:style w:type="paragraph" w:customStyle="1" w:styleId="Footnote">
    <w:name w:val="Footnote"/>
    <w:basedOn w:val="Normal"/>
    <w:rsid w:val="000B73A3"/>
    <w:pPr>
      <w:widowControl w:val="0"/>
      <w:suppressAutoHyphens/>
      <w:spacing w:after="0" w:line="240" w:lineRule="auto"/>
    </w:pPr>
    <w:rPr>
      <w:rFonts w:ascii="Liberation Serif" w:eastAsia="WenQuanYi Micro Hei" w:hAnsi="Liberation Serif" w:cs="Lohit Devanagari"/>
      <w:color w:val="00000A"/>
      <w:sz w:val="24"/>
      <w:szCs w:val="24"/>
      <w:lang w:eastAsia="zh-CN" w:bidi="hi-IN"/>
    </w:rPr>
  </w:style>
  <w:style w:type="character" w:customStyle="1" w:styleId="FootnoteAnchor">
    <w:name w:val="Footnote Anchor"/>
    <w:rsid w:val="000B73A3"/>
    <w:rPr>
      <w:vertAlign w:val="superscript"/>
    </w:rPr>
  </w:style>
  <w:style w:type="character" w:customStyle="1" w:styleId="CommentSubjectChar">
    <w:name w:val="Comment Subject Char"/>
    <w:basedOn w:val="CommentTextChar"/>
    <w:link w:val="CommentSubject"/>
    <w:uiPriority w:val="99"/>
    <w:semiHidden/>
    <w:rsid w:val="000B73A3"/>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0B73A3"/>
    <w:pPr>
      <w:widowControl/>
      <w:overflowPunct/>
      <w:autoSpaceDE/>
      <w:autoSpaceDN/>
      <w:adjustRightInd/>
      <w:textAlignment w:val="auto"/>
    </w:pPr>
    <w:rPr>
      <w:rFonts w:eastAsiaTheme="minorHAnsi"/>
      <w:b/>
      <w:bCs/>
    </w:rPr>
  </w:style>
  <w:style w:type="paragraph" w:customStyle="1" w:styleId="A1">
    <w:name w:val="A1"/>
    <w:basedOn w:val="Normal"/>
    <w:qFormat/>
    <w:rsid w:val="000B73A3"/>
    <w:rPr>
      <w:rFonts w:ascii="Times New Roman" w:hAnsi="Times New Roman"/>
      <w:sz w:val="24"/>
    </w:rPr>
  </w:style>
  <w:style w:type="paragraph" w:styleId="HTMLPreformatted">
    <w:name w:val="HTML Preformatted"/>
    <w:basedOn w:val="Normal"/>
    <w:link w:val="HTMLPreformattedChar"/>
    <w:unhideWhenUsed/>
    <w:rsid w:val="00337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3749E"/>
    <w:rPr>
      <w:rFonts w:ascii="Courier New" w:eastAsia="Courier New" w:hAnsi="Courier New" w:cs="Courier New"/>
      <w:sz w:val="20"/>
      <w:szCs w:val="20"/>
    </w:rPr>
  </w:style>
  <w:style w:type="table" w:styleId="TableGrid">
    <w:name w:val="Table Grid"/>
    <w:basedOn w:val="TableNormal"/>
    <w:uiPriority w:val="59"/>
    <w:rsid w:val="00AE4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60C55"/>
    <w:pPr>
      <w:tabs>
        <w:tab w:val="decimal" w:leader="dot" w:pos="8640"/>
      </w:tabs>
      <w:spacing w:after="240" w:line="240" w:lineRule="auto"/>
      <w:ind w:left="720" w:hanging="720"/>
    </w:pPr>
    <w:rPr>
      <w:rFonts w:ascii="Times New Roman" w:hAnsi="Times New Roman"/>
      <w:sz w:val="24"/>
    </w:rPr>
  </w:style>
  <w:style w:type="paragraph" w:styleId="TOC3">
    <w:name w:val="toc 3"/>
    <w:basedOn w:val="Normal"/>
    <w:next w:val="Normal"/>
    <w:autoRedefine/>
    <w:uiPriority w:val="39"/>
    <w:unhideWhenUsed/>
    <w:rsid w:val="00BF587E"/>
    <w:pPr>
      <w:tabs>
        <w:tab w:val="decimal" w:leader="dot" w:pos="8640"/>
      </w:tabs>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rsid w:val="00260C55"/>
    <w:pPr>
      <w:tabs>
        <w:tab w:val="decimal" w:leader="dot" w:pos="8640"/>
      </w:tabs>
      <w:spacing w:after="240" w:line="240" w:lineRule="auto"/>
      <w:ind w:left="2880" w:hanging="720"/>
    </w:pPr>
    <w:rPr>
      <w:rFonts w:ascii="Times New Roman" w:hAnsi="Times New Roman"/>
      <w:sz w:val="24"/>
    </w:rPr>
  </w:style>
  <w:style w:type="paragraph" w:styleId="EndnoteText">
    <w:name w:val="endnote text"/>
    <w:basedOn w:val="Normal"/>
    <w:link w:val="EndnoteTextChar"/>
    <w:uiPriority w:val="99"/>
    <w:semiHidden/>
    <w:unhideWhenUsed/>
    <w:rsid w:val="00664A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4A8D"/>
    <w:rPr>
      <w:sz w:val="20"/>
      <w:szCs w:val="20"/>
    </w:rPr>
  </w:style>
  <w:style w:type="character" w:styleId="EndnoteReference">
    <w:name w:val="endnote reference"/>
    <w:basedOn w:val="DefaultParagraphFont"/>
    <w:uiPriority w:val="99"/>
    <w:semiHidden/>
    <w:unhideWhenUsed/>
    <w:rsid w:val="00664A8D"/>
    <w:rPr>
      <w:vertAlign w:val="superscript"/>
    </w:rPr>
  </w:style>
  <w:style w:type="paragraph" w:styleId="TOC6">
    <w:name w:val="toc 6"/>
    <w:basedOn w:val="Normal"/>
    <w:next w:val="Normal"/>
    <w:autoRedefine/>
    <w:uiPriority w:val="39"/>
    <w:unhideWhenUsed/>
    <w:qFormat/>
    <w:rsid w:val="008E5B8E"/>
    <w:pPr>
      <w:tabs>
        <w:tab w:val="decimal" w:leader="dot" w:pos="8640"/>
      </w:tabs>
      <w:spacing w:after="240" w:line="240" w:lineRule="auto"/>
      <w:ind w:left="4320" w:hanging="720"/>
    </w:pPr>
    <w:rPr>
      <w:rFonts w:ascii="Times New Roman" w:hAnsi="Times New Roman"/>
      <w:sz w:val="24"/>
    </w:rPr>
  </w:style>
  <w:style w:type="paragraph" w:styleId="TOC7">
    <w:name w:val="toc 7"/>
    <w:basedOn w:val="Normal"/>
    <w:next w:val="Normal"/>
    <w:autoRedefine/>
    <w:uiPriority w:val="39"/>
    <w:unhideWhenUsed/>
    <w:rsid w:val="009C4919"/>
    <w:pPr>
      <w:spacing w:after="100"/>
      <w:ind w:left="1320"/>
    </w:pPr>
  </w:style>
  <w:style w:type="paragraph" w:styleId="TOC8">
    <w:name w:val="toc 8"/>
    <w:basedOn w:val="Normal"/>
    <w:next w:val="Normal"/>
    <w:autoRedefine/>
    <w:uiPriority w:val="39"/>
    <w:unhideWhenUsed/>
    <w:rsid w:val="009C4919"/>
    <w:pPr>
      <w:spacing w:after="100"/>
      <w:ind w:left="1540"/>
    </w:pPr>
  </w:style>
  <w:style w:type="paragraph" w:styleId="TOC9">
    <w:name w:val="toc 9"/>
    <w:basedOn w:val="Normal"/>
    <w:next w:val="Normal"/>
    <w:autoRedefine/>
    <w:uiPriority w:val="39"/>
    <w:unhideWhenUsed/>
    <w:rsid w:val="009C4919"/>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hyperlink" Target="mailto:jeffrey.mayes@monitoringanalytics.com" TargetMode="External"/><Relationship Id="rId21" Type="http://schemas.openxmlformats.org/officeDocument/2006/relationships/hyperlink" Target="mailto:Jodi.bair@occ.ohio.gov" TargetMode="External"/><Relationship Id="rId34" Type="http://schemas.openxmlformats.org/officeDocument/2006/relationships/hyperlink" Target="mailto:myurick@taftlaw.com" TargetMode="External"/><Relationship Id="rId42" Type="http://schemas.openxmlformats.org/officeDocument/2006/relationships/hyperlink" Target="mailto:mdortch@kravitzllc.com" TargetMode="External"/><Relationship Id="rId47" Type="http://schemas.openxmlformats.org/officeDocument/2006/relationships/hyperlink" Target="mailto:Kristin.henry@sierraclub.org" TargetMode="External"/><Relationship Id="rId50" Type="http://schemas.openxmlformats.org/officeDocument/2006/relationships/hyperlink" Target="mailto:rseiler@dickinsonwright.com" TargetMode="External"/><Relationship Id="rId55" Type="http://schemas.openxmlformats.org/officeDocument/2006/relationships/hyperlink" Target="mailto:mkurtz@BKLlawfirm.com" TargetMode="External"/><Relationship Id="rId63" Type="http://schemas.openxmlformats.org/officeDocument/2006/relationships/hyperlink" Target="mailto:Stephanie.Chmiel@ThompsonHine.com" TargetMode="External"/><Relationship Id="rId68" Type="http://schemas.openxmlformats.org/officeDocument/2006/relationships/hyperlink" Target="mailto:Schmidt@sppgrp.com" TargetMode="External"/><Relationship Id="rId76" Type="http://schemas.openxmlformats.org/officeDocument/2006/relationships/hyperlink" Target="mailto:evelyn.robinson@pjm.com" TargetMode="External"/><Relationship Id="rId7" Type="http://schemas.openxmlformats.org/officeDocument/2006/relationships/endnotes" Target="endnotes.xml"/><Relationship Id="rId71" Type="http://schemas.openxmlformats.org/officeDocument/2006/relationships/hyperlink" Target="mailto:cmooney@ohiopartners.org" TargetMode="External"/><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hyperlink" Target="mailto:haydenm@firstenergycorp.com" TargetMode="External"/><Relationship Id="rId11" Type="http://schemas.openxmlformats.org/officeDocument/2006/relationships/hyperlink" Target="mailto:dstinson@bricker.com" TargetMode="External"/><Relationship Id="rId24" Type="http://schemas.openxmlformats.org/officeDocument/2006/relationships/hyperlink" Target="mailto:msmalz@ohiopovertylaw.org" TargetMode="External"/><Relationship Id="rId32" Type="http://schemas.openxmlformats.org/officeDocument/2006/relationships/hyperlink" Target="mailto:jlang@calfee.com" TargetMode="External"/><Relationship Id="rId37" Type="http://schemas.openxmlformats.org/officeDocument/2006/relationships/hyperlink" Target="mailto:tdougherty@theOEC.org" TargetMode="External"/><Relationship Id="rId40" Type="http://schemas.openxmlformats.org/officeDocument/2006/relationships/hyperlink" Target="mailto:ricks@ohanet.org" TargetMode="External"/><Relationship Id="rId45" Type="http://schemas.openxmlformats.org/officeDocument/2006/relationships/hyperlink" Target="mailto:gpoulos@enernoc.com" TargetMode="External"/><Relationship Id="rId53" Type="http://schemas.openxmlformats.org/officeDocument/2006/relationships/hyperlink" Target="mailto:msmckenzie@aep.com" TargetMode="External"/><Relationship Id="rId58" Type="http://schemas.openxmlformats.org/officeDocument/2006/relationships/hyperlink" Target="mailto:sam@mwncmh.com" TargetMode="External"/><Relationship Id="rId66" Type="http://schemas.openxmlformats.org/officeDocument/2006/relationships/hyperlink" Target="mailto:charris@spilmanlaw.com" TargetMode="External"/><Relationship Id="rId74" Type="http://schemas.openxmlformats.org/officeDocument/2006/relationships/hyperlink" Target="mailto:jennifer.spinosi@directenergy.com"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Kurt.Helfrich@ThompsonHine.com" TargetMode="External"/><Relationship Id="rId10" Type="http://schemas.openxmlformats.org/officeDocument/2006/relationships/hyperlink" Target="mailto:kevin.moore@occ.ohio.gov" TargetMode="External"/><Relationship Id="rId19" Type="http://schemas.openxmlformats.org/officeDocument/2006/relationships/footer" Target="footer4.xml"/><Relationship Id="rId31" Type="http://schemas.openxmlformats.org/officeDocument/2006/relationships/hyperlink" Target="mailto:scasto@firstenergycorp.com" TargetMode="External"/><Relationship Id="rId44" Type="http://schemas.openxmlformats.org/officeDocument/2006/relationships/hyperlink" Target="mailto:sechler@carpenterlipps.com" TargetMode="External"/><Relationship Id="rId52" Type="http://schemas.openxmlformats.org/officeDocument/2006/relationships/hyperlink" Target="mailto:mjsatterwhite@aep.com" TargetMode="External"/><Relationship Id="rId60" Type="http://schemas.openxmlformats.org/officeDocument/2006/relationships/hyperlink" Target="mailto:mpritchard@mwncmh.com" TargetMode="External"/><Relationship Id="rId65" Type="http://schemas.openxmlformats.org/officeDocument/2006/relationships/hyperlink" Target="mailto:dwilliamson@spilmanlaw.com" TargetMode="External"/><Relationship Id="rId73" Type="http://schemas.openxmlformats.org/officeDocument/2006/relationships/hyperlink" Target="mailto:msoules@earthjustice.org" TargetMode="External"/><Relationship Id="rId78"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Jodi.bair@occ.ohio.gov" TargetMode="External"/><Relationship Id="rId14" Type="http://schemas.openxmlformats.org/officeDocument/2006/relationships/header" Target="header2.xml"/><Relationship Id="rId22" Type="http://schemas.openxmlformats.org/officeDocument/2006/relationships/hyperlink" Target="mailto:kevin.moore@occ.ohio.gov" TargetMode="External"/><Relationship Id="rId27" Type="http://schemas.openxmlformats.org/officeDocument/2006/relationships/hyperlink" Target="mailto:Steven.beeler@puc.state.oh.us" TargetMode="External"/><Relationship Id="rId30" Type="http://schemas.openxmlformats.org/officeDocument/2006/relationships/hyperlink" Target="mailto:jmcdermott@firstenergycorp.com" TargetMode="External"/><Relationship Id="rId35" Type="http://schemas.openxmlformats.org/officeDocument/2006/relationships/hyperlink" Target="mailto:callwein@keglerbrown.com" TargetMode="External"/><Relationship Id="rId43" Type="http://schemas.openxmlformats.org/officeDocument/2006/relationships/hyperlink" Target="mailto:joliker@igsenergy.com" TargetMode="External"/><Relationship Id="rId48" Type="http://schemas.openxmlformats.org/officeDocument/2006/relationships/hyperlink" Target="mailto:chris@envlaw.com" TargetMode="External"/><Relationship Id="rId56" Type="http://schemas.openxmlformats.org/officeDocument/2006/relationships/hyperlink" Target="mailto:kboehm@BKLlawfirm.com" TargetMode="External"/><Relationship Id="rId64" Type="http://schemas.openxmlformats.org/officeDocument/2006/relationships/hyperlink" Target="mailto:lhawrot@spilmanlaw.com" TargetMode="External"/><Relationship Id="rId69" Type="http://schemas.openxmlformats.org/officeDocument/2006/relationships/hyperlink" Target="mailto:Bojko@carpenterlipps.com" TargetMode="External"/><Relationship Id="rId77" Type="http://schemas.openxmlformats.org/officeDocument/2006/relationships/header" Target="header5.xml"/><Relationship Id="rId8" Type="http://schemas.openxmlformats.org/officeDocument/2006/relationships/hyperlink" Target="mailto:William.michael@occ.ohio.gov" TargetMode="External"/><Relationship Id="rId51" Type="http://schemas.openxmlformats.org/officeDocument/2006/relationships/hyperlink" Target="mailto:stnourse@aep.com" TargetMode="External"/><Relationship Id="rId72" Type="http://schemas.openxmlformats.org/officeDocument/2006/relationships/hyperlink" Target="mailto:drinebolt@ohiopartners.org" TargetMode="External"/><Relationship Id="rId80" Type="http://schemas.openxmlformats.org/officeDocument/2006/relationships/theme" Target="theme/theme1.xml"/><Relationship Id="rId85" Type="http://schemas.microsoft.com/office/2011/relationships/commentsExtended" Target="commentsExtended.xml"/><Relationship Id="rId3" Type="http://schemas.microsoft.com/office/2007/relationships/stylesWithEffects" Target="stylesWithEffects.xml"/><Relationship Id="rId12" Type="http://schemas.openxmlformats.org/officeDocument/2006/relationships/hyperlink" Target="mailto:msmalz@ohiopovertylaw.org" TargetMode="Externa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hyperlink" Target="mailto:talexander@calfee.com" TargetMode="External"/><Relationship Id="rId38" Type="http://schemas.openxmlformats.org/officeDocument/2006/relationships/hyperlink" Target="mailto:twilliams@snhslaw.com" TargetMode="External"/><Relationship Id="rId46" Type="http://schemas.openxmlformats.org/officeDocument/2006/relationships/hyperlink" Target="mailto:sfisk@earthjustice.org" TargetMode="External"/><Relationship Id="rId59" Type="http://schemas.openxmlformats.org/officeDocument/2006/relationships/hyperlink" Target="mailto:fdarr@mwncmh.com" TargetMode="External"/><Relationship Id="rId67" Type="http://schemas.openxmlformats.org/officeDocument/2006/relationships/hyperlink" Target="mailto:Stephen.Chriss@walmart.com" TargetMode="External"/><Relationship Id="rId20" Type="http://schemas.openxmlformats.org/officeDocument/2006/relationships/hyperlink" Target="mailto:William.michael@occ.ohio.gov" TargetMode="External"/><Relationship Id="rId41" Type="http://schemas.openxmlformats.org/officeDocument/2006/relationships/hyperlink" Target="mailto:tobrien@bricker.com" TargetMode="External"/><Relationship Id="rId54" Type="http://schemas.openxmlformats.org/officeDocument/2006/relationships/hyperlink" Target="mailto:dconway@porterwright.com" TargetMode="External"/><Relationship Id="rId62" Type="http://schemas.openxmlformats.org/officeDocument/2006/relationships/hyperlink" Target="mailto:Scott.Campbell@ThompsonHine.com" TargetMode="External"/><Relationship Id="rId70" Type="http://schemas.openxmlformats.org/officeDocument/2006/relationships/hyperlink" Target="mailto:orourke@carpenterlipps.com" TargetMode="External"/><Relationship Id="rId75" Type="http://schemas.openxmlformats.org/officeDocument/2006/relationships/hyperlink" Target="mailto:laurie.williams@sierraclub.or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mailto:dstinson@bricker.com" TargetMode="External"/><Relationship Id="rId28" Type="http://schemas.openxmlformats.org/officeDocument/2006/relationships/hyperlink" Target="mailto:Werner.margard@puc.state.oh.us" TargetMode="External"/><Relationship Id="rId36" Type="http://schemas.openxmlformats.org/officeDocument/2006/relationships/hyperlink" Target="mailto:tony.mendoza@sierraclub.org" TargetMode="External"/><Relationship Id="rId49" Type="http://schemas.openxmlformats.org/officeDocument/2006/relationships/hyperlink" Target="mailto:todonnell@dickinsonwright.com" TargetMode="External"/><Relationship Id="rId57" Type="http://schemas.openxmlformats.org/officeDocument/2006/relationships/hyperlink" Target="mailto:jkylercohn@BKLlawfi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40730</Words>
  <Characters>216845</Characters>
  <Application>Microsoft Office Word</Application>
  <DocSecurity>0</DocSecurity>
  <Lines>3971</Lines>
  <Paragraphs>886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258675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2016-01-31T22:10:00Z</cp:lastPrinted>
  <dcterms:created xsi:type="dcterms:W3CDTF">2016-02-01T21:29:00Z</dcterms:created>
  <dcterms:modified xsi:type="dcterms:W3CDTF">2016-02-01T21:29:00Z</dcterms:modified>
  <cp:category> </cp:category>
  <cp:contentStatus> </cp:contentStatus>
</cp:coreProperties>
</file>