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ED" w:rsidRDefault="008F63ED"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bookmarkStart w:id="0" w:name="_Toc443989198"/>
      <w:bookmarkStart w:id="1" w:name="_GoBack"/>
      <w:bookmarkEnd w:id="1"/>
      <w:r>
        <w:rPr>
          <w:rFonts w:eastAsia="Courier New" w:cs="Courier New"/>
          <w:b/>
          <w:bCs/>
          <w:szCs w:val="20"/>
        </w:rPr>
        <w:t>BEFORE</w:t>
      </w:r>
    </w:p>
    <w:p w:rsidR="008F63ED" w:rsidRDefault="008F63ED"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szCs w:val="20"/>
        </w:rPr>
      </w:pPr>
      <w:r>
        <w:rPr>
          <w:rFonts w:eastAsia="Courier New" w:cs="Courier New"/>
          <w:b/>
          <w:bCs/>
          <w:szCs w:val="20"/>
        </w:rPr>
        <w:t>THE PUBLIC UTILITIES COMMISSION OF OHIO</w:t>
      </w:r>
    </w:p>
    <w:p w:rsidR="008F63ED" w:rsidRDefault="008F63ED"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bl>
      <w:tblPr>
        <w:tblW w:w="9092" w:type="dxa"/>
        <w:tblLook w:val="01E0" w:firstRow="1" w:lastRow="1" w:firstColumn="1" w:lastColumn="1" w:noHBand="0" w:noVBand="0"/>
      </w:tblPr>
      <w:tblGrid>
        <w:gridCol w:w="4332"/>
        <w:gridCol w:w="360"/>
        <w:gridCol w:w="4400"/>
      </w:tblGrid>
      <w:tr w:rsidR="008F63ED" w:rsidTr="00212456">
        <w:trPr>
          <w:trHeight w:val="807"/>
        </w:trPr>
        <w:tc>
          <w:tcPr>
            <w:tcW w:w="4332" w:type="dxa"/>
          </w:tcPr>
          <w:p w:rsidR="008F63ED" w:rsidRDefault="008F63ED" w:rsidP="00212456">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Seeking Approval of Ohio Power Company’s Proposal to Enter into an Affiliate Power Purchase Agreement in the Power Purchase Agreement Rider.</w:t>
            </w:r>
          </w:p>
          <w:p w:rsidR="008F63ED" w:rsidRDefault="008F63ED" w:rsidP="00212456">
            <w:pPr>
              <w:autoSpaceDE w:val="0"/>
              <w:autoSpaceDN w:val="0"/>
              <w:adjustRightInd w:val="0"/>
              <w:spacing w:after="0" w:line="240" w:lineRule="auto"/>
              <w:rPr>
                <w:rFonts w:eastAsiaTheme="minorEastAsia" w:cs="Times New Roman"/>
                <w:szCs w:val="24"/>
              </w:rPr>
            </w:pPr>
          </w:p>
          <w:p w:rsidR="008F63ED" w:rsidRDefault="008F63ED" w:rsidP="00212456">
            <w:pPr>
              <w:autoSpaceDE w:val="0"/>
              <w:autoSpaceDN w:val="0"/>
              <w:adjustRightInd w:val="0"/>
              <w:spacing w:after="0" w:line="240" w:lineRule="auto"/>
              <w:rPr>
                <w:rFonts w:eastAsia="Courier New" w:cs="Courier New"/>
                <w:szCs w:val="24"/>
              </w:rPr>
            </w:pPr>
            <w:r>
              <w:rPr>
                <w:rFonts w:eastAsiaTheme="minorEastAsia" w:cs="Times New Roman"/>
                <w:szCs w:val="24"/>
              </w:rPr>
              <w:t xml:space="preserve">In the Matter of the Application of Ohio Power Company for Approval of Certain Accounting Authority. </w:t>
            </w:r>
          </w:p>
        </w:tc>
        <w:tc>
          <w:tcPr>
            <w:tcW w:w="360" w:type="dxa"/>
          </w:tcPr>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c>
        <w:tc>
          <w:tcPr>
            <w:tcW w:w="4400" w:type="dxa"/>
          </w:tcPr>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Case No. 14-1693-EL-RDR</w:t>
            </w:r>
          </w:p>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8F63ED" w:rsidRDefault="008F63ED" w:rsidP="0021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Case No. 14-1694-EL-AAM</w:t>
            </w:r>
          </w:p>
        </w:tc>
      </w:tr>
    </w:tbl>
    <w:p w:rsidR="008F63ED" w:rsidRDefault="008F63ED" w:rsidP="008F63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8F63ED" w:rsidRDefault="008F63ED"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i/>
          <w:szCs w:val="20"/>
        </w:rPr>
      </w:pPr>
    </w:p>
    <w:p w:rsidR="008F63ED" w:rsidRDefault="008F63ED" w:rsidP="008F63ED">
      <w:pPr>
        <w:spacing w:after="0" w:line="240" w:lineRule="auto"/>
        <w:jc w:val="center"/>
        <w:rPr>
          <w:b/>
        </w:rPr>
      </w:pPr>
      <w:r>
        <w:rPr>
          <w:b/>
        </w:rPr>
        <w:t>REPLY TO OHIO POWER COMPANY’S MEMORANDUM CONTRA MOTION TO STAY PROCEEDINGS PENDING A RULING BY FERC</w:t>
      </w:r>
    </w:p>
    <w:p w:rsidR="008F63ED" w:rsidRPr="009B2CE9" w:rsidRDefault="008F63ED" w:rsidP="008F63ED">
      <w:pPr>
        <w:spacing w:after="0" w:line="240" w:lineRule="auto"/>
        <w:jc w:val="center"/>
        <w:rPr>
          <w:b/>
        </w:rPr>
      </w:pPr>
      <w:r>
        <w:rPr>
          <w:b/>
        </w:rPr>
        <w:t xml:space="preserve">FILED </w:t>
      </w:r>
      <w:r>
        <w:rPr>
          <w:rFonts w:eastAsia="Courier New" w:cs="Courier New"/>
          <w:b/>
          <w:bCs/>
          <w:szCs w:val="20"/>
        </w:rPr>
        <w:t>BY</w:t>
      </w:r>
    </w:p>
    <w:p w:rsidR="008F63ED" w:rsidRDefault="008F63ED"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 xml:space="preserve">THE OFFICE OF THE OHIO CONSUMERS’ COUNSEL, </w:t>
      </w:r>
    </w:p>
    <w:p w:rsidR="008F63ED" w:rsidRDefault="008F63ED"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 xml:space="preserve">THE APPALACHIAN PEACE AND JUSTICE NETWORK, </w:t>
      </w:r>
    </w:p>
    <w:p w:rsidR="008F63ED" w:rsidRDefault="008F63ED"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 xml:space="preserve">AND </w:t>
      </w:r>
    </w:p>
    <w:p w:rsidR="008F63ED" w:rsidRDefault="008F63ED"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THE OHIO MANUFACTURERS’ ASSOCIATION ENERGY GROUP</w:t>
      </w:r>
    </w:p>
    <w:p w:rsidR="008F63ED" w:rsidRDefault="008F63ED" w:rsidP="008F63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8F63ED" w:rsidRDefault="008F63ED" w:rsidP="008F63ED">
      <w:pPr>
        <w:spacing w:after="0" w:line="480" w:lineRule="auto"/>
        <w:rPr>
          <w:rFonts w:eastAsiaTheme="minorEastAsia" w:cs="Times New Roman"/>
        </w:rPr>
      </w:pPr>
    </w:p>
    <w:p w:rsidR="0072070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8F63ED" w:rsidRDefault="0072070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008F63ED">
        <w:rPr>
          <w:rFonts w:eastAsiaTheme="minorEastAsia" w:cs="Times New Roman"/>
        </w:rPr>
        <w:t>BRUCE J. WESTON (0016973)</w:t>
      </w:r>
    </w:p>
    <w:p w:rsidR="008F63E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OHIO CONSUMERS’ COUNSEL</w:t>
      </w:r>
    </w:p>
    <w:p w:rsidR="008F63E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8F63E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William J. Michael (0070921)</w:t>
      </w:r>
    </w:p>
    <w:p w:rsidR="008F63E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Counsel of Record</w:t>
      </w:r>
    </w:p>
    <w:p w:rsidR="008F63E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Jodi J. Bair (0062921)</w:t>
      </w:r>
    </w:p>
    <w:p w:rsidR="008F63E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Kevin F. Moore (0089228)</w:t>
      </w:r>
    </w:p>
    <w:p w:rsidR="008F63E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Assistant Consumers’ Counsel</w:t>
      </w:r>
    </w:p>
    <w:p w:rsidR="008F63ED" w:rsidRDefault="008F63ED" w:rsidP="008F63ED">
      <w:pPr>
        <w:spacing w:after="0" w:line="240" w:lineRule="auto"/>
        <w:rPr>
          <w:rFonts w:eastAsiaTheme="minorEastAsia" w:cs="Times New Roman"/>
        </w:rPr>
      </w:pPr>
    </w:p>
    <w:p w:rsidR="008F63ED" w:rsidRDefault="008F63ED" w:rsidP="008F63ED">
      <w:pPr>
        <w:spacing w:after="0" w:line="240" w:lineRule="auto"/>
        <w:rPr>
          <w:rFonts w:eastAsiaTheme="minorEastAsia" w:cs="Times New Roman"/>
          <w:b/>
        </w:rPr>
      </w:pP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t>Office of the Ohio Consumers’ Counsel</w:t>
      </w:r>
    </w:p>
    <w:p w:rsidR="008F63E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10 W. Broad Street, Suite 1800</w:t>
      </w:r>
    </w:p>
    <w:p w:rsidR="008F63E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Columbus, Ohio 43215-3485</w:t>
      </w:r>
    </w:p>
    <w:p w:rsidR="008F63E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[Michael]: 614-466-1291</w:t>
      </w:r>
    </w:p>
    <w:p w:rsidR="008F63E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[Bair]: 614-466-9559</w:t>
      </w:r>
    </w:p>
    <w:p w:rsidR="008F63E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[Moore]: 614-466-2965</w:t>
      </w:r>
    </w:p>
    <w:p w:rsidR="008F63E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hyperlink r:id="rId8" w:history="1">
        <w:r>
          <w:rPr>
            <w:rStyle w:val="Hyperlink"/>
            <w:rFonts w:eastAsiaTheme="minorEastAsia"/>
          </w:rPr>
          <w:t>William.michael@occ.ohio.gov</w:t>
        </w:r>
      </w:hyperlink>
    </w:p>
    <w:p w:rsidR="008F63E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hyperlink r:id="rId9" w:history="1">
        <w:r>
          <w:rPr>
            <w:rStyle w:val="Hyperlink"/>
            <w:rFonts w:eastAsiaTheme="minorEastAsia"/>
          </w:rPr>
          <w:t>Jodi.bair@occ.ohio.gov</w:t>
        </w:r>
      </w:hyperlink>
    </w:p>
    <w:p w:rsidR="008F63E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hyperlink r:id="rId10" w:history="1">
        <w:r w:rsidR="00225C64" w:rsidRPr="004534F6">
          <w:rPr>
            <w:rStyle w:val="Hyperlink"/>
            <w:rFonts w:eastAsiaTheme="minorEastAsia"/>
          </w:rPr>
          <w:t>Kevin.moore@occ.ohio.gov</w:t>
        </w:r>
      </w:hyperlink>
    </w:p>
    <w:p w:rsidR="008F63ED" w:rsidRDefault="008F63ED" w:rsidP="008F63E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w:t>
      </w:r>
      <w:r w:rsidR="0072070D">
        <w:rPr>
          <w:rFonts w:eastAsiaTheme="minorEastAsia" w:cs="Times New Roman"/>
        </w:rPr>
        <w:t xml:space="preserve">All attorneys </w:t>
      </w:r>
      <w:r>
        <w:rPr>
          <w:rFonts w:eastAsiaTheme="minorEastAsia" w:cs="Times New Roman"/>
        </w:rPr>
        <w:t>will accept service via email)</w:t>
      </w:r>
    </w:p>
    <w:p w:rsidR="0072070D" w:rsidRDefault="0072070D">
      <w:pPr>
        <w:rPr>
          <w:rFonts w:eastAsiaTheme="minorEastAsia" w:cs="Times New Roman"/>
          <w:szCs w:val="24"/>
        </w:rPr>
      </w:pPr>
      <w:r>
        <w:rPr>
          <w:rFonts w:eastAsiaTheme="minorEastAsia" w:cs="Times New Roman"/>
          <w:szCs w:val="24"/>
        </w:rPr>
        <w:br w:type="page"/>
      </w:r>
    </w:p>
    <w:p w:rsidR="008F63ED" w:rsidRDefault="008F63ED" w:rsidP="008F63E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lastRenderedPageBreak/>
        <w:t>Dane Stinson (0019101)</w:t>
      </w:r>
    </w:p>
    <w:p w:rsidR="008F63ED" w:rsidRDefault="008F63ED" w:rsidP="008F63E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Bricker &amp; Eckler LLP</w:t>
      </w:r>
    </w:p>
    <w:p w:rsidR="008F63ED" w:rsidRDefault="008F63ED" w:rsidP="008F63E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100 S. Third St.</w:t>
      </w:r>
    </w:p>
    <w:p w:rsidR="008F63ED" w:rsidRDefault="008F63ED" w:rsidP="008F63E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Columbus, OH 43215</w:t>
      </w:r>
    </w:p>
    <w:p w:rsidR="008F63ED" w:rsidRDefault="008F63ED" w:rsidP="008F63E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Phone:  (614) 227-2300</w:t>
      </w:r>
    </w:p>
    <w:p w:rsidR="008F63ED" w:rsidRDefault="007532E7" w:rsidP="008F63ED">
      <w:pPr>
        <w:autoSpaceDE w:val="0"/>
        <w:autoSpaceDN w:val="0"/>
        <w:adjustRightInd w:val="0"/>
        <w:spacing w:after="0" w:line="240" w:lineRule="auto"/>
        <w:ind w:left="4320"/>
        <w:rPr>
          <w:rFonts w:eastAsiaTheme="minorEastAsia" w:cs="Times New Roman"/>
          <w:color w:val="0000FF"/>
          <w:szCs w:val="24"/>
          <w:u w:val="single"/>
        </w:rPr>
      </w:pPr>
      <w:hyperlink r:id="rId11" w:history="1">
        <w:r w:rsidR="008F63ED">
          <w:rPr>
            <w:rStyle w:val="Hyperlink"/>
            <w:rFonts w:eastAsiaTheme="minorEastAsia"/>
          </w:rPr>
          <w:t>dstinson@bricker.com</w:t>
        </w:r>
      </w:hyperlink>
    </w:p>
    <w:p w:rsidR="008F63ED" w:rsidRDefault="008F63ED" w:rsidP="008F63E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(will accept service via email)</w:t>
      </w:r>
    </w:p>
    <w:p w:rsidR="008F63ED" w:rsidRDefault="008F63ED" w:rsidP="008F63ED">
      <w:pPr>
        <w:autoSpaceDE w:val="0"/>
        <w:autoSpaceDN w:val="0"/>
        <w:adjustRightInd w:val="0"/>
        <w:spacing w:after="0" w:line="240" w:lineRule="auto"/>
        <w:ind w:left="4320"/>
        <w:rPr>
          <w:rFonts w:eastAsiaTheme="minorEastAsia" w:cs="Times New Roman"/>
          <w:szCs w:val="24"/>
        </w:rPr>
      </w:pPr>
    </w:p>
    <w:p w:rsidR="008F63ED" w:rsidRDefault="008F63ED" w:rsidP="008F63ED">
      <w:pPr>
        <w:autoSpaceDE w:val="0"/>
        <w:autoSpaceDN w:val="0"/>
        <w:adjustRightInd w:val="0"/>
        <w:spacing w:after="0" w:line="240" w:lineRule="auto"/>
        <w:ind w:left="4320"/>
        <w:rPr>
          <w:rFonts w:eastAsiaTheme="minorEastAsia" w:cs="Times New Roman"/>
          <w:i/>
          <w:szCs w:val="24"/>
        </w:rPr>
      </w:pPr>
      <w:r>
        <w:rPr>
          <w:rFonts w:eastAsiaTheme="minorEastAsia" w:cs="Times New Roman"/>
          <w:i/>
          <w:szCs w:val="24"/>
        </w:rPr>
        <w:t xml:space="preserve">Outside Counsel for the Office of </w:t>
      </w:r>
    </w:p>
    <w:p w:rsidR="008F63ED" w:rsidRDefault="008F63ED" w:rsidP="008F63ED">
      <w:pPr>
        <w:autoSpaceDE w:val="0"/>
        <w:autoSpaceDN w:val="0"/>
        <w:adjustRightInd w:val="0"/>
        <w:spacing w:after="0" w:line="240" w:lineRule="auto"/>
        <w:ind w:left="4320"/>
        <w:rPr>
          <w:rFonts w:eastAsiaTheme="minorEastAsia" w:cs="Times New Roman"/>
          <w:szCs w:val="24"/>
        </w:rPr>
      </w:pPr>
      <w:r>
        <w:rPr>
          <w:rFonts w:eastAsiaTheme="minorEastAsia" w:cs="Times New Roman"/>
          <w:i/>
          <w:szCs w:val="24"/>
        </w:rPr>
        <w:t>The Ohio Consumers’ Counsel</w:t>
      </w:r>
    </w:p>
    <w:p w:rsidR="008F63ED" w:rsidRDefault="008F63ED" w:rsidP="008F63ED">
      <w:pPr>
        <w:autoSpaceDE w:val="0"/>
        <w:autoSpaceDN w:val="0"/>
        <w:adjustRightInd w:val="0"/>
        <w:spacing w:after="0" w:line="240" w:lineRule="auto"/>
        <w:ind w:left="4320"/>
        <w:rPr>
          <w:rFonts w:eastAsiaTheme="minorEastAsia" w:cs="Times New Roman"/>
          <w:szCs w:val="24"/>
        </w:rPr>
      </w:pPr>
    </w:p>
    <w:p w:rsidR="008F63ED" w:rsidRDefault="008F63ED" w:rsidP="008F63ED">
      <w:pPr>
        <w:autoSpaceDE w:val="0"/>
        <w:autoSpaceDN w:val="0"/>
        <w:adjustRightInd w:val="0"/>
        <w:spacing w:after="0" w:line="240" w:lineRule="auto"/>
        <w:ind w:left="4320"/>
        <w:rPr>
          <w:rFonts w:eastAsiaTheme="minorEastAsia" w:cs="Times New Roman"/>
          <w:szCs w:val="24"/>
        </w:rPr>
      </w:pPr>
    </w:p>
    <w:p w:rsidR="008F63ED" w:rsidRDefault="008F63ED" w:rsidP="008F63ED">
      <w:pPr>
        <w:spacing w:after="0"/>
        <w:rPr>
          <w:rFonts w:eastAsiaTheme="minorEastAsia" w:cs="Times New Roman"/>
          <w:szCs w:val="24"/>
        </w:rPr>
      </w:pPr>
      <w:r>
        <w:rPr>
          <w:rFonts w:eastAsiaTheme="minorEastAsia" w:cs="Times New Roman"/>
          <w:i/>
          <w:szCs w:val="24"/>
        </w:rPr>
        <w:tab/>
      </w:r>
      <w:r>
        <w:rPr>
          <w:rFonts w:eastAsiaTheme="minorEastAsia" w:cs="Times New Roman"/>
          <w:i/>
          <w:szCs w:val="24"/>
        </w:rPr>
        <w:tab/>
      </w:r>
      <w:r>
        <w:rPr>
          <w:rFonts w:eastAsiaTheme="minorEastAsia" w:cs="Times New Roman"/>
          <w:i/>
          <w:szCs w:val="24"/>
        </w:rPr>
        <w:tab/>
      </w:r>
      <w:r>
        <w:rPr>
          <w:rFonts w:eastAsiaTheme="minorEastAsia" w:cs="Times New Roman"/>
          <w:i/>
          <w:szCs w:val="24"/>
        </w:rPr>
        <w:tab/>
      </w:r>
      <w:r>
        <w:rPr>
          <w:rFonts w:eastAsiaTheme="minorEastAsia" w:cs="Times New Roman"/>
          <w:i/>
          <w:szCs w:val="24"/>
        </w:rPr>
        <w:tab/>
      </w:r>
      <w:r>
        <w:rPr>
          <w:rFonts w:eastAsiaTheme="minorEastAsia" w:cs="Times New Roman"/>
          <w:i/>
          <w:szCs w:val="24"/>
        </w:rPr>
        <w:tab/>
      </w:r>
      <w:r>
        <w:rPr>
          <w:rFonts w:eastAsiaTheme="minorEastAsia" w:cs="Times New Roman"/>
          <w:szCs w:val="24"/>
        </w:rPr>
        <w:t>Michael R. Smalz (0041897)</w:t>
      </w:r>
    </w:p>
    <w:p w:rsidR="008F63ED" w:rsidRDefault="008F63ED" w:rsidP="008F63E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Counsel of Record</w:t>
      </w:r>
    </w:p>
    <w:p w:rsidR="008F63ED" w:rsidRDefault="008F63ED" w:rsidP="008F63E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Ohio Poverty Law Center</w:t>
      </w:r>
    </w:p>
    <w:p w:rsidR="008F63ED" w:rsidRDefault="008F63ED" w:rsidP="008F63E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555 Buttles Avenue</w:t>
      </w:r>
    </w:p>
    <w:p w:rsidR="008F63ED" w:rsidRDefault="008F63ED" w:rsidP="008F63E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Columbus, OH 3215-1137</w:t>
      </w:r>
    </w:p>
    <w:p w:rsidR="008F63ED" w:rsidRDefault="008F63ED" w:rsidP="008F63E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Telephone: (614) 824-2502</w:t>
      </w:r>
    </w:p>
    <w:p w:rsidR="008F63ED" w:rsidRDefault="007532E7" w:rsidP="008F63ED">
      <w:pPr>
        <w:autoSpaceDE w:val="0"/>
        <w:autoSpaceDN w:val="0"/>
        <w:adjustRightInd w:val="0"/>
        <w:spacing w:after="0" w:line="240" w:lineRule="auto"/>
        <w:ind w:left="4320"/>
        <w:rPr>
          <w:rFonts w:eastAsiaTheme="minorEastAsia" w:cs="Times New Roman"/>
          <w:szCs w:val="24"/>
        </w:rPr>
      </w:pPr>
      <w:hyperlink r:id="rId12" w:history="1">
        <w:r w:rsidR="008F63ED">
          <w:rPr>
            <w:rStyle w:val="Hyperlink"/>
            <w:rFonts w:eastAsiaTheme="minorEastAsia"/>
          </w:rPr>
          <w:t>msmalz@ohiopovertylaw.org</w:t>
        </w:r>
      </w:hyperlink>
    </w:p>
    <w:p w:rsidR="008F63ED" w:rsidRDefault="008F63ED" w:rsidP="008F63ED">
      <w:pPr>
        <w:spacing w:after="0" w:line="240" w:lineRule="auto"/>
        <w:rPr>
          <w:rFonts w:eastAsiaTheme="minorEastAsia"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t>(will accept service via email)</w:t>
      </w:r>
    </w:p>
    <w:p w:rsidR="008F63ED" w:rsidRDefault="008F63ED" w:rsidP="008F63ED">
      <w:pPr>
        <w:spacing w:after="0" w:line="240" w:lineRule="auto"/>
        <w:rPr>
          <w:rFonts w:eastAsiaTheme="minorEastAsia" w:cs="Times New Roman"/>
          <w:szCs w:val="24"/>
        </w:rPr>
      </w:pPr>
    </w:p>
    <w:p w:rsidR="008F63ED" w:rsidRDefault="008F63ED" w:rsidP="008F63ED">
      <w:pPr>
        <w:spacing w:after="0" w:line="240" w:lineRule="auto"/>
        <w:rPr>
          <w:rFonts w:eastAsiaTheme="minorEastAsia" w:cs="Times New Roman"/>
          <w:szCs w:val="24"/>
        </w:rPr>
      </w:pPr>
    </w:p>
    <w:p w:rsidR="008F63ED" w:rsidRPr="00C6101E" w:rsidRDefault="008F63ED" w:rsidP="008F63ED">
      <w:pPr>
        <w:autoSpaceDE w:val="0"/>
        <w:autoSpaceDN w:val="0"/>
        <w:adjustRightInd w:val="0"/>
        <w:spacing w:after="0" w:line="240" w:lineRule="auto"/>
        <w:ind w:left="4320"/>
        <w:rPr>
          <w:rFonts w:eastAsiaTheme="minorEastAsia" w:cs="Times New Roman"/>
          <w:szCs w:val="24"/>
        </w:rPr>
      </w:pPr>
      <w:r w:rsidRPr="00C6101E">
        <w:rPr>
          <w:rFonts w:eastAsiaTheme="minorEastAsia" w:cs="Times New Roman"/>
          <w:szCs w:val="24"/>
        </w:rPr>
        <w:t>Kimberly W. Bojko (0069402)</w:t>
      </w:r>
    </w:p>
    <w:p w:rsidR="008F63ED" w:rsidRPr="00C6101E" w:rsidRDefault="008F63ED" w:rsidP="008F63ED">
      <w:pPr>
        <w:autoSpaceDE w:val="0"/>
        <w:autoSpaceDN w:val="0"/>
        <w:adjustRightInd w:val="0"/>
        <w:spacing w:after="0" w:line="240" w:lineRule="auto"/>
        <w:ind w:left="4320"/>
        <w:rPr>
          <w:rFonts w:eastAsiaTheme="minorEastAsia" w:cs="Times New Roman"/>
          <w:szCs w:val="24"/>
        </w:rPr>
      </w:pPr>
      <w:r w:rsidRPr="00C6101E">
        <w:rPr>
          <w:rFonts w:eastAsiaTheme="minorEastAsia" w:cs="Times New Roman"/>
          <w:szCs w:val="24"/>
        </w:rPr>
        <w:t>Ryan P. O’Rourke (0082651)</w:t>
      </w:r>
    </w:p>
    <w:p w:rsidR="008F63ED" w:rsidRPr="00C6101E" w:rsidRDefault="008F63ED" w:rsidP="008F63ED">
      <w:pPr>
        <w:autoSpaceDE w:val="0"/>
        <w:autoSpaceDN w:val="0"/>
        <w:adjustRightInd w:val="0"/>
        <w:spacing w:after="0" w:line="240" w:lineRule="auto"/>
        <w:ind w:left="4320"/>
        <w:rPr>
          <w:rFonts w:eastAsiaTheme="minorEastAsia" w:cs="Times New Roman"/>
          <w:szCs w:val="24"/>
        </w:rPr>
      </w:pPr>
      <w:r w:rsidRPr="00C6101E">
        <w:rPr>
          <w:rFonts w:eastAsiaTheme="minorEastAsia" w:cs="Times New Roman"/>
          <w:szCs w:val="24"/>
        </w:rPr>
        <w:t>Carpenter Lipps &amp; Leland LLP</w:t>
      </w:r>
    </w:p>
    <w:p w:rsidR="008F63ED" w:rsidRPr="00C6101E" w:rsidRDefault="008F63ED" w:rsidP="008F63ED">
      <w:pPr>
        <w:autoSpaceDE w:val="0"/>
        <w:autoSpaceDN w:val="0"/>
        <w:adjustRightInd w:val="0"/>
        <w:spacing w:after="0" w:line="240" w:lineRule="auto"/>
        <w:ind w:left="4320"/>
        <w:rPr>
          <w:rFonts w:eastAsiaTheme="minorEastAsia" w:cs="Times New Roman"/>
          <w:szCs w:val="24"/>
        </w:rPr>
      </w:pPr>
      <w:r w:rsidRPr="00C6101E">
        <w:rPr>
          <w:rFonts w:eastAsiaTheme="minorEastAsia" w:cs="Times New Roman"/>
          <w:szCs w:val="24"/>
        </w:rPr>
        <w:t>280 N. High Street, Suite 1300</w:t>
      </w:r>
    </w:p>
    <w:p w:rsidR="008F63ED" w:rsidRPr="00C6101E" w:rsidRDefault="008F63ED" w:rsidP="008F63ED">
      <w:pPr>
        <w:autoSpaceDE w:val="0"/>
        <w:autoSpaceDN w:val="0"/>
        <w:adjustRightInd w:val="0"/>
        <w:spacing w:after="0" w:line="240" w:lineRule="auto"/>
        <w:ind w:left="4320"/>
        <w:rPr>
          <w:rFonts w:eastAsiaTheme="minorEastAsia" w:cs="Times New Roman"/>
          <w:szCs w:val="24"/>
        </w:rPr>
      </w:pPr>
      <w:r w:rsidRPr="00C6101E">
        <w:rPr>
          <w:rFonts w:eastAsiaTheme="minorEastAsia" w:cs="Times New Roman"/>
          <w:szCs w:val="24"/>
        </w:rPr>
        <w:t>Columbus, OH 43215</w:t>
      </w:r>
    </w:p>
    <w:p w:rsidR="008F63ED" w:rsidRPr="00C6101E" w:rsidRDefault="008F63ED" w:rsidP="008F63ED">
      <w:pPr>
        <w:autoSpaceDE w:val="0"/>
        <w:autoSpaceDN w:val="0"/>
        <w:adjustRightInd w:val="0"/>
        <w:spacing w:after="0" w:line="240" w:lineRule="auto"/>
        <w:ind w:left="4320"/>
        <w:rPr>
          <w:rFonts w:eastAsiaTheme="minorEastAsia" w:cs="Times New Roman"/>
          <w:szCs w:val="24"/>
        </w:rPr>
      </w:pPr>
      <w:r w:rsidRPr="00C6101E">
        <w:rPr>
          <w:rFonts w:eastAsiaTheme="minorEastAsia" w:cs="Times New Roman"/>
          <w:szCs w:val="24"/>
        </w:rPr>
        <w:t>Telephone: 614.365.4100</w:t>
      </w:r>
    </w:p>
    <w:p w:rsidR="008F63ED" w:rsidRPr="00C6101E" w:rsidRDefault="008F63ED" w:rsidP="008F63ED">
      <w:pPr>
        <w:autoSpaceDE w:val="0"/>
        <w:autoSpaceDN w:val="0"/>
        <w:adjustRightInd w:val="0"/>
        <w:spacing w:after="0" w:line="240" w:lineRule="auto"/>
        <w:ind w:left="4320"/>
        <w:rPr>
          <w:rFonts w:eastAsiaTheme="minorEastAsia" w:cs="Times New Roman"/>
          <w:szCs w:val="24"/>
        </w:rPr>
      </w:pPr>
      <w:r w:rsidRPr="00C6101E">
        <w:rPr>
          <w:rFonts w:eastAsiaTheme="minorEastAsia" w:cs="Times New Roman"/>
          <w:szCs w:val="24"/>
        </w:rPr>
        <w:t>Fax: 614.365.9145</w:t>
      </w:r>
    </w:p>
    <w:p w:rsidR="008F63ED" w:rsidRDefault="007532E7" w:rsidP="008F63ED">
      <w:pPr>
        <w:autoSpaceDE w:val="0"/>
        <w:autoSpaceDN w:val="0"/>
        <w:adjustRightInd w:val="0"/>
        <w:spacing w:after="0" w:line="240" w:lineRule="auto"/>
        <w:ind w:left="4320"/>
        <w:rPr>
          <w:rFonts w:eastAsiaTheme="minorEastAsia"/>
        </w:rPr>
      </w:pPr>
      <w:hyperlink r:id="rId13" w:history="1">
        <w:r w:rsidR="008F63ED" w:rsidRPr="00C6101E">
          <w:rPr>
            <w:rStyle w:val="Hyperlink"/>
            <w:rFonts w:eastAsiaTheme="minorEastAsia"/>
          </w:rPr>
          <w:t>bojko@carpenterlipps.com</w:t>
        </w:r>
      </w:hyperlink>
    </w:p>
    <w:p w:rsidR="008F63ED" w:rsidRDefault="007532E7" w:rsidP="008F63ED">
      <w:pPr>
        <w:autoSpaceDE w:val="0"/>
        <w:autoSpaceDN w:val="0"/>
        <w:adjustRightInd w:val="0"/>
        <w:spacing w:after="0" w:line="240" w:lineRule="auto"/>
        <w:ind w:left="4320"/>
        <w:rPr>
          <w:rFonts w:eastAsiaTheme="minorEastAsia"/>
        </w:rPr>
      </w:pPr>
      <w:hyperlink r:id="rId14" w:history="1">
        <w:r w:rsidR="008F63ED" w:rsidRPr="00671BA1">
          <w:rPr>
            <w:rStyle w:val="Hyperlink"/>
            <w:rFonts w:eastAsiaTheme="minorEastAsia"/>
          </w:rPr>
          <w:t>orourke@carpenterlipps.com</w:t>
        </w:r>
      </w:hyperlink>
    </w:p>
    <w:p w:rsidR="008F63ED" w:rsidRDefault="008F63ED" w:rsidP="008F63ED">
      <w:pPr>
        <w:autoSpaceDE w:val="0"/>
        <w:autoSpaceDN w:val="0"/>
        <w:adjustRightInd w:val="0"/>
        <w:spacing w:after="0" w:line="240" w:lineRule="auto"/>
        <w:ind w:left="4320"/>
        <w:rPr>
          <w:rFonts w:eastAsiaTheme="minorEastAsia"/>
        </w:rPr>
      </w:pPr>
      <w:r>
        <w:rPr>
          <w:rFonts w:eastAsiaTheme="minorEastAsia"/>
        </w:rPr>
        <w:t>(will accept service via email)</w:t>
      </w:r>
    </w:p>
    <w:p w:rsidR="008F63ED" w:rsidRDefault="008F63ED" w:rsidP="008F63ED">
      <w:pPr>
        <w:autoSpaceDE w:val="0"/>
        <w:autoSpaceDN w:val="0"/>
        <w:adjustRightInd w:val="0"/>
        <w:spacing w:after="0" w:line="240" w:lineRule="auto"/>
        <w:ind w:left="4320"/>
        <w:rPr>
          <w:rFonts w:eastAsiaTheme="minorEastAsia"/>
        </w:rPr>
      </w:pPr>
    </w:p>
    <w:p w:rsidR="008F63ED" w:rsidRPr="00A92FFD" w:rsidRDefault="008F63ED" w:rsidP="008F63ED">
      <w:pPr>
        <w:autoSpaceDE w:val="0"/>
        <w:autoSpaceDN w:val="0"/>
        <w:adjustRightInd w:val="0"/>
        <w:spacing w:after="0" w:line="240" w:lineRule="auto"/>
        <w:ind w:left="4320"/>
        <w:rPr>
          <w:rFonts w:eastAsiaTheme="minorEastAsia"/>
          <w:i/>
        </w:rPr>
      </w:pPr>
      <w:r w:rsidRPr="00A92FFD">
        <w:rPr>
          <w:rFonts w:eastAsiaTheme="minorEastAsia"/>
          <w:i/>
        </w:rPr>
        <w:t>Counsel for the OMAEG</w:t>
      </w:r>
    </w:p>
    <w:p w:rsidR="008F63ED" w:rsidRDefault="008F63ED">
      <w:pPr>
        <w:rPr>
          <w:rFonts w:eastAsia="Courier New" w:cs="Courier New"/>
          <w:b/>
          <w:bCs/>
          <w:szCs w:val="20"/>
        </w:rPr>
      </w:pPr>
    </w:p>
    <w:p w:rsidR="008F63ED" w:rsidRDefault="008F63ED">
      <w:pPr>
        <w:rPr>
          <w:rFonts w:eastAsia="Courier New" w:cs="Courier New"/>
          <w:b/>
          <w:bCs/>
          <w:szCs w:val="20"/>
        </w:rPr>
        <w:sectPr w:rsidR="008F63ED" w:rsidSect="00D23657">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docGrid w:linePitch="360"/>
        </w:sectPr>
      </w:pPr>
      <w:r>
        <w:rPr>
          <w:rFonts w:eastAsia="Courier New" w:cs="Courier New"/>
          <w:b/>
          <w:bCs/>
          <w:szCs w:val="20"/>
        </w:rPr>
        <w:br w:type="page"/>
      </w:r>
    </w:p>
    <w:p w:rsidR="008F63ED" w:rsidRDefault="008F63ED" w:rsidP="008F63ED">
      <w:pPr>
        <w:jc w:val="center"/>
        <w:rPr>
          <w:rFonts w:eastAsia="Courier New" w:cs="Courier New"/>
          <w:b/>
          <w:bCs/>
          <w:szCs w:val="20"/>
        </w:rPr>
      </w:pPr>
      <w:r>
        <w:rPr>
          <w:rFonts w:eastAsia="Courier New" w:cs="Courier New"/>
          <w:b/>
          <w:bCs/>
          <w:szCs w:val="20"/>
        </w:rPr>
        <w:t>TABLE OF CONTENTS</w:t>
      </w:r>
    </w:p>
    <w:p w:rsidR="008F63ED" w:rsidRDefault="008F63ED" w:rsidP="008F63ED">
      <w:pPr>
        <w:jc w:val="center"/>
        <w:rPr>
          <w:rFonts w:eastAsia="Courier New" w:cs="Courier New"/>
          <w:b/>
          <w:bCs/>
          <w:szCs w:val="20"/>
        </w:rPr>
      </w:pP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t>PAGE</w:t>
      </w:r>
    </w:p>
    <w:p w:rsidR="0072070D" w:rsidRDefault="008F63ED">
      <w:pPr>
        <w:pStyle w:val="TOC1"/>
        <w:rPr>
          <w:rFonts w:asciiTheme="minorHAnsi" w:eastAsiaTheme="minorEastAsia" w:hAnsiTheme="minorHAnsi"/>
          <w:caps w:val="0"/>
          <w:noProof/>
          <w:sz w:val="22"/>
        </w:rPr>
      </w:pPr>
      <w:r>
        <w:rPr>
          <w:rFonts w:eastAsia="Courier New" w:cs="Courier New"/>
          <w:b/>
          <w:bCs/>
          <w:szCs w:val="20"/>
        </w:rPr>
        <w:fldChar w:fldCharType="begin"/>
      </w:r>
      <w:r>
        <w:rPr>
          <w:rFonts w:eastAsia="Courier New" w:cs="Courier New"/>
          <w:b/>
          <w:bCs/>
          <w:szCs w:val="20"/>
        </w:rPr>
        <w:instrText xml:space="preserve"> TOC \o "1-3" \h \z \u </w:instrText>
      </w:r>
      <w:r>
        <w:rPr>
          <w:rFonts w:eastAsia="Courier New" w:cs="Courier New"/>
          <w:b/>
          <w:bCs/>
          <w:szCs w:val="20"/>
        </w:rPr>
        <w:fldChar w:fldCharType="separate"/>
      </w:r>
      <w:hyperlink w:anchor="_Toc447115736" w:history="1">
        <w:r w:rsidR="0072070D" w:rsidRPr="00BD1D3C">
          <w:rPr>
            <w:rStyle w:val="Hyperlink"/>
            <w:noProof/>
          </w:rPr>
          <w:t>I.</w:t>
        </w:r>
        <w:r w:rsidR="0072070D">
          <w:rPr>
            <w:rFonts w:asciiTheme="minorHAnsi" w:eastAsiaTheme="minorEastAsia" w:hAnsiTheme="minorHAnsi"/>
            <w:caps w:val="0"/>
            <w:noProof/>
            <w:sz w:val="22"/>
          </w:rPr>
          <w:tab/>
        </w:r>
        <w:r w:rsidR="0072070D" w:rsidRPr="00BD1D3C">
          <w:rPr>
            <w:rStyle w:val="Hyperlink"/>
            <w:noProof/>
          </w:rPr>
          <w:t>INTRODUCTION</w:t>
        </w:r>
        <w:r w:rsidR="0072070D">
          <w:rPr>
            <w:noProof/>
            <w:webHidden/>
          </w:rPr>
          <w:tab/>
        </w:r>
        <w:r w:rsidR="0072070D">
          <w:rPr>
            <w:noProof/>
            <w:webHidden/>
          </w:rPr>
          <w:fldChar w:fldCharType="begin"/>
        </w:r>
        <w:r w:rsidR="0072070D">
          <w:rPr>
            <w:noProof/>
            <w:webHidden/>
          </w:rPr>
          <w:instrText xml:space="preserve"> PAGEREF _Toc447115736 \h </w:instrText>
        </w:r>
        <w:r w:rsidR="0072070D">
          <w:rPr>
            <w:noProof/>
            <w:webHidden/>
          </w:rPr>
        </w:r>
        <w:r w:rsidR="0072070D">
          <w:rPr>
            <w:noProof/>
            <w:webHidden/>
          </w:rPr>
          <w:fldChar w:fldCharType="separate"/>
        </w:r>
        <w:r w:rsidR="009C767B">
          <w:rPr>
            <w:noProof/>
            <w:webHidden/>
          </w:rPr>
          <w:t>2</w:t>
        </w:r>
        <w:r w:rsidR="0072070D">
          <w:rPr>
            <w:noProof/>
            <w:webHidden/>
          </w:rPr>
          <w:fldChar w:fldCharType="end"/>
        </w:r>
      </w:hyperlink>
    </w:p>
    <w:p w:rsidR="0072070D" w:rsidRDefault="007532E7">
      <w:pPr>
        <w:pStyle w:val="TOC1"/>
        <w:rPr>
          <w:rFonts w:asciiTheme="minorHAnsi" w:eastAsiaTheme="minorEastAsia" w:hAnsiTheme="minorHAnsi"/>
          <w:caps w:val="0"/>
          <w:noProof/>
          <w:sz w:val="22"/>
        </w:rPr>
      </w:pPr>
      <w:hyperlink w:anchor="_Toc447115737" w:history="1">
        <w:r w:rsidR="0072070D" w:rsidRPr="00BD1D3C">
          <w:rPr>
            <w:rStyle w:val="Hyperlink"/>
            <w:noProof/>
          </w:rPr>
          <w:t>II.</w:t>
        </w:r>
        <w:r w:rsidR="0072070D">
          <w:rPr>
            <w:rFonts w:asciiTheme="minorHAnsi" w:eastAsiaTheme="minorEastAsia" w:hAnsiTheme="minorHAnsi"/>
            <w:caps w:val="0"/>
            <w:noProof/>
            <w:sz w:val="22"/>
          </w:rPr>
          <w:tab/>
        </w:r>
        <w:r w:rsidR="0072070D" w:rsidRPr="00BD1D3C">
          <w:rPr>
            <w:rStyle w:val="Hyperlink"/>
            <w:noProof/>
          </w:rPr>
          <w:t>RECOMMENDATIONS</w:t>
        </w:r>
        <w:r w:rsidR="0072070D">
          <w:rPr>
            <w:noProof/>
            <w:webHidden/>
          </w:rPr>
          <w:tab/>
        </w:r>
        <w:r w:rsidR="0072070D">
          <w:rPr>
            <w:noProof/>
            <w:webHidden/>
          </w:rPr>
          <w:fldChar w:fldCharType="begin"/>
        </w:r>
        <w:r w:rsidR="0072070D">
          <w:rPr>
            <w:noProof/>
            <w:webHidden/>
          </w:rPr>
          <w:instrText xml:space="preserve"> PAGEREF _Toc447115737 \h </w:instrText>
        </w:r>
        <w:r w:rsidR="0072070D">
          <w:rPr>
            <w:noProof/>
            <w:webHidden/>
          </w:rPr>
        </w:r>
        <w:r w:rsidR="0072070D">
          <w:rPr>
            <w:noProof/>
            <w:webHidden/>
          </w:rPr>
          <w:fldChar w:fldCharType="separate"/>
        </w:r>
        <w:r w:rsidR="009C767B">
          <w:rPr>
            <w:noProof/>
            <w:webHidden/>
          </w:rPr>
          <w:t>4</w:t>
        </w:r>
        <w:r w:rsidR="0072070D">
          <w:rPr>
            <w:noProof/>
            <w:webHidden/>
          </w:rPr>
          <w:fldChar w:fldCharType="end"/>
        </w:r>
      </w:hyperlink>
    </w:p>
    <w:p w:rsidR="0072070D" w:rsidRDefault="007532E7">
      <w:pPr>
        <w:pStyle w:val="TOC2"/>
        <w:tabs>
          <w:tab w:val="left" w:pos="1440"/>
        </w:tabs>
        <w:rPr>
          <w:rFonts w:asciiTheme="minorHAnsi" w:eastAsiaTheme="minorEastAsia" w:hAnsiTheme="minorHAnsi"/>
          <w:noProof/>
          <w:sz w:val="22"/>
        </w:rPr>
      </w:pPr>
      <w:hyperlink w:anchor="_Toc447115738" w:history="1">
        <w:r w:rsidR="0072070D" w:rsidRPr="00BD1D3C">
          <w:rPr>
            <w:rStyle w:val="Hyperlink"/>
            <w:noProof/>
          </w:rPr>
          <w:t>A.</w:t>
        </w:r>
        <w:r w:rsidR="0072070D">
          <w:rPr>
            <w:rFonts w:asciiTheme="minorHAnsi" w:eastAsiaTheme="minorEastAsia" w:hAnsiTheme="minorHAnsi"/>
            <w:noProof/>
            <w:sz w:val="22"/>
          </w:rPr>
          <w:tab/>
        </w:r>
        <w:r w:rsidR="0072070D" w:rsidRPr="00BD1D3C">
          <w:rPr>
            <w:rStyle w:val="Hyperlink"/>
            <w:noProof/>
          </w:rPr>
          <w:t>The issues pending before FERC in the EPSA Complaint are directly linked to the PPA issues pending before the PUCO.  Only after FERC rules on the EPSA Complaint should the PUCO issue its decision.</w:t>
        </w:r>
        <w:r w:rsidR="0072070D">
          <w:rPr>
            <w:noProof/>
            <w:webHidden/>
          </w:rPr>
          <w:tab/>
        </w:r>
        <w:r w:rsidR="0072070D">
          <w:rPr>
            <w:noProof/>
            <w:webHidden/>
          </w:rPr>
          <w:fldChar w:fldCharType="begin"/>
        </w:r>
        <w:r w:rsidR="0072070D">
          <w:rPr>
            <w:noProof/>
            <w:webHidden/>
          </w:rPr>
          <w:instrText xml:space="preserve"> PAGEREF _Toc447115738 \h </w:instrText>
        </w:r>
        <w:r w:rsidR="0072070D">
          <w:rPr>
            <w:noProof/>
            <w:webHidden/>
          </w:rPr>
        </w:r>
        <w:r w:rsidR="0072070D">
          <w:rPr>
            <w:noProof/>
            <w:webHidden/>
          </w:rPr>
          <w:fldChar w:fldCharType="separate"/>
        </w:r>
        <w:r w:rsidR="009C767B">
          <w:rPr>
            <w:noProof/>
            <w:webHidden/>
          </w:rPr>
          <w:t>4</w:t>
        </w:r>
        <w:r w:rsidR="0072070D">
          <w:rPr>
            <w:noProof/>
            <w:webHidden/>
          </w:rPr>
          <w:fldChar w:fldCharType="end"/>
        </w:r>
      </w:hyperlink>
    </w:p>
    <w:p w:rsidR="0072070D" w:rsidRDefault="007532E7">
      <w:pPr>
        <w:pStyle w:val="TOC2"/>
        <w:tabs>
          <w:tab w:val="left" w:pos="1440"/>
        </w:tabs>
        <w:rPr>
          <w:rFonts w:asciiTheme="minorHAnsi" w:eastAsiaTheme="minorEastAsia" w:hAnsiTheme="minorHAnsi"/>
          <w:noProof/>
          <w:sz w:val="22"/>
        </w:rPr>
      </w:pPr>
      <w:hyperlink w:anchor="_Toc447115739" w:history="1">
        <w:r w:rsidR="0072070D" w:rsidRPr="00BD1D3C">
          <w:rPr>
            <w:rStyle w:val="Hyperlink"/>
            <w:noProof/>
          </w:rPr>
          <w:t>B.</w:t>
        </w:r>
        <w:r w:rsidR="0072070D">
          <w:rPr>
            <w:rFonts w:asciiTheme="minorHAnsi" w:eastAsiaTheme="minorEastAsia" w:hAnsiTheme="minorHAnsi"/>
            <w:noProof/>
            <w:sz w:val="22"/>
          </w:rPr>
          <w:tab/>
        </w:r>
        <w:r w:rsidR="0072070D" w:rsidRPr="00BD1D3C">
          <w:rPr>
            <w:rStyle w:val="Hyperlink"/>
            <w:noProof/>
          </w:rPr>
          <w:t>The Consumers’ motion for a stay of the proceedings is proper and will protect customers.  AEP Ohio’s claims to the contrary are groundless.</w:t>
        </w:r>
        <w:r w:rsidR="0072070D">
          <w:rPr>
            <w:noProof/>
            <w:webHidden/>
          </w:rPr>
          <w:tab/>
        </w:r>
        <w:r w:rsidR="0072070D">
          <w:rPr>
            <w:noProof/>
            <w:webHidden/>
          </w:rPr>
          <w:fldChar w:fldCharType="begin"/>
        </w:r>
        <w:r w:rsidR="0072070D">
          <w:rPr>
            <w:noProof/>
            <w:webHidden/>
          </w:rPr>
          <w:instrText xml:space="preserve"> PAGEREF _Toc447115739 \h </w:instrText>
        </w:r>
        <w:r w:rsidR="0072070D">
          <w:rPr>
            <w:noProof/>
            <w:webHidden/>
          </w:rPr>
        </w:r>
        <w:r w:rsidR="0072070D">
          <w:rPr>
            <w:noProof/>
            <w:webHidden/>
          </w:rPr>
          <w:fldChar w:fldCharType="separate"/>
        </w:r>
        <w:r w:rsidR="009C767B">
          <w:rPr>
            <w:noProof/>
            <w:webHidden/>
          </w:rPr>
          <w:t>6</w:t>
        </w:r>
        <w:r w:rsidR="0072070D">
          <w:rPr>
            <w:noProof/>
            <w:webHidden/>
          </w:rPr>
          <w:fldChar w:fldCharType="end"/>
        </w:r>
      </w:hyperlink>
    </w:p>
    <w:p w:rsidR="0072070D" w:rsidRDefault="007532E7">
      <w:pPr>
        <w:pStyle w:val="TOC3"/>
        <w:tabs>
          <w:tab w:val="left" w:pos="2160"/>
        </w:tabs>
        <w:rPr>
          <w:rFonts w:asciiTheme="minorHAnsi" w:eastAsiaTheme="minorEastAsia" w:hAnsiTheme="minorHAnsi"/>
          <w:noProof/>
          <w:sz w:val="22"/>
        </w:rPr>
      </w:pPr>
      <w:hyperlink w:anchor="_Toc447115740" w:history="1">
        <w:r w:rsidR="0072070D" w:rsidRPr="00BD1D3C">
          <w:rPr>
            <w:rStyle w:val="Hyperlink"/>
            <w:noProof/>
          </w:rPr>
          <w:t>1.</w:t>
        </w:r>
        <w:r w:rsidR="0072070D">
          <w:rPr>
            <w:rFonts w:asciiTheme="minorHAnsi" w:eastAsiaTheme="minorEastAsia" w:hAnsiTheme="minorHAnsi"/>
            <w:noProof/>
            <w:sz w:val="22"/>
          </w:rPr>
          <w:tab/>
        </w:r>
        <w:r w:rsidR="0072070D" w:rsidRPr="00BD1D3C">
          <w:rPr>
            <w:rStyle w:val="Hyperlink"/>
            <w:noProof/>
          </w:rPr>
          <w:t>AEP Ohio fails to recognize that times have changed since the waiver was granted.  Customers would be captive to the PPA Rider.</w:t>
        </w:r>
        <w:r w:rsidR="0072070D">
          <w:rPr>
            <w:noProof/>
            <w:webHidden/>
          </w:rPr>
          <w:tab/>
        </w:r>
        <w:r w:rsidR="0072070D">
          <w:rPr>
            <w:noProof/>
            <w:webHidden/>
          </w:rPr>
          <w:fldChar w:fldCharType="begin"/>
        </w:r>
        <w:r w:rsidR="0072070D">
          <w:rPr>
            <w:noProof/>
            <w:webHidden/>
          </w:rPr>
          <w:instrText xml:space="preserve"> PAGEREF _Toc447115740 \h </w:instrText>
        </w:r>
        <w:r w:rsidR="0072070D">
          <w:rPr>
            <w:noProof/>
            <w:webHidden/>
          </w:rPr>
        </w:r>
        <w:r w:rsidR="0072070D">
          <w:rPr>
            <w:noProof/>
            <w:webHidden/>
          </w:rPr>
          <w:fldChar w:fldCharType="separate"/>
        </w:r>
        <w:r w:rsidR="009C767B">
          <w:rPr>
            <w:noProof/>
            <w:webHidden/>
          </w:rPr>
          <w:t>7</w:t>
        </w:r>
        <w:r w:rsidR="0072070D">
          <w:rPr>
            <w:noProof/>
            <w:webHidden/>
          </w:rPr>
          <w:fldChar w:fldCharType="end"/>
        </w:r>
      </w:hyperlink>
    </w:p>
    <w:p w:rsidR="0072070D" w:rsidRDefault="007532E7">
      <w:pPr>
        <w:pStyle w:val="TOC3"/>
        <w:tabs>
          <w:tab w:val="left" w:pos="2160"/>
        </w:tabs>
        <w:rPr>
          <w:rFonts w:asciiTheme="minorHAnsi" w:eastAsiaTheme="minorEastAsia" w:hAnsiTheme="minorHAnsi"/>
          <w:noProof/>
          <w:sz w:val="22"/>
        </w:rPr>
      </w:pPr>
      <w:hyperlink w:anchor="_Toc447115741" w:history="1">
        <w:r w:rsidR="0072070D" w:rsidRPr="00BD1D3C">
          <w:rPr>
            <w:rStyle w:val="Hyperlink"/>
            <w:noProof/>
          </w:rPr>
          <w:t>2.</w:t>
        </w:r>
        <w:r w:rsidR="0072070D">
          <w:rPr>
            <w:rFonts w:asciiTheme="minorHAnsi" w:eastAsiaTheme="minorEastAsia" w:hAnsiTheme="minorHAnsi"/>
            <w:noProof/>
            <w:sz w:val="22"/>
          </w:rPr>
          <w:tab/>
        </w:r>
        <w:r w:rsidR="0072070D" w:rsidRPr="00BD1D3C">
          <w:rPr>
            <w:rStyle w:val="Hyperlink"/>
            <w:noProof/>
          </w:rPr>
          <w:t>Without a viable mechanism to refund unlawfully collected charges, customers will be irreparably harmed.</w:t>
        </w:r>
        <w:r w:rsidR="0072070D">
          <w:rPr>
            <w:noProof/>
            <w:webHidden/>
          </w:rPr>
          <w:tab/>
        </w:r>
        <w:r w:rsidR="0072070D">
          <w:rPr>
            <w:noProof/>
            <w:webHidden/>
          </w:rPr>
          <w:fldChar w:fldCharType="begin"/>
        </w:r>
        <w:r w:rsidR="0072070D">
          <w:rPr>
            <w:noProof/>
            <w:webHidden/>
          </w:rPr>
          <w:instrText xml:space="preserve"> PAGEREF _Toc447115741 \h </w:instrText>
        </w:r>
        <w:r w:rsidR="0072070D">
          <w:rPr>
            <w:noProof/>
            <w:webHidden/>
          </w:rPr>
        </w:r>
        <w:r w:rsidR="0072070D">
          <w:rPr>
            <w:noProof/>
            <w:webHidden/>
          </w:rPr>
          <w:fldChar w:fldCharType="separate"/>
        </w:r>
        <w:r w:rsidR="009C767B">
          <w:rPr>
            <w:noProof/>
            <w:webHidden/>
          </w:rPr>
          <w:t>10</w:t>
        </w:r>
        <w:r w:rsidR="0072070D">
          <w:rPr>
            <w:noProof/>
            <w:webHidden/>
          </w:rPr>
          <w:fldChar w:fldCharType="end"/>
        </w:r>
      </w:hyperlink>
    </w:p>
    <w:p w:rsidR="0072070D" w:rsidRDefault="007532E7">
      <w:pPr>
        <w:pStyle w:val="TOC3"/>
        <w:tabs>
          <w:tab w:val="left" w:pos="2160"/>
        </w:tabs>
        <w:rPr>
          <w:rFonts w:asciiTheme="minorHAnsi" w:eastAsiaTheme="minorEastAsia" w:hAnsiTheme="minorHAnsi"/>
          <w:noProof/>
          <w:sz w:val="22"/>
        </w:rPr>
      </w:pPr>
      <w:hyperlink w:anchor="_Toc447115742" w:history="1">
        <w:r w:rsidR="0072070D" w:rsidRPr="00BD1D3C">
          <w:rPr>
            <w:rStyle w:val="Hyperlink"/>
            <w:noProof/>
          </w:rPr>
          <w:t>3.</w:t>
        </w:r>
        <w:r w:rsidR="0072070D">
          <w:rPr>
            <w:rFonts w:asciiTheme="minorHAnsi" w:eastAsiaTheme="minorEastAsia" w:hAnsiTheme="minorHAnsi"/>
            <w:noProof/>
            <w:sz w:val="22"/>
          </w:rPr>
          <w:tab/>
        </w:r>
        <w:r w:rsidR="0072070D" w:rsidRPr="00BD1D3C">
          <w:rPr>
            <w:rStyle w:val="Hyperlink"/>
            <w:noProof/>
          </w:rPr>
          <w:t xml:space="preserve">An aggregate rate increase of $1.9 billion, coupled without any meaningful remedy for consumers to recoup payments made towards that rate increase, plainly implicates the public </w:t>
        </w:r>
        <w:r w:rsidR="00677268">
          <w:rPr>
            <w:rStyle w:val="Hyperlink"/>
            <w:noProof/>
          </w:rPr>
          <w:br/>
        </w:r>
        <w:r w:rsidR="0072070D" w:rsidRPr="00BD1D3C">
          <w:rPr>
            <w:rStyle w:val="Hyperlink"/>
            <w:noProof/>
          </w:rPr>
          <w:t>interest.</w:t>
        </w:r>
        <w:r w:rsidR="0072070D">
          <w:rPr>
            <w:noProof/>
            <w:webHidden/>
          </w:rPr>
          <w:tab/>
        </w:r>
        <w:r w:rsidR="0072070D">
          <w:rPr>
            <w:noProof/>
            <w:webHidden/>
          </w:rPr>
          <w:fldChar w:fldCharType="begin"/>
        </w:r>
        <w:r w:rsidR="0072070D">
          <w:rPr>
            <w:noProof/>
            <w:webHidden/>
          </w:rPr>
          <w:instrText xml:space="preserve"> PAGEREF _Toc447115742 \h </w:instrText>
        </w:r>
        <w:r w:rsidR="0072070D">
          <w:rPr>
            <w:noProof/>
            <w:webHidden/>
          </w:rPr>
        </w:r>
        <w:r w:rsidR="0072070D">
          <w:rPr>
            <w:noProof/>
            <w:webHidden/>
          </w:rPr>
          <w:fldChar w:fldCharType="separate"/>
        </w:r>
        <w:r w:rsidR="009C767B">
          <w:rPr>
            <w:noProof/>
            <w:webHidden/>
          </w:rPr>
          <w:t>12</w:t>
        </w:r>
        <w:r w:rsidR="0072070D">
          <w:rPr>
            <w:noProof/>
            <w:webHidden/>
          </w:rPr>
          <w:fldChar w:fldCharType="end"/>
        </w:r>
      </w:hyperlink>
    </w:p>
    <w:p w:rsidR="0072070D" w:rsidRDefault="007532E7">
      <w:pPr>
        <w:pStyle w:val="TOC3"/>
        <w:tabs>
          <w:tab w:val="left" w:pos="2160"/>
        </w:tabs>
        <w:rPr>
          <w:rFonts w:asciiTheme="minorHAnsi" w:eastAsiaTheme="minorEastAsia" w:hAnsiTheme="minorHAnsi"/>
          <w:noProof/>
          <w:sz w:val="22"/>
        </w:rPr>
      </w:pPr>
      <w:hyperlink w:anchor="_Toc447115743" w:history="1">
        <w:r w:rsidR="0072070D" w:rsidRPr="00BD1D3C">
          <w:rPr>
            <w:rStyle w:val="Hyperlink"/>
            <w:noProof/>
          </w:rPr>
          <w:t>4.</w:t>
        </w:r>
        <w:r w:rsidR="0072070D">
          <w:rPr>
            <w:rFonts w:asciiTheme="minorHAnsi" w:eastAsiaTheme="minorEastAsia" w:hAnsiTheme="minorHAnsi"/>
            <w:noProof/>
            <w:sz w:val="22"/>
          </w:rPr>
          <w:tab/>
        </w:r>
        <w:r w:rsidR="0072070D" w:rsidRPr="00BD1D3C">
          <w:rPr>
            <w:rStyle w:val="Hyperlink"/>
            <w:noProof/>
          </w:rPr>
          <w:t xml:space="preserve">AEP Ohio concedes it will suffer no financial harm from a stay </w:t>
        </w:r>
        <w:r w:rsidR="00677268">
          <w:rPr>
            <w:rStyle w:val="Hyperlink"/>
            <w:noProof/>
          </w:rPr>
          <w:br/>
        </w:r>
        <w:r w:rsidR="0072070D" w:rsidRPr="00BD1D3C">
          <w:rPr>
            <w:rStyle w:val="Hyperlink"/>
            <w:noProof/>
          </w:rPr>
          <w:t>of the proceedings.</w:t>
        </w:r>
        <w:r w:rsidR="0072070D">
          <w:rPr>
            <w:noProof/>
            <w:webHidden/>
          </w:rPr>
          <w:tab/>
        </w:r>
        <w:r w:rsidR="0072070D">
          <w:rPr>
            <w:noProof/>
            <w:webHidden/>
          </w:rPr>
          <w:fldChar w:fldCharType="begin"/>
        </w:r>
        <w:r w:rsidR="0072070D">
          <w:rPr>
            <w:noProof/>
            <w:webHidden/>
          </w:rPr>
          <w:instrText xml:space="preserve"> PAGEREF _Toc447115743 \h </w:instrText>
        </w:r>
        <w:r w:rsidR="0072070D">
          <w:rPr>
            <w:noProof/>
            <w:webHidden/>
          </w:rPr>
        </w:r>
        <w:r w:rsidR="0072070D">
          <w:rPr>
            <w:noProof/>
            <w:webHidden/>
          </w:rPr>
          <w:fldChar w:fldCharType="separate"/>
        </w:r>
        <w:r w:rsidR="009C767B">
          <w:rPr>
            <w:noProof/>
            <w:webHidden/>
          </w:rPr>
          <w:t>13</w:t>
        </w:r>
        <w:r w:rsidR="0072070D">
          <w:rPr>
            <w:noProof/>
            <w:webHidden/>
          </w:rPr>
          <w:fldChar w:fldCharType="end"/>
        </w:r>
      </w:hyperlink>
    </w:p>
    <w:p w:rsidR="0072070D" w:rsidRDefault="007532E7">
      <w:pPr>
        <w:pStyle w:val="TOC1"/>
        <w:rPr>
          <w:rFonts w:asciiTheme="minorHAnsi" w:eastAsiaTheme="minorEastAsia" w:hAnsiTheme="minorHAnsi"/>
          <w:caps w:val="0"/>
          <w:noProof/>
          <w:sz w:val="22"/>
        </w:rPr>
      </w:pPr>
      <w:hyperlink w:anchor="_Toc447115744" w:history="1">
        <w:r w:rsidR="0072070D" w:rsidRPr="00BD1D3C">
          <w:rPr>
            <w:rStyle w:val="Hyperlink"/>
            <w:noProof/>
          </w:rPr>
          <w:t>III.</w:t>
        </w:r>
        <w:r w:rsidR="0072070D">
          <w:rPr>
            <w:rFonts w:asciiTheme="minorHAnsi" w:eastAsiaTheme="minorEastAsia" w:hAnsiTheme="minorHAnsi"/>
            <w:caps w:val="0"/>
            <w:noProof/>
            <w:sz w:val="22"/>
          </w:rPr>
          <w:tab/>
        </w:r>
        <w:r w:rsidR="0072070D" w:rsidRPr="00BD1D3C">
          <w:rPr>
            <w:rStyle w:val="Hyperlink"/>
            <w:noProof/>
          </w:rPr>
          <w:t>CONCLUSION</w:t>
        </w:r>
        <w:r w:rsidR="0072070D">
          <w:rPr>
            <w:noProof/>
            <w:webHidden/>
          </w:rPr>
          <w:tab/>
        </w:r>
        <w:r w:rsidR="0072070D">
          <w:rPr>
            <w:noProof/>
            <w:webHidden/>
          </w:rPr>
          <w:fldChar w:fldCharType="begin"/>
        </w:r>
        <w:r w:rsidR="0072070D">
          <w:rPr>
            <w:noProof/>
            <w:webHidden/>
          </w:rPr>
          <w:instrText xml:space="preserve"> PAGEREF _Toc447115744 \h </w:instrText>
        </w:r>
        <w:r w:rsidR="0072070D">
          <w:rPr>
            <w:noProof/>
            <w:webHidden/>
          </w:rPr>
        </w:r>
        <w:r w:rsidR="0072070D">
          <w:rPr>
            <w:noProof/>
            <w:webHidden/>
          </w:rPr>
          <w:fldChar w:fldCharType="separate"/>
        </w:r>
        <w:r w:rsidR="009C767B">
          <w:rPr>
            <w:noProof/>
            <w:webHidden/>
          </w:rPr>
          <w:t>14</w:t>
        </w:r>
        <w:r w:rsidR="0072070D">
          <w:rPr>
            <w:noProof/>
            <w:webHidden/>
          </w:rPr>
          <w:fldChar w:fldCharType="end"/>
        </w:r>
      </w:hyperlink>
    </w:p>
    <w:p w:rsidR="008F63ED" w:rsidRDefault="008F63ED" w:rsidP="008F63ED">
      <w:pPr>
        <w:jc w:val="center"/>
        <w:rPr>
          <w:rFonts w:eastAsia="Courier New" w:cs="Courier New"/>
          <w:b/>
          <w:bCs/>
          <w:szCs w:val="20"/>
        </w:rPr>
        <w:sectPr w:rsidR="008F63ED" w:rsidSect="008F63ED">
          <w:headerReference w:type="default" r:id="rId21"/>
          <w:footerReference w:type="default" r:id="rId22"/>
          <w:pgSz w:w="12240" w:h="15840"/>
          <w:pgMar w:top="1440" w:right="1800" w:bottom="1440" w:left="1800" w:header="720" w:footer="720" w:gutter="0"/>
          <w:pgNumType w:fmt="lowerRoman" w:start="1"/>
          <w:cols w:space="720"/>
          <w:docGrid w:linePitch="360"/>
        </w:sectPr>
      </w:pPr>
      <w:r>
        <w:rPr>
          <w:rFonts w:eastAsia="Courier New" w:cs="Courier New"/>
          <w:b/>
          <w:bCs/>
          <w:szCs w:val="20"/>
        </w:rPr>
        <w:fldChar w:fldCharType="end"/>
      </w:r>
    </w:p>
    <w:p w:rsidR="00601646" w:rsidRDefault="00601646"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BEFORE</w:t>
      </w:r>
    </w:p>
    <w:p w:rsidR="00601646" w:rsidRDefault="00601646"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szCs w:val="20"/>
        </w:rPr>
      </w:pPr>
      <w:r>
        <w:rPr>
          <w:rFonts w:eastAsia="Courier New" w:cs="Courier New"/>
          <w:b/>
          <w:bCs/>
          <w:szCs w:val="20"/>
        </w:rPr>
        <w:t>THE PUBLIC UTILITIES COMMISSION OF OHIO</w:t>
      </w:r>
    </w:p>
    <w:p w:rsidR="00601646" w:rsidRDefault="00601646"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bl>
      <w:tblPr>
        <w:tblW w:w="9092" w:type="dxa"/>
        <w:tblLook w:val="01E0" w:firstRow="1" w:lastRow="1" w:firstColumn="1" w:lastColumn="1" w:noHBand="0" w:noVBand="0"/>
      </w:tblPr>
      <w:tblGrid>
        <w:gridCol w:w="4332"/>
        <w:gridCol w:w="360"/>
        <w:gridCol w:w="4400"/>
      </w:tblGrid>
      <w:tr w:rsidR="00601646" w:rsidTr="008B26BF">
        <w:trPr>
          <w:trHeight w:val="807"/>
        </w:trPr>
        <w:tc>
          <w:tcPr>
            <w:tcW w:w="4332" w:type="dxa"/>
          </w:tcPr>
          <w:p w:rsidR="00601646" w:rsidRDefault="00601646" w:rsidP="008B26BF">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Seeking Approval of Ohio Power Company’s Proposal to Enter into an Affiliate Power Purchase Agreement in the Power Purchase Agreement Rider.</w:t>
            </w:r>
          </w:p>
          <w:p w:rsidR="00601646" w:rsidRDefault="00601646" w:rsidP="008B26BF">
            <w:pPr>
              <w:autoSpaceDE w:val="0"/>
              <w:autoSpaceDN w:val="0"/>
              <w:adjustRightInd w:val="0"/>
              <w:spacing w:after="0" w:line="240" w:lineRule="auto"/>
              <w:rPr>
                <w:rFonts w:eastAsiaTheme="minorEastAsia" w:cs="Times New Roman"/>
                <w:szCs w:val="24"/>
              </w:rPr>
            </w:pPr>
          </w:p>
          <w:p w:rsidR="00601646" w:rsidRDefault="00601646" w:rsidP="00A9527F">
            <w:pPr>
              <w:autoSpaceDE w:val="0"/>
              <w:autoSpaceDN w:val="0"/>
              <w:adjustRightInd w:val="0"/>
              <w:spacing w:after="0" w:line="240" w:lineRule="auto"/>
              <w:rPr>
                <w:rFonts w:eastAsia="Courier New" w:cs="Courier New"/>
                <w:szCs w:val="24"/>
              </w:rPr>
            </w:pPr>
            <w:r>
              <w:rPr>
                <w:rFonts w:eastAsiaTheme="minorEastAsia" w:cs="Times New Roman"/>
                <w:szCs w:val="24"/>
              </w:rPr>
              <w:t xml:space="preserve">In the Matter of the Application of Ohio Power Company for Approval of Certain Accounting Authority. </w:t>
            </w:r>
          </w:p>
        </w:tc>
        <w:tc>
          <w:tcPr>
            <w:tcW w:w="360" w:type="dxa"/>
          </w:tcPr>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c>
        <w:tc>
          <w:tcPr>
            <w:tcW w:w="4400" w:type="dxa"/>
          </w:tcPr>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Case No. 14-1693-EL-RDR</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01646" w:rsidRDefault="00601646" w:rsidP="00A9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Case No. 14-1694-EL-AAM</w:t>
            </w:r>
          </w:p>
        </w:tc>
      </w:tr>
    </w:tbl>
    <w:p w:rsidR="00601646" w:rsidRDefault="00601646" w:rsidP="0060164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601646" w:rsidRDefault="00601646"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i/>
          <w:szCs w:val="20"/>
        </w:rPr>
      </w:pPr>
    </w:p>
    <w:p w:rsidR="007B2FD5" w:rsidRDefault="009B2CE9" w:rsidP="009B2CE9">
      <w:pPr>
        <w:spacing w:after="0" w:line="240" w:lineRule="auto"/>
        <w:jc w:val="center"/>
        <w:rPr>
          <w:b/>
        </w:rPr>
      </w:pPr>
      <w:r>
        <w:rPr>
          <w:b/>
        </w:rPr>
        <w:t xml:space="preserve">REPLY TO OHIO POWER COMPANY’S MEMORANDUM CONTRA </w:t>
      </w:r>
      <w:r w:rsidR="00601646">
        <w:rPr>
          <w:b/>
        </w:rPr>
        <w:t xml:space="preserve">MOTION TO STAY PROCEEDINGS PENDING </w:t>
      </w:r>
      <w:r w:rsidR="00F91D6B">
        <w:rPr>
          <w:b/>
        </w:rPr>
        <w:t xml:space="preserve">A RULING BY </w:t>
      </w:r>
      <w:r w:rsidR="007B2FD5">
        <w:rPr>
          <w:b/>
        </w:rPr>
        <w:t>FERC</w:t>
      </w:r>
    </w:p>
    <w:p w:rsidR="00601646" w:rsidRPr="009B2CE9" w:rsidRDefault="009B2CE9" w:rsidP="009B2CE9">
      <w:pPr>
        <w:spacing w:after="0" w:line="240" w:lineRule="auto"/>
        <w:jc w:val="center"/>
        <w:rPr>
          <w:b/>
        </w:rPr>
      </w:pPr>
      <w:r>
        <w:rPr>
          <w:b/>
        </w:rPr>
        <w:t xml:space="preserve">FILED </w:t>
      </w:r>
      <w:r w:rsidR="00601646">
        <w:rPr>
          <w:rFonts w:eastAsia="Courier New" w:cs="Courier New"/>
          <w:b/>
          <w:bCs/>
          <w:szCs w:val="20"/>
        </w:rPr>
        <w:t>BY</w:t>
      </w:r>
    </w:p>
    <w:p w:rsidR="00A9527F" w:rsidRDefault="00601646" w:rsidP="009B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THE OFFICE OF THE OHIO CONSUMERS’ COUNSEL</w:t>
      </w:r>
      <w:r w:rsidR="009B2CE9">
        <w:rPr>
          <w:rFonts w:eastAsia="Courier New" w:cs="Courier New"/>
          <w:b/>
          <w:bCs/>
          <w:szCs w:val="20"/>
        </w:rPr>
        <w:t xml:space="preserve">, </w:t>
      </w:r>
    </w:p>
    <w:p w:rsidR="00A9527F" w:rsidRDefault="009B2CE9" w:rsidP="009B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 xml:space="preserve">THE </w:t>
      </w:r>
      <w:r w:rsidR="00601646">
        <w:rPr>
          <w:rFonts w:eastAsia="Courier New" w:cs="Courier New"/>
          <w:b/>
          <w:bCs/>
          <w:szCs w:val="20"/>
        </w:rPr>
        <w:t>APPALACHIAN PEACE AND JUSTICE NETWORK</w:t>
      </w:r>
      <w:r>
        <w:rPr>
          <w:rFonts w:eastAsia="Courier New" w:cs="Courier New"/>
          <w:b/>
          <w:bCs/>
          <w:szCs w:val="20"/>
        </w:rPr>
        <w:t xml:space="preserve">, </w:t>
      </w:r>
    </w:p>
    <w:p w:rsidR="00A9527F" w:rsidRDefault="009B2CE9" w:rsidP="009B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 xml:space="preserve">AND </w:t>
      </w:r>
    </w:p>
    <w:p w:rsidR="009B2CE9" w:rsidRDefault="009B2CE9" w:rsidP="009B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THE OHIO MANUFACTURERS’ ASSOCIATION ENERGY GROUP</w:t>
      </w:r>
    </w:p>
    <w:p w:rsidR="00601646" w:rsidRDefault="00601646" w:rsidP="0060164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000F51" w:rsidRDefault="00000F51" w:rsidP="00601646">
      <w:pPr>
        <w:spacing w:after="0" w:line="480" w:lineRule="auto"/>
        <w:rPr>
          <w:rFonts w:eastAsiaTheme="minorEastAsia" w:cs="Times New Roman"/>
        </w:rPr>
      </w:pPr>
    </w:p>
    <w:p w:rsidR="000148FA" w:rsidRDefault="00350262" w:rsidP="00601646">
      <w:pPr>
        <w:spacing w:after="0" w:line="480" w:lineRule="auto"/>
        <w:rPr>
          <w:rFonts w:eastAsiaTheme="minorEastAsia" w:cs="Times New Roman"/>
        </w:rPr>
      </w:pPr>
      <w:r>
        <w:rPr>
          <w:rFonts w:eastAsiaTheme="minorEastAsia" w:cs="Times New Roman"/>
        </w:rPr>
        <w:tab/>
      </w:r>
      <w:r w:rsidR="00000F51">
        <w:rPr>
          <w:rFonts w:eastAsiaTheme="minorEastAsia" w:cs="Times New Roman"/>
        </w:rPr>
        <w:t xml:space="preserve">Staying these proceedings is necessary to protect 1.3 million Ohio consumers from paying </w:t>
      </w:r>
      <w:r w:rsidR="000148FA">
        <w:rPr>
          <w:rFonts w:eastAsiaTheme="minorEastAsia" w:cs="Times New Roman"/>
        </w:rPr>
        <w:t>non-refundable rates for a</w:t>
      </w:r>
      <w:r w:rsidR="00000F51">
        <w:rPr>
          <w:rFonts w:eastAsiaTheme="minorEastAsia" w:cs="Times New Roman"/>
        </w:rPr>
        <w:t xml:space="preserve"> power purchase agreement (“PPA”) that </w:t>
      </w:r>
      <w:r w:rsidR="006161FC">
        <w:rPr>
          <w:rFonts w:eastAsiaTheme="minorEastAsia" w:cs="Times New Roman"/>
        </w:rPr>
        <w:t>the Federal Energy Regulatory Commission (“FERC”)</w:t>
      </w:r>
      <w:r w:rsidR="00000F51">
        <w:rPr>
          <w:rFonts w:eastAsiaTheme="minorEastAsia" w:cs="Times New Roman"/>
        </w:rPr>
        <w:t xml:space="preserve"> may decide is un</w:t>
      </w:r>
      <w:r w:rsidR="00067AAF">
        <w:rPr>
          <w:rFonts w:eastAsiaTheme="minorEastAsia" w:cs="Times New Roman"/>
        </w:rPr>
        <w:t xml:space="preserve">lawful. </w:t>
      </w:r>
      <w:r w:rsidR="000148FA">
        <w:rPr>
          <w:rFonts w:eastAsiaTheme="minorEastAsia" w:cs="Times New Roman"/>
        </w:rPr>
        <w:t xml:space="preserve">  The stay should remain until a final decision is issued by FERC regarding the legality of </w:t>
      </w:r>
      <w:r w:rsidR="00BD0B2A">
        <w:rPr>
          <w:rFonts w:eastAsiaTheme="minorEastAsia" w:cs="Times New Roman"/>
        </w:rPr>
        <w:t>AEP Ohio’s</w:t>
      </w:r>
      <w:r w:rsidR="000148FA">
        <w:rPr>
          <w:rFonts w:eastAsiaTheme="minorEastAsia" w:cs="Times New Roman"/>
        </w:rPr>
        <w:t xml:space="preserve"> proposed PPA.</w:t>
      </w:r>
    </w:p>
    <w:p w:rsidR="008F63ED" w:rsidRDefault="000148FA" w:rsidP="00601646">
      <w:pPr>
        <w:spacing w:after="0" w:line="480" w:lineRule="auto"/>
        <w:rPr>
          <w:rFonts w:eastAsiaTheme="minorEastAsia" w:cs="Times New Roman"/>
        </w:rPr>
        <w:sectPr w:rsidR="008F63ED" w:rsidSect="00D23657">
          <w:pgSz w:w="12240" w:h="15840"/>
          <w:pgMar w:top="1440" w:right="1800" w:bottom="1440" w:left="1800" w:header="720" w:footer="720" w:gutter="0"/>
          <w:pgNumType w:start="1"/>
          <w:cols w:space="720"/>
          <w:docGrid w:linePitch="360"/>
        </w:sectPr>
      </w:pPr>
      <w:r>
        <w:rPr>
          <w:rFonts w:eastAsiaTheme="minorEastAsia" w:cs="Times New Roman"/>
        </w:rPr>
        <w:tab/>
      </w:r>
      <w:r w:rsidR="00067AAF">
        <w:rPr>
          <w:rFonts w:eastAsiaTheme="minorEastAsia" w:cs="Times New Roman"/>
        </w:rPr>
        <w:t xml:space="preserve"> The </w:t>
      </w:r>
      <w:r w:rsidR="00000F51">
        <w:rPr>
          <w:rFonts w:eastAsiaTheme="minorEastAsia" w:cs="Times New Roman"/>
        </w:rPr>
        <w:t>Public Utilities Commission of Ohio (“PUCO”) need merely exercise its well-established authority over managing its docket</w:t>
      </w:r>
      <w:r w:rsidR="00067AAF">
        <w:rPr>
          <w:rFonts w:eastAsiaTheme="minorEastAsia" w:cs="Times New Roman"/>
        </w:rPr>
        <w:t xml:space="preserve"> and stay these proceedings</w:t>
      </w:r>
      <w:r w:rsidR="00000F51">
        <w:rPr>
          <w:rFonts w:eastAsiaTheme="minorEastAsia" w:cs="Times New Roman"/>
        </w:rPr>
        <w:t xml:space="preserve">.  </w:t>
      </w:r>
      <w:r w:rsidR="00067AAF">
        <w:rPr>
          <w:rFonts w:eastAsiaTheme="minorEastAsia" w:cs="Times New Roman"/>
        </w:rPr>
        <w:t>Staying these proceedings</w:t>
      </w:r>
      <w:r w:rsidR="00000F51">
        <w:rPr>
          <w:rFonts w:eastAsiaTheme="minorEastAsia" w:cs="Times New Roman"/>
        </w:rPr>
        <w:t xml:space="preserve"> will not harm AEP Ohio, as </w:t>
      </w:r>
      <w:r>
        <w:rPr>
          <w:rFonts w:eastAsiaTheme="minorEastAsia" w:cs="Times New Roman"/>
        </w:rPr>
        <w:t xml:space="preserve">AEP Ohio </w:t>
      </w:r>
      <w:r w:rsidR="00000F51">
        <w:rPr>
          <w:rFonts w:eastAsiaTheme="minorEastAsia" w:cs="Times New Roman"/>
        </w:rPr>
        <w:t>readily admits.</w:t>
      </w:r>
      <w:r w:rsidR="00067AAF">
        <w:rPr>
          <w:rFonts w:eastAsiaTheme="minorEastAsia" w:cs="Times New Roman"/>
        </w:rPr>
        <w:t xml:space="preserve">  Not doing so runs the substantial risk of an “unfair outcome” to customers and a “windfall” to the </w:t>
      </w:r>
    </w:p>
    <w:p w:rsidR="00601646" w:rsidRDefault="00067AAF" w:rsidP="00601646">
      <w:pPr>
        <w:spacing w:after="0" w:line="480" w:lineRule="auto"/>
        <w:rPr>
          <w:rFonts w:eastAsiaTheme="minorEastAsia" w:cs="Times New Roman"/>
        </w:rPr>
      </w:pPr>
      <w:r>
        <w:rPr>
          <w:rFonts w:eastAsiaTheme="minorEastAsia" w:cs="Times New Roman"/>
        </w:rPr>
        <w:t xml:space="preserve">utility – </w:t>
      </w:r>
      <w:r w:rsidR="000148FA">
        <w:rPr>
          <w:rFonts w:eastAsiaTheme="minorEastAsia" w:cs="Times New Roman"/>
        </w:rPr>
        <w:t xml:space="preserve">where customers </w:t>
      </w:r>
      <w:r>
        <w:rPr>
          <w:rFonts w:eastAsiaTheme="minorEastAsia" w:cs="Times New Roman"/>
        </w:rPr>
        <w:t>pay charges</w:t>
      </w:r>
      <w:r w:rsidR="000148FA">
        <w:rPr>
          <w:rFonts w:eastAsiaTheme="minorEastAsia" w:cs="Times New Roman"/>
        </w:rPr>
        <w:t>, later determined unlawful, and can get no refund of those charges</w:t>
      </w:r>
      <w:r>
        <w:rPr>
          <w:rFonts w:eastAsiaTheme="minorEastAsia" w:cs="Times New Roman"/>
        </w:rPr>
        <w:t>.</w:t>
      </w:r>
      <w:r>
        <w:rPr>
          <w:rStyle w:val="FootnoteReference"/>
          <w:rFonts w:eastAsiaTheme="minorEastAsia" w:cs="Times New Roman"/>
        </w:rPr>
        <w:footnoteReference w:id="1"/>
      </w:r>
      <w:r>
        <w:rPr>
          <w:rFonts w:eastAsiaTheme="minorEastAsia" w:cs="Times New Roman"/>
        </w:rPr>
        <w:t xml:space="preserve">  To protect the public interest, these proceedings should be stayed.</w:t>
      </w:r>
      <w:r w:rsidR="00601646">
        <w:rPr>
          <w:rFonts w:eastAsiaTheme="minorEastAsia" w:cs="Times New Roman"/>
        </w:rPr>
        <w:tab/>
      </w:r>
    </w:p>
    <w:p w:rsidR="00A9527F" w:rsidRDefault="00A9527F" w:rsidP="00A9527F">
      <w:pPr>
        <w:spacing w:after="0" w:line="240" w:lineRule="auto"/>
        <w:rPr>
          <w:b/>
        </w:rPr>
      </w:pPr>
    </w:p>
    <w:p w:rsidR="00C6478A" w:rsidRDefault="00C6478A" w:rsidP="00A9527F">
      <w:pPr>
        <w:pStyle w:val="Heading1"/>
      </w:pPr>
      <w:bookmarkStart w:id="2" w:name="_Toc447115736"/>
      <w:r w:rsidRPr="00DF4B76">
        <w:t>INTRODUCTION</w:t>
      </w:r>
      <w:bookmarkEnd w:id="2"/>
    </w:p>
    <w:bookmarkEnd w:id="0"/>
    <w:p w:rsidR="000567E8" w:rsidRDefault="00D428F0" w:rsidP="000567E8">
      <w:pPr>
        <w:spacing w:after="0" w:line="480" w:lineRule="auto"/>
        <w:ind w:firstLine="720"/>
        <w:rPr>
          <w:rFonts w:cs="Times New Roman"/>
          <w:szCs w:val="24"/>
        </w:rPr>
      </w:pPr>
      <w:r>
        <w:rPr>
          <w:rFonts w:cs="Times New Roman"/>
          <w:szCs w:val="24"/>
        </w:rPr>
        <w:t xml:space="preserve">It is well settled that the </w:t>
      </w:r>
      <w:r w:rsidR="00067AAF">
        <w:rPr>
          <w:rFonts w:cs="Times New Roman"/>
          <w:szCs w:val="24"/>
        </w:rPr>
        <w:t>PUCO</w:t>
      </w:r>
      <w:r w:rsidR="00CF1095">
        <w:rPr>
          <w:rFonts w:cs="Times New Roman"/>
          <w:szCs w:val="24"/>
        </w:rPr>
        <w:t xml:space="preserve"> </w:t>
      </w:r>
      <w:r w:rsidR="00D46082">
        <w:rPr>
          <w:rFonts w:cs="Times New Roman"/>
          <w:szCs w:val="24"/>
        </w:rPr>
        <w:t xml:space="preserve">enjoys </w:t>
      </w:r>
      <w:r w:rsidR="00CF1095">
        <w:rPr>
          <w:rFonts w:cs="Times New Roman"/>
          <w:szCs w:val="24"/>
        </w:rPr>
        <w:t xml:space="preserve">broad discretion in </w:t>
      </w:r>
      <w:r w:rsidR="000148FA">
        <w:rPr>
          <w:rFonts w:cs="Times New Roman"/>
          <w:szCs w:val="24"/>
        </w:rPr>
        <w:t>managing its docket.</w:t>
      </w:r>
      <w:r w:rsidR="00CF1095">
        <w:rPr>
          <w:rStyle w:val="FootnoteReference"/>
          <w:rFonts w:cs="Times New Roman"/>
          <w:szCs w:val="24"/>
        </w:rPr>
        <w:footnoteReference w:id="2"/>
      </w:r>
      <w:r w:rsidR="00140C37">
        <w:rPr>
          <w:rFonts w:cs="Times New Roman"/>
          <w:szCs w:val="24"/>
        </w:rPr>
        <w:t xml:space="preserve">  </w:t>
      </w:r>
      <w:r w:rsidR="00067AAF">
        <w:rPr>
          <w:rFonts w:cs="Times New Roman"/>
          <w:szCs w:val="24"/>
        </w:rPr>
        <w:t>A</w:t>
      </w:r>
      <w:r>
        <w:rPr>
          <w:rFonts w:cs="Times New Roman"/>
          <w:szCs w:val="24"/>
        </w:rPr>
        <w:t xml:space="preserve">s part of </w:t>
      </w:r>
      <w:r w:rsidR="00A56AE9">
        <w:rPr>
          <w:rFonts w:cs="Times New Roman"/>
          <w:szCs w:val="24"/>
        </w:rPr>
        <w:t>this</w:t>
      </w:r>
      <w:r>
        <w:rPr>
          <w:rFonts w:cs="Times New Roman"/>
          <w:szCs w:val="24"/>
        </w:rPr>
        <w:t xml:space="preserve"> </w:t>
      </w:r>
      <w:r w:rsidR="00222BE7">
        <w:rPr>
          <w:rFonts w:cs="Times New Roman"/>
          <w:szCs w:val="24"/>
        </w:rPr>
        <w:t>broad discretion</w:t>
      </w:r>
      <w:r>
        <w:rPr>
          <w:rFonts w:cs="Times New Roman"/>
          <w:szCs w:val="24"/>
        </w:rPr>
        <w:t xml:space="preserve">, the </w:t>
      </w:r>
      <w:r w:rsidR="00532B2D">
        <w:rPr>
          <w:rFonts w:cs="Times New Roman"/>
          <w:szCs w:val="24"/>
        </w:rPr>
        <w:t>PUCO</w:t>
      </w:r>
      <w:r>
        <w:rPr>
          <w:rFonts w:cs="Times New Roman"/>
          <w:szCs w:val="24"/>
        </w:rPr>
        <w:t xml:space="preserve"> </w:t>
      </w:r>
      <w:r w:rsidR="00222BE7">
        <w:rPr>
          <w:rFonts w:cs="Times New Roman"/>
          <w:szCs w:val="24"/>
        </w:rPr>
        <w:t>has</w:t>
      </w:r>
      <w:r w:rsidR="00DB2ED9">
        <w:rPr>
          <w:rFonts w:cs="Times New Roman"/>
          <w:szCs w:val="24"/>
        </w:rPr>
        <w:t xml:space="preserve"> the power to stay its proceedings</w:t>
      </w:r>
      <w:r w:rsidR="00140C37">
        <w:rPr>
          <w:rFonts w:cs="Times New Roman"/>
          <w:szCs w:val="24"/>
        </w:rPr>
        <w:t xml:space="preserve"> </w:t>
      </w:r>
      <w:r w:rsidR="00DB2ED9">
        <w:rPr>
          <w:rFonts w:cs="Times New Roman"/>
          <w:szCs w:val="24"/>
        </w:rPr>
        <w:t>where necessary to</w:t>
      </w:r>
      <w:r w:rsidR="00140C37">
        <w:rPr>
          <w:rFonts w:cs="Times New Roman"/>
          <w:szCs w:val="24"/>
        </w:rPr>
        <w:t xml:space="preserve"> </w:t>
      </w:r>
      <w:r w:rsidR="00D46082">
        <w:rPr>
          <w:rFonts w:cs="Times New Roman"/>
          <w:szCs w:val="24"/>
        </w:rPr>
        <w:t xml:space="preserve">safeguard </w:t>
      </w:r>
      <w:r w:rsidR="00941865">
        <w:rPr>
          <w:rFonts w:cs="Times New Roman"/>
          <w:szCs w:val="24"/>
        </w:rPr>
        <w:t>the public interest</w:t>
      </w:r>
      <w:r w:rsidR="00622C0C">
        <w:rPr>
          <w:rFonts w:cs="Times New Roman"/>
          <w:szCs w:val="24"/>
        </w:rPr>
        <w:t xml:space="preserve"> against </w:t>
      </w:r>
      <w:r w:rsidR="009074EF">
        <w:rPr>
          <w:rFonts w:cs="Times New Roman"/>
          <w:szCs w:val="24"/>
        </w:rPr>
        <w:t xml:space="preserve">paying </w:t>
      </w:r>
      <w:r w:rsidR="00622C0C">
        <w:rPr>
          <w:rFonts w:cs="Times New Roman"/>
          <w:szCs w:val="24"/>
        </w:rPr>
        <w:t>unjust or unreasonable charges</w:t>
      </w:r>
      <w:r w:rsidR="00941865">
        <w:rPr>
          <w:rFonts w:cs="Times New Roman"/>
          <w:szCs w:val="24"/>
        </w:rPr>
        <w:t>.</w:t>
      </w:r>
      <w:r w:rsidR="00622C0C">
        <w:rPr>
          <w:rStyle w:val="FootnoteReference"/>
          <w:rFonts w:cs="Times New Roman"/>
          <w:szCs w:val="24"/>
        </w:rPr>
        <w:footnoteReference w:id="3"/>
      </w:r>
      <w:r w:rsidR="00941865">
        <w:rPr>
          <w:rFonts w:cs="Times New Roman"/>
          <w:szCs w:val="24"/>
        </w:rPr>
        <w:t xml:space="preserve">  </w:t>
      </w:r>
      <w:r w:rsidR="000148FA">
        <w:rPr>
          <w:rFonts w:cs="Times New Roman"/>
          <w:szCs w:val="24"/>
        </w:rPr>
        <w:t>It should do so here, where a FERC decision is pending on the underlying affiliate transaction.  T</w:t>
      </w:r>
      <w:r w:rsidR="000567E8">
        <w:rPr>
          <w:rFonts w:cs="Times New Roman"/>
          <w:szCs w:val="24"/>
        </w:rPr>
        <w:t>he PUCO</w:t>
      </w:r>
      <w:r w:rsidR="006161FC">
        <w:rPr>
          <w:rFonts w:cs="Times New Roman"/>
          <w:szCs w:val="24"/>
        </w:rPr>
        <w:t xml:space="preserve"> has </w:t>
      </w:r>
      <w:r w:rsidR="000567E8">
        <w:rPr>
          <w:rFonts w:cs="Times New Roman"/>
          <w:szCs w:val="24"/>
        </w:rPr>
        <w:t xml:space="preserve">stayed </w:t>
      </w:r>
      <w:r w:rsidR="000148FA">
        <w:rPr>
          <w:rFonts w:cs="Times New Roman"/>
          <w:szCs w:val="24"/>
        </w:rPr>
        <w:t xml:space="preserve">other </w:t>
      </w:r>
      <w:r w:rsidR="000567E8">
        <w:rPr>
          <w:rFonts w:cs="Times New Roman"/>
          <w:szCs w:val="24"/>
        </w:rPr>
        <w:t xml:space="preserve">proceedings while awaiting </w:t>
      </w:r>
      <w:r w:rsidR="006161FC">
        <w:rPr>
          <w:rFonts w:cs="Times New Roman"/>
          <w:szCs w:val="24"/>
        </w:rPr>
        <w:t>FERC decision</w:t>
      </w:r>
      <w:r w:rsidR="000567E8">
        <w:rPr>
          <w:rFonts w:cs="Times New Roman"/>
          <w:szCs w:val="24"/>
        </w:rPr>
        <w:t xml:space="preserve">s. </w:t>
      </w:r>
      <w:r w:rsidR="000148FA">
        <w:rPr>
          <w:rFonts w:cs="Times New Roman"/>
          <w:szCs w:val="24"/>
        </w:rPr>
        <w:t>For instance, i</w:t>
      </w:r>
      <w:r w:rsidR="000567E8">
        <w:rPr>
          <w:rFonts w:cs="Times New Roman"/>
          <w:szCs w:val="24"/>
        </w:rPr>
        <w:t xml:space="preserve">n </w:t>
      </w:r>
      <w:r w:rsidR="000567E8">
        <w:rPr>
          <w:i/>
        </w:rPr>
        <w:t>In re Commission’s Review of Columbus S. Power Company’s and Ohio Power Company’s Independent Transmission Plan</w:t>
      </w:r>
      <w:r w:rsidR="000567E8">
        <w:t>,</w:t>
      </w:r>
      <w:r w:rsidR="000567E8">
        <w:rPr>
          <w:rStyle w:val="FootnoteReference"/>
          <w:rFonts w:cs="Times New Roman"/>
          <w:szCs w:val="24"/>
        </w:rPr>
        <w:footnoteReference w:id="4"/>
      </w:r>
      <w:r w:rsidR="000567E8">
        <w:t xml:space="preserve"> the PUCO noted various issues outstanding at FERC and</w:t>
      </w:r>
      <w:r w:rsidR="00BD0B2A">
        <w:t xml:space="preserve"> </w:t>
      </w:r>
      <w:r w:rsidR="000567E8">
        <w:t>decided “that all further activity, including discovery, in the [case] should be stayed until more clarity is achieved regarding matters pending at FERC and elsewhere.”</w:t>
      </w:r>
      <w:r w:rsidR="000567E8">
        <w:rPr>
          <w:rStyle w:val="FootnoteReference"/>
        </w:rPr>
        <w:footnoteReference w:id="5"/>
      </w:r>
      <w:r w:rsidR="000567E8">
        <w:rPr>
          <w:rFonts w:cs="Times New Roman"/>
          <w:szCs w:val="24"/>
        </w:rPr>
        <w:t xml:space="preserve">  </w:t>
      </w:r>
    </w:p>
    <w:p w:rsidR="00D46082" w:rsidRDefault="00941865" w:rsidP="000567E8">
      <w:pPr>
        <w:spacing w:after="0" w:line="480" w:lineRule="auto"/>
        <w:ind w:firstLine="720"/>
        <w:rPr>
          <w:rFonts w:cs="Times New Roman"/>
          <w:szCs w:val="24"/>
        </w:rPr>
      </w:pPr>
      <w:r>
        <w:rPr>
          <w:rFonts w:cs="Times New Roman"/>
          <w:szCs w:val="24"/>
        </w:rPr>
        <w:t xml:space="preserve">Seemingly unaware of this longstanding principle, </w:t>
      </w:r>
      <w:r w:rsidR="00222BE7">
        <w:rPr>
          <w:rFonts w:cs="Times New Roman"/>
          <w:szCs w:val="24"/>
        </w:rPr>
        <w:t xml:space="preserve">AEP Ohio </w:t>
      </w:r>
      <w:r>
        <w:rPr>
          <w:rFonts w:cs="Times New Roman"/>
          <w:szCs w:val="24"/>
        </w:rPr>
        <w:t xml:space="preserve">urges the </w:t>
      </w:r>
      <w:r w:rsidR="00532B2D">
        <w:rPr>
          <w:rFonts w:cs="Times New Roman"/>
          <w:szCs w:val="24"/>
        </w:rPr>
        <w:t>PUCO</w:t>
      </w:r>
      <w:r>
        <w:rPr>
          <w:rFonts w:cs="Times New Roman"/>
          <w:szCs w:val="24"/>
        </w:rPr>
        <w:t xml:space="preserve"> to rule expeditiously</w:t>
      </w:r>
      <w:r>
        <w:rPr>
          <w:rStyle w:val="FootnoteReference"/>
          <w:rFonts w:cs="Times New Roman"/>
          <w:szCs w:val="24"/>
        </w:rPr>
        <w:footnoteReference w:id="6"/>
      </w:r>
      <w:r>
        <w:rPr>
          <w:rFonts w:cs="Times New Roman"/>
          <w:szCs w:val="24"/>
        </w:rPr>
        <w:t xml:space="preserve"> on a proposal that would </w:t>
      </w:r>
      <w:r w:rsidR="00350262">
        <w:rPr>
          <w:rFonts w:cs="Times New Roman"/>
          <w:szCs w:val="24"/>
        </w:rPr>
        <w:t>force</w:t>
      </w:r>
      <w:r>
        <w:rPr>
          <w:rFonts w:cs="Times New Roman"/>
          <w:szCs w:val="24"/>
        </w:rPr>
        <w:t xml:space="preserve"> captive </w:t>
      </w:r>
      <w:r w:rsidR="00D46082">
        <w:rPr>
          <w:rFonts w:cs="Times New Roman"/>
          <w:szCs w:val="24"/>
        </w:rPr>
        <w:t xml:space="preserve">distribution customers </w:t>
      </w:r>
      <w:r w:rsidR="00350262">
        <w:rPr>
          <w:rFonts w:cs="Times New Roman"/>
          <w:szCs w:val="24"/>
        </w:rPr>
        <w:t>to</w:t>
      </w:r>
      <w:r w:rsidR="00D46082">
        <w:rPr>
          <w:rFonts w:cs="Times New Roman"/>
          <w:szCs w:val="24"/>
        </w:rPr>
        <w:t xml:space="preserve"> pay</w:t>
      </w:r>
      <w:r w:rsidR="00350262">
        <w:rPr>
          <w:rFonts w:cs="Times New Roman"/>
          <w:szCs w:val="24"/>
        </w:rPr>
        <w:t xml:space="preserve"> </w:t>
      </w:r>
      <w:r w:rsidR="00D46082">
        <w:rPr>
          <w:rFonts w:cs="Times New Roman"/>
          <w:szCs w:val="24"/>
        </w:rPr>
        <w:t>above-</w:t>
      </w:r>
      <w:r>
        <w:rPr>
          <w:rFonts w:cs="Times New Roman"/>
          <w:szCs w:val="24"/>
        </w:rPr>
        <w:t xml:space="preserve">market </w:t>
      </w:r>
      <w:r w:rsidR="000148FA">
        <w:rPr>
          <w:rFonts w:cs="Times New Roman"/>
          <w:szCs w:val="24"/>
        </w:rPr>
        <w:t>prices</w:t>
      </w:r>
      <w:r>
        <w:rPr>
          <w:rFonts w:cs="Times New Roman"/>
          <w:szCs w:val="24"/>
        </w:rPr>
        <w:t xml:space="preserve"> for a fleet of </w:t>
      </w:r>
      <w:r w:rsidR="000148FA">
        <w:rPr>
          <w:rFonts w:cs="Times New Roman"/>
          <w:szCs w:val="24"/>
        </w:rPr>
        <w:t xml:space="preserve">affiliate owned </w:t>
      </w:r>
      <w:r>
        <w:rPr>
          <w:rFonts w:cs="Times New Roman"/>
          <w:szCs w:val="24"/>
        </w:rPr>
        <w:t xml:space="preserve">generating units </w:t>
      </w:r>
      <w:r w:rsidR="00D46082">
        <w:rPr>
          <w:rFonts w:cs="Times New Roman"/>
          <w:szCs w:val="24"/>
        </w:rPr>
        <w:t>(</w:t>
      </w:r>
      <w:r w:rsidR="00222BE7">
        <w:rPr>
          <w:rFonts w:cs="Times New Roman"/>
          <w:szCs w:val="24"/>
        </w:rPr>
        <w:t>“</w:t>
      </w:r>
      <w:r w:rsidR="00D46082">
        <w:rPr>
          <w:rFonts w:cs="Times New Roman"/>
          <w:szCs w:val="24"/>
        </w:rPr>
        <w:t xml:space="preserve">PPA </w:t>
      </w:r>
      <w:r w:rsidR="00222BE7">
        <w:rPr>
          <w:rFonts w:cs="Times New Roman"/>
          <w:szCs w:val="24"/>
        </w:rPr>
        <w:t>Units</w:t>
      </w:r>
      <w:r w:rsidR="00000F51">
        <w:rPr>
          <w:rFonts w:cs="Times New Roman"/>
          <w:szCs w:val="24"/>
        </w:rPr>
        <w:t>”</w:t>
      </w:r>
      <w:r w:rsidR="00D46082">
        <w:rPr>
          <w:rFonts w:cs="Times New Roman"/>
          <w:szCs w:val="24"/>
        </w:rPr>
        <w:t>)</w:t>
      </w:r>
      <w:r w:rsidR="000148FA">
        <w:rPr>
          <w:rFonts w:cs="Times New Roman"/>
          <w:szCs w:val="24"/>
        </w:rPr>
        <w:t>.</w:t>
      </w:r>
      <w:r>
        <w:rPr>
          <w:rFonts w:cs="Times New Roman"/>
          <w:szCs w:val="24"/>
        </w:rPr>
        <w:t xml:space="preserve">  Glaringly absent from AEP Ohio’s request </w:t>
      </w:r>
      <w:r w:rsidR="007C4266">
        <w:rPr>
          <w:rFonts w:cs="Times New Roman"/>
          <w:szCs w:val="24"/>
        </w:rPr>
        <w:t xml:space="preserve">to forge ahead </w:t>
      </w:r>
      <w:r>
        <w:rPr>
          <w:rFonts w:cs="Times New Roman"/>
          <w:szCs w:val="24"/>
        </w:rPr>
        <w:t xml:space="preserve">is any citation to authority requiring the </w:t>
      </w:r>
      <w:r w:rsidR="00532B2D">
        <w:rPr>
          <w:rFonts w:cs="Times New Roman"/>
          <w:szCs w:val="24"/>
        </w:rPr>
        <w:t>PUCO</w:t>
      </w:r>
      <w:r>
        <w:rPr>
          <w:rFonts w:cs="Times New Roman"/>
          <w:szCs w:val="24"/>
        </w:rPr>
        <w:t xml:space="preserve"> to accelerat</w:t>
      </w:r>
      <w:r w:rsidR="00D46082">
        <w:rPr>
          <w:rFonts w:cs="Times New Roman"/>
          <w:szCs w:val="24"/>
        </w:rPr>
        <w:t>e its decision-making process</w:t>
      </w:r>
      <w:r w:rsidR="007C4266">
        <w:rPr>
          <w:rFonts w:cs="Times New Roman"/>
          <w:szCs w:val="24"/>
        </w:rPr>
        <w:t>.</w:t>
      </w:r>
    </w:p>
    <w:p w:rsidR="00A56AE9" w:rsidRDefault="00822D4D" w:rsidP="00941865">
      <w:pPr>
        <w:spacing w:after="0" w:line="480" w:lineRule="auto"/>
        <w:ind w:firstLine="720"/>
        <w:rPr>
          <w:rFonts w:cs="Times New Roman"/>
          <w:szCs w:val="24"/>
        </w:rPr>
      </w:pPr>
      <w:r>
        <w:rPr>
          <w:rFonts w:cs="Times New Roman"/>
          <w:szCs w:val="24"/>
        </w:rPr>
        <w:t xml:space="preserve">Lacking any legal basis to accelerate the </w:t>
      </w:r>
      <w:r w:rsidR="006B0B7C">
        <w:rPr>
          <w:rFonts w:cs="Times New Roman"/>
          <w:szCs w:val="24"/>
        </w:rPr>
        <w:t>proceedings</w:t>
      </w:r>
      <w:r w:rsidR="00140C37">
        <w:rPr>
          <w:rFonts w:cs="Times New Roman"/>
          <w:szCs w:val="24"/>
        </w:rPr>
        <w:t xml:space="preserve">, </w:t>
      </w:r>
      <w:r w:rsidR="00941865">
        <w:rPr>
          <w:rFonts w:cs="Times New Roman"/>
          <w:szCs w:val="24"/>
        </w:rPr>
        <w:t xml:space="preserve">AEP Ohio </w:t>
      </w:r>
      <w:r w:rsidR="007C4266">
        <w:rPr>
          <w:rFonts w:cs="Times New Roman"/>
          <w:szCs w:val="24"/>
        </w:rPr>
        <w:t xml:space="preserve">urges that </w:t>
      </w:r>
      <w:r w:rsidR="00941865">
        <w:rPr>
          <w:rFonts w:cs="Times New Roman"/>
          <w:szCs w:val="24"/>
        </w:rPr>
        <w:t xml:space="preserve">a </w:t>
      </w:r>
      <w:r w:rsidR="00D46082">
        <w:rPr>
          <w:rFonts w:cs="Times New Roman"/>
          <w:szCs w:val="24"/>
        </w:rPr>
        <w:t xml:space="preserve">quick </w:t>
      </w:r>
      <w:r w:rsidR="00532B2D">
        <w:rPr>
          <w:rFonts w:cs="Times New Roman"/>
          <w:szCs w:val="24"/>
        </w:rPr>
        <w:t>PUCO</w:t>
      </w:r>
      <w:r w:rsidR="00140C37">
        <w:rPr>
          <w:rFonts w:cs="Times New Roman"/>
          <w:szCs w:val="24"/>
        </w:rPr>
        <w:t xml:space="preserve"> </w:t>
      </w:r>
      <w:r w:rsidR="00941865">
        <w:rPr>
          <w:rFonts w:cs="Times New Roman"/>
          <w:szCs w:val="24"/>
        </w:rPr>
        <w:t xml:space="preserve">decision is </w:t>
      </w:r>
      <w:r w:rsidR="00D46082">
        <w:rPr>
          <w:rFonts w:cs="Times New Roman"/>
          <w:szCs w:val="24"/>
        </w:rPr>
        <w:t>necessary</w:t>
      </w:r>
      <w:r w:rsidR="00140C37">
        <w:rPr>
          <w:rFonts w:cs="Times New Roman"/>
          <w:szCs w:val="24"/>
        </w:rPr>
        <w:t xml:space="preserve"> </w:t>
      </w:r>
      <w:r w:rsidR="0083120B">
        <w:rPr>
          <w:rFonts w:cs="Times New Roman"/>
          <w:szCs w:val="24"/>
        </w:rPr>
        <w:t>to enable</w:t>
      </w:r>
      <w:r w:rsidR="00D46082">
        <w:rPr>
          <w:rFonts w:cs="Times New Roman"/>
          <w:szCs w:val="24"/>
        </w:rPr>
        <w:t xml:space="preserve"> its </w:t>
      </w:r>
      <w:r w:rsidR="00D46082" w:rsidRPr="00D46082">
        <w:rPr>
          <w:rFonts w:cs="Times New Roman"/>
          <w:i/>
          <w:szCs w:val="24"/>
        </w:rPr>
        <w:t>parent company</w:t>
      </w:r>
      <w:r w:rsidR="00140C37">
        <w:rPr>
          <w:rFonts w:cs="Times New Roman"/>
          <w:i/>
          <w:szCs w:val="24"/>
        </w:rPr>
        <w:t xml:space="preserve"> </w:t>
      </w:r>
      <w:r w:rsidR="0083120B">
        <w:rPr>
          <w:rFonts w:cs="Times New Roman"/>
          <w:szCs w:val="24"/>
        </w:rPr>
        <w:t>to</w:t>
      </w:r>
      <w:r w:rsidR="00D46082">
        <w:rPr>
          <w:rFonts w:cs="Times New Roman"/>
          <w:szCs w:val="24"/>
        </w:rPr>
        <w:t xml:space="preserve"> make </w:t>
      </w:r>
      <w:r w:rsidR="00622C0C">
        <w:rPr>
          <w:rFonts w:cs="Times New Roman"/>
          <w:szCs w:val="24"/>
        </w:rPr>
        <w:t>“</w:t>
      </w:r>
      <w:r w:rsidR="00D46082">
        <w:rPr>
          <w:rFonts w:cs="Times New Roman"/>
          <w:szCs w:val="24"/>
        </w:rPr>
        <w:t>long-term strategic decisions</w:t>
      </w:r>
      <w:r w:rsidR="00622C0C">
        <w:rPr>
          <w:rFonts w:cs="Times New Roman"/>
          <w:szCs w:val="24"/>
        </w:rPr>
        <w:t>”</w:t>
      </w:r>
      <w:r w:rsidR="00D46082">
        <w:rPr>
          <w:rFonts w:cs="Times New Roman"/>
          <w:szCs w:val="24"/>
        </w:rPr>
        <w:t xml:space="preserve"> about the </w:t>
      </w:r>
      <w:r w:rsidR="00622C0C">
        <w:rPr>
          <w:rFonts w:cs="Times New Roman"/>
          <w:szCs w:val="24"/>
        </w:rPr>
        <w:t>PPA</w:t>
      </w:r>
      <w:r w:rsidR="00D46082">
        <w:rPr>
          <w:rFonts w:cs="Times New Roman"/>
          <w:szCs w:val="24"/>
        </w:rPr>
        <w:t xml:space="preserve"> </w:t>
      </w:r>
      <w:r w:rsidR="00222BE7">
        <w:rPr>
          <w:rFonts w:cs="Times New Roman"/>
          <w:szCs w:val="24"/>
        </w:rPr>
        <w:t>Units</w:t>
      </w:r>
      <w:r w:rsidR="00D46082">
        <w:rPr>
          <w:rFonts w:cs="Times New Roman"/>
          <w:szCs w:val="24"/>
        </w:rPr>
        <w:t>.</w:t>
      </w:r>
      <w:r w:rsidR="00D46082">
        <w:rPr>
          <w:rStyle w:val="FootnoteReference"/>
          <w:rFonts w:cs="Times New Roman"/>
          <w:szCs w:val="24"/>
        </w:rPr>
        <w:footnoteReference w:id="7"/>
      </w:r>
      <w:r w:rsidR="00D46082">
        <w:rPr>
          <w:rFonts w:cs="Times New Roman"/>
          <w:szCs w:val="24"/>
        </w:rPr>
        <w:t xml:space="preserve">  </w:t>
      </w:r>
      <w:r w:rsidR="00222BE7">
        <w:rPr>
          <w:rFonts w:cs="Times New Roman"/>
          <w:szCs w:val="24"/>
        </w:rPr>
        <w:t xml:space="preserve">Because the PPA Rider is revenue neutral to it, AEP Ohio’s memo contra does not even bother to </w:t>
      </w:r>
      <w:r w:rsidR="00350262">
        <w:rPr>
          <w:rFonts w:cs="Times New Roman"/>
          <w:szCs w:val="24"/>
        </w:rPr>
        <w:t xml:space="preserve">explain how it </w:t>
      </w:r>
      <w:r w:rsidR="007C4266">
        <w:rPr>
          <w:rFonts w:cs="Times New Roman"/>
          <w:szCs w:val="24"/>
        </w:rPr>
        <w:t xml:space="preserve">(and not its parent) </w:t>
      </w:r>
      <w:r w:rsidR="00222BE7">
        <w:rPr>
          <w:rFonts w:cs="Times New Roman"/>
          <w:szCs w:val="24"/>
        </w:rPr>
        <w:t>could possibly suffer financial injury from staying the proceedings.</w:t>
      </w:r>
      <w:r w:rsidR="00222BE7">
        <w:rPr>
          <w:rStyle w:val="FootnoteReference"/>
          <w:rFonts w:cs="Times New Roman"/>
          <w:szCs w:val="24"/>
        </w:rPr>
        <w:footnoteReference w:id="8"/>
      </w:r>
      <w:r w:rsidR="00222BE7">
        <w:rPr>
          <w:rFonts w:cs="Times New Roman"/>
          <w:szCs w:val="24"/>
        </w:rPr>
        <w:t xml:space="preserve">  These are</w:t>
      </w:r>
      <w:r w:rsidR="00164DCB">
        <w:rPr>
          <w:rFonts w:cs="Times New Roman"/>
          <w:szCs w:val="24"/>
        </w:rPr>
        <w:t xml:space="preserve"> striking </w:t>
      </w:r>
      <w:r w:rsidR="00D46082">
        <w:rPr>
          <w:rFonts w:cs="Times New Roman"/>
          <w:szCs w:val="24"/>
        </w:rPr>
        <w:t>concession</w:t>
      </w:r>
      <w:r w:rsidR="00BD0B2A">
        <w:rPr>
          <w:rFonts w:cs="Times New Roman"/>
          <w:szCs w:val="24"/>
        </w:rPr>
        <w:t>s</w:t>
      </w:r>
      <w:r w:rsidR="00D46082">
        <w:rPr>
          <w:rFonts w:cs="Times New Roman"/>
          <w:szCs w:val="24"/>
        </w:rPr>
        <w:t xml:space="preserve"> </w:t>
      </w:r>
      <w:r w:rsidR="00164DCB">
        <w:rPr>
          <w:rFonts w:cs="Times New Roman"/>
          <w:szCs w:val="24"/>
        </w:rPr>
        <w:t xml:space="preserve">to say the least, but not entirely surprising.  </w:t>
      </w:r>
      <w:r w:rsidR="006161FC">
        <w:rPr>
          <w:rFonts w:cs="Times New Roman"/>
          <w:szCs w:val="24"/>
        </w:rPr>
        <w:t>The</w:t>
      </w:r>
      <w:r w:rsidR="00D46082">
        <w:rPr>
          <w:rFonts w:cs="Times New Roman"/>
          <w:szCs w:val="24"/>
        </w:rPr>
        <w:t xml:space="preserve"> interests of</w:t>
      </w:r>
      <w:r w:rsidR="00164DCB">
        <w:rPr>
          <w:rFonts w:cs="Times New Roman"/>
          <w:szCs w:val="24"/>
        </w:rPr>
        <w:t xml:space="preserve"> AEP Ohio’s</w:t>
      </w:r>
      <w:r w:rsidR="00D46082">
        <w:rPr>
          <w:rFonts w:cs="Times New Roman"/>
          <w:szCs w:val="24"/>
        </w:rPr>
        <w:t xml:space="preserve"> parent company</w:t>
      </w:r>
      <w:r w:rsidR="00222BE7">
        <w:rPr>
          <w:rFonts w:cs="Times New Roman"/>
          <w:szCs w:val="24"/>
        </w:rPr>
        <w:t xml:space="preserve"> – not </w:t>
      </w:r>
      <w:r w:rsidR="00140C37">
        <w:rPr>
          <w:rFonts w:cs="Times New Roman"/>
          <w:szCs w:val="24"/>
        </w:rPr>
        <w:t xml:space="preserve">customers’ interests and </w:t>
      </w:r>
      <w:r w:rsidR="00A504C1">
        <w:rPr>
          <w:rFonts w:cs="Times New Roman"/>
          <w:szCs w:val="24"/>
        </w:rPr>
        <w:t xml:space="preserve">not the regulated distribution </w:t>
      </w:r>
      <w:r w:rsidR="00140C37">
        <w:rPr>
          <w:rFonts w:cs="Times New Roman"/>
          <w:szCs w:val="24"/>
        </w:rPr>
        <w:t xml:space="preserve">utility’s </w:t>
      </w:r>
      <w:r w:rsidR="00A504C1">
        <w:rPr>
          <w:rFonts w:cs="Times New Roman"/>
          <w:szCs w:val="24"/>
        </w:rPr>
        <w:t>interests</w:t>
      </w:r>
      <w:r w:rsidR="00222BE7">
        <w:rPr>
          <w:rFonts w:cs="Times New Roman"/>
          <w:szCs w:val="24"/>
        </w:rPr>
        <w:t xml:space="preserve"> – are </w:t>
      </w:r>
      <w:r w:rsidR="00D46082">
        <w:rPr>
          <w:rFonts w:cs="Times New Roman"/>
          <w:szCs w:val="24"/>
        </w:rPr>
        <w:t>driving this misguided proposal</w:t>
      </w:r>
      <w:r w:rsidR="00622C0C">
        <w:rPr>
          <w:rFonts w:cs="Times New Roman"/>
          <w:szCs w:val="24"/>
        </w:rPr>
        <w:t xml:space="preserve">.  </w:t>
      </w:r>
      <w:r w:rsidR="006120BE">
        <w:rPr>
          <w:rFonts w:cs="Times New Roman"/>
          <w:szCs w:val="24"/>
        </w:rPr>
        <w:t xml:space="preserve">Stripped of </w:t>
      </w:r>
      <w:r w:rsidR="000C7608">
        <w:rPr>
          <w:rFonts w:cs="Times New Roman"/>
          <w:szCs w:val="24"/>
        </w:rPr>
        <w:t xml:space="preserve">all </w:t>
      </w:r>
      <w:r w:rsidR="006120BE">
        <w:rPr>
          <w:rFonts w:cs="Times New Roman"/>
          <w:szCs w:val="24"/>
        </w:rPr>
        <w:t xml:space="preserve">the legal niceties, the question for the </w:t>
      </w:r>
      <w:r w:rsidR="00532B2D">
        <w:rPr>
          <w:rFonts w:cs="Times New Roman"/>
          <w:szCs w:val="24"/>
        </w:rPr>
        <w:t>PUCO</w:t>
      </w:r>
      <w:r w:rsidR="006120BE">
        <w:rPr>
          <w:rFonts w:cs="Times New Roman"/>
          <w:szCs w:val="24"/>
        </w:rPr>
        <w:t xml:space="preserve"> is straightforward: should </w:t>
      </w:r>
      <w:r w:rsidR="000C7608">
        <w:rPr>
          <w:rFonts w:cs="Times New Roman"/>
          <w:szCs w:val="24"/>
        </w:rPr>
        <w:t>the</w:t>
      </w:r>
      <w:r w:rsidR="00622C0C">
        <w:rPr>
          <w:rFonts w:cs="Times New Roman"/>
          <w:szCs w:val="24"/>
        </w:rPr>
        <w:t xml:space="preserve"> parent company</w:t>
      </w:r>
      <w:r w:rsidR="000C7608">
        <w:rPr>
          <w:rFonts w:cs="Times New Roman"/>
          <w:szCs w:val="24"/>
        </w:rPr>
        <w:t>’s interest</w:t>
      </w:r>
      <w:r w:rsidR="002F6510">
        <w:rPr>
          <w:rFonts w:cs="Times New Roman"/>
          <w:szCs w:val="24"/>
        </w:rPr>
        <w:t xml:space="preserve"> in delivering value to</w:t>
      </w:r>
      <w:r w:rsidR="00F92B96">
        <w:rPr>
          <w:rFonts w:cs="Times New Roman"/>
          <w:szCs w:val="24"/>
        </w:rPr>
        <w:t xml:space="preserve"> shareholders and</w:t>
      </w:r>
      <w:r w:rsidR="002F6510">
        <w:rPr>
          <w:rFonts w:cs="Times New Roman"/>
          <w:szCs w:val="24"/>
        </w:rPr>
        <w:t xml:space="preserve"> the investment community</w:t>
      </w:r>
      <w:r w:rsidR="000C7608">
        <w:rPr>
          <w:rFonts w:cs="Times New Roman"/>
          <w:szCs w:val="24"/>
        </w:rPr>
        <w:t xml:space="preserve"> defeat a request to stay the proceedings for the benefit of the public interest</w:t>
      </w:r>
      <w:r w:rsidR="006120BE">
        <w:rPr>
          <w:rFonts w:cs="Times New Roman"/>
          <w:szCs w:val="24"/>
        </w:rPr>
        <w:t xml:space="preserve">? </w:t>
      </w:r>
      <w:r w:rsidR="00140C37">
        <w:rPr>
          <w:rFonts w:cs="Times New Roman"/>
          <w:szCs w:val="24"/>
        </w:rPr>
        <w:t xml:space="preserve"> </w:t>
      </w:r>
      <w:r w:rsidR="006120BE">
        <w:rPr>
          <w:rFonts w:cs="Times New Roman"/>
          <w:szCs w:val="24"/>
        </w:rPr>
        <w:t xml:space="preserve">The </w:t>
      </w:r>
      <w:r w:rsidR="000C7608">
        <w:rPr>
          <w:rFonts w:cs="Times New Roman"/>
          <w:szCs w:val="24"/>
        </w:rPr>
        <w:t>answer is plainly no.</w:t>
      </w:r>
    </w:p>
    <w:p w:rsidR="00D428F0" w:rsidRDefault="006161FC" w:rsidP="00C6478A">
      <w:pPr>
        <w:spacing w:after="0" w:line="480" w:lineRule="auto"/>
        <w:ind w:firstLine="720"/>
        <w:rPr>
          <w:rFonts w:cs="Times New Roman"/>
          <w:szCs w:val="24"/>
        </w:rPr>
      </w:pPr>
      <w:r>
        <w:rPr>
          <w:rFonts w:cs="Times New Roman"/>
          <w:szCs w:val="24"/>
        </w:rPr>
        <w:t>The</w:t>
      </w:r>
      <w:r w:rsidR="002E6D2A">
        <w:rPr>
          <w:rFonts w:cs="Times New Roman"/>
          <w:szCs w:val="24"/>
        </w:rPr>
        <w:t xml:space="preserve"> complaint pending before </w:t>
      </w:r>
      <w:r>
        <w:rPr>
          <w:rFonts w:cs="Times New Roman"/>
          <w:szCs w:val="24"/>
        </w:rPr>
        <w:t>FERC</w:t>
      </w:r>
      <w:r w:rsidR="00BD0B2A">
        <w:rPr>
          <w:rFonts w:cs="Times New Roman"/>
          <w:szCs w:val="24"/>
        </w:rPr>
        <w:t xml:space="preserve"> </w:t>
      </w:r>
      <w:r w:rsidR="002E6D2A">
        <w:rPr>
          <w:rFonts w:cs="Times New Roman"/>
          <w:szCs w:val="24"/>
        </w:rPr>
        <w:t>filed by the Electric Power Supply Association and others (</w:t>
      </w:r>
      <w:r>
        <w:rPr>
          <w:rFonts w:cs="Times New Roman"/>
          <w:szCs w:val="24"/>
        </w:rPr>
        <w:t>“</w:t>
      </w:r>
      <w:r w:rsidR="002E6D2A">
        <w:rPr>
          <w:rFonts w:cs="Times New Roman"/>
          <w:szCs w:val="24"/>
        </w:rPr>
        <w:t>EPSA</w:t>
      </w:r>
      <w:r w:rsidR="00DB2ED9">
        <w:rPr>
          <w:rFonts w:cs="Times New Roman"/>
          <w:szCs w:val="24"/>
        </w:rPr>
        <w:t xml:space="preserve"> Complaint</w:t>
      </w:r>
      <w:r w:rsidR="00222BE7">
        <w:rPr>
          <w:rFonts w:cs="Times New Roman"/>
          <w:szCs w:val="24"/>
        </w:rPr>
        <w:t>”</w:t>
      </w:r>
      <w:r w:rsidR="002E6D2A">
        <w:rPr>
          <w:rFonts w:cs="Times New Roman"/>
          <w:szCs w:val="24"/>
        </w:rPr>
        <w:t xml:space="preserve">) against AEP Ohio and </w:t>
      </w:r>
      <w:r w:rsidR="007C4266">
        <w:rPr>
          <w:rFonts w:cs="Times New Roman"/>
          <w:szCs w:val="24"/>
        </w:rPr>
        <w:t xml:space="preserve">its affiliate, </w:t>
      </w:r>
      <w:r w:rsidR="002E6D2A">
        <w:rPr>
          <w:rFonts w:cs="Times New Roman"/>
          <w:szCs w:val="24"/>
        </w:rPr>
        <w:t>AEPGR</w:t>
      </w:r>
      <w:r w:rsidR="007C4266">
        <w:rPr>
          <w:rFonts w:cs="Times New Roman"/>
          <w:szCs w:val="24"/>
        </w:rPr>
        <w:t>,</w:t>
      </w:r>
      <w:r w:rsidR="002E6D2A">
        <w:rPr>
          <w:rFonts w:cs="Times New Roman"/>
          <w:szCs w:val="24"/>
        </w:rPr>
        <w:t xml:space="preserve"> provides a compelling justification for why the </w:t>
      </w:r>
      <w:r w:rsidR="00532B2D">
        <w:rPr>
          <w:rFonts w:cs="Times New Roman"/>
          <w:szCs w:val="24"/>
        </w:rPr>
        <w:t>PUCO</w:t>
      </w:r>
      <w:r w:rsidR="002E6D2A">
        <w:rPr>
          <w:rFonts w:cs="Times New Roman"/>
          <w:szCs w:val="24"/>
        </w:rPr>
        <w:t xml:space="preserve"> should </w:t>
      </w:r>
      <w:r w:rsidR="00187B84">
        <w:rPr>
          <w:rFonts w:cs="Times New Roman"/>
          <w:szCs w:val="24"/>
        </w:rPr>
        <w:t>stay the proceedings</w:t>
      </w:r>
      <w:r>
        <w:rPr>
          <w:rFonts w:cs="Times New Roman"/>
          <w:szCs w:val="24"/>
        </w:rPr>
        <w:t>.  A stay</w:t>
      </w:r>
      <w:r w:rsidR="00187B84">
        <w:rPr>
          <w:rFonts w:cs="Times New Roman"/>
          <w:szCs w:val="24"/>
        </w:rPr>
        <w:t xml:space="preserve"> </w:t>
      </w:r>
      <w:r>
        <w:rPr>
          <w:rFonts w:cs="Times New Roman"/>
          <w:szCs w:val="24"/>
        </w:rPr>
        <w:t xml:space="preserve">will </w:t>
      </w:r>
      <w:r w:rsidR="00187B84">
        <w:rPr>
          <w:rFonts w:cs="Times New Roman"/>
          <w:szCs w:val="24"/>
        </w:rPr>
        <w:t xml:space="preserve">allow FERC adequate time to rule on </w:t>
      </w:r>
      <w:r w:rsidR="00D80FDD">
        <w:rPr>
          <w:rFonts w:cs="Times New Roman"/>
          <w:szCs w:val="24"/>
        </w:rPr>
        <w:t xml:space="preserve">whether </w:t>
      </w:r>
      <w:r w:rsidR="007C4266">
        <w:rPr>
          <w:rFonts w:cs="Times New Roman"/>
          <w:szCs w:val="24"/>
        </w:rPr>
        <w:t xml:space="preserve">to rescind the prior waiver it granted </w:t>
      </w:r>
      <w:r w:rsidR="00D80FDD">
        <w:rPr>
          <w:rFonts w:cs="Times New Roman"/>
          <w:szCs w:val="24"/>
        </w:rPr>
        <w:t>on</w:t>
      </w:r>
      <w:r w:rsidR="00187B84">
        <w:rPr>
          <w:rFonts w:cs="Times New Roman"/>
          <w:szCs w:val="24"/>
        </w:rPr>
        <w:t xml:space="preserve"> affiliate power sales restrictions</w:t>
      </w:r>
      <w:r w:rsidR="007C4266">
        <w:rPr>
          <w:rFonts w:cs="Times New Roman"/>
          <w:szCs w:val="24"/>
        </w:rPr>
        <w:t>.</w:t>
      </w:r>
      <w:r w:rsidR="0083120B">
        <w:rPr>
          <w:rFonts w:cs="Times New Roman"/>
          <w:szCs w:val="24"/>
        </w:rPr>
        <w:t xml:space="preserve">  Before </w:t>
      </w:r>
      <w:r w:rsidR="00350262">
        <w:rPr>
          <w:rFonts w:cs="Times New Roman"/>
          <w:szCs w:val="24"/>
        </w:rPr>
        <w:t xml:space="preserve">considering </w:t>
      </w:r>
      <w:r w:rsidR="00D80FDD">
        <w:rPr>
          <w:rFonts w:cs="Times New Roman"/>
          <w:szCs w:val="24"/>
        </w:rPr>
        <w:t xml:space="preserve">retail </w:t>
      </w:r>
      <w:r w:rsidR="0083120B">
        <w:rPr>
          <w:rFonts w:cs="Times New Roman"/>
          <w:szCs w:val="24"/>
        </w:rPr>
        <w:t xml:space="preserve">cost recovery </w:t>
      </w:r>
      <w:r w:rsidR="00350262">
        <w:rPr>
          <w:rFonts w:cs="Times New Roman"/>
          <w:szCs w:val="24"/>
        </w:rPr>
        <w:t xml:space="preserve">for </w:t>
      </w:r>
      <w:r w:rsidR="0083120B">
        <w:rPr>
          <w:rFonts w:cs="Times New Roman"/>
          <w:szCs w:val="24"/>
        </w:rPr>
        <w:t xml:space="preserve">the PPA </w:t>
      </w:r>
      <w:r>
        <w:rPr>
          <w:rFonts w:cs="Times New Roman"/>
          <w:szCs w:val="24"/>
        </w:rPr>
        <w:t>Units</w:t>
      </w:r>
      <w:r w:rsidR="0083120B">
        <w:rPr>
          <w:rFonts w:cs="Times New Roman"/>
          <w:szCs w:val="24"/>
        </w:rPr>
        <w:t xml:space="preserve">, the </w:t>
      </w:r>
      <w:r w:rsidR="00532B2D">
        <w:rPr>
          <w:rFonts w:cs="Times New Roman"/>
          <w:szCs w:val="24"/>
        </w:rPr>
        <w:t>PUCO</w:t>
      </w:r>
      <w:r w:rsidR="0083120B">
        <w:rPr>
          <w:rFonts w:cs="Times New Roman"/>
          <w:szCs w:val="24"/>
        </w:rPr>
        <w:t xml:space="preserve"> should await a decision from FERC on whether the proposed </w:t>
      </w:r>
      <w:r w:rsidR="00D80FDD">
        <w:rPr>
          <w:rFonts w:cs="Times New Roman"/>
          <w:szCs w:val="24"/>
        </w:rPr>
        <w:t>A</w:t>
      </w:r>
      <w:r w:rsidR="0083120B">
        <w:rPr>
          <w:rFonts w:cs="Times New Roman"/>
          <w:szCs w:val="24"/>
        </w:rPr>
        <w:t>ffiliate PPA’s rates, terms, and conditions are just and reasonable</w:t>
      </w:r>
      <w:r w:rsidR="00DB2ED9">
        <w:rPr>
          <w:rFonts w:cs="Times New Roman"/>
          <w:szCs w:val="24"/>
        </w:rPr>
        <w:t>,</w:t>
      </w:r>
      <w:r w:rsidR="0083120B">
        <w:rPr>
          <w:rFonts w:cs="Times New Roman"/>
          <w:szCs w:val="24"/>
        </w:rPr>
        <w:t xml:space="preserve"> and free from affiliate abuse.</w:t>
      </w:r>
      <w:r w:rsidR="00DB2ED9">
        <w:rPr>
          <w:rStyle w:val="FootnoteReference"/>
          <w:rFonts w:cs="Times New Roman"/>
          <w:szCs w:val="24"/>
        </w:rPr>
        <w:footnoteReference w:id="9"/>
      </w:r>
      <w:r w:rsidR="0083120B">
        <w:rPr>
          <w:rFonts w:cs="Times New Roman"/>
          <w:szCs w:val="24"/>
        </w:rPr>
        <w:t xml:space="preserve">  A </w:t>
      </w:r>
      <w:r w:rsidR="00532B2D">
        <w:rPr>
          <w:rFonts w:cs="Times New Roman"/>
          <w:szCs w:val="24"/>
        </w:rPr>
        <w:t>PUCO</w:t>
      </w:r>
      <w:r w:rsidR="0083120B">
        <w:rPr>
          <w:rFonts w:cs="Times New Roman"/>
          <w:szCs w:val="24"/>
        </w:rPr>
        <w:t xml:space="preserve"> decision authorizing </w:t>
      </w:r>
      <w:r w:rsidR="00DB2ED9">
        <w:rPr>
          <w:rFonts w:cs="Times New Roman"/>
          <w:szCs w:val="24"/>
        </w:rPr>
        <w:t xml:space="preserve">retail </w:t>
      </w:r>
      <w:r w:rsidR="0083120B">
        <w:rPr>
          <w:rFonts w:cs="Times New Roman"/>
          <w:szCs w:val="24"/>
        </w:rPr>
        <w:t xml:space="preserve">cost recovery </w:t>
      </w:r>
      <w:r w:rsidR="00350262">
        <w:rPr>
          <w:rFonts w:cs="Times New Roman"/>
          <w:szCs w:val="24"/>
        </w:rPr>
        <w:t>for</w:t>
      </w:r>
      <w:r w:rsidR="0083120B">
        <w:rPr>
          <w:rFonts w:cs="Times New Roman"/>
          <w:szCs w:val="24"/>
        </w:rPr>
        <w:t xml:space="preserve"> the PPA</w:t>
      </w:r>
      <w:r w:rsidR="00D80FDD">
        <w:rPr>
          <w:rFonts w:cs="Times New Roman"/>
          <w:szCs w:val="24"/>
        </w:rPr>
        <w:t xml:space="preserve"> </w:t>
      </w:r>
      <w:r>
        <w:rPr>
          <w:rFonts w:cs="Times New Roman"/>
          <w:szCs w:val="24"/>
        </w:rPr>
        <w:t>Units</w:t>
      </w:r>
      <w:r w:rsidR="0083120B">
        <w:rPr>
          <w:rFonts w:cs="Times New Roman"/>
          <w:szCs w:val="24"/>
        </w:rPr>
        <w:t>, followed</w:t>
      </w:r>
      <w:r w:rsidR="002F6510">
        <w:rPr>
          <w:rFonts w:cs="Times New Roman"/>
          <w:szCs w:val="24"/>
        </w:rPr>
        <w:t xml:space="preserve"> </w:t>
      </w:r>
      <w:r w:rsidR="002F6510" w:rsidRPr="00D0643A">
        <w:rPr>
          <w:rFonts w:cs="Times New Roman"/>
          <w:i/>
          <w:szCs w:val="24"/>
        </w:rPr>
        <w:t>later</w:t>
      </w:r>
      <w:r w:rsidR="0083120B">
        <w:rPr>
          <w:rFonts w:cs="Times New Roman"/>
          <w:szCs w:val="24"/>
        </w:rPr>
        <w:t xml:space="preserve"> by </w:t>
      </w:r>
      <w:r w:rsidR="00DB2ED9">
        <w:rPr>
          <w:rFonts w:cs="Times New Roman"/>
          <w:szCs w:val="24"/>
        </w:rPr>
        <w:t xml:space="preserve">a FERC decision declaring that the Affiliate PPA does not meet the standards of the Federal Power Act, </w:t>
      </w:r>
      <w:r w:rsidR="00DD0FD0">
        <w:rPr>
          <w:rFonts w:cs="Times New Roman"/>
          <w:szCs w:val="24"/>
        </w:rPr>
        <w:t xml:space="preserve">would be contrary to the public interest.  It </w:t>
      </w:r>
      <w:r w:rsidR="00DB2ED9">
        <w:rPr>
          <w:rFonts w:cs="Times New Roman"/>
          <w:szCs w:val="24"/>
        </w:rPr>
        <w:t>could place retail customers in the untenable position of having</w:t>
      </w:r>
      <w:r w:rsidR="006120BE">
        <w:rPr>
          <w:rFonts w:cs="Times New Roman"/>
          <w:szCs w:val="24"/>
        </w:rPr>
        <w:t xml:space="preserve"> to pay </w:t>
      </w:r>
      <w:r w:rsidR="00DB2ED9">
        <w:rPr>
          <w:rFonts w:cs="Times New Roman"/>
          <w:szCs w:val="24"/>
        </w:rPr>
        <w:t xml:space="preserve">for unlawful charges without any remedy to refund those </w:t>
      </w:r>
      <w:r w:rsidR="002F6510">
        <w:rPr>
          <w:rFonts w:cs="Times New Roman"/>
          <w:szCs w:val="24"/>
        </w:rPr>
        <w:t xml:space="preserve">unlawful </w:t>
      </w:r>
      <w:r w:rsidR="00DB2ED9">
        <w:rPr>
          <w:rFonts w:cs="Times New Roman"/>
          <w:szCs w:val="24"/>
        </w:rPr>
        <w:t>charges</w:t>
      </w:r>
      <w:r w:rsidR="00D0643A">
        <w:rPr>
          <w:rFonts w:cs="Times New Roman"/>
          <w:szCs w:val="24"/>
        </w:rPr>
        <w:t>,</w:t>
      </w:r>
      <w:r w:rsidR="003D0FC0">
        <w:rPr>
          <w:rFonts w:cs="Times New Roman"/>
          <w:szCs w:val="24"/>
        </w:rPr>
        <w:t xml:space="preserve"> as AEP Ohio will most certainly argue</w:t>
      </w:r>
      <w:r w:rsidR="00DB2ED9">
        <w:rPr>
          <w:rFonts w:cs="Times New Roman"/>
          <w:szCs w:val="24"/>
        </w:rPr>
        <w:t>.</w:t>
      </w:r>
      <w:r w:rsidR="009074EF">
        <w:rPr>
          <w:rStyle w:val="FootnoteReference"/>
          <w:rFonts w:cs="Times New Roman"/>
          <w:szCs w:val="24"/>
        </w:rPr>
        <w:footnoteReference w:id="10"/>
      </w:r>
      <w:r w:rsidR="00DB2ED9">
        <w:rPr>
          <w:rFonts w:cs="Times New Roman"/>
          <w:szCs w:val="24"/>
        </w:rPr>
        <w:t xml:space="preserve">  To </w:t>
      </w:r>
      <w:r w:rsidR="00CC3AAE">
        <w:rPr>
          <w:rFonts w:cs="Times New Roman"/>
          <w:szCs w:val="24"/>
        </w:rPr>
        <w:t xml:space="preserve">avoid </w:t>
      </w:r>
      <w:r w:rsidR="00DB2ED9">
        <w:rPr>
          <w:rFonts w:cs="Times New Roman"/>
          <w:szCs w:val="24"/>
        </w:rPr>
        <w:t>irreparable injury</w:t>
      </w:r>
      <w:r w:rsidR="00350262">
        <w:rPr>
          <w:rFonts w:cs="Times New Roman"/>
          <w:szCs w:val="24"/>
        </w:rPr>
        <w:t xml:space="preserve"> to consumers</w:t>
      </w:r>
      <w:r w:rsidR="00DB2ED9">
        <w:rPr>
          <w:rFonts w:cs="Times New Roman"/>
          <w:szCs w:val="24"/>
        </w:rPr>
        <w:t xml:space="preserve">, the </w:t>
      </w:r>
      <w:r w:rsidR="00532B2D">
        <w:rPr>
          <w:rFonts w:cs="Times New Roman"/>
          <w:szCs w:val="24"/>
        </w:rPr>
        <w:t>PUCO</w:t>
      </w:r>
      <w:r w:rsidR="00DB2ED9">
        <w:rPr>
          <w:rFonts w:cs="Times New Roman"/>
          <w:szCs w:val="24"/>
        </w:rPr>
        <w:t xml:space="preserve"> should grant the </w:t>
      </w:r>
      <w:r w:rsidR="00D80FDD">
        <w:rPr>
          <w:rFonts w:cs="Times New Roman"/>
          <w:szCs w:val="24"/>
        </w:rPr>
        <w:t xml:space="preserve"> motion to stay the proceedings </w:t>
      </w:r>
      <w:r>
        <w:rPr>
          <w:rFonts w:cs="Times New Roman"/>
          <w:szCs w:val="24"/>
        </w:rPr>
        <w:t>by the Office of the Ohio Consumers’ Counsel, Appalachian Peace and Justice Network, and the Ohio Manufacturers’ Association Energy Group (collectively, “Consumers”)</w:t>
      </w:r>
      <w:r w:rsidR="00350262">
        <w:rPr>
          <w:rFonts w:cs="Times New Roman"/>
          <w:szCs w:val="24"/>
        </w:rPr>
        <w:t xml:space="preserve">.  That would </w:t>
      </w:r>
      <w:r w:rsidR="00D80FDD">
        <w:rPr>
          <w:rFonts w:cs="Times New Roman"/>
          <w:szCs w:val="24"/>
        </w:rPr>
        <w:t>allow FERC adequate time to</w:t>
      </w:r>
      <w:r w:rsidR="002F6510">
        <w:rPr>
          <w:rFonts w:cs="Times New Roman"/>
          <w:szCs w:val="24"/>
        </w:rPr>
        <w:t xml:space="preserve"> rule</w:t>
      </w:r>
      <w:r w:rsidR="00D80FDD">
        <w:rPr>
          <w:rFonts w:cs="Times New Roman"/>
          <w:szCs w:val="24"/>
        </w:rPr>
        <w:t xml:space="preserve"> on </w:t>
      </w:r>
      <w:r>
        <w:rPr>
          <w:rFonts w:cs="Times New Roman"/>
          <w:szCs w:val="24"/>
        </w:rPr>
        <w:t xml:space="preserve">the </w:t>
      </w:r>
      <w:r w:rsidR="00D80FDD">
        <w:rPr>
          <w:rFonts w:cs="Times New Roman"/>
          <w:szCs w:val="24"/>
        </w:rPr>
        <w:t>EPSA Complaint.</w:t>
      </w:r>
    </w:p>
    <w:p w:rsidR="00A9527F" w:rsidRDefault="00A9527F" w:rsidP="00A9527F">
      <w:pPr>
        <w:spacing w:after="0" w:line="240" w:lineRule="auto"/>
        <w:ind w:firstLine="720"/>
        <w:rPr>
          <w:rFonts w:cs="Times New Roman"/>
          <w:szCs w:val="24"/>
        </w:rPr>
      </w:pPr>
    </w:p>
    <w:p w:rsidR="009B2CE9" w:rsidRDefault="006161FC" w:rsidP="00A9527F">
      <w:pPr>
        <w:pStyle w:val="Heading1"/>
      </w:pPr>
      <w:bookmarkStart w:id="3" w:name="_Toc332351624"/>
      <w:bookmarkStart w:id="4" w:name="_Toc447115737"/>
      <w:r>
        <w:t>RECOMMENDATIONS</w:t>
      </w:r>
      <w:bookmarkEnd w:id="3"/>
      <w:bookmarkEnd w:id="4"/>
    </w:p>
    <w:p w:rsidR="002F6510" w:rsidRPr="002F6510" w:rsidRDefault="002F6510" w:rsidP="00A9527F">
      <w:pPr>
        <w:pStyle w:val="Heading2"/>
      </w:pPr>
      <w:bookmarkStart w:id="5" w:name="_Toc447115738"/>
      <w:r w:rsidRPr="002F6510">
        <w:t xml:space="preserve">The issues pending before FERC in the EPSA Complaint are directly linked to the </w:t>
      </w:r>
      <w:r w:rsidR="00350262">
        <w:t xml:space="preserve">PPA </w:t>
      </w:r>
      <w:r w:rsidRPr="002F6510">
        <w:t xml:space="preserve">issues pending before the </w:t>
      </w:r>
      <w:r w:rsidR="00532B2D">
        <w:t>PUCO</w:t>
      </w:r>
      <w:r w:rsidRPr="002F6510">
        <w:t>.</w:t>
      </w:r>
      <w:r w:rsidR="00167042">
        <w:t xml:space="preserve">  </w:t>
      </w:r>
      <w:r w:rsidR="007C4266">
        <w:t>Only a</w:t>
      </w:r>
      <w:r w:rsidR="00167042">
        <w:t xml:space="preserve">fter FERC rules on the EPSA Complaint should </w:t>
      </w:r>
      <w:r w:rsidR="007C4266">
        <w:t xml:space="preserve">the PUCO </w:t>
      </w:r>
      <w:r w:rsidR="00167042">
        <w:t>issue its decision.</w:t>
      </w:r>
      <w:bookmarkEnd w:id="5"/>
    </w:p>
    <w:p w:rsidR="00387117" w:rsidRDefault="00167042" w:rsidP="00FC71FF">
      <w:pPr>
        <w:tabs>
          <w:tab w:val="left" w:pos="-720"/>
        </w:tabs>
        <w:suppressAutoHyphens/>
        <w:spacing w:after="0" w:line="480" w:lineRule="auto"/>
        <w:ind w:firstLine="720"/>
        <w:rPr>
          <w:spacing w:val="-3"/>
        </w:rPr>
      </w:pPr>
      <w:r>
        <w:rPr>
          <w:spacing w:val="-3"/>
        </w:rPr>
        <w:t xml:space="preserve">AEP Ohio is flatly wrong in its assertion that the </w:t>
      </w:r>
      <w:r w:rsidR="00532B2D">
        <w:rPr>
          <w:spacing w:val="-3"/>
        </w:rPr>
        <w:t>PUCO</w:t>
      </w:r>
      <w:r>
        <w:rPr>
          <w:spacing w:val="-3"/>
        </w:rPr>
        <w:t xml:space="preserve">’s decision in this case does not depend on the outcome of the EPSA Complaint. </w:t>
      </w:r>
      <w:r>
        <w:rPr>
          <w:rStyle w:val="FootnoteReference"/>
          <w:spacing w:val="-3"/>
        </w:rPr>
        <w:footnoteReference w:id="11"/>
      </w:r>
      <w:r>
        <w:rPr>
          <w:spacing w:val="-3"/>
        </w:rPr>
        <w:t xml:space="preserve"> The issues are directly linked</w:t>
      </w:r>
      <w:r w:rsidR="00B5526B">
        <w:rPr>
          <w:spacing w:val="-3"/>
        </w:rPr>
        <w:t xml:space="preserve"> – as</w:t>
      </w:r>
      <w:r w:rsidR="00BB2039">
        <w:rPr>
          <w:spacing w:val="-3"/>
        </w:rPr>
        <w:t xml:space="preserve"> the </w:t>
      </w:r>
      <w:r w:rsidR="00532B2D">
        <w:rPr>
          <w:spacing w:val="-3"/>
        </w:rPr>
        <w:t>PUCO</w:t>
      </w:r>
      <w:r w:rsidR="00BB2039">
        <w:rPr>
          <w:spacing w:val="-3"/>
        </w:rPr>
        <w:t xml:space="preserve"> made abundantly clear in its comments filed at FERC</w:t>
      </w:r>
      <w:r w:rsidR="00350262">
        <w:rPr>
          <w:spacing w:val="-3"/>
        </w:rPr>
        <w:t>.</w:t>
      </w:r>
      <w:r w:rsidR="00BB2039">
        <w:rPr>
          <w:rStyle w:val="FootnoteReference"/>
          <w:spacing w:val="-3"/>
        </w:rPr>
        <w:footnoteReference w:id="12"/>
      </w:r>
      <w:r w:rsidR="00BD0B2A">
        <w:rPr>
          <w:spacing w:val="-3"/>
        </w:rPr>
        <w:t xml:space="preserve">  </w:t>
      </w:r>
      <w:r w:rsidR="00350262">
        <w:rPr>
          <w:spacing w:val="-3"/>
        </w:rPr>
        <w:t>It</w:t>
      </w:r>
      <w:r w:rsidR="007C06E4">
        <w:rPr>
          <w:spacing w:val="-3"/>
        </w:rPr>
        <w:t xml:space="preserve"> makes eminent sense to allow FERC to rule </w:t>
      </w:r>
      <w:r w:rsidR="007C06E4" w:rsidRPr="007C06E4">
        <w:rPr>
          <w:i/>
          <w:spacing w:val="-3"/>
        </w:rPr>
        <w:t>first</w:t>
      </w:r>
      <w:r w:rsidR="007C06E4">
        <w:rPr>
          <w:spacing w:val="-3"/>
        </w:rPr>
        <w:t xml:space="preserve"> and for the </w:t>
      </w:r>
      <w:r w:rsidR="00532B2D">
        <w:rPr>
          <w:spacing w:val="-3"/>
        </w:rPr>
        <w:t>PUCO</w:t>
      </w:r>
      <w:r w:rsidR="007C06E4">
        <w:rPr>
          <w:spacing w:val="-3"/>
        </w:rPr>
        <w:t xml:space="preserve"> to act </w:t>
      </w:r>
      <w:r w:rsidR="007C06E4" w:rsidRPr="007C06E4">
        <w:rPr>
          <w:i/>
          <w:spacing w:val="-3"/>
        </w:rPr>
        <w:t>second</w:t>
      </w:r>
      <w:r w:rsidR="00C551AE">
        <w:rPr>
          <w:spacing w:val="-3"/>
        </w:rPr>
        <w:t>.</w:t>
      </w:r>
      <w:r w:rsidR="003D0FC0">
        <w:rPr>
          <w:spacing w:val="-3"/>
        </w:rPr>
        <w:t xml:space="preserve">  Contrary to AEP Ohio’</w:t>
      </w:r>
      <w:r w:rsidR="00D0643A">
        <w:rPr>
          <w:spacing w:val="-3"/>
        </w:rPr>
        <w:t>s claims, the PUCO did not “strongly impl[y]”</w:t>
      </w:r>
      <w:r w:rsidR="003D0FC0">
        <w:rPr>
          <w:spacing w:val="-3"/>
        </w:rPr>
        <w:t xml:space="preserve"> in its comments filed at FERC that it would rule first</w:t>
      </w:r>
      <w:r w:rsidR="00B5526B">
        <w:rPr>
          <w:spacing w:val="-3"/>
        </w:rPr>
        <w:t>.</w:t>
      </w:r>
      <w:r w:rsidR="003D0FC0">
        <w:rPr>
          <w:rStyle w:val="FootnoteReference"/>
          <w:spacing w:val="-3"/>
        </w:rPr>
        <w:footnoteReference w:id="13"/>
      </w:r>
      <w:r w:rsidR="003D0FC0">
        <w:rPr>
          <w:spacing w:val="-3"/>
        </w:rPr>
        <w:t xml:space="preserve"> </w:t>
      </w:r>
      <w:r w:rsidR="00B5526B">
        <w:rPr>
          <w:spacing w:val="-3"/>
        </w:rPr>
        <w:t xml:space="preserve">The </w:t>
      </w:r>
      <w:r w:rsidR="003D0FC0">
        <w:rPr>
          <w:spacing w:val="-3"/>
        </w:rPr>
        <w:t xml:space="preserve">PUCO stated that it would be improper to speak to issues that directly relate to </w:t>
      </w:r>
      <w:r w:rsidR="001C39A0">
        <w:rPr>
          <w:spacing w:val="-3"/>
        </w:rPr>
        <w:t>two</w:t>
      </w:r>
      <w:r w:rsidR="003D0FC0">
        <w:rPr>
          <w:spacing w:val="-3"/>
        </w:rPr>
        <w:t xml:space="preserve"> pending case</w:t>
      </w:r>
      <w:r w:rsidR="001C39A0">
        <w:rPr>
          <w:spacing w:val="-3"/>
        </w:rPr>
        <w:t>s</w:t>
      </w:r>
      <w:r w:rsidR="003D0FC0">
        <w:rPr>
          <w:spacing w:val="-3"/>
        </w:rPr>
        <w:t>.</w:t>
      </w:r>
    </w:p>
    <w:p w:rsidR="00475BCD" w:rsidRDefault="006B0B7C" w:rsidP="00FC71FF">
      <w:pPr>
        <w:tabs>
          <w:tab w:val="left" w:pos="-720"/>
        </w:tabs>
        <w:suppressAutoHyphens/>
        <w:spacing w:after="0" w:line="480" w:lineRule="auto"/>
        <w:ind w:firstLine="720"/>
        <w:rPr>
          <w:rFonts w:cs="Times New Roman"/>
          <w:szCs w:val="24"/>
        </w:rPr>
      </w:pPr>
      <w:r>
        <w:rPr>
          <w:spacing w:val="-3"/>
        </w:rPr>
        <w:t xml:space="preserve">As detailed in the EPSA Complaint and the comments submitted in support, there is a genuine issue as to whether the </w:t>
      </w:r>
      <w:r>
        <w:rPr>
          <w:rFonts w:cs="Times New Roman"/>
          <w:szCs w:val="24"/>
        </w:rPr>
        <w:t>proposed Affiliate PPA’s rates, terms, and conditions are just and reasonable, and free from affiliate abuse</w:t>
      </w:r>
      <w:r w:rsidR="00EC4042">
        <w:rPr>
          <w:rFonts w:cs="Times New Roman"/>
          <w:szCs w:val="24"/>
        </w:rPr>
        <w:t>.</w:t>
      </w:r>
      <w:r>
        <w:rPr>
          <w:rStyle w:val="FootnoteReference"/>
          <w:rFonts w:cs="Times New Roman"/>
          <w:szCs w:val="24"/>
        </w:rPr>
        <w:footnoteReference w:id="14"/>
      </w:r>
      <w:r>
        <w:rPr>
          <w:rFonts w:cs="Times New Roman"/>
          <w:szCs w:val="24"/>
        </w:rPr>
        <w:t xml:space="preserve">  The answer to that question is imperative for all involved.  </w:t>
      </w:r>
      <w:r w:rsidR="007C06E4">
        <w:rPr>
          <w:spacing w:val="-3"/>
        </w:rPr>
        <w:t xml:space="preserve">A contract for wholesale power sales must meet the </w:t>
      </w:r>
      <w:r w:rsidR="006B77A1">
        <w:rPr>
          <w:spacing w:val="-3"/>
        </w:rPr>
        <w:t>requirements</w:t>
      </w:r>
      <w:r w:rsidR="007C06E4">
        <w:rPr>
          <w:spacing w:val="-3"/>
        </w:rPr>
        <w:t xml:space="preserve"> of the Federal Power Act to be valid and enforceable.</w:t>
      </w:r>
      <w:r w:rsidR="007C06E4">
        <w:rPr>
          <w:rStyle w:val="FootnoteReference"/>
          <w:spacing w:val="-3"/>
        </w:rPr>
        <w:footnoteReference w:id="15"/>
      </w:r>
      <w:r w:rsidR="007C06E4">
        <w:rPr>
          <w:spacing w:val="-3"/>
        </w:rPr>
        <w:t xml:space="preserve">  </w:t>
      </w:r>
      <w:r w:rsidR="007C06E4">
        <w:rPr>
          <w:rFonts w:cs="Times New Roman"/>
          <w:szCs w:val="24"/>
        </w:rPr>
        <w:t xml:space="preserve">  </w:t>
      </w:r>
      <w:r w:rsidR="00B5526B">
        <w:rPr>
          <w:rFonts w:cs="Times New Roman"/>
          <w:szCs w:val="24"/>
        </w:rPr>
        <w:t>If</w:t>
      </w:r>
      <w:r w:rsidR="007C06E4">
        <w:rPr>
          <w:rFonts w:cs="Times New Roman"/>
          <w:szCs w:val="24"/>
        </w:rPr>
        <w:t xml:space="preserve"> the proposed Affiliate PPA</w:t>
      </w:r>
      <w:r w:rsidR="009074EF">
        <w:rPr>
          <w:rFonts w:cs="Times New Roman"/>
          <w:szCs w:val="24"/>
        </w:rPr>
        <w:t xml:space="preserve"> is inconsistent with the Federal Power Act, it is </w:t>
      </w:r>
      <w:r w:rsidR="00BB2039">
        <w:rPr>
          <w:rFonts w:cs="Times New Roman"/>
          <w:szCs w:val="24"/>
        </w:rPr>
        <w:t>invalid</w:t>
      </w:r>
      <w:r w:rsidR="009074EF">
        <w:rPr>
          <w:rFonts w:cs="Times New Roman"/>
          <w:szCs w:val="24"/>
        </w:rPr>
        <w:t xml:space="preserve">.  </w:t>
      </w:r>
      <w:r w:rsidR="00CC3AAE">
        <w:rPr>
          <w:rFonts w:cs="Times New Roman"/>
          <w:szCs w:val="24"/>
        </w:rPr>
        <w:t>And</w:t>
      </w:r>
      <w:r w:rsidR="00EC4042">
        <w:rPr>
          <w:rFonts w:cs="Times New Roman"/>
          <w:szCs w:val="24"/>
        </w:rPr>
        <w:t xml:space="preserve"> if </w:t>
      </w:r>
      <w:r w:rsidR="000A77EE">
        <w:rPr>
          <w:rFonts w:cs="Times New Roman"/>
          <w:szCs w:val="24"/>
        </w:rPr>
        <w:t xml:space="preserve">FERC declares the Affiliate PPA invalid under the Federal Power Act, </w:t>
      </w:r>
      <w:r w:rsidR="00387117">
        <w:rPr>
          <w:rFonts w:cs="Times New Roman"/>
          <w:szCs w:val="24"/>
        </w:rPr>
        <w:t xml:space="preserve">then </w:t>
      </w:r>
      <w:r w:rsidR="000A77EE">
        <w:rPr>
          <w:rFonts w:cs="Times New Roman"/>
          <w:szCs w:val="24"/>
        </w:rPr>
        <w:t xml:space="preserve">there will be </w:t>
      </w:r>
      <w:r w:rsidR="000A77EE" w:rsidRPr="008E267D">
        <w:rPr>
          <w:rFonts w:cs="Times New Roman"/>
          <w:i/>
          <w:szCs w:val="24"/>
        </w:rPr>
        <w:t xml:space="preserve">no </w:t>
      </w:r>
      <w:r w:rsidR="000A77EE">
        <w:rPr>
          <w:rFonts w:cs="Times New Roman"/>
          <w:szCs w:val="24"/>
        </w:rPr>
        <w:t>costs associated with the Affiliate PPA that can be passed through</w:t>
      </w:r>
      <w:r w:rsidR="008E267D">
        <w:rPr>
          <w:rFonts w:cs="Times New Roman"/>
          <w:szCs w:val="24"/>
        </w:rPr>
        <w:t xml:space="preserve"> to retail customers.  Given the direct linkage between FERC’s authority at the wholesale level and the </w:t>
      </w:r>
      <w:r w:rsidR="00532B2D">
        <w:rPr>
          <w:rFonts w:cs="Times New Roman"/>
          <w:szCs w:val="24"/>
        </w:rPr>
        <w:t>PUCO</w:t>
      </w:r>
      <w:r w:rsidR="008E267D">
        <w:rPr>
          <w:rFonts w:cs="Times New Roman"/>
          <w:szCs w:val="24"/>
        </w:rPr>
        <w:t xml:space="preserve">’s authority at the retail level, it makes eminent sense for the </w:t>
      </w:r>
      <w:r w:rsidR="00532B2D">
        <w:rPr>
          <w:rFonts w:cs="Times New Roman"/>
          <w:szCs w:val="24"/>
        </w:rPr>
        <w:t>PUCO</w:t>
      </w:r>
      <w:r w:rsidR="008E267D">
        <w:rPr>
          <w:rFonts w:cs="Times New Roman"/>
          <w:szCs w:val="24"/>
        </w:rPr>
        <w:t xml:space="preserve"> to stay the proceedings</w:t>
      </w:r>
      <w:r w:rsidR="00EC4042">
        <w:rPr>
          <w:rFonts w:cs="Times New Roman"/>
          <w:szCs w:val="24"/>
        </w:rPr>
        <w:t xml:space="preserve">.  That way </w:t>
      </w:r>
      <w:r w:rsidR="008E267D">
        <w:rPr>
          <w:rFonts w:cs="Times New Roman"/>
          <w:szCs w:val="24"/>
        </w:rPr>
        <w:t>FERC</w:t>
      </w:r>
      <w:r w:rsidR="00EC4042">
        <w:rPr>
          <w:rFonts w:cs="Times New Roman"/>
          <w:szCs w:val="24"/>
        </w:rPr>
        <w:t xml:space="preserve"> can</w:t>
      </w:r>
      <w:r w:rsidR="008E267D">
        <w:rPr>
          <w:rFonts w:cs="Times New Roman"/>
          <w:szCs w:val="24"/>
        </w:rPr>
        <w:t xml:space="preserve"> fulfill its </w:t>
      </w:r>
      <w:r w:rsidR="00093F40">
        <w:rPr>
          <w:rFonts w:cs="Times New Roman"/>
          <w:szCs w:val="24"/>
        </w:rPr>
        <w:t xml:space="preserve">vital </w:t>
      </w:r>
      <w:r w:rsidR="008E267D">
        <w:rPr>
          <w:rFonts w:cs="Times New Roman"/>
          <w:szCs w:val="24"/>
        </w:rPr>
        <w:t>role under the Federal Power Act.</w:t>
      </w:r>
      <w:r w:rsidR="008E267D">
        <w:rPr>
          <w:rStyle w:val="FootnoteReference"/>
          <w:rFonts w:cs="Times New Roman"/>
          <w:szCs w:val="24"/>
        </w:rPr>
        <w:footnoteReference w:id="16"/>
      </w:r>
    </w:p>
    <w:p w:rsidR="00093F40" w:rsidRDefault="00093F40" w:rsidP="00FC71FF">
      <w:pPr>
        <w:tabs>
          <w:tab w:val="left" w:pos="-720"/>
        </w:tabs>
        <w:suppressAutoHyphens/>
        <w:spacing w:after="0" w:line="480" w:lineRule="auto"/>
        <w:ind w:firstLine="720"/>
        <w:rPr>
          <w:rFonts w:cs="Times New Roman"/>
          <w:szCs w:val="24"/>
        </w:rPr>
      </w:pPr>
      <w:r>
        <w:rPr>
          <w:rFonts w:cs="Times New Roman"/>
          <w:szCs w:val="24"/>
        </w:rPr>
        <w:t xml:space="preserve">AEP Ohio’s request to have the </w:t>
      </w:r>
      <w:r w:rsidR="00532B2D">
        <w:rPr>
          <w:rFonts w:cs="Times New Roman"/>
          <w:szCs w:val="24"/>
        </w:rPr>
        <w:t>PUCO</w:t>
      </w:r>
      <w:r>
        <w:rPr>
          <w:rFonts w:cs="Times New Roman"/>
          <w:szCs w:val="24"/>
        </w:rPr>
        <w:t xml:space="preserve"> rule first and for FERC to act second </w:t>
      </w:r>
      <w:r w:rsidR="001C39A0">
        <w:rPr>
          <w:rFonts w:cs="Times New Roman"/>
          <w:szCs w:val="24"/>
        </w:rPr>
        <w:t>is</w:t>
      </w:r>
      <w:r>
        <w:rPr>
          <w:rFonts w:cs="Times New Roman"/>
          <w:szCs w:val="24"/>
        </w:rPr>
        <w:t xml:space="preserve"> backwards</w:t>
      </w:r>
      <w:r w:rsidR="00B5526B">
        <w:rPr>
          <w:rFonts w:cs="Times New Roman"/>
          <w:szCs w:val="24"/>
        </w:rPr>
        <w:t xml:space="preserve">.  It would result in </w:t>
      </w:r>
      <w:r>
        <w:rPr>
          <w:rFonts w:cs="Times New Roman"/>
          <w:szCs w:val="24"/>
        </w:rPr>
        <w:t xml:space="preserve">the same type of damage that befell customers merely two years ago in </w:t>
      </w:r>
      <w:r w:rsidRPr="00093F40">
        <w:rPr>
          <w:rFonts w:cs="Times New Roman"/>
          <w:i/>
          <w:szCs w:val="24"/>
        </w:rPr>
        <w:t>In re Application of Columbus S. Power Co.</w:t>
      </w:r>
      <w:r w:rsidR="00BD0B2A" w:rsidRPr="00BD0B2A">
        <w:rPr>
          <w:rStyle w:val="FootnoteReference"/>
          <w:rFonts w:cs="Times New Roman"/>
          <w:szCs w:val="24"/>
        </w:rPr>
        <w:footnoteReference w:id="17"/>
      </w:r>
      <w:r w:rsidR="006B0B7C" w:rsidRPr="00BD0B2A">
        <w:rPr>
          <w:rFonts w:cs="Times New Roman"/>
          <w:szCs w:val="24"/>
        </w:rPr>
        <w:t xml:space="preserve"> </w:t>
      </w:r>
      <w:r w:rsidR="006B0B7C">
        <w:rPr>
          <w:rFonts w:cs="Times New Roman"/>
          <w:szCs w:val="24"/>
        </w:rPr>
        <w:t xml:space="preserve"> There, customers</w:t>
      </w:r>
      <w:r>
        <w:rPr>
          <w:rFonts w:cs="Times New Roman"/>
          <w:szCs w:val="24"/>
        </w:rPr>
        <w:t xml:space="preserve"> were forced to pay </w:t>
      </w:r>
      <w:r w:rsidR="00B5526B">
        <w:rPr>
          <w:rFonts w:cs="Times New Roman"/>
          <w:szCs w:val="24"/>
        </w:rPr>
        <w:t>hundreds of millions of dollars</w:t>
      </w:r>
      <w:r>
        <w:rPr>
          <w:rFonts w:cs="Times New Roman"/>
          <w:szCs w:val="24"/>
        </w:rPr>
        <w:t xml:space="preserve"> in charges</w:t>
      </w:r>
      <w:r w:rsidR="00EC4042">
        <w:rPr>
          <w:rFonts w:cs="Times New Roman"/>
          <w:szCs w:val="24"/>
        </w:rPr>
        <w:t xml:space="preserve">, later determined by the Ohio Supreme Court to be unlawful, </w:t>
      </w:r>
      <w:r w:rsidR="00CC3AAE">
        <w:rPr>
          <w:rFonts w:cs="Times New Roman"/>
          <w:szCs w:val="24"/>
        </w:rPr>
        <w:t xml:space="preserve">as </w:t>
      </w:r>
      <w:r w:rsidR="001C39A0">
        <w:rPr>
          <w:rFonts w:cs="Times New Roman"/>
          <w:szCs w:val="24"/>
        </w:rPr>
        <w:t xml:space="preserve">AEP Ohio successfully argued </w:t>
      </w:r>
      <w:r w:rsidR="00EC4042">
        <w:rPr>
          <w:rFonts w:cs="Times New Roman"/>
          <w:szCs w:val="24"/>
        </w:rPr>
        <w:t xml:space="preserve">that </w:t>
      </w:r>
      <w:r w:rsidR="001360FC" w:rsidRPr="001360FC">
        <w:rPr>
          <w:rFonts w:cs="Times New Roman"/>
          <w:i/>
          <w:szCs w:val="24"/>
        </w:rPr>
        <w:t>Kec</w:t>
      </w:r>
      <w:r w:rsidR="007C4266">
        <w:rPr>
          <w:rFonts w:cs="Times New Roman"/>
          <w:i/>
          <w:szCs w:val="24"/>
        </w:rPr>
        <w:t>o</w:t>
      </w:r>
      <w:r w:rsidR="007C4266" w:rsidRPr="00BD0B2A">
        <w:rPr>
          <w:rStyle w:val="FootnoteReference"/>
          <w:rFonts w:cs="Times New Roman"/>
          <w:szCs w:val="24"/>
        </w:rPr>
        <w:footnoteReference w:id="18"/>
      </w:r>
      <w:r w:rsidR="007C4266">
        <w:rPr>
          <w:rFonts w:cs="Times New Roman"/>
          <w:i/>
          <w:szCs w:val="24"/>
        </w:rPr>
        <w:t xml:space="preserve"> </w:t>
      </w:r>
      <w:r w:rsidR="00EC4042" w:rsidRPr="00BD0B2A">
        <w:rPr>
          <w:rFonts w:cs="Times New Roman"/>
          <w:szCs w:val="24"/>
        </w:rPr>
        <w:t>would not allow a refund</w:t>
      </w:r>
      <w:r w:rsidR="00EC4042">
        <w:rPr>
          <w:rFonts w:cs="Times New Roman"/>
          <w:i/>
          <w:szCs w:val="24"/>
        </w:rPr>
        <w:t xml:space="preserve">.  </w:t>
      </w:r>
      <w:r w:rsidR="006B0B7C">
        <w:rPr>
          <w:rFonts w:cs="Times New Roman"/>
          <w:szCs w:val="24"/>
        </w:rPr>
        <w:t xml:space="preserve"> </w:t>
      </w:r>
      <w:r w:rsidR="001C39A0">
        <w:rPr>
          <w:rFonts w:cs="Times New Roman"/>
          <w:szCs w:val="24"/>
        </w:rPr>
        <w:t xml:space="preserve">AEP Ohio will assuredly </w:t>
      </w:r>
      <w:r w:rsidR="009D3C73">
        <w:rPr>
          <w:rFonts w:cs="Times New Roman"/>
          <w:szCs w:val="24"/>
        </w:rPr>
        <w:t xml:space="preserve">argue </w:t>
      </w:r>
      <w:r w:rsidR="006B0B7C">
        <w:rPr>
          <w:rFonts w:cs="Times New Roman"/>
          <w:szCs w:val="24"/>
        </w:rPr>
        <w:t xml:space="preserve">the same thing </w:t>
      </w:r>
      <w:r w:rsidR="009D3C73">
        <w:rPr>
          <w:rFonts w:cs="Times New Roman"/>
          <w:szCs w:val="24"/>
        </w:rPr>
        <w:t>here</w:t>
      </w:r>
      <w:r w:rsidR="001C39A0">
        <w:rPr>
          <w:rFonts w:cs="Times New Roman"/>
          <w:szCs w:val="24"/>
        </w:rPr>
        <w:t xml:space="preserve"> if </w:t>
      </w:r>
      <w:r w:rsidR="009D3C73">
        <w:rPr>
          <w:rFonts w:cs="Times New Roman"/>
          <w:szCs w:val="24"/>
        </w:rPr>
        <w:t xml:space="preserve">it is </w:t>
      </w:r>
      <w:r w:rsidR="001C39A0">
        <w:rPr>
          <w:rFonts w:cs="Times New Roman"/>
          <w:szCs w:val="24"/>
        </w:rPr>
        <w:t xml:space="preserve">allowed to begin collecting costs through the PPA </w:t>
      </w:r>
      <w:r w:rsidR="00B5526B">
        <w:rPr>
          <w:rFonts w:cs="Times New Roman"/>
          <w:szCs w:val="24"/>
        </w:rPr>
        <w:t xml:space="preserve">Rider </w:t>
      </w:r>
      <w:r w:rsidR="001C39A0">
        <w:rPr>
          <w:rFonts w:cs="Times New Roman"/>
          <w:szCs w:val="24"/>
        </w:rPr>
        <w:t>that are later found to be unlawful</w:t>
      </w:r>
      <w:r>
        <w:rPr>
          <w:rFonts w:cs="Times New Roman"/>
          <w:szCs w:val="24"/>
        </w:rPr>
        <w:t>.</w:t>
      </w:r>
      <w:r w:rsidR="006B77A1">
        <w:rPr>
          <w:rStyle w:val="FootnoteReference"/>
          <w:rFonts w:cs="Times New Roman"/>
          <w:szCs w:val="24"/>
        </w:rPr>
        <w:footnoteReference w:id="19"/>
      </w:r>
      <w:r>
        <w:rPr>
          <w:rFonts w:cs="Times New Roman"/>
          <w:szCs w:val="24"/>
        </w:rPr>
        <w:t xml:space="preserve">  A </w:t>
      </w:r>
      <w:r w:rsidR="00532B2D">
        <w:rPr>
          <w:rFonts w:cs="Times New Roman"/>
          <w:szCs w:val="24"/>
        </w:rPr>
        <w:t>PUCO</w:t>
      </w:r>
      <w:r>
        <w:rPr>
          <w:rFonts w:cs="Times New Roman"/>
          <w:szCs w:val="24"/>
        </w:rPr>
        <w:t xml:space="preserve"> ruling </w:t>
      </w:r>
      <w:r w:rsidR="00EC4042">
        <w:rPr>
          <w:rFonts w:cs="Times New Roman"/>
          <w:szCs w:val="24"/>
        </w:rPr>
        <w:t xml:space="preserve">permitting </w:t>
      </w:r>
      <w:r w:rsidR="00CC3AAE">
        <w:rPr>
          <w:rFonts w:cs="Times New Roman"/>
          <w:szCs w:val="24"/>
        </w:rPr>
        <w:t>AEP Ohio</w:t>
      </w:r>
      <w:r w:rsidR="00EC4042">
        <w:rPr>
          <w:rFonts w:cs="Times New Roman"/>
          <w:szCs w:val="24"/>
        </w:rPr>
        <w:t xml:space="preserve"> to collect </w:t>
      </w:r>
      <w:r>
        <w:rPr>
          <w:rFonts w:cs="Times New Roman"/>
          <w:szCs w:val="24"/>
        </w:rPr>
        <w:t>cost</w:t>
      </w:r>
      <w:r w:rsidR="00EC4042">
        <w:rPr>
          <w:rFonts w:cs="Times New Roman"/>
          <w:szCs w:val="24"/>
        </w:rPr>
        <w:t>s</w:t>
      </w:r>
      <w:r>
        <w:rPr>
          <w:rFonts w:cs="Times New Roman"/>
          <w:szCs w:val="24"/>
        </w:rPr>
        <w:t xml:space="preserve"> </w:t>
      </w:r>
      <w:r w:rsidR="00EC4042">
        <w:rPr>
          <w:rFonts w:cs="Times New Roman"/>
          <w:szCs w:val="24"/>
        </w:rPr>
        <w:t xml:space="preserve">under the PPA, </w:t>
      </w:r>
      <w:r w:rsidR="00387117">
        <w:rPr>
          <w:rFonts w:cs="Times New Roman"/>
          <w:szCs w:val="24"/>
        </w:rPr>
        <w:t xml:space="preserve">followed later by a FERC decision declaring the Affiliate PPA unenforceable, </w:t>
      </w:r>
      <w:r w:rsidR="00CC3AAE">
        <w:rPr>
          <w:rFonts w:cs="Times New Roman"/>
          <w:szCs w:val="24"/>
        </w:rPr>
        <w:t xml:space="preserve">would </w:t>
      </w:r>
      <w:r w:rsidR="00EC4042">
        <w:rPr>
          <w:rFonts w:cs="Times New Roman"/>
          <w:szCs w:val="24"/>
        </w:rPr>
        <w:t xml:space="preserve">irreparably harm customers.  Such an unfair result, creating a windfall to </w:t>
      </w:r>
      <w:r w:rsidR="00CC3AAE">
        <w:rPr>
          <w:rFonts w:cs="Times New Roman"/>
          <w:szCs w:val="24"/>
        </w:rPr>
        <w:t>AEP Ohio</w:t>
      </w:r>
      <w:r w:rsidR="00EC4042">
        <w:rPr>
          <w:rFonts w:cs="Times New Roman"/>
          <w:szCs w:val="24"/>
        </w:rPr>
        <w:t xml:space="preserve">, </w:t>
      </w:r>
      <w:r w:rsidR="00387117">
        <w:rPr>
          <w:rFonts w:cs="Times New Roman"/>
          <w:szCs w:val="24"/>
        </w:rPr>
        <w:t>should be avoided</w:t>
      </w:r>
      <w:r w:rsidR="006120BE">
        <w:rPr>
          <w:rFonts w:cs="Times New Roman"/>
          <w:szCs w:val="24"/>
        </w:rPr>
        <w:t xml:space="preserve"> at all costs</w:t>
      </w:r>
      <w:r w:rsidR="00387117">
        <w:rPr>
          <w:rFonts w:cs="Times New Roman"/>
          <w:szCs w:val="24"/>
        </w:rPr>
        <w:t>.</w:t>
      </w:r>
      <w:r w:rsidR="00C62502">
        <w:rPr>
          <w:rFonts w:cs="Times New Roman"/>
          <w:szCs w:val="24"/>
        </w:rPr>
        <w:t xml:space="preserve">  The </w:t>
      </w:r>
      <w:r w:rsidR="00532B2D">
        <w:rPr>
          <w:rFonts w:cs="Times New Roman"/>
          <w:szCs w:val="24"/>
        </w:rPr>
        <w:t>PUCO</w:t>
      </w:r>
      <w:r w:rsidR="00C62502">
        <w:rPr>
          <w:rFonts w:cs="Times New Roman"/>
          <w:szCs w:val="24"/>
        </w:rPr>
        <w:t xml:space="preserve"> should </w:t>
      </w:r>
      <w:r w:rsidR="00EC4042">
        <w:rPr>
          <w:rFonts w:cs="Times New Roman"/>
          <w:szCs w:val="24"/>
        </w:rPr>
        <w:t xml:space="preserve">avoid inflicting the </w:t>
      </w:r>
      <w:r w:rsidR="00C62502">
        <w:rPr>
          <w:rFonts w:cs="Times New Roman"/>
          <w:szCs w:val="24"/>
        </w:rPr>
        <w:t xml:space="preserve">harm sustained by </w:t>
      </w:r>
      <w:r w:rsidR="00EC4042">
        <w:rPr>
          <w:rFonts w:cs="Times New Roman"/>
          <w:szCs w:val="24"/>
        </w:rPr>
        <w:t xml:space="preserve">AEP Ohio </w:t>
      </w:r>
      <w:r w:rsidR="00C62502">
        <w:rPr>
          <w:rFonts w:cs="Times New Roman"/>
          <w:szCs w:val="24"/>
        </w:rPr>
        <w:t>customers just two years ago.</w:t>
      </w:r>
      <w:r w:rsidR="001C39A0">
        <w:rPr>
          <w:rFonts w:cs="Times New Roman"/>
          <w:szCs w:val="24"/>
        </w:rPr>
        <w:t xml:space="preserve">  AEP Ohio has already been unjustly enriched with Ohioans’ hard-earned money</w:t>
      </w:r>
      <w:r w:rsidR="00B5526B">
        <w:rPr>
          <w:rFonts w:cs="Times New Roman"/>
          <w:szCs w:val="24"/>
        </w:rPr>
        <w:t xml:space="preserve">.  It does not </w:t>
      </w:r>
      <w:r w:rsidR="00EC4042">
        <w:rPr>
          <w:rFonts w:cs="Times New Roman"/>
          <w:szCs w:val="24"/>
        </w:rPr>
        <w:t xml:space="preserve">deserve more.  Customers deserve the protection of </w:t>
      </w:r>
      <w:r w:rsidR="00CC3AAE">
        <w:rPr>
          <w:rFonts w:cs="Times New Roman"/>
          <w:szCs w:val="24"/>
        </w:rPr>
        <w:t xml:space="preserve">a </w:t>
      </w:r>
      <w:r w:rsidR="00EC4042">
        <w:rPr>
          <w:rFonts w:cs="Times New Roman"/>
          <w:szCs w:val="24"/>
        </w:rPr>
        <w:t xml:space="preserve">PUCO stay.  </w:t>
      </w:r>
    </w:p>
    <w:p w:rsidR="004905A3" w:rsidRDefault="00AE0D6F" w:rsidP="00A9527F">
      <w:pPr>
        <w:pStyle w:val="Heading2"/>
      </w:pPr>
      <w:bookmarkStart w:id="6" w:name="_Toc447115739"/>
      <w:r>
        <w:t xml:space="preserve">The Consumers’ </w:t>
      </w:r>
      <w:r w:rsidR="00454A80">
        <w:t>m</w:t>
      </w:r>
      <w:r>
        <w:t>otion for a stay of the proceedings is proper</w:t>
      </w:r>
      <w:r w:rsidR="00EC4042">
        <w:t xml:space="preserve"> and will protect customers.  </w:t>
      </w:r>
      <w:r w:rsidR="00164DCB">
        <w:t>AEP Ohio’s claims to the contrary are groundless</w:t>
      </w:r>
      <w:r>
        <w:t>.</w:t>
      </w:r>
      <w:bookmarkEnd w:id="6"/>
    </w:p>
    <w:p w:rsidR="00D23657" w:rsidRDefault="00AE0D6F" w:rsidP="00AE0D6F">
      <w:pPr>
        <w:spacing w:after="0" w:line="480" w:lineRule="auto"/>
        <w:ind w:firstLine="720"/>
        <w:rPr>
          <w:rStyle w:val="apple-converted-space"/>
          <w:rFonts w:cs="Times New Roman"/>
          <w:szCs w:val="24"/>
        </w:rPr>
      </w:pPr>
      <w:r>
        <w:t xml:space="preserve">AEP Ohio’s </w:t>
      </w:r>
      <w:r w:rsidRPr="00AE0D6F">
        <w:rPr>
          <w:rFonts w:cs="Times New Roman"/>
          <w:szCs w:val="24"/>
        </w:rPr>
        <w:t>c</w:t>
      </w:r>
      <w:r w:rsidR="00164DCB">
        <w:rPr>
          <w:rFonts w:cs="Times New Roman"/>
          <w:szCs w:val="24"/>
        </w:rPr>
        <w:t>ontention</w:t>
      </w:r>
      <w:r w:rsidRPr="00AE0D6F">
        <w:rPr>
          <w:rFonts w:cs="Times New Roman"/>
          <w:szCs w:val="24"/>
        </w:rPr>
        <w:t xml:space="preserve"> that the Consumer’s motion for a stay conflicts with “multiple provisions” of Title 49</w:t>
      </w:r>
      <w:r>
        <w:rPr>
          <w:rStyle w:val="FootnoteReference"/>
          <w:rFonts w:cs="Times New Roman"/>
          <w:szCs w:val="24"/>
        </w:rPr>
        <w:footnoteReference w:id="20"/>
      </w:r>
      <w:r w:rsidRPr="00AE0D6F">
        <w:rPr>
          <w:rFonts w:cs="Times New Roman"/>
          <w:szCs w:val="24"/>
        </w:rPr>
        <w:t xml:space="preserve"> cannot be squared with </w:t>
      </w:r>
      <w:r w:rsidR="00B5526B">
        <w:rPr>
          <w:rFonts w:cs="Times New Roman"/>
          <w:szCs w:val="24"/>
        </w:rPr>
        <w:t xml:space="preserve">precedent from </w:t>
      </w:r>
      <w:r w:rsidRPr="00AE0D6F">
        <w:rPr>
          <w:rFonts w:cs="Times New Roman"/>
          <w:szCs w:val="24"/>
        </w:rPr>
        <w:t>the Supreme Court of Ohio</w:t>
      </w:r>
      <w:r w:rsidR="00B5526B">
        <w:rPr>
          <w:rFonts w:cs="Times New Roman"/>
          <w:szCs w:val="24"/>
        </w:rPr>
        <w:t>.</w:t>
      </w:r>
      <w:r w:rsidR="00EC4042">
        <w:rPr>
          <w:rFonts w:cs="Times New Roman"/>
          <w:szCs w:val="24"/>
        </w:rPr>
        <w:t xml:space="preserve">  </w:t>
      </w:r>
      <w:r w:rsidR="00B5526B">
        <w:rPr>
          <w:rFonts w:cs="Times New Roman"/>
          <w:szCs w:val="24"/>
        </w:rPr>
        <w:t>It has declared</w:t>
      </w:r>
      <w:r w:rsidRPr="00AE0D6F">
        <w:rPr>
          <w:rFonts w:cs="Times New Roman"/>
          <w:szCs w:val="24"/>
        </w:rPr>
        <w:t xml:space="preserve">: </w:t>
      </w:r>
      <w:r>
        <w:rPr>
          <w:rFonts w:cs="Times New Roman"/>
          <w:szCs w:val="24"/>
        </w:rPr>
        <w:t>“</w:t>
      </w:r>
      <w:r w:rsidRPr="00AE0D6F">
        <w:rPr>
          <w:rFonts w:cs="Times New Roman"/>
          <w:szCs w:val="24"/>
        </w:rPr>
        <w:t>It is well-settled that pursuant to</w:t>
      </w:r>
      <w:r w:rsidRPr="00AE0D6F">
        <w:rPr>
          <w:rStyle w:val="apple-converted-space"/>
          <w:rFonts w:cs="Times New Roman"/>
          <w:szCs w:val="24"/>
        </w:rPr>
        <w:t> </w:t>
      </w:r>
      <w:r w:rsidRPr="00AE0D6F">
        <w:rPr>
          <w:rFonts w:cs="Times New Roman"/>
          <w:szCs w:val="24"/>
        </w:rPr>
        <w:t>R.C. 4901.13,</w:t>
      </w:r>
      <w:r w:rsidRPr="00AE0D6F">
        <w:rPr>
          <w:rStyle w:val="apple-converted-space"/>
          <w:rFonts w:cs="Times New Roman"/>
          <w:szCs w:val="24"/>
        </w:rPr>
        <w:t> </w:t>
      </w:r>
      <w:r w:rsidRPr="00AE0D6F">
        <w:rPr>
          <w:rFonts w:cs="Times New Roman"/>
          <w:szCs w:val="24"/>
        </w:rPr>
        <w:t>the commission has the discretion to decide how, in light of its internal organization and docket considerations, it may best proceed to manage and expedite the orderly flow of its business, avoid undue delay and eliminate unnecessary duplication of effort.</w:t>
      </w:r>
      <w:r w:rsidR="00164DCB">
        <w:rPr>
          <w:rStyle w:val="apple-converted-space"/>
          <w:rFonts w:cs="Times New Roman"/>
          <w:szCs w:val="24"/>
        </w:rPr>
        <w:t>”</w:t>
      </w:r>
      <w:r w:rsidR="00164DCB">
        <w:rPr>
          <w:rStyle w:val="FootnoteReference"/>
          <w:rFonts w:cs="Times New Roman"/>
          <w:szCs w:val="24"/>
        </w:rPr>
        <w:footnoteReference w:id="21"/>
      </w:r>
      <w:r w:rsidR="00164DCB">
        <w:rPr>
          <w:rStyle w:val="apple-converted-space"/>
          <w:rFonts w:cs="Times New Roman"/>
          <w:szCs w:val="24"/>
        </w:rPr>
        <w:t xml:space="preserve">  Th</w:t>
      </w:r>
      <w:r w:rsidR="007C4266">
        <w:rPr>
          <w:rStyle w:val="apple-converted-space"/>
          <w:rFonts w:cs="Times New Roman"/>
          <w:szCs w:val="24"/>
        </w:rPr>
        <w:t>is</w:t>
      </w:r>
      <w:r w:rsidR="00164DCB">
        <w:rPr>
          <w:rStyle w:val="apple-converted-space"/>
          <w:rFonts w:cs="Times New Roman"/>
          <w:szCs w:val="24"/>
        </w:rPr>
        <w:t xml:space="preserve"> authority thus belies AEP Ohio’s assertion that the </w:t>
      </w:r>
      <w:r w:rsidR="00532B2D">
        <w:rPr>
          <w:rStyle w:val="apple-converted-space"/>
          <w:rFonts w:cs="Times New Roman"/>
          <w:szCs w:val="24"/>
        </w:rPr>
        <w:t>PUCO</w:t>
      </w:r>
      <w:r w:rsidR="00164DCB">
        <w:rPr>
          <w:rStyle w:val="apple-converted-space"/>
          <w:rFonts w:cs="Times New Roman"/>
          <w:szCs w:val="24"/>
        </w:rPr>
        <w:t xml:space="preserve"> cannot press the pause button and stay the proceedings to safeguard the </w:t>
      </w:r>
      <w:r w:rsidR="00B5526B">
        <w:rPr>
          <w:rStyle w:val="apple-converted-space"/>
          <w:rFonts w:cs="Times New Roman"/>
          <w:szCs w:val="24"/>
        </w:rPr>
        <w:t>public interest</w:t>
      </w:r>
      <w:r w:rsidR="00164DCB">
        <w:rPr>
          <w:rStyle w:val="apple-converted-space"/>
          <w:rFonts w:cs="Times New Roman"/>
          <w:szCs w:val="24"/>
        </w:rPr>
        <w:t xml:space="preserve">.  AEP Ohio is wrong that a stay conflicts with R.C. 4903.15 because no </w:t>
      </w:r>
      <w:r w:rsidR="00532B2D">
        <w:rPr>
          <w:rStyle w:val="apple-converted-space"/>
          <w:rFonts w:cs="Times New Roman"/>
          <w:szCs w:val="24"/>
        </w:rPr>
        <w:t>PUCO</w:t>
      </w:r>
      <w:r w:rsidR="00164DCB">
        <w:rPr>
          <w:rStyle w:val="apple-converted-space"/>
          <w:rFonts w:cs="Times New Roman"/>
          <w:szCs w:val="24"/>
        </w:rPr>
        <w:t xml:space="preserve"> order has been issued.  AEP Ohio is wrong that a stay </w:t>
      </w:r>
      <w:r w:rsidR="006120BE">
        <w:rPr>
          <w:rStyle w:val="apple-converted-space"/>
          <w:rFonts w:cs="Times New Roman"/>
          <w:szCs w:val="24"/>
        </w:rPr>
        <w:t xml:space="preserve">conflicts with R.C. 4903.10(B) because no applications for rehearing have been filed.  And AEP Ohio is wrong that a stay conflicts with R.C. 4903.16 because no appeal has been filed.  If anyone is sorely lacking in authority for their position, it is certainly not the </w:t>
      </w:r>
      <w:r w:rsidR="00CC3AAE">
        <w:rPr>
          <w:rStyle w:val="apple-converted-space"/>
          <w:rFonts w:cs="Times New Roman"/>
          <w:szCs w:val="24"/>
        </w:rPr>
        <w:t>C</w:t>
      </w:r>
      <w:r w:rsidR="006120BE">
        <w:rPr>
          <w:rStyle w:val="apple-converted-space"/>
          <w:rFonts w:cs="Times New Roman"/>
          <w:szCs w:val="24"/>
        </w:rPr>
        <w:t>onsumers.</w:t>
      </w:r>
      <w:r w:rsidR="00B5526B">
        <w:rPr>
          <w:rStyle w:val="apple-converted-space"/>
          <w:rFonts w:cs="Times New Roman"/>
          <w:szCs w:val="24"/>
        </w:rPr>
        <w:t xml:space="preserve">  It is AEP Ohio</w:t>
      </w:r>
      <w:r w:rsidR="007C4266">
        <w:rPr>
          <w:rStyle w:val="apple-converted-space"/>
          <w:rFonts w:cs="Times New Roman"/>
          <w:szCs w:val="24"/>
        </w:rPr>
        <w:t>.</w:t>
      </w:r>
    </w:p>
    <w:p w:rsidR="00AE0D6F" w:rsidRDefault="00B77594" w:rsidP="00B77594">
      <w:pPr>
        <w:spacing w:after="0" w:line="480" w:lineRule="auto"/>
        <w:ind w:firstLine="720"/>
        <w:rPr>
          <w:rFonts w:cs="Times New Roman"/>
          <w:szCs w:val="24"/>
        </w:rPr>
      </w:pPr>
      <w:r>
        <w:rPr>
          <w:rFonts w:cs="Times New Roman"/>
          <w:szCs w:val="24"/>
        </w:rPr>
        <w:t xml:space="preserve">Far from an extreme remedy, the stay requested by the </w:t>
      </w:r>
      <w:r w:rsidR="00CC3AAE">
        <w:rPr>
          <w:rFonts w:cs="Times New Roman"/>
          <w:szCs w:val="24"/>
        </w:rPr>
        <w:t>C</w:t>
      </w:r>
      <w:r>
        <w:rPr>
          <w:rFonts w:cs="Times New Roman"/>
          <w:szCs w:val="24"/>
        </w:rPr>
        <w:t xml:space="preserve">onsumers merely calls for the </w:t>
      </w:r>
      <w:r w:rsidR="00532B2D">
        <w:rPr>
          <w:rFonts w:cs="Times New Roman"/>
          <w:szCs w:val="24"/>
        </w:rPr>
        <w:t>PUCO</w:t>
      </w:r>
      <w:r w:rsidR="007C4266">
        <w:rPr>
          <w:rFonts w:cs="Times New Roman"/>
          <w:szCs w:val="24"/>
        </w:rPr>
        <w:t xml:space="preserve"> to exercise its discretion </w:t>
      </w:r>
      <w:r>
        <w:rPr>
          <w:rFonts w:cs="Times New Roman"/>
          <w:szCs w:val="24"/>
        </w:rPr>
        <w:t xml:space="preserve">to manage its docket.  </w:t>
      </w:r>
      <w:r w:rsidR="002109DD">
        <w:rPr>
          <w:rStyle w:val="apple-converted-space"/>
          <w:rFonts w:cs="Times New Roman"/>
          <w:szCs w:val="24"/>
        </w:rPr>
        <w:t xml:space="preserve">While AEP Ohio claims that the </w:t>
      </w:r>
      <w:r w:rsidR="00532B2D">
        <w:rPr>
          <w:rStyle w:val="apple-converted-space"/>
          <w:rFonts w:cs="Times New Roman"/>
          <w:szCs w:val="24"/>
        </w:rPr>
        <w:t>PUCO</w:t>
      </w:r>
      <w:r w:rsidR="002109DD">
        <w:rPr>
          <w:rStyle w:val="apple-converted-space"/>
          <w:rFonts w:cs="Times New Roman"/>
          <w:szCs w:val="24"/>
        </w:rPr>
        <w:t xml:space="preserve"> should not follow the four-factor test for stays articulated in dissent by Justice Douglas,</w:t>
      </w:r>
      <w:r w:rsidR="002109DD">
        <w:rPr>
          <w:rStyle w:val="FootnoteReference"/>
          <w:rFonts w:cs="Times New Roman"/>
          <w:szCs w:val="24"/>
        </w:rPr>
        <w:footnoteReference w:id="22"/>
      </w:r>
      <w:r w:rsidR="002109DD">
        <w:rPr>
          <w:rStyle w:val="apple-converted-space"/>
          <w:rFonts w:cs="Times New Roman"/>
          <w:szCs w:val="24"/>
        </w:rPr>
        <w:t xml:space="preserve"> and later followed by the </w:t>
      </w:r>
      <w:r w:rsidR="00532B2D">
        <w:rPr>
          <w:rStyle w:val="apple-converted-space"/>
          <w:rFonts w:cs="Times New Roman"/>
          <w:szCs w:val="24"/>
        </w:rPr>
        <w:t>PUCO</w:t>
      </w:r>
      <w:r w:rsidR="002109DD">
        <w:rPr>
          <w:rStyle w:val="apple-converted-space"/>
          <w:rFonts w:cs="Times New Roman"/>
          <w:szCs w:val="24"/>
        </w:rPr>
        <w:t>,</w:t>
      </w:r>
      <w:r>
        <w:rPr>
          <w:rStyle w:val="FootnoteReference"/>
          <w:rFonts w:cs="Times New Roman"/>
          <w:szCs w:val="24"/>
        </w:rPr>
        <w:footnoteReference w:id="23"/>
      </w:r>
      <w:r w:rsidR="002109DD">
        <w:rPr>
          <w:rStyle w:val="apple-converted-space"/>
          <w:rFonts w:cs="Times New Roman"/>
          <w:szCs w:val="24"/>
        </w:rPr>
        <w:t xml:space="preserve"> AEP Ohio cites no authority holding that the test is</w:t>
      </w:r>
      <w:r w:rsidR="007C4266">
        <w:rPr>
          <w:rStyle w:val="apple-converted-space"/>
          <w:rFonts w:cs="Times New Roman"/>
          <w:szCs w:val="24"/>
        </w:rPr>
        <w:t xml:space="preserve"> </w:t>
      </w:r>
      <w:r w:rsidR="00CC3AAE">
        <w:rPr>
          <w:rStyle w:val="apple-converted-space"/>
          <w:rFonts w:cs="Times New Roman"/>
          <w:szCs w:val="24"/>
        </w:rPr>
        <w:t>cannot be considered</w:t>
      </w:r>
      <w:r w:rsidR="007C4266">
        <w:rPr>
          <w:rStyle w:val="apple-converted-space"/>
          <w:rFonts w:cs="Times New Roman"/>
          <w:szCs w:val="24"/>
        </w:rPr>
        <w:t xml:space="preserve"> </w:t>
      </w:r>
      <w:r w:rsidR="00B5526B">
        <w:rPr>
          <w:rStyle w:val="apple-converted-space"/>
          <w:rFonts w:cs="Times New Roman"/>
          <w:szCs w:val="24"/>
        </w:rPr>
        <w:t>before</w:t>
      </w:r>
      <w:r w:rsidR="002109DD">
        <w:rPr>
          <w:rStyle w:val="apple-converted-space"/>
          <w:rFonts w:cs="Times New Roman"/>
          <w:szCs w:val="24"/>
        </w:rPr>
        <w:t xml:space="preserve"> </w:t>
      </w:r>
      <w:r w:rsidR="0048540C">
        <w:rPr>
          <w:rStyle w:val="apple-converted-space"/>
          <w:rFonts w:cs="Times New Roman"/>
          <w:szCs w:val="24"/>
        </w:rPr>
        <w:t>a PUCO order is issued.</w:t>
      </w:r>
      <w:r>
        <w:rPr>
          <w:rFonts w:cs="Times New Roman"/>
          <w:szCs w:val="24"/>
        </w:rPr>
        <w:t xml:space="preserve">  The four-factor test for granting stays, if not controlling, is certainly instructive here</w:t>
      </w:r>
      <w:r w:rsidR="007670E4">
        <w:rPr>
          <w:rFonts w:cs="Times New Roman"/>
          <w:szCs w:val="24"/>
        </w:rPr>
        <w:t xml:space="preserve">.  It </w:t>
      </w:r>
      <w:r>
        <w:rPr>
          <w:rFonts w:cs="Times New Roman"/>
          <w:szCs w:val="24"/>
        </w:rPr>
        <w:t>provides a framework for assessing whether</w:t>
      </w:r>
      <w:r w:rsidR="0048540C">
        <w:rPr>
          <w:rFonts w:cs="Times New Roman"/>
          <w:szCs w:val="24"/>
        </w:rPr>
        <w:t xml:space="preserve"> </w:t>
      </w:r>
      <w:r>
        <w:rPr>
          <w:rFonts w:cs="Times New Roman"/>
          <w:szCs w:val="24"/>
        </w:rPr>
        <w:t xml:space="preserve">the </w:t>
      </w:r>
      <w:r w:rsidR="00532B2D">
        <w:rPr>
          <w:rFonts w:cs="Times New Roman"/>
          <w:szCs w:val="24"/>
        </w:rPr>
        <w:t>PUCO</w:t>
      </w:r>
      <w:r>
        <w:rPr>
          <w:rFonts w:cs="Times New Roman"/>
          <w:szCs w:val="24"/>
        </w:rPr>
        <w:t xml:space="preserve"> should</w:t>
      </w:r>
      <w:r w:rsidR="0048540C">
        <w:rPr>
          <w:rFonts w:cs="Times New Roman"/>
          <w:szCs w:val="24"/>
        </w:rPr>
        <w:t xml:space="preserve"> exercise its discretion to </w:t>
      </w:r>
      <w:r>
        <w:rPr>
          <w:rFonts w:cs="Times New Roman"/>
          <w:szCs w:val="24"/>
        </w:rPr>
        <w:t>stay the proceeding pending a ruling by FERC.</w:t>
      </w:r>
      <w:r w:rsidR="00C8480E">
        <w:rPr>
          <w:rFonts w:cs="Times New Roman"/>
          <w:szCs w:val="24"/>
        </w:rPr>
        <w:t xml:space="preserve">  The four factors weigh heavily in favor of the Consumers</w:t>
      </w:r>
      <w:r w:rsidR="007670E4">
        <w:rPr>
          <w:rFonts w:cs="Times New Roman"/>
          <w:szCs w:val="24"/>
        </w:rPr>
        <w:t>.</w:t>
      </w:r>
      <w:r w:rsidR="00C8480E">
        <w:rPr>
          <w:rFonts w:cs="Times New Roman"/>
          <w:szCs w:val="24"/>
        </w:rPr>
        <w:t xml:space="preserve"> AEP Ohio’s arguments to the contrary </w:t>
      </w:r>
      <w:r w:rsidR="00C46720">
        <w:rPr>
          <w:rFonts w:cs="Times New Roman"/>
          <w:szCs w:val="24"/>
        </w:rPr>
        <w:t>lack merit</w:t>
      </w:r>
      <w:r w:rsidR="00C8480E">
        <w:rPr>
          <w:rFonts w:cs="Times New Roman"/>
          <w:szCs w:val="24"/>
        </w:rPr>
        <w:t>.</w:t>
      </w:r>
    </w:p>
    <w:p w:rsidR="00C8480E" w:rsidRPr="00BD0B2A" w:rsidRDefault="00B5526B" w:rsidP="00A9527F">
      <w:pPr>
        <w:pStyle w:val="Heading3"/>
      </w:pPr>
      <w:bookmarkStart w:id="7" w:name="_Toc447115740"/>
      <w:r>
        <w:t>1.</w:t>
      </w:r>
      <w:r>
        <w:tab/>
      </w:r>
      <w:r w:rsidR="00383C69" w:rsidRPr="00BD0B2A">
        <w:t>AEP Ohio fails to recognize that times have changed since the waiver was granted.</w:t>
      </w:r>
      <w:r w:rsidR="0048540C">
        <w:t xml:space="preserve">  Customers </w:t>
      </w:r>
      <w:r w:rsidR="00CC3AAE">
        <w:t>would be</w:t>
      </w:r>
      <w:r w:rsidR="0048540C">
        <w:t xml:space="preserve"> captive to the PPA </w:t>
      </w:r>
      <w:r w:rsidR="00CC3AAE">
        <w:t>R</w:t>
      </w:r>
      <w:r w:rsidR="0048540C">
        <w:t>ider.</w:t>
      </w:r>
      <w:bookmarkEnd w:id="7"/>
      <w:r w:rsidR="0048540C">
        <w:t xml:space="preserve">  </w:t>
      </w:r>
    </w:p>
    <w:p w:rsidR="00C8480E" w:rsidRDefault="005B0547" w:rsidP="00C26DB5">
      <w:pPr>
        <w:spacing w:after="0" w:line="480" w:lineRule="auto"/>
        <w:ind w:firstLine="720"/>
        <w:rPr>
          <w:rFonts w:cs="Times New Roman"/>
          <w:szCs w:val="24"/>
        </w:rPr>
      </w:pPr>
      <w:r>
        <w:rPr>
          <w:rFonts w:cs="Times New Roman"/>
          <w:szCs w:val="24"/>
        </w:rPr>
        <w:t xml:space="preserve">AEP Ohio’s theory </w:t>
      </w:r>
      <w:r w:rsidR="0059453F">
        <w:rPr>
          <w:rFonts w:cs="Times New Roman"/>
          <w:szCs w:val="24"/>
        </w:rPr>
        <w:t>regarding</w:t>
      </w:r>
      <w:r>
        <w:rPr>
          <w:rFonts w:cs="Times New Roman"/>
          <w:szCs w:val="24"/>
        </w:rPr>
        <w:t xml:space="preserve"> why consumers are not captive to the PPA Rider is remarkable for what it does not argue.  </w:t>
      </w:r>
      <w:r w:rsidR="0048540C">
        <w:rPr>
          <w:rFonts w:cs="Times New Roman"/>
          <w:szCs w:val="24"/>
        </w:rPr>
        <w:t>A</w:t>
      </w:r>
      <w:r>
        <w:rPr>
          <w:rFonts w:cs="Times New Roman"/>
          <w:szCs w:val="24"/>
        </w:rPr>
        <w:t>t no point does AEP Ohio even contes</w:t>
      </w:r>
      <w:r w:rsidR="00226D58">
        <w:rPr>
          <w:rFonts w:cs="Times New Roman"/>
          <w:szCs w:val="24"/>
        </w:rPr>
        <w:t xml:space="preserve">t the Consumers’ </w:t>
      </w:r>
      <w:r w:rsidR="00B5526B">
        <w:rPr>
          <w:rFonts w:cs="Times New Roman"/>
          <w:szCs w:val="24"/>
        </w:rPr>
        <w:t xml:space="preserve">demonstration </w:t>
      </w:r>
      <w:r w:rsidR="00226D58">
        <w:rPr>
          <w:rFonts w:cs="Times New Roman"/>
          <w:szCs w:val="24"/>
        </w:rPr>
        <w:t xml:space="preserve">that </w:t>
      </w:r>
      <w:r w:rsidR="001B2D32">
        <w:rPr>
          <w:rFonts w:cs="Times New Roman"/>
          <w:szCs w:val="24"/>
        </w:rPr>
        <w:t>retail customers</w:t>
      </w:r>
      <w:r>
        <w:rPr>
          <w:rFonts w:cs="Times New Roman"/>
          <w:szCs w:val="24"/>
        </w:rPr>
        <w:t xml:space="preserve"> will have no opportunity to avoid the PPA Rider by selecting a competitive retail electric supplier</w:t>
      </w:r>
      <w:r w:rsidR="001B2D32">
        <w:rPr>
          <w:rFonts w:cs="Times New Roman"/>
          <w:szCs w:val="24"/>
        </w:rPr>
        <w:t xml:space="preserve"> (</w:t>
      </w:r>
      <w:r w:rsidR="00BA7255">
        <w:rPr>
          <w:rFonts w:cs="Times New Roman"/>
          <w:szCs w:val="24"/>
        </w:rPr>
        <w:t>“</w:t>
      </w:r>
      <w:r w:rsidR="001B2D32">
        <w:rPr>
          <w:rFonts w:cs="Times New Roman"/>
          <w:szCs w:val="24"/>
        </w:rPr>
        <w:t>CRES</w:t>
      </w:r>
      <w:r w:rsidR="00BA7255">
        <w:rPr>
          <w:rFonts w:cs="Times New Roman"/>
          <w:szCs w:val="24"/>
        </w:rPr>
        <w:t>”</w:t>
      </w:r>
      <w:r w:rsidR="001B2D32">
        <w:rPr>
          <w:rFonts w:cs="Times New Roman"/>
          <w:szCs w:val="24"/>
        </w:rPr>
        <w:t>)</w:t>
      </w:r>
      <w:r>
        <w:rPr>
          <w:rFonts w:cs="Times New Roman"/>
          <w:szCs w:val="24"/>
        </w:rPr>
        <w:t xml:space="preserve"> of their choosing.  </w:t>
      </w:r>
      <w:r w:rsidR="0048540C">
        <w:rPr>
          <w:rFonts w:cs="Times New Roman"/>
          <w:szCs w:val="24"/>
        </w:rPr>
        <w:t>C</w:t>
      </w:r>
      <w:r>
        <w:rPr>
          <w:rFonts w:cs="Times New Roman"/>
          <w:szCs w:val="24"/>
        </w:rPr>
        <w:t>onsumers in Ohio are no less captive than consumers in traditionally-regulated states who have no choice but to receive their supply of generation services from a vertically-</w:t>
      </w:r>
      <w:r w:rsidR="00710DE6">
        <w:rPr>
          <w:rFonts w:cs="Times New Roman"/>
          <w:szCs w:val="24"/>
        </w:rPr>
        <w:t>integrated</w:t>
      </w:r>
      <w:r>
        <w:rPr>
          <w:rFonts w:cs="Times New Roman"/>
          <w:szCs w:val="24"/>
        </w:rPr>
        <w:t xml:space="preserve"> electric utility.</w:t>
      </w:r>
    </w:p>
    <w:p w:rsidR="001B2D32" w:rsidRDefault="00226D58" w:rsidP="00C26DB5">
      <w:pPr>
        <w:spacing w:after="0" w:line="480" w:lineRule="auto"/>
        <w:ind w:firstLine="720"/>
        <w:rPr>
          <w:rFonts w:cs="Times New Roman"/>
          <w:szCs w:val="24"/>
        </w:rPr>
      </w:pPr>
      <w:r>
        <w:rPr>
          <w:rFonts w:cs="Times New Roman"/>
          <w:szCs w:val="24"/>
        </w:rPr>
        <w:t xml:space="preserve">When FERC originally granted AEP Ohio and AEPGR a waiver on affiliate </w:t>
      </w:r>
      <w:r w:rsidR="00454A80">
        <w:rPr>
          <w:rFonts w:cs="Times New Roman"/>
          <w:szCs w:val="24"/>
        </w:rPr>
        <w:t xml:space="preserve">power </w:t>
      </w:r>
      <w:r>
        <w:rPr>
          <w:rFonts w:cs="Times New Roman"/>
          <w:szCs w:val="24"/>
        </w:rPr>
        <w:t>sales restrictions,</w:t>
      </w:r>
      <w:r w:rsidR="00EC3157">
        <w:rPr>
          <w:rStyle w:val="FootnoteReference"/>
          <w:rFonts w:cs="Times New Roman"/>
          <w:szCs w:val="24"/>
        </w:rPr>
        <w:footnoteReference w:id="24"/>
      </w:r>
      <w:r>
        <w:rPr>
          <w:rFonts w:cs="Times New Roman"/>
          <w:szCs w:val="24"/>
        </w:rPr>
        <w:t xml:space="preserve"> there was no PPA Rider in existence</w:t>
      </w:r>
      <w:r w:rsidR="006B77A1">
        <w:rPr>
          <w:rFonts w:cs="Times New Roman"/>
          <w:szCs w:val="24"/>
        </w:rPr>
        <w:t xml:space="preserve"> or even proposed</w:t>
      </w:r>
      <w:r>
        <w:rPr>
          <w:rFonts w:cs="Times New Roman"/>
          <w:szCs w:val="24"/>
        </w:rPr>
        <w:t>.</w:t>
      </w:r>
      <w:r w:rsidR="00140C37">
        <w:rPr>
          <w:rFonts w:cs="Times New Roman"/>
          <w:szCs w:val="24"/>
        </w:rPr>
        <w:t xml:space="preserve">  </w:t>
      </w:r>
      <w:r w:rsidR="001B2D32">
        <w:rPr>
          <w:rFonts w:cs="Times New Roman"/>
          <w:szCs w:val="24"/>
        </w:rPr>
        <w:t>Thus</w:t>
      </w:r>
      <w:r w:rsidR="007670E4">
        <w:rPr>
          <w:rFonts w:cs="Times New Roman"/>
          <w:szCs w:val="24"/>
        </w:rPr>
        <w:t>,</w:t>
      </w:r>
      <w:r w:rsidR="001B2D32">
        <w:rPr>
          <w:rFonts w:cs="Times New Roman"/>
          <w:szCs w:val="24"/>
        </w:rPr>
        <w:t xml:space="preserve"> whatever may have motivated FERC to originally grant the waiver, it was not presented with </w:t>
      </w:r>
      <w:r w:rsidR="00CC3AAE">
        <w:rPr>
          <w:rFonts w:cs="Times New Roman"/>
          <w:szCs w:val="24"/>
        </w:rPr>
        <w:t xml:space="preserve">the </w:t>
      </w:r>
      <w:r w:rsidR="001B2D32">
        <w:rPr>
          <w:rFonts w:cs="Times New Roman"/>
          <w:szCs w:val="24"/>
        </w:rPr>
        <w:t>scenario</w:t>
      </w:r>
      <w:r w:rsidR="00B5526B">
        <w:rPr>
          <w:rFonts w:cs="Times New Roman"/>
          <w:szCs w:val="24"/>
        </w:rPr>
        <w:t xml:space="preserve"> AEP Ohio </w:t>
      </w:r>
      <w:r w:rsidR="00CC3AAE">
        <w:rPr>
          <w:rFonts w:cs="Times New Roman"/>
          <w:szCs w:val="24"/>
        </w:rPr>
        <w:t>presents</w:t>
      </w:r>
      <w:r w:rsidR="00B5526B">
        <w:rPr>
          <w:rFonts w:cs="Times New Roman"/>
          <w:szCs w:val="24"/>
        </w:rPr>
        <w:t xml:space="preserve"> here</w:t>
      </w:r>
      <w:r w:rsidR="00CC3AAE">
        <w:rPr>
          <w:rFonts w:cs="Times New Roman"/>
          <w:szCs w:val="24"/>
        </w:rPr>
        <w:t>.</w:t>
      </w:r>
      <w:r w:rsidR="001B2D32">
        <w:rPr>
          <w:rFonts w:cs="Times New Roman"/>
          <w:szCs w:val="24"/>
        </w:rPr>
        <w:t xml:space="preserve"> </w:t>
      </w:r>
      <w:r w:rsidR="0059453F">
        <w:rPr>
          <w:rFonts w:cs="Times New Roman"/>
          <w:szCs w:val="24"/>
        </w:rPr>
        <w:t xml:space="preserve"> </w:t>
      </w:r>
      <w:r w:rsidR="00CC3AAE">
        <w:rPr>
          <w:rFonts w:cs="Times New Roman"/>
          <w:szCs w:val="24"/>
        </w:rPr>
        <w:t xml:space="preserve">Here, </w:t>
      </w:r>
      <w:r w:rsidR="001B2D32">
        <w:rPr>
          <w:rFonts w:cs="Times New Roman"/>
          <w:szCs w:val="24"/>
        </w:rPr>
        <w:t xml:space="preserve">a distribution utility </w:t>
      </w:r>
      <w:r w:rsidR="00CC3AAE">
        <w:rPr>
          <w:rFonts w:cs="Times New Roman"/>
          <w:szCs w:val="24"/>
        </w:rPr>
        <w:t xml:space="preserve">is </w:t>
      </w:r>
      <w:r w:rsidR="001B2D32">
        <w:rPr>
          <w:rFonts w:cs="Times New Roman"/>
          <w:szCs w:val="24"/>
        </w:rPr>
        <w:t>on the cusp of striking an eight-year, above-market, cost-plus deal with its</w:t>
      </w:r>
      <w:r w:rsidR="00140C37">
        <w:rPr>
          <w:rFonts w:cs="Times New Roman"/>
          <w:szCs w:val="24"/>
        </w:rPr>
        <w:t xml:space="preserve"> </w:t>
      </w:r>
      <w:r w:rsidR="001B2D32">
        <w:rPr>
          <w:rFonts w:cs="Times New Roman"/>
          <w:szCs w:val="24"/>
        </w:rPr>
        <w:t>affiliate</w:t>
      </w:r>
      <w:r w:rsidR="00163A4E">
        <w:rPr>
          <w:rFonts w:cs="Times New Roman"/>
          <w:szCs w:val="24"/>
        </w:rPr>
        <w:t xml:space="preserve"> generator</w:t>
      </w:r>
      <w:r w:rsidR="001B2D32">
        <w:rPr>
          <w:rFonts w:cs="Times New Roman"/>
          <w:szCs w:val="24"/>
        </w:rPr>
        <w:t xml:space="preserve"> to deliver output to the PJM markets (as opposed to</w:t>
      </w:r>
      <w:r w:rsidR="006B0AAC">
        <w:rPr>
          <w:rFonts w:cs="Times New Roman"/>
          <w:szCs w:val="24"/>
        </w:rPr>
        <w:t xml:space="preserve"> serving</w:t>
      </w:r>
      <w:r w:rsidR="001B2D32">
        <w:rPr>
          <w:rFonts w:cs="Times New Roman"/>
          <w:szCs w:val="24"/>
        </w:rPr>
        <w:t xml:space="preserve"> the distribution utility’s retail load).  That</w:t>
      </w:r>
      <w:r w:rsidR="00140C37">
        <w:rPr>
          <w:rFonts w:cs="Times New Roman"/>
          <w:szCs w:val="24"/>
        </w:rPr>
        <w:t xml:space="preserve"> </w:t>
      </w:r>
      <w:r w:rsidR="001B2D32">
        <w:rPr>
          <w:rFonts w:cs="Times New Roman"/>
          <w:szCs w:val="24"/>
        </w:rPr>
        <w:t>fact-pattern</w:t>
      </w:r>
      <w:r w:rsidR="00CC3AAE">
        <w:rPr>
          <w:rFonts w:cs="Times New Roman"/>
          <w:szCs w:val="24"/>
        </w:rPr>
        <w:t xml:space="preserve">, unaddressed by FERC when it </w:t>
      </w:r>
      <w:r w:rsidR="00CC3AAE" w:rsidRPr="00BD0B2A">
        <w:rPr>
          <w:rFonts w:cs="Times New Roman"/>
          <w:i/>
          <w:szCs w:val="24"/>
        </w:rPr>
        <w:t>originally</w:t>
      </w:r>
      <w:r w:rsidR="00CC3AAE">
        <w:rPr>
          <w:rFonts w:cs="Times New Roman"/>
          <w:szCs w:val="24"/>
        </w:rPr>
        <w:t xml:space="preserve"> granted a waiver,</w:t>
      </w:r>
      <w:r w:rsidR="001B2D32">
        <w:rPr>
          <w:rFonts w:cs="Times New Roman"/>
          <w:szCs w:val="24"/>
        </w:rPr>
        <w:t xml:space="preserve"> is precisely the scenar</w:t>
      </w:r>
      <w:r w:rsidR="00E57C24">
        <w:rPr>
          <w:rFonts w:cs="Times New Roman"/>
          <w:szCs w:val="24"/>
        </w:rPr>
        <w:t xml:space="preserve">io confronting FERC </w:t>
      </w:r>
      <w:r w:rsidR="00012846">
        <w:rPr>
          <w:rFonts w:cs="Times New Roman"/>
          <w:i/>
          <w:szCs w:val="24"/>
        </w:rPr>
        <w:t xml:space="preserve">now </w:t>
      </w:r>
      <w:r w:rsidR="00E57C24">
        <w:rPr>
          <w:rFonts w:cs="Times New Roman"/>
          <w:szCs w:val="24"/>
        </w:rPr>
        <w:t>as detailed in</w:t>
      </w:r>
      <w:r w:rsidR="00BA7255">
        <w:rPr>
          <w:rFonts w:cs="Times New Roman"/>
          <w:szCs w:val="24"/>
        </w:rPr>
        <w:t xml:space="preserve"> the</w:t>
      </w:r>
      <w:r w:rsidR="00E57C24">
        <w:rPr>
          <w:rFonts w:cs="Times New Roman"/>
          <w:szCs w:val="24"/>
        </w:rPr>
        <w:t xml:space="preserve"> EPSA </w:t>
      </w:r>
      <w:r w:rsidR="00813402">
        <w:rPr>
          <w:rFonts w:cs="Times New Roman"/>
          <w:szCs w:val="24"/>
        </w:rPr>
        <w:t>C</w:t>
      </w:r>
      <w:r w:rsidR="00E57C24">
        <w:rPr>
          <w:rFonts w:cs="Times New Roman"/>
          <w:szCs w:val="24"/>
        </w:rPr>
        <w:t xml:space="preserve">omplaint.  </w:t>
      </w:r>
      <w:r w:rsidR="00F842C0">
        <w:rPr>
          <w:rFonts w:cs="Times New Roman"/>
          <w:szCs w:val="24"/>
        </w:rPr>
        <w:t>FERC should be given adequate time to answer th</w:t>
      </w:r>
      <w:r w:rsidR="002452FB">
        <w:rPr>
          <w:rFonts w:cs="Times New Roman"/>
          <w:szCs w:val="24"/>
        </w:rPr>
        <w:t>e question presented before the</w:t>
      </w:r>
      <w:r w:rsidR="00F842C0">
        <w:rPr>
          <w:rFonts w:cs="Times New Roman"/>
          <w:szCs w:val="24"/>
        </w:rPr>
        <w:t xml:space="preserve"> </w:t>
      </w:r>
      <w:r w:rsidR="00532B2D">
        <w:rPr>
          <w:rFonts w:cs="Times New Roman"/>
          <w:szCs w:val="24"/>
        </w:rPr>
        <w:t>PUCO</w:t>
      </w:r>
      <w:r w:rsidR="00F842C0">
        <w:rPr>
          <w:rFonts w:cs="Times New Roman"/>
          <w:szCs w:val="24"/>
        </w:rPr>
        <w:t xml:space="preserve"> </w:t>
      </w:r>
      <w:r w:rsidR="007670E4">
        <w:rPr>
          <w:rFonts w:cs="Times New Roman"/>
          <w:szCs w:val="24"/>
        </w:rPr>
        <w:t xml:space="preserve">considers </w:t>
      </w:r>
      <w:r w:rsidR="00F842C0">
        <w:rPr>
          <w:rFonts w:cs="Times New Roman"/>
          <w:szCs w:val="24"/>
        </w:rPr>
        <w:t xml:space="preserve">retail cost </w:t>
      </w:r>
      <w:r w:rsidR="007925DC">
        <w:rPr>
          <w:rFonts w:cs="Times New Roman"/>
          <w:szCs w:val="24"/>
        </w:rPr>
        <w:t xml:space="preserve">collection for </w:t>
      </w:r>
      <w:r w:rsidR="00F842C0">
        <w:rPr>
          <w:rFonts w:cs="Times New Roman"/>
          <w:szCs w:val="24"/>
        </w:rPr>
        <w:t xml:space="preserve">a </w:t>
      </w:r>
      <w:r w:rsidR="001360FC">
        <w:rPr>
          <w:rFonts w:cs="Times New Roman"/>
          <w:szCs w:val="24"/>
        </w:rPr>
        <w:t xml:space="preserve">wholesale power </w:t>
      </w:r>
      <w:r w:rsidR="00F842C0">
        <w:rPr>
          <w:rFonts w:cs="Times New Roman"/>
          <w:szCs w:val="24"/>
        </w:rPr>
        <w:t>contract of questionable validity.</w:t>
      </w:r>
    </w:p>
    <w:p w:rsidR="006B0AAC" w:rsidRDefault="00460301" w:rsidP="008B748B">
      <w:pPr>
        <w:spacing w:after="0" w:line="480" w:lineRule="auto"/>
        <w:ind w:firstLine="720"/>
        <w:rPr>
          <w:rFonts w:cs="Times New Roman"/>
          <w:szCs w:val="24"/>
        </w:rPr>
      </w:pPr>
      <w:r>
        <w:rPr>
          <w:rFonts w:cs="Times New Roman"/>
          <w:szCs w:val="24"/>
        </w:rPr>
        <w:t xml:space="preserve">The fact that Ohio law allows retail choice is not dispositive of the narrower issued raised in the EPSA Complaint.  </w:t>
      </w:r>
      <w:r w:rsidR="00F842C0">
        <w:rPr>
          <w:rFonts w:cs="Times New Roman"/>
          <w:szCs w:val="24"/>
        </w:rPr>
        <w:t xml:space="preserve">AEP Ohio therefore gains nothing by arguing that it is up to the </w:t>
      </w:r>
      <w:r w:rsidR="00532B2D">
        <w:rPr>
          <w:rFonts w:cs="Times New Roman"/>
          <w:szCs w:val="24"/>
        </w:rPr>
        <w:t>PUCO</w:t>
      </w:r>
      <w:r w:rsidR="00F842C0">
        <w:rPr>
          <w:rFonts w:cs="Times New Roman"/>
          <w:szCs w:val="24"/>
        </w:rPr>
        <w:t>, not FERC, to assess the adequacy of retail choice in Ohio.</w:t>
      </w:r>
      <w:r w:rsidR="00F842C0">
        <w:rPr>
          <w:rStyle w:val="FootnoteReference"/>
          <w:rFonts w:cs="Times New Roman"/>
          <w:szCs w:val="24"/>
        </w:rPr>
        <w:footnoteReference w:id="25"/>
      </w:r>
      <w:r w:rsidR="00F842C0">
        <w:rPr>
          <w:rFonts w:cs="Times New Roman"/>
          <w:szCs w:val="24"/>
        </w:rPr>
        <w:t xml:space="preserve">  A sweeping analysis of retail choice is not what </w:t>
      </w:r>
      <w:r w:rsidR="001360FC">
        <w:rPr>
          <w:rFonts w:cs="Times New Roman"/>
          <w:szCs w:val="24"/>
        </w:rPr>
        <w:t xml:space="preserve">is </w:t>
      </w:r>
      <w:r w:rsidR="00F842C0">
        <w:rPr>
          <w:rFonts w:cs="Times New Roman"/>
          <w:szCs w:val="24"/>
        </w:rPr>
        <w:t xml:space="preserve">at issue.  </w:t>
      </w:r>
      <w:r>
        <w:rPr>
          <w:rFonts w:cs="Times New Roman"/>
          <w:szCs w:val="24"/>
        </w:rPr>
        <w:t>The more limited question in the EPSA Complaint is whether the waiver on affiliate power</w:t>
      </w:r>
      <w:r w:rsidR="00140C37">
        <w:rPr>
          <w:rFonts w:cs="Times New Roman"/>
          <w:szCs w:val="24"/>
        </w:rPr>
        <w:t xml:space="preserve"> </w:t>
      </w:r>
      <w:r>
        <w:rPr>
          <w:rFonts w:cs="Times New Roman"/>
          <w:szCs w:val="24"/>
        </w:rPr>
        <w:t>sales restrictions should be rescinded</w:t>
      </w:r>
      <w:r w:rsidR="007925DC">
        <w:rPr>
          <w:rFonts w:cs="Times New Roman"/>
          <w:szCs w:val="24"/>
        </w:rPr>
        <w:t xml:space="preserve">.  </w:t>
      </w:r>
      <w:r w:rsidR="00EC3157">
        <w:rPr>
          <w:rFonts w:cs="Times New Roman"/>
          <w:szCs w:val="24"/>
        </w:rPr>
        <w:t>The answer to that question is “yes” and FERC’s Order No. 697</w:t>
      </w:r>
      <w:r w:rsidR="00EC3157">
        <w:rPr>
          <w:rStyle w:val="FootnoteReference"/>
          <w:rFonts w:cs="Times New Roman"/>
          <w:szCs w:val="24"/>
        </w:rPr>
        <w:footnoteReference w:id="26"/>
      </w:r>
      <w:r w:rsidR="00EC3157">
        <w:rPr>
          <w:rFonts w:cs="Times New Roman"/>
          <w:szCs w:val="24"/>
        </w:rPr>
        <w:t xml:space="preserve"> does not require a different result.</w:t>
      </w:r>
    </w:p>
    <w:p w:rsidR="001B2D32" w:rsidRDefault="006B0AAC" w:rsidP="008B748B">
      <w:pPr>
        <w:spacing w:after="0" w:line="480" w:lineRule="auto"/>
        <w:ind w:firstLine="720"/>
        <w:rPr>
          <w:rFonts w:cs="Times New Roman"/>
          <w:szCs w:val="24"/>
        </w:rPr>
      </w:pPr>
      <w:r>
        <w:rPr>
          <w:rFonts w:cs="Times New Roman"/>
          <w:szCs w:val="24"/>
        </w:rPr>
        <w:t>In Order No. 697</w:t>
      </w:r>
      <w:r w:rsidR="007C29E3">
        <w:rPr>
          <w:rFonts w:cs="Times New Roman"/>
          <w:szCs w:val="24"/>
        </w:rPr>
        <w:t>,</w:t>
      </w:r>
      <w:r w:rsidR="008B748B">
        <w:rPr>
          <w:rFonts w:cs="Times New Roman"/>
          <w:szCs w:val="24"/>
        </w:rPr>
        <w:t xml:space="preserve"> FERC explained that “in a regulatory regime in which retail customers have no ability to choose a supplier, they are considered captive because they must purchase from the local utility pursuant to cost-based rates</w:t>
      </w:r>
      <w:r w:rsidR="007C29E3">
        <w:rPr>
          <w:rFonts w:cs="Times New Roman"/>
          <w:szCs w:val="24"/>
        </w:rPr>
        <w:t xml:space="preserve"> set by a state or local regulatory authority.”</w:t>
      </w:r>
      <w:r w:rsidR="007C29E3">
        <w:rPr>
          <w:rStyle w:val="FootnoteReference"/>
          <w:rFonts w:cs="Times New Roman"/>
          <w:szCs w:val="24"/>
        </w:rPr>
        <w:footnoteReference w:id="27"/>
      </w:r>
      <w:r w:rsidR="007C29E3">
        <w:rPr>
          <w:rFonts w:cs="Times New Roman"/>
          <w:szCs w:val="24"/>
        </w:rPr>
        <w:t xml:space="preserve"> All the elements prescribed in Order No. 697 that identify what it means to be a “captive customer” are present here.  First, retail customers will have no opportunity to avoid the PPA Rider by selecting a CRES</w:t>
      </w:r>
      <w:r w:rsidR="00813402">
        <w:rPr>
          <w:rFonts w:cs="Times New Roman"/>
          <w:szCs w:val="24"/>
        </w:rPr>
        <w:t xml:space="preserve"> (as AEP Ohio agrees)</w:t>
      </w:r>
      <w:r w:rsidR="007C29E3">
        <w:rPr>
          <w:rFonts w:cs="Times New Roman"/>
          <w:szCs w:val="24"/>
        </w:rPr>
        <w:t>.  Second, the charges associated with the PPA Rider will be imposed by the local distribution utility (AEP Ohio).  Third, the charges associated with the PPA Rider will be flow</w:t>
      </w:r>
      <w:r w:rsidR="007925DC">
        <w:rPr>
          <w:rFonts w:cs="Times New Roman"/>
          <w:szCs w:val="24"/>
        </w:rPr>
        <w:t>ed</w:t>
      </w:r>
      <w:r w:rsidR="007C29E3">
        <w:rPr>
          <w:rFonts w:cs="Times New Roman"/>
          <w:szCs w:val="24"/>
        </w:rPr>
        <w:t xml:space="preserve"> through </w:t>
      </w:r>
      <w:r w:rsidR="0048540C">
        <w:rPr>
          <w:rFonts w:cs="Times New Roman"/>
          <w:szCs w:val="24"/>
        </w:rPr>
        <w:t xml:space="preserve">under </w:t>
      </w:r>
      <w:r w:rsidR="007C29E3">
        <w:rPr>
          <w:rFonts w:cs="Times New Roman"/>
          <w:szCs w:val="24"/>
        </w:rPr>
        <w:t xml:space="preserve">a cost-based contract between AEP Ohio and AEPGR.  And fourth, the rates underlying the PPA Rider will be set by a state </w:t>
      </w:r>
      <w:r w:rsidR="002452FB">
        <w:rPr>
          <w:rFonts w:cs="Times New Roman"/>
          <w:szCs w:val="24"/>
        </w:rPr>
        <w:t>regulatory authority (the</w:t>
      </w:r>
      <w:r w:rsidR="007C29E3">
        <w:rPr>
          <w:rFonts w:cs="Times New Roman"/>
          <w:szCs w:val="24"/>
        </w:rPr>
        <w:t xml:space="preserve"> </w:t>
      </w:r>
      <w:r w:rsidR="00532B2D">
        <w:rPr>
          <w:rFonts w:cs="Times New Roman"/>
          <w:szCs w:val="24"/>
        </w:rPr>
        <w:t>PUCO</w:t>
      </w:r>
      <w:r w:rsidR="007C29E3">
        <w:rPr>
          <w:rFonts w:cs="Times New Roman"/>
          <w:szCs w:val="24"/>
        </w:rPr>
        <w:t>).</w:t>
      </w:r>
      <w:r w:rsidR="00CF10E8">
        <w:rPr>
          <w:rFonts w:cs="Times New Roman"/>
          <w:szCs w:val="24"/>
        </w:rPr>
        <w:t xml:space="preserve">  With all of these elements met, FERC can only come to one conclusion: retail customers</w:t>
      </w:r>
      <w:r w:rsidR="00163A4E">
        <w:rPr>
          <w:rFonts w:cs="Times New Roman"/>
          <w:szCs w:val="24"/>
        </w:rPr>
        <w:t xml:space="preserve"> </w:t>
      </w:r>
      <w:r w:rsidR="00CF10E8">
        <w:rPr>
          <w:rFonts w:cs="Times New Roman"/>
          <w:szCs w:val="24"/>
        </w:rPr>
        <w:t xml:space="preserve">are captive </w:t>
      </w:r>
      <w:r w:rsidR="007925DC">
        <w:rPr>
          <w:rFonts w:cs="Times New Roman"/>
          <w:szCs w:val="24"/>
        </w:rPr>
        <w:t xml:space="preserve">customers under </w:t>
      </w:r>
      <w:r w:rsidR="00CF10E8">
        <w:rPr>
          <w:rFonts w:cs="Times New Roman"/>
          <w:szCs w:val="24"/>
        </w:rPr>
        <w:t>the PPA Rider.</w:t>
      </w:r>
    </w:p>
    <w:p w:rsidR="002F53F2" w:rsidRDefault="006B0AAC" w:rsidP="002F53F2">
      <w:pPr>
        <w:spacing w:after="0" w:line="480" w:lineRule="auto"/>
        <w:ind w:firstLine="720"/>
        <w:rPr>
          <w:rFonts w:cs="Times New Roman"/>
          <w:szCs w:val="24"/>
        </w:rPr>
      </w:pPr>
      <w:r>
        <w:rPr>
          <w:rFonts w:cs="Times New Roman"/>
          <w:szCs w:val="24"/>
        </w:rPr>
        <w:t xml:space="preserve">AEP Ohio’s reliance </w:t>
      </w:r>
      <w:r w:rsidR="00C420FA">
        <w:rPr>
          <w:rFonts w:cs="Times New Roman"/>
          <w:szCs w:val="24"/>
        </w:rPr>
        <w:t xml:space="preserve">on FERC’s </w:t>
      </w:r>
      <w:r w:rsidR="00C420FA" w:rsidRPr="00C420FA">
        <w:rPr>
          <w:rFonts w:cs="Times New Roman"/>
          <w:i/>
          <w:szCs w:val="24"/>
        </w:rPr>
        <w:t>FirstEnergy Solutions Corp.</w:t>
      </w:r>
      <w:r w:rsidR="00C420FA" w:rsidRPr="002F53F2">
        <w:rPr>
          <w:rStyle w:val="FootnoteReference"/>
          <w:rFonts w:cs="Times New Roman"/>
          <w:szCs w:val="24"/>
        </w:rPr>
        <w:footnoteReference w:id="28"/>
      </w:r>
      <w:r w:rsidR="002F53F2">
        <w:rPr>
          <w:rFonts w:cs="Times New Roman"/>
          <w:szCs w:val="24"/>
        </w:rPr>
        <w:t xml:space="preserve"> decision is equally unavail</w:t>
      </w:r>
      <w:r w:rsidR="00C420FA">
        <w:rPr>
          <w:rFonts w:cs="Times New Roman"/>
          <w:szCs w:val="24"/>
        </w:rPr>
        <w:t>ing.</w:t>
      </w:r>
      <w:r w:rsidR="002F53F2">
        <w:rPr>
          <w:rFonts w:cs="Times New Roman"/>
          <w:szCs w:val="24"/>
        </w:rPr>
        <w:t xml:space="preserve">  Under AEP Ohio’s sweeping interpretation of that decision,</w:t>
      </w:r>
      <w:r w:rsidR="00E60B33">
        <w:rPr>
          <w:rFonts w:cs="Times New Roman"/>
          <w:szCs w:val="24"/>
        </w:rPr>
        <w:t xml:space="preserve"> FERC uncategorically ruled that</w:t>
      </w:r>
      <w:r w:rsidR="00BA7255">
        <w:rPr>
          <w:rFonts w:cs="Times New Roman"/>
          <w:szCs w:val="24"/>
        </w:rPr>
        <w:t xml:space="preserve"> – no</w:t>
      </w:r>
      <w:r w:rsidR="002F53F2">
        <w:rPr>
          <w:rFonts w:cs="Times New Roman"/>
          <w:szCs w:val="24"/>
        </w:rPr>
        <w:t xml:space="preserve"> matter the magnitude and</w:t>
      </w:r>
      <w:r w:rsidR="00E60B33">
        <w:rPr>
          <w:rFonts w:cs="Times New Roman"/>
          <w:szCs w:val="24"/>
        </w:rPr>
        <w:t xml:space="preserve"> purpose of a bypassable charge</w:t>
      </w:r>
      <w:r w:rsidR="00BA7255">
        <w:rPr>
          <w:rFonts w:cs="Times New Roman"/>
          <w:szCs w:val="24"/>
        </w:rPr>
        <w:t xml:space="preserve"> – the</w:t>
      </w:r>
      <w:r w:rsidR="002F53F2">
        <w:rPr>
          <w:rFonts w:cs="Times New Roman"/>
          <w:szCs w:val="24"/>
        </w:rPr>
        <w:t xml:space="preserve"> existence of retail choice is the sine qua non of the captive-customer inquiry.  </w:t>
      </w:r>
      <w:r w:rsidR="002F53F2" w:rsidRPr="002F53F2">
        <w:rPr>
          <w:rFonts w:cs="Times New Roman"/>
          <w:i/>
          <w:szCs w:val="24"/>
        </w:rPr>
        <w:t>FirstEnergy Solutions Corp.</w:t>
      </w:r>
      <w:r w:rsidR="002F53F2">
        <w:rPr>
          <w:rFonts w:cs="Times New Roman"/>
          <w:szCs w:val="24"/>
        </w:rPr>
        <w:t xml:space="preserve"> cannot bear the weight that AEP Ohio places upon it.  </w:t>
      </w:r>
      <w:r w:rsidR="00BA7255">
        <w:rPr>
          <w:rFonts w:cs="Times New Roman"/>
          <w:szCs w:val="24"/>
        </w:rPr>
        <w:t xml:space="preserve">It did not deal with charges flowing from an eight-year, above-market, cost-plus, affiliate </w:t>
      </w:r>
      <w:r w:rsidR="00C024FE">
        <w:rPr>
          <w:rFonts w:cs="Times New Roman"/>
          <w:szCs w:val="24"/>
        </w:rPr>
        <w:t>deal to</w:t>
      </w:r>
      <w:r w:rsidR="00BA7255">
        <w:rPr>
          <w:rFonts w:cs="Times New Roman"/>
          <w:szCs w:val="24"/>
        </w:rPr>
        <w:t xml:space="preserve"> deliver output to the PJM markets (as opposed to serving the distribution utility’s retail load).  </w:t>
      </w:r>
      <w:r w:rsidR="002F53F2">
        <w:rPr>
          <w:rFonts w:cs="Times New Roman"/>
          <w:szCs w:val="24"/>
        </w:rPr>
        <w:t>As in all interpretive exercises, “[c]ontext matters” here.</w:t>
      </w:r>
      <w:r w:rsidR="002F53F2">
        <w:rPr>
          <w:rStyle w:val="FootnoteReference"/>
          <w:rFonts w:cs="Times New Roman"/>
          <w:szCs w:val="24"/>
        </w:rPr>
        <w:footnoteReference w:id="29"/>
      </w:r>
      <w:r w:rsidR="00E60B33">
        <w:rPr>
          <w:rFonts w:cs="Times New Roman"/>
          <w:szCs w:val="24"/>
        </w:rPr>
        <w:t xml:space="preserve">  Indeed, “courts have recognized the folly of lifting a general phrase or sentence out of an opinion and applying it to an entirely different context.”</w:t>
      </w:r>
      <w:r w:rsidR="00E60B33">
        <w:rPr>
          <w:rStyle w:val="FootnoteReference"/>
          <w:rFonts w:cs="Times New Roman"/>
          <w:szCs w:val="24"/>
        </w:rPr>
        <w:footnoteReference w:id="30"/>
      </w:r>
      <w:r w:rsidR="00D84032">
        <w:rPr>
          <w:rFonts w:cs="Times New Roman"/>
          <w:szCs w:val="24"/>
        </w:rPr>
        <w:t xml:space="preserve">  </w:t>
      </w:r>
      <w:r w:rsidR="00CF10E8">
        <w:rPr>
          <w:rFonts w:cs="Times New Roman"/>
          <w:szCs w:val="24"/>
        </w:rPr>
        <w:t xml:space="preserve">Put simply, </w:t>
      </w:r>
      <w:r w:rsidR="00CF10E8" w:rsidRPr="002F53F2">
        <w:rPr>
          <w:rFonts w:cs="Times New Roman"/>
          <w:i/>
          <w:szCs w:val="24"/>
        </w:rPr>
        <w:t>FirstEnergy Solutions Corp.</w:t>
      </w:r>
      <w:r w:rsidR="00CF10E8">
        <w:rPr>
          <w:rFonts w:cs="Times New Roman"/>
          <w:szCs w:val="24"/>
        </w:rPr>
        <w:t xml:space="preserve"> is not determinative of the question presented in the EPSA </w:t>
      </w:r>
      <w:r w:rsidR="00DB7895">
        <w:rPr>
          <w:rFonts w:cs="Times New Roman"/>
          <w:szCs w:val="24"/>
        </w:rPr>
        <w:t>C</w:t>
      </w:r>
      <w:r w:rsidR="00CF10E8">
        <w:rPr>
          <w:rFonts w:cs="Times New Roman"/>
          <w:szCs w:val="24"/>
        </w:rPr>
        <w:t>omplaint.</w:t>
      </w:r>
    </w:p>
    <w:p w:rsidR="00C8480E" w:rsidRPr="00BD0B2A" w:rsidRDefault="00BA7255" w:rsidP="00A9527F">
      <w:pPr>
        <w:pStyle w:val="Heading3"/>
      </w:pPr>
      <w:bookmarkStart w:id="8" w:name="_Toc447115741"/>
      <w:r>
        <w:t>2.</w:t>
      </w:r>
      <w:r>
        <w:tab/>
      </w:r>
      <w:r w:rsidR="00383C69" w:rsidRPr="00BD0B2A">
        <w:t>Without a viable mechanism to refund unlawfully collected charges, customers will be irreparabl</w:t>
      </w:r>
      <w:r w:rsidR="007925DC">
        <w:t>y harmed</w:t>
      </w:r>
      <w:r w:rsidR="00383C69" w:rsidRPr="00BD0B2A">
        <w:t>.</w:t>
      </w:r>
      <w:bookmarkEnd w:id="8"/>
    </w:p>
    <w:p w:rsidR="00B33061" w:rsidRDefault="00AB298A" w:rsidP="00AB298A">
      <w:pPr>
        <w:spacing w:after="0" w:line="480" w:lineRule="auto"/>
        <w:ind w:firstLine="720"/>
        <w:rPr>
          <w:rFonts w:cs="Times New Roman"/>
          <w:szCs w:val="24"/>
        </w:rPr>
      </w:pPr>
      <w:r>
        <w:rPr>
          <w:rFonts w:cs="Times New Roman"/>
          <w:szCs w:val="24"/>
        </w:rPr>
        <w:t>In claiming that monetary harm do</w:t>
      </w:r>
      <w:r w:rsidR="00BA7255">
        <w:rPr>
          <w:rFonts w:cs="Times New Roman"/>
          <w:szCs w:val="24"/>
        </w:rPr>
        <w:t>es</w:t>
      </w:r>
      <w:r>
        <w:rPr>
          <w:rFonts w:cs="Times New Roman"/>
          <w:szCs w:val="24"/>
        </w:rPr>
        <w:t xml:space="preserve"> not constitute irreparable injury</w:t>
      </w:r>
      <w:r w:rsidR="009322F3">
        <w:rPr>
          <w:rFonts w:cs="Times New Roman"/>
          <w:szCs w:val="24"/>
        </w:rPr>
        <w:t xml:space="preserve"> sufficient to warrant a stay</w:t>
      </w:r>
      <w:r>
        <w:rPr>
          <w:rFonts w:cs="Times New Roman"/>
          <w:szCs w:val="24"/>
        </w:rPr>
        <w:t xml:space="preserve">, AEP Ohio misapprehends a fundamental distinction between </w:t>
      </w:r>
      <w:r w:rsidR="00532B2D">
        <w:rPr>
          <w:rFonts w:cs="Times New Roman"/>
          <w:szCs w:val="24"/>
        </w:rPr>
        <w:t>PUCO</w:t>
      </w:r>
      <w:r>
        <w:rPr>
          <w:rFonts w:cs="Times New Roman"/>
          <w:szCs w:val="24"/>
        </w:rPr>
        <w:t xml:space="preserve"> proceedings and </w:t>
      </w:r>
      <w:r w:rsidR="000D7B6D">
        <w:rPr>
          <w:rFonts w:cs="Times New Roman"/>
          <w:szCs w:val="24"/>
        </w:rPr>
        <w:t>proceedings in other</w:t>
      </w:r>
      <w:r>
        <w:rPr>
          <w:rFonts w:cs="Times New Roman"/>
          <w:szCs w:val="24"/>
        </w:rPr>
        <w:t xml:space="preserve"> tribunals</w:t>
      </w:r>
      <w:r w:rsidR="009322F3">
        <w:rPr>
          <w:rFonts w:cs="Times New Roman"/>
          <w:szCs w:val="24"/>
        </w:rPr>
        <w:t xml:space="preserve">.  </w:t>
      </w:r>
      <w:r w:rsidR="00BC20D0">
        <w:rPr>
          <w:rFonts w:cs="Times New Roman"/>
          <w:szCs w:val="24"/>
        </w:rPr>
        <w:t xml:space="preserve">Many types of </w:t>
      </w:r>
      <w:r w:rsidR="00B37A54">
        <w:rPr>
          <w:rFonts w:cs="Times New Roman"/>
          <w:szCs w:val="24"/>
        </w:rPr>
        <w:t xml:space="preserve">civil </w:t>
      </w:r>
      <w:r w:rsidR="00BC20D0">
        <w:rPr>
          <w:rFonts w:cs="Times New Roman"/>
          <w:szCs w:val="24"/>
        </w:rPr>
        <w:t>actions contemplate the award of money damages to prevailing parties</w:t>
      </w:r>
      <w:r>
        <w:rPr>
          <w:rFonts w:cs="Times New Roman"/>
          <w:szCs w:val="24"/>
        </w:rPr>
        <w:t>.</w:t>
      </w:r>
      <w:r w:rsidR="00BC20D0">
        <w:rPr>
          <w:rStyle w:val="FootnoteReference"/>
          <w:rFonts w:cs="Times New Roman"/>
          <w:szCs w:val="24"/>
        </w:rPr>
        <w:footnoteReference w:id="31"/>
      </w:r>
      <w:r w:rsidR="00C225E0">
        <w:rPr>
          <w:rFonts w:cs="Times New Roman"/>
          <w:szCs w:val="24"/>
        </w:rPr>
        <w:t xml:space="preserve">  </w:t>
      </w:r>
      <w:r w:rsidR="00BA7255">
        <w:rPr>
          <w:rFonts w:cs="Times New Roman"/>
          <w:szCs w:val="24"/>
        </w:rPr>
        <w:t>But t</w:t>
      </w:r>
      <w:r w:rsidR="009322F3">
        <w:rPr>
          <w:rFonts w:cs="Times New Roman"/>
          <w:szCs w:val="24"/>
        </w:rPr>
        <w:t xml:space="preserve">he </w:t>
      </w:r>
      <w:r w:rsidR="00532B2D">
        <w:rPr>
          <w:rFonts w:cs="Times New Roman"/>
          <w:szCs w:val="24"/>
        </w:rPr>
        <w:t>PUCO</w:t>
      </w:r>
      <w:r w:rsidR="009322F3">
        <w:rPr>
          <w:rFonts w:cs="Times New Roman"/>
          <w:szCs w:val="24"/>
        </w:rPr>
        <w:t xml:space="preserve">, as a creature of statute, </w:t>
      </w:r>
      <w:r w:rsidR="00BA7255">
        <w:rPr>
          <w:rFonts w:cs="Times New Roman"/>
          <w:szCs w:val="24"/>
        </w:rPr>
        <w:t>does not have the power</w:t>
      </w:r>
      <w:r w:rsidR="00173C00">
        <w:rPr>
          <w:rFonts w:cs="Times New Roman"/>
          <w:szCs w:val="24"/>
        </w:rPr>
        <w:t xml:space="preserve"> to award </w:t>
      </w:r>
      <w:r w:rsidR="00BA7255">
        <w:rPr>
          <w:rFonts w:cs="Times New Roman"/>
          <w:szCs w:val="24"/>
        </w:rPr>
        <w:t>monetary</w:t>
      </w:r>
      <w:r w:rsidR="00173C00">
        <w:rPr>
          <w:rFonts w:cs="Times New Roman"/>
          <w:szCs w:val="24"/>
        </w:rPr>
        <w:t xml:space="preserve"> relief</w:t>
      </w:r>
      <w:r w:rsidR="009322F3">
        <w:rPr>
          <w:rFonts w:cs="Times New Roman"/>
          <w:szCs w:val="24"/>
        </w:rPr>
        <w:t>.</w:t>
      </w:r>
      <w:r w:rsidR="00173C00">
        <w:rPr>
          <w:rStyle w:val="FootnoteReference"/>
          <w:rFonts w:cs="Times New Roman"/>
          <w:szCs w:val="24"/>
        </w:rPr>
        <w:footnoteReference w:id="32"/>
      </w:r>
      <w:r w:rsidR="00C225E0">
        <w:rPr>
          <w:rFonts w:cs="Times New Roman"/>
          <w:szCs w:val="24"/>
        </w:rPr>
        <w:t xml:space="preserve">  </w:t>
      </w:r>
      <w:r w:rsidR="00B37A54">
        <w:rPr>
          <w:rFonts w:cs="Times New Roman"/>
          <w:szCs w:val="24"/>
        </w:rPr>
        <w:t xml:space="preserve">Likewise, due to the no-refund rule articulated </w:t>
      </w:r>
      <w:r w:rsidR="0059453F">
        <w:rPr>
          <w:rFonts w:cs="Times New Roman"/>
          <w:szCs w:val="24"/>
        </w:rPr>
        <w:t>in</w:t>
      </w:r>
      <w:r w:rsidR="00B37A54">
        <w:rPr>
          <w:rFonts w:cs="Times New Roman"/>
          <w:szCs w:val="24"/>
        </w:rPr>
        <w:t xml:space="preserve"> </w:t>
      </w:r>
      <w:r w:rsidR="00B37A54" w:rsidRPr="00B37A54">
        <w:rPr>
          <w:rFonts w:cs="Times New Roman"/>
          <w:i/>
          <w:szCs w:val="24"/>
        </w:rPr>
        <w:t xml:space="preserve">Keco </w:t>
      </w:r>
      <w:r w:rsidR="00B37A54">
        <w:rPr>
          <w:rFonts w:cs="Times New Roman"/>
          <w:szCs w:val="24"/>
        </w:rPr>
        <w:t xml:space="preserve">and </w:t>
      </w:r>
      <w:r w:rsidR="0010252E">
        <w:rPr>
          <w:rFonts w:cs="Times New Roman"/>
          <w:szCs w:val="24"/>
        </w:rPr>
        <w:t>its progeny</w:t>
      </w:r>
      <w:r w:rsidR="00B37A54">
        <w:rPr>
          <w:rFonts w:cs="Times New Roman"/>
          <w:szCs w:val="24"/>
        </w:rPr>
        <w:t xml:space="preserve"> </w:t>
      </w:r>
      <w:r w:rsidR="0010252E">
        <w:rPr>
          <w:rFonts w:cs="Times New Roman"/>
          <w:szCs w:val="24"/>
        </w:rPr>
        <w:t>(</w:t>
      </w:r>
      <w:r w:rsidR="00DB7895">
        <w:rPr>
          <w:rFonts w:cs="Times New Roman"/>
          <w:szCs w:val="24"/>
        </w:rPr>
        <w:t>that AEP Ohio will assuredly argue</w:t>
      </w:r>
      <w:r w:rsidR="0010252E">
        <w:rPr>
          <w:rFonts w:cs="Times New Roman"/>
          <w:szCs w:val="24"/>
        </w:rPr>
        <w:t>)</w:t>
      </w:r>
      <w:r w:rsidR="00DB7895">
        <w:rPr>
          <w:rFonts w:cs="Times New Roman"/>
          <w:szCs w:val="24"/>
        </w:rPr>
        <w:t xml:space="preserve">, </w:t>
      </w:r>
      <w:r w:rsidR="00680B6C">
        <w:rPr>
          <w:rFonts w:cs="Times New Roman"/>
          <w:szCs w:val="24"/>
        </w:rPr>
        <w:t>consumers generally are not able to recoup, in the form of a refund, unlawfully collected charges</w:t>
      </w:r>
      <w:r w:rsidR="00C114F7">
        <w:rPr>
          <w:rFonts w:cs="Times New Roman"/>
          <w:szCs w:val="24"/>
        </w:rPr>
        <w:t>.</w:t>
      </w:r>
      <w:r w:rsidR="00680B6C">
        <w:rPr>
          <w:rStyle w:val="FootnoteReference"/>
          <w:rFonts w:cs="Times New Roman"/>
          <w:szCs w:val="24"/>
        </w:rPr>
        <w:footnoteReference w:id="33"/>
      </w:r>
    </w:p>
    <w:p w:rsidR="00CF1B4A" w:rsidRDefault="00173C00" w:rsidP="00CF1B4A">
      <w:pPr>
        <w:spacing w:after="0" w:line="480" w:lineRule="auto"/>
        <w:ind w:firstLine="720"/>
        <w:rPr>
          <w:rFonts w:cs="Times New Roman"/>
          <w:szCs w:val="24"/>
        </w:rPr>
      </w:pPr>
      <w:r>
        <w:rPr>
          <w:rFonts w:cs="Times New Roman"/>
          <w:szCs w:val="24"/>
        </w:rPr>
        <w:t xml:space="preserve">Thus, even if it </w:t>
      </w:r>
      <w:r w:rsidR="00031A71">
        <w:rPr>
          <w:rFonts w:cs="Times New Roman"/>
          <w:szCs w:val="24"/>
        </w:rPr>
        <w:t>were</w:t>
      </w:r>
      <w:r>
        <w:rPr>
          <w:rFonts w:cs="Times New Roman"/>
          <w:szCs w:val="24"/>
        </w:rPr>
        <w:t xml:space="preserve"> possible to quantify a consumer’s financial injury, the </w:t>
      </w:r>
      <w:r w:rsidR="00532B2D">
        <w:rPr>
          <w:rFonts w:cs="Times New Roman"/>
          <w:szCs w:val="24"/>
        </w:rPr>
        <w:t>PUCO</w:t>
      </w:r>
      <w:r>
        <w:rPr>
          <w:rFonts w:cs="Times New Roman"/>
          <w:szCs w:val="24"/>
        </w:rPr>
        <w:t xml:space="preserve"> lacks the power to </w:t>
      </w:r>
      <w:r w:rsidR="00B33061">
        <w:rPr>
          <w:rFonts w:cs="Times New Roman"/>
          <w:szCs w:val="24"/>
        </w:rPr>
        <w:t xml:space="preserve">rectify that injury through the award of money damages.  </w:t>
      </w:r>
      <w:r w:rsidR="00CF1B4A" w:rsidRPr="00CF1B4A">
        <w:rPr>
          <w:rFonts w:cs="Times New Roman"/>
          <w:szCs w:val="24"/>
        </w:rPr>
        <w:t>Harm is irreparable “when there could be no plain, adequate, and complete remedy at law for its occurrence and when any attempt at</w:t>
      </w:r>
      <w:r w:rsidR="00CF1B4A">
        <w:rPr>
          <w:rFonts w:cs="Times New Roman"/>
          <w:szCs w:val="24"/>
        </w:rPr>
        <w:t xml:space="preserve"> monetary restitution would be ‘</w:t>
      </w:r>
      <w:r w:rsidR="00CF1B4A" w:rsidRPr="00CF1B4A">
        <w:rPr>
          <w:rFonts w:cs="Times New Roman"/>
          <w:szCs w:val="24"/>
        </w:rPr>
        <w:t>impossible, difficult or incomplete.</w:t>
      </w:r>
      <w:r w:rsidR="00CF1B4A">
        <w:rPr>
          <w:rFonts w:cs="Times New Roman"/>
          <w:szCs w:val="24"/>
        </w:rPr>
        <w:t>’</w:t>
      </w:r>
      <w:r w:rsidR="00CF1B4A" w:rsidRPr="00CF1B4A">
        <w:rPr>
          <w:rFonts w:cs="Times New Roman"/>
          <w:szCs w:val="24"/>
        </w:rPr>
        <w:t>”</w:t>
      </w:r>
      <w:r w:rsidR="00CF1B4A">
        <w:rPr>
          <w:rStyle w:val="FootnoteReference"/>
          <w:rFonts w:cs="Times New Roman"/>
          <w:szCs w:val="24"/>
        </w:rPr>
        <w:footnoteReference w:id="34"/>
      </w:r>
      <w:r w:rsidR="00CF1B4A">
        <w:rPr>
          <w:rFonts w:cs="Times New Roman"/>
          <w:szCs w:val="24"/>
        </w:rPr>
        <w:t xml:space="preserve">  Under this standard</w:t>
      </w:r>
      <w:r w:rsidR="00B33061">
        <w:rPr>
          <w:rFonts w:cs="Times New Roman"/>
          <w:szCs w:val="24"/>
        </w:rPr>
        <w:t xml:space="preserve">, the </w:t>
      </w:r>
      <w:r w:rsidR="00532B2D">
        <w:rPr>
          <w:rFonts w:cs="Times New Roman"/>
          <w:szCs w:val="24"/>
        </w:rPr>
        <w:t>PUCO</w:t>
      </w:r>
      <w:r w:rsidR="00B33061">
        <w:rPr>
          <w:rFonts w:cs="Times New Roman"/>
          <w:szCs w:val="24"/>
        </w:rPr>
        <w:t xml:space="preserve"> cannot </w:t>
      </w:r>
      <w:r w:rsidR="00B33061" w:rsidRPr="00B33061">
        <w:rPr>
          <w:rFonts w:cs="Times New Roman"/>
          <w:i/>
          <w:szCs w:val="24"/>
        </w:rPr>
        <w:t>repair</w:t>
      </w:r>
      <w:r w:rsidR="00B33061">
        <w:rPr>
          <w:rFonts w:cs="Times New Roman"/>
          <w:szCs w:val="24"/>
        </w:rPr>
        <w:t xml:space="preserve"> the consumer’s injury</w:t>
      </w:r>
      <w:r w:rsidR="008C3870">
        <w:rPr>
          <w:rFonts w:cs="Times New Roman"/>
          <w:szCs w:val="24"/>
        </w:rPr>
        <w:t xml:space="preserve"> because it cannot grant monetary relief</w:t>
      </w:r>
      <w:r w:rsidR="00B33061">
        <w:rPr>
          <w:rFonts w:cs="Times New Roman"/>
          <w:szCs w:val="24"/>
        </w:rPr>
        <w:t xml:space="preserve">.  Without a remedy to repair the consumer’s injury, it necessarily follows </w:t>
      </w:r>
      <w:r w:rsidR="00B33061" w:rsidRPr="00CF1B4A">
        <w:rPr>
          <w:rFonts w:cs="Times New Roman"/>
          <w:szCs w:val="24"/>
        </w:rPr>
        <w:t xml:space="preserve">that the injury is </w:t>
      </w:r>
      <w:r w:rsidR="00B33061" w:rsidRPr="00CF1B4A">
        <w:rPr>
          <w:rFonts w:cs="Times New Roman"/>
          <w:i/>
          <w:szCs w:val="24"/>
        </w:rPr>
        <w:t>irreparable</w:t>
      </w:r>
      <w:r w:rsidR="00B33061" w:rsidRPr="00CF1B4A">
        <w:rPr>
          <w:rFonts w:cs="Times New Roman"/>
          <w:szCs w:val="24"/>
        </w:rPr>
        <w:t xml:space="preserve"> as contemplated under the second factor</w:t>
      </w:r>
      <w:r w:rsidR="00CF1B4A">
        <w:rPr>
          <w:rFonts w:cs="Times New Roman"/>
          <w:szCs w:val="24"/>
        </w:rPr>
        <w:t xml:space="preserve"> of the stay analysis.</w:t>
      </w:r>
    </w:p>
    <w:p w:rsidR="007B6B25" w:rsidRDefault="00E94FEF" w:rsidP="00CF1B4A">
      <w:pPr>
        <w:spacing w:after="0" w:line="480" w:lineRule="auto"/>
        <w:ind w:firstLine="720"/>
        <w:rPr>
          <w:rFonts w:cs="Times New Roman"/>
          <w:szCs w:val="24"/>
        </w:rPr>
      </w:pPr>
      <w:r w:rsidRPr="00CF1B4A">
        <w:rPr>
          <w:rFonts w:cs="Times New Roman"/>
          <w:szCs w:val="24"/>
        </w:rPr>
        <w:t xml:space="preserve">This </w:t>
      </w:r>
      <w:r w:rsidR="00C114F7" w:rsidRPr="00CF1B4A">
        <w:rPr>
          <w:rFonts w:cs="Times New Roman"/>
          <w:szCs w:val="24"/>
        </w:rPr>
        <w:t>critical distinction</w:t>
      </w:r>
      <w:r w:rsidRPr="00CF1B4A">
        <w:rPr>
          <w:rFonts w:cs="Times New Roman"/>
          <w:szCs w:val="24"/>
        </w:rPr>
        <w:t xml:space="preserve"> between </w:t>
      </w:r>
      <w:r w:rsidR="00532B2D">
        <w:rPr>
          <w:rFonts w:cs="Times New Roman"/>
          <w:szCs w:val="24"/>
        </w:rPr>
        <w:t>PUCO</w:t>
      </w:r>
      <w:r w:rsidRPr="00CF1B4A">
        <w:rPr>
          <w:rFonts w:cs="Times New Roman"/>
          <w:szCs w:val="24"/>
        </w:rPr>
        <w:t xml:space="preserve"> proceedings and proceedings that authorize relief </w:t>
      </w:r>
      <w:r w:rsidR="00173C00" w:rsidRPr="00CF1B4A">
        <w:rPr>
          <w:rFonts w:cs="Times New Roman"/>
          <w:szCs w:val="24"/>
        </w:rPr>
        <w:t>in the</w:t>
      </w:r>
      <w:r w:rsidRPr="00CF1B4A">
        <w:rPr>
          <w:rFonts w:cs="Times New Roman"/>
          <w:szCs w:val="24"/>
        </w:rPr>
        <w:t xml:space="preserve"> form of </w:t>
      </w:r>
      <w:r w:rsidR="00173C00" w:rsidRPr="00CF1B4A">
        <w:rPr>
          <w:rFonts w:cs="Times New Roman"/>
          <w:szCs w:val="24"/>
        </w:rPr>
        <w:t>mone</w:t>
      </w:r>
      <w:r w:rsidR="00DB7895">
        <w:rPr>
          <w:rFonts w:cs="Times New Roman"/>
          <w:szCs w:val="24"/>
        </w:rPr>
        <w:t>tar</w:t>
      </w:r>
      <w:r w:rsidR="00173C00" w:rsidRPr="00CF1B4A">
        <w:rPr>
          <w:rFonts w:cs="Times New Roman"/>
          <w:szCs w:val="24"/>
        </w:rPr>
        <w:t>y</w:t>
      </w:r>
      <w:r w:rsidRPr="00CF1B4A">
        <w:rPr>
          <w:rFonts w:cs="Times New Roman"/>
          <w:szCs w:val="24"/>
        </w:rPr>
        <w:t xml:space="preserve"> damages therefore renders the</w:t>
      </w:r>
      <w:r w:rsidR="00C225E0">
        <w:rPr>
          <w:rFonts w:cs="Times New Roman"/>
          <w:szCs w:val="24"/>
        </w:rPr>
        <w:t xml:space="preserve"> </w:t>
      </w:r>
      <w:r w:rsidR="007B6B25">
        <w:rPr>
          <w:rFonts w:cs="Times New Roman"/>
          <w:szCs w:val="24"/>
        </w:rPr>
        <w:t xml:space="preserve">judicial </w:t>
      </w:r>
      <w:r>
        <w:rPr>
          <w:rFonts w:cs="Times New Roman"/>
          <w:szCs w:val="24"/>
        </w:rPr>
        <w:t>authority cited by AEP Ohio inapposite.</w:t>
      </w:r>
      <w:r w:rsidR="00C225E0">
        <w:rPr>
          <w:rFonts w:cs="Times New Roman"/>
          <w:szCs w:val="24"/>
        </w:rPr>
        <w:t xml:space="preserve">  </w:t>
      </w:r>
      <w:r w:rsidR="007B6B25">
        <w:rPr>
          <w:rFonts w:cs="Times New Roman"/>
          <w:szCs w:val="24"/>
        </w:rPr>
        <w:t xml:space="preserve">Equally unavailing are AEP Ohio’s citations to the </w:t>
      </w:r>
      <w:r w:rsidR="00532B2D">
        <w:rPr>
          <w:rFonts w:cs="Times New Roman"/>
          <w:szCs w:val="24"/>
        </w:rPr>
        <w:t>PUCO</w:t>
      </w:r>
      <w:r w:rsidR="007B6B25">
        <w:rPr>
          <w:rFonts w:cs="Times New Roman"/>
          <w:szCs w:val="24"/>
        </w:rPr>
        <w:t>’s decisions in Case No. 08-917-EL-SSO, et al. and Case No. 05-792-EL-ATA.</w:t>
      </w:r>
      <w:r w:rsidR="007B6B25">
        <w:rPr>
          <w:rStyle w:val="FootnoteReference"/>
          <w:rFonts w:cs="Times New Roman"/>
          <w:szCs w:val="24"/>
        </w:rPr>
        <w:footnoteReference w:id="35"/>
      </w:r>
      <w:r w:rsidR="007B6B25">
        <w:rPr>
          <w:rFonts w:cs="Times New Roman"/>
          <w:szCs w:val="24"/>
        </w:rPr>
        <w:t xml:space="preserve">  In neither of those cases was the </w:t>
      </w:r>
      <w:r w:rsidR="00532B2D">
        <w:rPr>
          <w:rFonts w:cs="Times New Roman"/>
          <w:szCs w:val="24"/>
        </w:rPr>
        <w:t>PUCO</w:t>
      </w:r>
      <w:r w:rsidR="007B6B25">
        <w:rPr>
          <w:rFonts w:cs="Times New Roman"/>
          <w:szCs w:val="24"/>
        </w:rPr>
        <w:t xml:space="preserve"> confronted with a scenario where a forthcoming FERC ruling </w:t>
      </w:r>
      <w:r w:rsidR="00C4285B">
        <w:rPr>
          <w:rFonts w:cs="Times New Roman"/>
          <w:szCs w:val="24"/>
        </w:rPr>
        <w:t>may have</w:t>
      </w:r>
      <w:r w:rsidR="007B6B25">
        <w:rPr>
          <w:rFonts w:cs="Times New Roman"/>
          <w:szCs w:val="24"/>
        </w:rPr>
        <w:t xml:space="preserve"> </w:t>
      </w:r>
      <w:r w:rsidR="00C93AF9">
        <w:rPr>
          <w:rFonts w:cs="Times New Roman"/>
          <w:szCs w:val="24"/>
        </w:rPr>
        <w:t>effectively nullified</w:t>
      </w:r>
      <w:r w:rsidR="007B6B25">
        <w:rPr>
          <w:rFonts w:cs="Times New Roman"/>
          <w:szCs w:val="24"/>
        </w:rPr>
        <w:t xml:space="preserve"> any retail-rate treatment authorized by the </w:t>
      </w:r>
      <w:r w:rsidR="00532B2D">
        <w:rPr>
          <w:rFonts w:cs="Times New Roman"/>
          <w:szCs w:val="24"/>
        </w:rPr>
        <w:t>PUCO</w:t>
      </w:r>
      <w:r w:rsidR="007B6B25">
        <w:rPr>
          <w:rFonts w:cs="Times New Roman"/>
          <w:szCs w:val="24"/>
        </w:rPr>
        <w:t>.</w:t>
      </w:r>
    </w:p>
    <w:p w:rsidR="00AB298A" w:rsidRPr="00B33061" w:rsidRDefault="00B33061" w:rsidP="00CF1B4A">
      <w:pPr>
        <w:spacing w:after="0" w:line="480" w:lineRule="auto"/>
        <w:ind w:firstLine="720"/>
        <w:rPr>
          <w:rFonts w:cs="Times New Roman"/>
          <w:szCs w:val="24"/>
        </w:rPr>
      </w:pPr>
      <w:r>
        <w:rPr>
          <w:rFonts w:cs="Times New Roman"/>
          <w:szCs w:val="24"/>
        </w:rPr>
        <w:t xml:space="preserve">At bottom, a situation where the </w:t>
      </w:r>
      <w:r w:rsidR="00532B2D">
        <w:rPr>
          <w:rFonts w:cs="Times New Roman"/>
          <w:szCs w:val="24"/>
        </w:rPr>
        <w:t>PUCO</w:t>
      </w:r>
      <w:r>
        <w:rPr>
          <w:rFonts w:cs="Times New Roman"/>
          <w:szCs w:val="24"/>
        </w:rPr>
        <w:t xml:space="preserve"> authorize</w:t>
      </w:r>
      <w:r w:rsidR="00C93AF9">
        <w:rPr>
          <w:rFonts w:cs="Times New Roman"/>
          <w:szCs w:val="24"/>
        </w:rPr>
        <w:t>s</w:t>
      </w:r>
      <w:r>
        <w:rPr>
          <w:rFonts w:cs="Times New Roman"/>
          <w:szCs w:val="24"/>
        </w:rPr>
        <w:t xml:space="preserve"> AEP </w:t>
      </w:r>
      <w:r w:rsidR="002B193E">
        <w:rPr>
          <w:rFonts w:cs="Times New Roman"/>
          <w:szCs w:val="24"/>
        </w:rPr>
        <w:t xml:space="preserve">Ohio </w:t>
      </w:r>
      <w:r>
        <w:rPr>
          <w:rFonts w:cs="Times New Roman"/>
          <w:szCs w:val="24"/>
        </w:rPr>
        <w:t xml:space="preserve">to recover the costs of the Affiliate PPA, followed later by a FERC decision invalidating the Affiliate PPA, would </w:t>
      </w:r>
      <w:r w:rsidR="00CF1B4A">
        <w:rPr>
          <w:rFonts w:cs="Times New Roman"/>
          <w:szCs w:val="24"/>
        </w:rPr>
        <w:t xml:space="preserve">plainly </w:t>
      </w:r>
      <w:r>
        <w:rPr>
          <w:rFonts w:cs="Times New Roman"/>
          <w:szCs w:val="24"/>
        </w:rPr>
        <w:t>threaten custome</w:t>
      </w:r>
      <w:r w:rsidR="00CF1B4A">
        <w:rPr>
          <w:rFonts w:cs="Times New Roman"/>
          <w:szCs w:val="24"/>
        </w:rPr>
        <w:t xml:space="preserve">rs with an irreparable injury. </w:t>
      </w:r>
    </w:p>
    <w:p w:rsidR="001F4BD2" w:rsidRDefault="001F4BD2">
      <w:pPr>
        <w:rPr>
          <w:rFonts w:ascii="Times New Roman Bold" w:eastAsiaTheme="majorEastAsia" w:hAnsi="Times New Roman Bold" w:cs="Times New Roman"/>
          <w:b/>
          <w:bCs/>
          <w:szCs w:val="24"/>
        </w:rPr>
      </w:pPr>
      <w:r>
        <w:br w:type="page"/>
      </w:r>
    </w:p>
    <w:p w:rsidR="00C8480E" w:rsidRPr="00BD0B2A" w:rsidRDefault="00C4285B" w:rsidP="00A9527F">
      <w:pPr>
        <w:pStyle w:val="Heading3"/>
      </w:pPr>
      <w:bookmarkStart w:id="9" w:name="_Toc447115742"/>
      <w:r>
        <w:t>3.</w:t>
      </w:r>
      <w:r>
        <w:tab/>
      </w:r>
      <w:r w:rsidR="00C93AF9" w:rsidRPr="00BD0B2A">
        <w:t xml:space="preserve">An aggregate rate increase of $1.9 billion, coupled without any meaningful remedy for consumers to recoup </w:t>
      </w:r>
      <w:r w:rsidR="002B193E" w:rsidRPr="00BD0B2A">
        <w:t xml:space="preserve">payments made towards </w:t>
      </w:r>
      <w:r w:rsidR="00C93AF9" w:rsidRPr="00BD0B2A">
        <w:t>that rate increase, plainly implicates the public interest.</w:t>
      </w:r>
      <w:bookmarkEnd w:id="9"/>
    </w:p>
    <w:p w:rsidR="00063F3B" w:rsidRDefault="00BF653A" w:rsidP="00C8480E">
      <w:pPr>
        <w:spacing w:after="0" w:line="480" w:lineRule="auto"/>
        <w:ind w:firstLine="720"/>
        <w:rPr>
          <w:rFonts w:cs="Times New Roman"/>
          <w:szCs w:val="24"/>
        </w:rPr>
      </w:pPr>
      <w:r>
        <w:rPr>
          <w:rFonts w:cs="Times New Roman"/>
          <w:szCs w:val="24"/>
        </w:rPr>
        <w:t xml:space="preserve">AEP Ohio is </w:t>
      </w:r>
      <w:r w:rsidR="009D3C73">
        <w:rPr>
          <w:rFonts w:cs="Times New Roman"/>
          <w:szCs w:val="24"/>
        </w:rPr>
        <w:t xml:space="preserve">naïve </w:t>
      </w:r>
      <w:r w:rsidR="00877BC4">
        <w:rPr>
          <w:rFonts w:cs="Times New Roman"/>
          <w:szCs w:val="24"/>
        </w:rPr>
        <w:t>if it genuinely believes that a potential</w:t>
      </w:r>
      <w:r>
        <w:rPr>
          <w:rFonts w:cs="Times New Roman"/>
          <w:szCs w:val="24"/>
        </w:rPr>
        <w:t xml:space="preserve"> aggregate rate increase of $1.9 billion,</w:t>
      </w:r>
      <w:r w:rsidR="00C63025">
        <w:rPr>
          <w:rStyle w:val="FootnoteReference"/>
          <w:rFonts w:cs="Times New Roman"/>
          <w:szCs w:val="24"/>
        </w:rPr>
        <w:footnoteReference w:id="36"/>
      </w:r>
      <w:r>
        <w:rPr>
          <w:rFonts w:cs="Times New Roman"/>
          <w:szCs w:val="24"/>
        </w:rPr>
        <w:t xml:space="preserve"> coupled without any meaningful remedy to recoup that </w:t>
      </w:r>
      <w:r w:rsidR="00A46042">
        <w:rPr>
          <w:rFonts w:cs="Times New Roman"/>
          <w:szCs w:val="24"/>
        </w:rPr>
        <w:t>money</w:t>
      </w:r>
      <w:r w:rsidR="00DB7895">
        <w:rPr>
          <w:rFonts w:cs="Times New Roman"/>
          <w:szCs w:val="24"/>
        </w:rPr>
        <w:t xml:space="preserve"> </w:t>
      </w:r>
      <w:r w:rsidR="009D3C73">
        <w:rPr>
          <w:rFonts w:cs="Times New Roman"/>
          <w:szCs w:val="24"/>
        </w:rPr>
        <w:t xml:space="preserve">(assuming </w:t>
      </w:r>
      <w:r w:rsidR="00DB7895" w:rsidRPr="009D3C73">
        <w:rPr>
          <w:rFonts w:cs="Times New Roman"/>
          <w:i/>
          <w:szCs w:val="24"/>
        </w:rPr>
        <w:t>Keco</w:t>
      </w:r>
      <w:r w:rsidR="00DB7895">
        <w:rPr>
          <w:rFonts w:cs="Times New Roman"/>
          <w:szCs w:val="24"/>
        </w:rPr>
        <w:t xml:space="preserve"> appli</w:t>
      </w:r>
      <w:r w:rsidR="009D3C73">
        <w:rPr>
          <w:rFonts w:cs="Times New Roman"/>
          <w:szCs w:val="24"/>
        </w:rPr>
        <w:t>es)</w:t>
      </w:r>
      <w:r>
        <w:rPr>
          <w:rFonts w:cs="Times New Roman"/>
          <w:szCs w:val="24"/>
        </w:rPr>
        <w:t>, is not deeply affected with the public interest</w:t>
      </w:r>
      <w:r w:rsidR="00383C69">
        <w:rPr>
          <w:rFonts w:cs="Times New Roman"/>
          <w:szCs w:val="24"/>
        </w:rPr>
        <w:t>.</w:t>
      </w:r>
      <w:r w:rsidR="009D3C73">
        <w:rPr>
          <w:rFonts w:cs="Times New Roman"/>
          <w:szCs w:val="24"/>
        </w:rPr>
        <w:t xml:space="preserve">  </w:t>
      </w:r>
      <w:r w:rsidR="002B193E">
        <w:rPr>
          <w:rFonts w:cs="Times New Roman"/>
          <w:szCs w:val="24"/>
        </w:rPr>
        <w:t>T</w:t>
      </w:r>
      <w:r w:rsidR="00F30DEC">
        <w:rPr>
          <w:rFonts w:cs="Times New Roman"/>
          <w:szCs w:val="24"/>
        </w:rPr>
        <w:t>he animating purpose of</w:t>
      </w:r>
      <w:r w:rsidR="00877BC4">
        <w:rPr>
          <w:rFonts w:cs="Times New Roman"/>
          <w:szCs w:val="24"/>
        </w:rPr>
        <w:t xml:space="preserve"> public-utility oversight</w:t>
      </w:r>
      <w:r w:rsidR="00C4285B">
        <w:rPr>
          <w:rFonts w:cs="Times New Roman"/>
          <w:szCs w:val="24"/>
        </w:rPr>
        <w:t xml:space="preserve"> – at</w:t>
      </w:r>
      <w:r w:rsidR="00F30DEC">
        <w:rPr>
          <w:rFonts w:cs="Times New Roman"/>
          <w:szCs w:val="24"/>
        </w:rPr>
        <w:t xml:space="preserve"> both the state and federal levels</w:t>
      </w:r>
      <w:r w:rsidR="00C4285B">
        <w:rPr>
          <w:rFonts w:cs="Times New Roman"/>
          <w:szCs w:val="24"/>
        </w:rPr>
        <w:t xml:space="preserve"> – is</w:t>
      </w:r>
      <w:r w:rsidR="00877BC4">
        <w:rPr>
          <w:rFonts w:cs="Times New Roman"/>
          <w:szCs w:val="24"/>
        </w:rPr>
        <w:t xml:space="preserve"> </w:t>
      </w:r>
      <w:r w:rsidR="00C4285B">
        <w:rPr>
          <w:rFonts w:cs="Times New Roman"/>
          <w:szCs w:val="24"/>
        </w:rPr>
        <w:t>protecting</w:t>
      </w:r>
      <w:r w:rsidR="00F30DEC">
        <w:rPr>
          <w:rFonts w:cs="Times New Roman"/>
          <w:szCs w:val="24"/>
        </w:rPr>
        <w:t xml:space="preserve"> the public</w:t>
      </w:r>
      <w:r w:rsidR="00AF158F">
        <w:rPr>
          <w:rFonts w:cs="Times New Roman"/>
          <w:szCs w:val="24"/>
        </w:rPr>
        <w:t xml:space="preserve">, not </w:t>
      </w:r>
      <w:r w:rsidR="00C4285B">
        <w:rPr>
          <w:rFonts w:cs="Times New Roman"/>
          <w:szCs w:val="24"/>
        </w:rPr>
        <w:t>enhancing</w:t>
      </w:r>
      <w:r w:rsidR="00AF158F">
        <w:rPr>
          <w:rFonts w:cs="Times New Roman"/>
          <w:szCs w:val="24"/>
        </w:rPr>
        <w:t xml:space="preserve"> a parent company’s strategic planning objectives</w:t>
      </w:r>
      <w:r w:rsidR="00877BC4">
        <w:rPr>
          <w:rFonts w:cs="Times New Roman"/>
          <w:szCs w:val="24"/>
        </w:rPr>
        <w:t xml:space="preserve">.  </w:t>
      </w:r>
      <w:r w:rsidR="00063F3B">
        <w:rPr>
          <w:rFonts w:cs="Times New Roman"/>
          <w:szCs w:val="24"/>
        </w:rPr>
        <w:t>The Supreme Court of Ohio has observed that “[p]ublic utilities * * * are subject to supervision, regulation and control by governmental agencies * * * to protect those served by the utilities with respect to the fairness of rates charged, adequacy of service and against discriminatory practices.”</w:t>
      </w:r>
      <w:r w:rsidR="00063F3B">
        <w:rPr>
          <w:rStyle w:val="FootnoteReference"/>
          <w:rFonts w:cs="Times New Roman"/>
          <w:szCs w:val="24"/>
        </w:rPr>
        <w:footnoteReference w:id="37"/>
      </w:r>
      <w:r w:rsidR="00063F3B">
        <w:rPr>
          <w:rFonts w:cs="Times New Roman"/>
          <w:szCs w:val="24"/>
        </w:rPr>
        <w:t xml:space="preserve">  The overarching purpose of federal supervision is no different: “It is long established that the</w:t>
      </w:r>
      <w:r w:rsidR="0074223E">
        <w:rPr>
          <w:rFonts w:cs="Times New Roman"/>
          <w:szCs w:val="24"/>
        </w:rPr>
        <w:t xml:space="preserve"> ‘</w:t>
      </w:r>
      <w:r w:rsidR="00063F3B">
        <w:rPr>
          <w:rFonts w:cs="Times New Roman"/>
          <w:szCs w:val="24"/>
        </w:rPr>
        <w:t>primary aim [of the FPA] is the protection of consumers from excessive rates and charges.’”</w:t>
      </w:r>
      <w:r w:rsidR="00063F3B">
        <w:rPr>
          <w:rStyle w:val="FootnoteReference"/>
          <w:rFonts w:cs="Times New Roman"/>
          <w:szCs w:val="24"/>
        </w:rPr>
        <w:footnoteReference w:id="38"/>
      </w:r>
    </w:p>
    <w:p w:rsidR="00C8480E" w:rsidRDefault="00877BC4" w:rsidP="00C8480E">
      <w:pPr>
        <w:spacing w:after="0" w:line="480" w:lineRule="auto"/>
        <w:ind w:firstLine="720"/>
        <w:rPr>
          <w:rFonts w:cs="Times New Roman"/>
          <w:szCs w:val="24"/>
        </w:rPr>
      </w:pPr>
      <w:r>
        <w:rPr>
          <w:rFonts w:cs="Times New Roman"/>
          <w:szCs w:val="24"/>
        </w:rPr>
        <w:t xml:space="preserve">Contrary to AEP Ohio’s </w:t>
      </w:r>
      <w:r w:rsidR="0048540C">
        <w:rPr>
          <w:rFonts w:cs="Times New Roman"/>
          <w:szCs w:val="24"/>
        </w:rPr>
        <w:t>claims,</w:t>
      </w:r>
      <w:r>
        <w:rPr>
          <w:rFonts w:cs="Times New Roman"/>
          <w:szCs w:val="24"/>
        </w:rPr>
        <w:t xml:space="preserve"> it is not merely the prospect of a rate increase</w:t>
      </w:r>
      <w:r w:rsidR="00C225E0">
        <w:rPr>
          <w:rFonts w:cs="Times New Roman"/>
          <w:szCs w:val="24"/>
        </w:rPr>
        <w:t xml:space="preserve"> </w:t>
      </w:r>
      <w:r>
        <w:rPr>
          <w:rFonts w:cs="Times New Roman"/>
          <w:szCs w:val="24"/>
        </w:rPr>
        <w:t>that the Consumers are relying on to justify a stay of the proceedings.</w:t>
      </w:r>
      <w:r w:rsidR="00C63025">
        <w:rPr>
          <w:rFonts w:cs="Times New Roman"/>
          <w:szCs w:val="24"/>
        </w:rPr>
        <w:t xml:space="preserve">  It is the prospect of a</w:t>
      </w:r>
      <w:r w:rsidR="0074223E">
        <w:rPr>
          <w:rFonts w:cs="Times New Roman"/>
          <w:szCs w:val="24"/>
        </w:rPr>
        <w:t xml:space="preserve"> rate</w:t>
      </w:r>
      <w:r w:rsidR="00C63025">
        <w:rPr>
          <w:rFonts w:cs="Times New Roman"/>
          <w:szCs w:val="24"/>
        </w:rPr>
        <w:t xml:space="preserve"> increase (and a gargantuan one at that) </w:t>
      </w:r>
      <w:r w:rsidR="00C63025" w:rsidRPr="0074223E">
        <w:rPr>
          <w:rFonts w:cs="Times New Roman"/>
          <w:i/>
          <w:szCs w:val="24"/>
        </w:rPr>
        <w:t>coupled</w:t>
      </w:r>
      <w:r w:rsidR="00C63025">
        <w:rPr>
          <w:rFonts w:cs="Times New Roman"/>
          <w:szCs w:val="24"/>
        </w:rPr>
        <w:t xml:space="preserve"> </w:t>
      </w:r>
      <w:r w:rsidR="00C63025" w:rsidRPr="00BD0B2A">
        <w:rPr>
          <w:rFonts w:cs="Times New Roman"/>
          <w:i/>
          <w:szCs w:val="24"/>
        </w:rPr>
        <w:t>with</w:t>
      </w:r>
      <w:r w:rsidR="00C63025">
        <w:rPr>
          <w:rFonts w:cs="Times New Roman"/>
          <w:szCs w:val="24"/>
        </w:rPr>
        <w:t xml:space="preserve"> the possibility that consumers may never be able to recoup monies paid</w:t>
      </w:r>
      <w:r w:rsidR="0074223E">
        <w:rPr>
          <w:rFonts w:cs="Times New Roman"/>
          <w:szCs w:val="24"/>
        </w:rPr>
        <w:t xml:space="preserve"> under an unlawful charge.  </w:t>
      </w:r>
      <w:r w:rsidR="00454192">
        <w:rPr>
          <w:rFonts w:cs="Times New Roman"/>
          <w:szCs w:val="24"/>
        </w:rPr>
        <w:t>The absence of</w:t>
      </w:r>
      <w:r w:rsidR="00C225E0">
        <w:rPr>
          <w:rFonts w:cs="Times New Roman"/>
          <w:szCs w:val="24"/>
        </w:rPr>
        <w:t xml:space="preserve"> </w:t>
      </w:r>
      <w:r w:rsidR="00532B2D">
        <w:rPr>
          <w:rFonts w:cs="Times New Roman"/>
          <w:szCs w:val="24"/>
        </w:rPr>
        <w:t>PUCO</w:t>
      </w:r>
      <w:r w:rsidR="00454192">
        <w:rPr>
          <w:rFonts w:cs="Times New Roman"/>
          <w:szCs w:val="24"/>
        </w:rPr>
        <w:t xml:space="preserve"> authority</w:t>
      </w:r>
      <w:r w:rsidR="0074223E">
        <w:rPr>
          <w:rFonts w:cs="Times New Roman"/>
          <w:szCs w:val="24"/>
        </w:rPr>
        <w:t xml:space="preserve"> to award compensatory damages</w:t>
      </w:r>
      <w:r w:rsidR="00454192">
        <w:rPr>
          <w:rFonts w:cs="Times New Roman"/>
          <w:szCs w:val="24"/>
        </w:rPr>
        <w:t xml:space="preserve"> to injured consumers and</w:t>
      </w:r>
      <w:r w:rsidR="00C225E0">
        <w:rPr>
          <w:rFonts w:cs="Times New Roman"/>
          <w:szCs w:val="24"/>
        </w:rPr>
        <w:t xml:space="preserve"> </w:t>
      </w:r>
      <w:r w:rsidR="0074223E" w:rsidRPr="00454192">
        <w:rPr>
          <w:rFonts w:cs="Times New Roman"/>
          <w:i/>
          <w:szCs w:val="24"/>
        </w:rPr>
        <w:t>Keco’s</w:t>
      </w:r>
      <w:r w:rsidR="0074223E">
        <w:rPr>
          <w:rFonts w:cs="Times New Roman"/>
          <w:szCs w:val="24"/>
        </w:rPr>
        <w:t xml:space="preserve"> no-refun</w:t>
      </w:r>
      <w:r w:rsidR="00454192">
        <w:rPr>
          <w:rFonts w:cs="Times New Roman"/>
          <w:szCs w:val="24"/>
        </w:rPr>
        <w:t>d</w:t>
      </w:r>
      <w:r w:rsidR="0074223E">
        <w:rPr>
          <w:rFonts w:cs="Times New Roman"/>
          <w:szCs w:val="24"/>
        </w:rPr>
        <w:t xml:space="preserve"> rule </w:t>
      </w:r>
      <w:r w:rsidR="008C3870">
        <w:rPr>
          <w:rFonts w:cs="Times New Roman"/>
          <w:szCs w:val="24"/>
        </w:rPr>
        <w:t xml:space="preserve">therefore </w:t>
      </w:r>
      <w:r w:rsidR="00454192">
        <w:rPr>
          <w:rFonts w:cs="Times New Roman"/>
          <w:szCs w:val="24"/>
        </w:rPr>
        <w:t>negate AEP Ohio’s contention that this case involves no more than just a rate increase.</w:t>
      </w:r>
    </w:p>
    <w:p w:rsidR="00C8480E" w:rsidRPr="00BD0B2A" w:rsidRDefault="006C6ACB" w:rsidP="00A9527F">
      <w:pPr>
        <w:pStyle w:val="Heading3"/>
      </w:pPr>
      <w:bookmarkStart w:id="10" w:name="_Toc447115743"/>
      <w:r>
        <w:t>4.</w:t>
      </w:r>
      <w:r>
        <w:tab/>
      </w:r>
      <w:r w:rsidR="00383C69" w:rsidRPr="00BD0B2A">
        <w:t>AEP Ohio concedes it will suffer no financial harm from a stay of the proceedings.</w:t>
      </w:r>
      <w:bookmarkEnd w:id="10"/>
    </w:p>
    <w:p w:rsidR="00403AAB" w:rsidRDefault="00403AAB" w:rsidP="00C8480E">
      <w:pPr>
        <w:spacing w:after="0" w:line="480" w:lineRule="auto"/>
        <w:ind w:firstLine="720"/>
        <w:rPr>
          <w:rFonts w:cs="Times New Roman"/>
          <w:szCs w:val="24"/>
        </w:rPr>
      </w:pPr>
      <w:r>
        <w:rPr>
          <w:rFonts w:cs="Times New Roman"/>
          <w:szCs w:val="24"/>
        </w:rPr>
        <w:t xml:space="preserve">Tellingly, AEP Ohio does not even bother to defend itself against the argument that </w:t>
      </w:r>
      <w:r w:rsidR="00E863BB">
        <w:rPr>
          <w:rFonts w:cs="Times New Roman"/>
          <w:szCs w:val="24"/>
        </w:rPr>
        <w:t>it will suffer no financial harm</w:t>
      </w:r>
      <w:r>
        <w:rPr>
          <w:rFonts w:cs="Times New Roman"/>
          <w:szCs w:val="24"/>
        </w:rPr>
        <w:t xml:space="preserve"> from </w:t>
      </w:r>
      <w:r w:rsidR="006C6ACB">
        <w:rPr>
          <w:rFonts w:cs="Times New Roman"/>
          <w:szCs w:val="24"/>
        </w:rPr>
        <w:t>staying these</w:t>
      </w:r>
      <w:r>
        <w:rPr>
          <w:rFonts w:cs="Times New Roman"/>
          <w:szCs w:val="24"/>
        </w:rPr>
        <w:t xml:space="preserve"> proceedings.</w:t>
      </w:r>
      <w:r w:rsidR="00E863BB">
        <w:rPr>
          <w:rFonts w:cs="Times New Roman"/>
          <w:szCs w:val="24"/>
        </w:rPr>
        <w:t xml:space="preserve">  Given that the PPA Rider is revenue neutral to AEP Ohio,</w:t>
      </w:r>
      <w:r w:rsidR="00E863BB">
        <w:rPr>
          <w:rStyle w:val="FootnoteReference"/>
          <w:rFonts w:cs="Times New Roman"/>
          <w:szCs w:val="24"/>
        </w:rPr>
        <w:footnoteReference w:id="39"/>
      </w:r>
      <w:r w:rsidR="00E863BB">
        <w:rPr>
          <w:rFonts w:cs="Times New Roman"/>
          <w:szCs w:val="24"/>
        </w:rPr>
        <w:t xml:space="preserve"> it </w:t>
      </w:r>
      <w:r w:rsidR="006C6ACB">
        <w:rPr>
          <w:rFonts w:cs="Times New Roman"/>
          <w:szCs w:val="24"/>
        </w:rPr>
        <w:t>could not</w:t>
      </w:r>
      <w:r w:rsidR="00E863BB">
        <w:rPr>
          <w:rFonts w:cs="Times New Roman"/>
          <w:szCs w:val="24"/>
        </w:rPr>
        <w:t>.  Perhaps recognizing this quandary,</w:t>
      </w:r>
      <w:r w:rsidR="002B193E">
        <w:rPr>
          <w:rFonts w:cs="Times New Roman"/>
          <w:szCs w:val="24"/>
        </w:rPr>
        <w:t xml:space="preserve"> AEP Ohio</w:t>
      </w:r>
      <w:r w:rsidR="00E863BB">
        <w:rPr>
          <w:rFonts w:cs="Times New Roman"/>
          <w:szCs w:val="24"/>
        </w:rPr>
        <w:t xml:space="preserve"> resorts to arguing the interests of others, namely its parent.</w:t>
      </w:r>
      <w:r w:rsidR="00001D5B">
        <w:rPr>
          <w:rStyle w:val="FootnoteReference"/>
          <w:rFonts w:cs="Times New Roman"/>
          <w:szCs w:val="24"/>
        </w:rPr>
        <w:footnoteReference w:id="40"/>
      </w:r>
      <w:r w:rsidR="00001D5B">
        <w:rPr>
          <w:rFonts w:cs="Times New Roman"/>
          <w:szCs w:val="24"/>
        </w:rPr>
        <w:t xml:space="preserve">  This argument fails on multiple levels.</w:t>
      </w:r>
    </w:p>
    <w:p w:rsidR="00E863BB" w:rsidRDefault="00001D5B" w:rsidP="00C8480E">
      <w:pPr>
        <w:spacing w:after="0" w:line="480" w:lineRule="auto"/>
        <w:ind w:firstLine="720"/>
        <w:rPr>
          <w:rFonts w:cs="Times New Roman"/>
          <w:szCs w:val="24"/>
        </w:rPr>
      </w:pPr>
      <w:r>
        <w:rPr>
          <w:rFonts w:cs="Times New Roman"/>
          <w:szCs w:val="24"/>
        </w:rPr>
        <w:t xml:space="preserve">To begin with, the last factor in the stay analysis asks whether a stay would cause harm to other </w:t>
      </w:r>
      <w:r w:rsidRPr="00001D5B">
        <w:rPr>
          <w:rFonts w:cs="Times New Roman"/>
          <w:i/>
          <w:szCs w:val="24"/>
        </w:rPr>
        <w:t>parties</w:t>
      </w:r>
      <w:r>
        <w:rPr>
          <w:rFonts w:cs="Times New Roman"/>
          <w:szCs w:val="24"/>
        </w:rPr>
        <w:t>.</w:t>
      </w:r>
      <w:r>
        <w:rPr>
          <w:rStyle w:val="FootnoteReference"/>
          <w:rFonts w:cs="Times New Roman"/>
          <w:szCs w:val="24"/>
        </w:rPr>
        <w:footnoteReference w:id="41"/>
      </w:r>
      <w:r w:rsidR="00C225E0">
        <w:rPr>
          <w:rFonts w:cs="Times New Roman"/>
          <w:szCs w:val="24"/>
        </w:rPr>
        <w:t xml:space="preserve"> Neither </w:t>
      </w:r>
      <w:r w:rsidR="00A46042">
        <w:rPr>
          <w:rFonts w:cs="Times New Roman"/>
          <w:szCs w:val="24"/>
        </w:rPr>
        <w:t xml:space="preserve">AEP Ohio’s parent company </w:t>
      </w:r>
      <w:r w:rsidR="00C225E0">
        <w:rPr>
          <w:rFonts w:cs="Times New Roman"/>
          <w:szCs w:val="24"/>
        </w:rPr>
        <w:t>n</w:t>
      </w:r>
      <w:r w:rsidR="008B27EE">
        <w:rPr>
          <w:rFonts w:cs="Times New Roman"/>
          <w:szCs w:val="24"/>
        </w:rPr>
        <w:t>or its subsidiary, AEPGR,</w:t>
      </w:r>
      <w:r w:rsidR="00C225E0">
        <w:rPr>
          <w:rFonts w:cs="Times New Roman"/>
          <w:szCs w:val="24"/>
        </w:rPr>
        <w:t xml:space="preserve"> </w:t>
      </w:r>
      <w:r w:rsidR="00A46042">
        <w:rPr>
          <w:rFonts w:cs="Times New Roman"/>
          <w:szCs w:val="24"/>
        </w:rPr>
        <w:t>ha</w:t>
      </w:r>
      <w:r w:rsidR="008B27EE">
        <w:rPr>
          <w:rFonts w:cs="Times New Roman"/>
          <w:szCs w:val="24"/>
        </w:rPr>
        <w:t>ve</w:t>
      </w:r>
      <w:r w:rsidR="00A46042">
        <w:rPr>
          <w:rFonts w:cs="Times New Roman"/>
          <w:szCs w:val="24"/>
        </w:rPr>
        <w:t xml:space="preserve"> sought intervention in this proceeding and</w:t>
      </w:r>
      <w:r w:rsidR="00C225E0">
        <w:rPr>
          <w:rFonts w:cs="Times New Roman"/>
          <w:szCs w:val="24"/>
        </w:rPr>
        <w:t>,</w:t>
      </w:r>
      <w:r w:rsidR="00A46042">
        <w:rPr>
          <w:rFonts w:cs="Times New Roman"/>
          <w:szCs w:val="24"/>
        </w:rPr>
        <w:t xml:space="preserve"> therefore</w:t>
      </w:r>
      <w:r w:rsidR="00C225E0">
        <w:rPr>
          <w:rFonts w:cs="Times New Roman"/>
          <w:szCs w:val="24"/>
        </w:rPr>
        <w:t>,</w:t>
      </w:r>
      <w:r w:rsidR="00A46042">
        <w:rPr>
          <w:rFonts w:cs="Times New Roman"/>
          <w:szCs w:val="24"/>
        </w:rPr>
        <w:t xml:space="preserve"> </w:t>
      </w:r>
      <w:r w:rsidR="00C225E0">
        <w:rPr>
          <w:rFonts w:cs="Times New Roman"/>
          <w:szCs w:val="24"/>
        </w:rPr>
        <w:t>neither</w:t>
      </w:r>
      <w:r w:rsidR="00A46042">
        <w:rPr>
          <w:rFonts w:cs="Times New Roman"/>
          <w:szCs w:val="24"/>
        </w:rPr>
        <w:t xml:space="preserve"> qualify as </w:t>
      </w:r>
      <w:r w:rsidR="00C225E0">
        <w:rPr>
          <w:rFonts w:cs="Times New Roman"/>
          <w:szCs w:val="24"/>
        </w:rPr>
        <w:t>parties</w:t>
      </w:r>
      <w:r w:rsidR="00A46042">
        <w:rPr>
          <w:rFonts w:cs="Times New Roman"/>
          <w:szCs w:val="24"/>
        </w:rPr>
        <w:t xml:space="preserve"> whose interests </w:t>
      </w:r>
      <w:r w:rsidR="0048540C">
        <w:rPr>
          <w:rFonts w:cs="Times New Roman"/>
          <w:szCs w:val="24"/>
        </w:rPr>
        <w:t xml:space="preserve">matter under </w:t>
      </w:r>
      <w:r w:rsidR="00A46042">
        <w:rPr>
          <w:rFonts w:cs="Times New Roman"/>
          <w:szCs w:val="24"/>
        </w:rPr>
        <w:t xml:space="preserve">the stay analysis.  Next, the claim that the parent company must have a quick </w:t>
      </w:r>
      <w:r w:rsidR="00532B2D">
        <w:rPr>
          <w:rFonts w:cs="Times New Roman"/>
          <w:szCs w:val="24"/>
        </w:rPr>
        <w:t>PUCO</w:t>
      </w:r>
      <w:r w:rsidR="00A46042">
        <w:rPr>
          <w:rFonts w:cs="Times New Roman"/>
          <w:szCs w:val="24"/>
        </w:rPr>
        <w:t xml:space="preserve"> decision to fulfill its strategic planning objectives </w:t>
      </w:r>
      <w:r w:rsidR="00DF3A9D">
        <w:rPr>
          <w:rFonts w:cs="Times New Roman"/>
          <w:szCs w:val="24"/>
        </w:rPr>
        <w:t>cannot be squared</w:t>
      </w:r>
      <w:r w:rsidR="00A46042">
        <w:rPr>
          <w:rFonts w:cs="Times New Roman"/>
          <w:szCs w:val="24"/>
        </w:rPr>
        <w:t xml:space="preserve"> with the parent</w:t>
      </w:r>
      <w:r w:rsidR="008761F1">
        <w:rPr>
          <w:rFonts w:cs="Times New Roman"/>
          <w:szCs w:val="24"/>
        </w:rPr>
        <w:t xml:space="preserve"> company</w:t>
      </w:r>
      <w:r w:rsidR="00A46042">
        <w:rPr>
          <w:rFonts w:cs="Times New Roman"/>
          <w:szCs w:val="24"/>
        </w:rPr>
        <w:t>’s prior statements from May, June, and September of last year that AEPGR’s generation fleet “is well positioned from a cost and operational perspective to compete in the competitive market.”</w:t>
      </w:r>
      <w:r w:rsidR="00A46042">
        <w:rPr>
          <w:rStyle w:val="FootnoteReference"/>
          <w:rFonts w:cs="Times New Roman"/>
          <w:szCs w:val="24"/>
        </w:rPr>
        <w:footnoteReference w:id="42"/>
      </w:r>
      <w:r w:rsidR="007E067C">
        <w:rPr>
          <w:rFonts w:cs="Times New Roman"/>
          <w:szCs w:val="24"/>
        </w:rPr>
        <w:t xml:space="preserve">  </w:t>
      </w:r>
      <w:r w:rsidR="00DF3A9D">
        <w:rPr>
          <w:rFonts w:cs="Times New Roman"/>
          <w:szCs w:val="24"/>
        </w:rPr>
        <w:t xml:space="preserve">In fact, because </w:t>
      </w:r>
      <w:r w:rsidR="007E067C">
        <w:rPr>
          <w:rFonts w:cs="Times New Roman"/>
          <w:szCs w:val="24"/>
        </w:rPr>
        <w:t xml:space="preserve">AEPGR’s generation fleet (which includes the PPA </w:t>
      </w:r>
      <w:r w:rsidR="006C6ACB">
        <w:rPr>
          <w:rFonts w:cs="Times New Roman"/>
          <w:szCs w:val="24"/>
        </w:rPr>
        <w:t>Units</w:t>
      </w:r>
      <w:r w:rsidR="007E067C">
        <w:rPr>
          <w:rFonts w:cs="Times New Roman"/>
          <w:szCs w:val="24"/>
        </w:rPr>
        <w:t xml:space="preserve">) is </w:t>
      </w:r>
      <w:r w:rsidR="00DF3A9D">
        <w:rPr>
          <w:rFonts w:cs="Times New Roman"/>
          <w:szCs w:val="24"/>
        </w:rPr>
        <w:t xml:space="preserve">so </w:t>
      </w:r>
      <w:r w:rsidR="007E067C">
        <w:rPr>
          <w:rFonts w:cs="Times New Roman"/>
          <w:szCs w:val="24"/>
        </w:rPr>
        <w:t>well positioned</w:t>
      </w:r>
      <w:r w:rsidR="00DF3A9D">
        <w:rPr>
          <w:rFonts w:cs="Times New Roman"/>
          <w:szCs w:val="24"/>
        </w:rPr>
        <w:t>,</w:t>
      </w:r>
      <w:r w:rsidR="007E067C">
        <w:rPr>
          <w:rFonts w:cs="Times New Roman"/>
          <w:szCs w:val="24"/>
        </w:rPr>
        <w:t xml:space="preserve"> as the parent </w:t>
      </w:r>
      <w:r w:rsidR="008B27EE">
        <w:rPr>
          <w:rFonts w:cs="Times New Roman"/>
          <w:szCs w:val="24"/>
        </w:rPr>
        <w:t>claims</w:t>
      </w:r>
      <w:r w:rsidR="007E067C">
        <w:rPr>
          <w:rFonts w:cs="Times New Roman"/>
          <w:szCs w:val="24"/>
        </w:rPr>
        <w:t xml:space="preserve">, a swift decision is </w:t>
      </w:r>
      <w:r w:rsidR="00DF3A9D">
        <w:rPr>
          <w:rFonts w:cs="Times New Roman"/>
          <w:szCs w:val="24"/>
        </w:rPr>
        <w:t xml:space="preserve">not </w:t>
      </w:r>
      <w:r w:rsidR="007E067C">
        <w:rPr>
          <w:rFonts w:cs="Times New Roman"/>
          <w:szCs w:val="24"/>
        </w:rPr>
        <w:t xml:space="preserve">necessary.  </w:t>
      </w:r>
      <w:r w:rsidR="008761F1">
        <w:rPr>
          <w:rFonts w:cs="Times New Roman"/>
          <w:szCs w:val="24"/>
        </w:rPr>
        <w:t>Finally, AEP Ohio offers no authority to justify, at the behest of its parent company</w:t>
      </w:r>
      <w:r w:rsidR="008B27EE">
        <w:rPr>
          <w:rFonts w:cs="Times New Roman"/>
          <w:szCs w:val="24"/>
        </w:rPr>
        <w:t xml:space="preserve"> or affiliate</w:t>
      </w:r>
      <w:r w:rsidR="008761F1">
        <w:rPr>
          <w:rFonts w:cs="Times New Roman"/>
          <w:szCs w:val="24"/>
        </w:rPr>
        <w:t>, an “expedient resolution” of this proceeding.</w:t>
      </w:r>
      <w:r w:rsidR="008761F1">
        <w:rPr>
          <w:rStyle w:val="FootnoteReference"/>
          <w:rFonts w:cs="Times New Roman"/>
          <w:szCs w:val="24"/>
        </w:rPr>
        <w:footnoteReference w:id="43"/>
      </w:r>
      <w:r w:rsidR="008761F1">
        <w:rPr>
          <w:rFonts w:cs="Times New Roman"/>
          <w:szCs w:val="24"/>
        </w:rPr>
        <w:t xml:space="preserve">  The </w:t>
      </w:r>
      <w:r w:rsidR="00532B2D">
        <w:rPr>
          <w:rFonts w:cs="Times New Roman"/>
          <w:szCs w:val="24"/>
        </w:rPr>
        <w:t>PUCO</w:t>
      </w:r>
      <w:r w:rsidR="008761F1">
        <w:rPr>
          <w:rFonts w:cs="Times New Roman"/>
          <w:szCs w:val="24"/>
        </w:rPr>
        <w:t xml:space="preserve"> enjoys broad latitude in how it chooses to manage its docket</w:t>
      </w:r>
      <w:r w:rsidR="0048540C">
        <w:rPr>
          <w:rFonts w:cs="Times New Roman"/>
          <w:szCs w:val="24"/>
        </w:rPr>
        <w:t>.  N</w:t>
      </w:r>
      <w:r w:rsidR="008761F1">
        <w:rPr>
          <w:rFonts w:cs="Times New Roman"/>
          <w:szCs w:val="24"/>
        </w:rPr>
        <w:t xml:space="preserve">o statute bearing on this proceeding directs the </w:t>
      </w:r>
      <w:r w:rsidR="00532B2D">
        <w:rPr>
          <w:rFonts w:cs="Times New Roman"/>
          <w:szCs w:val="24"/>
        </w:rPr>
        <w:t>PUCO</w:t>
      </w:r>
      <w:r w:rsidR="008761F1">
        <w:rPr>
          <w:rFonts w:cs="Times New Roman"/>
          <w:szCs w:val="24"/>
        </w:rPr>
        <w:t xml:space="preserve"> to move quickly simply because the parent company finds it convenient.</w:t>
      </w:r>
    </w:p>
    <w:p w:rsidR="00A9527F" w:rsidRDefault="00A9527F" w:rsidP="00A9527F">
      <w:pPr>
        <w:spacing w:after="0" w:line="240" w:lineRule="auto"/>
        <w:ind w:firstLine="720"/>
        <w:rPr>
          <w:rFonts w:cs="Times New Roman"/>
          <w:szCs w:val="24"/>
        </w:rPr>
      </w:pPr>
    </w:p>
    <w:p w:rsidR="00475BCD" w:rsidRPr="00AE0D6F" w:rsidRDefault="00475BCD" w:rsidP="00A9527F">
      <w:pPr>
        <w:pStyle w:val="Heading1"/>
      </w:pPr>
      <w:bookmarkStart w:id="11" w:name="_Toc318800503"/>
      <w:bookmarkStart w:id="12" w:name="_Toc332351631"/>
      <w:bookmarkStart w:id="13" w:name="_Toc447115744"/>
      <w:r w:rsidRPr="00AE0D6F">
        <w:t>CONCLUSION</w:t>
      </w:r>
      <w:bookmarkEnd w:id="11"/>
      <w:bookmarkEnd w:id="12"/>
      <w:bookmarkEnd w:id="13"/>
    </w:p>
    <w:p w:rsidR="00475BCD" w:rsidRDefault="00813402" w:rsidP="00A92FFD">
      <w:pPr>
        <w:tabs>
          <w:tab w:val="left" w:pos="-720"/>
        </w:tabs>
        <w:suppressAutoHyphens/>
        <w:spacing w:after="0" w:line="480" w:lineRule="auto"/>
        <w:ind w:firstLine="720"/>
        <w:rPr>
          <w:rFonts w:cs="Times New Roman"/>
          <w:szCs w:val="24"/>
        </w:rPr>
      </w:pPr>
      <w:r>
        <w:rPr>
          <w:rFonts w:cs="Times New Roman"/>
          <w:szCs w:val="24"/>
        </w:rPr>
        <w:t>To protect c</w:t>
      </w:r>
      <w:r w:rsidR="00C6101E">
        <w:rPr>
          <w:rFonts w:cs="Times New Roman"/>
          <w:szCs w:val="24"/>
        </w:rPr>
        <w:t>u</w:t>
      </w:r>
      <w:r>
        <w:rPr>
          <w:rFonts w:cs="Times New Roman"/>
          <w:szCs w:val="24"/>
        </w:rPr>
        <w:t>sto</w:t>
      </w:r>
      <w:r w:rsidR="00C6101E">
        <w:rPr>
          <w:rFonts w:cs="Times New Roman"/>
          <w:szCs w:val="24"/>
        </w:rPr>
        <w:t xml:space="preserve">mers against the potential of paying unlawfully collected charges without any means to refund those charges, the </w:t>
      </w:r>
      <w:r w:rsidR="00532B2D">
        <w:rPr>
          <w:rFonts w:cs="Times New Roman"/>
          <w:szCs w:val="24"/>
        </w:rPr>
        <w:t>PUCO</w:t>
      </w:r>
      <w:r w:rsidR="00C225E0">
        <w:rPr>
          <w:rFonts w:cs="Times New Roman"/>
          <w:szCs w:val="24"/>
        </w:rPr>
        <w:t xml:space="preserve"> </w:t>
      </w:r>
      <w:r w:rsidR="00C6101E">
        <w:rPr>
          <w:rFonts w:cs="Times New Roman"/>
          <w:szCs w:val="24"/>
        </w:rPr>
        <w:t>should ex</w:t>
      </w:r>
      <w:r w:rsidR="0059453F">
        <w:rPr>
          <w:rFonts w:cs="Times New Roman"/>
          <w:szCs w:val="24"/>
        </w:rPr>
        <w:t xml:space="preserve">ercise its broad discretion to </w:t>
      </w:r>
      <w:r w:rsidR="00C6101E">
        <w:rPr>
          <w:rFonts w:cs="Times New Roman"/>
          <w:szCs w:val="24"/>
        </w:rPr>
        <w:t>stay the</w:t>
      </w:r>
      <w:r w:rsidR="00012846">
        <w:rPr>
          <w:rFonts w:cs="Times New Roman"/>
          <w:szCs w:val="24"/>
        </w:rPr>
        <w:t>se</w:t>
      </w:r>
      <w:r w:rsidR="00C6101E">
        <w:rPr>
          <w:rFonts w:cs="Times New Roman"/>
          <w:szCs w:val="24"/>
        </w:rPr>
        <w:t xml:space="preserve"> proceedings pending a ruling by FERC on the EPSA Complaint.  </w:t>
      </w:r>
      <w:r w:rsidR="00BE539D">
        <w:rPr>
          <w:rFonts w:cs="Times New Roman"/>
          <w:szCs w:val="24"/>
        </w:rPr>
        <w:t>The public interest c</w:t>
      </w:r>
      <w:r w:rsidR="00C6101E">
        <w:rPr>
          <w:rFonts w:cs="Times New Roman"/>
          <w:szCs w:val="24"/>
        </w:rPr>
        <w:t xml:space="preserve">learly </w:t>
      </w:r>
      <w:r w:rsidR="00BE539D">
        <w:rPr>
          <w:rFonts w:cs="Times New Roman"/>
          <w:szCs w:val="24"/>
        </w:rPr>
        <w:t>lies</w:t>
      </w:r>
      <w:r w:rsidR="00C6101E">
        <w:rPr>
          <w:rFonts w:cs="Times New Roman"/>
          <w:szCs w:val="24"/>
        </w:rPr>
        <w:t xml:space="preserve"> in favor of </w:t>
      </w:r>
      <w:r w:rsidR="00BE539D">
        <w:rPr>
          <w:rFonts w:cs="Times New Roman"/>
          <w:szCs w:val="24"/>
        </w:rPr>
        <w:t xml:space="preserve">granting a stay </w:t>
      </w:r>
      <w:r w:rsidR="00C6101E">
        <w:rPr>
          <w:rFonts w:cs="Times New Roman"/>
          <w:szCs w:val="24"/>
        </w:rPr>
        <w:t>because without a mechanism</w:t>
      </w:r>
      <w:r w:rsidR="00800AF5">
        <w:rPr>
          <w:rFonts w:cs="Times New Roman"/>
          <w:szCs w:val="24"/>
        </w:rPr>
        <w:t xml:space="preserve"> to refund unlawfully collected charges</w:t>
      </w:r>
      <w:r w:rsidR="00C6101E">
        <w:rPr>
          <w:rFonts w:cs="Times New Roman"/>
          <w:szCs w:val="24"/>
        </w:rPr>
        <w:t xml:space="preserve">, the harm is irreparable.  </w:t>
      </w:r>
      <w:r w:rsidR="00BE539D">
        <w:rPr>
          <w:rFonts w:cs="Times New Roman"/>
          <w:szCs w:val="24"/>
        </w:rPr>
        <w:t xml:space="preserve">The PUCO should avoid another unfair outcome where customers are left with no remedy, and the utility walks away with a windfall.  </w:t>
      </w:r>
      <w:r w:rsidR="002B193E">
        <w:rPr>
          <w:rFonts w:cs="Times New Roman"/>
          <w:szCs w:val="24"/>
        </w:rPr>
        <w:t xml:space="preserve">The </w:t>
      </w:r>
      <w:r w:rsidR="00532B2D">
        <w:rPr>
          <w:rFonts w:cs="Times New Roman"/>
          <w:szCs w:val="24"/>
        </w:rPr>
        <w:t>PUCO</w:t>
      </w:r>
      <w:r w:rsidR="002B193E">
        <w:rPr>
          <w:rFonts w:cs="Times New Roman"/>
          <w:szCs w:val="24"/>
        </w:rPr>
        <w:t xml:space="preserve"> should stay </w:t>
      </w:r>
      <w:r w:rsidR="00DF3A9D">
        <w:rPr>
          <w:rFonts w:cs="Times New Roman"/>
          <w:szCs w:val="24"/>
        </w:rPr>
        <w:t xml:space="preserve">these </w:t>
      </w:r>
      <w:r w:rsidR="002B193E">
        <w:rPr>
          <w:rFonts w:cs="Times New Roman"/>
          <w:szCs w:val="24"/>
        </w:rPr>
        <w:t>proceedings.</w:t>
      </w:r>
    </w:p>
    <w:p w:rsidR="001F4BD2" w:rsidRDefault="00A9527F" w:rsidP="0072070D">
      <w:pPr>
        <w:tabs>
          <w:tab w:val="left" w:pos="-720"/>
        </w:tabs>
        <w:suppressAutoHyphens/>
        <w:spacing w:after="0" w:line="480" w:lineRule="auto"/>
        <w:ind w:firstLine="72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1F4BD2">
        <w:rPr>
          <w:rFonts w:cs="Times New Roman"/>
          <w:szCs w:val="24"/>
        </w:rPr>
        <w:br w:type="page"/>
      </w:r>
    </w:p>
    <w:p w:rsidR="00A9527F" w:rsidRDefault="001F4BD2" w:rsidP="00A92FFD">
      <w:pPr>
        <w:tabs>
          <w:tab w:val="left" w:pos="-720"/>
        </w:tabs>
        <w:suppressAutoHyphens/>
        <w:spacing w:after="0" w:line="480" w:lineRule="auto"/>
        <w:ind w:firstLine="72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A9527F">
        <w:rPr>
          <w:rFonts w:cs="Times New Roman"/>
          <w:szCs w:val="24"/>
        </w:rPr>
        <w:t>Respectfully submitted,</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00A9527F">
        <w:rPr>
          <w:rFonts w:eastAsiaTheme="minorEastAsia" w:cs="Times New Roman"/>
        </w:rPr>
        <w:t xml:space="preserve">BRUCE J. WESTON </w:t>
      </w:r>
      <w:r>
        <w:rPr>
          <w:rFonts w:eastAsiaTheme="minorEastAsia" w:cs="Times New Roman"/>
        </w:rPr>
        <w:t>(0016973)</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00A9527F">
        <w:rPr>
          <w:rFonts w:eastAsiaTheme="minorEastAsia" w:cs="Times New Roman"/>
        </w:rPr>
        <w:t>OHIO CONSUMERS’ COUNSEL</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E37FFD" w:rsidRDefault="00E37FFD" w:rsidP="00E37FFD">
      <w:pPr>
        <w:spacing w:after="0" w:line="240" w:lineRule="auto"/>
        <w:rPr>
          <w:rFonts w:eastAsiaTheme="minorEastAsia" w:cs="Times New Roman"/>
          <w:i/>
          <w:u w:val="single"/>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i/>
          <w:u w:val="single"/>
        </w:rPr>
        <w:t>/s/ William J. Michael</w:t>
      </w:r>
      <w:r>
        <w:rPr>
          <w:rFonts w:eastAsiaTheme="minorEastAsia" w:cs="Times New Roman"/>
          <w:i/>
          <w:u w:val="single"/>
        </w:rPr>
        <w:tab/>
      </w:r>
      <w:r>
        <w:rPr>
          <w:rFonts w:eastAsiaTheme="minorEastAsia" w:cs="Times New Roman"/>
          <w:i/>
          <w:u w:val="single"/>
        </w:rPr>
        <w:tab/>
      </w:r>
      <w:r>
        <w:rPr>
          <w:rFonts w:eastAsiaTheme="minorEastAsia" w:cs="Times New Roman"/>
          <w:i/>
          <w:u w:val="single"/>
        </w:rPr>
        <w:tab/>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William J. Michael (0070921)</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Counsel of Record</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Jodi J. Bair (0062921)</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Kevin F. Moore (0089228)</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Assistant Consumers’ Counsel</w:t>
      </w:r>
    </w:p>
    <w:p w:rsidR="00E37FFD" w:rsidRDefault="00E37FFD" w:rsidP="00E37FFD">
      <w:pPr>
        <w:spacing w:after="0" w:line="240" w:lineRule="auto"/>
        <w:rPr>
          <w:rFonts w:eastAsiaTheme="minorEastAsia" w:cs="Times New Roman"/>
        </w:rPr>
      </w:pPr>
    </w:p>
    <w:p w:rsidR="00E37FFD" w:rsidRDefault="00E37FFD" w:rsidP="00E37FFD">
      <w:pPr>
        <w:spacing w:after="0" w:line="240" w:lineRule="auto"/>
        <w:rPr>
          <w:rFonts w:eastAsiaTheme="minorEastAsia" w:cs="Times New Roman"/>
          <w:b/>
        </w:rPr>
      </w:pP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t>Office of the Ohio Consumers’ Counsel</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10 W. Broad Street, Suite 1800</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Columbus, Ohio 43215-3485</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[Michael]: 614-466-1291</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[Bair]: 614-466-9559</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[Moore]: 614-466-2965</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hyperlink r:id="rId23" w:history="1">
        <w:r>
          <w:rPr>
            <w:rStyle w:val="Hyperlink"/>
            <w:rFonts w:eastAsiaTheme="minorEastAsia"/>
          </w:rPr>
          <w:t>William.michael@occ.ohio.gov</w:t>
        </w:r>
      </w:hyperlink>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hyperlink r:id="rId24" w:history="1">
        <w:r>
          <w:rPr>
            <w:rStyle w:val="Hyperlink"/>
            <w:rFonts w:eastAsiaTheme="minorEastAsia"/>
          </w:rPr>
          <w:t>Jodi.bair@occ.ohio.gov</w:t>
        </w:r>
      </w:hyperlink>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hyperlink r:id="rId25" w:history="1">
        <w:r w:rsidR="006E077A" w:rsidRPr="004534F6">
          <w:rPr>
            <w:rStyle w:val="Hyperlink"/>
            <w:rFonts w:eastAsiaTheme="minorEastAsia"/>
          </w:rPr>
          <w:t>Kevin.moore@occ.ohio.gov</w:t>
        </w:r>
      </w:hyperlink>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w:t>
      </w:r>
      <w:r w:rsidR="0072070D">
        <w:rPr>
          <w:rFonts w:eastAsiaTheme="minorEastAsia" w:cs="Times New Roman"/>
        </w:rPr>
        <w:t xml:space="preserve">All attorneys </w:t>
      </w:r>
      <w:r>
        <w:rPr>
          <w:rFonts w:eastAsiaTheme="minorEastAsia" w:cs="Times New Roman"/>
        </w:rPr>
        <w:t>will accept service via email)</w:t>
      </w:r>
    </w:p>
    <w:p w:rsidR="00E37FFD" w:rsidRDefault="00E37FFD" w:rsidP="00E37FFD">
      <w:pPr>
        <w:autoSpaceDE w:val="0"/>
        <w:autoSpaceDN w:val="0"/>
        <w:adjustRightInd w:val="0"/>
        <w:spacing w:after="0" w:line="240" w:lineRule="auto"/>
        <w:ind w:left="4320"/>
        <w:rPr>
          <w:rFonts w:eastAsiaTheme="minorEastAsia" w:cs="Times New Roman"/>
          <w:szCs w:val="24"/>
        </w:rPr>
      </w:pPr>
    </w:p>
    <w:p w:rsidR="00A9527F" w:rsidRDefault="00A9527F" w:rsidP="00E37FFD">
      <w:pPr>
        <w:autoSpaceDE w:val="0"/>
        <w:autoSpaceDN w:val="0"/>
        <w:adjustRightInd w:val="0"/>
        <w:spacing w:after="0" w:line="240" w:lineRule="auto"/>
        <w:ind w:left="4320"/>
        <w:rPr>
          <w:rFonts w:eastAsiaTheme="minorEastAsia" w:cs="Times New Roman"/>
          <w:szCs w:val="24"/>
        </w:rPr>
      </w:pP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Dane Stinson (0019101)</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Bricker &amp; Eckler LLP</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100 S. Third St.</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Columbus, OH 43215</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Phone:  (614) 227-2300</w:t>
      </w:r>
    </w:p>
    <w:p w:rsidR="00E37FFD" w:rsidRDefault="007532E7" w:rsidP="00E37FFD">
      <w:pPr>
        <w:autoSpaceDE w:val="0"/>
        <w:autoSpaceDN w:val="0"/>
        <w:adjustRightInd w:val="0"/>
        <w:spacing w:after="0" w:line="240" w:lineRule="auto"/>
        <w:ind w:left="4320"/>
        <w:rPr>
          <w:rFonts w:eastAsiaTheme="minorEastAsia" w:cs="Times New Roman"/>
          <w:color w:val="0000FF"/>
          <w:szCs w:val="24"/>
          <w:u w:val="single"/>
        </w:rPr>
      </w:pPr>
      <w:hyperlink r:id="rId26" w:history="1">
        <w:r w:rsidR="00E37FFD">
          <w:rPr>
            <w:rStyle w:val="Hyperlink"/>
            <w:rFonts w:eastAsiaTheme="minorEastAsia"/>
          </w:rPr>
          <w:t>dstinson@bricker.com</w:t>
        </w:r>
      </w:hyperlink>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(will accept service via email)</w:t>
      </w:r>
    </w:p>
    <w:p w:rsidR="00E37FFD" w:rsidRDefault="00E37FFD" w:rsidP="00E37FFD">
      <w:pPr>
        <w:autoSpaceDE w:val="0"/>
        <w:autoSpaceDN w:val="0"/>
        <w:adjustRightInd w:val="0"/>
        <w:spacing w:after="0" w:line="240" w:lineRule="auto"/>
        <w:ind w:left="4320"/>
        <w:rPr>
          <w:rFonts w:eastAsiaTheme="minorEastAsia" w:cs="Times New Roman"/>
          <w:szCs w:val="24"/>
        </w:rPr>
      </w:pPr>
    </w:p>
    <w:p w:rsidR="00E37FFD" w:rsidRDefault="00E37FFD" w:rsidP="00E37FFD">
      <w:pPr>
        <w:autoSpaceDE w:val="0"/>
        <w:autoSpaceDN w:val="0"/>
        <w:adjustRightInd w:val="0"/>
        <w:spacing w:after="0" w:line="240" w:lineRule="auto"/>
        <w:ind w:left="4320"/>
        <w:rPr>
          <w:rFonts w:eastAsiaTheme="minorEastAsia" w:cs="Times New Roman"/>
          <w:i/>
          <w:szCs w:val="24"/>
        </w:rPr>
      </w:pPr>
      <w:r>
        <w:rPr>
          <w:rFonts w:eastAsiaTheme="minorEastAsia" w:cs="Times New Roman"/>
          <w:i/>
          <w:szCs w:val="24"/>
        </w:rPr>
        <w:t xml:space="preserve">Outside Counsel for the Office of </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i/>
          <w:szCs w:val="24"/>
        </w:rPr>
        <w:t>The Ohio Consumers’ Counsel</w:t>
      </w:r>
    </w:p>
    <w:p w:rsidR="00E37FFD" w:rsidRDefault="00E37FFD" w:rsidP="00E37FFD">
      <w:pPr>
        <w:autoSpaceDE w:val="0"/>
        <w:autoSpaceDN w:val="0"/>
        <w:adjustRightInd w:val="0"/>
        <w:spacing w:after="0" w:line="240" w:lineRule="auto"/>
        <w:ind w:left="4320"/>
        <w:rPr>
          <w:rFonts w:eastAsiaTheme="minorEastAsia" w:cs="Times New Roman"/>
          <w:szCs w:val="24"/>
        </w:rPr>
      </w:pPr>
    </w:p>
    <w:p w:rsidR="00A9527F" w:rsidRDefault="00A9527F">
      <w:pPr>
        <w:rPr>
          <w:rFonts w:eastAsiaTheme="minorEastAsia" w:cs="Times New Roman"/>
          <w:i/>
          <w:szCs w:val="24"/>
          <w:u w:val="single"/>
        </w:rPr>
      </w:pPr>
    </w:p>
    <w:p w:rsidR="00E37FFD" w:rsidRDefault="00E37FFD" w:rsidP="00E37FFD">
      <w:pPr>
        <w:autoSpaceDE w:val="0"/>
        <w:autoSpaceDN w:val="0"/>
        <w:adjustRightInd w:val="0"/>
        <w:spacing w:after="0" w:line="240" w:lineRule="auto"/>
        <w:ind w:left="4320"/>
        <w:rPr>
          <w:rFonts w:eastAsiaTheme="minorEastAsia" w:cs="Times New Roman"/>
          <w:i/>
          <w:szCs w:val="24"/>
          <w:u w:val="single"/>
        </w:rPr>
      </w:pPr>
      <w:r>
        <w:rPr>
          <w:rFonts w:eastAsiaTheme="minorEastAsia" w:cs="Times New Roman"/>
          <w:i/>
          <w:szCs w:val="24"/>
          <w:u w:val="single"/>
        </w:rPr>
        <w:t>/s/ Michael R. Smalz</w:t>
      </w:r>
      <w:r>
        <w:rPr>
          <w:rFonts w:eastAsiaTheme="minorEastAsia" w:cs="Times New Roman"/>
          <w:i/>
          <w:szCs w:val="24"/>
          <w:u w:val="single"/>
        </w:rPr>
        <w:tab/>
      </w:r>
      <w:r>
        <w:rPr>
          <w:rFonts w:eastAsiaTheme="minorEastAsia" w:cs="Times New Roman"/>
          <w:i/>
          <w:szCs w:val="24"/>
          <w:u w:val="single"/>
        </w:rPr>
        <w:tab/>
      </w:r>
      <w:r>
        <w:rPr>
          <w:rFonts w:eastAsiaTheme="minorEastAsia" w:cs="Times New Roman"/>
          <w:i/>
          <w:szCs w:val="24"/>
          <w:u w:val="single"/>
        </w:rPr>
        <w:tab/>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Michael R. Smalz (0041897)</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Counsel of Record</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Ohio Poverty Law Center</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555 Buttles Avenue</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Columbus, OH 3215-1137</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Telephone: (614) 824-2502</w:t>
      </w:r>
    </w:p>
    <w:p w:rsidR="00E37FFD" w:rsidRDefault="007532E7" w:rsidP="00E37FFD">
      <w:pPr>
        <w:autoSpaceDE w:val="0"/>
        <w:autoSpaceDN w:val="0"/>
        <w:adjustRightInd w:val="0"/>
        <w:spacing w:after="0" w:line="240" w:lineRule="auto"/>
        <w:ind w:left="4320"/>
        <w:rPr>
          <w:rFonts w:eastAsiaTheme="minorEastAsia" w:cs="Times New Roman"/>
          <w:szCs w:val="24"/>
        </w:rPr>
      </w:pPr>
      <w:hyperlink r:id="rId27" w:history="1">
        <w:r w:rsidR="00E37FFD">
          <w:rPr>
            <w:rStyle w:val="Hyperlink"/>
            <w:rFonts w:eastAsiaTheme="minorEastAsia"/>
          </w:rPr>
          <w:t>msmalz@ohiopovertylaw.org</w:t>
        </w:r>
      </w:hyperlink>
    </w:p>
    <w:p w:rsidR="00490C57" w:rsidRDefault="00E37FFD" w:rsidP="00490C57">
      <w:pPr>
        <w:spacing w:after="0" w:line="240" w:lineRule="auto"/>
        <w:rPr>
          <w:rFonts w:eastAsiaTheme="minorEastAsia"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00490C57">
        <w:rPr>
          <w:rFonts w:eastAsiaTheme="minorEastAsia" w:cs="Times New Roman"/>
          <w:szCs w:val="24"/>
        </w:rPr>
        <w:t>(will accept service via email</w:t>
      </w:r>
      <w:r>
        <w:rPr>
          <w:rFonts w:eastAsiaTheme="minorEastAsia" w:cs="Times New Roman"/>
          <w:szCs w:val="24"/>
        </w:rPr>
        <w:t>)</w:t>
      </w:r>
    </w:p>
    <w:p w:rsidR="009B2CE9" w:rsidRDefault="009B2CE9" w:rsidP="00490C57">
      <w:pPr>
        <w:spacing w:after="0" w:line="240" w:lineRule="auto"/>
        <w:rPr>
          <w:rFonts w:eastAsiaTheme="minorEastAsia" w:cs="Times New Roman"/>
          <w:szCs w:val="24"/>
        </w:rPr>
      </w:pPr>
    </w:p>
    <w:p w:rsidR="009B2CE9" w:rsidRDefault="009B2CE9" w:rsidP="00490C57">
      <w:pPr>
        <w:spacing w:after="0" w:line="240" w:lineRule="auto"/>
        <w:rPr>
          <w:rFonts w:eastAsiaTheme="minorEastAsia" w:cs="Times New Roman"/>
          <w:szCs w:val="24"/>
        </w:rPr>
      </w:pPr>
    </w:p>
    <w:p w:rsidR="009B2CE9" w:rsidRPr="00C6101E" w:rsidRDefault="00C6101E" w:rsidP="009B2CE9">
      <w:pPr>
        <w:autoSpaceDE w:val="0"/>
        <w:autoSpaceDN w:val="0"/>
        <w:adjustRightInd w:val="0"/>
        <w:spacing w:after="0" w:line="240" w:lineRule="auto"/>
        <w:ind w:left="4320"/>
        <w:rPr>
          <w:rFonts w:eastAsiaTheme="minorEastAsia" w:cs="Times New Roman"/>
          <w:i/>
          <w:szCs w:val="24"/>
          <w:u w:val="single"/>
        </w:rPr>
      </w:pPr>
      <w:r w:rsidRPr="00C6101E">
        <w:rPr>
          <w:rFonts w:eastAsiaTheme="minorEastAsia" w:cs="Times New Roman"/>
          <w:i/>
          <w:szCs w:val="24"/>
          <w:u w:val="single"/>
        </w:rPr>
        <w:t>/s/ Kimberly W. Bojko</w:t>
      </w:r>
      <w:r w:rsidR="009B2CE9" w:rsidRPr="00C6101E">
        <w:rPr>
          <w:rFonts w:eastAsiaTheme="minorEastAsia" w:cs="Times New Roman"/>
          <w:i/>
          <w:szCs w:val="24"/>
          <w:u w:val="single"/>
        </w:rPr>
        <w:tab/>
      </w:r>
      <w:r w:rsidR="009B2CE9" w:rsidRPr="00C6101E">
        <w:rPr>
          <w:rFonts w:eastAsiaTheme="minorEastAsia" w:cs="Times New Roman"/>
          <w:i/>
          <w:szCs w:val="24"/>
          <w:u w:val="single"/>
        </w:rPr>
        <w:tab/>
      </w:r>
      <w:r w:rsidR="009B2CE9" w:rsidRPr="00C6101E">
        <w:rPr>
          <w:rFonts w:eastAsiaTheme="minorEastAsia" w:cs="Times New Roman"/>
          <w:i/>
          <w:szCs w:val="24"/>
          <w:u w:val="single"/>
        </w:rPr>
        <w:tab/>
      </w:r>
    </w:p>
    <w:p w:rsidR="009B2CE9" w:rsidRPr="00C6101E" w:rsidRDefault="00C6101E" w:rsidP="009B2CE9">
      <w:pPr>
        <w:autoSpaceDE w:val="0"/>
        <w:autoSpaceDN w:val="0"/>
        <w:adjustRightInd w:val="0"/>
        <w:spacing w:after="0" w:line="240" w:lineRule="auto"/>
        <w:ind w:left="4320"/>
        <w:rPr>
          <w:rFonts w:eastAsiaTheme="minorEastAsia" w:cs="Times New Roman"/>
          <w:szCs w:val="24"/>
        </w:rPr>
      </w:pPr>
      <w:r w:rsidRPr="00C6101E">
        <w:rPr>
          <w:rFonts w:eastAsiaTheme="minorEastAsia" w:cs="Times New Roman"/>
          <w:szCs w:val="24"/>
        </w:rPr>
        <w:t>Kimberly W. Bojko (0069402</w:t>
      </w:r>
      <w:r w:rsidR="009B2CE9" w:rsidRPr="00C6101E">
        <w:rPr>
          <w:rFonts w:eastAsiaTheme="minorEastAsia" w:cs="Times New Roman"/>
          <w:szCs w:val="24"/>
        </w:rPr>
        <w:t>)</w:t>
      </w:r>
    </w:p>
    <w:p w:rsidR="009B2CE9" w:rsidRPr="00C6101E" w:rsidRDefault="00C6101E" w:rsidP="009B2CE9">
      <w:pPr>
        <w:autoSpaceDE w:val="0"/>
        <w:autoSpaceDN w:val="0"/>
        <w:adjustRightInd w:val="0"/>
        <w:spacing w:after="0" w:line="240" w:lineRule="auto"/>
        <w:ind w:left="4320"/>
        <w:rPr>
          <w:rFonts w:eastAsiaTheme="minorEastAsia" w:cs="Times New Roman"/>
          <w:szCs w:val="24"/>
        </w:rPr>
      </w:pPr>
      <w:r w:rsidRPr="00C6101E">
        <w:rPr>
          <w:rFonts w:eastAsiaTheme="minorEastAsia" w:cs="Times New Roman"/>
          <w:szCs w:val="24"/>
        </w:rPr>
        <w:t>Ryan P. O’Rourke (0082651)</w:t>
      </w:r>
    </w:p>
    <w:p w:rsidR="009B2CE9" w:rsidRPr="00C6101E" w:rsidRDefault="00C6101E" w:rsidP="009B2CE9">
      <w:pPr>
        <w:autoSpaceDE w:val="0"/>
        <w:autoSpaceDN w:val="0"/>
        <w:adjustRightInd w:val="0"/>
        <w:spacing w:after="0" w:line="240" w:lineRule="auto"/>
        <w:ind w:left="4320"/>
        <w:rPr>
          <w:rFonts w:eastAsiaTheme="minorEastAsia" w:cs="Times New Roman"/>
          <w:szCs w:val="24"/>
        </w:rPr>
      </w:pPr>
      <w:r w:rsidRPr="00C6101E">
        <w:rPr>
          <w:rFonts w:eastAsiaTheme="minorEastAsia" w:cs="Times New Roman"/>
          <w:szCs w:val="24"/>
        </w:rPr>
        <w:t>Carpenter Lipps &amp; Leland LLP</w:t>
      </w:r>
    </w:p>
    <w:p w:rsidR="009B2CE9" w:rsidRPr="00C6101E" w:rsidRDefault="00C6101E" w:rsidP="009B2CE9">
      <w:pPr>
        <w:autoSpaceDE w:val="0"/>
        <w:autoSpaceDN w:val="0"/>
        <w:adjustRightInd w:val="0"/>
        <w:spacing w:after="0" w:line="240" w:lineRule="auto"/>
        <w:ind w:left="4320"/>
        <w:rPr>
          <w:rFonts w:eastAsiaTheme="minorEastAsia" w:cs="Times New Roman"/>
          <w:szCs w:val="24"/>
        </w:rPr>
      </w:pPr>
      <w:r w:rsidRPr="00C6101E">
        <w:rPr>
          <w:rFonts w:eastAsiaTheme="minorEastAsia" w:cs="Times New Roman"/>
          <w:szCs w:val="24"/>
        </w:rPr>
        <w:t>280 N. High Street, Suite 1300</w:t>
      </w:r>
    </w:p>
    <w:p w:rsidR="009B2CE9" w:rsidRPr="00C6101E" w:rsidRDefault="00C6101E" w:rsidP="009B2CE9">
      <w:pPr>
        <w:autoSpaceDE w:val="0"/>
        <w:autoSpaceDN w:val="0"/>
        <w:adjustRightInd w:val="0"/>
        <w:spacing w:after="0" w:line="240" w:lineRule="auto"/>
        <w:ind w:left="4320"/>
        <w:rPr>
          <w:rFonts w:eastAsiaTheme="minorEastAsia" w:cs="Times New Roman"/>
          <w:szCs w:val="24"/>
        </w:rPr>
      </w:pPr>
      <w:r w:rsidRPr="00C6101E">
        <w:rPr>
          <w:rFonts w:eastAsiaTheme="minorEastAsia" w:cs="Times New Roman"/>
          <w:szCs w:val="24"/>
        </w:rPr>
        <w:t>Columbus, OH 43215</w:t>
      </w:r>
    </w:p>
    <w:p w:rsidR="009B2CE9" w:rsidRPr="00C6101E" w:rsidRDefault="00C6101E" w:rsidP="009B2CE9">
      <w:pPr>
        <w:autoSpaceDE w:val="0"/>
        <w:autoSpaceDN w:val="0"/>
        <w:adjustRightInd w:val="0"/>
        <w:spacing w:after="0" w:line="240" w:lineRule="auto"/>
        <w:ind w:left="4320"/>
        <w:rPr>
          <w:rFonts w:eastAsiaTheme="minorEastAsia" w:cs="Times New Roman"/>
          <w:szCs w:val="24"/>
        </w:rPr>
      </w:pPr>
      <w:r w:rsidRPr="00C6101E">
        <w:rPr>
          <w:rFonts w:eastAsiaTheme="minorEastAsia" w:cs="Times New Roman"/>
          <w:szCs w:val="24"/>
        </w:rPr>
        <w:t>Telephone: 614.365.4100</w:t>
      </w:r>
    </w:p>
    <w:p w:rsidR="00C6101E" w:rsidRPr="00C6101E" w:rsidRDefault="00C6101E" w:rsidP="009B2CE9">
      <w:pPr>
        <w:autoSpaceDE w:val="0"/>
        <w:autoSpaceDN w:val="0"/>
        <w:adjustRightInd w:val="0"/>
        <w:spacing w:after="0" w:line="240" w:lineRule="auto"/>
        <w:ind w:left="4320"/>
        <w:rPr>
          <w:rFonts w:eastAsiaTheme="minorEastAsia" w:cs="Times New Roman"/>
          <w:szCs w:val="24"/>
        </w:rPr>
      </w:pPr>
      <w:r w:rsidRPr="00C6101E">
        <w:rPr>
          <w:rFonts w:eastAsiaTheme="minorEastAsia" w:cs="Times New Roman"/>
          <w:szCs w:val="24"/>
        </w:rPr>
        <w:t>Fax: 614.365.9145</w:t>
      </w:r>
    </w:p>
    <w:p w:rsidR="009B2CE9" w:rsidRDefault="007532E7" w:rsidP="009B2CE9">
      <w:pPr>
        <w:autoSpaceDE w:val="0"/>
        <w:autoSpaceDN w:val="0"/>
        <w:adjustRightInd w:val="0"/>
        <w:spacing w:after="0" w:line="240" w:lineRule="auto"/>
        <w:ind w:left="4320"/>
        <w:rPr>
          <w:rFonts w:eastAsiaTheme="minorEastAsia"/>
        </w:rPr>
      </w:pPr>
      <w:hyperlink r:id="rId28" w:history="1">
        <w:r w:rsidR="00C6101E" w:rsidRPr="00C6101E">
          <w:rPr>
            <w:rStyle w:val="Hyperlink"/>
            <w:rFonts w:eastAsiaTheme="minorEastAsia"/>
          </w:rPr>
          <w:t>bojko@carpenterlipps.com</w:t>
        </w:r>
      </w:hyperlink>
    </w:p>
    <w:p w:rsidR="00C6101E" w:rsidRDefault="007532E7" w:rsidP="00C6101E">
      <w:pPr>
        <w:autoSpaceDE w:val="0"/>
        <w:autoSpaceDN w:val="0"/>
        <w:adjustRightInd w:val="0"/>
        <w:spacing w:after="0" w:line="240" w:lineRule="auto"/>
        <w:ind w:left="4320"/>
        <w:rPr>
          <w:rFonts w:eastAsiaTheme="minorEastAsia"/>
        </w:rPr>
      </w:pPr>
      <w:hyperlink r:id="rId29" w:history="1">
        <w:r w:rsidR="00C6101E" w:rsidRPr="00671BA1">
          <w:rPr>
            <w:rStyle w:val="Hyperlink"/>
            <w:rFonts w:eastAsiaTheme="minorEastAsia"/>
          </w:rPr>
          <w:t>orourke@carpenterlipps.com</w:t>
        </w:r>
      </w:hyperlink>
    </w:p>
    <w:p w:rsidR="00C6101E" w:rsidRDefault="00C6101E" w:rsidP="00C6101E">
      <w:pPr>
        <w:autoSpaceDE w:val="0"/>
        <w:autoSpaceDN w:val="0"/>
        <w:adjustRightInd w:val="0"/>
        <w:spacing w:after="0" w:line="240" w:lineRule="auto"/>
        <w:ind w:left="4320"/>
        <w:rPr>
          <w:rFonts w:eastAsiaTheme="minorEastAsia"/>
        </w:rPr>
      </w:pPr>
      <w:r>
        <w:rPr>
          <w:rFonts w:eastAsiaTheme="minorEastAsia"/>
        </w:rPr>
        <w:t>(will accept service via email)</w:t>
      </w:r>
    </w:p>
    <w:p w:rsidR="00C6101E" w:rsidRDefault="00C6101E" w:rsidP="00C6101E">
      <w:pPr>
        <w:autoSpaceDE w:val="0"/>
        <w:autoSpaceDN w:val="0"/>
        <w:adjustRightInd w:val="0"/>
        <w:spacing w:after="0" w:line="240" w:lineRule="auto"/>
        <w:ind w:left="4320"/>
        <w:rPr>
          <w:rFonts w:eastAsiaTheme="minorEastAsia"/>
        </w:rPr>
      </w:pPr>
    </w:p>
    <w:p w:rsidR="00C6101E" w:rsidRPr="00A92FFD" w:rsidRDefault="00C6101E" w:rsidP="00C6101E">
      <w:pPr>
        <w:autoSpaceDE w:val="0"/>
        <w:autoSpaceDN w:val="0"/>
        <w:adjustRightInd w:val="0"/>
        <w:spacing w:after="0" w:line="240" w:lineRule="auto"/>
        <w:ind w:left="4320"/>
        <w:rPr>
          <w:rFonts w:eastAsiaTheme="minorEastAsia"/>
          <w:i/>
        </w:rPr>
      </w:pPr>
      <w:r w:rsidRPr="00A92FFD">
        <w:rPr>
          <w:rFonts w:eastAsiaTheme="minorEastAsia"/>
          <w:i/>
        </w:rPr>
        <w:t>Counsel for the OMAEG</w:t>
      </w:r>
    </w:p>
    <w:p w:rsidR="00C6101E" w:rsidRDefault="00C6101E" w:rsidP="009B2CE9">
      <w:pPr>
        <w:spacing w:after="0" w:line="240" w:lineRule="auto"/>
        <w:rPr>
          <w:rFonts w:eastAsiaTheme="minorEastAsia" w:cs="Times New Roman"/>
          <w:szCs w:val="24"/>
        </w:rPr>
        <w:sectPr w:rsidR="00C6101E" w:rsidSect="008F63ED">
          <w:headerReference w:type="default" r:id="rId30"/>
          <w:footerReference w:type="default" r:id="rId31"/>
          <w:pgSz w:w="12240" w:h="15840"/>
          <w:pgMar w:top="1440" w:right="1800" w:bottom="1440" w:left="1800" w:header="720" w:footer="720" w:gutter="0"/>
          <w:pgNumType w:start="2"/>
          <w:cols w:space="720"/>
          <w:docGrid w:linePitch="360"/>
        </w:sectPr>
      </w:pPr>
    </w:p>
    <w:p w:rsidR="00E37FFD" w:rsidRDefault="00E37FFD" w:rsidP="00E37FFD">
      <w:pPr>
        <w:spacing w:after="0" w:line="480" w:lineRule="auto"/>
        <w:ind w:firstLine="720"/>
        <w:jc w:val="center"/>
        <w:rPr>
          <w:rFonts w:eastAsiaTheme="minorEastAsia" w:cs="Times New Roman"/>
          <w:b/>
          <w:szCs w:val="24"/>
          <w:u w:val="single"/>
        </w:rPr>
      </w:pPr>
      <w:r>
        <w:rPr>
          <w:rFonts w:eastAsiaTheme="minorEastAsia" w:cs="Times New Roman"/>
          <w:b/>
          <w:szCs w:val="24"/>
          <w:u w:val="single"/>
        </w:rPr>
        <w:t>CERTIFICATE OF SERVICE</w:t>
      </w:r>
    </w:p>
    <w:p w:rsidR="00E37FFD" w:rsidRDefault="00E37FFD" w:rsidP="00D23657">
      <w:pPr>
        <w:spacing w:after="0" w:line="360" w:lineRule="auto"/>
        <w:ind w:firstLine="720"/>
        <w:rPr>
          <w:rFonts w:eastAsiaTheme="minorEastAsia" w:cs="Times New Roman"/>
          <w:szCs w:val="24"/>
        </w:rPr>
      </w:pPr>
      <w:r>
        <w:rPr>
          <w:rFonts w:eastAsiaTheme="minorEastAsia" w:cs="Times New Roman"/>
          <w:szCs w:val="24"/>
        </w:rPr>
        <w:t xml:space="preserve">I hereby certify that a copy of </w:t>
      </w:r>
      <w:r w:rsidR="009B2CE9">
        <w:rPr>
          <w:rFonts w:eastAsiaTheme="minorEastAsia" w:cs="Times New Roman"/>
          <w:szCs w:val="24"/>
        </w:rPr>
        <w:t>the foregoing</w:t>
      </w:r>
      <w:r>
        <w:rPr>
          <w:rFonts w:eastAsiaTheme="minorEastAsia" w:cs="Times New Roman"/>
          <w:szCs w:val="24"/>
        </w:rPr>
        <w:t xml:space="preserve"> </w:t>
      </w:r>
      <w:r w:rsidR="00C024FE">
        <w:rPr>
          <w:rFonts w:eastAsiaTheme="minorEastAsia" w:cs="Times New Roman"/>
          <w:szCs w:val="24"/>
        </w:rPr>
        <w:t xml:space="preserve">Reply </w:t>
      </w:r>
      <w:r>
        <w:rPr>
          <w:rFonts w:eastAsiaTheme="minorEastAsia" w:cs="Times New Roman"/>
          <w:szCs w:val="24"/>
        </w:rPr>
        <w:t xml:space="preserve">was served on the persons stated below via electronic transmission, this </w:t>
      </w:r>
      <w:r w:rsidR="001F4BD2">
        <w:rPr>
          <w:rFonts w:eastAsiaTheme="minorEastAsia" w:cs="Times New Roman"/>
          <w:szCs w:val="24"/>
        </w:rPr>
        <w:t>3</w:t>
      </w:r>
      <w:r w:rsidR="004A570F">
        <w:rPr>
          <w:rFonts w:eastAsiaTheme="minorEastAsia" w:cs="Times New Roman"/>
          <w:szCs w:val="24"/>
        </w:rPr>
        <w:t>0</w:t>
      </w:r>
      <w:r w:rsidR="00F9530B">
        <w:rPr>
          <w:rFonts w:eastAsiaTheme="minorEastAsia" w:cs="Times New Roman"/>
          <w:szCs w:val="24"/>
        </w:rPr>
        <w:t>th</w:t>
      </w:r>
      <w:r w:rsidR="001F4BD2">
        <w:rPr>
          <w:rFonts w:eastAsiaTheme="minorEastAsia" w:cs="Times New Roman"/>
          <w:szCs w:val="24"/>
        </w:rPr>
        <w:t xml:space="preserve"> </w:t>
      </w:r>
      <w:r>
        <w:rPr>
          <w:rFonts w:eastAsiaTheme="minorEastAsia" w:cs="Times New Roman"/>
          <w:szCs w:val="24"/>
        </w:rPr>
        <w:t xml:space="preserve">day of </w:t>
      </w:r>
      <w:r w:rsidR="00A2195D">
        <w:rPr>
          <w:rFonts w:eastAsiaTheme="minorEastAsia" w:cs="Times New Roman"/>
          <w:szCs w:val="24"/>
        </w:rPr>
        <w:t>March</w:t>
      </w:r>
      <w:r>
        <w:rPr>
          <w:rFonts w:eastAsiaTheme="minorEastAsia" w:cs="Times New Roman"/>
          <w:szCs w:val="24"/>
        </w:rPr>
        <w:t xml:space="preserve"> 2016.</w:t>
      </w:r>
    </w:p>
    <w:p w:rsidR="00102453" w:rsidRDefault="00102453" w:rsidP="00D23657">
      <w:pPr>
        <w:spacing w:after="0" w:line="360" w:lineRule="auto"/>
        <w:ind w:firstLine="720"/>
        <w:rPr>
          <w:rFonts w:eastAsiaTheme="minorEastAsia" w:cs="Times New Roman"/>
          <w:szCs w:val="24"/>
        </w:rPr>
      </w:pPr>
    </w:p>
    <w:p w:rsidR="00E37FFD" w:rsidRDefault="00E37FFD" w:rsidP="00E37FFD">
      <w:pPr>
        <w:spacing w:after="0" w:line="240" w:lineRule="auto"/>
        <w:ind w:firstLine="720"/>
        <w:rPr>
          <w:rFonts w:eastAsiaTheme="minorEastAsia"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u w:val="single"/>
        </w:rPr>
        <w:t xml:space="preserve">/s/ </w:t>
      </w:r>
      <w:r>
        <w:rPr>
          <w:rFonts w:eastAsiaTheme="minorEastAsia" w:cs="Times New Roman"/>
          <w:i/>
          <w:szCs w:val="24"/>
          <w:u w:val="single"/>
        </w:rPr>
        <w:t>William J. Michael</w:t>
      </w:r>
      <w:r>
        <w:rPr>
          <w:rFonts w:eastAsiaTheme="minorEastAsia" w:cs="Times New Roman"/>
          <w:szCs w:val="24"/>
        </w:rPr>
        <w:t>_______</w:t>
      </w:r>
    </w:p>
    <w:p w:rsidR="00E37FFD" w:rsidRDefault="00E37FFD" w:rsidP="00E37FFD">
      <w:pPr>
        <w:spacing w:after="0" w:line="240" w:lineRule="auto"/>
        <w:ind w:firstLine="720"/>
        <w:rPr>
          <w:rFonts w:eastAsiaTheme="minorEastAsia"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t>William J. Michael</w:t>
      </w:r>
    </w:p>
    <w:p w:rsidR="00E37FFD" w:rsidRDefault="00E37FFD" w:rsidP="00E37FFD">
      <w:pPr>
        <w:spacing w:after="0" w:line="240" w:lineRule="auto"/>
        <w:ind w:firstLine="720"/>
        <w:rPr>
          <w:rFonts w:eastAsiaTheme="minorEastAsia"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t>Assistant Consumers’ Counsel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8476"/>
      </w:tblGrid>
      <w:tr w:rsidR="00E37FFD" w:rsidTr="00D23657">
        <w:tc>
          <w:tcPr>
            <w:tcW w:w="380" w:type="dxa"/>
          </w:tcPr>
          <w:p w:rsidR="00E37FFD" w:rsidRDefault="00E37FFD">
            <w:pPr>
              <w:rPr>
                <w:rFonts w:cs="Times New Roman"/>
                <w:szCs w:val="24"/>
              </w:rPr>
            </w:pPr>
          </w:p>
        </w:tc>
        <w:tc>
          <w:tcPr>
            <w:tcW w:w="8476" w:type="dxa"/>
          </w:tcPr>
          <w:p w:rsidR="00D23657" w:rsidRDefault="00D23657">
            <w:pPr>
              <w:jc w:val="center"/>
              <w:rPr>
                <w:rFonts w:eastAsia="Times New Roman" w:cs="Times New Roman"/>
                <w:b/>
                <w:szCs w:val="24"/>
                <w:u w:val="single"/>
              </w:rPr>
            </w:pPr>
          </w:p>
          <w:p w:rsidR="00E37FFD" w:rsidRDefault="00E37FFD">
            <w:pPr>
              <w:jc w:val="center"/>
              <w:rPr>
                <w:rFonts w:eastAsia="Times New Roman" w:cs="Times New Roman"/>
                <w:b/>
                <w:szCs w:val="24"/>
                <w:u w:val="single"/>
              </w:rPr>
            </w:pPr>
            <w:r>
              <w:rPr>
                <w:rFonts w:eastAsia="Times New Roman" w:cs="Times New Roman"/>
                <w:b/>
                <w:szCs w:val="24"/>
                <w:u w:val="single"/>
              </w:rPr>
              <w:t>SERVICE LIST</w:t>
            </w:r>
          </w:p>
          <w:p w:rsidR="00E37FFD" w:rsidRDefault="00E37FFD">
            <w:pPr>
              <w:jc w:val="center"/>
              <w:rPr>
                <w:rFonts w:cs="Times New Roman"/>
                <w:b/>
                <w:szCs w:val="24"/>
                <w:u w:val="single"/>
              </w:rPr>
            </w:pPr>
          </w:p>
          <w:tbl>
            <w:tblPr>
              <w:tblW w:w="0" w:type="auto"/>
              <w:tblLook w:val="01E0" w:firstRow="1" w:lastRow="1" w:firstColumn="1" w:lastColumn="1" w:noHBand="0" w:noVBand="0"/>
            </w:tblPr>
            <w:tblGrid>
              <w:gridCol w:w="4143"/>
              <w:gridCol w:w="4117"/>
            </w:tblGrid>
            <w:tr w:rsidR="00E37FFD">
              <w:tc>
                <w:tcPr>
                  <w:tcW w:w="4428" w:type="dxa"/>
                </w:tcPr>
                <w:p w:rsidR="00E37FFD" w:rsidRDefault="007532E7">
                  <w:pPr>
                    <w:autoSpaceDE w:val="0"/>
                    <w:autoSpaceDN w:val="0"/>
                    <w:adjustRightInd w:val="0"/>
                    <w:spacing w:after="0" w:line="240" w:lineRule="auto"/>
                    <w:rPr>
                      <w:rFonts w:eastAsia="Times New Roman" w:cs="Times New Roman"/>
                      <w:color w:val="000000"/>
                      <w:szCs w:val="24"/>
                    </w:rPr>
                  </w:pPr>
                  <w:hyperlink r:id="rId32" w:history="1">
                    <w:r w:rsidR="00E37FFD">
                      <w:rPr>
                        <w:rStyle w:val="Hyperlink"/>
                        <w:rFonts w:eastAsia="Times New Roman"/>
                      </w:rPr>
                      <w:t>Steven.beeler@puc.state.oh.us</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33" w:history="1">
                    <w:r w:rsidR="00E37FFD">
                      <w:rPr>
                        <w:rStyle w:val="Hyperlink"/>
                        <w:rFonts w:eastAsia="Times New Roman"/>
                      </w:rPr>
                      <w:t>Werner.margard@puc.state.oh.us</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34" w:history="1">
                    <w:r w:rsidR="00E37FFD">
                      <w:rPr>
                        <w:rStyle w:val="Hyperlink"/>
                        <w:rFonts w:eastAsia="Times New Roman"/>
                      </w:rPr>
                      <w:t>haydenm@firstenergycorp.com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35" w:history="1">
                    <w:r w:rsidR="00E37FFD">
                      <w:rPr>
                        <w:rStyle w:val="Hyperlink"/>
                        <w:rFonts w:eastAsia="Times New Roman"/>
                      </w:rPr>
                      <w:t>jmcdermott@firstenergycorp.com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36" w:history="1">
                    <w:r w:rsidR="00E37FFD">
                      <w:rPr>
                        <w:rStyle w:val="Hyperlink"/>
                        <w:rFonts w:eastAsia="Times New Roman"/>
                      </w:rPr>
                      <w:t>scasto@firstenergycorp.com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37" w:history="1">
                    <w:r w:rsidR="00E37FFD">
                      <w:rPr>
                        <w:rStyle w:val="Hyperlink"/>
                        <w:rFonts w:eastAsia="Times New Roman"/>
                      </w:rPr>
                      <w:t>jlang@calfee.com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38" w:history="1">
                    <w:r w:rsidR="00E37FFD">
                      <w:rPr>
                        <w:rStyle w:val="Hyperlink"/>
                        <w:rFonts w:eastAsia="Times New Roman"/>
                      </w:rPr>
                      <w:t>talexander@calfee.com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39" w:history="1">
                    <w:r w:rsidR="00E37FFD">
                      <w:rPr>
                        <w:rStyle w:val="Hyperlink"/>
                        <w:rFonts w:eastAsia="Times New Roman"/>
                      </w:rPr>
                      <w:t>myurick@taftlaw.com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40" w:history="1">
                    <w:r w:rsidR="00E37FFD">
                      <w:rPr>
                        <w:rStyle w:val="Hyperlink"/>
                        <w:rFonts w:eastAsia="Times New Roman"/>
                      </w:rPr>
                      <w:t>callwein@keglerbrown.com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41" w:history="1">
                    <w:r w:rsidR="00E37FFD">
                      <w:rPr>
                        <w:rStyle w:val="Hyperlink"/>
                        <w:rFonts w:eastAsia="Times New Roman"/>
                      </w:rPr>
                      <w:t>tony.mendoza@sierraclub.org</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42" w:history="1">
                    <w:r w:rsidR="00E37FFD">
                      <w:rPr>
                        <w:rStyle w:val="Hyperlink"/>
                        <w:rFonts w:eastAsia="Times New Roman"/>
                      </w:rPr>
                      <w:t>tdougherty@theOEC.org</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43" w:history="1">
                    <w:r w:rsidR="00E37FFD">
                      <w:rPr>
                        <w:rStyle w:val="Hyperlink"/>
                        <w:rFonts w:eastAsia="Times New Roman"/>
                      </w:rPr>
                      <w:t>twilliams@snhslaw.com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44" w:history="1">
                    <w:r w:rsidR="00E37FFD">
                      <w:rPr>
                        <w:rStyle w:val="Hyperlink"/>
                        <w:rFonts w:eastAsia="Times New Roman"/>
                      </w:rPr>
                      <w:t>jeffrey.mayes@monitoringanalytics.com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45" w:history="1">
                    <w:r w:rsidR="00E37FFD">
                      <w:rPr>
                        <w:rStyle w:val="Hyperlink"/>
                        <w:rFonts w:eastAsia="Times New Roman"/>
                      </w:rPr>
                      <w:t>ricks@ohanet.org</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46" w:history="1">
                    <w:r w:rsidR="00E37FFD">
                      <w:rPr>
                        <w:rStyle w:val="Hyperlink"/>
                        <w:rFonts w:eastAsia="Times New Roman"/>
                      </w:rPr>
                      <w:t>tobrien@bricker.com</w:t>
                    </w:r>
                  </w:hyperlink>
                </w:p>
                <w:p w:rsidR="00E37FFD" w:rsidRDefault="00E37FFD">
                  <w:pPr>
                    <w:autoSpaceDE w:val="0"/>
                    <w:autoSpaceDN w:val="0"/>
                    <w:adjustRightInd w:val="0"/>
                    <w:spacing w:after="0" w:line="240" w:lineRule="auto"/>
                    <w:rPr>
                      <w:rFonts w:eastAsia="Times New Roman" w:cs="Times New Roman"/>
                      <w:color w:val="0000FF"/>
                      <w:szCs w:val="24"/>
                    </w:rPr>
                  </w:pPr>
                  <w:r>
                    <w:rPr>
                      <w:rFonts w:eastAsia="Times New Roman" w:cs="Times New Roman"/>
                      <w:color w:val="0000FF"/>
                      <w:szCs w:val="24"/>
                    </w:rPr>
                    <w:t>mhpetricoff@vorys.com</w:t>
                  </w:r>
                </w:p>
                <w:p w:rsidR="00E37FFD" w:rsidRDefault="00E37FFD">
                  <w:pPr>
                    <w:autoSpaceDE w:val="0"/>
                    <w:autoSpaceDN w:val="0"/>
                    <w:adjustRightInd w:val="0"/>
                    <w:spacing w:after="0" w:line="240" w:lineRule="auto"/>
                    <w:rPr>
                      <w:rFonts w:eastAsia="Times New Roman" w:cs="Times New Roman"/>
                      <w:color w:val="0000FF"/>
                      <w:szCs w:val="24"/>
                    </w:rPr>
                  </w:pPr>
                  <w:r>
                    <w:rPr>
                      <w:rFonts w:eastAsia="Times New Roman" w:cs="Times New Roman"/>
                      <w:color w:val="0000FF"/>
                      <w:szCs w:val="24"/>
                    </w:rPr>
                    <w:t>mjsettineri@vorys.com</w:t>
                  </w:r>
                </w:p>
                <w:p w:rsidR="00E37FFD" w:rsidRDefault="00E37FFD">
                  <w:pPr>
                    <w:autoSpaceDE w:val="0"/>
                    <w:autoSpaceDN w:val="0"/>
                    <w:adjustRightInd w:val="0"/>
                    <w:spacing w:after="0" w:line="240" w:lineRule="auto"/>
                    <w:rPr>
                      <w:rFonts w:eastAsia="Times New Roman" w:cs="Times New Roman"/>
                      <w:color w:val="0000FF"/>
                      <w:szCs w:val="24"/>
                    </w:rPr>
                  </w:pPr>
                  <w:r>
                    <w:rPr>
                      <w:rFonts w:eastAsia="Times New Roman" w:cs="Times New Roman"/>
                      <w:color w:val="0000FF"/>
                      <w:szCs w:val="24"/>
                    </w:rPr>
                    <w:t>glpetrucci@vorys.com</w:t>
                  </w:r>
                </w:p>
                <w:p w:rsidR="00E37FFD" w:rsidRDefault="007532E7">
                  <w:pPr>
                    <w:autoSpaceDE w:val="0"/>
                    <w:autoSpaceDN w:val="0"/>
                    <w:adjustRightInd w:val="0"/>
                    <w:spacing w:after="0" w:line="240" w:lineRule="auto"/>
                    <w:rPr>
                      <w:rFonts w:eastAsia="Times New Roman" w:cs="Times New Roman"/>
                      <w:szCs w:val="24"/>
                    </w:rPr>
                  </w:pPr>
                  <w:hyperlink r:id="rId47" w:history="1">
                    <w:r w:rsidR="00E37FFD">
                      <w:rPr>
                        <w:rStyle w:val="Hyperlink"/>
                        <w:rFonts w:eastAsia="Times New Roman"/>
                      </w:rPr>
                      <w:t>mdortch@kravitzllc.com</w:t>
                    </w:r>
                  </w:hyperlink>
                </w:p>
                <w:p w:rsidR="00E37FFD" w:rsidRDefault="007532E7">
                  <w:pPr>
                    <w:autoSpaceDE w:val="0"/>
                    <w:autoSpaceDN w:val="0"/>
                    <w:adjustRightInd w:val="0"/>
                    <w:spacing w:after="0" w:line="240" w:lineRule="auto"/>
                    <w:rPr>
                      <w:rFonts w:eastAsia="Times New Roman" w:cs="Times New Roman"/>
                      <w:szCs w:val="24"/>
                    </w:rPr>
                  </w:pPr>
                  <w:hyperlink r:id="rId48" w:history="1">
                    <w:r w:rsidR="00E37FFD">
                      <w:rPr>
                        <w:rStyle w:val="Hyperlink"/>
                        <w:rFonts w:eastAsia="Times New Roman"/>
                      </w:rPr>
                      <w:t>joliker@igsenergy.com</w:t>
                    </w:r>
                  </w:hyperlink>
                </w:p>
                <w:p w:rsidR="00E37FFD" w:rsidRDefault="007532E7">
                  <w:pPr>
                    <w:autoSpaceDE w:val="0"/>
                    <w:autoSpaceDN w:val="0"/>
                    <w:adjustRightInd w:val="0"/>
                    <w:spacing w:after="0" w:line="240" w:lineRule="auto"/>
                    <w:rPr>
                      <w:rFonts w:eastAsia="Times New Roman" w:cs="Times New Roman"/>
                      <w:szCs w:val="24"/>
                    </w:rPr>
                  </w:pPr>
                  <w:hyperlink r:id="rId49" w:history="1">
                    <w:r w:rsidR="00E37FFD">
                      <w:rPr>
                        <w:rStyle w:val="Hyperlink"/>
                        <w:rFonts w:eastAsia="Times New Roman"/>
                      </w:rPr>
                      <w:t>sechler@carpenterlipps.com</w:t>
                    </w:r>
                  </w:hyperlink>
                </w:p>
                <w:p w:rsidR="00E37FFD" w:rsidRDefault="007532E7">
                  <w:pPr>
                    <w:autoSpaceDE w:val="0"/>
                    <w:autoSpaceDN w:val="0"/>
                    <w:adjustRightInd w:val="0"/>
                    <w:spacing w:after="0" w:line="240" w:lineRule="auto"/>
                    <w:rPr>
                      <w:rFonts w:eastAsia="Times New Roman" w:cs="Times New Roman"/>
                      <w:szCs w:val="24"/>
                    </w:rPr>
                  </w:pPr>
                  <w:hyperlink r:id="rId50" w:history="1">
                    <w:r w:rsidR="00E37FFD">
                      <w:rPr>
                        <w:rStyle w:val="Hyperlink"/>
                        <w:rFonts w:eastAsia="Times New Roman"/>
                      </w:rPr>
                      <w:t>gpoulos@enernoc.com</w:t>
                    </w:r>
                  </w:hyperlink>
                </w:p>
                <w:p w:rsidR="00E37FFD" w:rsidRDefault="007532E7">
                  <w:pPr>
                    <w:autoSpaceDE w:val="0"/>
                    <w:autoSpaceDN w:val="0"/>
                    <w:adjustRightInd w:val="0"/>
                    <w:spacing w:after="0" w:line="240" w:lineRule="auto"/>
                    <w:rPr>
                      <w:rFonts w:eastAsia="Times New Roman" w:cs="Times New Roman"/>
                      <w:szCs w:val="24"/>
                    </w:rPr>
                  </w:pPr>
                  <w:hyperlink r:id="rId51" w:history="1">
                    <w:r w:rsidR="00E37FFD">
                      <w:rPr>
                        <w:rStyle w:val="Hyperlink"/>
                        <w:rFonts w:eastAsia="Times New Roman"/>
                      </w:rPr>
                      <w:t>sfisk@earthjustice.org</w:t>
                    </w:r>
                  </w:hyperlink>
                </w:p>
                <w:p w:rsidR="00E37FFD" w:rsidRDefault="007532E7">
                  <w:pPr>
                    <w:autoSpaceDE w:val="0"/>
                    <w:autoSpaceDN w:val="0"/>
                    <w:adjustRightInd w:val="0"/>
                    <w:spacing w:after="0" w:line="240" w:lineRule="auto"/>
                    <w:rPr>
                      <w:rFonts w:eastAsia="Times New Roman" w:cs="Times New Roman"/>
                      <w:szCs w:val="24"/>
                    </w:rPr>
                  </w:pPr>
                  <w:hyperlink r:id="rId52" w:history="1">
                    <w:r w:rsidR="00E37FFD">
                      <w:rPr>
                        <w:rStyle w:val="Hyperlink"/>
                        <w:rFonts w:eastAsia="Times New Roman"/>
                      </w:rPr>
                      <w:t>Kristin.henry@sierraclub.org</w:t>
                    </w:r>
                  </w:hyperlink>
                </w:p>
                <w:p w:rsidR="00E37FFD" w:rsidRDefault="007532E7">
                  <w:pPr>
                    <w:autoSpaceDE w:val="0"/>
                    <w:autoSpaceDN w:val="0"/>
                    <w:adjustRightInd w:val="0"/>
                    <w:spacing w:after="0" w:line="240" w:lineRule="auto"/>
                    <w:rPr>
                      <w:rFonts w:eastAsia="Times New Roman" w:cs="Times New Roman"/>
                      <w:color w:val="0000FF"/>
                      <w:szCs w:val="24"/>
                      <w:u w:val="single"/>
                    </w:rPr>
                  </w:pPr>
                  <w:hyperlink r:id="rId53" w:history="1">
                    <w:r w:rsidR="00E37FFD">
                      <w:rPr>
                        <w:rStyle w:val="Hyperlink"/>
                        <w:rFonts w:eastAsia="Times New Roman"/>
                      </w:rPr>
                      <w:t>chris@envlaw.com</w:t>
                    </w:r>
                  </w:hyperlink>
                </w:p>
                <w:p w:rsidR="00E37FFD" w:rsidRDefault="007532E7">
                  <w:pPr>
                    <w:autoSpaceDE w:val="0"/>
                    <w:autoSpaceDN w:val="0"/>
                    <w:adjustRightInd w:val="0"/>
                    <w:spacing w:after="0" w:line="240" w:lineRule="auto"/>
                    <w:rPr>
                      <w:rFonts w:eastAsia="Times New Roman" w:cs="Times New Roman"/>
                      <w:color w:val="0000FF"/>
                      <w:szCs w:val="24"/>
                      <w:u w:val="single"/>
                    </w:rPr>
                  </w:pPr>
                  <w:hyperlink r:id="rId54" w:history="1">
                    <w:r w:rsidR="00E37FFD">
                      <w:rPr>
                        <w:rStyle w:val="Hyperlink"/>
                        <w:rFonts w:eastAsia="Times New Roman"/>
                      </w:rPr>
                      <w:t>todonnell@dickinsonwright.com</w:t>
                    </w:r>
                  </w:hyperlink>
                </w:p>
                <w:p w:rsidR="00E37FFD" w:rsidRDefault="007532E7">
                  <w:pPr>
                    <w:autoSpaceDE w:val="0"/>
                    <w:autoSpaceDN w:val="0"/>
                    <w:adjustRightInd w:val="0"/>
                    <w:spacing w:after="0" w:line="240" w:lineRule="auto"/>
                    <w:rPr>
                      <w:rFonts w:eastAsia="Times New Roman" w:cs="Times New Roman"/>
                      <w:color w:val="0000FF"/>
                      <w:szCs w:val="24"/>
                      <w:u w:val="single"/>
                    </w:rPr>
                  </w:pPr>
                  <w:hyperlink r:id="rId55" w:history="1">
                    <w:r w:rsidR="00E37FFD">
                      <w:rPr>
                        <w:rStyle w:val="Hyperlink"/>
                        <w:rFonts w:eastAsia="Times New Roman"/>
                      </w:rPr>
                      <w:t>rseiler@dickinsonwright.com</w:t>
                    </w:r>
                  </w:hyperlink>
                </w:p>
                <w:p w:rsidR="00102453" w:rsidRDefault="007532E7" w:rsidP="00102453">
                  <w:pPr>
                    <w:autoSpaceDE w:val="0"/>
                    <w:autoSpaceDN w:val="0"/>
                    <w:adjustRightInd w:val="0"/>
                    <w:spacing w:after="0" w:line="240" w:lineRule="auto"/>
                    <w:rPr>
                      <w:rFonts w:eastAsia="Times New Roman" w:cs="Times New Roman"/>
                      <w:color w:val="0000FF"/>
                      <w:szCs w:val="24"/>
                      <w:u w:val="single"/>
                    </w:rPr>
                  </w:pPr>
                  <w:hyperlink r:id="rId56" w:history="1">
                    <w:r w:rsidR="00102453" w:rsidRPr="00923976">
                      <w:rPr>
                        <w:rStyle w:val="Hyperlink"/>
                        <w:rFonts w:eastAsia="Times New Roman"/>
                      </w:rPr>
                      <w:t>dborchers@bricker.com</w:t>
                    </w:r>
                  </w:hyperlink>
                </w:p>
                <w:p w:rsidR="00E37FFD" w:rsidRDefault="00E37FFD">
                  <w:pPr>
                    <w:autoSpaceDE w:val="0"/>
                    <w:autoSpaceDN w:val="0"/>
                    <w:adjustRightInd w:val="0"/>
                    <w:spacing w:after="0" w:line="240" w:lineRule="auto"/>
                    <w:rPr>
                      <w:rFonts w:eastAsia="Times New Roman" w:cs="Times New Roman"/>
                      <w:color w:val="000000"/>
                      <w:szCs w:val="24"/>
                    </w:rPr>
                  </w:pPr>
                </w:p>
              </w:tc>
              <w:tc>
                <w:tcPr>
                  <w:tcW w:w="4428" w:type="dxa"/>
                  <w:hideMark/>
                </w:tcPr>
                <w:p w:rsidR="00E37FFD" w:rsidRDefault="007532E7">
                  <w:pPr>
                    <w:autoSpaceDE w:val="0"/>
                    <w:autoSpaceDN w:val="0"/>
                    <w:adjustRightInd w:val="0"/>
                    <w:spacing w:after="0" w:line="240" w:lineRule="auto"/>
                    <w:rPr>
                      <w:rFonts w:eastAsia="Times New Roman" w:cs="Times New Roman"/>
                      <w:color w:val="000000"/>
                      <w:szCs w:val="24"/>
                    </w:rPr>
                  </w:pPr>
                  <w:hyperlink r:id="rId57" w:history="1">
                    <w:r w:rsidR="00E37FFD">
                      <w:rPr>
                        <w:rStyle w:val="Hyperlink"/>
                        <w:rFonts w:eastAsia="Times New Roman"/>
                      </w:rPr>
                      <w:t>stnourse@aep.com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58" w:history="1">
                    <w:r w:rsidR="00E37FFD">
                      <w:rPr>
                        <w:rStyle w:val="Hyperlink"/>
                        <w:rFonts w:eastAsia="Times New Roman"/>
                      </w:rPr>
                      <w:t>mjsatterwhite@aep.com</w:t>
                    </w:r>
                  </w:hyperlink>
                </w:p>
                <w:p w:rsidR="00E37FFD" w:rsidRDefault="007532E7">
                  <w:pPr>
                    <w:autoSpaceDE w:val="0"/>
                    <w:autoSpaceDN w:val="0"/>
                    <w:adjustRightInd w:val="0"/>
                    <w:spacing w:after="0" w:line="240" w:lineRule="auto"/>
                    <w:rPr>
                      <w:rFonts w:eastAsia="Times New Roman" w:cs="Times New Roman"/>
                      <w:color w:val="0000FF"/>
                      <w:szCs w:val="24"/>
                      <w:u w:val="single"/>
                    </w:rPr>
                  </w:pPr>
                  <w:hyperlink r:id="rId59" w:history="1">
                    <w:r w:rsidR="00E37FFD">
                      <w:rPr>
                        <w:rStyle w:val="Hyperlink"/>
                        <w:rFonts w:eastAsia="Times New Roman"/>
                      </w:rPr>
                      <w:t>msmckenzie@aep.com</w:t>
                    </w:r>
                  </w:hyperlink>
                </w:p>
                <w:p w:rsidR="00E37FFD" w:rsidRDefault="007532E7">
                  <w:pPr>
                    <w:autoSpaceDE w:val="0"/>
                    <w:autoSpaceDN w:val="0"/>
                    <w:adjustRightInd w:val="0"/>
                    <w:spacing w:after="0" w:line="240" w:lineRule="auto"/>
                    <w:rPr>
                      <w:rFonts w:eastAsia="Times New Roman" w:cs="Times New Roman"/>
                      <w:color w:val="0000FF"/>
                      <w:szCs w:val="24"/>
                      <w:u w:val="single"/>
                    </w:rPr>
                  </w:pPr>
                  <w:hyperlink r:id="rId60" w:history="1">
                    <w:r w:rsidR="00E37FFD">
                      <w:rPr>
                        <w:rStyle w:val="Hyperlink"/>
                        <w:rFonts w:eastAsia="Times New Roman"/>
                      </w:rPr>
                      <w:t>dconway@porterwright.com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61" w:history="1">
                    <w:r w:rsidR="00E37FFD">
                      <w:rPr>
                        <w:rStyle w:val="Hyperlink"/>
                        <w:rFonts w:eastAsia="Times New Roman"/>
                      </w:rPr>
                      <w:t>mkurtz@BKLlawfirm.com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62" w:history="1">
                    <w:r w:rsidR="00E37FFD">
                      <w:rPr>
                        <w:rStyle w:val="Hyperlink"/>
                        <w:rFonts w:eastAsia="Times New Roman"/>
                      </w:rPr>
                      <w:t>kboehm@BKLlawfirm.com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63" w:history="1">
                    <w:r w:rsidR="00E37FFD">
                      <w:rPr>
                        <w:rStyle w:val="Hyperlink"/>
                        <w:rFonts w:eastAsia="Times New Roman"/>
                      </w:rPr>
                      <w:t>jkylercohn@BKLlawfirm.com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64" w:history="1">
                    <w:r w:rsidR="00E37FFD">
                      <w:rPr>
                        <w:rStyle w:val="Hyperlink"/>
                        <w:rFonts w:eastAsia="Times New Roman"/>
                      </w:rPr>
                      <w:t>sam@mwncmh.com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65" w:history="1">
                    <w:r w:rsidR="00E37FFD">
                      <w:rPr>
                        <w:rStyle w:val="Hyperlink"/>
                        <w:rFonts w:eastAsia="Times New Roman"/>
                      </w:rPr>
                      <w:t>fdarr@mwncmh.com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66" w:history="1">
                    <w:r w:rsidR="00E37FFD">
                      <w:rPr>
                        <w:rStyle w:val="Hyperlink"/>
                        <w:rFonts w:eastAsia="Times New Roman"/>
                      </w:rPr>
                      <w:t>mpritchard@mwncmh.com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67" w:history="1">
                    <w:r w:rsidR="00E37FFD">
                      <w:rPr>
                        <w:rStyle w:val="Hyperlink"/>
                        <w:rFonts w:eastAsia="Times New Roman"/>
                      </w:rPr>
                      <w:t>Kurt.Helfrich@ThompsonHine.com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68" w:history="1">
                    <w:r w:rsidR="00E37FFD">
                      <w:rPr>
                        <w:rStyle w:val="Hyperlink"/>
                        <w:rFonts w:eastAsia="Times New Roman"/>
                      </w:rPr>
                      <w:t>Scott.Campbell@ThompsonHine.com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69" w:history="1">
                    <w:r w:rsidR="00E37FFD">
                      <w:rPr>
                        <w:rStyle w:val="Hyperlink"/>
                        <w:rFonts w:eastAsia="Times New Roman"/>
                      </w:rPr>
                      <w:t>Stephanie.Chmiel@ThompsonHine.com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70" w:history="1">
                    <w:r w:rsidR="00E37FFD">
                      <w:rPr>
                        <w:rStyle w:val="Hyperlink"/>
                        <w:rFonts w:eastAsia="Times New Roman"/>
                      </w:rPr>
                      <w:t>lhawrot@spilmanlaw.com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71" w:history="1">
                    <w:r w:rsidR="00E37FFD">
                      <w:rPr>
                        <w:rStyle w:val="Hyperlink"/>
                        <w:rFonts w:eastAsia="Times New Roman"/>
                      </w:rPr>
                      <w:t>dwilliamson@spilmanlaw.com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72" w:history="1">
                    <w:r w:rsidR="00E37FFD">
                      <w:rPr>
                        <w:rStyle w:val="Hyperlink"/>
                        <w:rFonts w:eastAsia="Times New Roman"/>
                      </w:rPr>
                      <w:t>charris@spilmanlaw.com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73" w:history="1">
                    <w:r w:rsidR="00E37FFD">
                      <w:rPr>
                        <w:rStyle w:val="Hyperlink"/>
                        <w:rFonts w:eastAsia="Times New Roman"/>
                      </w:rPr>
                      <w:t>Stephen.Chriss@walmart.com</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74" w:history="1">
                    <w:r w:rsidR="00E37FFD">
                      <w:rPr>
                        <w:rStyle w:val="Hyperlink"/>
                        <w:rFonts w:eastAsia="Times New Roman"/>
                      </w:rPr>
                      <w:t>Schmidt@sppgrp.com</w:t>
                    </w:r>
                  </w:hyperlink>
                </w:p>
                <w:p w:rsidR="00E37FFD" w:rsidRDefault="007532E7">
                  <w:pPr>
                    <w:autoSpaceDE w:val="0"/>
                    <w:autoSpaceDN w:val="0"/>
                    <w:adjustRightInd w:val="0"/>
                    <w:spacing w:after="0" w:line="240" w:lineRule="auto"/>
                    <w:rPr>
                      <w:rFonts w:eastAsia="Times New Roman" w:cs="Times New Roman"/>
                      <w:color w:val="0000FF"/>
                      <w:szCs w:val="24"/>
                      <w:u w:val="single"/>
                    </w:rPr>
                  </w:pPr>
                  <w:hyperlink r:id="rId75" w:history="1">
                    <w:r w:rsidR="00E37FFD">
                      <w:rPr>
                        <w:rStyle w:val="Hyperlink"/>
                        <w:rFonts w:eastAsia="Times New Roman"/>
                      </w:rPr>
                      <w:t>Bojko@carpenterlipps.com</w:t>
                    </w:r>
                  </w:hyperlink>
                </w:p>
                <w:p w:rsidR="00E37FFD" w:rsidRDefault="007532E7">
                  <w:pPr>
                    <w:autoSpaceDE w:val="0"/>
                    <w:autoSpaceDN w:val="0"/>
                    <w:adjustRightInd w:val="0"/>
                    <w:spacing w:after="0" w:line="240" w:lineRule="auto"/>
                    <w:rPr>
                      <w:rFonts w:eastAsia="Times New Roman" w:cs="Times New Roman"/>
                      <w:color w:val="0000FF"/>
                      <w:szCs w:val="24"/>
                      <w:u w:val="single"/>
                    </w:rPr>
                  </w:pPr>
                  <w:hyperlink r:id="rId76" w:history="1">
                    <w:r w:rsidR="00E37FFD">
                      <w:rPr>
                        <w:rStyle w:val="Hyperlink"/>
                        <w:rFonts w:eastAsia="Times New Roman"/>
                      </w:rPr>
                      <w:t>orourke@carpenterlipps.com</w:t>
                    </w:r>
                  </w:hyperlink>
                </w:p>
                <w:p w:rsidR="00E37FFD" w:rsidRDefault="00E37FFD">
                  <w:pPr>
                    <w:autoSpaceDE w:val="0"/>
                    <w:autoSpaceDN w:val="0"/>
                    <w:adjustRightInd w:val="0"/>
                    <w:spacing w:after="0" w:line="240" w:lineRule="auto"/>
                    <w:rPr>
                      <w:rFonts w:eastAsia="Times New Roman" w:cs="Times New Roman"/>
                      <w:color w:val="0000FF"/>
                      <w:szCs w:val="24"/>
                    </w:rPr>
                  </w:pPr>
                  <w:r>
                    <w:rPr>
                      <w:rFonts w:eastAsia="Times New Roman" w:cs="Times New Roman"/>
                      <w:color w:val="0000FF"/>
                      <w:szCs w:val="24"/>
                    </w:rPr>
                    <w:t>mfleisher@elpc.org</w:t>
                  </w:r>
                </w:p>
                <w:p w:rsidR="00E37FFD" w:rsidRDefault="00E37FFD">
                  <w:pPr>
                    <w:autoSpaceDE w:val="0"/>
                    <w:autoSpaceDN w:val="0"/>
                    <w:adjustRightInd w:val="0"/>
                    <w:spacing w:after="0" w:line="240" w:lineRule="auto"/>
                    <w:rPr>
                      <w:rFonts w:eastAsia="Times New Roman" w:cs="Times New Roman"/>
                      <w:color w:val="0000FF"/>
                      <w:szCs w:val="24"/>
                    </w:rPr>
                  </w:pPr>
                  <w:r>
                    <w:rPr>
                      <w:rFonts w:eastAsia="Times New Roman" w:cs="Times New Roman"/>
                      <w:color w:val="0000FF"/>
                      <w:szCs w:val="24"/>
                    </w:rPr>
                    <w:t>msmalz@ohiopovertylaw.org</w:t>
                  </w:r>
                </w:p>
                <w:p w:rsidR="00E37FFD" w:rsidRDefault="007532E7">
                  <w:pPr>
                    <w:autoSpaceDE w:val="0"/>
                    <w:autoSpaceDN w:val="0"/>
                    <w:adjustRightInd w:val="0"/>
                    <w:spacing w:after="0" w:line="240" w:lineRule="auto"/>
                    <w:rPr>
                      <w:rFonts w:eastAsia="Times New Roman" w:cs="Times New Roman"/>
                      <w:color w:val="0000FF"/>
                      <w:szCs w:val="24"/>
                    </w:rPr>
                  </w:pPr>
                  <w:hyperlink r:id="rId77" w:history="1">
                    <w:r w:rsidR="00E37FFD">
                      <w:rPr>
                        <w:rStyle w:val="Hyperlink"/>
                        <w:rFonts w:eastAsia="Times New Roman"/>
                      </w:rPr>
                      <w:t>cmooney@ohiopartners.org</w:t>
                    </w:r>
                  </w:hyperlink>
                </w:p>
                <w:p w:rsidR="00E37FFD" w:rsidRDefault="007532E7">
                  <w:pPr>
                    <w:autoSpaceDE w:val="0"/>
                    <w:autoSpaceDN w:val="0"/>
                    <w:adjustRightInd w:val="0"/>
                    <w:spacing w:after="0" w:line="240" w:lineRule="auto"/>
                    <w:rPr>
                      <w:rFonts w:eastAsia="Times New Roman" w:cs="Times New Roman"/>
                      <w:color w:val="0000FF"/>
                      <w:szCs w:val="24"/>
                    </w:rPr>
                  </w:pPr>
                  <w:hyperlink r:id="rId78" w:history="1">
                    <w:r w:rsidR="00E37FFD">
                      <w:rPr>
                        <w:rStyle w:val="Hyperlink"/>
                        <w:rFonts w:eastAsia="Times New Roman"/>
                      </w:rPr>
                      <w:t>drinebolt@ohiopartners.org</w:t>
                    </w:r>
                  </w:hyperlink>
                </w:p>
                <w:p w:rsidR="00E37FFD" w:rsidRDefault="00E37FFD">
                  <w:pPr>
                    <w:autoSpaceDE w:val="0"/>
                    <w:autoSpaceDN w:val="0"/>
                    <w:adjustRightInd w:val="0"/>
                    <w:spacing w:after="0" w:line="240" w:lineRule="auto"/>
                    <w:rPr>
                      <w:rFonts w:eastAsia="Times New Roman" w:cs="Times New Roman"/>
                      <w:color w:val="0000FF"/>
                      <w:szCs w:val="24"/>
                    </w:rPr>
                  </w:pPr>
                  <w:r>
                    <w:rPr>
                      <w:rFonts w:eastAsia="Times New Roman" w:cs="Times New Roman"/>
                      <w:color w:val="0000FF"/>
                      <w:szCs w:val="24"/>
                    </w:rPr>
                    <w:t>ghull@eckertseamans.com</w:t>
                  </w:r>
                </w:p>
                <w:p w:rsidR="00E37FFD" w:rsidRDefault="007532E7">
                  <w:pPr>
                    <w:autoSpaceDE w:val="0"/>
                    <w:autoSpaceDN w:val="0"/>
                    <w:adjustRightInd w:val="0"/>
                    <w:spacing w:after="0" w:line="240" w:lineRule="auto"/>
                    <w:rPr>
                      <w:rFonts w:eastAsia="Times New Roman" w:cs="Times New Roman"/>
                      <w:color w:val="0000FF"/>
                      <w:szCs w:val="24"/>
                    </w:rPr>
                  </w:pPr>
                  <w:hyperlink r:id="rId79" w:history="1">
                    <w:r w:rsidR="00E37FFD">
                      <w:rPr>
                        <w:rStyle w:val="Hyperlink"/>
                        <w:rFonts w:eastAsia="Times New Roman"/>
                      </w:rPr>
                      <w:t>msoules@earthjustice.org</w:t>
                    </w:r>
                  </w:hyperlink>
                </w:p>
                <w:p w:rsidR="00E37FFD" w:rsidRDefault="007532E7">
                  <w:pPr>
                    <w:autoSpaceDE w:val="0"/>
                    <w:autoSpaceDN w:val="0"/>
                    <w:adjustRightInd w:val="0"/>
                    <w:spacing w:after="0" w:line="240" w:lineRule="auto"/>
                    <w:rPr>
                      <w:rFonts w:eastAsia="Times New Roman" w:cs="Times New Roman"/>
                      <w:color w:val="0000FF"/>
                      <w:szCs w:val="24"/>
                    </w:rPr>
                  </w:pPr>
                  <w:hyperlink r:id="rId80" w:history="1">
                    <w:r w:rsidR="00E37FFD">
                      <w:rPr>
                        <w:rStyle w:val="Hyperlink"/>
                        <w:rFonts w:eastAsia="Times New Roman"/>
                      </w:rPr>
                      <w:t>jennifer.spinosi@directenergy.com</w:t>
                    </w:r>
                  </w:hyperlink>
                </w:p>
                <w:p w:rsidR="00E37FFD" w:rsidRDefault="007532E7">
                  <w:pPr>
                    <w:autoSpaceDE w:val="0"/>
                    <w:autoSpaceDN w:val="0"/>
                    <w:adjustRightInd w:val="0"/>
                    <w:spacing w:after="0" w:line="240" w:lineRule="auto"/>
                    <w:rPr>
                      <w:rFonts w:eastAsia="Times New Roman" w:cs="Times New Roman"/>
                      <w:color w:val="0000FF"/>
                      <w:szCs w:val="24"/>
                      <w:u w:val="single"/>
                    </w:rPr>
                  </w:pPr>
                  <w:hyperlink r:id="rId81" w:history="1">
                    <w:r w:rsidR="00E37FFD">
                      <w:rPr>
                        <w:rStyle w:val="Hyperlink"/>
                        <w:rFonts w:eastAsia="Times New Roman"/>
                      </w:rPr>
                      <w:t>laurie.williams@sierraclub.org</w:t>
                    </w:r>
                  </w:hyperlink>
                </w:p>
                <w:p w:rsidR="00E37FFD" w:rsidRDefault="007532E7">
                  <w:pPr>
                    <w:autoSpaceDE w:val="0"/>
                    <w:autoSpaceDN w:val="0"/>
                    <w:adjustRightInd w:val="0"/>
                    <w:spacing w:after="0" w:line="240" w:lineRule="auto"/>
                    <w:rPr>
                      <w:rFonts w:eastAsia="Times New Roman" w:cs="Times New Roman"/>
                      <w:color w:val="000000"/>
                      <w:szCs w:val="24"/>
                    </w:rPr>
                  </w:pPr>
                  <w:hyperlink r:id="rId82" w:history="1">
                    <w:r w:rsidR="00E37FFD">
                      <w:rPr>
                        <w:rStyle w:val="Hyperlink"/>
                      </w:rPr>
                      <w:t>evelyn.robinson@pjm.com</w:t>
                    </w:r>
                  </w:hyperlink>
                </w:p>
              </w:tc>
            </w:tr>
          </w:tbl>
          <w:p w:rsidR="00E37FFD" w:rsidRDefault="00E37FFD">
            <w:pPr>
              <w:autoSpaceDE w:val="0"/>
              <w:autoSpaceDN w:val="0"/>
              <w:adjustRightInd w:val="0"/>
              <w:rPr>
                <w:rFonts w:eastAsia="Calibri" w:cs="Times New Roman"/>
                <w:color w:val="000000"/>
                <w:szCs w:val="24"/>
                <w:u w:val="single"/>
              </w:rPr>
            </w:pPr>
            <w:r>
              <w:rPr>
                <w:rFonts w:eastAsia="Calibri" w:cs="Times New Roman"/>
                <w:color w:val="000000"/>
                <w:szCs w:val="24"/>
                <w:u w:val="single"/>
              </w:rPr>
              <w:t>Attorney Examiners:</w:t>
            </w:r>
          </w:p>
          <w:p w:rsidR="00102453" w:rsidRDefault="00102453">
            <w:pPr>
              <w:autoSpaceDE w:val="0"/>
              <w:autoSpaceDN w:val="0"/>
              <w:adjustRightInd w:val="0"/>
              <w:rPr>
                <w:rFonts w:eastAsia="Calibri" w:cs="Times New Roman"/>
                <w:color w:val="000000"/>
                <w:szCs w:val="24"/>
                <w:u w:val="single"/>
              </w:rPr>
            </w:pPr>
          </w:p>
          <w:p w:rsidR="00E37FFD" w:rsidRDefault="00E37FFD">
            <w:pPr>
              <w:autoSpaceDE w:val="0"/>
              <w:autoSpaceDN w:val="0"/>
              <w:adjustRightInd w:val="0"/>
              <w:rPr>
                <w:rFonts w:eastAsia="Calibri" w:cs="Times New Roman"/>
                <w:color w:val="000000"/>
                <w:szCs w:val="24"/>
                <w:u w:val="single"/>
              </w:rPr>
            </w:pPr>
            <w:r>
              <w:rPr>
                <w:rFonts w:eastAsia="Calibri" w:cs="Times New Roman"/>
                <w:color w:val="0000FF"/>
                <w:szCs w:val="24"/>
                <w:u w:val="single"/>
              </w:rPr>
              <w:t>Sarah.parrot@puc.state.oh.us</w:t>
            </w:r>
          </w:p>
          <w:p w:rsidR="00E37FFD" w:rsidRDefault="00E37FFD">
            <w:pPr>
              <w:rPr>
                <w:rFonts w:cs="Times New Roman"/>
                <w:szCs w:val="24"/>
              </w:rPr>
            </w:pPr>
            <w:r>
              <w:rPr>
                <w:rFonts w:eastAsia="Calibri" w:cs="Times New Roman"/>
                <w:color w:val="0000FF"/>
                <w:szCs w:val="24"/>
                <w:u w:val="single"/>
              </w:rPr>
              <w:t>Greta.see@puc.state.oh.us</w:t>
            </w:r>
          </w:p>
        </w:tc>
      </w:tr>
    </w:tbl>
    <w:p w:rsidR="008B26BF" w:rsidRPr="00921526" w:rsidRDefault="008B26BF">
      <w:pPr>
        <w:rPr>
          <w:rFonts w:cs="Times New Roman"/>
          <w:szCs w:val="24"/>
        </w:rPr>
      </w:pPr>
    </w:p>
    <w:sectPr w:rsidR="008B26BF" w:rsidRPr="00921526" w:rsidSect="00D23657">
      <w:footerReference w:type="default" r:id="rId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55" w:rsidRDefault="00312A55" w:rsidP="00921526">
      <w:pPr>
        <w:spacing w:after="0" w:line="240" w:lineRule="auto"/>
      </w:pPr>
      <w:r>
        <w:separator/>
      </w:r>
    </w:p>
  </w:endnote>
  <w:endnote w:type="continuationSeparator" w:id="0">
    <w:p w:rsidR="00312A55" w:rsidRDefault="00312A55" w:rsidP="0092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7B" w:rsidRDefault="009C7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ED" w:rsidRDefault="008F63ED">
    <w:pPr>
      <w:pStyle w:val="Footer"/>
      <w:jc w:val="center"/>
    </w:pPr>
  </w:p>
  <w:p w:rsidR="00BD0B2A" w:rsidRDefault="00BD0B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7B" w:rsidRDefault="009C7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95388"/>
      <w:docPartObj>
        <w:docPartGallery w:val="Page Numbers (Bottom of Page)"/>
        <w:docPartUnique/>
      </w:docPartObj>
    </w:sdtPr>
    <w:sdtEndPr>
      <w:rPr>
        <w:noProof/>
      </w:rPr>
    </w:sdtEndPr>
    <w:sdtContent>
      <w:p w:rsidR="008F63ED" w:rsidRDefault="008F63ED">
        <w:pPr>
          <w:pStyle w:val="Footer"/>
          <w:jc w:val="center"/>
        </w:pPr>
        <w:r>
          <w:fldChar w:fldCharType="begin"/>
        </w:r>
        <w:r>
          <w:instrText xml:space="preserve"> PAGE   \* MERGEFORMAT </w:instrText>
        </w:r>
        <w:r>
          <w:fldChar w:fldCharType="separate"/>
        </w:r>
        <w:r w:rsidR="009C767B">
          <w:rPr>
            <w:noProof/>
          </w:rPr>
          <w:t>1</w:t>
        </w:r>
        <w:r>
          <w:rPr>
            <w:noProof/>
          </w:rPr>
          <w:fldChar w:fldCharType="end"/>
        </w:r>
      </w:p>
    </w:sdtContent>
  </w:sdt>
  <w:p w:rsidR="008F63ED" w:rsidRDefault="008F63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76907"/>
      <w:docPartObj>
        <w:docPartGallery w:val="Page Numbers (Bottom of Page)"/>
        <w:docPartUnique/>
      </w:docPartObj>
    </w:sdtPr>
    <w:sdtEndPr>
      <w:rPr>
        <w:noProof/>
      </w:rPr>
    </w:sdtEndPr>
    <w:sdtContent>
      <w:p w:rsidR="008F63ED" w:rsidRDefault="008F63ED">
        <w:pPr>
          <w:pStyle w:val="Footer"/>
          <w:jc w:val="center"/>
        </w:pPr>
        <w:r>
          <w:fldChar w:fldCharType="begin"/>
        </w:r>
        <w:r>
          <w:instrText xml:space="preserve"> PAGE   \* MERGEFORMAT </w:instrText>
        </w:r>
        <w:r>
          <w:fldChar w:fldCharType="separate"/>
        </w:r>
        <w:r w:rsidR="009C767B">
          <w:rPr>
            <w:noProof/>
          </w:rPr>
          <w:t>16</w:t>
        </w:r>
        <w:r>
          <w:rPr>
            <w:noProof/>
          </w:rPr>
          <w:fldChar w:fldCharType="end"/>
        </w:r>
      </w:p>
    </w:sdtContent>
  </w:sdt>
  <w:p w:rsidR="008F63ED" w:rsidRDefault="008F63E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2A" w:rsidRDefault="00BD0B2A">
    <w:pPr>
      <w:pStyle w:val="Footer"/>
      <w:jc w:val="center"/>
    </w:pPr>
  </w:p>
  <w:p w:rsidR="00BD0B2A" w:rsidRDefault="00BD0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55" w:rsidRDefault="00312A55" w:rsidP="00921526">
      <w:pPr>
        <w:spacing w:after="0" w:line="240" w:lineRule="auto"/>
      </w:pPr>
      <w:r>
        <w:separator/>
      </w:r>
    </w:p>
  </w:footnote>
  <w:footnote w:type="continuationSeparator" w:id="0">
    <w:p w:rsidR="00312A55" w:rsidRDefault="00312A55" w:rsidP="00921526">
      <w:pPr>
        <w:spacing w:after="0" w:line="240" w:lineRule="auto"/>
      </w:pPr>
      <w:r>
        <w:continuationSeparator/>
      </w:r>
    </w:p>
  </w:footnote>
  <w:footnote w:id="1">
    <w:p w:rsidR="00BD0B2A" w:rsidRPr="00067AAF" w:rsidRDefault="00BD0B2A">
      <w:pPr>
        <w:pStyle w:val="FootnoteText"/>
      </w:pPr>
      <w:r>
        <w:rPr>
          <w:rStyle w:val="FootnoteReference"/>
        </w:rPr>
        <w:footnoteRef/>
      </w:r>
      <w:r>
        <w:t xml:space="preserve"> </w:t>
      </w:r>
      <w:r>
        <w:rPr>
          <w:i/>
        </w:rPr>
        <w:t>In re: Columbus S. Power Co.</w:t>
      </w:r>
      <w:r>
        <w:t xml:space="preserve">, 138 Ohio St. 3d 448 (2014); </w:t>
      </w:r>
      <w:r w:rsidRPr="009B4EE2">
        <w:t>see also</w:t>
      </w:r>
      <w:r>
        <w:rPr>
          <w:i/>
        </w:rPr>
        <w:t xml:space="preserve"> In re: Columbus S. Power Co.</w:t>
      </w:r>
      <w:r>
        <w:t>, 128 Ohio St. 3d 512 (2011).</w:t>
      </w:r>
    </w:p>
  </w:footnote>
  <w:footnote w:id="2">
    <w:p w:rsidR="00BD0B2A" w:rsidRDefault="00BD0B2A">
      <w:pPr>
        <w:pStyle w:val="FootnoteText"/>
      </w:pPr>
      <w:r>
        <w:rPr>
          <w:rStyle w:val="FootnoteReference"/>
        </w:rPr>
        <w:footnoteRef/>
      </w:r>
      <w:r w:rsidR="001F4BD2">
        <w:rPr>
          <w:i/>
        </w:rPr>
        <w:t xml:space="preserve"> </w:t>
      </w:r>
      <w:r w:rsidRPr="00D428F0">
        <w:rPr>
          <w:i/>
        </w:rPr>
        <w:t>In re Application of Columbus S. Power Co.</w:t>
      </w:r>
      <w:r>
        <w:t xml:space="preserve">, 129 Ohio St.3d 46, 2011-Ohio-2383, ¶ 34, citing </w:t>
      </w:r>
      <w:r w:rsidRPr="00D428F0">
        <w:rPr>
          <w:i/>
        </w:rPr>
        <w:t>Toledo Coalition for Safe Energy v. Pub. Util. Comm.</w:t>
      </w:r>
      <w:r>
        <w:t>, 69 Ohio St.2d 559, 560 (1982); see also R.C. 4901.13.</w:t>
      </w:r>
    </w:p>
  </w:footnote>
  <w:footnote w:id="3">
    <w:p w:rsidR="00BD0B2A" w:rsidRDefault="00BD0B2A">
      <w:pPr>
        <w:pStyle w:val="FootnoteText"/>
      </w:pPr>
      <w:r>
        <w:rPr>
          <w:rStyle w:val="FootnoteReference"/>
        </w:rPr>
        <w:footnoteRef/>
      </w:r>
      <w:r>
        <w:t xml:space="preserve"> R.C. 4905.22.</w:t>
      </w:r>
    </w:p>
  </w:footnote>
  <w:footnote w:id="4">
    <w:p w:rsidR="00BD0B2A" w:rsidRPr="000567E8" w:rsidRDefault="00BD0B2A" w:rsidP="000567E8">
      <w:pPr>
        <w:pStyle w:val="FootnoteText"/>
      </w:pPr>
      <w:r>
        <w:rPr>
          <w:rStyle w:val="FootnoteReference"/>
        </w:rPr>
        <w:footnoteRef/>
      </w:r>
      <w:r>
        <w:t xml:space="preserve"> Case No. 02-1586-EL-CSS. </w:t>
      </w:r>
    </w:p>
  </w:footnote>
  <w:footnote w:id="5">
    <w:p w:rsidR="00BD0B2A" w:rsidRDefault="00BD0B2A">
      <w:pPr>
        <w:pStyle w:val="FootnoteText"/>
      </w:pPr>
      <w:r>
        <w:rPr>
          <w:rStyle w:val="FootnoteReference"/>
        </w:rPr>
        <w:footnoteRef/>
      </w:r>
      <w:r>
        <w:t xml:space="preserve"> Id. at Entry (February 20, 2003).</w:t>
      </w:r>
    </w:p>
  </w:footnote>
  <w:footnote w:id="6">
    <w:p w:rsidR="00BD0B2A" w:rsidRDefault="00BD0B2A">
      <w:pPr>
        <w:pStyle w:val="FootnoteText"/>
      </w:pPr>
      <w:r>
        <w:rPr>
          <w:rStyle w:val="FootnoteReference"/>
        </w:rPr>
        <w:footnoteRef/>
      </w:r>
      <w:r>
        <w:t xml:space="preserve"> AEP Ohio Memo Contra at 4, 13.</w:t>
      </w:r>
    </w:p>
  </w:footnote>
  <w:footnote w:id="7">
    <w:p w:rsidR="00BD0B2A" w:rsidRDefault="00BD0B2A">
      <w:pPr>
        <w:pStyle w:val="FootnoteText"/>
      </w:pPr>
      <w:r>
        <w:rPr>
          <w:rStyle w:val="FootnoteReference"/>
        </w:rPr>
        <w:footnoteRef/>
      </w:r>
      <w:r>
        <w:t xml:space="preserve"> AEP Ohio Memo Contra at 13.</w:t>
      </w:r>
    </w:p>
  </w:footnote>
  <w:footnote w:id="8">
    <w:p w:rsidR="00BD0B2A" w:rsidRDefault="00BD0B2A" w:rsidP="00222BE7">
      <w:pPr>
        <w:pStyle w:val="FootnoteText"/>
      </w:pPr>
      <w:r>
        <w:rPr>
          <w:rStyle w:val="FootnoteReference"/>
        </w:rPr>
        <w:footnoteRef/>
      </w:r>
      <w:r>
        <w:t xml:space="preserve"> Tr. Vol. I at 211; Tr. Vol. VI at 1706-1707.</w:t>
      </w:r>
    </w:p>
  </w:footnote>
  <w:footnote w:id="9">
    <w:p w:rsidR="00BD0B2A" w:rsidRDefault="00BD0B2A">
      <w:pPr>
        <w:pStyle w:val="FootnoteText"/>
      </w:pPr>
      <w:r>
        <w:rPr>
          <w:rStyle w:val="FootnoteReference"/>
        </w:rPr>
        <w:footnoteRef/>
      </w:r>
      <w:r>
        <w:t xml:space="preserve"> See 16 U.S.C. 824d; </w:t>
      </w:r>
      <w:r w:rsidRPr="00DB2ED9">
        <w:rPr>
          <w:i/>
        </w:rPr>
        <w:t>Boston Edison Co. Re: Edgar Electric Energy Co.</w:t>
      </w:r>
      <w:r>
        <w:t xml:space="preserve">, 55 FERC </w:t>
      </w:r>
      <w:r w:rsidR="006B77A1">
        <w:t xml:space="preserve">¶ 61,382 at 62,167-169 (1991); </w:t>
      </w:r>
      <w:r w:rsidRPr="00DB2ED9">
        <w:rPr>
          <w:i/>
        </w:rPr>
        <w:t>Allegheny Energy Supply Co., LLC</w:t>
      </w:r>
      <w:r>
        <w:t>, 108 FERC ¶ 61,082 at 61,417-418 (2004).</w:t>
      </w:r>
    </w:p>
  </w:footnote>
  <w:footnote w:id="10">
    <w:p w:rsidR="00BD0B2A" w:rsidRDefault="00BD0B2A">
      <w:pPr>
        <w:pStyle w:val="FootnoteText"/>
      </w:pPr>
      <w:r>
        <w:rPr>
          <w:rStyle w:val="FootnoteReference"/>
        </w:rPr>
        <w:footnoteRef/>
      </w:r>
      <w:r>
        <w:t xml:space="preserve"> See, e.g., </w:t>
      </w:r>
      <w:r w:rsidRPr="009074EF">
        <w:rPr>
          <w:i/>
        </w:rPr>
        <w:t>In re Application of Columbus S. Power Co.</w:t>
      </w:r>
      <w:r>
        <w:t xml:space="preserve">, 138 Ohio St.3d 448, 2014-Ohio-462, ¶ 56 (acknowledging the “no-refund rule”), citing </w:t>
      </w:r>
      <w:r w:rsidRPr="00D0643A">
        <w:rPr>
          <w:i/>
        </w:rPr>
        <w:t>Keco Indus., Inc. v. Cincinnati &amp; Suburban Bell Tel. Co.</w:t>
      </w:r>
      <w:r>
        <w:t>, 166 Ohio St.</w:t>
      </w:r>
      <w:r w:rsidR="00A210B1">
        <w:t xml:space="preserve"> </w:t>
      </w:r>
      <w:r>
        <w:t xml:space="preserve">254, 141 N.E.2d 465 (1957).  </w:t>
      </w:r>
    </w:p>
  </w:footnote>
  <w:footnote w:id="11">
    <w:p w:rsidR="00BD0B2A" w:rsidRDefault="00BD0B2A">
      <w:pPr>
        <w:pStyle w:val="FootnoteText"/>
      </w:pPr>
      <w:r>
        <w:rPr>
          <w:rStyle w:val="FootnoteReference"/>
        </w:rPr>
        <w:footnoteRef/>
      </w:r>
      <w:r>
        <w:t xml:space="preserve"> AEP Ohio Memo Contra at 2.</w:t>
      </w:r>
    </w:p>
  </w:footnote>
  <w:footnote w:id="12">
    <w:p w:rsidR="00BD0B2A" w:rsidRDefault="00BD0B2A">
      <w:pPr>
        <w:pStyle w:val="FootnoteText"/>
      </w:pPr>
      <w:r>
        <w:rPr>
          <w:rStyle w:val="FootnoteReference"/>
        </w:rPr>
        <w:footnoteRef/>
      </w:r>
      <w:r>
        <w:t xml:space="preserve"> PUCO Comments at 2, FERC Docket No. </w:t>
      </w:r>
      <w:r w:rsidR="009B4EE2">
        <w:t xml:space="preserve">EL16-33-000 (February 10, 2016) </w:t>
      </w:r>
      <w:r>
        <w:t>(explaining that the subject matter in the EPSA Complaint “directly relates” to this case).</w:t>
      </w:r>
    </w:p>
  </w:footnote>
  <w:footnote w:id="13">
    <w:p w:rsidR="00BD0B2A" w:rsidRDefault="00BD0B2A">
      <w:pPr>
        <w:pStyle w:val="FootnoteText"/>
      </w:pPr>
      <w:r>
        <w:rPr>
          <w:rStyle w:val="FootnoteReference"/>
        </w:rPr>
        <w:footnoteRef/>
      </w:r>
      <w:r>
        <w:t xml:space="preserve"> AEP Ohio Memo Contra at 5.</w:t>
      </w:r>
    </w:p>
  </w:footnote>
  <w:footnote w:id="14">
    <w:p w:rsidR="00BD0B2A" w:rsidRDefault="00BD0B2A" w:rsidP="006B0B7C">
      <w:pPr>
        <w:pStyle w:val="FootnoteText"/>
      </w:pPr>
      <w:r>
        <w:rPr>
          <w:rStyle w:val="FootnoteReference"/>
        </w:rPr>
        <w:footnoteRef/>
      </w:r>
      <w:r>
        <w:t xml:space="preserve"> See generally FERC Docket No. EL16-33-000.</w:t>
      </w:r>
    </w:p>
  </w:footnote>
  <w:footnote w:id="15">
    <w:p w:rsidR="00BD0B2A" w:rsidRDefault="00BD0B2A">
      <w:pPr>
        <w:pStyle w:val="FootnoteText"/>
      </w:pPr>
      <w:r>
        <w:rPr>
          <w:rStyle w:val="FootnoteReference"/>
        </w:rPr>
        <w:footnoteRef/>
      </w:r>
      <w:r>
        <w:t xml:space="preserve"> See, e.g., </w:t>
      </w:r>
      <w:r w:rsidRPr="007E067C">
        <w:rPr>
          <w:i/>
        </w:rPr>
        <w:t>Morgan Stanley Capital Group Inc. v. Pub. Util. Dist. No. 1 of Snohomish County, Wash.</w:t>
      </w:r>
      <w:r>
        <w:t>, 554 U.S. 527, 531-532 (2008).</w:t>
      </w:r>
    </w:p>
  </w:footnote>
  <w:footnote w:id="16">
    <w:p w:rsidR="00BD0B2A" w:rsidRDefault="00BD0B2A">
      <w:pPr>
        <w:pStyle w:val="FootnoteText"/>
      </w:pPr>
      <w:r>
        <w:rPr>
          <w:rStyle w:val="FootnoteReference"/>
        </w:rPr>
        <w:footnoteRef/>
      </w:r>
      <w:r w:rsidR="001F4BD2">
        <w:rPr>
          <w:i/>
        </w:rPr>
        <w:t xml:space="preserve"> </w:t>
      </w:r>
      <w:r w:rsidRPr="00093F40">
        <w:rPr>
          <w:i/>
        </w:rPr>
        <w:t>Mun. Light Bds. of Reading &amp; Wakefield v. FPC</w:t>
      </w:r>
      <w:r>
        <w:t>, 450 F.2d 1341, 1348 (D.C. Cir. 1971) (the “primary aim [of the Federal Power Act] is the protection of consumers from excessive rates and charges.”), cert denied, 405 U.S. 989 (1972).</w:t>
      </w:r>
    </w:p>
  </w:footnote>
  <w:footnote w:id="17">
    <w:p w:rsidR="00BD0B2A" w:rsidRDefault="00BD0B2A">
      <w:pPr>
        <w:pStyle w:val="FootnoteText"/>
      </w:pPr>
      <w:r>
        <w:rPr>
          <w:rStyle w:val="FootnoteReference"/>
        </w:rPr>
        <w:footnoteRef/>
      </w:r>
      <w:r>
        <w:t xml:space="preserve"> See supra, note 1.</w:t>
      </w:r>
    </w:p>
  </w:footnote>
  <w:footnote w:id="18">
    <w:p w:rsidR="00BD0B2A" w:rsidRPr="00DD0FD0" w:rsidRDefault="00BD0B2A">
      <w:pPr>
        <w:pStyle w:val="FootnoteText"/>
      </w:pPr>
      <w:r w:rsidRPr="00CC3AAE">
        <w:rPr>
          <w:rStyle w:val="FootnoteReference"/>
        </w:rPr>
        <w:footnoteRef/>
      </w:r>
      <w:r w:rsidRPr="00CC3AAE">
        <w:t xml:space="preserve"> </w:t>
      </w:r>
      <w:r>
        <w:rPr>
          <w:i/>
        </w:rPr>
        <w:t>Keco Industries, Inc. v. Cincinnati &amp; Suburban Bell Tel. Co.</w:t>
      </w:r>
      <w:r>
        <w:t>, 155 Ohio St. 254 (1957).</w:t>
      </w:r>
    </w:p>
  </w:footnote>
  <w:footnote w:id="19">
    <w:p w:rsidR="006B77A1" w:rsidRDefault="006B77A1">
      <w:pPr>
        <w:pStyle w:val="FootnoteText"/>
      </w:pPr>
      <w:r>
        <w:rPr>
          <w:rStyle w:val="FootnoteReference"/>
        </w:rPr>
        <w:footnoteRef/>
      </w:r>
      <w:r>
        <w:t xml:space="preserve"> Further, the Joint Stipulation and Recommendation  provides that “[n]o amounts collected shall be refunded” if the PPA Rider is invalidated by a court of competent jurisdiction.  See Joint Stipulation and Recommendation at 35 (filed December 14, 2015).</w:t>
      </w:r>
    </w:p>
  </w:footnote>
  <w:footnote w:id="20">
    <w:p w:rsidR="00BD0B2A" w:rsidRDefault="00BD0B2A">
      <w:pPr>
        <w:pStyle w:val="FootnoteText"/>
      </w:pPr>
      <w:r>
        <w:rPr>
          <w:rStyle w:val="FootnoteReference"/>
        </w:rPr>
        <w:footnoteRef/>
      </w:r>
      <w:r>
        <w:t xml:space="preserve"> AEP Ohio Memo Contra at 6.</w:t>
      </w:r>
    </w:p>
  </w:footnote>
  <w:footnote w:id="21">
    <w:p w:rsidR="00BD0B2A" w:rsidRDefault="00BD0B2A">
      <w:pPr>
        <w:pStyle w:val="FootnoteText"/>
      </w:pPr>
      <w:r>
        <w:rPr>
          <w:rStyle w:val="FootnoteReference"/>
        </w:rPr>
        <w:footnoteRef/>
      </w:r>
      <w:r w:rsidR="00A9527F">
        <w:rPr>
          <w:i/>
        </w:rPr>
        <w:t xml:space="preserve"> </w:t>
      </w:r>
      <w:r w:rsidRPr="00D428F0">
        <w:rPr>
          <w:i/>
        </w:rPr>
        <w:t>Toledo Coalition for Safe Energy</w:t>
      </w:r>
      <w:r>
        <w:t>, 69 Ohio St.2d at 560.</w:t>
      </w:r>
    </w:p>
  </w:footnote>
  <w:footnote w:id="22">
    <w:p w:rsidR="00BD0B2A" w:rsidRDefault="00BD0B2A">
      <w:pPr>
        <w:pStyle w:val="FootnoteText"/>
      </w:pPr>
      <w:r>
        <w:rPr>
          <w:rStyle w:val="FootnoteReference"/>
        </w:rPr>
        <w:footnoteRef/>
      </w:r>
      <w:r w:rsidR="001F4BD2">
        <w:rPr>
          <w:i/>
        </w:rPr>
        <w:t xml:space="preserve"> </w:t>
      </w:r>
      <w:r w:rsidRPr="00B77594">
        <w:rPr>
          <w:i/>
        </w:rPr>
        <w:t>MCI Telecommunications Corp. v. Pub. Util. Comm.</w:t>
      </w:r>
      <w:r>
        <w:t>, 31 Ohio St.3d 604, 605 (1987) (Douglas, J., dissenting).</w:t>
      </w:r>
    </w:p>
  </w:footnote>
  <w:footnote w:id="23">
    <w:p w:rsidR="00BD0B2A" w:rsidRDefault="00BD0B2A">
      <w:pPr>
        <w:pStyle w:val="FootnoteText"/>
      </w:pPr>
      <w:r>
        <w:rPr>
          <w:rStyle w:val="FootnoteReference"/>
        </w:rPr>
        <w:footnoteRef/>
      </w:r>
      <w:r w:rsidR="00A9527F">
        <w:rPr>
          <w:i/>
        </w:rPr>
        <w:t xml:space="preserve"> </w:t>
      </w:r>
      <w:r w:rsidRPr="00B77594">
        <w:rPr>
          <w:i/>
        </w:rPr>
        <w:t>In the Matter of the Commission’s Investigation Into the Modification of Intrastate Access Charges</w:t>
      </w:r>
      <w:r>
        <w:t>, Case No. 00-127-TP-COI, Entry on Rehearing at 5 (February 20, 2003).</w:t>
      </w:r>
    </w:p>
  </w:footnote>
  <w:footnote w:id="24">
    <w:p w:rsidR="00BD0B2A" w:rsidRDefault="00BD0B2A">
      <w:pPr>
        <w:pStyle w:val="FootnoteText"/>
      </w:pPr>
      <w:r>
        <w:rPr>
          <w:rStyle w:val="FootnoteReference"/>
        </w:rPr>
        <w:footnoteRef/>
      </w:r>
      <w:r>
        <w:t xml:space="preserve"> See FERC Docket No. ER14-593-000 et al.</w:t>
      </w:r>
    </w:p>
  </w:footnote>
  <w:footnote w:id="25">
    <w:p w:rsidR="00BD0B2A" w:rsidRDefault="00BD0B2A">
      <w:pPr>
        <w:pStyle w:val="FootnoteText"/>
      </w:pPr>
      <w:r>
        <w:rPr>
          <w:rStyle w:val="FootnoteReference"/>
        </w:rPr>
        <w:footnoteRef/>
      </w:r>
      <w:r>
        <w:t xml:space="preserve"> AEP Memo Contra at 4.</w:t>
      </w:r>
    </w:p>
  </w:footnote>
  <w:footnote w:id="26">
    <w:p w:rsidR="00BD0B2A" w:rsidRDefault="00BD0B2A">
      <w:pPr>
        <w:pStyle w:val="FootnoteText"/>
      </w:pPr>
      <w:r>
        <w:rPr>
          <w:rStyle w:val="FootnoteReference"/>
        </w:rPr>
        <w:footnoteRef/>
      </w:r>
      <w:r w:rsidR="001F4BD2">
        <w:rPr>
          <w:i/>
        </w:rPr>
        <w:t xml:space="preserve"> </w:t>
      </w:r>
      <w:r w:rsidRPr="00EC3157">
        <w:rPr>
          <w:i/>
        </w:rPr>
        <w:t>Market-Based Rates for Wholesale Sales of Electric Energy, Capacity and Ancillary Services by Public Utilities</w:t>
      </w:r>
      <w:r>
        <w:t>, Order No. 697, FERC Stats. &amp; Regs. ¶ 31,252, at P 480 (2007) (“retail customers in retail choice states who choose to buy power from their local utility at cost-based rates as part of that utility’s [POLR] obligation are not considered captive customers because, although they may choose not to do so, they have the ability to take service from a different supplier whose rates are set by the marketplace.”).</w:t>
      </w:r>
    </w:p>
  </w:footnote>
  <w:footnote w:id="27">
    <w:p w:rsidR="00BD0B2A" w:rsidRDefault="00BD0B2A">
      <w:pPr>
        <w:pStyle w:val="FootnoteText"/>
      </w:pPr>
      <w:r>
        <w:rPr>
          <w:rStyle w:val="FootnoteReference"/>
        </w:rPr>
        <w:footnoteRef/>
      </w:r>
      <w:r>
        <w:t xml:space="preserve"> Id.</w:t>
      </w:r>
    </w:p>
  </w:footnote>
  <w:footnote w:id="28">
    <w:p w:rsidR="00BD0B2A" w:rsidRDefault="00BD0B2A">
      <w:pPr>
        <w:pStyle w:val="FootnoteText"/>
      </w:pPr>
      <w:r>
        <w:rPr>
          <w:rStyle w:val="FootnoteReference"/>
        </w:rPr>
        <w:footnoteRef/>
      </w:r>
      <w:r w:rsidR="00A9527F">
        <w:rPr>
          <w:i/>
        </w:rPr>
        <w:t xml:space="preserve"> </w:t>
      </w:r>
      <w:r w:rsidRPr="00C420FA">
        <w:rPr>
          <w:i/>
        </w:rPr>
        <w:t>FirstEnergy Solutions Corp.</w:t>
      </w:r>
      <w:r>
        <w:t>, 125 FERC ¶  61,356 (2008).</w:t>
      </w:r>
    </w:p>
  </w:footnote>
  <w:footnote w:id="29">
    <w:p w:rsidR="00BD0B2A" w:rsidRDefault="00BD0B2A">
      <w:pPr>
        <w:pStyle w:val="FootnoteText"/>
      </w:pPr>
      <w:r>
        <w:rPr>
          <w:rStyle w:val="FootnoteReference"/>
        </w:rPr>
        <w:footnoteRef/>
      </w:r>
      <w:r w:rsidR="00A9527F">
        <w:rPr>
          <w:i/>
        </w:rPr>
        <w:t xml:space="preserve"> </w:t>
      </w:r>
      <w:r w:rsidRPr="002F53F2">
        <w:rPr>
          <w:i/>
        </w:rPr>
        <w:t>In re Application of Ohio Power Co.</w:t>
      </w:r>
      <w:r>
        <w:t>, 140 Ohio St.3d 509, 2014-Ohio-4271, ¶ 26</w:t>
      </w:r>
      <w:r w:rsidR="00A210B1">
        <w:t xml:space="preserve"> (2014)</w:t>
      </w:r>
      <w:r>
        <w:t>.</w:t>
      </w:r>
    </w:p>
  </w:footnote>
  <w:footnote w:id="30">
    <w:p w:rsidR="00BD0B2A" w:rsidRDefault="00BD0B2A">
      <w:pPr>
        <w:pStyle w:val="FootnoteText"/>
      </w:pPr>
      <w:r>
        <w:rPr>
          <w:rStyle w:val="FootnoteReference"/>
        </w:rPr>
        <w:footnoteRef/>
      </w:r>
      <w:r w:rsidR="00A9527F">
        <w:rPr>
          <w:i/>
        </w:rPr>
        <w:t xml:space="preserve"> </w:t>
      </w:r>
      <w:r w:rsidRPr="00E60B33">
        <w:rPr>
          <w:i/>
        </w:rPr>
        <w:t>American Meat Inst. v. U.S. Dept. of Ag</w:t>
      </w:r>
      <w:r>
        <w:rPr>
          <w:i/>
        </w:rPr>
        <w:t>ric</w:t>
      </w:r>
      <w:r w:rsidRPr="00E60B33">
        <w:rPr>
          <w:i/>
        </w:rPr>
        <w:t>.</w:t>
      </w:r>
      <w:r>
        <w:t>, 760 F.3d 18, 39 (D.C. Cir. 2014) (Brown, J., dissenting).</w:t>
      </w:r>
    </w:p>
  </w:footnote>
  <w:footnote w:id="31">
    <w:p w:rsidR="00BD0B2A" w:rsidRDefault="00BD0B2A">
      <w:pPr>
        <w:pStyle w:val="FootnoteText"/>
      </w:pPr>
      <w:r>
        <w:rPr>
          <w:rStyle w:val="FootnoteReference"/>
        </w:rPr>
        <w:footnoteRef/>
      </w:r>
      <w:r>
        <w:t xml:space="preserve"> See, e.g., R.C. 2307.60 (authorizing money damages to pe</w:t>
      </w:r>
      <w:r w:rsidR="00A210B1">
        <w:t>rsons injured by criminal acts);</w:t>
      </w:r>
      <w:r>
        <w:t xml:space="preserve"> R.C. 2307.611 (authorizing money damage</w:t>
      </w:r>
      <w:r w:rsidR="00A210B1">
        <w:t xml:space="preserve">s in identity fraud cases); </w:t>
      </w:r>
      <w:r>
        <w:t>R.C. 2307.73 (authorizing manufacturer liability in the form of money damages in products liability cases).</w:t>
      </w:r>
    </w:p>
  </w:footnote>
  <w:footnote w:id="32">
    <w:p w:rsidR="00BD0B2A" w:rsidRDefault="00BD0B2A">
      <w:pPr>
        <w:pStyle w:val="FootnoteText"/>
      </w:pPr>
      <w:r>
        <w:rPr>
          <w:rStyle w:val="FootnoteReference"/>
        </w:rPr>
        <w:footnoteRef/>
      </w:r>
      <w:r w:rsidR="00A9527F">
        <w:rPr>
          <w:i/>
        </w:rPr>
        <w:t xml:space="preserve"> </w:t>
      </w:r>
      <w:r w:rsidRPr="00173C00">
        <w:rPr>
          <w:i/>
        </w:rPr>
        <w:t>Columbus S. Power Co. v. Pub. Util. Comm.</w:t>
      </w:r>
      <w:r>
        <w:t>, 67 Ohio St.3d 535 (1993) (“It is axiomatic that the PUCO, as a creature of statute, may exercise only that jurisdiction conferred upon it by the General Assembly.”).</w:t>
      </w:r>
    </w:p>
  </w:footnote>
  <w:footnote w:id="33">
    <w:p w:rsidR="00BD0B2A" w:rsidRDefault="00BD0B2A">
      <w:pPr>
        <w:pStyle w:val="FootnoteText"/>
      </w:pPr>
      <w:r>
        <w:rPr>
          <w:rStyle w:val="FootnoteReference"/>
        </w:rPr>
        <w:footnoteRef/>
      </w:r>
      <w:r>
        <w:t xml:space="preserve"> But see </w:t>
      </w:r>
      <w:r w:rsidRPr="00E94FEF">
        <w:rPr>
          <w:i/>
        </w:rPr>
        <w:t>River Gas Co. v. Public Util. Comm.</w:t>
      </w:r>
      <w:r>
        <w:t xml:space="preserve">, 69 Ohio St.2d 509, 513-514 (1982) (distinguishing </w:t>
      </w:r>
      <w:r w:rsidRPr="00E94FEF">
        <w:rPr>
          <w:i/>
        </w:rPr>
        <w:t>Kec</w:t>
      </w:r>
      <w:r>
        <w:rPr>
          <w:i/>
        </w:rPr>
        <w:t>o</w:t>
      </w:r>
      <w:r>
        <w:t xml:space="preserve">).  For the reasons principally stated in </w:t>
      </w:r>
      <w:r w:rsidRPr="0010252E">
        <w:rPr>
          <w:i/>
        </w:rPr>
        <w:t>River Gas</w:t>
      </w:r>
      <w:r>
        <w:t xml:space="preserve">, Consumers are not conceding that the no-refund rule articulated by </w:t>
      </w:r>
      <w:r w:rsidRPr="0010252E">
        <w:rPr>
          <w:i/>
        </w:rPr>
        <w:t>Keco</w:t>
      </w:r>
      <w:r>
        <w:t xml:space="preserve"> would apply here.  Nonetheless, because Consumers expect AEP Ohio to rely on </w:t>
      </w:r>
      <w:r w:rsidRPr="0010252E">
        <w:rPr>
          <w:i/>
        </w:rPr>
        <w:t>Keco</w:t>
      </w:r>
      <w:r>
        <w:t xml:space="preserve"> in the future if necessary, Consumers believe it is important for the PUCO to stay the proceedings pending a FERC ruling so as to avoid a scenario that would potentially implicate </w:t>
      </w:r>
      <w:r w:rsidRPr="00EF5378">
        <w:rPr>
          <w:i/>
        </w:rPr>
        <w:t>Keco</w:t>
      </w:r>
      <w:r>
        <w:t>.</w:t>
      </w:r>
    </w:p>
  </w:footnote>
  <w:footnote w:id="34">
    <w:p w:rsidR="00BD0B2A" w:rsidRDefault="00BD0B2A">
      <w:pPr>
        <w:pStyle w:val="FootnoteText"/>
      </w:pPr>
      <w:r>
        <w:rPr>
          <w:rStyle w:val="FootnoteReference"/>
        </w:rPr>
        <w:footnoteRef/>
      </w:r>
      <w:r w:rsidR="00A9527F">
        <w:rPr>
          <w:i/>
        </w:rPr>
        <w:t xml:space="preserve"> </w:t>
      </w:r>
      <w:r w:rsidRPr="00CF1B4A">
        <w:rPr>
          <w:i/>
        </w:rPr>
        <w:t>Fraternal Order of Police v. Cleveland</w:t>
      </w:r>
      <w:r>
        <w:t>, 141 Ohio App.3d, 81 (8</w:t>
      </w:r>
      <w:r w:rsidRPr="00CF1B4A">
        <w:t>th</w:t>
      </w:r>
      <w:r>
        <w:t xml:space="preserve"> Dist. 2001) (citations omitted).</w:t>
      </w:r>
    </w:p>
  </w:footnote>
  <w:footnote w:id="35">
    <w:p w:rsidR="00BD0B2A" w:rsidRDefault="00BD0B2A">
      <w:pPr>
        <w:pStyle w:val="FootnoteText"/>
      </w:pPr>
      <w:r>
        <w:rPr>
          <w:rStyle w:val="FootnoteReference"/>
        </w:rPr>
        <w:footnoteRef/>
      </w:r>
      <w:r w:rsidR="00A9527F">
        <w:rPr>
          <w:i/>
        </w:rPr>
        <w:t xml:space="preserve"> </w:t>
      </w:r>
      <w:r w:rsidRPr="007B6B25">
        <w:rPr>
          <w:i/>
        </w:rPr>
        <w:t>In the Matter of the Application of Columbus Southern Power Company for Approval of an Electric Security Plan, et al.</w:t>
      </w:r>
      <w:r>
        <w:t xml:space="preserve">, Case No. 08-917-EL-SSO, et al., Entry at 3 (March 30, 2009) and </w:t>
      </w:r>
      <w:r w:rsidRPr="00C93AF9">
        <w:rPr>
          <w:i/>
        </w:rPr>
        <w:t>In the Matter of the Dayton Power and Light Company for Approval of Tariff Changes Associated with the Request to Implement a Billing Cost Recovery Rider</w:t>
      </w:r>
      <w:r>
        <w:t>, Case No. 05-792-EL-ATA, Opinion and Order at 14 (March 1, 2006).</w:t>
      </w:r>
    </w:p>
  </w:footnote>
  <w:footnote w:id="36">
    <w:p w:rsidR="00BD0B2A" w:rsidRDefault="00BD0B2A">
      <w:pPr>
        <w:pStyle w:val="FootnoteText"/>
      </w:pPr>
      <w:r>
        <w:rPr>
          <w:rStyle w:val="FootnoteReference"/>
        </w:rPr>
        <w:footnoteRef/>
      </w:r>
      <w:r>
        <w:t xml:space="preserve"> OCC Ex. 34 at 5, 10 (Supplemental Direct of Wilson).  This is a best-case scenario, as it assumes the output clears the PJM markets.  As one of the signatories to the Joint Stipulation and Recommendation, Ohio Energy Group (“OEG”), admits, if a “PPA Unit did not clear in the PJM market, then there would be no capacity revenue from that PPA Unit to offset its costs.  This would dramatically raise the level of costs collected through the PPA Rider.”  Ohio Energy Group Brief at 20 (February 1, 2016).  OEG made this admission in connection with asserting that the PUCO should reserve the right to reevaluate, modify, or terminate the PPA Rider if the PJM Minimum Offer Price Rule (“MOPR”) is applied to the PPA Units during the PPA term.  Id.  The MOPR, according to OEG, “could threaten the ability of [the PPA Units] to clear.”  Id.  A complaint is currently pending at FERC that requests expansion of the MOPR.  </w:t>
      </w:r>
      <w:r w:rsidRPr="00012846">
        <w:t>See</w:t>
      </w:r>
      <w:r>
        <w:t xml:space="preserve"> </w:t>
      </w:r>
      <w:r w:rsidRPr="00BD0B2A">
        <w:t>Complaint Requesting Fast Track Processing</w:t>
      </w:r>
      <w:r>
        <w:t xml:space="preserve">, </w:t>
      </w:r>
      <w:r>
        <w:rPr>
          <w:i/>
        </w:rPr>
        <w:t>Calpine Corp., et al. v. PJM Interconnection, LLC</w:t>
      </w:r>
      <w:r>
        <w:t xml:space="preserve">, Docket No. EL16-49-000 (March 21, 2016).    </w:t>
      </w:r>
    </w:p>
  </w:footnote>
  <w:footnote w:id="37">
    <w:p w:rsidR="00BD0B2A" w:rsidRDefault="00BD0B2A">
      <w:pPr>
        <w:pStyle w:val="FootnoteText"/>
      </w:pPr>
      <w:r>
        <w:rPr>
          <w:rStyle w:val="FootnoteReference"/>
        </w:rPr>
        <w:footnoteRef/>
      </w:r>
      <w:r w:rsidR="00A9527F">
        <w:rPr>
          <w:i/>
        </w:rPr>
        <w:t xml:space="preserve"> </w:t>
      </w:r>
      <w:r w:rsidRPr="00063F3B">
        <w:rPr>
          <w:i/>
        </w:rPr>
        <w:t>Shopping Centers Assn. v. Pub. Util. Comm.</w:t>
      </w:r>
      <w:r>
        <w:t>, 3 Ohio St.2d 1, 3 (1965).</w:t>
      </w:r>
    </w:p>
  </w:footnote>
  <w:footnote w:id="38">
    <w:p w:rsidR="00BD0B2A" w:rsidRDefault="00BD0B2A">
      <w:pPr>
        <w:pStyle w:val="FootnoteText"/>
      </w:pPr>
      <w:r>
        <w:rPr>
          <w:rStyle w:val="FootnoteReference"/>
        </w:rPr>
        <w:footnoteRef/>
      </w:r>
      <w:r w:rsidR="00A9527F">
        <w:rPr>
          <w:i/>
        </w:rPr>
        <w:t xml:space="preserve"> </w:t>
      </w:r>
      <w:r w:rsidRPr="00063F3B">
        <w:rPr>
          <w:i/>
        </w:rPr>
        <w:t>Xcel Energy Servs., Inc. v. FERC</w:t>
      </w:r>
      <w:r>
        <w:t xml:space="preserve">, Slip Opinion at 9 (D.C. Cir. January 15, 2016) (bracketing in original), quoting </w:t>
      </w:r>
      <w:r w:rsidRPr="00093F40">
        <w:rPr>
          <w:i/>
        </w:rPr>
        <w:t>Mun. Light Bds. of Reading &amp; Wakefield v. FPC</w:t>
      </w:r>
      <w:r>
        <w:t>, 450 F.2d 1341, 1348 (D.C. Cir. 1971), cert denied, 405 U.S. 989 (1972).</w:t>
      </w:r>
    </w:p>
  </w:footnote>
  <w:footnote w:id="39">
    <w:p w:rsidR="00BD0B2A" w:rsidRDefault="00BD0B2A">
      <w:pPr>
        <w:pStyle w:val="FootnoteText"/>
      </w:pPr>
      <w:r>
        <w:rPr>
          <w:rStyle w:val="FootnoteReference"/>
        </w:rPr>
        <w:footnoteRef/>
      </w:r>
      <w:r>
        <w:t xml:space="preserve"> Tr. Vol. I at 211; Tr. Vol. VI at 1706-1707.</w:t>
      </w:r>
    </w:p>
  </w:footnote>
  <w:footnote w:id="40">
    <w:p w:rsidR="00BD0B2A" w:rsidRDefault="00BD0B2A">
      <w:pPr>
        <w:pStyle w:val="FootnoteText"/>
      </w:pPr>
      <w:r>
        <w:rPr>
          <w:rStyle w:val="FootnoteReference"/>
        </w:rPr>
        <w:footnoteRef/>
      </w:r>
      <w:r>
        <w:t xml:space="preserve"> AEP Ohio Memo Contra at 13.</w:t>
      </w:r>
    </w:p>
  </w:footnote>
  <w:footnote w:id="41">
    <w:p w:rsidR="00BD0B2A" w:rsidRDefault="00BD0B2A">
      <w:pPr>
        <w:pStyle w:val="FootnoteText"/>
      </w:pPr>
      <w:r>
        <w:rPr>
          <w:rStyle w:val="FootnoteReference"/>
        </w:rPr>
        <w:footnoteRef/>
      </w:r>
      <w:r w:rsidR="00A9527F">
        <w:rPr>
          <w:i/>
        </w:rPr>
        <w:t xml:space="preserve"> </w:t>
      </w:r>
      <w:r w:rsidRPr="00B77594">
        <w:rPr>
          <w:i/>
        </w:rPr>
        <w:t>MCI Telecommunications Corp.</w:t>
      </w:r>
      <w:r>
        <w:t xml:space="preserve">, 31 Ohio St.3d at 605 (Douglas, J., dissenting). </w:t>
      </w:r>
    </w:p>
  </w:footnote>
  <w:footnote w:id="42">
    <w:p w:rsidR="00BD0B2A" w:rsidRDefault="00BD0B2A">
      <w:pPr>
        <w:pStyle w:val="FootnoteText"/>
      </w:pPr>
      <w:r>
        <w:rPr>
          <w:rStyle w:val="FootnoteReference"/>
        </w:rPr>
        <w:footnoteRef/>
      </w:r>
      <w:r>
        <w:t xml:space="preserve"> OCC Ex. 5 at 23; OCC Ex. 6 at 28; OCC Ex. 7 at 28.</w:t>
      </w:r>
    </w:p>
  </w:footnote>
  <w:footnote w:id="43">
    <w:p w:rsidR="00BD0B2A" w:rsidRDefault="00BD0B2A">
      <w:pPr>
        <w:pStyle w:val="FootnoteText"/>
      </w:pPr>
      <w:r>
        <w:rPr>
          <w:rStyle w:val="FootnoteReference"/>
        </w:rPr>
        <w:footnoteRef/>
      </w:r>
      <w:r>
        <w:t xml:space="preserve"> AEP Ohio Memo Contra at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7B" w:rsidRDefault="009C7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7B" w:rsidRDefault="009C76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7B" w:rsidRDefault="009C76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ED" w:rsidRDefault="008F63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ED" w:rsidRDefault="008F6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25ED"/>
    <w:multiLevelType w:val="hybridMultilevel"/>
    <w:tmpl w:val="34865B4C"/>
    <w:lvl w:ilvl="0" w:tplc="9E1E9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882585"/>
    <w:multiLevelType w:val="hybridMultilevel"/>
    <w:tmpl w:val="F308315A"/>
    <w:lvl w:ilvl="0" w:tplc="A438953E">
      <w:start w:val="1"/>
      <w:numFmt w:val="upperRoman"/>
      <w:pStyle w:val="Heading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92312"/>
    <w:multiLevelType w:val="hybridMultilevel"/>
    <w:tmpl w:val="E04AFA50"/>
    <w:lvl w:ilvl="0" w:tplc="925A15C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D7DCC"/>
    <w:multiLevelType w:val="hybridMultilevel"/>
    <w:tmpl w:val="0DAE19E2"/>
    <w:lvl w:ilvl="0" w:tplc="353E05D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9155AF"/>
    <w:multiLevelType w:val="hybridMultilevel"/>
    <w:tmpl w:val="A4AA836A"/>
    <w:lvl w:ilvl="0" w:tplc="FEDE3284">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26"/>
    <w:rsid w:val="00000F51"/>
    <w:rsid w:val="00001D5B"/>
    <w:rsid w:val="000036C9"/>
    <w:rsid w:val="0000678D"/>
    <w:rsid w:val="0001192A"/>
    <w:rsid w:val="00012846"/>
    <w:rsid w:val="000148FA"/>
    <w:rsid w:val="00025390"/>
    <w:rsid w:val="00027CA1"/>
    <w:rsid w:val="00031A71"/>
    <w:rsid w:val="00037602"/>
    <w:rsid w:val="000567E8"/>
    <w:rsid w:val="0005742B"/>
    <w:rsid w:val="00063F3B"/>
    <w:rsid w:val="00067AAF"/>
    <w:rsid w:val="00093F40"/>
    <w:rsid w:val="000A77EE"/>
    <w:rsid w:val="000C17DC"/>
    <w:rsid w:val="000C7608"/>
    <w:rsid w:val="000D7B6D"/>
    <w:rsid w:val="000E7295"/>
    <w:rsid w:val="000F1985"/>
    <w:rsid w:val="000F759A"/>
    <w:rsid w:val="00102276"/>
    <w:rsid w:val="00102453"/>
    <w:rsid w:val="0010252E"/>
    <w:rsid w:val="00120169"/>
    <w:rsid w:val="001360FC"/>
    <w:rsid w:val="00140C37"/>
    <w:rsid w:val="0015692C"/>
    <w:rsid w:val="00163A4E"/>
    <w:rsid w:val="00164DCB"/>
    <w:rsid w:val="00167042"/>
    <w:rsid w:val="00173C00"/>
    <w:rsid w:val="001740ED"/>
    <w:rsid w:val="00187B84"/>
    <w:rsid w:val="001B2D32"/>
    <w:rsid w:val="001C39A0"/>
    <w:rsid w:val="001F1463"/>
    <w:rsid w:val="001F4BD2"/>
    <w:rsid w:val="002039E9"/>
    <w:rsid w:val="002109DD"/>
    <w:rsid w:val="00213223"/>
    <w:rsid w:val="00222BE7"/>
    <w:rsid w:val="00225C64"/>
    <w:rsid w:val="00226D58"/>
    <w:rsid w:val="002272CC"/>
    <w:rsid w:val="002452FB"/>
    <w:rsid w:val="00267C55"/>
    <w:rsid w:val="00273108"/>
    <w:rsid w:val="00295947"/>
    <w:rsid w:val="002B193E"/>
    <w:rsid w:val="002B597D"/>
    <w:rsid w:val="002D187B"/>
    <w:rsid w:val="002E67CB"/>
    <w:rsid w:val="002E6D2A"/>
    <w:rsid w:val="002F1F77"/>
    <w:rsid w:val="002F53F2"/>
    <w:rsid w:val="002F6510"/>
    <w:rsid w:val="003112A8"/>
    <w:rsid w:val="00312A55"/>
    <w:rsid w:val="0032363F"/>
    <w:rsid w:val="0034197E"/>
    <w:rsid w:val="00350262"/>
    <w:rsid w:val="0035471D"/>
    <w:rsid w:val="003770BD"/>
    <w:rsid w:val="00383C69"/>
    <w:rsid w:val="00387117"/>
    <w:rsid w:val="003B2C02"/>
    <w:rsid w:val="003C2541"/>
    <w:rsid w:val="003D0FC0"/>
    <w:rsid w:val="003D1A50"/>
    <w:rsid w:val="00403AAB"/>
    <w:rsid w:val="0041182E"/>
    <w:rsid w:val="00454192"/>
    <w:rsid w:val="00454A80"/>
    <w:rsid w:val="00460301"/>
    <w:rsid w:val="00465A9A"/>
    <w:rsid w:val="0047378D"/>
    <w:rsid w:val="00475BCD"/>
    <w:rsid w:val="0048540C"/>
    <w:rsid w:val="004905A3"/>
    <w:rsid w:val="00490C57"/>
    <w:rsid w:val="004A2F10"/>
    <w:rsid w:val="004A570F"/>
    <w:rsid w:val="004B60D5"/>
    <w:rsid w:val="004D1AA6"/>
    <w:rsid w:val="004E3015"/>
    <w:rsid w:val="00520B15"/>
    <w:rsid w:val="00532B2D"/>
    <w:rsid w:val="00546AC7"/>
    <w:rsid w:val="00554275"/>
    <w:rsid w:val="00555750"/>
    <w:rsid w:val="0059453F"/>
    <w:rsid w:val="005A1648"/>
    <w:rsid w:val="005A2107"/>
    <w:rsid w:val="005B0547"/>
    <w:rsid w:val="005C4453"/>
    <w:rsid w:val="005F0E28"/>
    <w:rsid w:val="005F502E"/>
    <w:rsid w:val="00600F17"/>
    <w:rsid w:val="00601646"/>
    <w:rsid w:val="006120BE"/>
    <w:rsid w:val="006161FC"/>
    <w:rsid w:val="00622C0C"/>
    <w:rsid w:val="006277B0"/>
    <w:rsid w:val="00635B44"/>
    <w:rsid w:val="0065494D"/>
    <w:rsid w:val="0067319B"/>
    <w:rsid w:val="00677268"/>
    <w:rsid w:val="00680B6C"/>
    <w:rsid w:val="006A242C"/>
    <w:rsid w:val="006A36CC"/>
    <w:rsid w:val="006A3A3B"/>
    <w:rsid w:val="006A710A"/>
    <w:rsid w:val="006B0AAC"/>
    <w:rsid w:val="006B0B7C"/>
    <w:rsid w:val="006B2419"/>
    <w:rsid w:val="006B4155"/>
    <w:rsid w:val="006B77A1"/>
    <w:rsid w:val="006C6ACB"/>
    <w:rsid w:val="006E077A"/>
    <w:rsid w:val="00710DE6"/>
    <w:rsid w:val="0072070D"/>
    <w:rsid w:val="00722F17"/>
    <w:rsid w:val="0073672E"/>
    <w:rsid w:val="0074223E"/>
    <w:rsid w:val="00752600"/>
    <w:rsid w:val="007532E7"/>
    <w:rsid w:val="00764C6C"/>
    <w:rsid w:val="00766C1F"/>
    <w:rsid w:val="007670E4"/>
    <w:rsid w:val="00771783"/>
    <w:rsid w:val="00774D3B"/>
    <w:rsid w:val="00785236"/>
    <w:rsid w:val="007925DC"/>
    <w:rsid w:val="007B2FD5"/>
    <w:rsid w:val="007B6B25"/>
    <w:rsid w:val="007C06E4"/>
    <w:rsid w:val="007C29E3"/>
    <w:rsid w:val="007C4266"/>
    <w:rsid w:val="007D5B2A"/>
    <w:rsid w:val="007E067C"/>
    <w:rsid w:val="007F1416"/>
    <w:rsid w:val="007F2EB2"/>
    <w:rsid w:val="00800AF5"/>
    <w:rsid w:val="008121D4"/>
    <w:rsid w:val="00813402"/>
    <w:rsid w:val="008134E4"/>
    <w:rsid w:val="008170F0"/>
    <w:rsid w:val="00822D4D"/>
    <w:rsid w:val="0083120B"/>
    <w:rsid w:val="008373E4"/>
    <w:rsid w:val="00841BC7"/>
    <w:rsid w:val="00864279"/>
    <w:rsid w:val="008761F1"/>
    <w:rsid w:val="00876B8D"/>
    <w:rsid w:val="00877BC4"/>
    <w:rsid w:val="00897944"/>
    <w:rsid w:val="00897D43"/>
    <w:rsid w:val="008A1E2B"/>
    <w:rsid w:val="008B26BF"/>
    <w:rsid w:val="008B27EE"/>
    <w:rsid w:val="008B748B"/>
    <w:rsid w:val="008C3870"/>
    <w:rsid w:val="008E12C6"/>
    <w:rsid w:val="008E267D"/>
    <w:rsid w:val="008E444F"/>
    <w:rsid w:val="008F63ED"/>
    <w:rsid w:val="009074EF"/>
    <w:rsid w:val="00915AD2"/>
    <w:rsid w:val="009202EF"/>
    <w:rsid w:val="00920F64"/>
    <w:rsid w:val="00921526"/>
    <w:rsid w:val="009225BC"/>
    <w:rsid w:val="009305A7"/>
    <w:rsid w:val="00931D5E"/>
    <w:rsid w:val="009322F3"/>
    <w:rsid w:val="00941865"/>
    <w:rsid w:val="0095499F"/>
    <w:rsid w:val="009555DA"/>
    <w:rsid w:val="0096048B"/>
    <w:rsid w:val="00961205"/>
    <w:rsid w:val="00967659"/>
    <w:rsid w:val="00973A01"/>
    <w:rsid w:val="0099378F"/>
    <w:rsid w:val="009A6B5A"/>
    <w:rsid w:val="009B2CE9"/>
    <w:rsid w:val="009B4EE2"/>
    <w:rsid w:val="009C5A02"/>
    <w:rsid w:val="009C767B"/>
    <w:rsid w:val="009D3C73"/>
    <w:rsid w:val="009E4FA2"/>
    <w:rsid w:val="009E6D29"/>
    <w:rsid w:val="00A210B1"/>
    <w:rsid w:val="00A2195D"/>
    <w:rsid w:val="00A253B9"/>
    <w:rsid w:val="00A46042"/>
    <w:rsid w:val="00A504C1"/>
    <w:rsid w:val="00A55F0F"/>
    <w:rsid w:val="00A56AE9"/>
    <w:rsid w:val="00A63C40"/>
    <w:rsid w:val="00A801C9"/>
    <w:rsid w:val="00A92FFD"/>
    <w:rsid w:val="00A9527F"/>
    <w:rsid w:val="00AB298A"/>
    <w:rsid w:val="00AB791E"/>
    <w:rsid w:val="00AC7623"/>
    <w:rsid w:val="00AE0D6F"/>
    <w:rsid w:val="00AE6057"/>
    <w:rsid w:val="00AF158F"/>
    <w:rsid w:val="00AF21B1"/>
    <w:rsid w:val="00B21BCD"/>
    <w:rsid w:val="00B23B62"/>
    <w:rsid w:val="00B261C9"/>
    <w:rsid w:val="00B26401"/>
    <w:rsid w:val="00B33061"/>
    <w:rsid w:val="00B37A54"/>
    <w:rsid w:val="00B5526B"/>
    <w:rsid w:val="00B77594"/>
    <w:rsid w:val="00B96748"/>
    <w:rsid w:val="00B97E02"/>
    <w:rsid w:val="00BA265A"/>
    <w:rsid w:val="00BA4412"/>
    <w:rsid w:val="00BA7255"/>
    <w:rsid w:val="00BA7B88"/>
    <w:rsid w:val="00BB2039"/>
    <w:rsid w:val="00BC20D0"/>
    <w:rsid w:val="00BD0B2A"/>
    <w:rsid w:val="00BE539D"/>
    <w:rsid w:val="00BE6D24"/>
    <w:rsid w:val="00BF653A"/>
    <w:rsid w:val="00C024FE"/>
    <w:rsid w:val="00C114F7"/>
    <w:rsid w:val="00C225E0"/>
    <w:rsid w:val="00C26DB5"/>
    <w:rsid w:val="00C365CF"/>
    <w:rsid w:val="00C420FA"/>
    <w:rsid w:val="00C4285B"/>
    <w:rsid w:val="00C46720"/>
    <w:rsid w:val="00C51740"/>
    <w:rsid w:val="00C551AE"/>
    <w:rsid w:val="00C569ED"/>
    <w:rsid w:val="00C6101E"/>
    <w:rsid w:val="00C62502"/>
    <w:rsid w:val="00C63025"/>
    <w:rsid w:val="00C6478A"/>
    <w:rsid w:val="00C704F0"/>
    <w:rsid w:val="00C73A0B"/>
    <w:rsid w:val="00C77237"/>
    <w:rsid w:val="00C8480E"/>
    <w:rsid w:val="00C93AF9"/>
    <w:rsid w:val="00CB2FF3"/>
    <w:rsid w:val="00CC3AAE"/>
    <w:rsid w:val="00CD33A0"/>
    <w:rsid w:val="00CE011B"/>
    <w:rsid w:val="00CF1095"/>
    <w:rsid w:val="00CF10E8"/>
    <w:rsid w:val="00CF1B4A"/>
    <w:rsid w:val="00CF637E"/>
    <w:rsid w:val="00D05585"/>
    <w:rsid w:val="00D0643A"/>
    <w:rsid w:val="00D23657"/>
    <w:rsid w:val="00D33D30"/>
    <w:rsid w:val="00D428F0"/>
    <w:rsid w:val="00D455FE"/>
    <w:rsid w:val="00D458CE"/>
    <w:rsid w:val="00D46082"/>
    <w:rsid w:val="00D74677"/>
    <w:rsid w:val="00D80FDD"/>
    <w:rsid w:val="00D84032"/>
    <w:rsid w:val="00D97394"/>
    <w:rsid w:val="00DA22C2"/>
    <w:rsid w:val="00DA23FB"/>
    <w:rsid w:val="00DB2ED9"/>
    <w:rsid w:val="00DB7895"/>
    <w:rsid w:val="00DD0FD0"/>
    <w:rsid w:val="00DD3154"/>
    <w:rsid w:val="00DF3A9D"/>
    <w:rsid w:val="00DF4B76"/>
    <w:rsid w:val="00E0258D"/>
    <w:rsid w:val="00E169DF"/>
    <w:rsid w:val="00E3782B"/>
    <w:rsid w:val="00E37FFD"/>
    <w:rsid w:val="00E57C24"/>
    <w:rsid w:val="00E60B33"/>
    <w:rsid w:val="00E725DF"/>
    <w:rsid w:val="00E863BB"/>
    <w:rsid w:val="00E94FEF"/>
    <w:rsid w:val="00E954F4"/>
    <w:rsid w:val="00EA1811"/>
    <w:rsid w:val="00EA32C7"/>
    <w:rsid w:val="00EC3157"/>
    <w:rsid w:val="00EC4042"/>
    <w:rsid w:val="00EC7696"/>
    <w:rsid w:val="00EE30FB"/>
    <w:rsid w:val="00EF1491"/>
    <w:rsid w:val="00EF5378"/>
    <w:rsid w:val="00F02745"/>
    <w:rsid w:val="00F17DD1"/>
    <w:rsid w:val="00F300F4"/>
    <w:rsid w:val="00F30DEC"/>
    <w:rsid w:val="00F32830"/>
    <w:rsid w:val="00F44F48"/>
    <w:rsid w:val="00F55779"/>
    <w:rsid w:val="00F61840"/>
    <w:rsid w:val="00F74B05"/>
    <w:rsid w:val="00F842C0"/>
    <w:rsid w:val="00F85F1C"/>
    <w:rsid w:val="00F91D6B"/>
    <w:rsid w:val="00F92B96"/>
    <w:rsid w:val="00F9530B"/>
    <w:rsid w:val="00FC71FF"/>
    <w:rsid w:val="00FD1A39"/>
    <w:rsid w:val="00FE07F4"/>
    <w:rsid w:val="00FF0DD6"/>
    <w:rsid w:val="00FF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95"/>
    <w:rPr>
      <w:rFonts w:ascii="Times New Roman" w:hAnsi="Times New Roman"/>
      <w:sz w:val="24"/>
    </w:rPr>
  </w:style>
  <w:style w:type="paragraph" w:styleId="Heading1">
    <w:name w:val="heading 1"/>
    <w:basedOn w:val="Normal"/>
    <w:next w:val="Normal"/>
    <w:link w:val="Heading1Char"/>
    <w:autoRedefine/>
    <w:uiPriority w:val="9"/>
    <w:qFormat/>
    <w:rsid w:val="00A9527F"/>
    <w:pPr>
      <w:keepNext/>
      <w:keepLines/>
      <w:numPr>
        <w:numId w:val="1"/>
      </w:numPr>
      <w:spacing w:after="240" w:line="240" w:lineRule="auto"/>
      <w:ind w:left="72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unhideWhenUsed/>
    <w:qFormat/>
    <w:rsid w:val="00A9527F"/>
    <w:pPr>
      <w:keepNext/>
      <w:keepLines/>
      <w:numPr>
        <w:numId w:val="5"/>
      </w:numPr>
      <w:spacing w:after="240" w:line="240" w:lineRule="auto"/>
      <w:ind w:left="1440" w:right="720" w:hanging="720"/>
      <w:outlineLvl w:val="1"/>
    </w:pPr>
    <w:rPr>
      <w:rFonts w:ascii="Times New Roman Bold" w:eastAsiaTheme="majorEastAsia" w:hAnsi="Times New Roman Bold" w:cs="Times New Roman"/>
      <w:b/>
      <w:bCs/>
      <w:szCs w:val="24"/>
    </w:rPr>
  </w:style>
  <w:style w:type="paragraph" w:styleId="Heading3">
    <w:name w:val="heading 3"/>
    <w:basedOn w:val="Normal"/>
    <w:next w:val="Normal"/>
    <w:link w:val="Heading3Char"/>
    <w:autoRedefine/>
    <w:uiPriority w:val="9"/>
    <w:unhideWhenUsed/>
    <w:qFormat/>
    <w:rsid w:val="00A9527F"/>
    <w:pPr>
      <w:keepNext/>
      <w:keepLines/>
      <w:spacing w:after="240" w:line="240" w:lineRule="auto"/>
      <w:ind w:left="2160" w:right="720" w:hanging="720"/>
      <w:outlineLvl w:val="2"/>
    </w:pPr>
    <w:rPr>
      <w:rFonts w:ascii="Times New Roman Bold" w:eastAsiaTheme="majorEastAsia" w:hAnsi="Times New Roman Bold"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27F"/>
    <w:rPr>
      <w:rFonts w:ascii="Times New Roman Bold" w:eastAsiaTheme="majorEastAsia" w:hAnsi="Times New Roman Bold" w:cs="Times New Roman"/>
      <w:b/>
      <w:bCs/>
      <w:sz w:val="24"/>
      <w:szCs w:val="24"/>
    </w:rPr>
  </w:style>
  <w:style w:type="character" w:customStyle="1" w:styleId="Heading3Char">
    <w:name w:val="Heading 3 Char"/>
    <w:basedOn w:val="DefaultParagraphFont"/>
    <w:link w:val="Heading3"/>
    <w:uiPriority w:val="9"/>
    <w:rsid w:val="00A9527F"/>
    <w:rPr>
      <w:rFonts w:ascii="Times New Roman Bold" w:eastAsiaTheme="majorEastAsia" w:hAnsi="Times New Roman Bold" w:cs="Times New Roman"/>
      <w:b/>
      <w:bCs/>
      <w:sz w:val="24"/>
      <w:szCs w:val="24"/>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uiPriority w:val="99"/>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basedOn w:val="DefaultParagraphFont"/>
    <w:rsid w:val="00921526"/>
    <w:rPr>
      <w:rFonts w:ascii="Times New Roman" w:hAnsi="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Style 16"/>
    <w:uiPriority w:val="99"/>
    <w:semiHidden/>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A9527F"/>
    <w:rPr>
      <w:rFonts w:ascii="Times New Roman Bold" w:eastAsiaTheme="majorEastAsia" w:hAnsi="Times New Roman Bold" w:cstheme="majorBidi"/>
      <w:b/>
      <w:bCs/>
      <w:caps/>
      <w:sz w:val="24"/>
      <w:szCs w:val="28"/>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8F63ED"/>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8F63ED"/>
    <w:pPr>
      <w:tabs>
        <w:tab w:val="decimal" w:leader="dot" w:pos="8640"/>
      </w:tabs>
      <w:spacing w:after="240" w:line="240" w:lineRule="auto"/>
      <w:ind w:left="1440" w:hanging="720"/>
    </w:pPr>
  </w:style>
  <w:style w:type="paragraph" w:styleId="TOC3">
    <w:name w:val="toc 3"/>
    <w:basedOn w:val="Normal"/>
    <w:next w:val="Normal"/>
    <w:autoRedefine/>
    <w:uiPriority w:val="39"/>
    <w:unhideWhenUsed/>
    <w:qFormat/>
    <w:rsid w:val="008F63ED"/>
    <w:pPr>
      <w:tabs>
        <w:tab w:val="decimal" w:leader="dot" w:pos="8640"/>
      </w:tabs>
      <w:spacing w:after="240" w:line="240" w:lineRule="auto"/>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95"/>
    <w:rPr>
      <w:rFonts w:ascii="Times New Roman" w:hAnsi="Times New Roman"/>
      <w:sz w:val="24"/>
    </w:rPr>
  </w:style>
  <w:style w:type="paragraph" w:styleId="Heading1">
    <w:name w:val="heading 1"/>
    <w:basedOn w:val="Normal"/>
    <w:next w:val="Normal"/>
    <w:link w:val="Heading1Char"/>
    <w:autoRedefine/>
    <w:uiPriority w:val="9"/>
    <w:qFormat/>
    <w:rsid w:val="00A9527F"/>
    <w:pPr>
      <w:keepNext/>
      <w:keepLines/>
      <w:numPr>
        <w:numId w:val="1"/>
      </w:numPr>
      <w:spacing w:after="240" w:line="240" w:lineRule="auto"/>
      <w:ind w:left="72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unhideWhenUsed/>
    <w:qFormat/>
    <w:rsid w:val="00A9527F"/>
    <w:pPr>
      <w:keepNext/>
      <w:keepLines/>
      <w:numPr>
        <w:numId w:val="5"/>
      </w:numPr>
      <w:spacing w:after="240" w:line="240" w:lineRule="auto"/>
      <w:ind w:left="1440" w:right="720" w:hanging="720"/>
      <w:outlineLvl w:val="1"/>
    </w:pPr>
    <w:rPr>
      <w:rFonts w:ascii="Times New Roman Bold" w:eastAsiaTheme="majorEastAsia" w:hAnsi="Times New Roman Bold" w:cs="Times New Roman"/>
      <w:b/>
      <w:bCs/>
      <w:szCs w:val="24"/>
    </w:rPr>
  </w:style>
  <w:style w:type="paragraph" w:styleId="Heading3">
    <w:name w:val="heading 3"/>
    <w:basedOn w:val="Normal"/>
    <w:next w:val="Normal"/>
    <w:link w:val="Heading3Char"/>
    <w:autoRedefine/>
    <w:uiPriority w:val="9"/>
    <w:unhideWhenUsed/>
    <w:qFormat/>
    <w:rsid w:val="00A9527F"/>
    <w:pPr>
      <w:keepNext/>
      <w:keepLines/>
      <w:spacing w:after="240" w:line="240" w:lineRule="auto"/>
      <w:ind w:left="2160" w:right="720" w:hanging="720"/>
      <w:outlineLvl w:val="2"/>
    </w:pPr>
    <w:rPr>
      <w:rFonts w:ascii="Times New Roman Bold" w:eastAsiaTheme="majorEastAsia" w:hAnsi="Times New Roman Bold"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27F"/>
    <w:rPr>
      <w:rFonts w:ascii="Times New Roman Bold" w:eastAsiaTheme="majorEastAsia" w:hAnsi="Times New Roman Bold" w:cs="Times New Roman"/>
      <w:b/>
      <w:bCs/>
      <w:sz w:val="24"/>
      <w:szCs w:val="24"/>
    </w:rPr>
  </w:style>
  <w:style w:type="character" w:customStyle="1" w:styleId="Heading3Char">
    <w:name w:val="Heading 3 Char"/>
    <w:basedOn w:val="DefaultParagraphFont"/>
    <w:link w:val="Heading3"/>
    <w:uiPriority w:val="9"/>
    <w:rsid w:val="00A9527F"/>
    <w:rPr>
      <w:rFonts w:ascii="Times New Roman Bold" w:eastAsiaTheme="majorEastAsia" w:hAnsi="Times New Roman Bold" w:cs="Times New Roman"/>
      <w:b/>
      <w:bCs/>
      <w:sz w:val="24"/>
      <w:szCs w:val="24"/>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uiPriority w:val="99"/>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basedOn w:val="DefaultParagraphFont"/>
    <w:rsid w:val="00921526"/>
    <w:rPr>
      <w:rFonts w:ascii="Times New Roman" w:hAnsi="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Style 16"/>
    <w:uiPriority w:val="99"/>
    <w:semiHidden/>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A9527F"/>
    <w:rPr>
      <w:rFonts w:ascii="Times New Roman Bold" w:eastAsiaTheme="majorEastAsia" w:hAnsi="Times New Roman Bold" w:cstheme="majorBidi"/>
      <w:b/>
      <w:bCs/>
      <w:caps/>
      <w:sz w:val="24"/>
      <w:szCs w:val="28"/>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8F63ED"/>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8F63ED"/>
    <w:pPr>
      <w:tabs>
        <w:tab w:val="decimal" w:leader="dot" w:pos="8640"/>
      </w:tabs>
      <w:spacing w:after="240" w:line="240" w:lineRule="auto"/>
      <w:ind w:left="1440" w:hanging="720"/>
    </w:pPr>
  </w:style>
  <w:style w:type="paragraph" w:styleId="TOC3">
    <w:name w:val="toc 3"/>
    <w:basedOn w:val="Normal"/>
    <w:next w:val="Normal"/>
    <w:autoRedefine/>
    <w:uiPriority w:val="39"/>
    <w:unhideWhenUsed/>
    <w:qFormat/>
    <w:rsid w:val="008F63ED"/>
    <w:pPr>
      <w:tabs>
        <w:tab w:val="decimal" w:leader="dot" w:pos="8640"/>
      </w:tabs>
      <w:spacing w:after="240" w:line="240" w:lineRule="auto"/>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4310">
      <w:bodyDiv w:val="1"/>
      <w:marLeft w:val="0"/>
      <w:marRight w:val="0"/>
      <w:marTop w:val="0"/>
      <w:marBottom w:val="0"/>
      <w:divBdr>
        <w:top w:val="none" w:sz="0" w:space="0" w:color="auto"/>
        <w:left w:val="none" w:sz="0" w:space="0" w:color="auto"/>
        <w:bottom w:val="none" w:sz="0" w:space="0" w:color="auto"/>
        <w:right w:val="none" w:sz="0" w:space="0" w:color="auto"/>
      </w:divBdr>
    </w:div>
    <w:div w:id="621426240">
      <w:bodyDiv w:val="1"/>
      <w:marLeft w:val="0"/>
      <w:marRight w:val="0"/>
      <w:marTop w:val="0"/>
      <w:marBottom w:val="0"/>
      <w:divBdr>
        <w:top w:val="none" w:sz="0" w:space="0" w:color="auto"/>
        <w:left w:val="none" w:sz="0" w:space="0" w:color="auto"/>
        <w:bottom w:val="none" w:sz="0" w:space="0" w:color="auto"/>
        <w:right w:val="none" w:sz="0" w:space="0" w:color="auto"/>
      </w:divBdr>
    </w:div>
    <w:div w:id="627056358">
      <w:bodyDiv w:val="1"/>
      <w:marLeft w:val="0"/>
      <w:marRight w:val="0"/>
      <w:marTop w:val="0"/>
      <w:marBottom w:val="0"/>
      <w:divBdr>
        <w:top w:val="none" w:sz="0" w:space="0" w:color="auto"/>
        <w:left w:val="none" w:sz="0" w:space="0" w:color="auto"/>
        <w:bottom w:val="none" w:sz="0" w:space="0" w:color="auto"/>
        <w:right w:val="none" w:sz="0" w:space="0" w:color="auto"/>
      </w:divBdr>
    </w:div>
    <w:div w:id="673797592">
      <w:bodyDiv w:val="1"/>
      <w:marLeft w:val="0"/>
      <w:marRight w:val="0"/>
      <w:marTop w:val="0"/>
      <w:marBottom w:val="0"/>
      <w:divBdr>
        <w:top w:val="none" w:sz="0" w:space="0" w:color="auto"/>
        <w:left w:val="none" w:sz="0" w:space="0" w:color="auto"/>
        <w:bottom w:val="none" w:sz="0" w:space="0" w:color="auto"/>
        <w:right w:val="none" w:sz="0" w:space="0" w:color="auto"/>
      </w:divBdr>
    </w:div>
    <w:div w:id="886794533">
      <w:bodyDiv w:val="1"/>
      <w:marLeft w:val="0"/>
      <w:marRight w:val="0"/>
      <w:marTop w:val="0"/>
      <w:marBottom w:val="0"/>
      <w:divBdr>
        <w:top w:val="none" w:sz="0" w:space="0" w:color="auto"/>
        <w:left w:val="none" w:sz="0" w:space="0" w:color="auto"/>
        <w:bottom w:val="none" w:sz="0" w:space="0" w:color="auto"/>
        <w:right w:val="none" w:sz="0" w:space="0" w:color="auto"/>
      </w:divBdr>
    </w:div>
    <w:div w:id="989333644">
      <w:bodyDiv w:val="1"/>
      <w:marLeft w:val="0"/>
      <w:marRight w:val="0"/>
      <w:marTop w:val="0"/>
      <w:marBottom w:val="0"/>
      <w:divBdr>
        <w:top w:val="none" w:sz="0" w:space="0" w:color="auto"/>
        <w:left w:val="none" w:sz="0" w:space="0" w:color="auto"/>
        <w:bottom w:val="none" w:sz="0" w:space="0" w:color="auto"/>
        <w:right w:val="none" w:sz="0" w:space="0" w:color="auto"/>
      </w:divBdr>
    </w:div>
    <w:div w:id="19246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jko@carpenterlipps.com" TargetMode="External"/><Relationship Id="rId18" Type="http://schemas.openxmlformats.org/officeDocument/2006/relationships/footer" Target="footer2.xml"/><Relationship Id="rId26" Type="http://schemas.openxmlformats.org/officeDocument/2006/relationships/hyperlink" Target="mailto:dstinson@bricker.com" TargetMode="External"/><Relationship Id="rId39" Type="http://schemas.openxmlformats.org/officeDocument/2006/relationships/hyperlink" Target="mailto:myurick@taftlaw.com" TargetMode="External"/><Relationship Id="rId21" Type="http://schemas.openxmlformats.org/officeDocument/2006/relationships/header" Target="header4.xml"/><Relationship Id="rId34" Type="http://schemas.openxmlformats.org/officeDocument/2006/relationships/hyperlink" Target="mailto:haydenm@firstenergycorp.com" TargetMode="External"/><Relationship Id="rId42" Type="http://schemas.openxmlformats.org/officeDocument/2006/relationships/hyperlink" Target="mailto:tdougherty@theOEC.org" TargetMode="External"/><Relationship Id="rId47" Type="http://schemas.openxmlformats.org/officeDocument/2006/relationships/hyperlink" Target="mailto:mdortch@kravitzllc.com" TargetMode="External"/><Relationship Id="rId50" Type="http://schemas.openxmlformats.org/officeDocument/2006/relationships/hyperlink" Target="mailto:gpoulos@enernoc.com" TargetMode="External"/><Relationship Id="rId55" Type="http://schemas.openxmlformats.org/officeDocument/2006/relationships/hyperlink" Target="mailto:rseiler@dickinsonwright.com" TargetMode="External"/><Relationship Id="rId63" Type="http://schemas.openxmlformats.org/officeDocument/2006/relationships/hyperlink" Target="mailto:jkylercohn@BKLlawfirm.com" TargetMode="External"/><Relationship Id="rId68" Type="http://schemas.openxmlformats.org/officeDocument/2006/relationships/hyperlink" Target="mailto:Scott.Campbell@ThompsonHine.com" TargetMode="External"/><Relationship Id="rId76" Type="http://schemas.openxmlformats.org/officeDocument/2006/relationships/hyperlink" Target="mailto:orourke@carpenterlipps.com"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dwilliamson@spilmanlaw.com" TargetMode="Externa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mailto:orourke@carpenterlipps.com" TargetMode="External"/><Relationship Id="rId11" Type="http://schemas.openxmlformats.org/officeDocument/2006/relationships/hyperlink" Target="mailto:dstinson@bricker.com" TargetMode="External"/><Relationship Id="rId24" Type="http://schemas.openxmlformats.org/officeDocument/2006/relationships/hyperlink" Target="mailto:Jodi.bair@occ.ohio.gov" TargetMode="External"/><Relationship Id="rId32" Type="http://schemas.openxmlformats.org/officeDocument/2006/relationships/hyperlink" Target="mailto:Steven.beeler@puc.state.oh.us" TargetMode="External"/><Relationship Id="rId37" Type="http://schemas.openxmlformats.org/officeDocument/2006/relationships/hyperlink" Target="mailto:jlang@calfee.com" TargetMode="External"/><Relationship Id="rId40" Type="http://schemas.openxmlformats.org/officeDocument/2006/relationships/hyperlink" Target="mailto:callwein@keglerbrown.com" TargetMode="External"/><Relationship Id="rId45" Type="http://schemas.openxmlformats.org/officeDocument/2006/relationships/hyperlink" Target="mailto:ricks@ohanet.org" TargetMode="External"/><Relationship Id="rId53" Type="http://schemas.openxmlformats.org/officeDocument/2006/relationships/hyperlink" Target="mailto:chris@envlaw.com" TargetMode="External"/><Relationship Id="rId58" Type="http://schemas.openxmlformats.org/officeDocument/2006/relationships/hyperlink" Target="mailto:mjsatterwhite@aep.com" TargetMode="External"/><Relationship Id="rId66" Type="http://schemas.openxmlformats.org/officeDocument/2006/relationships/hyperlink" Target="mailto:mpritchard@mwncmh.com" TargetMode="External"/><Relationship Id="rId74" Type="http://schemas.openxmlformats.org/officeDocument/2006/relationships/hyperlink" Target="mailto:Schmidt@sppgrp.com" TargetMode="External"/><Relationship Id="rId79" Type="http://schemas.openxmlformats.org/officeDocument/2006/relationships/hyperlink" Target="mailto:msoules@earthjustice.org" TargetMode="External"/><Relationship Id="rId5" Type="http://schemas.openxmlformats.org/officeDocument/2006/relationships/webSettings" Target="webSettings.xml"/><Relationship Id="rId61" Type="http://schemas.openxmlformats.org/officeDocument/2006/relationships/hyperlink" Target="mailto:mkurtz@BKLlawfirm.com" TargetMode="External"/><Relationship Id="rId82" Type="http://schemas.openxmlformats.org/officeDocument/2006/relationships/hyperlink" Target="mailto:evelyn.robinson@pjm.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odi.bair@occ.ohio.gov" TargetMode="External"/><Relationship Id="rId14" Type="http://schemas.openxmlformats.org/officeDocument/2006/relationships/hyperlink" Target="mailto:orourke@carpenterlipps.com" TargetMode="External"/><Relationship Id="rId22" Type="http://schemas.openxmlformats.org/officeDocument/2006/relationships/footer" Target="footer4.xml"/><Relationship Id="rId27" Type="http://schemas.openxmlformats.org/officeDocument/2006/relationships/hyperlink" Target="mailto:msmalz@ohiopovertylaw.org" TargetMode="External"/><Relationship Id="rId30" Type="http://schemas.openxmlformats.org/officeDocument/2006/relationships/header" Target="header5.xml"/><Relationship Id="rId35" Type="http://schemas.openxmlformats.org/officeDocument/2006/relationships/hyperlink" Target="mailto:jmcdermott@firstenergycorp.com" TargetMode="External"/><Relationship Id="rId43" Type="http://schemas.openxmlformats.org/officeDocument/2006/relationships/hyperlink" Target="mailto:twilliams@snhslaw.com" TargetMode="External"/><Relationship Id="rId48" Type="http://schemas.openxmlformats.org/officeDocument/2006/relationships/hyperlink" Target="mailto:joliker@igsenergy.com" TargetMode="External"/><Relationship Id="rId56" Type="http://schemas.openxmlformats.org/officeDocument/2006/relationships/hyperlink" Target="mailto:dborchers@bricker.com" TargetMode="External"/><Relationship Id="rId64" Type="http://schemas.openxmlformats.org/officeDocument/2006/relationships/hyperlink" Target="mailto:sam@mwncmh.com" TargetMode="External"/><Relationship Id="rId69" Type="http://schemas.openxmlformats.org/officeDocument/2006/relationships/hyperlink" Target="mailto:Stephanie.Chmiel@ThompsonHine.com" TargetMode="External"/><Relationship Id="rId77" Type="http://schemas.openxmlformats.org/officeDocument/2006/relationships/hyperlink" Target="mailto:cmooney@ohiopartners.org" TargetMode="External"/><Relationship Id="rId8" Type="http://schemas.openxmlformats.org/officeDocument/2006/relationships/hyperlink" Target="mailto:William.michael@occ.ohio.gov" TargetMode="External"/><Relationship Id="rId51" Type="http://schemas.openxmlformats.org/officeDocument/2006/relationships/hyperlink" Target="mailto:sfisk@earthjustice.org" TargetMode="External"/><Relationship Id="rId72" Type="http://schemas.openxmlformats.org/officeDocument/2006/relationships/hyperlink" Target="mailto:charris@spilmanlaw.com" TargetMode="External"/><Relationship Id="rId80" Type="http://schemas.openxmlformats.org/officeDocument/2006/relationships/hyperlink" Target="mailto:jennifer.spinosi@directenergy.com"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mailto:msmalz@ohiopovertylaw.org" TargetMode="External"/><Relationship Id="rId17" Type="http://schemas.openxmlformats.org/officeDocument/2006/relationships/footer" Target="footer1.xml"/><Relationship Id="rId25" Type="http://schemas.openxmlformats.org/officeDocument/2006/relationships/hyperlink" Target="mailto:Kevin.moore@occ.ohio.gov" TargetMode="External"/><Relationship Id="rId33" Type="http://schemas.openxmlformats.org/officeDocument/2006/relationships/hyperlink" Target="mailto:Werner.margard@puc.state.oh.us" TargetMode="External"/><Relationship Id="rId38" Type="http://schemas.openxmlformats.org/officeDocument/2006/relationships/hyperlink" Target="mailto:talexander@calfee.com" TargetMode="External"/><Relationship Id="rId46" Type="http://schemas.openxmlformats.org/officeDocument/2006/relationships/hyperlink" Target="mailto:tobrien@bricker.com" TargetMode="External"/><Relationship Id="rId59" Type="http://schemas.openxmlformats.org/officeDocument/2006/relationships/hyperlink" Target="mailto:msmckenzie@aep.com" TargetMode="External"/><Relationship Id="rId67" Type="http://schemas.openxmlformats.org/officeDocument/2006/relationships/hyperlink" Target="mailto:Kurt.Helfrich@ThompsonHine.com" TargetMode="External"/><Relationship Id="rId20" Type="http://schemas.openxmlformats.org/officeDocument/2006/relationships/footer" Target="footer3.xml"/><Relationship Id="rId41" Type="http://schemas.openxmlformats.org/officeDocument/2006/relationships/hyperlink" Target="mailto:tony.mendoza@sierraclub.org" TargetMode="External"/><Relationship Id="rId54" Type="http://schemas.openxmlformats.org/officeDocument/2006/relationships/hyperlink" Target="mailto:todonnell@dickinsonwright.com" TargetMode="External"/><Relationship Id="rId62" Type="http://schemas.openxmlformats.org/officeDocument/2006/relationships/hyperlink" Target="mailto:kboehm@BKLlawfirm.com" TargetMode="External"/><Relationship Id="rId70" Type="http://schemas.openxmlformats.org/officeDocument/2006/relationships/hyperlink" Target="mailto:lhawrot@spilmanlaw.com" TargetMode="External"/><Relationship Id="rId75" Type="http://schemas.openxmlformats.org/officeDocument/2006/relationships/hyperlink" Target="mailto:Bojko@carpenterlipps.com" TargetMode="External"/><Relationship Id="rId83"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mailto:William.michael@occ.ohio.gov" TargetMode="External"/><Relationship Id="rId28" Type="http://schemas.openxmlformats.org/officeDocument/2006/relationships/hyperlink" Target="mailto:bojko@carpenterlipps.com" TargetMode="External"/><Relationship Id="rId36" Type="http://schemas.openxmlformats.org/officeDocument/2006/relationships/hyperlink" Target="mailto:scasto@firstenergycorp.com" TargetMode="External"/><Relationship Id="rId49" Type="http://schemas.openxmlformats.org/officeDocument/2006/relationships/hyperlink" Target="mailto:sechler@carpenterlipps.com" TargetMode="External"/><Relationship Id="rId57" Type="http://schemas.openxmlformats.org/officeDocument/2006/relationships/hyperlink" Target="mailto:stnourse@aep.com" TargetMode="External"/><Relationship Id="rId10" Type="http://schemas.openxmlformats.org/officeDocument/2006/relationships/hyperlink" Target="mailto:Kevin.moore@occ.ohio.gov" TargetMode="External"/><Relationship Id="rId31" Type="http://schemas.openxmlformats.org/officeDocument/2006/relationships/footer" Target="footer5.xml"/><Relationship Id="rId44" Type="http://schemas.openxmlformats.org/officeDocument/2006/relationships/hyperlink" Target="mailto:jeffrey.mayes@monitoringanalytics.com" TargetMode="External"/><Relationship Id="rId52" Type="http://schemas.openxmlformats.org/officeDocument/2006/relationships/hyperlink" Target="mailto:Kristin.henry@sierraclub.org" TargetMode="External"/><Relationship Id="rId60" Type="http://schemas.openxmlformats.org/officeDocument/2006/relationships/hyperlink" Target="mailto:dconway@porterwright.com" TargetMode="External"/><Relationship Id="rId65" Type="http://schemas.openxmlformats.org/officeDocument/2006/relationships/hyperlink" Target="mailto:fdarr@mwncmh.com" TargetMode="External"/><Relationship Id="rId73" Type="http://schemas.openxmlformats.org/officeDocument/2006/relationships/hyperlink" Target="mailto:Stephen.Chriss@walmart.com" TargetMode="External"/><Relationship Id="rId78" Type="http://schemas.openxmlformats.org/officeDocument/2006/relationships/hyperlink" Target="mailto:drinebolt@ohiopartners.org" TargetMode="External"/><Relationship Id="rId81" Type="http://schemas.openxmlformats.org/officeDocument/2006/relationships/hyperlink" Target="mailto:laurie.williams@sierra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3841</Words>
  <Characters>21505</Characters>
  <Application>Microsoft Office Word</Application>
  <DocSecurity>0</DocSecurity>
  <PresentationFormat/>
  <Lines>547</Lines>
  <Paragraphs>246</Paragraphs>
  <ScaleCrop>false</ScaleCrop>
  <HeadingPairs>
    <vt:vector size="2" baseType="variant">
      <vt:variant>
        <vt:lpstr>Title</vt:lpstr>
      </vt:variant>
      <vt:variant>
        <vt:i4>1</vt:i4>
      </vt:variant>
    </vt:vector>
  </HeadingPairs>
  <TitlesOfParts>
    <vt:vector size="1" baseType="lpstr">
      <vt:lpstr>REVISED 3.28.2016 Consumers' Reply to AEP's Memo Contra (14-1693) (656048).DOCX</vt:lpstr>
    </vt:vector>
  </TitlesOfParts>
  <Manager/>
  <Company/>
  <LinksUpToDate>false</LinksUpToDate>
  <CharactersWithSpaces>25528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2016-03-30T19:23:00Z</cp:lastPrinted>
  <dcterms:created xsi:type="dcterms:W3CDTF">2016-03-30T19:47:00Z</dcterms:created>
  <dcterms:modified xsi:type="dcterms:W3CDTF">2016-03-30T19:47:00Z</dcterms:modified>
  <cp:category> </cp:category>
  <cp:contentStatus> </cp:contentStatus>
</cp:coreProperties>
</file>