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0A5100" w:rsidP="000A5100">
      <w:pPr>
        <w:pStyle w:val="List"/>
        <w:ind w:left="0" w:firstLine="0"/>
        <w:jc w:val="center"/>
        <w:rPr>
          <w:b/>
        </w:rPr>
      </w:pPr>
      <w:bookmarkStart w:id="0" w:name="_GoBack"/>
      <w:bookmarkEnd w:id="0"/>
      <w:r>
        <w:rPr>
          <w:b/>
        </w:rPr>
        <w:t>BEFORE</w:t>
      </w:r>
    </w:p>
    <w:p w:rsidR="000A5100" w:rsidP="000A5100">
      <w:pPr>
        <w:pStyle w:val="List"/>
        <w:ind w:left="0" w:firstLine="0"/>
        <w:jc w:val="center"/>
      </w:pPr>
      <w:r>
        <w:rPr>
          <w:b/>
        </w:rPr>
        <w:t xml:space="preserve">THE PUBLIC UTILITIES COMMISSION OF </w:t>
      </w:r>
      <w:smartTag w:uri="urn:schemas-microsoft-com:office:smarttags" w:element="place">
        <w:smartTag w:uri="urn:schemas-microsoft-com:office:smarttags" w:element="State">
          <w:r>
            <w:rPr>
              <w:b/>
            </w:rPr>
            <w:t>OHIO</w:t>
          </w:r>
        </w:smartTag>
      </w:smartTag>
    </w:p>
    <w:p w:rsidR="000A5100" w:rsidP="000A5100">
      <w:pPr>
        <w:pStyle w:val="HTMLPreformatted"/>
        <w:rPr>
          <w:rFonts w:ascii="Times New Roman" w:hAnsi="Times New Roman"/>
        </w:rPr>
      </w:pPr>
    </w:p>
    <w:tbl>
      <w:tblPr>
        <w:tblStyle w:val="TableGrid"/>
        <w:tblW w:w="90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
      <w:tblGrid>
        <w:gridCol w:w="4320"/>
        <w:gridCol w:w="1050"/>
        <w:gridCol w:w="3708"/>
      </w:tblGrid>
      <w:tr w:rsidTr="00F2714E">
        <w:tblPrEx>
          <w:tblW w:w="907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tblPrEx>
        <w:tc>
          <w:tcPr>
            <w:tcW w:w="4320" w:type="dxa"/>
            <w:tcBorders>
              <w:top w:val="nil"/>
              <w:left w:val="nil"/>
              <w:bottom w:val="nil"/>
              <w:right w:val="nil"/>
            </w:tcBorders>
          </w:tcPr>
          <w:p w:rsidR="008D74AC" w:rsidRPr="00A8553E" w:rsidP="00AA1CA1">
            <w:pPr>
              <w:spacing w:after="0" w:line="240" w:lineRule="auto"/>
              <w:rPr>
                <w:rStyle w:val="DefaultParagraphFont"/>
                <w:rFonts w:ascii="Times New Roman" w:eastAsia="Times New Roman" w:hAnsi="Times New Roman" w:cs="Times New Roman"/>
                <w:sz w:val="24"/>
                <w:szCs w:val="20"/>
                <w:lang w:val="en-US" w:eastAsia="en-US" w:bidi="ar-SA"/>
              </w:rPr>
            </w:pPr>
            <w:r w:rsidRPr="003A7EDC">
              <w:rPr>
                <w:rFonts w:ascii="Times New Roman" w:eastAsia="Times New Roman" w:hAnsi="Times New Roman" w:cs="Times New Roman"/>
                <w:sz w:val="24"/>
                <w:szCs w:val="20"/>
                <w:lang w:val="en-US" w:eastAsia="en-US" w:bidi="ar-SA"/>
              </w:rPr>
              <w:t xml:space="preserve">In the Matter of </w:t>
            </w:r>
            <w:r>
              <w:rPr>
                <w:rFonts w:ascii="Times New Roman" w:eastAsia="Times New Roman" w:hAnsi="Times New Roman" w:cs="Times New Roman"/>
                <w:sz w:val="24"/>
                <w:szCs w:val="20"/>
                <w:lang w:val="en-US" w:eastAsia="en-US" w:bidi="ar-SA"/>
              </w:rPr>
              <w:t>the Commission’s Implementation of Substitute House Bill 402 of the 132nd Ohio General Assembly</w:t>
            </w:r>
            <w:r w:rsidRPr="003A7EDC">
              <w:rPr>
                <w:rFonts w:ascii="Times New Roman" w:eastAsia="Times New Roman" w:hAnsi="Times New Roman" w:cs="Times New Roman"/>
                <w:sz w:val="24"/>
                <w:szCs w:val="20"/>
                <w:lang w:val="en-US" w:eastAsia="en-US" w:bidi="ar-SA"/>
              </w:rPr>
              <w:t xml:space="preserve">. </w:t>
            </w:r>
          </w:p>
        </w:tc>
        <w:tc>
          <w:tcPr>
            <w:tcW w:w="1050" w:type="dxa"/>
            <w:tcBorders>
              <w:top w:val="nil"/>
              <w:left w:val="nil"/>
              <w:bottom w:val="nil"/>
              <w:right w:val="nil"/>
            </w:tcBorders>
          </w:tcPr>
          <w:p w:rsidR="008D74AC" w:rsidP="00AA1CA1">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r>
              <w:rPr>
                <w:rFonts w:ascii="Times New Roman" w:eastAsia="Times New Roman" w:hAnsi="Times New Roman" w:cs="Times New Roman"/>
                <w:sz w:val="24"/>
                <w:szCs w:val="24"/>
                <w:lang w:val="en-US" w:eastAsia="en-US" w:bidi="ar-SA"/>
              </w:rPr>
              <w:br/>
              <w:t>)</w:t>
            </w:r>
          </w:p>
          <w:p w:rsidR="008D74AC" w:rsidP="00F2714E">
            <w:pPr>
              <w:spacing w:after="0" w:line="240" w:lineRule="auto"/>
              <w:jc w:val="center"/>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w:t>
            </w:r>
          </w:p>
        </w:tc>
        <w:tc>
          <w:tcPr>
            <w:tcW w:w="3708" w:type="dxa"/>
            <w:tcBorders>
              <w:top w:val="nil"/>
              <w:left w:val="nil"/>
              <w:bottom w:val="nil"/>
              <w:right w:val="nil"/>
            </w:tcBorders>
          </w:tcPr>
          <w:p w:rsidR="008D74AC" w:rsidP="00AA1CA1">
            <w:pPr>
              <w:spacing w:after="0" w:line="240" w:lineRule="auto"/>
              <w:rPr>
                <w:rStyle w:val="DefaultParagraphFont"/>
                <w:rFonts w:ascii="Times New Roman" w:eastAsia="Times New Roman" w:hAnsi="Times New Roman" w:cs="Times New Roman"/>
                <w:sz w:val="24"/>
                <w:szCs w:val="24"/>
                <w:lang w:val="en-US" w:eastAsia="en-US" w:bidi="ar-SA"/>
              </w:rPr>
            </w:pPr>
          </w:p>
          <w:p w:rsidR="008D74AC" w:rsidP="00AA1CA1">
            <w:pPr>
              <w:spacing w:after="0" w:line="240" w:lineRule="auto"/>
              <w:rPr>
                <w:rStyle w:val="DefaultParagraphFont"/>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Case No. 19-</w:t>
            </w:r>
            <w:r w:rsidR="00A80ACF">
              <w:rPr>
                <w:rFonts w:ascii="Times New Roman" w:eastAsia="Times New Roman" w:hAnsi="Times New Roman" w:cs="Times New Roman"/>
                <w:sz w:val="24"/>
                <w:szCs w:val="24"/>
                <w:lang w:val="en-US" w:eastAsia="en-US" w:bidi="ar-SA"/>
              </w:rPr>
              <w:t>0</w:t>
            </w:r>
            <w:r>
              <w:rPr>
                <w:rFonts w:ascii="Times New Roman" w:eastAsia="Times New Roman" w:hAnsi="Times New Roman" w:cs="Times New Roman"/>
                <w:sz w:val="24"/>
                <w:szCs w:val="24"/>
                <w:lang w:val="en-US" w:eastAsia="en-US" w:bidi="ar-SA"/>
              </w:rPr>
              <w:t>173-TP-ORD</w:t>
            </w:r>
          </w:p>
        </w:tc>
      </w:tr>
    </w:tbl>
    <w:p w:rsidR="000A5100" w:rsidP="00BC5E01">
      <w:pPr>
        <w:pStyle w:val="HTMLPreformatted"/>
        <w:pBdr>
          <w:bottom w:val="single" w:sz="12" w:space="1" w:color="auto"/>
        </w:pBdr>
        <w:rPr>
          <w:rFonts w:ascii="Times New Roman" w:hAnsi="Times New Roman"/>
        </w:rPr>
      </w:pPr>
    </w:p>
    <w:p w:rsidR="00BC5E01" w:rsidP="00BC5E01">
      <w:pPr>
        <w:pStyle w:val="HTMLPreformatted"/>
        <w:rPr>
          <w:rFonts w:ascii="Times New Roman" w:hAnsi="Times New Roman"/>
        </w:rPr>
      </w:pPr>
    </w:p>
    <w:p w:rsidR="000A5100" w:rsidRPr="00BC5E01" w:rsidP="00BC5E01">
      <w:pPr>
        <w:jc w:val="center"/>
        <w:rPr>
          <w:b/>
        </w:rPr>
      </w:pPr>
      <w:bookmarkStart w:id="1" w:name="_Toc434840840"/>
      <w:r>
        <w:rPr>
          <w:b/>
        </w:rPr>
        <w:t xml:space="preserve">REPLY </w:t>
      </w:r>
      <w:r w:rsidRPr="00BC5E01">
        <w:rPr>
          <w:b/>
        </w:rPr>
        <w:t xml:space="preserve">COMMENTS ON PROPOSED RULES </w:t>
      </w:r>
      <w:r>
        <w:rPr>
          <w:b/>
        </w:rPr>
        <w:t>AFFECTING</w:t>
      </w:r>
      <w:r w:rsidRPr="00BC5E01">
        <w:rPr>
          <w:b/>
        </w:rPr>
        <w:t xml:space="preserve"> OHIOANS’ BASIC </w:t>
      </w:r>
      <w:r>
        <w:rPr>
          <w:b/>
        </w:rPr>
        <w:t xml:space="preserve">TELEPHONE </w:t>
      </w:r>
      <w:r w:rsidRPr="00BC5E01">
        <w:rPr>
          <w:b/>
        </w:rPr>
        <w:t>SERVICE</w:t>
      </w:r>
      <w:bookmarkEnd w:id="1"/>
    </w:p>
    <w:p w:rsidR="000A5100" w:rsidRPr="00BC5E01" w:rsidP="00BC5E01">
      <w:pPr>
        <w:jc w:val="center"/>
        <w:rPr>
          <w:b/>
        </w:rPr>
      </w:pPr>
      <w:bookmarkStart w:id="2" w:name="_Toc434840841"/>
      <w:r w:rsidRPr="00BC5E01">
        <w:rPr>
          <w:b/>
        </w:rPr>
        <w:t>BY</w:t>
      </w:r>
      <w:bookmarkEnd w:id="2"/>
    </w:p>
    <w:p w:rsidR="006B1C31" w:rsidP="006B1C31">
      <w:pPr>
        <w:jc w:val="center"/>
        <w:rPr>
          <w:b/>
          <w:bCs/>
        </w:rPr>
      </w:pPr>
      <w:r>
        <w:rPr>
          <w:b/>
          <w:bCs/>
        </w:rPr>
        <w:t xml:space="preserve">GREATER </w:t>
      </w:r>
      <w:r w:rsidRPr="00BC5E01">
        <w:rPr>
          <w:b/>
          <w:bCs/>
        </w:rPr>
        <w:t xml:space="preserve">EDGEMONT </w:t>
      </w:r>
      <w:r>
        <w:rPr>
          <w:b/>
          <w:bCs/>
        </w:rPr>
        <w:t xml:space="preserve">COMMUNITY </w:t>
      </w:r>
      <w:r w:rsidRPr="00BC5E01">
        <w:rPr>
          <w:b/>
          <w:bCs/>
        </w:rPr>
        <w:t>COALITION,</w:t>
      </w:r>
    </w:p>
    <w:p w:rsidR="006B1C31" w:rsidRPr="00BC5E01" w:rsidP="006B1C31">
      <w:pPr>
        <w:jc w:val="center"/>
        <w:rPr>
          <w:b/>
          <w:bCs/>
        </w:rPr>
      </w:pPr>
      <w:r w:rsidRPr="004300B4">
        <w:rPr>
          <w:b/>
          <w:bCs/>
        </w:rPr>
        <w:t>THE LEGAL AID SOCIETY OF CLEVELAND,</w:t>
      </w:r>
    </w:p>
    <w:p w:rsidR="006B1C31" w:rsidRPr="00BC5E01" w:rsidP="006B1C31">
      <w:pPr>
        <w:jc w:val="center"/>
        <w:rPr>
          <w:b/>
        </w:rPr>
      </w:pPr>
      <w:r w:rsidRPr="004300B4">
        <w:rPr>
          <w:b/>
          <w:bCs/>
        </w:rPr>
        <w:t>LEGAL AID SOCIETY OF SOUTHWEST OHIO LLC,</w:t>
      </w:r>
    </w:p>
    <w:p w:rsidR="006B1C31" w:rsidRPr="00BC5E01" w:rsidP="006B1C31">
      <w:pPr>
        <w:jc w:val="center"/>
        <w:rPr>
          <w:b/>
        </w:rPr>
      </w:pPr>
      <w:r w:rsidRPr="00BC5E01">
        <w:rPr>
          <w:b/>
        </w:rPr>
        <w:t>THE OFFICE OF THE OHIO CONSUMERS’ COUNSEL,</w:t>
      </w:r>
    </w:p>
    <w:p w:rsidR="006B1C31" w:rsidRPr="001A324E" w:rsidP="006B1C31">
      <w:pPr>
        <w:jc w:val="center"/>
        <w:rPr>
          <w:b/>
        </w:rPr>
      </w:pPr>
      <w:r w:rsidRPr="001A324E">
        <w:rPr>
          <w:b/>
          <w:szCs w:val="24"/>
        </w:rPr>
        <w:t>OHIO ASSOCIATION OF COMMUNITY ACTION AGENCIES</w:t>
      </w:r>
      <w:r>
        <w:rPr>
          <w:b/>
        </w:rPr>
        <w:t>,</w:t>
      </w:r>
      <w:r w:rsidRPr="001A324E">
        <w:rPr>
          <w:b/>
        </w:rPr>
        <w:t xml:space="preserve"> </w:t>
      </w:r>
    </w:p>
    <w:p w:rsidR="006B1C31" w:rsidRPr="004300B4" w:rsidP="006B1C31">
      <w:pPr>
        <w:jc w:val="center"/>
        <w:rPr>
          <w:b/>
        </w:rPr>
      </w:pPr>
      <w:r w:rsidRPr="004300B4">
        <w:rPr>
          <w:b/>
        </w:rPr>
        <w:t>OHIO POVERTY LAW CENTER,</w:t>
      </w:r>
    </w:p>
    <w:p w:rsidR="006B1C31" w:rsidRPr="004300B4" w:rsidP="006B1C31">
      <w:pPr>
        <w:jc w:val="center"/>
        <w:rPr>
          <w:b/>
        </w:rPr>
      </w:pPr>
      <w:r w:rsidRPr="004300B4">
        <w:rPr>
          <w:b/>
        </w:rPr>
        <w:t>PRO SENIORS, INC., AND</w:t>
      </w:r>
    </w:p>
    <w:p w:rsidR="000A5100" w:rsidP="006B1C31">
      <w:pPr>
        <w:jc w:val="center"/>
        <w:rPr>
          <w:b/>
          <w:bCs/>
        </w:rPr>
      </w:pPr>
      <w:r w:rsidRPr="004300B4">
        <w:rPr>
          <w:b/>
          <w:bCs/>
        </w:rPr>
        <w:t>SOUTHEASTERN OHIO LEGAL SERVICES</w:t>
      </w:r>
    </w:p>
    <w:p w:rsidR="00BC5E01" w:rsidP="00BC5E01">
      <w:pPr>
        <w:pBdr>
          <w:bottom w:val="single" w:sz="12" w:space="1" w:color="auto"/>
        </w:pBdr>
        <w:jc w:val="center"/>
        <w:rPr>
          <w:b/>
          <w:bCs/>
        </w:rPr>
      </w:pPr>
    </w:p>
    <w:p w:rsidR="000A5100" w:rsidRPr="00C5301B" w:rsidP="00C5301B">
      <w:pPr>
        <w:spacing w:before="480" w:line="480" w:lineRule="auto"/>
        <w:rPr>
          <w:b/>
        </w:rPr>
      </w:pPr>
      <w:bookmarkStart w:id="3" w:name="_Toc434847393"/>
      <w:r w:rsidRPr="00C5301B">
        <w:rPr>
          <w:b/>
        </w:rPr>
        <w:t>I.</w:t>
      </w:r>
      <w:r w:rsidRPr="00C5301B">
        <w:rPr>
          <w:b/>
        </w:rPr>
        <w:tab/>
        <w:t>INTRODUCTION</w:t>
      </w:r>
      <w:bookmarkEnd w:id="3"/>
    </w:p>
    <w:p w:rsidR="006B1C31" w:rsidP="00C94479">
      <w:pPr>
        <w:spacing w:line="480" w:lineRule="auto"/>
        <w:ind w:firstLine="720"/>
      </w:pPr>
      <w:r>
        <w:t>Basic telephone service provides consumers with telephone service without additional services and features</w:t>
      </w:r>
      <w:r w:rsidRPr="006500D1">
        <w:t xml:space="preserve"> </w:t>
      </w:r>
      <w:r>
        <w:t>that increase consumers’ bills unnecessarily.</w:t>
      </w:r>
      <w:r>
        <w:rPr>
          <w:rStyle w:val="FootnoteReference"/>
        </w:rPr>
        <w:footnoteReference w:id="2"/>
      </w:r>
      <w:r>
        <w:t xml:space="preserve">  Some consumers prefer this service because they don’t want, don’t need, or can’t afford additional services and features.  This proceeding addresses the necessary consumer protections for Ohioans who choose basic local telephone service.  </w:t>
      </w:r>
    </w:p>
    <w:p w:rsidR="00597F44" w:rsidP="00F31DDD">
      <w:pPr>
        <w:spacing w:line="480" w:lineRule="auto"/>
        <w:ind w:firstLine="720"/>
      </w:pPr>
      <w:r>
        <w:t xml:space="preserve">In December 2018 Amended Substitute House Bill 402 (“Am. Sub. HB 402”), which included provisions affecting consumers’ basic service, was enacted.  Am. Sub. HB 402 raised the annual limit on basic service rate increases and allows telephone companies unlimited increases on basic service charges to customers in four years, </w:t>
      </w:r>
      <w:r>
        <w:t xml:space="preserve">among other things.  The Public Utilities Commission of Ohio (“PUCO”) has asked for comment on the rules drafted by its staff to implement Sub. HB 402.  </w:t>
      </w:r>
    </w:p>
    <w:p w:rsidR="001534F1" w:rsidP="00F31DDD">
      <w:pPr>
        <w:spacing w:line="480" w:lineRule="auto"/>
        <w:ind w:firstLine="720"/>
        <w:rPr>
          <w:szCs w:val="24"/>
        </w:rPr>
      </w:pPr>
      <w:r>
        <w:t xml:space="preserve">On April 10, 2019, </w:t>
      </w:r>
      <w:r>
        <w:rPr>
          <w:szCs w:val="24"/>
        </w:rPr>
        <w:t xml:space="preserve">Greater </w:t>
      </w:r>
      <w:r>
        <w:t xml:space="preserve">Edgemont Community Coalition, The Legal Aid Society of Cleveland, </w:t>
      </w:r>
      <w:r w:rsidRPr="00693F9D">
        <w:t>Legal Aid Society of Southwest Ohio LLC,</w:t>
      </w:r>
      <w:r>
        <w:t xml:space="preserve"> </w:t>
      </w:r>
      <w:r>
        <w:rPr>
          <w:szCs w:val="24"/>
        </w:rPr>
        <w:t xml:space="preserve">the Office of the Ohio Consumers’ Counsel, </w:t>
      </w:r>
      <w:r w:rsidRPr="001A5207">
        <w:rPr>
          <w:szCs w:val="24"/>
        </w:rPr>
        <w:t xml:space="preserve">Ohio Association </w:t>
      </w:r>
      <w:r>
        <w:rPr>
          <w:szCs w:val="24"/>
        </w:rPr>
        <w:t>o</w:t>
      </w:r>
      <w:r w:rsidRPr="001A5207">
        <w:rPr>
          <w:szCs w:val="24"/>
        </w:rPr>
        <w:t>f Community Action Agencies</w:t>
      </w:r>
      <w:r w:rsidRPr="001A5207">
        <w:t>,</w:t>
      </w:r>
      <w:r>
        <w:t xml:space="preserve"> </w:t>
      </w:r>
      <w:r>
        <w:rPr>
          <w:szCs w:val="24"/>
        </w:rPr>
        <w:t xml:space="preserve">Ohio Poverty Law Center, Pro Seniors, Inc., </w:t>
      </w:r>
      <w:r>
        <w:rPr>
          <w:bCs/>
        </w:rPr>
        <w:t xml:space="preserve">and </w:t>
      </w:r>
      <w:r w:rsidRPr="00925AD4">
        <w:rPr>
          <w:bCs/>
        </w:rPr>
        <w:t>Southeastern Ohio Legal Service</w:t>
      </w:r>
      <w:r>
        <w:rPr>
          <w:bCs/>
        </w:rPr>
        <w:t>s</w:t>
      </w:r>
      <w:r>
        <w:t xml:space="preserve"> </w:t>
      </w:r>
      <w:r>
        <w:rPr>
          <w:szCs w:val="24"/>
        </w:rPr>
        <w:t>(collectively, “Consumer Groups”) filed Comments on the draft rules.  The draft rules include a provision (proposed Ohio Adm. Code 4901:1-6-14(G)) that will not be effective for four years.  To promote administrative efficiency, the Consumer Groups recommend that the PUCO not adopt this rule.  The Consumer Groups also recommend that the PUCO clarify proposed Ohio Adm. Code 4901:1-6-29(E)(2) to safeguard that the public is properly notified when a telephone company files a change of ownership application at the Federal Communications Commission.</w:t>
      </w:r>
    </w:p>
    <w:p w:rsidR="00597F44" w:rsidP="00F31DDD">
      <w:pPr>
        <w:spacing w:line="480" w:lineRule="auto"/>
        <w:ind w:firstLine="720"/>
        <w:rPr>
          <w:szCs w:val="24"/>
        </w:rPr>
      </w:pPr>
      <w:r>
        <w:rPr>
          <w:szCs w:val="24"/>
        </w:rPr>
        <w:t>Comments were also filed by the Ohio Telecom Association (“OTA”) and the Ohio Cable Telecommunications Association (“OCTA”).  The Consumer Groups reply to some of the recommendations made by OTA and OCTA in their comments.</w:t>
      </w:r>
      <w:r>
        <w:rPr>
          <w:rStyle w:val="FootnoteReference"/>
          <w:szCs w:val="24"/>
        </w:rPr>
        <w:footnoteReference w:id="3"/>
      </w:r>
    </w:p>
    <w:p w:rsidR="00FF6C83" w:rsidP="00F31DDD">
      <w:pPr>
        <w:pStyle w:val="Heading1"/>
      </w:pPr>
      <w:bookmarkStart w:id="4" w:name="_Toc434847394"/>
      <w:r>
        <w:t>II.</w:t>
      </w:r>
      <w:r>
        <w:tab/>
      </w:r>
      <w:bookmarkEnd w:id="4"/>
      <w:r>
        <w:t>RECOMMENDATIONS</w:t>
      </w:r>
    </w:p>
    <w:p w:rsidR="00EA2E1A" w:rsidRPr="00EA2E1A" w:rsidP="00C2247A">
      <w:pPr>
        <w:pStyle w:val="Heading2"/>
      </w:pPr>
      <w:bookmarkStart w:id="5" w:name="_Toc434847395"/>
      <w:r>
        <w:t>A.</w:t>
      </w:r>
      <w:r>
        <w:tab/>
        <w:t>The availability of basic service to Ohioans is consistent with state policy and should be retained in the PUCO’s rules.</w:t>
      </w:r>
      <w:bookmarkEnd w:id="5"/>
    </w:p>
    <w:p w:rsidR="00C7181E" w:rsidP="00EA2E1A">
      <w:pPr>
        <w:spacing w:line="480" w:lineRule="auto"/>
        <w:ind w:firstLine="720"/>
      </w:pPr>
      <w:r w:rsidRPr="007E1AE5">
        <w:t>Ohio Adm. Code 4901:1-06-12(A)</w:t>
      </w:r>
      <w:r>
        <w:rPr>
          <w:b/>
        </w:rPr>
        <w:t xml:space="preserve"> </w:t>
      </w:r>
      <w:r>
        <w:t xml:space="preserve">provides that a telephone company providing basic local exchange service “shall conduct its operations so as to ensure that the service is available, adequate, and reliable consistent with applicable industry standards.”  Both </w:t>
      </w:r>
      <w:r>
        <w:t>OTA and OCTA urge the PUCO to remove the word “available” from the rule so that telephone companies would only have to ensure that basic service is adequate and reliable.</w:t>
      </w:r>
      <w:r>
        <w:rPr>
          <w:rStyle w:val="FootnoteReference"/>
        </w:rPr>
        <w:footnoteReference w:id="4"/>
      </w:r>
      <w:r>
        <w:t xml:space="preserve">  The PUCO should reject this </w:t>
      </w:r>
      <w:r>
        <w:rPr>
          <w:szCs w:val="24"/>
        </w:rPr>
        <w:t xml:space="preserve">recommendation </w:t>
      </w:r>
      <w:r>
        <w:t>by OTA and OCTA.</w:t>
      </w:r>
    </w:p>
    <w:p w:rsidR="00847B05" w:rsidP="00EA2E1A">
      <w:pPr>
        <w:spacing w:line="480" w:lineRule="auto"/>
        <w:ind w:firstLine="720"/>
        <w:rPr>
          <w:szCs w:val="24"/>
        </w:rPr>
      </w:pPr>
      <w:r>
        <w:t>OTA and OCTA cite the following change to state policy in R.C. 4927.02(A)(1) made in Sub. HB 402: “</w:t>
      </w:r>
      <w:r>
        <w:rPr>
          <w:szCs w:val="24"/>
        </w:rPr>
        <w:t xml:space="preserve">Ensure the </w:t>
      </w:r>
      <w:r w:rsidRPr="006A1F96">
        <w:rPr>
          <w:bCs/>
          <w:strike/>
          <w:szCs w:val="24"/>
        </w:rPr>
        <w:t>availability,</w:t>
      </w:r>
      <w:r w:rsidRPr="006A1F96">
        <w:rPr>
          <w:bCs/>
          <w:szCs w:val="24"/>
        </w:rPr>
        <w:t xml:space="preserve"> adequacy and reliability </w:t>
      </w:r>
      <w:r w:rsidRPr="006A1F96">
        <w:rPr>
          <w:szCs w:val="24"/>
        </w:rPr>
        <w:t xml:space="preserve">of </w:t>
      </w:r>
      <w:r w:rsidRPr="006A1F96">
        <w:rPr>
          <w:bCs/>
          <w:szCs w:val="24"/>
        </w:rPr>
        <w:t xml:space="preserve">adequate </w:t>
      </w:r>
      <w:r w:rsidRPr="006A1F96">
        <w:rPr>
          <w:szCs w:val="24"/>
        </w:rPr>
        <w:t xml:space="preserve">basic local exchange service </w:t>
      </w:r>
      <w:r w:rsidRPr="006A1F96">
        <w:rPr>
          <w:bCs/>
          <w:strike/>
          <w:szCs w:val="24"/>
        </w:rPr>
        <w:t>or</w:t>
      </w:r>
      <w:r w:rsidRPr="006A1F96">
        <w:rPr>
          <w:bCs/>
          <w:szCs w:val="24"/>
        </w:rPr>
        <w:t xml:space="preserve"> </w:t>
      </w:r>
      <w:r w:rsidRPr="006A1F96">
        <w:rPr>
          <w:bCs/>
          <w:szCs w:val="24"/>
          <w:u w:val="single"/>
        </w:rPr>
        <w:t>consistent with section 4927.07, 4927.10, and 4927.11 of the Revised Code, and the adequacy and reliability of</w:t>
      </w:r>
      <w:r>
        <w:rPr>
          <w:b/>
          <w:bCs/>
          <w:szCs w:val="24"/>
        </w:rPr>
        <w:t xml:space="preserve"> </w:t>
      </w:r>
      <w:r>
        <w:rPr>
          <w:szCs w:val="24"/>
        </w:rPr>
        <w:t xml:space="preserve">voice service </w:t>
      </w:r>
      <w:r w:rsidRPr="006A1F96">
        <w:rPr>
          <w:bCs/>
          <w:strike/>
          <w:szCs w:val="24"/>
        </w:rPr>
        <w:t>to citizens</w:t>
      </w:r>
      <w:r>
        <w:rPr>
          <w:b/>
          <w:bCs/>
          <w:szCs w:val="24"/>
        </w:rPr>
        <w:t xml:space="preserve"> </w:t>
      </w:r>
      <w:r>
        <w:rPr>
          <w:szCs w:val="24"/>
        </w:rPr>
        <w:t>throughout the state….”</w:t>
      </w:r>
      <w:r>
        <w:rPr>
          <w:rStyle w:val="FootnoteReference"/>
          <w:szCs w:val="24"/>
        </w:rPr>
        <w:footnoteReference w:id="5"/>
      </w:r>
      <w:r>
        <w:rPr>
          <w:szCs w:val="24"/>
        </w:rPr>
        <w:t xml:space="preserve">  OTA and OCTA claim that because Sub. HB 402 removed the word “availability” from state policy, the PUCO should delete “available” from Ohio Adm. Code 4901:1-06-12(A).  But they ignore that the three statutes now referenced in the state policy section by Sub. HB 402</w:t>
      </w:r>
      <w:r w:rsidRPr="009D3874">
        <w:rPr>
          <w:szCs w:val="24"/>
        </w:rPr>
        <w:t xml:space="preserve"> </w:t>
      </w:r>
      <w:r>
        <w:rPr>
          <w:szCs w:val="24"/>
        </w:rPr>
        <w:t>require service to be available (even though not using the word “available”).</w:t>
      </w:r>
    </w:p>
    <w:p w:rsidR="007E1AE5" w:rsidP="00EA2E1A">
      <w:pPr>
        <w:spacing w:line="480" w:lineRule="auto"/>
        <w:ind w:firstLine="720"/>
      </w:pPr>
      <w:r>
        <w:rPr>
          <w:szCs w:val="24"/>
        </w:rPr>
        <w:t>Specifically, R.C. 4927.11 addresses access to basic service.</w:t>
      </w:r>
      <w:r>
        <w:rPr>
          <w:rStyle w:val="FootnoteReference"/>
          <w:szCs w:val="24"/>
        </w:rPr>
        <w:footnoteReference w:id="6"/>
      </w:r>
      <w:r>
        <w:rPr>
          <w:szCs w:val="24"/>
        </w:rPr>
        <w:t xml:space="preserve">  R.C. 4927.11(A) requires that, with certain exceptions, “</w:t>
      </w:r>
      <w:r>
        <w:t xml:space="preserve">an incumbent local exchange carrier </w:t>
      </w:r>
      <w:r w:rsidRPr="006500D1">
        <w:rPr>
          <w:i/>
        </w:rPr>
        <w:t>shall</w:t>
      </w:r>
      <w:r>
        <w:t xml:space="preserve"> provide basic local exchange service to all persons or entities in its service area requesting that service, and that service shall be provided on a reasonable and nondiscriminatory basis.”  (Emphasis added.) In other words, all local telephone companies must guarantee that basic service is available to all customers, with some exceptions.  Thus, contrary to OTA and OCTA, retaining the word “available” in Ohio Adm. Code 4901:1-06-12(A) is consistent with R.C. 4927.11.  The PUCO should keep the word “available” in the rule to be consistent with R.C. 4927.11 and to protect consumers in the availability of basic service.</w:t>
      </w:r>
    </w:p>
    <w:p w:rsidR="008E5299" w:rsidP="008E5299">
      <w:pPr>
        <w:spacing w:line="480" w:lineRule="auto"/>
        <w:ind w:firstLine="720"/>
      </w:pPr>
      <w:r>
        <w:t>In fact, the only portion of Ohio Adm. Code 4901:1-06-12(A) that might be inconsistent with state policy is the reference to “applicable industry standards.”  The term “applicable industry standards” is not explained in the rule.  The state policy in R.C. 4927.01(A) expressly states that the adequacy and reliability of basic local service must be consistent with R.C. 4927.07, R.C. 4927.10, and R.C. 4927.11.  The PUCO should consider replacing the ambiguous phrase “applicable industry standards” with references to the three statutes.</w:t>
      </w:r>
    </w:p>
    <w:p w:rsidR="006F0A12" w:rsidRPr="006F0A12" w:rsidP="00C2247A">
      <w:pPr>
        <w:pStyle w:val="Heading2"/>
      </w:pPr>
      <w:bookmarkStart w:id="6" w:name="_Toc434847396"/>
      <w:r>
        <w:t>B.</w:t>
      </w:r>
      <w:r>
        <w:tab/>
        <w:t>If the PUCO adopts detailed rules for applications to allow unlimited price increases for consumers’ basic service – which cannot occur for at least four years – the PUCO should adopt the PUCO Staff’s proposal that the statutory representative of residential consumers, OCC, receive advanced notice of such applications.</w:t>
      </w:r>
      <w:bookmarkEnd w:id="6"/>
    </w:p>
    <w:p w:rsidR="00A401BD" w:rsidP="005C1D3B">
      <w:pPr>
        <w:spacing w:line="480" w:lineRule="auto"/>
        <w:ind w:firstLine="720"/>
        <w:rPr>
          <w:sz w:val="23"/>
          <w:szCs w:val="23"/>
        </w:rPr>
      </w:pPr>
      <w:r>
        <w:rPr>
          <w:sz w:val="23"/>
          <w:szCs w:val="23"/>
        </w:rPr>
        <w:t>The Consumer Groups recommend that the PUCO not adopt detailed rules regarding applications to allow telephone companies unlimited price increases for consumers’ basic service.  We noted that under R.C. 4927.123 such applications cannot even be filed for at least four years.</w:t>
      </w:r>
      <w:r>
        <w:rPr>
          <w:rStyle w:val="FootnoteReference"/>
          <w:sz w:val="23"/>
          <w:szCs w:val="23"/>
        </w:rPr>
        <w:footnoteReference w:id="7"/>
      </w:r>
      <w:r>
        <w:rPr>
          <w:sz w:val="23"/>
          <w:szCs w:val="23"/>
        </w:rPr>
        <w:t xml:space="preserve">  The statute could be amended by the time such applications may be considered.</w:t>
      </w:r>
      <w:r>
        <w:rPr>
          <w:rStyle w:val="FootnoteReference"/>
          <w:sz w:val="23"/>
          <w:szCs w:val="23"/>
        </w:rPr>
        <w:footnoteReference w:id="8"/>
      </w:r>
      <w:r>
        <w:rPr>
          <w:sz w:val="23"/>
          <w:szCs w:val="23"/>
        </w:rPr>
        <w:t xml:space="preserve">  Further, rules implementing R.C. 4927.123 are unnecessary at this time to bring the PUCO’s rules into conformity with Sub. HB 402.</w:t>
      </w:r>
      <w:r>
        <w:rPr>
          <w:rStyle w:val="FootnoteReference"/>
          <w:sz w:val="23"/>
          <w:szCs w:val="23"/>
        </w:rPr>
        <w:footnoteReference w:id="9"/>
      </w:r>
      <w:r>
        <w:rPr>
          <w:sz w:val="23"/>
          <w:szCs w:val="23"/>
        </w:rPr>
        <w:t xml:space="preserve">  The Consumer Groups noted that it would be administratively efficient for the PUCO to refrain from adopting detailed rules implementing R.C. 4927.123 at this time.</w:t>
      </w:r>
      <w:r>
        <w:rPr>
          <w:rStyle w:val="FootnoteReference"/>
          <w:sz w:val="23"/>
          <w:szCs w:val="23"/>
        </w:rPr>
        <w:footnoteReference w:id="10"/>
      </w:r>
    </w:p>
    <w:p w:rsidR="00255E95" w:rsidP="005C1D3B">
      <w:pPr>
        <w:spacing w:line="480" w:lineRule="auto"/>
        <w:ind w:firstLine="720"/>
        <w:rPr>
          <w:sz w:val="23"/>
          <w:szCs w:val="23"/>
        </w:rPr>
      </w:pPr>
      <w:r>
        <w:rPr>
          <w:sz w:val="23"/>
          <w:szCs w:val="23"/>
        </w:rPr>
        <w:t>But if the PUCO does adopt rules implementing R.C. 4927.123, it should adopt the PUCO Staff’s proposed rule that OCC be given advance notice of applications for unlimited price increases for consumers’ basic service.  OCTA opposed the PUCO Staff’s proposal on the basis that Sub. HB 402 does not require advance notice to OCC when a telephone company applies for unlimited price increases to consumer’s basic service.</w:t>
      </w:r>
      <w:r>
        <w:rPr>
          <w:rStyle w:val="FootnoteReference"/>
          <w:sz w:val="23"/>
          <w:szCs w:val="23"/>
        </w:rPr>
        <w:footnoteReference w:id="11"/>
      </w:r>
      <w:r>
        <w:rPr>
          <w:sz w:val="23"/>
          <w:szCs w:val="23"/>
        </w:rPr>
        <w:t xml:space="preserve">  However, the PUCO has some discretion in implementing rules to conform with Sub. HB 402.</w:t>
      </w:r>
    </w:p>
    <w:p w:rsidR="00805862" w:rsidP="00527364">
      <w:pPr>
        <w:spacing w:line="480" w:lineRule="auto"/>
        <w:ind w:firstLine="720"/>
        <w:rPr>
          <w:sz w:val="23"/>
          <w:szCs w:val="23"/>
        </w:rPr>
      </w:pPr>
      <w:r>
        <w:rPr>
          <w:sz w:val="23"/>
          <w:szCs w:val="23"/>
        </w:rPr>
        <w:t xml:space="preserve">For example, Ohio Adm. Code 4901:1-06-14(F)(5) requires that OCC be notified of increases to customers’ basic service rates.  Notice to OCC was not included in previous laws setting parameters for price increases for consumers’ basic service.  Yet the PUCO included notice to OCC in its rules and the rules were approved by the legislature’s Joint Committee on Agency Rule Review.  The PUCO should have the same discretion regarding rules implementing Sub. HB 402.  </w:t>
      </w:r>
    </w:p>
    <w:p w:rsidR="00527364" w:rsidRPr="005C1D3B" w:rsidP="00527364">
      <w:pPr>
        <w:spacing w:line="480" w:lineRule="auto"/>
        <w:ind w:firstLine="720"/>
        <w:rPr>
          <w:sz w:val="23"/>
          <w:szCs w:val="23"/>
        </w:rPr>
      </w:pPr>
      <w:r>
        <w:rPr>
          <w:sz w:val="23"/>
          <w:szCs w:val="23"/>
        </w:rPr>
        <w:t>OCC is the statutory representative of residential consumers.  Thus, providing OCC notice of applications for unlimited price increases for consumers’ basic service helps protect consumers.  The PUCO should retain the PUCO Staff’s proposal that OCC receive advance notice of telephone companies’ applications for unlimited price increases to residential consumers’ basic service.</w:t>
      </w:r>
    </w:p>
    <w:p w:rsidR="002B5849" w:rsidRPr="002B5849" w:rsidP="00F31DDD">
      <w:pPr>
        <w:pStyle w:val="Heading1"/>
      </w:pPr>
      <w:bookmarkStart w:id="7" w:name="_Toc434847400"/>
      <w:r>
        <w:t>III.</w:t>
      </w:r>
      <w:r>
        <w:tab/>
        <w:t>CONCLUSION</w:t>
      </w:r>
      <w:bookmarkEnd w:id="7"/>
    </w:p>
    <w:p w:rsidR="002B5849" w:rsidP="00C94479">
      <w:pPr>
        <w:spacing w:line="480" w:lineRule="auto"/>
        <w:ind w:firstLine="720"/>
      </w:pPr>
      <w:r>
        <w:t>The suggestions made by OTA and OCTA discussed above would reduce consumer protections in the PUCO’s rules.  The PUCO should not allow this to happen.  To protect consumers, the Consumer Groups recommend that the PUCO reject the rule changes proposed by OTA and OCTA that are discussed above.</w:t>
      </w:r>
    </w:p>
    <w:p w:rsidR="009F4FCD" w:rsidP="005E17D3">
      <w:pPr>
        <w:spacing w:line="480" w:lineRule="auto"/>
        <w:ind w:left="3600"/>
      </w:pPr>
      <w:r>
        <w:t>Respectfully submitted,</w:t>
      </w:r>
    </w:p>
    <w:p w:rsidR="005E17D3" w:rsidRPr="00FB7D7D" w:rsidP="005E17D3">
      <w:pPr>
        <w:ind w:left="3600"/>
        <w:rPr>
          <w:i/>
          <w:szCs w:val="24"/>
          <w:u w:val="single"/>
        </w:rPr>
      </w:pPr>
      <w:r w:rsidRPr="00FB7D7D">
        <w:rPr>
          <w:i/>
          <w:szCs w:val="24"/>
          <w:u w:val="single"/>
        </w:rPr>
        <w:t xml:space="preserve">/s/ Ellis Jacobs </w:t>
      </w:r>
      <w:r>
        <w:rPr>
          <w:i/>
          <w:szCs w:val="24"/>
          <w:u w:val="single"/>
        </w:rPr>
        <w:t>per authorization</w:t>
      </w:r>
      <w:r w:rsidRPr="00FB7D7D">
        <w:rPr>
          <w:i/>
          <w:szCs w:val="24"/>
          <w:u w:val="single"/>
        </w:rPr>
        <w:t>   </w:t>
      </w:r>
    </w:p>
    <w:p w:rsidR="005E17D3" w:rsidRPr="00FB7D7D" w:rsidP="005E17D3">
      <w:pPr>
        <w:ind w:left="3600"/>
        <w:rPr>
          <w:rFonts w:eastAsia="Calibri"/>
          <w:szCs w:val="24"/>
        </w:rPr>
      </w:pPr>
      <w:r w:rsidRPr="00FB7D7D">
        <w:t>Ellis Jacobs</w:t>
      </w:r>
      <w:r>
        <w:t xml:space="preserve"> </w:t>
      </w:r>
      <w:r w:rsidRPr="00FB7D7D">
        <w:rPr>
          <w:rFonts w:eastAsia="Calibri"/>
          <w:szCs w:val="24"/>
        </w:rPr>
        <w:t>(</w:t>
      </w:r>
      <w:r w:rsidRPr="00FB7D7D">
        <w:rPr>
          <w:color w:val="000000"/>
        </w:rPr>
        <w:t>0017435</w:t>
      </w:r>
      <w:r w:rsidRPr="00FB7D7D">
        <w:rPr>
          <w:rFonts w:eastAsia="Calibri"/>
          <w:szCs w:val="24"/>
        </w:rPr>
        <w:t>)</w:t>
      </w:r>
      <w:r>
        <w:rPr>
          <w:rFonts w:eastAsia="Calibri"/>
          <w:szCs w:val="24"/>
        </w:rPr>
        <w:t>, Counsel of Record</w:t>
      </w:r>
    </w:p>
    <w:p w:rsidR="005E17D3" w:rsidRPr="00FB7D7D" w:rsidP="005E17D3">
      <w:pPr>
        <w:ind w:left="3600"/>
      </w:pPr>
      <w:r w:rsidRPr="00FB7D7D">
        <w:t>Advocates for Basic Legal Equality, Inc.</w:t>
      </w:r>
    </w:p>
    <w:p w:rsidR="005E17D3" w:rsidRPr="00FB7D7D" w:rsidP="005E17D3">
      <w:pPr>
        <w:ind w:left="3600"/>
      </w:pPr>
      <w:r w:rsidRPr="00FB7D7D">
        <w:t>130 West Second St., Suite 700 East</w:t>
      </w:r>
    </w:p>
    <w:p w:rsidR="005E17D3" w:rsidRPr="00FB7D7D" w:rsidP="005E17D3">
      <w:pPr>
        <w:ind w:left="3600"/>
      </w:pPr>
      <w:r w:rsidRPr="00FB7D7D">
        <w:t>Dayton, Ohio 45402</w:t>
      </w:r>
    </w:p>
    <w:p w:rsidR="005E17D3" w:rsidRPr="00FB7D7D" w:rsidP="005E17D3">
      <w:pPr>
        <w:ind w:left="3600"/>
      </w:pPr>
      <w:r w:rsidRPr="00FB7D7D">
        <w:t xml:space="preserve">Telephone: </w:t>
      </w:r>
      <w:r>
        <w:t>(</w:t>
      </w:r>
      <w:r w:rsidRPr="00FB7D7D">
        <w:t>937</w:t>
      </w:r>
      <w:r>
        <w:t xml:space="preserve">) </w:t>
      </w:r>
      <w:r w:rsidRPr="00FB7D7D">
        <w:t>535-4419</w:t>
      </w:r>
    </w:p>
    <w:p w:rsidR="005E17D3" w:rsidRPr="00F2714E" w:rsidP="005E17D3">
      <w:pPr>
        <w:ind w:left="3600"/>
      </w:pPr>
      <w:r w:rsidRPr="00F2714E">
        <w:t>ejacobs@ablelaw.org</w:t>
      </w:r>
    </w:p>
    <w:p w:rsidR="005E17D3" w:rsidRPr="00FB7D7D" w:rsidP="005E17D3">
      <w:pPr>
        <w:autoSpaceDE w:val="0"/>
        <w:autoSpaceDN w:val="0"/>
        <w:adjustRightInd w:val="0"/>
        <w:ind w:left="3600"/>
        <w:rPr>
          <w:szCs w:val="24"/>
        </w:rPr>
      </w:pPr>
      <w:r w:rsidRPr="00FB7D7D">
        <w:t>(</w:t>
      </w:r>
      <w:r>
        <w:t>will accept service via email</w:t>
      </w:r>
      <w:r w:rsidRPr="00FB7D7D">
        <w:t>)</w:t>
      </w:r>
    </w:p>
    <w:p w:rsidR="005E17D3" w:rsidP="005E17D3">
      <w:pPr>
        <w:spacing w:before="120"/>
        <w:ind w:left="3600"/>
        <w:rPr>
          <w:i/>
        </w:rPr>
      </w:pPr>
      <w:r w:rsidRPr="00FB7D7D">
        <w:rPr>
          <w:i/>
        </w:rPr>
        <w:t>Attorney for</w:t>
      </w:r>
      <w:r>
        <w:rPr>
          <w:i/>
        </w:rPr>
        <w:t xml:space="preserve"> Greater </w:t>
      </w:r>
      <w:r w:rsidRPr="00FB7D7D">
        <w:rPr>
          <w:i/>
        </w:rPr>
        <w:t xml:space="preserve">Edgemont </w:t>
      </w:r>
      <w:r>
        <w:rPr>
          <w:i/>
        </w:rPr>
        <w:t xml:space="preserve">Community </w:t>
      </w:r>
      <w:r w:rsidRPr="00FB7D7D">
        <w:rPr>
          <w:i/>
        </w:rPr>
        <w:t>Coalition</w:t>
      </w:r>
    </w:p>
    <w:p w:rsidR="005E17D3" w:rsidP="005E17D3">
      <w:pPr>
        <w:ind w:left="3240"/>
        <w:rPr>
          <w:szCs w:val="24"/>
        </w:rPr>
      </w:pPr>
    </w:p>
    <w:p w:rsidR="005E17D3" w:rsidP="005E17D3">
      <w:pPr>
        <w:ind w:left="3240"/>
        <w:rPr>
          <w:szCs w:val="24"/>
        </w:rPr>
      </w:pPr>
    </w:p>
    <w:p w:rsidR="005E17D3" w:rsidRPr="00FB7D7D" w:rsidP="005E17D3">
      <w:pPr>
        <w:ind w:left="3600"/>
        <w:rPr>
          <w:i/>
          <w:szCs w:val="24"/>
          <w:u w:val="single"/>
        </w:rPr>
      </w:pPr>
      <w:r w:rsidRPr="00FB7D7D">
        <w:rPr>
          <w:i/>
          <w:szCs w:val="24"/>
          <w:u w:val="single"/>
        </w:rPr>
        <w:t xml:space="preserve">/s/ </w:t>
      </w:r>
      <w:r>
        <w:rPr>
          <w:i/>
          <w:szCs w:val="24"/>
          <w:u w:val="single"/>
        </w:rPr>
        <w:t>Anne M. Reese per authorization</w:t>
      </w:r>
      <w:r w:rsidRPr="00FB7D7D">
        <w:rPr>
          <w:i/>
          <w:szCs w:val="24"/>
          <w:u w:val="single"/>
        </w:rPr>
        <w:t>   </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Anne M. Reese (0030876)</w:t>
      </w:r>
      <w:r>
        <w:rPr>
          <w:rFonts w:ascii="Times New Roman" w:hAnsi="Times New Roman" w:cs="Times New Roman"/>
        </w:rPr>
        <w:t>, Counsel of Record</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The Legal Aid Society of Cleveland</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121 East Walnut Street</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Jefferson, Ohio 44047</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Telephone: (440) 210-4537</w:t>
      </w:r>
    </w:p>
    <w:p w:rsidR="005E17D3" w:rsidRPr="00E63678" w:rsidP="005E17D3">
      <w:pPr>
        <w:pStyle w:val="BodyTextIndent"/>
        <w:spacing w:line="240" w:lineRule="auto"/>
        <w:ind w:left="3600" w:firstLine="0"/>
        <w:rPr>
          <w:rFonts w:ascii="Times New Roman" w:hAnsi="Times New Roman" w:cs="Times New Roman"/>
        </w:rPr>
      </w:pPr>
      <w:r w:rsidRPr="00E63678">
        <w:rPr>
          <w:rFonts w:ascii="Times New Roman" w:hAnsi="Times New Roman" w:cs="Times New Roman"/>
        </w:rPr>
        <w:t>amreese@lasclev.org</w:t>
      </w:r>
    </w:p>
    <w:p w:rsidR="005E17D3" w:rsidP="005E17D3">
      <w:pPr>
        <w:ind w:left="3600"/>
      </w:pPr>
      <w:r w:rsidRPr="008C0C4E">
        <w:t>(</w:t>
      </w:r>
      <w:r>
        <w:t>will accept service via email</w:t>
      </w:r>
      <w:r w:rsidRPr="008C0C4E">
        <w:t>)</w:t>
      </w:r>
    </w:p>
    <w:p w:rsidR="005E17D3" w:rsidP="005E17D3">
      <w:pPr>
        <w:ind w:left="3240"/>
        <w:rPr>
          <w:szCs w:val="24"/>
        </w:rPr>
      </w:pPr>
    </w:p>
    <w:p w:rsidR="005E17D3" w:rsidRPr="00E63678" w:rsidP="005E17D3">
      <w:pPr>
        <w:ind w:left="3240"/>
        <w:rPr>
          <w:szCs w:val="24"/>
        </w:rPr>
      </w:pPr>
    </w:p>
    <w:p w:rsidR="005E17D3" w:rsidRPr="00693F9D" w:rsidP="005E17D3">
      <w:pPr>
        <w:ind w:left="3600" w:right="-288"/>
        <w:rPr>
          <w:i/>
          <w:szCs w:val="24"/>
          <w:u w:val="single"/>
        </w:rPr>
      </w:pPr>
      <w:r w:rsidRPr="00693F9D">
        <w:rPr>
          <w:i/>
          <w:szCs w:val="24"/>
          <w:u w:val="single"/>
        </w:rPr>
        <w:t xml:space="preserve">/s/ </w:t>
      </w:r>
      <w:r>
        <w:rPr>
          <w:i/>
          <w:szCs w:val="24"/>
          <w:u w:val="single"/>
        </w:rPr>
        <w:t>Stephanie Moes per authorization</w:t>
      </w:r>
      <w:r w:rsidRPr="00693F9D">
        <w:rPr>
          <w:i/>
          <w:szCs w:val="24"/>
          <w:u w:val="single"/>
        </w:rPr>
        <w:t>        </w:t>
      </w:r>
    </w:p>
    <w:p w:rsidR="005E17D3" w:rsidRPr="005F1CA5" w:rsidP="005E17D3">
      <w:pPr>
        <w:ind w:left="3600"/>
        <w:rPr>
          <w:sz w:val="22"/>
        </w:rPr>
      </w:pPr>
      <w:r w:rsidRPr="005F1CA5">
        <w:t>Stephanie Moes (0077136), Counsel of Record</w:t>
      </w:r>
    </w:p>
    <w:p w:rsidR="005E17D3" w:rsidRPr="005F1CA5" w:rsidP="005E17D3">
      <w:pPr>
        <w:ind w:left="3600"/>
      </w:pPr>
      <w:r w:rsidRPr="005F1CA5">
        <w:t>Legal Aid Society of Southwest Ohio, LLC</w:t>
      </w:r>
    </w:p>
    <w:p w:rsidR="005E17D3" w:rsidRPr="005F1CA5" w:rsidP="005E17D3">
      <w:pPr>
        <w:ind w:left="3600"/>
      </w:pPr>
      <w:r w:rsidRPr="005F1CA5">
        <w:t>215 East Ninth Street, Suite 500</w:t>
      </w:r>
    </w:p>
    <w:p w:rsidR="005E17D3" w:rsidRPr="005F1CA5" w:rsidP="005E17D3">
      <w:pPr>
        <w:ind w:left="3600"/>
      </w:pPr>
      <w:r w:rsidRPr="005F1CA5">
        <w:t>Cincinnati, OH  45202</w:t>
      </w:r>
    </w:p>
    <w:p w:rsidR="005E17D3" w:rsidRPr="005F1CA5" w:rsidP="005E17D3">
      <w:pPr>
        <w:ind w:left="3600"/>
      </w:pPr>
      <w:r w:rsidRPr="005F1CA5">
        <w:t>513-362-2807 (direct dial)</w:t>
      </w:r>
    </w:p>
    <w:p w:rsidR="005E17D3" w:rsidRPr="005F1CA5" w:rsidP="005E17D3">
      <w:pPr>
        <w:ind w:left="3600"/>
      </w:pPr>
      <w:r w:rsidRPr="005F1CA5">
        <w:t>513-241-1187 (fax)</w:t>
      </w:r>
    </w:p>
    <w:p w:rsidR="005E17D3" w:rsidRPr="005F1CA5" w:rsidP="005E17D3">
      <w:pPr>
        <w:ind w:left="3600"/>
      </w:pPr>
      <w:r w:rsidRPr="0064671D">
        <w:t>smoes@lascinti.org</w:t>
      </w:r>
      <w:r>
        <w:t xml:space="preserve"> </w:t>
      </w:r>
    </w:p>
    <w:p w:rsidR="005E17D3" w:rsidP="005E17D3">
      <w:pPr>
        <w:ind w:left="3600" w:right="-288"/>
      </w:pPr>
      <w:r w:rsidRPr="00693F9D">
        <w:t>(</w:t>
      </w:r>
      <w:r>
        <w:t>will accept service via email)</w:t>
      </w:r>
    </w:p>
    <w:p w:rsidR="005E17D3" w:rsidP="005E17D3">
      <w:pPr>
        <w:ind w:left="4320"/>
      </w:pPr>
    </w:p>
    <w:p w:rsidR="005E17D3" w:rsidP="005E17D3">
      <w:pPr>
        <w:ind w:left="4320"/>
      </w:pPr>
    </w:p>
    <w:p w:rsidR="005E17D3" w:rsidP="005E17D3">
      <w:pPr>
        <w:ind w:left="3600"/>
      </w:pPr>
      <w:r>
        <w:t xml:space="preserve">Bruce Weston </w:t>
      </w:r>
      <w:r w:rsidRPr="00005D91">
        <w:rPr>
          <w:szCs w:val="24"/>
        </w:rPr>
        <w:t>(0016973)</w:t>
      </w:r>
    </w:p>
    <w:p w:rsidR="005E17D3" w:rsidRPr="00E63678" w:rsidP="005E17D3">
      <w:pPr>
        <w:spacing w:after="120"/>
        <w:ind w:left="3600"/>
      </w:pPr>
      <w:r>
        <w:t>Ohio Consumers’ Counsel</w:t>
      </w:r>
    </w:p>
    <w:p w:rsidR="005E17D3" w:rsidRPr="00B30AA6" w:rsidP="005E17D3">
      <w:pPr>
        <w:ind w:left="3600"/>
        <w:rPr>
          <w:i/>
        </w:rPr>
      </w:pPr>
      <w:r w:rsidRPr="00B30AA6">
        <w:rPr>
          <w:i/>
          <w:u w:val="single"/>
        </w:rPr>
        <w:t>/s/ Terry L. Etter</w:t>
      </w:r>
      <w:r>
        <w:rPr>
          <w:i/>
          <w:u w:val="single"/>
        </w:rPr>
        <w:tab/>
      </w:r>
      <w:r>
        <w:rPr>
          <w:i/>
          <w:u w:val="single"/>
        </w:rPr>
        <w:tab/>
      </w:r>
      <w:r>
        <w:rPr>
          <w:i/>
          <w:u w:val="single"/>
        </w:rPr>
        <w:tab/>
      </w:r>
    </w:p>
    <w:p w:rsidR="005E17D3" w:rsidP="005E17D3">
      <w:pPr>
        <w:ind w:left="3600"/>
      </w:pPr>
      <w:r>
        <w:t>Terry L. Etter (0067445), Counsel of Record</w:t>
      </w:r>
    </w:p>
    <w:p w:rsidR="005E17D3" w:rsidP="005E17D3">
      <w:pPr>
        <w:tabs>
          <w:tab w:val="left" w:pos="4320"/>
        </w:tabs>
        <w:ind w:left="3600"/>
      </w:pPr>
      <w:r>
        <w:t>Assistant Consumers’ Counsel</w:t>
      </w:r>
    </w:p>
    <w:p w:rsidR="005E17D3" w:rsidRPr="003C0562" w:rsidP="005E17D3">
      <w:pPr>
        <w:ind w:left="3600"/>
        <w:rPr>
          <w:bCs/>
        </w:rPr>
      </w:pPr>
      <w:r w:rsidRPr="003C0562">
        <w:rPr>
          <w:bCs/>
        </w:rPr>
        <w:t>Office of the Ohio Consumers’ Counsel</w:t>
      </w:r>
    </w:p>
    <w:p w:rsidR="005E17D3" w:rsidP="005E17D3">
      <w:pPr>
        <w:ind w:left="3600"/>
      </w:pPr>
      <w:r>
        <w:t>65 East State Street, 7</w:t>
      </w:r>
      <w:r w:rsidRPr="00EE6430">
        <w:rPr>
          <w:vertAlign w:val="superscript"/>
        </w:rPr>
        <w:t>th</w:t>
      </w:r>
      <w:r>
        <w:t xml:space="preserve"> Floor</w:t>
      </w:r>
    </w:p>
    <w:p w:rsidR="005E17D3" w:rsidP="005E17D3">
      <w:pPr>
        <w:ind w:left="3600"/>
      </w:pPr>
      <w:r>
        <w:t>Columbus, Ohio 43215-4213</w:t>
      </w:r>
    </w:p>
    <w:p w:rsidR="005E17D3" w:rsidP="005E17D3">
      <w:pPr>
        <w:autoSpaceDE w:val="0"/>
        <w:autoSpaceDN w:val="0"/>
        <w:adjustRightInd w:val="0"/>
        <w:ind w:left="3600"/>
      </w:pPr>
      <w:r>
        <w:t>Telephone: (614) 466-7964 (Etter direct)</w:t>
      </w:r>
    </w:p>
    <w:p w:rsidR="005E17D3" w:rsidP="005E17D3">
      <w:pPr>
        <w:ind w:left="3600"/>
      </w:pPr>
      <w:r w:rsidRPr="00745254">
        <w:t>terry.etter@occ.ohio.gov</w:t>
      </w:r>
    </w:p>
    <w:p w:rsidR="005E17D3" w:rsidP="005E17D3">
      <w:pPr>
        <w:ind w:left="3600"/>
      </w:pPr>
      <w:r>
        <w:t>(will accept service via email)</w:t>
      </w:r>
    </w:p>
    <w:p w:rsidR="005E17D3" w:rsidP="005E17D3">
      <w:pPr>
        <w:ind w:left="3600"/>
        <w:rPr>
          <w:i/>
          <w:u w:val="single"/>
        </w:rPr>
      </w:pPr>
      <w:bookmarkStart w:id="8" w:name="_Hlk5714378"/>
      <w:r w:rsidRPr="00B30AA6">
        <w:rPr>
          <w:i/>
          <w:u w:val="single"/>
        </w:rPr>
        <w:t xml:space="preserve">/s/ </w:t>
      </w:r>
      <w:r>
        <w:rPr>
          <w:i/>
          <w:u w:val="single"/>
        </w:rPr>
        <w:t xml:space="preserve">Philip E. Cole per authorization   </w:t>
      </w:r>
      <w:r>
        <w:rPr>
          <w:i/>
          <w:u w:val="single"/>
        </w:rPr>
        <w:tab/>
      </w:r>
    </w:p>
    <w:p w:rsidR="005E17D3" w:rsidRPr="001033FD" w:rsidP="005E17D3">
      <w:pPr>
        <w:ind w:left="3600"/>
        <w:rPr>
          <w:szCs w:val="24"/>
        </w:rPr>
      </w:pPr>
      <w:r w:rsidRPr="001033FD">
        <w:rPr>
          <w:bCs/>
          <w:szCs w:val="24"/>
        </w:rPr>
        <w:t>Philip E. Cole</w:t>
      </w:r>
      <w:r w:rsidRPr="001033FD">
        <w:rPr>
          <w:szCs w:val="24"/>
        </w:rPr>
        <w:t xml:space="preserve"> (0033908), Counsel of Record</w:t>
      </w:r>
    </w:p>
    <w:p w:rsidR="005E17D3" w:rsidRPr="001033FD" w:rsidP="005E17D3">
      <w:pPr>
        <w:ind w:left="3600"/>
        <w:rPr>
          <w:szCs w:val="24"/>
        </w:rPr>
      </w:pPr>
      <w:r w:rsidRPr="001033FD">
        <w:rPr>
          <w:szCs w:val="24"/>
        </w:rPr>
        <w:t xml:space="preserve">Executive Director </w:t>
      </w:r>
    </w:p>
    <w:p w:rsidR="005E17D3" w:rsidRPr="001033FD" w:rsidP="005E17D3">
      <w:pPr>
        <w:ind w:left="3600" w:right="-144"/>
        <w:rPr>
          <w:szCs w:val="24"/>
        </w:rPr>
      </w:pPr>
      <w:r w:rsidRPr="001033FD">
        <w:rPr>
          <w:szCs w:val="24"/>
        </w:rPr>
        <w:t xml:space="preserve">Ohio Association of Community Action Agencies </w:t>
      </w:r>
    </w:p>
    <w:p w:rsidR="005E17D3" w:rsidRPr="0066411A" w:rsidP="005E17D3">
      <w:pPr>
        <w:ind w:left="3600"/>
        <w:rPr>
          <w:szCs w:val="24"/>
        </w:rPr>
      </w:pPr>
      <w:r w:rsidRPr="0066411A">
        <w:rPr>
          <w:szCs w:val="24"/>
        </w:rPr>
        <w:t xml:space="preserve">140 E. Town Street, Suite 1150 </w:t>
      </w:r>
    </w:p>
    <w:p w:rsidR="005E17D3" w:rsidRPr="001033FD" w:rsidP="005E17D3">
      <w:pPr>
        <w:ind w:left="3600"/>
        <w:rPr>
          <w:szCs w:val="24"/>
        </w:rPr>
      </w:pPr>
      <w:r w:rsidRPr="001033FD">
        <w:rPr>
          <w:szCs w:val="24"/>
        </w:rPr>
        <w:t xml:space="preserve">Columbus, Ohio 43215 </w:t>
      </w:r>
    </w:p>
    <w:p w:rsidR="005E17D3" w:rsidRPr="001033FD" w:rsidP="005E17D3">
      <w:pPr>
        <w:pStyle w:val="Footer"/>
        <w:tabs>
          <w:tab w:val="left" w:pos="4320"/>
        </w:tabs>
        <w:ind w:left="3600"/>
        <w:rPr>
          <w:szCs w:val="24"/>
        </w:rPr>
      </w:pPr>
      <w:r w:rsidRPr="001033FD">
        <w:rPr>
          <w:szCs w:val="24"/>
        </w:rPr>
        <w:t>Telephone: (614) 224-8500</w:t>
      </w:r>
    </w:p>
    <w:p w:rsidR="005E17D3" w:rsidP="005E17D3">
      <w:pPr>
        <w:ind w:left="3600"/>
        <w:rPr>
          <w:szCs w:val="24"/>
        </w:rPr>
      </w:pPr>
      <w:r w:rsidRPr="002337D1">
        <w:rPr>
          <w:szCs w:val="24"/>
        </w:rPr>
        <w:t>phil@oacaa.org</w:t>
      </w:r>
    </w:p>
    <w:p w:rsidR="005E17D3" w:rsidP="005E17D3">
      <w:pPr>
        <w:ind w:left="3600"/>
      </w:pPr>
      <w:r w:rsidRPr="008C0C4E">
        <w:t>(</w:t>
      </w:r>
      <w:r>
        <w:t>will accept service via email</w:t>
      </w:r>
      <w:r w:rsidRPr="008C0C4E">
        <w:t>)</w:t>
      </w:r>
    </w:p>
    <w:p w:rsidR="005E17D3" w:rsidP="005E17D3">
      <w:pPr>
        <w:ind w:left="3240"/>
        <w:rPr>
          <w:szCs w:val="24"/>
        </w:rPr>
      </w:pPr>
      <w:bookmarkEnd w:id="8"/>
    </w:p>
    <w:p w:rsidR="005E17D3" w:rsidP="005E17D3">
      <w:pPr>
        <w:ind w:left="3240"/>
      </w:pPr>
    </w:p>
    <w:p w:rsidR="005E17D3" w:rsidP="005E17D3">
      <w:pPr>
        <w:ind w:left="3600"/>
        <w:rPr>
          <w:i/>
          <w:szCs w:val="24"/>
          <w:u w:val="single"/>
        </w:rPr>
      </w:pPr>
      <w:r w:rsidRPr="000157BF">
        <w:rPr>
          <w:i/>
          <w:szCs w:val="24"/>
          <w:u w:val="single"/>
        </w:rPr>
        <w:t xml:space="preserve">/s/ </w:t>
      </w:r>
      <w:r>
        <w:rPr>
          <w:i/>
          <w:szCs w:val="24"/>
          <w:u w:val="single"/>
        </w:rPr>
        <w:t>Susan Jagers per authorization</w:t>
      </w:r>
      <w:r>
        <w:rPr>
          <w:i/>
          <w:szCs w:val="24"/>
          <w:u w:val="single"/>
        </w:rPr>
        <w:tab/>
      </w:r>
    </w:p>
    <w:p w:rsidR="005E17D3" w:rsidRPr="00414969" w:rsidP="005E17D3">
      <w:pPr>
        <w:ind w:left="3600"/>
        <w:rPr>
          <w:rFonts w:eastAsia="Calibri"/>
          <w:szCs w:val="24"/>
        </w:rPr>
      </w:pPr>
      <w:r w:rsidRPr="008C5274">
        <w:rPr>
          <w:bCs/>
          <w:szCs w:val="24"/>
        </w:rPr>
        <w:t>Susan Jagers</w:t>
      </w:r>
      <w:r w:rsidRPr="008C5274">
        <w:rPr>
          <w:szCs w:val="24"/>
        </w:rPr>
        <w:t xml:space="preserve"> </w:t>
      </w:r>
      <w:r>
        <w:rPr>
          <w:szCs w:val="24"/>
        </w:rPr>
        <w:t>(0061678</w:t>
      </w:r>
      <w:r>
        <w:t>), Counsel of Record</w:t>
      </w:r>
    </w:p>
    <w:p w:rsidR="005E17D3" w:rsidRPr="00414969" w:rsidP="005E17D3">
      <w:pPr>
        <w:ind w:left="3600"/>
      </w:pPr>
      <w:r>
        <w:t>Director</w:t>
      </w:r>
    </w:p>
    <w:p w:rsidR="005E17D3" w:rsidRPr="00414969" w:rsidP="005E17D3">
      <w:pPr>
        <w:ind w:left="3600"/>
      </w:pPr>
      <w:r w:rsidRPr="00414969">
        <w:t>Ohio Poverty Law Center</w:t>
      </w:r>
    </w:p>
    <w:p w:rsidR="005E17D3" w:rsidRPr="00414969" w:rsidP="005E17D3">
      <w:pPr>
        <w:ind w:left="3600"/>
      </w:pPr>
      <w:r w:rsidRPr="008C5274">
        <w:rPr>
          <w:szCs w:val="24"/>
        </w:rPr>
        <w:t>1108 City Park Avenue, Suite 200</w:t>
      </w:r>
    </w:p>
    <w:p w:rsidR="005E17D3" w:rsidRPr="00414969" w:rsidP="005E17D3">
      <w:pPr>
        <w:ind w:left="3600"/>
      </w:pPr>
      <w:r w:rsidRPr="00414969">
        <w:t>Columbus, Ohio 432</w:t>
      </w:r>
      <w:r>
        <w:t>06</w:t>
      </w:r>
    </w:p>
    <w:p w:rsidR="005E17D3" w:rsidP="005E17D3">
      <w:pPr>
        <w:ind w:left="3600"/>
        <w:rPr>
          <w:color w:val="1F497D"/>
        </w:rPr>
      </w:pPr>
      <w:r w:rsidRPr="00414969">
        <w:t xml:space="preserve">Telephone: </w:t>
      </w:r>
      <w:r>
        <w:t>(</w:t>
      </w:r>
      <w:r w:rsidRPr="00414969">
        <w:t>614</w:t>
      </w:r>
      <w:r>
        <w:t xml:space="preserve">) </w:t>
      </w:r>
      <w:r w:rsidRPr="00414969">
        <w:t>824-2502</w:t>
      </w:r>
    </w:p>
    <w:p w:rsidR="005E17D3" w:rsidP="005E17D3">
      <w:pPr>
        <w:ind w:left="3600"/>
      </w:pPr>
      <w:r w:rsidRPr="0064671D">
        <w:rPr>
          <w:szCs w:val="24"/>
        </w:rPr>
        <w:t>sjagers@ohiopovertylaw.org</w:t>
      </w:r>
      <w:r>
        <w:t xml:space="preserve"> </w:t>
      </w:r>
    </w:p>
    <w:p w:rsidR="005E17D3" w:rsidP="005E17D3">
      <w:pPr>
        <w:ind w:left="3600"/>
      </w:pPr>
      <w:r w:rsidRPr="008C0C4E">
        <w:t>(</w:t>
      </w:r>
      <w:r>
        <w:t>will accept service via email</w:t>
      </w:r>
      <w:r w:rsidRPr="008C0C4E">
        <w:t>)</w:t>
      </w:r>
    </w:p>
    <w:p w:rsidR="005E17D3" w:rsidP="005E17D3">
      <w:pPr>
        <w:ind w:left="4320"/>
      </w:pPr>
    </w:p>
    <w:p w:rsidR="005E17D3" w:rsidP="005E17D3">
      <w:pPr>
        <w:ind w:left="4320"/>
      </w:pPr>
    </w:p>
    <w:p w:rsidR="005E17D3" w:rsidRPr="008C0C4E" w:rsidP="005E17D3">
      <w:pPr>
        <w:ind w:left="3600"/>
        <w:rPr>
          <w:i/>
          <w:szCs w:val="24"/>
          <w:u w:val="single"/>
        </w:rPr>
      </w:pPr>
      <w:r w:rsidRPr="008C0C4E">
        <w:rPr>
          <w:i/>
          <w:szCs w:val="24"/>
          <w:u w:val="single"/>
        </w:rPr>
        <w:t>/s/ Michael Walters </w:t>
      </w:r>
      <w:r>
        <w:rPr>
          <w:i/>
          <w:szCs w:val="24"/>
          <w:u w:val="single"/>
        </w:rPr>
        <w:t xml:space="preserve">per authorization </w:t>
      </w:r>
      <w:r w:rsidRPr="008C0C4E">
        <w:rPr>
          <w:i/>
          <w:szCs w:val="24"/>
          <w:u w:val="single"/>
        </w:rPr>
        <w:t>    </w:t>
      </w:r>
    </w:p>
    <w:p w:rsidR="005E17D3" w:rsidRPr="008C0C4E" w:rsidP="005E17D3">
      <w:pPr>
        <w:ind w:left="3600"/>
      </w:pPr>
      <w:r w:rsidRPr="008C0C4E">
        <w:t xml:space="preserve">Michael Walters </w:t>
      </w:r>
      <w:r w:rsidRPr="008C0C4E">
        <w:rPr>
          <w:rFonts w:eastAsia="Calibri"/>
          <w:szCs w:val="24"/>
        </w:rPr>
        <w:t>(</w:t>
      </w:r>
      <w:r w:rsidRPr="008C0C4E">
        <w:t>0068921</w:t>
      </w:r>
      <w:r w:rsidRPr="008C0C4E">
        <w:rPr>
          <w:rFonts w:eastAsia="Calibri"/>
          <w:szCs w:val="24"/>
        </w:rPr>
        <w:t>)</w:t>
      </w:r>
      <w:r w:rsidRPr="008C0C4E">
        <w:t>, Counsel of Record</w:t>
      </w:r>
    </w:p>
    <w:p w:rsidR="005E17D3" w:rsidRPr="008C0C4E" w:rsidP="005E17D3">
      <w:pPr>
        <w:ind w:left="3600"/>
      </w:pPr>
      <w:r w:rsidRPr="008C0C4E">
        <w:t>Legal Hotline Managing Attorney</w:t>
      </w:r>
    </w:p>
    <w:p w:rsidR="005E17D3" w:rsidRPr="008C0C4E" w:rsidP="005E17D3">
      <w:pPr>
        <w:ind w:left="3600"/>
      </w:pPr>
      <w:r w:rsidRPr="008C0C4E">
        <w:t>Pro Seniors, Inc.</w:t>
      </w:r>
    </w:p>
    <w:p w:rsidR="005E17D3" w:rsidRPr="008C0C4E" w:rsidP="005E17D3">
      <w:pPr>
        <w:ind w:left="3600"/>
      </w:pPr>
      <w:r w:rsidRPr="008C0C4E">
        <w:t>7162 Reading Road, Suite 1150</w:t>
      </w:r>
    </w:p>
    <w:p w:rsidR="005E17D3" w:rsidRPr="008C0C4E" w:rsidP="005E17D3">
      <w:pPr>
        <w:ind w:left="3600"/>
      </w:pPr>
      <w:r w:rsidRPr="008C0C4E">
        <w:t>Cincinnati, Ohio 45237</w:t>
      </w:r>
    </w:p>
    <w:p w:rsidR="005E17D3" w:rsidRPr="008C0C4E" w:rsidP="005E17D3">
      <w:pPr>
        <w:ind w:left="3600"/>
      </w:pPr>
      <w:r w:rsidRPr="008C0C4E">
        <w:t>Telephone: (513) 458-5532</w:t>
      </w:r>
    </w:p>
    <w:p w:rsidR="005E17D3" w:rsidRPr="00F2714E" w:rsidP="005E17D3">
      <w:pPr>
        <w:ind w:left="3600"/>
      </w:pPr>
      <w:r w:rsidRPr="00F2714E">
        <w:t>mwalters@proseniors.org</w:t>
      </w:r>
    </w:p>
    <w:p w:rsidR="005E17D3" w:rsidP="005E17D3">
      <w:pPr>
        <w:ind w:left="3600"/>
      </w:pPr>
      <w:r w:rsidRPr="008C0C4E">
        <w:t>(</w:t>
      </w:r>
      <w:r>
        <w:t>will accept service via email</w:t>
      </w:r>
      <w:r w:rsidRPr="008C0C4E">
        <w:t>)</w:t>
      </w:r>
    </w:p>
    <w:p w:rsidR="005E17D3" w:rsidP="005E17D3">
      <w:pPr>
        <w:ind w:left="4320"/>
      </w:pPr>
    </w:p>
    <w:p w:rsidR="005E17D3" w:rsidP="005E17D3">
      <w:pPr>
        <w:ind w:left="4320"/>
      </w:pPr>
    </w:p>
    <w:p w:rsidR="005E17D3" w:rsidRPr="00925AD4" w:rsidP="005E17D3">
      <w:pPr>
        <w:ind w:left="3600"/>
        <w:rPr>
          <w:i/>
          <w:szCs w:val="24"/>
          <w:u w:val="single"/>
        </w:rPr>
      </w:pPr>
      <w:r w:rsidRPr="00925AD4">
        <w:rPr>
          <w:i/>
          <w:szCs w:val="24"/>
          <w:u w:val="single"/>
        </w:rPr>
        <w:t xml:space="preserve">/s/ Peggy P. Lee </w:t>
      </w:r>
      <w:r>
        <w:rPr>
          <w:i/>
          <w:szCs w:val="24"/>
          <w:u w:val="single"/>
        </w:rPr>
        <w:t>per authorization</w:t>
      </w:r>
      <w:r w:rsidRPr="00925AD4">
        <w:rPr>
          <w:i/>
          <w:szCs w:val="24"/>
          <w:u w:val="single"/>
        </w:rPr>
        <w:t>   </w:t>
      </w:r>
      <w:r>
        <w:rPr>
          <w:i/>
          <w:szCs w:val="24"/>
          <w:u w:val="single"/>
        </w:rPr>
        <w:t xml:space="preserve">  </w:t>
      </w:r>
      <w:r w:rsidRPr="00925AD4">
        <w:rPr>
          <w:i/>
          <w:szCs w:val="24"/>
          <w:u w:val="single"/>
        </w:rPr>
        <w:t>    </w:t>
      </w:r>
    </w:p>
    <w:p w:rsidR="005E17D3" w:rsidRPr="00925AD4" w:rsidP="005E17D3">
      <w:pPr>
        <w:ind w:left="3600"/>
      </w:pPr>
      <w:r w:rsidRPr="00925AD4">
        <w:t xml:space="preserve">Peggy P. Lee </w:t>
      </w:r>
      <w:r w:rsidRPr="00925AD4">
        <w:rPr>
          <w:rFonts w:eastAsia="Calibri"/>
          <w:szCs w:val="24"/>
        </w:rPr>
        <w:t>(</w:t>
      </w:r>
      <w:r w:rsidRPr="00925AD4">
        <w:t>0067912</w:t>
      </w:r>
      <w:r w:rsidRPr="00925AD4">
        <w:rPr>
          <w:rFonts w:eastAsia="Calibri"/>
          <w:szCs w:val="24"/>
        </w:rPr>
        <w:t>)</w:t>
      </w:r>
      <w:r w:rsidRPr="00925AD4">
        <w:t>, Counsel of Record</w:t>
      </w:r>
    </w:p>
    <w:p w:rsidR="005E17D3" w:rsidRPr="00925AD4" w:rsidP="005E17D3">
      <w:pPr>
        <w:ind w:left="3600"/>
      </w:pPr>
      <w:r w:rsidRPr="00925AD4">
        <w:t>Senior Staff Attorney</w:t>
      </w:r>
    </w:p>
    <w:p w:rsidR="005E17D3" w:rsidRPr="00925AD4" w:rsidP="005E17D3">
      <w:pPr>
        <w:ind w:left="3600"/>
      </w:pPr>
      <w:r w:rsidRPr="00925AD4">
        <w:t>Southeastern Ohio Legal Services</w:t>
      </w:r>
    </w:p>
    <w:p w:rsidR="005E17D3" w:rsidRPr="00925AD4" w:rsidP="005E17D3">
      <w:pPr>
        <w:ind w:left="3600"/>
      </w:pPr>
      <w:r w:rsidRPr="00925AD4">
        <w:t>964 East State Street</w:t>
      </w:r>
    </w:p>
    <w:p w:rsidR="005E17D3" w:rsidRPr="00925AD4" w:rsidP="005E17D3">
      <w:pPr>
        <w:ind w:left="3600"/>
      </w:pPr>
      <w:r w:rsidRPr="00925AD4">
        <w:t>Athens, Ohio 45701</w:t>
      </w:r>
    </w:p>
    <w:p w:rsidR="005E17D3" w:rsidRPr="00925AD4" w:rsidP="005E17D3">
      <w:pPr>
        <w:ind w:left="3600"/>
        <w:rPr>
          <w:color w:val="1F497D"/>
        </w:rPr>
      </w:pPr>
      <w:r w:rsidRPr="00925AD4">
        <w:t>Telephone: (740) 594-3558</w:t>
      </w:r>
    </w:p>
    <w:p w:rsidR="005E17D3" w:rsidRPr="00925AD4" w:rsidP="005E17D3">
      <w:pPr>
        <w:ind w:left="3600"/>
        <w:rPr>
          <w:color w:val="1F497D"/>
        </w:rPr>
      </w:pPr>
      <w:r w:rsidRPr="00925AD4">
        <w:t>plee@oslsa.org</w:t>
      </w:r>
    </w:p>
    <w:p w:rsidR="00F2714E" w:rsidP="005E17D3">
      <w:pPr>
        <w:ind w:left="3600"/>
        <w:sectPr w:rsidSect="00BC5E01">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start="1"/>
          <w:cols w:space="720"/>
          <w:titlePg/>
          <w:docGrid w:linePitch="360"/>
        </w:sectPr>
      </w:pPr>
      <w:r w:rsidRPr="00925AD4">
        <w:t>(</w:t>
      </w:r>
      <w:r>
        <w:t>will accept service via email</w:t>
      </w:r>
      <w:r w:rsidRPr="00925AD4">
        <w:t>)</w:t>
      </w:r>
    </w:p>
    <w:p w:rsidR="00990976" w:rsidRPr="001B6547" w:rsidP="00990976">
      <w:pPr>
        <w:ind w:left="2160" w:firstLine="720"/>
        <w:rPr>
          <w:b/>
          <w:szCs w:val="24"/>
        </w:rPr>
      </w:pPr>
      <w:r w:rsidRPr="001B6547">
        <w:rPr>
          <w:b/>
        </w:rPr>
        <w:t>CERTIFICATE OF SERVICE</w:t>
      </w:r>
    </w:p>
    <w:p w:rsidR="00990976" w:rsidRPr="001B6547" w:rsidP="00990976">
      <w:pPr>
        <w:spacing w:line="480" w:lineRule="atLeast"/>
      </w:pPr>
      <w:r w:rsidRPr="001B6547">
        <w:tab/>
        <w:t>I hereby certify that a copy of these</w:t>
      </w:r>
      <w:r>
        <w:t xml:space="preserve"> Reply Comments</w:t>
      </w:r>
      <w:r w:rsidRPr="001B6547">
        <w:t xml:space="preserve"> was served on the persons stated below via electronic transmission this </w:t>
      </w:r>
      <w:r>
        <w:t>22</w:t>
      </w:r>
      <w:r w:rsidRPr="00BA46F3">
        <w:rPr>
          <w:vertAlign w:val="superscript"/>
        </w:rPr>
        <w:t>nd</w:t>
      </w:r>
      <w:r>
        <w:t xml:space="preserve"> day of April</w:t>
      </w:r>
      <w:r w:rsidRPr="001B6547">
        <w:t xml:space="preserve"> 201</w:t>
      </w:r>
      <w:r>
        <w:t>9</w:t>
      </w:r>
      <w:r w:rsidRPr="001B6547">
        <w:t>.</w:t>
      </w:r>
    </w:p>
    <w:p w:rsidR="00990976" w:rsidRPr="001B6547" w:rsidP="00990976">
      <w:pPr>
        <w:spacing w:line="480" w:lineRule="atLeast"/>
      </w:pPr>
    </w:p>
    <w:p w:rsidR="00990976" w:rsidRPr="001B6547" w:rsidP="00990976">
      <w:pPr>
        <w:rPr>
          <w:i/>
          <w:szCs w:val="24"/>
          <w:u w:val="single"/>
        </w:rPr>
      </w:pPr>
      <w:r w:rsidRPr="001B6547">
        <w:tab/>
      </w:r>
      <w:r w:rsidRPr="001B6547">
        <w:tab/>
      </w:r>
      <w:r w:rsidRPr="001B6547">
        <w:tab/>
      </w:r>
      <w:r w:rsidRPr="001B6547">
        <w:tab/>
      </w:r>
      <w:r w:rsidRPr="001B6547">
        <w:tab/>
      </w:r>
      <w:r w:rsidRPr="001B6547">
        <w:tab/>
      </w:r>
      <w:r w:rsidRPr="001B6547">
        <w:rPr>
          <w:i/>
          <w:szCs w:val="24"/>
          <w:u w:val="single"/>
        </w:rPr>
        <w:t>/s/ Terry L. Etter                        </w:t>
      </w:r>
    </w:p>
    <w:p w:rsidR="00990976" w:rsidRPr="001B6547" w:rsidP="00990976">
      <w:pPr>
        <w:ind w:left="4320"/>
      </w:pPr>
      <w:r w:rsidRPr="001B6547">
        <w:t>Terry L. Etter</w:t>
      </w:r>
      <w:r w:rsidRPr="001B6547">
        <w:tab/>
      </w:r>
    </w:p>
    <w:p w:rsidR="00990976" w:rsidRPr="001B6547" w:rsidP="00990976">
      <w:pPr>
        <w:ind w:left="4320"/>
      </w:pPr>
      <w:r w:rsidRPr="001B6547">
        <w:t>Assistant Consumers</w:t>
      </w:r>
      <w:r>
        <w:t>’</w:t>
      </w:r>
      <w:r w:rsidRPr="001B6547">
        <w:t xml:space="preserve"> Counsel</w:t>
      </w:r>
    </w:p>
    <w:p w:rsidR="00990976" w:rsidRPr="001B6547" w:rsidP="00990976">
      <w:r w:rsidRPr="001B6547">
        <w:tab/>
      </w:r>
    </w:p>
    <w:p w:rsidR="00990976" w:rsidRPr="001B6547" w:rsidP="00990976">
      <w:pPr>
        <w:rPr>
          <w:szCs w:val="24"/>
        </w:rPr>
      </w:pPr>
    </w:p>
    <w:p w:rsidR="00990976" w:rsidRPr="001B6547" w:rsidP="00990976">
      <w:pPr>
        <w:jc w:val="center"/>
        <w:rPr>
          <w:b/>
          <w:szCs w:val="24"/>
          <w:u w:val="single"/>
        </w:rPr>
      </w:pPr>
      <w:r w:rsidRPr="001B6547">
        <w:rPr>
          <w:b/>
          <w:szCs w:val="24"/>
          <w:u w:val="single"/>
        </w:rPr>
        <w:t>SERVICE LIST</w:t>
      </w:r>
    </w:p>
    <w:p w:rsidR="00990976" w:rsidRPr="001B6547" w:rsidP="00990976">
      <w:pPr>
        <w:jc w:val="both"/>
        <w:rPr>
          <w:b/>
          <w:bCs/>
        </w:rPr>
      </w:pPr>
    </w:p>
    <w:tbl>
      <w:tblPr>
        <w:tblW w:w="0" w:type="auto"/>
        <w:tblInd w:w="0" w:type="dxa"/>
        <w:tblCellMar>
          <w:top w:w="0" w:type="dxa"/>
          <w:left w:w="108" w:type="dxa"/>
          <w:bottom w:w="0" w:type="dxa"/>
          <w:right w:w="108" w:type="dxa"/>
        </w:tblCellMar>
        <w:tblLook w:val="01E0"/>
      </w:tblPr>
      <w:tblGrid>
        <w:gridCol w:w="4375"/>
        <w:gridCol w:w="4265"/>
      </w:tblGrid>
      <w:tr w:rsidTr="00187D15">
        <w:tblPrEx>
          <w:tblW w:w="0" w:type="auto"/>
          <w:tblInd w:w="0" w:type="dxa"/>
          <w:tblCellMar>
            <w:top w:w="0" w:type="dxa"/>
            <w:left w:w="108" w:type="dxa"/>
            <w:bottom w:w="0" w:type="dxa"/>
            <w:right w:w="108" w:type="dxa"/>
          </w:tblCellMar>
          <w:tblLook w:val="01E0"/>
        </w:tblPrEx>
        <w:tc>
          <w:tcPr>
            <w:tcW w:w="4428" w:type="dxa"/>
            <w:shd w:val="clear" w:color="auto" w:fill="auto"/>
          </w:tcPr>
          <w:p w:rsidR="0099097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F2714E">
              <w:rPr>
                <w:rFonts w:ascii="Times New Roman" w:eastAsia="Times New Roman" w:hAnsi="Times New Roman" w:cs="Times New Roman"/>
                <w:bCs/>
                <w:sz w:val="24"/>
                <w:szCs w:val="24"/>
                <w:lang w:val="en-US" w:eastAsia="en-US" w:bidi="ar-SA"/>
              </w:rPr>
              <w:t xml:space="preserve">john.jones@ohioattorneygeneral.gov </w:t>
            </w:r>
          </w:p>
          <w:p w:rsidR="0097271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p>
          <w:p w:rsidR="0097271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r w:rsidRPr="00F2714E">
              <w:rPr>
                <w:rFonts w:ascii="Times New Roman" w:eastAsia="Times New Roman" w:hAnsi="Times New Roman" w:cs="Times New Roman"/>
                <w:bCs/>
                <w:sz w:val="24"/>
                <w:szCs w:val="20"/>
                <w:lang w:val="en-US" w:eastAsia="en-US" w:bidi="ar-SA"/>
              </w:rPr>
              <w:t>Attorney Examiners:</w:t>
            </w:r>
          </w:p>
          <w:p w:rsidR="0099097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F2714E">
              <w:rPr>
                <w:rFonts w:ascii="Times New Roman" w:eastAsia="Times New Roman" w:hAnsi="Times New Roman" w:cs="Times New Roman"/>
                <w:bCs/>
                <w:sz w:val="24"/>
                <w:szCs w:val="24"/>
                <w:lang w:val="en-US" w:eastAsia="en-US" w:bidi="ar-SA"/>
              </w:rPr>
              <w:t>Jay.agranoff@puc.state.oh.us</w:t>
            </w:r>
          </w:p>
          <w:p w:rsidR="00990976" w:rsidRPr="00F2714E" w:rsidP="00972716">
            <w:pPr>
              <w:autoSpaceDE w:val="0"/>
              <w:autoSpaceDN w:val="0"/>
              <w:adjustRightInd w:val="0"/>
              <w:spacing w:after="0" w:line="240" w:lineRule="auto"/>
              <w:rPr>
                <w:rStyle w:val="DefaultParagraphFont"/>
                <w:rFonts w:ascii="Times New Roman" w:eastAsia="Times New Roman" w:hAnsi="Times New Roman" w:cs="Times New Roman"/>
                <w:bCs/>
                <w:sz w:val="24"/>
                <w:szCs w:val="24"/>
                <w:lang w:val="en-US" w:eastAsia="en-US" w:bidi="ar-SA"/>
              </w:rPr>
            </w:pPr>
            <w:r w:rsidRPr="00F2714E">
              <w:rPr>
                <w:rFonts w:ascii="Times New Roman" w:eastAsia="Times New Roman" w:hAnsi="Times New Roman" w:cs="Times New Roman"/>
                <w:bCs/>
                <w:sz w:val="24"/>
                <w:szCs w:val="24"/>
                <w:lang w:val="en-US" w:eastAsia="en-US" w:bidi="ar-SA"/>
              </w:rPr>
              <w:t xml:space="preserve">Jeffrey.jones@puc.state.oh.us </w:t>
            </w:r>
          </w:p>
          <w:p w:rsidR="004B5B13" w:rsidRPr="00F2714E" w:rsidP="00187D15">
            <w:pPr>
              <w:autoSpaceDE w:val="0"/>
              <w:autoSpaceDN w:val="0"/>
              <w:adjustRightInd w:val="0"/>
              <w:spacing w:after="0" w:line="240" w:lineRule="auto"/>
              <w:rPr>
                <w:rStyle w:val="DefaultParagraphFont"/>
                <w:rFonts w:ascii="Arial" w:hAnsi="Arial" w:eastAsiaTheme="minorHAnsi" w:cs="Arial"/>
                <w:sz w:val="20"/>
                <w:szCs w:val="20"/>
                <w:lang w:val="en-US" w:eastAsia="en-US" w:bidi="ar-SA"/>
              </w:rPr>
            </w:pPr>
          </w:p>
          <w:p w:rsidR="004B5B13" w:rsidRPr="00F2714E" w:rsidP="00187D15">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p>
          <w:p w:rsidR="004B5B13"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p w:rsidR="0099097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p w:rsidR="00990976" w:rsidRPr="00F2714E" w:rsidP="00187D15">
            <w:pPr>
              <w:autoSpaceDE w:val="0"/>
              <w:autoSpaceDN w:val="0"/>
              <w:adjustRightInd w:val="0"/>
              <w:spacing w:after="0" w:line="240" w:lineRule="auto"/>
              <w:rPr>
                <w:rStyle w:val="DefaultParagraphFont"/>
                <w:rFonts w:ascii="Times New Roman" w:eastAsia="Times New Roman" w:hAnsi="Times New Roman" w:cs="Times New Roman"/>
                <w:bCs/>
                <w:sz w:val="24"/>
                <w:szCs w:val="20"/>
                <w:lang w:val="en-US" w:eastAsia="en-US" w:bidi="ar-SA"/>
              </w:rPr>
            </w:pPr>
          </w:p>
        </w:tc>
        <w:tc>
          <w:tcPr>
            <w:tcW w:w="4428" w:type="dxa"/>
            <w:shd w:val="clear" w:color="auto" w:fill="auto"/>
          </w:tcPr>
          <w:p w:rsidR="00F2714E" w:rsidRPr="00F2714E" w:rsidP="00F2714E">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F2714E">
              <w:rPr>
                <w:rFonts w:ascii="Times New Roman" w:hAnsi="Times New Roman" w:eastAsiaTheme="minorHAnsi" w:cs="Times New Roman"/>
                <w:sz w:val="24"/>
                <w:szCs w:val="24"/>
                <w:lang w:val="en-US" w:eastAsia="en-US" w:bidi="ar-SA"/>
              </w:rPr>
              <w:t xml:space="preserve">glpetrucci@vorys.com </w:t>
            </w:r>
          </w:p>
          <w:p w:rsidR="00F2714E" w:rsidRPr="00F2714E" w:rsidP="00F2714E">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F2714E">
              <w:rPr>
                <w:rFonts w:ascii="Times New Roman" w:hAnsi="Times New Roman" w:eastAsiaTheme="minorHAnsi" w:cs="Times New Roman"/>
                <w:sz w:val="24"/>
                <w:szCs w:val="24"/>
                <w:lang w:val="en-US" w:eastAsia="en-US" w:bidi="ar-SA"/>
              </w:rPr>
              <w:t xml:space="preserve">fdarr@mwncmh.com </w:t>
            </w:r>
          </w:p>
          <w:p w:rsidR="00990976" w:rsidRPr="00F2714E" w:rsidP="00187D15">
            <w:pPr>
              <w:spacing w:after="0" w:line="240" w:lineRule="auto"/>
              <w:jc w:val="both"/>
              <w:rPr>
                <w:rStyle w:val="DefaultParagraphFont"/>
                <w:rFonts w:ascii="Times New Roman" w:eastAsia="Times New Roman" w:hAnsi="Times New Roman" w:cs="Times New Roman"/>
                <w:bCs/>
                <w:sz w:val="24"/>
                <w:szCs w:val="20"/>
                <w:lang w:val="en-US" w:eastAsia="en-US" w:bidi="ar-SA"/>
              </w:rPr>
            </w:pPr>
          </w:p>
        </w:tc>
      </w:tr>
    </w:tbl>
    <w:p w:rsidR="00990976" w:rsidP="00695CD4">
      <w:pPr>
        <w:ind w:left="4320"/>
      </w:pPr>
    </w:p>
    <w:sectPr w:rsidSect="00BC5E01">
      <w:pgSz w:w="12240" w:h="15840"/>
      <w:pgMar w:top="1440" w:right="1800" w:bottom="1440" w:left="180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8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67137560"/>
      <w:docPartObj>
        <w:docPartGallery w:val="Page Numbers (Bottom of Page)"/>
        <w:docPartUnique/>
      </w:docPartObj>
    </w:sdtPr>
    <w:sdtEndPr>
      <w:rPr>
        <w:noProof/>
      </w:rPr>
    </w:sdtEndPr>
    <w:sdtContent>
      <w:p w:rsidR="00187D15">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187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8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F1D77" w:rsidP="00C94479">
      <w:r>
        <w:separator/>
      </w:r>
    </w:p>
  </w:footnote>
  <w:footnote w:type="continuationSeparator" w:id="1">
    <w:p w:rsidR="009F1D77" w:rsidP="00C94479">
      <w:r>
        <w:continuationSeparator/>
      </w:r>
    </w:p>
  </w:footnote>
  <w:footnote w:id="2">
    <w:p w:rsidR="005F64A5" w:rsidRPr="005F64A5" w:rsidP="00F2714E">
      <w:pPr>
        <w:pStyle w:val="FootnoteText"/>
        <w:spacing w:before="0" w:after="120"/>
      </w:pPr>
      <w:r>
        <w:rPr>
          <w:rStyle w:val="FootnoteReference"/>
        </w:rPr>
        <w:footnoteRef/>
      </w:r>
      <w:r>
        <w:t xml:space="preserve"> </w:t>
      </w:r>
      <w:r>
        <w:rPr>
          <w:i/>
        </w:rPr>
        <w:t>See</w:t>
      </w:r>
      <w:r>
        <w:t xml:space="preserve"> R.C. 4927.01(A)(1).</w:t>
      </w:r>
    </w:p>
  </w:footnote>
  <w:footnote w:id="3">
    <w:p w:rsidR="00D95EED" w:rsidP="00F2714E">
      <w:pPr>
        <w:pStyle w:val="FootnoteText"/>
        <w:spacing w:before="0" w:after="120"/>
      </w:pPr>
      <w:r>
        <w:rPr>
          <w:rStyle w:val="FootnoteReference"/>
        </w:rPr>
        <w:footnoteRef/>
      </w:r>
      <w:r>
        <w:t xml:space="preserve"> The fact that the Consumer Groups do not respond to all issues raised in OTA’s and OCTA’s comments should not be construed as acquiescence to any issue not addressed in these Reply Comments.</w:t>
      </w:r>
    </w:p>
  </w:footnote>
  <w:footnote w:id="4">
    <w:p w:rsidR="000D445A" w:rsidP="00F2714E">
      <w:pPr>
        <w:pStyle w:val="FootnoteText"/>
        <w:spacing w:before="0" w:after="120"/>
      </w:pPr>
      <w:r>
        <w:rPr>
          <w:rStyle w:val="FootnoteReference"/>
        </w:rPr>
        <w:footnoteRef/>
      </w:r>
      <w:r>
        <w:t xml:space="preserve"> OTA Comments at 5-6; OCTA Comments at 7.</w:t>
      </w:r>
    </w:p>
  </w:footnote>
  <w:footnote w:id="5">
    <w:p w:rsidR="00CA3668" w:rsidP="00F2714E">
      <w:pPr>
        <w:pStyle w:val="FootnoteText"/>
        <w:spacing w:before="0" w:after="120"/>
      </w:pPr>
      <w:r>
        <w:rPr>
          <w:rStyle w:val="FootnoteReference"/>
        </w:rPr>
        <w:footnoteRef/>
      </w:r>
      <w:r>
        <w:t xml:space="preserve"> Strikethroughs in the passage denote deletions from the statute and underlining signifies additions.</w:t>
      </w:r>
    </w:p>
  </w:footnote>
  <w:footnote w:id="6">
    <w:p w:rsidR="008E5299" w:rsidP="00F2714E">
      <w:pPr>
        <w:pStyle w:val="FootnoteText"/>
        <w:spacing w:before="0" w:after="120"/>
      </w:pPr>
      <w:r>
        <w:rPr>
          <w:rStyle w:val="FootnoteReference"/>
        </w:rPr>
        <w:footnoteRef/>
      </w:r>
      <w:r>
        <w:t xml:space="preserve"> R.C. 4927.07 and R.C. 4927.10 address withdrawal of telephone services.</w:t>
      </w:r>
    </w:p>
  </w:footnote>
  <w:footnote w:id="7">
    <w:p w:rsidR="00F4101A" w:rsidP="00F2714E">
      <w:pPr>
        <w:pStyle w:val="FootnoteText"/>
        <w:spacing w:before="0" w:after="120"/>
      </w:pPr>
      <w:r>
        <w:rPr>
          <w:rStyle w:val="FootnoteReference"/>
        </w:rPr>
        <w:footnoteRef/>
      </w:r>
      <w:r>
        <w:t xml:space="preserve"> Consumer Groups Comments at 3.</w:t>
      </w:r>
    </w:p>
  </w:footnote>
  <w:footnote w:id="8">
    <w:p w:rsidR="007E6784" w:rsidRPr="007E6784" w:rsidP="00F2714E">
      <w:pPr>
        <w:pStyle w:val="FootnoteText"/>
        <w:spacing w:before="0" w:after="120"/>
        <w:rPr>
          <w:i/>
        </w:rPr>
      </w:pPr>
      <w:r>
        <w:rPr>
          <w:rStyle w:val="FootnoteReference"/>
        </w:rPr>
        <w:footnoteRef/>
      </w:r>
      <w:r>
        <w:t xml:space="preserve"> </w:t>
      </w:r>
      <w:r>
        <w:rPr>
          <w:i/>
        </w:rPr>
        <w:t>Id.</w:t>
      </w:r>
    </w:p>
  </w:footnote>
  <w:footnote w:id="9">
    <w:p w:rsidR="007E6784" w:rsidRPr="007E6784" w:rsidP="00F2714E">
      <w:pPr>
        <w:pStyle w:val="FootnoteText"/>
        <w:spacing w:before="0" w:after="120"/>
        <w:rPr>
          <w:i/>
        </w:rPr>
      </w:pPr>
      <w:r>
        <w:rPr>
          <w:rStyle w:val="FootnoteReference"/>
        </w:rPr>
        <w:footnoteRef/>
      </w:r>
      <w:r>
        <w:t xml:space="preserve"> </w:t>
      </w:r>
      <w:r>
        <w:rPr>
          <w:i/>
        </w:rPr>
        <w:t>Id.</w:t>
      </w:r>
    </w:p>
  </w:footnote>
  <w:footnote w:id="10">
    <w:p w:rsidR="00091C2F" w:rsidP="00F2714E">
      <w:pPr>
        <w:pStyle w:val="FootnoteText"/>
        <w:spacing w:before="0" w:after="120"/>
      </w:pPr>
      <w:r>
        <w:rPr>
          <w:rStyle w:val="FootnoteReference"/>
        </w:rPr>
        <w:footnoteRef/>
      </w:r>
      <w:r>
        <w:t xml:space="preserve"> </w:t>
      </w:r>
      <w:r w:rsidRPr="00091C2F">
        <w:rPr>
          <w:i/>
        </w:rPr>
        <w:t>Id</w:t>
      </w:r>
      <w:r>
        <w:t>. at 4.</w:t>
      </w:r>
    </w:p>
  </w:footnote>
  <w:footnote w:id="11">
    <w:p w:rsidR="00801BFA" w:rsidP="00F2714E">
      <w:pPr>
        <w:pStyle w:val="FootnoteText"/>
        <w:spacing w:before="0" w:after="120"/>
      </w:pPr>
      <w:r>
        <w:rPr>
          <w:rStyle w:val="FootnoteReference"/>
        </w:rPr>
        <w:footnoteRef/>
      </w:r>
      <w:r>
        <w:t xml:space="preserve"> OCTA Comments at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8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8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43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FDC519F"/>
    <w:multiLevelType w:val="hybridMultilevel"/>
    <w:tmpl w:val="0AFEF4F2"/>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stylePaneFormatFilter w:val="1024" w:allStyles="0" w:alternateStyleNames="0" w:clearFormatting="1" w:customStyles="0" w:directFormattingOnNumbering="0" w:directFormattingOnParagraphs="0" w:directFormattingOnRuns="0" w:directFormattingOnTables="0" w:headingStyles="1" w:latentStyles="1" w:numberingStyles="0" w:stylesInUse="0" w:tableStyles="0" w:top3HeadingStyles="0" w:visibleStyles="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116"/>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F31DDD"/>
    <w:pPr>
      <w:keepNext/>
      <w:spacing w:before="240" w:after="240"/>
      <w:ind w:left="720" w:hanging="720"/>
      <w:outlineLvl w:val="0"/>
    </w:pPr>
    <w:rPr>
      <w:b/>
    </w:rPr>
  </w:style>
  <w:style w:type="paragraph" w:styleId="Heading2">
    <w:name w:val="heading 2"/>
    <w:basedOn w:val="Normal"/>
    <w:next w:val="Normal"/>
    <w:link w:val="Heading2Char"/>
    <w:autoRedefine/>
    <w:uiPriority w:val="9"/>
    <w:unhideWhenUsed/>
    <w:qFormat/>
    <w:rsid w:val="00C2247A"/>
    <w:pPr>
      <w:keepNext/>
      <w:keepLines/>
      <w:spacing w:after="240"/>
      <w:ind w:left="1440" w:right="720" w:hanging="720"/>
      <w:outlineLvl w:val="1"/>
    </w:pPr>
    <w:rPr>
      <w:rFonts w:ascii="Times New Roman Bold" w:hAnsi="Times New Roman Bold" w:eastAsiaTheme="majorEastAsia" w:cstheme="majorBidi"/>
      <w:b/>
      <w:bCs/>
      <w:szCs w:val="26"/>
    </w:rPr>
  </w:style>
  <w:style w:type="paragraph" w:styleId="Heading3">
    <w:name w:val="heading 3"/>
    <w:basedOn w:val="Normal"/>
    <w:next w:val="Normal"/>
    <w:link w:val="Heading3Char"/>
    <w:autoRedefine/>
    <w:uiPriority w:val="9"/>
    <w:semiHidden/>
    <w:unhideWhenUsed/>
    <w:qFormat/>
    <w:rsid w:val="004B5B13"/>
    <w:pPr>
      <w:keepNext/>
      <w:keepLines/>
      <w:spacing w:after="240"/>
      <w:ind w:left="2160" w:hanging="720"/>
      <w:outlineLvl w:val="2"/>
    </w:pPr>
    <w:rPr>
      <w:rFonts w:ascii="Times New Roman Bold" w:hAnsi="Times New Roman Bold"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1DDD"/>
    <w:rPr>
      <w:rFonts w:ascii="Times New Roman" w:eastAsia="Times New Roman" w:hAnsi="Times New Roman" w:cs="Times New Roman"/>
      <w:b/>
      <w:sz w:val="24"/>
      <w:szCs w:val="20"/>
    </w:rPr>
  </w:style>
  <w:style w:type="paragraph" w:styleId="List">
    <w:name w:val="List"/>
    <w:basedOn w:val="Normal"/>
    <w:rsid w:val="000A5100"/>
    <w:pPr>
      <w:ind w:left="360" w:hanging="360"/>
    </w:pPr>
  </w:style>
  <w:style w:type="paragraph" w:styleId="HTMLPreformatted">
    <w:name w:val="HTML Preformatted"/>
    <w:basedOn w:val="Normal"/>
    <w:link w:val="HTMLPreformattedChar"/>
    <w:rsid w:val="000A5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PreformattedChar">
    <w:name w:val="HTML Preformatted Char"/>
    <w:basedOn w:val="DefaultParagraphFont"/>
    <w:link w:val="HTMLPreformatted"/>
    <w:rsid w:val="000A5100"/>
    <w:rPr>
      <w:rFonts w:ascii="Courier New" w:eastAsia="Courier New" w:hAnsi="Courier New" w:cs="Courier New"/>
      <w:sz w:val="24"/>
      <w:szCs w:val="20"/>
    </w:rPr>
  </w:style>
  <w:style w:type="table" w:styleId="TableGrid">
    <w:name w:val="Table Grid"/>
    <w:basedOn w:val="TableNormal"/>
    <w:rsid w:val="000A510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ALTS FOOTNOTE,ALTS FOOTNOTE Char,Footnote Text Char Char Char,Footnote Text Char Char Char Char Char Char,Footnote Text Char1 Char,Footnote Text Char1 Char1 Char Char Char,Footnote Text Char2 Char Char Char,f,fn,fn Char"/>
    <w:basedOn w:val="Normal"/>
    <w:link w:val="FootnoteTextChar"/>
    <w:semiHidden/>
    <w:unhideWhenUsed/>
    <w:rsid w:val="00944116"/>
    <w:pPr>
      <w:spacing w:before="120"/>
    </w:pPr>
    <w:rPr>
      <w:sz w:val="20"/>
    </w:rPr>
  </w:style>
  <w:style w:type="character" w:customStyle="1" w:styleId="FootnoteTextChar">
    <w:name w:val="Footnote Text Char"/>
    <w:aliases w:val="ALTS FOOTNOTE Char Char1,ALTS FOOTNOTE Char2,Footnote Text Char Char Char Char Char Char Char,Footnote Text Char Char Char Char1,Footnote Text Char1 Char Char1,Footnote Text Char1 Char1 Char Char Char Char,f Char1,fn Char2"/>
    <w:basedOn w:val="DefaultParagraphFont"/>
    <w:link w:val="FootnoteText"/>
    <w:uiPriority w:val="99"/>
    <w:semiHidden/>
    <w:rsid w:val="00944116"/>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C94479"/>
    <w:rPr>
      <w:vertAlign w:val="superscript"/>
    </w:rPr>
  </w:style>
  <w:style w:type="paragraph" w:styleId="BalloonText">
    <w:name w:val="Balloon Text"/>
    <w:basedOn w:val="Normal"/>
    <w:link w:val="BalloonTextChar"/>
    <w:uiPriority w:val="99"/>
    <w:semiHidden/>
    <w:unhideWhenUsed/>
    <w:rsid w:val="006E43BF"/>
    <w:rPr>
      <w:rFonts w:ascii="Tahoma" w:hAnsi="Tahoma" w:cs="Tahoma"/>
      <w:sz w:val="16"/>
      <w:szCs w:val="16"/>
    </w:rPr>
  </w:style>
  <w:style w:type="character" w:customStyle="1" w:styleId="BalloonTextChar">
    <w:name w:val="Balloon Text Char"/>
    <w:basedOn w:val="DefaultParagraphFont"/>
    <w:link w:val="BalloonText"/>
    <w:uiPriority w:val="99"/>
    <w:semiHidden/>
    <w:rsid w:val="006E43BF"/>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170E9"/>
    <w:rPr>
      <w:sz w:val="16"/>
      <w:szCs w:val="16"/>
    </w:rPr>
  </w:style>
  <w:style w:type="paragraph" w:styleId="CommentText">
    <w:name w:val="annotation text"/>
    <w:basedOn w:val="Normal"/>
    <w:link w:val="CommentTextChar"/>
    <w:uiPriority w:val="99"/>
    <w:semiHidden/>
    <w:unhideWhenUsed/>
    <w:rsid w:val="00E170E9"/>
    <w:pPr>
      <w:spacing w:after="20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semiHidden/>
    <w:rsid w:val="00E170E9"/>
    <w:rPr>
      <w:sz w:val="20"/>
      <w:szCs w:val="20"/>
    </w:rPr>
  </w:style>
  <w:style w:type="paragraph" w:styleId="Header">
    <w:name w:val="header"/>
    <w:basedOn w:val="Normal"/>
    <w:link w:val="HeaderChar"/>
    <w:uiPriority w:val="99"/>
    <w:unhideWhenUsed/>
    <w:rsid w:val="008A6BCE"/>
    <w:pPr>
      <w:tabs>
        <w:tab w:val="center" w:pos="4680"/>
        <w:tab w:val="right" w:pos="9360"/>
      </w:tabs>
    </w:pPr>
  </w:style>
  <w:style w:type="character" w:customStyle="1" w:styleId="HeaderChar">
    <w:name w:val="Header Char"/>
    <w:basedOn w:val="DefaultParagraphFont"/>
    <w:link w:val="Header"/>
    <w:uiPriority w:val="99"/>
    <w:rsid w:val="008A6BCE"/>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A6BCE"/>
    <w:pPr>
      <w:tabs>
        <w:tab w:val="center" w:pos="4680"/>
        <w:tab w:val="right" w:pos="9360"/>
      </w:tabs>
    </w:pPr>
  </w:style>
  <w:style w:type="character" w:customStyle="1" w:styleId="FooterChar">
    <w:name w:val="Footer Char"/>
    <w:basedOn w:val="DefaultParagraphFont"/>
    <w:link w:val="Footer"/>
    <w:uiPriority w:val="99"/>
    <w:rsid w:val="008A6BC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55BF8"/>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255BF8"/>
    <w:rPr>
      <w:rFonts w:ascii="Times New Roman" w:eastAsia="Times New Roman" w:hAnsi="Times New Roman" w:cs="Times New Roman"/>
      <w:b/>
      <w:bCs/>
      <w:sz w:val="20"/>
      <w:szCs w:val="20"/>
    </w:rPr>
  </w:style>
  <w:style w:type="character" w:styleId="Hyperlink">
    <w:name w:val="Hyperlink"/>
    <w:uiPriority w:val="99"/>
    <w:unhideWhenUsed/>
    <w:rsid w:val="008B41A2"/>
    <w:rPr>
      <w:color w:val="0000FF"/>
      <w:u w:val="single"/>
    </w:rPr>
  </w:style>
  <w:style w:type="paragraph" w:styleId="ListParagraph">
    <w:name w:val="List Paragraph"/>
    <w:basedOn w:val="Normal"/>
    <w:uiPriority w:val="34"/>
    <w:qFormat/>
    <w:rsid w:val="0094027B"/>
    <w:pPr>
      <w:ind w:left="720"/>
      <w:contextualSpacing/>
    </w:pPr>
  </w:style>
  <w:style w:type="paragraph" w:customStyle="1" w:styleId="Default">
    <w:name w:val="Default"/>
    <w:rsid w:val="00382A3F"/>
    <w:pPr>
      <w:autoSpaceDE w:val="0"/>
      <w:autoSpaceDN w:val="0"/>
      <w:adjustRightInd w:val="0"/>
      <w:spacing w:after="0" w:line="240" w:lineRule="auto"/>
    </w:pPr>
    <w:rPr>
      <w:rFonts w:ascii="Arial" w:hAnsi="Arial" w:cs="Arial"/>
      <w:color w:val="000000"/>
      <w:sz w:val="24"/>
      <w:szCs w:val="24"/>
    </w:rPr>
  </w:style>
  <w:style w:type="character" w:customStyle="1" w:styleId="FootnoteTextChar1">
    <w:name w:val="Footnote Text Char1"/>
    <w:aliases w:val="ALTS FOOTNOTE Char Char,ALTS FOOTNOTE Char1,Footnote Text Char Char,Footnote Text Char Char Char Char,Footnote Text Char1 Char Char,Footnote Text Char2 Char Char Char Char,f Char,fn Char Char,fn Char1"/>
    <w:semiHidden/>
    <w:locked/>
    <w:rsid w:val="0061720A"/>
  </w:style>
  <w:style w:type="paragraph" w:styleId="TOC1">
    <w:name w:val="toc 1"/>
    <w:basedOn w:val="Normal"/>
    <w:next w:val="Normal"/>
    <w:autoRedefine/>
    <w:uiPriority w:val="39"/>
    <w:unhideWhenUsed/>
    <w:qFormat/>
    <w:rsid w:val="00BB35A6"/>
    <w:pPr>
      <w:tabs>
        <w:tab w:val="decimal" w:leader="dot" w:pos="8640"/>
      </w:tabs>
      <w:spacing w:after="240"/>
      <w:ind w:left="720" w:hanging="720"/>
    </w:pPr>
    <w:rPr>
      <w:caps/>
    </w:rPr>
  </w:style>
  <w:style w:type="paragraph" w:styleId="TOC2">
    <w:name w:val="toc 2"/>
    <w:basedOn w:val="Normal"/>
    <w:next w:val="Normal"/>
    <w:autoRedefine/>
    <w:uiPriority w:val="39"/>
    <w:unhideWhenUsed/>
    <w:qFormat/>
    <w:rsid w:val="00BB35A6"/>
    <w:pPr>
      <w:tabs>
        <w:tab w:val="decimal" w:leader="dot" w:pos="8640"/>
      </w:tabs>
      <w:spacing w:after="240"/>
      <w:ind w:left="1440" w:hanging="720"/>
    </w:pPr>
  </w:style>
  <w:style w:type="paragraph" w:styleId="TOC3">
    <w:name w:val="toc 3"/>
    <w:basedOn w:val="Normal"/>
    <w:next w:val="Normal"/>
    <w:autoRedefine/>
    <w:uiPriority w:val="39"/>
    <w:unhideWhenUsed/>
    <w:qFormat/>
    <w:rsid w:val="00BB35A6"/>
    <w:pPr>
      <w:tabs>
        <w:tab w:val="decimal" w:leader="dot" w:pos="8640"/>
      </w:tabs>
      <w:spacing w:after="240"/>
      <w:ind w:left="2160" w:hanging="720"/>
    </w:pPr>
  </w:style>
  <w:style w:type="paragraph" w:styleId="NormalWeb">
    <w:name w:val="Normal (Web)"/>
    <w:basedOn w:val="Normal"/>
    <w:uiPriority w:val="99"/>
    <w:semiHidden/>
    <w:unhideWhenUsed/>
    <w:rsid w:val="00187D15"/>
    <w:pPr>
      <w:spacing w:before="100" w:beforeAutospacing="1" w:after="100" w:afterAutospacing="1"/>
    </w:pPr>
    <w:rPr>
      <w:szCs w:val="24"/>
    </w:rPr>
  </w:style>
  <w:style w:type="character" w:customStyle="1" w:styleId="Heading2Char">
    <w:name w:val="Heading 2 Char"/>
    <w:basedOn w:val="DefaultParagraphFont"/>
    <w:link w:val="Heading2"/>
    <w:uiPriority w:val="9"/>
    <w:rsid w:val="00C2247A"/>
    <w:rPr>
      <w:rFonts w:ascii="Times New Roman Bold" w:hAnsi="Times New Roman Bold" w:eastAsiaTheme="majorEastAsia" w:cstheme="majorBidi"/>
      <w:b/>
      <w:bCs/>
      <w:sz w:val="24"/>
      <w:szCs w:val="26"/>
    </w:rPr>
  </w:style>
  <w:style w:type="character" w:customStyle="1" w:styleId="Heading3Char">
    <w:name w:val="Heading 3 Char"/>
    <w:basedOn w:val="DefaultParagraphFont"/>
    <w:link w:val="Heading3"/>
    <w:uiPriority w:val="9"/>
    <w:semiHidden/>
    <w:rsid w:val="004B5B13"/>
    <w:rPr>
      <w:rFonts w:ascii="Times New Roman Bold" w:hAnsi="Times New Roman Bold" w:eastAsiaTheme="majorEastAsia" w:cstheme="majorBidi"/>
      <w:b/>
      <w:bCs/>
      <w:sz w:val="24"/>
      <w:szCs w:val="20"/>
    </w:rPr>
  </w:style>
  <w:style w:type="paragraph" w:styleId="BodyTextIndent">
    <w:name w:val="Body Text Indent"/>
    <w:basedOn w:val="Normal"/>
    <w:link w:val="BodyTextIndentChar"/>
    <w:uiPriority w:val="99"/>
    <w:semiHidden/>
    <w:unhideWhenUsed/>
    <w:rsid w:val="005E17D3"/>
    <w:pPr>
      <w:spacing w:line="480" w:lineRule="auto"/>
      <w:ind w:firstLine="720"/>
    </w:pPr>
    <w:rPr>
      <w:rFonts w:ascii="Tahoma" w:hAnsi="Tahoma" w:eastAsiaTheme="minorHAnsi" w:cs="Tahoma"/>
      <w:szCs w:val="24"/>
    </w:rPr>
  </w:style>
  <w:style w:type="character" w:customStyle="1" w:styleId="BodyTextIndentChar">
    <w:name w:val="Body Text Indent Char"/>
    <w:basedOn w:val="DefaultParagraphFont"/>
    <w:link w:val="BodyTextIndent"/>
    <w:uiPriority w:val="99"/>
    <w:semiHidden/>
    <w:rsid w:val="005E17D3"/>
    <w:rPr>
      <w:rFonts w:ascii="Tahoma" w:hAnsi="Tahoma" w:cs="Tahoma"/>
      <w:sz w:val="24"/>
      <w:szCs w:val="24"/>
    </w:rPr>
  </w:style>
  <w:style w:type="character" w:customStyle="1" w:styleId="UnresolvedMention1">
    <w:name w:val="Unresolved Mention1"/>
    <w:basedOn w:val="DefaultParagraphFont"/>
    <w:uiPriority w:val="99"/>
    <w:semiHidden/>
    <w:unhideWhenUsed/>
    <w:rsid w:val="00972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1574</Words>
  <Characters>8974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2019-04-22T20:18:13Z</dcterms:created>
  <dcterms:modified xsi:type="dcterms:W3CDTF">2019-04-22T20:18:13Z</dcterms:modified>
</cp:coreProperties>
</file>