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768D7" w14:textId="77777777" w:rsidR="00A45E23" w:rsidRPr="0093110F" w:rsidRDefault="00A45E23" w:rsidP="00A45E23">
      <w:pPr>
        <w:jc w:val="center"/>
        <w:rPr>
          <w:rFonts w:eastAsia="Times New Roman" w:cs="Arial"/>
          <w:b/>
          <w:color w:val="000000"/>
        </w:rPr>
      </w:pPr>
      <w:r w:rsidRPr="0093110F">
        <w:rPr>
          <w:rFonts w:eastAsia="Times New Roman" w:cs="Arial"/>
          <w:b/>
          <w:color w:val="000000"/>
        </w:rPr>
        <w:t>BEFORE</w:t>
      </w:r>
    </w:p>
    <w:p w14:paraId="235DDB25" w14:textId="77777777" w:rsidR="00A45E23" w:rsidRPr="0093110F" w:rsidRDefault="00A45E23" w:rsidP="00A45E23">
      <w:pPr>
        <w:jc w:val="center"/>
        <w:rPr>
          <w:rFonts w:eastAsia="Times New Roman" w:cs="Arial"/>
          <w:b/>
          <w:color w:val="000000"/>
        </w:rPr>
      </w:pPr>
      <w:r w:rsidRPr="0093110F">
        <w:rPr>
          <w:rFonts w:eastAsia="Times New Roman" w:cs="Arial"/>
          <w:b/>
          <w:color w:val="000000"/>
        </w:rPr>
        <w:t>THE PUBLIC UTILITIES COMMISSION OF OHIO</w:t>
      </w:r>
    </w:p>
    <w:p w14:paraId="62ACE884" w14:textId="77777777" w:rsidR="00A45E23" w:rsidRPr="0093110F" w:rsidRDefault="00A45E23" w:rsidP="00A45E23">
      <w:pPr>
        <w:rPr>
          <w:rFonts w:eastAsia="Times New Roman" w:cs="Arial"/>
        </w:rPr>
      </w:pPr>
    </w:p>
    <w:p w14:paraId="1E60F422" w14:textId="77777777" w:rsidR="00A45E23" w:rsidRPr="0093110F" w:rsidRDefault="00A45E23" w:rsidP="00A45E23">
      <w:pP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66"/>
        <w:gridCol w:w="4298"/>
      </w:tblGrid>
      <w:tr w:rsidR="00A45E23" w:rsidRPr="0093110F" w14:paraId="2517F35A" w14:textId="77777777" w:rsidTr="00973895">
        <w:trPr>
          <w:trHeight w:val="277"/>
        </w:trPr>
        <w:tc>
          <w:tcPr>
            <w:tcW w:w="4549" w:type="dxa"/>
            <w:vMerge w:val="restart"/>
          </w:tcPr>
          <w:p w14:paraId="08829093" w14:textId="77777777" w:rsidR="00A45E23" w:rsidRPr="0093110F" w:rsidRDefault="00A45E23" w:rsidP="00973895">
            <w:pPr>
              <w:rPr>
                <w:rFonts w:eastAsia="Times New Roman" w:cs="Arial"/>
              </w:rPr>
            </w:pPr>
            <w:r>
              <w:rPr>
                <w:rFonts w:eastAsia="Times New Roman" w:cs="Arial"/>
              </w:rPr>
              <w:t>In the Matter of the Commission’s Investigation of Submetering in the State of Ohio</w:t>
            </w:r>
          </w:p>
        </w:tc>
        <w:tc>
          <w:tcPr>
            <w:tcW w:w="466" w:type="dxa"/>
          </w:tcPr>
          <w:p w14:paraId="13F1112D" w14:textId="77777777" w:rsidR="00A45E23" w:rsidRPr="0093110F" w:rsidRDefault="00A45E23" w:rsidP="00973895">
            <w:pPr>
              <w:rPr>
                <w:rFonts w:eastAsia="Times New Roman" w:cs="Arial"/>
              </w:rPr>
            </w:pPr>
            <w:r>
              <w:rPr>
                <w:rFonts w:eastAsia="Times New Roman" w:cs="Arial"/>
              </w:rPr>
              <w:t>)</w:t>
            </w:r>
          </w:p>
        </w:tc>
        <w:tc>
          <w:tcPr>
            <w:tcW w:w="4298" w:type="dxa"/>
          </w:tcPr>
          <w:p w14:paraId="222CA08D" w14:textId="77777777" w:rsidR="00A45E23" w:rsidRPr="0093110F" w:rsidRDefault="00A45E23" w:rsidP="00973895">
            <w:pPr>
              <w:rPr>
                <w:rFonts w:eastAsia="Times New Roman" w:cs="Arial"/>
              </w:rPr>
            </w:pPr>
          </w:p>
        </w:tc>
      </w:tr>
      <w:tr w:rsidR="00A45E23" w:rsidRPr="0093110F" w14:paraId="4CE7F558" w14:textId="77777777" w:rsidTr="00973895">
        <w:trPr>
          <w:trHeight w:val="269"/>
        </w:trPr>
        <w:tc>
          <w:tcPr>
            <w:tcW w:w="4549" w:type="dxa"/>
            <w:vMerge/>
          </w:tcPr>
          <w:p w14:paraId="22DF8B07" w14:textId="77777777" w:rsidR="00A45E23" w:rsidRPr="0093110F" w:rsidRDefault="00A45E23" w:rsidP="00973895">
            <w:pPr>
              <w:rPr>
                <w:rFonts w:eastAsia="Times New Roman" w:cs="Arial"/>
              </w:rPr>
            </w:pPr>
          </w:p>
        </w:tc>
        <w:tc>
          <w:tcPr>
            <w:tcW w:w="466" w:type="dxa"/>
          </w:tcPr>
          <w:p w14:paraId="74E56262" w14:textId="77777777" w:rsidR="00A45E23" w:rsidRPr="0093110F" w:rsidRDefault="00A45E23" w:rsidP="00973895">
            <w:pPr>
              <w:rPr>
                <w:rFonts w:eastAsia="Times New Roman" w:cs="Arial"/>
              </w:rPr>
            </w:pPr>
            <w:r>
              <w:rPr>
                <w:rFonts w:eastAsia="Times New Roman" w:cs="Arial"/>
              </w:rPr>
              <w:t>)</w:t>
            </w:r>
          </w:p>
        </w:tc>
        <w:tc>
          <w:tcPr>
            <w:tcW w:w="4298" w:type="dxa"/>
          </w:tcPr>
          <w:p w14:paraId="1EFC3773" w14:textId="77777777" w:rsidR="00A45E23" w:rsidRPr="0093110F" w:rsidRDefault="00A45E23" w:rsidP="00973895">
            <w:pPr>
              <w:rPr>
                <w:rFonts w:eastAsia="Times New Roman" w:cs="Arial"/>
              </w:rPr>
            </w:pPr>
            <w:r>
              <w:rPr>
                <w:rFonts w:eastAsia="Times New Roman" w:cs="Arial"/>
              </w:rPr>
              <w:t>Case No. 15-1594-AU-COI</w:t>
            </w:r>
          </w:p>
        </w:tc>
      </w:tr>
      <w:tr w:rsidR="00A45E23" w:rsidRPr="0093110F" w14:paraId="0E8A1740" w14:textId="77777777" w:rsidTr="00973895">
        <w:trPr>
          <w:trHeight w:val="277"/>
        </w:trPr>
        <w:tc>
          <w:tcPr>
            <w:tcW w:w="4549" w:type="dxa"/>
            <w:vMerge/>
          </w:tcPr>
          <w:p w14:paraId="79BBFE24" w14:textId="77777777" w:rsidR="00A45E23" w:rsidRPr="0093110F" w:rsidRDefault="00A45E23" w:rsidP="00973895">
            <w:pPr>
              <w:rPr>
                <w:rFonts w:eastAsia="Times New Roman" w:cs="Arial"/>
              </w:rPr>
            </w:pPr>
          </w:p>
        </w:tc>
        <w:tc>
          <w:tcPr>
            <w:tcW w:w="466" w:type="dxa"/>
          </w:tcPr>
          <w:p w14:paraId="3C11AEBA" w14:textId="77777777" w:rsidR="00A45E23" w:rsidRPr="0093110F" w:rsidRDefault="00A45E23" w:rsidP="00973895">
            <w:pPr>
              <w:rPr>
                <w:rFonts w:eastAsia="Times New Roman" w:cs="Arial"/>
              </w:rPr>
            </w:pPr>
            <w:r>
              <w:rPr>
                <w:rFonts w:eastAsia="Times New Roman" w:cs="Arial"/>
              </w:rPr>
              <w:t>)</w:t>
            </w:r>
          </w:p>
        </w:tc>
        <w:tc>
          <w:tcPr>
            <w:tcW w:w="4298" w:type="dxa"/>
          </w:tcPr>
          <w:p w14:paraId="0D68F4F5" w14:textId="77777777" w:rsidR="00A45E23" w:rsidRPr="0093110F" w:rsidRDefault="00A45E23" w:rsidP="00973895">
            <w:pPr>
              <w:rPr>
                <w:rFonts w:eastAsia="Times New Roman" w:cs="Arial"/>
              </w:rPr>
            </w:pPr>
          </w:p>
        </w:tc>
      </w:tr>
    </w:tbl>
    <w:p w14:paraId="62AAA739" w14:textId="77777777" w:rsidR="00A45E23" w:rsidRDefault="00A45E23" w:rsidP="00A45E23">
      <w:pPr>
        <w:spacing w:line="276" w:lineRule="auto"/>
        <w:rPr>
          <w:rFonts w:eastAsia="Calibri" w:cs="Arial"/>
        </w:rPr>
      </w:pPr>
    </w:p>
    <w:p w14:paraId="47DE1FA8" w14:textId="77777777" w:rsidR="00A45E23" w:rsidRPr="0093110F" w:rsidRDefault="00A45E23" w:rsidP="00A45E23">
      <w:pPr>
        <w:spacing w:line="276" w:lineRule="auto"/>
        <w:rPr>
          <w:rFonts w:eastAsia="Calibri" w:cs="Arial"/>
        </w:rPr>
      </w:pPr>
    </w:p>
    <w:p w14:paraId="2F7143BA" w14:textId="77777777" w:rsidR="00A45E23" w:rsidRPr="0093110F" w:rsidRDefault="00A45E23" w:rsidP="00A45E23">
      <w:pPr>
        <w:pBdr>
          <w:top w:val="single" w:sz="12" w:space="1" w:color="auto"/>
        </w:pBdr>
        <w:jc w:val="center"/>
        <w:rPr>
          <w:rFonts w:eastAsia="Calibri" w:cs="Arial"/>
          <w:b/>
          <w:szCs w:val="22"/>
        </w:rPr>
      </w:pPr>
    </w:p>
    <w:p w14:paraId="5F2444ED" w14:textId="2808B1CB" w:rsidR="00A45E23" w:rsidRPr="00973895" w:rsidRDefault="007F5410" w:rsidP="00A45E23">
      <w:pPr>
        <w:jc w:val="center"/>
        <w:rPr>
          <w:b/>
        </w:rPr>
      </w:pPr>
      <w:r>
        <w:rPr>
          <w:b/>
        </w:rPr>
        <w:t>MEMORANDUM OF INDUSTRIAL ENERGY USERS-OHIO</w:t>
      </w:r>
      <w:r w:rsidR="00EE70DB">
        <w:rPr>
          <w:b/>
        </w:rPr>
        <w:t xml:space="preserve">, </w:t>
      </w:r>
      <w:r w:rsidR="00EE70DB">
        <w:rPr>
          <w:rFonts w:ascii="Arial Bold" w:hAnsi="Arial Bold"/>
          <w:b/>
          <w:caps/>
        </w:rPr>
        <w:t>ohio hospital association, and Ohio Manufacturers’ Association</w:t>
      </w:r>
      <w:r>
        <w:rPr>
          <w:b/>
        </w:rPr>
        <w:t xml:space="preserve"> OPPOSING </w:t>
      </w:r>
      <w:r w:rsidR="00A45E23" w:rsidRPr="00973895">
        <w:rPr>
          <w:b/>
        </w:rPr>
        <w:t>APPLICATION</w:t>
      </w:r>
      <w:r>
        <w:rPr>
          <w:b/>
        </w:rPr>
        <w:t>S</w:t>
      </w:r>
      <w:r w:rsidR="00A45E23" w:rsidRPr="00973895">
        <w:rPr>
          <w:b/>
        </w:rPr>
        <w:t xml:space="preserve"> FOR REHEARING </w:t>
      </w:r>
    </w:p>
    <w:p w14:paraId="0D753455" w14:textId="77777777" w:rsidR="00A45E23" w:rsidRPr="0093110F" w:rsidRDefault="00A45E23" w:rsidP="00A45E23">
      <w:pPr>
        <w:pBdr>
          <w:bottom w:val="single" w:sz="12" w:space="1" w:color="auto"/>
        </w:pBdr>
        <w:jc w:val="center"/>
        <w:rPr>
          <w:rFonts w:eastAsia="Calibri" w:cs="Arial"/>
          <w:b/>
          <w:szCs w:val="22"/>
        </w:rPr>
      </w:pPr>
    </w:p>
    <w:p w14:paraId="79F4BFDF" w14:textId="77777777" w:rsidR="00A45E23" w:rsidRDefault="00A45E23" w:rsidP="00A45E23"/>
    <w:p w14:paraId="3D71BBC8" w14:textId="77777777" w:rsidR="00A45E23" w:rsidRDefault="00A45E23" w:rsidP="00A45E23"/>
    <w:p w14:paraId="43532608" w14:textId="77777777" w:rsidR="00A45E23" w:rsidRDefault="00A45E23" w:rsidP="00A45E23"/>
    <w:p w14:paraId="67E6CE4E" w14:textId="77777777" w:rsidR="00A45E23" w:rsidRDefault="00A45E23" w:rsidP="00A45E23"/>
    <w:p w14:paraId="5FDD01D1" w14:textId="77777777" w:rsidR="00A45E23" w:rsidRDefault="00A45E23" w:rsidP="00A45E23">
      <w:pPr>
        <w:widowControl w:val="0"/>
        <w:ind w:left="4320"/>
        <w:rPr>
          <w:rFonts w:eastAsia="Calibri" w:cs="Arial"/>
          <w:bCs/>
        </w:rPr>
      </w:pPr>
      <w:r>
        <w:rPr>
          <w:rFonts w:eastAsia="Calibri" w:cs="Arial"/>
          <w:bCs/>
        </w:rPr>
        <w:t>Frank P. Darr (Reg. No. 0025469)</w:t>
      </w:r>
    </w:p>
    <w:p w14:paraId="3C9B8684" w14:textId="77777777" w:rsidR="00A45E23" w:rsidRDefault="00A45E23" w:rsidP="00A45E23">
      <w:pPr>
        <w:widowControl w:val="0"/>
        <w:ind w:left="4320"/>
        <w:rPr>
          <w:rFonts w:eastAsia="Calibri" w:cs="Arial"/>
          <w:bCs/>
        </w:rPr>
      </w:pPr>
      <w:r>
        <w:rPr>
          <w:rFonts w:eastAsia="Calibri" w:cs="Arial"/>
          <w:bCs/>
        </w:rPr>
        <w:t>(Counsel of Record)</w:t>
      </w:r>
    </w:p>
    <w:p w14:paraId="35845CC1" w14:textId="77777777" w:rsidR="00A45E23" w:rsidRDefault="00A45E23" w:rsidP="00A45E23">
      <w:pPr>
        <w:widowControl w:val="0"/>
        <w:ind w:left="4320"/>
        <w:rPr>
          <w:rFonts w:eastAsia="Calibri" w:cs="Arial"/>
          <w:b/>
          <w:bCs/>
        </w:rPr>
      </w:pPr>
      <w:r>
        <w:rPr>
          <w:rFonts w:eastAsia="Calibri" w:cs="Arial"/>
          <w:bCs/>
        </w:rPr>
        <w:t>Matthew R. Pritchard (Reg. No. 0088070)</w:t>
      </w:r>
    </w:p>
    <w:p w14:paraId="31E73A0C" w14:textId="77777777" w:rsidR="00A45E23" w:rsidRDefault="00A45E23" w:rsidP="00A45E23">
      <w:pPr>
        <w:widowControl w:val="0"/>
        <w:ind w:left="4320"/>
        <w:rPr>
          <w:rFonts w:eastAsia="Calibri" w:cs="Arial"/>
          <w:b/>
          <w:bCs/>
          <w:smallCaps/>
        </w:rPr>
      </w:pPr>
      <w:r>
        <w:rPr>
          <w:rFonts w:eastAsia="Calibri" w:cs="Arial"/>
          <w:bCs/>
          <w:smallCaps/>
        </w:rPr>
        <w:t>McNees Wallace &amp; Nurick LLC</w:t>
      </w:r>
    </w:p>
    <w:p w14:paraId="0EAAA159" w14:textId="77777777" w:rsidR="00A45E23" w:rsidRDefault="00A45E23" w:rsidP="00A45E23">
      <w:pPr>
        <w:widowControl w:val="0"/>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42FC95A5"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Columbus, OH  43215</w:t>
      </w:r>
    </w:p>
    <w:p w14:paraId="6F05AB43"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Telephone:  (614) 469-8000</w:t>
      </w:r>
    </w:p>
    <w:p w14:paraId="47881EC1"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Telecopier:  (614) 469-4653</w:t>
      </w:r>
    </w:p>
    <w:p w14:paraId="4C109DDE"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rPr>
        <w:t>fdarr@mwncmh.com</w:t>
      </w:r>
    </w:p>
    <w:p w14:paraId="348519A0"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7134F001"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Pr>
          <w:rFonts w:eastAsia="Calibri" w:cs="Arial"/>
          <w:color w:val="000000"/>
        </w:rPr>
        <w:t>mpritchard@mwncmh.com</w:t>
      </w:r>
    </w:p>
    <w:p w14:paraId="16E85140"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6981B387"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p>
    <w:p w14:paraId="2D28F883" w14:textId="2B51EFB1" w:rsidR="008777D1" w:rsidRDefault="00315722" w:rsidP="00621FAD">
      <w:pPr>
        <w:rPr>
          <w:rFonts w:cs="Arial"/>
          <w:b/>
          <w:smallCaps/>
          <w:color w:val="000000"/>
        </w:rPr>
      </w:pPr>
      <w:r>
        <w:rPr>
          <w:rFonts w:cs="Arial"/>
          <w:b/>
          <w:smallCaps/>
          <w:color w:val="000000"/>
        </w:rPr>
        <w:tab/>
      </w:r>
      <w:r>
        <w:rPr>
          <w:rFonts w:cs="Arial"/>
          <w:b/>
          <w:smallCaps/>
          <w:color w:val="000000"/>
        </w:rPr>
        <w:tab/>
      </w:r>
      <w:r>
        <w:rPr>
          <w:rFonts w:cs="Arial"/>
          <w:b/>
          <w:smallCaps/>
          <w:color w:val="000000"/>
        </w:rPr>
        <w:tab/>
      </w:r>
      <w:r>
        <w:rPr>
          <w:rFonts w:cs="Arial"/>
          <w:b/>
          <w:smallCaps/>
          <w:color w:val="000000"/>
        </w:rPr>
        <w:tab/>
      </w:r>
      <w:r>
        <w:rPr>
          <w:rFonts w:cs="Arial"/>
          <w:b/>
          <w:smallCaps/>
          <w:color w:val="000000"/>
        </w:rPr>
        <w:tab/>
      </w:r>
      <w:r>
        <w:rPr>
          <w:rFonts w:cs="Arial"/>
          <w:b/>
          <w:smallCaps/>
          <w:color w:val="000000"/>
        </w:rPr>
        <w:tab/>
      </w:r>
      <w:r w:rsidR="00A45E23">
        <w:rPr>
          <w:rFonts w:cs="Arial"/>
          <w:b/>
          <w:smallCaps/>
          <w:color w:val="000000"/>
        </w:rPr>
        <w:t>On Behalf of Industrial Energy Users-Ohio</w:t>
      </w:r>
    </w:p>
    <w:p w14:paraId="6DCC4049" w14:textId="2FC09413" w:rsidR="002710BC" w:rsidRDefault="0000766E" w:rsidP="007F5410">
      <w:pPr>
        <w:tabs>
          <w:tab w:val="left" w:pos="-1440"/>
          <w:tab w:val="left" w:pos="-720"/>
          <w:tab w:val="left" w:pos="4320"/>
          <w:tab w:val="left" w:pos="7920"/>
        </w:tabs>
        <w:ind w:left="3600"/>
        <w:rPr>
          <w:rFonts w:cs="Arial"/>
          <w:b/>
          <w:smallCaps/>
          <w:color w:val="000000"/>
        </w:rPr>
      </w:pPr>
      <w:r>
        <w:rPr>
          <w:rFonts w:cs="Arial"/>
          <w:b/>
          <w:smallCaps/>
          <w:color w:val="000000"/>
        </w:rPr>
        <w:tab/>
      </w:r>
    </w:p>
    <w:p w14:paraId="303C3134" w14:textId="179F2668" w:rsidR="00315722" w:rsidRPr="00D31FB6" w:rsidRDefault="00315722" w:rsidP="00315722">
      <w:pPr>
        <w:ind w:left="4320"/>
        <w:rPr>
          <w:rFonts w:cs="Arial"/>
          <w:color w:val="000000"/>
        </w:rPr>
      </w:pPr>
      <w:r w:rsidRPr="00D31FB6">
        <w:rPr>
          <w:rFonts w:cs="Arial"/>
          <w:color w:val="000000"/>
        </w:rPr>
        <w:t>Richard L. Sites</w:t>
      </w:r>
    </w:p>
    <w:p w14:paraId="10385AE1" w14:textId="77777777" w:rsidR="00315722" w:rsidRPr="00D31FB6" w:rsidRDefault="00315722" w:rsidP="00315722">
      <w:pPr>
        <w:ind w:left="4320"/>
        <w:rPr>
          <w:rFonts w:cs="Arial"/>
          <w:color w:val="000000"/>
        </w:rPr>
      </w:pPr>
      <w:r w:rsidRPr="00D31FB6">
        <w:rPr>
          <w:rFonts w:cs="Arial"/>
          <w:color w:val="000000"/>
        </w:rPr>
        <w:t>Regulatory Counsel</w:t>
      </w:r>
    </w:p>
    <w:p w14:paraId="5D032C0C" w14:textId="77777777" w:rsidR="00315722" w:rsidRPr="00D31FB6" w:rsidRDefault="00315722" w:rsidP="00315722">
      <w:pPr>
        <w:ind w:left="4320"/>
        <w:rPr>
          <w:rFonts w:cs="Arial"/>
          <w:color w:val="000000"/>
        </w:rPr>
      </w:pPr>
      <w:r w:rsidRPr="00D31FB6">
        <w:rPr>
          <w:rFonts w:cs="Arial"/>
          <w:color w:val="000000"/>
        </w:rPr>
        <w:t>Ohio Hospital Association</w:t>
      </w:r>
    </w:p>
    <w:p w14:paraId="5DBDBF0B" w14:textId="77777777" w:rsidR="00315722" w:rsidRPr="00D31FB6" w:rsidRDefault="00315722" w:rsidP="00315722">
      <w:pPr>
        <w:ind w:left="4320"/>
        <w:rPr>
          <w:rFonts w:cs="Arial"/>
          <w:color w:val="000000"/>
        </w:rPr>
      </w:pPr>
      <w:r w:rsidRPr="00D31FB6">
        <w:rPr>
          <w:rFonts w:cs="Arial"/>
          <w:color w:val="000000"/>
        </w:rPr>
        <w:t>155 East Broad Street, 3</w:t>
      </w:r>
      <w:r w:rsidRPr="00D31FB6">
        <w:rPr>
          <w:rFonts w:cs="Arial"/>
          <w:color w:val="000000"/>
          <w:vertAlign w:val="superscript"/>
        </w:rPr>
        <w:t>rd</w:t>
      </w:r>
      <w:r w:rsidRPr="00D31FB6">
        <w:rPr>
          <w:rFonts w:cs="Arial"/>
          <w:color w:val="000000"/>
        </w:rPr>
        <w:t xml:space="preserve"> Floor</w:t>
      </w:r>
    </w:p>
    <w:p w14:paraId="5356FE68" w14:textId="77777777" w:rsidR="00315722" w:rsidRPr="00D31FB6" w:rsidRDefault="00315722" w:rsidP="00315722">
      <w:pPr>
        <w:ind w:left="4320"/>
        <w:rPr>
          <w:rFonts w:cs="Arial"/>
          <w:color w:val="000000"/>
        </w:rPr>
      </w:pPr>
      <w:r w:rsidRPr="00D31FB6">
        <w:rPr>
          <w:rFonts w:cs="Arial"/>
          <w:color w:val="000000"/>
        </w:rPr>
        <w:t>Columbus, OH 43215-3620</w:t>
      </w:r>
    </w:p>
    <w:p w14:paraId="4B6ACDD2" w14:textId="77777777" w:rsidR="00315722" w:rsidRPr="00D31FB6" w:rsidRDefault="00315722" w:rsidP="00315722">
      <w:pPr>
        <w:ind w:left="4320"/>
        <w:rPr>
          <w:rFonts w:cs="Arial"/>
          <w:color w:val="000000"/>
        </w:rPr>
      </w:pPr>
      <w:r w:rsidRPr="00D31FB6">
        <w:rPr>
          <w:rFonts w:cs="Arial"/>
          <w:color w:val="000000"/>
        </w:rPr>
        <w:t>Telephone:</w:t>
      </w:r>
      <w:r w:rsidRPr="00D31FB6">
        <w:rPr>
          <w:rFonts w:cs="Arial"/>
          <w:color w:val="000000"/>
        </w:rPr>
        <w:tab/>
        <w:t>(614) 221-7614</w:t>
      </w:r>
    </w:p>
    <w:p w14:paraId="5B66DCA9" w14:textId="77777777" w:rsidR="00315722" w:rsidRPr="00D31FB6" w:rsidRDefault="00315722" w:rsidP="00315722">
      <w:pPr>
        <w:ind w:left="4320"/>
        <w:rPr>
          <w:rFonts w:cs="Arial"/>
          <w:color w:val="000000"/>
        </w:rPr>
      </w:pPr>
      <w:r w:rsidRPr="00D31FB6">
        <w:rPr>
          <w:rFonts w:cs="Arial"/>
          <w:color w:val="000000"/>
        </w:rPr>
        <w:t>Facsimile:</w:t>
      </w:r>
      <w:r w:rsidRPr="00D31FB6">
        <w:rPr>
          <w:rFonts w:cs="Arial"/>
          <w:color w:val="000000"/>
        </w:rPr>
        <w:tab/>
        <w:t>(614) 221-4771</w:t>
      </w:r>
    </w:p>
    <w:p w14:paraId="142C2467" w14:textId="77777777" w:rsidR="00315722" w:rsidRPr="00D31FB6" w:rsidRDefault="00927EE7" w:rsidP="00315722">
      <w:pPr>
        <w:ind w:left="4320"/>
        <w:rPr>
          <w:rFonts w:cs="Arial"/>
          <w:smallCaps/>
          <w:color w:val="000000"/>
        </w:rPr>
      </w:pPr>
      <w:hyperlink r:id="rId8" w:history="1">
        <w:r w:rsidR="00315722" w:rsidRPr="005C2C4E">
          <w:rPr>
            <w:rStyle w:val="Hyperlink"/>
            <w:rFonts w:cs="Arial"/>
          </w:rPr>
          <w:t>rick.sites@ohiohospitals.org</w:t>
        </w:r>
      </w:hyperlink>
      <w:r w:rsidR="00315722" w:rsidRPr="005C2C4E">
        <w:rPr>
          <w:rFonts w:cs="Arial"/>
          <w:smallCaps/>
        </w:rPr>
        <w:t xml:space="preserve"> </w:t>
      </w:r>
    </w:p>
    <w:p w14:paraId="7C7D3132" w14:textId="77777777" w:rsidR="00315722" w:rsidRDefault="00315722" w:rsidP="00315722">
      <w:pPr>
        <w:ind w:left="4320"/>
        <w:rPr>
          <w:rFonts w:eastAsia="Calibri" w:cs="Arial"/>
          <w:color w:val="000000"/>
        </w:rPr>
      </w:pPr>
      <w:r>
        <w:rPr>
          <w:rFonts w:eastAsia="Calibri" w:cs="Arial"/>
          <w:color w:val="000000"/>
        </w:rPr>
        <w:t>(willing to accept service by e-mail)</w:t>
      </w:r>
    </w:p>
    <w:p w14:paraId="69D54AB1" w14:textId="77777777" w:rsidR="00315722" w:rsidRPr="00D31FB6" w:rsidRDefault="00315722" w:rsidP="00315722">
      <w:pPr>
        <w:ind w:left="4320"/>
        <w:rPr>
          <w:rFonts w:cs="Arial"/>
          <w:smallCaps/>
          <w:color w:val="000000"/>
        </w:rPr>
      </w:pPr>
    </w:p>
    <w:p w14:paraId="369F4823" w14:textId="77777777" w:rsidR="00315722" w:rsidRPr="00CC1BA8" w:rsidRDefault="00315722" w:rsidP="00315722">
      <w:pPr>
        <w:rPr>
          <w:rFonts w:cs="Arial"/>
          <w:b/>
          <w:smallCaps/>
          <w:color w:val="000000"/>
        </w:rPr>
      </w:pPr>
      <w:r>
        <w:rPr>
          <w:rFonts w:cs="Arial"/>
          <w:b/>
          <w:smallCaps/>
          <w:color w:val="000000"/>
        </w:rPr>
        <w:tab/>
      </w:r>
      <w:r>
        <w:rPr>
          <w:rFonts w:cs="Arial"/>
          <w:b/>
          <w:smallCaps/>
          <w:color w:val="000000"/>
        </w:rPr>
        <w:tab/>
      </w:r>
      <w:r>
        <w:rPr>
          <w:rFonts w:cs="Arial"/>
          <w:b/>
          <w:smallCaps/>
          <w:color w:val="000000"/>
        </w:rPr>
        <w:tab/>
      </w:r>
      <w:r>
        <w:rPr>
          <w:rFonts w:cs="Arial"/>
          <w:b/>
          <w:smallCaps/>
          <w:color w:val="000000"/>
        </w:rPr>
        <w:tab/>
      </w:r>
      <w:r>
        <w:rPr>
          <w:rFonts w:cs="Arial"/>
          <w:b/>
          <w:smallCaps/>
          <w:color w:val="000000"/>
        </w:rPr>
        <w:tab/>
      </w:r>
      <w:r>
        <w:rPr>
          <w:rFonts w:cs="Arial"/>
          <w:b/>
          <w:smallCaps/>
          <w:color w:val="000000"/>
        </w:rPr>
        <w:tab/>
      </w:r>
      <w:r w:rsidRPr="00CC1BA8">
        <w:rPr>
          <w:rFonts w:cs="Arial"/>
          <w:b/>
          <w:smallCaps/>
          <w:color w:val="000000"/>
        </w:rPr>
        <w:t xml:space="preserve">On Behalf of </w:t>
      </w:r>
      <w:r>
        <w:rPr>
          <w:rFonts w:cs="Arial"/>
          <w:b/>
          <w:smallCaps/>
          <w:color w:val="000000"/>
        </w:rPr>
        <w:t>Ohio Hospital Association</w:t>
      </w:r>
    </w:p>
    <w:p w14:paraId="4006F67A" w14:textId="285A6E0A" w:rsidR="00315722" w:rsidRDefault="00315722" w:rsidP="007F5410">
      <w:pPr>
        <w:tabs>
          <w:tab w:val="left" w:pos="-1440"/>
          <w:tab w:val="left" w:pos="-720"/>
          <w:tab w:val="left" w:pos="4320"/>
          <w:tab w:val="left" w:pos="7920"/>
        </w:tabs>
        <w:ind w:left="3600"/>
        <w:rPr>
          <w:rFonts w:ascii="Arial Bold" w:hAnsi="Arial Bold" w:cs="Arial"/>
          <w:b/>
          <w:smallCaps/>
        </w:rPr>
      </w:pPr>
    </w:p>
    <w:p w14:paraId="1D3B06B3" w14:textId="77777777" w:rsidR="004B1F4C" w:rsidRDefault="004B1F4C" w:rsidP="00315722">
      <w:pPr>
        <w:tabs>
          <w:tab w:val="left" w:pos="4320"/>
        </w:tabs>
        <w:rPr>
          <w:rFonts w:cs="Arial"/>
        </w:rPr>
      </w:pPr>
      <w:r>
        <w:rPr>
          <w:rFonts w:cs="Arial"/>
        </w:rPr>
        <w:tab/>
      </w:r>
    </w:p>
    <w:p w14:paraId="37FE9EBB" w14:textId="5A3C06F8" w:rsidR="00315722" w:rsidRPr="00E161EE" w:rsidRDefault="004B1F4C" w:rsidP="00315722">
      <w:pPr>
        <w:tabs>
          <w:tab w:val="left" w:pos="4320"/>
        </w:tabs>
        <w:rPr>
          <w:rFonts w:cs="Arial"/>
        </w:rPr>
      </w:pPr>
      <w:r>
        <w:rPr>
          <w:rFonts w:cs="Arial"/>
        </w:rPr>
        <w:lastRenderedPageBreak/>
        <w:tab/>
      </w:r>
      <w:r w:rsidR="00315722" w:rsidRPr="00E161EE">
        <w:rPr>
          <w:rFonts w:cs="Arial"/>
        </w:rPr>
        <w:t>Robert A. Brundrett (0086538)</w:t>
      </w:r>
    </w:p>
    <w:p w14:paraId="3E1C2F98" w14:textId="1EB8E82C" w:rsidR="00315722" w:rsidRPr="00E161EE" w:rsidRDefault="00315722" w:rsidP="00315722">
      <w:pPr>
        <w:tabs>
          <w:tab w:val="left" w:pos="4320"/>
        </w:tabs>
        <w:rPr>
          <w:rFonts w:cs="Arial"/>
        </w:rPr>
      </w:pPr>
      <w:r w:rsidRPr="00E161EE">
        <w:rPr>
          <w:rFonts w:cs="Arial"/>
        </w:rPr>
        <w:tab/>
      </w:r>
      <w:r w:rsidR="001B32B5">
        <w:rPr>
          <w:rFonts w:cs="Arial"/>
        </w:rPr>
        <w:t>Ohio Manufacturers’ Association</w:t>
      </w:r>
    </w:p>
    <w:p w14:paraId="5A5AB4E1" w14:textId="77777777" w:rsidR="00315722" w:rsidRPr="00E161EE" w:rsidRDefault="00315722" w:rsidP="00315722">
      <w:pPr>
        <w:tabs>
          <w:tab w:val="left" w:pos="4320"/>
        </w:tabs>
        <w:rPr>
          <w:rFonts w:cs="Arial"/>
        </w:rPr>
      </w:pPr>
      <w:r w:rsidRPr="00E161EE">
        <w:rPr>
          <w:rFonts w:cs="Arial"/>
        </w:rPr>
        <w:tab/>
        <w:t>33 N. High St., 6</w:t>
      </w:r>
      <w:r w:rsidRPr="00E161EE">
        <w:rPr>
          <w:rFonts w:cs="Arial"/>
          <w:vertAlign w:val="superscript"/>
        </w:rPr>
        <w:t>th</w:t>
      </w:r>
      <w:r w:rsidRPr="00E161EE">
        <w:rPr>
          <w:rFonts w:cs="Arial"/>
        </w:rPr>
        <w:t xml:space="preserve"> Floor</w:t>
      </w:r>
    </w:p>
    <w:p w14:paraId="64DA13B2" w14:textId="77777777" w:rsidR="00315722" w:rsidRPr="00E161EE" w:rsidRDefault="00315722" w:rsidP="00315722">
      <w:pPr>
        <w:tabs>
          <w:tab w:val="left" w:pos="4320"/>
        </w:tabs>
        <w:rPr>
          <w:rFonts w:cs="Arial"/>
        </w:rPr>
      </w:pPr>
      <w:r w:rsidRPr="00E161EE">
        <w:rPr>
          <w:rFonts w:cs="Arial"/>
        </w:rPr>
        <w:tab/>
        <w:t>Columbus, OH 43215</w:t>
      </w:r>
    </w:p>
    <w:p w14:paraId="1D328C73" w14:textId="77777777" w:rsidR="00315722" w:rsidRPr="00E161EE" w:rsidRDefault="00315722" w:rsidP="00315722">
      <w:pPr>
        <w:tabs>
          <w:tab w:val="left" w:pos="4320"/>
        </w:tabs>
        <w:rPr>
          <w:rFonts w:cs="Arial"/>
        </w:rPr>
      </w:pPr>
      <w:r w:rsidRPr="00E161EE">
        <w:rPr>
          <w:rFonts w:cs="Arial"/>
        </w:rPr>
        <w:tab/>
        <w:t>Telephone: (614) 224-5111</w:t>
      </w:r>
    </w:p>
    <w:p w14:paraId="3742EA20" w14:textId="77777777" w:rsidR="00315722" w:rsidRPr="00E161EE" w:rsidRDefault="00315722" w:rsidP="00315722">
      <w:pPr>
        <w:tabs>
          <w:tab w:val="left" w:pos="4320"/>
        </w:tabs>
        <w:rPr>
          <w:rFonts w:cs="Arial"/>
        </w:rPr>
      </w:pPr>
      <w:r w:rsidRPr="00E161EE">
        <w:rPr>
          <w:rFonts w:cs="Arial"/>
        </w:rPr>
        <w:tab/>
        <w:t>Fax:  (614) 469-4653</w:t>
      </w:r>
    </w:p>
    <w:p w14:paraId="1D1C9901" w14:textId="77777777" w:rsidR="00315722" w:rsidRDefault="00315722" w:rsidP="00315722">
      <w:pPr>
        <w:tabs>
          <w:tab w:val="left" w:pos="4320"/>
        </w:tabs>
        <w:rPr>
          <w:rFonts w:cs="Arial"/>
        </w:rPr>
      </w:pPr>
      <w:r w:rsidRPr="00E161EE">
        <w:rPr>
          <w:rFonts w:cs="Arial"/>
        </w:rPr>
        <w:tab/>
      </w:r>
      <w:hyperlink r:id="rId9" w:history="1">
        <w:r w:rsidRPr="00B17E87">
          <w:rPr>
            <w:rStyle w:val="Hyperlink"/>
          </w:rPr>
          <w:t>rbrundrett@ohiomfg.com</w:t>
        </w:r>
      </w:hyperlink>
    </w:p>
    <w:p w14:paraId="6D268ADC" w14:textId="77777777" w:rsidR="00315722" w:rsidRDefault="00315722" w:rsidP="00315722">
      <w:pPr>
        <w:tabs>
          <w:tab w:val="left" w:pos="4320"/>
        </w:tabs>
        <w:rPr>
          <w:rFonts w:cs="Arial"/>
        </w:rPr>
      </w:pPr>
    </w:p>
    <w:p w14:paraId="7AAA0F68" w14:textId="684F7BAF" w:rsidR="00315722" w:rsidRDefault="00315722" w:rsidP="00315722">
      <w:pPr>
        <w:tabs>
          <w:tab w:val="left" w:pos="4320"/>
        </w:tabs>
        <w:ind w:left="4320" w:hanging="4320"/>
        <w:rPr>
          <w:rFonts w:ascii="Arial Bold" w:hAnsi="Arial Bold" w:cs="Arial"/>
          <w:b/>
          <w:smallCaps/>
        </w:rPr>
      </w:pPr>
      <w:r>
        <w:rPr>
          <w:rFonts w:ascii="Arial Bold" w:hAnsi="Arial Bold" w:cs="Arial"/>
          <w:b/>
          <w:smallCaps/>
        </w:rPr>
        <w:t>January 1</w:t>
      </w:r>
      <w:r w:rsidR="004B1F4C">
        <w:rPr>
          <w:rFonts w:ascii="Arial Bold" w:hAnsi="Arial Bold" w:cs="Arial"/>
          <w:b/>
          <w:smallCaps/>
        </w:rPr>
        <w:t>7</w:t>
      </w:r>
      <w:r>
        <w:rPr>
          <w:rFonts w:ascii="Arial Bold" w:hAnsi="Arial Bold" w:cs="Arial"/>
          <w:b/>
          <w:smallCaps/>
        </w:rPr>
        <w:t>, 2017</w:t>
      </w:r>
      <w:r>
        <w:rPr>
          <w:rFonts w:ascii="Arial Bold" w:hAnsi="Arial Bold" w:cs="Arial"/>
          <w:b/>
          <w:smallCaps/>
        </w:rPr>
        <w:tab/>
        <w:t xml:space="preserve">On Behalf of Ohio Manufacturers’ Association </w:t>
      </w:r>
    </w:p>
    <w:p w14:paraId="01DE58E0" w14:textId="77777777" w:rsidR="00B45CC0" w:rsidRDefault="00B45CC0" w:rsidP="00315722">
      <w:pPr>
        <w:tabs>
          <w:tab w:val="left" w:pos="4320"/>
        </w:tabs>
        <w:ind w:left="4320" w:hanging="4320"/>
        <w:rPr>
          <w:rFonts w:ascii="Arial Bold" w:hAnsi="Arial Bold" w:cs="Arial"/>
          <w:b/>
          <w:smallCaps/>
        </w:rPr>
        <w:sectPr w:rsidR="00B45CC0" w:rsidSect="003F69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pPr>
    </w:p>
    <w:p w14:paraId="40C94149" w14:textId="77777777" w:rsidR="007D3592" w:rsidRPr="00A43D24" w:rsidRDefault="007D3592" w:rsidP="007D3592">
      <w:pPr>
        <w:pStyle w:val="TOCHeading"/>
        <w:rPr>
          <w:rFonts w:ascii="Arial Bold" w:hAnsi="Arial Bold"/>
          <w:caps/>
          <w:u w:val="single"/>
        </w:rPr>
      </w:pPr>
      <w:bookmarkStart w:id="0" w:name="TOCHeading_1"/>
      <w:r w:rsidRPr="00A43D24">
        <w:rPr>
          <w:rFonts w:ascii="Arial Bold" w:hAnsi="Arial Bold"/>
          <w:caps/>
          <w:u w:val="single"/>
        </w:rPr>
        <w:lastRenderedPageBreak/>
        <w:t>Table of Contents</w:t>
      </w:r>
      <w:bookmarkStart w:id="1" w:name="_GoBack"/>
      <w:bookmarkEnd w:id="1"/>
    </w:p>
    <w:p w14:paraId="5A6A97A6" w14:textId="77777777" w:rsidR="00E6289E" w:rsidRDefault="00E6289E" w:rsidP="00621FAD">
      <w:pPr>
        <w:pStyle w:val="TOCPage"/>
      </w:pPr>
      <w:bookmarkStart w:id="2" w:name="TOCPage_1"/>
      <w:bookmarkEnd w:id="0"/>
      <w:r>
        <w:t>Page</w:t>
      </w:r>
    </w:p>
    <w:bookmarkEnd w:id="2"/>
    <w:p w14:paraId="4C73AB2B" w14:textId="7652F762" w:rsidR="007D3592" w:rsidRDefault="007D3592" w:rsidP="00A43D24">
      <w:pPr>
        <w:pStyle w:val="TOC1"/>
        <w:tabs>
          <w:tab w:val="clear" w:pos="9350"/>
          <w:tab w:val="right" w:leader="dot" w:pos="9360"/>
        </w:tabs>
        <w:spacing w:after="240"/>
        <w:ind w:right="720"/>
        <w:rPr>
          <w:rFonts w:asciiTheme="minorHAnsi" w:eastAsiaTheme="minorEastAsia" w:hAnsiTheme="minorHAnsi"/>
          <w:noProof/>
          <w:sz w:val="22"/>
          <w:szCs w:val="22"/>
        </w:rPr>
      </w:pPr>
      <w:r>
        <w:fldChar w:fldCharType="begin"/>
      </w:r>
      <w:r>
        <w:instrText xml:space="preserve"> TOC \t "Heading 1,1,Heading 2,2,Heading 3,3" </w:instrText>
      </w:r>
      <w:r>
        <w:fldChar w:fldCharType="separate"/>
      </w:r>
      <w:bookmarkStart w:id="3" w:name="TOCLocation_1"/>
      <w:r w:rsidRPr="0065576B">
        <w:rPr>
          <w:rFonts w:eastAsia="Times New Roman"/>
          <w:noProof/>
          <w:color w:val="010000"/>
        </w:rPr>
        <w:t>I.</w:t>
      </w:r>
      <w:r>
        <w:rPr>
          <w:rFonts w:asciiTheme="minorHAnsi" w:eastAsiaTheme="minorEastAsia" w:hAnsiTheme="minorHAnsi"/>
          <w:noProof/>
          <w:sz w:val="22"/>
          <w:szCs w:val="22"/>
        </w:rPr>
        <w:tab/>
      </w:r>
      <w:r w:rsidRPr="0065576B">
        <w:rPr>
          <w:rFonts w:eastAsia="Times New Roman"/>
          <w:noProof/>
        </w:rPr>
        <w:t>INTRODUCTION</w:t>
      </w:r>
      <w:r w:rsidR="00A77E54">
        <w:rPr>
          <w:rFonts w:eastAsia="Times New Roman"/>
          <w:noProof/>
        </w:rPr>
        <w:tab/>
      </w:r>
      <w:r>
        <w:rPr>
          <w:noProof/>
        </w:rPr>
        <w:fldChar w:fldCharType="begin"/>
      </w:r>
      <w:r>
        <w:rPr>
          <w:noProof/>
        </w:rPr>
        <w:instrText xml:space="preserve"> PAGEREF _Toc472412902 \h </w:instrText>
      </w:r>
      <w:r>
        <w:rPr>
          <w:noProof/>
        </w:rPr>
      </w:r>
      <w:r>
        <w:rPr>
          <w:noProof/>
        </w:rPr>
        <w:fldChar w:fldCharType="separate"/>
      </w:r>
      <w:r w:rsidR="0063176F">
        <w:rPr>
          <w:noProof/>
        </w:rPr>
        <w:t>1</w:t>
      </w:r>
      <w:r>
        <w:rPr>
          <w:noProof/>
        </w:rPr>
        <w:fldChar w:fldCharType="end"/>
      </w:r>
    </w:p>
    <w:p w14:paraId="0C7A770D" w14:textId="00BBD246" w:rsidR="007D3592" w:rsidRPr="00A43D24" w:rsidRDefault="007D3592" w:rsidP="00085023">
      <w:pPr>
        <w:pStyle w:val="TOC1"/>
        <w:tabs>
          <w:tab w:val="clear" w:pos="9350"/>
          <w:tab w:val="right" w:leader="dot" w:pos="9360"/>
        </w:tabs>
        <w:spacing w:after="240"/>
        <w:ind w:left="720" w:right="720" w:hanging="720"/>
        <w:rPr>
          <w:rFonts w:asciiTheme="minorHAnsi" w:eastAsiaTheme="minorEastAsia" w:hAnsiTheme="minorHAnsi"/>
          <w:caps/>
          <w:noProof/>
          <w:sz w:val="22"/>
          <w:szCs w:val="22"/>
        </w:rPr>
      </w:pPr>
      <w:r w:rsidRPr="0065576B">
        <w:rPr>
          <w:noProof/>
          <w:color w:val="010000"/>
        </w:rPr>
        <w:t>II.</w:t>
      </w:r>
      <w:r>
        <w:rPr>
          <w:rFonts w:asciiTheme="minorHAnsi" w:eastAsiaTheme="minorEastAsia" w:hAnsiTheme="minorHAnsi"/>
          <w:noProof/>
          <w:sz w:val="22"/>
          <w:szCs w:val="22"/>
        </w:rPr>
        <w:tab/>
      </w:r>
      <w:r w:rsidRPr="00A43D24">
        <w:rPr>
          <w:caps/>
          <w:noProof/>
        </w:rPr>
        <w:t>The Commission should reject the EDUs’ request to r</w:t>
      </w:r>
      <w:r w:rsidR="00CA6379" w:rsidRPr="00A43D24">
        <w:rPr>
          <w:caps/>
          <w:noProof/>
        </w:rPr>
        <w:t xml:space="preserve">evise the “relative Price </w:t>
      </w:r>
      <w:r w:rsidRPr="00A43D24">
        <w:rPr>
          <w:caps/>
          <w:noProof/>
        </w:rPr>
        <w:t>Test”</w:t>
      </w:r>
      <w:r w:rsidR="00A77E54" w:rsidRPr="00A43D24">
        <w:rPr>
          <w:caps/>
          <w:noProof/>
        </w:rPr>
        <w:tab/>
      </w:r>
      <w:r w:rsidRPr="00A43D24">
        <w:rPr>
          <w:caps/>
          <w:noProof/>
        </w:rPr>
        <w:fldChar w:fldCharType="begin"/>
      </w:r>
      <w:r w:rsidRPr="00A43D24">
        <w:rPr>
          <w:caps/>
          <w:noProof/>
        </w:rPr>
        <w:instrText xml:space="preserve"> PAGEREF _Toc472412903 \h </w:instrText>
      </w:r>
      <w:r w:rsidRPr="00A43D24">
        <w:rPr>
          <w:caps/>
          <w:noProof/>
        </w:rPr>
      </w:r>
      <w:r w:rsidRPr="00A43D24">
        <w:rPr>
          <w:caps/>
          <w:noProof/>
        </w:rPr>
        <w:fldChar w:fldCharType="separate"/>
      </w:r>
      <w:r w:rsidR="0063176F">
        <w:rPr>
          <w:caps/>
          <w:noProof/>
        </w:rPr>
        <w:t>2</w:t>
      </w:r>
      <w:r w:rsidRPr="00A43D24">
        <w:rPr>
          <w:caps/>
          <w:noProof/>
        </w:rPr>
        <w:fldChar w:fldCharType="end"/>
      </w:r>
    </w:p>
    <w:p w14:paraId="5135ECD0" w14:textId="22E982AD" w:rsidR="007D3592" w:rsidRPr="00A43D24" w:rsidRDefault="007D3592" w:rsidP="00085023">
      <w:pPr>
        <w:pStyle w:val="TOC1"/>
        <w:tabs>
          <w:tab w:val="clear" w:pos="9350"/>
          <w:tab w:val="right" w:leader="dot" w:pos="9360"/>
        </w:tabs>
        <w:spacing w:after="240"/>
        <w:ind w:left="720" w:right="720" w:hanging="720"/>
        <w:rPr>
          <w:rFonts w:asciiTheme="minorHAnsi" w:eastAsiaTheme="minorEastAsia" w:hAnsiTheme="minorHAnsi"/>
          <w:caps/>
          <w:noProof/>
          <w:sz w:val="22"/>
          <w:szCs w:val="22"/>
        </w:rPr>
      </w:pPr>
      <w:r w:rsidRPr="00A43D24">
        <w:rPr>
          <w:caps/>
          <w:noProof/>
          <w:color w:val="010000"/>
        </w:rPr>
        <w:t>III.</w:t>
      </w:r>
      <w:r w:rsidRPr="00A43D24">
        <w:rPr>
          <w:rFonts w:asciiTheme="minorHAnsi" w:eastAsiaTheme="minorEastAsia" w:hAnsiTheme="minorHAnsi"/>
          <w:caps/>
          <w:noProof/>
          <w:sz w:val="22"/>
          <w:szCs w:val="22"/>
        </w:rPr>
        <w:tab/>
      </w:r>
      <w:r w:rsidRPr="00A43D24">
        <w:rPr>
          <w:caps/>
          <w:noProof/>
        </w:rPr>
        <w:t>The Commission should reject the recommendations that the Commission should make summary findings concerning the status o</w:t>
      </w:r>
      <w:r w:rsidR="00DD4D6C" w:rsidRPr="00A43D24">
        <w:rPr>
          <w:caps/>
          <w:noProof/>
        </w:rPr>
        <w:t>f certain parties or activities</w:t>
      </w:r>
      <w:r w:rsidR="00A77E54" w:rsidRPr="00A43D24">
        <w:rPr>
          <w:caps/>
          <w:noProof/>
        </w:rPr>
        <w:tab/>
      </w:r>
      <w:r w:rsidRPr="00A43D24">
        <w:rPr>
          <w:caps/>
          <w:noProof/>
        </w:rPr>
        <w:fldChar w:fldCharType="begin"/>
      </w:r>
      <w:r w:rsidRPr="00A43D24">
        <w:rPr>
          <w:caps/>
          <w:noProof/>
        </w:rPr>
        <w:instrText xml:space="preserve"> PAGEREF _Toc472412904 \h </w:instrText>
      </w:r>
      <w:r w:rsidRPr="00A43D24">
        <w:rPr>
          <w:caps/>
          <w:noProof/>
        </w:rPr>
      </w:r>
      <w:r w:rsidRPr="00A43D24">
        <w:rPr>
          <w:caps/>
          <w:noProof/>
        </w:rPr>
        <w:fldChar w:fldCharType="separate"/>
      </w:r>
      <w:r w:rsidR="0063176F">
        <w:rPr>
          <w:caps/>
          <w:noProof/>
        </w:rPr>
        <w:t>5</w:t>
      </w:r>
      <w:r w:rsidRPr="00A43D24">
        <w:rPr>
          <w:caps/>
          <w:noProof/>
        </w:rPr>
        <w:fldChar w:fldCharType="end"/>
      </w:r>
    </w:p>
    <w:p w14:paraId="1CCABF28" w14:textId="39B1984F" w:rsidR="007D3592" w:rsidRPr="00A43D24" w:rsidRDefault="007D3592" w:rsidP="00085023">
      <w:pPr>
        <w:pStyle w:val="TOC1"/>
        <w:tabs>
          <w:tab w:val="clear" w:pos="9350"/>
          <w:tab w:val="right" w:leader="dot" w:pos="9360"/>
        </w:tabs>
        <w:spacing w:after="240"/>
        <w:ind w:left="720" w:right="720" w:hanging="720"/>
        <w:rPr>
          <w:rFonts w:asciiTheme="minorHAnsi" w:eastAsiaTheme="minorEastAsia" w:hAnsiTheme="minorHAnsi"/>
          <w:caps/>
          <w:noProof/>
          <w:sz w:val="22"/>
          <w:szCs w:val="22"/>
        </w:rPr>
      </w:pPr>
      <w:r w:rsidRPr="00A43D24">
        <w:rPr>
          <w:caps/>
          <w:noProof/>
          <w:color w:val="010000"/>
        </w:rPr>
        <w:t>IV.</w:t>
      </w:r>
      <w:r w:rsidRPr="00A43D24">
        <w:rPr>
          <w:rFonts w:asciiTheme="minorHAnsi" w:eastAsiaTheme="minorEastAsia" w:hAnsiTheme="minorHAnsi"/>
          <w:caps/>
          <w:noProof/>
          <w:sz w:val="22"/>
          <w:szCs w:val="22"/>
        </w:rPr>
        <w:tab/>
      </w:r>
      <w:r w:rsidRPr="00A43D24">
        <w:rPr>
          <w:caps/>
          <w:noProof/>
        </w:rPr>
        <w:t>The Commission should reject OCC’s Claim that the Commission misplaced the burden of proof on the consumers to raise the issue of an enti</w:t>
      </w:r>
      <w:r w:rsidR="00296D2B" w:rsidRPr="00A43D24">
        <w:rPr>
          <w:caps/>
          <w:noProof/>
        </w:rPr>
        <w:t>ty’s status as a public utility</w:t>
      </w:r>
      <w:r w:rsidR="00035CEA" w:rsidRPr="00A43D24">
        <w:rPr>
          <w:caps/>
          <w:noProof/>
        </w:rPr>
        <w:tab/>
      </w:r>
      <w:r w:rsidRPr="00A43D24">
        <w:rPr>
          <w:caps/>
          <w:noProof/>
        </w:rPr>
        <w:fldChar w:fldCharType="begin"/>
      </w:r>
      <w:r w:rsidRPr="00A43D24">
        <w:rPr>
          <w:caps/>
          <w:noProof/>
        </w:rPr>
        <w:instrText xml:space="preserve"> PAGEREF _Toc472412905 \h </w:instrText>
      </w:r>
      <w:r w:rsidRPr="00A43D24">
        <w:rPr>
          <w:caps/>
          <w:noProof/>
        </w:rPr>
      </w:r>
      <w:r w:rsidRPr="00A43D24">
        <w:rPr>
          <w:caps/>
          <w:noProof/>
        </w:rPr>
        <w:fldChar w:fldCharType="separate"/>
      </w:r>
      <w:r w:rsidR="0063176F">
        <w:rPr>
          <w:caps/>
          <w:noProof/>
        </w:rPr>
        <w:t>7</w:t>
      </w:r>
      <w:r w:rsidRPr="00A43D24">
        <w:rPr>
          <w:caps/>
          <w:noProof/>
        </w:rPr>
        <w:fldChar w:fldCharType="end"/>
      </w:r>
    </w:p>
    <w:p w14:paraId="291421F9" w14:textId="6AC70591" w:rsidR="007D3592" w:rsidRPr="00A43D24" w:rsidRDefault="007D3592" w:rsidP="00085023">
      <w:pPr>
        <w:pStyle w:val="TOC1"/>
        <w:tabs>
          <w:tab w:val="clear" w:pos="9350"/>
          <w:tab w:val="right" w:leader="dot" w:pos="9360"/>
        </w:tabs>
        <w:spacing w:after="240"/>
        <w:ind w:left="720" w:right="720" w:hanging="720"/>
        <w:rPr>
          <w:rFonts w:asciiTheme="minorHAnsi" w:eastAsiaTheme="minorEastAsia" w:hAnsiTheme="minorHAnsi"/>
          <w:caps/>
          <w:noProof/>
          <w:sz w:val="22"/>
          <w:szCs w:val="22"/>
        </w:rPr>
      </w:pPr>
      <w:r w:rsidRPr="00A43D24">
        <w:rPr>
          <w:caps/>
          <w:noProof/>
          <w:color w:val="010000"/>
        </w:rPr>
        <w:t>V.</w:t>
      </w:r>
      <w:r w:rsidRPr="00A43D24">
        <w:rPr>
          <w:rFonts w:asciiTheme="minorHAnsi" w:eastAsiaTheme="minorEastAsia" w:hAnsiTheme="minorHAnsi"/>
          <w:caps/>
          <w:noProof/>
          <w:sz w:val="22"/>
          <w:szCs w:val="22"/>
        </w:rPr>
        <w:tab/>
      </w:r>
      <w:r w:rsidRPr="00A43D24">
        <w:rPr>
          <w:caps/>
          <w:noProof/>
        </w:rPr>
        <w:t>OCC’s recommendation that the Commission impose on ohio’s distribution utilities a duty to adopt tariffs to restrict resale of utility services must conform to R</w:t>
      </w:r>
      <w:r w:rsidR="00035CEA" w:rsidRPr="00A43D24">
        <w:rPr>
          <w:caps/>
          <w:noProof/>
        </w:rPr>
        <w:t>.C. 4928.40(D) and state policy</w:t>
      </w:r>
      <w:r w:rsidR="00035CEA" w:rsidRPr="00A43D24">
        <w:rPr>
          <w:caps/>
          <w:noProof/>
        </w:rPr>
        <w:tab/>
      </w:r>
      <w:r w:rsidRPr="00A43D24">
        <w:rPr>
          <w:caps/>
          <w:noProof/>
        </w:rPr>
        <w:fldChar w:fldCharType="begin"/>
      </w:r>
      <w:r w:rsidRPr="00A43D24">
        <w:rPr>
          <w:caps/>
          <w:noProof/>
        </w:rPr>
        <w:instrText xml:space="preserve"> PAGEREF _Toc472412906 \h </w:instrText>
      </w:r>
      <w:r w:rsidRPr="00A43D24">
        <w:rPr>
          <w:caps/>
          <w:noProof/>
        </w:rPr>
      </w:r>
      <w:r w:rsidRPr="00A43D24">
        <w:rPr>
          <w:caps/>
          <w:noProof/>
        </w:rPr>
        <w:fldChar w:fldCharType="separate"/>
      </w:r>
      <w:r w:rsidR="0063176F">
        <w:rPr>
          <w:caps/>
          <w:noProof/>
        </w:rPr>
        <w:t>7</w:t>
      </w:r>
      <w:r w:rsidRPr="00A43D24">
        <w:rPr>
          <w:caps/>
          <w:noProof/>
        </w:rPr>
        <w:fldChar w:fldCharType="end"/>
      </w:r>
    </w:p>
    <w:p w14:paraId="04680907" w14:textId="099EB607" w:rsidR="007D3592" w:rsidRPr="00A43D24" w:rsidRDefault="007D3592" w:rsidP="00085023">
      <w:pPr>
        <w:pStyle w:val="TOC1"/>
        <w:tabs>
          <w:tab w:val="clear" w:pos="9350"/>
          <w:tab w:val="right" w:leader="dot" w:pos="9360"/>
        </w:tabs>
        <w:spacing w:after="240"/>
        <w:ind w:left="720" w:right="720" w:hanging="720"/>
        <w:rPr>
          <w:rFonts w:asciiTheme="minorHAnsi" w:eastAsiaTheme="minorEastAsia" w:hAnsiTheme="minorHAnsi"/>
          <w:caps/>
          <w:noProof/>
          <w:sz w:val="22"/>
          <w:szCs w:val="22"/>
        </w:rPr>
      </w:pPr>
      <w:r w:rsidRPr="00A43D24">
        <w:rPr>
          <w:caps/>
          <w:noProof/>
          <w:color w:val="010000"/>
        </w:rPr>
        <w:t>VI.</w:t>
      </w:r>
      <w:r w:rsidRPr="00A43D24">
        <w:rPr>
          <w:rFonts w:asciiTheme="minorHAnsi" w:eastAsiaTheme="minorEastAsia" w:hAnsiTheme="minorHAnsi"/>
          <w:caps/>
          <w:noProof/>
          <w:sz w:val="22"/>
          <w:szCs w:val="22"/>
        </w:rPr>
        <w:tab/>
      </w:r>
      <w:r w:rsidRPr="00A43D24">
        <w:rPr>
          <w:caps/>
          <w:noProof/>
        </w:rPr>
        <w:t>OCC’s recommendation that the Commission impose consumer protections on a finding that an entity failed the Relative price Te</w:t>
      </w:r>
      <w:r w:rsidR="00035CEA" w:rsidRPr="00A43D24">
        <w:rPr>
          <w:caps/>
          <w:noProof/>
        </w:rPr>
        <w:t>st is unlawful and unreasonable</w:t>
      </w:r>
      <w:r w:rsidR="00035CEA" w:rsidRPr="00A43D24">
        <w:rPr>
          <w:caps/>
          <w:noProof/>
        </w:rPr>
        <w:tab/>
      </w:r>
      <w:r w:rsidRPr="00A43D24">
        <w:rPr>
          <w:caps/>
          <w:noProof/>
        </w:rPr>
        <w:fldChar w:fldCharType="begin"/>
      </w:r>
      <w:r w:rsidRPr="00A43D24">
        <w:rPr>
          <w:caps/>
          <w:noProof/>
        </w:rPr>
        <w:instrText xml:space="preserve"> PAGEREF _Toc472412907 \h </w:instrText>
      </w:r>
      <w:r w:rsidRPr="00A43D24">
        <w:rPr>
          <w:caps/>
          <w:noProof/>
        </w:rPr>
      </w:r>
      <w:r w:rsidRPr="00A43D24">
        <w:rPr>
          <w:caps/>
          <w:noProof/>
        </w:rPr>
        <w:fldChar w:fldCharType="separate"/>
      </w:r>
      <w:r w:rsidR="0063176F">
        <w:rPr>
          <w:caps/>
          <w:noProof/>
        </w:rPr>
        <w:t>8</w:t>
      </w:r>
      <w:r w:rsidRPr="00A43D24">
        <w:rPr>
          <w:caps/>
          <w:noProof/>
        </w:rPr>
        <w:fldChar w:fldCharType="end"/>
      </w:r>
    </w:p>
    <w:p w14:paraId="262F1488" w14:textId="56BECD6B" w:rsidR="007D3592" w:rsidRPr="00A43D24" w:rsidRDefault="007D3592" w:rsidP="00085023">
      <w:pPr>
        <w:pStyle w:val="TOC1"/>
        <w:tabs>
          <w:tab w:val="clear" w:pos="9350"/>
          <w:tab w:val="right" w:leader="dot" w:pos="9360"/>
        </w:tabs>
        <w:spacing w:after="240"/>
        <w:ind w:left="720" w:hanging="720"/>
        <w:rPr>
          <w:rFonts w:asciiTheme="minorHAnsi" w:eastAsiaTheme="minorEastAsia" w:hAnsiTheme="minorHAnsi"/>
          <w:caps/>
          <w:noProof/>
          <w:sz w:val="22"/>
          <w:szCs w:val="22"/>
        </w:rPr>
      </w:pPr>
      <w:r w:rsidRPr="00A43D24">
        <w:rPr>
          <w:caps/>
          <w:noProof/>
          <w:color w:val="010000"/>
        </w:rPr>
        <w:t>VII.</w:t>
      </w:r>
      <w:r w:rsidRPr="00A43D24">
        <w:rPr>
          <w:rFonts w:asciiTheme="minorHAnsi" w:eastAsiaTheme="minorEastAsia" w:hAnsiTheme="minorHAnsi"/>
          <w:caps/>
          <w:noProof/>
          <w:sz w:val="22"/>
          <w:szCs w:val="22"/>
        </w:rPr>
        <w:tab/>
      </w:r>
      <w:r w:rsidRPr="00A43D24">
        <w:rPr>
          <w:caps/>
          <w:noProof/>
        </w:rPr>
        <w:t>the Commission should limit the scope of the proceeding to the provision of submetering to resi</w:t>
      </w:r>
      <w:r w:rsidR="00035CEA" w:rsidRPr="00A43D24">
        <w:rPr>
          <w:caps/>
          <w:noProof/>
        </w:rPr>
        <w:t>dential customers</w:t>
      </w:r>
      <w:r w:rsidR="00035CEA" w:rsidRPr="00A43D24">
        <w:rPr>
          <w:caps/>
          <w:noProof/>
        </w:rPr>
        <w:tab/>
      </w:r>
      <w:r w:rsidRPr="00A43D24">
        <w:rPr>
          <w:caps/>
          <w:noProof/>
        </w:rPr>
        <w:fldChar w:fldCharType="begin"/>
      </w:r>
      <w:r w:rsidRPr="00A43D24">
        <w:rPr>
          <w:caps/>
          <w:noProof/>
        </w:rPr>
        <w:instrText xml:space="preserve"> PAGEREF _Toc472412908 \h </w:instrText>
      </w:r>
      <w:r w:rsidRPr="00A43D24">
        <w:rPr>
          <w:caps/>
          <w:noProof/>
        </w:rPr>
      </w:r>
      <w:r w:rsidRPr="00A43D24">
        <w:rPr>
          <w:caps/>
          <w:noProof/>
        </w:rPr>
        <w:fldChar w:fldCharType="separate"/>
      </w:r>
      <w:r w:rsidR="0063176F">
        <w:rPr>
          <w:caps/>
          <w:noProof/>
        </w:rPr>
        <w:t>9</w:t>
      </w:r>
      <w:r w:rsidRPr="00A43D24">
        <w:rPr>
          <w:caps/>
          <w:noProof/>
        </w:rPr>
        <w:fldChar w:fldCharType="end"/>
      </w:r>
    </w:p>
    <w:p w14:paraId="773367B7" w14:textId="4FFF9C3B" w:rsidR="007D3592" w:rsidRPr="00A43D24" w:rsidRDefault="007D3592" w:rsidP="00A43D24">
      <w:pPr>
        <w:pStyle w:val="TOC1"/>
        <w:tabs>
          <w:tab w:val="clear" w:pos="9350"/>
          <w:tab w:val="right" w:leader="dot" w:pos="9360"/>
        </w:tabs>
        <w:spacing w:after="240"/>
        <w:rPr>
          <w:rFonts w:asciiTheme="minorHAnsi" w:eastAsiaTheme="minorEastAsia" w:hAnsiTheme="minorHAnsi"/>
          <w:caps/>
          <w:noProof/>
          <w:sz w:val="22"/>
          <w:szCs w:val="22"/>
        </w:rPr>
      </w:pPr>
      <w:r w:rsidRPr="00A43D24">
        <w:rPr>
          <w:caps/>
          <w:noProof/>
          <w:color w:val="010000"/>
        </w:rPr>
        <w:t>VIII.</w:t>
      </w:r>
      <w:r w:rsidRPr="00A43D24">
        <w:rPr>
          <w:rFonts w:asciiTheme="minorHAnsi" w:eastAsiaTheme="minorEastAsia" w:hAnsiTheme="minorHAnsi"/>
          <w:caps/>
          <w:noProof/>
          <w:sz w:val="22"/>
          <w:szCs w:val="22"/>
        </w:rPr>
        <w:tab/>
      </w:r>
      <w:r w:rsidR="00035CEA" w:rsidRPr="00A43D24">
        <w:rPr>
          <w:caps/>
          <w:noProof/>
        </w:rPr>
        <w:t>Conclusion</w:t>
      </w:r>
      <w:r w:rsidR="00035CEA" w:rsidRPr="00A43D24">
        <w:rPr>
          <w:caps/>
          <w:noProof/>
        </w:rPr>
        <w:tab/>
      </w:r>
      <w:r w:rsidRPr="00A43D24">
        <w:rPr>
          <w:caps/>
          <w:noProof/>
        </w:rPr>
        <w:fldChar w:fldCharType="begin"/>
      </w:r>
      <w:r w:rsidRPr="00A43D24">
        <w:rPr>
          <w:caps/>
          <w:noProof/>
        </w:rPr>
        <w:instrText xml:space="preserve"> PAGEREF _Toc472412909 \h </w:instrText>
      </w:r>
      <w:r w:rsidRPr="00A43D24">
        <w:rPr>
          <w:caps/>
          <w:noProof/>
        </w:rPr>
      </w:r>
      <w:r w:rsidRPr="00A43D24">
        <w:rPr>
          <w:caps/>
          <w:noProof/>
        </w:rPr>
        <w:fldChar w:fldCharType="separate"/>
      </w:r>
      <w:r w:rsidR="0063176F">
        <w:rPr>
          <w:caps/>
          <w:noProof/>
        </w:rPr>
        <w:t>10</w:t>
      </w:r>
      <w:r w:rsidRPr="00A43D24">
        <w:rPr>
          <w:caps/>
          <w:noProof/>
        </w:rPr>
        <w:fldChar w:fldCharType="end"/>
      </w:r>
    </w:p>
    <w:bookmarkEnd w:id="3"/>
    <w:p w14:paraId="6630903F" w14:textId="13ECA81D" w:rsidR="00E6289E" w:rsidRDefault="007D3592" w:rsidP="00A43D24">
      <w:pPr>
        <w:tabs>
          <w:tab w:val="right" w:leader="dot" w:pos="8640"/>
        </w:tabs>
        <w:spacing w:after="240"/>
      </w:pPr>
      <w:r>
        <w:fldChar w:fldCharType="end"/>
      </w:r>
    </w:p>
    <w:p w14:paraId="47220E48" w14:textId="77777777" w:rsidR="00E6289E" w:rsidRDefault="00E6289E" w:rsidP="00315722">
      <w:pPr>
        <w:tabs>
          <w:tab w:val="left" w:pos="4320"/>
        </w:tabs>
        <w:ind w:left="4320" w:hanging="4320"/>
        <w:rPr>
          <w:rFonts w:ascii="Arial Bold" w:hAnsi="Arial Bold" w:cs="Arial"/>
          <w:b/>
          <w:smallCaps/>
        </w:rPr>
      </w:pPr>
    </w:p>
    <w:p w14:paraId="008AC191" w14:textId="77777777" w:rsidR="00E6289E" w:rsidRDefault="00E6289E" w:rsidP="00315722">
      <w:pPr>
        <w:tabs>
          <w:tab w:val="left" w:pos="4320"/>
        </w:tabs>
        <w:ind w:left="4320" w:hanging="4320"/>
        <w:rPr>
          <w:rFonts w:ascii="Arial Bold" w:hAnsi="Arial Bold" w:cs="Arial"/>
          <w:b/>
          <w:smallCaps/>
        </w:rPr>
        <w:sectPr w:rsidR="00E6289E" w:rsidSect="003F6974">
          <w:pgSz w:w="12240" w:h="15840"/>
          <w:pgMar w:top="1440" w:right="1440" w:bottom="1440" w:left="1440" w:header="720" w:footer="720" w:gutter="0"/>
          <w:pgNumType w:start="1"/>
          <w:cols w:space="720"/>
          <w:titlePg/>
          <w:docGrid w:linePitch="326"/>
        </w:sectPr>
      </w:pPr>
    </w:p>
    <w:p w14:paraId="4F912664" w14:textId="77777777" w:rsidR="00315722" w:rsidRDefault="00315722" w:rsidP="007F5410">
      <w:pPr>
        <w:tabs>
          <w:tab w:val="left" w:pos="-1440"/>
          <w:tab w:val="left" w:pos="-720"/>
          <w:tab w:val="left" w:pos="4320"/>
          <w:tab w:val="left" w:pos="7920"/>
        </w:tabs>
        <w:ind w:left="3600"/>
        <w:rPr>
          <w:rFonts w:ascii="Arial Bold" w:hAnsi="Arial Bold" w:cs="Arial"/>
          <w:b/>
          <w:smallCaps/>
        </w:rPr>
      </w:pPr>
    </w:p>
    <w:p w14:paraId="78559A78" w14:textId="7CC5AEC3" w:rsidR="005102EC" w:rsidRDefault="005102EC"/>
    <w:p w14:paraId="55E8ACA2" w14:textId="11EDA9CB" w:rsidR="005102EC" w:rsidRPr="008C0D05" w:rsidRDefault="005102EC">
      <w:pPr>
        <w:jc w:val="center"/>
        <w:rPr>
          <w:b/>
        </w:rPr>
      </w:pPr>
      <w:r w:rsidRPr="008C0D05">
        <w:rPr>
          <w:b/>
        </w:rPr>
        <w:t>BEFORE</w:t>
      </w:r>
    </w:p>
    <w:p w14:paraId="4E69EB13" w14:textId="77777777" w:rsidR="0093110F" w:rsidRPr="0093110F" w:rsidRDefault="0093110F" w:rsidP="0093110F">
      <w:pPr>
        <w:jc w:val="center"/>
        <w:rPr>
          <w:rFonts w:eastAsia="Times New Roman" w:cs="Arial"/>
          <w:b/>
          <w:color w:val="000000"/>
        </w:rPr>
      </w:pPr>
      <w:r w:rsidRPr="0093110F">
        <w:rPr>
          <w:rFonts w:eastAsia="Times New Roman" w:cs="Arial"/>
          <w:b/>
          <w:color w:val="000000"/>
        </w:rPr>
        <w:t>THE PUBLIC UTILITIES COMMISSION OF OHIO</w:t>
      </w:r>
    </w:p>
    <w:p w14:paraId="506C0527" w14:textId="77777777" w:rsidR="0093110F" w:rsidRPr="0093110F" w:rsidRDefault="0093110F" w:rsidP="0093110F">
      <w:pPr>
        <w:rPr>
          <w:rFonts w:eastAsia="Times New Roman" w:cs="Arial"/>
        </w:rPr>
      </w:pPr>
    </w:p>
    <w:p w14:paraId="5B0E8D6C" w14:textId="77777777" w:rsidR="0093110F" w:rsidRPr="0093110F" w:rsidRDefault="0093110F" w:rsidP="0093110F">
      <w:pP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66"/>
        <w:gridCol w:w="4298"/>
      </w:tblGrid>
      <w:tr w:rsidR="000C41DB" w:rsidRPr="0093110F" w14:paraId="7878019E" w14:textId="77777777" w:rsidTr="00756EDF">
        <w:trPr>
          <w:trHeight w:val="277"/>
        </w:trPr>
        <w:tc>
          <w:tcPr>
            <w:tcW w:w="4549" w:type="dxa"/>
            <w:vMerge w:val="restart"/>
          </w:tcPr>
          <w:p w14:paraId="5854436C" w14:textId="77777777" w:rsidR="000C41DB" w:rsidRPr="0093110F" w:rsidRDefault="000C41DB" w:rsidP="009E3DEC">
            <w:pPr>
              <w:rPr>
                <w:rFonts w:eastAsia="Times New Roman" w:cs="Arial"/>
              </w:rPr>
            </w:pPr>
            <w:r>
              <w:rPr>
                <w:rFonts w:eastAsia="Times New Roman" w:cs="Arial"/>
              </w:rPr>
              <w:t>In the Matter of the Commission’s Investigation of Submetering in the State of Ohio</w:t>
            </w:r>
          </w:p>
        </w:tc>
        <w:tc>
          <w:tcPr>
            <w:tcW w:w="466" w:type="dxa"/>
          </w:tcPr>
          <w:p w14:paraId="33AB623F" w14:textId="1B35B134" w:rsidR="000C41DB" w:rsidRPr="0093110F" w:rsidRDefault="007D6F85" w:rsidP="009E3DEC">
            <w:pPr>
              <w:rPr>
                <w:rFonts w:eastAsia="Times New Roman" w:cs="Arial"/>
              </w:rPr>
            </w:pPr>
            <w:r>
              <w:rPr>
                <w:rFonts w:eastAsia="Times New Roman" w:cs="Arial"/>
              </w:rPr>
              <w:t>)</w:t>
            </w:r>
          </w:p>
        </w:tc>
        <w:tc>
          <w:tcPr>
            <w:tcW w:w="4298" w:type="dxa"/>
          </w:tcPr>
          <w:p w14:paraId="50E4E6D3" w14:textId="77777777" w:rsidR="000C41DB" w:rsidRPr="0093110F" w:rsidRDefault="000C41DB" w:rsidP="009E3DEC">
            <w:pPr>
              <w:rPr>
                <w:rFonts w:eastAsia="Times New Roman" w:cs="Arial"/>
              </w:rPr>
            </w:pPr>
          </w:p>
        </w:tc>
      </w:tr>
      <w:tr w:rsidR="000C41DB" w:rsidRPr="0093110F" w14:paraId="631E0878" w14:textId="77777777" w:rsidTr="00756EDF">
        <w:trPr>
          <w:trHeight w:val="269"/>
        </w:trPr>
        <w:tc>
          <w:tcPr>
            <w:tcW w:w="4549" w:type="dxa"/>
            <w:vMerge/>
          </w:tcPr>
          <w:p w14:paraId="2EE309DA" w14:textId="77777777" w:rsidR="000C41DB" w:rsidRPr="0093110F" w:rsidRDefault="000C41DB" w:rsidP="009E3DEC">
            <w:pPr>
              <w:rPr>
                <w:rFonts w:eastAsia="Times New Roman" w:cs="Arial"/>
              </w:rPr>
            </w:pPr>
          </w:p>
        </w:tc>
        <w:tc>
          <w:tcPr>
            <w:tcW w:w="466" w:type="dxa"/>
          </w:tcPr>
          <w:p w14:paraId="56FDC8FC" w14:textId="75DBD4F4" w:rsidR="000C41DB" w:rsidRPr="0093110F" w:rsidRDefault="007D6F85" w:rsidP="009E3DEC">
            <w:pPr>
              <w:rPr>
                <w:rFonts w:eastAsia="Times New Roman" w:cs="Arial"/>
              </w:rPr>
            </w:pPr>
            <w:r>
              <w:rPr>
                <w:rFonts w:eastAsia="Times New Roman" w:cs="Arial"/>
              </w:rPr>
              <w:t>)</w:t>
            </w:r>
          </w:p>
        </w:tc>
        <w:tc>
          <w:tcPr>
            <w:tcW w:w="4298" w:type="dxa"/>
          </w:tcPr>
          <w:p w14:paraId="61144EC0" w14:textId="77777777" w:rsidR="000C41DB" w:rsidRPr="0093110F" w:rsidRDefault="00101CC0" w:rsidP="009E3DEC">
            <w:pPr>
              <w:rPr>
                <w:rFonts w:eastAsia="Times New Roman" w:cs="Arial"/>
              </w:rPr>
            </w:pPr>
            <w:r>
              <w:rPr>
                <w:rFonts w:eastAsia="Times New Roman" w:cs="Arial"/>
              </w:rPr>
              <w:t>Case No. 15-1594-AU-COI</w:t>
            </w:r>
          </w:p>
        </w:tc>
      </w:tr>
      <w:tr w:rsidR="00101CC0" w:rsidRPr="0093110F" w14:paraId="464D90F7" w14:textId="77777777" w:rsidTr="007D6F85">
        <w:trPr>
          <w:trHeight w:val="277"/>
        </w:trPr>
        <w:tc>
          <w:tcPr>
            <w:tcW w:w="4549" w:type="dxa"/>
            <w:vMerge/>
          </w:tcPr>
          <w:p w14:paraId="1237D2F1" w14:textId="77777777" w:rsidR="00101CC0" w:rsidRPr="0093110F" w:rsidRDefault="00101CC0" w:rsidP="009E3DEC">
            <w:pPr>
              <w:rPr>
                <w:rFonts w:eastAsia="Times New Roman" w:cs="Arial"/>
              </w:rPr>
            </w:pPr>
          </w:p>
        </w:tc>
        <w:tc>
          <w:tcPr>
            <w:tcW w:w="466" w:type="dxa"/>
          </w:tcPr>
          <w:p w14:paraId="02A417E2" w14:textId="0D859645" w:rsidR="00101CC0" w:rsidRPr="0093110F" w:rsidRDefault="007D6F85" w:rsidP="009E3DEC">
            <w:pPr>
              <w:rPr>
                <w:rFonts w:eastAsia="Times New Roman" w:cs="Arial"/>
              </w:rPr>
            </w:pPr>
            <w:r>
              <w:rPr>
                <w:rFonts w:eastAsia="Times New Roman" w:cs="Arial"/>
              </w:rPr>
              <w:t>)</w:t>
            </w:r>
          </w:p>
        </w:tc>
        <w:tc>
          <w:tcPr>
            <w:tcW w:w="4298" w:type="dxa"/>
          </w:tcPr>
          <w:p w14:paraId="6C34F2A5" w14:textId="77777777" w:rsidR="00101CC0" w:rsidRPr="0093110F" w:rsidRDefault="00101CC0" w:rsidP="009E3DEC">
            <w:pPr>
              <w:rPr>
                <w:rFonts w:eastAsia="Times New Roman" w:cs="Arial"/>
              </w:rPr>
            </w:pPr>
          </w:p>
        </w:tc>
      </w:tr>
    </w:tbl>
    <w:p w14:paraId="5D6F8CF8" w14:textId="77777777" w:rsidR="0093110F" w:rsidRDefault="0093110F" w:rsidP="0093110F">
      <w:pPr>
        <w:spacing w:line="276" w:lineRule="auto"/>
        <w:rPr>
          <w:rFonts w:eastAsia="Calibri" w:cs="Arial"/>
        </w:rPr>
      </w:pPr>
    </w:p>
    <w:p w14:paraId="521D7310" w14:textId="77777777" w:rsidR="007D6F85" w:rsidRPr="0093110F" w:rsidRDefault="007D6F85" w:rsidP="0093110F">
      <w:pPr>
        <w:spacing w:line="276" w:lineRule="auto"/>
        <w:rPr>
          <w:rFonts w:eastAsia="Calibri" w:cs="Arial"/>
        </w:rPr>
      </w:pPr>
    </w:p>
    <w:p w14:paraId="1B7FF165" w14:textId="77777777" w:rsidR="0093110F" w:rsidRPr="0093110F" w:rsidRDefault="0093110F" w:rsidP="0093110F">
      <w:pPr>
        <w:pBdr>
          <w:top w:val="single" w:sz="12" w:space="1" w:color="auto"/>
        </w:pBdr>
        <w:jc w:val="center"/>
        <w:rPr>
          <w:rFonts w:eastAsia="Calibri" w:cs="Arial"/>
          <w:b/>
          <w:szCs w:val="22"/>
        </w:rPr>
      </w:pPr>
    </w:p>
    <w:p w14:paraId="5A480787" w14:textId="066B1BC7" w:rsidR="004C12AB" w:rsidRPr="004C12AB" w:rsidRDefault="004C12AB" w:rsidP="004C12AB">
      <w:pPr>
        <w:pBdr>
          <w:bottom w:val="single" w:sz="12" w:space="1" w:color="auto"/>
        </w:pBdr>
        <w:jc w:val="center"/>
        <w:rPr>
          <w:b/>
        </w:rPr>
      </w:pPr>
      <w:r w:rsidRPr="004C12AB">
        <w:rPr>
          <w:b/>
        </w:rPr>
        <w:t xml:space="preserve">MEMORANDUM OF </w:t>
      </w:r>
      <w:r w:rsidR="00B51DD0">
        <w:rPr>
          <w:b/>
        </w:rPr>
        <w:t xml:space="preserve">INDUSTRIAL ENERGY USERS-OHIO, </w:t>
      </w:r>
      <w:r w:rsidR="00B51DD0">
        <w:rPr>
          <w:rFonts w:ascii="Arial Bold" w:hAnsi="Arial Bold"/>
          <w:b/>
          <w:caps/>
        </w:rPr>
        <w:t>ohio hospital association, and Ohio Manufacturers’ Association</w:t>
      </w:r>
      <w:r w:rsidR="00B51DD0">
        <w:rPr>
          <w:b/>
        </w:rPr>
        <w:t xml:space="preserve"> OPPOSING </w:t>
      </w:r>
      <w:r w:rsidR="00B51DD0" w:rsidRPr="00973895">
        <w:rPr>
          <w:b/>
        </w:rPr>
        <w:t>APPLICATION</w:t>
      </w:r>
      <w:r w:rsidR="00B51DD0">
        <w:rPr>
          <w:b/>
        </w:rPr>
        <w:t>S</w:t>
      </w:r>
      <w:r w:rsidR="00B51DD0" w:rsidRPr="00973895">
        <w:rPr>
          <w:b/>
        </w:rPr>
        <w:t xml:space="preserve"> FOR REHEARING</w:t>
      </w:r>
      <w:r w:rsidR="00B51DD0" w:rsidRPr="004C12AB" w:rsidDel="00B51DD0">
        <w:rPr>
          <w:b/>
        </w:rPr>
        <w:t xml:space="preserve"> </w:t>
      </w:r>
    </w:p>
    <w:p w14:paraId="0D115284" w14:textId="77777777" w:rsidR="0093110F" w:rsidRPr="0093110F" w:rsidRDefault="0093110F" w:rsidP="0093110F">
      <w:pPr>
        <w:pBdr>
          <w:bottom w:val="single" w:sz="12" w:space="1" w:color="auto"/>
        </w:pBdr>
        <w:jc w:val="center"/>
        <w:rPr>
          <w:rFonts w:eastAsia="Calibri" w:cs="Arial"/>
          <w:b/>
          <w:szCs w:val="22"/>
        </w:rPr>
      </w:pPr>
    </w:p>
    <w:p w14:paraId="69028183" w14:textId="77777777" w:rsidR="007D6F85" w:rsidRPr="00A45E23" w:rsidRDefault="007D6F85" w:rsidP="00705781"/>
    <w:p w14:paraId="0F7E3174" w14:textId="77777777" w:rsidR="0093110F" w:rsidRPr="0093110F" w:rsidRDefault="0093110F" w:rsidP="0093110F">
      <w:pPr>
        <w:tabs>
          <w:tab w:val="left" w:pos="503"/>
        </w:tabs>
        <w:jc w:val="both"/>
        <w:rPr>
          <w:rFonts w:eastAsia="Times New Roman" w:cs="Arial"/>
        </w:rPr>
      </w:pPr>
    </w:p>
    <w:p w14:paraId="1D7300FF" w14:textId="66556A8B" w:rsidR="00326353" w:rsidRDefault="0093110F">
      <w:pPr>
        <w:pStyle w:val="Heading1"/>
        <w:rPr>
          <w:rFonts w:eastAsia="Times New Roman"/>
        </w:rPr>
      </w:pPr>
      <w:bookmarkStart w:id="4" w:name="_Toc470773472"/>
      <w:bookmarkStart w:id="5" w:name="_Toc470782970"/>
      <w:bookmarkStart w:id="6" w:name="_Toc470878120"/>
      <w:bookmarkStart w:id="7" w:name="_Toc471291638"/>
      <w:bookmarkStart w:id="8" w:name="_Toc471458088"/>
      <w:bookmarkStart w:id="9" w:name="_Toc471818836"/>
      <w:bookmarkStart w:id="10" w:name="_Toc471983850"/>
      <w:bookmarkStart w:id="11" w:name="_Toc472409846"/>
      <w:bookmarkStart w:id="12" w:name="_Toc472412902"/>
      <w:r w:rsidRPr="002C4FAC">
        <w:rPr>
          <w:rFonts w:eastAsia="Times New Roman"/>
        </w:rPr>
        <w:t>INTRODUCTION</w:t>
      </w:r>
      <w:bookmarkEnd w:id="4"/>
      <w:bookmarkEnd w:id="5"/>
      <w:bookmarkEnd w:id="6"/>
      <w:bookmarkEnd w:id="7"/>
      <w:bookmarkEnd w:id="8"/>
      <w:bookmarkEnd w:id="9"/>
      <w:bookmarkEnd w:id="10"/>
      <w:bookmarkEnd w:id="11"/>
      <w:bookmarkEnd w:id="12"/>
    </w:p>
    <w:p w14:paraId="5F2A2399" w14:textId="572E4A87" w:rsidR="00BD675B" w:rsidRDefault="00BC73B1" w:rsidP="00123312">
      <w:pPr>
        <w:spacing w:line="480" w:lineRule="auto"/>
        <w:ind w:firstLine="720"/>
        <w:jc w:val="both"/>
        <w:rPr>
          <w:rFonts w:cs="Arial"/>
          <w:iCs/>
        </w:rPr>
      </w:pPr>
      <w:r>
        <w:rPr>
          <w:rFonts w:cs="Arial"/>
          <w:iCs/>
        </w:rPr>
        <w:t xml:space="preserve">To the extent that it is permitted under Ohio law to address the issues presented by submetering, the </w:t>
      </w:r>
      <w:r w:rsidR="00FF7275">
        <w:rPr>
          <w:rFonts w:cs="Arial"/>
          <w:iCs/>
        </w:rPr>
        <w:t xml:space="preserve">Public Utilities </w:t>
      </w:r>
      <w:r>
        <w:rPr>
          <w:rFonts w:cs="Arial"/>
          <w:iCs/>
        </w:rPr>
        <w:t xml:space="preserve">Commission </w:t>
      </w:r>
      <w:r w:rsidR="00FF7275">
        <w:rPr>
          <w:rFonts w:cs="Arial"/>
          <w:iCs/>
        </w:rPr>
        <w:t xml:space="preserve">of Ohio (“Commission”) </w:t>
      </w:r>
      <w:r>
        <w:rPr>
          <w:rFonts w:cs="Arial"/>
          <w:iCs/>
        </w:rPr>
        <w:t xml:space="preserve">should use that authority.  </w:t>
      </w:r>
      <w:r w:rsidR="000837DE">
        <w:rPr>
          <w:rFonts w:cs="Arial"/>
          <w:iCs/>
        </w:rPr>
        <w:t xml:space="preserve">In </w:t>
      </w:r>
      <w:r w:rsidR="004C2D60">
        <w:rPr>
          <w:rFonts w:cs="Arial"/>
          <w:iCs/>
        </w:rPr>
        <w:t>at least two</w:t>
      </w:r>
      <w:r w:rsidR="000837DE">
        <w:rPr>
          <w:rFonts w:cs="Arial"/>
          <w:iCs/>
        </w:rPr>
        <w:t xml:space="preserve"> respects, however, the Commission has overstepped its authority </w:t>
      </w:r>
      <w:r w:rsidR="00FF7275">
        <w:rPr>
          <w:rFonts w:cs="Arial"/>
          <w:iCs/>
        </w:rPr>
        <w:t xml:space="preserve">in this proceeding </w:t>
      </w:r>
      <w:r w:rsidR="000837DE">
        <w:rPr>
          <w:rFonts w:cs="Arial"/>
          <w:iCs/>
        </w:rPr>
        <w:t xml:space="preserve">by modifying the </w:t>
      </w:r>
      <w:r w:rsidR="000837DE" w:rsidRPr="004C2D60">
        <w:rPr>
          <w:rFonts w:cs="Arial"/>
          <w:i/>
          <w:iCs/>
        </w:rPr>
        <w:t xml:space="preserve">Shroyer </w:t>
      </w:r>
      <w:r w:rsidR="000837DE" w:rsidRPr="00C316D0">
        <w:rPr>
          <w:rFonts w:cs="Arial"/>
          <w:i/>
          <w:iCs/>
        </w:rPr>
        <w:t>Test</w:t>
      </w:r>
      <w:r w:rsidR="00711523">
        <w:rPr>
          <w:rStyle w:val="FootnoteReference"/>
          <w:rFonts w:cs="Arial"/>
          <w:iCs/>
        </w:rPr>
        <w:footnoteReference w:id="1"/>
      </w:r>
      <w:r w:rsidR="00C316D0">
        <w:rPr>
          <w:rFonts w:cs="Arial"/>
          <w:i/>
          <w:iCs/>
        </w:rPr>
        <w:t xml:space="preserve"> </w:t>
      </w:r>
      <w:r w:rsidR="000837DE" w:rsidRPr="00711523">
        <w:rPr>
          <w:rFonts w:cs="Arial"/>
          <w:iCs/>
        </w:rPr>
        <w:t>so</w:t>
      </w:r>
      <w:r w:rsidR="000837DE">
        <w:rPr>
          <w:rFonts w:cs="Arial"/>
          <w:iCs/>
        </w:rPr>
        <w:t xml:space="preserve"> that a determination that an entity </w:t>
      </w:r>
      <w:r w:rsidR="005D1E98">
        <w:rPr>
          <w:rFonts w:cs="Arial"/>
          <w:iCs/>
        </w:rPr>
        <w:t xml:space="preserve">that </w:t>
      </w:r>
      <w:r w:rsidR="000837DE">
        <w:rPr>
          <w:rFonts w:cs="Arial"/>
          <w:iCs/>
        </w:rPr>
        <w:t xml:space="preserve">fails any prong of the </w:t>
      </w:r>
      <w:r w:rsidR="00FF50F2" w:rsidRPr="008350D5">
        <w:rPr>
          <w:rFonts w:cs="Arial"/>
          <w:i/>
          <w:iCs/>
        </w:rPr>
        <w:t>T</w:t>
      </w:r>
      <w:r w:rsidR="000837DE" w:rsidRPr="008350D5">
        <w:rPr>
          <w:rFonts w:cs="Arial"/>
          <w:i/>
          <w:iCs/>
        </w:rPr>
        <w:t>est</w:t>
      </w:r>
      <w:r w:rsidR="000837DE">
        <w:rPr>
          <w:rFonts w:cs="Arial"/>
          <w:iCs/>
        </w:rPr>
        <w:t xml:space="preserve"> will be deemed a public utility subject to the Commission’s jurisdiction and the introduction of a new test </w:t>
      </w:r>
      <w:r w:rsidR="007E5421">
        <w:rPr>
          <w:rFonts w:cs="Arial"/>
          <w:iCs/>
        </w:rPr>
        <w:t xml:space="preserve">whether the redistribution of a service is ancillary based on its price relative to that of an incumbent utility (“Relative Price Test”).  </w:t>
      </w:r>
      <w:r w:rsidR="00C316D0">
        <w:rPr>
          <w:rFonts w:cs="Arial"/>
          <w:iCs/>
        </w:rPr>
        <w:t xml:space="preserve">Finding and Order at </w:t>
      </w:r>
      <w:r w:rsidR="00C752BE">
        <w:rPr>
          <w:rFonts w:cs="Arial"/>
          <w:iCs/>
        </w:rPr>
        <w:t xml:space="preserve">¶¶ 18 </w:t>
      </w:r>
      <w:r w:rsidR="004337C6">
        <w:rPr>
          <w:rFonts w:cs="Arial"/>
          <w:iCs/>
        </w:rPr>
        <w:t>&amp;</w:t>
      </w:r>
      <w:r w:rsidR="00C752BE">
        <w:rPr>
          <w:rFonts w:cs="Arial"/>
          <w:iCs/>
        </w:rPr>
        <w:t xml:space="preserve"> 20 (Dec. 7, 2016); </w:t>
      </w:r>
      <w:r w:rsidR="00D94C32">
        <w:t>Application for Rehearing and Memorandum in Support of Industrial Energy Users-Ohio, Ohio Hospital Association, and Ohio Manufacturers’ Association (Jan. 6, 2017)</w:t>
      </w:r>
      <w:r w:rsidR="00FF7275">
        <w:t xml:space="preserve"> (“IEU-Ohio/OHA/OMA Application for Rehearing”)</w:t>
      </w:r>
      <w:r w:rsidR="00D94C32">
        <w:t>.</w:t>
      </w:r>
      <w:r w:rsidR="00F50CD3">
        <w:t xml:space="preserve">  </w:t>
      </w:r>
      <w:r w:rsidR="002B3381">
        <w:rPr>
          <w:rFonts w:cs="Arial"/>
          <w:iCs/>
        </w:rPr>
        <w:t>The Office of the Ohio Consumers’</w:t>
      </w:r>
      <w:r w:rsidR="00FE574D">
        <w:rPr>
          <w:rFonts w:cs="Arial"/>
          <w:iCs/>
        </w:rPr>
        <w:t xml:space="preserve"> Counsel (“OCC”) with the Ohio Poverty </w:t>
      </w:r>
      <w:r w:rsidR="00FE574D">
        <w:rPr>
          <w:rFonts w:cs="Arial"/>
          <w:iCs/>
        </w:rPr>
        <w:lastRenderedPageBreak/>
        <w:t>Law Center</w:t>
      </w:r>
      <w:r w:rsidR="002B3381">
        <w:rPr>
          <w:rFonts w:cs="Arial"/>
          <w:iCs/>
        </w:rPr>
        <w:t xml:space="preserve"> and </w:t>
      </w:r>
      <w:r w:rsidR="00162DB6">
        <w:rPr>
          <w:rFonts w:cs="Arial"/>
          <w:iCs/>
        </w:rPr>
        <w:t xml:space="preserve">several </w:t>
      </w:r>
      <w:r w:rsidR="002B3381">
        <w:rPr>
          <w:rFonts w:cs="Arial"/>
          <w:iCs/>
        </w:rPr>
        <w:t>Ohio electric distribution utilities (EDUs)</w:t>
      </w:r>
      <w:r w:rsidR="000D7447">
        <w:rPr>
          <w:rFonts w:cs="Arial"/>
          <w:iCs/>
        </w:rPr>
        <w:t>, however,</w:t>
      </w:r>
      <w:r w:rsidR="00FE574D">
        <w:rPr>
          <w:rFonts w:cs="Arial"/>
          <w:iCs/>
        </w:rPr>
        <w:t xml:space="preserve"> have sought in applications for rehearing to </w:t>
      </w:r>
      <w:r w:rsidR="00AF4B6D">
        <w:rPr>
          <w:rFonts w:cs="Arial"/>
          <w:iCs/>
        </w:rPr>
        <w:t xml:space="preserve">further </w:t>
      </w:r>
      <w:r w:rsidR="00FE574D">
        <w:rPr>
          <w:rFonts w:cs="Arial"/>
          <w:iCs/>
        </w:rPr>
        <w:t>expand the Commission’s regulation</w:t>
      </w:r>
      <w:r w:rsidR="000D7447">
        <w:rPr>
          <w:rFonts w:cs="Arial"/>
          <w:iCs/>
        </w:rPr>
        <w:t xml:space="preserve"> of submetering</w:t>
      </w:r>
      <w:r w:rsidR="00FE574D">
        <w:rPr>
          <w:rFonts w:cs="Arial"/>
          <w:iCs/>
        </w:rPr>
        <w:t xml:space="preserve"> </w:t>
      </w:r>
      <w:r w:rsidR="00DC2283">
        <w:rPr>
          <w:rFonts w:cs="Arial"/>
          <w:iCs/>
        </w:rPr>
        <w:t>in ways that exceed</w:t>
      </w:r>
      <w:r w:rsidR="00AF4B6D">
        <w:rPr>
          <w:rFonts w:cs="Arial"/>
          <w:iCs/>
        </w:rPr>
        <w:t xml:space="preserve"> the Commission’s authority</w:t>
      </w:r>
      <w:r w:rsidR="00FE574D">
        <w:rPr>
          <w:rFonts w:cs="Arial"/>
          <w:iCs/>
        </w:rPr>
        <w:t xml:space="preserve">.  </w:t>
      </w:r>
      <w:r w:rsidR="00F50CD3">
        <w:rPr>
          <w:rFonts w:cs="Arial"/>
          <w:iCs/>
        </w:rPr>
        <w:t xml:space="preserve">Application for Rehearing </w:t>
      </w:r>
      <w:r w:rsidR="003C4B1F">
        <w:rPr>
          <w:rFonts w:cs="Arial"/>
          <w:iCs/>
        </w:rPr>
        <w:t>by</w:t>
      </w:r>
      <w:r w:rsidR="00F50CD3">
        <w:rPr>
          <w:rFonts w:cs="Arial"/>
          <w:iCs/>
        </w:rPr>
        <w:t xml:space="preserve"> the Office of the Ohio Consumers’ Counsel</w:t>
      </w:r>
      <w:r w:rsidR="003C4B1F">
        <w:rPr>
          <w:rFonts w:cs="Arial"/>
          <w:iCs/>
        </w:rPr>
        <w:t xml:space="preserve"> and the Ohio Poverty Law Center (Jan.</w:t>
      </w:r>
      <w:r w:rsidR="005A29B0">
        <w:rPr>
          <w:rFonts w:cs="Arial"/>
          <w:iCs/>
        </w:rPr>
        <w:t xml:space="preserve"> </w:t>
      </w:r>
      <w:r w:rsidR="003C4B1F">
        <w:rPr>
          <w:rFonts w:cs="Arial"/>
          <w:iCs/>
        </w:rPr>
        <w:t xml:space="preserve">6, 2017) (“OCC Application for Rehearing”); Joint Application for Rehearing of Ohio Power Company; Duke Energy Ohio, </w:t>
      </w:r>
      <w:r w:rsidR="00823B74">
        <w:rPr>
          <w:rFonts w:cs="Arial"/>
          <w:iCs/>
        </w:rPr>
        <w:t>Inc.</w:t>
      </w:r>
      <w:r w:rsidR="003C4B1F">
        <w:rPr>
          <w:rFonts w:cs="Arial"/>
          <w:iCs/>
        </w:rPr>
        <w:t xml:space="preserve">; and Ohio Edison Company, the Cleveland Electric Illuminating Company, and the Toledo Edison Company (Jan. 6, 2017) (“EDU Application for Rehearing”).  </w:t>
      </w:r>
      <w:r w:rsidR="00FE0709">
        <w:rPr>
          <w:rFonts w:cs="Arial"/>
          <w:iCs/>
        </w:rPr>
        <w:t>On the other hand, Nationwide Energy Partners</w:t>
      </w:r>
      <w:r w:rsidR="00FF4529">
        <w:rPr>
          <w:rFonts w:cs="Arial"/>
          <w:iCs/>
        </w:rPr>
        <w:t xml:space="preserve"> </w:t>
      </w:r>
      <w:r w:rsidR="00FE0709">
        <w:rPr>
          <w:rFonts w:cs="Arial"/>
          <w:iCs/>
        </w:rPr>
        <w:t xml:space="preserve">seeks to </w:t>
      </w:r>
      <w:r w:rsidR="00066D65">
        <w:rPr>
          <w:rFonts w:cs="Arial"/>
          <w:iCs/>
        </w:rPr>
        <w:t xml:space="preserve">unlawfully </w:t>
      </w:r>
      <w:r w:rsidR="00FE0709">
        <w:rPr>
          <w:rFonts w:cs="Arial"/>
          <w:iCs/>
        </w:rPr>
        <w:t xml:space="preserve">constrain the Commission’s authority.  </w:t>
      </w:r>
      <w:r w:rsidR="006448B3">
        <w:rPr>
          <w:rFonts w:cs="Arial"/>
          <w:iCs/>
        </w:rPr>
        <w:t xml:space="preserve">Application for Rehearing of Nationwide Energy Partners, LLC (Jan. 6, 2017) (“NEP Application for Rehearing”).  </w:t>
      </w:r>
      <w:r w:rsidR="0053635C">
        <w:rPr>
          <w:rFonts w:cs="Arial"/>
          <w:iCs/>
        </w:rPr>
        <w:t>The Commission should reject the assignments of error in support of these position</w:t>
      </w:r>
      <w:r w:rsidR="006A50DE">
        <w:rPr>
          <w:rFonts w:cs="Arial"/>
          <w:iCs/>
        </w:rPr>
        <w:t>s</w:t>
      </w:r>
      <w:r w:rsidR="0053635C">
        <w:rPr>
          <w:rFonts w:cs="Arial"/>
          <w:iCs/>
        </w:rPr>
        <w:t xml:space="preserve"> for the reasons discussed below</w:t>
      </w:r>
      <w:r w:rsidR="00FE574D">
        <w:rPr>
          <w:rFonts w:cs="Arial"/>
          <w:iCs/>
        </w:rPr>
        <w:t>.</w:t>
      </w:r>
      <w:r w:rsidR="000D7447">
        <w:rPr>
          <w:rStyle w:val="FootnoteReference"/>
          <w:rFonts w:cs="Arial"/>
          <w:iCs/>
        </w:rPr>
        <w:footnoteReference w:id="2"/>
      </w:r>
    </w:p>
    <w:p w14:paraId="75E5392C" w14:textId="141112A6" w:rsidR="00326353" w:rsidRDefault="003C4655">
      <w:pPr>
        <w:pStyle w:val="Heading1"/>
      </w:pPr>
      <w:bookmarkStart w:id="13" w:name="_Toc471818837"/>
      <w:bookmarkStart w:id="14" w:name="_Toc471983851"/>
      <w:bookmarkStart w:id="15" w:name="_Toc472409847"/>
      <w:bookmarkStart w:id="16" w:name="_Toc472412903"/>
      <w:r>
        <w:t xml:space="preserve">The Commission should reject the </w:t>
      </w:r>
      <w:r w:rsidR="00123312">
        <w:t>EDUs</w:t>
      </w:r>
      <w:r w:rsidR="0054137E">
        <w:t>’</w:t>
      </w:r>
      <w:r w:rsidR="00123312">
        <w:t xml:space="preserve"> </w:t>
      </w:r>
      <w:r w:rsidR="0097293A">
        <w:t>request to revise the “relative Price Test”</w:t>
      </w:r>
      <w:bookmarkEnd w:id="13"/>
      <w:bookmarkEnd w:id="14"/>
      <w:bookmarkEnd w:id="15"/>
      <w:bookmarkEnd w:id="16"/>
      <w:r w:rsidR="0097293A">
        <w:t xml:space="preserve"> </w:t>
      </w:r>
    </w:p>
    <w:p w14:paraId="52569758" w14:textId="363BE6AD" w:rsidR="00A851AF" w:rsidRDefault="00D30B23" w:rsidP="00123312">
      <w:pPr>
        <w:spacing w:line="480" w:lineRule="auto"/>
        <w:ind w:firstLine="720"/>
        <w:jc w:val="both"/>
        <w:rPr>
          <w:rFonts w:cs="Arial"/>
        </w:rPr>
      </w:pPr>
      <w:r>
        <w:t>In the Finding and Order</w:t>
      </w:r>
      <w:r w:rsidR="009E2142">
        <w:t>,</w:t>
      </w:r>
      <w:r w:rsidR="00CE4F73" w:rsidRPr="00CE4F73">
        <w:rPr>
          <w:rFonts w:cs="Arial"/>
        </w:rPr>
        <w:t xml:space="preserve"> </w:t>
      </w:r>
      <w:r w:rsidR="00CE4F73" w:rsidRPr="002C4FAC">
        <w:rPr>
          <w:rFonts w:cs="Arial"/>
        </w:rPr>
        <w:t>the Commission stated that, if a landlord or other entity resells or redistributes utility services and charges the end user a threshold percentage above the total bill charges for a similarly</w:t>
      </w:r>
      <w:r w:rsidR="00CE4F73">
        <w:rPr>
          <w:rFonts w:cs="Arial"/>
        </w:rPr>
        <w:t>-</w:t>
      </w:r>
      <w:r w:rsidR="00CE4F73" w:rsidRPr="002C4FAC">
        <w:rPr>
          <w:rFonts w:cs="Arial"/>
        </w:rPr>
        <w:t xml:space="preserve">situated customer served by the utility’s tariff rates, </w:t>
      </w:r>
      <w:r w:rsidR="00CE4F73">
        <w:rPr>
          <w:rFonts w:cs="Arial"/>
        </w:rPr>
        <w:t xml:space="preserve">an electric utility’s </w:t>
      </w:r>
      <w:r w:rsidR="00CE4F73" w:rsidRPr="002C4FAC">
        <w:rPr>
          <w:rFonts w:cs="Arial"/>
        </w:rPr>
        <w:t>standard service offer</w:t>
      </w:r>
      <w:r w:rsidR="00033FA8">
        <w:rPr>
          <w:rFonts w:cs="Arial"/>
        </w:rPr>
        <w:t xml:space="preserve"> (“SSO”)</w:t>
      </w:r>
      <w:r w:rsidR="00CE4F73" w:rsidRPr="002C4FAC">
        <w:rPr>
          <w:rFonts w:cs="Arial"/>
        </w:rPr>
        <w:t>, o</w:t>
      </w:r>
      <w:r w:rsidR="00CE4F73">
        <w:rPr>
          <w:rFonts w:cs="Arial"/>
        </w:rPr>
        <w:t>r</w:t>
      </w:r>
      <w:r w:rsidR="00CE4F73" w:rsidRPr="002C4FAC">
        <w:rPr>
          <w:rFonts w:cs="Arial"/>
        </w:rPr>
        <w:t xml:space="preserve"> </w:t>
      </w:r>
      <w:r w:rsidR="00CE4F73">
        <w:rPr>
          <w:rFonts w:cs="Arial"/>
        </w:rPr>
        <w:t xml:space="preserve">a </w:t>
      </w:r>
      <w:r w:rsidR="00CE4F73" w:rsidRPr="002C4FAC">
        <w:rPr>
          <w:rFonts w:cs="Arial"/>
        </w:rPr>
        <w:t>natural gas</w:t>
      </w:r>
      <w:r w:rsidR="00CE4F73">
        <w:rPr>
          <w:rFonts w:cs="Arial"/>
        </w:rPr>
        <w:t xml:space="preserve"> company’s standard</w:t>
      </w:r>
      <w:r w:rsidR="00CE4F73" w:rsidRPr="002C4FAC">
        <w:rPr>
          <w:rFonts w:cs="Arial"/>
        </w:rPr>
        <w:t xml:space="preserve"> choice offer, then the bill charges will create a rebuttable presumption that the provision of service is not ancillary to the landlord or other entity’s business. </w:t>
      </w:r>
      <w:r w:rsidR="00CE4F73">
        <w:rPr>
          <w:rFonts w:cs="Arial"/>
        </w:rPr>
        <w:t xml:space="preserve"> </w:t>
      </w:r>
      <w:r w:rsidR="009E2142">
        <w:rPr>
          <w:rFonts w:cs="Arial"/>
        </w:rPr>
        <w:t>Finding and Order at</w:t>
      </w:r>
      <w:r w:rsidR="00CE4F73" w:rsidRPr="002C4FAC">
        <w:rPr>
          <w:rFonts w:cs="Arial"/>
        </w:rPr>
        <w:t xml:space="preserve"> ¶ 18</w:t>
      </w:r>
      <w:r w:rsidR="00CE4F73">
        <w:rPr>
          <w:rFonts w:cs="Arial"/>
        </w:rPr>
        <w:t xml:space="preserve"> (“Relative Price Test”)</w:t>
      </w:r>
      <w:r w:rsidR="00CE4F73" w:rsidRPr="002C4FAC">
        <w:rPr>
          <w:rFonts w:cs="Arial"/>
        </w:rPr>
        <w:t xml:space="preserve">.  </w:t>
      </w:r>
    </w:p>
    <w:p w14:paraId="06B5F12D" w14:textId="4CCCEB47" w:rsidR="0000404C" w:rsidRDefault="00CE4F73" w:rsidP="0000404C">
      <w:pPr>
        <w:spacing w:line="480" w:lineRule="auto"/>
        <w:ind w:firstLine="720"/>
        <w:jc w:val="both"/>
      </w:pPr>
      <w:r>
        <w:rPr>
          <w:rFonts w:cs="Arial"/>
        </w:rPr>
        <w:lastRenderedPageBreak/>
        <w:t>In their application for rehearing, t</w:t>
      </w:r>
      <w:r w:rsidR="0097293A">
        <w:t xml:space="preserve">he EDUs propose that the Relative Price Test be modified </w:t>
      </w:r>
      <w:r w:rsidR="00D30B23">
        <w:t>to impose a reb</w:t>
      </w:r>
      <w:r w:rsidR="00AA415C">
        <w:t>uttable presumption if a land</w:t>
      </w:r>
      <w:r w:rsidR="003B5A56">
        <w:t>l</w:t>
      </w:r>
      <w:r w:rsidR="00AA415C">
        <w:t>o</w:t>
      </w:r>
      <w:r w:rsidR="00D30B23">
        <w:t xml:space="preserve">rd or other entity charges a price above what the landlord or other entity pays for the utility service it is </w:t>
      </w:r>
      <w:r w:rsidR="0053635C">
        <w:t xml:space="preserve">redistributing </w:t>
      </w:r>
      <w:r w:rsidR="00D30B23">
        <w:t>to an end user.</w:t>
      </w:r>
      <w:r w:rsidR="00AA415C">
        <w:t xml:space="preserve">  </w:t>
      </w:r>
      <w:r w:rsidR="004A6BA0">
        <w:t xml:space="preserve">EDU Application for Rehearing at 2.  </w:t>
      </w:r>
      <w:r w:rsidR="0000404C">
        <w:t xml:space="preserve">To justify </w:t>
      </w:r>
      <w:r w:rsidR="001E7113">
        <w:t>their proposed modification</w:t>
      </w:r>
      <w:r w:rsidR="00B635E9">
        <w:t xml:space="preserve"> of the Relative Price Test</w:t>
      </w:r>
      <w:r w:rsidR="0000404C">
        <w:t xml:space="preserve">, the EDUs </w:t>
      </w:r>
      <w:r w:rsidR="001E7113">
        <w:t>urge</w:t>
      </w:r>
      <w:r w:rsidR="0000404C">
        <w:t xml:space="preserve"> that the Commission determine that an entity is “engaged in the business of” providing a utility service if it marks up the price of the service such that the service is a “profit center” for the entity providing the service.  </w:t>
      </w:r>
      <w:r w:rsidR="004A6BA0" w:rsidRPr="008C0D05">
        <w:rPr>
          <w:i/>
        </w:rPr>
        <w:t>Id</w:t>
      </w:r>
      <w:r w:rsidR="004A6BA0">
        <w:t xml:space="preserve">. </w:t>
      </w:r>
      <w:r w:rsidR="0000404C">
        <w:t xml:space="preserve">at 9-10.  The EDUs also attempt to justify their </w:t>
      </w:r>
      <w:r w:rsidR="00B635E9">
        <w:t>modification</w:t>
      </w:r>
      <w:r w:rsidR="0000404C">
        <w:t xml:space="preserve"> on the claim that their price test more accurately reflects the product customers are receiving.  Working from the premise that customers receiving a service subject to regulation pay a reasonable and fair price, they argue that </w:t>
      </w:r>
      <w:r w:rsidR="00162DB6">
        <w:t>it would be “</w:t>
      </w:r>
      <w:r w:rsidR="0000404C">
        <w:t xml:space="preserve">profoundly </w:t>
      </w:r>
      <w:r w:rsidR="0000404C" w:rsidRPr="00E944B1">
        <w:t>unfair</w:t>
      </w:r>
      <w:r w:rsidR="00162DB6">
        <w:t>”</w:t>
      </w:r>
      <w:r w:rsidR="0000404C">
        <w:t xml:space="preserve"> for submetering customers to pay an electric utility’s standard service offer price because the product they are receiving is “vastly inferior” to what the </w:t>
      </w:r>
      <w:r w:rsidR="00647FB3">
        <w:t>EDUs’</w:t>
      </w:r>
      <w:r w:rsidR="0000404C">
        <w:t xml:space="preserve"> customers receive.  EDU Application for Rehearing at 11.  </w:t>
      </w:r>
    </w:p>
    <w:p w14:paraId="55366A46" w14:textId="20BDAC3A" w:rsidR="0097293A" w:rsidRDefault="00647FB3" w:rsidP="00123312">
      <w:pPr>
        <w:spacing w:line="480" w:lineRule="auto"/>
        <w:ind w:firstLine="720"/>
        <w:jc w:val="both"/>
      </w:pPr>
      <w:r>
        <w:t>The EDUs’</w:t>
      </w:r>
      <w:r w:rsidR="00AA415C">
        <w:t xml:space="preserve"> proposed change </w:t>
      </w:r>
      <w:r w:rsidR="0086171D">
        <w:t xml:space="preserve">to the Relative Price Test </w:t>
      </w:r>
      <w:r w:rsidR="00AA415C">
        <w:t xml:space="preserve">does not correct the </w:t>
      </w:r>
      <w:r w:rsidR="00E41902">
        <w:t>underlying</w:t>
      </w:r>
      <w:r w:rsidR="00AA415C">
        <w:t xml:space="preserve"> problems </w:t>
      </w:r>
      <w:r w:rsidR="0086171D">
        <w:t>of</w:t>
      </w:r>
      <w:r w:rsidR="00AA415C">
        <w:t xml:space="preserve"> </w:t>
      </w:r>
      <w:r w:rsidR="00F7002D">
        <w:t xml:space="preserve">the </w:t>
      </w:r>
      <w:r w:rsidR="00AA415C">
        <w:t>Test</w:t>
      </w:r>
      <w:r w:rsidR="0086171D">
        <w:t xml:space="preserve"> and, like the Test itself, should be rejected.</w:t>
      </w:r>
    </w:p>
    <w:p w14:paraId="177E1788" w14:textId="0BF603E9" w:rsidR="003725B0" w:rsidRDefault="00F37F62" w:rsidP="00123312">
      <w:pPr>
        <w:spacing w:line="480" w:lineRule="auto"/>
        <w:ind w:firstLine="720"/>
        <w:jc w:val="both"/>
      </w:pPr>
      <w:r>
        <w:rPr>
          <w:rFonts w:eastAsia="Times New Roman" w:cs="Arial"/>
        </w:rPr>
        <w:t xml:space="preserve">Under Ohio law, a public utility is defined by the functions it performs.  </w:t>
      </w:r>
      <w:r w:rsidRPr="002C4FAC">
        <w:rPr>
          <w:rFonts w:eastAsia="Times New Roman" w:cs="Arial"/>
        </w:rPr>
        <w:t xml:space="preserve">R.C. 4905.03 defines electric </w:t>
      </w:r>
      <w:r>
        <w:rPr>
          <w:rFonts w:eastAsia="Times New Roman" w:cs="Arial"/>
        </w:rPr>
        <w:t xml:space="preserve">light </w:t>
      </w:r>
      <w:r w:rsidRPr="002C4FAC">
        <w:rPr>
          <w:rFonts w:eastAsia="Times New Roman" w:cs="Arial"/>
        </w:rPr>
        <w:t xml:space="preserve">companies, natural gas companies, and water-works </w:t>
      </w:r>
      <w:r>
        <w:rPr>
          <w:rFonts w:eastAsia="Times New Roman" w:cs="Arial"/>
        </w:rPr>
        <w:t>companies as companies that supply electric services to consumers, supply natural gas for lighting, power, or heating, and supply water through pipes to consumers, respectively</w:t>
      </w:r>
      <w:r w:rsidRPr="002C4FAC">
        <w:rPr>
          <w:rFonts w:eastAsia="Times New Roman" w:cs="Arial"/>
        </w:rPr>
        <w:t xml:space="preserve">.  </w:t>
      </w:r>
      <w:r>
        <w:t xml:space="preserve">The </w:t>
      </w:r>
      <w:r w:rsidR="00D82F1B">
        <w:t>determination whether</w:t>
      </w:r>
      <w:r w:rsidR="009D3E88">
        <w:t xml:space="preserve"> an</w:t>
      </w:r>
      <w:r w:rsidR="00D82F1B">
        <w:t xml:space="preserve"> entity is</w:t>
      </w:r>
      <w:r>
        <w:t xml:space="preserve"> a public utility is separate from the determination whether a public utility is pricing utility services at an excessive price.  </w:t>
      </w:r>
      <w:r w:rsidR="0058223D">
        <w:t>IEU</w:t>
      </w:r>
      <w:r w:rsidR="00F03F2D">
        <w:t>-Ohio</w:t>
      </w:r>
      <w:r w:rsidR="0058223D">
        <w:t>/OHA/OMA Application for Rehearing</w:t>
      </w:r>
      <w:r w:rsidR="00D72889">
        <w:t xml:space="preserve"> at 13-17.</w:t>
      </w:r>
    </w:p>
    <w:p w14:paraId="7D3D2659" w14:textId="24006974" w:rsidR="0086171D" w:rsidRDefault="00E9681D" w:rsidP="00123312">
      <w:pPr>
        <w:spacing w:line="480" w:lineRule="auto"/>
        <w:ind w:firstLine="720"/>
        <w:jc w:val="both"/>
      </w:pPr>
      <w:r>
        <w:lastRenderedPageBreak/>
        <w:t xml:space="preserve">Changing </w:t>
      </w:r>
      <w:r w:rsidR="009E38D1">
        <w:t>the Relative Price</w:t>
      </w:r>
      <w:r>
        <w:t xml:space="preserve"> </w:t>
      </w:r>
      <w:r w:rsidR="00D72889">
        <w:t xml:space="preserve">Test </w:t>
      </w:r>
      <w:r w:rsidR="003725B0">
        <w:t xml:space="preserve">as proposed by the EDUs </w:t>
      </w:r>
      <w:r>
        <w:t xml:space="preserve">does not address the </w:t>
      </w:r>
      <w:r w:rsidR="009E38D1">
        <w:t>Test’s basic flaw</w:t>
      </w:r>
      <w:r w:rsidR="003F79A1">
        <w:t xml:space="preserve">.  </w:t>
      </w:r>
      <w:r w:rsidR="003725B0">
        <w:t xml:space="preserve">Whether the Commission reviews the difference against what the entity is charged </w:t>
      </w:r>
      <w:r w:rsidR="004A3BA3">
        <w:t xml:space="preserve">for a redistributed service </w:t>
      </w:r>
      <w:r w:rsidR="003725B0">
        <w:t xml:space="preserve">or what the entity bills </w:t>
      </w:r>
      <w:r w:rsidR="003F79A1">
        <w:t>the end user</w:t>
      </w:r>
      <w:r w:rsidR="004A3BA3">
        <w:t xml:space="preserve">, the difference does not rationally support a finding that the entity is a </w:t>
      </w:r>
      <w:r w:rsidR="00EB58EB">
        <w:t xml:space="preserve">public </w:t>
      </w:r>
      <w:r w:rsidR="004A3BA3">
        <w:t xml:space="preserve">utility.  </w:t>
      </w:r>
      <w:r w:rsidR="00453CA5" w:rsidRPr="00D86D92">
        <w:t xml:space="preserve">The price </w:t>
      </w:r>
      <w:r w:rsidR="00453CA5">
        <w:t>of the service,</w:t>
      </w:r>
      <w:r w:rsidR="002D539A">
        <w:t xml:space="preserve"> as the Commission has long held, is not reviewed until</w:t>
      </w:r>
      <w:r w:rsidR="003C5336">
        <w:t xml:space="preserve"> the Commission first determines that the entity is performing the functions of a utility under circumstances that demonstrate that utility regulation is in the public interest.</w:t>
      </w:r>
      <w:r w:rsidR="00EB58EB">
        <w:t xml:space="preserve">  </w:t>
      </w:r>
      <w:r w:rsidR="00EB58EB" w:rsidRPr="00EB58EB">
        <w:rPr>
          <w:i/>
        </w:rPr>
        <w:t>Shroyer</w:t>
      </w:r>
      <w:r w:rsidR="00EB58EB">
        <w:t>, at 4.</w:t>
      </w:r>
      <w:r w:rsidR="003C5336">
        <w:t xml:space="preserve">  </w:t>
      </w:r>
    </w:p>
    <w:p w14:paraId="285F9366" w14:textId="74377E3C" w:rsidR="00BC778F" w:rsidRDefault="00BC778F" w:rsidP="00123312">
      <w:pPr>
        <w:spacing w:line="480" w:lineRule="auto"/>
        <w:ind w:firstLine="720"/>
        <w:jc w:val="both"/>
      </w:pPr>
      <w:r>
        <w:t xml:space="preserve">The EDUs’ modification of the Relative Price Test also does not address the unworkability of </w:t>
      </w:r>
      <w:r w:rsidR="001F0437">
        <w:t>a</w:t>
      </w:r>
      <w:r>
        <w:t xml:space="preserve"> price test. </w:t>
      </w:r>
      <w:r w:rsidR="0058223D">
        <w:t xml:space="preserve"> </w:t>
      </w:r>
      <w:r w:rsidR="00FA3041">
        <w:t>IEU</w:t>
      </w:r>
      <w:r w:rsidR="006A6017">
        <w:t>-Ohio</w:t>
      </w:r>
      <w:r w:rsidR="00FA3041">
        <w:t>/OHA/OMA Application for Rehearing</w:t>
      </w:r>
      <w:r w:rsidR="0058223D">
        <w:t xml:space="preserve"> at </w:t>
      </w:r>
      <w:r w:rsidR="004A2B3B">
        <w:t xml:space="preserve">16-17. </w:t>
      </w:r>
      <w:r>
        <w:t xml:space="preserve"> </w:t>
      </w:r>
      <w:r w:rsidR="00AE72BE">
        <w:t xml:space="preserve">Measuring a markup assumes that </w:t>
      </w:r>
      <w:r w:rsidR="00BB6248">
        <w:t>the Commission will have access to billing</w:t>
      </w:r>
      <w:r w:rsidR="00AE362C">
        <w:t xml:space="preserve"> and</w:t>
      </w:r>
      <w:r w:rsidR="00BB6248">
        <w:t xml:space="preserve"> </w:t>
      </w:r>
      <w:r w:rsidR="00AE362C">
        <w:t xml:space="preserve">customer usage </w:t>
      </w:r>
      <w:r w:rsidR="00BB6248">
        <w:t>information.  As</w:t>
      </w:r>
      <w:r w:rsidR="001C7E5C">
        <w:t xml:space="preserve"> commercial</w:t>
      </w:r>
      <w:r w:rsidR="00BB6248">
        <w:t xml:space="preserve"> </w:t>
      </w:r>
      <w:r w:rsidR="00FA3041">
        <w:t>building owners</w:t>
      </w:r>
      <w:r w:rsidR="00BB6248">
        <w:t xml:space="preserve"> explained, the level of detailed </w:t>
      </w:r>
      <w:r w:rsidR="004F35B6">
        <w:t xml:space="preserve">load </w:t>
      </w:r>
      <w:r w:rsidR="00BB6248">
        <w:t xml:space="preserve">information simply may not exist or be too expensive to secure.  </w:t>
      </w:r>
      <w:r w:rsidR="009B5915">
        <w:t xml:space="preserve">Joint Application for Rehearing of the Building Owners and Managers Association of Greater Cleveland and the Building Owners and Managers Association of Ohio at </w:t>
      </w:r>
      <w:r w:rsidR="00BA45F6">
        <w:t>9 (Jan. 6, 2017)</w:t>
      </w:r>
      <w:r w:rsidR="00D9787A">
        <w:t xml:space="preserve"> (“BOMA”)</w:t>
      </w:r>
      <w:r w:rsidR="00BA45F6">
        <w:t>.</w:t>
      </w:r>
      <w:r w:rsidR="00FD2E80">
        <w:t xml:space="preserve">  </w:t>
      </w:r>
      <w:r w:rsidR="004F35B6">
        <w:t>Furthermore</w:t>
      </w:r>
      <w:r w:rsidR="00E20AD7">
        <w:t xml:space="preserve">, </w:t>
      </w:r>
      <w:r w:rsidR="00FD2E80">
        <w:t>securing</w:t>
      </w:r>
      <w:r w:rsidR="004F35B6">
        <w:t xml:space="preserve"> and reviewing</w:t>
      </w:r>
      <w:r w:rsidR="00FD2E80">
        <w:t xml:space="preserve"> the information need</w:t>
      </w:r>
      <w:r w:rsidR="00820B1A">
        <w:t>ed</w:t>
      </w:r>
      <w:r w:rsidR="00FD2E80">
        <w:t xml:space="preserve"> to apply the Relative Price Test</w:t>
      </w:r>
      <w:r w:rsidR="00E20AD7">
        <w:t xml:space="preserve"> will place the Commission in the </w:t>
      </w:r>
      <w:r w:rsidR="00A928DC">
        <w:t xml:space="preserve">intrusive </w:t>
      </w:r>
      <w:r w:rsidR="00E20AD7">
        <w:t xml:space="preserve">position of regulating the relationships between an entity and end users that </w:t>
      </w:r>
      <w:r w:rsidR="00B115F4">
        <w:t xml:space="preserve">the Commission </w:t>
      </w:r>
      <w:r w:rsidR="00E20AD7">
        <w:t xml:space="preserve">chose to avoid over twenty years ago </w:t>
      </w:r>
      <w:r w:rsidR="00A928DC">
        <w:t xml:space="preserve">because neither Ohio law </w:t>
      </w:r>
      <w:r w:rsidR="00233900">
        <w:t>n</w:t>
      </w:r>
      <w:r w:rsidR="00A928DC">
        <w:t>or sound regulatory policy and practice supported the intrusion.</w:t>
      </w:r>
      <w:r w:rsidR="00BA45F6">
        <w:t xml:space="preserve">  </w:t>
      </w:r>
      <w:r w:rsidR="00BA45F6" w:rsidRPr="00BA45F6">
        <w:rPr>
          <w:i/>
        </w:rPr>
        <w:t>Shroyer</w:t>
      </w:r>
      <w:r w:rsidR="001C7E5C">
        <w:t>, at 5</w:t>
      </w:r>
      <w:r w:rsidR="00BA45F6">
        <w:t>.</w:t>
      </w:r>
    </w:p>
    <w:p w14:paraId="40B00AB6" w14:textId="39A3F3D5" w:rsidR="00765F03" w:rsidRDefault="00765F03" w:rsidP="00123312">
      <w:pPr>
        <w:spacing w:line="480" w:lineRule="auto"/>
        <w:ind w:firstLine="720"/>
        <w:jc w:val="both"/>
      </w:pPr>
      <w:r>
        <w:t xml:space="preserve">The facts in </w:t>
      </w:r>
      <w:r w:rsidR="00362B13" w:rsidRPr="00DF73BC">
        <w:rPr>
          <w:i/>
        </w:rPr>
        <w:t>Shroyer</w:t>
      </w:r>
      <w:r>
        <w:t xml:space="preserve"> provide a</w:t>
      </w:r>
      <w:r w:rsidR="001D6F00">
        <w:t>n additional</w:t>
      </w:r>
      <w:r>
        <w:t xml:space="preserve"> demonstration of the inappropriateness of using a price </w:t>
      </w:r>
      <w:r w:rsidR="00EC3FBE">
        <w:t>to determine</w:t>
      </w:r>
      <w:r>
        <w:t xml:space="preserve"> utility status.  In </w:t>
      </w:r>
      <w:r w:rsidRPr="00DF73BC">
        <w:rPr>
          <w:i/>
        </w:rPr>
        <w:t>Shroyer</w:t>
      </w:r>
      <w:r>
        <w:t xml:space="preserve">, the landlord secured water service from the adjacent municipal utility at a commercial rate and resold it at the municipal utility’s residential rate.  If the customers served by the landlord had been charged the </w:t>
      </w:r>
      <w:r>
        <w:lastRenderedPageBreak/>
        <w:t xml:space="preserve">applicable utility rate, they would have paid an even higher charge because the trailer park was outside the municipal limits and the municipal utility charged </w:t>
      </w:r>
      <w:r w:rsidR="00B115F4">
        <w:t>non-residents</w:t>
      </w:r>
      <w:r>
        <w:t xml:space="preserve"> a higher rate.  </w:t>
      </w:r>
      <w:r w:rsidRPr="00457AD1">
        <w:rPr>
          <w:i/>
        </w:rPr>
        <w:t>Shroyer</w:t>
      </w:r>
      <w:r w:rsidR="00606CFF">
        <w:rPr>
          <w:i/>
        </w:rPr>
        <w:t>,</w:t>
      </w:r>
      <w:r>
        <w:t xml:space="preserve"> at </w:t>
      </w:r>
      <w:r w:rsidR="00914814">
        <w:t>2</w:t>
      </w:r>
      <w:r>
        <w:t xml:space="preserve">.  </w:t>
      </w:r>
      <w:r w:rsidR="00A208C0">
        <w:t>Under the EDUs’ proposed modification, the landlord would have failed the Relative Price Test because it charged the end user mo</w:t>
      </w:r>
      <w:r w:rsidR="00C279F4">
        <w:t xml:space="preserve">re than </w:t>
      </w:r>
      <w:r w:rsidR="00F06B35">
        <w:t xml:space="preserve">the landlord’s </w:t>
      </w:r>
      <w:r w:rsidR="00C279F4">
        <w:t>cost of the water, but end user prices would have increased i</w:t>
      </w:r>
      <w:r>
        <w:t>f the landlord had been required to suspend service and allow the service to de</w:t>
      </w:r>
      <w:r w:rsidR="00C279F4">
        <w:t xml:space="preserve">fault to the incumbent utility.  </w:t>
      </w:r>
    </w:p>
    <w:p w14:paraId="6BCCFB45" w14:textId="20B57FA0" w:rsidR="00C53405" w:rsidRDefault="00B80603" w:rsidP="00123312">
      <w:pPr>
        <w:spacing w:line="480" w:lineRule="auto"/>
        <w:ind w:firstLine="720"/>
        <w:jc w:val="both"/>
      </w:pPr>
      <w:r>
        <w:t>Further, a price te</w:t>
      </w:r>
      <w:r w:rsidR="00860A32">
        <w:t xml:space="preserve">st is not justified based on an assumption that </w:t>
      </w:r>
      <w:r>
        <w:t xml:space="preserve">Commission regulation is inherently superior to </w:t>
      </w:r>
      <w:r w:rsidR="00E735A3">
        <w:t>alternatives such as private contracts</w:t>
      </w:r>
      <w:r>
        <w:t xml:space="preserve">. </w:t>
      </w:r>
      <w:r w:rsidR="00E735A3">
        <w:t xml:space="preserve"> As IEU-Ohio/OHA/OMA and BOMA </w:t>
      </w:r>
      <w:r w:rsidR="00D05026">
        <w:t>demonstrated</w:t>
      </w:r>
      <w:r w:rsidR="00030985">
        <w:t xml:space="preserve"> in their comments and applications for rehearing</w:t>
      </w:r>
      <w:r w:rsidR="00E735A3">
        <w:t xml:space="preserve">, various commercial arrangements are not subject to Commission regulation, </w:t>
      </w:r>
      <w:r w:rsidR="00B207A4">
        <w:t>there is not a demonstrated need for regulation</w:t>
      </w:r>
      <w:r w:rsidR="00030985">
        <w:t xml:space="preserve"> of those arrangements</w:t>
      </w:r>
      <w:r w:rsidR="00B207A4">
        <w:t xml:space="preserve">, </w:t>
      </w:r>
      <w:r w:rsidR="00E735A3">
        <w:t>and the application of regulation would impose unwarranted costs on the end users</w:t>
      </w:r>
      <w:r w:rsidR="00047209">
        <w:t xml:space="preserve"> without any demonstration that the public interest would be improved</w:t>
      </w:r>
      <w:r w:rsidR="00E735A3">
        <w:t xml:space="preserve">. </w:t>
      </w:r>
      <w:r>
        <w:t xml:space="preserve"> </w:t>
      </w:r>
    </w:p>
    <w:p w14:paraId="753A29A9" w14:textId="40317DD3" w:rsidR="003835FD" w:rsidRDefault="003835FD">
      <w:pPr>
        <w:pStyle w:val="Heading1"/>
      </w:pPr>
      <w:bookmarkStart w:id="17" w:name="_Toc471818838"/>
      <w:bookmarkStart w:id="18" w:name="_Toc471983852"/>
      <w:bookmarkStart w:id="19" w:name="_Toc472409848"/>
      <w:bookmarkStart w:id="20" w:name="_Toc472412904"/>
      <w:r>
        <w:t xml:space="preserve">The Commission should reject </w:t>
      </w:r>
      <w:r w:rsidR="00154E8B">
        <w:t xml:space="preserve">the </w:t>
      </w:r>
      <w:r>
        <w:t>recommendation</w:t>
      </w:r>
      <w:r w:rsidR="00154E8B">
        <w:t>s</w:t>
      </w:r>
      <w:r>
        <w:t xml:space="preserve"> that the Commission </w:t>
      </w:r>
      <w:r w:rsidR="00154E8B">
        <w:t>should make summary findings concerning the status of certain parties or activities</w:t>
      </w:r>
      <w:bookmarkEnd w:id="17"/>
      <w:bookmarkEnd w:id="18"/>
      <w:bookmarkEnd w:id="19"/>
      <w:bookmarkEnd w:id="20"/>
    </w:p>
    <w:p w14:paraId="2F6C3DA1" w14:textId="395BFDB7" w:rsidR="007103BF" w:rsidRDefault="000A2A2C">
      <w:pPr>
        <w:spacing w:line="480" w:lineRule="auto"/>
        <w:ind w:firstLine="720"/>
        <w:jc w:val="both"/>
      </w:pPr>
      <w:r>
        <w:t xml:space="preserve">In </w:t>
      </w:r>
      <w:r w:rsidR="005131E5">
        <w:t xml:space="preserve">OCC’s </w:t>
      </w:r>
      <w:r>
        <w:t>first</w:t>
      </w:r>
      <w:r w:rsidR="00E0701C">
        <w:t xml:space="preserve"> </w:t>
      </w:r>
      <w:r>
        <w:t xml:space="preserve">assignment of error, </w:t>
      </w:r>
      <w:r w:rsidR="005131E5">
        <w:t xml:space="preserve">it </w:t>
      </w:r>
      <w:r>
        <w:t xml:space="preserve">argues that the Commission erred by failing to summarily conclude that “certain submeterers” </w:t>
      </w:r>
      <w:r w:rsidR="00875A2D">
        <w:t>are public utilities</w:t>
      </w:r>
      <w:r w:rsidR="00D562EC">
        <w:t xml:space="preserve">.  </w:t>
      </w:r>
      <w:r w:rsidR="00B72FD1">
        <w:t xml:space="preserve">OCC Application for Rehearing at 2-3.  </w:t>
      </w:r>
      <w:r w:rsidR="00A054A7">
        <w:t xml:space="preserve">Coming at the same question from the other direction, </w:t>
      </w:r>
      <w:r w:rsidR="00777AE2">
        <w:t xml:space="preserve">Nationwide Energy Partners </w:t>
      </w:r>
      <w:r w:rsidR="00A054A7">
        <w:t>seeks rehearing on the basis</w:t>
      </w:r>
      <w:r w:rsidR="008240B3">
        <w:t xml:space="preserve"> that the Commission should summarily treat submetering companies as not subject to Commission jurisdiction.  </w:t>
      </w:r>
      <w:r w:rsidR="00EE5188">
        <w:t xml:space="preserve">NEP </w:t>
      </w:r>
      <w:r w:rsidR="008240B3">
        <w:t>Application for Rehearing</w:t>
      </w:r>
      <w:r w:rsidR="00353CF5">
        <w:t xml:space="preserve"> at 1 (Assignments of Error 1 and 2) and Memorandum in Support at 2, </w:t>
      </w:r>
      <w:r w:rsidR="00183E10">
        <w:t>4-14</w:t>
      </w:r>
      <w:r w:rsidR="00353CF5">
        <w:t xml:space="preserve"> (Jan. 6, 2017).  </w:t>
      </w:r>
      <w:r w:rsidR="00580D93">
        <w:t xml:space="preserve">The Commission should reject </w:t>
      </w:r>
      <w:r w:rsidR="006C1A9F">
        <w:t xml:space="preserve">the </w:t>
      </w:r>
      <w:r w:rsidR="00580D93">
        <w:t xml:space="preserve">assignments of error </w:t>
      </w:r>
      <w:r w:rsidR="006C1A9F">
        <w:t xml:space="preserve">of OCC and Nationwide Energy Partners </w:t>
      </w:r>
      <w:r w:rsidR="00580D93">
        <w:t xml:space="preserve">because presumptively concluding that </w:t>
      </w:r>
      <w:r w:rsidR="006C1A9F">
        <w:t>an entity is or is</w:t>
      </w:r>
      <w:r w:rsidR="00183E10">
        <w:t xml:space="preserve"> not </w:t>
      </w:r>
      <w:r w:rsidR="006C1A9F">
        <w:lastRenderedPageBreak/>
        <w:t xml:space="preserve">a </w:t>
      </w:r>
      <w:r w:rsidR="00580D93">
        <w:t xml:space="preserve">public </w:t>
      </w:r>
      <w:r w:rsidR="006C1A9F">
        <w:t xml:space="preserve">utility </w:t>
      </w:r>
      <w:r w:rsidR="00580D93">
        <w:t>would violate</w:t>
      </w:r>
      <w:r w:rsidR="00875A2D">
        <w:t xml:space="preserve"> </w:t>
      </w:r>
      <w:r w:rsidR="00786F07">
        <w:t>the rights of persons to due process in Commission proceedings</w:t>
      </w:r>
      <w:r w:rsidR="00613E92">
        <w:t xml:space="preserve"> and Commission precedent</w:t>
      </w:r>
      <w:r w:rsidR="00786F07">
        <w:t>.</w:t>
      </w:r>
    </w:p>
    <w:p w14:paraId="65555F6D" w14:textId="6FF13762" w:rsidR="00D93A87" w:rsidRDefault="00786F07" w:rsidP="00123312">
      <w:pPr>
        <w:spacing w:line="480" w:lineRule="auto"/>
        <w:jc w:val="both"/>
        <w:rPr>
          <w:rFonts w:eastAsia="Times New Roman" w:cs="Arial"/>
        </w:rPr>
      </w:pPr>
      <w:r>
        <w:tab/>
        <w:t>The determination of an entity’s status as a public utility is a mi</w:t>
      </w:r>
      <w:r w:rsidR="0085206C">
        <w:t>xed question of law and fact</w:t>
      </w:r>
      <w:r w:rsidR="005B38D8">
        <w:t>,</w:t>
      </w:r>
      <w:r w:rsidR="0085206C">
        <w:t xml:space="preserve">  </w:t>
      </w:r>
      <w:r w:rsidR="0085206C" w:rsidRPr="002C4FAC">
        <w:rPr>
          <w:rFonts w:eastAsia="Times New Roman" w:cs="Arial"/>
          <w:i/>
          <w:iCs/>
        </w:rPr>
        <w:t>A &amp; B Refuse Disposers, Inc. v. Board of Ravenna Twp. Trustees</w:t>
      </w:r>
      <w:r w:rsidR="0085206C" w:rsidRPr="002C4FAC">
        <w:rPr>
          <w:rFonts w:eastAsia="Times New Roman" w:cs="Arial"/>
        </w:rPr>
        <w:t>,</w:t>
      </w:r>
      <w:r w:rsidR="00B41960">
        <w:rPr>
          <w:rFonts w:eastAsia="Times New Roman" w:cs="Arial"/>
        </w:rPr>
        <w:t xml:space="preserve"> 64 Ohio St.3d 385, 387 (1992)</w:t>
      </w:r>
      <w:r w:rsidR="005B38D8">
        <w:rPr>
          <w:rFonts w:eastAsia="Times New Roman" w:cs="Arial"/>
        </w:rPr>
        <w:t>, and</w:t>
      </w:r>
      <w:r>
        <w:t xml:space="preserve"> </w:t>
      </w:r>
      <w:r w:rsidR="005B38D8">
        <w:t>the determination of a</w:t>
      </w:r>
      <w:r w:rsidR="00853E1E">
        <w:t>n entity’s status as a public utility may be presented to the Commission in different ways.</w:t>
      </w:r>
      <w:r>
        <w:t xml:space="preserve">  </w:t>
      </w:r>
      <w:r w:rsidR="00853E1E">
        <w:t xml:space="preserve">For example, </w:t>
      </w:r>
      <w:r w:rsidR="000C330E">
        <w:rPr>
          <w:rFonts w:eastAsia="Times New Roman" w:cs="Arial"/>
        </w:rPr>
        <w:t xml:space="preserve">the Commission </w:t>
      </w:r>
      <w:r w:rsidR="000C330E">
        <w:t>may open an investigation to determine the legal status of the entity if</w:t>
      </w:r>
      <w:r>
        <w:t xml:space="preserve"> </w:t>
      </w:r>
      <w:r w:rsidR="000C330E">
        <w:t>it</w:t>
      </w:r>
      <w:r>
        <w:t xml:space="preserve"> learns that an entity is operating in a manner that suggest</w:t>
      </w:r>
      <w:r w:rsidR="00946EBC">
        <w:t>s</w:t>
      </w:r>
      <w:r>
        <w:t xml:space="preserve"> that it is a utility</w:t>
      </w:r>
      <w:r w:rsidR="00946EBC">
        <w:t xml:space="preserve">.  </w:t>
      </w:r>
      <w:r w:rsidR="00A50AEA" w:rsidRPr="00D962AD">
        <w:rPr>
          <w:i/>
        </w:rPr>
        <w:t>See, e.g., In the Matter of the Commission-Ordered Investigation of Island Productions, LLC</w:t>
      </w:r>
      <w:r w:rsidR="00A50AEA">
        <w:t>, Case No. 16-1100-WS-COI, Staff Report of Investigation Submitted on Behalf of the Staff of the Public Utilities Commission of Ohio (May 25, 2016).</w:t>
      </w:r>
      <w:r w:rsidR="00946EBC">
        <w:t xml:space="preserve">  </w:t>
      </w:r>
      <w:r w:rsidR="000C330E">
        <w:t>An</w:t>
      </w:r>
      <w:r w:rsidR="00946EBC">
        <w:t xml:space="preserve"> affected customer</w:t>
      </w:r>
      <w:r w:rsidR="000C330E">
        <w:t xml:space="preserve"> also</w:t>
      </w:r>
      <w:r w:rsidR="00946EBC">
        <w:t xml:space="preserve"> may seek a determination that an entity is providing utility services without complying with the requirements of Ohio law through a complaint case.  </w:t>
      </w:r>
      <w:r w:rsidR="00D2526E" w:rsidRPr="00450B37">
        <w:rPr>
          <w:i/>
        </w:rPr>
        <w:t>Whitt v. Nationwide Energy Partners, LLC</w:t>
      </w:r>
      <w:r w:rsidR="00D2526E">
        <w:t>, Case No. 15-697-EL-CSS, Complaint (Apr. 10, 2015).</w:t>
      </w:r>
      <w:r w:rsidR="00F6742A">
        <w:t xml:space="preserve">  </w:t>
      </w:r>
      <w:r w:rsidR="005B4E98">
        <w:t xml:space="preserve">Alternatively, an entity may seek a determination that it is not a public utility subject to the Commission’s jurisdiction.  </w:t>
      </w:r>
      <w:r w:rsidR="005B4E98" w:rsidRPr="00853E1E">
        <w:rPr>
          <w:i/>
        </w:rPr>
        <w:t>See, e.g.,</w:t>
      </w:r>
      <w:r w:rsidR="005B4E98">
        <w:t xml:space="preserve"> </w:t>
      </w:r>
      <w:r w:rsidR="005B4E98" w:rsidRPr="002C4FAC">
        <w:rPr>
          <w:rFonts w:eastAsia="Times New Roman" w:cs="Arial"/>
          <w:i/>
        </w:rPr>
        <w:t>In the Matter of the Application of Hissong-Kenworth, Inc. Requesting a Declaration Regarding its Public Utility Status</w:t>
      </w:r>
      <w:r w:rsidR="005B4E98" w:rsidRPr="002C4FAC">
        <w:rPr>
          <w:rFonts w:eastAsia="Times New Roman" w:cs="Arial"/>
        </w:rPr>
        <w:t xml:space="preserve">, Case No. 84-565-ST-ARJ, Entry at 1 (May 22, 1984).  </w:t>
      </w:r>
    </w:p>
    <w:p w14:paraId="4A5E1CF6" w14:textId="3C66B24F" w:rsidR="003F19F7" w:rsidRDefault="00EE75E2" w:rsidP="00D93A87">
      <w:pPr>
        <w:spacing w:line="480" w:lineRule="auto"/>
        <w:ind w:firstLine="720"/>
        <w:jc w:val="both"/>
      </w:pPr>
      <w:r>
        <w:t xml:space="preserve">As the recent review of Nationwide Energy Partners has demonstrated, </w:t>
      </w:r>
      <w:r w:rsidR="00860D2C">
        <w:t>the determination whether an entity is a public utility subject to Commission jurisdiction may be a contested issue</w:t>
      </w:r>
      <w:r>
        <w:t xml:space="preserve">. </w:t>
      </w:r>
      <w:r w:rsidR="00450B37">
        <w:t xml:space="preserve"> </w:t>
      </w:r>
      <w:r w:rsidR="00F6742A">
        <w:t xml:space="preserve">If the status of the entity is contested, </w:t>
      </w:r>
      <w:r w:rsidR="00962E94">
        <w:t xml:space="preserve">hearing rights attach and </w:t>
      </w:r>
      <w:r w:rsidR="00F6742A">
        <w:t xml:space="preserve">the Commission is statutorily bound to address the matter on the record before it.  R.C. </w:t>
      </w:r>
      <w:r w:rsidR="00962E94">
        <w:t xml:space="preserve">4903.02 to 4903.09.  </w:t>
      </w:r>
      <w:r w:rsidR="00CA0573">
        <w:t xml:space="preserve">The positions urged by OCC and </w:t>
      </w:r>
      <w:r w:rsidR="00DD1ABE">
        <w:t>Nationwide Energy Partners</w:t>
      </w:r>
      <w:r w:rsidR="00CA0573">
        <w:t xml:space="preserve"> </w:t>
      </w:r>
      <w:r w:rsidR="003F19F7">
        <w:t xml:space="preserve">that </w:t>
      </w:r>
      <w:r w:rsidR="003F19F7">
        <w:lastRenderedPageBreak/>
        <w:t xml:space="preserve">the Commission can </w:t>
      </w:r>
      <w:r w:rsidR="00CA0573">
        <w:t xml:space="preserve">summarily </w:t>
      </w:r>
      <w:r w:rsidR="003F19F7">
        <w:t xml:space="preserve">conclude </w:t>
      </w:r>
      <w:r w:rsidR="00161D9C">
        <w:t xml:space="preserve">whether </w:t>
      </w:r>
      <w:r w:rsidR="003F19F7">
        <w:t xml:space="preserve">certain </w:t>
      </w:r>
      <w:r w:rsidR="00D2526E">
        <w:t>entities</w:t>
      </w:r>
      <w:r w:rsidR="003F19F7">
        <w:t xml:space="preserve"> are subject to its jurisdiction without reference to the </w:t>
      </w:r>
      <w:r w:rsidR="00617956">
        <w:t xml:space="preserve">procedural </w:t>
      </w:r>
      <w:r w:rsidR="003F19F7">
        <w:t xml:space="preserve">rights set out in Ohio law would constitute a fundamental violation of </w:t>
      </w:r>
      <w:r w:rsidR="00652D25">
        <w:t xml:space="preserve">those </w:t>
      </w:r>
      <w:r w:rsidR="003F19F7">
        <w:t xml:space="preserve">statutory rights.  </w:t>
      </w:r>
    </w:p>
    <w:p w14:paraId="6F4F8ECB" w14:textId="1994D153" w:rsidR="00337B69" w:rsidRDefault="001127E2" w:rsidP="00436BFA">
      <w:pPr>
        <w:pStyle w:val="Heading1"/>
      </w:pPr>
      <w:bookmarkStart w:id="21" w:name="_Toc472409849"/>
      <w:bookmarkStart w:id="22" w:name="_Toc472412905"/>
      <w:r>
        <w:t xml:space="preserve">The Commission should </w:t>
      </w:r>
      <w:r w:rsidR="0028704D">
        <w:t xml:space="preserve">reject </w:t>
      </w:r>
      <w:r>
        <w:t xml:space="preserve">OCC’s Claim that the Commission misplaced the burden of proof on the </w:t>
      </w:r>
      <w:r w:rsidR="00246DAB">
        <w:t>consumers to raise the issue of an entity’s status as a public utility</w:t>
      </w:r>
      <w:bookmarkEnd w:id="21"/>
      <w:bookmarkEnd w:id="22"/>
    </w:p>
    <w:p w14:paraId="3E431905" w14:textId="3EDA5597" w:rsidR="00337B69" w:rsidRDefault="00337B69" w:rsidP="00D93A87">
      <w:pPr>
        <w:spacing w:line="480" w:lineRule="auto"/>
        <w:ind w:firstLine="720"/>
        <w:jc w:val="both"/>
      </w:pPr>
      <w:r>
        <w:t xml:space="preserve">In its second assignment of error, OCC seeks rehearing because it claims that the Commission erred by placing the burden on consumers to raise the issue of utility status on a case-by-case basis.  OCC Application for Rehearing at 3.  </w:t>
      </w:r>
    </w:p>
    <w:p w14:paraId="0223F675" w14:textId="4B69C431" w:rsidR="00C87F7F" w:rsidRDefault="00C87F7F" w:rsidP="00123312">
      <w:pPr>
        <w:spacing w:line="480" w:lineRule="auto"/>
        <w:jc w:val="both"/>
      </w:pPr>
      <w:r>
        <w:tab/>
        <w:t xml:space="preserve">If a </w:t>
      </w:r>
      <w:r w:rsidR="00652D25">
        <w:t xml:space="preserve">customer of an entity </w:t>
      </w:r>
      <w:r>
        <w:t xml:space="preserve">files a complaint alleging that </w:t>
      </w:r>
      <w:r w:rsidR="00652D25">
        <w:t>an entity</w:t>
      </w:r>
      <w:r>
        <w:t xml:space="preserve"> is operating unlawfully as a utility, the customer has the burden of proving by a preponderance of evidence that the facts it is alleging are true.</w:t>
      </w:r>
      <w:r w:rsidR="00A849BA">
        <w:t xml:space="preserve">  </w:t>
      </w:r>
      <w:r w:rsidR="001536E8" w:rsidRPr="008C0D05">
        <w:rPr>
          <w:i/>
        </w:rPr>
        <w:t>City of Reynoldsburg, Ohio v. Columbus Southern Power Co</w:t>
      </w:r>
      <w:r w:rsidR="001536E8">
        <w:t xml:space="preserve">., Case No. 08-846-EL-CSS, Opinion and Order at </w:t>
      </w:r>
      <w:r w:rsidR="001D203D">
        <w:t xml:space="preserve">3 </w:t>
      </w:r>
      <w:r w:rsidR="001536E8">
        <w:t>(Apr. 5, 2011)</w:t>
      </w:r>
      <w:r w:rsidR="00DA2EA6">
        <w:t xml:space="preserve"> (burden of proof rests on the complainant)</w:t>
      </w:r>
      <w:r w:rsidR="001536E8">
        <w:t xml:space="preserve">.  </w:t>
      </w:r>
      <w:r w:rsidR="00A849BA">
        <w:t>That burden rested with the customer before the Finding and Order</w:t>
      </w:r>
      <w:r w:rsidR="0021641E">
        <w:t>,</w:t>
      </w:r>
      <w:r w:rsidR="00A849BA">
        <w:t xml:space="preserve"> and it is not changed.  </w:t>
      </w:r>
      <w:r w:rsidR="00B155A0">
        <w:t xml:space="preserve">Therefore, the Commission should deny rehearing of OCC’s second assignment of error because it misstates the applicable law.  </w:t>
      </w:r>
    </w:p>
    <w:p w14:paraId="58CCC2F4" w14:textId="36153EF3" w:rsidR="00EE45B2" w:rsidRDefault="00EE45B2">
      <w:pPr>
        <w:pStyle w:val="Heading1"/>
      </w:pPr>
      <w:bookmarkStart w:id="23" w:name="_Toc471818839"/>
      <w:bookmarkStart w:id="24" w:name="_Toc471983853"/>
      <w:bookmarkStart w:id="25" w:name="_Toc472409850"/>
      <w:bookmarkStart w:id="26" w:name="_Toc472412906"/>
      <w:r>
        <w:t>OCC’s recommendation that the Commission impose on ohio’s distribution utilities</w:t>
      </w:r>
      <w:r w:rsidR="00177156">
        <w:t xml:space="preserve"> a duty to adopt tariffs to </w:t>
      </w:r>
      <w:r w:rsidR="00C747C7">
        <w:t xml:space="preserve">restrict resale of utility services </w:t>
      </w:r>
      <w:r w:rsidR="002B4160">
        <w:t xml:space="preserve">must conform </w:t>
      </w:r>
      <w:r w:rsidR="00941EAA">
        <w:t>to</w:t>
      </w:r>
      <w:r w:rsidR="00C747C7">
        <w:t xml:space="preserve"> R.C. 4928.40(D)</w:t>
      </w:r>
      <w:r w:rsidR="00941EAA">
        <w:t xml:space="preserve"> and state policy</w:t>
      </w:r>
      <w:bookmarkEnd w:id="23"/>
      <w:bookmarkEnd w:id="24"/>
      <w:bookmarkEnd w:id="25"/>
      <w:bookmarkEnd w:id="26"/>
    </w:p>
    <w:p w14:paraId="1DD34880" w14:textId="5573317F" w:rsidR="009D2AA2" w:rsidRDefault="0088685B" w:rsidP="00123312">
      <w:pPr>
        <w:spacing w:line="480" w:lineRule="auto"/>
        <w:ind w:firstLine="720"/>
        <w:jc w:val="both"/>
      </w:pPr>
      <w:r>
        <w:t xml:space="preserve">In its </w:t>
      </w:r>
      <w:r w:rsidR="007D144C">
        <w:t xml:space="preserve">third </w:t>
      </w:r>
      <w:r>
        <w:t>assignment of error, OCC argues that the Commission may indirectly regulate submeterers by requiring “public utilities’ tariffs (or requiring tariffs to be enforced) to ban abusive submetering practices</w:t>
      </w:r>
      <w:r w:rsidR="00F434C7">
        <w:t>.”  OCC Application for Rehearing at 9.</w:t>
      </w:r>
      <w:r w:rsidR="00F17D2C">
        <w:rPr>
          <w:rStyle w:val="FootnoteReference"/>
        </w:rPr>
        <w:footnoteReference w:id="3"/>
      </w:r>
      <w:r w:rsidR="00F434C7">
        <w:t xml:space="preserve">  According to OCC, its recommendation is consistent with the Commission’s general </w:t>
      </w:r>
      <w:r w:rsidR="00F434C7">
        <w:lastRenderedPageBreak/>
        <w:t xml:space="preserve">authority to supervise public utilities under R.C. 4905.06.  </w:t>
      </w:r>
      <w:r w:rsidR="00F434C7" w:rsidRPr="008C0D05">
        <w:rPr>
          <w:i/>
        </w:rPr>
        <w:t>Id</w:t>
      </w:r>
      <w:r w:rsidR="00F434C7">
        <w:t>.</w:t>
      </w:r>
      <w:r w:rsidR="007D144C" w:rsidRPr="007D144C">
        <w:t xml:space="preserve"> </w:t>
      </w:r>
      <w:r w:rsidR="00A31253">
        <w:t xml:space="preserve"> </w:t>
      </w:r>
      <w:r w:rsidR="002805BD">
        <w:t>OCC, however, fails to temper its recommendation</w:t>
      </w:r>
      <w:r w:rsidR="0089157D">
        <w:t xml:space="preserve"> to conform to statutory requirements and state public policy</w:t>
      </w:r>
      <w:r w:rsidR="002805BD">
        <w:t xml:space="preserve">.  </w:t>
      </w:r>
    </w:p>
    <w:p w14:paraId="3F8C4568" w14:textId="1EFF1EE6" w:rsidR="00F434C7" w:rsidRDefault="00A31224" w:rsidP="00123312">
      <w:pPr>
        <w:spacing w:line="480" w:lineRule="auto"/>
        <w:ind w:firstLine="720"/>
        <w:jc w:val="both"/>
        <w:rPr>
          <w:rFonts w:cs="Arial"/>
          <w:color w:val="373739"/>
        </w:rPr>
      </w:pPr>
      <w:r>
        <w:t>R.C. 4928.40(D) provides that “</w:t>
      </w:r>
      <w:r w:rsidRPr="004F189A">
        <w:t>no electric utility in this state shall prohibit the resale of electric generation service or impose unreasonable or discriminatory conditions or limitations on the resale of electric generation service.</w:t>
      </w:r>
      <w:r>
        <w:t xml:space="preserve">”  In </w:t>
      </w:r>
      <w:r w:rsidRPr="00505B1C">
        <w:rPr>
          <w:i/>
        </w:rPr>
        <w:t>Brooks</w:t>
      </w:r>
      <w:r>
        <w:t xml:space="preserve">, a case decided before the restructuring of electric services in 1999 legislation, moreover, the Commission struck down as against public policy restrictions on resale contained in a Toledo Edison </w:t>
      </w:r>
      <w:r w:rsidR="00724533">
        <w:t>Co</w:t>
      </w:r>
      <w:r w:rsidR="00821479">
        <w:t>mpany</w:t>
      </w:r>
      <w:r w:rsidR="00724533">
        <w:t xml:space="preserve"> </w:t>
      </w:r>
      <w:r>
        <w:t xml:space="preserve">tariff.  </w:t>
      </w:r>
      <w:r w:rsidRPr="002C4FAC">
        <w:rPr>
          <w:rFonts w:eastAsia="Times New Roman" w:cs="Arial"/>
          <w:i/>
          <w:iCs/>
        </w:rPr>
        <w:t>Brooks v. Toledo Edison Co.</w:t>
      </w:r>
      <w:r w:rsidRPr="002C4FAC">
        <w:rPr>
          <w:rFonts w:eastAsia="Times New Roman" w:cs="Arial"/>
        </w:rPr>
        <w:t>,</w:t>
      </w:r>
      <w:r w:rsidRPr="002C4FAC">
        <w:rPr>
          <w:rFonts w:eastAsia="Times New Roman" w:cs="Arial"/>
          <w:i/>
          <w:iCs/>
        </w:rPr>
        <w:t xml:space="preserve"> </w:t>
      </w:r>
      <w:r w:rsidRPr="002C4FAC">
        <w:rPr>
          <w:rFonts w:eastAsia="Times New Roman" w:cs="Arial"/>
        </w:rPr>
        <w:t>Case No. 94-1987</w:t>
      </w:r>
      <w:r>
        <w:rPr>
          <w:rFonts w:eastAsia="Times New Roman" w:cs="Arial"/>
        </w:rPr>
        <w:t>-EL-CSS, Entry at 13-17</w:t>
      </w:r>
      <w:r w:rsidRPr="002C4FAC">
        <w:rPr>
          <w:rFonts w:eastAsia="Times New Roman" w:cs="Arial"/>
        </w:rPr>
        <w:t xml:space="preserve"> (May 8, 1996)</w:t>
      </w:r>
      <w:r>
        <w:rPr>
          <w:rFonts w:eastAsia="Times New Roman" w:cs="Arial"/>
        </w:rPr>
        <w:t xml:space="preserve">.  </w:t>
      </w:r>
      <w:r w:rsidR="006679E4">
        <w:rPr>
          <w:rFonts w:eastAsia="Times New Roman" w:cs="Arial"/>
        </w:rPr>
        <w:t xml:space="preserve">The policy expressed in </w:t>
      </w:r>
      <w:r w:rsidR="006679E4" w:rsidRPr="00C420DD">
        <w:rPr>
          <w:rFonts w:eastAsia="Times New Roman" w:cs="Arial"/>
          <w:i/>
        </w:rPr>
        <w:t>Brooks</w:t>
      </w:r>
      <w:r w:rsidR="006679E4">
        <w:rPr>
          <w:rFonts w:eastAsia="Times New Roman" w:cs="Arial"/>
        </w:rPr>
        <w:t xml:space="preserve"> is also restated in the state electric services policy:  </w:t>
      </w:r>
      <w:r w:rsidR="00C47284">
        <w:rPr>
          <w:rFonts w:eastAsia="Times New Roman" w:cs="Arial"/>
        </w:rPr>
        <w:t>“It is the policy of this state to … ensure diversity of electricity supplies</w:t>
      </w:r>
      <w:r w:rsidR="008C3117">
        <w:rPr>
          <w:rFonts w:eastAsia="Times New Roman" w:cs="Arial"/>
        </w:rPr>
        <w:t xml:space="preserve"> and suppliers</w:t>
      </w:r>
      <w:r w:rsidR="00C47284">
        <w:rPr>
          <w:rFonts w:eastAsia="Times New Roman" w:cs="Arial"/>
        </w:rPr>
        <w:t xml:space="preserve">, by giving consumers effective choices over the </w:t>
      </w:r>
      <w:r w:rsidR="00687DFB">
        <w:rPr>
          <w:rFonts w:eastAsia="Times New Roman" w:cs="Arial"/>
        </w:rPr>
        <w:t>selection</w:t>
      </w:r>
      <w:r w:rsidR="00C47284">
        <w:rPr>
          <w:rFonts w:eastAsia="Times New Roman" w:cs="Arial"/>
        </w:rPr>
        <w:t xml:space="preserve"> of those supplies and suppliers.”  R.C. 4928.02(C).  The State has adopted a similar policy in regard </w:t>
      </w:r>
      <w:r w:rsidR="00687DFB">
        <w:rPr>
          <w:rFonts w:eastAsia="Times New Roman" w:cs="Arial"/>
        </w:rPr>
        <w:t>to the provision of natural gas.  R.C. 4929.02(</w:t>
      </w:r>
      <w:r w:rsidR="00C33B55">
        <w:rPr>
          <w:rFonts w:eastAsia="Times New Roman" w:cs="Arial"/>
        </w:rPr>
        <w:t>A</w:t>
      </w:r>
      <w:r w:rsidR="00687DFB">
        <w:rPr>
          <w:rFonts w:eastAsia="Times New Roman" w:cs="Arial"/>
        </w:rPr>
        <w:t>)</w:t>
      </w:r>
      <w:r w:rsidR="00C33B55">
        <w:rPr>
          <w:rFonts w:eastAsia="Times New Roman" w:cs="Arial"/>
        </w:rPr>
        <w:t>(3)</w:t>
      </w:r>
      <w:r w:rsidR="00687DFB">
        <w:rPr>
          <w:rFonts w:eastAsia="Times New Roman" w:cs="Arial"/>
        </w:rPr>
        <w:t xml:space="preserve">.  </w:t>
      </w:r>
      <w:r w:rsidR="00121344">
        <w:rPr>
          <w:rFonts w:eastAsia="Times New Roman" w:cs="Arial"/>
        </w:rPr>
        <w:t xml:space="preserve">Thus, </w:t>
      </w:r>
      <w:r w:rsidR="00121344">
        <w:rPr>
          <w:rFonts w:cs="Arial"/>
          <w:color w:val="373739"/>
        </w:rPr>
        <w:t xml:space="preserve">OCC’s recommendation that public utilities modify their tariffs to impose resale restrictions must be tempered by the requirement that any restrictions comply with Ohio law and policy.  </w:t>
      </w:r>
    </w:p>
    <w:p w14:paraId="7C7A7B20" w14:textId="77777777" w:rsidR="00D1325B" w:rsidRDefault="00D1325B" w:rsidP="00D1325B">
      <w:pPr>
        <w:pStyle w:val="Heading1"/>
      </w:pPr>
      <w:bookmarkStart w:id="27" w:name="_Toc471983854"/>
      <w:bookmarkStart w:id="28" w:name="_Toc472409851"/>
      <w:bookmarkStart w:id="29" w:name="_Toc472412907"/>
      <w:r>
        <w:t>OCC’s recommendation that the Commission impose consumer protections on a finding that an entity failed the Relative price Test is unlawful and unreasonable</w:t>
      </w:r>
      <w:bookmarkEnd w:id="27"/>
      <w:bookmarkEnd w:id="28"/>
      <w:bookmarkEnd w:id="29"/>
    </w:p>
    <w:p w14:paraId="01D274FD" w14:textId="62EDCD00" w:rsidR="00D1325B" w:rsidRDefault="00D1325B" w:rsidP="00D1325B">
      <w:pPr>
        <w:spacing w:line="480" w:lineRule="auto"/>
        <w:ind w:firstLine="720"/>
        <w:jc w:val="both"/>
      </w:pPr>
      <w:r>
        <w:t xml:space="preserve">In its sixth assignment of error, OCC argues that the Commission erred because the Commission did not subject an entity identified as a submeterer to Commission regulation if it fails the Relative Price Test.  </w:t>
      </w:r>
      <w:r w:rsidR="009F054A">
        <w:t>OCC Application for Rehearing at 3</w:t>
      </w:r>
      <w:r>
        <w:t xml:space="preserve">.  This assignment of error should denied for two reasons.  </w:t>
      </w:r>
    </w:p>
    <w:p w14:paraId="01DEB2DB" w14:textId="77777777" w:rsidR="00D1325B" w:rsidRDefault="00D1325B" w:rsidP="00D1325B">
      <w:pPr>
        <w:spacing w:line="480" w:lineRule="auto"/>
        <w:ind w:firstLine="720"/>
        <w:jc w:val="both"/>
      </w:pPr>
      <w:r>
        <w:t xml:space="preserve">First, the Relative Price Test is so fundamentally flawed as to be both illegal and unreasonable.  IEU-Ohio/OHA/OMA Application for Rehearing at 13-17.  Thus, it would </w:t>
      </w:r>
      <w:r>
        <w:lastRenderedPageBreak/>
        <w:t>be unlawful and unreasonable to apply Commission regulation to an entity because it “failed” the Relative Price Test.</w:t>
      </w:r>
    </w:p>
    <w:p w14:paraId="57801DBA" w14:textId="0FB9128B" w:rsidR="00D1325B" w:rsidRPr="0040611B" w:rsidRDefault="00D1325B" w:rsidP="00D1325B">
      <w:pPr>
        <w:spacing w:line="480" w:lineRule="auto"/>
        <w:ind w:firstLine="720"/>
        <w:jc w:val="both"/>
      </w:pPr>
      <w:r>
        <w:t xml:space="preserve">Second, the sixth assignment of error is based on the same faulty assumption that infects OCC’s first assignment of error.  By invoking the term “submeterer,” OCC assumes that the entity is a public utility.  That determination, however, is an issue of fact that should be addressed on the merits of the individual case.  Merely labelling </w:t>
      </w:r>
      <w:r w:rsidR="00936BCF">
        <w:t>an entity</w:t>
      </w:r>
      <w:r>
        <w:t xml:space="preserve"> a “submeterer” does not answer the </w:t>
      </w:r>
      <w:r w:rsidR="00936BCF">
        <w:t xml:space="preserve">applicable legal </w:t>
      </w:r>
      <w:r>
        <w:t>question whether the entity is functioning as a utility.</w:t>
      </w:r>
    </w:p>
    <w:p w14:paraId="15E38C9F" w14:textId="77777777" w:rsidR="00722BEC" w:rsidRDefault="00722BEC" w:rsidP="008C0D05">
      <w:pPr>
        <w:pStyle w:val="Heading1"/>
      </w:pPr>
      <w:bookmarkStart w:id="30" w:name="_Toc471818840"/>
      <w:bookmarkStart w:id="31" w:name="_Toc471983855"/>
      <w:bookmarkStart w:id="32" w:name="_Toc472409852"/>
      <w:bookmarkStart w:id="33" w:name="_Toc472412908"/>
      <w:r>
        <w:t>the Commission should limit the scope of the proceeding to the provision of submetering to residential customers</w:t>
      </w:r>
      <w:bookmarkEnd w:id="30"/>
      <w:bookmarkEnd w:id="31"/>
      <w:bookmarkEnd w:id="32"/>
      <w:bookmarkEnd w:id="33"/>
    </w:p>
    <w:p w14:paraId="559674FF" w14:textId="4AB24F09" w:rsidR="00722BEC" w:rsidRDefault="00722BEC" w:rsidP="00722BEC">
      <w:pPr>
        <w:spacing w:line="480" w:lineRule="auto"/>
        <w:ind w:firstLine="720"/>
        <w:jc w:val="both"/>
      </w:pPr>
      <w:r>
        <w:t xml:space="preserve">In its fourth assignment of error, OCC urges the Commission to limit the applicability of the Finding and Order to submeterers that resell and redistribute public utility services to residential customers.  </w:t>
      </w:r>
      <w:r w:rsidR="00234C33">
        <w:t>If the Commission continues to affirm its expansion of jurisdiction contained in the Finding and Order over the objections of IEU-Ohio, the OHA, and OMA, t</w:t>
      </w:r>
      <w:r>
        <w:t xml:space="preserve">he Commission should clarify that the </w:t>
      </w:r>
      <w:r w:rsidR="00EE2AEF">
        <w:t>modifications of</w:t>
      </w:r>
      <w:r>
        <w:t xml:space="preserve"> the </w:t>
      </w:r>
      <w:r>
        <w:rPr>
          <w:i/>
        </w:rPr>
        <w:t>Shroyer Test</w:t>
      </w:r>
      <w:r>
        <w:t xml:space="preserve"> should be applied to the provision of submeter</w:t>
      </w:r>
      <w:r w:rsidR="0011595B">
        <w:t>ed utility services</w:t>
      </w:r>
      <w:r>
        <w:t xml:space="preserve"> to residential customers.  </w:t>
      </w:r>
    </w:p>
    <w:p w14:paraId="08132E2F" w14:textId="39DAAC7E" w:rsidR="00722BEC" w:rsidRDefault="00722BEC" w:rsidP="00722BEC">
      <w:pPr>
        <w:spacing w:line="480" w:lineRule="auto"/>
        <w:ind w:firstLine="720"/>
        <w:jc w:val="both"/>
      </w:pPr>
      <w:r>
        <w:t xml:space="preserve">Initially, </w:t>
      </w:r>
      <w:r w:rsidR="00F8503B">
        <w:t>the record in this proceeding</w:t>
      </w:r>
      <w:r>
        <w:t xml:space="preserve"> </w:t>
      </w:r>
      <w:r w:rsidR="00F8503B">
        <w:t>does not provide</w:t>
      </w:r>
      <w:r>
        <w:t xml:space="preserve"> a factual basis for extending the modifications of the </w:t>
      </w:r>
      <w:r>
        <w:rPr>
          <w:i/>
        </w:rPr>
        <w:t>Shroyer Test</w:t>
      </w:r>
      <w:r>
        <w:t xml:space="preserve"> to the provision of services to commercial and industrial customers.</w:t>
      </w:r>
      <w:r>
        <w:rPr>
          <w:rStyle w:val="FootnoteReference"/>
        </w:rPr>
        <w:footnoteReference w:id="4"/>
      </w:r>
      <w:r>
        <w:t xml:space="preserve">  As noted in the comments of IEU-Ohio, commercial and industrial </w:t>
      </w:r>
      <w:r>
        <w:lastRenderedPageBreak/>
        <w:t>customers have entered into shared service arrangements for years under the existing regulatory structure and hav</w:t>
      </w:r>
      <w:r w:rsidR="00F8503B">
        <w:t>e not resorted to</w:t>
      </w:r>
      <w:r w:rsidR="009E68F3">
        <w:t xml:space="preserve"> or needed</w:t>
      </w:r>
      <w:r w:rsidR="00F8503B">
        <w:t xml:space="preserve"> Commission </w:t>
      </w:r>
      <w:r w:rsidR="003800E2">
        <w:t>intervention</w:t>
      </w:r>
      <w:r>
        <w:t>.  Initial Comments of Industrial Energy Users-Ohio at 8-9 (Jan. 21, 2016).  Because sophisticated customers can address their needs and assess the relative costs of shared service arrangements, these arrangements do not pose the kinds of problems the Commission seeks to address in this proceeding.</w:t>
      </w:r>
    </w:p>
    <w:p w14:paraId="2B093CFD" w14:textId="64C877A8" w:rsidR="00FA3C94" w:rsidRDefault="009E68F3" w:rsidP="002E4926">
      <w:pPr>
        <w:spacing w:line="480" w:lineRule="auto"/>
        <w:ind w:firstLine="720"/>
        <w:jc w:val="both"/>
      </w:pPr>
      <w:r>
        <w:t>Additionally</w:t>
      </w:r>
      <w:r w:rsidR="00ED7CB9">
        <w:t xml:space="preserve">, the application of the Relative Price Test would be wholly unworkable in the context of commercial and industrial shared services agreements.  </w:t>
      </w:r>
      <w:r w:rsidR="00480521">
        <w:t>These</w:t>
      </w:r>
      <w:r w:rsidR="00722BEC">
        <w:t xml:space="preserve"> complex agreements often provide for several services, which make the comparability of utility rates to the contract rates meaningless.  </w:t>
      </w:r>
      <w:r w:rsidR="00480521">
        <w:t>IEU-Ohio/OHA/OMA Application for Rehearing at 16-17.</w:t>
      </w:r>
    </w:p>
    <w:p w14:paraId="349213D9" w14:textId="30DDC681" w:rsidR="00722BEC" w:rsidRDefault="00A53C42" w:rsidP="005B38D8">
      <w:pPr>
        <w:spacing w:line="480" w:lineRule="auto"/>
        <w:ind w:firstLine="720"/>
        <w:jc w:val="both"/>
      </w:pPr>
      <w:r>
        <w:t xml:space="preserve">The modifications of the </w:t>
      </w:r>
      <w:r w:rsidRPr="00A96594">
        <w:rPr>
          <w:i/>
        </w:rPr>
        <w:t>Sh</w:t>
      </w:r>
      <w:r w:rsidR="00FA3C94" w:rsidRPr="00A96594">
        <w:rPr>
          <w:i/>
        </w:rPr>
        <w:t>royer Test</w:t>
      </w:r>
      <w:r w:rsidR="00FA3C94">
        <w:t xml:space="preserve"> in the Finding and Order are not consistent with the Commission’s statutory authority or Commission precedent.  </w:t>
      </w:r>
      <w:r>
        <w:t xml:space="preserve">If the Commission, nonetheless, intends to go down this new path, it should limit the application of the modified </w:t>
      </w:r>
      <w:r w:rsidRPr="008350D5">
        <w:rPr>
          <w:i/>
        </w:rPr>
        <w:t>Test</w:t>
      </w:r>
      <w:r>
        <w:t xml:space="preserve"> to residential submetering.</w:t>
      </w:r>
    </w:p>
    <w:p w14:paraId="21B8EB04" w14:textId="2C4AC9B4" w:rsidR="00FA4D5A" w:rsidRDefault="00FA4D5A">
      <w:pPr>
        <w:pStyle w:val="Heading1"/>
      </w:pPr>
      <w:bookmarkStart w:id="34" w:name="_Toc471818841"/>
      <w:bookmarkStart w:id="35" w:name="_Toc471983856"/>
      <w:bookmarkStart w:id="36" w:name="_Toc472409853"/>
      <w:bookmarkStart w:id="37" w:name="_Toc472412909"/>
      <w:r>
        <w:t>Conclusion</w:t>
      </w:r>
      <w:bookmarkEnd w:id="34"/>
      <w:bookmarkEnd w:id="35"/>
      <w:bookmarkEnd w:id="36"/>
      <w:bookmarkEnd w:id="37"/>
    </w:p>
    <w:p w14:paraId="35BCEFDD" w14:textId="47BC7F38" w:rsidR="00FA4D5A" w:rsidRDefault="006B50C2" w:rsidP="00123312">
      <w:pPr>
        <w:spacing w:line="480" w:lineRule="auto"/>
        <w:ind w:firstLine="720"/>
        <w:jc w:val="both"/>
      </w:pPr>
      <w:r>
        <w:t xml:space="preserve">For the reasons discussed above, the Commission should reject </w:t>
      </w:r>
      <w:r w:rsidR="00EA4079">
        <w:t xml:space="preserve">several of the </w:t>
      </w:r>
      <w:r w:rsidR="005D77BC">
        <w:t>assignments of error</w:t>
      </w:r>
      <w:r>
        <w:t xml:space="preserve"> of OCC</w:t>
      </w:r>
      <w:r w:rsidR="00EA4079">
        <w:t>, Nationwide Energy Partners,</w:t>
      </w:r>
      <w:r>
        <w:t xml:space="preserve"> and the EDUs.  </w:t>
      </w:r>
    </w:p>
    <w:p w14:paraId="03ECA8DD" w14:textId="77777777" w:rsidR="00D211F5" w:rsidRDefault="006C275A" w:rsidP="00D211F5">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sidR="00D211F5">
        <w:rPr>
          <w:rFonts w:eastAsia="Times New Roman" w:cs="Arial"/>
          <w:szCs w:val="20"/>
        </w:rPr>
        <w:t>Respectfully submitted,</w:t>
      </w:r>
    </w:p>
    <w:p w14:paraId="2916D27F" w14:textId="77777777" w:rsidR="00D211F5" w:rsidRDefault="00D211F5" w:rsidP="00D211F5">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rPr>
          <w:rFonts w:eastAsia="Times New Roman" w:cs="Arial"/>
          <w:szCs w:val="20"/>
        </w:rPr>
      </w:pPr>
    </w:p>
    <w:p w14:paraId="6B960C0E" w14:textId="77777777" w:rsidR="00D211F5" w:rsidRDefault="00D211F5" w:rsidP="00D211F5">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9360"/>
          <w:tab w:val="left" w:pos="10992"/>
          <w:tab w:val="left" w:pos="11908"/>
          <w:tab w:val="left" w:pos="12824"/>
          <w:tab w:val="left" w:pos="13740"/>
          <w:tab w:val="left" w:pos="14656"/>
        </w:tabs>
        <w:ind w:left="0"/>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u w:val="single"/>
        </w:rPr>
        <w:t xml:space="preserve">/s/ </w:t>
      </w:r>
      <w:r w:rsidRPr="007568F8">
        <w:rPr>
          <w:rFonts w:eastAsia="Times New Roman" w:cs="Arial"/>
          <w:i/>
          <w:szCs w:val="20"/>
          <w:u w:val="single"/>
        </w:rPr>
        <w:t>Frank P. Darr</w:t>
      </w:r>
      <w:r>
        <w:rPr>
          <w:rFonts w:eastAsia="Times New Roman" w:cs="Arial"/>
          <w:szCs w:val="20"/>
          <w:u w:val="single"/>
        </w:rPr>
        <w:tab/>
      </w:r>
      <w:r>
        <w:rPr>
          <w:rFonts w:eastAsia="Times New Roman" w:cs="Arial"/>
          <w:szCs w:val="20"/>
          <w:u w:val="single"/>
        </w:rPr>
        <w:tab/>
      </w:r>
      <w:r>
        <w:rPr>
          <w:rFonts w:eastAsia="Times New Roman" w:cs="Arial"/>
          <w:szCs w:val="20"/>
          <w:u w:val="single"/>
        </w:rPr>
        <w:tab/>
      </w:r>
      <w:r>
        <w:rPr>
          <w:rFonts w:eastAsia="Times New Roman" w:cs="Arial"/>
          <w:szCs w:val="20"/>
          <w:u w:val="single"/>
        </w:rPr>
        <w:tab/>
      </w:r>
      <w:r>
        <w:rPr>
          <w:rFonts w:eastAsia="Times New Roman" w:cs="Arial"/>
          <w:szCs w:val="20"/>
          <w:u w:val="single"/>
        </w:rPr>
        <w:tab/>
      </w:r>
    </w:p>
    <w:p w14:paraId="76595E95" w14:textId="77777777" w:rsidR="00D211F5" w:rsidRDefault="00D211F5" w:rsidP="00D211F5">
      <w:pPr>
        <w:widowControl w:val="0"/>
        <w:ind w:left="4320"/>
        <w:rPr>
          <w:rFonts w:eastAsia="Calibri" w:cs="Arial"/>
          <w:bCs/>
        </w:rPr>
      </w:pPr>
      <w:r>
        <w:rPr>
          <w:rFonts w:eastAsia="Calibri" w:cs="Arial"/>
          <w:bCs/>
        </w:rPr>
        <w:t>Frank P. Darr (Reg. No. 0025469)</w:t>
      </w:r>
    </w:p>
    <w:p w14:paraId="5D8E70BD" w14:textId="77777777" w:rsidR="00D211F5" w:rsidRDefault="00D211F5" w:rsidP="00D211F5">
      <w:pPr>
        <w:widowControl w:val="0"/>
        <w:ind w:left="4320"/>
        <w:rPr>
          <w:rFonts w:eastAsia="Calibri" w:cs="Arial"/>
          <w:b/>
          <w:bCs/>
        </w:rPr>
      </w:pPr>
      <w:r>
        <w:rPr>
          <w:rFonts w:eastAsia="Calibri" w:cs="Arial"/>
          <w:bCs/>
        </w:rPr>
        <w:t>Matthew R. Pritchard (Reg. No. 0088070)</w:t>
      </w:r>
    </w:p>
    <w:p w14:paraId="3C87F12E" w14:textId="77777777" w:rsidR="00D211F5" w:rsidRDefault="00D211F5" w:rsidP="00D211F5">
      <w:pPr>
        <w:widowControl w:val="0"/>
        <w:ind w:left="4320"/>
        <w:rPr>
          <w:rFonts w:eastAsia="Calibri" w:cs="Arial"/>
          <w:b/>
          <w:bCs/>
          <w:smallCaps/>
        </w:rPr>
      </w:pPr>
      <w:r>
        <w:rPr>
          <w:rFonts w:eastAsia="Calibri" w:cs="Arial"/>
          <w:bCs/>
          <w:smallCaps/>
        </w:rPr>
        <w:t>McNees Wallace &amp; Nurick LLC</w:t>
      </w:r>
    </w:p>
    <w:p w14:paraId="463C487A" w14:textId="77777777" w:rsidR="00D211F5" w:rsidRDefault="00D211F5" w:rsidP="00D211F5">
      <w:pPr>
        <w:widowControl w:val="0"/>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11B55733" w14:textId="77777777" w:rsidR="00D211F5" w:rsidRDefault="00D211F5" w:rsidP="00D211F5">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lastRenderedPageBreak/>
        <w:t>Columbus, OH  43215</w:t>
      </w:r>
    </w:p>
    <w:p w14:paraId="1E2F840E" w14:textId="77777777" w:rsidR="00FC3A41" w:rsidRDefault="00FC3A41" w:rsidP="00FC3A41">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Telephone:  (614) 469-8000</w:t>
      </w:r>
    </w:p>
    <w:p w14:paraId="1D45EA05" w14:textId="68D48038" w:rsidR="00FC3A41" w:rsidRPr="003E66E9" w:rsidRDefault="00FC3A41">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Telecopier:  (614) 469-4653</w:t>
      </w:r>
    </w:p>
    <w:p w14:paraId="74DF0210" w14:textId="77777777" w:rsidR="00D211F5" w:rsidRDefault="00D211F5" w:rsidP="00D211F5">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rPr>
        <w:t>fdarr@mwncmh.com</w:t>
      </w:r>
    </w:p>
    <w:p w14:paraId="2A5F050B" w14:textId="77777777" w:rsidR="00D211F5" w:rsidRDefault="00D211F5" w:rsidP="00D211F5">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Pr>
          <w:rFonts w:eastAsia="Calibri" w:cs="Arial"/>
          <w:color w:val="000000"/>
        </w:rPr>
        <w:t>mpritchard@mwncmh.com</w:t>
      </w:r>
    </w:p>
    <w:p w14:paraId="1A5139C3" w14:textId="77777777" w:rsidR="00D211F5" w:rsidRDefault="00D211F5" w:rsidP="00D211F5">
      <w:pPr>
        <w:tabs>
          <w:tab w:val="left" w:pos="-1440"/>
          <w:tab w:val="left" w:pos="-720"/>
          <w:tab w:val="left" w:pos="5040"/>
          <w:tab w:val="center" w:pos="7200"/>
        </w:tabs>
        <w:overflowPunct w:val="0"/>
        <w:autoSpaceDE w:val="0"/>
        <w:autoSpaceDN w:val="0"/>
        <w:adjustRightInd w:val="0"/>
        <w:ind w:left="4320"/>
        <w:rPr>
          <w:rFonts w:eastAsia="Calibri" w:cs="Arial"/>
          <w:color w:val="000000"/>
        </w:rPr>
      </w:pPr>
    </w:p>
    <w:p w14:paraId="39219B3F" w14:textId="77777777" w:rsidR="00D211F5" w:rsidRDefault="00D211F5" w:rsidP="00D211F5">
      <w:pPr>
        <w:ind w:left="4320" w:hanging="4320"/>
        <w:rPr>
          <w:rFonts w:cs="Arial"/>
          <w:b/>
          <w:smallCaps/>
          <w:color w:val="000000"/>
        </w:rPr>
      </w:pPr>
      <w:r>
        <w:rPr>
          <w:rFonts w:cs="Arial"/>
          <w:b/>
          <w:smallCaps/>
          <w:color w:val="000000"/>
        </w:rPr>
        <w:tab/>
        <w:t>On Behalf of Industrial Energy Users-Ohio</w:t>
      </w:r>
    </w:p>
    <w:p w14:paraId="594D9C92" w14:textId="77777777" w:rsidR="00D211F5" w:rsidRDefault="00D211F5" w:rsidP="00D211F5">
      <w:pPr>
        <w:ind w:left="4320" w:hanging="4320"/>
        <w:rPr>
          <w:rFonts w:cs="Arial"/>
          <w:b/>
          <w:smallCaps/>
          <w:color w:val="000000"/>
        </w:rPr>
      </w:pPr>
    </w:p>
    <w:p w14:paraId="117C8155" w14:textId="77777777" w:rsidR="00D211F5" w:rsidRPr="00A83A69" w:rsidRDefault="00D211F5" w:rsidP="00D211F5">
      <w:pPr>
        <w:tabs>
          <w:tab w:val="left" w:pos="-1440"/>
          <w:tab w:val="left" w:pos="-720"/>
          <w:tab w:val="left" w:pos="4779"/>
          <w:tab w:val="left" w:pos="7920"/>
        </w:tabs>
        <w:ind w:left="4320"/>
        <w:rPr>
          <w:u w:val="single"/>
        </w:rPr>
      </w:pPr>
      <w:r w:rsidRPr="00A83A69">
        <w:rPr>
          <w:u w:val="single"/>
        </w:rPr>
        <w:t xml:space="preserve">/s/ </w:t>
      </w:r>
      <w:r w:rsidRPr="00A83A69">
        <w:rPr>
          <w:i/>
          <w:u w:val="single"/>
        </w:rPr>
        <w:t>Richard L. Sites</w:t>
      </w:r>
      <w:r>
        <w:rPr>
          <w:i/>
          <w:u w:val="single"/>
        </w:rPr>
        <w:tab/>
      </w:r>
      <w:r>
        <w:rPr>
          <w:i/>
          <w:u w:val="single"/>
        </w:rPr>
        <w:tab/>
      </w:r>
      <w:r>
        <w:rPr>
          <w:i/>
          <w:u w:val="single"/>
        </w:rPr>
        <w:tab/>
      </w:r>
    </w:p>
    <w:p w14:paraId="707A49C1" w14:textId="77777777" w:rsidR="00D211F5" w:rsidRDefault="00D211F5" w:rsidP="00D211F5">
      <w:pPr>
        <w:tabs>
          <w:tab w:val="left" w:pos="-1440"/>
          <w:tab w:val="left" w:pos="-720"/>
          <w:tab w:val="left" w:pos="4779"/>
          <w:tab w:val="left" w:pos="7920"/>
        </w:tabs>
        <w:ind w:left="4320"/>
      </w:pPr>
      <w:r>
        <w:t>Richard L. Sites</w:t>
      </w:r>
    </w:p>
    <w:p w14:paraId="1E6C73F1" w14:textId="77777777" w:rsidR="00D211F5" w:rsidRDefault="00D211F5" w:rsidP="00D211F5">
      <w:pPr>
        <w:tabs>
          <w:tab w:val="left" w:pos="4779"/>
          <w:tab w:val="left" w:pos="7920"/>
        </w:tabs>
        <w:autoSpaceDE w:val="0"/>
        <w:autoSpaceDN w:val="0"/>
        <w:adjustRightInd w:val="0"/>
        <w:ind w:left="4320"/>
      </w:pPr>
      <w:r>
        <w:t>Regulatory Counsel</w:t>
      </w:r>
    </w:p>
    <w:p w14:paraId="41A89DB9" w14:textId="77777777" w:rsidR="00D211F5" w:rsidRDefault="00D211F5" w:rsidP="00D211F5">
      <w:pPr>
        <w:tabs>
          <w:tab w:val="left" w:pos="4779"/>
          <w:tab w:val="left" w:pos="7920"/>
        </w:tabs>
        <w:autoSpaceDE w:val="0"/>
        <w:autoSpaceDN w:val="0"/>
        <w:adjustRightInd w:val="0"/>
        <w:ind w:left="4320"/>
      </w:pPr>
      <w:r>
        <w:t>OHIO HOSPITAL ASSOCIATION</w:t>
      </w:r>
    </w:p>
    <w:p w14:paraId="7CB78C62" w14:textId="77777777" w:rsidR="00D211F5" w:rsidRDefault="00D211F5" w:rsidP="00D211F5">
      <w:pPr>
        <w:tabs>
          <w:tab w:val="left" w:pos="-1440"/>
          <w:tab w:val="left" w:pos="-720"/>
          <w:tab w:val="left" w:pos="4779"/>
          <w:tab w:val="left" w:pos="7920"/>
        </w:tabs>
        <w:ind w:left="4320"/>
      </w:pPr>
      <w:r>
        <w:t>155 East Broad Street, 3</w:t>
      </w:r>
      <w:r>
        <w:rPr>
          <w:vertAlign w:val="superscript"/>
        </w:rPr>
        <w:t>rd</w:t>
      </w:r>
      <w:r>
        <w:t xml:space="preserve"> Floor</w:t>
      </w:r>
    </w:p>
    <w:p w14:paraId="28918510" w14:textId="77777777" w:rsidR="00D211F5" w:rsidRDefault="00D211F5" w:rsidP="00D211F5">
      <w:pPr>
        <w:tabs>
          <w:tab w:val="left" w:pos="-1440"/>
          <w:tab w:val="left" w:pos="-720"/>
          <w:tab w:val="left" w:pos="4779"/>
          <w:tab w:val="left" w:pos="7920"/>
        </w:tabs>
        <w:ind w:left="4320"/>
      </w:pPr>
      <w:r>
        <w:t>Columbus, OH 43215-3620</w:t>
      </w:r>
    </w:p>
    <w:p w14:paraId="0A5F18CF" w14:textId="77777777" w:rsidR="00FC3A41" w:rsidRPr="00D31FB6" w:rsidRDefault="00FC3A41" w:rsidP="00FC3A41">
      <w:pPr>
        <w:ind w:left="4320"/>
        <w:rPr>
          <w:rFonts w:cs="Arial"/>
          <w:color w:val="000000"/>
        </w:rPr>
      </w:pPr>
      <w:r w:rsidRPr="00D31FB6">
        <w:rPr>
          <w:rFonts w:cs="Arial"/>
          <w:color w:val="000000"/>
        </w:rPr>
        <w:t>Telephone:</w:t>
      </w:r>
      <w:r w:rsidRPr="00D31FB6">
        <w:rPr>
          <w:rFonts w:cs="Arial"/>
          <w:color w:val="000000"/>
        </w:rPr>
        <w:tab/>
        <w:t>(614) 221-7614</w:t>
      </w:r>
    </w:p>
    <w:p w14:paraId="515D7BB1" w14:textId="39FC6009" w:rsidR="00FC3A41" w:rsidRPr="003E66E9" w:rsidRDefault="00FC3A41" w:rsidP="003E66E9">
      <w:pPr>
        <w:ind w:left="4320"/>
        <w:rPr>
          <w:rFonts w:cs="Arial"/>
          <w:color w:val="000000"/>
        </w:rPr>
      </w:pPr>
      <w:r w:rsidRPr="00D31FB6">
        <w:rPr>
          <w:rFonts w:cs="Arial"/>
          <w:color w:val="000000"/>
        </w:rPr>
        <w:t>Facsimile:</w:t>
      </w:r>
      <w:r w:rsidRPr="00D31FB6">
        <w:rPr>
          <w:rFonts w:cs="Arial"/>
          <w:color w:val="000000"/>
        </w:rPr>
        <w:tab/>
        <w:t>(614) 221-4771</w:t>
      </w:r>
    </w:p>
    <w:p w14:paraId="71AA7B38" w14:textId="77777777" w:rsidR="00D211F5" w:rsidRPr="008B55A8" w:rsidRDefault="00927EE7" w:rsidP="00D211F5">
      <w:pPr>
        <w:ind w:left="5040" w:hanging="720"/>
      </w:pPr>
      <w:hyperlink r:id="rId16" w:history="1">
        <w:r w:rsidR="00D211F5" w:rsidRPr="008B55A8">
          <w:rPr>
            <w:rStyle w:val="Hyperlink"/>
          </w:rPr>
          <w:t>rick.sites@ohiohospitals.org</w:t>
        </w:r>
      </w:hyperlink>
    </w:p>
    <w:p w14:paraId="34460D54" w14:textId="77777777" w:rsidR="00D211F5" w:rsidRDefault="00D211F5" w:rsidP="00D211F5">
      <w:pPr>
        <w:ind w:left="5040" w:hanging="720"/>
      </w:pPr>
    </w:p>
    <w:p w14:paraId="7E7A1E43" w14:textId="77777777" w:rsidR="00D211F5" w:rsidRDefault="00D211F5" w:rsidP="00D211F5">
      <w:pPr>
        <w:ind w:left="5040" w:hanging="720"/>
        <w:rPr>
          <w:rFonts w:ascii="Arial Bold" w:hAnsi="Arial Bold"/>
          <w:b/>
          <w:smallCaps/>
        </w:rPr>
      </w:pPr>
      <w:r w:rsidRPr="00EF19ED">
        <w:rPr>
          <w:rFonts w:ascii="Arial Bold" w:hAnsi="Arial Bold"/>
          <w:b/>
          <w:smallCaps/>
        </w:rPr>
        <w:t>On Behalf of The Ohio Hospital Association</w:t>
      </w:r>
    </w:p>
    <w:p w14:paraId="2DE7ECDF" w14:textId="77777777" w:rsidR="00D211F5" w:rsidRDefault="00D211F5" w:rsidP="00D211F5">
      <w:pPr>
        <w:ind w:left="5040" w:hanging="720"/>
        <w:rPr>
          <w:rFonts w:ascii="Arial Bold" w:hAnsi="Arial Bold"/>
          <w:b/>
          <w:smallCaps/>
        </w:rPr>
      </w:pPr>
    </w:p>
    <w:p w14:paraId="3576FCA8" w14:textId="77777777" w:rsidR="00D211F5" w:rsidRPr="00382ECD" w:rsidRDefault="00D211F5" w:rsidP="00D211F5">
      <w:pPr>
        <w:tabs>
          <w:tab w:val="left" w:pos="4320"/>
        </w:tabs>
        <w:rPr>
          <w:rFonts w:cs="Arial"/>
          <w:i/>
          <w:u w:val="single"/>
        </w:rPr>
      </w:pPr>
      <w:r>
        <w:rPr>
          <w:rFonts w:cs="Arial"/>
        </w:rPr>
        <w:tab/>
      </w:r>
      <w:r>
        <w:rPr>
          <w:rFonts w:cs="Arial"/>
          <w:i/>
          <w:u w:val="single"/>
        </w:rPr>
        <w:t>/s/ Robert A. Brundrett</w:t>
      </w:r>
      <w:r>
        <w:rPr>
          <w:rFonts w:cs="Arial"/>
          <w:i/>
          <w:u w:val="single"/>
        </w:rPr>
        <w:tab/>
      </w:r>
      <w:r>
        <w:rPr>
          <w:rFonts w:cs="Arial"/>
          <w:i/>
          <w:u w:val="single"/>
        </w:rPr>
        <w:tab/>
      </w:r>
      <w:r>
        <w:rPr>
          <w:rFonts w:cs="Arial"/>
          <w:i/>
          <w:u w:val="single"/>
        </w:rPr>
        <w:tab/>
      </w:r>
      <w:r>
        <w:rPr>
          <w:rFonts w:cs="Arial"/>
          <w:i/>
          <w:u w:val="single"/>
        </w:rPr>
        <w:tab/>
      </w:r>
    </w:p>
    <w:p w14:paraId="30C7841C" w14:textId="77777777" w:rsidR="00D211F5" w:rsidRPr="00E161EE" w:rsidRDefault="00D211F5" w:rsidP="00D211F5">
      <w:pPr>
        <w:tabs>
          <w:tab w:val="left" w:pos="4320"/>
        </w:tabs>
        <w:rPr>
          <w:rFonts w:cs="Arial"/>
        </w:rPr>
      </w:pPr>
      <w:r>
        <w:rPr>
          <w:rFonts w:cs="Arial"/>
        </w:rPr>
        <w:tab/>
      </w:r>
      <w:r w:rsidRPr="00E161EE">
        <w:rPr>
          <w:rFonts w:cs="Arial"/>
        </w:rPr>
        <w:t>Robert A. Brundrett (0086538)</w:t>
      </w:r>
    </w:p>
    <w:p w14:paraId="71240028" w14:textId="59BEB758" w:rsidR="00D211F5" w:rsidRPr="00E161EE" w:rsidRDefault="00D211F5" w:rsidP="00D211F5">
      <w:pPr>
        <w:tabs>
          <w:tab w:val="left" w:pos="4320"/>
        </w:tabs>
        <w:rPr>
          <w:rFonts w:cs="Arial"/>
        </w:rPr>
      </w:pPr>
      <w:r w:rsidRPr="00E161EE">
        <w:rPr>
          <w:rFonts w:cs="Arial"/>
        </w:rPr>
        <w:tab/>
      </w:r>
      <w:r w:rsidR="001B32B5">
        <w:rPr>
          <w:rFonts w:cs="Arial"/>
        </w:rPr>
        <w:t>Ohio Manufacturers’ Association</w:t>
      </w:r>
    </w:p>
    <w:p w14:paraId="0D270482" w14:textId="77777777" w:rsidR="00D211F5" w:rsidRPr="00E161EE" w:rsidRDefault="00D211F5" w:rsidP="00D211F5">
      <w:pPr>
        <w:tabs>
          <w:tab w:val="left" w:pos="4320"/>
        </w:tabs>
        <w:rPr>
          <w:rFonts w:cs="Arial"/>
        </w:rPr>
      </w:pPr>
      <w:r w:rsidRPr="00E161EE">
        <w:rPr>
          <w:rFonts w:cs="Arial"/>
        </w:rPr>
        <w:tab/>
        <w:t>33 N. High St., 6</w:t>
      </w:r>
      <w:r w:rsidRPr="00E161EE">
        <w:rPr>
          <w:rFonts w:cs="Arial"/>
          <w:vertAlign w:val="superscript"/>
        </w:rPr>
        <w:t>th</w:t>
      </w:r>
      <w:r w:rsidRPr="00E161EE">
        <w:rPr>
          <w:rFonts w:cs="Arial"/>
        </w:rPr>
        <w:t xml:space="preserve"> Floor</w:t>
      </w:r>
    </w:p>
    <w:p w14:paraId="51DB34E2" w14:textId="50768DF4" w:rsidR="00D211F5" w:rsidRDefault="00D211F5">
      <w:pPr>
        <w:tabs>
          <w:tab w:val="left" w:pos="4320"/>
        </w:tabs>
        <w:rPr>
          <w:rFonts w:cs="Arial"/>
        </w:rPr>
      </w:pPr>
      <w:r w:rsidRPr="00E161EE">
        <w:rPr>
          <w:rFonts w:cs="Arial"/>
        </w:rPr>
        <w:tab/>
        <w:t>Columbus, OH 43215</w:t>
      </w:r>
    </w:p>
    <w:p w14:paraId="54B9ADF3" w14:textId="7D67ED56" w:rsidR="0054761D" w:rsidRPr="00E161EE" w:rsidRDefault="0054761D" w:rsidP="0054761D">
      <w:pPr>
        <w:tabs>
          <w:tab w:val="left" w:pos="4320"/>
        </w:tabs>
        <w:rPr>
          <w:rFonts w:cs="Arial"/>
        </w:rPr>
      </w:pPr>
      <w:r>
        <w:rPr>
          <w:rFonts w:cs="Arial"/>
        </w:rPr>
        <w:tab/>
      </w:r>
      <w:r w:rsidRPr="00E161EE">
        <w:rPr>
          <w:rFonts w:cs="Arial"/>
        </w:rPr>
        <w:t>Telephone: (614) 224-5111</w:t>
      </w:r>
    </w:p>
    <w:p w14:paraId="725336BD" w14:textId="77777777" w:rsidR="0054761D" w:rsidRPr="00E161EE" w:rsidRDefault="0054761D" w:rsidP="0054761D">
      <w:pPr>
        <w:tabs>
          <w:tab w:val="left" w:pos="4320"/>
        </w:tabs>
        <w:rPr>
          <w:rFonts w:cs="Arial"/>
        </w:rPr>
      </w:pPr>
      <w:r w:rsidRPr="00E161EE">
        <w:rPr>
          <w:rFonts w:cs="Arial"/>
        </w:rPr>
        <w:tab/>
        <w:t>Fax:  (614) 469-4653</w:t>
      </w:r>
    </w:p>
    <w:p w14:paraId="6188B198" w14:textId="5039629B" w:rsidR="00D211F5" w:rsidRDefault="0054761D" w:rsidP="00D211F5">
      <w:pPr>
        <w:tabs>
          <w:tab w:val="left" w:pos="4320"/>
        </w:tabs>
        <w:rPr>
          <w:rFonts w:cs="Arial"/>
        </w:rPr>
      </w:pPr>
      <w:r>
        <w:rPr>
          <w:rFonts w:cs="Arial"/>
        </w:rPr>
        <w:tab/>
      </w:r>
      <w:hyperlink r:id="rId17" w:history="1">
        <w:r w:rsidR="00D211F5" w:rsidRPr="00B17E87">
          <w:rPr>
            <w:rStyle w:val="Hyperlink"/>
          </w:rPr>
          <w:t>rbrundrett@ohiomfg.com</w:t>
        </w:r>
      </w:hyperlink>
    </w:p>
    <w:p w14:paraId="5411F8D9" w14:textId="77777777" w:rsidR="00D211F5" w:rsidRDefault="00D211F5" w:rsidP="00D211F5">
      <w:pPr>
        <w:tabs>
          <w:tab w:val="left" w:pos="4320"/>
        </w:tabs>
        <w:rPr>
          <w:rFonts w:cs="Arial"/>
        </w:rPr>
      </w:pPr>
    </w:p>
    <w:p w14:paraId="4F4C541E" w14:textId="7FF3AF7E" w:rsidR="00D211F5" w:rsidRDefault="00D211F5" w:rsidP="00D211F5">
      <w:pPr>
        <w:ind w:left="4320"/>
        <w:rPr>
          <w:rFonts w:ascii="Arial Bold" w:hAnsi="Arial Bold" w:cs="Arial"/>
          <w:b/>
          <w:smallCaps/>
        </w:rPr>
        <w:sectPr w:rsidR="00D211F5" w:rsidSect="00DF6482">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r w:rsidRPr="00547F79">
        <w:rPr>
          <w:rFonts w:ascii="Arial Bold" w:hAnsi="Arial Bold" w:cs="Arial"/>
          <w:b/>
          <w:smallCaps/>
        </w:rPr>
        <w:t xml:space="preserve">On Behalf of </w:t>
      </w:r>
      <w:r>
        <w:rPr>
          <w:rFonts w:ascii="Arial Bold" w:hAnsi="Arial Bold" w:cs="Arial"/>
          <w:b/>
          <w:smallCaps/>
        </w:rPr>
        <w:t>Ohio Manufacturers’ Association</w:t>
      </w:r>
    </w:p>
    <w:p w14:paraId="5084747F" w14:textId="39CED84A" w:rsidR="00D211F5" w:rsidRPr="00382ECD" w:rsidRDefault="00D211F5" w:rsidP="002F44CB">
      <w:pPr>
        <w:rPr>
          <w:rFonts w:ascii="Arial Bold" w:hAnsi="Arial Bold"/>
          <w:smallCaps/>
        </w:rPr>
      </w:pPr>
    </w:p>
    <w:p w14:paraId="213D7D16" w14:textId="77777777" w:rsidR="00D611DE" w:rsidRPr="00481A04" w:rsidRDefault="00D611DE" w:rsidP="002F44CB">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jc w:val="center"/>
        <w:rPr>
          <w:rFonts w:ascii="Arial Bold" w:hAnsi="Arial Bold" w:cs="Arial"/>
          <w:b/>
          <w:smallCaps/>
          <w:sz w:val="28"/>
          <w:u w:val="single"/>
        </w:rPr>
      </w:pPr>
      <w:r w:rsidRPr="00481A04">
        <w:rPr>
          <w:rFonts w:ascii="Arial Bold" w:hAnsi="Arial Bold" w:cs="Arial"/>
          <w:b/>
          <w:smallCaps/>
          <w:sz w:val="28"/>
          <w:u w:val="single"/>
        </w:rPr>
        <w:t>Certificate of Service</w:t>
      </w:r>
    </w:p>
    <w:p w14:paraId="4EF47162" w14:textId="77777777" w:rsidR="00D611DE" w:rsidRPr="00481A04" w:rsidRDefault="00D611DE" w:rsidP="00D611DE">
      <w:pPr>
        <w:rPr>
          <w:rFonts w:cs="Arial"/>
        </w:rPr>
      </w:pPr>
    </w:p>
    <w:p w14:paraId="12AEA5E1" w14:textId="1D58DBFC" w:rsidR="00D611DE" w:rsidRPr="00481A04" w:rsidRDefault="00D611DE" w:rsidP="00D611DE">
      <w:pPr>
        <w:spacing w:line="480" w:lineRule="auto"/>
        <w:ind w:firstLine="720"/>
        <w:jc w:val="both"/>
        <w:rPr>
          <w:rFonts w:eastAsia="Times New Roman" w:cs="Arial"/>
        </w:rPr>
      </w:pPr>
      <w:r w:rsidRPr="00481A04">
        <w:rPr>
          <w:rFonts w:eastAsia="Times New Roman" w:cs="Arial"/>
        </w:rPr>
        <w:t>In accordance with Rule 4901-1-05, Ohio Administrative Code, the Commission’s e</w:t>
      </w:r>
      <w:r w:rsidRPr="00481A04">
        <w:rPr>
          <w:rFonts w:eastAsia="Times New Roman" w:cs="Arial"/>
        </w:rPr>
        <w:noBreakHyphen/>
        <w:t>filing system will electronically serve notice of the filing of this document upon persons that the Commission has identified.  Service by email has been made to the persons listed below on January 1</w:t>
      </w:r>
      <w:r w:rsidR="004C10D0">
        <w:rPr>
          <w:rFonts w:eastAsia="Times New Roman" w:cs="Arial"/>
        </w:rPr>
        <w:t>7</w:t>
      </w:r>
      <w:r w:rsidRPr="00481A04">
        <w:rPr>
          <w:rFonts w:eastAsia="Times New Roman" w:cs="Arial"/>
        </w:rPr>
        <w:t>, 2017.</w:t>
      </w:r>
    </w:p>
    <w:p w14:paraId="511E6415" w14:textId="77777777" w:rsidR="00D611DE" w:rsidRPr="00481A04" w:rsidRDefault="00D611DE" w:rsidP="00D611DE">
      <w:pPr>
        <w:tabs>
          <w:tab w:val="center" w:pos="7200"/>
          <w:tab w:val="right" w:pos="9360"/>
        </w:tabs>
        <w:ind w:left="5040"/>
        <w:rPr>
          <w:rFonts w:cs="Arial"/>
          <w:i/>
          <w:u w:val="single"/>
        </w:rPr>
      </w:pPr>
      <w:r w:rsidRPr="00481A04">
        <w:rPr>
          <w:rFonts w:cs="Arial"/>
          <w:i/>
          <w:u w:val="single"/>
        </w:rPr>
        <w:t>/s/ Frank P. Darr</w:t>
      </w:r>
      <w:r w:rsidRPr="00481A04">
        <w:rPr>
          <w:rFonts w:cs="Arial"/>
          <w:i/>
          <w:u w:val="single"/>
        </w:rPr>
        <w:tab/>
      </w:r>
      <w:r w:rsidRPr="00481A04">
        <w:rPr>
          <w:rFonts w:cs="Arial"/>
          <w:i/>
          <w:u w:val="single"/>
        </w:rPr>
        <w:tab/>
      </w:r>
    </w:p>
    <w:p w14:paraId="581E67F7" w14:textId="77777777" w:rsidR="00CF1CC5" w:rsidRDefault="00D611DE" w:rsidP="00D611DE">
      <w:pPr>
        <w:tabs>
          <w:tab w:val="center" w:pos="7200"/>
          <w:tab w:val="right" w:pos="9360"/>
        </w:tabs>
        <w:ind w:left="5760"/>
        <w:rPr>
          <w:rFonts w:cs="Arial"/>
        </w:rPr>
        <w:sectPr w:rsidR="00CF1CC5" w:rsidSect="00326353">
          <w:headerReference w:type="default" r:id="rId22"/>
          <w:footerReference w:type="default" r:id="rId23"/>
          <w:headerReference w:type="first" r:id="rId24"/>
          <w:footerReference w:type="first" r:id="rId25"/>
          <w:pgSz w:w="12240" w:h="15840" w:code="1"/>
          <w:pgMar w:top="1440" w:right="1440" w:bottom="1440" w:left="1440" w:header="720" w:footer="720" w:gutter="0"/>
          <w:pgNumType w:start="3"/>
          <w:cols w:space="720"/>
          <w:titlePg/>
          <w:docGrid w:linePitch="360"/>
        </w:sectPr>
      </w:pPr>
      <w:r w:rsidRPr="00481A04">
        <w:rPr>
          <w:rFonts w:cs="Arial"/>
        </w:rPr>
        <w:t>Frank P. Darr</w:t>
      </w:r>
    </w:p>
    <w:p w14:paraId="0BA9FD95" w14:textId="5F4794A5" w:rsidR="00D611DE" w:rsidRPr="00481A04" w:rsidRDefault="00D611DE" w:rsidP="002F44CB">
      <w:pPr>
        <w:tabs>
          <w:tab w:val="center" w:pos="7200"/>
          <w:tab w:val="right" w:pos="9360"/>
        </w:tabs>
        <w:rPr>
          <w:rFonts w:ascii="Arial Bold" w:hAnsi="Arial Bold"/>
          <w:b/>
          <w:smallCaps/>
        </w:rPr>
      </w:pPr>
    </w:p>
    <w:p w14:paraId="13900E59" w14:textId="77777777" w:rsidR="00D611DE" w:rsidRPr="00481A04" w:rsidRDefault="00927EE7" w:rsidP="00D611DE">
      <w:hyperlink r:id="rId26" w:history="1">
        <w:r w:rsidR="00D611DE" w:rsidRPr="00481A04">
          <w:t>aemerson@porterwright.com</w:t>
        </w:r>
      </w:hyperlink>
    </w:p>
    <w:p w14:paraId="1883291A" w14:textId="77777777" w:rsidR="00D611DE" w:rsidRPr="00481A04" w:rsidRDefault="00927EE7" w:rsidP="00D611DE">
      <w:hyperlink r:id="rId27" w:history="1">
        <w:r w:rsidR="00D611DE" w:rsidRPr="00481A04">
          <w:t>campbell@whitt-sturtevant.com</w:t>
        </w:r>
      </w:hyperlink>
    </w:p>
    <w:p w14:paraId="7ACC89D5" w14:textId="77777777" w:rsidR="00D611DE" w:rsidRPr="00481A04" w:rsidRDefault="00927EE7" w:rsidP="00D611DE">
      <w:hyperlink r:id="rId28" w:history="1">
        <w:r w:rsidR="00D611DE" w:rsidRPr="00481A04">
          <w:t>cmooney@ohiopartners.org</w:t>
        </w:r>
      </w:hyperlink>
    </w:p>
    <w:p w14:paraId="13D0A3D9" w14:textId="77777777" w:rsidR="00D611DE" w:rsidRPr="00481A04" w:rsidRDefault="00927EE7" w:rsidP="00D611DE">
      <w:hyperlink r:id="rId29" w:history="1">
        <w:r w:rsidR="00D611DE" w:rsidRPr="00481A04">
          <w:t>dclearfield@eckertseamans.com</w:t>
        </w:r>
      </w:hyperlink>
    </w:p>
    <w:p w14:paraId="462A6BDC" w14:textId="77777777" w:rsidR="00D611DE" w:rsidRPr="00481A04" w:rsidRDefault="00927EE7" w:rsidP="00D611DE">
      <w:hyperlink r:id="rId30" w:history="1">
        <w:r w:rsidR="00D611DE" w:rsidRPr="00481A04">
          <w:t>dborchers@bricker.com</w:t>
        </w:r>
      </w:hyperlink>
    </w:p>
    <w:p w14:paraId="6478C151" w14:textId="77777777" w:rsidR="00D611DE" w:rsidRPr="00481A04" w:rsidRDefault="00D611DE" w:rsidP="00D611DE">
      <w:r w:rsidRPr="00481A04">
        <w:t>frice@spectrumutilities.com</w:t>
      </w:r>
    </w:p>
    <w:p w14:paraId="079D3DEF" w14:textId="77777777" w:rsidR="00D611DE" w:rsidRPr="00481A04" w:rsidRDefault="00927EE7" w:rsidP="00D611DE">
      <w:hyperlink r:id="rId31" w:history="1">
        <w:r w:rsidR="00D611DE" w:rsidRPr="00481A04">
          <w:t>gkrassen@bricker.com</w:t>
        </w:r>
      </w:hyperlink>
    </w:p>
    <w:p w14:paraId="365DB6D1" w14:textId="77777777" w:rsidR="00D611DE" w:rsidRPr="00481A04" w:rsidRDefault="00D611DE" w:rsidP="00D611DE">
      <w:r w:rsidRPr="00481A04">
        <w:t>ibatikov@vorys.com</w:t>
      </w:r>
    </w:p>
    <w:p w14:paraId="443B4438" w14:textId="77777777" w:rsidR="00D611DE" w:rsidRPr="00481A04" w:rsidRDefault="00927EE7" w:rsidP="00D611DE">
      <w:hyperlink r:id="rId32" w:history="1">
        <w:r w:rsidR="00D611DE" w:rsidRPr="00481A04">
          <w:t>jodi.bair@occ.ohio.gov</w:t>
        </w:r>
      </w:hyperlink>
    </w:p>
    <w:p w14:paraId="30B4FF72" w14:textId="77777777" w:rsidR="00D611DE" w:rsidRPr="00481A04" w:rsidRDefault="00927EE7" w:rsidP="00D611DE">
      <w:hyperlink r:id="rId33" w:history="1">
        <w:r w:rsidR="00D611DE" w:rsidRPr="00481A04">
          <w:t>jbowser@mwncmh.com</w:t>
        </w:r>
      </w:hyperlink>
    </w:p>
    <w:p w14:paraId="2AB88FDB" w14:textId="77777777" w:rsidR="00D611DE" w:rsidRPr="00481A04" w:rsidRDefault="00927EE7" w:rsidP="00D611DE">
      <w:hyperlink r:id="rId34" w:history="1">
        <w:r w:rsidR="00D611DE" w:rsidRPr="00481A04">
          <w:t>joliker@igsenergy.com</w:t>
        </w:r>
      </w:hyperlink>
    </w:p>
    <w:p w14:paraId="05739D6D" w14:textId="77777777" w:rsidR="00D611DE" w:rsidRPr="00481A04" w:rsidRDefault="00927EE7" w:rsidP="00D611DE">
      <w:hyperlink r:id="rId35" w:history="1">
        <w:r w:rsidR="00D611DE" w:rsidRPr="00481A04">
          <w:t>jeckert@firstenergycorp.com</w:t>
        </w:r>
      </w:hyperlink>
    </w:p>
    <w:p w14:paraId="3F6B2268" w14:textId="77777777" w:rsidR="00D611DE" w:rsidRPr="00481A04" w:rsidRDefault="00927EE7" w:rsidP="00D611DE">
      <w:hyperlink r:id="rId36" w:history="1">
        <w:r w:rsidR="00D611DE" w:rsidRPr="00481A04">
          <w:t>ktreadway@oneenergyllc.com</w:t>
        </w:r>
      </w:hyperlink>
    </w:p>
    <w:p w14:paraId="0C13D862" w14:textId="77777777" w:rsidR="00D611DE" w:rsidRPr="00481A04" w:rsidRDefault="00927EE7" w:rsidP="00D611DE">
      <w:hyperlink r:id="rId37" w:history="1">
        <w:r w:rsidR="00D611DE" w:rsidRPr="00481A04">
          <w:t>bojko@carpenterlipps.com</w:t>
        </w:r>
      </w:hyperlink>
    </w:p>
    <w:p w14:paraId="7060F0F4" w14:textId="77777777" w:rsidR="00D611DE" w:rsidRPr="00481A04" w:rsidRDefault="00927EE7" w:rsidP="00D611DE">
      <w:hyperlink r:id="rId38" w:history="1">
        <w:r w:rsidR="00D611DE" w:rsidRPr="00481A04">
          <w:t>slesser@calfee.com</w:t>
        </w:r>
      </w:hyperlink>
    </w:p>
    <w:p w14:paraId="5208BA2C" w14:textId="77777777" w:rsidR="00D611DE" w:rsidRPr="00481A04" w:rsidRDefault="00927EE7" w:rsidP="00D611DE">
      <w:hyperlink r:id="rId39" w:history="1">
        <w:r w:rsidR="00D611DE" w:rsidRPr="00481A04">
          <w:t>whitt@whitt-sturtevant.com</w:t>
        </w:r>
      </w:hyperlink>
    </w:p>
    <w:p w14:paraId="33DB1BCD" w14:textId="77777777" w:rsidR="00D611DE" w:rsidRPr="00481A04" w:rsidRDefault="00927EE7" w:rsidP="00D611DE">
      <w:hyperlink r:id="rId40" w:history="1">
        <w:r w:rsidR="00D611DE" w:rsidRPr="00481A04">
          <w:t>mcorbett@calfee.com</w:t>
        </w:r>
      </w:hyperlink>
    </w:p>
    <w:p w14:paraId="77C65DF0" w14:textId="77777777" w:rsidR="00D611DE" w:rsidRPr="00481A04" w:rsidRDefault="00927EE7" w:rsidP="00D611DE">
      <w:hyperlink r:id="rId41" w:history="1">
        <w:r w:rsidR="00D611DE" w:rsidRPr="00481A04">
          <w:t>mjsatterwhite@aep.com</w:t>
        </w:r>
      </w:hyperlink>
    </w:p>
    <w:p w14:paraId="100EB18F" w14:textId="77777777" w:rsidR="00D611DE" w:rsidRPr="00481A04" w:rsidRDefault="00927EE7" w:rsidP="00D611DE">
      <w:hyperlink r:id="rId42" w:history="1">
        <w:r w:rsidR="00D611DE" w:rsidRPr="00481A04">
          <w:t>bryce.mckenney@puc.state.oh.us</w:t>
        </w:r>
      </w:hyperlink>
    </w:p>
    <w:p w14:paraId="1EBE67AF" w14:textId="77777777" w:rsidR="00D611DE" w:rsidRPr="00481A04" w:rsidRDefault="00D611DE" w:rsidP="00D611DE">
      <w:r w:rsidRPr="00481A04">
        <w:br w:type="column"/>
      </w:r>
    </w:p>
    <w:p w14:paraId="50717F4C" w14:textId="77777777" w:rsidR="00D611DE" w:rsidRPr="00481A04" w:rsidRDefault="00927EE7" w:rsidP="00D611DE">
      <w:hyperlink r:id="rId43" w:history="1">
        <w:r w:rsidR="00D611DE" w:rsidRPr="00481A04">
          <w:t>mjsettineri@vorys.com</w:t>
        </w:r>
      </w:hyperlink>
    </w:p>
    <w:p w14:paraId="2D2D597B" w14:textId="77777777" w:rsidR="00D611DE" w:rsidRPr="00481A04" w:rsidRDefault="00927EE7" w:rsidP="00D611DE">
      <w:hyperlink r:id="rId44" w:history="1">
        <w:r w:rsidR="00D611DE" w:rsidRPr="00481A04">
          <w:t>msmckenzie@aep.com</w:t>
        </w:r>
      </w:hyperlink>
    </w:p>
    <w:p w14:paraId="3FCE997A" w14:textId="77777777" w:rsidR="00D611DE" w:rsidRPr="00481A04" w:rsidRDefault="00927EE7" w:rsidP="00D611DE">
      <w:hyperlink r:id="rId45" w:history="1">
        <w:r w:rsidR="00D611DE" w:rsidRPr="00481A04">
          <w:t>stnourse@aep.com</w:t>
        </w:r>
      </w:hyperlink>
    </w:p>
    <w:p w14:paraId="73E2B655" w14:textId="77777777" w:rsidR="00D611DE" w:rsidRPr="00481A04" w:rsidRDefault="00927EE7" w:rsidP="00D611DE">
      <w:hyperlink r:id="rId46" w:history="1">
        <w:r w:rsidR="00D611DE" w:rsidRPr="00481A04">
          <w:t>mhpetricoff@vorys.com</w:t>
        </w:r>
      </w:hyperlink>
    </w:p>
    <w:p w14:paraId="5B79D2FD" w14:textId="77777777" w:rsidR="00D611DE" w:rsidRPr="00481A04" w:rsidRDefault="00927EE7" w:rsidP="00D611DE">
      <w:hyperlink r:id="rId47" w:history="1">
        <w:r w:rsidR="00D611DE" w:rsidRPr="00481A04">
          <w:t>glpetrucci@vorys.com</w:t>
        </w:r>
      </w:hyperlink>
    </w:p>
    <w:p w14:paraId="6BA01457" w14:textId="77777777" w:rsidR="00D611DE" w:rsidRPr="00481A04" w:rsidRDefault="00927EE7" w:rsidP="00D611DE">
      <w:hyperlink r:id="rId48" w:history="1">
        <w:r w:rsidR="00D611DE" w:rsidRPr="00481A04">
          <w:t>Randall.Griffin@aes.com</w:t>
        </w:r>
      </w:hyperlink>
    </w:p>
    <w:p w14:paraId="7739450A" w14:textId="77777777" w:rsidR="00D611DE" w:rsidRPr="00481A04" w:rsidRDefault="00927EE7" w:rsidP="00D611DE">
      <w:hyperlink r:id="rId49" w:history="1">
        <w:r w:rsidR="00D611DE" w:rsidRPr="00481A04">
          <w:t>rick.sites@ohiohospitals.org</w:t>
        </w:r>
      </w:hyperlink>
    </w:p>
    <w:p w14:paraId="6B1A7F26" w14:textId="77777777" w:rsidR="00D611DE" w:rsidRPr="00481A04" w:rsidRDefault="00927EE7" w:rsidP="00D611DE">
      <w:hyperlink r:id="rId50" w:history="1">
        <w:r w:rsidR="00D611DE" w:rsidRPr="00481A04">
          <w:t>rbrundrett@ohiomfg.com</w:t>
        </w:r>
      </w:hyperlink>
    </w:p>
    <w:p w14:paraId="728CD202" w14:textId="77777777" w:rsidR="00D611DE" w:rsidRPr="00481A04" w:rsidRDefault="00927EE7" w:rsidP="00D611DE">
      <w:hyperlink r:id="rId51" w:history="1">
        <w:r w:rsidR="00D611DE" w:rsidRPr="00481A04">
          <w:t>sstoner@eckertseamans.com</w:t>
        </w:r>
      </w:hyperlink>
    </w:p>
    <w:p w14:paraId="1F6184A6" w14:textId="77777777" w:rsidR="00D611DE" w:rsidRPr="00481A04" w:rsidRDefault="00927EE7" w:rsidP="00D611DE">
      <w:hyperlink r:id="rId52" w:history="1">
        <w:r w:rsidR="00D611DE" w:rsidRPr="00481A04">
          <w:t>sdismukes@eckertseamans.com</w:t>
        </w:r>
      </w:hyperlink>
    </w:p>
    <w:p w14:paraId="7B2A99C3" w14:textId="77777777" w:rsidR="00D611DE" w:rsidRPr="00481A04" w:rsidRDefault="00927EE7" w:rsidP="00D611DE">
      <w:hyperlink r:id="rId53" w:history="1">
        <w:r w:rsidR="00D611DE" w:rsidRPr="00481A04">
          <w:t>Amy.Spiller@Duke-Energy.com</w:t>
        </w:r>
      </w:hyperlink>
    </w:p>
    <w:p w14:paraId="2C59B64B" w14:textId="77777777" w:rsidR="00D611DE" w:rsidRPr="00481A04" w:rsidRDefault="00927EE7" w:rsidP="00D611DE">
      <w:hyperlink r:id="rId54" w:history="1">
        <w:r w:rsidR="00D611DE" w:rsidRPr="00481A04">
          <w:t>dstinson@bricker.com</w:t>
        </w:r>
      </w:hyperlink>
    </w:p>
    <w:p w14:paraId="08B316D1" w14:textId="77777777" w:rsidR="00D611DE" w:rsidRPr="00481A04" w:rsidRDefault="00927EE7" w:rsidP="00D611DE">
      <w:hyperlink r:id="rId55" w:history="1">
        <w:r w:rsidR="00D611DE" w:rsidRPr="00481A04">
          <w:t>terry.etter@occ.ohio.gov</w:t>
        </w:r>
      </w:hyperlink>
    </w:p>
    <w:p w14:paraId="597F12E9" w14:textId="77777777" w:rsidR="00D611DE" w:rsidRPr="00481A04" w:rsidRDefault="00927EE7" w:rsidP="00D611DE">
      <w:hyperlink r:id="rId56" w:history="1">
        <w:r w:rsidR="00D611DE" w:rsidRPr="00481A04">
          <w:t>elizabeth.watts@duke-energy.com</w:t>
        </w:r>
      </w:hyperlink>
    </w:p>
    <w:p w14:paraId="7B055D51" w14:textId="77777777" w:rsidR="00D611DE" w:rsidRPr="00481A04" w:rsidRDefault="00927EE7" w:rsidP="00D611DE">
      <w:hyperlink r:id="rId57" w:history="1">
        <w:r w:rsidR="00D611DE" w:rsidRPr="00481A04">
          <w:t>mswhite@igsenergy.com</w:t>
        </w:r>
      </w:hyperlink>
    </w:p>
    <w:p w14:paraId="17D9E31D" w14:textId="77777777" w:rsidR="00D611DE" w:rsidRPr="00481A04" w:rsidRDefault="00927EE7" w:rsidP="00D611DE">
      <w:hyperlink r:id="rId58" w:history="1">
        <w:r w:rsidR="00D611DE" w:rsidRPr="00481A04">
          <w:t>william.wright@ohioattorneygeneral.gov</w:t>
        </w:r>
      </w:hyperlink>
    </w:p>
    <w:p w14:paraId="1CEA9E96" w14:textId="77777777" w:rsidR="00D611DE" w:rsidRDefault="00D611DE" w:rsidP="00D611DE"/>
    <w:p w14:paraId="5E4FD028" w14:textId="4B53555C" w:rsidR="00A674B0" w:rsidRPr="00FA4D5A" w:rsidRDefault="00A674B0" w:rsidP="006C275A">
      <w:pPr>
        <w:spacing w:line="480" w:lineRule="auto"/>
      </w:pPr>
    </w:p>
    <w:sectPr w:rsidR="00A674B0" w:rsidRPr="00FA4D5A" w:rsidSect="002F44CB">
      <w:type w:val="continuous"/>
      <w:pgSz w:w="12240" w:h="15840" w:code="1"/>
      <w:pgMar w:top="1440" w:right="1440" w:bottom="1440" w:left="1440" w:header="720" w:footer="720" w:gutter="0"/>
      <w:pgNumType w:start="3"/>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04443" w14:textId="77777777" w:rsidR="00AD67B9" w:rsidRDefault="00AD67B9" w:rsidP="00AD67B9">
      <w:r>
        <w:separator/>
      </w:r>
    </w:p>
  </w:endnote>
  <w:endnote w:type="continuationSeparator" w:id="0">
    <w:p w14:paraId="57BC87AC" w14:textId="77777777" w:rsidR="00AD67B9" w:rsidRDefault="00AD67B9" w:rsidP="00AD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06DE8" w14:textId="77777777" w:rsidR="00B30316" w:rsidRDefault="00B30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8DCEE" w14:textId="519F2EFF" w:rsidR="00315722" w:rsidRPr="00643DE8" w:rsidRDefault="00E57102" w:rsidP="00643DE8">
    <w:pPr>
      <w:pStyle w:val="Footer"/>
    </w:pPr>
    <w:r w:rsidRPr="00E57102">
      <w:rPr>
        <w:noProof/>
        <w:vanish/>
        <w:sz w:val="16"/>
      </w:rPr>
      <w:t>{</w:t>
    </w:r>
    <w:r w:rsidRPr="00E57102">
      <w:rPr>
        <w:noProof/>
        <w:sz w:val="16"/>
      </w:rPr>
      <w:t>C0100668:1</w:t>
    </w:r>
    <w:r w:rsidRPr="00E57102">
      <w:rPr>
        <w:noProof/>
        <w:vanish/>
        <w:sz w:val="16"/>
      </w:rPr>
      <w:t>}</w:t>
    </w:r>
    <w:r w:rsidR="00315722">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E3D8" w14:textId="000DF033" w:rsidR="00315722" w:rsidRPr="00DD2063" w:rsidRDefault="00E57102">
    <w:pPr>
      <w:pStyle w:val="Footer"/>
    </w:pPr>
    <w:r w:rsidRPr="00E57102">
      <w:rPr>
        <w:noProof/>
        <w:vanish/>
        <w:sz w:val="16"/>
      </w:rPr>
      <w:t>{</w:t>
    </w:r>
    <w:r w:rsidRPr="00E57102">
      <w:rPr>
        <w:noProof/>
        <w:sz w:val="16"/>
      </w:rPr>
      <w:t>C0100668:1</w:t>
    </w:r>
    <w:r w:rsidRPr="00E57102">
      <w:rPr>
        <w:noProof/>
        <w:vanish/>
        <w:sz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E686" w14:textId="547D0729" w:rsidR="003B1DFB" w:rsidRPr="005102EC" w:rsidRDefault="00E57102" w:rsidP="005102EC">
    <w:pPr>
      <w:pStyle w:val="Footer"/>
    </w:pPr>
    <w:r w:rsidRPr="00E57102">
      <w:rPr>
        <w:noProof/>
        <w:vanish/>
        <w:sz w:val="16"/>
      </w:rPr>
      <w:t>{</w:t>
    </w:r>
    <w:r w:rsidRPr="00E57102">
      <w:rPr>
        <w:noProof/>
        <w:sz w:val="16"/>
      </w:rPr>
      <w:t>C0100668:1</w:t>
    </w:r>
    <w:r w:rsidRPr="00E57102">
      <w:rPr>
        <w:noProof/>
        <w:vanish/>
        <w:sz w:val="16"/>
      </w:rPr>
      <w:t>}</w:t>
    </w:r>
    <w:r w:rsidR="005102EC">
      <w:tab/>
    </w:r>
    <w:sdt>
      <w:sdtPr>
        <w:id w:val="-1056935742"/>
        <w:docPartObj>
          <w:docPartGallery w:val="Page Numbers (Bottom of Page)"/>
          <w:docPartUnique/>
        </w:docPartObj>
      </w:sdtPr>
      <w:sdtEndPr>
        <w:rPr>
          <w:noProof/>
        </w:rPr>
      </w:sdtEndPr>
      <w:sdtContent>
        <w:r w:rsidR="003B1DFB" w:rsidRPr="005102EC">
          <w:fldChar w:fldCharType="begin"/>
        </w:r>
        <w:r w:rsidR="003B1DFB" w:rsidRPr="005102EC">
          <w:instrText xml:space="preserve"> PAGE   \* MERGEFORMAT </w:instrText>
        </w:r>
        <w:r w:rsidR="003B1DFB" w:rsidRPr="005102EC">
          <w:fldChar w:fldCharType="separate"/>
        </w:r>
        <w:r w:rsidR="0063176F">
          <w:rPr>
            <w:noProof/>
          </w:rPr>
          <w:t>10</w:t>
        </w:r>
        <w:r w:rsidR="003B1DFB" w:rsidRPr="005102EC">
          <w:rPr>
            <w:noProof/>
          </w:rPr>
          <w:fldChar w:fldCharType="end"/>
        </w:r>
      </w:sdtContent>
    </w:sdt>
  </w:p>
  <w:p w14:paraId="4D03258A" w14:textId="77777777" w:rsidR="00463A52" w:rsidRPr="005102EC" w:rsidRDefault="00463A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11565" w14:textId="2FD9C280" w:rsidR="00463A52" w:rsidRPr="006038FC" w:rsidRDefault="00E57102" w:rsidP="006038FC">
    <w:pPr>
      <w:pStyle w:val="Footer"/>
    </w:pPr>
    <w:r w:rsidRPr="00E57102">
      <w:rPr>
        <w:noProof/>
        <w:vanish/>
        <w:sz w:val="16"/>
      </w:rPr>
      <w:t>{</w:t>
    </w:r>
    <w:r w:rsidRPr="00E57102">
      <w:rPr>
        <w:noProof/>
        <w:sz w:val="16"/>
      </w:rPr>
      <w:t>C0100668:1</w:t>
    </w:r>
    <w:r w:rsidRPr="00E57102">
      <w:rPr>
        <w:noProof/>
        <w:vanish/>
        <w:sz w:val="16"/>
      </w:rPr>
      <w:t>}</w:t>
    </w:r>
    <w:r w:rsidR="006038FC">
      <w:tab/>
    </w:r>
    <w:sdt>
      <w:sdtPr>
        <w:id w:val="-1617909477"/>
        <w:docPartObj>
          <w:docPartGallery w:val="Page Numbers (Bottom of Page)"/>
          <w:docPartUnique/>
        </w:docPartObj>
      </w:sdtPr>
      <w:sdtEndPr>
        <w:rPr>
          <w:noProof/>
        </w:rPr>
      </w:sdtEndPr>
      <w:sdtContent/>
    </w:sdt>
  </w:p>
  <w:p w14:paraId="4CFEA579" w14:textId="77777777" w:rsidR="00463A52" w:rsidRPr="006038FC" w:rsidRDefault="00463A52" w:rsidP="00DB142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C80C" w14:textId="59BF783C" w:rsidR="003B1DFB" w:rsidRPr="005102EC" w:rsidRDefault="00E57102" w:rsidP="005102EC">
    <w:pPr>
      <w:pStyle w:val="Footer"/>
    </w:pPr>
    <w:r w:rsidRPr="00E57102">
      <w:rPr>
        <w:noProof/>
        <w:vanish/>
        <w:sz w:val="16"/>
      </w:rPr>
      <w:t>{</w:t>
    </w:r>
    <w:r w:rsidRPr="00E57102">
      <w:rPr>
        <w:noProof/>
        <w:sz w:val="16"/>
      </w:rPr>
      <w:t>C0100668:1</w:t>
    </w:r>
    <w:r w:rsidRPr="00E57102">
      <w:rPr>
        <w:noProof/>
        <w:vanish/>
        <w:sz w:val="16"/>
      </w:rPr>
      <w:t>}</w:t>
    </w:r>
    <w:r w:rsidR="005102EC">
      <w:tab/>
    </w:r>
    <w:sdt>
      <w:sdtPr>
        <w:id w:val="-1268461266"/>
        <w:docPartObj>
          <w:docPartGallery w:val="Page Numbers (Bottom of Page)"/>
          <w:docPartUnique/>
        </w:docPartObj>
      </w:sdtPr>
      <w:sdtEndPr>
        <w:rPr>
          <w:noProof/>
        </w:rPr>
      </w:sdtEndPr>
      <w:sdtContent>
        <w:r w:rsidR="003B1DFB" w:rsidRPr="005102EC">
          <w:fldChar w:fldCharType="begin"/>
        </w:r>
        <w:r w:rsidR="003B1DFB" w:rsidRPr="005102EC">
          <w:instrText xml:space="preserve"> PAGE   \* MERGEFORMAT </w:instrText>
        </w:r>
        <w:r w:rsidR="003B1DFB" w:rsidRPr="005102EC">
          <w:fldChar w:fldCharType="separate"/>
        </w:r>
        <w:r w:rsidR="0077799C">
          <w:rPr>
            <w:noProof/>
          </w:rPr>
          <w:t>1</w:t>
        </w:r>
        <w:r w:rsidR="003B1DFB" w:rsidRPr="005102EC">
          <w:rPr>
            <w:noProof/>
          </w:rPr>
          <w:fldChar w:fldCharType="end"/>
        </w:r>
      </w:sdtContent>
    </w:sdt>
  </w:p>
  <w:p w14:paraId="703C450E" w14:textId="77777777" w:rsidR="003B1DFB" w:rsidRPr="005102EC" w:rsidRDefault="003B1D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B8862" w14:textId="0CB7AEB6" w:rsidR="003B1DFB" w:rsidRPr="006038FC" w:rsidRDefault="00E57102" w:rsidP="006038FC">
    <w:pPr>
      <w:pStyle w:val="Footer"/>
    </w:pPr>
    <w:r w:rsidRPr="00E57102">
      <w:rPr>
        <w:noProof/>
        <w:vanish/>
        <w:sz w:val="16"/>
      </w:rPr>
      <w:t>{</w:t>
    </w:r>
    <w:r w:rsidRPr="00E57102">
      <w:rPr>
        <w:noProof/>
        <w:sz w:val="16"/>
      </w:rPr>
      <w:t>C0100668:1</w:t>
    </w:r>
    <w:r w:rsidRPr="00E57102">
      <w:rPr>
        <w:noProof/>
        <w:vanish/>
        <w:sz w:val="16"/>
      </w:rPr>
      <w:t>}</w:t>
    </w:r>
    <w:r w:rsidR="003B1DFB">
      <w:tab/>
    </w:r>
    <w:sdt>
      <w:sdtPr>
        <w:id w:val="142626583"/>
        <w:docPartObj>
          <w:docPartGallery w:val="Page Numbers (Bottom of Page)"/>
          <w:docPartUnique/>
        </w:docPartObj>
      </w:sdtPr>
      <w:sdtEndPr>
        <w:rPr>
          <w:noProof/>
        </w:rPr>
      </w:sdtEndPr>
      <w:sdtContent/>
    </w:sdt>
  </w:p>
  <w:p w14:paraId="2A0BEBF9" w14:textId="77777777" w:rsidR="003B1DFB" w:rsidRPr="006038FC" w:rsidRDefault="003B1DFB" w:rsidP="00DB1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E4A7" w14:textId="77777777" w:rsidR="00AD67B9" w:rsidRDefault="00AD67B9" w:rsidP="00AD67B9">
      <w:pPr>
        <w:rPr>
          <w:noProof/>
        </w:rPr>
      </w:pPr>
      <w:r>
        <w:rPr>
          <w:noProof/>
        </w:rPr>
        <w:separator/>
      </w:r>
    </w:p>
  </w:footnote>
  <w:footnote w:type="continuationSeparator" w:id="0">
    <w:p w14:paraId="29D7CCC7" w14:textId="77777777" w:rsidR="00AD67B9" w:rsidRDefault="00AD67B9" w:rsidP="00AD67B9">
      <w:r>
        <w:continuationSeparator/>
      </w:r>
    </w:p>
  </w:footnote>
  <w:footnote w:id="1">
    <w:p w14:paraId="54773142" w14:textId="3C6EC73F" w:rsidR="00711523" w:rsidRDefault="00711523" w:rsidP="004337C6">
      <w:pPr>
        <w:pStyle w:val="FootnoteText"/>
        <w:spacing w:after="120"/>
      </w:pPr>
      <w:r>
        <w:rPr>
          <w:rStyle w:val="FootnoteReference"/>
        </w:rPr>
        <w:footnoteRef/>
      </w:r>
      <w:r>
        <w:t xml:space="preserve"> </w:t>
      </w:r>
      <w:r w:rsidRPr="002C4FAC">
        <w:rPr>
          <w:rFonts w:cs="Arial"/>
          <w:i/>
          <w:iCs/>
        </w:rPr>
        <w:t xml:space="preserve">In re </w:t>
      </w:r>
      <w:r>
        <w:rPr>
          <w:rFonts w:cs="Arial"/>
          <w:i/>
          <w:iCs/>
        </w:rPr>
        <w:t xml:space="preserve">the Matter of the </w:t>
      </w:r>
      <w:r w:rsidRPr="002C4FAC">
        <w:rPr>
          <w:rFonts w:cs="Arial"/>
          <w:i/>
          <w:iCs/>
        </w:rPr>
        <w:t>Complaints of Inscho v. Shroyer's Mobile Homes,</w:t>
      </w:r>
      <w:r w:rsidRPr="002C4FAC">
        <w:rPr>
          <w:rFonts w:cs="Arial"/>
        </w:rPr>
        <w:t xml:space="preserve"> Case Nos. 90-182-WS-CSS, </w:t>
      </w:r>
      <w:r w:rsidRPr="002C4FAC">
        <w:rPr>
          <w:rFonts w:cs="Arial"/>
          <w:i/>
        </w:rPr>
        <w:t>et al</w:t>
      </w:r>
      <w:r w:rsidRPr="002C4FAC">
        <w:rPr>
          <w:rFonts w:cs="Arial"/>
        </w:rPr>
        <w:t xml:space="preserve">., </w:t>
      </w:r>
      <w:r w:rsidR="00E95099">
        <w:rPr>
          <w:rFonts w:cs="Arial"/>
        </w:rPr>
        <w:t xml:space="preserve">Opinion and Order </w:t>
      </w:r>
      <w:r w:rsidRPr="002C4FAC">
        <w:rPr>
          <w:rFonts w:cs="Arial"/>
        </w:rPr>
        <w:t>(Feb. 27, 1992)</w:t>
      </w:r>
      <w:r w:rsidR="00EB58EB">
        <w:rPr>
          <w:rFonts w:cs="Arial"/>
        </w:rPr>
        <w:t xml:space="preserve"> (</w:t>
      </w:r>
      <w:r w:rsidR="00EB58EB" w:rsidRPr="00EB58EB">
        <w:rPr>
          <w:rFonts w:cs="Arial"/>
          <w:i/>
        </w:rPr>
        <w:t>Shroyer</w:t>
      </w:r>
      <w:r w:rsidR="00EB58EB">
        <w:rPr>
          <w:rFonts w:cs="Arial"/>
        </w:rPr>
        <w:t xml:space="preserve"> or </w:t>
      </w:r>
      <w:r w:rsidR="00EB58EB" w:rsidRPr="00FA3041">
        <w:rPr>
          <w:rFonts w:cs="Arial"/>
          <w:i/>
        </w:rPr>
        <w:t>Shroyer Test</w:t>
      </w:r>
      <w:r w:rsidR="00EB58EB">
        <w:rPr>
          <w:rFonts w:cs="Arial"/>
        </w:rPr>
        <w:t xml:space="preserve"> as the context suggests).</w:t>
      </w:r>
    </w:p>
  </w:footnote>
  <w:footnote w:id="2">
    <w:p w14:paraId="3F83A8D3" w14:textId="093554B4" w:rsidR="000D7447" w:rsidRDefault="000D7447" w:rsidP="004337C6">
      <w:pPr>
        <w:pStyle w:val="FootnoteText"/>
        <w:spacing w:after="120"/>
      </w:pPr>
      <w:r>
        <w:rPr>
          <w:rStyle w:val="FootnoteReference"/>
        </w:rPr>
        <w:footnoteRef/>
      </w:r>
      <w:r>
        <w:t xml:space="preserve"> This memorandum opposing rehearing addresses a subset of the assignments of error in the applications for rehearing filed on January 6, 2017 in this matter.  Failure to address a particular assignment of error should not be viewed as agreement </w:t>
      </w:r>
      <w:r w:rsidR="0054137E">
        <w:t xml:space="preserve">or disagreement </w:t>
      </w:r>
      <w:r>
        <w:t>with that assignment of error.</w:t>
      </w:r>
    </w:p>
  </w:footnote>
  <w:footnote w:id="3">
    <w:p w14:paraId="25C33A93" w14:textId="09113DC6" w:rsidR="00F17D2C" w:rsidRDefault="00F17D2C">
      <w:pPr>
        <w:pStyle w:val="FootnoteText"/>
      </w:pPr>
      <w:r>
        <w:rPr>
          <w:rStyle w:val="FootnoteReference"/>
        </w:rPr>
        <w:footnoteRef/>
      </w:r>
      <w:r>
        <w:t xml:space="preserve"> OCC has filed a complaint seeking similar relief.  That complaint remains pending.  </w:t>
      </w:r>
      <w:r w:rsidR="009760A8" w:rsidRPr="008350D5">
        <w:rPr>
          <w:i/>
        </w:rPr>
        <w:t>Office of the Ohio Consumers’ Counsel v. Ohio Power Company</w:t>
      </w:r>
      <w:r w:rsidR="009760A8">
        <w:t>, Case No. 16-782-EL-CSS, Complaint</w:t>
      </w:r>
      <w:r w:rsidR="007C5297">
        <w:t xml:space="preserve"> (</w:t>
      </w:r>
      <w:r w:rsidR="00C823FD">
        <w:t xml:space="preserve">Apr. </w:t>
      </w:r>
      <w:r w:rsidR="007C5297">
        <w:t>12, 2016)</w:t>
      </w:r>
      <w:r w:rsidR="00025F33">
        <w:t xml:space="preserve"> (“</w:t>
      </w:r>
      <w:r w:rsidR="00025F33" w:rsidRPr="002F44CB">
        <w:rPr>
          <w:i/>
        </w:rPr>
        <w:t>OCC Submetering Complaint</w:t>
      </w:r>
      <w:r w:rsidR="00025F33">
        <w:t>”)</w:t>
      </w:r>
      <w:r w:rsidR="007C5297">
        <w:t>.</w:t>
      </w:r>
    </w:p>
  </w:footnote>
  <w:footnote w:id="4">
    <w:p w14:paraId="631040F3" w14:textId="67DC92FD" w:rsidR="00722BEC" w:rsidRDefault="00722BEC" w:rsidP="00722BEC">
      <w:pPr>
        <w:pStyle w:val="FootnoteText"/>
        <w:spacing w:after="120"/>
      </w:pPr>
      <w:r>
        <w:rPr>
          <w:rStyle w:val="FootnoteReference"/>
        </w:rPr>
        <w:footnoteRef/>
      </w:r>
      <w:r>
        <w:t xml:space="preserve"> Ohio Power Company and Duke Energy Ohio, Inc. offered some general comments about the benefits of regulation, but did not claim non-residential customers operating under shared service arrangements were adversely affected by those arrangement</w:t>
      </w:r>
      <w:r w:rsidR="00BC4CD0">
        <w:t>s</w:t>
      </w:r>
      <w:r>
        <w:t xml:space="preserve">.  Initial Comments of Ohio Power Company and Duke Energy Ohio, Inc. (Jan. 21, 2016).  Ohio Power Company has broadened its claims regarding the application of regulation in a complaint case filed by the Office of the Ohio Consumers’ Counsel, but the assertions it makes remain generalized.  </w:t>
      </w:r>
      <w:r w:rsidR="00025F33">
        <w:rPr>
          <w:i/>
        </w:rPr>
        <w:t>OCC Submetering Complaint</w:t>
      </w:r>
      <w:r>
        <w:t xml:space="preserve">, Ohio Power Company’s Motion for Tariff Amendment (Apr. 27, 2016).  Ohio Power Company’s motion has been opposed on multiple grounds because it is unlawful and unreasonable.  </w:t>
      </w:r>
      <w:r>
        <w:rPr>
          <w:i/>
        </w:rPr>
        <w:t>See, e.g., id</w:t>
      </w:r>
      <w:r>
        <w:t xml:space="preserve">., Memorandum Opposing Ohio Power Company’s Motion for Tariff Amendment by Industrial Energy Users-Ohio (May 10, 2016).  The lack of complaints by non-residential customers is strong evidence that extension of the Relative Price </w:t>
      </w:r>
      <w:r w:rsidR="009D05B4">
        <w:t xml:space="preserve">Test </w:t>
      </w:r>
      <w:r>
        <w:t>to non-residential shared service arrangements is not warranted even if the Test is lawful and reasonable.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D43FD" w14:textId="77777777" w:rsidR="00B30316" w:rsidRDefault="00B30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C2B9E" w14:textId="77777777" w:rsidR="00B30316" w:rsidRDefault="00B30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D4759" w14:textId="77777777" w:rsidR="00B30316" w:rsidRDefault="00B303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4C5AB" w14:textId="77777777" w:rsidR="00463A52" w:rsidRDefault="00463A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F5A4" w14:textId="77777777" w:rsidR="00463A52" w:rsidRDefault="00463A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FBE27" w14:textId="77777777" w:rsidR="003B1DFB" w:rsidRDefault="003B1DF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4FDF" w14:textId="77777777" w:rsidR="003B1DFB" w:rsidRDefault="003B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5944"/>
    <w:multiLevelType w:val="multilevel"/>
    <w:tmpl w:val="5B8EDD0C"/>
    <w:name w:val="IEU-Ohio Headings-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1" w15:restartNumberingAfterBreak="0">
    <w:nsid w:val="3E3C4DB0"/>
    <w:multiLevelType w:val="hybridMultilevel"/>
    <w:tmpl w:val="A32650F8"/>
    <w:lvl w:ilvl="0" w:tplc="C9F671E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0D269EE"/>
    <w:multiLevelType w:val="hybridMultilevel"/>
    <w:tmpl w:val="133E9BFA"/>
    <w:name w:val="(Unnamed Numbering Scheme)"/>
    <w:lvl w:ilvl="0" w:tplc="171E57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Ohio Headings&lt;/Name&gt;&lt;Description&gt; &lt;/Description&gt;&lt;FilterID&gt;0&lt;/FilterID&gt;&lt;CustomTOCAttached&gt;false&lt;/CustomTOCAttached&gt;&lt;DefaultTOCSchemeID&gt;0&lt;/DefaultTOCSchemeID&gt;&lt;BitMapID&gt;2&lt;/BitMapID&gt;&lt;Hidden&gt;false&lt;/Hidden&gt;&lt;ListIndexUsed&gt;0&lt;/ListIndexUsed&gt;&lt;CapturedDocument&gt;M:\CLIENTS\18480\0067\C46880.DOCX&lt;/CapturedDocument&gt;&lt;CreatedByEndUser&gt;true&lt;/CreatedByEndUser&gt;&lt;ConnectionType&gt;User&lt;/ConnectionType&gt;&lt;EnforceSchemeFont&gt;false&lt;/EnforceSchemeFont&gt;&lt;/SelectedNumberingScheme&gt;&lt;SelectedSchemeFilter&gt;&lt;LastUpdated&gt;0001-01-01T00:00:00&lt;/LastUpdated&gt;&lt;FilterID&gt;2&lt;/FilterID&gt;&lt;FilterName&gt;User-Defined Numbering Schemes&lt;/FilterName&gt;&lt;FilterNameFrench&gt;Schémas de numérotation définis par l'utilisateur&lt;/FilterNameFrench&gt;&lt;UserDatabaseOnly&gt;true&lt;/UserDatabaseOnly&gt;&lt;Default&gt;true&lt;/Default&gt;&lt;SortPosition&gt;2&lt;/SortPosition&gt;&lt;/SelectedSchemeFilter&gt;&lt;SelectedNumberingSchemeOptions /&gt;&lt;Index&gt;1&lt;/Index&gt;&lt;/AddedNumberingScheme&gt;&lt;/ArrayOfAddedNumberingScheme&gt;"/>
    <w:docVar w:name="CenterLevel1TOC" w:val="False"/>
    <w:docVar w:name="EnforceSchemeFont" w:val="False"/>
    <w:docVar w:name="ExcludeDirectFormattingInTOC1" w:val="False"/>
    <w:docVar w:name="IncludeTOCAndPageHeadings" w:val="True"/>
    <w:docVar w:name="LastSchemeChoice" w:val="IEU-Ohio Headings"/>
    <w:docVar w:name="LastSchemeUniqueID" w:val="1"/>
    <w:docVar w:name="LegacyNa" w:val="False"/>
    <w:docVar w:name="NoNumberLevel1TOC" w:val="False"/>
    <w:docVar w:name="TOCFormatConst" w:val="0"/>
    <w:docVar w:name="TOCFormatPreference" w:val="Leave TOC styles 'as is' in current document (default)"/>
    <w:docVar w:name="TOCHeadingAllCaps" w:val="False"/>
    <w:docVar w:name="TOCHeadingUnderlined" w:val="False"/>
    <w:docVar w:name="TOCIncludeSectionBreaks1" w:val="False"/>
    <w:docVar w:name="TOCPageUnderlined" w:val="False"/>
    <w:docVar w:name="TOCPosition" w:val="4"/>
    <w:docVar w:name="TOCRun" w:val="True"/>
    <w:docVar w:name="TOCSpecialLevels1" w:val="False"/>
    <w:docVar w:name="UnderlineTOCLevel1" w:val="False"/>
    <w:docVar w:name="UpperLevelTOC" w:val="3"/>
  </w:docVars>
  <w:rsids>
    <w:rsidRoot w:val="0093110F"/>
    <w:rsid w:val="0000404C"/>
    <w:rsid w:val="00006793"/>
    <w:rsid w:val="0000766E"/>
    <w:rsid w:val="0001072F"/>
    <w:rsid w:val="00012D8F"/>
    <w:rsid w:val="000158E9"/>
    <w:rsid w:val="000160B6"/>
    <w:rsid w:val="00016187"/>
    <w:rsid w:val="00022216"/>
    <w:rsid w:val="000242D8"/>
    <w:rsid w:val="00025F33"/>
    <w:rsid w:val="00026091"/>
    <w:rsid w:val="00030985"/>
    <w:rsid w:val="00031BB5"/>
    <w:rsid w:val="0003342B"/>
    <w:rsid w:val="00033FA8"/>
    <w:rsid w:val="00035CEA"/>
    <w:rsid w:val="00036C4B"/>
    <w:rsid w:val="00036EFD"/>
    <w:rsid w:val="000409CB"/>
    <w:rsid w:val="00047209"/>
    <w:rsid w:val="00047886"/>
    <w:rsid w:val="00047DE5"/>
    <w:rsid w:val="000537C8"/>
    <w:rsid w:val="00054C2E"/>
    <w:rsid w:val="000551F0"/>
    <w:rsid w:val="0005602E"/>
    <w:rsid w:val="0005730D"/>
    <w:rsid w:val="00060636"/>
    <w:rsid w:val="00060D81"/>
    <w:rsid w:val="00063C45"/>
    <w:rsid w:val="00066D65"/>
    <w:rsid w:val="00071A0C"/>
    <w:rsid w:val="000835A8"/>
    <w:rsid w:val="000837DE"/>
    <w:rsid w:val="00085023"/>
    <w:rsid w:val="00087C8D"/>
    <w:rsid w:val="0009257C"/>
    <w:rsid w:val="00092D57"/>
    <w:rsid w:val="000934F5"/>
    <w:rsid w:val="0009351C"/>
    <w:rsid w:val="00095339"/>
    <w:rsid w:val="000959E3"/>
    <w:rsid w:val="000A0C26"/>
    <w:rsid w:val="000A1B18"/>
    <w:rsid w:val="000A2A2C"/>
    <w:rsid w:val="000A2AF2"/>
    <w:rsid w:val="000A5199"/>
    <w:rsid w:val="000A5338"/>
    <w:rsid w:val="000A6C3F"/>
    <w:rsid w:val="000A7DD0"/>
    <w:rsid w:val="000B2F8E"/>
    <w:rsid w:val="000C1E46"/>
    <w:rsid w:val="000C330E"/>
    <w:rsid w:val="000C41DB"/>
    <w:rsid w:val="000C57C8"/>
    <w:rsid w:val="000C6820"/>
    <w:rsid w:val="000D5632"/>
    <w:rsid w:val="000D5723"/>
    <w:rsid w:val="000D7447"/>
    <w:rsid w:val="000E13E5"/>
    <w:rsid w:val="000E39EB"/>
    <w:rsid w:val="000E4119"/>
    <w:rsid w:val="000E467B"/>
    <w:rsid w:val="000E7262"/>
    <w:rsid w:val="000E7DCB"/>
    <w:rsid w:val="000F1683"/>
    <w:rsid w:val="000F2197"/>
    <w:rsid w:val="000F51B8"/>
    <w:rsid w:val="000F7DA8"/>
    <w:rsid w:val="000F7E4B"/>
    <w:rsid w:val="00101046"/>
    <w:rsid w:val="00101CC0"/>
    <w:rsid w:val="00102952"/>
    <w:rsid w:val="00104F8D"/>
    <w:rsid w:val="00112356"/>
    <w:rsid w:val="001127E2"/>
    <w:rsid w:val="00112F85"/>
    <w:rsid w:val="00113BB7"/>
    <w:rsid w:val="0011548E"/>
    <w:rsid w:val="001158D8"/>
    <w:rsid w:val="0011595B"/>
    <w:rsid w:val="001161E3"/>
    <w:rsid w:val="00121344"/>
    <w:rsid w:val="00123312"/>
    <w:rsid w:val="001252CE"/>
    <w:rsid w:val="0013388A"/>
    <w:rsid w:val="00133EBE"/>
    <w:rsid w:val="001358A2"/>
    <w:rsid w:val="00141AC9"/>
    <w:rsid w:val="00144C4A"/>
    <w:rsid w:val="00144CE9"/>
    <w:rsid w:val="00144ED3"/>
    <w:rsid w:val="0014769C"/>
    <w:rsid w:val="00150F55"/>
    <w:rsid w:val="00152167"/>
    <w:rsid w:val="001536E8"/>
    <w:rsid w:val="00153B10"/>
    <w:rsid w:val="00154E8B"/>
    <w:rsid w:val="0015511E"/>
    <w:rsid w:val="00155ABE"/>
    <w:rsid w:val="001605A5"/>
    <w:rsid w:val="00161D9C"/>
    <w:rsid w:val="001620E4"/>
    <w:rsid w:val="00162DB6"/>
    <w:rsid w:val="00170AE7"/>
    <w:rsid w:val="0017189D"/>
    <w:rsid w:val="0017257A"/>
    <w:rsid w:val="00172ADE"/>
    <w:rsid w:val="00172D86"/>
    <w:rsid w:val="00175018"/>
    <w:rsid w:val="00177050"/>
    <w:rsid w:val="00177156"/>
    <w:rsid w:val="001813F1"/>
    <w:rsid w:val="00181449"/>
    <w:rsid w:val="00181BBA"/>
    <w:rsid w:val="001830A1"/>
    <w:rsid w:val="00183E10"/>
    <w:rsid w:val="00194858"/>
    <w:rsid w:val="0019564F"/>
    <w:rsid w:val="001A46F1"/>
    <w:rsid w:val="001A6DCE"/>
    <w:rsid w:val="001A6E7E"/>
    <w:rsid w:val="001B180F"/>
    <w:rsid w:val="001B32B5"/>
    <w:rsid w:val="001C5C1E"/>
    <w:rsid w:val="001C5EE8"/>
    <w:rsid w:val="001C6852"/>
    <w:rsid w:val="001C738B"/>
    <w:rsid w:val="001C7E5C"/>
    <w:rsid w:val="001D126E"/>
    <w:rsid w:val="001D1712"/>
    <w:rsid w:val="001D203D"/>
    <w:rsid w:val="001D36FA"/>
    <w:rsid w:val="001D3AF2"/>
    <w:rsid w:val="001D6877"/>
    <w:rsid w:val="001D6F00"/>
    <w:rsid w:val="001E1BD4"/>
    <w:rsid w:val="001E2AB6"/>
    <w:rsid w:val="001E3127"/>
    <w:rsid w:val="001E4E5B"/>
    <w:rsid w:val="001E5C4B"/>
    <w:rsid w:val="001E6749"/>
    <w:rsid w:val="001E7113"/>
    <w:rsid w:val="001F0437"/>
    <w:rsid w:val="001F4312"/>
    <w:rsid w:val="001F6C98"/>
    <w:rsid w:val="00201FC8"/>
    <w:rsid w:val="002026F3"/>
    <w:rsid w:val="0020646B"/>
    <w:rsid w:val="0021008C"/>
    <w:rsid w:val="00211E0F"/>
    <w:rsid w:val="002139F1"/>
    <w:rsid w:val="00213EFD"/>
    <w:rsid w:val="002161EA"/>
    <w:rsid w:val="0021641E"/>
    <w:rsid w:val="00217E3F"/>
    <w:rsid w:val="0022180E"/>
    <w:rsid w:val="00233099"/>
    <w:rsid w:val="002336D6"/>
    <w:rsid w:val="00233900"/>
    <w:rsid w:val="00234C33"/>
    <w:rsid w:val="00246DAB"/>
    <w:rsid w:val="0026036C"/>
    <w:rsid w:val="00260A03"/>
    <w:rsid w:val="00260C20"/>
    <w:rsid w:val="00261EC8"/>
    <w:rsid w:val="00263028"/>
    <w:rsid w:val="00265640"/>
    <w:rsid w:val="002710BC"/>
    <w:rsid w:val="00273327"/>
    <w:rsid w:val="00275346"/>
    <w:rsid w:val="002805BD"/>
    <w:rsid w:val="00284A70"/>
    <w:rsid w:val="0028704D"/>
    <w:rsid w:val="00295916"/>
    <w:rsid w:val="00296D2B"/>
    <w:rsid w:val="002A17C4"/>
    <w:rsid w:val="002A185F"/>
    <w:rsid w:val="002A3E9C"/>
    <w:rsid w:val="002A598C"/>
    <w:rsid w:val="002A69E9"/>
    <w:rsid w:val="002B3381"/>
    <w:rsid w:val="002B351B"/>
    <w:rsid w:val="002B4160"/>
    <w:rsid w:val="002B78C8"/>
    <w:rsid w:val="002C418B"/>
    <w:rsid w:val="002C4FAC"/>
    <w:rsid w:val="002D0748"/>
    <w:rsid w:val="002D28E1"/>
    <w:rsid w:val="002D2B4E"/>
    <w:rsid w:val="002D39FB"/>
    <w:rsid w:val="002D4874"/>
    <w:rsid w:val="002D539A"/>
    <w:rsid w:val="002D551C"/>
    <w:rsid w:val="002D559F"/>
    <w:rsid w:val="002E09A3"/>
    <w:rsid w:val="002E29BD"/>
    <w:rsid w:val="002E4926"/>
    <w:rsid w:val="002E4FFE"/>
    <w:rsid w:val="002E58D5"/>
    <w:rsid w:val="002F04E0"/>
    <w:rsid w:val="002F0611"/>
    <w:rsid w:val="002F0CE0"/>
    <w:rsid w:val="002F40D3"/>
    <w:rsid w:val="002F44CB"/>
    <w:rsid w:val="002F6CC9"/>
    <w:rsid w:val="002F7D6A"/>
    <w:rsid w:val="00304369"/>
    <w:rsid w:val="00305BA4"/>
    <w:rsid w:val="00306CE6"/>
    <w:rsid w:val="0031003A"/>
    <w:rsid w:val="003114AB"/>
    <w:rsid w:val="0031451B"/>
    <w:rsid w:val="00315722"/>
    <w:rsid w:val="00316379"/>
    <w:rsid w:val="00321976"/>
    <w:rsid w:val="00326353"/>
    <w:rsid w:val="003349A6"/>
    <w:rsid w:val="00334B29"/>
    <w:rsid w:val="0033581C"/>
    <w:rsid w:val="00337B69"/>
    <w:rsid w:val="003416D5"/>
    <w:rsid w:val="00342A3F"/>
    <w:rsid w:val="00343047"/>
    <w:rsid w:val="003432C4"/>
    <w:rsid w:val="00346B25"/>
    <w:rsid w:val="0035176A"/>
    <w:rsid w:val="00352B09"/>
    <w:rsid w:val="00353602"/>
    <w:rsid w:val="00353CF5"/>
    <w:rsid w:val="00353D12"/>
    <w:rsid w:val="0035675F"/>
    <w:rsid w:val="003571AF"/>
    <w:rsid w:val="003574BA"/>
    <w:rsid w:val="003602B8"/>
    <w:rsid w:val="00360362"/>
    <w:rsid w:val="0036036E"/>
    <w:rsid w:val="00362B13"/>
    <w:rsid w:val="00370623"/>
    <w:rsid w:val="00371A2A"/>
    <w:rsid w:val="003725B0"/>
    <w:rsid w:val="00372EB2"/>
    <w:rsid w:val="00373C8B"/>
    <w:rsid w:val="00376469"/>
    <w:rsid w:val="00377213"/>
    <w:rsid w:val="003800E2"/>
    <w:rsid w:val="00381239"/>
    <w:rsid w:val="003835FD"/>
    <w:rsid w:val="00383AEF"/>
    <w:rsid w:val="0039059B"/>
    <w:rsid w:val="00390ED8"/>
    <w:rsid w:val="00391D70"/>
    <w:rsid w:val="003A089D"/>
    <w:rsid w:val="003A111A"/>
    <w:rsid w:val="003A63A3"/>
    <w:rsid w:val="003A6986"/>
    <w:rsid w:val="003B119E"/>
    <w:rsid w:val="003B178A"/>
    <w:rsid w:val="003B1DFB"/>
    <w:rsid w:val="003B2009"/>
    <w:rsid w:val="003B22D9"/>
    <w:rsid w:val="003B537D"/>
    <w:rsid w:val="003B5A56"/>
    <w:rsid w:val="003B7EA6"/>
    <w:rsid w:val="003C45D4"/>
    <w:rsid w:val="003C4655"/>
    <w:rsid w:val="003C4B1F"/>
    <w:rsid w:val="003C5336"/>
    <w:rsid w:val="003C65EB"/>
    <w:rsid w:val="003D0CED"/>
    <w:rsid w:val="003D790A"/>
    <w:rsid w:val="003E07E8"/>
    <w:rsid w:val="003E1A88"/>
    <w:rsid w:val="003E29F9"/>
    <w:rsid w:val="003E401F"/>
    <w:rsid w:val="003E4F89"/>
    <w:rsid w:val="003E66E9"/>
    <w:rsid w:val="003E6AD4"/>
    <w:rsid w:val="003F018D"/>
    <w:rsid w:val="003F19F7"/>
    <w:rsid w:val="003F4753"/>
    <w:rsid w:val="003F7085"/>
    <w:rsid w:val="003F7936"/>
    <w:rsid w:val="003F79A1"/>
    <w:rsid w:val="0040611B"/>
    <w:rsid w:val="00406C39"/>
    <w:rsid w:val="00406CFE"/>
    <w:rsid w:val="004077F4"/>
    <w:rsid w:val="0041152E"/>
    <w:rsid w:val="00411E65"/>
    <w:rsid w:val="00412E9A"/>
    <w:rsid w:val="00415A31"/>
    <w:rsid w:val="0041780E"/>
    <w:rsid w:val="0041784E"/>
    <w:rsid w:val="00420692"/>
    <w:rsid w:val="00423A3C"/>
    <w:rsid w:val="0043050E"/>
    <w:rsid w:val="00431698"/>
    <w:rsid w:val="004337C6"/>
    <w:rsid w:val="00436BFA"/>
    <w:rsid w:val="0044066D"/>
    <w:rsid w:val="00441502"/>
    <w:rsid w:val="0044243D"/>
    <w:rsid w:val="0044580A"/>
    <w:rsid w:val="00450B37"/>
    <w:rsid w:val="00451CE6"/>
    <w:rsid w:val="004525E0"/>
    <w:rsid w:val="00453CA5"/>
    <w:rsid w:val="00457AD1"/>
    <w:rsid w:val="004628C8"/>
    <w:rsid w:val="00463349"/>
    <w:rsid w:val="00463A52"/>
    <w:rsid w:val="00464814"/>
    <w:rsid w:val="00465027"/>
    <w:rsid w:val="004655DB"/>
    <w:rsid w:val="00467E93"/>
    <w:rsid w:val="004700FB"/>
    <w:rsid w:val="00480521"/>
    <w:rsid w:val="00486F84"/>
    <w:rsid w:val="004973DF"/>
    <w:rsid w:val="004A1831"/>
    <w:rsid w:val="004A2B3B"/>
    <w:rsid w:val="004A3BA3"/>
    <w:rsid w:val="004A6BA0"/>
    <w:rsid w:val="004B0D7D"/>
    <w:rsid w:val="004B1F4C"/>
    <w:rsid w:val="004B2022"/>
    <w:rsid w:val="004B2BB1"/>
    <w:rsid w:val="004B589D"/>
    <w:rsid w:val="004B7629"/>
    <w:rsid w:val="004B7A0E"/>
    <w:rsid w:val="004C10D0"/>
    <w:rsid w:val="004C12AB"/>
    <w:rsid w:val="004C2D60"/>
    <w:rsid w:val="004C57A5"/>
    <w:rsid w:val="004C7642"/>
    <w:rsid w:val="004D20E9"/>
    <w:rsid w:val="004D62AB"/>
    <w:rsid w:val="004E44C0"/>
    <w:rsid w:val="004E4B80"/>
    <w:rsid w:val="004E5DAC"/>
    <w:rsid w:val="004E60D3"/>
    <w:rsid w:val="004E7991"/>
    <w:rsid w:val="004E7C43"/>
    <w:rsid w:val="004F189A"/>
    <w:rsid w:val="004F35B6"/>
    <w:rsid w:val="004F3CE6"/>
    <w:rsid w:val="004F45D4"/>
    <w:rsid w:val="00500752"/>
    <w:rsid w:val="005019D1"/>
    <w:rsid w:val="00502232"/>
    <w:rsid w:val="00503588"/>
    <w:rsid w:val="00505B1C"/>
    <w:rsid w:val="005102EC"/>
    <w:rsid w:val="005107B1"/>
    <w:rsid w:val="00511262"/>
    <w:rsid w:val="005131E5"/>
    <w:rsid w:val="005222CC"/>
    <w:rsid w:val="00523419"/>
    <w:rsid w:val="00523E02"/>
    <w:rsid w:val="0052532C"/>
    <w:rsid w:val="0052772B"/>
    <w:rsid w:val="005307A1"/>
    <w:rsid w:val="00534F0F"/>
    <w:rsid w:val="0053635C"/>
    <w:rsid w:val="00540DAC"/>
    <w:rsid w:val="0054137E"/>
    <w:rsid w:val="00546FAD"/>
    <w:rsid w:val="0054761D"/>
    <w:rsid w:val="00547835"/>
    <w:rsid w:val="00547F79"/>
    <w:rsid w:val="00551654"/>
    <w:rsid w:val="005516C7"/>
    <w:rsid w:val="005544B9"/>
    <w:rsid w:val="00556491"/>
    <w:rsid w:val="0056015D"/>
    <w:rsid w:val="005601E1"/>
    <w:rsid w:val="005612A9"/>
    <w:rsid w:val="00562EA8"/>
    <w:rsid w:val="00563102"/>
    <w:rsid w:val="00563166"/>
    <w:rsid w:val="00563FF3"/>
    <w:rsid w:val="0056487F"/>
    <w:rsid w:val="00564F26"/>
    <w:rsid w:val="005714BF"/>
    <w:rsid w:val="00574364"/>
    <w:rsid w:val="005763A5"/>
    <w:rsid w:val="00576D05"/>
    <w:rsid w:val="00577586"/>
    <w:rsid w:val="005809B4"/>
    <w:rsid w:val="00580D93"/>
    <w:rsid w:val="0058223D"/>
    <w:rsid w:val="0058558E"/>
    <w:rsid w:val="005865DD"/>
    <w:rsid w:val="00586AEF"/>
    <w:rsid w:val="00587978"/>
    <w:rsid w:val="00587F8A"/>
    <w:rsid w:val="00590C79"/>
    <w:rsid w:val="00591D51"/>
    <w:rsid w:val="00591EA9"/>
    <w:rsid w:val="0059327E"/>
    <w:rsid w:val="005945D5"/>
    <w:rsid w:val="005A0EA8"/>
    <w:rsid w:val="005A29B0"/>
    <w:rsid w:val="005A5543"/>
    <w:rsid w:val="005A6335"/>
    <w:rsid w:val="005B0E6A"/>
    <w:rsid w:val="005B23CF"/>
    <w:rsid w:val="005B38D8"/>
    <w:rsid w:val="005B4E98"/>
    <w:rsid w:val="005B6A6D"/>
    <w:rsid w:val="005C18B8"/>
    <w:rsid w:val="005C47B2"/>
    <w:rsid w:val="005C62BE"/>
    <w:rsid w:val="005D0E75"/>
    <w:rsid w:val="005D1E98"/>
    <w:rsid w:val="005D3EA8"/>
    <w:rsid w:val="005D4D14"/>
    <w:rsid w:val="005D5F8D"/>
    <w:rsid w:val="005D760B"/>
    <w:rsid w:val="005D77BC"/>
    <w:rsid w:val="005D795E"/>
    <w:rsid w:val="005E373D"/>
    <w:rsid w:val="005E4D81"/>
    <w:rsid w:val="005F2DE1"/>
    <w:rsid w:val="005F3D46"/>
    <w:rsid w:val="005F4B5A"/>
    <w:rsid w:val="005F59E6"/>
    <w:rsid w:val="006038FC"/>
    <w:rsid w:val="00606CFF"/>
    <w:rsid w:val="00607F08"/>
    <w:rsid w:val="006116C3"/>
    <w:rsid w:val="00613E92"/>
    <w:rsid w:val="00615F91"/>
    <w:rsid w:val="00617956"/>
    <w:rsid w:val="00621FAD"/>
    <w:rsid w:val="00623F9B"/>
    <w:rsid w:val="00625435"/>
    <w:rsid w:val="00630700"/>
    <w:rsid w:val="0063176F"/>
    <w:rsid w:val="00635302"/>
    <w:rsid w:val="006369CA"/>
    <w:rsid w:val="006400AC"/>
    <w:rsid w:val="006407F0"/>
    <w:rsid w:val="0064093F"/>
    <w:rsid w:val="006419E1"/>
    <w:rsid w:val="00642EA0"/>
    <w:rsid w:val="006448B3"/>
    <w:rsid w:val="00647FB3"/>
    <w:rsid w:val="006524BB"/>
    <w:rsid w:val="00652D25"/>
    <w:rsid w:val="006548CC"/>
    <w:rsid w:val="00657125"/>
    <w:rsid w:val="00657A86"/>
    <w:rsid w:val="006619F4"/>
    <w:rsid w:val="00664A97"/>
    <w:rsid w:val="00665258"/>
    <w:rsid w:val="006673FB"/>
    <w:rsid w:val="006679E4"/>
    <w:rsid w:val="00670ACE"/>
    <w:rsid w:val="00674A73"/>
    <w:rsid w:val="00674B6E"/>
    <w:rsid w:val="00675D2E"/>
    <w:rsid w:val="006803EB"/>
    <w:rsid w:val="0068188C"/>
    <w:rsid w:val="0068458A"/>
    <w:rsid w:val="00685269"/>
    <w:rsid w:val="00686204"/>
    <w:rsid w:val="00686338"/>
    <w:rsid w:val="00686767"/>
    <w:rsid w:val="00687DFB"/>
    <w:rsid w:val="00691C19"/>
    <w:rsid w:val="00692B20"/>
    <w:rsid w:val="00694231"/>
    <w:rsid w:val="006A139E"/>
    <w:rsid w:val="006A50DE"/>
    <w:rsid w:val="006A6017"/>
    <w:rsid w:val="006B29FF"/>
    <w:rsid w:val="006B50C2"/>
    <w:rsid w:val="006B5402"/>
    <w:rsid w:val="006C1A9F"/>
    <w:rsid w:val="006C275A"/>
    <w:rsid w:val="006C390C"/>
    <w:rsid w:val="006C40D7"/>
    <w:rsid w:val="006C54D1"/>
    <w:rsid w:val="006C5551"/>
    <w:rsid w:val="006D0CD9"/>
    <w:rsid w:val="006D52DB"/>
    <w:rsid w:val="006D5D01"/>
    <w:rsid w:val="006E6C0F"/>
    <w:rsid w:val="006F0948"/>
    <w:rsid w:val="006F1044"/>
    <w:rsid w:val="006F13C5"/>
    <w:rsid w:val="006F1818"/>
    <w:rsid w:val="006F1DE9"/>
    <w:rsid w:val="006F2261"/>
    <w:rsid w:val="006F2993"/>
    <w:rsid w:val="006F34CD"/>
    <w:rsid w:val="00701704"/>
    <w:rsid w:val="00705781"/>
    <w:rsid w:val="007103BF"/>
    <w:rsid w:val="00711523"/>
    <w:rsid w:val="007118C7"/>
    <w:rsid w:val="00711984"/>
    <w:rsid w:val="00717ADF"/>
    <w:rsid w:val="00720F91"/>
    <w:rsid w:val="00722BEC"/>
    <w:rsid w:val="00724533"/>
    <w:rsid w:val="00726ACB"/>
    <w:rsid w:val="00727586"/>
    <w:rsid w:val="00732F8D"/>
    <w:rsid w:val="00733FB6"/>
    <w:rsid w:val="00734BBE"/>
    <w:rsid w:val="00736C8F"/>
    <w:rsid w:val="00737050"/>
    <w:rsid w:val="00741348"/>
    <w:rsid w:val="007436D6"/>
    <w:rsid w:val="007439FE"/>
    <w:rsid w:val="007470E8"/>
    <w:rsid w:val="00756854"/>
    <w:rsid w:val="00756EDF"/>
    <w:rsid w:val="007573BA"/>
    <w:rsid w:val="007574C9"/>
    <w:rsid w:val="007618E9"/>
    <w:rsid w:val="00762EBD"/>
    <w:rsid w:val="00765F03"/>
    <w:rsid w:val="00766AC4"/>
    <w:rsid w:val="0077046E"/>
    <w:rsid w:val="00771E22"/>
    <w:rsid w:val="007777B8"/>
    <w:rsid w:val="0077799C"/>
    <w:rsid w:val="00777AE2"/>
    <w:rsid w:val="00781B37"/>
    <w:rsid w:val="00781B9E"/>
    <w:rsid w:val="00785A35"/>
    <w:rsid w:val="0078611B"/>
    <w:rsid w:val="00786F07"/>
    <w:rsid w:val="00787456"/>
    <w:rsid w:val="00787D2D"/>
    <w:rsid w:val="007917AA"/>
    <w:rsid w:val="0079346F"/>
    <w:rsid w:val="00793AE8"/>
    <w:rsid w:val="00796E9E"/>
    <w:rsid w:val="007A0ABF"/>
    <w:rsid w:val="007A2250"/>
    <w:rsid w:val="007A23D3"/>
    <w:rsid w:val="007A2663"/>
    <w:rsid w:val="007A6DFB"/>
    <w:rsid w:val="007B0A54"/>
    <w:rsid w:val="007B237E"/>
    <w:rsid w:val="007B69EC"/>
    <w:rsid w:val="007C2E8C"/>
    <w:rsid w:val="007C5297"/>
    <w:rsid w:val="007D144C"/>
    <w:rsid w:val="007D236D"/>
    <w:rsid w:val="007D3592"/>
    <w:rsid w:val="007D4277"/>
    <w:rsid w:val="007D6F85"/>
    <w:rsid w:val="007E0491"/>
    <w:rsid w:val="007E5421"/>
    <w:rsid w:val="007E61C0"/>
    <w:rsid w:val="007F04F6"/>
    <w:rsid w:val="007F3DCC"/>
    <w:rsid w:val="007F5410"/>
    <w:rsid w:val="007F5F7F"/>
    <w:rsid w:val="00800526"/>
    <w:rsid w:val="00806F25"/>
    <w:rsid w:val="008110B8"/>
    <w:rsid w:val="00811E73"/>
    <w:rsid w:val="00820B1A"/>
    <w:rsid w:val="00821479"/>
    <w:rsid w:val="008219F7"/>
    <w:rsid w:val="00823B74"/>
    <w:rsid w:val="008240B3"/>
    <w:rsid w:val="00827EB9"/>
    <w:rsid w:val="0083470A"/>
    <w:rsid w:val="008350D5"/>
    <w:rsid w:val="00835782"/>
    <w:rsid w:val="00843246"/>
    <w:rsid w:val="00843616"/>
    <w:rsid w:val="00844012"/>
    <w:rsid w:val="0085206C"/>
    <w:rsid w:val="0085259D"/>
    <w:rsid w:val="00853169"/>
    <w:rsid w:val="00853E1E"/>
    <w:rsid w:val="00860A32"/>
    <w:rsid w:val="00860D2C"/>
    <w:rsid w:val="0086171D"/>
    <w:rsid w:val="008626C2"/>
    <w:rsid w:val="008664BC"/>
    <w:rsid w:val="00866CA1"/>
    <w:rsid w:val="00875A2D"/>
    <w:rsid w:val="0087708B"/>
    <w:rsid w:val="00877171"/>
    <w:rsid w:val="008777D1"/>
    <w:rsid w:val="00880969"/>
    <w:rsid w:val="0088195D"/>
    <w:rsid w:val="008843F5"/>
    <w:rsid w:val="0088671D"/>
    <w:rsid w:val="0088685B"/>
    <w:rsid w:val="008879C3"/>
    <w:rsid w:val="0089157D"/>
    <w:rsid w:val="00892483"/>
    <w:rsid w:val="008945A6"/>
    <w:rsid w:val="00895CFB"/>
    <w:rsid w:val="008A1D03"/>
    <w:rsid w:val="008A31B0"/>
    <w:rsid w:val="008A6E9F"/>
    <w:rsid w:val="008B1BAA"/>
    <w:rsid w:val="008B39DA"/>
    <w:rsid w:val="008B3C61"/>
    <w:rsid w:val="008B4461"/>
    <w:rsid w:val="008B45D1"/>
    <w:rsid w:val="008B4787"/>
    <w:rsid w:val="008B6FA4"/>
    <w:rsid w:val="008B78ED"/>
    <w:rsid w:val="008C0D05"/>
    <w:rsid w:val="008C3117"/>
    <w:rsid w:val="008C3D01"/>
    <w:rsid w:val="008C645A"/>
    <w:rsid w:val="008D1FB8"/>
    <w:rsid w:val="008D6EC5"/>
    <w:rsid w:val="008D6FE8"/>
    <w:rsid w:val="008E081C"/>
    <w:rsid w:val="008E3BF4"/>
    <w:rsid w:val="008E7435"/>
    <w:rsid w:val="008E7BE6"/>
    <w:rsid w:val="008E7CFE"/>
    <w:rsid w:val="008E7D73"/>
    <w:rsid w:val="008F3F8F"/>
    <w:rsid w:val="008F7577"/>
    <w:rsid w:val="00900565"/>
    <w:rsid w:val="00914814"/>
    <w:rsid w:val="0091707E"/>
    <w:rsid w:val="00921FC9"/>
    <w:rsid w:val="00923531"/>
    <w:rsid w:val="0093110F"/>
    <w:rsid w:val="00931DEA"/>
    <w:rsid w:val="00932561"/>
    <w:rsid w:val="009335F4"/>
    <w:rsid w:val="00935B5A"/>
    <w:rsid w:val="00936847"/>
    <w:rsid w:val="00936BCF"/>
    <w:rsid w:val="009405DE"/>
    <w:rsid w:val="00941B43"/>
    <w:rsid w:val="00941EAA"/>
    <w:rsid w:val="00944309"/>
    <w:rsid w:val="00945100"/>
    <w:rsid w:val="00946EBC"/>
    <w:rsid w:val="00955264"/>
    <w:rsid w:val="00960C25"/>
    <w:rsid w:val="00962E94"/>
    <w:rsid w:val="00965255"/>
    <w:rsid w:val="0096612F"/>
    <w:rsid w:val="00970B84"/>
    <w:rsid w:val="0097162F"/>
    <w:rsid w:val="0097293A"/>
    <w:rsid w:val="009756D1"/>
    <w:rsid w:val="009760A8"/>
    <w:rsid w:val="009845E9"/>
    <w:rsid w:val="00986D34"/>
    <w:rsid w:val="00987E3F"/>
    <w:rsid w:val="009913A4"/>
    <w:rsid w:val="009942B8"/>
    <w:rsid w:val="0099670A"/>
    <w:rsid w:val="009B0FBF"/>
    <w:rsid w:val="009B1404"/>
    <w:rsid w:val="009B558B"/>
    <w:rsid w:val="009B5915"/>
    <w:rsid w:val="009D05B4"/>
    <w:rsid w:val="009D2AA2"/>
    <w:rsid w:val="009D2C3E"/>
    <w:rsid w:val="009D3E88"/>
    <w:rsid w:val="009D510E"/>
    <w:rsid w:val="009D6B63"/>
    <w:rsid w:val="009E09D5"/>
    <w:rsid w:val="009E1F57"/>
    <w:rsid w:val="009E2142"/>
    <w:rsid w:val="009E38D1"/>
    <w:rsid w:val="009E4D22"/>
    <w:rsid w:val="009E68F3"/>
    <w:rsid w:val="009E70D2"/>
    <w:rsid w:val="009F054A"/>
    <w:rsid w:val="009F1FD7"/>
    <w:rsid w:val="009F494A"/>
    <w:rsid w:val="00A014E5"/>
    <w:rsid w:val="00A038C6"/>
    <w:rsid w:val="00A054A7"/>
    <w:rsid w:val="00A05E98"/>
    <w:rsid w:val="00A06B5D"/>
    <w:rsid w:val="00A11543"/>
    <w:rsid w:val="00A17BB3"/>
    <w:rsid w:val="00A2059E"/>
    <w:rsid w:val="00A208C0"/>
    <w:rsid w:val="00A20E1C"/>
    <w:rsid w:val="00A22B53"/>
    <w:rsid w:val="00A24336"/>
    <w:rsid w:val="00A261EC"/>
    <w:rsid w:val="00A303EF"/>
    <w:rsid w:val="00A31224"/>
    <w:rsid w:val="00A31253"/>
    <w:rsid w:val="00A32551"/>
    <w:rsid w:val="00A4161E"/>
    <w:rsid w:val="00A43D24"/>
    <w:rsid w:val="00A448B1"/>
    <w:rsid w:val="00A4531C"/>
    <w:rsid w:val="00A45D31"/>
    <w:rsid w:val="00A45E23"/>
    <w:rsid w:val="00A4670E"/>
    <w:rsid w:val="00A50AEA"/>
    <w:rsid w:val="00A51255"/>
    <w:rsid w:val="00A53C42"/>
    <w:rsid w:val="00A57FDF"/>
    <w:rsid w:val="00A63437"/>
    <w:rsid w:val="00A642A2"/>
    <w:rsid w:val="00A65941"/>
    <w:rsid w:val="00A6660B"/>
    <w:rsid w:val="00A674B0"/>
    <w:rsid w:val="00A7361F"/>
    <w:rsid w:val="00A77E54"/>
    <w:rsid w:val="00A83F20"/>
    <w:rsid w:val="00A849BA"/>
    <w:rsid w:val="00A84F8E"/>
    <w:rsid w:val="00A851AF"/>
    <w:rsid w:val="00A87ECE"/>
    <w:rsid w:val="00A90EBB"/>
    <w:rsid w:val="00A9150A"/>
    <w:rsid w:val="00A9243F"/>
    <w:rsid w:val="00A928DC"/>
    <w:rsid w:val="00A93AB2"/>
    <w:rsid w:val="00A963A3"/>
    <w:rsid w:val="00A96594"/>
    <w:rsid w:val="00A96A97"/>
    <w:rsid w:val="00AA2541"/>
    <w:rsid w:val="00AA415C"/>
    <w:rsid w:val="00AA4ACF"/>
    <w:rsid w:val="00AA4AD2"/>
    <w:rsid w:val="00AA5853"/>
    <w:rsid w:val="00AA79EC"/>
    <w:rsid w:val="00AB024D"/>
    <w:rsid w:val="00AB2BA1"/>
    <w:rsid w:val="00AB4FC8"/>
    <w:rsid w:val="00AB6129"/>
    <w:rsid w:val="00AB7013"/>
    <w:rsid w:val="00AC0B0A"/>
    <w:rsid w:val="00AC3C38"/>
    <w:rsid w:val="00AC5DF8"/>
    <w:rsid w:val="00AC7147"/>
    <w:rsid w:val="00AC7A02"/>
    <w:rsid w:val="00AD133F"/>
    <w:rsid w:val="00AD5ECC"/>
    <w:rsid w:val="00AD67B9"/>
    <w:rsid w:val="00AE362C"/>
    <w:rsid w:val="00AE4F5B"/>
    <w:rsid w:val="00AE65AD"/>
    <w:rsid w:val="00AE6657"/>
    <w:rsid w:val="00AE6BA0"/>
    <w:rsid w:val="00AE72BE"/>
    <w:rsid w:val="00AF4B6D"/>
    <w:rsid w:val="00AF76C9"/>
    <w:rsid w:val="00AF7DA8"/>
    <w:rsid w:val="00B00D02"/>
    <w:rsid w:val="00B023CE"/>
    <w:rsid w:val="00B023F5"/>
    <w:rsid w:val="00B042E1"/>
    <w:rsid w:val="00B0668B"/>
    <w:rsid w:val="00B07180"/>
    <w:rsid w:val="00B1049E"/>
    <w:rsid w:val="00B114FD"/>
    <w:rsid w:val="00B115F4"/>
    <w:rsid w:val="00B13D02"/>
    <w:rsid w:val="00B155A0"/>
    <w:rsid w:val="00B17E87"/>
    <w:rsid w:val="00B207A4"/>
    <w:rsid w:val="00B20F34"/>
    <w:rsid w:val="00B21FC4"/>
    <w:rsid w:val="00B25B8F"/>
    <w:rsid w:val="00B2620E"/>
    <w:rsid w:val="00B30316"/>
    <w:rsid w:val="00B31877"/>
    <w:rsid w:val="00B331BF"/>
    <w:rsid w:val="00B40B3F"/>
    <w:rsid w:val="00B41960"/>
    <w:rsid w:val="00B43F37"/>
    <w:rsid w:val="00B45CC0"/>
    <w:rsid w:val="00B51DD0"/>
    <w:rsid w:val="00B52B21"/>
    <w:rsid w:val="00B538EB"/>
    <w:rsid w:val="00B57585"/>
    <w:rsid w:val="00B62938"/>
    <w:rsid w:val="00B635E9"/>
    <w:rsid w:val="00B70179"/>
    <w:rsid w:val="00B72FD1"/>
    <w:rsid w:val="00B75C72"/>
    <w:rsid w:val="00B80359"/>
    <w:rsid w:val="00B80603"/>
    <w:rsid w:val="00B82AF7"/>
    <w:rsid w:val="00B82FB7"/>
    <w:rsid w:val="00B85094"/>
    <w:rsid w:val="00B85FC2"/>
    <w:rsid w:val="00B921AC"/>
    <w:rsid w:val="00B93170"/>
    <w:rsid w:val="00B93705"/>
    <w:rsid w:val="00B93A1D"/>
    <w:rsid w:val="00B94F6C"/>
    <w:rsid w:val="00B96C74"/>
    <w:rsid w:val="00B973A6"/>
    <w:rsid w:val="00BA1E04"/>
    <w:rsid w:val="00BA45F6"/>
    <w:rsid w:val="00BA4971"/>
    <w:rsid w:val="00BB558E"/>
    <w:rsid w:val="00BB55A9"/>
    <w:rsid w:val="00BB6248"/>
    <w:rsid w:val="00BC4CD0"/>
    <w:rsid w:val="00BC73B1"/>
    <w:rsid w:val="00BC778F"/>
    <w:rsid w:val="00BD31FB"/>
    <w:rsid w:val="00BD502F"/>
    <w:rsid w:val="00BD52E3"/>
    <w:rsid w:val="00BD675B"/>
    <w:rsid w:val="00BE001C"/>
    <w:rsid w:val="00BE2D70"/>
    <w:rsid w:val="00BE379D"/>
    <w:rsid w:val="00BE7B88"/>
    <w:rsid w:val="00BE7FC4"/>
    <w:rsid w:val="00BF1757"/>
    <w:rsid w:val="00BF55E4"/>
    <w:rsid w:val="00BF5FF5"/>
    <w:rsid w:val="00BF75BC"/>
    <w:rsid w:val="00BF77D6"/>
    <w:rsid w:val="00C008BA"/>
    <w:rsid w:val="00C01F47"/>
    <w:rsid w:val="00C0405A"/>
    <w:rsid w:val="00C04F90"/>
    <w:rsid w:val="00C07893"/>
    <w:rsid w:val="00C079CD"/>
    <w:rsid w:val="00C07AF4"/>
    <w:rsid w:val="00C112B8"/>
    <w:rsid w:val="00C11B5E"/>
    <w:rsid w:val="00C12138"/>
    <w:rsid w:val="00C14058"/>
    <w:rsid w:val="00C14C60"/>
    <w:rsid w:val="00C15940"/>
    <w:rsid w:val="00C20138"/>
    <w:rsid w:val="00C279F4"/>
    <w:rsid w:val="00C316D0"/>
    <w:rsid w:val="00C31B70"/>
    <w:rsid w:val="00C32E8A"/>
    <w:rsid w:val="00C335FC"/>
    <w:rsid w:val="00C33B55"/>
    <w:rsid w:val="00C37F5A"/>
    <w:rsid w:val="00C420DD"/>
    <w:rsid w:val="00C428B7"/>
    <w:rsid w:val="00C4335F"/>
    <w:rsid w:val="00C47284"/>
    <w:rsid w:val="00C502E7"/>
    <w:rsid w:val="00C516D6"/>
    <w:rsid w:val="00C52B74"/>
    <w:rsid w:val="00C52DB9"/>
    <w:rsid w:val="00C533F5"/>
    <w:rsid w:val="00C53405"/>
    <w:rsid w:val="00C54CEA"/>
    <w:rsid w:val="00C563A4"/>
    <w:rsid w:val="00C56D00"/>
    <w:rsid w:val="00C679DB"/>
    <w:rsid w:val="00C73056"/>
    <w:rsid w:val="00C747C7"/>
    <w:rsid w:val="00C752BE"/>
    <w:rsid w:val="00C75DCB"/>
    <w:rsid w:val="00C75F40"/>
    <w:rsid w:val="00C77B5B"/>
    <w:rsid w:val="00C8156B"/>
    <w:rsid w:val="00C81645"/>
    <w:rsid w:val="00C8220D"/>
    <w:rsid w:val="00C823FD"/>
    <w:rsid w:val="00C87F7F"/>
    <w:rsid w:val="00C9030E"/>
    <w:rsid w:val="00C94733"/>
    <w:rsid w:val="00CA0573"/>
    <w:rsid w:val="00CA12E2"/>
    <w:rsid w:val="00CA51D9"/>
    <w:rsid w:val="00CA6379"/>
    <w:rsid w:val="00CA6595"/>
    <w:rsid w:val="00CB1394"/>
    <w:rsid w:val="00CB3303"/>
    <w:rsid w:val="00CB4EF4"/>
    <w:rsid w:val="00CB619F"/>
    <w:rsid w:val="00CC3DCA"/>
    <w:rsid w:val="00CC6D86"/>
    <w:rsid w:val="00CD25C3"/>
    <w:rsid w:val="00CD2D38"/>
    <w:rsid w:val="00CD5F69"/>
    <w:rsid w:val="00CD7233"/>
    <w:rsid w:val="00CD7F28"/>
    <w:rsid w:val="00CE0EFA"/>
    <w:rsid w:val="00CE18C4"/>
    <w:rsid w:val="00CE4F73"/>
    <w:rsid w:val="00CE54BE"/>
    <w:rsid w:val="00CE6B95"/>
    <w:rsid w:val="00CF1CC5"/>
    <w:rsid w:val="00CF3D04"/>
    <w:rsid w:val="00CF4638"/>
    <w:rsid w:val="00D00DD1"/>
    <w:rsid w:val="00D024AA"/>
    <w:rsid w:val="00D0421E"/>
    <w:rsid w:val="00D04D59"/>
    <w:rsid w:val="00D05026"/>
    <w:rsid w:val="00D050B4"/>
    <w:rsid w:val="00D0650C"/>
    <w:rsid w:val="00D12AB5"/>
    <w:rsid w:val="00D1325B"/>
    <w:rsid w:val="00D16403"/>
    <w:rsid w:val="00D1775C"/>
    <w:rsid w:val="00D17D91"/>
    <w:rsid w:val="00D211F5"/>
    <w:rsid w:val="00D21E83"/>
    <w:rsid w:val="00D23C2E"/>
    <w:rsid w:val="00D2526E"/>
    <w:rsid w:val="00D25A8C"/>
    <w:rsid w:val="00D27E74"/>
    <w:rsid w:val="00D30B23"/>
    <w:rsid w:val="00D311B7"/>
    <w:rsid w:val="00D315FF"/>
    <w:rsid w:val="00D371A4"/>
    <w:rsid w:val="00D40FD0"/>
    <w:rsid w:val="00D42766"/>
    <w:rsid w:val="00D52985"/>
    <w:rsid w:val="00D5608F"/>
    <w:rsid w:val="00D562EC"/>
    <w:rsid w:val="00D56FC4"/>
    <w:rsid w:val="00D611DE"/>
    <w:rsid w:val="00D612CF"/>
    <w:rsid w:val="00D64ABC"/>
    <w:rsid w:val="00D64CC3"/>
    <w:rsid w:val="00D67348"/>
    <w:rsid w:val="00D677D1"/>
    <w:rsid w:val="00D67867"/>
    <w:rsid w:val="00D67D9A"/>
    <w:rsid w:val="00D712ED"/>
    <w:rsid w:val="00D71E2B"/>
    <w:rsid w:val="00D72481"/>
    <w:rsid w:val="00D72889"/>
    <w:rsid w:val="00D76966"/>
    <w:rsid w:val="00D81B8A"/>
    <w:rsid w:val="00D82F1B"/>
    <w:rsid w:val="00D86D92"/>
    <w:rsid w:val="00D876A8"/>
    <w:rsid w:val="00D90D1C"/>
    <w:rsid w:val="00D90E5F"/>
    <w:rsid w:val="00D91C65"/>
    <w:rsid w:val="00D93A87"/>
    <w:rsid w:val="00D94C32"/>
    <w:rsid w:val="00D962AD"/>
    <w:rsid w:val="00D9787A"/>
    <w:rsid w:val="00DA18A6"/>
    <w:rsid w:val="00DA1A8C"/>
    <w:rsid w:val="00DA2EA6"/>
    <w:rsid w:val="00DA3EAD"/>
    <w:rsid w:val="00DA576F"/>
    <w:rsid w:val="00DB1420"/>
    <w:rsid w:val="00DB2072"/>
    <w:rsid w:val="00DB2516"/>
    <w:rsid w:val="00DB3000"/>
    <w:rsid w:val="00DB382A"/>
    <w:rsid w:val="00DC0026"/>
    <w:rsid w:val="00DC2283"/>
    <w:rsid w:val="00DD05E9"/>
    <w:rsid w:val="00DD08AC"/>
    <w:rsid w:val="00DD0DDE"/>
    <w:rsid w:val="00DD1ABE"/>
    <w:rsid w:val="00DD4D6C"/>
    <w:rsid w:val="00DD5505"/>
    <w:rsid w:val="00DE190B"/>
    <w:rsid w:val="00DE2065"/>
    <w:rsid w:val="00DE481A"/>
    <w:rsid w:val="00DE4B8C"/>
    <w:rsid w:val="00DE5C1E"/>
    <w:rsid w:val="00DE7F86"/>
    <w:rsid w:val="00DF030B"/>
    <w:rsid w:val="00DF6482"/>
    <w:rsid w:val="00DF73BC"/>
    <w:rsid w:val="00E00424"/>
    <w:rsid w:val="00E0349F"/>
    <w:rsid w:val="00E036E1"/>
    <w:rsid w:val="00E059D2"/>
    <w:rsid w:val="00E0701C"/>
    <w:rsid w:val="00E11F66"/>
    <w:rsid w:val="00E13CA6"/>
    <w:rsid w:val="00E161EE"/>
    <w:rsid w:val="00E16B7A"/>
    <w:rsid w:val="00E20039"/>
    <w:rsid w:val="00E203C2"/>
    <w:rsid w:val="00E20AD7"/>
    <w:rsid w:val="00E21577"/>
    <w:rsid w:val="00E22D8C"/>
    <w:rsid w:val="00E2450C"/>
    <w:rsid w:val="00E25747"/>
    <w:rsid w:val="00E32116"/>
    <w:rsid w:val="00E3614A"/>
    <w:rsid w:val="00E41245"/>
    <w:rsid w:val="00E41902"/>
    <w:rsid w:val="00E41D8E"/>
    <w:rsid w:val="00E42556"/>
    <w:rsid w:val="00E44D1E"/>
    <w:rsid w:val="00E461C4"/>
    <w:rsid w:val="00E46C79"/>
    <w:rsid w:val="00E54FA2"/>
    <w:rsid w:val="00E56F6F"/>
    <w:rsid w:val="00E57102"/>
    <w:rsid w:val="00E6057C"/>
    <w:rsid w:val="00E6080D"/>
    <w:rsid w:val="00E6289E"/>
    <w:rsid w:val="00E735A3"/>
    <w:rsid w:val="00E77C52"/>
    <w:rsid w:val="00E87BB1"/>
    <w:rsid w:val="00E91A86"/>
    <w:rsid w:val="00E93481"/>
    <w:rsid w:val="00E944B1"/>
    <w:rsid w:val="00E95099"/>
    <w:rsid w:val="00E9681D"/>
    <w:rsid w:val="00EA3250"/>
    <w:rsid w:val="00EA4079"/>
    <w:rsid w:val="00EB58EB"/>
    <w:rsid w:val="00EB73CB"/>
    <w:rsid w:val="00EC2AAF"/>
    <w:rsid w:val="00EC3FBE"/>
    <w:rsid w:val="00EC6864"/>
    <w:rsid w:val="00ED0A44"/>
    <w:rsid w:val="00ED3E7A"/>
    <w:rsid w:val="00ED6B96"/>
    <w:rsid w:val="00ED78D7"/>
    <w:rsid w:val="00ED7CB9"/>
    <w:rsid w:val="00EE29AA"/>
    <w:rsid w:val="00EE2AEF"/>
    <w:rsid w:val="00EE3A8D"/>
    <w:rsid w:val="00EE45B2"/>
    <w:rsid w:val="00EE4E69"/>
    <w:rsid w:val="00EE5188"/>
    <w:rsid w:val="00EE70DB"/>
    <w:rsid w:val="00EE74EA"/>
    <w:rsid w:val="00EE75E2"/>
    <w:rsid w:val="00EF0399"/>
    <w:rsid w:val="00EF1930"/>
    <w:rsid w:val="00EF2EAF"/>
    <w:rsid w:val="00EF6B2B"/>
    <w:rsid w:val="00F01B32"/>
    <w:rsid w:val="00F03F2D"/>
    <w:rsid w:val="00F06B35"/>
    <w:rsid w:val="00F06E2A"/>
    <w:rsid w:val="00F13FEC"/>
    <w:rsid w:val="00F14A02"/>
    <w:rsid w:val="00F156E6"/>
    <w:rsid w:val="00F16AFD"/>
    <w:rsid w:val="00F1728C"/>
    <w:rsid w:val="00F17D2C"/>
    <w:rsid w:val="00F17EFA"/>
    <w:rsid w:val="00F244BC"/>
    <w:rsid w:val="00F26391"/>
    <w:rsid w:val="00F358F7"/>
    <w:rsid w:val="00F37F62"/>
    <w:rsid w:val="00F42511"/>
    <w:rsid w:val="00F434C7"/>
    <w:rsid w:val="00F44092"/>
    <w:rsid w:val="00F50CD3"/>
    <w:rsid w:val="00F51C16"/>
    <w:rsid w:val="00F5215D"/>
    <w:rsid w:val="00F55BF9"/>
    <w:rsid w:val="00F61AA4"/>
    <w:rsid w:val="00F6742A"/>
    <w:rsid w:val="00F7002D"/>
    <w:rsid w:val="00F73E48"/>
    <w:rsid w:val="00F84FFD"/>
    <w:rsid w:val="00F8503B"/>
    <w:rsid w:val="00F8559E"/>
    <w:rsid w:val="00F871BC"/>
    <w:rsid w:val="00F9569D"/>
    <w:rsid w:val="00F95EAE"/>
    <w:rsid w:val="00F9726A"/>
    <w:rsid w:val="00F97C25"/>
    <w:rsid w:val="00FA0F54"/>
    <w:rsid w:val="00FA25FC"/>
    <w:rsid w:val="00FA3041"/>
    <w:rsid w:val="00FA329D"/>
    <w:rsid w:val="00FA3C94"/>
    <w:rsid w:val="00FA46C7"/>
    <w:rsid w:val="00FA4D5A"/>
    <w:rsid w:val="00FB239D"/>
    <w:rsid w:val="00FB33E8"/>
    <w:rsid w:val="00FB5B57"/>
    <w:rsid w:val="00FC3A41"/>
    <w:rsid w:val="00FC3C7D"/>
    <w:rsid w:val="00FC41D7"/>
    <w:rsid w:val="00FC51F7"/>
    <w:rsid w:val="00FC66C4"/>
    <w:rsid w:val="00FC7996"/>
    <w:rsid w:val="00FD1CDD"/>
    <w:rsid w:val="00FD2E80"/>
    <w:rsid w:val="00FD59B4"/>
    <w:rsid w:val="00FD76D6"/>
    <w:rsid w:val="00FE0709"/>
    <w:rsid w:val="00FE574D"/>
    <w:rsid w:val="00FF1BC3"/>
    <w:rsid w:val="00FF4529"/>
    <w:rsid w:val="00FF50F2"/>
    <w:rsid w:val="00FF7275"/>
    <w:rsid w:val="00FF7A92"/>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C882C7"/>
  <w15:chartTrackingRefBased/>
  <w15:docId w15:val="{A0520BAF-8751-4E89-9707-DFB70DC8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AB"/>
  </w:style>
  <w:style w:type="paragraph" w:styleId="Heading1">
    <w:name w:val="heading 1"/>
    <w:basedOn w:val="Normal"/>
    <w:next w:val="Normal"/>
    <w:link w:val="Heading1Char"/>
    <w:uiPriority w:val="9"/>
    <w:qFormat/>
    <w:rsid w:val="005102EC"/>
    <w:pPr>
      <w:numPr>
        <w:numId w:val="3"/>
      </w:numPr>
      <w:spacing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5102EC"/>
    <w:pPr>
      <w:numPr>
        <w:ilvl w:val="1"/>
        <w:numId w:val="3"/>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5102EC"/>
    <w:pPr>
      <w:numPr>
        <w:ilvl w:val="2"/>
        <w:numId w:val="3"/>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5102EC"/>
    <w:pPr>
      <w:numPr>
        <w:ilvl w:val="3"/>
        <w:numId w:val="3"/>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5102EC"/>
    <w:pPr>
      <w:numPr>
        <w:ilvl w:val="4"/>
        <w:numId w:val="3"/>
      </w:numPr>
      <w:tabs>
        <w:tab w:val="left" w:pos="3600"/>
      </w:tabs>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5102EC"/>
    <w:pPr>
      <w:numPr>
        <w:ilvl w:val="5"/>
        <w:numId w:val="3"/>
      </w:numPr>
      <w:tabs>
        <w:tab w:val="left" w:pos="4320"/>
      </w:tabs>
      <w:spacing w:after="240"/>
      <w:jc w:val="both"/>
      <w:outlineLvl w:val="5"/>
    </w:pPr>
    <w:rPr>
      <w:rFonts w:eastAsiaTheme="majorEastAsia" w:cs="Arial"/>
      <w:color w:val="243F60"/>
    </w:rPr>
  </w:style>
  <w:style w:type="paragraph" w:styleId="Heading7">
    <w:name w:val="heading 7"/>
    <w:basedOn w:val="Normal"/>
    <w:next w:val="Normal"/>
    <w:link w:val="Heading7Char"/>
    <w:uiPriority w:val="9"/>
    <w:semiHidden/>
    <w:unhideWhenUsed/>
    <w:qFormat/>
    <w:rsid w:val="005102EC"/>
    <w:pPr>
      <w:numPr>
        <w:ilvl w:val="6"/>
        <w:numId w:val="3"/>
      </w:numPr>
      <w:tabs>
        <w:tab w:val="left" w:pos="5040"/>
      </w:tabs>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5102EC"/>
    <w:pPr>
      <w:numPr>
        <w:ilvl w:val="7"/>
        <w:numId w:val="3"/>
      </w:numPr>
      <w:tabs>
        <w:tab w:val="left" w:pos="5760"/>
      </w:tabs>
      <w:spacing w:after="240"/>
      <w:jc w:val="both"/>
      <w:outlineLvl w:val="7"/>
    </w:pPr>
    <w:rPr>
      <w:rFonts w:eastAsiaTheme="majorEastAsia" w:cs="Arial"/>
      <w:color w:val="404040"/>
      <w:szCs w:val="21"/>
    </w:rPr>
  </w:style>
  <w:style w:type="paragraph" w:styleId="Heading9">
    <w:name w:val="heading 9"/>
    <w:basedOn w:val="Normal"/>
    <w:next w:val="Normal"/>
    <w:link w:val="Heading9Char"/>
    <w:uiPriority w:val="9"/>
    <w:semiHidden/>
    <w:unhideWhenUsed/>
    <w:qFormat/>
    <w:rsid w:val="005102EC"/>
    <w:pPr>
      <w:numPr>
        <w:ilvl w:val="8"/>
        <w:numId w:val="3"/>
      </w:numPr>
      <w:tabs>
        <w:tab w:val="left" w:pos="6480"/>
      </w:tabs>
      <w:spacing w:after="240"/>
      <w:jc w:val="both"/>
      <w:outlineLvl w:val="8"/>
    </w:pPr>
    <w:rPr>
      <w:rFonts w:eastAsiaTheme="majorEastAsia" w:cs="Arial"/>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67B9"/>
    <w:rPr>
      <w:rFonts w:eastAsiaTheme="majorEastAsia" w:cs="Arial"/>
      <w:b/>
      <w:caps/>
      <w:szCs w:val="32"/>
      <w:u w:val="single"/>
    </w:rPr>
  </w:style>
  <w:style w:type="paragraph" w:styleId="NormalWeb">
    <w:name w:val="Normal (Web)"/>
    <w:basedOn w:val="Normal"/>
    <w:uiPriority w:val="99"/>
    <w:semiHidden/>
    <w:unhideWhenUsed/>
    <w:rsid w:val="00AD67B9"/>
    <w:rPr>
      <w:rFonts w:ascii="Times New Roman" w:hAnsi="Times New Roman" w:cs="Times New Roman"/>
    </w:rPr>
  </w:style>
  <w:style w:type="paragraph" w:styleId="FootnoteText">
    <w:name w:val="footnote text"/>
    <w:basedOn w:val="Normal"/>
    <w:link w:val="FootnoteTextChar"/>
    <w:uiPriority w:val="99"/>
    <w:semiHidden/>
    <w:unhideWhenUsed/>
    <w:rsid w:val="00AD67B9"/>
    <w:pPr>
      <w:jc w:val="both"/>
    </w:pPr>
    <w:rPr>
      <w:sz w:val="20"/>
      <w:szCs w:val="20"/>
    </w:rPr>
  </w:style>
  <w:style w:type="character" w:customStyle="1" w:styleId="FootnoteTextChar">
    <w:name w:val="Footnote Text Char"/>
    <w:basedOn w:val="DefaultParagraphFont"/>
    <w:link w:val="FootnoteText"/>
    <w:uiPriority w:val="99"/>
    <w:semiHidden/>
    <w:rsid w:val="00AD67B9"/>
    <w:rPr>
      <w:sz w:val="20"/>
      <w:szCs w:val="20"/>
    </w:rPr>
  </w:style>
  <w:style w:type="character" w:styleId="FootnoteReference">
    <w:name w:val="footnote reference"/>
    <w:aliases w:val="o,fr,(NECG) Footnote Reference,Style 17,Style 20,Style 13,Style 12,o1,fr1,o2,fr2,o3,fr3,Style 15,Style 8,Style 9,Style 18,Style 7,Style 19,Style 28,Style 42"/>
    <w:uiPriority w:val="99"/>
    <w:unhideWhenUsed/>
    <w:rsid w:val="00AD67B9"/>
    <w:rPr>
      <w:vertAlign w:val="superscript"/>
    </w:rPr>
  </w:style>
  <w:style w:type="character" w:customStyle="1" w:styleId="apple-converted-space">
    <w:name w:val="apple-converted-space"/>
    <w:basedOn w:val="DefaultParagraphFont"/>
    <w:rsid w:val="00AD67B9"/>
  </w:style>
  <w:style w:type="character" w:customStyle="1" w:styleId="ssit1">
    <w:name w:val="ss_it1"/>
    <w:basedOn w:val="DefaultParagraphFont"/>
    <w:rsid w:val="00AD67B9"/>
    <w:rPr>
      <w:i/>
      <w:iCs/>
    </w:rPr>
  </w:style>
  <w:style w:type="character" w:styleId="CommentReference">
    <w:name w:val="annotation reference"/>
    <w:basedOn w:val="DefaultParagraphFont"/>
    <w:uiPriority w:val="99"/>
    <w:semiHidden/>
    <w:unhideWhenUsed/>
    <w:rsid w:val="00E3614A"/>
    <w:rPr>
      <w:sz w:val="16"/>
      <w:szCs w:val="16"/>
    </w:rPr>
  </w:style>
  <w:style w:type="paragraph" w:styleId="CommentText">
    <w:name w:val="annotation text"/>
    <w:basedOn w:val="Normal"/>
    <w:link w:val="CommentTextChar"/>
    <w:uiPriority w:val="99"/>
    <w:semiHidden/>
    <w:unhideWhenUsed/>
    <w:rsid w:val="00E3614A"/>
    <w:rPr>
      <w:sz w:val="20"/>
      <w:szCs w:val="20"/>
    </w:rPr>
  </w:style>
  <w:style w:type="character" w:customStyle="1" w:styleId="CommentTextChar">
    <w:name w:val="Comment Text Char"/>
    <w:basedOn w:val="DefaultParagraphFont"/>
    <w:link w:val="CommentText"/>
    <w:uiPriority w:val="99"/>
    <w:semiHidden/>
    <w:rsid w:val="00E3614A"/>
    <w:rPr>
      <w:sz w:val="20"/>
      <w:szCs w:val="20"/>
    </w:rPr>
  </w:style>
  <w:style w:type="paragraph" w:styleId="CommentSubject">
    <w:name w:val="annotation subject"/>
    <w:basedOn w:val="CommentText"/>
    <w:next w:val="CommentText"/>
    <w:link w:val="CommentSubjectChar"/>
    <w:uiPriority w:val="99"/>
    <w:semiHidden/>
    <w:unhideWhenUsed/>
    <w:rsid w:val="00E3614A"/>
    <w:rPr>
      <w:b/>
      <w:bCs/>
    </w:rPr>
  </w:style>
  <w:style w:type="character" w:customStyle="1" w:styleId="CommentSubjectChar">
    <w:name w:val="Comment Subject Char"/>
    <w:basedOn w:val="CommentTextChar"/>
    <w:link w:val="CommentSubject"/>
    <w:uiPriority w:val="99"/>
    <w:semiHidden/>
    <w:rsid w:val="00E3614A"/>
    <w:rPr>
      <w:b/>
      <w:bCs/>
      <w:sz w:val="20"/>
      <w:szCs w:val="20"/>
    </w:rPr>
  </w:style>
  <w:style w:type="paragraph" w:styleId="BalloonText">
    <w:name w:val="Balloon Text"/>
    <w:basedOn w:val="Normal"/>
    <w:link w:val="BalloonTextChar"/>
    <w:uiPriority w:val="99"/>
    <w:semiHidden/>
    <w:unhideWhenUsed/>
    <w:rsid w:val="00E36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14A"/>
    <w:rPr>
      <w:rFonts w:ascii="Segoe UI" w:hAnsi="Segoe UI" w:cs="Segoe UI"/>
      <w:sz w:val="18"/>
      <w:szCs w:val="18"/>
    </w:rPr>
  </w:style>
  <w:style w:type="character" w:styleId="Hyperlink">
    <w:name w:val="Hyperlink"/>
    <w:basedOn w:val="DefaultParagraphFont"/>
    <w:uiPriority w:val="99"/>
    <w:unhideWhenUsed/>
    <w:rsid w:val="004F3CE6"/>
    <w:rPr>
      <w:color w:val="0000FF" w:themeColor="hyperlink"/>
      <w:u w:val="single"/>
    </w:rPr>
  </w:style>
  <w:style w:type="character" w:customStyle="1" w:styleId="Heading2Char">
    <w:name w:val="Heading 2 Char"/>
    <w:basedOn w:val="DefaultParagraphFont"/>
    <w:link w:val="Heading2"/>
    <w:uiPriority w:val="9"/>
    <w:rsid w:val="001C738B"/>
    <w:rPr>
      <w:rFonts w:eastAsiaTheme="majorEastAsia" w:cs="Arial"/>
      <w:b/>
      <w:szCs w:val="26"/>
    </w:rPr>
  </w:style>
  <w:style w:type="paragraph" w:styleId="ListParagraph">
    <w:name w:val="List Paragraph"/>
    <w:basedOn w:val="Normal"/>
    <w:uiPriority w:val="34"/>
    <w:qFormat/>
    <w:rsid w:val="00BB558E"/>
    <w:pPr>
      <w:ind w:left="720"/>
      <w:contextualSpacing/>
    </w:pPr>
  </w:style>
  <w:style w:type="character" w:customStyle="1" w:styleId="Heading3Char">
    <w:name w:val="Heading 3 Char"/>
    <w:basedOn w:val="DefaultParagraphFont"/>
    <w:link w:val="Heading3"/>
    <w:uiPriority w:val="9"/>
    <w:semiHidden/>
    <w:rsid w:val="00625435"/>
    <w:rPr>
      <w:rFonts w:eastAsiaTheme="majorEastAsia" w:cs="Arial"/>
      <w:b/>
    </w:rPr>
  </w:style>
  <w:style w:type="character" w:customStyle="1" w:styleId="Heading4Char">
    <w:name w:val="Heading 4 Char"/>
    <w:basedOn w:val="DefaultParagraphFont"/>
    <w:link w:val="Heading4"/>
    <w:uiPriority w:val="9"/>
    <w:semiHidden/>
    <w:rsid w:val="00625435"/>
    <w:rPr>
      <w:rFonts w:eastAsiaTheme="majorEastAsia" w:cs="Arial"/>
      <w:b/>
      <w:i/>
      <w:iCs/>
    </w:rPr>
  </w:style>
  <w:style w:type="character" w:customStyle="1" w:styleId="Heading5Char">
    <w:name w:val="Heading 5 Char"/>
    <w:basedOn w:val="DefaultParagraphFont"/>
    <w:link w:val="Heading5"/>
    <w:uiPriority w:val="9"/>
    <w:semiHidden/>
    <w:rsid w:val="00625435"/>
    <w:rPr>
      <w:rFonts w:eastAsiaTheme="majorEastAsia" w:cs="Arial"/>
      <w:color w:val="243F60"/>
    </w:rPr>
  </w:style>
  <w:style w:type="character" w:customStyle="1" w:styleId="Heading6Char">
    <w:name w:val="Heading 6 Char"/>
    <w:basedOn w:val="DefaultParagraphFont"/>
    <w:link w:val="Heading6"/>
    <w:uiPriority w:val="9"/>
    <w:semiHidden/>
    <w:rsid w:val="00625435"/>
    <w:rPr>
      <w:rFonts w:eastAsiaTheme="majorEastAsia" w:cs="Arial"/>
      <w:color w:val="243F60"/>
    </w:rPr>
  </w:style>
  <w:style w:type="character" w:customStyle="1" w:styleId="Heading7Char">
    <w:name w:val="Heading 7 Char"/>
    <w:basedOn w:val="DefaultParagraphFont"/>
    <w:link w:val="Heading7"/>
    <w:uiPriority w:val="9"/>
    <w:semiHidden/>
    <w:rsid w:val="00625435"/>
    <w:rPr>
      <w:rFonts w:eastAsiaTheme="majorEastAsia" w:cs="Arial"/>
      <w:iCs/>
      <w:color w:val="404040"/>
    </w:rPr>
  </w:style>
  <w:style w:type="character" w:customStyle="1" w:styleId="Heading8Char">
    <w:name w:val="Heading 8 Char"/>
    <w:basedOn w:val="DefaultParagraphFont"/>
    <w:link w:val="Heading8"/>
    <w:uiPriority w:val="9"/>
    <w:semiHidden/>
    <w:rsid w:val="00625435"/>
    <w:rPr>
      <w:rFonts w:eastAsiaTheme="majorEastAsia" w:cs="Arial"/>
      <w:color w:val="404040"/>
      <w:szCs w:val="21"/>
    </w:rPr>
  </w:style>
  <w:style w:type="character" w:customStyle="1" w:styleId="Heading9Char">
    <w:name w:val="Heading 9 Char"/>
    <w:basedOn w:val="DefaultParagraphFont"/>
    <w:link w:val="Heading9"/>
    <w:uiPriority w:val="9"/>
    <w:semiHidden/>
    <w:rsid w:val="00625435"/>
    <w:rPr>
      <w:rFonts w:eastAsiaTheme="majorEastAsia" w:cs="Arial"/>
      <w:iCs/>
      <w:color w:val="404040"/>
      <w:szCs w:val="21"/>
    </w:rPr>
  </w:style>
  <w:style w:type="paragraph" w:styleId="Header">
    <w:name w:val="header"/>
    <w:basedOn w:val="Normal"/>
    <w:link w:val="HeaderChar"/>
    <w:uiPriority w:val="99"/>
    <w:unhideWhenUsed/>
    <w:rsid w:val="00261EC8"/>
    <w:pPr>
      <w:tabs>
        <w:tab w:val="center" w:pos="4680"/>
        <w:tab w:val="right" w:pos="9360"/>
      </w:tabs>
    </w:pPr>
  </w:style>
  <w:style w:type="character" w:customStyle="1" w:styleId="HeaderChar">
    <w:name w:val="Header Char"/>
    <w:basedOn w:val="DefaultParagraphFont"/>
    <w:link w:val="Header"/>
    <w:uiPriority w:val="99"/>
    <w:rsid w:val="00261EC8"/>
  </w:style>
  <w:style w:type="paragraph" w:styleId="Footer">
    <w:name w:val="footer"/>
    <w:basedOn w:val="Normal"/>
    <w:link w:val="FooterChar"/>
    <w:uiPriority w:val="99"/>
    <w:unhideWhenUsed/>
    <w:rsid w:val="00261EC8"/>
    <w:pPr>
      <w:tabs>
        <w:tab w:val="center" w:pos="4680"/>
        <w:tab w:val="right" w:pos="9360"/>
      </w:tabs>
    </w:pPr>
  </w:style>
  <w:style w:type="character" w:customStyle="1" w:styleId="FooterChar">
    <w:name w:val="Footer Char"/>
    <w:basedOn w:val="DefaultParagraphFont"/>
    <w:link w:val="Footer"/>
    <w:uiPriority w:val="99"/>
    <w:rsid w:val="00261EC8"/>
  </w:style>
  <w:style w:type="paragraph" w:styleId="TOCHeading">
    <w:name w:val="TOC Heading"/>
    <w:basedOn w:val="Normal"/>
    <w:next w:val="TOC1"/>
    <w:uiPriority w:val="39"/>
    <w:unhideWhenUsed/>
    <w:qFormat/>
    <w:rsid w:val="00AE6657"/>
    <w:pPr>
      <w:keepNext/>
      <w:keepLines/>
      <w:spacing w:before="240" w:after="240"/>
      <w:jc w:val="center"/>
    </w:pPr>
    <w:rPr>
      <w:rFonts w:cs="Arial"/>
      <w:b/>
      <w:color w:val="000000"/>
    </w:rPr>
  </w:style>
  <w:style w:type="paragraph" w:styleId="TOC1">
    <w:name w:val="toc 1"/>
    <w:basedOn w:val="Normal"/>
    <w:next w:val="Normal"/>
    <w:uiPriority w:val="39"/>
    <w:unhideWhenUsed/>
    <w:rsid w:val="00DE4B8C"/>
    <w:pPr>
      <w:tabs>
        <w:tab w:val="left" w:pos="720"/>
        <w:tab w:val="right" w:leader="dot" w:pos="9350"/>
      </w:tabs>
      <w:spacing w:after="100"/>
    </w:pPr>
  </w:style>
  <w:style w:type="paragraph" w:styleId="TOC2">
    <w:name w:val="toc 2"/>
    <w:basedOn w:val="Normal"/>
    <w:next w:val="Normal"/>
    <w:uiPriority w:val="39"/>
    <w:unhideWhenUsed/>
    <w:rsid w:val="00686767"/>
    <w:pPr>
      <w:tabs>
        <w:tab w:val="left" w:pos="720"/>
        <w:tab w:val="left" w:pos="1440"/>
      </w:tabs>
      <w:spacing w:after="100"/>
      <w:ind w:left="1440" w:right="720" w:hanging="720"/>
      <w:jc w:val="both"/>
    </w:pPr>
  </w:style>
  <w:style w:type="paragraph" w:styleId="TOC3">
    <w:name w:val="toc 3"/>
    <w:basedOn w:val="Normal"/>
    <w:next w:val="Normal"/>
    <w:uiPriority w:val="39"/>
    <w:semiHidden/>
    <w:unhideWhenUsed/>
    <w:rsid w:val="00AE6657"/>
    <w:pPr>
      <w:spacing w:after="100"/>
      <w:ind w:left="480"/>
    </w:pPr>
  </w:style>
  <w:style w:type="paragraph" w:styleId="TOC4">
    <w:name w:val="toc 4"/>
    <w:basedOn w:val="Normal"/>
    <w:next w:val="Normal"/>
    <w:uiPriority w:val="39"/>
    <w:semiHidden/>
    <w:unhideWhenUsed/>
    <w:rsid w:val="00AE6657"/>
    <w:pPr>
      <w:spacing w:after="100"/>
      <w:ind w:left="720"/>
    </w:pPr>
  </w:style>
  <w:style w:type="paragraph" w:styleId="TOC5">
    <w:name w:val="toc 5"/>
    <w:basedOn w:val="Normal"/>
    <w:next w:val="Normal"/>
    <w:uiPriority w:val="39"/>
    <w:semiHidden/>
    <w:unhideWhenUsed/>
    <w:rsid w:val="00AE6657"/>
    <w:pPr>
      <w:spacing w:after="100"/>
      <w:ind w:left="960"/>
    </w:pPr>
  </w:style>
  <w:style w:type="paragraph" w:styleId="TOC6">
    <w:name w:val="toc 6"/>
    <w:basedOn w:val="Normal"/>
    <w:next w:val="Normal"/>
    <w:uiPriority w:val="39"/>
    <w:semiHidden/>
    <w:unhideWhenUsed/>
    <w:rsid w:val="00AE6657"/>
    <w:pPr>
      <w:spacing w:after="100"/>
      <w:ind w:left="1200"/>
    </w:pPr>
  </w:style>
  <w:style w:type="paragraph" w:styleId="TOC7">
    <w:name w:val="toc 7"/>
    <w:basedOn w:val="Normal"/>
    <w:next w:val="Normal"/>
    <w:uiPriority w:val="39"/>
    <w:semiHidden/>
    <w:unhideWhenUsed/>
    <w:rsid w:val="00AE6657"/>
    <w:pPr>
      <w:spacing w:after="100"/>
      <w:ind w:left="1440"/>
    </w:pPr>
  </w:style>
  <w:style w:type="paragraph" w:styleId="TOC8">
    <w:name w:val="toc 8"/>
    <w:basedOn w:val="Normal"/>
    <w:next w:val="Normal"/>
    <w:uiPriority w:val="39"/>
    <w:semiHidden/>
    <w:unhideWhenUsed/>
    <w:rsid w:val="00AE6657"/>
    <w:pPr>
      <w:spacing w:after="100"/>
      <w:ind w:left="1680"/>
    </w:pPr>
  </w:style>
  <w:style w:type="paragraph" w:styleId="TOC9">
    <w:name w:val="toc 9"/>
    <w:basedOn w:val="Normal"/>
    <w:next w:val="Normal"/>
    <w:uiPriority w:val="39"/>
    <w:semiHidden/>
    <w:unhideWhenUsed/>
    <w:rsid w:val="00AE6657"/>
    <w:pPr>
      <w:spacing w:after="100"/>
      <w:ind w:left="1920"/>
    </w:pPr>
  </w:style>
  <w:style w:type="paragraph" w:customStyle="1" w:styleId="TOCPage">
    <w:name w:val="TOC Page"/>
    <w:basedOn w:val="Normal"/>
    <w:next w:val="Normal"/>
    <w:link w:val="TOCPageChar"/>
    <w:rsid w:val="00AE6657"/>
    <w:pPr>
      <w:spacing w:after="240"/>
      <w:jc w:val="right"/>
    </w:pPr>
    <w:rPr>
      <w:rFonts w:eastAsia="Times New Roman" w:cs="Arial"/>
      <w:b/>
      <w:color w:val="000000"/>
    </w:rPr>
  </w:style>
  <w:style w:type="character" w:customStyle="1" w:styleId="TOCPageChar">
    <w:name w:val="TOC Page Char"/>
    <w:basedOn w:val="DefaultParagraphFont"/>
    <w:link w:val="TOCPage"/>
    <w:rsid w:val="00AE6657"/>
    <w:rPr>
      <w:rFonts w:eastAsia="Times New Roman" w:cs="Arial"/>
      <w:b/>
      <w:color w:val="000000"/>
    </w:rPr>
  </w:style>
  <w:style w:type="paragraph" w:styleId="BodyText">
    <w:name w:val="Body Text"/>
    <w:basedOn w:val="Normal"/>
    <w:link w:val="BodyTextChar"/>
    <w:rsid w:val="00104F8D"/>
    <w:pPr>
      <w:jc w:val="both"/>
    </w:pPr>
    <w:rPr>
      <w:rFonts w:eastAsia="Times New Roman" w:cs="Arial"/>
    </w:rPr>
  </w:style>
  <w:style w:type="character" w:customStyle="1" w:styleId="BodyTextChar">
    <w:name w:val="Body Text Char"/>
    <w:basedOn w:val="DefaultParagraphFont"/>
    <w:link w:val="BodyText"/>
    <w:rsid w:val="00104F8D"/>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211">
      <w:bodyDiv w:val="1"/>
      <w:marLeft w:val="0"/>
      <w:marRight w:val="0"/>
      <w:marTop w:val="0"/>
      <w:marBottom w:val="0"/>
      <w:divBdr>
        <w:top w:val="none" w:sz="0" w:space="0" w:color="auto"/>
        <w:left w:val="none" w:sz="0" w:space="0" w:color="auto"/>
        <w:bottom w:val="none" w:sz="0" w:space="0" w:color="auto"/>
        <w:right w:val="none" w:sz="0" w:space="0" w:color="auto"/>
      </w:divBdr>
    </w:div>
    <w:div w:id="118454820">
      <w:bodyDiv w:val="1"/>
      <w:marLeft w:val="0"/>
      <w:marRight w:val="0"/>
      <w:marTop w:val="0"/>
      <w:marBottom w:val="0"/>
      <w:divBdr>
        <w:top w:val="none" w:sz="0" w:space="0" w:color="auto"/>
        <w:left w:val="none" w:sz="0" w:space="0" w:color="auto"/>
        <w:bottom w:val="none" w:sz="0" w:space="0" w:color="auto"/>
        <w:right w:val="none" w:sz="0" w:space="0" w:color="auto"/>
      </w:divBdr>
    </w:div>
    <w:div w:id="214243298">
      <w:bodyDiv w:val="1"/>
      <w:marLeft w:val="0"/>
      <w:marRight w:val="0"/>
      <w:marTop w:val="0"/>
      <w:marBottom w:val="0"/>
      <w:divBdr>
        <w:top w:val="none" w:sz="0" w:space="0" w:color="auto"/>
        <w:left w:val="none" w:sz="0" w:space="0" w:color="auto"/>
        <w:bottom w:val="none" w:sz="0" w:space="0" w:color="auto"/>
        <w:right w:val="none" w:sz="0" w:space="0" w:color="auto"/>
      </w:divBdr>
    </w:div>
    <w:div w:id="409159012">
      <w:bodyDiv w:val="1"/>
      <w:marLeft w:val="0"/>
      <w:marRight w:val="0"/>
      <w:marTop w:val="0"/>
      <w:marBottom w:val="0"/>
      <w:divBdr>
        <w:top w:val="none" w:sz="0" w:space="0" w:color="auto"/>
        <w:left w:val="none" w:sz="0" w:space="0" w:color="auto"/>
        <w:bottom w:val="none" w:sz="0" w:space="0" w:color="auto"/>
        <w:right w:val="none" w:sz="0" w:space="0" w:color="auto"/>
      </w:divBdr>
    </w:div>
    <w:div w:id="454178618">
      <w:bodyDiv w:val="1"/>
      <w:marLeft w:val="0"/>
      <w:marRight w:val="0"/>
      <w:marTop w:val="0"/>
      <w:marBottom w:val="0"/>
      <w:divBdr>
        <w:top w:val="none" w:sz="0" w:space="0" w:color="auto"/>
        <w:left w:val="none" w:sz="0" w:space="0" w:color="auto"/>
        <w:bottom w:val="none" w:sz="0" w:space="0" w:color="auto"/>
        <w:right w:val="none" w:sz="0" w:space="0" w:color="auto"/>
      </w:divBdr>
    </w:div>
    <w:div w:id="545526582">
      <w:bodyDiv w:val="1"/>
      <w:marLeft w:val="0"/>
      <w:marRight w:val="0"/>
      <w:marTop w:val="0"/>
      <w:marBottom w:val="0"/>
      <w:divBdr>
        <w:top w:val="none" w:sz="0" w:space="0" w:color="auto"/>
        <w:left w:val="none" w:sz="0" w:space="0" w:color="auto"/>
        <w:bottom w:val="none" w:sz="0" w:space="0" w:color="auto"/>
        <w:right w:val="none" w:sz="0" w:space="0" w:color="auto"/>
      </w:divBdr>
    </w:div>
    <w:div w:id="633800231">
      <w:bodyDiv w:val="1"/>
      <w:marLeft w:val="0"/>
      <w:marRight w:val="0"/>
      <w:marTop w:val="0"/>
      <w:marBottom w:val="0"/>
      <w:divBdr>
        <w:top w:val="none" w:sz="0" w:space="0" w:color="auto"/>
        <w:left w:val="none" w:sz="0" w:space="0" w:color="auto"/>
        <w:bottom w:val="none" w:sz="0" w:space="0" w:color="auto"/>
        <w:right w:val="none" w:sz="0" w:space="0" w:color="auto"/>
      </w:divBdr>
    </w:div>
    <w:div w:id="874386711">
      <w:bodyDiv w:val="1"/>
      <w:marLeft w:val="0"/>
      <w:marRight w:val="0"/>
      <w:marTop w:val="0"/>
      <w:marBottom w:val="0"/>
      <w:divBdr>
        <w:top w:val="none" w:sz="0" w:space="0" w:color="auto"/>
        <w:left w:val="none" w:sz="0" w:space="0" w:color="auto"/>
        <w:bottom w:val="none" w:sz="0" w:space="0" w:color="auto"/>
        <w:right w:val="none" w:sz="0" w:space="0" w:color="auto"/>
      </w:divBdr>
      <w:divsChild>
        <w:div w:id="934823635">
          <w:marLeft w:val="0"/>
          <w:marRight w:val="0"/>
          <w:marTop w:val="0"/>
          <w:marBottom w:val="0"/>
          <w:divBdr>
            <w:top w:val="none" w:sz="0" w:space="0" w:color="auto"/>
            <w:left w:val="none" w:sz="0" w:space="0" w:color="auto"/>
            <w:bottom w:val="none" w:sz="0" w:space="0" w:color="auto"/>
            <w:right w:val="none" w:sz="0" w:space="0" w:color="auto"/>
          </w:divBdr>
        </w:div>
      </w:divsChild>
    </w:div>
    <w:div w:id="982999746">
      <w:bodyDiv w:val="1"/>
      <w:marLeft w:val="0"/>
      <w:marRight w:val="0"/>
      <w:marTop w:val="0"/>
      <w:marBottom w:val="0"/>
      <w:divBdr>
        <w:top w:val="none" w:sz="0" w:space="0" w:color="auto"/>
        <w:left w:val="none" w:sz="0" w:space="0" w:color="auto"/>
        <w:bottom w:val="none" w:sz="0" w:space="0" w:color="auto"/>
        <w:right w:val="none" w:sz="0" w:space="0" w:color="auto"/>
      </w:divBdr>
    </w:div>
    <w:div w:id="1239439566">
      <w:bodyDiv w:val="1"/>
      <w:marLeft w:val="0"/>
      <w:marRight w:val="0"/>
      <w:marTop w:val="0"/>
      <w:marBottom w:val="0"/>
      <w:divBdr>
        <w:top w:val="none" w:sz="0" w:space="0" w:color="auto"/>
        <w:left w:val="none" w:sz="0" w:space="0" w:color="auto"/>
        <w:bottom w:val="none" w:sz="0" w:space="0" w:color="auto"/>
        <w:right w:val="none" w:sz="0" w:space="0" w:color="auto"/>
      </w:divBdr>
    </w:div>
    <w:div w:id="1453785603">
      <w:bodyDiv w:val="1"/>
      <w:marLeft w:val="0"/>
      <w:marRight w:val="0"/>
      <w:marTop w:val="0"/>
      <w:marBottom w:val="0"/>
      <w:divBdr>
        <w:top w:val="none" w:sz="0" w:space="0" w:color="auto"/>
        <w:left w:val="none" w:sz="0" w:space="0" w:color="auto"/>
        <w:bottom w:val="none" w:sz="0" w:space="0" w:color="auto"/>
        <w:right w:val="none" w:sz="0" w:space="0" w:color="auto"/>
      </w:divBdr>
    </w:div>
    <w:div w:id="1524323770">
      <w:bodyDiv w:val="1"/>
      <w:marLeft w:val="0"/>
      <w:marRight w:val="0"/>
      <w:marTop w:val="0"/>
      <w:marBottom w:val="0"/>
      <w:divBdr>
        <w:top w:val="none" w:sz="0" w:space="0" w:color="auto"/>
        <w:left w:val="none" w:sz="0" w:space="0" w:color="auto"/>
        <w:bottom w:val="none" w:sz="0" w:space="0" w:color="auto"/>
        <w:right w:val="none" w:sz="0" w:space="0" w:color="auto"/>
      </w:divBdr>
      <w:divsChild>
        <w:div w:id="1892182833">
          <w:marLeft w:val="0"/>
          <w:marRight w:val="0"/>
          <w:marTop w:val="0"/>
          <w:marBottom w:val="0"/>
          <w:divBdr>
            <w:top w:val="none" w:sz="0" w:space="0" w:color="auto"/>
            <w:left w:val="none" w:sz="0" w:space="0" w:color="auto"/>
            <w:bottom w:val="none" w:sz="0" w:space="0" w:color="auto"/>
            <w:right w:val="none" w:sz="0" w:space="0" w:color="auto"/>
          </w:divBdr>
        </w:div>
      </w:divsChild>
    </w:div>
    <w:div w:id="20386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aemerson@porterwright.com" TargetMode="External"/><Relationship Id="rId39" Type="http://schemas.openxmlformats.org/officeDocument/2006/relationships/hyperlink" Target="mailto:whitt@whitt-sturtevant.com" TargetMode="External"/><Relationship Id="rId21" Type="http://schemas.openxmlformats.org/officeDocument/2006/relationships/footer" Target="footer5.xml"/><Relationship Id="rId34" Type="http://schemas.openxmlformats.org/officeDocument/2006/relationships/hyperlink" Target="mailto:joliker@igsenergy.com" TargetMode="External"/><Relationship Id="rId42" Type="http://schemas.openxmlformats.org/officeDocument/2006/relationships/hyperlink" Target="mailto:bryce.mckenney@puc.state.oh.us" TargetMode="External"/><Relationship Id="rId47" Type="http://schemas.openxmlformats.org/officeDocument/2006/relationships/hyperlink" Target="mailto:glpetrucci@vorys.com" TargetMode="External"/><Relationship Id="rId50" Type="http://schemas.openxmlformats.org/officeDocument/2006/relationships/hyperlink" Target="mailto:rbrundrett@ohiomfg.com" TargetMode="External"/><Relationship Id="rId55" Type="http://schemas.openxmlformats.org/officeDocument/2006/relationships/hyperlink" Target="mailto:terry.etter@occ.ohio.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brundrett@ohiomfg.com" TargetMode="External"/><Relationship Id="rId25" Type="http://schemas.openxmlformats.org/officeDocument/2006/relationships/footer" Target="footer7.xml"/><Relationship Id="rId33" Type="http://schemas.openxmlformats.org/officeDocument/2006/relationships/hyperlink" Target="mailto:jbowser@mwncmh.com" TargetMode="External"/><Relationship Id="rId38" Type="http://schemas.openxmlformats.org/officeDocument/2006/relationships/hyperlink" Target="mailto:slesser@calfee.com" TargetMode="External"/><Relationship Id="rId46" Type="http://schemas.openxmlformats.org/officeDocument/2006/relationships/hyperlink" Target="mailto:mhpetricoff@vorys.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ck.sites@ohiohospitals.org" TargetMode="External"/><Relationship Id="rId20" Type="http://schemas.openxmlformats.org/officeDocument/2006/relationships/header" Target="header5.xml"/><Relationship Id="rId29" Type="http://schemas.openxmlformats.org/officeDocument/2006/relationships/hyperlink" Target="mailto:dclearfield@eckertseamans.com" TargetMode="External"/><Relationship Id="rId41" Type="http://schemas.openxmlformats.org/officeDocument/2006/relationships/hyperlink" Target="mailto:mjsatterwhite@aep.com" TargetMode="External"/><Relationship Id="rId54" Type="http://schemas.openxmlformats.org/officeDocument/2006/relationships/hyperlink" Target="mailto:dstinson@brick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mailto:jodi.bair@occ.ohio.gov" TargetMode="External"/><Relationship Id="rId37" Type="http://schemas.openxmlformats.org/officeDocument/2006/relationships/hyperlink" Target="mailto:bojko@carpenterlipps.com" TargetMode="External"/><Relationship Id="rId40" Type="http://schemas.openxmlformats.org/officeDocument/2006/relationships/hyperlink" Target="mailto:mcorbett@calfee.com" TargetMode="External"/><Relationship Id="rId45" Type="http://schemas.openxmlformats.org/officeDocument/2006/relationships/hyperlink" Target="mailto:stnourse@aep.com" TargetMode="External"/><Relationship Id="rId53" Type="http://schemas.openxmlformats.org/officeDocument/2006/relationships/hyperlink" Target="mailto:Amy.Spiller@Duke-Energy.com" TargetMode="External"/><Relationship Id="rId58" Type="http://schemas.openxmlformats.org/officeDocument/2006/relationships/hyperlink" Target="mailto:william.wright@ohioattorneygeneral.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mailto:cmooney@ohiopartners.org" TargetMode="External"/><Relationship Id="rId36" Type="http://schemas.openxmlformats.org/officeDocument/2006/relationships/hyperlink" Target="mailto:ktreadway@oneenergyllc.com" TargetMode="External"/><Relationship Id="rId49" Type="http://schemas.openxmlformats.org/officeDocument/2006/relationships/hyperlink" Target="mailto:rick.sites@ohiohospitals.org" TargetMode="External"/><Relationship Id="rId57" Type="http://schemas.openxmlformats.org/officeDocument/2006/relationships/hyperlink" Target="mailto:mswhite@igsenergy.com"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mailto:gkrassen@bricker.com" TargetMode="External"/><Relationship Id="rId44" Type="http://schemas.openxmlformats.org/officeDocument/2006/relationships/hyperlink" Target="mailto:msmckenzie@aep.com" TargetMode="External"/><Relationship Id="rId52" Type="http://schemas.openxmlformats.org/officeDocument/2006/relationships/hyperlink" Target="mailto:sdismukes@eckertseamans.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brundrett@ohiomfg.com"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mailto:campbell@whitt-sturtevant.com" TargetMode="External"/><Relationship Id="rId30" Type="http://schemas.openxmlformats.org/officeDocument/2006/relationships/hyperlink" Target="mailto:dborchers@bricker.com" TargetMode="External"/><Relationship Id="rId35" Type="http://schemas.openxmlformats.org/officeDocument/2006/relationships/hyperlink" Target="mailto:jeckert@firstenergycorp.com" TargetMode="External"/><Relationship Id="rId43" Type="http://schemas.openxmlformats.org/officeDocument/2006/relationships/hyperlink" Target="mailto:mjsettineri@vorys.com" TargetMode="External"/><Relationship Id="rId48" Type="http://schemas.openxmlformats.org/officeDocument/2006/relationships/hyperlink" Target="mailto:Randall.Griffin@aes.com" TargetMode="External"/><Relationship Id="rId56" Type="http://schemas.openxmlformats.org/officeDocument/2006/relationships/hyperlink" Target="mailto:elizabeth.watts@duke-energy.com" TargetMode="External"/><Relationship Id="rId8" Type="http://schemas.openxmlformats.org/officeDocument/2006/relationships/hyperlink" Target="mailto:rick.sites@ohiohospitals.org" TargetMode="External"/><Relationship Id="rId51" Type="http://schemas.openxmlformats.org/officeDocument/2006/relationships/hyperlink" Target="mailto:sstoner@eckertseaman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F1F3-8EFC-4C3D-8086-14FE2104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3138</Words>
  <Characters>17961</Characters>
  <Application>Microsoft Office Word</Application>
  <DocSecurity>0</DocSecurity>
  <PresentationFormat/>
  <Lines>415</Lines>
  <Paragraphs>159</Paragraphs>
  <ScaleCrop>false</ScaleCrop>
  <HeadingPairs>
    <vt:vector size="2" baseType="variant">
      <vt:variant>
        <vt:lpstr>Title</vt:lpstr>
      </vt:variant>
      <vt:variant>
        <vt:i4>1</vt:i4>
      </vt:variant>
    </vt:vector>
  </HeadingPairs>
  <TitlesOfParts>
    <vt:vector size="1" baseType="lpstr">
      <vt:lpstr>submetering investigation; memo opposing applications for rehearing (C0100668).DOCX</vt:lpstr>
    </vt:vector>
  </TitlesOfParts>
  <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submetering investigation; memo opposing applications for rehearing (C0100668).DOCX</dc:title>
  <dc:subject>C0100668:1</dc:subject>
  <dc:creator>Frank Darr</dc:creator>
  <cp:keywords/>
  <dc:description/>
  <cp:lastModifiedBy>Karen Bowman</cp:lastModifiedBy>
  <cp:revision>2</cp:revision>
  <cp:lastPrinted>2017-01-17T19:57:00Z</cp:lastPrinted>
  <dcterms:created xsi:type="dcterms:W3CDTF">2017-01-17T19:59:00Z</dcterms:created>
  <dcterms:modified xsi:type="dcterms:W3CDTF">2017-01-17T19:59:00Z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12/29/2016 11:09:50 AM</vt:lpwstr>
  </property>
</Properties>
</file>