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29" w:rsidRPr="00E15005" w:rsidRDefault="00EF7C29" w:rsidP="00EF7C29">
      <w:pPr>
        <w:spacing w:line="240" w:lineRule="auto"/>
        <w:jc w:val="center"/>
        <w:rPr>
          <w:rFonts w:eastAsia="Calibri"/>
          <w:b/>
          <w:smallCaps/>
          <w:sz w:val="28"/>
          <w:szCs w:val="28"/>
        </w:rPr>
      </w:pPr>
      <w:bookmarkStart w:id="0" w:name="OLE_LINK1"/>
      <w:bookmarkStart w:id="1" w:name="OLE_LINK2"/>
      <w:r w:rsidRPr="00E15005">
        <w:rPr>
          <w:rFonts w:eastAsia="Calibri"/>
          <w:b/>
          <w:smallCaps/>
          <w:sz w:val="28"/>
          <w:szCs w:val="28"/>
        </w:rPr>
        <w:t>Before</w:t>
      </w:r>
    </w:p>
    <w:p w:rsidR="00EF7C29" w:rsidRPr="00E15005" w:rsidRDefault="00EF7C29" w:rsidP="00EF7C29">
      <w:pPr>
        <w:spacing w:line="240" w:lineRule="auto"/>
        <w:jc w:val="center"/>
        <w:rPr>
          <w:rFonts w:eastAsia="Calibri"/>
          <w:b/>
          <w:smallCaps/>
          <w:sz w:val="28"/>
          <w:szCs w:val="28"/>
        </w:rPr>
      </w:pPr>
      <w:r w:rsidRPr="00E15005">
        <w:rPr>
          <w:rFonts w:eastAsia="Calibri"/>
          <w:b/>
          <w:smallCaps/>
          <w:sz w:val="28"/>
          <w:szCs w:val="28"/>
        </w:rPr>
        <w:t>The Public Utilities Commission Of Ohio</w:t>
      </w:r>
    </w:p>
    <w:p w:rsidR="00EF7C29" w:rsidRPr="001A24CA" w:rsidRDefault="00EF7C29" w:rsidP="00EF7C29">
      <w:pPr>
        <w:spacing w:line="240" w:lineRule="auto"/>
        <w:rPr>
          <w:rFonts w:eastAsia="Calibri" w:cs="Times New Roman"/>
          <w:b/>
        </w:rPr>
      </w:pP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 xml:space="preserve">In the Matter of the Application of </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 xml:space="preserve">The Dayton Power and Light Company </w:t>
      </w:r>
      <w:r w:rsidRPr="00873B33">
        <w:rPr>
          <w:rFonts w:eastAsia="Calibri" w:cs="Times New Roman"/>
        </w:rPr>
        <w:tab/>
        <w:t>)</w:t>
      </w:r>
      <w:r w:rsidRPr="00873B33">
        <w:rPr>
          <w:rFonts w:eastAsia="Calibri" w:cs="Times New Roman"/>
        </w:rPr>
        <w:tab/>
        <w:t>Case No. 12-426-EL-SSO</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for Approval of Its Market Rate Offer.</w:t>
      </w:r>
      <w:r w:rsidRPr="00873B33">
        <w:rPr>
          <w:rFonts w:eastAsia="Calibri" w:cs="Times New Roman"/>
        </w:rPr>
        <w:tab/>
        <w:t>)</w:t>
      </w:r>
    </w:p>
    <w:p w:rsidR="00EF7C29" w:rsidRPr="00873B33" w:rsidRDefault="00EF7C29" w:rsidP="00EF7C29">
      <w:pPr>
        <w:tabs>
          <w:tab w:val="left" w:pos="4590"/>
          <w:tab w:val="left" w:pos="5220"/>
        </w:tabs>
        <w:spacing w:after="180"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12-427-EL-ATA</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for Approval of Revised Tariffs.</w:t>
      </w:r>
      <w:r w:rsidRPr="00873B33">
        <w:rPr>
          <w:rFonts w:eastAsia="Calibri" w:cs="Times New Roman"/>
        </w:rPr>
        <w:tab/>
        <w:t>)</w:t>
      </w:r>
    </w:p>
    <w:p w:rsidR="00EF7C29" w:rsidRPr="00873B33" w:rsidRDefault="00EF7C29" w:rsidP="00EF7C29">
      <w:pPr>
        <w:tabs>
          <w:tab w:val="left" w:pos="4590"/>
          <w:tab w:val="left" w:pos="5220"/>
        </w:tabs>
        <w:spacing w:after="180"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12-428-EL-AAM</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 xml:space="preserve">for Approval of Certain Accounting </w:t>
      </w:r>
      <w:r w:rsidRPr="00873B33">
        <w:rPr>
          <w:rFonts w:eastAsia="Calibri" w:cs="Times New Roman"/>
        </w:rPr>
        <w:tab/>
        <w:t>)</w:t>
      </w:r>
    </w:p>
    <w:p w:rsidR="00EF7C29" w:rsidRDefault="00EF7C29" w:rsidP="00EF7C29">
      <w:pPr>
        <w:tabs>
          <w:tab w:val="left" w:pos="4590"/>
          <w:tab w:val="left" w:pos="5220"/>
        </w:tabs>
        <w:spacing w:after="180" w:line="240" w:lineRule="auto"/>
        <w:rPr>
          <w:rFonts w:eastAsia="Calibri" w:cs="Times New Roman"/>
        </w:rPr>
      </w:pPr>
      <w:r w:rsidRPr="00873B33">
        <w:rPr>
          <w:rFonts w:eastAsia="Calibri" w:cs="Times New Roman"/>
        </w:rPr>
        <w:t>Authority.</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12-429-EL-WVR</w:t>
      </w:r>
    </w:p>
    <w:p w:rsidR="00EF7C29" w:rsidRDefault="00EF7C29" w:rsidP="00EF7C29">
      <w:pPr>
        <w:tabs>
          <w:tab w:val="left" w:pos="4590"/>
          <w:tab w:val="left" w:pos="5220"/>
        </w:tabs>
        <w:spacing w:after="180" w:line="240" w:lineRule="auto"/>
        <w:rPr>
          <w:rFonts w:eastAsia="Calibri" w:cs="Times New Roman"/>
        </w:rPr>
      </w:pPr>
      <w:r w:rsidRPr="00873B33">
        <w:rPr>
          <w:rFonts w:eastAsia="Calibri" w:cs="Times New Roman"/>
        </w:rPr>
        <w:t>for Waiver of Certain Commission Rules.</w:t>
      </w:r>
      <w:r>
        <w:rPr>
          <w:rFonts w:eastAsia="Calibri" w:cs="Times New Roman"/>
        </w:rPr>
        <w:tab/>
      </w:r>
      <w:r w:rsidRPr="00873B33">
        <w:rPr>
          <w:rFonts w:eastAsia="Calibri" w:cs="Times New Roman"/>
        </w:rPr>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12-672-EL-RDR</w:t>
      </w:r>
    </w:p>
    <w:p w:rsidR="00EF7C29" w:rsidRPr="00873B33" w:rsidRDefault="00EF7C29" w:rsidP="00EF7C29">
      <w:pPr>
        <w:tabs>
          <w:tab w:val="left" w:pos="4590"/>
          <w:tab w:val="left" w:pos="5220"/>
        </w:tabs>
        <w:spacing w:line="240" w:lineRule="auto"/>
        <w:rPr>
          <w:rFonts w:eastAsia="Calibri" w:cs="Times New Roman"/>
        </w:rPr>
      </w:pPr>
      <w:r w:rsidRPr="00873B33">
        <w:rPr>
          <w:rFonts w:eastAsia="Calibri" w:cs="Times New Roman"/>
        </w:rPr>
        <w:t>to Establish Tariff Riders.</w:t>
      </w:r>
      <w:r w:rsidRPr="00873B33">
        <w:rPr>
          <w:rFonts w:eastAsia="Calibri" w:cs="Times New Roman"/>
        </w:rPr>
        <w:tab/>
        <w:t>)</w:t>
      </w:r>
    </w:p>
    <w:p w:rsidR="00EF7C29" w:rsidRPr="001A24CA" w:rsidRDefault="00EF7C29" w:rsidP="00EF7C29">
      <w:pPr>
        <w:tabs>
          <w:tab w:val="left" w:pos="4500"/>
          <w:tab w:val="left" w:pos="5040"/>
        </w:tabs>
        <w:spacing w:line="240" w:lineRule="auto"/>
      </w:pPr>
    </w:p>
    <w:p w:rsidR="00EF7C29" w:rsidRPr="00E61BA6" w:rsidRDefault="00EF7C29" w:rsidP="00EF7C29">
      <w:pPr>
        <w:pBdr>
          <w:top w:val="single" w:sz="12" w:space="1" w:color="auto"/>
        </w:pBdr>
        <w:spacing w:line="240" w:lineRule="auto"/>
        <w:rPr>
          <w:b/>
          <w:caps/>
          <w:sz w:val="8"/>
          <w:szCs w:val="8"/>
        </w:rPr>
      </w:pPr>
    </w:p>
    <w:p w:rsidR="00EF7C29" w:rsidRDefault="00EF7C29" w:rsidP="00EF7C29">
      <w:pPr>
        <w:spacing w:line="240" w:lineRule="auto"/>
        <w:jc w:val="center"/>
        <w:rPr>
          <w:rFonts w:ascii="Arial Bold" w:hAnsi="Arial Bold"/>
          <w:b/>
          <w:smallCaps/>
          <w:sz w:val="28"/>
        </w:rPr>
      </w:pPr>
      <w:r w:rsidRPr="00770E7F">
        <w:rPr>
          <w:rFonts w:ascii="Arial Bold" w:hAnsi="Arial Bold"/>
          <w:b/>
          <w:smallCaps/>
          <w:sz w:val="28"/>
        </w:rPr>
        <w:t>Industrial Energy Users-Ohio</w:t>
      </w:r>
      <w:r>
        <w:rPr>
          <w:rFonts w:ascii="Arial Bold" w:hAnsi="Arial Bold"/>
          <w:b/>
          <w:smallCaps/>
          <w:sz w:val="28"/>
        </w:rPr>
        <w:t>’s</w:t>
      </w:r>
    </w:p>
    <w:p w:rsidR="00EF7C29" w:rsidRPr="00770E7F" w:rsidRDefault="00EF7C29" w:rsidP="00EF7C29">
      <w:pPr>
        <w:spacing w:line="240" w:lineRule="auto"/>
        <w:jc w:val="center"/>
        <w:rPr>
          <w:rFonts w:ascii="Arial Bold" w:hAnsi="Arial Bold"/>
          <w:b/>
          <w:smallCaps/>
          <w:sz w:val="28"/>
        </w:rPr>
      </w:pPr>
      <w:r>
        <w:rPr>
          <w:rFonts w:ascii="Arial Bold" w:hAnsi="Arial Bold"/>
          <w:b/>
          <w:smallCaps/>
          <w:sz w:val="28"/>
        </w:rPr>
        <w:t>Notice of Additional Authority – Mandate of</w:t>
      </w:r>
    </w:p>
    <w:p w:rsidR="00EF7C29" w:rsidRPr="00770E7F" w:rsidRDefault="00EF7C29" w:rsidP="00EF7C29">
      <w:pPr>
        <w:spacing w:line="240" w:lineRule="auto"/>
        <w:jc w:val="center"/>
        <w:rPr>
          <w:rFonts w:ascii="Arial Bold" w:hAnsi="Arial Bold"/>
          <w:b/>
          <w:smallCaps/>
          <w:sz w:val="28"/>
        </w:rPr>
      </w:pPr>
      <w:r>
        <w:rPr>
          <w:rFonts w:ascii="Arial Bold" w:hAnsi="Arial Bold"/>
          <w:b/>
          <w:smallCaps/>
          <w:sz w:val="28"/>
        </w:rPr>
        <w:t>the Ohio Supreme Court</w:t>
      </w:r>
    </w:p>
    <w:p w:rsidR="00EF7C29" w:rsidRPr="00E61BA6" w:rsidRDefault="00EF7C29" w:rsidP="00EF7C29">
      <w:pPr>
        <w:pBdr>
          <w:bottom w:val="single" w:sz="12" w:space="1" w:color="auto"/>
        </w:pBdr>
        <w:spacing w:line="240" w:lineRule="auto"/>
        <w:rPr>
          <w:b/>
          <w:caps/>
          <w:sz w:val="8"/>
          <w:szCs w:val="8"/>
        </w:rPr>
      </w:pPr>
    </w:p>
    <w:p w:rsidR="00EF7C29" w:rsidRDefault="00EF7C29" w:rsidP="00EF7C29">
      <w:pPr>
        <w:widowControl w:val="0"/>
        <w:spacing w:line="240" w:lineRule="auto"/>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Default="00EF7C29" w:rsidP="00EF7C29">
      <w:pPr>
        <w:widowControl w:val="0"/>
        <w:spacing w:line="240" w:lineRule="auto"/>
        <w:ind w:left="4320"/>
        <w:jc w:val="left"/>
        <w:rPr>
          <w:bCs/>
          <w:color w:val="000000" w:themeColor="text1"/>
          <w:sz w:val="22"/>
        </w:rPr>
      </w:pPr>
    </w:p>
    <w:p w:rsidR="00EF7C29" w:rsidRPr="009E489F" w:rsidRDefault="00EF7C29" w:rsidP="00EF7C29">
      <w:pPr>
        <w:widowControl w:val="0"/>
        <w:spacing w:line="240" w:lineRule="auto"/>
        <w:ind w:left="4320"/>
        <w:jc w:val="left"/>
        <w:rPr>
          <w:b/>
          <w:bCs/>
          <w:color w:val="000000" w:themeColor="text1"/>
          <w:sz w:val="22"/>
        </w:rPr>
      </w:pPr>
      <w:r>
        <w:rPr>
          <w:bCs/>
          <w:color w:val="000000" w:themeColor="text1"/>
          <w:sz w:val="22"/>
        </w:rPr>
        <w:t>Frank P. Darr (Reg. #</w:t>
      </w:r>
      <w:r w:rsidRPr="009E489F">
        <w:rPr>
          <w:bCs/>
          <w:color w:val="000000" w:themeColor="text1"/>
          <w:sz w:val="22"/>
        </w:rPr>
        <w:t xml:space="preserve"> 0025469)</w:t>
      </w:r>
    </w:p>
    <w:p w:rsidR="00EF7C29" w:rsidRPr="009E489F" w:rsidRDefault="00EF7C29" w:rsidP="00EF7C29">
      <w:pPr>
        <w:tabs>
          <w:tab w:val="right" w:pos="8640"/>
        </w:tabs>
        <w:spacing w:line="240" w:lineRule="auto"/>
        <w:ind w:left="4320"/>
        <w:jc w:val="left"/>
        <w:rPr>
          <w:color w:val="000000" w:themeColor="text1"/>
          <w:sz w:val="22"/>
        </w:rPr>
      </w:pPr>
      <w:r w:rsidRPr="009E489F">
        <w:rPr>
          <w:b/>
          <w:bCs/>
          <w:color w:val="000000" w:themeColor="text1"/>
          <w:sz w:val="22"/>
        </w:rPr>
        <w:t xml:space="preserve">  </w:t>
      </w:r>
      <w:r w:rsidRPr="009E489F">
        <w:rPr>
          <w:color w:val="000000" w:themeColor="text1"/>
          <w:sz w:val="22"/>
        </w:rPr>
        <w:t>(Counsel of Record)</w:t>
      </w:r>
    </w:p>
    <w:p w:rsidR="00EF7C29" w:rsidRPr="009E489F" w:rsidRDefault="00EF7C29" w:rsidP="00EF7C29">
      <w:pPr>
        <w:widowControl w:val="0"/>
        <w:spacing w:line="240" w:lineRule="auto"/>
        <w:ind w:left="4320"/>
        <w:jc w:val="left"/>
        <w:rPr>
          <w:b/>
          <w:bCs/>
          <w:color w:val="000000" w:themeColor="text1"/>
          <w:sz w:val="22"/>
        </w:rPr>
      </w:pPr>
      <w:r w:rsidRPr="009E489F">
        <w:rPr>
          <w:bCs/>
          <w:color w:val="000000" w:themeColor="text1"/>
          <w:sz w:val="22"/>
        </w:rPr>
        <w:t xml:space="preserve">Matthew R. Pritchard (Reg. </w:t>
      </w:r>
      <w:r>
        <w:rPr>
          <w:bCs/>
          <w:color w:val="000000" w:themeColor="text1"/>
          <w:sz w:val="22"/>
        </w:rPr>
        <w:t>#</w:t>
      </w:r>
      <w:r w:rsidRPr="009E489F">
        <w:rPr>
          <w:bCs/>
          <w:color w:val="000000" w:themeColor="text1"/>
          <w:sz w:val="22"/>
        </w:rPr>
        <w:t xml:space="preserve"> 0088070)</w:t>
      </w:r>
    </w:p>
    <w:p w:rsidR="00EF7C29" w:rsidRPr="009E489F" w:rsidRDefault="00EF7C29" w:rsidP="00EF7C29">
      <w:pPr>
        <w:widowControl w:val="0"/>
        <w:spacing w:line="240" w:lineRule="auto"/>
        <w:ind w:left="4320"/>
        <w:jc w:val="left"/>
        <w:rPr>
          <w:b/>
          <w:bCs/>
          <w:smallCaps/>
          <w:color w:val="000000" w:themeColor="text1"/>
          <w:sz w:val="22"/>
        </w:rPr>
      </w:pPr>
      <w:r w:rsidRPr="009E489F">
        <w:rPr>
          <w:bCs/>
          <w:smallCaps/>
          <w:color w:val="000000" w:themeColor="text1"/>
          <w:sz w:val="22"/>
        </w:rPr>
        <w:t>McNees Wallace &amp; Nurick LLC</w:t>
      </w:r>
    </w:p>
    <w:p w:rsidR="00EF7C29" w:rsidRPr="009E489F" w:rsidRDefault="00EF7C29" w:rsidP="00EF7C29">
      <w:pPr>
        <w:widowControl w:val="0"/>
        <w:spacing w:line="240" w:lineRule="auto"/>
        <w:ind w:left="4320"/>
        <w:jc w:val="left"/>
        <w:rPr>
          <w:b/>
          <w:bCs/>
          <w:color w:val="000000" w:themeColor="text1"/>
          <w:sz w:val="22"/>
        </w:rPr>
      </w:pPr>
      <w:r w:rsidRPr="009E489F">
        <w:rPr>
          <w:bCs/>
          <w:color w:val="000000" w:themeColor="text1"/>
          <w:sz w:val="22"/>
        </w:rPr>
        <w:t>21 East State Street, 17</w:t>
      </w:r>
      <w:r w:rsidRPr="009E489F">
        <w:rPr>
          <w:bCs/>
          <w:color w:val="000000" w:themeColor="text1"/>
          <w:sz w:val="22"/>
          <w:vertAlign w:val="superscript"/>
        </w:rPr>
        <w:t>TH</w:t>
      </w:r>
      <w:r w:rsidRPr="009E489F">
        <w:rPr>
          <w:bCs/>
          <w:color w:val="000000" w:themeColor="text1"/>
          <w:sz w:val="22"/>
        </w:rPr>
        <w:t xml:space="preserve"> Floor</w:t>
      </w:r>
    </w:p>
    <w:p w:rsidR="00EF7C29" w:rsidRPr="009E489F" w:rsidRDefault="00EF7C29" w:rsidP="00EF7C29">
      <w:pPr>
        <w:spacing w:line="240" w:lineRule="auto"/>
        <w:ind w:left="4320"/>
        <w:jc w:val="left"/>
        <w:rPr>
          <w:rFonts w:eastAsia="Times New Roman"/>
          <w:color w:val="000000" w:themeColor="text1"/>
          <w:sz w:val="22"/>
        </w:rPr>
      </w:pPr>
      <w:r w:rsidRPr="009E489F">
        <w:rPr>
          <w:rFonts w:eastAsia="Times New Roman"/>
          <w:color w:val="000000" w:themeColor="text1"/>
          <w:sz w:val="22"/>
        </w:rPr>
        <w:t>Columbus, OH  43215</w:t>
      </w:r>
    </w:p>
    <w:p w:rsidR="00EF7C29" w:rsidRPr="009E489F" w:rsidRDefault="00EF7C29" w:rsidP="00EF7C29">
      <w:pPr>
        <w:spacing w:line="240" w:lineRule="auto"/>
        <w:ind w:left="4320"/>
        <w:jc w:val="left"/>
        <w:rPr>
          <w:rFonts w:eastAsia="Times New Roman"/>
          <w:color w:val="000000" w:themeColor="text1"/>
          <w:sz w:val="22"/>
        </w:rPr>
      </w:pPr>
      <w:r w:rsidRPr="009E489F">
        <w:rPr>
          <w:rFonts w:eastAsia="Times New Roman"/>
          <w:color w:val="000000" w:themeColor="text1"/>
          <w:sz w:val="22"/>
        </w:rPr>
        <w:t>Telephone:  (614) 469-8000</w:t>
      </w:r>
    </w:p>
    <w:p w:rsidR="00EF7C29" w:rsidRPr="009E489F" w:rsidRDefault="00EF7C29" w:rsidP="00EF7C29">
      <w:pPr>
        <w:spacing w:line="240" w:lineRule="auto"/>
        <w:ind w:left="4320"/>
        <w:jc w:val="left"/>
        <w:rPr>
          <w:rFonts w:eastAsia="Times New Roman"/>
          <w:color w:val="000000" w:themeColor="text1"/>
          <w:sz w:val="22"/>
        </w:rPr>
      </w:pPr>
      <w:r w:rsidRPr="009E489F">
        <w:rPr>
          <w:rFonts w:eastAsia="Times New Roman"/>
          <w:color w:val="000000" w:themeColor="text1"/>
          <w:sz w:val="22"/>
        </w:rPr>
        <w:t>Telecopier:  (614) 469-4653</w:t>
      </w:r>
    </w:p>
    <w:p w:rsidR="00EF7C29" w:rsidRPr="009E489F" w:rsidRDefault="00EF7C29" w:rsidP="00EF7C29">
      <w:pPr>
        <w:spacing w:line="240" w:lineRule="auto"/>
        <w:ind w:left="4320"/>
        <w:jc w:val="left"/>
        <w:rPr>
          <w:rFonts w:eastAsia="Times New Roman"/>
          <w:color w:val="000000" w:themeColor="text1"/>
          <w:sz w:val="22"/>
        </w:rPr>
      </w:pPr>
      <w:r w:rsidRPr="009E489F">
        <w:rPr>
          <w:rFonts w:eastAsia="Times New Roman"/>
          <w:sz w:val="22"/>
        </w:rPr>
        <w:t>fdarr@mwncmh.com</w:t>
      </w:r>
    </w:p>
    <w:p w:rsidR="00EF7C29" w:rsidRPr="009E489F" w:rsidRDefault="00EF7C29" w:rsidP="00EF7C29">
      <w:pPr>
        <w:spacing w:line="240" w:lineRule="auto"/>
        <w:ind w:left="4320"/>
        <w:jc w:val="left"/>
        <w:rPr>
          <w:rFonts w:eastAsia="Times New Roman"/>
          <w:color w:val="000000" w:themeColor="text1"/>
          <w:sz w:val="22"/>
        </w:rPr>
      </w:pPr>
      <w:r w:rsidRPr="009E489F">
        <w:rPr>
          <w:rFonts w:eastAsia="Times New Roman"/>
          <w:sz w:val="22"/>
        </w:rPr>
        <w:t>mpritchard@mwncmh.com</w:t>
      </w:r>
    </w:p>
    <w:p w:rsidR="00EF7C29" w:rsidRPr="009E489F" w:rsidRDefault="00EF7C29" w:rsidP="00EF7C29">
      <w:pPr>
        <w:tabs>
          <w:tab w:val="left" w:pos="-1440"/>
          <w:tab w:val="left" w:pos="-720"/>
          <w:tab w:val="right" w:pos="8640"/>
        </w:tabs>
        <w:spacing w:line="240" w:lineRule="auto"/>
        <w:ind w:left="4320"/>
        <w:jc w:val="left"/>
        <w:rPr>
          <w:rFonts w:eastAsia="Calibri"/>
          <w:color w:val="000000" w:themeColor="text1"/>
          <w:sz w:val="22"/>
        </w:rPr>
      </w:pPr>
    </w:p>
    <w:p w:rsidR="00EF7C29" w:rsidRPr="009E489F" w:rsidRDefault="00EF7C29" w:rsidP="00EF7C29">
      <w:pPr>
        <w:pStyle w:val="Title"/>
        <w:tabs>
          <w:tab w:val="clear" w:pos="720"/>
        </w:tabs>
        <w:ind w:left="4320" w:hanging="4320"/>
        <w:rPr>
          <w:sz w:val="22"/>
          <w:szCs w:val="22"/>
        </w:rPr>
      </w:pPr>
      <w:r>
        <w:rPr>
          <w:sz w:val="22"/>
          <w:szCs w:val="22"/>
        </w:rPr>
        <w:t>July 6, 2016</w:t>
      </w:r>
      <w:r>
        <w:rPr>
          <w:sz w:val="22"/>
          <w:szCs w:val="22"/>
        </w:rPr>
        <w:tab/>
      </w:r>
      <w:r w:rsidRPr="009E489F">
        <w:rPr>
          <w:sz w:val="22"/>
          <w:szCs w:val="22"/>
        </w:rPr>
        <w:t>Attorneys for Industrial Energy Users-Ohio</w:t>
      </w:r>
      <w:bookmarkEnd w:id="0"/>
      <w:bookmarkEnd w:id="1"/>
    </w:p>
    <w:p w:rsidR="00EF7C29" w:rsidRPr="00264572" w:rsidRDefault="00EF7C29" w:rsidP="00EF7C29">
      <w:pPr>
        <w:pStyle w:val="Title"/>
        <w:tabs>
          <w:tab w:val="clear" w:pos="720"/>
          <w:tab w:val="left" w:pos="1427"/>
        </w:tabs>
        <w:rPr>
          <w:sz w:val="22"/>
          <w:szCs w:val="22"/>
        </w:rPr>
      </w:pPr>
    </w:p>
    <w:p w:rsidR="00EF7C29" w:rsidRDefault="00EF7C29" w:rsidP="00EF7C29">
      <w:pPr>
        <w:spacing w:line="240" w:lineRule="auto"/>
        <w:jc w:val="center"/>
        <w:rPr>
          <w:rFonts w:eastAsia="Calibri"/>
          <w:b/>
          <w:smallCaps/>
          <w:sz w:val="28"/>
          <w:szCs w:val="28"/>
        </w:rPr>
        <w:sectPr w:rsidR="00EF7C29" w:rsidSect="00EF7C29">
          <w:footerReference w:type="default" r:id="rId6"/>
          <w:footerReference w:type="first" r:id="rId7"/>
          <w:type w:val="continuous"/>
          <w:pgSz w:w="12240" w:h="15840" w:code="1"/>
          <w:pgMar w:top="1296" w:right="1440" w:bottom="1008" w:left="1440" w:header="720" w:footer="720" w:gutter="0"/>
          <w:pgNumType w:fmt="lowerRoman" w:start="1"/>
          <w:cols w:space="720"/>
          <w:titlePg/>
          <w:docGrid w:linePitch="360"/>
        </w:sectPr>
      </w:pPr>
    </w:p>
    <w:p w:rsidR="002642FF" w:rsidRPr="00E15005" w:rsidRDefault="002642FF" w:rsidP="002642FF">
      <w:pPr>
        <w:spacing w:line="240" w:lineRule="auto"/>
        <w:jc w:val="center"/>
        <w:rPr>
          <w:rFonts w:eastAsia="Calibri"/>
          <w:b/>
          <w:smallCaps/>
          <w:sz w:val="28"/>
          <w:szCs w:val="28"/>
        </w:rPr>
      </w:pPr>
      <w:r w:rsidRPr="00E15005">
        <w:rPr>
          <w:rFonts w:eastAsia="Calibri"/>
          <w:b/>
          <w:smallCaps/>
          <w:sz w:val="28"/>
          <w:szCs w:val="28"/>
        </w:rPr>
        <w:lastRenderedPageBreak/>
        <w:t>Before</w:t>
      </w:r>
    </w:p>
    <w:p w:rsidR="002642FF" w:rsidRPr="00E15005" w:rsidRDefault="002642FF" w:rsidP="002642FF">
      <w:pPr>
        <w:spacing w:line="240" w:lineRule="auto"/>
        <w:jc w:val="center"/>
        <w:rPr>
          <w:rFonts w:eastAsia="Calibri"/>
          <w:b/>
          <w:smallCaps/>
          <w:sz w:val="28"/>
          <w:szCs w:val="28"/>
        </w:rPr>
      </w:pPr>
      <w:r w:rsidRPr="00E15005">
        <w:rPr>
          <w:rFonts w:eastAsia="Calibri"/>
          <w:b/>
          <w:smallCaps/>
          <w:sz w:val="28"/>
          <w:szCs w:val="28"/>
        </w:rPr>
        <w:t>The Public Utilities Commission Of Ohio</w:t>
      </w:r>
    </w:p>
    <w:p w:rsidR="002642FF" w:rsidRPr="001A24CA" w:rsidRDefault="002642FF" w:rsidP="002642FF">
      <w:pPr>
        <w:spacing w:line="240" w:lineRule="auto"/>
        <w:rPr>
          <w:rFonts w:eastAsia="Calibri" w:cs="Times New Roman"/>
          <w:b/>
        </w:rPr>
      </w:pP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 xml:space="preserve">In the Matter of the Application of </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 xml:space="preserve">The Dayton Power and Light Company </w:t>
      </w:r>
      <w:r w:rsidRPr="00873B33">
        <w:rPr>
          <w:rFonts w:eastAsia="Calibri" w:cs="Times New Roman"/>
        </w:rPr>
        <w:tab/>
        <w:t>)</w:t>
      </w:r>
      <w:r w:rsidRPr="00873B33">
        <w:rPr>
          <w:rFonts w:eastAsia="Calibri" w:cs="Times New Roman"/>
        </w:rPr>
        <w:tab/>
        <w:t>Case No. 12-426-EL-SSO</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for Approval of Its Market Rate Offer.</w:t>
      </w:r>
      <w:r w:rsidRPr="00873B33">
        <w:rPr>
          <w:rFonts w:eastAsia="Calibri" w:cs="Times New Roman"/>
        </w:rPr>
        <w:tab/>
        <w:t>)</w:t>
      </w:r>
    </w:p>
    <w:p w:rsidR="002642FF" w:rsidRPr="00873B33" w:rsidRDefault="002642FF" w:rsidP="002642FF">
      <w:pPr>
        <w:tabs>
          <w:tab w:val="left" w:pos="4590"/>
          <w:tab w:val="left" w:pos="5220"/>
        </w:tabs>
        <w:spacing w:after="180"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12-427-EL-ATA</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for Approval of Revised Tariffs.</w:t>
      </w:r>
      <w:r w:rsidRPr="00873B33">
        <w:rPr>
          <w:rFonts w:eastAsia="Calibri" w:cs="Times New Roman"/>
        </w:rPr>
        <w:tab/>
        <w:t>)</w:t>
      </w:r>
    </w:p>
    <w:p w:rsidR="002642FF" w:rsidRPr="00873B33" w:rsidRDefault="002642FF" w:rsidP="002642FF">
      <w:pPr>
        <w:tabs>
          <w:tab w:val="left" w:pos="4590"/>
          <w:tab w:val="left" w:pos="5220"/>
        </w:tabs>
        <w:spacing w:after="180"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12-428-EL-AAM</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 xml:space="preserve">for Approval of Certain Accounting </w:t>
      </w:r>
      <w:r w:rsidRPr="00873B33">
        <w:rPr>
          <w:rFonts w:eastAsia="Calibri" w:cs="Times New Roman"/>
        </w:rPr>
        <w:tab/>
        <w:t>)</w:t>
      </w:r>
    </w:p>
    <w:p w:rsidR="002642FF" w:rsidRDefault="002642FF" w:rsidP="002642FF">
      <w:pPr>
        <w:tabs>
          <w:tab w:val="left" w:pos="4590"/>
          <w:tab w:val="left" w:pos="5220"/>
        </w:tabs>
        <w:spacing w:after="180" w:line="240" w:lineRule="auto"/>
        <w:rPr>
          <w:rFonts w:eastAsia="Calibri" w:cs="Times New Roman"/>
        </w:rPr>
      </w:pPr>
      <w:r w:rsidRPr="00873B33">
        <w:rPr>
          <w:rFonts w:eastAsia="Calibri" w:cs="Times New Roman"/>
        </w:rPr>
        <w:t>Authority.</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12-429-EL-WVR</w:t>
      </w:r>
    </w:p>
    <w:p w:rsidR="002642FF" w:rsidRDefault="002642FF" w:rsidP="002642FF">
      <w:pPr>
        <w:tabs>
          <w:tab w:val="left" w:pos="4590"/>
          <w:tab w:val="left" w:pos="5220"/>
        </w:tabs>
        <w:spacing w:after="180" w:line="240" w:lineRule="auto"/>
        <w:rPr>
          <w:rFonts w:eastAsia="Calibri" w:cs="Times New Roman"/>
        </w:rPr>
      </w:pPr>
      <w:r w:rsidRPr="00873B33">
        <w:rPr>
          <w:rFonts w:eastAsia="Calibri" w:cs="Times New Roman"/>
        </w:rPr>
        <w:t>for Waiver of Certain Commission Rules.</w:t>
      </w:r>
      <w:r>
        <w:rPr>
          <w:rFonts w:eastAsia="Calibri" w:cs="Times New Roman"/>
        </w:rPr>
        <w:tab/>
      </w:r>
      <w:r w:rsidRPr="00873B33">
        <w:rPr>
          <w:rFonts w:eastAsia="Calibri" w:cs="Times New Roman"/>
        </w:rPr>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In the Matter of the Application of</w:t>
      </w:r>
      <w:r w:rsidRPr="00873B33">
        <w:rPr>
          <w:rFonts w:eastAsia="Calibri" w:cs="Times New Roman"/>
        </w:rPr>
        <w:tab/>
        <w:t>)</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The Dayton Power and Light Company</w:t>
      </w:r>
      <w:r w:rsidRPr="00873B33">
        <w:rPr>
          <w:rFonts w:eastAsia="Calibri" w:cs="Times New Roman"/>
        </w:rPr>
        <w:tab/>
        <w:t>)</w:t>
      </w:r>
      <w:r w:rsidRPr="00873B33">
        <w:rPr>
          <w:rFonts w:eastAsia="Calibri" w:cs="Times New Roman"/>
        </w:rPr>
        <w:tab/>
        <w:t>Case No. 12-672-EL-RDR</w:t>
      </w:r>
    </w:p>
    <w:p w:rsidR="002642FF" w:rsidRPr="00873B33" w:rsidRDefault="002642FF" w:rsidP="002642FF">
      <w:pPr>
        <w:tabs>
          <w:tab w:val="left" w:pos="4590"/>
          <w:tab w:val="left" w:pos="5220"/>
        </w:tabs>
        <w:spacing w:line="240" w:lineRule="auto"/>
        <w:rPr>
          <w:rFonts w:eastAsia="Calibri" w:cs="Times New Roman"/>
        </w:rPr>
      </w:pPr>
      <w:r w:rsidRPr="00873B33">
        <w:rPr>
          <w:rFonts w:eastAsia="Calibri" w:cs="Times New Roman"/>
        </w:rPr>
        <w:t>to Establish Tariff Riders.</w:t>
      </w:r>
      <w:r w:rsidRPr="00873B33">
        <w:rPr>
          <w:rFonts w:eastAsia="Calibri" w:cs="Times New Roman"/>
        </w:rPr>
        <w:tab/>
        <w:t>)</w:t>
      </w:r>
    </w:p>
    <w:p w:rsidR="002642FF" w:rsidRPr="001A24CA" w:rsidRDefault="002642FF" w:rsidP="002642FF">
      <w:pPr>
        <w:tabs>
          <w:tab w:val="left" w:pos="4500"/>
          <w:tab w:val="left" w:pos="5040"/>
        </w:tabs>
        <w:spacing w:line="240" w:lineRule="auto"/>
      </w:pPr>
    </w:p>
    <w:p w:rsidR="002642FF" w:rsidRPr="00E61BA6" w:rsidRDefault="002642FF" w:rsidP="002642FF">
      <w:pPr>
        <w:pBdr>
          <w:top w:val="single" w:sz="12" w:space="1" w:color="auto"/>
        </w:pBdr>
        <w:spacing w:line="240" w:lineRule="auto"/>
        <w:rPr>
          <w:b/>
          <w:caps/>
          <w:sz w:val="8"/>
          <w:szCs w:val="8"/>
        </w:rPr>
      </w:pPr>
    </w:p>
    <w:p w:rsidR="002642FF" w:rsidRDefault="002642FF" w:rsidP="002642FF">
      <w:pPr>
        <w:spacing w:line="240" w:lineRule="auto"/>
        <w:jc w:val="center"/>
        <w:rPr>
          <w:rFonts w:ascii="Arial Bold" w:hAnsi="Arial Bold"/>
          <w:b/>
          <w:smallCaps/>
          <w:sz w:val="28"/>
        </w:rPr>
      </w:pPr>
      <w:r w:rsidRPr="00770E7F">
        <w:rPr>
          <w:rFonts w:ascii="Arial Bold" w:hAnsi="Arial Bold"/>
          <w:b/>
          <w:smallCaps/>
          <w:sz w:val="28"/>
        </w:rPr>
        <w:t>Industrial Energy Users-Ohio</w:t>
      </w:r>
      <w:r>
        <w:rPr>
          <w:rFonts w:ascii="Arial Bold" w:hAnsi="Arial Bold"/>
          <w:b/>
          <w:smallCaps/>
          <w:sz w:val="28"/>
        </w:rPr>
        <w:t>’s</w:t>
      </w:r>
    </w:p>
    <w:p w:rsidR="002642FF" w:rsidRPr="00770E7F" w:rsidRDefault="002642FF" w:rsidP="002642FF">
      <w:pPr>
        <w:spacing w:line="240" w:lineRule="auto"/>
        <w:jc w:val="center"/>
        <w:rPr>
          <w:rFonts w:ascii="Arial Bold" w:hAnsi="Arial Bold"/>
          <w:b/>
          <w:smallCaps/>
          <w:sz w:val="28"/>
        </w:rPr>
      </w:pPr>
      <w:r>
        <w:rPr>
          <w:rFonts w:ascii="Arial Bold" w:hAnsi="Arial Bold"/>
          <w:b/>
          <w:smallCaps/>
          <w:sz w:val="28"/>
        </w:rPr>
        <w:t>Notice of Additional Authority – Mandate of</w:t>
      </w:r>
    </w:p>
    <w:p w:rsidR="002642FF" w:rsidRPr="00770E7F" w:rsidRDefault="002642FF" w:rsidP="002642FF">
      <w:pPr>
        <w:spacing w:line="240" w:lineRule="auto"/>
        <w:jc w:val="center"/>
        <w:rPr>
          <w:rFonts w:ascii="Arial Bold" w:hAnsi="Arial Bold"/>
          <w:b/>
          <w:smallCaps/>
          <w:sz w:val="28"/>
        </w:rPr>
      </w:pPr>
      <w:r>
        <w:rPr>
          <w:rFonts w:ascii="Arial Bold" w:hAnsi="Arial Bold"/>
          <w:b/>
          <w:smallCaps/>
          <w:sz w:val="28"/>
        </w:rPr>
        <w:t>the Ohio Supreme Court</w:t>
      </w:r>
    </w:p>
    <w:p w:rsidR="002642FF" w:rsidRPr="00E61BA6" w:rsidRDefault="002642FF" w:rsidP="002642FF">
      <w:pPr>
        <w:pBdr>
          <w:bottom w:val="single" w:sz="12" w:space="1" w:color="auto"/>
        </w:pBdr>
        <w:spacing w:line="240" w:lineRule="auto"/>
        <w:rPr>
          <w:b/>
          <w:caps/>
          <w:sz w:val="8"/>
          <w:szCs w:val="8"/>
        </w:rPr>
      </w:pPr>
    </w:p>
    <w:p w:rsidR="002642FF" w:rsidRDefault="002642FF" w:rsidP="002642FF">
      <w:pPr>
        <w:widowControl w:val="0"/>
        <w:spacing w:line="240" w:lineRule="auto"/>
        <w:jc w:val="left"/>
        <w:rPr>
          <w:bCs/>
          <w:color w:val="000000" w:themeColor="text1"/>
          <w:sz w:val="22"/>
        </w:rPr>
      </w:pPr>
    </w:p>
    <w:p w:rsidR="001B5106" w:rsidRDefault="0050500C" w:rsidP="0050500C">
      <w:pPr>
        <w:ind w:firstLine="720"/>
      </w:pPr>
      <w:r>
        <w:t>On June 20, 2016, the Supreme Court of Ohio issued a decision that reversed the Public Utilities Commission of Ohio’s (</w:t>
      </w:r>
      <w:r w:rsidR="002642FF">
        <w:t>“Commission”) authorization of T</w:t>
      </w:r>
      <w:r>
        <w:t xml:space="preserve">he Dayton Power and Light Company’s (“DP&amp;L”) Service Stability Rider (“SSR”).  </w:t>
      </w:r>
      <w:r w:rsidRPr="0050500C">
        <w:rPr>
          <w:i/>
        </w:rPr>
        <w:t>In re Application of Dayton Power &amp; Light Co.</w:t>
      </w:r>
      <w:r>
        <w:t xml:space="preserve">, Slip Opinion No. 2016-Ohio-3490.  </w:t>
      </w:r>
      <w:r w:rsidR="00BF35DD">
        <w:t>Based on the Court’s decision</w:t>
      </w:r>
      <w:r w:rsidR="007C73A4">
        <w:t xml:space="preserve"> and to prevent further injury to customers</w:t>
      </w:r>
      <w:r w:rsidR="003C158A">
        <w:t xml:space="preserve">, </w:t>
      </w:r>
      <w:r w:rsidR="000360F9">
        <w:t>Ind</w:t>
      </w:r>
      <w:r w:rsidR="00B557F2">
        <w:t>ustrial Energy Users-Ohio (“IEU</w:t>
      </w:r>
      <w:r w:rsidR="00B557F2">
        <w:noBreakHyphen/>
      </w:r>
      <w:r w:rsidR="000360F9">
        <w:t>Ohio”) and the Office of the Ohio Consumers’ Counsel (“OCC”) filed a</w:t>
      </w:r>
      <w:r w:rsidR="00BF35DD">
        <w:t xml:space="preserve"> motion</w:t>
      </w:r>
      <w:r w:rsidR="000360F9">
        <w:t xml:space="preserve"> </w:t>
      </w:r>
      <w:r w:rsidR="003C158A">
        <w:t>seeking an order vacating the authorization of the SSR</w:t>
      </w:r>
      <w:r w:rsidR="005C070B">
        <w:t xml:space="preserve"> (“Motion to Vacate Authorization of the SSR”)</w:t>
      </w:r>
      <w:r w:rsidR="00BF35DD">
        <w:t xml:space="preserve"> on June 21, 2016</w:t>
      </w:r>
      <w:r w:rsidR="006C62AC">
        <w:t>.</w:t>
      </w:r>
      <w:r w:rsidR="00C14C02">
        <w:t xml:space="preserve">  DP&amp;L opposed the </w:t>
      </w:r>
      <w:r w:rsidR="00796DFD">
        <w:t>Motion to Vacate Authorization</w:t>
      </w:r>
      <w:r w:rsidR="00B557F2">
        <w:t xml:space="preserve"> </w:t>
      </w:r>
      <w:r w:rsidR="00C14C02">
        <w:t xml:space="preserve">of the SSR on the ground that the Commission did not have jurisdiction until the Court issued a </w:t>
      </w:r>
      <w:r w:rsidR="00C14C02">
        <w:lastRenderedPageBreak/>
        <w:t xml:space="preserve">mandate.  </w:t>
      </w:r>
      <w:r w:rsidR="00B82589">
        <w:t xml:space="preserve">Memorandum of The Dayton Power and Light Company in Opposition to the Motion of Industrial Energy Users-Ohio and the Office of the Ohio Consumers’ Counsel for an Order </w:t>
      </w:r>
      <w:r w:rsidR="006779D2">
        <w:t>Vacating</w:t>
      </w:r>
      <w:r w:rsidR="00B82589">
        <w:t xml:space="preserve"> the Authorization of the Service </w:t>
      </w:r>
      <w:r w:rsidR="006779D2">
        <w:t>Stability</w:t>
      </w:r>
      <w:r w:rsidR="00B82589">
        <w:t xml:space="preserve"> Rider at 2 (June 28, 2016).</w:t>
      </w:r>
    </w:p>
    <w:p w:rsidR="00546688" w:rsidRDefault="008E3492" w:rsidP="0050500C">
      <w:pPr>
        <w:ind w:firstLine="720"/>
      </w:pPr>
      <w:r>
        <w:t xml:space="preserve">This Notice of Additional Authority is in support of </w:t>
      </w:r>
      <w:r w:rsidR="005C070B">
        <w:t>the Motion to Vacate Authorization of the SSR</w:t>
      </w:r>
      <w:r>
        <w:t xml:space="preserve">.  </w:t>
      </w:r>
      <w:r w:rsidR="00320A69">
        <w:t>On July 6, 2016</w:t>
      </w:r>
      <w:r w:rsidR="007915F1">
        <w:t>,</w:t>
      </w:r>
      <w:r w:rsidR="00332693">
        <w:t xml:space="preserve"> the Clerk of the Court</w:t>
      </w:r>
      <w:r w:rsidR="00320A69">
        <w:t xml:space="preserve"> issued </w:t>
      </w:r>
      <w:r w:rsidR="007915F1">
        <w:t>the M</w:t>
      </w:r>
      <w:r w:rsidR="00320A69">
        <w:t>andate</w:t>
      </w:r>
      <w:r w:rsidR="00332693">
        <w:t>.</w:t>
      </w:r>
      <w:r w:rsidR="000E5DE0">
        <w:t xml:space="preserve"> </w:t>
      </w:r>
      <w:r w:rsidR="001346CF" w:rsidRPr="001346CF">
        <w:rPr>
          <w:i/>
        </w:rPr>
        <w:t>See</w:t>
      </w:r>
      <w:r w:rsidR="001346CF">
        <w:t xml:space="preserve"> </w:t>
      </w:r>
      <w:r w:rsidR="00C97993">
        <w:t xml:space="preserve">Supreme Court of Ohio, Case Information, Docket 2014-1505, available at: </w:t>
      </w:r>
      <w:hyperlink r:id="rId8" w:history="1">
        <w:r w:rsidR="00796DFD" w:rsidRPr="000613DE">
          <w:rPr>
            <w:rStyle w:val="Hyperlink"/>
          </w:rPr>
          <w:t>http://www.supremecourt.ohio.gov/Clerk/ecms/#/caseinfo/2014/1505</w:t>
        </w:r>
      </w:hyperlink>
      <w:r w:rsidR="001346CF">
        <w:t>.</w:t>
      </w:r>
      <w:r w:rsidR="00332693">
        <w:t xml:space="preserve">  </w:t>
      </w:r>
      <w:r w:rsidR="001B5106">
        <w:t>Based on the Mandate</w:t>
      </w:r>
      <w:r w:rsidR="00332693">
        <w:t xml:space="preserve">, </w:t>
      </w:r>
      <w:r w:rsidR="006779D2">
        <w:t xml:space="preserve">DP&amp;L’s jurisdictional argument is now without merit and moot.  Therefore, </w:t>
      </w:r>
      <w:r w:rsidR="00332693">
        <w:t>the</w:t>
      </w:r>
      <w:r w:rsidR="00E13F28">
        <w:t xml:space="preserve"> Commission </w:t>
      </w:r>
      <w:r w:rsidR="007C73A4">
        <w:t xml:space="preserve">must </w:t>
      </w:r>
      <w:r w:rsidR="0079162C">
        <w:t>issue orders vac</w:t>
      </w:r>
      <w:r w:rsidR="00B416E5">
        <w:t>a</w:t>
      </w:r>
      <w:r w:rsidR="0079162C">
        <w:t>ting authorization of the SSR and directing</w:t>
      </w:r>
      <w:r w:rsidR="00E13F28">
        <w:t xml:space="preserve"> DP&amp;L to </w:t>
      </w:r>
      <w:r w:rsidR="00B416E5">
        <w:t>modify the SSR tariff sheets to terminate billing and collection of the SSR</w:t>
      </w:r>
      <w:r w:rsidR="00E13F28">
        <w:t>.</w:t>
      </w:r>
    </w:p>
    <w:p w:rsidR="00003692" w:rsidRDefault="00003692" w:rsidP="00015F84">
      <w:pPr>
        <w:tabs>
          <w:tab w:val="right" w:pos="8640"/>
        </w:tabs>
        <w:spacing w:line="240" w:lineRule="auto"/>
        <w:ind w:left="4320"/>
        <w:jc w:val="left"/>
      </w:pPr>
      <w:r>
        <w:t>Respectfully submitted,</w:t>
      </w:r>
    </w:p>
    <w:p w:rsidR="00003692" w:rsidRDefault="00003692" w:rsidP="00015F84">
      <w:pPr>
        <w:tabs>
          <w:tab w:val="right" w:pos="4320"/>
          <w:tab w:val="right" w:pos="8640"/>
        </w:tabs>
        <w:spacing w:line="240" w:lineRule="auto"/>
        <w:ind w:left="4320"/>
        <w:jc w:val="left"/>
        <w:rPr>
          <w:i/>
          <w:u w:val="single"/>
        </w:rPr>
      </w:pPr>
    </w:p>
    <w:p w:rsidR="00003692" w:rsidRPr="00264572" w:rsidRDefault="00003692" w:rsidP="00015F84">
      <w:pPr>
        <w:tabs>
          <w:tab w:val="right" w:pos="4320"/>
          <w:tab w:val="right" w:pos="8640"/>
        </w:tabs>
        <w:spacing w:line="240" w:lineRule="auto"/>
        <w:ind w:left="4320"/>
        <w:jc w:val="left"/>
        <w:rPr>
          <w:i/>
          <w:u w:val="single"/>
        </w:rPr>
      </w:pPr>
      <w:r w:rsidRPr="00264572">
        <w:rPr>
          <w:i/>
          <w:u w:val="single"/>
        </w:rPr>
        <w:t>/s/ Matthew R. Pritchard</w:t>
      </w:r>
      <w:r w:rsidRPr="00264572">
        <w:rPr>
          <w:i/>
          <w:u w:val="single"/>
        </w:rPr>
        <w:tab/>
      </w:r>
    </w:p>
    <w:p w:rsidR="00003692" w:rsidRPr="00264572" w:rsidRDefault="00003692" w:rsidP="00015F84">
      <w:pPr>
        <w:pStyle w:val="BodyText3"/>
        <w:widowControl w:val="0"/>
        <w:spacing w:after="0" w:line="240" w:lineRule="auto"/>
        <w:ind w:left="4320"/>
        <w:jc w:val="left"/>
        <w:rPr>
          <w:bCs/>
          <w:sz w:val="24"/>
          <w:szCs w:val="24"/>
        </w:rPr>
      </w:pPr>
      <w:r w:rsidRPr="00264572">
        <w:rPr>
          <w:bCs/>
          <w:sz w:val="24"/>
          <w:szCs w:val="24"/>
        </w:rPr>
        <w:t xml:space="preserve">Frank P. Darr (Reg. </w:t>
      </w:r>
      <w:r>
        <w:rPr>
          <w:bCs/>
          <w:sz w:val="24"/>
          <w:szCs w:val="24"/>
        </w:rPr>
        <w:t>#</w:t>
      </w:r>
      <w:r w:rsidRPr="00264572">
        <w:rPr>
          <w:bCs/>
          <w:sz w:val="24"/>
          <w:szCs w:val="24"/>
        </w:rPr>
        <w:t xml:space="preserve"> 0025469)</w:t>
      </w:r>
    </w:p>
    <w:p w:rsidR="00003692" w:rsidRPr="00264572" w:rsidRDefault="00003692" w:rsidP="00015F84">
      <w:pPr>
        <w:tabs>
          <w:tab w:val="right" w:pos="8640"/>
        </w:tabs>
        <w:spacing w:line="240" w:lineRule="auto"/>
        <w:ind w:left="4320"/>
        <w:jc w:val="left"/>
      </w:pPr>
      <w:r w:rsidRPr="00264572">
        <w:t>(Counsel of Record)</w:t>
      </w:r>
    </w:p>
    <w:p w:rsidR="00003692" w:rsidRPr="00264572" w:rsidRDefault="00003692" w:rsidP="00015F84">
      <w:pPr>
        <w:pStyle w:val="BodyText3"/>
        <w:widowControl w:val="0"/>
        <w:spacing w:after="0" w:line="240" w:lineRule="auto"/>
        <w:ind w:left="4320"/>
        <w:jc w:val="left"/>
        <w:rPr>
          <w:b/>
          <w:bCs/>
          <w:sz w:val="24"/>
          <w:szCs w:val="24"/>
        </w:rPr>
      </w:pPr>
      <w:r w:rsidRPr="00264572">
        <w:rPr>
          <w:bCs/>
          <w:sz w:val="24"/>
          <w:szCs w:val="24"/>
        </w:rPr>
        <w:t xml:space="preserve">Matthew R. Pritchard (Reg. </w:t>
      </w:r>
      <w:r>
        <w:rPr>
          <w:bCs/>
          <w:sz w:val="24"/>
          <w:szCs w:val="24"/>
        </w:rPr>
        <w:t>#</w:t>
      </w:r>
      <w:r w:rsidRPr="00264572">
        <w:rPr>
          <w:bCs/>
          <w:sz w:val="24"/>
          <w:szCs w:val="24"/>
        </w:rPr>
        <w:t xml:space="preserve"> 0088070)</w:t>
      </w:r>
    </w:p>
    <w:p w:rsidR="00003692" w:rsidRPr="00264572" w:rsidRDefault="00003692" w:rsidP="00015F84">
      <w:pPr>
        <w:pStyle w:val="BodyText3"/>
        <w:widowControl w:val="0"/>
        <w:spacing w:after="0" w:line="240" w:lineRule="auto"/>
        <w:ind w:left="4320"/>
        <w:jc w:val="left"/>
        <w:rPr>
          <w:b/>
          <w:bCs/>
          <w:smallCaps/>
          <w:sz w:val="24"/>
          <w:szCs w:val="24"/>
        </w:rPr>
      </w:pPr>
      <w:r w:rsidRPr="00264572">
        <w:rPr>
          <w:bCs/>
          <w:smallCaps/>
          <w:sz w:val="24"/>
          <w:szCs w:val="24"/>
        </w:rPr>
        <w:t>McNees Wallace &amp; Nurick LLC</w:t>
      </w:r>
    </w:p>
    <w:p w:rsidR="00003692" w:rsidRPr="00264572" w:rsidRDefault="00003692" w:rsidP="00015F84">
      <w:pPr>
        <w:pStyle w:val="BodyText3"/>
        <w:widowControl w:val="0"/>
        <w:spacing w:after="0" w:line="240" w:lineRule="auto"/>
        <w:ind w:left="4320"/>
        <w:jc w:val="left"/>
        <w:rPr>
          <w:b/>
          <w:bCs/>
          <w:sz w:val="24"/>
          <w:szCs w:val="24"/>
        </w:rPr>
      </w:pPr>
      <w:r w:rsidRPr="00264572">
        <w:rPr>
          <w:bCs/>
          <w:sz w:val="24"/>
          <w:szCs w:val="24"/>
        </w:rPr>
        <w:t>21 East State Street, 17</w:t>
      </w:r>
      <w:r w:rsidRPr="00264572">
        <w:rPr>
          <w:bCs/>
          <w:sz w:val="24"/>
          <w:szCs w:val="24"/>
          <w:vertAlign w:val="superscript"/>
        </w:rPr>
        <w:t>TH</w:t>
      </w:r>
      <w:r w:rsidRPr="00264572">
        <w:rPr>
          <w:bCs/>
          <w:sz w:val="24"/>
          <w:szCs w:val="24"/>
        </w:rPr>
        <w:t xml:space="preserve"> Floor</w:t>
      </w:r>
    </w:p>
    <w:p w:rsidR="00003692" w:rsidRPr="00264572" w:rsidRDefault="00003692" w:rsidP="00015F84">
      <w:pPr>
        <w:pStyle w:val="BodyText"/>
        <w:spacing w:after="0" w:line="240" w:lineRule="auto"/>
        <w:ind w:left="4320"/>
        <w:jc w:val="left"/>
      </w:pPr>
      <w:r w:rsidRPr="00264572">
        <w:t>Columbus, OH  43215</w:t>
      </w:r>
    </w:p>
    <w:p w:rsidR="00003692" w:rsidRPr="00264572" w:rsidRDefault="00003692" w:rsidP="00015F84">
      <w:pPr>
        <w:pStyle w:val="BodyText"/>
        <w:spacing w:after="0" w:line="240" w:lineRule="auto"/>
        <w:ind w:left="4320"/>
        <w:jc w:val="left"/>
      </w:pPr>
      <w:r w:rsidRPr="00264572">
        <w:t>Telephone:  (614) 469-8000</w:t>
      </w:r>
    </w:p>
    <w:p w:rsidR="00003692" w:rsidRPr="00264572" w:rsidRDefault="00003692" w:rsidP="00015F84">
      <w:pPr>
        <w:pStyle w:val="BodyText"/>
        <w:spacing w:after="0" w:line="240" w:lineRule="auto"/>
        <w:ind w:left="4320"/>
        <w:jc w:val="left"/>
      </w:pPr>
      <w:r w:rsidRPr="00264572">
        <w:t>Telecopier:  (614) 469-4653</w:t>
      </w:r>
    </w:p>
    <w:p w:rsidR="00003692" w:rsidRPr="00264572" w:rsidRDefault="00003692" w:rsidP="00015F84">
      <w:pPr>
        <w:pStyle w:val="BodyText"/>
        <w:spacing w:after="0" w:line="240" w:lineRule="auto"/>
        <w:ind w:left="4320"/>
        <w:jc w:val="left"/>
      </w:pPr>
      <w:r w:rsidRPr="00264572">
        <w:t>fdarr@mwncmh.com</w:t>
      </w:r>
    </w:p>
    <w:p w:rsidR="00003692" w:rsidRPr="00264572" w:rsidRDefault="00003692" w:rsidP="00015F84">
      <w:pPr>
        <w:pStyle w:val="BodyText"/>
        <w:spacing w:after="0" w:line="240" w:lineRule="auto"/>
        <w:ind w:left="4320"/>
        <w:jc w:val="left"/>
      </w:pPr>
      <w:r w:rsidRPr="00264572">
        <w:t>mpritchard@mwncmh.com</w:t>
      </w:r>
    </w:p>
    <w:p w:rsidR="00003692" w:rsidRPr="00264572" w:rsidRDefault="00003692" w:rsidP="00015F84">
      <w:pPr>
        <w:pStyle w:val="BodyText"/>
        <w:spacing w:after="0" w:line="240" w:lineRule="auto"/>
        <w:ind w:left="4320"/>
        <w:jc w:val="left"/>
      </w:pPr>
    </w:p>
    <w:p w:rsidR="00003692" w:rsidRDefault="00003692" w:rsidP="00015F84">
      <w:pPr>
        <w:pStyle w:val="Title"/>
        <w:ind w:left="4320"/>
        <w:rPr>
          <w:sz w:val="24"/>
        </w:rPr>
      </w:pPr>
      <w:r w:rsidRPr="00264572">
        <w:rPr>
          <w:sz w:val="24"/>
        </w:rPr>
        <w:t>Attorneys for Industrial Energy Users-Ohio</w:t>
      </w:r>
    </w:p>
    <w:p w:rsidR="00003692" w:rsidRDefault="00003692" w:rsidP="00003692">
      <w:pPr>
        <w:pStyle w:val="Title"/>
        <w:rPr>
          <w:sz w:val="24"/>
        </w:rPr>
      </w:pPr>
    </w:p>
    <w:p w:rsidR="00015F84" w:rsidRDefault="00015F84" w:rsidP="00003692">
      <w:pPr>
        <w:pStyle w:val="Title"/>
        <w:jc w:val="center"/>
        <w:rPr>
          <w:sz w:val="28"/>
          <w:szCs w:val="28"/>
          <w:u w:val="single"/>
        </w:rPr>
        <w:sectPr w:rsidR="00015F84" w:rsidSect="00EC33E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003692" w:rsidRPr="00A91E96" w:rsidRDefault="00003692" w:rsidP="00003692">
      <w:pPr>
        <w:pStyle w:val="Title"/>
        <w:jc w:val="center"/>
        <w:rPr>
          <w:b w:val="0"/>
          <w:smallCaps w:val="0"/>
          <w:sz w:val="28"/>
          <w:szCs w:val="28"/>
          <w:u w:val="single"/>
        </w:rPr>
      </w:pPr>
      <w:r w:rsidRPr="00A91E96">
        <w:rPr>
          <w:sz w:val="28"/>
          <w:szCs w:val="28"/>
          <w:u w:val="single"/>
        </w:rPr>
        <w:lastRenderedPageBreak/>
        <w:t>Certificate of Service</w:t>
      </w:r>
    </w:p>
    <w:p w:rsidR="00003692" w:rsidRPr="006F36FF" w:rsidRDefault="00003692" w:rsidP="00003692">
      <w:pPr>
        <w:spacing w:line="240" w:lineRule="auto"/>
      </w:pPr>
    </w:p>
    <w:p w:rsidR="00003692" w:rsidRPr="006F36FF" w:rsidRDefault="00003692" w:rsidP="00003692">
      <w:pPr>
        <w:pStyle w:val="BodyText"/>
        <w:spacing w:after="0"/>
        <w:ind w:firstLine="720"/>
      </w:pPr>
      <w:r w:rsidRPr="006F36FF">
        <w:t>In accordance with Rule 4901-1-05, Ohio Administrative Code, the PUCO's e</w:t>
      </w:r>
      <w:r w:rsidRPr="006F36FF">
        <w:noBreakHyphen/>
        <w:t xml:space="preserve">filing system will electronically serve notice of the filing of this document upon the following parties.  In addition, I hereby certify that a service copy of the foregoing </w:t>
      </w:r>
      <w:r>
        <w:rPr>
          <w:i/>
        </w:rPr>
        <w:t>Industrial Energy Users-Ohio</w:t>
      </w:r>
      <w:r w:rsidR="006E0ACA">
        <w:rPr>
          <w:i/>
        </w:rPr>
        <w:t xml:space="preserve">’s Notice of Additional Authority – Mandate of the Ohio Supreme Court </w:t>
      </w:r>
      <w:r w:rsidRPr="006F36FF">
        <w:t xml:space="preserve">was sent by, or on behalf of, the undersigned counsel for IEU-Ohio to the following parties of record this </w:t>
      </w:r>
      <w:r w:rsidR="006E0ACA">
        <w:t>6</w:t>
      </w:r>
      <w:r w:rsidR="006E0ACA" w:rsidRPr="006E0ACA">
        <w:rPr>
          <w:vertAlign w:val="superscript"/>
        </w:rPr>
        <w:t>th</w:t>
      </w:r>
      <w:r w:rsidR="006E0ACA">
        <w:t xml:space="preserve"> </w:t>
      </w:r>
      <w:r w:rsidRPr="006F36FF">
        <w:t xml:space="preserve">day of </w:t>
      </w:r>
      <w:r w:rsidR="006E0ACA">
        <w:t xml:space="preserve">July </w:t>
      </w:r>
      <w:r w:rsidRPr="006F36FF">
        <w:t xml:space="preserve">2016, </w:t>
      </w:r>
      <w:r w:rsidRPr="006F36FF">
        <w:rPr>
          <w:i/>
        </w:rPr>
        <w:t>via</w:t>
      </w:r>
      <w:r w:rsidRPr="006F36FF">
        <w:t xml:space="preserve"> electronic transmission. </w:t>
      </w:r>
    </w:p>
    <w:p w:rsidR="00003692" w:rsidRPr="006F36FF" w:rsidRDefault="00003692" w:rsidP="00003692">
      <w:pPr>
        <w:tabs>
          <w:tab w:val="center" w:pos="7200"/>
          <w:tab w:val="right" w:pos="9360"/>
        </w:tabs>
        <w:spacing w:line="240" w:lineRule="auto"/>
        <w:ind w:left="5040"/>
        <w:rPr>
          <w:i/>
          <w:u w:val="single"/>
        </w:rPr>
      </w:pPr>
      <w:r w:rsidRPr="006F36FF">
        <w:rPr>
          <w:i/>
          <w:u w:val="single"/>
        </w:rPr>
        <w:t xml:space="preserve">/s/ </w:t>
      </w:r>
      <w:r>
        <w:rPr>
          <w:i/>
          <w:u w:val="single"/>
        </w:rPr>
        <w:t>Matthew R. Pritchard</w:t>
      </w:r>
      <w:r w:rsidRPr="006F36FF">
        <w:rPr>
          <w:i/>
          <w:u w:val="single"/>
        </w:rPr>
        <w:tab/>
      </w:r>
    </w:p>
    <w:p w:rsidR="00003692" w:rsidRDefault="00003692" w:rsidP="00003692">
      <w:pPr>
        <w:tabs>
          <w:tab w:val="center" w:pos="7200"/>
          <w:tab w:val="right" w:pos="9360"/>
        </w:tabs>
        <w:spacing w:line="240" w:lineRule="auto"/>
        <w:ind w:left="5760"/>
      </w:pPr>
      <w:r>
        <w:t>Matthew R. Pritchard</w:t>
      </w:r>
    </w:p>
    <w:p w:rsidR="00AF7861" w:rsidRDefault="00AF7861" w:rsidP="00003692">
      <w:pPr>
        <w:tabs>
          <w:tab w:val="center" w:pos="7200"/>
          <w:tab w:val="right" w:pos="9360"/>
        </w:tabs>
        <w:spacing w:line="240" w:lineRule="auto"/>
        <w:ind w:left="5760"/>
      </w:pPr>
    </w:p>
    <w:p w:rsidR="00AF7861" w:rsidRDefault="00AF7861" w:rsidP="00003692">
      <w:pPr>
        <w:spacing w:line="240" w:lineRule="auto"/>
        <w:rPr>
          <w:rFonts w:cs="Arial"/>
          <w:sz w:val="20"/>
          <w:szCs w:val="20"/>
        </w:rPr>
        <w:sectPr w:rsidR="00AF7861" w:rsidSect="00AF7861">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008" w:left="1440" w:header="720" w:footer="576" w:gutter="0"/>
          <w:cols w:space="720"/>
          <w:titlePg/>
          <w:docGrid w:linePitch="360"/>
        </w:sectPr>
      </w:pPr>
    </w:p>
    <w:p w:rsidR="00003692" w:rsidRPr="006E0ACA" w:rsidRDefault="00003692" w:rsidP="00003692">
      <w:pPr>
        <w:spacing w:line="240" w:lineRule="auto"/>
        <w:rPr>
          <w:rFonts w:cs="Arial"/>
          <w:sz w:val="20"/>
          <w:szCs w:val="20"/>
        </w:rPr>
      </w:pPr>
      <w:r w:rsidRPr="006E0ACA">
        <w:rPr>
          <w:rFonts w:cs="Arial"/>
          <w:sz w:val="20"/>
          <w:szCs w:val="20"/>
        </w:rPr>
        <w:t>judi.sobecki@dplinc.com</w:t>
      </w:r>
    </w:p>
    <w:p w:rsidR="00003692" w:rsidRPr="006E0ACA" w:rsidRDefault="00003692" w:rsidP="00003692">
      <w:pPr>
        <w:spacing w:line="240" w:lineRule="auto"/>
        <w:rPr>
          <w:rFonts w:cs="Arial"/>
          <w:sz w:val="20"/>
          <w:szCs w:val="20"/>
        </w:rPr>
      </w:pPr>
      <w:r w:rsidRPr="006E0ACA">
        <w:rPr>
          <w:rFonts w:cs="Arial"/>
          <w:sz w:val="20"/>
          <w:szCs w:val="20"/>
        </w:rPr>
        <w:t>randall.griffin@dplinc.com</w:t>
      </w:r>
    </w:p>
    <w:p w:rsidR="00003692" w:rsidRPr="006E0ACA" w:rsidRDefault="00003692" w:rsidP="00003692">
      <w:pPr>
        <w:spacing w:line="240" w:lineRule="auto"/>
        <w:rPr>
          <w:rFonts w:cs="Arial"/>
          <w:sz w:val="20"/>
          <w:szCs w:val="20"/>
        </w:rPr>
      </w:pPr>
      <w:r w:rsidRPr="006E0ACA">
        <w:rPr>
          <w:rFonts w:cs="Arial"/>
          <w:sz w:val="20"/>
          <w:szCs w:val="20"/>
        </w:rPr>
        <w:t>cfaruki@ficlaw.com</w:t>
      </w:r>
    </w:p>
    <w:p w:rsidR="00003692" w:rsidRPr="006E0ACA" w:rsidRDefault="00003692" w:rsidP="00003692">
      <w:pPr>
        <w:spacing w:line="240" w:lineRule="auto"/>
        <w:rPr>
          <w:rFonts w:cs="Arial"/>
          <w:sz w:val="20"/>
          <w:szCs w:val="20"/>
        </w:rPr>
      </w:pPr>
      <w:r w:rsidRPr="006E0ACA">
        <w:rPr>
          <w:rFonts w:cs="Arial"/>
          <w:sz w:val="20"/>
          <w:szCs w:val="20"/>
        </w:rPr>
        <w:t>jsharkey@ficlaw.com</w:t>
      </w:r>
    </w:p>
    <w:p w:rsidR="00003692" w:rsidRPr="006E0ACA" w:rsidRDefault="00003692" w:rsidP="00003692">
      <w:pPr>
        <w:tabs>
          <w:tab w:val="left" w:pos="-1440"/>
          <w:tab w:val="left" w:pos="-720"/>
          <w:tab w:val="left" w:pos="5040"/>
          <w:tab w:val="center" w:pos="7200"/>
        </w:tabs>
        <w:spacing w:line="240" w:lineRule="auto"/>
        <w:rPr>
          <w:rFonts w:cs="Arial"/>
          <w:sz w:val="20"/>
          <w:szCs w:val="20"/>
        </w:rPr>
      </w:pPr>
      <w:r w:rsidRPr="006E0ACA">
        <w:rPr>
          <w:rFonts w:cs="Arial"/>
          <w:sz w:val="20"/>
          <w:szCs w:val="20"/>
        </w:rPr>
        <w:t>arthur.meyer@dplinc.com</w:t>
      </w:r>
    </w:p>
    <w:p w:rsidR="00003692" w:rsidRPr="006E0ACA" w:rsidRDefault="00003692" w:rsidP="00003692">
      <w:pPr>
        <w:pStyle w:val="BodyTextIndent"/>
        <w:spacing w:after="0" w:line="240" w:lineRule="auto"/>
        <w:ind w:left="0"/>
        <w:rPr>
          <w:sz w:val="20"/>
          <w:szCs w:val="20"/>
        </w:rPr>
      </w:pPr>
      <w:r w:rsidRPr="006E0ACA">
        <w:rPr>
          <w:sz w:val="20"/>
          <w:szCs w:val="20"/>
        </w:rPr>
        <w:t>dboehm@BKLlawfirm.com</w:t>
      </w:r>
    </w:p>
    <w:p w:rsidR="00003692" w:rsidRPr="006E0ACA" w:rsidRDefault="00003692" w:rsidP="00003692">
      <w:pPr>
        <w:pStyle w:val="BodyTextIndent"/>
        <w:spacing w:after="0" w:line="240" w:lineRule="auto"/>
        <w:ind w:left="0"/>
        <w:rPr>
          <w:sz w:val="20"/>
          <w:szCs w:val="20"/>
        </w:rPr>
      </w:pPr>
      <w:r w:rsidRPr="006E0ACA">
        <w:rPr>
          <w:sz w:val="20"/>
          <w:szCs w:val="20"/>
        </w:rPr>
        <w:t>mkurtz@BKLlawfirm.com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grady@occ.state.oh.us</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etter@occ.state.oh.us</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serio@occ.state.oh.us</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amy.spiller@duke-energy.com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jeanne.kingery@duke-energy.com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philip.sineneng@ThompsonHine.com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bmcmahon@emh-law.com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elizabeth.watts@duke-energy.com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rocco.d’ascenzo@duke-energy.com</w:t>
      </w:r>
    </w:p>
    <w:p w:rsidR="00003692" w:rsidRPr="006E0ACA" w:rsidRDefault="00003692" w:rsidP="00003692">
      <w:pPr>
        <w:spacing w:line="240" w:lineRule="auto"/>
        <w:rPr>
          <w:rFonts w:cs="Arial"/>
          <w:sz w:val="20"/>
          <w:szCs w:val="20"/>
        </w:rPr>
      </w:pPr>
      <w:r w:rsidRPr="006E0ACA">
        <w:rPr>
          <w:rFonts w:cs="Arial"/>
          <w:sz w:val="20"/>
          <w:szCs w:val="20"/>
        </w:rPr>
        <w:t>ricks@ohanet.org</w:t>
      </w:r>
    </w:p>
    <w:p w:rsidR="00003692" w:rsidRPr="006E0ACA" w:rsidRDefault="00003692" w:rsidP="00003692">
      <w:pPr>
        <w:spacing w:line="240" w:lineRule="auto"/>
        <w:rPr>
          <w:rFonts w:cs="Arial"/>
          <w:sz w:val="20"/>
          <w:szCs w:val="20"/>
        </w:rPr>
      </w:pPr>
      <w:r w:rsidRPr="006E0ACA">
        <w:rPr>
          <w:rFonts w:cs="Arial"/>
          <w:sz w:val="20"/>
          <w:szCs w:val="20"/>
        </w:rPr>
        <w:t>mwarnock@bricker.com</w:t>
      </w:r>
    </w:p>
    <w:p w:rsidR="00003692" w:rsidRPr="006E0ACA" w:rsidRDefault="00003692" w:rsidP="00003692">
      <w:pPr>
        <w:spacing w:line="240" w:lineRule="auto"/>
        <w:rPr>
          <w:rFonts w:cs="Arial"/>
          <w:sz w:val="20"/>
          <w:szCs w:val="20"/>
        </w:rPr>
      </w:pPr>
      <w:r w:rsidRPr="006E0ACA">
        <w:rPr>
          <w:rFonts w:cs="Arial"/>
          <w:sz w:val="20"/>
          <w:szCs w:val="20"/>
        </w:rPr>
        <w:t>dborchers@bricker.com</w:t>
      </w:r>
    </w:p>
    <w:p w:rsidR="00003692" w:rsidRPr="006E0ACA" w:rsidRDefault="00003692" w:rsidP="00003692">
      <w:pPr>
        <w:spacing w:line="240" w:lineRule="auto"/>
        <w:rPr>
          <w:rFonts w:cs="Arial"/>
          <w:sz w:val="20"/>
          <w:szCs w:val="20"/>
        </w:rPr>
      </w:pPr>
      <w:r w:rsidRPr="006E0ACA">
        <w:rPr>
          <w:rFonts w:cs="Arial"/>
          <w:sz w:val="20"/>
          <w:szCs w:val="20"/>
        </w:rPr>
        <w:t>gary.a.jeffries@dom.com</w:t>
      </w:r>
    </w:p>
    <w:p w:rsidR="00003692" w:rsidRPr="006E0ACA" w:rsidRDefault="00003692" w:rsidP="00003692">
      <w:pPr>
        <w:spacing w:line="240" w:lineRule="auto"/>
        <w:rPr>
          <w:rFonts w:cs="Arial"/>
          <w:sz w:val="20"/>
          <w:szCs w:val="20"/>
        </w:rPr>
      </w:pPr>
      <w:r w:rsidRPr="006E0ACA">
        <w:rPr>
          <w:rFonts w:cs="Arial"/>
          <w:sz w:val="20"/>
          <w:szCs w:val="20"/>
        </w:rPr>
        <w:t>drinebolt@ohiopartners.org</w:t>
      </w:r>
    </w:p>
    <w:p w:rsidR="00003692" w:rsidRPr="006E0ACA" w:rsidRDefault="00003692" w:rsidP="00003692">
      <w:pPr>
        <w:spacing w:line="240" w:lineRule="auto"/>
        <w:rPr>
          <w:rFonts w:cs="Arial"/>
          <w:sz w:val="20"/>
          <w:szCs w:val="20"/>
        </w:rPr>
      </w:pPr>
      <w:r w:rsidRPr="006E0ACA">
        <w:rPr>
          <w:rFonts w:cs="Arial"/>
          <w:sz w:val="20"/>
          <w:szCs w:val="20"/>
        </w:rPr>
        <w:t>cmooney2@columbus.rr.com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whitt@whitt-sturtevant.com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campbell@whitt-sturtevant.com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glover@whitt-sturtevant.com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vparisi@igsenergy.com</w:t>
      </w:r>
    </w:p>
    <w:p w:rsidR="00003692" w:rsidRPr="006E0ACA" w:rsidRDefault="00003692" w:rsidP="00003692">
      <w:pPr>
        <w:spacing w:line="240" w:lineRule="auto"/>
        <w:rPr>
          <w:rFonts w:cs="Arial"/>
          <w:sz w:val="20"/>
          <w:szCs w:val="20"/>
        </w:rPr>
      </w:pPr>
      <w:r w:rsidRPr="006E0ACA">
        <w:rPr>
          <w:rFonts w:cs="Arial"/>
          <w:sz w:val="20"/>
          <w:szCs w:val="20"/>
        </w:rPr>
        <w:t>barthroyer@aol.com</w:t>
      </w:r>
    </w:p>
    <w:p w:rsidR="00003692" w:rsidRPr="006E0ACA" w:rsidRDefault="00003692" w:rsidP="00003692">
      <w:pPr>
        <w:spacing w:line="240" w:lineRule="auto"/>
        <w:rPr>
          <w:rFonts w:cs="Arial"/>
          <w:sz w:val="20"/>
          <w:szCs w:val="20"/>
        </w:rPr>
      </w:pPr>
      <w:r w:rsidRPr="006E0ACA">
        <w:rPr>
          <w:rFonts w:cs="Arial"/>
          <w:sz w:val="20"/>
          <w:szCs w:val="20"/>
        </w:rPr>
        <w:t>trent@theoec.org</w:t>
      </w:r>
    </w:p>
    <w:p w:rsidR="00003692" w:rsidRPr="006E0ACA" w:rsidRDefault="00003692" w:rsidP="00003692">
      <w:pPr>
        <w:spacing w:line="240" w:lineRule="auto"/>
        <w:rPr>
          <w:rFonts w:cs="Arial"/>
          <w:sz w:val="20"/>
          <w:szCs w:val="20"/>
        </w:rPr>
      </w:pPr>
      <w:r w:rsidRPr="006E0ACA">
        <w:rPr>
          <w:rFonts w:cs="Arial"/>
          <w:sz w:val="20"/>
          <w:szCs w:val="20"/>
        </w:rPr>
        <w:t>williams.toddm@gmail.com</w:t>
      </w:r>
    </w:p>
    <w:p w:rsidR="00003692" w:rsidRPr="006E0ACA" w:rsidRDefault="00003692" w:rsidP="00003692">
      <w:pPr>
        <w:spacing w:line="240" w:lineRule="auto"/>
        <w:rPr>
          <w:rFonts w:cs="Arial"/>
          <w:sz w:val="20"/>
          <w:szCs w:val="20"/>
        </w:rPr>
      </w:pPr>
      <w:r w:rsidRPr="006E0ACA">
        <w:rPr>
          <w:rFonts w:cs="Arial"/>
          <w:sz w:val="20"/>
          <w:szCs w:val="20"/>
        </w:rPr>
        <w:t>ejacobs@ablelaw.org</w:t>
      </w:r>
    </w:p>
    <w:p w:rsidR="00003692" w:rsidRPr="006E0ACA" w:rsidRDefault="00003692" w:rsidP="00003692">
      <w:pPr>
        <w:spacing w:line="240" w:lineRule="auto"/>
        <w:rPr>
          <w:rFonts w:cs="Arial"/>
          <w:sz w:val="20"/>
          <w:szCs w:val="20"/>
        </w:rPr>
      </w:pPr>
      <w:r w:rsidRPr="006E0ACA">
        <w:rPr>
          <w:rFonts w:cs="Arial"/>
          <w:sz w:val="20"/>
          <w:szCs w:val="20"/>
        </w:rPr>
        <w:t>smhoward@vorys.com</w:t>
      </w:r>
    </w:p>
    <w:p w:rsidR="00003692" w:rsidRPr="006E0ACA" w:rsidRDefault="00003692" w:rsidP="00003692">
      <w:pPr>
        <w:spacing w:line="240" w:lineRule="auto"/>
        <w:rPr>
          <w:rFonts w:cs="Arial"/>
          <w:sz w:val="20"/>
          <w:szCs w:val="20"/>
        </w:rPr>
      </w:pPr>
      <w:r w:rsidRPr="006E0ACA">
        <w:rPr>
          <w:rFonts w:cs="Arial"/>
          <w:sz w:val="20"/>
          <w:szCs w:val="20"/>
        </w:rPr>
        <w:t>david.fein@constellation.com</w:t>
      </w:r>
    </w:p>
    <w:p w:rsidR="00003692" w:rsidRPr="006E0ACA" w:rsidRDefault="00003692" w:rsidP="00003692">
      <w:pPr>
        <w:spacing w:line="240" w:lineRule="auto"/>
        <w:rPr>
          <w:rFonts w:cs="Arial"/>
          <w:sz w:val="20"/>
          <w:szCs w:val="20"/>
        </w:rPr>
      </w:pPr>
      <w:r w:rsidRPr="006E0ACA">
        <w:rPr>
          <w:rFonts w:cs="Arial"/>
          <w:sz w:val="20"/>
          <w:szCs w:val="20"/>
        </w:rPr>
        <w:t>cynthia.a.fonner@constellation.com</w:t>
      </w:r>
    </w:p>
    <w:p w:rsidR="00003692" w:rsidRPr="006E0ACA" w:rsidRDefault="00003692" w:rsidP="00003692">
      <w:pPr>
        <w:spacing w:line="240" w:lineRule="auto"/>
        <w:rPr>
          <w:rFonts w:cs="Arial"/>
          <w:sz w:val="20"/>
          <w:szCs w:val="20"/>
        </w:rPr>
      </w:pPr>
      <w:r w:rsidRPr="006E0ACA">
        <w:rPr>
          <w:rFonts w:cs="Arial"/>
          <w:sz w:val="20"/>
          <w:szCs w:val="20"/>
        </w:rPr>
        <w:t>Tasha.hamilton@constellation.com</w:t>
      </w:r>
    </w:p>
    <w:p w:rsidR="00003692" w:rsidRPr="006E0ACA" w:rsidRDefault="00003692" w:rsidP="00003692">
      <w:pPr>
        <w:spacing w:line="240" w:lineRule="auto"/>
        <w:rPr>
          <w:rFonts w:cs="Arial"/>
          <w:sz w:val="20"/>
          <w:szCs w:val="20"/>
        </w:rPr>
      </w:pPr>
      <w:r w:rsidRPr="006E0ACA">
        <w:rPr>
          <w:rFonts w:cs="Arial"/>
          <w:sz w:val="20"/>
          <w:szCs w:val="20"/>
        </w:rPr>
        <w:t>Tony_Long@ham.honda.com</w:t>
      </w:r>
    </w:p>
    <w:p w:rsidR="00003692" w:rsidRPr="006E0ACA" w:rsidRDefault="00003692" w:rsidP="00003692">
      <w:pPr>
        <w:spacing w:line="240" w:lineRule="auto"/>
        <w:rPr>
          <w:rStyle w:val="Hyperlink"/>
          <w:rFonts w:cs="Arial"/>
          <w:color w:val="auto"/>
          <w:sz w:val="20"/>
          <w:szCs w:val="20"/>
          <w:u w:val="none"/>
        </w:rPr>
      </w:pPr>
      <w:r w:rsidRPr="006E0ACA">
        <w:rPr>
          <w:rFonts w:cs="Arial"/>
          <w:sz w:val="20"/>
          <w:szCs w:val="20"/>
        </w:rPr>
        <w:t>Stephen.bennett@exeloncorp.com</w:t>
      </w:r>
    </w:p>
    <w:p w:rsidR="00003692" w:rsidRPr="006E0ACA" w:rsidRDefault="00003692" w:rsidP="00003692">
      <w:pPr>
        <w:spacing w:line="240" w:lineRule="auto"/>
        <w:rPr>
          <w:rStyle w:val="Hyperlink"/>
          <w:rFonts w:cs="Arial"/>
          <w:color w:val="auto"/>
          <w:sz w:val="20"/>
          <w:szCs w:val="20"/>
          <w:u w:val="none"/>
        </w:rPr>
      </w:pPr>
      <w:r w:rsidRPr="006E0ACA">
        <w:rPr>
          <w:rStyle w:val="Hyperlink"/>
          <w:rFonts w:cs="Arial"/>
          <w:color w:val="auto"/>
          <w:sz w:val="20"/>
          <w:szCs w:val="20"/>
          <w:u w:val="none"/>
        </w:rPr>
        <w:t>rbrundrett@ohiomfg.com</w:t>
      </w:r>
    </w:p>
    <w:p w:rsidR="00003692" w:rsidRPr="006E0ACA" w:rsidRDefault="00003692" w:rsidP="00003692">
      <w:pPr>
        <w:tabs>
          <w:tab w:val="left" w:pos="-1440"/>
          <w:tab w:val="left" w:pos="-720"/>
          <w:tab w:val="left" w:pos="5040"/>
          <w:tab w:val="center" w:pos="7200"/>
        </w:tabs>
        <w:spacing w:line="240" w:lineRule="auto"/>
        <w:rPr>
          <w:rFonts w:cs="Arial"/>
          <w:sz w:val="20"/>
          <w:szCs w:val="20"/>
        </w:rPr>
      </w:pPr>
      <w:r w:rsidRPr="006E0ACA">
        <w:rPr>
          <w:rFonts w:cs="Arial"/>
          <w:sz w:val="20"/>
          <w:szCs w:val="20"/>
        </w:rPr>
        <w:t>dconway@porterwright.com</w:t>
      </w:r>
    </w:p>
    <w:p w:rsidR="00003692" w:rsidRPr="006E0ACA" w:rsidRDefault="00003692" w:rsidP="00003692">
      <w:pPr>
        <w:tabs>
          <w:tab w:val="left" w:pos="-1440"/>
          <w:tab w:val="left" w:pos="-720"/>
          <w:tab w:val="left" w:pos="5040"/>
          <w:tab w:val="center" w:pos="7200"/>
        </w:tabs>
        <w:spacing w:line="240" w:lineRule="auto"/>
        <w:rPr>
          <w:rFonts w:cs="Arial"/>
          <w:sz w:val="20"/>
          <w:szCs w:val="20"/>
        </w:rPr>
      </w:pPr>
      <w:r w:rsidRPr="006E0ACA">
        <w:rPr>
          <w:rFonts w:cs="Arial"/>
          <w:sz w:val="20"/>
          <w:szCs w:val="20"/>
        </w:rPr>
        <w:t>aemerson@porterwright.com</w:t>
      </w:r>
    </w:p>
    <w:p w:rsidR="00003692" w:rsidRPr="006E0ACA" w:rsidRDefault="00003692" w:rsidP="00003692">
      <w:pPr>
        <w:spacing w:line="240" w:lineRule="auto"/>
        <w:rPr>
          <w:rFonts w:cs="Arial"/>
          <w:sz w:val="20"/>
          <w:szCs w:val="20"/>
        </w:rPr>
      </w:pPr>
      <w:r w:rsidRPr="006E0ACA">
        <w:rPr>
          <w:rFonts w:cs="Arial"/>
          <w:sz w:val="20"/>
          <w:szCs w:val="20"/>
        </w:rPr>
        <w:t>haydenm@firstenergycorp.com</w:t>
      </w:r>
    </w:p>
    <w:p w:rsidR="00003692" w:rsidRPr="006E0ACA" w:rsidRDefault="00003692" w:rsidP="00003692">
      <w:pPr>
        <w:spacing w:line="240" w:lineRule="auto"/>
        <w:rPr>
          <w:rFonts w:cs="Arial"/>
          <w:sz w:val="20"/>
          <w:szCs w:val="20"/>
        </w:rPr>
      </w:pPr>
      <w:r w:rsidRPr="006E0ACA">
        <w:rPr>
          <w:rFonts w:cs="Arial"/>
          <w:sz w:val="20"/>
          <w:szCs w:val="20"/>
        </w:rPr>
        <w:t>jlang@calfee.com</w:t>
      </w:r>
    </w:p>
    <w:p w:rsidR="00003692" w:rsidRPr="006E0ACA" w:rsidRDefault="00003692" w:rsidP="00003692">
      <w:pPr>
        <w:spacing w:line="240" w:lineRule="auto"/>
        <w:rPr>
          <w:rFonts w:cs="Arial"/>
          <w:sz w:val="20"/>
          <w:szCs w:val="20"/>
        </w:rPr>
      </w:pPr>
      <w:r w:rsidRPr="006E0ACA">
        <w:rPr>
          <w:rFonts w:cs="Arial"/>
          <w:sz w:val="20"/>
          <w:szCs w:val="20"/>
        </w:rPr>
        <w:t>lmcbride@calfee.com</w:t>
      </w:r>
    </w:p>
    <w:p w:rsidR="00003692" w:rsidRPr="006E0ACA" w:rsidRDefault="00003692" w:rsidP="00003692">
      <w:pPr>
        <w:spacing w:line="240" w:lineRule="auto"/>
        <w:rPr>
          <w:rFonts w:cs="Arial"/>
          <w:sz w:val="20"/>
          <w:szCs w:val="20"/>
        </w:rPr>
      </w:pPr>
      <w:r w:rsidRPr="006E0ACA">
        <w:rPr>
          <w:rFonts w:cs="Arial"/>
          <w:sz w:val="20"/>
          <w:szCs w:val="20"/>
        </w:rPr>
        <w:t>talexander@calfee.com</w:t>
      </w:r>
    </w:p>
    <w:p w:rsidR="00003692" w:rsidRPr="006E0ACA" w:rsidRDefault="00003692" w:rsidP="00003692">
      <w:pPr>
        <w:spacing w:line="240" w:lineRule="auto"/>
        <w:rPr>
          <w:rFonts w:cs="Arial"/>
          <w:sz w:val="20"/>
          <w:szCs w:val="20"/>
        </w:rPr>
      </w:pPr>
      <w:r w:rsidRPr="006E0ACA">
        <w:rPr>
          <w:rFonts w:cs="Arial"/>
          <w:sz w:val="20"/>
          <w:szCs w:val="20"/>
        </w:rPr>
        <w:t>dakutik@jonesday.com</w:t>
      </w:r>
    </w:p>
    <w:p w:rsidR="00003692" w:rsidRPr="006E0ACA" w:rsidRDefault="00003692" w:rsidP="00003692">
      <w:pPr>
        <w:spacing w:line="240" w:lineRule="auto"/>
        <w:rPr>
          <w:rFonts w:cs="Arial"/>
          <w:sz w:val="20"/>
          <w:szCs w:val="20"/>
        </w:rPr>
      </w:pPr>
      <w:r w:rsidRPr="006E0ACA">
        <w:rPr>
          <w:rFonts w:cs="Arial"/>
          <w:sz w:val="20"/>
          <w:szCs w:val="20"/>
        </w:rPr>
        <w:t>aehaedt@jonesday.com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jejadwin@aep.com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christopher.miller@icemiller.com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gregory.dunn@icemiller.com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alan.starkoff@icemiller.com</w:t>
      </w:r>
    </w:p>
    <w:p w:rsidR="00003692" w:rsidRPr="006E0ACA" w:rsidRDefault="00003692" w:rsidP="00003692">
      <w:pPr>
        <w:spacing w:line="240" w:lineRule="auto"/>
        <w:rPr>
          <w:rFonts w:cs="Arial"/>
          <w:sz w:val="20"/>
          <w:szCs w:val="20"/>
        </w:rPr>
      </w:pPr>
      <w:r w:rsidRPr="006E0ACA">
        <w:rPr>
          <w:rFonts w:cs="Arial"/>
          <w:sz w:val="20"/>
          <w:szCs w:val="20"/>
        </w:rPr>
        <w:t>chris.michael@icemiller.com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ssolberg@EimerStahl.com</w:t>
      </w:r>
    </w:p>
    <w:p w:rsidR="00003692" w:rsidRPr="006E0ACA" w:rsidRDefault="00003692" w:rsidP="00003692">
      <w:pPr>
        <w:tabs>
          <w:tab w:val="left" w:pos="2160"/>
          <w:tab w:val="left" w:pos="2280"/>
        </w:tabs>
        <w:spacing w:line="240" w:lineRule="auto"/>
        <w:rPr>
          <w:rFonts w:cs="Arial"/>
          <w:sz w:val="20"/>
          <w:szCs w:val="20"/>
        </w:rPr>
      </w:pPr>
      <w:r w:rsidRPr="006E0ACA">
        <w:rPr>
          <w:rStyle w:val="Hyperlink"/>
          <w:rFonts w:cs="Arial"/>
          <w:color w:val="auto"/>
          <w:sz w:val="20"/>
          <w:szCs w:val="20"/>
          <w:u w:val="none"/>
        </w:rPr>
        <w:t>philip.sineneng@ThompsonHine.com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mjsatterwhite@aep.com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stnourse@aep.com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bojko@carpenterlipps.com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Mohler@carpenterlipps.com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sechler@carpenterlipps.com</w:t>
      </w:r>
    </w:p>
    <w:p w:rsidR="00003692" w:rsidRPr="006E0ACA" w:rsidRDefault="00003692" w:rsidP="00003692">
      <w:pPr>
        <w:tabs>
          <w:tab w:val="left" w:pos="2160"/>
          <w:tab w:val="left" w:pos="2280"/>
        </w:tabs>
        <w:spacing w:line="240" w:lineRule="auto"/>
        <w:rPr>
          <w:rFonts w:cs="Arial"/>
          <w:sz w:val="20"/>
          <w:szCs w:val="20"/>
        </w:rPr>
      </w:pPr>
      <w:r w:rsidRPr="006E0ACA">
        <w:rPr>
          <w:rFonts w:cs="Arial"/>
          <w:sz w:val="20"/>
          <w:szCs w:val="20"/>
        </w:rPr>
        <w:t>gpoulos@enernoc.com</w:t>
      </w:r>
    </w:p>
    <w:p w:rsidR="00003692" w:rsidRPr="006E0ACA" w:rsidRDefault="00003692" w:rsidP="00003692">
      <w:pPr>
        <w:pStyle w:val="BodyText"/>
        <w:spacing w:after="0" w:line="240" w:lineRule="auto"/>
        <w:rPr>
          <w:sz w:val="20"/>
          <w:szCs w:val="20"/>
        </w:rPr>
      </w:pPr>
      <w:r w:rsidRPr="006E0ACA">
        <w:rPr>
          <w:sz w:val="20"/>
          <w:szCs w:val="20"/>
        </w:rPr>
        <w:t>william.wright@ohioattorneygeneral.gov</w:t>
      </w:r>
    </w:p>
    <w:p w:rsidR="00003692" w:rsidRPr="006E0ACA" w:rsidRDefault="00003692" w:rsidP="00003692">
      <w:pPr>
        <w:pStyle w:val="BodyText"/>
        <w:spacing w:after="0" w:line="240" w:lineRule="auto"/>
        <w:rPr>
          <w:sz w:val="20"/>
          <w:szCs w:val="20"/>
        </w:rPr>
      </w:pPr>
      <w:r w:rsidRPr="006E0ACA">
        <w:rPr>
          <w:sz w:val="20"/>
          <w:szCs w:val="20"/>
        </w:rPr>
        <w:t>thomas.lindgren@ohioattorneygeneral.gov</w:t>
      </w:r>
    </w:p>
    <w:p w:rsidR="00003692" w:rsidRPr="006E0ACA" w:rsidRDefault="00003692" w:rsidP="00003692">
      <w:pPr>
        <w:pStyle w:val="BodyText"/>
        <w:spacing w:after="0" w:line="240" w:lineRule="auto"/>
        <w:rPr>
          <w:sz w:val="20"/>
          <w:szCs w:val="20"/>
        </w:rPr>
      </w:pPr>
      <w:r w:rsidRPr="006E0ACA">
        <w:rPr>
          <w:sz w:val="20"/>
          <w:szCs w:val="20"/>
        </w:rPr>
        <w:t>thomas.mcnamee@ohioattorneygeneral.gov</w:t>
      </w:r>
    </w:p>
    <w:p w:rsidR="00003692" w:rsidRPr="006E0ACA" w:rsidRDefault="00003692" w:rsidP="00003692">
      <w:pPr>
        <w:pStyle w:val="BodyText"/>
        <w:spacing w:after="0" w:line="240" w:lineRule="auto"/>
        <w:rPr>
          <w:sz w:val="20"/>
          <w:szCs w:val="20"/>
        </w:rPr>
      </w:pPr>
      <w:r w:rsidRPr="006E0ACA">
        <w:rPr>
          <w:sz w:val="20"/>
          <w:szCs w:val="20"/>
        </w:rPr>
        <w:t>werner.margard@ohioattorneygeneral.gov</w:t>
      </w:r>
    </w:p>
    <w:p w:rsidR="00003692" w:rsidRPr="006E0ACA" w:rsidRDefault="00003692" w:rsidP="00003692">
      <w:pPr>
        <w:pStyle w:val="BodyText"/>
        <w:spacing w:after="0" w:line="240" w:lineRule="auto"/>
        <w:rPr>
          <w:sz w:val="20"/>
          <w:szCs w:val="20"/>
        </w:rPr>
      </w:pPr>
      <w:r w:rsidRPr="006E0ACA">
        <w:rPr>
          <w:sz w:val="20"/>
          <w:szCs w:val="20"/>
        </w:rPr>
        <w:t>steven.beeler@puc.state.oh.us</w:t>
      </w:r>
    </w:p>
    <w:p w:rsidR="00003692" w:rsidRPr="006E0ACA" w:rsidRDefault="00003692" w:rsidP="00003692">
      <w:pPr>
        <w:pStyle w:val="BodyText"/>
        <w:spacing w:after="0" w:line="240" w:lineRule="auto"/>
        <w:rPr>
          <w:sz w:val="20"/>
          <w:szCs w:val="20"/>
        </w:rPr>
      </w:pPr>
      <w:r w:rsidRPr="006E0ACA">
        <w:rPr>
          <w:sz w:val="20"/>
          <w:szCs w:val="20"/>
        </w:rPr>
        <w:t>devin.parram@puc.state.oh.us</w:t>
      </w:r>
    </w:p>
    <w:p w:rsidR="00003692" w:rsidRPr="006E0ACA" w:rsidRDefault="00003692" w:rsidP="00003692">
      <w:pPr>
        <w:pStyle w:val="BodyText"/>
        <w:spacing w:after="0" w:line="240" w:lineRule="auto"/>
        <w:rPr>
          <w:sz w:val="20"/>
          <w:szCs w:val="20"/>
        </w:rPr>
      </w:pPr>
      <w:r w:rsidRPr="006E0ACA">
        <w:rPr>
          <w:sz w:val="20"/>
          <w:szCs w:val="20"/>
        </w:rPr>
        <w:t>gregory.price@puc.state.oh.us</w:t>
      </w:r>
    </w:p>
    <w:p w:rsidR="00003692" w:rsidRPr="006E0ACA" w:rsidRDefault="00003692" w:rsidP="00003692">
      <w:pPr>
        <w:pStyle w:val="BodyText"/>
        <w:spacing w:after="0" w:line="240" w:lineRule="auto"/>
        <w:rPr>
          <w:sz w:val="20"/>
          <w:szCs w:val="20"/>
        </w:rPr>
      </w:pPr>
      <w:r w:rsidRPr="006E0ACA">
        <w:rPr>
          <w:sz w:val="20"/>
          <w:szCs w:val="20"/>
        </w:rPr>
        <w:t>mandy.willey@puc.state.oh.us</w:t>
      </w:r>
    </w:p>
    <w:p w:rsidR="00003692" w:rsidRPr="006E0ACA" w:rsidRDefault="00003692" w:rsidP="00003692">
      <w:pPr>
        <w:pStyle w:val="BodyText"/>
        <w:spacing w:after="0" w:line="240" w:lineRule="auto"/>
        <w:rPr>
          <w:sz w:val="20"/>
          <w:szCs w:val="20"/>
        </w:rPr>
      </w:pPr>
      <w:r w:rsidRPr="006E0ACA">
        <w:rPr>
          <w:sz w:val="20"/>
          <w:szCs w:val="20"/>
        </w:rPr>
        <w:t>bryce.mckenney@puc.state.oh.us</w:t>
      </w:r>
    </w:p>
    <w:p w:rsidR="00003692" w:rsidRPr="006E0ACA" w:rsidRDefault="00003692" w:rsidP="00003692">
      <w:pPr>
        <w:spacing w:line="240" w:lineRule="auto"/>
        <w:rPr>
          <w:rFonts w:cs="Arial"/>
          <w:sz w:val="20"/>
          <w:szCs w:val="20"/>
        </w:rPr>
      </w:pPr>
      <w:r w:rsidRPr="006E0ACA">
        <w:rPr>
          <w:rFonts w:cs="Arial"/>
          <w:sz w:val="20"/>
          <w:szCs w:val="20"/>
        </w:rPr>
        <w:t>henryeckhart@aol.com</w:t>
      </w:r>
    </w:p>
    <w:p w:rsidR="00003692" w:rsidRPr="006E0ACA" w:rsidRDefault="00003692" w:rsidP="00003692">
      <w:pPr>
        <w:spacing w:line="240" w:lineRule="auto"/>
        <w:rPr>
          <w:rFonts w:cs="Arial"/>
          <w:sz w:val="20"/>
          <w:szCs w:val="20"/>
        </w:rPr>
      </w:pPr>
      <w:r w:rsidRPr="006E0ACA">
        <w:rPr>
          <w:rFonts w:cs="Arial"/>
          <w:sz w:val="20"/>
          <w:szCs w:val="20"/>
        </w:rPr>
        <w:t>Wis29@yahoo.com</w:t>
      </w:r>
    </w:p>
    <w:p w:rsidR="00003692" w:rsidRPr="006E0ACA" w:rsidRDefault="00003692" w:rsidP="00003692">
      <w:pPr>
        <w:spacing w:line="240" w:lineRule="auto"/>
        <w:rPr>
          <w:rFonts w:cs="Arial"/>
          <w:sz w:val="20"/>
          <w:szCs w:val="20"/>
        </w:rPr>
      </w:pPr>
      <w:r w:rsidRPr="006E0ACA">
        <w:rPr>
          <w:rFonts w:cs="Arial"/>
          <w:sz w:val="20"/>
          <w:szCs w:val="20"/>
        </w:rPr>
        <w:t>bill.wells@wpafb.af.mil</w:t>
      </w:r>
    </w:p>
    <w:p w:rsidR="00003692" w:rsidRPr="006E0ACA" w:rsidRDefault="00003692" w:rsidP="00003692">
      <w:pPr>
        <w:spacing w:line="240" w:lineRule="auto"/>
        <w:rPr>
          <w:rFonts w:cs="Arial"/>
          <w:sz w:val="20"/>
          <w:szCs w:val="20"/>
        </w:rPr>
      </w:pPr>
      <w:r w:rsidRPr="006E0ACA">
        <w:rPr>
          <w:rFonts w:cs="Arial"/>
          <w:sz w:val="20"/>
          <w:szCs w:val="20"/>
        </w:rPr>
        <w:t>chris.thompson.2@tyndall.af.mil</w:t>
      </w:r>
    </w:p>
    <w:p w:rsidR="00003692" w:rsidRPr="006E0ACA" w:rsidRDefault="00003692" w:rsidP="00003692">
      <w:pPr>
        <w:spacing w:line="240" w:lineRule="auto"/>
        <w:rPr>
          <w:rFonts w:cs="Arial"/>
          <w:sz w:val="20"/>
          <w:szCs w:val="20"/>
        </w:rPr>
      </w:pPr>
      <w:r w:rsidRPr="006E0ACA">
        <w:rPr>
          <w:rFonts w:cs="Arial"/>
          <w:sz w:val="20"/>
          <w:szCs w:val="20"/>
        </w:rPr>
        <w:t>mchristensen@columbuslaw.org</w:t>
      </w:r>
    </w:p>
    <w:p w:rsidR="00003692" w:rsidRPr="006E0ACA" w:rsidRDefault="00003692" w:rsidP="00003692">
      <w:pPr>
        <w:spacing w:line="240" w:lineRule="auto"/>
        <w:rPr>
          <w:rStyle w:val="Hyperlink"/>
          <w:rFonts w:cs="Arial"/>
          <w:color w:val="auto"/>
          <w:sz w:val="20"/>
          <w:szCs w:val="20"/>
          <w:u w:val="none"/>
        </w:rPr>
      </w:pPr>
      <w:r w:rsidRPr="006E0ACA">
        <w:rPr>
          <w:rStyle w:val="Hyperlink"/>
          <w:rFonts w:cs="Arial"/>
          <w:color w:val="auto"/>
          <w:sz w:val="20"/>
          <w:szCs w:val="20"/>
          <w:u w:val="none"/>
        </w:rPr>
        <w:t>stephen.chriss@wal-mart.com</w:t>
      </w:r>
    </w:p>
    <w:p w:rsidR="00003692" w:rsidRPr="006E0ACA" w:rsidRDefault="00003692" w:rsidP="00003692">
      <w:pPr>
        <w:spacing w:line="240" w:lineRule="auto"/>
        <w:ind w:firstLine="720"/>
        <w:rPr>
          <w:rFonts w:cs="Arial"/>
          <w:sz w:val="20"/>
          <w:szCs w:val="20"/>
        </w:rPr>
      </w:pPr>
    </w:p>
    <w:p w:rsidR="00003692" w:rsidRPr="006E0ACA" w:rsidRDefault="00003692" w:rsidP="0050500C">
      <w:pPr>
        <w:ind w:firstLine="720"/>
        <w:rPr>
          <w:rFonts w:cs="Arial"/>
          <w:sz w:val="20"/>
          <w:szCs w:val="20"/>
        </w:rPr>
      </w:pPr>
      <w:bookmarkStart w:id="2" w:name="_GoBack"/>
      <w:bookmarkEnd w:id="2"/>
    </w:p>
    <w:sectPr w:rsidR="00003692" w:rsidRPr="006E0ACA" w:rsidSect="00AF7861">
      <w:type w:val="continuous"/>
      <w:pgSz w:w="12240" w:h="15840" w:code="1"/>
      <w:pgMar w:top="1152" w:right="1440" w:bottom="1008" w:left="1440"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A5" w:rsidRDefault="00A47CA5" w:rsidP="00A47CA5">
      <w:pPr>
        <w:spacing w:line="240" w:lineRule="auto"/>
      </w:pPr>
      <w:r>
        <w:separator/>
      </w:r>
    </w:p>
  </w:endnote>
  <w:endnote w:type="continuationSeparator" w:id="0">
    <w:p w:rsidR="00A47CA5" w:rsidRDefault="00A47CA5" w:rsidP="00A47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29" w:rsidRPr="00E71EA3" w:rsidRDefault="003D0807" w:rsidP="00962521">
    <w:pPr>
      <w:pStyle w:val="Footer"/>
      <w:tabs>
        <w:tab w:val="clear" w:pos="9360"/>
      </w:tabs>
      <w:rPr>
        <w:sz w:val="22"/>
      </w:rPr>
    </w:pPr>
    <w:r w:rsidRPr="003D0807">
      <w:rPr>
        <w:noProof/>
        <w:sz w:val="16"/>
      </w:rPr>
      <w:t>{C50418: }{C50418: }{C50418: }{C50418: }{C50418: }{C50418: }</w:t>
    </w:r>
    <w:r w:rsidR="00EF7C29" w:rsidRPr="00E71EA3">
      <w:rPr>
        <w:noProof/>
        <w:sz w:val="16"/>
      </w:rPr>
      <w:tab/>
    </w:r>
    <w:r w:rsidR="00EF7C29" w:rsidRPr="00E71EA3">
      <w:rPr>
        <w:noProof/>
        <w:sz w:val="22"/>
      </w:rPr>
      <w:fldChar w:fldCharType="begin"/>
    </w:r>
    <w:r w:rsidR="00EF7C29" w:rsidRPr="00E71EA3">
      <w:rPr>
        <w:noProof/>
        <w:sz w:val="22"/>
      </w:rPr>
      <w:instrText xml:space="preserve"> PAGE   \* MERGEFORMAT </w:instrText>
    </w:r>
    <w:r w:rsidR="00EF7C29" w:rsidRPr="00E71EA3">
      <w:rPr>
        <w:noProof/>
        <w:sz w:val="22"/>
      </w:rPr>
      <w:fldChar w:fldCharType="separate"/>
    </w:r>
    <w:r w:rsidR="0092620F">
      <w:rPr>
        <w:noProof/>
        <w:sz w:val="22"/>
      </w:rPr>
      <w:t>2</w:t>
    </w:r>
    <w:r w:rsidR="00EF7C29" w:rsidRPr="00E71EA3">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50" w:rsidRPr="00ED1C50" w:rsidRDefault="003D0807">
    <w:pPr>
      <w:pStyle w:val="Footer"/>
    </w:pPr>
    <w:r w:rsidRPr="003D0807">
      <w:rPr>
        <w:noProof/>
        <w:sz w:val="16"/>
      </w:rPr>
      <w:t>{C50418: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Default="00003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Pr="00ED1C50" w:rsidRDefault="003D0807">
    <w:pPr>
      <w:pStyle w:val="Footer"/>
    </w:pPr>
    <w:r w:rsidRPr="003D0807">
      <w:rPr>
        <w:noProof/>
        <w:sz w:val="16"/>
      </w:rPr>
      <w:t>{C50418: }</w:t>
    </w:r>
    <w:r w:rsidR="00003692" w:rsidRPr="00ED1C50">
      <w:rPr>
        <w:noProof/>
        <w:sz w:val="16"/>
      </w:rPr>
      <w:tab/>
    </w:r>
    <w:r w:rsidR="00003692" w:rsidRPr="00ED1C50">
      <w:rPr>
        <w:noProof/>
        <w:sz w:val="22"/>
      </w:rPr>
      <w:fldChar w:fldCharType="begin"/>
    </w:r>
    <w:r w:rsidR="00003692" w:rsidRPr="00ED1C50">
      <w:rPr>
        <w:noProof/>
        <w:sz w:val="22"/>
      </w:rPr>
      <w:instrText xml:space="preserve"> PAGE   \* MERGEFORMAT </w:instrText>
    </w:r>
    <w:r w:rsidR="00003692" w:rsidRPr="00ED1C50">
      <w:rPr>
        <w:noProof/>
        <w:sz w:val="22"/>
      </w:rPr>
      <w:fldChar w:fldCharType="separate"/>
    </w:r>
    <w:r w:rsidR="00EC33E6">
      <w:rPr>
        <w:noProof/>
        <w:sz w:val="22"/>
      </w:rPr>
      <w:t>2</w:t>
    </w:r>
    <w:r w:rsidR="00003692" w:rsidRPr="00ED1C50">
      <w:rPr>
        <w:noProof/>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Pr="00EE44C0" w:rsidRDefault="003D0807" w:rsidP="00EF0E71">
    <w:pPr>
      <w:pStyle w:val="Footer"/>
    </w:pPr>
    <w:r w:rsidRPr="003D0807">
      <w:rPr>
        <w:noProof/>
        <w:sz w:val="16"/>
      </w:rPr>
      <w:t>{C50418: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Default="00A47C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Pr="00A47CA5" w:rsidRDefault="003D0807">
    <w:pPr>
      <w:pStyle w:val="Footer"/>
    </w:pPr>
    <w:r w:rsidRPr="003D0807">
      <w:rPr>
        <w:noProof/>
        <w:sz w:val="16"/>
      </w:rPr>
      <w:t>{C50418: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Pr="00A47CA5" w:rsidRDefault="003D0807">
    <w:pPr>
      <w:pStyle w:val="Footer"/>
    </w:pPr>
    <w:r w:rsidRPr="003D0807">
      <w:rPr>
        <w:noProof/>
        <w:sz w:val="16"/>
      </w:rPr>
      <w:t>{C50418: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A5" w:rsidRDefault="00A47CA5" w:rsidP="00A47CA5">
      <w:pPr>
        <w:spacing w:line="240" w:lineRule="auto"/>
        <w:rPr>
          <w:noProof/>
        </w:rPr>
      </w:pPr>
      <w:r>
        <w:rPr>
          <w:noProof/>
        </w:rPr>
        <w:separator/>
      </w:r>
    </w:p>
  </w:footnote>
  <w:footnote w:type="continuationSeparator" w:id="0">
    <w:p w:rsidR="00A47CA5" w:rsidRDefault="00A47CA5" w:rsidP="00A47C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Default="0000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Default="00003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92" w:rsidRDefault="00003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Default="00A47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Default="00A47C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5" w:rsidRDefault="00A47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A5"/>
    <w:rsid w:val="00003692"/>
    <w:rsid w:val="00015F84"/>
    <w:rsid w:val="000360F9"/>
    <w:rsid w:val="000E5DE0"/>
    <w:rsid w:val="001346CF"/>
    <w:rsid w:val="001B5106"/>
    <w:rsid w:val="00217E3F"/>
    <w:rsid w:val="00260E50"/>
    <w:rsid w:val="002642FF"/>
    <w:rsid w:val="002E5FC6"/>
    <w:rsid w:val="00320A69"/>
    <w:rsid w:val="00332693"/>
    <w:rsid w:val="003C158A"/>
    <w:rsid w:val="003D0807"/>
    <w:rsid w:val="004A5816"/>
    <w:rsid w:val="0050500C"/>
    <w:rsid w:val="00543612"/>
    <w:rsid w:val="00546688"/>
    <w:rsid w:val="00557EC6"/>
    <w:rsid w:val="005C070B"/>
    <w:rsid w:val="00601DA9"/>
    <w:rsid w:val="00634FAB"/>
    <w:rsid w:val="00665518"/>
    <w:rsid w:val="006779D2"/>
    <w:rsid w:val="006C62AC"/>
    <w:rsid w:val="006E0ACA"/>
    <w:rsid w:val="007915F1"/>
    <w:rsid w:val="0079162C"/>
    <w:rsid w:val="00796DFD"/>
    <w:rsid w:val="007C73A4"/>
    <w:rsid w:val="008E3492"/>
    <w:rsid w:val="008E3BF4"/>
    <w:rsid w:val="0092620F"/>
    <w:rsid w:val="009E150F"/>
    <w:rsid w:val="009F28AA"/>
    <w:rsid w:val="00A47CA5"/>
    <w:rsid w:val="00AF6DAB"/>
    <w:rsid w:val="00AF7861"/>
    <w:rsid w:val="00B416E5"/>
    <w:rsid w:val="00B557F2"/>
    <w:rsid w:val="00B82589"/>
    <w:rsid w:val="00BF35DD"/>
    <w:rsid w:val="00C0405A"/>
    <w:rsid w:val="00C14C02"/>
    <w:rsid w:val="00C97993"/>
    <w:rsid w:val="00CC4CA2"/>
    <w:rsid w:val="00D37DAB"/>
    <w:rsid w:val="00D864F6"/>
    <w:rsid w:val="00E13F28"/>
    <w:rsid w:val="00E50002"/>
    <w:rsid w:val="00EC33E6"/>
    <w:rsid w:val="00ED1C50"/>
    <w:rsid w:val="00EF086C"/>
    <w:rsid w:val="00EF7C29"/>
    <w:rsid w:val="00F8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20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086C"/>
    <w:pPr>
      <w:spacing w:line="48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 Char,ft Char,fn,char,ft"/>
    <w:basedOn w:val="Normal"/>
    <w:link w:val="FootnoteTextChar"/>
    <w:uiPriority w:val="99"/>
    <w:unhideWhenUsed/>
    <w:qFormat/>
    <w:rsid w:val="00EF086C"/>
    <w:pPr>
      <w:spacing w:after="120" w:line="240" w:lineRule="auto"/>
    </w:pPr>
    <w:rPr>
      <w:rFonts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 Char Char1"/>
    <w:basedOn w:val="DefaultParagraphFont"/>
    <w:link w:val="FootnoteText"/>
    <w:uiPriority w:val="99"/>
    <w:rsid w:val="00EF086C"/>
    <w:rPr>
      <w:rFonts w:cs="Arial"/>
      <w:sz w:val="20"/>
      <w:szCs w:val="20"/>
    </w:rPr>
  </w:style>
  <w:style w:type="paragraph" w:styleId="Header">
    <w:name w:val="header"/>
    <w:basedOn w:val="Normal"/>
    <w:link w:val="HeaderChar"/>
    <w:uiPriority w:val="99"/>
    <w:unhideWhenUsed/>
    <w:rsid w:val="00A47CA5"/>
    <w:pPr>
      <w:tabs>
        <w:tab w:val="center" w:pos="4680"/>
        <w:tab w:val="right" w:pos="9360"/>
      </w:tabs>
      <w:spacing w:line="240" w:lineRule="auto"/>
    </w:pPr>
  </w:style>
  <w:style w:type="character" w:customStyle="1" w:styleId="HeaderChar">
    <w:name w:val="Header Char"/>
    <w:basedOn w:val="DefaultParagraphFont"/>
    <w:link w:val="Header"/>
    <w:uiPriority w:val="99"/>
    <w:rsid w:val="00A47CA5"/>
    <w:rPr>
      <w:szCs w:val="22"/>
    </w:rPr>
  </w:style>
  <w:style w:type="paragraph" w:styleId="Footer">
    <w:name w:val="footer"/>
    <w:basedOn w:val="Normal"/>
    <w:link w:val="FooterChar"/>
    <w:uiPriority w:val="99"/>
    <w:unhideWhenUsed/>
    <w:rsid w:val="00A47CA5"/>
    <w:pPr>
      <w:tabs>
        <w:tab w:val="center" w:pos="4680"/>
        <w:tab w:val="right" w:pos="9360"/>
      </w:tabs>
      <w:spacing w:line="240" w:lineRule="auto"/>
    </w:pPr>
  </w:style>
  <w:style w:type="character" w:customStyle="1" w:styleId="FooterChar">
    <w:name w:val="Footer Char"/>
    <w:basedOn w:val="DefaultParagraphFont"/>
    <w:link w:val="Footer"/>
    <w:uiPriority w:val="99"/>
    <w:rsid w:val="00A47CA5"/>
    <w:rPr>
      <w:szCs w:val="22"/>
    </w:rPr>
  </w:style>
  <w:style w:type="paragraph" w:styleId="Title">
    <w:name w:val="Title"/>
    <w:basedOn w:val="Normal"/>
    <w:link w:val="TitleChar"/>
    <w:qFormat/>
    <w:rsid w:val="00EF7C29"/>
    <w:pPr>
      <w:tabs>
        <w:tab w:val="left" w:pos="720"/>
        <w:tab w:val="right" w:leader="dot" w:pos="9360"/>
      </w:tabs>
      <w:spacing w:line="240" w:lineRule="auto"/>
      <w:jc w:val="left"/>
    </w:pPr>
    <w:rPr>
      <w:rFonts w:eastAsiaTheme="majorEastAsia" w:cs="Arial"/>
      <w:b/>
      <w:smallCaps/>
      <w:noProof/>
      <w:sz w:val="32"/>
      <w:szCs w:val="24"/>
    </w:rPr>
  </w:style>
  <w:style w:type="character" w:customStyle="1" w:styleId="TitleChar">
    <w:name w:val="Title Char"/>
    <w:basedOn w:val="DefaultParagraphFont"/>
    <w:link w:val="Title"/>
    <w:rsid w:val="00EF7C29"/>
    <w:rPr>
      <w:rFonts w:eastAsiaTheme="majorEastAsia" w:cs="Arial"/>
      <w:b/>
      <w:smallCaps/>
      <w:noProof/>
      <w:sz w:val="32"/>
    </w:rPr>
  </w:style>
  <w:style w:type="character" w:styleId="FootnoteReference">
    <w:name w:val="footnote reference"/>
    <w:basedOn w:val="DefaultParagraphFont"/>
    <w:uiPriority w:val="99"/>
    <w:semiHidden/>
    <w:unhideWhenUsed/>
    <w:rsid w:val="00003692"/>
    <w:rPr>
      <w:vertAlign w:val="superscript"/>
    </w:rPr>
  </w:style>
  <w:style w:type="paragraph" w:styleId="BodyText">
    <w:name w:val="Body Text"/>
    <w:basedOn w:val="Normal"/>
    <w:link w:val="BodyTextChar"/>
    <w:uiPriority w:val="99"/>
    <w:semiHidden/>
    <w:unhideWhenUsed/>
    <w:rsid w:val="00003692"/>
    <w:pPr>
      <w:spacing w:after="120"/>
    </w:pPr>
    <w:rPr>
      <w:rFonts w:cs="Arial"/>
      <w:szCs w:val="24"/>
    </w:rPr>
  </w:style>
  <w:style w:type="character" w:customStyle="1" w:styleId="BodyTextChar">
    <w:name w:val="Body Text Char"/>
    <w:basedOn w:val="DefaultParagraphFont"/>
    <w:link w:val="BodyText"/>
    <w:uiPriority w:val="99"/>
    <w:semiHidden/>
    <w:rsid w:val="00003692"/>
    <w:rPr>
      <w:rFonts w:cs="Arial"/>
    </w:rPr>
  </w:style>
  <w:style w:type="paragraph" w:styleId="BodyTextIndent">
    <w:name w:val="Body Text Indent"/>
    <w:basedOn w:val="Normal"/>
    <w:link w:val="BodyTextIndentChar"/>
    <w:uiPriority w:val="99"/>
    <w:semiHidden/>
    <w:unhideWhenUsed/>
    <w:rsid w:val="00003692"/>
    <w:pPr>
      <w:spacing w:after="120"/>
      <w:ind w:left="360"/>
    </w:pPr>
    <w:rPr>
      <w:rFonts w:cs="Arial"/>
      <w:szCs w:val="24"/>
    </w:rPr>
  </w:style>
  <w:style w:type="character" w:customStyle="1" w:styleId="BodyTextIndentChar">
    <w:name w:val="Body Text Indent Char"/>
    <w:basedOn w:val="DefaultParagraphFont"/>
    <w:link w:val="BodyTextIndent"/>
    <w:uiPriority w:val="99"/>
    <w:semiHidden/>
    <w:rsid w:val="00003692"/>
    <w:rPr>
      <w:rFonts w:cs="Arial"/>
    </w:rPr>
  </w:style>
  <w:style w:type="character" w:styleId="Hyperlink">
    <w:name w:val="Hyperlink"/>
    <w:basedOn w:val="DefaultParagraphFont"/>
    <w:uiPriority w:val="99"/>
    <w:unhideWhenUsed/>
    <w:rsid w:val="00003692"/>
    <w:rPr>
      <w:color w:val="0000FF" w:themeColor="hyperlink"/>
      <w:u w:val="single"/>
    </w:rPr>
  </w:style>
  <w:style w:type="paragraph" w:styleId="BodyText3">
    <w:name w:val="Body Text 3"/>
    <w:basedOn w:val="Normal"/>
    <w:link w:val="BodyText3Char"/>
    <w:uiPriority w:val="99"/>
    <w:semiHidden/>
    <w:unhideWhenUsed/>
    <w:rsid w:val="00003692"/>
    <w:pPr>
      <w:spacing w:after="120"/>
    </w:pPr>
    <w:rPr>
      <w:rFonts w:cs="Arial"/>
      <w:sz w:val="16"/>
      <w:szCs w:val="16"/>
    </w:rPr>
  </w:style>
  <w:style w:type="character" w:customStyle="1" w:styleId="BodyText3Char">
    <w:name w:val="Body Text 3 Char"/>
    <w:basedOn w:val="DefaultParagraphFont"/>
    <w:link w:val="BodyText3"/>
    <w:uiPriority w:val="99"/>
    <w:semiHidden/>
    <w:rsid w:val="00003692"/>
    <w:rPr>
      <w:rFonts w:cs="Arial"/>
      <w:sz w:val="16"/>
      <w:szCs w:val="16"/>
    </w:rPr>
  </w:style>
  <w:style w:type="paragraph" w:styleId="BalloonText">
    <w:name w:val="Balloon Text"/>
    <w:basedOn w:val="Normal"/>
    <w:link w:val="BalloonTextChar"/>
    <w:uiPriority w:val="99"/>
    <w:semiHidden/>
    <w:unhideWhenUsed/>
    <w:rsid w:val="00EC33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ohio.gov/Clerk/ecms/#/caseinfo/2014/1505"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5579</Characters>
  <Application>Microsoft Office Word</Application>
  <DocSecurity>0</DocSecurity>
  <PresentationFormat>15|.DOCX</PresentationFormat>
  <Lines>198</Lines>
  <Paragraphs>145</Paragraphs>
  <ScaleCrop>false</ScaleCrop>
  <HeadingPairs>
    <vt:vector size="2" baseType="variant">
      <vt:variant>
        <vt:lpstr>Title</vt:lpstr>
      </vt:variant>
      <vt:variant>
        <vt:i4>1</vt:i4>
      </vt:variant>
    </vt:vector>
  </HeadingPairs>
  <TitlesOfParts>
    <vt:vector size="1" baseType="lpstr">
      <vt:lpstr>Notice of Authority - Court Mandate (12-426) (C50418).DOCX</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Authority - Court Mandate (12-426) (C50418).DOCX</dc:title>
  <dc:subject>C50418: /font=8</dc:subject>
  <dc:creator/>
  <cp:keywords/>
  <dc:description/>
  <cp:lastModifiedBy/>
  <cp:revision>1</cp:revision>
  <dcterms:created xsi:type="dcterms:W3CDTF">2016-07-06T15:11:00Z</dcterms:created>
  <dcterms:modified xsi:type="dcterms:W3CDTF">2016-07-06T15:12:00Z</dcterms:modified>
</cp:coreProperties>
</file>