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80" w:rsidRPr="00B72F8F" w:rsidRDefault="00EE7580" w:rsidP="00B72F8F">
      <w:pPr>
        <w:jc w:val="center"/>
        <w:rPr>
          <w:b/>
        </w:rPr>
      </w:pPr>
      <w:bookmarkStart w:id="0" w:name="_GoBack"/>
      <w:bookmarkEnd w:id="0"/>
      <w:r w:rsidRPr="00B72F8F">
        <w:rPr>
          <w:b/>
        </w:rPr>
        <w:t>BEFORE</w:t>
      </w:r>
    </w:p>
    <w:p w:rsidR="00EE7580" w:rsidRDefault="00EE7580" w:rsidP="00EE7580">
      <w:pPr>
        <w:pStyle w:val="HTMLPreformatted"/>
        <w:jc w:val="center"/>
        <w:rPr>
          <w:rFonts w:ascii="Times New Roman" w:hAnsi="Times New Roman"/>
          <w:sz w:val="24"/>
        </w:rPr>
      </w:pPr>
      <w:r>
        <w:rPr>
          <w:rFonts w:ascii="Times New Roman" w:hAnsi="Times New Roman"/>
          <w:b/>
          <w:bCs/>
          <w:sz w:val="24"/>
        </w:rPr>
        <w:t>THE PUBLIC UTILITIES COMMISSION OF OHIO</w:t>
      </w:r>
    </w:p>
    <w:p w:rsidR="00B72F8F" w:rsidRDefault="00B72F8F" w:rsidP="00B72F8F">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B72F8F" w:rsidTr="00272094">
        <w:trPr>
          <w:trHeight w:val="807"/>
        </w:trPr>
        <w:tc>
          <w:tcPr>
            <w:tcW w:w="4332" w:type="dxa"/>
            <w:shd w:val="clear" w:color="auto" w:fill="auto"/>
          </w:tcPr>
          <w:p w:rsidR="00B72F8F" w:rsidRDefault="00B72F8F" w:rsidP="00272094">
            <w:pPr>
              <w:autoSpaceDE w:val="0"/>
              <w:autoSpaceDN w:val="0"/>
              <w:adjustRightInd w:val="0"/>
              <w:rPr>
                <w:szCs w:val="24"/>
              </w:rPr>
            </w:pPr>
            <w:r>
              <w:rPr>
                <w:szCs w:val="24"/>
              </w:rPr>
              <w:t>Ormet Primary Aluminum Corp.,</w:t>
            </w:r>
          </w:p>
          <w:p w:rsidR="00B72F8F" w:rsidRDefault="00B72F8F" w:rsidP="00272094">
            <w:pPr>
              <w:autoSpaceDE w:val="0"/>
              <w:autoSpaceDN w:val="0"/>
              <w:adjustRightInd w:val="0"/>
              <w:rPr>
                <w:szCs w:val="24"/>
              </w:rPr>
            </w:pPr>
          </w:p>
          <w:p w:rsidR="00B72F8F" w:rsidRDefault="00B72F8F" w:rsidP="00272094">
            <w:pPr>
              <w:autoSpaceDE w:val="0"/>
              <w:autoSpaceDN w:val="0"/>
              <w:adjustRightInd w:val="0"/>
              <w:rPr>
                <w:szCs w:val="24"/>
              </w:rPr>
            </w:pPr>
            <w:r>
              <w:rPr>
                <w:szCs w:val="24"/>
              </w:rPr>
              <w:t xml:space="preserve">                          Complainant, </w:t>
            </w:r>
          </w:p>
          <w:p w:rsidR="00B72F8F" w:rsidRDefault="00B72F8F" w:rsidP="00272094">
            <w:pPr>
              <w:autoSpaceDE w:val="0"/>
              <w:autoSpaceDN w:val="0"/>
              <w:adjustRightInd w:val="0"/>
              <w:rPr>
                <w:szCs w:val="24"/>
              </w:rPr>
            </w:pPr>
            <w:r>
              <w:rPr>
                <w:szCs w:val="24"/>
              </w:rPr>
              <w:t xml:space="preserve">   v.</w:t>
            </w:r>
          </w:p>
          <w:p w:rsidR="00B72F8F" w:rsidRDefault="00B72F8F" w:rsidP="00272094">
            <w:pPr>
              <w:autoSpaceDE w:val="0"/>
              <w:autoSpaceDN w:val="0"/>
              <w:adjustRightInd w:val="0"/>
              <w:rPr>
                <w:szCs w:val="24"/>
              </w:rPr>
            </w:pPr>
          </w:p>
          <w:p w:rsidR="00B72F8F" w:rsidRDefault="00B72F8F" w:rsidP="00272094">
            <w:pPr>
              <w:autoSpaceDE w:val="0"/>
              <w:autoSpaceDN w:val="0"/>
              <w:adjustRightInd w:val="0"/>
              <w:rPr>
                <w:szCs w:val="24"/>
              </w:rPr>
            </w:pPr>
          </w:p>
          <w:p w:rsidR="00B72F8F" w:rsidRDefault="00B72F8F" w:rsidP="00272094">
            <w:pPr>
              <w:autoSpaceDE w:val="0"/>
              <w:autoSpaceDN w:val="0"/>
              <w:adjustRightInd w:val="0"/>
              <w:rPr>
                <w:szCs w:val="24"/>
              </w:rPr>
            </w:pPr>
            <w:r>
              <w:rPr>
                <w:szCs w:val="24"/>
              </w:rPr>
              <w:t>Ohio Power Company,</w:t>
            </w:r>
          </w:p>
          <w:p w:rsidR="00B72F8F" w:rsidRDefault="00B72F8F" w:rsidP="00272094">
            <w:pPr>
              <w:autoSpaceDE w:val="0"/>
              <w:autoSpaceDN w:val="0"/>
              <w:adjustRightInd w:val="0"/>
              <w:rPr>
                <w:szCs w:val="24"/>
              </w:rPr>
            </w:pPr>
          </w:p>
          <w:p w:rsidR="00B72F8F" w:rsidRPr="00A338D0" w:rsidRDefault="00B72F8F" w:rsidP="00272094">
            <w:pPr>
              <w:autoSpaceDE w:val="0"/>
              <w:autoSpaceDN w:val="0"/>
              <w:adjustRightInd w:val="0"/>
              <w:rPr>
                <w:szCs w:val="24"/>
              </w:rPr>
            </w:pPr>
            <w:r>
              <w:rPr>
                <w:szCs w:val="24"/>
              </w:rPr>
              <w:t xml:space="preserve">                            Respondent.</w:t>
            </w:r>
          </w:p>
        </w:tc>
        <w:tc>
          <w:tcPr>
            <w:tcW w:w="360" w:type="dxa"/>
            <w:shd w:val="clear" w:color="auto" w:fill="auto"/>
          </w:tcPr>
          <w:p w:rsidR="00B72F8F" w:rsidRPr="00947A24" w:rsidRDefault="00B72F8F" w:rsidP="00272094">
            <w:pPr>
              <w:pStyle w:val="HTMLPreformatted"/>
              <w:rPr>
                <w:rFonts w:ascii="Times New Roman" w:hAnsi="Times New Roman" w:cs="Times New Roman"/>
                <w:sz w:val="24"/>
                <w:szCs w:val="24"/>
              </w:rPr>
            </w:pPr>
            <w:r w:rsidRPr="00947A24">
              <w:rPr>
                <w:rFonts w:ascii="Times New Roman" w:hAnsi="Times New Roman" w:cs="Times New Roman"/>
                <w:sz w:val="24"/>
                <w:szCs w:val="24"/>
              </w:rPr>
              <w:t>)</w:t>
            </w:r>
          </w:p>
          <w:p w:rsidR="00B72F8F" w:rsidRPr="00947A24" w:rsidRDefault="00B72F8F" w:rsidP="00272094">
            <w:pPr>
              <w:pStyle w:val="HTMLPreformatted"/>
              <w:rPr>
                <w:rFonts w:ascii="Times New Roman" w:hAnsi="Times New Roman" w:cs="Times New Roman"/>
                <w:sz w:val="24"/>
                <w:szCs w:val="24"/>
              </w:rPr>
            </w:pPr>
            <w:r w:rsidRPr="00947A24">
              <w:rPr>
                <w:rFonts w:ascii="Times New Roman" w:hAnsi="Times New Roman" w:cs="Times New Roman"/>
                <w:sz w:val="24"/>
                <w:szCs w:val="24"/>
              </w:rPr>
              <w:t>)</w:t>
            </w:r>
          </w:p>
          <w:p w:rsidR="00B72F8F" w:rsidRDefault="00B72F8F" w:rsidP="00272094">
            <w:pPr>
              <w:pStyle w:val="HTMLPreformatted"/>
              <w:rPr>
                <w:rFonts w:ascii="Times New Roman" w:hAnsi="Times New Roman" w:cs="Times New Roman"/>
                <w:sz w:val="24"/>
                <w:szCs w:val="24"/>
              </w:rPr>
            </w:pPr>
            <w:r w:rsidRPr="00947A24">
              <w:rPr>
                <w:rFonts w:ascii="Times New Roman" w:hAnsi="Times New Roman" w:cs="Times New Roman"/>
                <w:sz w:val="24"/>
                <w:szCs w:val="24"/>
              </w:rPr>
              <w:t>)</w:t>
            </w:r>
          </w:p>
          <w:p w:rsidR="00B72F8F" w:rsidRPr="00947A24" w:rsidRDefault="00B72F8F" w:rsidP="00272094">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p>
        </w:tc>
        <w:tc>
          <w:tcPr>
            <w:tcW w:w="4400" w:type="dxa"/>
            <w:shd w:val="clear" w:color="auto" w:fill="auto"/>
          </w:tcPr>
          <w:p w:rsidR="00B72F8F" w:rsidRPr="00947A24" w:rsidRDefault="00B72F8F" w:rsidP="00272094">
            <w:pPr>
              <w:pStyle w:val="HTMLPreformatted"/>
              <w:rPr>
                <w:rFonts w:ascii="Times New Roman" w:hAnsi="Times New Roman" w:cs="Times New Roman"/>
                <w:sz w:val="24"/>
                <w:szCs w:val="24"/>
              </w:rPr>
            </w:pPr>
          </w:p>
          <w:p w:rsidR="00B72F8F" w:rsidRDefault="00B72F8F" w:rsidP="00272094">
            <w:pPr>
              <w:pStyle w:val="HTMLPreformatted"/>
              <w:rPr>
                <w:rFonts w:ascii="Times New Roman" w:hAnsi="Times New Roman" w:cs="Times New Roman"/>
                <w:sz w:val="24"/>
                <w:szCs w:val="24"/>
              </w:rPr>
            </w:pPr>
          </w:p>
          <w:p w:rsidR="00B72F8F" w:rsidRDefault="00B72F8F" w:rsidP="00272094">
            <w:pPr>
              <w:pStyle w:val="HTMLPreformatted"/>
              <w:rPr>
                <w:rFonts w:ascii="Times New Roman" w:hAnsi="Times New Roman" w:cs="Times New Roman"/>
                <w:sz w:val="24"/>
                <w:szCs w:val="24"/>
              </w:rPr>
            </w:pPr>
          </w:p>
          <w:p w:rsidR="00B72F8F" w:rsidRDefault="00B72F8F" w:rsidP="00272094">
            <w:pPr>
              <w:pStyle w:val="HTMLPreformatted"/>
              <w:rPr>
                <w:rFonts w:ascii="Times New Roman" w:hAnsi="Times New Roman" w:cs="Times New Roman"/>
                <w:sz w:val="24"/>
                <w:szCs w:val="24"/>
              </w:rPr>
            </w:pPr>
          </w:p>
          <w:p w:rsidR="00B72F8F" w:rsidRPr="00947A24" w:rsidRDefault="00B72F8F" w:rsidP="00272094">
            <w:pPr>
              <w:pStyle w:val="HTMLPreformatted"/>
              <w:rPr>
                <w:rFonts w:ascii="Times New Roman" w:hAnsi="Times New Roman" w:cs="Times New Roman"/>
                <w:sz w:val="24"/>
                <w:szCs w:val="24"/>
              </w:rPr>
            </w:pPr>
            <w:r w:rsidRPr="00947A24">
              <w:rPr>
                <w:rFonts w:ascii="Times New Roman" w:hAnsi="Times New Roman" w:cs="Times New Roman"/>
                <w:sz w:val="24"/>
                <w:szCs w:val="24"/>
              </w:rPr>
              <w:t>Case No. 1</w:t>
            </w:r>
            <w:r>
              <w:rPr>
                <w:rFonts w:ascii="Times New Roman" w:hAnsi="Times New Roman" w:cs="Times New Roman"/>
                <w:sz w:val="24"/>
                <w:szCs w:val="24"/>
              </w:rPr>
              <w:t>3-2206-EL-CSS</w:t>
            </w:r>
          </w:p>
        </w:tc>
      </w:tr>
    </w:tbl>
    <w:p w:rsidR="00EE7580" w:rsidRDefault="00EE7580" w:rsidP="00EE7580">
      <w:pPr>
        <w:pStyle w:val="Footer"/>
        <w:tabs>
          <w:tab w:val="left" w:pos="4320"/>
        </w:tabs>
        <w:spacing w:before="240"/>
        <w:rPr>
          <w:sz w:val="24"/>
          <w:szCs w:val="24"/>
        </w:rPr>
      </w:pPr>
    </w:p>
    <w:p w:rsidR="00EE7580" w:rsidRDefault="00EE7580" w:rsidP="00EE7580">
      <w:pPr>
        <w:pStyle w:val="HTMLPreformatted"/>
        <w:pBdr>
          <w:top w:val="single" w:sz="12" w:space="1" w:color="auto"/>
        </w:pBdr>
        <w:rPr>
          <w:rFonts w:ascii="Times New Roman" w:hAnsi="Times New Roman"/>
          <w:sz w:val="24"/>
        </w:rPr>
      </w:pPr>
    </w:p>
    <w:p w:rsidR="00BD7A92" w:rsidRDefault="00EE7580" w:rsidP="00EE7580">
      <w:pPr>
        <w:jc w:val="center"/>
        <w:rPr>
          <w:b/>
          <w:bCs/>
        </w:rPr>
      </w:pPr>
      <w:r>
        <w:rPr>
          <w:b/>
          <w:bCs/>
        </w:rPr>
        <w:t xml:space="preserve">BRIEF </w:t>
      </w:r>
    </w:p>
    <w:p w:rsidR="00EE7580" w:rsidRDefault="00EE7580" w:rsidP="00EE7580">
      <w:pPr>
        <w:jc w:val="center"/>
        <w:rPr>
          <w:b/>
          <w:bCs/>
        </w:rPr>
      </w:pPr>
      <w:r>
        <w:rPr>
          <w:b/>
          <w:bCs/>
        </w:rPr>
        <w:t>BY</w:t>
      </w:r>
    </w:p>
    <w:p w:rsidR="00EE7580" w:rsidRDefault="00EE7580" w:rsidP="00EE7580">
      <w:pPr>
        <w:jc w:val="center"/>
        <w:rPr>
          <w:b/>
          <w:bCs/>
        </w:rPr>
      </w:pPr>
      <w:r>
        <w:rPr>
          <w:b/>
          <w:bCs/>
        </w:rPr>
        <w:t>THE OFFICE OF THE OHIO CONSUMERS’ COUNSEL</w:t>
      </w:r>
    </w:p>
    <w:p w:rsidR="00EE7580" w:rsidRDefault="00EE7580" w:rsidP="00EE7580">
      <w:pPr>
        <w:jc w:val="center"/>
        <w:rPr>
          <w:b/>
          <w:bCs/>
        </w:rPr>
      </w:pPr>
      <w:r>
        <w:rPr>
          <w:b/>
          <w:bCs/>
        </w:rPr>
        <w:t xml:space="preserve"> </w:t>
      </w:r>
    </w:p>
    <w:p w:rsidR="00EE7580" w:rsidRDefault="00EE7580" w:rsidP="00EE7580">
      <w:pPr>
        <w:pBdr>
          <w:bottom w:val="single" w:sz="12" w:space="1" w:color="auto"/>
        </w:pBdr>
        <w:tabs>
          <w:tab w:val="left" w:pos="4320"/>
        </w:tabs>
      </w:pPr>
    </w:p>
    <w:p w:rsidR="00EE7580" w:rsidRDefault="00EE7580" w:rsidP="00EE7580">
      <w:pPr>
        <w:tabs>
          <w:tab w:val="left" w:pos="4320"/>
        </w:tabs>
      </w:pPr>
    </w:p>
    <w:p w:rsidR="00EE7580" w:rsidRDefault="00EE7580" w:rsidP="00EE7580">
      <w:pPr>
        <w:pStyle w:val="Footer"/>
        <w:tabs>
          <w:tab w:val="clear" w:pos="8640"/>
          <w:tab w:val="left" w:pos="4320"/>
        </w:tabs>
        <w:spacing w:before="240"/>
        <w:rPr>
          <w:sz w:val="24"/>
          <w:szCs w:val="24"/>
        </w:rPr>
      </w:pPr>
      <w:r>
        <w:rPr>
          <w:sz w:val="24"/>
          <w:szCs w:val="24"/>
        </w:rPr>
        <w:tab/>
      </w:r>
    </w:p>
    <w:p w:rsidR="00B72F8F" w:rsidRDefault="00EE7580" w:rsidP="00EE7580">
      <w:pPr>
        <w:pStyle w:val="Footer"/>
        <w:tabs>
          <w:tab w:val="left" w:pos="4320"/>
        </w:tabs>
        <w:spacing w:before="240"/>
        <w:rPr>
          <w:sz w:val="24"/>
          <w:szCs w:val="24"/>
        </w:rPr>
      </w:pPr>
      <w:r>
        <w:rPr>
          <w:sz w:val="24"/>
          <w:szCs w:val="24"/>
        </w:rPr>
        <w:tab/>
      </w:r>
    </w:p>
    <w:p w:rsidR="00B72F8F" w:rsidRDefault="00DE0266" w:rsidP="00DE0266">
      <w:pPr>
        <w:pStyle w:val="Footer"/>
        <w:tabs>
          <w:tab w:val="clear" w:pos="4320"/>
          <w:tab w:val="clear" w:pos="8640"/>
          <w:tab w:val="left" w:pos="2905"/>
        </w:tabs>
        <w:spacing w:before="240"/>
        <w:rPr>
          <w:sz w:val="24"/>
          <w:szCs w:val="24"/>
        </w:rPr>
      </w:pPr>
      <w:r>
        <w:rPr>
          <w:sz w:val="24"/>
          <w:szCs w:val="24"/>
        </w:rPr>
        <w:tab/>
      </w:r>
    </w:p>
    <w:p w:rsidR="00396859" w:rsidRDefault="00B72F8F" w:rsidP="00DE0266">
      <w:pPr>
        <w:pStyle w:val="Footer"/>
        <w:tabs>
          <w:tab w:val="left" w:pos="2607"/>
          <w:tab w:val="left" w:pos="4320"/>
        </w:tabs>
        <w:spacing w:before="240"/>
        <w:rPr>
          <w:sz w:val="24"/>
          <w:szCs w:val="24"/>
        </w:rPr>
      </w:pPr>
      <w:r>
        <w:rPr>
          <w:sz w:val="24"/>
          <w:szCs w:val="24"/>
        </w:rPr>
        <w:tab/>
      </w:r>
      <w:r w:rsidR="00DE0266">
        <w:rPr>
          <w:sz w:val="24"/>
          <w:szCs w:val="24"/>
        </w:rPr>
        <w:tab/>
      </w:r>
    </w:p>
    <w:p w:rsidR="00EE7580" w:rsidRDefault="00396859" w:rsidP="00EE7580">
      <w:pPr>
        <w:pStyle w:val="Footer"/>
        <w:tabs>
          <w:tab w:val="left" w:pos="4320"/>
        </w:tabs>
        <w:spacing w:before="240"/>
        <w:rPr>
          <w:sz w:val="24"/>
          <w:szCs w:val="24"/>
        </w:rPr>
      </w:pPr>
      <w:r>
        <w:rPr>
          <w:sz w:val="24"/>
          <w:szCs w:val="24"/>
        </w:rPr>
        <w:tab/>
      </w:r>
      <w:r w:rsidR="00EE7580">
        <w:rPr>
          <w:sz w:val="24"/>
          <w:szCs w:val="24"/>
        </w:rPr>
        <w:t>BRUCE J. WESTON</w:t>
      </w:r>
    </w:p>
    <w:p w:rsidR="00EE7580" w:rsidRDefault="00EE7580" w:rsidP="00EE7580">
      <w:pPr>
        <w:tabs>
          <w:tab w:val="left" w:pos="4320"/>
        </w:tabs>
        <w:rPr>
          <w:szCs w:val="24"/>
        </w:rPr>
      </w:pPr>
      <w:r>
        <w:rPr>
          <w:szCs w:val="24"/>
        </w:rPr>
        <w:tab/>
        <w:t>OHIO CONSUMERS’ COUNSEL</w:t>
      </w:r>
    </w:p>
    <w:p w:rsidR="00EE7580" w:rsidRDefault="00EE7580" w:rsidP="00EE7580">
      <w:pPr>
        <w:tabs>
          <w:tab w:val="left" w:pos="4320"/>
        </w:tabs>
        <w:rPr>
          <w:szCs w:val="24"/>
        </w:rPr>
      </w:pPr>
      <w:r>
        <w:rPr>
          <w:szCs w:val="24"/>
        </w:rPr>
        <w:tab/>
      </w:r>
    </w:p>
    <w:p w:rsidR="00EE7580" w:rsidRDefault="00EE7580" w:rsidP="00EE7580">
      <w:pPr>
        <w:tabs>
          <w:tab w:val="left" w:pos="4320"/>
        </w:tabs>
        <w:rPr>
          <w:szCs w:val="24"/>
        </w:rPr>
      </w:pPr>
      <w:r>
        <w:rPr>
          <w:szCs w:val="24"/>
        </w:rPr>
        <w:tab/>
        <w:t>Maureen R. Grady, Counsel of Record</w:t>
      </w:r>
    </w:p>
    <w:p w:rsidR="00EE7580" w:rsidRDefault="00EE7580" w:rsidP="00EE7580">
      <w:pPr>
        <w:tabs>
          <w:tab w:val="left" w:pos="4320"/>
        </w:tabs>
        <w:rPr>
          <w:szCs w:val="24"/>
        </w:rPr>
      </w:pPr>
      <w:r>
        <w:rPr>
          <w:szCs w:val="24"/>
        </w:rPr>
        <w:tab/>
        <w:t>Edmund J. Berger</w:t>
      </w:r>
    </w:p>
    <w:p w:rsidR="00EE7580" w:rsidRDefault="00EE7580" w:rsidP="00EE7580">
      <w:pPr>
        <w:tabs>
          <w:tab w:val="left" w:pos="4320"/>
        </w:tabs>
        <w:rPr>
          <w:szCs w:val="24"/>
        </w:rPr>
      </w:pPr>
      <w:r>
        <w:rPr>
          <w:szCs w:val="24"/>
        </w:rPr>
        <w:tab/>
        <w:t>Assistant Consumers’ Counsel</w:t>
      </w:r>
    </w:p>
    <w:p w:rsidR="00EE7580" w:rsidRDefault="00EE7580" w:rsidP="00EE7580">
      <w:pPr>
        <w:tabs>
          <w:tab w:val="left" w:pos="4320"/>
        </w:tabs>
        <w:rPr>
          <w:szCs w:val="24"/>
        </w:rPr>
      </w:pPr>
    </w:p>
    <w:p w:rsidR="00EE7580" w:rsidRDefault="00EE7580" w:rsidP="00EE7580">
      <w:pPr>
        <w:rPr>
          <w:b/>
        </w:rPr>
      </w:pPr>
      <w:r>
        <w:tab/>
      </w:r>
      <w:r>
        <w:tab/>
      </w:r>
      <w:r>
        <w:tab/>
      </w:r>
      <w:r>
        <w:tab/>
      </w:r>
      <w:r>
        <w:tab/>
      </w:r>
      <w:r>
        <w:tab/>
      </w:r>
      <w:r>
        <w:rPr>
          <w:b/>
        </w:rPr>
        <w:t>Office of the Ohio Consumers’ Counsel</w:t>
      </w:r>
    </w:p>
    <w:p w:rsidR="00EE7580" w:rsidRDefault="00EE7580" w:rsidP="00EE7580">
      <w:pPr>
        <w:ind w:left="4320" w:hanging="4320"/>
      </w:pPr>
      <w:r>
        <w:tab/>
        <w:t>10 West Broad Street, Suite 1800</w:t>
      </w:r>
    </w:p>
    <w:p w:rsidR="00EE7580" w:rsidRDefault="00EE7580" w:rsidP="00EE7580">
      <w:pPr>
        <w:ind w:left="4320" w:hanging="4320"/>
      </w:pPr>
      <w:r>
        <w:tab/>
        <w:t>Columbus, Ohio 43215-3485</w:t>
      </w:r>
    </w:p>
    <w:p w:rsidR="00EE7580" w:rsidRDefault="00EE7580" w:rsidP="00EE7580">
      <w:pPr>
        <w:autoSpaceDE w:val="0"/>
        <w:autoSpaceDN w:val="0"/>
        <w:adjustRightInd w:val="0"/>
        <w:ind w:left="3600" w:firstLine="720"/>
        <w:rPr>
          <w:szCs w:val="24"/>
        </w:rPr>
      </w:pPr>
      <w:r>
        <w:rPr>
          <w:szCs w:val="24"/>
        </w:rPr>
        <w:t>Telephone:  (Grady) (614) 466-9567</w:t>
      </w:r>
    </w:p>
    <w:p w:rsidR="00EE7580" w:rsidRDefault="00EE7580" w:rsidP="00EE7580">
      <w:pPr>
        <w:autoSpaceDE w:val="0"/>
        <w:autoSpaceDN w:val="0"/>
        <w:adjustRightInd w:val="0"/>
        <w:ind w:left="3600" w:firstLine="720"/>
        <w:rPr>
          <w:szCs w:val="24"/>
        </w:rPr>
      </w:pPr>
      <w:r>
        <w:rPr>
          <w:szCs w:val="24"/>
        </w:rPr>
        <w:t>Telephone: (Berger) (614) 466-1292</w:t>
      </w:r>
    </w:p>
    <w:p w:rsidR="00EE7580" w:rsidRDefault="00EE7580" w:rsidP="00EE7580">
      <w:pPr>
        <w:rPr>
          <w:szCs w:val="24"/>
        </w:rPr>
      </w:pPr>
      <w:r>
        <w:rPr>
          <w:szCs w:val="24"/>
        </w:rPr>
        <w:tab/>
      </w:r>
      <w:r>
        <w:rPr>
          <w:szCs w:val="24"/>
        </w:rPr>
        <w:tab/>
      </w:r>
      <w:r>
        <w:rPr>
          <w:szCs w:val="24"/>
        </w:rPr>
        <w:tab/>
      </w:r>
      <w:r>
        <w:rPr>
          <w:szCs w:val="24"/>
        </w:rPr>
        <w:tab/>
      </w:r>
      <w:r>
        <w:rPr>
          <w:szCs w:val="24"/>
        </w:rPr>
        <w:tab/>
      </w:r>
      <w:r>
        <w:rPr>
          <w:szCs w:val="24"/>
        </w:rPr>
        <w:tab/>
      </w:r>
      <w:r w:rsidRPr="00AE4A6F">
        <w:rPr>
          <w:szCs w:val="24"/>
        </w:rPr>
        <w:t>maureen.grady@occ.ohio.gov</w:t>
      </w:r>
    </w:p>
    <w:p w:rsidR="00B72F8F" w:rsidRDefault="00B72F8F" w:rsidP="00EE7580">
      <w:pPr>
        <w:rPr>
          <w:rStyle w:val="Hyperlink"/>
          <w:szCs w:val="24"/>
        </w:rPr>
      </w:pPr>
      <w:r>
        <w:rPr>
          <w:szCs w:val="24"/>
        </w:rPr>
        <w:t>May 30, 2014</w:t>
      </w:r>
      <w:r>
        <w:rPr>
          <w:szCs w:val="24"/>
        </w:rPr>
        <w:tab/>
      </w:r>
      <w:r>
        <w:rPr>
          <w:szCs w:val="24"/>
        </w:rPr>
        <w:tab/>
      </w:r>
      <w:r>
        <w:rPr>
          <w:szCs w:val="24"/>
        </w:rPr>
        <w:tab/>
      </w:r>
      <w:r>
        <w:rPr>
          <w:szCs w:val="24"/>
        </w:rPr>
        <w:tab/>
      </w:r>
      <w:r>
        <w:rPr>
          <w:szCs w:val="24"/>
        </w:rPr>
        <w:tab/>
      </w:r>
      <w:r w:rsidR="00EE7580" w:rsidRPr="00AE4A6F">
        <w:rPr>
          <w:szCs w:val="24"/>
        </w:rPr>
        <w:t>edmund.berger@occ.ohio.gov</w:t>
      </w:r>
    </w:p>
    <w:p w:rsidR="00BD7A92" w:rsidRDefault="00BD7A92" w:rsidP="00EE7580">
      <w:pPr>
        <w:rPr>
          <w:rStyle w:val="Hyperlink"/>
          <w:szCs w:val="24"/>
        </w:rPr>
      </w:pPr>
    </w:p>
    <w:p w:rsidR="00BD7A92" w:rsidRDefault="00BD7A92" w:rsidP="00EE7580">
      <w:pPr>
        <w:rPr>
          <w:rStyle w:val="Hyperlink"/>
          <w:szCs w:val="24"/>
        </w:rPr>
        <w:sectPr w:rsidR="00BD7A9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pPr>
    </w:p>
    <w:p w:rsidR="00EE7580" w:rsidRPr="008C13A3" w:rsidRDefault="00B72F8F" w:rsidP="00B72F8F">
      <w:pPr>
        <w:jc w:val="center"/>
        <w:rPr>
          <w:b/>
          <w:szCs w:val="24"/>
        </w:rPr>
      </w:pPr>
      <w:r w:rsidRPr="008C13A3">
        <w:rPr>
          <w:b/>
          <w:szCs w:val="24"/>
        </w:rPr>
        <w:lastRenderedPageBreak/>
        <w:t>TABLE OF CONTENTS</w:t>
      </w:r>
    </w:p>
    <w:p w:rsidR="00B72F8F" w:rsidRDefault="00B72F8F" w:rsidP="00B72F8F">
      <w:pPr>
        <w:jc w:val="center"/>
        <w:rPr>
          <w:szCs w:val="24"/>
        </w:rPr>
      </w:pPr>
    </w:p>
    <w:p w:rsidR="00B72F8F" w:rsidRPr="008C13A3" w:rsidRDefault="008C13A3" w:rsidP="00B72F8F">
      <w:pPr>
        <w:jc w:val="cente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72F8F">
        <w:rPr>
          <w:szCs w:val="24"/>
        </w:rPr>
        <w:tab/>
      </w:r>
      <w:r w:rsidR="00B72F8F" w:rsidRPr="008C13A3">
        <w:rPr>
          <w:b/>
          <w:szCs w:val="24"/>
        </w:rPr>
        <w:t>PAGE</w:t>
      </w:r>
    </w:p>
    <w:p w:rsidR="008C13A3" w:rsidRDefault="008C13A3" w:rsidP="00B72F8F">
      <w:pPr>
        <w:jc w:val="center"/>
        <w:rPr>
          <w:szCs w:val="24"/>
        </w:rPr>
      </w:pPr>
    </w:p>
    <w:p w:rsidR="00EE7580" w:rsidRDefault="00EE7580" w:rsidP="00EE7580">
      <w:pPr>
        <w:rPr>
          <w:szCs w:val="24"/>
        </w:rPr>
      </w:pPr>
    </w:p>
    <w:p w:rsidR="00396859" w:rsidRDefault="008C13A3">
      <w:pPr>
        <w:pStyle w:val="TOC1"/>
        <w:rPr>
          <w:rFonts w:asciiTheme="minorHAnsi" w:eastAsiaTheme="minorEastAsia" w:hAnsiTheme="minorHAnsi" w:cstheme="minorBidi"/>
          <w:caps w:val="0"/>
          <w:noProof/>
          <w:sz w:val="22"/>
          <w:szCs w:val="22"/>
        </w:rPr>
      </w:pPr>
      <w:r>
        <w:rPr>
          <w:rFonts w:eastAsia="Courier New" w:cs="Courier New"/>
          <w:b/>
          <w:bCs/>
        </w:rPr>
        <w:fldChar w:fldCharType="begin"/>
      </w:r>
      <w:r>
        <w:rPr>
          <w:rFonts w:eastAsia="Courier New" w:cs="Courier New"/>
          <w:b/>
          <w:bCs/>
        </w:rPr>
        <w:instrText xml:space="preserve"> TOC \o "1-3" \h \z \u </w:instrText>
      </w:r>
      <w:r>
        <w:rPr>
          <w:rFonts w:eastAsia="Courier New" w:cs="Courier New"/>
          <w:b/>
          <w:bCs/>
        </w:rPr>
        <w:fldChar w:fldCharType="separate"/>
      </w:r>
      <w:hyperlink w:anchor="_Toc389135302" w:history="1">
        <w:r w:rsidR="00396859" w:rsidRPr="00B67E1F">
          <w:rPr>
            <w:rStyle w:val="Hyperlink"/>
            <w:noProof/>
          </w:rPr>
          <w:t>I.</w:t>
        </w:r>
        <w:r w:rsidR="00396859">
          <w:rPr>
            <w:rFonts w:asciiTheme="minorHAnsi" w:eastAsiaTheme="minorEastAsia" w:hAnsiTheme="minorHAnsi" w:cstheme="minorBidi"/>
            <w:caps w:val="0"/>
            <w:noProof/>
            <w:sz w:val="22"/>
            <w:szCs w:val="22"/>
          </w:rPr>
          <w:tab/>
        </w:r>
        <w:r w:rsidR="00396859" w:rsidRPr="00B67E1F">
          <w:rPr>
            <w:rStyle w:val="Hyperlink"/>
            <w:noProof/>
          </w:rPr>
          <w:t>INTRODUCTION</w:t>
        </w:r>
        <w:r w:rsidR="00396859">
          <w:rPr>
            <w:noProof/>
            <w:webHidden/>
          </w:rPr>
          <w:tab/>
        </w:r>
        <w:r w:rsidR="00396859">
          <w:rPr>
            <w:noProof/>
            <w:webHidden/>
          </w:rPr>
          <w:fldChar w:fldCharType="begin"/>
        </w:r>
        <w:r w:rsidR="00396859">
          <w:rPr>
            <w:noProof/>
            <w:webHidden/>
          </w:rPr>
          <w:instrText xml:space="preserve"> PAGEREF _Toc389135302 \h </w:instrText>
        </w:r>
        <w:r w:rsidR="00396859">
          <w:rPr>
            <w:noProof/>
            <w:webHidden/>
          </w:rPr>
        </w:r>
        <w:r w:rsidR="00396859">
          <w:rPr>
            <w:noProof/>
            <w:webHidden/>
          </w:rPr>
          <w:fldChar w:fldCharType="separate"/>
        </w:r>
        <w:r w:rsidR="00AE4A6F">
          <w:rPr>
            <w:noProof/>
            <w:webHidden/>
          </w:rPr>
          <w:t>1</w:t>
        </w:r>
        <w:r w:rsidR="00396859">
          <w:rPr>
            <w:noProof/>
            <w:webHidden/>
          </w:rPr>
          <w:fldChar w:fldCharType="end"/>
        </w:r>
      </w:hyperlink>
    </w:p>
    <w:p w:rsidR="00396859" w:rsidRDefault="0035662E">
      <w:pPr>
        <w:pStyle w:val="TOC1"/>
        <w:rPr>
          <w:rFonts w:asciiTheme="minorHAnsi" w:eastAsiaTheme="minorEastAsia" w:hAnsiTheme="minorHAnsi" w:cstheme="minorBidi"/>
          <w:caps w:val="0"/>
          <w:noProof/>
          <w:sz w:val="22"/>
          <w:szCs w:val="22"/>
        </w:rPr>
      </w:pPr>
      <w:hyperlink w:anchor="_Toc389135303" w:history="1">
        <w:r w:rsidR="00396859" w:rsidRPr="00B67E1F">
          <w:rPr>
            <w:rStyle w:val="Hyperlink"/>
            <w:noProof/>
          </w:rPr>
          <w:t>II.</w:t>
        </w:r>
        <w:r w:rsidR="00396859">
          <w:rPr>
            <w:rFonts w:asciiTheme="minorHAnsi" w:eastAsiaTheme="minorEastAsia" w:hAnsiTheme="minorHAnsi" w:cstheme="minorBidi"/>
            <w:caps w:val="0"/>
            <w:noProof/>
            <w:sz w:val="22"/>
            <w:szCs w:val="22"/>
          </w:rPr>
          <w:tab/>
        </w:r>
        <w:r w:rsidR="00396859" w:rsidRPr="00B67E1F">
          <w:rPr>
            <w:rStyle w:val="Hyperlink"/>
            <w:noProof/>
          </w:rPr>
          <w:t>ARGUMENT</w:t>
        </w:r>
        <w:r w:rsidR="00396859">
          <w:rPr>
            <w:noProof/>
            <w:webHidden/>
          </w:rPr>
          <w:tab/>
        </w:r>
        <w:r w:rsidR="00396859">
          <w:rPr>
            <w:noProof/>
            <w:webHidden/>
          </w:rPr>
          <w:fldChar w:fldCharType="begin"/>
        </w:r>
        <w:r w:rsidR="00396859">
          <w:rPr>
            <w:noProof/>
            <w:webHidden/>
          </w:rPr>
          <w:instrText xml:space="preserve"> PAGEREF _Toc389135303 \h </w:instrText>
        </w:r>
        <w:r w:rsidR="00396859">
          <w:rPr>
            <w:noProof/>
            <w:webHidden/>
          </w:rPr>
        </w:r>
        <w:r w:rsidR="00396859">
          <w:rPr>
            <w:noProof/>
            <w:webHidden/>
          </w:rPr>
          <w:fldChar w:fldCharType="separate"/>
        </w:r>
        <w:r w:rsidR="00AE4A6F">
          <w:rPr>
            <w:noProof/>
            <w:webHidden/>
          </w:rPr>
          <w:t>3</w:t>
        </w:r>
        <w:r w:rsidR="00396859">
          <w:rPr>
            <w:noProof/>
            <w:webHidden/>
          </w:rPr>
          <w:fldChar w:fldCharType="end"/>
        </w:r>
      </w:hyperlink>
    </w:p>
    <w:p w:rsidR="00396859" w:rsidRDefault="0035662E">
      <w:pPr>
        <w:pStyle w:val="TOC2"/>
        <w:tabs>
          <w:tab w:val="left" w:pos="1440"/>
        </w:tabs>
        <w:rPr>
          <w:rFonts w:asciiTheme="minorHAnsi" w:eastAsiaTheme="minorEastAsia" w:hAnsiTheme="minorHAnsi" w:cstheme="minorBidi"/>
          <w:noProof/>
          <w:sz w:val="22"/>
          <w:szCs w:val="22"/>
        </w:rPr>
      </w:pPr>
      <w:hyperlink w:anchor="_Toc389135304" w:history="1">
        <w:r w:rsidR="00396859" w:rsidRPr="00B67E1F">
          <w:rPr>
            <w:rStyle w:val="Hyperlink"/>
            <w:noProof/>
          </w:rPr>
          <w:t>A.</w:t>
        </w:r>
        <w:r w:rsidR="00396859">
          <w:rPr>
            <w:rFonts w:asciiTheme="minorHAnsi" w:eastAsiaTheme="minorEastAsia" w:hAnsiTheme="minorHAnsi" w:cstheme="minorBidi"/>
            <w:noProof/>
            <w:sz w:val="22"/>
            <w:szCs w:val="22"/>
          </w:rPr>
          <w:tab/>
        </w:r>
        <w:r w:rsidR="00396859" w:rsidRPr="00B67E1F">
          <w:rPr>
            <w:rStyle w:val="Hyperlink"/>
            <w:noProof/>
          </w:rPr>
          <w:t>AEP Does Not Meet The PUCO’s Three-Part Test For Considering Settlements And Should Therefore Not Be Permitted To Charge Customers For An Additional Five Million Dollars.</w:t>
        </w:r>
        <w:r w:rsidR="00396859">
          <w:rPr>
            <w:noProof/>
            <w:webHidden/>
          </w:rPr>
          <w:tab/>
        </w:r>
        <w:r w:rsidR="00396859">
          <w:rPr>
            <w:noProof/>
            <w:webHidden/>
          </w:rPr>
          <w:fldChar w:fldCharType="begin"/>
        </w:r>
        <w:r w:rsidR="00396859">
          <w:rPr>
            <w:noProof/>
            <w:webHidden/>
          </w:rPr>
          <w:instrText xml:space="preserve"> PAGEREF _Toc389135304 \h </w:instrText>
        </w:r>
        <w:r w:rsidR="00396859">
          <w:rPr>
            <w:noProof/>
            <w:webHidden/>
          </w:rPr>
        </w:r>
        <w:r w:rsidR="00396859">
          <w:rPr>
            <w:noProof/>
            <w:webHidden/>
          </w:rPr>
          <w:fldChar w:fldCharType="separate"/>
        </w:r>
        <w:r w:rsidR="00AE4A6F">
          <w:rPr>
            <w:noProof/>
            <w:webHidden/>
          </w:rPr>
          <w:t>3</w:t>
        </w:r>
        <w:r w:rsidR="00396859">
          <w:rPr>
            <w:noProof/>
            <w:webHidden/>
          </w:rPr>
          <w:fldChar w:fldCharType="end"/>
        </w:r>
      </w:hyperlink>
    </w:p>
    <w:p w:rsidR="00396859" w:rsidRDefault="0035662E">
      <w:pPr>
        <w:pStyle w:val="TOC3"/>
        <w:tabs>
          <w:tab w:val="left" w:pos="2160"/>
        </w:tabs>
        <w:rPr>
          <w:rFonts w:asciiTheme="minorHAnsi" w:eastAsiaTheme="minorEastAsia" w:hAnsiTheme="minorHAnsi" w:cstheme="minorBidi"/>
          <w:noProof/>
          <w:sz w:val="22"/>
          <w:szCs w:val="22"/>
        </w:rPr>
      </w:pPr>
      <w:hyperlink w:anchor="_Toc389135305" w:history="1">
        <w:r w:rsidR="00396859" w:rsidRPr="00B67E1F">
          <w:rPr>
            <w:rStyle w:val="Hyperlink"/>
            <w:noProof/>
          </w:rPr>
          <w:t>1.</w:t>
        </w:r>
        <w:r w:rsidR="00396859">
          <w:rPr>
            <w:rFonts w:asciiTheme="minorHAnsi" w:eastAsiaTheme="minorEastAsia" w:hAnsiTheme="minorHAnsi" w:cstheme="minorBidi"/>
            <w:noProof/>
            <w:sz w:val="22"/>
            <w:szCs w:val="22"/>
          </w:rPr>
          <w:tab/>
        </w:r>
        <w:r w:rsidR="00396859" w:rsidRPr="00B67E1F">
          <w:rPr>
            <w:rStyle w:val="Hyperlink"/>
            <w:noProof/>
          </w:rPr>
          <w:t>The settlement was not a product of serious bargaining among capable, knowledgeable parties with diverse interests.</w:t>
        </w:r>
        <w:r w:rsidR="00396859">
          <w:rPr>
            <w:noProof/>
            <w:webHidden/>
          </w:rPr>
          <w:tab/>
        </w:r>
        <w:r w:rsidR="00396859">
          <w:rPr>
            <w:noProof/>
            <w:webHidden/>
          </w:rPr>
          <w:fldChar w:fldCharType="begin"/>
        </w:r>
        <w:r w:rsidR="00396859">
          <w:rPr>
            <w:noProof/>
            <w:webHidden/>
          </w:rPr>
          <w:instrText xml:space="preserve"> PAGEREF _Toc389135305 \h </w:instrText>
        </w:r>
        <w:r w:rsidR="00396859">
          <w:rPr>
            <w:noProof/>
            <w:webHidden/>
          </w:rPr>
        </w:r>
        <w:r w:rsidR="00396859">
          <w:rPr>
            <w:noProof/>
            <w:webHidden/>
          </w:rPr>
          <w:fldChar w:fldCharType="separate"/>
        </w:r>
        <w:r w:rsidR="00AE4A6F">
          <w:rPr>
            <w:noProof/>
            <w:webHidden/>
          </w:rPr>
          <w:t>4</w:t>
        </w:r>
        <w:r w:rsidR="00396859">
          <w:rPr>
            <w:noProof/>
            <w:webHidden/>
          </w:rPr>
          <w:fldChar w:fldCharType="end"/>
        </w:r>
      </w:hyperlink>
    </w:p>
    <w:p w:rsidR="00396859" w:rsidRDefault="0035662E">
      <w:pPr>
        <w:pStyle w:val="TOC3"/>
        <w:tabs>
          <w:tab w:val="left" w:pos="2160"/>
        </w:tabs>
        <w:rPr>
          <w:rFonts w:asciiTheme="minorHAnsi" w:eastAsiaTheme="minorEastAsia" w:hAnsiTheme="minorHAnsi" w:cstheme="minorBidi"/>
          <w:noProof/>
          <w:sz w:val="22"/>
          <w:szCs w:val="22"/>
        </w:rPr>
      </w:pPr>
      <w:hyperlink w:anchor="_Toc389135306" w:history="1">
        <w:r w:rsidR="00396859" w:rsidRPr="00B67E1F">
          <w:rPr>
            <w:rStyle w:val="Hyperlink"/>
            <w:noProof/>
          </w:rPr>
          <w:t>2.</w:t>
        </w:r>
        <w:r w:rsidR="00396859">
          <w:rPr>
            <w:rFonts w:asciiTheme="minorHAnsi" w:eastAsiaTheme="minorEastAsia" w:hAnsiTheme="minorHAnsi" w:cstheme="minorBidi"/>
            <w:noProof/>
            <w:sz w:val="22"/>
            <w:szCs w:val="22"/>
          </w:rPr>
          <w:tab/>
        </w:r>
        <w:r w:rsidR="00396859" w:rsidRPr="00B67E1F">
          <w:rPr>
            <w:rStyle w:val="Hyperlink"/>
            <w:noProof/>
          </w:rPr>
          <w:t>The Stipulation as a package does not benefit the public and the public interest.</w:t>
        </w:r>
        <w:r w:rsidR="00396859">
          <w:rPr>
            <w:noProof/>
            <w:webHidden/>
          </w:rPr>
          <w:tab/>
        </w:r>
        <w:r w:rsidR="00396859">
          <w:rPr>
            <w:noProof/>
            <w:webHidden/>
          </w:rPr>
          <w:fldChar w:fldCharType="begin"/>
        </w:r>
        <w:r w:rsidR="00396859">
          <w:rPr>
            <w:noProof/>
            <w:webHidden/>
          </w:rPr>
          <w:instrText xml:space="preserve"> PAGEREF _Toc389135306 \h </w:instrText>
        </w:r>
        <w:r w:rsidR="00396859">
          <w:rPr>
            <w:noProof/>
            <w:webHidden/>
          </w:rPr>
        </w:r>
        <w:r w:rsidR="00396859">
          <w:rPr>
            <w:noProof/>
            <w:webHidden/>
          </w:rPr>
          <w:fldChar w:fldCharType="separate"/>
        </w:r>
        <w:r w:rsidR="00AE4A6F">
          <w:rPr>
            <w:noProof/>
            <w:webHidden/>
          </w:rPr>
          <w:t>7</w:t>
        </w:r>
        <w:r w:rsidR="00396859">
          <w:rPr>
            <w:noProof/>
            <w:webHidden/>
          </w:rPr>
          <w:fldChar w:fldCharType="end"/>
        </w:r>
      </w:hyperlink>
    </w:p>
    <w:p w:rsidR="00396859" w:rsidRDefault="0035662E">
      <w:pPr>
        <w:pStyle w:val="TOC3"/>
        <w:tabs>
          <w:tab w:val="left" w:pos="2160"/>
        </w:tabs>
        <w:rPr>
          <w:rFonts w:asciiTheme="minorHAnsi" w:eastAsiaTheme="minorEastAsia" w:hAnsiTheme="minorHAnsi" w:cstheme="minorBidi"/>
          <w:noProof/>
          <w:sz w:val="22"/>
          <w:szCs w:val="22"/>
        </w:rPr>
      </w:pPr>
      <w:hyperlink w:anchor="_Toc389135307" w:history="1">
        <w:r w:rsidR="00396859" w:rsidRPr="00B67E1F">
          <w:rPr>
            <w:rStyle w:val="Hyperlink"/>
            <w:noProof/>
          </w:rPr>
          <w:t>3.</w:t>
        </w:r>
        <w:r w:rsidR="00396859">
          <w:rPr>
            <w:rFonts w:asciiTheme="minorHAnsi" w:eastAsiaTheme="minorEastAsia" w:hAnsiTheme="minorHAnsi" w:cstheme="minorBidi"/>
            <w:noProof/>
            <w:sz w:val="22"/>
            <w:szCs w:val="22"/>
          </w:rPr>
          <w:tab/>
        </w:r>
        <w:r w:rsidR="00396859" w:rsidRPr="00B67E1F">
          <w:rPr>
            <w:rStyle w:val="Hyperlink"/>
            <w:noProof/>
          </w:rPr>
          <w:t>The Stipulation violates important regulatory principles and practices.</w:t>
        </w:r>
        <w:r w:rsidR="00396859">
          <w:rPr>
            <w:noProof/>
            <w:webHidden/>
          </w:rPr>
          <w:tab/>
        </w:r>
        <w:r w:rsidR="00396859">
          <w:rPr>
            <w:noProof/>
            <w:webHidden/>
          </w:rPr>
          <w:fldChar w:fldCharType="begin"/>
        </w:r>
        <w:r w:rsidR="00396859">
          <w:rPr>
            <w:noProof/>
            <w:webHidden/>
          </w:rPr>
          <w:instrText xml:space="preserve"> PAGEREF _Toc389135307 \h </w:instrText>
        </w:r>
        <w:r w:rsidR="00396859">
          <w:rPr>
            <w:noProof/>
            <w:webHidden/>
          </w:rPr>
        </w:r>
        <w:r w:rsidR="00396859">
          <w:rPr>
            <w:noProof/>
            <w:webHidden/>
          </w:rPr>
          <w:fldChar w:fldCharType="separate"/>
        </w:r>
        <w:r w:rsidR="00AE4A6F">
          <w:rPr>
            <w:noProof/>
            <w:webHidden/>
          </w:rPr>
          <w:t>9</w:t>
        </w:r>
        <w:r w:rsidR="00396859">
          <w:rPr>
            <w:noProof/>
            <w:webHidden/>
          </w:rPr>
          <w:fldChar w:fldCharType="end"/>
        </w:r>
      </w:hyperlink>
    </w:p>
    <w:p w:rsidR="00396859" w:rsidRDefault="0035662E">
      <w:pPr>
        <w:pStyle w:val="TOC2"/>
        <w:tabs>
          <w:tab w:val="left" w:pos="1440"/>
        </w:tabs>
        <w:rPr>
          <w:rFonts w:asciiTheme="minorHAnsi" w:eastAsiaTheme="minorEastAsia" w:hAnsiTheme="minorHAnsi" w:cstheme="minorBidi"/>
          <w:noProof/>
          <w:sz w:val="22"/>
          <w:szCs w:val="22"/>
        </w:rPr>
      </w:pPr>
      <w:hyperlink w:anchor="_Toc389135308" w:history="1">
        <w:r w:rsidR="00396859" w:rsidRPr="00B67E1F">
          <w:rPr>
            <w:rStyle w:val="Hyperlink"/>
            <w:noProof/>
          </w:rPr>
          <w:t>B.</w:t>
        </w:r>
        <w:r w:rsidR="00396859">
          <w:rPr>
            <w:rFonts w:asciiTheme="minorHAnsi" w:eastAsiaTheme="minorEastAsia" w:hAnsiTheme="minorHAnsi" w:cstheme="minorBidi"/>
            <w:noProof/>
            <w:sz w:val="22"/>
            <w:szCs w:val="22"/>
          </w:rPr>
          <w:tab/>
        </w:r>
        <w:r w:rsidR="00396859" w:rsidRPr="00B67E1F">
          <w:rPr>
            <w:rStyle w:val="Hyperlink"/>
            <w:noProof/>
          </w:rPr>
          <w:t xml:space="preserve">The Stipulation Amounts To A Belated Application For Rehearing </w:t>
        </w:r>
        <w:r w:rsidR="00396859">
          <w:rPr>
            <w:rStyle w:val="Hyperlink"/>
            <w:noProof/>
          </w:rPr>
          <w:br/>
        </w:r>
        <w:r w:rsidR="00396859" w:rsidRPr="00B67E1F">
          <w:rPr>
            <w:rStyle w:val="Hyperlink"/>
            <w:noProof/>
          </w:rPr>
          <w:t>That Contravenes R.C. 4903.10.  It Must Be Rejected.</w:t>
        </w:r>
        <w:r w:rsidR="00396859">
          <w:rPr>
            <w:noProof/>
            <w:webHidden/>
          </w:rPr>
          <w:tab/>
        </w:r>
        <w:r w:rsidR="00396859">
          <w:rPr>
            <w:noProof/>
            <w:webHidden/>
          </w:rPr>
          <w:fldChar w:fldCharType="begin"/>
        </w:r>
        <w:r w:rsidR="00396859">
          <w:rPr>
            <w:noProof/>
            <w:webHidden/>
          </w:rPr>
          <w:instrText xml:space="preserve"> PAGEREF _Toc389135308 \h </w:instrText>
        </w:r>
        <w:r w:rsidR="00396859">
          <w:rPr>
            <w:noProof/>
            <w:webHidden/>
          </w:rPr>
        </w:r>
        <w:r w:rsidR="00396859">
          <w:rPr>
            <w:noProof/>
            <w:webHidden/>
          </w:rPr>
          <w:fldChar w:fldCharType="separate"/>
        </w:r>
        <w:r w:rsidR="00AE4A6F">
          <w:rPr>
            <w:noProof/>
            <w:webHidden/>
          </w:rPr>
          <w:t>12</w:t>
        </w:r>
        <w:r w:rsidR="00396859">
          <w:rPr>
            <w:noProof/>
            <w:webHidden/>
          </w:rPr>
          <w:fldChar w:fldCharType="end"/>
        </w:r>
      </w:hyperlink>
    </w:p>
    <w:p w:rsidR="00396859" w:rsidRDefault="0035662E">
      <w:pPr>
        <w:pStyle w:val="TOC2"/>
        <w:tabs>
          <w:tab w:val="left" w:pos="1440"/>
        </w:tabs>
        <w:rPr>
          <w:rFonts w:asciiTheme="minorHAnsi" w:eastAsiaTheme="minorEastAsia" w:hAnsiTheme="minorHAnsi" w:cstheme="minorBidi"/>
          <w:noProof/>
          <w:sz w:val="22"/>
          <w:szCs w:val="22"/>
        </w:rPr>
      </w:pPr>
      <w:hyperlink w:anchor="_Toc389135309" w:history="1">
        <w:r w:rsidR="00396859" w:rsidRPr="00B67E1F">
          <w:rPr>
            <w:rStyle w:val="Hyperlink"/>
            <w:noProof/>
          </w:rPr>
          <w:t>C.</w:t>
        </w:r>
        <w:r w:rsidR="00396859">
          <w:rPr>
            <w:rFonts w:asciiTheme="minorHAnsi" w:eastAsiaTheme="minorEastAsia" w:hAnsiTheme="minorHAnsi" w:cstheme="minorBidi"/>
            <w:noProof/>
            <w:sz w:val="22"/>
            <w:szCs w:val="22"/>
          </w:rPr>
          <w:tab/>
        </w:r>
        <w:r w:rsidR="00396859" w:rsidRPr="00B67E1F">
          <w:rPr>
            <w:rStyle w:val="Hyperlink"/>
            <w:noProof/>
          </w:rPr>
          <w:t xml:space="preserve">If the PUCO Adopts AEP’s Settlement, Our Secondary </w:t>
        </w:r>
        <w:r w:rsidR="00396859">
          <w:rPr>
            <w:rStyle w:val="Hyperlink"/>
            <w:noProof/>
          </w:rPr>
          <w:br/>
        </w:r>
        <w:r w:rsidR="00396859" w:rsidRPr="00B67E1F">
          <w:rPr>
            <w:rStyle w:val="Hyperlink"/>
            <w:noProof/>
          </w:rPr>
          <w:t>Recommendation Is For The PUCO To Modify The Settlement By Prohibiting AEP Ohio From Charging Customers For $4.98 Million In Unpaid Bills.</w:t>
        </w:r>
        <w:r w:rsidR="00396859">
          <w:rPr>
            <w:noProof/>
            <w:webHidden/>
          </w:rPr>
          <w:tab/>
        </w:r>
        <w:r w:rsidR="00396859">
          <w:rPr>
            <w:noProof/>
            <w:webHidden/>
          </w:rPr>
          <w:fldChar w:fldCharType="begin"/>
        </w:r>
        <w:r w:rsidR="00396859">
          <w:rPr>
            <w:noProof/>
            <w:webHidden/>
          </w:rPr>
          <w:instrText xml:space="preserve"> PAGEREF _Toc389135309 \h </w:instrText>
        </w:r>
        <w:r w:rsidR="00396859">
          <w:rPr>
            <w:noProof/>
            <w:webHidden/>
          </w:rPr>
        </w:r>
        <w:r w:rsidR="00396859">
          <w:rPr>
            <w:noProof/>
            <w:webHidden/>
          </w:rPr>
          <w:fldChar w:fldCharType="separate"/>
        </w:r>
        <w:r w:rsidR="00AE4A6F">
          <w:rPr>
            <w:noProof/>
            <w:webHidden/>
          </w:rPr>
          <w:t>14</w:t>
        </w:r>
        <w:r w:rsidR="00396859">
          <w:rPr>
            <w:noProof/>
            <w:webHidden/>
          </w:rPr>
          <w:fldChar w:fldCharType="end"/>
        </w:r>
      </w:hyperlink>
    </w:p>
    <w:p w:rsidR="00396859" w:rsidRDefault="0035662E">
      <w:pPr>
        <w:pStyle w:val="TOC2"/>
        <w:tabs>
          <w:tab w:val="left" w:pos="1440"/>
        </w:tabs>
        <w:rPr>
          <w:rFonts w:asciiTheme="minorHAnsi" w:eastAsiaTheme="minorEastAsia" w:hAnsiTheme="minorHAnsi" w:cstheme="minorBidi"/>
          <w:noProof/>
          <w:sz w:val="22"/>
          <w:szCs w:val="22"/>
        </w:rPr>
      </w:pPr>
      <w:hyperlink w:anchor="_Toc389135310" w:history="1">
        <w:r w:rsidR="00396859" w:rsidRPr="00B67E1F">
          <w:rPr>
            <w:rStyle w:val="Hyperlink"/>
            <w:noProof/>
          </w:rPr>
          <w:t>D.</w:t>
        </w:r>
        <w:r w:rsidR="00396859">
          <w:rPr>
            <w:rFonts w:asciiTheme="minorHAnsi" w:eastAsiaTheme="minorEastAsia" w:hAnsiTheme="minorHAnsi" w:cstheme="minorBidi"/>
            <w:noProof/>
            <w:sz w:val="22"/>
            <w:szCs w:val="22"/>
          </w:rPr>
          <w:tab/>
        </w:r>
        <w:r w:rsidR="00396859" w:rsidRPr="00B67E1F">
          <w:rPr>
            <w:rStyle w:val="Hyperlink"/>
            <w:noProof/>
          </w:rPr>
          <w:t xml:space="preserve">If the PUCO Adopts AEP’s Settlement, Our Secondary </w:t>
        </w:r>
        <w:r w:rsidR="00396859">
          <w:rPr>
            <w:rStyle w:val="Hyperlink"/>
            <w:noProof/>
          </w:rPr>
          <w:br/>
        </w:r>
        <w:r w:rsidR="00396859" w:rsidRPr="00B67E1F">
          <w:rPr>
            <w:rStyle w:val="Hyperlink"/>
            <w:noProof/>
          </w:rPr>
          <w:t xml:space="preserve">Recommendation Is That The Settlement Should Be Modified To Give Customers The First $5 Million In Proceeds Coming Out Of </w:t>
        </w:r>
        <w:r w:rsidR="00396859">
          <w:rPr>
            <w:rStyle w:val="Hyperlink"/>
            <w:noProof/>
          </w:rPr>
          <w:br/>
        </w:r>
        <w:r w:rsidR="00396859" w:rsidRPr="00B67E1F">
          <w:rPr>
            <w:rStyle w:val="Hyperlink"/>
            <w:noProof/>
          </w:rPr>
          <w:t>Bankruptcy.</w:t>
        </w:r>
        <w:r w:rsidR="00396859">
          <w:rPr>
            <w:noProof/>
            <w:webHidden/>
          </w:rPr>
          <w:tab/>
        </w:r>
        <w:r w:rsidR="00396859">
          <w:rPr>
            <w:noProof/>
            <w:webHidden/>
          </w:rPr>
          <w:fldChar w:fldCharType="begin"/>
        </w:r>
        <w:r w:rsidR="00396859">
          <w:rPr>
            <w:noProof/>
            <w:webHidden/>
          </w:rPr>
          <w:instrText xml:space="preserve"> PAGEREF _Toc389135310 \h </w:instrText>
        </w:r>
        <w:r w:rsidR="00396859">
          <w:rPr>
            <w:noProof/>
            <w:webHidden/>
          </w:rPr>
        </w:r>
        <w:r w:rsidR="00396859">
          <w:rPr>
            <w:noProof/>
            <w:webHidden/>
          </w:rPr>
          <w:fldChar w:fldCharType="separate"/>
        </w:r>
        <w:r w:rsidR="00AE4A6F">
          <w:rPr>
            <w:noProof/>
            <w:webHidden/>
          </w:rPr>
          <w:t>18</w:t>
        </w:r>
        <w:r w:rsidR="00396859">
          <w:rPr>
            <w:noProof/>
            <w:webHidden/>
          </w:rPr>
          <w:fldChar w:fldCharType="end"/>
        </w:r>
      </w:hyperlink>
    </w:p>
    <w:p w:rsidR="00396859" w:rsidRDefault="0035662E">
      <w:pPr>
        <w:pStyle w:val="TOC1"/>
        <w:rPr>
          <w:rFonts w:asciiTheme="minorHAnsi" w:eastAsiaTheme="minorEastAsia" w:hAnsiTheme="minorHAnsi" w:cstheme="minorBidi"/>
          <w:caps w:val="0"/>
          <w:noProof/>
          <w:sz w:val="22"/>
          <w:szCs w:val="22"/>
        </w:rPr>
      </w:pPr>
      <w:hyperlink w:anchor="_Toc389135311" w:history="1">
        <w:r w:rsidR="00396859" w:rsidRPr="00B67E1F">
          <w:rPr>
            <w:rStyle w:val="Hyperlink"/>
            <w:noProof/>
          </w:rPr>
          <w:t>III.</w:t>
        </w:r>
        <w:r w:rsidR="00396859">
          <w:rPr>
            <w:rFonts w:asciiTheme="minorHAnsi" w:eastAsiaTheme="minorEastAsia" w:hAnsiTheme="minorHAnsi" w:cstheme="minorBidi"/>
            <w:caps w:val="0"/>
            <w:noProof/>
            <w:sz w:val="22"/>
            <w:szCs w:val="22"/>
          </w:rPr>
          <w:tab/>
        </w:r>
        <w:r w:rsidR="00396859" w:rsidRPr="00B67E1F">
          <w:rPr>
            <w:rStyle w:val="Hyperlink"/>
            <w:noProof/>
          </w:rPr>
          <w:t>CONCLUSION</w:t>
        </w:r>
        <w:r w:rsidR="00396859">
          <w:rPr>
            <w:noProof/>
            <w:webHidden/>
          </w:rPr>
          <w:tab/>
        </w:r>
        <w:r w:rsidR="00396859">
          <w:rPr>
            <w:noProof/>
            <w:webHidden/>
          </w:rPr>
          <w:fldChar w:fldCharType="begin"/>
        </w:r>
        <w:r w:rsidR="00396859">
          <w:rPr>
            <w:noProof/>
            <w:webHidden/>
          </w:rPr>
          <w:instrText xml:space="preserve"> PAGEREF _Toc389135311 \h </w:instrText>
        </w:r>
        <w:r w:rsidR="00396859">
          <w:rPr>
            <w:noProof/>
            <w:webHidden/>
          </w:rPr>
        </w:r>
        <w:r w:rsidR="00396859">
          <w:rPr>
            <w:noProof/>
            <w:webHidden/>
          </w:rPr>
          <w:fldChar w:fldCharType="separate"/>
        </w:r>
        <w:r w:rsidR="00AE4A6F">
          <w:rPr>
            <w:noProof/>
            <w:webHidden/>
          </w:rPr>
          <w:t>19</w:t>
        </w:r>
        <w:r w:rsidR="00396859">
          <w:rPr>
            <w:noProof/>
            <w:webHidden/>
          </w:rPr>
          <w:fldChar w:fldCharType="end"/>
        </w:r>
      </w:hyperlink>
    </w:p>
    <w:p w:rsidR="00EE7580" w:rsidRDefault="008C13A3" w:rsidP="00EE7580">
      <w:pPr>
        <w:rPr>
          <w:rFonts w:eastAsia="Courier New" w:cs="Courier New"/>
          <w:b/>
          <w:bCs/>
        </w:rPr>
        <w:sectPr w:rsidR="00EE7580" w:rsidSect="008C13A3">
          <w:headerReference w:type="even" r:id="rId14"/>
          <w:headerReference w:type="default" r:id="rId15"/>
          <w:footerReference w:type="default" r:id="rId16"/>
          <w:headerReference w:type="first" r:id="rId17"/>
          <w:pgSz w:w="12240" w:h="15840"/>
          <w:pgMar w:top="1440" w:right="1800" w:bottom="1440" w:left="1800" w:header="720" w:footer="720" w:gutter="0"/>
          <w:pgNumType w:fmt="lowerRoman" w:start="1"/>
          <w:cols w:space="720"/>
        </w:sectPr>
      </w:pPr>
      <w:r>
        <w:rPr>
          <w:rFonts w:eastAsia="Courier New" w:cs="Courier New"/>
          <w:b/>
          <w:bCs/>
        </w:rPr>
        <w:fldChar w:fldCharType="end"/>
      </w:r>
    </w:p>
    <w:p w:rsidR="00EE7580" w:rsidRDefault="00EE7580" w:rsidP="00EE7580">
      <w:pPr>
        <w:pStyle w:val="HTMLPreformatted"/>
        <w:jc w:val="center"/>
        <w:rPr>
          <w:rFonts w:ascii="Times New Roman" w:hAnsi="Times New Roman"/>
          <w:b/>
          <w:bCs/>
          <w:sz w:val="24"/>
        </w:rPr>
      </w:pPr>
      <w:r>
        <w:rPr>
          <w:rFonts w:ascii="Times New Roman" w:hAnsi="Times New Roman"/>
          <w:b/>
          <w:bCs/>
          <w:sz w:val="24"/>
        </w:rPr>
        <w:t>BEFORE</w:t>
      </w:r>
    </w:p>
    <w:p w:rsidR="00EE7580" w:rsidRDefault="00EE7580" w:rsidP="00EE7580">
      <w:pPr>
        <w:pStyle w:val="HTMLPreformatted"/>
        <w:jc w:val="center"/>
        <w:rPr>
          <w:rFonts w:ascii="Times New Roman" w:hAnsi="Times New Roman"/>
          <w:sz w:val="24"/>
        </w:rPr>
      </w:pPr>
      <w:r>
        <w:rPr>
          <w:rFonts w:ascii="Times New Roman" w:hAnsi="Times New Roman"/>
          <w:b/>
          <w:bCs/>
          <w:sz w:val="24"/>
        </w:rPr>
        <w:t>THE PUBLIC UTILITIES COMMISSION OF OHIO</w:t>
      </w: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9092" w:type="dxa"/>
        <w:tblLook w:val="01E0" w:firstRow="1" w:lastRow="1" w:firstColumn="1" w:lastColumn="1" w:noHBand="0" w:noVBand="0"/>
      </w:tblPr>
      <w:tblGrid>
        <w:gridCol w:w="4332"/>
        <w:gridCol w:w="360"/>
        <w:gridCol w:w="4400"/>
      </w:tblGrid>
      <w:tr w:rsidR="00B72F8F" w:rsidRPr="00B72F8F" w:rsidTr="00272094">
        <w:trPr>
          <w:trHeight w:val="807"/>
        </w:trPr>
        <w:tc>
          <w:tcPr>
            <w:tcW w:w="4332" w:type="dxa"/>
            <w:shd w:val="clear" w:color="auto" w:fill="auto"/>
          </w:tcPr>
          <w:p w:rsidR="00B72F8F" w:rsidRPr="00B72F8F" w:rsidRDefault="00B72F8F" w:rsidP="00B72F8F">
            <w:pPr>
              <w:autoSpaceDE w:val="0"/>
              <w:autoSpaceDN w:val="0"/>
              <w:adjustRightInd w:val="0"/>
              <w:rPr>
                <w:szCs w:val="24"/>
              </w:rPr>
            </w:pPr>
            <w:r w:rsidRPr="00B72F8F">
              <w:rPr>
                <w:szCs w:val="24"/>
              </w:rPr>
              <w:t>Ormet Primary Aluminum Corp.,</w:t>
            </w:r>
          </w:p>
          <w:p w:rsidR="00B72F8F" w:rsidRPr="00B72F8F" w:rsidRDefault="00B72F8F" w:rsidP="00B72F8F">
            <w:pPr>
              <w:autoSpaceDE w:val="0"/>
              <w:autoSpaceDN w:val="0"/>
              <w:adjustRightInd w:val="0"/>
              <w:rPr>
                <w:szCs w:val="24"/>
              </w:rPr>
            </w:pPr>
          </w:p>
          <w:p w:rsidR="00B72F8F" w:rsidRPr="00B72F8F" w:rsidRDefault="00B72F8F" w:rsidP="00B72F8F">
            <w:pPr>
              <w:autoSpaceDE w:val="0"/>
              <w:autoSpaceDN w:val="0"/>
              <w:adjustRightInd w:val="0"/>
              <w:rPr>
                <w:szCs w:val="24"/>
              </w:rPr>
            </w:pPr>
            <w:r w:rsidRPr="00B72F8F">
              <w:rPr>
                <w:szCs w:val="24"/>
              </w:rPr>
              <w:t xml:space="preserve">                          Complainant, </w:t>
            </w:r>
          </w:p>
          <w:p w:rsidR="00B72F8F" w:rsidRPr="00B72F8F" w:rsidRDefault="00B72F8F" w:rsidP="00B72F8F">
            <w:pPr>
              <w:autoSpaceDE w:val="0"/>
              <w:autoSpaceDN w:val="0"/>
              <w:adjustRightInd w:val="0"/>
              <w:rPr>
                <w:szCs w:val="24"/>
              </w:rPr>
            </w:pPr>
            <w:r w:rsidRPr="00B72F8F">
              <w:rPr>
                <w:szCs w:val="24"/>
              </w:rPr>
              <w:t xml:space="preserve">   v.</w:t>
            </w:r>
          </w:p>
          <w:p w:rsidR="00B72F8F" w:rsidRPr="00B72F8F" w:rsidRDefault="00B72F8F" w:rsidP="00B72F8F">
            <w:pPr>
              <w:autoSpaceDE w:val="0"/>
              <w:autoSpaceDN w:val="0"/>
              <w:adjustRightInd w:val="0"/>
              <w:rPr>
                <w:szCs w:val="24"/>
              </w:rPr>
            </w:pPr>
          </w:p>
          <w:p w:rsidR="00B72F8F" w:rsidRPr="00B72F8F" w:rsidRDefault="00B72F8F" w:rsidP="00B72F8F">
            <w:pPr>
              <w:autoSpaceDE w:val="0"/>
              <w:autoSpaceDN w:val="0"/>
              <w:adjustRightInd w:val="0"/>
              <w:rPr>
                <w:szCs w:val="24"/>
              </w:rPr>
            </w:pPr>
          </w:p>
          <w:p w:rsidR="00B72F8F" w:rsidRPr="00B72F8F" w:rsidRDefault="00B72F8F" w:rsidP="00B72F8F">
            <w:pPr>
              <w:autoSpaceDE w:val="0"/>
              <w:autoSpaceDN w:val="0"/>
              <w:adjustRightInd w:val="0"/>
              <w:rPr>
                <w:szCs w:val="24"/>
              </w:rPr>
            </w:pPr>
            <w:r w:rsidRPr="00B72F8F">
              <w:rPr>
                <w:szCs w:val="24"/>
              </w:rPr>
              <w:t>Ohio Power Company,</w:t>
            </w:r>
          </w:p>
          <w:p w:rsidR="00B72F8F" w:rsidRPr="00B72F8F" w:rsidRDefault="00B72F8F" w:rsidP="00B72F8F">
            <w:pPr>
              <w:autoSpaceDE w:val="0"/>
              <w:autoSpaceDN w:val="0"/>
              <w:adjustRightInd w:val="0"/>
              <w:rPr>
                <w:szCs w:val="24"/>
              </w:rPr>
            </w:pPr>
          </w:p>
          <w:p w:rsidR="00B72F8F" w:rsidRPr="00B72F8F" w:rsidRDefault="00B72F8F" w:rsidP="00B72F8F">
            <w:pPr>
              <w:autoSpaceDE w:val="0"/>
              <w:autoSpaceDN w:val="0"/>
              <w:adjustRightInd w:val="0"/>
              <w:rPr>
                <w:szCs w:val="24"/>
              </w:rPr>
            </w:pPr>
            <w:r w:rsidRPr="00B72F8F">
              <w:rPr>
                <w:szCs w:val="24"/>
              </w:rPr>
              <w:t xml:space="preserve">                            Respondent.</w:t>
            </w:r>
          </w:p>
        </w:tc>
        <w:tc>
          <w:tcPr>
            <w:tcW w:w="360" w:type="dxa"/>
            <w:shd w:val="clear" w:color="auto" w:fill="auto"/>
          </w:tcPr>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72F8F">
              <w:rPr>
                <w:rFonts w:eastAsia="Courier New"/>
                <w:szCs w:val="24"/>
              </w:rPr>
              <w:t>)</w:t>
            </w: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72F8F">
              <w:rPr>
                <w:rFonts w:eastAsia="Courier New"/>
                <w:szCs w:val="24"/>
              </w:rPr>
              <w:t>)</w:t>
            </w: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72F8F">
              <w:rPr>
                <w:rFonts w:eastAsia="Courier New"/>
                <w:szCs w:val="24"/>
              </w:rPr>
              <w:t>)</w:t>
            </w: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72F8F">
              <w:rPr>
                <w:rFonts w:eastAsia="Courier New"/>
                <w:szCs w:val="24"/>
              </w:rPr>
              <w:t>)</w:t>
            </w:r>
            <w:r w:rsidRPr="00B72F8F">
              <w:rPr>
                <w:rFonts w:eastAsia="Courier New"/>
                <w:szCs w:val="24"/>
              </w:rPr>
              <w:br/>
              <w:t>)</w:t>
            </w:r>
            <w:r w:rsidRPr="00B72F8F">
              <w:rPr>
                <w:rFonts w:eastAsia="Courier New"/>
                <w:szCs w:val="24"/>
              </w:rPr>
              <w:br/>
              <w:t>)</w:t>
            </w:r>
            <w:r w:rsidRPr="00B72F8F">
              <w:rPr>
                <w:rFonts w:eastAsia="Courier New"/>
                <w:szCs w:val="24"/>
              </w:rPr>
              <w:br/>
              <w:t>)</w:t>
            </w:r>
            <w:r w:rsidRPr="00B72F8F">
              <w:rPr>
                <w:rFonts w:eastAsia="Courier New"/>
                <w:szCs w:val="24"/>
              </w:rPr>
              <w:br/>
              <w:t>)</w:t>
            </w:r>
            <w:r w:rsidRPr="00B72F8F">
              <w:rPr>
                <w:rFonts w:eastAsia="Courier New"/>
                <w:szCs w:val="24"/>
              </w:rPr>
              <w:br/>
              <w:t>)</w:t>
            </w:r>
          </w:p>
        </w:tc>
        <w:tc>
          <w:tcPr>
            <w:tcW w:w="4400" w:type="dxa"/>
            <w:shd w:val="clear" w:color="auto" w:fill="auto"/>
          </w:tcPr>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72F8F" w:rsidRPr="00B72F8F" w:rsidRDefault="00B72F8F" w:rsidP="00B7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72F8F">
              <w:rPr>
                <w:rFonts w:eastAsia="Courier New"/>
                <w:szCs w:val="24"/>
              </w:rPr>
              <w:t>Case No. 13-2206-EL-CSS</w:t>
            </w:r>
          </w:p>
        </w:tc>
      </w:tr>
    </w:tbl>
    <w:p w:rsidR="00EE7580" w:rsidRDefault="00EE7580" w:rsidP="00EE7580">
      <w:pPr>
        <w:pStyle w:val="HTMLPreformatted"/>
        <w:jc w:val="center"/>
        <w:rPr>
          <w:rFonts w:ascii="Times New Roman" w:hAnsi="Times New Roman"/>
          <w:b/>
          <w:bCs/>
          <w:sz w:val="24"/>
        </w:rPr>
      </w:pPr>
    </w:p>
    <w:p w:rsidR="00EE7580" w:rsidRDefault="00EE7580" w:rsidP="00EE7580">
      <w:pPr>
        <w:pStyle w:val="HTMLPreformatted"/>
        <w:pBdr>
          <w:top w:val="single" w:sz="12" w:space="1" w:color="auto"/>
        </w:pBdr>
        <w:rPr>
          <w:rFonts w:ascii="Times New Roman" w:hAnsi="Times New Roman"/>
          <w:sz w:val="24"/>
        </w:rPr>
      </w:pPr>
    </w:p>
    <w:p w:rsidR="00396859" w:rsidRDefault="00EE7580" w:rsidP="00EE7580">
      <w:pPr>
        <w:jc w:val="center"/>
        <w:rPr>
          <w:b/>
          <w:bCs/>
        </w:rPr>
      </w:pPr>
      <w:r>
        <w:rPr>
          <w:b/>
          <w:bCs/>
        </w:rPr>
        <w:t xml:space="preserve">BRIEF </w:t>
      </w:r>
    </w:p>
    <w:p w:rsidR="00EE7580" w:rsidRDefault="00EE7580" w:rsidP="00EE7580">
      <w:pPr>
        <w:jc w:val="center"/>
        <w:rPr>
          <w:b/>
          <w:bCs/>
        </w:rPr>
      </w:pPr>
      <w:r>
        <w:rPr>
          <w:b/>
          <w:bCs/>
        </w:rPr>
        <w:t>BY</w:t>
      </w:r>
    </w:p>
    <w:p w:rsidR="00EE7580" w:rsidRDefault="00EE7580" w:rsidP="00EE7580">
      <w:pPr>
        <w:jc w:val="center"/>
        <w:rPr>
          <w:b/>
          <w:bCs/>
        </w:rPr>
      </w:pPr>
      <w:r>
        <w:rPr>
          <w:b/>
          <w:bCs/>
        </w:rPr>
        <w:t xml:space="preserve">THE OFFICE OF THE OHIO CONSUMERS’ COUNSEL </w:t>
      </w:r>
    </w:p>
    <w:p w:rsidR="00EE7580" w:rsidRDefault="00EE7580" w:rsidP="00EE7580">
      <w:pPr>
        <w:pBdr>
          <w:bottom w:val="single" w:sz="12" w:space="1" w:color="auto"/>
        </w:pBdr>
        <w:tabs>
          <w:tab w:val="left" w:pos="4320"/>
        </w:tabs>
      </w:pPr>
    </w:p>
    <w:p w:rsidR="00EE7580" w:rsidRDefault="00EE7580" w:rsidP="00EE7580">
      <w:pPr>
        <w:tabs>
          <w:tab w:val="left" w:pos="4320"/>
        </w:tabs>
      </w:pPr>
    </w:p>
    <w:p w:rsidR="00EE7580" w:rsidRPr="00EE7580" w:rsidRDefault="00B72F8F" w:rsidP="00B72F8F">
      <w:pPr>
        <w:pStyle w:val="Heading1"/>
      </w:pPr>
      <w:bookmarkStart w:id="1" w:name="_Toc389135302"/>
      <w:r>
        <w:t>I.</w:t>
      </w:r>
      <w:r>
        <w:tab/>
      </w:r>
      <w:r w:rsidR="00EE7580" w:rsidRPr="00EE7580">
        <w:t>INTRODUCTION</w:t>
      </w:r>
      <w:bookmarkEnd w:id="1"/>
    </w:p>
    <w:p w:rsidR="00EE7580" w:rsidRDefault="00EE7580" w:rsidP="00EE7580">
      <w:pPr>
        <w:spacing w:line="480" w:lineRule="auto"/>
        <w:ind w:firstLine="720"/>
      </w:pPr>
      <w:r>
        <w:t xml:space="preserve">At a time when </w:t>
      </w:r>
      <w:r w:rsidR="00001889">
        <w:t xml:space="preserve">residential customers in </w:t>
      </w:r>
      <w:r>
        <w:t>Ohio are (on average) paying higher electricity rates than their counterparts in thirty-two other states,</w:t>
      </w:r>
      <w:r>
        <w:rPr>
          <w:rStyle w:val="FootnoteReference"/>
        </w:rPr>
        <w:footnoteReference w:id="1"/>
      </w:r>
      <w:r>
        <w:t xml:space="preserve"> Ohio Power Company has returned yet again to the well (its Ohio customers) to charge </w:t>
      </w:r>
      <w:r w:rsidR="005C1923">
        <w:t xml:space="preserve">its customers </w:t>
      </w:r>
      <w:r w:rsidR="0063656C">
        <w:t>increased rates to collect</w:t>
      </w:r>
      <w:r>
        <w:t xml:space="preserve"> </w:t>
      </w:r>
      <w:r w:rsidR="0063656C">
        <w:t xml:space="preserve">revenues it is </w:t>
      </w:r>
      <w:r>
        <w:t xml:space="preserve">losing </w:t>
      </w:r>
      <w:r w:rsidR="0063656C">
        <w:t xml:space="preserve">because one of its customers has gone out of business and has left unpaid bills.  </w:t>
      </w:r>
      <w:r>
        <w:t xml:space="preserve">The focus </w:t>
      </w:r>
      <w:r w:rsidR="005C1923">
        <w:t xml:space="preserve">of the Public Utilities Commission of Ohio (“PUCO”) </w:t>
      </w:r>
      <w:r>
        <w:t xml:space="preserve">should be on </w:t>
      </w:r>
      <w:r w:rsidR="009F5DAD">
        <w:t xml:space="preserve">protecting </w:t>
      </w:r>
      <w:r>
        <w:t xml:space="preserve">the electric bills of Ohio Power’s customers.   </w:t>
      </w:r>
    </w:p>
    <w:p w:rsidR="00EE7580" w:rsidRDefault="00EE7580" w:rsidP="00EE7580">
      <w:pPr>
        <w:spacing w:line="480" w:lineRule="auto"/>
        <w:ind w:firstLine="720"/>
        <w:rPr>
          <w:szCs w:val="24"/>
        </w:rPr>
      </w:pPr>
      <w:r>
        <w:rPr>
          <w:szCs w:val="24"/>
        </w:rPr>
        <w:t>In this regard, the Ohio Power Company (“Ohio Power</w:t>
      </w:r>
      <w:r w:rsidR="00AB5EB7">
        <w:rPr>
          <w:szCs w:val="24"/>
        </w:rPr>
        <w:t>,</w:t>
      </w:r>
      <w:r>
        <w:rPr>
          <w:szCs w:val="24"/>
        </w:rPr>
        <w:t>” “Utility”</w:t>
      </w:r>
      <w:r w:rsidR="0050478A">
        <w:rPr>
          <w:szCs w:val="24"/>
        </w:rPr>
        <w:t xml:space="preserve"> or “AEP Ohio”</w:t>
      </w:r>
      <w:r>
        <w:rPr>
          <w:szCs w:val="24"/>
        </w:rPr>
        <w:t>) and Ormet Primary Aluminum Corporation (“Ormet”</w:t>
      </w:r>
      <w:r w:rsidR="007A4A59">
        <w:rPr>
          <w:szCs w:val="24"/>
        </w:rPr>
        <w:t xml:space="preserve"> or “Customer”</w:t>
      </w:r>
      <w:r>
        <w:rPr>
          <w:szCs w:val="24"/>
        </w:rPr>
        <w:t>) (together “Signatory Parties”) filed a Stipulation and Recommendation.  In it</w:t>
      </w:r>
      <w:r w:rsidR="00A26BD2">
        <w:rPr>
          <w:szCs w:val="24"/>
        </w:rPr>
        <w:t>,</w:t>
      </w:r>
      <w:r>
        <w:rPr>
          <w:szCs w:val="24"/>
        </w:rPr>
        <w:t xml:space="preserve"> </w:t>
      </w:r>
      <w:r w:rsidR="0050478A">
        <w:rPr>
          <w:szCs w:val="24"/>
        </w:rPr>
        <w:t xml:space="preserve">AEP Ohio </w:t>
      </w:r>
      <w:r>
        <w:rPr>
          <w:szCs w:val="24"/>
        </w:rPr>
        <w:t>seeks to</w:t>
      </w:r>
      <w:r w:rsidRPr="00EA1516">
        <w:rPr>
          <w:szCs w:val="24"/>
        </w:rPr>
        <w:t xml:space="preserve"> </w:t>
      </w:r>
      <w:r>
        <w:rPr>
          <w:szCs w:val="24"/>
        </w:rPr>
        <w:t>confirm that it has the right to charge Ohioans for $49.3 million i</w:t>
      </w:r>
      <w:r w:rsidR="00377F79">
        <w:rPr>
          <w:szCs w:val="24"/>
        </w:rPr>
        <w:t xml:space="preserve">n payments related to </w:t>
      </w:r>
      <w:r>
        <w:rPr>
          <w:szCs w:val="24"/>
        </w:rPr>
        <w:t>unpaid bills and “unrecovered discounts”</w:t>
      </w:r>
      <w:r w:rsidR="00D14CE7">
        <w:rPr>
          <w:szCs w:val="24"/>
        </w:rPr>
        <w:t xml:space="preserve"> pertaining to its </w:t>
      </w:r>
      <w:r w:rsidR="00EA7F4B">
        <w:rPr>
          <w:szCs w:val="24"/>
        </w:rPr>
        <w:t>C</w:t>
      </w:r>
      <w:r w:rsidR="00D14CE7">
        <w:rPr>
          <w:szCs w:val="24"/>
        </w:rPr>
        <w:t>ustomer.</w:t>
      </w:r>
      <w:r>
        <w:rPr>
          <w:rStyle w:val="FootnoteReference"/>
          <w:szCs w:val="24"/>
        </w:rPr>
        <w:footnoteReference w:id="2"/>
      </w:r>
      <w:r>
        <w:rPr>
          <w:szCs w:val="24"/>
        </w:rPr>
        <w:t xml:space="preserve">  </w:t>
      </w:r>
      <w:r w:rsidR="000B46E4">
        <w:rPr>
          <w:szCs w:val="24"/>
        </w:rPr>
        <w:t>A portion of t</w:t>
      </w:r>
      <w:r>
        <w:rPr>
          <w:szCs w:val="24"/>
        </w:rPr>
        <w:t xml:space="preserve">hese charges </w:t>
      </w:r>
      <w:r w:rsidR="009F5DAD">
        <w:rPr>
          <w:szCs w:val="24"/>
        </w:rPr>
        <w:t>–</w:t>
      </w:r>
      <w:r w:rsidR="00272094">
        <w:rPr>
          <w:szCs w:val="24"/>
        </w:rPr>
        <w:t xml:space="preserve"> </w:t>
      </w:r>
      <w:r w:rsidR="009F5DAD">
        <w:rPr>
          <w:szCs w:val="24"/>
        </w:rPr>
        <w:t xml:space="preserve">approximately </w:t>
      </w:r>
      <w:r w:rsidR="00272094">
        <w:rPr>
          <w:szCs w:val="24"/>
        </w:rPr>
        <w:t>$</w:t>
      </w:r>
      <w:r w:rsidR="009F5DAD">
        <w:rPr>
          <w:szCs w:val="24"/>
        </w:rPr>
        <w:t>5</w:t>
      </w:r>
      <w:r w:rsidR="00272094">
        <w:rPr>
          <w:szCs w:val="24"/>
        </w:rPr>
        <w:t xml:space="preserve"> million -- </w:t>
      </w:r>
      <w:r>
        <w:rPr>
          <w:szCs w:val="24"/>
        </w:rPr>
        <w:t>exceed</w:t>
      </w:r>
      <w:r w:rsidR="009F5DAD">
        <w:rPr>
          <w:szCs w:val="24"/>
        </w:rPr>
        <w:t>s</w:t>
      </w:r>
      <w:r>
        <w:rPr>
          <w:szCs w:val="24"/>
        </w:rPr>
        <w:t xml:space="preserve"> </w:t>
      </w:r>
      <w:r w:rsidR="00377F79">
        <w:rPr>
          <w:szCs w:val="24"/>
        </w:rPr>
        <w:t xml:space="preserve">the amounts that the </w:t>
      </w:r>
      <w:r w:rsidR="00DA5CEF">
        <w:rPr>
          <w:szCs w:val="24"/>
        </w:rPr>
        <w:t>PUCO previously</w:t>
      </w:r>
      <w:r>
        <w:rPr>
          <w:szCs w:val="24"/>
        </w:rPr>
        <w:t xml:space="preserve"> authorized </w:t>
      </w:r>
      <w:r w:rsidR="00377F79">
        <w:rPr>
          <w:szCs w:val="24"/>
        </w:rPr>
        <w:t>AEP Ohio to collect from other customers.</w:t>
      </w:r>
    </w:p>
    <w:p w:rsidR="00EE7580" w:rsidRDefault="009F5DAD" w:rsidP="009F5DAD">
      <w:pPr>
        <w:spacing w:line="480" w:lineRule="auto"/>
        <w:ind w:firstLine="720"/>
        <w:rPr>
          <w:szCs w:val="24"/>
        </w:rPr>
      </w:pPr>
      <w:r>
        <w:rPr>
          <w:szCs w:val="24"/>
        </w:rPr>
        <w:t>AEP</w:t>
      </w:r>
      <w:r w:rsidR="00EE710F">
        <w:rPr>
          <w:szCs w:val="24"/>
        </w:rPr>
        <w:t xml:space="preserve"> Ohio</w:t>
      </w:r>
      <w:r w:rsidR="00EE7580">
        <w:rPr>
          <w:szCs w:val="24"/>
        </w:rPr>
        <w:t xml:space="preserve"> claim</w:t>
      </w:r>
      <w:r>
        <w:rPr>
          <w:szCs w:val="24"/>
        </w:rPr>
        <w:t>s</w:t>
      </w:r>
      <w:r w:rsidR="00EE7580">
        <w:rPr>
          <w:szCs w:val="24"/>
        </w:rPr>
        <w:t xml:space="preserve"> that </w:t>
      </w:r>
      <w:r>
        <w:rPr>
          <w:szCs w:val="24"/>
        </w:rPr>
        <w:t xml:space="preserve">its </w:t>
      </w:r>
      <w:r w:rsidR="00EE7580">
        <w:rPr>
          <w:szCs w:val="24"/>
        </w:rPr>
        <w:t>Stipulation resolves “billing disputes” that arose under the unique arrangement.  But the Stipulation and Recommendation addresses issues beyond billing disputes</w:t>
      </w:r>
      <w:r w:rsidR="0050478A">
        <w:rPr>
          <w:szCs w:val="24"/>
        </w:rPr>
        <w:t xml:space="preserve">.  These </w:t>
      </w:r>
      <w:r w:rsidR="002D7BF6">
        <w:rPr>
          <w:szCs w:val="24"/>
        </w:rPr>
        <w:t xml:space="preserve">additional </w:t>
      </w:r>
      <w:r w:rsidR="0050478A">
        <w:rPr>
          <w:szCs w:val="24"/>
        </w:rPr>
        <w:t xml:space="preserve">issues </w:t>
      </w:r>
      <w:r w:rsidR="002D7BF6">
        <w:rPr>
          <w:szCs w:val="24"/>
        </w:rPr>
        <w:t xml:space="preserve">and </w:t>
      </w:r>
      <w:r w:rsidR="00680E99">
        <w:rPr>
          <w:szCs w:val="24"/>
        </w:rPr>
        <w:t xml:space="preserve">their </w:t>
      </w:r>
      <w:r w:rsidR="002D7BF6">
        <w:rPr>
          <w:szCs w:val="24"/>
        </w:rPr>
        <w:t xml:space="preserve">associated costs </w:t>
      </w:r>
      <w:r w:rsidR="00EE7580">
        <w:rPr>
          <w:szCs w:val="24"/>
        </w:rPr>
        <w:t xml:space="preserve">will </w:t>
      </w:r>
      <w:r w:rsidR="00680E99">
        <w:rPr>
          <w:szCs w:val="24"/>
        </w:rPr>
        <w:t xml:space="preserve">inflate </w:t>
      </w:r>
      <w:r w:rsidR="0037227A">
        <w:rPr>
          <w:szCs w:val="24"/>
        </w:rPr>
        <w:t xml:space="preserve">the burden of residential customers in </w:t>
      </w:r>
      <w:r w:rsidR="0050478A">
        <w:rPr>
          <w:szCs w:val="24"/>
        </w:rPr>
        <w:t>AEP Ohio’s</w:t>
      </w:r>
      <w:r w:rsidR="00EE7580">
        <w:rPr>
          <w:szCs w:val="24"/>
        </w:rPr>
        <w:t xml:space="preserve"> </w:t>
      </w:r>
      <w:r w:rsidR="0037227A">
        <w:rPr>
          <w:szCs w:val="24"/>
        </w:rPr>
        <w:t>service territory, who are</w:t>
      </w:r>
      <w:r w:rsidR="00732DDB">
        <w:rPr>
          <w:szCs w:val="24"/>
        </w:rPr>
        <w:t xml:space="preserve"> currently </w:t>
      </w:r>
      <w:r w:rsidR="0037227A">
        <w:rPr>
          <w:szCs w:val="24"/>
        </w:rPr>
        <w:t xml:space="preserve">paying </w:t>
      </w:r>
      <w:r w:rsidR="00732DDB">
        <w:rPr>
          <w:szCs w:val="24"/>
        </w:rPr>
        <w:t>the highest residential electric rates in Ohio</w:t>
      </w:r>
      <w:r w:rsidR="0009229F">
        <w:rPr>
          <w:szCs w:val="24"/>
        </w:rPr>
        <w:t>.</w:t>
      </w:r>
    </w:p>
    <w:p w:rsidR="00EE7580" w:rsidRDefault="00EE7580" w:rsidP="00EE7580">
      <w:pPr>
        <w:spacing w:line="480" w:lineRule="auto"/>
        <w:ind w:firstLine="720"/>
      </w:pPr>
      <w:r>
        <w:t xml:space="preserve">The </w:t>
      </w:r>
      <w:r w:rsidR="00377F79">
        <w:t>d</w:t>
      </w:r>
      <w:r>
        <w:t xml:space="preserve">elta revenues addressed in the Stipulation and Recommendation arise from the difference between the discounted rate that Ohio Power </w:t>
      </w:r>
      <w:r w:rsidR="00DA5CEF">
        <w:t>charged its</w:t>
      </w:r>
      <w:r>
        <w:t xml:space="preserve"> </w:t>
      </w:r>
      <w:r w:rsidR="00DE0266">
        <w:t>C</w:t>
      </w:r>
      <w:r>
        <w:t xml:space="preserve">ustomer and the tariffed-rate that would otherwise apply.  And under prior PUCO decisions, delta revenues for the Ohio Power/Ormet unique arrangement include certain of </w:t>
      </w:r>
      <w:r w:rsidR="00EA7F4B">
        <w:t>the Customer</w:t>
      </w:r>
      <w:r>
        <w:t>’s electric bills where it was permitted to delay payment.</w:t>
      </w:r>
      <w:r>
        <w:rPr>
          <w:rStyle w:val="FootnoteReference"/>
        </w:rPr>
        <w:footnoteReference w:id="3"/>
      </w:r>
    </w:p>
    <w:p w:rsidR="00EE7580" w:rsidRDefault="00EE7580" w:rsidP="00EE7580">
      <w:pPr>
        <w:spacing w:line="480" w:lineRule="auto"/>
        <w:ind w:firstLine="720"/>
      </w:pPr>
      <w:r>
        <w:rPr>
          <w:szCs w:val="24"/>
        </w:rPr>
        <w:t xml:space="preserve">Of the $49.3 million </w:t>
      </w:r>
      <w:r w:rsidR="00377F79">
        <w:rPr>
          <w:szCs w:val="24"/>
        </w:rPr>
        <w:t xml:space="preserve">at issue, </w:t>
      </w:r>
      <w:r>
        <w:rPr>
          <w:szCs w:val="24"/>
        </w:rPr>
        <w:t>the PUCO has not yet ruled that Ohio Power may collect $4,983,157.</w:t>
      </w:r>
      <w:r>
        <w:rPr>
          <w:rStyle w:val="FootnoteReference"/>
          <w:szCs w:val="24"/>
        </w:rPr>
        <w:footnoteReference w:id="4"/>
      </w:r>
      <w:r>
        <w:rPr>
          <w:szCs w:val="24"/>
        </w:rPr>
        <w:t xml:space="preserve">  The $4.98 million </w:t>
      </w:r>
      <w:r w:rsidR="00377F79">
        <w:rPr>
          <w:szCs w:val="24"/>
        </w:rPr>
        <w:t>is not delta revenue</w:t>
      </w:r>
      <w:r w:rsidR="002D7BF6">
        <w:rPr>
          <w:szCs w:val="24"/>
        </w:rPr>
        <w:t>,</w:t>
      </w:r>
      <w:r w:rsidR="00377F79">
        <w:rPr>
          <w:szCs w:val="24"/>
        </w:rPr>
        <w:t xml:space="preserve"> but rather </w:t>
      </w:r>
      <w:r>
        <w:rPr>
          <w:szCs w:val="24"/>
        </w:rPr>
        <w:t>pertains to the “remaining billed unpaid amounts from 2013 under the unique arrangement.”</w:t>
      </w:r>
      <w:r>
        <w:rPr>
          <w:rStyle w:val="FootnoteReference"/>
          <w:szCs w:val="24"/>
        </w:rPr>
        <w:footnoteReference w:id="5"/>
      </w:r>
      <w:r>
        <w:rPr>
          <w:szCs w:val="24"/>
        </w:rPr>
        <w:t xml:space="preserve">  The “remaining billed unpaid amounts from 2013” are the </w:t>
      </w:r>
      <w:r w:rsidR="00EA7F4B">
        <w:rPr>
          <w:szCs w:val="24"/>
        </w:rPr>
        <w:t>C</w:t>
      </w:r>
      <w:r>
        <w:rPr>
          <w:szCs w:val="24"/>
        </w:rPr>
        <w:t>ustomer’s unpaid bills for its September and October 2013 usage, which are in excess of discounts and delayed payments authorized by the PUCO.</w:t>
      </w:r>
      <w:r>
        <w:rPr>
          <w:rStyle w:val="FootnoteReference"/>
          <w:szCs w:val="24"/>
        </w:rPr>
        <w:footnoteReference w:id="6"/>
      </w:r>
      <w:r>
        <w:rPr>
          <w:szCs w:val="24"/>
        </w:rPr>
        <w:t xml:space="preserve">  </w:t>
      </w:r>
      <w:r>
        <w:t>In the Stipulation and Recommendation, Ohio Power ask</w:t>
      </w:r>
      <w:r w:rsidR="00F41788">
        <w:t>s</w:t>
      </w:r>
      <w:r>
        <w:t xml:space="preserve"> the PUCO to confirm that</w:t>
      </w:r>
      <w:r w:rsidR="00F41788">
        <w:t xml:space="preserve"> it</w:t>
      </w:r>
      <w:r>
        <w:t xml:space="preserve"> may </w:t>
      </w:r>
      <w:r w:rsidRPr="000801D7">
        <w:t xml:space="preserve">charge </w:t>
      </w:r>
      <w:r w:rsidR="00DE0266">
        <w:t xml:space="preserve">other </w:t>
      </w:r>
      <w:r w:rsidRPr="000801D7">
        <w:t>customers for $</w:t>
      </w:r>
      <w:r w:rsidRPr="00DB6B16">
        <w:t xml:space="preserve">49.3 million that </w:t>
      </w:r>
      <w:r>
        <w:t xml:space="preserve">it </w:t>
      </w:r>
      <w:r w:rsidRPr="00DB6B16">
        <w:t xml:space="preserve">has not collected from </w:t>
      </w:r>
      <w:r w:rsidR="00C0043D">
        <w:t xml:space="preserve">its Customer </w:t>
      </w:r>
      <w:r>
        <w:t>through 2013, including this $4.98 million in “remaining billed unpaid amounts.”</w:t>
      </w:r>
    </w:p>
    <w:p w:rsidR="00EE7580" w:rsidRDefault="00093432" w:rsidP="0015043F">
      <w:pPr>
        <w:autoSpaceDE w:val="0"/>
        <w:autoSpaceDN w:val="0"/>
        <w:adjustRightInd w:val="0"/>
        <w:spacing w:line="480" w:lineRule="auto"/>
        <w:ind w:firstLine="720"/>
      </w:pPr>
      <w:r>
        <w:t xml:space="preserve">Ohio Power </w:t>
      </w:r>
      <w:r w:rsidR="00B4249B">
        <w:t>also propose</w:t>
      </w:r>
      <w:r w:rsidR="0050478A">
        <w:t xml:space="preserve">s </w:t>
      </w:r>
      <w:r w:rsidR="00B4249B">
        <w:t xml:space="preserve">that </w:t>
      </w:r>
      <w:r w:rsidR="0050478A">
        <w:t>it</w:t>
      </w:r>
      <w:r w:rsidR="00B4249B">
        <w:rPr>
          <w:rFonts w:ascii="TimesNewRomanPSMT" w:eastAsiaTheme="minorHAnsi" w:hAnsi="TimesNewRomanPSMT" w:cs="TimesNewRomanPSMT"/>
          <w:szCs w:val="24"/>
        </w:rPr>
        <w:t xml:space="preserve"> gets to</w:t>
      </w:r>
      <w:r w:rsidR="00B4249B">
        <w:rPr>
          <w:rFonts w:ascii="TimesNewRomanPSMT" w:eastAsiaTheme="minorHAnsi" w:hAnsi="TimesNewRomanPSMT" w:cs="TimesNewRomanPSMT"/>
          <w:sz w:val="20"/>
        </w:rPr>
        <w:t xml:space="preserve"> </w:t>
      </w:r>
      <w:r w:rsidR="00B4249B">
        <w:rPr>
          <w:rFonts w:ascii="TimesNewRomanPSMT" w:eastAsiaTheme="minorHAnsi" w:hAnsi="TimesNewRomanPSMT" w:cs="TimesNewRomanPSMT"/>
          <w:szCs w:val="24"/>
        </w:rPr>
        <w:t xml:space="preserve">keep the first $7.24 million </w:t>
      </w:r>
      <w:r w:rsidR="00E91CEE">
        <w:rPr>
          <w:rFonts w:ascii="TimesNewRomanPSMT" w:eastAsiaTheme="minorHAnsi" w:hAnsi="TimesNewRomanPSMT" w:cs="TimesNewRomanPSMT"/>
          <w:szCs w:val="24"/>
        </w:rPr>
        <w:t>it</w:t>
      </w:r>
      <w:r>
        <w:rPr>
          <w:rFonts w:ascii="TimesNewRomanPSMT" w:eastAsiaTheme="minorHAnsi" w:hAnsi="TimesNewRomanPSMT" w:cs="TimesNewRomanPSMT"/>
          <w:szCs w:val="24"/>
        </w:rPr>
        <w:t xml:space="preserve"> receives </w:t>
      </w:r>
      <w:r w:rsidR="00B4249B">
        <w:rPr>
          <w:rFonts w:ascii="TimesNewRomanPSMT" w:eastAsiaTheme="minorHAnsi" w:hAnsi="TimesNewRomanPSMT" w:cs="TimesNewRomanPSMT"/>
          <w:szCs w:val="24"/>
        </w:rPr>
        <w:t>from the bankruptcy proceeding. That $7.24 million</w:t>
      </w:r>
      <w:r w:rsidR="00B4249B">
        <w:rPr>
          <w:rFonts w:ascii="TimesNewRomanPSMT" w:eastAsiaTheme="minorHAnsi" w:hAnsi="TimesNewRomanPSMT" w:cs="TimesNewRomanPSMT"/>
          <w:sz w:val="20"/>
        </w:rPr>
        <w:t xml:space="preserve"> </w:t>
      </w:r>
      <w:r w:rsidR="00B4249B">
        <w:rPr>
          <w:rFonts w:ascii="TimesNewRomanPSMT" w:eastAsiaTheme="minorHAnsi" w:hAnsi="TimesNewRomanPSMT" w:cs="TimesNewRomanPSMT"/>
          <w:szCs w:val="24"/>
        </w:rPr>
        <w:t xml:space="preserve">represents the </w:t>
      </w:r>
      <w:r w:rsidR="00B4249B">
        <w:rPr>
          <w:rFonts w:ascii="TimesNewRomanPS-BoldMT" w:eastAsiaTheme="minorHAnsi" w:hAnsi="TimesNewRomanPS-BoldMT" w:cs="TimesNewRomanPS-BoldMT"/>
          <w:b/>
          <w:bCs/>
          <w:szCs w:val="24"/>
        </w:rPr>
        <w:t xml:space="preserve">only </w:t>
      </w:r>
      <w:r w:rsidR="00B4249B">
        <w:rPr>
          <w:rFonts w:ascii="TimesNewRomanPSMT" w:eastAsiaTheme="minorHAnsi" w:hAnsi="TimesNewRomanPSMT" w:cs="TimesNewRomanPSMT"/>
          <w:szCs w:val="24"/>
        </w:rPr>
        <w:t>dollars Ohio Power has not collected in tariffed rates from the</w:t>
      </w:r>
      <w:r w:rsidR="0050478A">
        <w:rPr>
          <w:rFonts w:ascii="TimesNewRomanPSMT" w:eastAsiaTheme="minorHAnsi" w:hAnsi="TimesNewRomanPSMT" w:cs="TimesNewRomanPSMT"/>
          <w:szCs w:val="24"/>
        </w:rPr>
        <w:t xml:space="preserve"> </w:t>
      </w:r>
      <w:r w:rsidR="00B4249B">
        <w:rPr>
          <w:rFonts w:ascii="TimesNewRomanPSMT" w:eastAsiaTheme="minorHAnsi" w:hAnsi="TimesNewRomanPSMT" w:cs="TimesNewRomanPSMT"/>
          <w:szCs w:val="24"/>
        </w:rPr>
        <w:t xml:space="preserve">unique arrangement. </w:t>
      </w:r>
      <w:r>
        <w:rPr>
          <w:rFonts w:ascii="TimesNewRomanPSMT" w:eastAsiaTheme="minorHAnsi" w:hAnsi="TimesNewRomanPSMT" w:cs="TimesNewRomanPSMT"/>
          <w:szCs w:val="24"/>
        </w:rPr>
        <w:t xml:space="preserve"> O</w:t>
      </w:r>
      <w:r w:rsidR="00B4249B">
        <w:rPr>
          <w:rFonts w:ascii="TimesNewRomanPSMT" w:eastAsiaTheme="minorHAnsi" w:hAnsi="TimesNewRomanPSMT" w:cs="TimesNewRomanPSMT"/>
          <w:szCs w:val="24"/>
        </w:rPr>
        <w:t xml:space="preserve">nly after </w:t>
      </w:r>
      <w:r w:rsidR="0050478A">
        <w:rPr>
          <w:rFonts w:ascii="TimesNewRomanPSMT" w:eastAsiaTheme="minorHAnsi" w:hAnsi="TimesNewRomanPSMT" w:cs="TimesNewRomanPSMT"/>
          <w:szCs w:val="24"/>
        </w:rPr>
        <w:t>AEP Ohio</w:t>
      </w:r>
      <w:r w:rsidR="00B4249B">
        <w:rPr>
          <w:rFonts w:ascii="TimesNewRomanPSMT" w:eastAsiaTheme="minorHAnsi" w:hAnsi="TimesNewRomanPSMT" w:cs="TimesNewRomanPSMT"/>
          <w:sz w:val="20"/>
        </w:rPr>
        <w:t xml:space="preserve"> </w:t>
      </w:r>
      <w:r w:rsidR="00B4249B">
        <w:rPr>
          <w:rFonts w:ascii="TimesNewRomanPSMT" w:eastAsiaTheme="minorHAnsi" w:hAnsi="TimesNewRomanPSMT" w:cs="TimesNewRomanPSMT"/>
          <w:szCs w:val="24"/>
        </w:rPr>
        <w:t xml:space="preserve">obtains this $7.24 million would </w:t>
      </w:r>
      <w:r>
        <w:rPr>
          <w:rFonts w:ascii="TimesNewRomanPSMT" w:eastAsiaTheme="minorHAnsi" w:hAnsi="TimesNewRomanPSMT" w:cs="TimesNewRomanPSMT"/>
          <w:szCs w:val="24"/>
        </w:rPr>
        <w:t xml:space="preserve">other </w:t>
      </w:r>
      <w:r w:rsidR="00B4249B">
        <w:rPr>
          <w:rFonts w:ascii="TimesNewRomanPSMT" w:eastAsiaTheme="minorHAnsi" w:hAnsi="TimesNewRomanPSMT" w:cs="TimesNewRomanPSMT"/>
          <w:szCs w:val="24"/>
        </w:rPr>
        <w:t>customers be given any credit toward the more than $200 million they have already paid to</w:t>
      </w:r>
      <w:r w:rsidR="00B4249B">
        <w:rPr>
          <w:rFonts w:ascii="TimesNewRomanPSMT" w:eastAsiaTheme="minorHAnsi" w:hAnsi="TimesNewRomanPSMT" w:cs="TimesNewRomanPSMT"/>
          <w:sz w:val="20"/>
        </w:rPr>
        <w:t xml:space="preserve"> </w:t>
      </w:r>
      <w:r w:rsidR="0050478A" w:rsidRPr="00F478EA">
        <w:rPr>
          <w:rFonts w:ascii="TimesNewRomanPSMT" w:eastAsiaTheme="minorHAnsi" w:hAnsi="TimesNewRomanPSMT" w:cs="TimesNewRomanPSMT"/>
          <w:szCs w:val="24"/>
        </w:rPr>
        <w:t>the utility.</w:t>
      </w:r>
    </w:p>
    <w:p w:rsidR="00B72F8F" w:rsidRDefault="00B72F8F" w:rsidP="00B72F8F">
      <w:pPr>
        <w:ind w:firstLine="720"/>
      </w:pPr>
    </w:p>
    <w:p w:rsidR="00EE7580" w:rsidRPr="00EE7580" w:rsidRDefault="00B72F8F" w:rsidP="00B72F8F">
      <w:pPr>
        <w:pStyle w:val="Heading1"/>
      </w:pPr>
      <w:bookmarkStart w:id="2" w:name="_Toc389135303"/>
      <w:r>
        <w:t>II.</w:t>
      </w:r>
      <w:r>
        <w:tab/>
      </w:r>
      <w:r w:rsidR="00EE7580" w:rsidRPr="00EE7580">
        <w:t>ARGUMENT</w:t>
      </w:r>
      <w:bookmarkEnd w:id="2"/>
    </w:p>
    <w:p w:rsidR="00EE7580" w:rsidRPr="0057610D" w:rsidRDefault="007A468E" w:rsidP="003D073A">
      <w:pPr>
        <w:pStyle w:val="Heading2"/>
      </w:pPr>
      <w:bookmarkStart w:id="3" w:name="_Toc382231039"/>
      <w:bookmarkStart w:id="4" w:name="_Toc389135304"/>
      <w:r>
        <w:t>AEP</w:t>
      </w:r>
      <w:r w:rsidR="00EE7580" w:rsidRPr="0057610D">
        <w:t xml:space="preserve"> Does Not Meet The</w:t>
      </w:r>
      <w:r w:rsidR="00EE7580">
        <w:t xml:space="preserve"> PUCO’s</w:t>
      </w:r>
      <w:r w:rsidR="00EE7580" w:rsidRPr="0057610D">
        <w:t xml:space="preserve"> Three-Part Test</w:t>
      </w:r>
      <w:r>
        <w:t xml:space="preserve"> </w:t>
      </w:r>
      <w:r w:rsidR="0015043F">
        <w:t xml:space="preserve">For Considering Settlements </w:t>
      </w:r>
      <w:r>
        <w:t>And Should Therefore Not Be Permitted To Charge Customers For An Additional Five Million Dollars</w:t>
      </w:r>
      <w:r w:rsidR="00EE7580">
        <w:t>.</w:t>
      </w:r>
      <w:bookmarkEnd w:id="3"/>
      <w:bookmarkEnd w:id="4"/>
    </w:p>
    <w:p w:rsidR="00EE7580" w:rsidRDefault="00EE7580" w:rsidP="00EE7580">
      <w:pPr>
        <w:pStyle w:val="BodyTextIndent3"/>
        <w:widowControl w:val="0"/>
        <w:spacing w:line="480" w:lineRule="auto"/>
        <w:ind w:right="-24"/>
        <w:rPr>
          <w:szCs w:val="24"/>
        </w:rPr>
      </w:pPr>
      <w:r>
        <w:rPr>
          <w:szCs w:val="24"/>
        </w:rPr>
        <w:t>Under Ohio Admin. Code 4901-1-30(D), no stipulation is bindi</w:t>
      </w:r>
      <w:r w:rsidR="0009229F">
        <w:rPr>
          <w:szCs w:val="24"/>
        </w:rPr>
        <w:t xml:space="preserve">ng on the PUCO. </w:t>
      </w:r>
      <w:r>
        <w:rPr>
          <w:szCs w:val="24"/>
        </w:rPr>
        <w:t xml:space="preserve"> This provision allows the PUCO to modify or reject the stipulation.  The PUCO has adopted a three-part test to evaluate whether a stipulation is reasonable and should be adopted</w:t>
      </w:r>
      <w:r w:rsidR="00161A10">
        <w:rPr>
          <w:szCs w:val="24"/>
        </w:rPr>
        <w:t>:</w:t>
      </w:r>
      <w:r>
        <w:rPr>
          <w:rStyle w:val="FootnoteReference"/>
          <w:szCs w:val="24"/>
        </w:rPr>
        <w:footnoteReference w:id="7"/>
      </w:r>
    </w:p>
    <w:p w:rsidR="00EE7580" w:rsidRDefault="00EE7580" w:rsidP="00B72F8F">
      <w:pPr>
        <w:pStyle w:val="BodyTextIndent3"/>
        <w:widowControl w:val="0"/>
        <w:spacing w:line="480" w:lineRule="auto"/>
        <w:ind w:left="2160" w:right="720" w:hanging="720"/>
        <w:rPr>
          <w:szCs w:val="24"/>
        </w:rPr>
      </w:pPr>
      <w:r>
        <w:rPr>
          <w:szCs w:val="24"/>
        </w:rPr>
        <w:t>(1)</w:t>
      </w:r>
      <w:r>
        <w:rPr>
          <w:szCs w:val="24"/>
        </w:rPr>
        <w:tab/>
        <w:t>Is the settlement a product of serious bargaining among capable, knowledgeable parties with diverse interests?</w:t>
      </w:r>
    </w:p>
    <w:p w:rsidR="00EE7580" w:rsidRDefault="0009229F" w:rsidP="00B72F8F">
      <w:pPr>
        <w:pStyle w:val="BodyTextIndent3"/>
        <w:widowControl w:val="0"/>
        <w:spacing w:line="480" w:lineRule="auto"/>
        <w:ind w:left="2160" w:right="720" w:hanging="720"/>
        <w:rPr>
          <w:szCs w:val="24"/>
        </w:rPr>
      </w:pPr>
      <w:r>
        <w:rPr>
          <w:szCs w:val="24"/>
        </w:rPr>
        <w:t>(2)</w:t>
      </w:r>
      <w:r w:rsidR="00EE7580">
        <w:rPr>
          <w:szCs w:val="24"/>
        </w:rPr>
        <w:tab/>
        <w:t>Does the settlement, as a package, benefit ratepayers and the public interest?</w:t>
      </w:r>
    </w:p>
    <w:p w:rsidR="00EE7580" w:rsidRDefault="0009229F" w:rsidP="00B72F8F">
      <w:pPr>
        <w:pStyle w:val="BodyTextIndent3"/>
        <w:widowControl w:val="0"/>
        <w:spacing w:line="480" w:lineRule="auto"/>
        <w:ind w:left="2160" w:right="720" w:hanging="720"/>
        <w:rPr>
          <w:szCs w:val="24"/>
        </w:rPr>
      </w:pPr>
      <w:r>
        <w:rPr>
          <w:szCs w:val="24"/>
        </w:rPr>
        <w:t>(3)</w:t>
      </w:r>
      <w:r w:rsidR="00EE7580">
        <w:rPr>
          <w:szCs w:val="24"/>
        </w:rPr>
        <w:tab/>
        <w:t>Does the settlement package violate any important regulatory principle or practice?</w:t>
      </w:r>
    </w:p>
    <w:p w:rsidR="00EE7580" w:rsidRDefault="00EE7580" w:rsidP="00E91CEE">
      <w:pPr>
        <w:pStyle w:val="BodyTextIndent3"/>
        <w:widowControl w:val="0"/>
        <w:spacing w:line="480" w:lineRule="auto"/>
        <w:ind w:right="-24"/>
        <w:rPr>
          <w:szCs w:val="24"/>
        </w:rPr>
      </w:pPr>
      <w:r>
        <w:rPr>
          <w:szCs w:val="24"/>
        </w:rPr>
        <w:t xml:space="preserve">The Ohio Supreme Court </w:t>
      </w:r>
      <w:r w:rsidR="002D7BF6">
        <w:rPr>
          <w:szCs w:val="24"/>
        </w:rPr>
        <w:t xml:space="preserve">(“Court”) </w:t>
      </w:r>
      <w:r>
        <w:rPr>
          <w:szCs w:val="24"/>
        </w:rPr>
        <w:t>has endorsed the PUCO’s analysis using these criteria.</w:t>
      </w:r>
      <w:r>
        <w:rPr>
          <w:rStyle w:val="FootnoteReference"/>
          <w:szCs w:val="24"/>
        </w:rPr>
        <w:footnoteReference w:id="8"/>
      </w:r>
      <w:r>
        <w:rPr>
          <w:szCs w:val="24"/>
        </w:rPr>
        <w:t xml:space="preserve"> </w:t>
      </w:r>
      <w:r w:rsidR="0009229F">
        <w:rPr>
          <w:szCs w:val="24"/>
        </w:rPr>
        <w:t xml:space="preserve"> </w:t>
      </w:r>
      <w:r>
        <w:rPr>
          <w:szCs w:val="24"/>
        </w:rPr>
        <w:t xml:space="preserve">The Court has noted, however, that a stipulation does not divest the PUCO of its responsibility to determine just and reasonable rates:  “A stipulation entered into by the parties present at a commission hearing is merely a recommendation made to the commission and is in no sense legally binding upon the commission.  The </w:t>
      </w:r>
      <w:r w:rsidR="0050478A">
        <w:rPr>
          <w:szCs w:val="24"/>
        </w:rPr>
        <w:t>PUCO</w:t>
      </w:r>
      <w:r>
        <w:rPr>
          <w:szCs w:val="24"/>
        </w:rPr>
        <w:t xml:space="preserve"> may take the stipulation into consideration, but must determine what is just and reasonable from the evidence presented at the hearing….”</w:t>
      </w:r>
      <w:r>
        <w:rPr>
          <w:rStyle w:val="FootnoteReference"/>
          <w:szCs w:val="24"/>
        </w:rPr>
        <w:footnoteReference w:id="9"/>
      </w:r>
      <w:r>
        <w:rPr>
          <w:szCs w:val="24"/>
        </w:rPr>
        <w:t xml:space="preserve">  It is the stipulating parties</w:t>
      </w:r>
      <w:r w:rsidR="0063656C">
        <w:rPr>
          <w:szCs w:val="24"/>
        </w:rPr>
        <w:t xml:space="preserve"> </w:t>
      </w:r>
      <w:r>
        <w:rPr>
          <w:szCs w:val="24"/>
        </w:rPr>
        <w:t xml:space="preserve">who bear the burden of showing that the Stipulation is reasonable and meets the three-prong test. </w:t>
      </w:r>
      <w:r w:rsidR="00C412FD">
        <w:rPr>
          <w:szCs w:val="24"/>
        </w:rPr>
        <w:t>Here, the Stipulation fails to m</w:t>
      </w:r>
      <w:r w:rsidR="0009229F">
        <w:rPr>
          <w:szCs w:val="24"/>
        </w:rPr>
        <w:t>eet any of the three criteria.</w:t>
      </w:r>
    </w:p>
    <w:p w:rsidR="00EE7580" w:rsidRPr="00E22482" w:rsidRDefault="00EE7580" w:rsidP="008C13A3">
      <w:pPr>
        <w:pStyle w:val="Heading3"/>
      </w:pPr>
      <w:bookmarkStart w:id="5" w:name="_Toc382231040"/>
      <w:bookmarkStart w:id="6" w:name="_Toc389135305"/>
      <w:r w:rsidRPr="00E22482">
        <w:t>The settlement was not a product of serious bargaining among capable, knowledgeable parties</w:t>
      </w:r>
      <w:r>
        <w:t xml:space="preserve"> with diverse interests.</w:t>
      </w:r>
      <w:bookmarkEnd w:id="5"/>
      <w:bookmarkEnd w:id="6"/>
    </w:p>
    <w:p w:rsidR="00EE7580" w:rsidRDefault="00EE7580" w:rsidP="00EE7580">
      <w:pPr>
        <w:pStyle w:val="BodyTextIndent3"/>
        <w:widowControl w:val="0"/>
        <w:spacing w:line="480" w:lineRule="auto"/>
        <w:ind w:right="-24"/>
        <w:rPr>
          <w:szCs w:val="24"/>
        </w:rPr>
      </w:pPr>
      <w:r>
        <w:rPr>
          <w:szCs w:val="24"/>
        </w:rPr>
        <w:t xml:space="preserve">The first prong of the settlement test asks whether the negotiations over the settlement took place in an environment of sufficient conflict (i.e. “serious bargaining”) between signatories. </w:t>
      </w:r>
      <w:r w:rsidR="000062E8">
        <w:rPr>
          <w:szCs w:val="24"/>
        </w:rPr>
        <w:t xml:space="preserve"> Also, d</w:t>
      </w:r>
      <w:r>
        <w:rPr>
          <w:szCs w:val="24"/>
        </w:rPr>
        <w:t>iversity of interests is an important component to assure that a stipulation is reasonable.  The PUCO has found that when diverse interests are present, there is strong support for the reasonableness of a settlement package.</w:t>
      </w:r>
      <w:r>
        <w:rPr>
          <w:rStyle w:val="FootnoteReference"/>
          <w:szCs w:val="24"/>
        </w:rPr>
        <w:footnoteReference w:id="10"/>
      </w:r>
    </w:p>
    <w:p w:rsidR="00E6752E" w:rsidRDefault="00EE7580" w:rsidP="0015043F">
      <w:pPr>
        <w:pStyle w:val="BodyTextIndent3"/>
        <w:widowControl w:val="0"/>
        <w:spacing w:line="480" w:lineRule="auto"/>
        <w:ind w:right="-24"/>
        <w:rPr>
          <w:szCs w:val="24"/>
        </w:rPr>
      </w:pPr>
      <w:r>
        <w:rPr>
          <w:szCs w:val="24"/>
        </w:rPr>
        <w:t xml:space="preserve">But here the settlement was not the product of serious bargaining because the parties involved in the settlement did not have diverse interests.  </w:t>
      </w:r>
      <w:r w:rsidR="004418E8">
        <w:rPr>
          <w:szCs w:val="24"/>
        </w:rPr>
        <w:t>OCC Witness Slone testified that the proposed stipulation does not meet the first prong of the settlement test.  He testified that the proposed stipulation was an agreement between two parties with limited interests.</w:t>
      </w:r>
      <w:r w:rsidR="004418E8">
        <w:rPr>
          <w:rStyle w:val="FootnoteReference"/>
          <w:szCs w:val="24"/>
        </w:rPr>
        <w:footnoteReference w:id="11"/>
      </w:r>
    </w:p>
    <w:p w:rsidR="00EE7580" w:rsidRDefault="004418E8" w:rsidP="00EE7580">
      <w:pPr>
        <w:pStyle w:val="BodyTextIndent3"/>
        <w:widowControl w:val="0"/>
        <w:spacing w:line="480" w:lineRule="auto"/>
        <w:ind w:right="-24"/>
        <w:rPr>
          <w:szCs w:val="24"/>
        </w:rPr>
      </w:pPr>
      <w:r>
        <w:rPr>
          <w:szCs w:val="24"/>
        </w:rPr>
        <w:t>N</w:t>
      </w:r>
      <w:r w:rsidR="00EE7580">
        <w:rPr>
          <w:szCs w:val="24"/>
        </w:rPr>
        <w:t>or is there broad based support for the Stipulation.</w:t>
      </w:r>
      <w:r w:rsidR="004B4991">
        <w:rPr>
          <w:rStyle w:val="FootnoteReference"/>
          <w:szCs w:val="24"/>
        </w:rPr>
        <w:footnoteReference w:id="12"/>
      </w:r>
      <w:r w:rsidR="00EE7580">
        <w:rPr>
          <w:szCs w:val="24"/>
        </w:rPr>
        <w:t xml:space="preserve">  In fact, no representative of any customer participated, even though the Stipulation seeks the PUCO’s approval to charge other non-</w:t>
      </w:r>
      <w:r w:rsidR="000062E8">
        <w:rPr>
          <w:szCs w:val="24"/>
        </w:rPr>
        <w:t>stipulating</w:t>
      </w:r>
      <w:r w:rsidR="00EE7580">
        <w:rPr>
          <w:szCs w:val="24"/>
        </w:rPr>
        <w:t xml:space="preserve"> customers increased rates.</w:t>
      </w:r>
      <w:r w:rsidR="00EC76B4">
        <w:rPr>
          <w:rStyle w:val="FootnoteReference"/>
          <w:szCs w:val="24"/>
        </w:rPr>
        <w:footnoteReference w:id="13"/>
      </w:r>
    </w:p>
    <w:p w:rsidR="004A2C6A" w:rsidRDefault="00EE7580" w:rsidP="0009229F">
      <w:pPr>
        <w:pStyle w:val="BodyTextIndent3"/>
        <w:widowControl w:val="0"/>
        <w:spacing w:line="480" w:lineRule="auto"/>
        <w:ind w:right="-24"/>
        <w:rPr>
          <w:szCs w:val="24"/>
        </w:rPr>
      </w:pPr>
      <w:r>
        <w:rPr>
          <w:szCs w:val="24"/>
        </w:rPr>
        <w:t xml:space="preserve">Also, the negotiations between </w:t>
      </w:r>
      <w:r w:rsidR="00FE5D99">
        <w:rPr>
          <w:szCs w:val="24"/>
        </w:rPr>
        <w:t xml:space="preserve">the Customer </w:t>
      </w:r>
      <w:r>
        <w:rPr>
          <w:szCs w:val="24"/>
        </w:rPr>
        <w:t xml:space="preserve">and Ohio Power did not consider the interests of those who were not included in the negotiations.  By this time in the history of unique arrangements, Ohio Power is well acquainted with parties who have a diverse (different) view of paying subsidies to it. </w:t>
      </w:r>
      <w:r w:rsidR="00E851A9">
        <w:rPr>
          <w:szCs w:val="24"/>
        </w:rPr>
        <w:t xml:space="preserve"> Indeed, OCC was a party to the underlying unique arrangement case (Case No. 09-119-EL-AEC), from which the </w:t>
      </w:r>
      <w:r w:rsidR="00210976">
        <w:rPr>
          <w:szCs w:val="24"/>
        </w:rPr>
        <w:t>“</w:t>
      </w:r>
      <w:r w:rsidR="00E851A9">
        <w:rPr>
          <w:szCs w:val="24"/>
        </w:rPr>
        <w:t>billing dispute</w:t>
      </w:r>
      <w:r w:rsidR="00210976">
        <w:rPr>
          <w:szCs w:val="24"/>
        </w:rPr>
        <w:t>”</w:t>
      </w:r>
      <w:r w:rsidR="00E851A9">
        <w:rPr>
          <w:szCs w:val="24"/>
        </w:rPr>
        <w:t xml:space="preserve"> in this case arose.</w:t>
      </w:r>
      <w:r w:rsidR="004B4991">
        <w:rPr>
          <w:rStyle w:val="FootnoteReference"/>
          <w:szCs w:val="24"/>
        </w:rPr>
        <w:footnoteReference w:id="14"/>
      </w:r>
      <w:r w:rsidR="00E851A9">
        <w:rPr>
          <w:szCs w:val="24"/>
        </w:rPr>
        <w:t xml:space="preserve"> </w:t>
      </w:r>
      <w:r>
        <w:rPr>
          <w:szCs w:val="24"/>
        </w:rPr>
        <w:t xml:space="preserve"> </w:t>
      </w:r>
      <w:r w:rsidR="005C5C25">
        <w:rPr>
          <w:szCs w:val="24"/>
        </w:rPr>
        <w:t xml:space="preserve">And AEP </w:t>
      </w:r>
      <w:r w:rsidR="00F41788">
        <w:rPr>
          <w:szCs w:val="24"/>
        </w:rPr>
        <w:t xml:space="preserve">Ohio </w:t>
      </w:r>
      <w:r w:rsidR="005C5C25">
        <w:rPr>
          <w:szCs w:val="24"/>
        </w:rPr>
        <w:t>was clearly aware of the PUCO’s recent holding</w:t>
      </w:r>
      <w:r w:rsidR="004A2C6A">
        <w:rPr>
          <w:rStyle w:val="FootnoteReference"/>
          <w:szCs w:val="24"/>
        </w:rPr>
        <w:footnoteReference w:id="15"/>
      </w:r>
      <w:r w:rsidR="005C5C25">
        <w:rPr>
          <w:szCs w:val="24"/>
        </w:rPr>
        <w:t xml:space="preserve"> that </w:t>
      </w:r>
      <w:r w:rsidR="004A2C6A">
        <w:rPr>
          <w:szCs w:val="24"/>
        </w:rPr>
        <w:t>OCC may raise its concerns regarding allocation of delta revenue responsibility for unpaid bills at “the proper time.”</w:t>
      </w:r>
    </w:p>
    <w:p w:rsidR="007A3A05" w:rsidRDefault="002955B5" w:rsidP="007A3A05">
      <w:pPr>
        <w:pStyle w:val="BodyTextIndent3"/>
        <w:widowControl w:val="0"/>
        <w:spacing w:line="480" w:lineRule="auto"/>
        <w:ind w:right="-24"/>
        <w:rPr>
          <w:szCs w:val="24"/>
        </w:rPr>
      </w:pPr>
      <w:r>
        <w:rPr>
          <w:szCs w:val="24"/>
        </w:rPr>
        <w:t xml:space="preserve">Nonetheless, </w:t>
      </w:r>
      <w:r w:rsidR="00792879">
        <w:rPr>
          <w:szCs w:val="24"/>
        </w:rPr>
        <w:t xml:space="preserve">Mr. Allen testified that </w:t>
      </w:r>
      <w:r w:rsidR="0050478A">
        <w:rPr>
          <w:szCs w:val="24"/>
        </w:rPr>
        <w:t>AEP Ohio</w:t>
      </w:r>
      <w:r w:rsidR="00792879">
        <w:rPr>
          <w:szCs w:val="24"/>
        </w:rPr>
        <w:t xml:space="preserve"> had no duty to “reach out to OCC and include them in negotiations</w:t>
      </w:r>
      <w:r>
        <w:rPr>
          <w:szCs w:val="24"/>
        </w:rPr>
        <w:t>.</w:t>
      </w:r>
      <w:r w:rsidR="00792879">
        <w:rPr>
          <w:szCs w:val="24"/>
        </w:rPr>
        <w:t xml:space="preserve">” </w:t>
      </w:r>
      <w:r w:rsidR="0009229F">
        <w:rPr>
          <w:szCs w:val="24"/>
        </w:rPr>
        <w:t xml:space="preserve"> </w:t>
      </w:r>
      <w:r>
        <w:rPr>
          <w:szCs w:val="24"/>
        </w:rPr>
        <w:t>Mr. Allen concludes this because</w:t>
      </w:r>
      <w:r w:rsidR="00792879">
        <w:rPr>
          <w:szCs w:val="24"/>
        </w:rPr>
        <w:t xml:space="preserve"> OCC </w:t>
      </w:r>
      <w:r w:rsidR="004A2C6A">
        <w:rPr>
          <w:szCs w:val="24"/>
        </w:rPr>
        <w:t>was not</w:t>
      </w:r>
      <w:r w:rsidR="00792879">
        <w:rPr>
          <w:szCs w:val="24"/>
        </w:rPr>
        <w:t xml:space="preserve"> a party at the time the </w:t>
      </w:r>
      <w:r w:rsidR="007A3A05">
        <w:rPr>
          <w:szCs w:val="24"/>
        </w:rPr>
        <w:t>settlement discussions occurred.</w:t>
      </w:r>
      <w:r w:rsidR="00792879">
        <w:rPr>
          <w:rStyle w:val="FootnoteReference"/>
          <w:szCs w:val="24"/>
        </w:rPr>
        <w:footnoteReference w:id="16"/>
      </w:r>
    </w:p>
    <w:p w:rsidR="004B4991" w:rsidRDefault="00EE7580" w:rsidP="00B72F8F">
      <w:pPr>
        <w:pStyle w:val="BodyTextIndent3"/>
        <w:widowControl w:val="0"/>
        <w:spacing w:line="480" w:lineRule="auto"/>
        <w:ind w:right="-24"/>
        <w:rPr>
          <w:szCs w:val="24"/>
        </w:rPr>
      </w:pPr>
      <w:r>
        <w:rPr>
          <w:szCs w:val="24"/>
        </w:rPr>
        <w:t>An approach contemplated by the PUCO’s settlement standard</w:t>
      </w:r>
      <w:r w:rsidR="009B4892">
        <w:rPr>
          <w:szCs w:val="24"/>
        </w:rPr>
        <w:t xml:space="preserve">, and consistent with Civ. Rule 19, </w:t>
      </w:r>
      <w:r>
        <w:rPr>
          <w:szCs w:val="24"/>
        </w:rPr>
        <w:t>would have been for Ohio Power to invite diverse others</w:t>
      </w:r>
      <w:r w:rsidRPr="00850A60">
        <w:rPr>
          <w:szCs w:val="24"/>
        </w:rPr>
        <w:t xml:space="preserve"> </w:t>
      </w:r>
      <w:r>
        <w:rPr>
          <w:szCs w:val="24"/>
        </w:rPr>
        <w:t xml:space="preserve">(that Ohio Power </w:t>
      </w:r>
      <w:r w:rsidR="002D7BF6">
        <w:rPr>
          <w:szCs w:val="24"/>
        </w:rPr>
        <w:t xml:space="preserve">should have reasonably known </w:t>
      </w:r>
      <w:r>
        <w:rPr>
          <w:szCs w:val="24"/>
        </w:rPr>
        <w:t>to be interested) to the negotiation</w:t>
      </w:r>
      <w:r w:rsidR="00792879">
        <w:rPr>
          <w:szCs w:val="24"/>
        </w:rPr>
        <w:t xml:space="preserve"> once the negotiations turned to resolving issues </w:t>
      </w:r>
      <w:r w:rsidR="009B4892">
        <w:rPr>
          <w:szCs w:val="24"/>
        </w:rPr>
        <w:t xml:space="preserve">affecting </w:t>
      </w:r>
      <w:r w:rsidR="00792879">
        <w:rPr>
          <w:szCs w:val="24"/>
        </w:rPr>
        <w:t>others</w:t>
      </w:r>
      <w:r w:rsidR="009B4892">
        <w:rPr>
          <w:szCs w:val="24"/>
        </w:rPr>
        <w:t>.</w:t>
      </w:r>
      <w:r>
        <w:rPr>
          <w:szCs w:val="24"/>
        </w:rPr>
        <w:t xml:space="preserve">  But, this was not an open process where those who would be affected by the agreement (customers who were to pay the delta) were invited to attend.  </w:t>
      </w:r>
      <w:r w:rsidR="00EC76B4">
        <w:rPr>
          <w:szCs w:val="24"/>
        </w:rPr>
        <w:t>Mr. Slone testified that rather than inviting OCC and others into discussions, Ohio Power proceeded to sign a stipulation that laid the burden of the unpaid bills on other customers.</w:t>
      </w:r>
      <w:r w:rsidR="00EC76B4">
        <w:rPr>
          <w:rStyle w:val="FootnoteReference"/>
          <w:szCs w:val="24"/>
        </w:rPr>
        <w:footnoteReference w:id="17"/>
      </w:r>
      <w:r w:rsidR="00EC76B4">
        <w:rPr>
          <w:szCs w:val="24"/>
        </w:rPr>
        <w:t xml:space="preserve">  These were the very same customers who were excluded from settlement discussions.</w:t>
      </w:r>
      <w:r w:rsidR="00AE4236">
        <w:rPr>
          <w:szCs w:val="24"/>
        </w:rPr>
        <w:t xml:space="preserve">  </w:t>
      </w:r>
      <w:r w:rsidR="004B4991">
        <w:rPr>
          <w:szCs w:val="24"/>
        </w:rPr>
        <w:t>Mr. Allen does not dispute that OCC and others were excluded fr</w:t>
      </w:r>
      <w:r w:rsidR="0009229F">
        <w:rPr>
          <w:szCs w:val="24"/>
        </w:rPr>
        <w:t>om the Stipulation discussions.</w:t>
      </w:r>
    </w:p>
    <w:p w:rsidR="002019BA" w:rsidRDefault="00CF4534" w:rsidP="0015043F">
      <w:pPr>
        <w:pStyle w:val="BodyTextIndent3"/>
        <w:widowControl w:val="0"/>
        <w:spacing w:line="480" w:lineRule="auto"/>
        <w:ind w:right="-24"/>
        <w:rPr>
          <w:szCs w:val="24"/>
        </w:rPr>
      </w:pPr>
      <w:r>
        <w:rPr>
          <w:szCs w:val="24"/>
        </w:rPr>
        <w:t xml:space="preserve">In any event, OCC did </w:t>
      </w:r>
      <w:r w:rsidR="00FE5D99">
        <w:rPr>
          <w:szCs w:val="24"/>
        </w:rPr>
        <w:t xml:space="preserve">ultimately </w:t>
      </w:r>
      <w:r>
        <w:rPr>
          <w:szCs w:val="24"/>
        </w:rPr>
        <w:t>move to intervene.  And OCC did so within the time allowed by the PUCO</w:t>
      </w:r>
      <w:r w:rsidR="00FE5D99">
        <w:rPr>
          <w:szCs w:val="24"/>
        </w:rPr>
        <w:t>, under Ohio Admin. Code 4901-1-11</w:t>
      </w:r>
      <w:r>
        <w:rPr>
          <w:szCs w:val="24"/>
        </w:rPr>
        <w:t>.</w:t>
      </w:r>
      <w:r w:rsidR="00FE5D99">
        <w:rPr>
          <w:szCs w:val="24"/>
        </w:rPr>
        <w:t xml:space="preserve">  As such, the first prong of the settlement standard should be applied in the context of OCC’s</w:t>
      </w:r>
      <w:r w:rsidR="0065336C">
        <w:rPr>
          <w:szCs w:val="24"/>
        </w:rPr>
        <w:t xml:space="preserve"> timely</w:t>
      </w:r>
      <w:r w:rsidR="00FE5D99">
        <w:rPr>
          <w:szCs w:val="24"/>
        </w:rPr>
        <w:t xml:space="preserve"> intervention, </w:t>
      </w:r>
      <w:r w:rsidR="00623C7B">
        <w:rPr>
          <w:szCs w:val="24"/>
        </w:rPr>
        <w:t>meaning that the settlement does not include</w:t>
      </w:r>
      <w:r w:rsidR="00FE5D99">
        <w:rPr>
          <w:szCs w:val="24"/>
        </w:rPr>
        <w:t xml:space="preserve"> “diverse” interest</w:t>
      </w:r>
      <w:r w:rsidR="00623C7B">
        <w:rPr>
          <w:szCs w:val="24"/>
        </w:rPr>
        <w:t>s</w:t>
      </w:r>
      <w:r w:rsidR="00FE5D99">
        <w:rPr>
          <w:szCs w:val="24"/>
        </w:rPr>
        <w:t xml:space="preserve"> </w:t>
      </w:r>
      <w:r w:rsidR="00623C7B">
        <w:rPr>
          <w:szCs w:val="24"/>
        </w:rPr>
        <w:t>in the absence of OCC’s signature</w:t>
      </w:r>
      <w:r w:rsidR="00FE5D99">
        <w:rPr>
          <w:szCs w:val="24"/>
        </w:rPr>
        <w:t>.</w:t>
      </w:r>
      <w:r w:rsidR="0065336C">
        <w:rPr>
          <w:szCs w:val="24"/>
        </w:rPr>
        <w:t xml:space="preserve">  </w:t>
      </w:r>
      <w:r w:rsidR="00623C7B">
        <w:rPr>
          <w:szCs w:val="24"/>
        </w:rPr>
        <w:t>In other words, t</w:t>
      </w:r>
      <w:r w:rsidR="0065336C">
        <w:rPr>
          <w:szCs w:val="24"/>
        </w:rPr>
        <w:t xml:space="preserve">he </w:t>
      </w:r>
      <w:r w:rsidR="00583332">
        <w:rPr>
          <w:szCs w:val="24"/>
        </w:rPr>
        <w:t>settlement by</w:t>
      </w:r>
      <w:r w:rsidR="0065336C">
        <w:rPr>
          <w:szCs w:val="24"/>
        </w:rPr>
        <w:t xml:space="preserve"> the stipulators (AEP and its Customer) should be judged in the context of all the parties</w:t>
      </w:r>
      <w:r w:rsidR="003C5705">
        <w:rPr>
          <w:szCs w:val="24"/>
        </w:rPr>
        <w:t xml:space="preserve"> ultimately</w:t>
      </w:r>
      <w:r w:rsidR="00623C7B">
        <w:rPr>
          <w:szCs w:val="24"/>
        </w:rPr>
        <w:t xml:space="preserve"> in the case.  It should </w:t>
      </w:r>
      <w:r w:rsidR="0065336C">
        <w:rPr>
          <w:szCs w:val="24"/>
        </w:rPr>
        <w:t>not</w:t>
      </w:r>
      <w:r w:rsidR="00623C7B">
        <w:rPr>
          <w:szCs w:val="24"/>
        </w:rPr>
        <w:t xml:space="preserve"> be judged</w:t>
      </w:r>
      <w:r w:rsidR="0065336C">
        <w:rPr>
          <w:szCs w:val="24"/>
        </w:rPr>
        <w:t xml:space="preserve"> </w:t>
      </w:r>
      <w:r w:rsidR="00623C7B">
        <w:rPr>
          <w:szCs w:val="24"/>
        </w:rPr>
        <w:t xml:space="preserve">with reference to </w:t>
      </w:r>
      <w:r w:rsidR="0065336C">
        <w:rPr>
          <w:szCs w:val="24"/>
        </w:rPr>
        <w:t xml:space="preserve">just the parties </w:t>
      </w:r>
      <w:r w:rsidR="003C5705">
        <w:rPr>
          <w:szCs w:val="24"/>
        </w:rPr>
        <w:t>in the case when the two like-minded (non-diverse) parties concluded a settlement before others intervened</w:t>
      </w:r>
      <w:r>
        <w:rPr>
          <w:szCs w:val="24"/>
        </w:rPr>
        <w:t>.</w:t>
      </w:r>
      <w:r w:rsidR="00623C7B">
        <w:rPr>
          <w:szCs w:val="24"/>
        </w:rPr>
        <w:t xml:space="preserve">  </w:t>
      </w:r>
      <w:r w:rsidR="00F176CE">
        <w:rPr>
          <w:szCs w:val="24"/>
        </w:rPr>
        <w:t>If AEP’s approach to the three-part test is allowed, utilities may be filing more settlements with their applications to initiate cases, when there are no parties in a case to affect the outcome of settlements.</w:t>
      </w:r>
      <w:r w:rsidR="003C5705">
        <w:rPr>
          <w:szCs w:val="24"/>
        </w:rPr>
        <w:t xml:space="preserve">  That AEP and its Customer did not later secure </w:t>
      </w:r>
      <w:r w:rsidR="002019BA">
        <w:rPr>
          <w:szCs w:val="24"/>
        </w:rPr>
        <w:t xml:space="preserve">OCC’s </w:t>
      </w:r>
      <w:r w:rsidR="00623C7B">
        <w:rPr>
          <w:szCs w:val="24"/>
        </w:rPr>
        <w:t>signature</w:t>
      </w:r>
      <w:r w:rsidR="003C5705">
        <w:rPr>
          <w:szCs w:val="24"/>
        </w:rPr>
        <w:t xml:space="preserve"> for the settlement</w:t>
      </w:r>
      <w:r w:rsidR="00623C7B">
        <w:rPr>
          <w:szCs w:val="24"/>
        </w:rPr>
        <w:t xml:space="preserve"> or a revised settlement</w:t>
      </w:r>
      <w:r w:rsidR="003C5705">
        <w:rPr>
          <w:szCs w:val="24"/>
        </w:rPr>
        <w:t xml:space="preserve"> should be held against their satisfaction of the </w:t>
      </w:r>
      <w:r w:rsidR="00583332">
        <w:rPr>
          <w:szCs w:val="24"/>
        </w:rPr>
        <w:t xml:space="preserve">first prong of the </w:t>
      </w:r>
      <w:r w:rsidR="0009229F">
        <w:rPr>
          <w:szCs w:val="24"/>
        </w:rPr>
        <w:t>settlement standard.</w:t>
      </w:r>
    </w:p>
    <w:p w:rsidR="00FF7818" w:rsidRDefault="00EE7580" w:rsidP="0015043F">
      <w:pPr>
        <w:pStyle w:val="BodyTextIndent3"/>
        <w:widowControl w:val="0"/>
        <w:spacing w:line="480" w:lineRule="auto"/>
        <w:ind w:right="-24"/>
        <w:rPr>
          <w:szCs w:val="24"/>
        </w:rPr>
      </w:pPr>
      <w:r>
        <w:rPr>
          <w:szCs w:val="24"/>
        </w:rPr>
        <w:t xml:space="preserve">The exclusion of entire customer classes in settlement negotiations, especially when those customer classes may be charged increased rates, is wrong.  The oft-quoted Supreme Court footnote in the </w:t>
      </w:r>
      <w:r w:rsidRPr="000234B0">
        <w:rPr>
          <w:i/>
          <w:szCs w:val="24"/>
        </w:rPr>
        <w:t>Time Warner</w:t>
      </w:r>
      <w:r>
        <w:rPr>
          <w:szCs w:val="24"/>
        </w:rPr>
        <w:t xml:space="preserve"> case addresses the Court’s “grave concern”</w:t>
      </w:r>
      <w:r w:rsidR="002019BA">
        <w:rPr>
          <w:szCs w:val="24"/>
        </w:rPr>
        <w:t xml:space="preserve"> </w:t>
      </w:r>
      <w:r>
        <w:rPr>
          <w:szCs w:val="24"/>
        </w:rPr>
        <w:t>regarding partial stipulations arising from settlement talks “from which an entire customer class was intentionally excluded.”</w:t>
      </w:r>
      <w:r>
        <w:rPr>
          <w:rStyle w:val="FootnoteReference"/>
          <w:szCs w:val="24"/>
        </w:rPr>
        <w:footnoteReference w:id="18"/>
      </w:r>
    </w:p>
    <w:p w:rsidR="00FF7818" w:rsidRPr="00FF7818" w:rsidRDefault="00FF7818" w:rsidP="00DE0266">
      <w:pPr>
        <w:pStyle w:val="FootnoteText"/>
        <w:spacing w:line="480" w:lineRule="auto"/>
        <w:ind w:firstLine="720"/>
        <w:rPr>
          <w:sz w:val="24"/>
          <w:szCs w:val="24"/>
        </w:rPr>
      </w:pPr>
      <w:r w:rsidRPr="00FF7818">
        <w:rPr>
          <w:sz w:val="24"/>
          <w:szCs w:val="24"/>
        </w:rPr>
        <w:t>Although Mr. Allen testified that, on advice of Coun</w:t>
      </w:r>
      <w:r>
        <w:rPr>
          <w:sz w:val="24"/>
          <w:szCs w:val="24"/>
        </w:rPr>
        <w:t>s</w:t>
      </w:r>
      <w:r w:rsidRPr="00FF7818">
        <w:rPr>
          <w:sz w:val="24"/>
          <w:szCs w:val="24"/>
        </w:rPr>
        <w:t xml:space="preserve">el, the </w:t>
      </w:r>
      <w:r w:rsidRPr="00FF7818">
        <w:rPr>
          <w:i/>
          <w:sz w:val="24"/>
          <w:szCs w:val="24"/>
        </w:rPr>
        <w:t>Time Warner</w:t>
      </w:r>
      <w:r w:rsidRPr="00FF7818">
        <w:rPr>
          <w:sz w:val="24"/>
          <w:szCs w:val="24"/>
        </w:rPr>
        <w:t xml:space="preserve"> case is “non-binding” and does not serve as precedent,</w:t>
      </w:r>
      <w:r w:rsidRPr="00FF7818">
        <w:rPr>
          <w:rStyle w:val="FootnoteReference"/>
          <w:sz w:val="24"/>
          <w:szCs w:val="24"/>
        </w:rPr>
        <w:footnoteReference w:id="19"/>
      </w:r>
      <w:r w:rsidRPr="00FF7818">
        <w:rPr>
          <w:sz w:val="24"/>
          <w:szCs w:val="24"/>
        </w:rPr>
        <w:t xml:space="preserve"> </w:t>
      </w:r>
      <w:r>
        <w:rPr>
          <w:sz w:val="24"/>
          <w:szCs w:val="24"/>
        </w:rPr>
        <w:t xml:space="preserve">such a view ignores subsequent Ohio Supreme Court holdings and PUCO practice.  </w:t>
      </w:r>
      <w:r w:rsidR="00AE4236">
        <w:rPr>
          <w:sz w:val="24"/>
          <w:szCs w:val="24"/>
        </w:rPr>
        <w:t>For example, in</w:t>
      </w:r>
      <w:r>
        <w:rPr>
          <w:sz w:val="24"/>
          <w:szCs w:val="24"/>
        </w:rPr>
        <w:t xml:space="preserve"> </w:t>
      </w:r>
      <w:r w:rsidRPr="00AE4236">
        <w:rPr>
          <w:i/>
          <w:sz w:val="24"/>
          <w:szCs w:val="24"/>
        </w:rPr>
        <w:t>Ohio Consumers’ Counsel v. Pub. Util. Comm.</w:t>
      </w:r>
      <w:r>
        <w:rPr>
          <w:sz w:val="24"/>
          <w:szCs w:val="24"/>
        </w:rPr>
        <w:t xml:space="preserve">, 109 Ohio St.2d 328, 2006-Ohio-2110, the Court struck down a </w:t>
      </w:r>
      <w:r w:rsidR="00AE4236">
        <w:rPr>
          <w:sz w:val="24"/>
          <w:szCs w:val="24"/>
        </w:rPr>
        <w:t xml:space="preserve">partial </w:t>
      </w:r>
      <w:r>
        <w:rPr>
          <w:sz w:val="24"/>
          <w:szCs w:val="24"/>
        </w:rPr>
        <w:t xml:space="preserve">stipulation implementing a utility’s rate stabilization plan where </w:t>
      </w:r>
      <w:r w:rsidR="00AE4236">
        <w:rPr>
          <w:sz w:val="24"/>
          <w:szCs w:val="24"/>
        </w:rPr>
        <w:t>customer groups did not agree to the rates and did no</w:t>
      </w:r>
      <w:r w:rsidR="00DE0266">
        <w:rPr>
          <w:sz w:val="24"/>
          <w:szCs w:val="24"/>
        </w:rPr>
        <w:t xml:space="preserve">t participate in negotiations.  </w:t>
      </w:r>
      <w:r w:rsidR="00AE4236">
        <w:rPr>
          <w:sz w:val="24"/>
          <w:szCs w:val="24"/>
        </w:rPr>
        <w:t xml:space="preserve">Mr. Allen’s testimony in this respect is contrary to </w:t>
      </w:r>
      <w:r w:rsidR="00AE4236" w:rsidRPr="00AE4236">
        <w:rPr>
          <w:i/>
          <w:sz w:val="24"/>
          <w:szCs w:val="24"/>
        </w:rPr>
        <w:t>Ohio Consumers’ Counsel v. Pub. Util. Comm.</w:t>
      </w:r>
      <w:r w:rsidR="00AE4236">
        <w:rPr>
          <w:sz w:val="24"/>
          <w:szCs w:val="24"/>
        </w:rPr>
        <w:t xml:space="preserve">, and PUCO practice.  It should </w:t>
      </w:r>
      <w:r w:rsidR="00210976">
        <w:rPr>
          <w:sz w:val="24"/>
          <w:szCs w:val="24"/>
        </w:rPr>
        <w:t xml:space="preserve">not </w:t>
      </w:r>
      <w:r w:rsidR="00AE4236">
        <w:rPr>
          <w:sz w:val="24"/>
          <w:szCs w:val="24"/>
        </w:rPr>
        <w:t>be accorded any weight.</w:t>
      </w:r>
    </w:p>
    <w:p w:rsidR="00EE7580" w:rsidRDefault="00EE7580" w:rsidP="00E6752E">
      <w:pPr>
        <w:pStyle w:val="BodyTextIndent3"/>
        <w:widowControl w:val="0"/>
        <w:spacing w:line="480" w:lineRule="auto"/>
        <w:ind w:right="-24"/>
        <w:rPr>
          <w:szCs w:val="24"/>
        </w:rPr>
      </w:pPr>
      <w:r>
        <w:rPr>
          <w:szCs w:val="24"/>
        </w:rPr>
        <w:t>The lack of diverse interests for a settlement--where two parties who will not pay the rate increases “negotiate” an agreement that other</w:t>
      </w:r>
      <w:r w:rsidR="004B4991">
        <w:rPr>
          <w:szCs w:val="24"/>
        </w:rPr>
        <w:t>s</w:t>
      </w:r>
      <w:r>
        <w:rPr>
          <w:szCs w:val="24"/>
        </w:rPr>
        <w:t xml:space="preserve"> will pay the rate increases--should be fatal </w:t>
      </w:r>
      <w:r w:rsidR="00210976">
        <w:rPr>
          <w:szCs w:val="24"/>
        </w:rPr>
        <w:t xml:space="preserve">to </w:t>
      </w:r>
      <w:r>
        <w:rPr>
          <w:szCs w:val="24"/>
        </w:rPr>
        <w:t xml:space="preserve">the proposed settlement. </w:t>
      </w:r>
      <w:r w:rsidR="0009229F">
        <w:rPr>
          <w:szCs w:val="24"/>
        </w:rPr>
        <w:t xml:space="preserve"> </w:t>
      </w:r>
      <w:r>
        <w:rPr>
          <w:szCs w:val="24"/>
        </w:rPr>
        <w:t xml:space="preserve">The Stipulation and Recommendation fails under the first prong of the three-prong test.  </w:t>
      </w:r>
      <w:r w:rsidR="00210976">
        <w:rPr>
          <w:szCs w:val="24"/>
        </w:rPr>
        <w:t xml:space="preserve">Consequently, the </w:t>
      </w:r>
      <w:r>
        <w:rPr>
          <w:szCs w:val="24"/>
        </w:rPr>
        <w:t xml:space="preserve">PUCO should reject it.  </w:t>
      </w:r>
    </w:p>
    <w:p w:rsidR="00EE7580" w:rsidRPr="002C64BC" w:rsidRDefault="00EE7580" w:rsidP="008C13A3">
      <w:pPr>
        <w:pStyle w:val="Heading3"/>
      </w:pPr>
      <w:bookmarkStart w:id="7" w:name="_Toc382231041"/>
      <w:bookmarkStart w:id="8" w:name="_Toc389135306"/>
      <w:r w:rsidRPr="000E0A42">
        <w:t>The Stipulation as a package does not benefit the public and the public interest.</w:t>
      </w:r>
      <w:bookmarkEnd w:id="7"/>
      <w:bookmarkEnd w:id="8"/>
    </w:p>
    <w:p w:rsidR="00EE7580" w:rsidRDefault="005C6EBB" w:rsidP="00EE7580">
      <w:pPr>
        <w:spacing w:line="480" w:lineRule="auto"/>
        <w:ind w:firstLine="720"/>
      </w:pPr>
      <w:r>
        <w:t>OCC Witness Slone testified that t</w:t>
      </w:r>
      <w:r w:rsidR="00EE7580">
        <w:t>he Stipulation as a package does not benefit the public and the public interest.</w:t>
      </w:r>
      <w:r>
        <w:rPr>
          <w:rStyle w:val="FootnoteReference"/>
        </w:rPr>
        <w:footnoteReference w:id="20"/>
      </w:r>
      <w:r w:rsidR="00EE7580">
        <w:t xml:space="preserve">  It benefits only Ohio Power and </w:t>
      </w:r>
      <w:r w:rsidR="00DE0266">
        <w:t>the Customer’s</w:t>
      </w:r>
      <w:r w:rsidR="00EE7580">
        <w:t xml:space="preserve"> investors.  Since </w:t>
      </w:r>
      <w:r w:rsidR="002019BA">
        <w:t xml:space="preserve">the Customer </w:t>
      </w:r>
      <w:r w:rsidR="00EE7580">
        <w:t>has shut down operations</w:t>
      </w:r>
      <w:r w:rsidR="00A005C9">
        <w:t xml:space="preserve"> as of October 4, 2013</w:t>
      </w:r>
      <w:r w:rsidR="00EE7580">
        <w:t xml:space="preserve">, the </w:t>
      </w:r>
      <w:r w:rsidR="00907BE0">
        <w:t>$4.9</w:t>
      </w:r>
      <w:r w:rsidR="00272094">
        <w:t>8</w:t>
      </w:r>
      <w:r w:rsidR="00907BE0">
        <w:t xml:space="preserve"> million in additional </w:t>
      </w:r>
      <w:r w:rsidR="00EE7580">
        <w:t>subsidy</w:t>
      </w:r>
      <w:r>
        <w:t xml:space="preserve"> </w:t>
      </w:r>
      <w:r w:rsidR="00BC22EA">
        <w:t xml:space="preserve">that </w:t>
      </w:r>
      <w:r w:rsidR="00423C68">
        <w:t xml:space="preserve">other </w:t>
      </w:r>
      <w:r>
        <w:t>customers would pay under the Stipulation</w:t>
      </w:r>
      <w:r w:rsidR="00EE7580">
        <w:t xml:space="preserve"> does not provide economic benefits to employees and the community.  Both of these benefits underlie the PUCO’s </w:t>
      </w:r>
      <w:r w:rsidR="00907BE0">
        <w:t xml:space="preserve">initial </w:t>
      </w:r>
      <w:r w:rsidR="00EE7580">
        <w:t>approval of the unique arrangement.</w:t>
      </w:r>
      <w:r w:rsidR="00907BE0">
        <w:rPr>
          <w:rStyle w:val="FootnoteReference"/>
        </w:rPr>
        <w:footnoteReference w:id="21"/>
      </w:r>
      <w:r w:rsidR="00EE7580">
        <w:t xml:space="preserve">  Indeed, it appears that the unique arrangement is at an end </w:t>
      </w:r>
      <w:r w:rsidR="002D7BF6">
        <w:t xml:space="preserve">because </w:t>
      </w:r>
      <w:r w:rsidR="00EE7580">
        <w:t>the terms of the unique arrangement are no longer being followed.  One of those terms is the requirement for continuing employment of at least 650 employees at the Hannibal plant</w:t>
      </w:r>
      <w:r w:rsidR="00A005C9">
        <w:t>, a requirement that has not been met since October 4, 2013</w:t>
      </w:r>
      <w:r w:rsidR="00EE7580">
        <w:t>.</w:t>
      </w:r>
      <w:r w:rsidR="00EE7580">
        <w:rPr>
          <w:rStyle w:val="FootnoteReference"/>
        </w:rPr>
        <w:footnoteReference w:id="22"/>
      </w:r>
    </w:p>
    <w:p w:rsidR="0008467B" w:rsidRDefault="00907BE0" w:rsidP="00907BE0">
      <w:pPr>
        <w:spacing w:line="480" w:lineRule="auto"/>
        <w:ind w:firstLine="720"/>
      </w:pPr>
      <w:r>
        <w:t>Mr. Allen nonetheless testifies that the Stipulation benefits customers and the public interest.</w:t>
      </w:r>
      <w:r>
        <w:rPr>
          <w:rStyle w:val="FootnoteReference"/>
        </w:rPr>
        <w:footnoteReference w:id="23"/>
      </w:r>
      <w:r>
        <w:t xml:space="preserve">  Mr. Allen</w:t>
      </w:r>
      <w:r w:rsidR="00C412FD">
        <w:t>’s conclusion is based upon what he characterizes as an “</w:t>
      </w:r>
      <w:r>
        <w:t>obvious</w:t>
      </w:r>
      <w:r w:rsidR="00C412FD">
        <w:t>” but “unlikely”</w:t>
      </w:r>
      <w:r>
        <w:t xml:space="preserve"> </w:t>
      </w:r>
      <w:r w:rsidR="00C412FD">
        <w:t xml:space="preserve">benefit:  if </w:t>
      </w:r>
      <w:r>
        <w:t>AEP Ohio does recover some</w:t>
      </w:r>
      <w:r w:rsidR="00C412FD">
        <w:t xml:space="preserve">thing on </w:t>
      </w:r>
      <w:r>
        <w:t xml:space="preserve">its administrative claims in the Bankruptcy Court, it has committed to </w:t>
      </w:r>
      <w:r w:rsidR="00C412FD">
        <w:t>“</w:t>
      </w:r>
      <w:r>
        <w:t>refund any such recovery to ratepayers.</w:t>
      </w:r>
      <w:r w:rsidR="00C412FD">
        <w:t>”</w:t>
      </w:r>
      <w:r>
        <w:rPr>
          <w:rStyle w:val="FootnoteReference"/>
        </w:rPr>
        <w:footnoteReference w:id="24"/>
      </w:r>
      <w:r>
        <w:t xml:space="preserve">  In evaluating this alleged benefit, two points must be considered.  First, under AEP Ohio’s approach any </w:t>
      </w:r>
      <w:r w:rsidR="00C412FD">
        <w:t xml:space="preserve">refund </w:t>
      </w:r>
      <w:r>
        <w:t xml:space="preserve">to ratepayers will only occur </w:t>
      </w:r>
      <w:r w:rsidRPr="00D8655B">
        <w:rPr>
          <w:b/>
        </w:rPr>
        <w:t>after</w:t>
      </w:r>
      <w:r>
        <w:t xml:space="preserve"> AEP recovers $7,239,473 from </w:t>
      </w:r>
      <w:r w:rsidR="00136D29">
        <w:t xml:space="preserve">its Customer </w:t>
      </w:r>
      <w:r>
        <w:t>through the bankruptcy process</w:t>
      </w:r>
      <w:r w:rsidR="00B63693">
        <w:t xml:space="preserve"> – the amount AEP has not been permitted to </w:t>
      </w:r>
      <w:r w:rsidR="00F41788">
        <w:t>collect</w:t>
      </w:r>
      <w:r w:rsidR="00B63693">
        <w:t xml:space="preserve"> from other customers</w:t>
      </w:r>
      <w:r>
        <w:t>.</w:t>
      </w:r>
      <w:r>
        <w:rPr>
          <w:rStyle w:val="FootnoteReference"/>
        </w:rPr>
        <w:footnoteReference w:id="25"/>
      </w:r>
      <w:r>
        <w:t xml:space="preserve"> </w:t>
      </w:r>
      <w:r w:rsidR="0009229F">
        <w:t xml:space="preserve"> </w:t>
      </w:r>
      <w:r w:rsidR="005C1923">
        <w:t xml:space="preserve">Thus, AEP is not proposing to “refund </w:t>
      </w:r>
      <w:r w:rsidR="005C1923">
        <w:rPr>
          <w:b/>
          <w:i/>
        </w:rPr>
        <w:t xml:space="preserve">any </w:t>
      </w:r>
      <w:r w:rsidR="0009229F">
        <w:t>such recovery.”</w:t>
      </w:r>
    </w:p>
    <w:p w:rsidR="00907BE0" w:rsidRDefault="0008467B" w:rsidP="00907BE0">
      <w:pPr>
        <w:spacing w:line="480" w:lineRule="auto"/>
        <w:ind w:firstLine="720"/>
      </w:pPr>
      <w:r>
        <w:t xml:space="preserve">AEP </w:t>
      </w:r>
      <w:r w:rsidR="005C1923">
        <w:t>is only proposing to refund the amount recovered in excess of the first $7.24 million – which it proposes to keep for itself.</w:t>
      </w:r>
      <w:r w:rsidR="00B4249B">
        <w:rPr>
          <w:rStyle w:val="FootnoteReference"/>
        </w:rPr>
        <w:footnoteReference w:id="26"/>
      </w:r>
      <w:r w:rsidR="00907BE0">
        <w:t xml:space="preserve"> </w:t>
      </w:r>
      <w:r w:rsidR="0009229F">
        <w:t xml:space="preserve"> </w:t>
      </w:r>
      <w:r w:rsidR="00907BE0">
        <w:t>Second, to use Mr. Allen’s own words</w:t>
      </w:r>
      <w:r w:rsidR="004864D6">
        <w:t>,</w:t>
      </w:r>
      <w:r w:rsidR="00907BE0">
        <w:t xml:space="preserve"> such recovery is “</w:t>
      </w:r>
      <w:r w:rsidR="00907BE0" w:rsidRPr="00907BE0">
        <w:rPr>
          <w:i/>
        </w:rPr>
        <w:t>unlikely”</w:t>
      </w:r>
      <w:r w:rsidR="00907BE0">
        <w:t xml:space="preserve"> as it “continues to appear likely that administrative claims in bankruptcy will not be paid in full, if at all.”</w:t>
      </w:r>
      <w:r w:rsidR="00907BE0">
        <w:rPr>
          <w:rStyle w:val="FootnoteReference"/>
        </w:rPr>
        <w:footnoteReference w:id="27"/>
      </w:r>
      <w:r w:rsidR="00C412FD">
        <w:t xml:space="preserve">  Such unlikely and conditional benefits to the public and public interest do not fulfill the requirement that the stipulation benefits the p</w:t>
      </w:r>
      <w:r w:rsidR="0009229F">
        <w:t>ublic and the public interest.</w:t>
      </w:r>
    </w:p>
    <w:p w:rsidR="00EE7580" w:rsidRDefault="00EE7580" w:rsidP="00EE7580">
      <w:pPr>
        <w:spacing w:line="480" w:lineRule="auto"/>
        <w:ind w:firstLine="720"/>
      </w:pPr>
      <w:r>
        <w:t>Not only do customers not benefit,</w:t>
      </w:r>
      <w:r w:rsidR="004864D6" w:rsidDel="004864D6">
        <w:t xml:space="preserve"> </w:t>
      </w:r>
      <w:r>
        <w:t>they will actually be harmed under the Stipulation</w:t>
      </w:r>
      <w:r w:rsidR="004864D6">
        <w:t>, as OCC Witness Slone testified</w:t>
      </w:r>
      <w:r w:rsidR="005C5C25">
        <w:t xml:space="preserve">.  Customers will be forced to pay an </w:t>
      </w:r>
      <w:r>
        <w:t xml:space="preserve">additional </w:t>
      </w:r>
      <w:r w:rsidR="005C5C25">
        <w:t>subsidy of $4.98 million</w:t>
      </w:r>
      <w:r>
        <w:t>.</w:t>
      </w:r>
      <w:r w:rsidR="00C412FD">
        <w:rPr>
          <w:rStyle w:val="FootnoteReference"/>
        </w:rPr>
        <w:footnoteReference w:id="28"/>
      </w:r>
      <w:r>
        <w:t xml:space="preserve"> </w:t>
      </w:r>
      <w:r w:rsidR="0009229F">
        <w:t xml:space="preserve"> </w:t>
      </w:r>
      <w:r>
        <w:t xml:space="preserve">Charging customers for any additional </w:t>
      </w:r>
      <w:r w:rsidR="00B63693">
        <w:t xml:space="preserve">unpaid </w:t>
      </w:r>
      <w:r>
        <w:t>bil</w:t>
      </w:r>
      <w:r w:rsidR="00C23885">
        <w:t xml:space="preserve">ls </w:t>
      </w:r>
      <w:r>
        <w:t>would be unjust and unreasonable</w:t>
      </w:r>
      <w:r w:rsidR="00DC65DF">
        <w:t>.</w:t>
      </w:r>
      <w:r>
        <w:t xml:space="preserve">  As the </w:t>
      </w:r>
      <w:r w:rsidR="00F478EA">
        <w:t>PUCO</w:t>
      </w:r>
      <w:r>
        <w:t xml:space="preserve"> aptly noted back in 2009, the ability of </w:t>
      </w:r>
      <w:r w:rsidR="00B63693">
        <w:t xml:space="preserve">other </w:t>
      </w:r>
      <w:r>
        <w:t>customers to fund the delta revenues is not unlimited.</w:t>
      </w:r>
      <w:r>
        <w:rPr>
          <w:rStyle w:val="FootnoteReference"/>
        </w:rPr>
        <w:footnoteReference w:id="29"/>
      </w:r>
      <w:r>
        <w:t xml:space="preserve">  And</w:t>
      </w:r>
      <w:r w:rsidR="001675EF">
        <w:t>, in its October 2, 2013 Opinion and Order,</w:t>
      </w:r>
      <w:r>
        <w:t xml:space="preserve"> the </w:t>
      </w:r>
      <w:r w:rsidR="00C412FD">
        <w:t>PUCO</w:t>
      </w:r>
      <w:r w:rsidR="00D952DB">
        <w:t xml:space="preserve"> acknowledged the</w:t>
      </w:r>
      <w:r w:rsidR="0035445E">
        <w:t xml:space="preserve"> </w:t>
      </w:r>
      <w:r w:rsidR="00D952DB">
        <w:t xml:space="preserve">“significant” </w:t>
      </w:r>
      <w:r>
        <w:t>economic burden already imposed on Ohio Power’s customers who paid the subsidies</w:t>
      </w:r>
      <w:r w:rsidR="00D952DB">
        <w:t>.</w:t>
      </w:r>
      <w:r>
        <w:rPr>
          <w:rStyle w:val="FootnoteReference"/>
        </w:rPr>
        <w:footnoteReference w:id="30"/>
      </w:r>
    </w:p>
    <w:p w:rsidR="00BC4567" w:rsidRDefault="00BC4567" w:rsidP="00EE7580">
      <w:pPr>
        <w:spacing w:line="480" w:lineRule="auto"/>
        <w:ind w:firstLine="720"/>
      </w:pPr>
      <w:r>
        <w:t>The Stipulation fails to provide benefits to the public and is not in the public interest. It fails the second prong of the stipulation criteria.  The Stipulation should a</w:t>
      </w:r>
      <w:r w:rsidR="0009229F">
        <w:t>ccordingly be rejected.</w:t>
      </w:r>
    </w:p>
    <w:p w:rsidR="00EE7580" w:rsidRDefault="00EE7580" w:rsidP="008C13A3">
      <w:pPr>
        <w:pStyle w:val="Heading3"/>
      </w:pPr>
      <w:bookmarkStart w:id="9" w:name="_Toc382231042"/>
      <w:bookmarkStart w:id="10" w:name="_Toc389135307"/>
      <w:r w:rsidRPr="00A8223A">
        <w:t>The Stipulation violates important regulatory principles and practices.</w:t>
      </w:r>
      <w:bookmarkEnd w:id="9"/>
      <w:bookmarkEnd w:id="10"/>
    </w:p>
    <w:p w:rsidR="00F56F6A" w:rsidRDefault="009C5ECC" w:rsidP="009C5ECC">
      <w:pPr>
        <w:spacing w:line="480" w:lineRule="auto"/>
        <w:ind w:firstLine="720"/>
      </w:pPr>
      <w:r>
        <w:t xml:space="preserve">The Stipulation </w:t>
      </w:r>
      <w:r w:rsidR="00EE7580">
        <w:t xml:space="preserve">violates the first and second prongs of the test by disregarding the role and interests of customers in reaching a negotiated resolution. </w:t>
      </w:r>
      <w:r w:rsidR="0009229F">
        <w:t xml:space="preserve"> </w:t>
      </w:r>
      <w:r w:rsidR="00EE7580">
        <w:t>And</w:t>
      </w:r>
      <w:r w:rsidR="00F56F6A">
        <w:t xml:space="preserve">, as OCC Witness Slone testified, </w:t>
      </w:r>
      <w:r w:rsidR="00EE7580">
        <w:t>it also contravenes the third prong of the test</w:t>
      </w:r>
      <w:r w:rsidR="00F56F6A">
        <w:t>.</w:t>
      </w:r>
      <w:r w:rsidR="00F56F6A">
        <w:rPr>
          <w:rStyle w:val="FootnoteReference"/>
        </w:rPr>
        <w:footnoteReference w:id="31"/>
      </w:r>
    </w:p>
    <w:p w:rsidR="00EE7580" w:rsidRDefault="00F56F6A" w:rsidP="00EE7580">
      <w:pPr>
        <w:spacing w:line="480" w:lineRule="auto"/>
        <w:ind w:firstLine="720"/>
      </w:pPr>
      <w:r>
        <w:t>Mr. Slone testified that the Stipulation contravenes the PUCO’s August 21, 2013 Entry.  There</w:t>
      </w:r>
      <w:r w:rsidR="00B63693">
        <w:t>,</w:t>
      </w:r>
      <w:r>
        <w:t xml:space="preserve"> the PUCO indicated that </w:t>
      </w:r>
      <w:r w:rsidR="00136D29">
        <w:t xml:space="preserve">AEP’s Customer </w:t>
      </w:r>
      <w:r>
        <w:t>is not relieved of its obligation to pay the non-deferred portion of its electric bills.</w:t>
      </w:r>
      <w:r>
        <w:rPr>
          <w:rStyle w:val="FootnoteReference"/>
        </w:rPr>
        <w:footnoteReference w:id="32"/>
      </w:r>
      <w:r>
        <w:t xml:space="preserve">  Yet the Stipulation does exactly that—it relieves </w:t>
      </w:r>
      <w:r w:rsidR="00E516D2">
        <w:t xml:space="preserve">the Customer </w:t>
      </w:r>
      <w:r>
        <w:t>of its obligation to pay for its bills</w:t>
      </w:r>
      <w:r w:rsidR="00EE7580">
        <w:t>.</w:t>
      </w:r>
      <w:r>
        <w:rPr>
          <w:rStyle w:val="FootnoteReference"/>
        </w:rPr>
        <w:footnoteReference w:id="33"/>
      </w:r>
      <w:r>
        <w:t xml:space="preserve">  </w:t>
      </w:r>
    </w:p>
    <w:p w:rsidR="00F56F6A" w:rsidRDefault="00F56F6A" w:rsidP="00EE7580">
      <w:pPr>
        <w:spacing w:line="480" w:lineRule="auto"/>
        <w:ind w:firstLine="720"/>
      </w:pPr>
      <w:r>
        <w:t xml:space="preserve">Mr. Slone also testified that </w:t>
      </w:r>
      <w:r w:rsidR="00DC3440">
        <w:t xml:space="preserve">under </w:t>
      </w:r>
      <w:r>
        <w:t xml:space="preserve">the unique arrangement </w:t>
      </w:r>
      <w:r w:rsidR="00FC67B1">
        <w:t xml:space="preserve">the Customer </w:t>
      </w:r>
      <w:r>
        <w:t xml:space="preserve">had </w:t>
      </w:r>
      <w:r w:rsidR="00DC3440">
        <w:t>to maintain 650 full-time employees.</w:t>
      </w:r>
      <w:r w:rsidR="00DC3440">
        <w:rPr>
          <w:rStyle w:val="FootnoteReference"/>
        </w:rPr>
        <w:footnoteReference w:id="34"/>
      </w:r>
      <w:r w:rsidR="00DC3440">
        <w:t xml:space="preserve">  Since </w:t>
      </w:r>
      <w:r w:rsidR="00FC67B1">
        <w:t xml:space="preserve">it </w:t>
      </w:r>
      <w:r w:rsidR="00B63693">
        <w:t xml:space="preserve">failed </w:t>
      </w:r>
      <w:r w:rsidR="00DC3440">
        <w:t>to do so, the unique arrangement, as of October 4, 2013, ceased to exist.</w:t>
      </w:r>
      <w:r w:rsidR="00DC3440">
        <w:rPr>
          <w:rStyle w:val="FootnoteReference"/>
        </w:rPr>
        <w:footnoteReference w:id="35"/>
      </w:r>
      <w:r w:rsidR="00DC3440">
        <w:t xml:space="preserve">  With no reasonable arrangement, </w:t>
      </w:r>
      <w:r w:rsidR="00FC67B1">
        <w:t xml:space="preserve">the Customer </w:t>
      </w:r>
      <w:r w:rsidR="00DC65DF">
        <w:t>was obligated to pay</w:t>
      </w:r>
      <w:r w:rsidR="00D952DB">
        <w:t xml:space="preserve"> A</w:t>
      </w:r>
      <w:r w:rsidR="00DC3440">
        <w:t>EP Ohio’s existing tariff rate</w:t>
      </w:r>
      <w:r w:rsidR="00C23885">
        <w:t>.  With no reasonable arrangement, no delta revenues could a</w:t>
      </w:r>
      <w:r w:rsidR="00B63693">
        <w:t>ccrue</w:t>
      </w:r>
      <w:r w:rsidR="00DC3440">
        <w:t xml:space="preserve">.  </w:t>
      </w:r>
      <w:r w:rsidR="003E410E">
        <w:t xml:space="preserve">Thus, </w:t>
      </w:r>
      <w:r w:rsidR="00F478EA">
        <w:t xml:space="preserve">the $4.98 million is not </w:t>
      </w:r>
      <w:r w:rsidR="003E410E">
        <w:t>delta revenues for the PUCO to even consider in this proceeding.</w:t>
      </w:r>
    </w:p>
    <w:p w:rsidR="001765F1" w:rsidRDefault="00DC3440" w:rsidP="00EE7580">
      <w:pPr>
        <w:spacing w:line="480" w:lineRule="auto"/>
        <w:ind w:firstLine="720"/>
      </w:pPr>
      <w:r>
        <w:t xml:space="preserve">Additionally, the Stipulation violates the PUCO’s </w:t>
      </w:r>
      <w:r w:rsidR="00EE7580">
        <w:t>policy on bad debts</w:t>
      </w:r>
      <w:r w:rsidR="00D952DB">
        <w:t>.  The PUCO generally</w:t>
      </w:r>
      <w:r w:rsidR="00EE7580">
        <w:t xml:space="preserve"> makes the utility responsible for managing unpaid bills of customers while providing for recovery of uncollectible amounts through base rates.</w:t>
      </w:r>
      <w:r w:rsidR="00EE7580">
        <w:rPr>
          <w:rStyle w:val="FootnoteReference"/>
        </w:rPr>
        <w:footnoteReference w:id="36"/>
      </w:r>
      <w:r w:rsidR="00EE7580">
        <w:t xml:space="preserve">  OCC does not </w:t>
      </w:r>
      <w:r w:rsidR="001765F1">
        <w:t xml:space="preserve">address here, and does not </w:t>
      </w:r>
      <w:r w:rsidR="00EE7580">
        <w:t>concede</w:t>
      </w:r>
      <w:r w:rsidR="001765F1">
        <w:t>,</w:t>
      </w:r>
      <w:r w:rsidR="00EE7580">
        <w:t xml:space="preserve"> that </w:t>
      </w:r>
      <w:r w:rsidR="00AB06AD">
        <w:t xml:space="preserve">the Customer’s </w:t>
      </w:r>
      <w:r w:rsidR="00B63693">
        <w:t xml:space="preserve">unpaid bills </w:t>
      </w:r>
      <w:r w:rsidR="00EE7580">
        <w:t xml:space="preserve">would qualify for </w:t>
      </w:r>
      <w:r w:rsidR="001765F1">
        <w:t xml:space="preserve">rate </w:t>
      </w:r>
      <w:r w:rsidR="00B63693">
        <w:t xml:space="preserve">recognition in a future </w:t>
      </w:r>
      <w:r w:rsidR="00EE7580">
        <w:t xml:space="preserve">rate </w:t>
      </w:r>
      <w:r w:rsidR="00B63693">
        <w:t>proceeding</w:t>
      </w:r>
      <w:r w:rsidR="00EE7580">
        <w:t xml:space="preserve">.  But </w:t>
      </w:r>
      <w:r w:rsidR="001765F1">
        <w:t>a base rate proceeding is the appropriate f</w:t>
      </w:r>
      <w:r w:rsidR="004E56ED">
        <w:t>orum to address such an issue.</w:t>
      </w:r>
    </w:p>
    <w:p w:rsidR="00EE7580" w:rsidRDefault="00EE7580" w:rsidP="00EE7580">
      <w:pPr>
        <w:spacing w:line="480" w:lineRule="auto"/>
        <w:ind w:firstLine="720"/>
      </w:pPr>
      <w:r>
        <w:t>Ohio Power</w:t>
      </w:r>
      <w:r w:rsidR="001765F1">
        <w:t xml:space="preserve">’s proposal for </w:t>
      </w:r>
      <w:r>
        <w:t xml:space="preserve">special </w:t>
      </w:r>
      <w:r w:rsidR="001765F1">
        <w:t xml:space="preserve">rate </w:t>
      </w:r>
      <w:r>
        <w:t xml:space="preserve">treatment </w:t>
      </w:r>
      <w:r w:rsidR="001765F1">
        <w:t xml:space="preserve">of </w:t>
      </w:r>
      <w:r w:rsidR="00DC65DF">
        <w:t>one customer’s</w:t>
      </w:r>
      <w:r w:rsidR="001765F1">
        <w:t xml:space="preserve"> unpaid bills </w:t>
      </w:r>
      <w:r>
        <w:t>through a rider</w:t>
      </w:r>
      <w:r w:rsidR="001765F1">
        <w:t xml:space="preserve"> is not appropriate and would make </w:t>
      </w:r>
      <w:r w:rsidR="002D7BF6">
        <w:t xml:space="preserve">other </w:t>
      </w:r>
      <w:r w:rsidR="001765F1">
        <w:t>customers guarantors of Ohio Power’s bad debt</w:t>
      </w:r>
      <w:r>
        <w:t xml:space="preserve">.  The Stipulation would create for Ohio Power a dollar-for-dollar recovery of bad debts from customers, through a rider mechanism (the Economic Development Rider).  The Stipulation assumes that Ohio Power should be given extraordinary recovery of </w:t>
      </w:r>
      <w:r w:rsidR="00DC3440">
        <w:t>its customers’</w:t>
      </w:r>
      <w:r>
        <w:t xml:space="preserve"> bad debts.  Ohio Power should not be given </w:t>
      </w:r>
      <w:r w:rsidR="003E410E">
        <w:t xml:space="preserve">such special </w:t>
      </w:r>
      <w:r>
        <w:t xml:space="preserve">ratemaking </w:t>
      </w:r>
      <w:r w:rsidR="003E410E">
        <w:t xml:space="preserve">treatment </w:t>
      </w:r>
      <w:r>
        <w:t xml:space="preserve">at its </w:t>
      </w:r>
      <w:r w:rsidR="003E410E">
        <w:t xml:space="preserve">other </w:t>
      </w:r>
      <w:r>
        <w:t>customers’ expense.</w:t>
      </w:r>
      <w:r>
        <w:rPr>
          <w:rStyle w:val="FootnoteReference"/>
        </w:rPr>
        <w:footnoteReference w:id="37"/>
      </w:r>
    </w:p>
    <w:p w:rsidR="002A1710" w:rsidRDefault="001D7BDF" w:rsidP="00EE7580">
      <w:pPr>
        <w:spacing w:line="480" w:lineRule="auto"/>
        <w:ind w:firstLine="720"/>
      </w:pPr>
      <w:r>
        <w:t>Mr. Allen calls OCC’s claims on bad debt policy “marginally relevant, at best.”</w:t>
      </w:r>
      <w:r>
        <w:rPr>
          <w:rStyle w:val="FootnoteReference"/>
        </w:rPr>
        <w:footnoteReference w:id="38"/>
      </w:r>
      <w:r>
        <w:t xml:space="preserve"> </w:t>
      </w:r>
      <w:r w:rsidR="004E56ED">
        <w:t xml:space="preserve"> </w:t>
      </w:r>
      <w:r>
        <w:t>Mr. Allen also testifies that whatever general bad debt policy that exists is simply not applicable here.</w:t>
      </w:r>
      <w:r>
        <w:rPr>
          <w:rStyle w:val="FootnoteReference"/>
        </w:rPr>
        <w:footnoteReference w:id="39"/>
      </w:r>
      <w:r>
        <w:t xml:space="preserve">  Mr. Allen claims that the PUCO’s decision in </w:t>
      </w:r>
      <w:r w:rsidR="00082416">
        <w:t xml:space="preserve">Case </w:t>
      </w:r>
      <w:r>
        <w:t>09-119</w:t>
      </w:r>
      <w:r w:rsidR="003E410E">
        <w:t>-EL-AEC</w:t>
      </w:r>
      <w:r>
        <w:t xml:space="preserve"> </w:t>
      </w:r>
      <w:r w:rsidR="002A1710">
        <w:t xml:space="preserve">and its approved contract with </w:t>
      </w:r>
      <w:r w:rsidR="00082416">
        <w:t xml:space="preserve">its Customer </w:t>
      </w:r>
      <w:r w:rsidR="002A1710">
        <w:t>“are clear that all billed unpaid amounts are delta revenue.”</w:t>
      </w:r>
      <w:r w:rsidR="00F478EA">
        <w:rPr>
          <w:rStyle w:val="FootnoteReference"/>
        </w:rPr>
        <w:footnoteReference w:id="40"/>
      </w:r>
      <w:r w:rsidR="002A1710">
        <w:t xml:space="preserve">  </w:t>
      </w:r>
      <w:r w:rsidR="00503927">
        <w:t xml:space="preserve">Mr. Allen relies on an excerpt of the July 15, 2009 Opinion to support </w:t>
      </w:r>
      <w:r w:rsidR="00333AEE">
        <w:t>t</w:t>
      </w:r>
      <w:r w:rsidR="00503927">
        <w:t>his claim.  That excerpt states that “</w:t>
      </w:r>
      <w:r w:rsidR="00D952DB">
        <w:t>[a]</w:t>
      </w:r>
      <w:r w:rsidR="00503927">
        <w:t>t the end of the term of the unique arrangement, AEP-Ohio will be permitted to recover any remaining deferred amounts, including carrying charges through its economic development rider.”</w:t>
      </w:r>
      <w:r w:rsidR="00F478EA">
        <w:rPr>
          <w:rStyle w:val="FootnoteReference"/>
        </w:rPr>
        <w:footnoteReference w:id="41"/>
      </w:r>
      <w:r w:rsidR="00503927">
        <w:t xml:space="preserve">  Mr. Allen then points to the contract that defines delta revenues as including </w:t>
      </w:r>
      <w:r w:rsidR="004E56ED">
        <w:t>billed unpaid amounts.</w:t>
      </w:r>
    </w:p>
    <w:p w:rsidR="00F478EA" w:rsidRDefault="002B34ED" w:rsidP="00EE7580">
      <w:pPr>
        <w:spacing w:line="480" w:lineRule="auto"/>
        <w:ind w:firstLine="720"/>
      </w:pPr>
      <w:r>
        <w:t>But Mr. Allen’s interpretation is flawed.  The PUCO’s Order was issued on July 15, 2009.  As OCC Witness Slone points out</w:t>
      </w:r>
      <w:r w:rsidR="006307D3">
        <w:t>,</w:t>
      </w:r>
      <w:r w:rsidR="006307D3">
        <w:rPr>
          <w:rStyle w:val="FootnoteReference"/>
        </w:rPr>
        <w:footnoteReference w:id="42"/>
      </w:r>
      <w:r>
        <w:t xml:space="preserve"> the PUCO’s Order addressed the delta revenues and deferred amounts that were known then and created under the order.  The delta revenues being considered here</w:t>
      </w:r>
      <w:r w:rsidR="00B438B9">
        <w:t xml:space="preserve"> –unpaid bills by </w:t>
      </w:r>
      <w:r w:rsidR="00B06E20">
        <w:t xml:space="preserve">AEP’s Customer </w:t>
      </w:r>
      <w:r w:rsidR="00B438B9">
        <w:t>--</w:t>
      </w:r>
      <w:r>
        <w:t xml:space="preserve"> were not known then nor were they created under the </w:t>
      </w:r>
      <w:r w:rsidR="00B438B9">
        <w:t xml:space="preserve">July 15, 2009 </w:t>
      </w:r>
      <w:r>
        <w:t>Order</w:t>
      </w:r>
      <w:r w:rsidR="00333AEE">
        <w:t>, or any subsequent order</w:t>
      </w:r>
      <w:r>
        <w:t>.</w:t>
      </w:r>
      <w:r w:rsidR="00333AEE">
        <w:t xml:space="preserve">  They are simply unpaid bills of a customer</w:t>
      </w:r>
      <w:r w:rsidR="00F478EA">
        <w:t>.</w:t>
      </w:r>
    </w:p>
    <w:p w:rsidR="0011148E" w:rsidRDefault="002B34ED" w:rsidP="00EE7580">
      <w:pPr>
        <w:spacing w:line="480" w:lineRule="auto"/>
        <w:ind w:firstLine="720"/>
      </w:pPr>
      <w:r>
        <w:t xml:space="preserve">This point is reinforced by the fact that </w:t>
      </w:r>
      <w:r w:rsidR="008C6B2D">
        <w:t xml:space="preserve">the Customer </w:t>
      </w:r>
      <w:r>
        <w:t xml:space="preserve">specifically sought permission from the PUCO to defer paying </w:t>
      </w:r>
      <w:r w:rsidR="00333AEE">
        <w:t xml:space="preserve">certain </w:t>
      </w:r>
      <w:r>
        <w:t>bills</w:t>
      </w:r>
      <w:r w:rsidR="00333AEE">
        <w:t>.  Those deferral requests were specifically reviewed by the PUCO in earlier proceedings</w:t>
      </w:r>
      <w:r>
        <w:t xml:space="preserve">.  </w:t>
      </w:r>
      <w:r w:rsidR="00B438B9">
        <w:t xml:space="preserve">And </w:t>
      </w:r>
      <w:r w:rsidR="00FD2895">
        <w:t xml:space="preserve">in its October 17, 2012 Order </w:t>
      </w:r>
      <w:r w:rsidR="00B438B9">
        <w:t xml:space="preserve">the PUCO ruled that Ormet should be permitted to defer paying its </w:t>
      </w:r>
      <w:r w:rsidR="00333AEE">
        <w:t xml:space="preserve">October and November 2012 </w:t>
      </w:r>
      <w:r w:rsidR="00B438B9">
        <w:t xml:space="preserve">bills, </w:t>
      </w:r>
      <w:r w:rsidR="00FD2895">
        <w:t xml:space="preserve">but </w:t>
      </w:r>
      <w:r w:rsidR="00B438B9">
        <w:t xml:space="preserve">expressly ruled that AEP-Ohio could only defer $20 million of </w:t>
      </w:r>
      <w:r w:rsidR="003E410E">
        <w:t xml:space="preserve">such </w:t>
      </w:r>
      <w:r w:rsidR="00503927">
        <w:t>billed unpaid amounts</w:t>
      </w:r>
      <w:r w:rsidR="00B438B9">
        <w:t>.</w:t>
      </w:r>
      <w:r w:rsidR="00B438B9">
        <w:rPr>
          <w:rStyle w:val="FootnoteReference"/>
        </w:rPr>
        <w:footnoteReference w:id="43"/>
      </w:r>
      <w:r w:rsidR="00B438B9">
        <w:t xml:space="preserve">  Had the July 15, 2009 Order already addressed this issue (as claimed by Mr. Allen), then the PUCO</w:t>
      </w:r>
      <w:r w:rsidR="00460BA0">
        <w:t>’s October 17, 2012 order</w:t>
      </w:r>
      <w:r w:rsidR="00B438B9">
        <w:t xml:space="preserve"> would have been an unnecessary Order</w:t>
      </w:r>
      <w:r w:rsidR="004E56ED">
        <w:t>.</w:t>
      </w:r>
    </w:p>
    <w:p w:rsidR="004C0646" w:rsidRDefault="004C0646" w:rsidP="004C0646">
      <w:pPr>
        <w:spacing w:line="480" w:lineRule="auto"/>
        <w:ind w:firstLine="720"/>
      </w:pPr>
      <w:r>
        <w:t>For these reasons the PUCO should find that the third prong of the settlement criteria is not met.  The PUCO should decl</w:t>
      </w:r>
      <w:r w:rsidR="004E56ED">
        <w:t>ine to approve the Settlement.</w:t>
      </w:r>
    </w:p>
    <w:p w:rsidR="003D073A" w:rsidRDefault="003D073A" w:rsidP="0063656C">
      <w:pPr>
        <w:pStyle w:val="Heading2"/>
      </w:pPr>
      <w:bookmarkStart w:id="11" w:name="_Toc389135308"/>
      <w:r>
        <w:t xml:space="preserve">The Stipulation </w:t>
      </w:r>
      <w:r w:rsidR="00E6752E">
        <w:t xml:space="preserve">Amounts To A Belated Application For Rehearing That Contravenes </w:t>
      </w:r>
      <w:r>
        <w:t>R</w:t>
      </w:r>
      <w:r w:rsidR="00E6752E">
        <w:t>.</w:t>
      </w:r>
      <w:r>
        <w:t>C</w:t>
      </w:r>
      <w:r w:rsidR="00E6752E">
        <w:t xml:space="preserve">. 4903.10.  </w:t>
      </w:r>
      <w:r>
        <w:t xml:space="preserve">It </w:t>
      </w:r>
      <w:r w:rsidR="00E6752E">
        <w:t>Must Be Rejected.</w:t>
      </w:r>
      <w:bookmarkEnd w:id="11"/>
      <w:r w:rsidR="00E6752E">
        <w:t xml:space="preserve"> </w:t>
      </w:r>
    </w:p>
    <w:p w:rsidR="003D073A" w:rsidRDefault="003D073A" w:rsidP="00C74F92">
      <w:pPr>
        <w:spacing w:line="480" w:lineRule="auto"/>
        <w:ind w:firstLine="720"/>
      </w:pPr>
      <w:r>
        <w:t xml:space="preserve">Mr. Allen testified that the PUCO’s July 15, 2009 decision and its approved contract with </w:t>
      </w:r>
      <w:r w:rsidR="008C6B2D">
        <w:t xml:space="preserve">its Customer </w:t>
      </w:r>
      <w:r>
        <w:t>“are clear that all billed unpaid amounts are delta revenue.”</w:t>
      </w:r>
      <w:r>
        <w:rPr>
          <w:rStyle w:val="FootnoteReference"/>
        </w:rPr>
        <w:footnoteReference w:id="44"/>
      </w:r>
      <w:r>
        <w:t xml:space="preserve">  But his interpretation does not square with the PUCO’s October 17, 2012 </w:t>
      </w:r>
      <w:r w:rsidR="00C74F92">
        <w:t>Entry</w:t>
      </w:r>
      <w:r>
        <w:t xml:space="preserve">.  In that </w:t>
      </w:r>
      <w:r w:rsidR="00C74F92">
        <w:t>Entry</w:t>
      </w:r>
      <w:r>
        <w:t xml:space="preserve"> the PUCO ruled that Ormet should be permitted to defer paying its bills, but </w:t>
      </w:r>
      <w:r w:rsidR="007C1DE1">
        <w:t xml:space="preserve">also determined </w:t>
      </w:r>
      <w:r>
        <w:t xml:space="preserve">that AEP </w:t>
      </w:r>
      <w:r w:rsidR="00F478EA">
        <w:t xml:space="preserve">Ohio </w:t>
      </w:r>
      <w:r>
        <w:t>could only defer as delta revenues $20 million of Ormet’s billed unpaid amounts:  “With regard to Ormet’s request that any missed deferred payment be treated as delta revenue, we grant the request subject to the $20 million cap.”</w:t>
      </w:r>
      <w:r w:rsidR="00DC65DF">
        <w:rPr>
          <w:rStyle w:val="FootnoteReference"/>
        </w:rPr>
        <w:footnoteReference w:id="45"/>
      </w:r>
      <w:r>
        <w:t xml:space="preserve">  That meant that Ormet’s billed unpaid amounts over and above $20 million could not be treated as delta revenues.  Thus, the PUCO’s October 17, 2012 </w:t>
      </w:r>
      <w:r w:rsidR="00C74F92">
        <w:t>Entry</w:t>
      </w:r>
      <w:r>
        <w:t xml:space="preserve"> is inconsistent with Mr. Allen’s interpretation of the July 15, 2009 Order.  </w:t>
      </w:r>
      <w:r w:rsidR="007C1DE1">
        <w:t xml:space="preserve">By </w:t>
      </w:r>
      <w:r>
        <w:t>limiting</w:t>
      </w:r>
      <w:r w:rsidR="008C6B2D">
        <w:t xml:space="preserve"> to $20 million what </w:t>
      </w:r>
      <w:r>
        <w:t>AEP Ohio</w:t>
      </w:r>
      <w:r w:rsidR="008C6B2D">
        <w:t xml:space="preserve"> can charge customers for</w:t>
      </w:r>
      <w:r>
        <w:t xml:space="preserve"> recovery of billed unpaid amounts, the PUCO pre-determined that Mr. Allen’s position that all billed unpaid amounts are d</w:t>
      </w:r>
      <w:r w:rsidR="004E56ED">
        <w:t>elta revenue is simply wrong.</w:t>
      </w:r>
    </w:p>
    <w:p w:rsidR="003D073A" w:rsidRPr="003B633C" w:rsidRDefault="003D073A" w:rsidP="00C74F92">
      <w:pPr>
        <w:spacing w:line="480" w:lineRule="auto"/>
        <w:ind w:right="720" w:firstLine="720"/>
      </w:pPr>
      <w:r w:rsidRPr="003B633C">
        <w:t xml:space="preserve">Notably, AEP Ohio failed to seek rehearing of the PUCO’s October 17, 2012 </w:t>
      </w:r>
      <w:r w:rsidR="00C74F92">
        <w:t>Entry</w:t>
      </w:r>
      <w:r w:rsidRPr="003B633C">
        <w:t xml:space="preserve"> that limited </w:t>
      </w:r>
      <w:r w:rsidR="008C6B2D">
        <w:t>what it could charge customers for its</w:t>
      </w:r>
      <w:r w:rsidRPr="003B633C">
        <w:t xml:space="preserve"> unpaid bills. </w:t>
      </w:r>
      <w:r w:rsidR="005236AB">
        <w:t xml:space="preserve"> </w:t>
      </w:r>
      <w:r w:rsidRPr="003B633C">
        <w:t xml:space="preserve">Yet under Mr. Allen’s view, that PUCO </w:t>
      </w:r>
      <w:r w:rsidR="00C74F92">
        <w:t>Entry</w:t>
      </w:r>
      <w:r w:rsidRPr="003B633C">
        <w:t xml:space="preserve"> was inconsistent with and contradicted the July 15, 2009 Order and contract.  Essentially then, in this stipulation AEP Ohio is seeking a belated rehearing of the PUCO’s October 17, 2012 </w:t>
      </w:r>
      <w:r w:rsidR="00C74F92">
        <w:t>Entry</w:t>
      </w:r>
      <w:r w:rsidRPr="003B633C">
        <w:t xml:space="preserve">.  Mr. Allen wants the PUCO to change its October 17, 2012 ruling to permit </w:t>
      </w:r>
      <w:r w:rsidR="00580229">
        <w:t xml:space="preserve">AEP Ohio </w:t>
      </w:r>
      <w:r w:rsidRPr="003B633C">
        <w:t>to collect $4.98 million mo</w:t>
      </w:r>
      <w:r w:rsidR="005236AB">
        <w:t>re of Ormet’s unpaid bills.</w:t>
      </w:r>
    </w:p>
    <w:p w:rsidR="003D073A" w:rsidRPr="0015043F" w:rsidRDefault="003D073A" w:rsidP="00C74F92">
      <w:pPr>
        <w:autoSpaceDE w:val="0"/>
        <w:autoSpaceDN w:val="0"/>
        <w:adjustRightInd w:val="0"/>
        <w:spacing w:line="480" w:lineRule="auto"/>
        <w:ind w:firstLine="720"/>
        <w:rPr>
          <w:rFonts w:eastAsiaTheme="minorHAnsi"/>
          <w:szCs w:val="24"/>
        </w:rPr>
      </w:pPr>
      <w:r w:rsidRPr="0015043F">
        <w:rPr>
          <w:rFonts w:eastAsiaTheme="minorHAnsi"/>
          <w:szCs w:val="24"/>
        </w:rPr>
        <w:t xml:space="preserve">But the time to seek a change the PUCO’s October 17, 2012 ruling has long passed.  R.C. 4903.10 requires that an application for rehearing shall be filed within thirty days after the </w:t>
      </w:r>
      <w:r w:rsidR="00C74F92">
        <w:rPr>
          <w:rFonts w:eastAsiaTheme="minorHAnsi"/>
          <w:szCs w:val="24"/>
        </w:rPr>
        <w:t>Entry</w:t>
      </w:r>
      <w:r w:rsidRPr="0015043F">
        <w:rPr>
          <w:rFonts w:eastAsiaTheme="minorHAnsi"/>
          <w:szCs w:val="24"/>
        </w:rPr>
        <w:t xml:space="preserve"> has been entered on the journal of the</w:t>
      </w:r>
      <w:r w:rsidR="00F478EA" w:rsidRPr="0015043F">
        <w:rPr>
          <w:rFonts w:eastAsiaTheme="minorHAnsi"/>
          <w:szCs w:val="24"/>
        </w:rPr>
        <w:t xml:space="preserve"> PUCO</w:t>
      </w:r>
      <w:r w:rsidRPr="0015043F">
        <w:rPr>
          <w:rFonts w:eastAsiaTheme="minorHAnsi"/>
          <w:szCs w:val="24"/>
        </w:rPr>
        <w:t xml:space="preserve">. Further, the statute specifies that “[n]o cause of action arising out of any order of the commission, other than in support of the order, shall accrue in any court to any person, firm, or corporation unless such person, firm, or corporation has made a proper application to the commission for rehearing.” </w:t>
      </w:r>
      <w:r w:rsidR="005236AB">
        <w:rPr>
          <w:rFonts w:eastAsiaTheme="minorHAnsi"/>
          <w:szCs w:val="24"/>
        </w:rPr>
        <w:t xml:space="preserve"> </w:t>
      </w:r>
      <w:r w:rsidRPr="0015043F">
        <w:rPr>
          <w:rFonts w:eastAsiaTheme="minorHAnsi"/>
          <w:szCs w:val="24"/>
        </w:rPr>
        <w:t>A “proper application” is one that meets, inter alia, the thirty-day deadline for rehearing.</w:t>
      </w:r>
    </w:p>
    <w:p w:rsidR="003D073A" w:rsidRPr="0015043F" w:rsidRDefault="003D073A" w:rsidP="00C74F92">
      <w:pPr>
        <w:autoSpaceDE w:val="0"/>
        <w:autoSpaceDN w:val="0"/>
        <w:adjustRightInd w:val="0"/>
        <w:spacing w:line="480" w:lineRule="auto"/>
        <w:ind w:firstLine="720"/>
        <w:rPr>
          <w:rFonts w:eastAsiaTheme="minorHAnsi"/>
          <w:szCs w:val="24"/>
        </w:rPr>
      </w:pPr>
      <w:r w:rsidRPr="0015043F">
        <w:rPr>
          <w:rFonts w:eastAsiaTheme="minorHAnsi"/>
          <w:szCs w:val="24"/>
        </w:rPr>
        <w:t xml:space="preserve">AEP Ohio, however, did not apply for rehearing of the October 17, 2012 </w:t>
      </w:r>
      <w:r w:rsidR="00C74F92">
        <w:rPr>
          <w:rFonts w:eastAsiaTheme="minorHAnsi"/>
          <w:szCs w:val="24"/>
        </w:rPr>
        <w:t>Entry</w:t>
      </w:r>
      <w:r w:rsidRPr="0015043F">
        <w:rPr>
          <w:rFonts w:eastAsiaTheme="minorHAnsi"/>
          <w:szCs w:val="24"/>
        </w:rPr>
        <w:t xml:space="preserve"> within the thirty-day period of the statute. </w:t>
      </w:r>
      <w:r w:rsidR="005236AB">
        <w:rPr>
          <w:rFonts w:eastAsiaTheme="minorHAnsi"/>
          <w:szCs w:val="24"/>
        </w:rPr>
        <w:t xml:space="preserve"> </w:t>
      </w:r>
      <w:r w:rsidRPr="0015043F">
        <w:rPr>
          <w:rFonts w:eastAsiaTheme="minorHAnsi"/>
          <w:szCs w:val="24"/>
        </w:rPr>
        <w:t xml:space="preserve">It failed to make a proper application for rehearing to the </w:t>
      </w:r>
      <w:r w:rsidR="00F478EA" w:rsidRPr="0015043F">
        <w:rPr>
          <w:rFonts w:eastAsiaTheme="minorHAnsi"/>
          <w:szCs w:val="24"/>
        </w:rPr>
        <w:t>PUCO</w:t>
      </w:r>
      <w:r w:rsidRPr="0015043F">
        <w:rPr>
          <w:rFonts w:eastAsiaTheme="minorHAnsi"/>
          <w:szCs w:val="24"/>
        </w:rPr>
        <w:t xml:space="preserve">.  AEP Ohio cannot </w:t>
      </w:r>
      <w:r w:rsidR="002D7BF6" w:rsidRPr="0015043F">
        <w:rPr>
          <w:rFonts w:eastAsiaTheme="minorHAnsi"/>
          <w:szCs w:val="24"/>
        </w:rPr>
        <w:t xml:space="preserve">circumvent </w:t>
      </w:r>
      <w:r w:rsidRPr="0015043F">
        <w:rPr>
          <w:rFonts w:eastAsiaTheme="minorHAnsi"/>
          <w:szCs w:val="24"/>
        </w:rPr>
        <w:t>the requirements of the law.</w:t>
      </w:r>
      <w:r w:rsidRPr="0015043F">
        <w:rPr>
          <w:rStyle w:val="FootnoteReference"/>
          <w:rFonts w:eastAsiaTheme="minorHAnsi"/>
          <w:szCs w:val="24"/>
        </w:rPr>
        <w:footnoteReference w:id="46"/>
      </w:r>
      <w:r w:rsidRPr="0015043F">
        <w:rPr>
          <w:rFonts w:eastAsiaTheme="minorHAnsi"/>
          <w:szCs w:val="24"/>
        </w:rPr>
        <w:t xml:space="preserve">  The </w:t>
      </w:r>
      <w:r w:rsidR="00F478EA" w:rsidRPr="0015043F">
        <w:rPr>
          <w:rFonts w:eastAsiaTheme="minorHAnsi"/>
          <w:szCs w:val="24"/>
        </w:rPr>
        <w:t>PUCO</w:t>
      </w:r>
      <w:r w:rsidRPr="0015043F">
        <w:rPr>
          <w:rFonts w:eastAsiaTheme="minorHAnsi"/>
          <w:szCs w:val="24"/>
        </w:rPr>
        <w:t xml:space="preserve"> should treat the stipulation</w:t>
      </w:r>
      <w:r w:rsidR="0015376B" w:rsidRPr="0015043F">
        <w:rPr>
          <w:rFonts w:eastAsiaTheme="minorHAnsi"/>
          <w:szCs w:val="24"/>
        </w:rPr>
        <w:t>,</w:t>
      </w:r>
      <w:r w:rsidRPr="0015043F">
        <w:rPr>
          <w:rFonts w:eastAsiaTheme="minorHAnsi"/>
          <w:szCs w:val="24"/>
        </w:rPr>
        <w:t xml:space="preserve"> </w:t>
      </w:r>
      <w:r w:rsidR="0015376B" w:rsidRPr="0015043F">
        <w:rPr>
          <w:rFonts w:eastAsiaTheme="minorHAnsi"/>
          <w:szCs w:val="24"/>
        </w:rPr>
        <w:t xml:space="preserve">that </w:t>
      </w:r>
      <w:r w:rsidRPr="0015043F">
        <w:rPr>
          <w:rFonts w:eastAsiaTheme="minorHAnsi"/>
          <w:szCs w:val="24"/>
        </w:rPr>
        <w:t>seek</w:t>
      </w:r>
      <w:r w:rsidR="0015376B" w:rsidRPr="0015043F">
        <w:rPr>
          <w:rFonts w:eastAsiaTheme="minorHAnsi"/>
          <w:szCs w:val="24"/>
        </w:rPr>
        <w:t>s</w:t>
      </w:r>
      <w:r w:rsidRPr="0015043F">
        <w:rPr>
          <w:rFonts w:eastAsiaTheme="minorHAnsi"/>
          <w:szCs w:val="24"/>
        </w:rPr>
        <w:t xml:space="preserve"> to </w:t>
      </w:r>
      <w:r w:rsidR="0015376B" w:rsidRPr="0015043F">
        <w:rPr>
          <w:rFonts w:eastAsiaTheme="minorHAnsi"/>
          <w:szCs w:val="24"/>
        </w:rPr>
        <w:t xml:space="preserve">charge customers for </w:t>
      </w:r>
      <w:r w:rsidRPr="0015043F">
        <w:rPr>
          <w:rFonts w:eastAsiaTheme="minorHAnsi"/>
          <w:szCs w:val="24"/>
        </w:rPr>
        <w:t xml:space="preserve">more unpaid bills from </w:t>
      </w:r>
      <w:r w:rsidR="00FA4507" w:rsidRPr="0015043F">
        <w:rPr>
          <w:rFonts w:eastAsiaTheme="minorHAnsi"/>
          <w:szCs w:val="24"/>
        </w:rPr>
        <w:t xml:space="preserve">Ormet, </w:t>
      </w:r>
      <w:r w:rsidRPr="0015043F">
        <w:rPr>
          <w:rFonts w:eastAsiaTheme="minorHAnsi"/>
          <w:szCs w:val="24"/>
        </w:rPr>
        <w:t xml:space="preserve">as a late-filed application for rehearing. </w:t>
      </w:r>
      <w:r w:rsidR="005236AB">
        <w:rPr>
          <w:rFonts w:eastAsiaTheme="minorHAnsi"/>
          <w:szCs w:val="24"/>
        </w:rPr>
        <w:t xml:space="preserve"> </w:t>
      </w:r>
      <w:r w:rsidRPr="0015043F">
        <w:rPr>
          <w:rFonts w:eastAsiaTheme="minorHAnsi"/>
          <w:szCs w:val="24"/>
        </w:rPr>
        <w:t>“The logic of words should yield to the logic of realities.”</w:t>
      </w:r>
      <w:r w:rsidRPr="0015043F">
        <w:rPr>
          <w:rStyle w:val="FootnoteReference"/>
          <w:rFonts w:eastAsiaTheme="minorHAnsi"/>
          <w:szCs w:val="24"/>
        </w:rPr>
        <w:footnoteReference w:id="47"/>
      </w:r>
      <w:r w:rsidRPr="0015043F">
        <w:rPr>
          <w:rFonts w:eastAsiaTheme="minorHAnsi"/>
          <w:b/>
          <w:bCs/>
          <w:szCs w:val="24"/>
        </w:rPr>
        <w:t xml:space="preserve">  </w:t>
      </w:r>
      <w:r w:rsidRPr="0015043F">
        <w:rPr>
          <w:rFonts w:eastAsiaTheme="minorHAnsi"/>
          <w:szCs w:val="24"/>
        </w:rPr>
        <w:t>The reality is that this amounts to an untimely application for rehearing.</w:t>
      </w:r>
    </w:p>
    <w:p w:rsidR="003D073A" w:rsidRPr="0015043F" w:rsidRDefault="003D073A" w:rsidP="003D073A">
      <w:pPr>
        <w:autoSpaceDE w:val="0"/>
        <w:autoSpaceDN w:val="0"/>
        <w:adjustRightInd w:val="0"/>
        <w:spacing w:line="480" w:lineRule="auto"/>
        <w:ind w:firstLine="720"/>
        <w:rPr>
          <w:rFonts w:eastAsiaTheme="minorHAnsi"/>
          <w:szCs w:val="24"/>
        </w:rPr>
      </w:pPr>
      <w:r w:rsidRPr="0015043F">
        <w:rPr>
          <w:rFonts w:eastAsiaTheme="minorHAnsi"/>
          <w:szCs w:val="24"/>
        </w:rPr>
        <w:t>And, where no application for rehearing is filed within thirty days as required, the</w:t>
      </w:r>
    </w:p>
    <w:p w:rsidR="003D073A" w:rsidRPr="0015043F" w:rsidRDefault="00F478EA" w:rsidP="003D073A">
      <w:pPr>
        <w:autoSpaceDE w:val="0"/>
        <w:autoSpaceDN w:val="0"/>
        <w:adjustRightInd w:val="0"/>
        <w:spacing w:line="480" w:lineRule="auto"/>
        <w:rPr>
          <w:rFonts w:eastAsiaTheme="minorHAnsi"/>
          <w:szCs w:val="24"/>
        </w:rPr>
      </w:pPr>
      <w:r w:rsidRPr="0015043F">
        <w:rPr>
          <w:rFonts w:eastAsiaTheme="minorHAnsi"/>
          <w:szCs w:val="24"/>
        </w:rPr>
        <w:t xml:space="preserve">PUCO </w:t>
      </w:r>
      <w:r w:rsidR="003D073A" w:rsidRPr="0015043F">
        <w:rPr>
          <w:rFonts w:eastAsiaTheme="minorHAnsi"/>
          <w:szCs w:val="24"/>
        </w:rPr>
        <w:t>has no power to entertain it.</w:t>
      </w:r>
      <w:r w:rsidR="003D073A" w:rsidRPr="0015043F">
        <w:rPr>
          <w:rFonts w:eastAsiaTheme="minorHAnsi"/>
          <w:b/>
          <w:bCs/>
          <w:szCs w:val="24"/>
        </w:rPr>
        <w:t xml:space="preserve">  </w:t>
      </w:r>
      <w:r w:rsidR="003D073A" w:rsidRPr="0015043F">
        <w:rPr>
          <w:rFonts w:eastAsiaTheme="minorHAnsi"/>
          <w:szCs w:val="24"/>
        </w:rPr>
        <w:t xml:space="preserve">Thus, the </w:t>
      </w:r>
      <w:r w:rsidRPr="0015043F">
        <w:rPr>
          <w:rFonts w:eastAsiaTheme="minorHAnsi"/>
          <w:szCs w:val="24"/>
        </w:rPr>
        <w:t>PUCO</w:t>
      </w:r>
      <w:r w:rsidR="003D073A" w:rsidRPr="0015043F">
        <w:rPr>
          <w:rFonts w:eastAsiaTheme="minorHAnsi"/>
          <w:szCs w:val="24"/>
        </w:rPr>
        <w:t xml:space="preserve"> fundamentally lacks jurisdiction on this matter.  The PUCO should reject the claims under the Stipulation that seek to require customers to pay even more of a subsid</w:t>
      </w:r>
      <w:r w:rsidR="005236AB">
        <w:rPr>
          <w:rFonts w:eastAsiaTheme="minorHAnsi"/>
          <w:szCs w:val="24"/>
        </w:rPr>
        <w:t>y than they have paid to date.</w:t>
      </w:r>
    </w:p>
    <w:p w:rsidR="003D073A" w:rsidRPr="00C048FD" w:rsidRDefault="00457C89" w:rsidP="0063656C">
      <w:pPr>
        <w:pStyle w:val="Heading2"/>
      </w:pPr>
      <w:bookmarkStart w:id="12" w:name="_Toc389135309"/>
      <w:r>
        <w:t xml:space="preserve">If the PUCO Adopts AEP’s Settlement, Our </w:t>
      </w:r>
      <w:r w:rsidR="003460FE">
        <w:t xml:space="preserve">Secondary Recommendation Is For </w:t>
      </w:r>
      <w:r w:rsidR="00E6752E">
        <w:t xml:space="preserve">The </w:t>
      </w:r>
      <w:r w:rsidR="003D073A">
        <w:t xml:space="preserve">PUCO </w:t>
      </w:r>
      <w:r w:rsidR="003460FE">
        <w:t xml:space="preserve">To </w:t>
      </w:r>
      <w:r w:rsidR="00E6752E">
        <w:t xml:space="preserve">Modify </w:t>
      </w:r>
      <w:r w:rsidR="0082162B">
        <w:t>The Settlement</w:t>
      </w:r>
      <w:r w:rsidR="00E6752E">
        <w:t xml:space="preserve"> By Prohibiting </w:t>
      </w:r>
      <w:r w:rsidR="003D073A">
        <w:t xml:space="preserve">AEP Ohio </w:t>
      </w:r>
      <w:r w:rsidR="00E6752E">
        <w:t xml:space="preserve">From </w:t>
      </w:r>
      <w:r w:rsidR="003D073A">
        <w:t xml:space="preserve">Charging Customers For </w:t>
      </w:r>
      <w:r w:rsidR="00E6752E" w:rsidRPr="0057610D">
        <w:t>$</w:t>
      </w:r>
      <w:r w:rsidR="00E6752E">
        <w:t>4.98</w:t>
      </w:r>
      <w:r w:rsidR="00E6752E" w:rsidRPr="0057610D">
        <w:t xml:space="preserve"> </w:t>
      </w:r>
      <w:r w:rsidR="003D073A" w:rsidRPr="0057610D">
        <w:t xml:space="preserve">Million </w:t>
      </w:r>
      <w:r w:rsidR="003D073A">
        <w:t xml:space="preserve">In Unpaid </w:t>
      </w:r>
      <w:r w:rsidR="00580229">
        <w:t>Bills</w:t>
      </w:r>
      <w:r w:rsidR="00E6752E">
        <w:t>.</w:t>
      </w:r>
      <w:bookmarkEnd w:id="12"/>
    </w:p>
    <w:p w:rsidR="00A32F11" w:rsidRDefault="003D073A" w:rsidP="003D073A">
      <w:pPr>
        <w:spacing w:line="480" w:lineRule="auto"/>
        <w:ind w:firstLine="720"/>
      </w:pPr>
      <w:r>
        <w:t>In OCC’s application for rehearing filed on November 1, 2013 in Case No. 09-119-EL-AEC, OCC asked the PUCO to protect customers from paying Ohio Power any additional amounts in excess of $30.5 million related to deferred payments.</w:t>
      </w:r>
      <w:r>
        <w:rPr>
          <w:rStyle w:val="FootnoteReference"/>
        </w:rPr>
        <w:footnoteReference w:id="48"/>
      </w:r>
      <w:r>
        <w:t xml:space="preserve">  In denying OCC’s application for rehearing, the PUCO characterized OCC’s recommendation as “premature” since no request had yet been made for additional amounts.</w:t>
      </w:r>
      <w:r>
        <w:rPr>
          <w:rStyle w:val="FootnoteReference"/>
        </w:rPr>
        <w:footnoteReference w:id="49"/>
      </w:r>
    </w:p>
    <w:p w:rsidR="003D073A" w:rsidRDefault="003D073A" w:rsidP="003D073A">
      <w:pPr>
        <w:spacing w:line="480" w:lineRule="auto"/>
        <w:ind w:firstLine="720"/>
      </w:pPr>
      <w:r>
        <w:t>The PUCO stated that “OCC may raise its concerns regarding allocation of the delta revenue responsibility at the proper time for the Commission’s consideration.”</w:t>
      </w:r>
      <w:r>
        <w:rPr>
          <w:rStyle w:val="FootnoteReference"/>
        </w:rPr>
        <w:footnoteReference w:id="50"/>
      </w:r>
      <w:r>
        <w:t xml:space="preserve">  In compliance with the PUCO’s ruling, OCC is now raising this consumer protection issue – as Ohio Power seeks to charge customers for the additional sum of $4.98 million.  The PUCO should prohibit Ohio Power from charging other customers for this amount.</w:t>
      </w:r>
    </w:p>
    <w:p w:rsidR="003D073A" w:rsidRDefault="003D073A" w:rsidP="00A32F11">
      <w:pPr>
        <w:spacing w:line="480" w:lineRule="auto"/>
        <w:ind w:firstLine="720"/>
      </w:pPr>
      <w:r>
        <w:t>The PUCO has discretion to accept, reject, or modify the proposed Stipulation and Recommendation.</w:t>
      </w:r>
      <w:r>
        <w:rPr>
          <w:rStyle w:val="FootnoteReference"/>
        </w:rPr>
        <w:footnoteReference w:id="51"/>
      </w:r>
      <w:r>
        <w:t xml:space="preserve">  The PUCO should exercise that authority to protect customers from </w:t>
      </w:r>
      <w:r w:rsidR="00117AEA">
        <w:t>AEP’s</w:t>
      </w:r>
      <w:r>
        <w:t xml:space="preserve"> request that other customers pay the $4.98 million balance of “remaining billed unpaid amounts from 2013.”  Modifying the Stipulation and Recommendation</w:t>
      </w:r>
      <w:r w:rsidR="005236AB">
        <w:t xml:space="preserve"> would be just and reasonable.</w:t>
      </w:r>
    </w:p>
    <w:p w:rsidR="003D073A" w:rsidRDefault="003D073A" w:rsidP="003D073A">
      <w:pPr>
        <w:spacing w:line="480" w:lineRule="auto"/>
        <w:ind w:firstLine="720"/>
      </w:pPr>
      <w:r>
        <w:t xml:space="preserve">The </w:t>
      </w:r>
      <w:r w:rsidR="00146447">
        <w:t>PUCO</w:t>
      </w:r>
      <w:r>
        <w:t xml:space="preserve"> </w:t>
      </w:r>
      <w:r w:rsidR="00AB0F29">
        <w:t xml:space="preserve">has </w:t>
      </w:r>
      <w:r>
        <w:t xml:space="preserve">permitted Ohio Power to charge Ohioans for $232 million (through 2013) </w:t>
      </w:r>
      <w:r>
        <w:rPr>
          <w:szCs w:val="24"/>
        </w:rPr>
        <w:t>to support the Ormet special arrangement</w:t>
      </w:r>
      <w:r>
        <w:rPr>
          <w:rStyle w:val="FootnoteReference"/>
        </w:rPr>
        <w:footnoteReference w:id="52"/>
      </w:r>
      <w:r>
        <w:t xml:space="preserve">  </w:t>
      </w:r>
      <w:r w:rsidRPr="00935C7F">
        <w:t xml:space="preserve">In addition, Ohio Power </w:t>
      </w:r>
      <w:r>
        <w:t>was previously authorized</w:t>
      </w:r>
      <w:r w:rsidRPr="00935C7F">
        <w:t xml:space="preserve"> to bill other customers </w:t>
      </w:r>
      <w:r>
        <w:t>an additional $</w:t>
      </w:r>
      <w:r w:rsidRPr="00935C7F">
        <w:t>30.5 million in de</w:t>
      </w:r>
      <w:r>
        <w:t xml:space="preserve">layed payments </w:t>
      </w:r>
      <w:r w:rsidRPr="00935C7F">
        <w:t xml:space="preserve">if </w:t>
      </w:r>
      <w:r>
        <w:t>it is</w:t>
      </w:r>
      <w:r w:rsidRPr="00935C7F">
        <w:t xml:space="preserve"> unable to collect such payments </w:t>
      </w:r>
      <w:r>
        <w:t xml:space="preserve">from </w:t>
      </w:r>
      <w:r w:rsidR="00117AEA">
        <w:t>its Customer</w:t>
      </w:r>
      <w:r>
        <w:t>.</w:t>
      </w:r>
      <w:r w:rsidRPr="004A10F8">
        <w:t xml:space="preserve">  </w:t>
      </w:r>
      <w:r>
        <w:t xml:space="preserve">Notably, </w:t>
      </w:r>
      <w:r w:rsidRPr="00935C7F">
        <w:t xml:space="preserve">Ohio Power has </w:t>
      </w:r>
      <w:r>
        <w:t xml:space="preserve">itself borne very little </w:t>
      </w:r>
      <w:r w:rsidRPr="00935C7F">
        <w:t xml:space="preserve">of the electricity discount </w:t>
      </w:r>
      <w:r>
        <w:t xml:space="preserve">paid by its Ohio customers </w:t>
      </w:r>
      <w:r w:rsidRPr="00935C7F">
        <w:t>to help Ormet</w:t>
      </w:r>
      <w:r>
        <w:t xml:space="preserve">, </w:t>
      </w:r>
      <w:r w:rsidRPr="00935C7F">
        <w:t>its employees</w:t>
      </w:r>
      <w:r>
        <w:t>, and the local community.</w:t>
      </w:r>
      <w:r>
        <w:rPr>
          <w:rStyle w:val="FootnoteReference"/>
        </w:rPr>
        <w:footnoteReference w:id="53"/>
      </w:r>
      <w:r>
        <w:t xml:space="preserve">  </w:t>
      </w:r>
      <w:r>
        <w:rPr>
          <w:szCs w:val="24"/>
        </w:rPr>
        <w:t>Ohio Power has sought at every turn to place the burden on customers to compensate itself for 100% of</w:t>
      </w:r>
      <w:r w:rsidR="005236AB">
        <w:rPr>
          <w:szCs w:val="24"/>
        </w:rPr>
        <w:t xml:space="preserve"> its billings to its customer.</w:t>
      </w:r>
    </w:p>
    <w:p w:rsidR="003D073A" w:rsidRPr="00DF47B8" w:rsidRDefault="003D073A" w:rsidP="003D073A">
      <w:pPr>
        <w:pStyle w:val="FootnoteText"/>
        <w:spacing w:line="480" w:lineRule="auto"/>
        <w:ind w:firstLine="720"/>
        <w:rPr>
          <w:sz w:val="24"/>
          <w:szCs w:val="24"/>
        </w:rPr>
      </w:pPr>
      <w:r>
        <w:rPr>
          <w:sz w:val="24"/>
          <w:szCs w:val="24"/>
        </w:rPr>
        <w:t>T</w:t>
      </w:r>
      <w:r w:rsidRPr="00DF47B8">
        <w:rPr>
          <w:sz w:val="24"/>
          <w:szCs w:val="24"/>
        </w:rPr>
        <w:t xml:space="preserve">he PUCO should consider </w:t>
      </w:r>
      <w:r w:rsidR="00A32F11">
        <w:rPr>
          <w:sz w:val="24"/>
          <w:szCs w:val="24"/>
        </w:rPr>
        <w:t>an</w:t>
      </w:r>
      <w:r w:rsidR="00A32F11" w:rsidRPr="00DF47B8">
        <w:rPr>
          <w:sz w:val="24"/>
          <w:szCs w:val="24"/>
        </w:rPr>
        <w:t xml:space="preserve"> </w:t>
      </w:r>
      <w:r w:rsidRPr="00DF47B8">
        <w:rPr>
          <w:sz w:val="24"/>
          <w:szCs w:val="24"/>
        </w:rPr>
        <w:t>inequity that exists</w:t>
      </w:r>
      <w:r w:rsidR="00A32F11">
        <w:rPr>
          <w:sz w:val="24"/>
          <w:szCs w:val="24"/>
        </w:rPr>
        <w:t>.</w:t>
      </w:r>
      <w:r w:rsidRPr="00DF47B8">
        <w:rPr>
          <w:sz w:val="24"/>
          <w:szCs w:val="24"/>
        </w:rPr>
        <w:t xml:space="preserve"> </w:t>
      </w:r>
      <w:r w:rsidR="00A32F11">
        <w:rPr>
          <w:sz w:val="24"/>
          <w:szCs w:val="24"/>
        </w:rPr>
        <w:t xml:space="preserve"> </w:t>
      </w:r>
      <w:r w:rsidRPr="00DF47B8">
        <w:rPr>
          <w:sz w:val="24"/>
          <w:szCs w:val="24"/>
        </w:rPr>
        <w:t>Ohio Power has</w:t>
      </w:r>
      <w:r>
        <w:t xml:space="preserve"> </w:t>
      </w:r>
      <w:r w:rsidRPr="00DF47B8">
        <w:rPr>
          <w:sz w:val="24"/>
          <w:szCs w:val="24"/>
        </w:rPr>
        <w:t>benefitted from the economic development for its customer</w:t>
      </w:r>
      <w:r w:rsidR="00A32F11">
        <w:rPr>
          <w:sz w:val="24"/>
          <w:szCs w:val="24"/>
        </w:rPr>
        <w:t>.</w:t>
      </w:r>
      <w:r>
        <w:rPr>
          <w:rStyle w:val="FootnoteReference"/>
          <w:sz w:val="24"/>
          <w:szCs w:val="24"/>
        </w:rPr>
        <w:footnoteReference w:id="54"/>
      </w:r>
      <w:r w:rsidRPr="00DF47B8">
        <w:rPr>
          <w:sz w:val="24"/>
          <w:szCs w:val="24"/>
        </w:rPr>
        <w:t xml:space="preserve"> </w:t>
      </w:r>
      <w:r w:rsidR="005236AB">
        <w:rPr>
          <w:sz w:val="24"/>
          <w:szCs w:val="24"/>
        </w:rPr>
        <w:t xml:space="preserve"> </w:t>
      </w:r>
      <w:r w:rsidR="00A32F11">
        <w:rPr>
          <w:sz w:val="24"/>
          <w:szCs w:val="24"/>
        </w:rPr>
        <w:t>B</w:t>
      </w:r>
      <w:r w:rsidRPr="00DF47B8">
        <w:rPr>
          <w:sz w:val="24"/>
          <w:szCs w:val="24"/>
        </w:rPr>
        <w:t xml:space="preserve">ut </w:t>
      </w:r>
      <w:r>
        <w:rPr>
          <w:sz w:val="24"/>
          <w:szCs w:val="24"/>
        </w:rPr>
        <w:t>its Ohio</w:t>
      </w:r>
      <w:r w:rsidRPr="00DF47B8">
        <w:rPr>
          <w:sz w:val="24"/>
          <w:szCs w:val="24"/>
        </w:rPr>
        <w:t xml:space="preserve"> customers (and not</w:t>
      </w:r>
      <w:r>
        <w:rPr>
          <w:sz w:val="24"/>
          <w:szCs w:val="24"/>
        </w:rPr>
        <w:t xml:space="preserve"> Ohio Power</w:t>
      </w:r>
      <w:r w:rsidRPr="00DF47B8">
        <w:rPr>
          <w:sz w:val="24"/>
          <w:szCs w:val="24"/>
        </w:rPr>
        <w:t>) have paid</w:t>
      </w:r>
      <w:r w:rsidR="00A32F11">
        <w:rPr>
          <w:sz w:val="24"/>
          <w:szCs w:val="24"/>
        </w:rPr>
        <w:t xml:space="preserve"> AEP</w:t>
      </w:r>
      <w:r w:rsidRPr="00DF47B8">
        <w:rPr>
          <w:sz w:val="24"/>
          <w:szCs w:val="24"/>
        </w:rPr>
        <w:t xml:space="preserve"> for </w:t>
      </w:r>
      <w:r>
        <w:rPr>
          <w:sz w:val="24"/>
          <w:szCs w:val="24"/>
        </w:rPr>
        <w:t xml:space="preserve">almost the entire </w:t>
      </w:r>
      <w:r w:rsidRPr="00DF47B8">
        <w:rPr>
          <w:sz w:val="24"/>
          <w:szCs w:val="24"/>
        </w:rPr>
        <w:t>discount</w:t>
      </w:r>
      <w:r w:rsidR="00AB0F29">
        <w:rPr>
          <w:sz w:val="24"/>
          <w:szCs w:val="24"/>
        </w:rPr>
        <w:t xml:space="preserve"> that AEP</w:t>
      </w:r>
      <w:r w:rsidR="00A32F11">
        <w:rPr>
          <w:sz w:val="24"/>
          <w:szCs w:val="24"/>
        </w:rPr>
        <w:t xml:space="preserve"> provided to its Customer</w:t>
      </w:r>
      <w:r w:rsidRPr="00DF47B8">
        <w:rPr>
          <w:sz w:val="24"/>
          <w:szCs w:val="24"/>
        </w:rPr>
        <w:t>.</w:t>
      </w:r>
      <w:r>
        <w:rPr>
          <w:sz w:val="24"/>
          <w:szCs w:val="24"/>
        </w:rPr>
        <w:t xml:space="preserve">  </w:t>
      </w:r>
      <w:r w:rsidR="00A32F11">
        <w:rPr>
          <w:sz w:val="24"/>
          <w:szCs w:val="24"/>
        </w:rPr>
        <w:t>T</w:t>
      </w:r>
      <w:r w:rsidRPr="00DF47B8">
        <w:rPr>
          <w:sz w:val="24"/>
          <w:szCs w:val="24"/>
        </w:rPr>
        <w:t>he responsibility for paying delta revenue</w:t>
      </w:r>
      <w:r w:rsidR="00A32F11">
        <w:rPr>
          <w:sz w:val="24"/>
          <w:szCs w:val="24"/>
        </w:rPr>
        <w:t xml:space="preserve"> should be shared</w:t>
      </w:r>
      <w:r w:rsidRPr="00DF47B8">
        <w:rPr>
          <w:sz w:val="24"/>
          <w:szCs w:val="24"/>
        </w:rPr>
        <w:t xml:space="preserve"> (between the utility and customers)</w:t>
      </w:r>
      <w:r w:rsidR="00A32F11">
        <w:rPr>
          <w:sz w:val="24"/>
          <w:szCs w:val="24"/>
        </w:rPr>
        <w:t>.  This sharing</w:t>
      </w:r>
      <w:r w:rsidR="00593E2D">
        <w:rPr>
          <w:sz w:val="24"/>
          <w:szCs w:val="24"/>
        </w:rPr>
        <w:t xml:space="preserve"> should</w:t>
      </w:r>
      <w:r w:rsidRPr="00DF47B8">
        <w:rPr>
          <w:sz w:val="24"/>
          <w:szCs w:val="24"/>
        </w:rPr>
        <w:t xml:space="preserve"> recognize that “both the company and its customers benefit from the company’s policy of providing economic incentive rates to retain customers to attract new business in the utility’s service territory.”  </w:t>
      </w:r>
      <w:r w:rsidRPr="00DF47B8">
        <w:rPr>
          <w:i/>
          <w:sz w:val="24"/>
          <w:szCs w:val="24"/>
        </w:rPr>
        <w:t>In the Matter of the Application of Columbus Southern Power Company for Authority to Amend its Filed Tariffs to increase the Rates and Charges for Electric Service</w:t>
      </w:r>
      <w:r w:rsidRPr="00DF47B8">
        <w:rPr>
          <w:sz w:val="24"/>
          <w:szCs w:val="24"/>
        </w:rPr>
        <w:t>, Case No. 91-418-EL-AIR, Opinion an</w:t>
      </w:r>
      <w:r w:rsidR="005236AB">
        <w:rPr>
          <w:sz w:val="24"/>
          <w:szCs w:val="24"/>
        </w:rPr>
        <w:t>d Order at 110 (May 12, 1992).</w:t>
      </w:r>
    </w:p>
    <w:p w:rsidR="003D073A" w:rsidRDefault="003D073A" w:rsidP="003D073A">
      <w:pPr>
        <w:spacing w:line="480" w:lineRule="auto"/>
        <w:ind w:firstLine="720"/>
        <w:rPr>
          <w:szCs w:val="24"/>
        </w:rPr>
      </w:pPr>
      <w:r>
        <w:t xml:space="preserve">Moreover, Ohio Power has gained </w:t>
      </w:r>
      <w:r w:rsidRPr="00257B86">
        <w:rPr>
          <w:szCs w:val="24"/>
        </w:rPr>
        <w:t xml:space="preserve">540 MW of capacity and the associated energy </w:t>
      </w:r>
      <w:r>
        <w:rPr>
          <w:szCs w:val="24"/>
        </w:rPr>
        <w:t xml:space="preserve">that it can sell </w:t>
      </w:r>
      <w:r w:rsidRPr="00257B86">
        <w:rPr>
          <w:szCs w:val="24"/>
        </w:rPr>
        <w:t>into the wholesale market</w:t>
      </w:r>
      <w:r>
        <w:rPr>
          <w:szCs w:val="24"/>
        </w:rPr>
        <w:t xml:space="preserve">—capacity and energy </w:t>
      </w:r>
      <w:r w:rsidRPr="00257B86">
        <w:rPr>
          <w:szCs w:val="24"/>
        </w:rPr>
        <w:t>that w</w:t>
      </w:r>
      <w:r w:rsidR="00AB5EB7">
        <w:rPr>
          <w:szCs w:val="24"/>
        </w:rPr>
        <w:t>ere</w:t>
      </w:r>
      <w:r w:rsidRPr="00257B86">
        <w:rPr>
          <w:szCs w:val="24"/>
        </w:rPr>
        <w:t xml:space="preserve"> previously being used to serve Ormet’s load.</w:t>
      </w:r>
      <w:r>
        <w:rPr>
          <w:rStyle w:val="FootnoteReference"/>
          <w:szCs w:val="24"/>
        </w:rPr>
        <w:footnoteReference w:id="55"/>
      </w:r>
      <w:r w:rsidRPr="00257B86">
        <w:rPr>
          <w:szCs w:val="24"/>
        </w:rPr>
        <w:t xml:space="preserve"> </w:t>
      </w:r>
      <w:r>
        <w:rPr>
          <w:szCs w:val="24"/>
        </w:rPr>
        <w:t xml:space="preserve"> This capacity will likely serve as a source of additional </w:t>
      </w:r>
      <w:r w:rsidR="00AB5EB7">
        <w:rPr>
          <w:szCs w:val="24"/>
        </w:rPr>
        <w:t xml:space="preserve">profit </w:t>
      </w:r>
      <w:r>
        <w:rPr>
          <w:szCs w:val="24"/>
        </w:rPr>
        <w:t xml:space="preserve">for Ohio Power. </w:t>
      </w:r>
      <w:r w:rsidR="005236AB">
        <w:rPr>
          <w:szCs w:val="24"/>
        </w:rPr>
        <w:t xml:space="preserve"> </w:t>
      </w:r>
      <w:r w:rsidR="002D7BF6">
        <w:rPr>
          <w:szCs w:val="24"/>
        </w:rPr>
        <w:t>Th</w:t>
      </w:r>
      <w:r w:rsidR="0035445E">
        <w:rPr>
          <w:szCs w:val="24"/>
        </w:rPr>
        <w:t xml:space="preserve">is </w:t>
      </w:r>
      <w:r w:rsidR="002D7BF6">
        <w:rPr>
          <w:szCs w:val="24"/>
        </w:rPr>
        <w:t xml:space="preserve">additional </w:t>
      </w:r>
      <w:r w:rsidR="0035445E">
        <w:rPr>
          <w:szCs w:val="24"/>
        </w:rPr>
        <w:t>income</w:t>
      </w:r>
      <w:r>
        <w:rPr>
          <w:szCs w:val="24"/>
        </w:rPr>
        <w:t xml:space="preserve"> should be used, at a minimum, to offset the $4.98 million of unpaid bills if Ohio Power is ultimately unable to collect these bills</w:t>
      </w:r>
      <w:r w:rsidRPr="00257B86">
        <w:rPr>
          <w:szCs w:val="24"/>
        </w:rPr>
        <w:t>.</w:t>
      </w:r>
      <w:r>
        <w:rPr>
          <w:szCs w:val="24"/>
        </w:rPr>
        <w:t xml:space="preserve">  And, when Ohio Power opposed OCC’s proposal for customers to receive some benefit from the</w:t>
      </w:r>
      <w:r w:rsidR="00AB5EB7">
        <w:rPr>
          <w:szCs w:val="24"/>
        </w:rPr>
        <w:t>se</w:t>
      </w:r>
      <w:r>
        <w:rPr>
          <w:szCs w:val="24"/>
        </w:rPr>
        <w:t xml:space="preserve"> capacity sales</w:t>
      </w:r>
      <w:r w:rsidR="00AB5EB7">
        <w:rPr>
          <w:szCs w:val="24"/>
        </w:rPr>
        <w:t xml:space="preserve"> that it can make</w:t>
      </w:r>
      <w:r>
        <w:rPr>
          <w:szCs w:val="24"/>
        </w:rPr>
        <w:t>, the PUCO decided in favor of Ohio Power.  It ruled that Ohio Power can keep all that additional income without sharing any benefits with customers.</w:t>
      </w:r>
      <w:r>
        <w:rPr>
          <w:rStyle w:val="FootnoteReference"/>
          <w:szCs w:val="24"/>
        </w:rPr>
        <w:footnoteReference w:id="56"/>
      </w:r>
      <w:r>
        <w:rPr>
          <w:szCs w:val="24"/>
        </w:rPr>
        <w:t xml:space="preserve">  Customers</w:t>
      </w:r>
      <w:r w:rsidR="00AB5EB7">
        <w:rPr>
          <w:szCs w:val="24"/>
        </w:rPr>
        <w:t>,</w:t>
      </w:r>
      <w:r>
        <w:rPr>
          <w:szCs w:val="24"/>
        </w:rPr>
        <w:t xml:space="preserve"> on the other hand</w:t>
      </w:r>
      <w:r w:rsidR="00AB5EB7">
        <w:rPr>
          <w:szCs w:val="24"/>
        </w:rPr>
        <w:t>,</w:t>
      </w:r>
      <w:r>
        <w:rPr>
          <w:szCs w:val="24"/>
        </w:rPr>
        <w:t xml:space="preserve"> have no such ability to mitigate their 100% share of the subsidy they pay</w:t>
      </w:r>
      <w:r w:rsidR="00AB5EB7">
        <w:rPr>
          <w:szCs w:val="24"/>
        </w:rPr>
        <w:t xml:space="preserve"> to AEP Ohio</w:t>
      </w:r>
      <w:r>
        <w:rPr>
          <w:szCs w:val="24"/>
        </w:rPr>
        <w:t>.</w:t>
      </w:r>
      <w:r>
        <w:rPr>
          <w:rStyle w:val="FootnoteReference"/>
          <w:szCs w:val="24"/>
        </w:rPr>
        <w:footnoteReference w:id="57"/>
      </w:r>
    </w:p>
    <w:p w:rsidR="003D073A" w:rsidRDefault="003D073A" w:rsidP="005236AB">
      <w:pPr>
        <w:pStyle w:val="BodyTextIndent3"/>
        <w:widowControl w:val="0"/>
        <w:spacing w:line="480" w:lineRule="auto"/>
        <w:ind w:right="-312"/>
      </w:pPr>
      <w:r>
        <w:t>Prohibiting Ohio Power from charging other customers another $4.98 million is consistent with the PUCO’s August 21, 2013 ruling</w:t>
      </w:r>
      <w:r w:rsidR="00AB0F29">
        <w:t xml:space="preserve">. </w:t>
      </w:r>
      <w:r>
        <w:t xml:space="preserve"> </w:t>
      </w:r>
      <w:r w:rsidR="00AB0F29">
        <w:t>T</w:t>
      </w:r>
      <w:r w:rsidR="00F41788">
        <w:t>hat</w:t>
      </w:r>
      <w:r w:rsidR="00AB0F29">
        <w:t xml:space="preserve"> ruling</w:t>
      </w:r>
      <w:r w:rsidR="00F41788">
        <w:t xml:space="preserve"> </w:t>
      </w:r>
      <w:r>
        <w:t>limit</w:t>
      </w:r>
      <w:r w:rsidR="00F41788">
        <w:t>ed</w:t>
      </w:r>
      <w:r w:rsidR="00AB0F29">
        <w:t>,</w:t>
      </w:r>
      <w:r>
        <w:t xml:space="preserve"> </w:t>
      </w:r>
      <w:r w:rsidR="00AB0F29">
        <w:t xml:space="preserve">to $10.5 million, </w:t>
      </w:r>
      <w:r>
        <w:t xml:space="preserve">the delta revenue </w:t>
      </w:r>
      <w:r w:rsidR="00AB0F29">
        <w:t xml:space="preserve">all </w:t>
      </w:r>
      <w:r>
        <w:t xml:space="preserve">customers would pay for </w:t>
      </w:r>
      <w:r w:rsidR="00AB0F29">
        <w:t>the one</w:t>
      </w:r>
      <w:r w:rsidR="00D14CE7">
        <w:t xml:space="preserve"> </w:t>
      </w:r>
      <w:r w:rsidR="00AB0F29">
        <w:t>C</w:t>
      </w:r>
      <w:r w:rsidR="00D14CE7">
        <w:t xml:space="preserve">ustomer’s </w:t>
      </w:r>
      <w:r>
        <w:t>delayed payments for 2013.</w:t>
      </w:r>
      <w:r>
        <w:rPr>
          <w:rStyle w:val="FootnoteReference"/>
        </w:rPr>
        <w:footnoteReference w:id="58"/>
      </w:r>
      <w:r>
        <w:t xml:space="preserve"> </w:t>
      </w:r>
      <w:r w:rsidR="005236AB">
        <w:t xml:space="preserve"> </w:t>
      </w:r>
      <w:r>
        <w:t xml:space="preserve">There the PUCO ruled that </w:t>
      </w:r>
      <w:r w:rsidR="00AB0F29">
        <w:t xml:space="preserve">the Customer </w:t>
      </w:r>
      <w:r>
        <w:t>could defer payments of its July and August 2013 bills</w:t>
      </w:r>
      <w:r w:rsidR="007C1DE1">
        <w:t>,</w:t>
      </w:r>
      <w:r>
        <w:t xml:space="preserve"> but limited the amount of delayed payments to $10.5 million.  The PUCO ruled that if </w:t>
      </w:r>
      <w:r w:rsidR="00AB0F29">
        <w:t xml:space="preserve">the Customer </w:t>
      </w:r>
      <w:r>
        <w:t>failed to pay</w:t>
      </w:r>
      <w:r w:rsidR="00E83119">
        <w:t xml:space="preserve"> AEP for</w:t>
      </w:r>
      <w:r>
        <w:t xml:space="preserve"> the deferred </w:t>
      </w:r>
      <w:r w:rsidR="00E83119">
        <w:t xml:space="preserve">amounts </w:t>
      </w:r>
      <w:r>
        <w:t>of $10.5 million, AEP Ohio was entitled to recover the amounts from customers.  Deferred payments of any amounts in excess of $10.5 million, or for any period other than July and August</w:t>
      </w:r>
      <w:r w:rsidR="007C1DE1">
        <w:t>,</w:t>
      </w:r>
      <w:r>
        <w:t xml:space="preserve"> would have required a further order and </w:t>
      </w:r>
      <w:r w:rsidR="007C1DE1">
        <w:t xml:space="preserve">additional </w:t>
      </w:r>
      <w:r>
        <w:t>deferral autho</w:t>
      </w:r>
      <w:r w:rsidR="005236AB">
        <w:t>rization.  Yet none was given.</w:t>
      </w:r>
    </w:p>
    <w:p w:rsidR="003D073A" w:rsidRDefault="003D073A" w:rsidP="0063656C">
      <w:pPr>
        <w:pStyle w:val="BodyTextIndent3"/>
        <w:widowControl w:val="0"/>
        <w:spacing w:line="480" w:lineRule="auto"/>
        <w:ind w:right="-312"/>
      </w:pPr>
      <w:r>
        <w:t xml:space="preserve">R.C. 4905.31 gives the PUCO the authority to allow </w:t>
      </w:r>
      <w:r w:rsidR="00D14CE7">
        <w:t>a utility to collect</w:t>
      </w:r>
      <w:r>
        <w:t xml:space="preserve"> delta revenue resulting from a unique arrangement.</w:t>
      </w:r>
      <w:r>
        <w:rPr>
          <w:rStyle w:val="FootnoteReference"/>
        </w:rPr>
        <w:footnoteReference w:id="59"/>
      </w:r>
      <w:r>
        <w:t xml:space="preserve">  But the amount allowed is within the PUCO’s discretion.  The statute is permissive, stating that the PUCO “may” authorize a utility to recover delta revenues from customers.  The PUCO has stated that “[i]f the General Assembly had intended to require the recovery of delta revenues, the General Assembly would have used ‘shall’ or ‘must’ rather than ‘may.’”</w:t>
      </w:r>
      <w:r>
        <w:rPr>
          <w:rStyle w:val="FootnoteReference"/>
        </w:rPr>
        <w:footnoteReference w:id="60"/>
      </w:r>
      <w:r>
        <w:t xml:space="preserve">  The PUCO has discretion to determine if a utility will be allowed to charge customers for delta revenues.</w:t>
      </w:r>
      <w:r w:rsidR="00E83119">
        <w:t xml:space="preserve">  The PUCO should exercise its discretion here, to deny the charges.</w:t>
      </w:r>
    </w:p>
    <w:p w:rsidR="003D073A" w:rsidRDefault="00045932" w:rsidP="003D073A">
      <w:pPr>
        <w:spacing w:line="480" w:lineRule="auto"/>
        <w:ind w:firstLine="720"/>
      </w:pPr>
      <w:r>
        <w:t>Indeed, t</w:t>
      </w:r>
      <w:r w:rsidR="003D073A">
        <w:t xml:space="preserve">he Ohio Supreme Court </w:t>
      </w:r>
      <w:r w:rsidR="00E83119">
        <w:t xml:space="preserve">has </w:t>
      </w:r>
      <w:r w:rsidR="003D073A">
        <w:t xml:space="preserve">affirmed </w:t>
      </w:r>
      <w:r w:rsidR="00E83119">
        <w:t xml:space="preserve">a </w:t>
      </w:r>
      <w:r w:rsidR="003D073A">
        <w:t>PUCO</w:t>
      </w:r>
      <w:r w:rsidR="00E83119">
        <w:t xml:space="preserve"> </w:t>
      </w:r>
      <w:r w:rsidR="003D073A">
        <w:t xml:space="preserve">finding that it has discretion to </w:t>
      </w:r>
      <w:r w:rsidR="007C1DE1">
        <w:t>dis</w:t>
      </w:r>
      <w:r w:rsidR="003D073A">
        <w:t>allow recovery of delta revenues from customers.</w:t>
      </w:r>
      <w:r w:rsidR="003D073A">
        <w:rPr>
          <w:rStyle w:val="FootnoteReference"/>
        </w:rPr>
        <w:footnoteReference w:id="61"/>
      </w:r>
      <w:r w:rsidR="003D073A">
        <w:t xml:space="preserve"> </w:t>
      </w:r>
      <w:r w:rsidR="005236AB">
        <w:t xml:space="preserve"> </w:t>
      </w:r>
      <w:r w:rsidR="003D073A">
        <w:t>The Court found that R.C. 4905.31</w:t>
      </w:r>
      <w:r w:rsidR="00E83119">
        <w:t xml:space="preserve"> is “permissive” and</w:t>
      </w:r>
      <w:r w:rsidR="003D073A">
        <w:t xml:space="preserve"> does not require full recovery of delta revenues</w:t>
      </w:r>
      <w:r w:rsidR="00E83119">
        <w:t xml:space="preserve">.  </w:t>
      </w:r>
      <w:r w:rsidR="003D073A">
        <w:t>It concluded that the PUCO has discretion</w:t>
      </w:r>
      <w:r w:rsidR="007C1DE1">
        <w:t xml:space="preserve"> whether</w:t>
      </w:r>
      <w:r w:rsidR="003D073A">
        <w:t xml:space="preserve"> to allow utilities to charge customers for delta revenues because the statute used permissive language in describing whether such revenue may be </w:t>
      </w:r>
      <w:r w:rsidR="00D14CE7">
        <w:t>collected</w:t>
      </w:r>
      <w:r w:rsidR="003D073A">
        <w:t>.</w:t>
      </w:r>
      <w:r>
        <w:t xml:space="preserve">  The PUCO should disallow AEP’s proposal</w:t>
      </w:r>
      <w:r w:rsidR="00457C89">
        <w:t>, to protect customers</w:t>
      </w:r>
      <w:r>
        <w:t>.</w:t>
      </w:r>
    </w:p>
    <w:p w:rsidR="00EE7580" w:rsidRDefault="00457C89" w:rsidP="003D073A">
      <w:pPr>
        <w:pStyle w:val="Heading2"/>
      </w:pPr>
      <w:bookmarkStart w:id="13" w:name="_Toc389135310"/>
      <w:r>
        <w:t>If the PUCO Adopts AEP’s Settlement, Our Secondary Recommendation Is That The Settlement</w:t>
      </w:r>
      <w:r w:rsidR="00E6752E">
        <w:t xml:space="preserve"> Should Be Modified To Give Customers The First $5 Million In Proceeds Coming Out Of Bankruptcy.</w:t>
      </w:r>
      <w:bookmarkEnd w:id="13"/>
    </w:p>
    <w:p w:rsidR="00E876B5" w:rsidRDefault="006345DF" w:rsidP="005236AB">
      <w:pPr>
        <w:autoSpaceDE w:val="0"/>
        <w:autoSpaceDN w:val="0"/>
        <w:adjustRightInd w:val="0"/>
        <w:spacing w:line="480" w:lineRule="auto"/>
        <w:ind w:firstLine="720"/>
        <w:rPr>
          <w:rFonts w:ascii="TimesNewRomanPSMT" w:eastAsiaTheme="minorHAnsi" w:hAnsi="TimesNewRomanPSMT" w:cs="TimesNewRomanPSMT"/>
          <w:szCs w:val="24"/>
        </w:rPr>
      </w:pPr>
      <w:r>
        <w:t>Under the Stipulation</w:t>
      </w:r>
      <w:r w:rsidR="00F41788">
        <w:t>,</w:t>
      </w:r>
      <w:r>
        <w:t xml:space="preserve"> </w:t>
      </w:r>
      <w:r w:rsidR="009F118D">
        <w:rPr>
          <w:rFonts w:ascii="TimesNewRomanPSMT" w:eastAsiaTheme="minorHAnsi" w:hAnsi="TimesNewRomanPSMT" w:cs="TimesNewRomanPSMT"/>
          <w:szCs w:val="24"/>
        </w:rPr>
        <w:t xml:space="preserve">the Utility </w:t>
      </w:r>
      <w:r w:rsidR="00457C89">
        <w:rPr>
          <w:rFonts w:ascii="TimesNewRomanPSMT" w:eastAsiaTheme="minorHAnsi" w:hAnsi="TimesNewRomanPSMT" w:cs="TimesNewRomanPSMT"/>
          <w:szCs w:val="24"/>
        </w:rPr>
        <w:t xml:space="preserve">proposes </w:t>
      </w:r>
      <w:r w:rsidR="009F118D">
        <w:rPr>
          <w:rFonts w:ascii="TimesNewRomanPSMT" w:eastAsiaTheme="minorHAnsi" w:hAnsi="TimesNewRomanPSMT" w:cs="TimesNewRomanPSMT"/>
          <w:szCs w:val="24"/>
        </w:rPr>
        <w:t>to</w:t>
      </w:r>
      <w:r w:rsidR="009F118D">
        <w:rPr>
          <w:rFonts w:ascii="TimesNewRomanPSMT" w:eastAsiaTheme="minorHAnsi" w:hAnsi="TimesNewRomanPSMT" w:cs="TimesNewRomanPSMT"/>
          <w:sz w:val="20"/>
        </w:rPr>
        <w:t xml:space="preserve"> </w:t>
      </w:r>
      <w:r w:rsidR="009F118D">
        <w:rPr>
          <w:rFonts w:ascii="TimesNewRomanPSMT" w:eastAsiaTheme="minorHAnsi" w:hAnsi="TimesNewRomanPSMT" w:cs="TimesNewRomanPSMT"/>
          <w:szCs w:val="24"/>
        </w:rPr>
        <w:t>keep the first $7.239 million that is collected from Ormet through the bankruptcy process.</w:t>
      </w:r>
      <w:r w:rsidR="009F118D">
        <w:rPr>
          <w:rStyle w:val="FootnoteReference"/>
          <w:rFonts w:ascii="TimesNewRomanPSMT" w:eastAsiaTheme="minorHAnsi" w:hAnsi="TimesNewRomanPSMT" w:cs="TimesNewRomanPSMT"/>
          <w:szCs w:val="24"/>
        </w:rPr>
        <w:footnoteReference w:id="62"/>
      </w:r>
      <w:r w:rsidR="009F118D">
        <w:rPr>
          <w:rFonts w:ascii="TimesNewRomanPSMT" w:eastAsiaTheme="minorHAnsi" w:hAnsi="TimesNewRomanPSMT" w:cs="TimesNewRomanPSMT"/>
          <w:szCs w:val="24"/>
        </w:rPr>
        <w:t xml:space="preserve"> </w:t>
      </w:r>
      <w:r w:rsidR="005236AB">
        <w:rPr>
          <w:rFonts w:ascii="TimesNewRomanPSMT" w:eastAsiaTheme="minorHAnsi" w:hAnsi="TimesNewRomanPSMT" w:cs="TimesNewRomanPSMT"/>
          <w:szCs w:val="24"/>
        </w:rPr>
        <w:t xml:space="preserve"> </w:t>
      </w:r>
      <w:r w:rsidR="009F118D">
        <w:rPr>
          <w:rFonts w:ascii="TimesNewRomanPSMT" w:eastAsiaTheme="minorHAnsi" w:hAnsi="TimesNewRomanPSMT" w:cs="TimesNewRomanPSMT"/>
          <w:szCs w:val="24"/>
        </w:rPr>
        <w:t>That $7.239 million</w:t>
      </w:r>
      <w:r w:rsidR="009F118D">
        <w:rPr>
          <w:rFonts w:ascii="TimesNewRomanPSMT" w:eastAsiaTheme="minorHAnsi" w:hAnsi="TimesNewRomanPSMT" w:cs="TimesNewRomanPSMT"/>
          <w:sz w:val="20"/>
        </w:rPr>
        <w:t xml:space="preserve"> </w:t>
      </w:r>
      <w:r w:rsidR="009F118D">
        <w:rPr>
          <w:rFonts w:ascii="TimesNewRomanPSMT" w:eastAsiaTheme="minorHAnsi" w:hAnsi="TimesNewRomanPSMT" w:cs="TimesNewRomanPSMT"/>
          <w:szCs w:val="24"/>
        </w:rPr>
        <w:t xml:space="preserve">represents the amount of the 2012 deferrals that would otherwise be absorbed by AEP Ohio if not ultimately paid by </w:t>
      </w:r>
      <w:r w:rsidR="00457C89">
        <w:rPr>
          <w:rFonts w:ascii="TimesNewRomanPSMT" w:eastAsiaTheme="minorHAnsi" w:hAnsi="TimesNewRomanPSMT" w:cs="TimesNewRomanPSMT"/>
          <w:szCs w:val="24"/>
        </w:rPr>
        <w:t>its Customer</w:t>
      </w:r>
      <w:r w:rsidR="009F118D">
        <w:rPr>
          <w:rFonts w:ascii="TimesNewRomanPSMT" w:eastAsiaTheme="minorHAnsi" w:hAnsi="TimesNewRomanPSMT" w:cs="TimesNewRomanPSMT"/>
          <w:szCs w:val="24"/>
        </w:rPr>
        <w:t>.</w:t>
      </w:r>
      <w:r w:rsidR="009F118D">
        <w:rPr>
          <w:rStyle w:val="FootnoteReference"/>
          <w:rFonts w:ascii="TimesNewRomanPSMT" w:eastAsiaTheme="minorHAnsi" w:hAnsi="TimesNewRomanPSMT" w:cs="TimesNewRomanPSMT"/>
          <w:szCs w:val="24"/>
        </w:rPr>
        <w:footnoteReference w:id="63"/>
      </w:r>
      <w:r w:rsidR="009F118D">
        <w:rPr>
          <w:rFonts w:ascii="TimesNewRomanPSMT" w:eastAsiaTheme="minorHAnsi" w:hAnsi="TimesNewRomanPSMT" w:cs="TimesNewRomanPSMT"/>
          <w:szCs w:val="24"/>
        </w:rPr>
        <w:t xml:space="preserve">  Th</w:t>
      </w:r>
      <w:r w:rsidR="00E876B5">
        <w:rPr>
          <w:rFonts w:ascii="TimesNewRomanPSMT" w:eastAsiaTheme="minorHAnsi" w:hAnsi="TimesNewRomanPSMT" w:cs="TimesNewRomanPSMT"/>
          <w:szCs w:val="24"/>
        </w:rPr>
        <w:t xml:space="preserve">e PUCO specifically ordered these deferrals to be absorbed by AEP Ohio when it imposed a </w:t>
      </w:r>
      <w:r w:rsidR="009F118D">
        <w:rPr>
          <w:rFonts w:ascii="TimesNewRomanPSMT" w:eastAsiaTheme="minorHAnsi" w:hAnsi="TimesNewRomanPSMT" w:cs="TimesNewRomanPSMT"/>
          <w:szCs w:val="24"/>
        </w:rPr>
        <w:t xml:space="preserve">$20 million delta </w:t>
      </w:r>
      <w:r w:rsidR="00E876B5">
        <w:rPr>
          <w:rFonts w:ascii="TimesNewRomanPSMT" w:eastAsiaTheme="minorHAnsi" w:hAnsi="TimesNewRomanPSMT" w:cs="TimesNewRomanPSMT"/>
          <w:szCs w:val="24"/>
        </w:rPr>
        <w:t xml:space="preserve">revenue </w:t>
      </w:r>
      <w:r w:rsidR="009F118D">
        <w:rPr>
          <w:rFonts w:ascii="TimesNewRomanPSMT" w:eastAsiaTheme="minorHAnsi" w:hAnsi="TimesNewRomanPSMT" w:cs="TimesNewRomanPSMT"/>
          <w:szCs w:val="24"/>
        </w:rPr>
        <w:t>cap</w:t>
      </w:r>
      <w:r w:rsidR="00E876B5">
        <w:rPr>
          <w:rFonts w:ascii="TimesNewRomanPSMT" w:eastAsiaTheme="minorHAnsi" w:hAnsi="TimesNewRomanPSMT" w:cs="TimesNewRomanPSMT"/>
          <w:szCs w:val="24"/>
        </w:rPr>
        <w:t xml:space="preserve"> in its October 17, 2012 Order.  These are the </w:t>
      </w:r>
      <w:r w:rsidR="009F118D">
        <w:rPr>
          <w:rFonts w:ascii="TimesNewRomanPS-BoldMT" w:eastAsiaTheme="minorHAnsi" w:hAnsi="TimesNewRomanPS-BoldMT" w:cs="TimesNewRomanPS-BoldMT"/>
          <w:b/>
          <w:bCs/>
          <w:szCs w:val="24"/>
        </w:rPr>
        <w:t xml:space="preserve">only </w:t>
      </w:r>
      <w:r w:rsidR="009F118D">
        <w:rPr>
          <w:rFonts w:ascii="TimesNewRomanPSMT" w:eastAsiaTheme="minorHAnsi" w:hAnsi="TimesNewRomanPSMT" w:cs="TimesNewRomanPSMT"/>
          <w:szCs w:val="24"/>
        </w:rPr>
        <w:t>dollars Ohio Power has not collected</w:t>
      </w:r>
      <w:r w:rsidR="00457C89">
        <w:rPr>
          <w:rFonts w:ascii="TimesNewRomanPSMT" w:eastAsiaTheme="minorHAnsi" w:hAnsi="TimesNewRomanPSMT" w:cs="TimesNewRomanPSMT"/>
          <w:szCs w:val="24"/>
        </w:rPr>
        <w:t xml:space="preserve"> from customers,</w:t>
      </w:r>
      <w:r w:rsidR="009F118D">
        <w:rPr>
          <w:rFonts w:ascii="TimesNewRomanPSMT" w:eastAsiaTheme="minorHAnsi" w:hAnsi="TimesNewRomanPSMT" w:cs="TimesNewRomanPSMT"/>
          <w:szCs w:val="24"/>
        </w:rPr>
        <w:t xml:space="preserve"> </w:t>
      </w:r>
      <w:r w:rsidR="00457C89">
        <w:rPr>
          <w:rFonts w:ascii="TimesNewRomanPSMT" w:eastAsiaTheme="minorHAnsi" w:hAnsi="TimesNewRomanPSMT" w:cs="TimesNewRomanPSMT"/>
          <w:szCs w:val="24"/>
        </w:rPr>
        <w:t>via</w:t>
      </w:r>
      <w:r w:rsidR="009F118D">
        <w:rPr>
          <w:rFonts w:ascii="TimesNewRomanPSMT" w:eastAsiaTheme="minorHAnsi" w:hAnsi="TimesNewRomanPSMT" w:cs="TimesNewRomanPSMT"/>
          <w:szCs w:val="24"/>
        </w:rPr>
        <w:t xml:space="preserve"> tariffed rates</w:t>
      </w:r>
      <w:r w:rsidR="00457C89">
        <w:rPr>
          <w:rFonts w:ascii="TimesNewRomanPSMT" w:eastAsiaTheme="minorHAnsi" w:hAnsi="TimesNewRomanPSMT" w:cs="TimesNewRomanPSMT"/>
          <w:szCs w:val="24"/>
        </w:rPr>
        <w:t>,</w:t>
      </w:r>
      <w:r w:rsidR="009F118D">
        <w:rPr>
          <w:rFonts w:ascii="TimesNewRomanPSMT" w:eastAsiaTheme="minorHAnsi" w:hAnsi="TimesNewRomanPSMT" w:cs="TimesNewRomanPSMT"/>
          <w:szCs w:val="24"/>
        </w:rPr>
        <w:t xml:space="preserve"> </w:t>
      </w:r>
      <w:r w:rsidR="00457C89">
        <w:rPr>
          <w:rFonts w:ascii="TimesNewRomanPSMT" w:eastAsiaTheme="minorHAnsi" w:hAnsi="TimesNewRomanPSMT" w:cs="TimesNewRomanPSMT"/>
          <w:szCs w:val="24"/>
        </w:rPr>
        <w:t xml:space="preserve">under </w:t>
      </w:r>
      <w:r w:rsidR="009F118D">
        <w:rPr>
          <w:rFonts w:ascii="TimesNewRomanPSMT" w:eastAsiaTheme="minorHAnsi" w:hAnsi="TimesNewRomanPSMT" w:cs="TimesNewRomanPSMT"/>
          <w:szCs w:val="24"/>
        </w:rPr>
        <w:t>the</w:t>
      </w:r>
      <w:r w:rsidR="009F118D">
        <w:rPr>
          <w:rFonts w:ascii="TimesNewRomanPSMT" w:eastAsiaTheme="minorHAnsi" w:hAnsi="TimesNewRomanPSMT" w:cs="TimesNewRomanPSMT"/>
          <w:sz w:val="20"/>
        </w:rPr>
        <w:t xml:space="preserve"> </w:t>
      </w:r>
      <w:r w:rsidR="005236AB">
        <w:rPr>
          <w:rFonts w:ascii="TimesNewRomanPSMT" w:eastAsiaTheme="minorHAnsi" w:hAnsi="TimesNewRomanPSMT" w:cs="TimesNewRomanPSMT"/>
          <w:szCs w:val="24"/>
        </w:rPr>
        <w:t>Ormet unique arrangement.</w:t>
      </w:r>
    </w:p>
    <w:p w:rsidR="009F118D" w:rsidRDefault="00457C89" w:rsidP="003D073A">
      <w:pPr>
        <w:autoSpaceDE w:val="0"/>
        <w:autoSpaceDN w:val="0"/>
        <w:adjustRightInd w:val="0"/>
        <w:spacing w:line="480" w:lineRule="auto"/>
        <w:ind w:firstLine="720"/>
        <w:rPr>
          <w:rFonts w:ascii="TimesNewRomanPSMT" w:eastAsiaTheme="minorHAnsi" w:hAnsi="TimesNewRomanPSMT" w:cs="TimesNewRomanPSMT"/>
          <w:szCs w:val="24"/>
        </w:rPr>
      </w:pPr>
      <w:r>
        <w:rPr>
          <w:rFonts w:ascii="TimesNewRomanPSMT" w:eastAsiaTheme="minorHAnsi" w:hAnsi="TimesNewRomanPSMT" w:cs="TimesNewRomanPSMT"/>
          <w:szCs w:val="24"/>
        </w:rPr>
        <w:t xml:space="preserve">AEP proposes in its Settlement that its other customers </w:t>
      </w:r>
      <w:r w:rsidRPr="0015043F">
        <w:rPr>
          <w:rFonts w:eastAsiaTheme="minorHAnsi"/>
        </w:rPr>
        <w:t>not</w:t>
      </w:r>
      <w:r>
        <w:rPr>
          <w:rFonts w:eastAsiaTheme="minorHAnsi"/>
        </w:rPr>
        <w:t xml:space="preserve"> </w:t>
      </w:r>
      <w:r w:rsidR="009F118D">
        <w:rPr>
          <w:rFonts w:ascii="TimesNewRomanPSMT" w:eastAsiaTheme="minorHAnsi" w:hAnsi="TimesNewRomanPSMT" w:cs="TimesNewRomanPSMT"/>
          <w:szCs w:val="24"/>
        </w:rPr>
        <w:t>be given any credit through the</w:t>
      </w:r>
      <w:r w:rsidR="0098242D">
        <w:rPr>
          <w:rFonts w:ascii="TimesNewRomanPSMT" w:eastAsiaTheme="minorHAnsi" w:hAnsi="TimesNewRomanPSMT" w:cs="TimesNewRomanPSMT"/>
          <w:szCs w:val="24"/>
        </w:rPr>
        <w:t xml:space="preserve"> Ormet</w:t>
      </w:r>
      <w:r w:rsidR="009F118D">
        <w:rPr>
          <w:rFonts w:ascii="TimesNewRomanPSMT" w:eastAsiaTheme="minorHAnsi" w:hAnsi="TimesNewRomanPSMT" w:cs="TimesNewRomanPSMT"/>
          <w:sz w:val="20"/>
        </w:rPr>
        <w:t xml:space="preserve"> </w:t>
      </w:r>
      <w:r w:rsidR="009F118D">
        <w:rPr>
          <w:rFonts w:ascii="TimesNewRomanPSMT" w:eastAsiaTheme="minorHAnsi" w:hAnsi="TimesNewRomanPSMT" w:cs="TimesNewRomanPSMT"/>
          <w:szCs w:val="24"/>
        </w:rPr>
        <w:t>bankruptcy process toward the more than $200 million they have already paid to</w:t>
      </w:r>
      <w:r w:rsidR="009F118D">
        <w:rPr>
          <w:rFonts w:ascii="TimesNewRomanPSMT" w:eastAsiaTheme="minorHAnsi" w:hAnsi="TimesNewRomanPSMT" w:cs="TimesNewRomanPSMT"/>
          <w:sz w:val="20"/>
        </w:rPr>
        <w:t xml:space="preserve"> </w:t>
      </w:r>
      <w:r w:rsidR="009F118D">
        <w:rPr>
          <w:rFonts w:ascii="TimesNewRomanPSMT" w:eastAsiaTheme="minorHAnsi" w:hAnsi="TimesNewRomanPSMT" w:cs="TimesNewRomanPSMT"/>
          <w:szCs w:val="24"/>
        </w:rPr>
        <w:t>AEP Ohio</w:t>
      </w:r>
      <w:r>
        <w:rPr>
          <w:rFonts w:ascii="TimesNewRomanPSMT" w:eastAsiaTheme="minorHAnsi" w:hAnsi="TimesNewRomanPSMT" w:cs="TimesNewRomanPSMT"/>
          <w:szCs w:val="24"/>
        </w:rPr>
        <w:t xml:space="preserve">, unless AEP Ohio first </w:t>
      </w:r>
      <w:r w:rsidR="0098242D">
        <w:rPr>
          <w:rFonts w:ascii="TimesNewRomanPSMT" w:eastAsiaTheme="minorHAnsi" w:hAnsi="TimesNewRomanPSMT" w:cs="TimesNewRomanPSMT"/>
          <w:szCs w:val="24"/>
        </w:rPr>
        <w:t>receives $7.24 million</w:t>
      </w:r>
      <w:r w:rsidR="009F118D">
        <w:rPr>
          <w:rFonts w:ascii="TimesNewRomanPSMT" w:eastAsiaTheme="minorHAnsi" w:hAnsi="TimesNewRomanPSMT" w:cs="TimesNewRomanPSMT"/>
          <w:szCs w:val="24"/>
        </w:rPr>
        <w:t>.  This is unfair.</w:t>
      </w:r>
    </w:p>
    <w:p w:rsidR="009F118D" w:rsidRDefault="009F118D" w:rsidP="00BF6F9C">
      <w:pPr>
        <w:autoSpaceDE w:val="0"/>
        <w:autoSpaceDN w:val="0"/>
        <w:adjustRightInd w:val="0"/>
        <w:spacing w:line="480" w:lineRule="auto"/>
        <w:ind w:firstLine="720"/>
        <w:rPr>
          <w:rFonts w:ascii="TimesNewRomanPSMT" w:eastAsiaTheme="minorHAnsi" w:hAnsi="TimesNewRomanPSMT" w:cs="TimesNewRomanPSMT"/>
          <w:szCs w:val="24"/>
        </w:rPr>
      </w:pPr>
      <w:r>
        <w:rPr>
          <w:rFonts w:ascii="TimesNewRomanPSMT" w:eastAsiaTheme="minorHAnsi" w:hAnsi="TimesNewRomanPSMT" w:cs="TimesNewRomanPSMT"/>
          <w:szCs w:val="24"/>
        </w:rPr>
        <w:t>OCC Witness Slone testified that this</w:t>
      </w:r>
      <w:r w:rsidR="0098242D">
        <w:rPr>
          <w:rFonts w:ascii="TimesNewRomanPSMT" w:eastAsiaTheme="minorHAnsi" w:hAnsi="TimesNewRomanPSMT" w:cs="TimesNewRomanPSMT"/>
          <w:szCs w:val="24"/>
        </w:rPr>
        <w:t xml:space="preserve"> AEP</w:t>
      </w:r>
      <w:r>
        <w:rPr>
          <w:rFonts w:ascii="TimesNewRomanPSMT" w:eastAsiaTheme="minorHAnsi" w:hAnsi="TimesNewRomanPSMT" w:cs="TimesNewRomanPSMT"/>
          <w:szCs w:val="24"/>
        </w:rPr>
        <w:t xml:space="preserve"> proposal should be rejected.</w:t>
      </w:r>
      <w:r>
        <w:rPr>
          <w:rStyle w:val="FootnoteReference"/>
          <w:rFonts w:ascii="TimesNewRomanPSMT" w:eastAsiaTheme="minorHAnsi" w:hAnsi="TimesNewRomanPSMT" w:cs="TimesNewRomanPSMT"/>
          <w:szCs w:val="24"/>
        </w:rPr>
        <w:footnoteReference w:id="64"/>
      </w:r>
      <w:r>
        <w:rPr>
          <w:rFonts w:ascii="TimesNewRomanPSMT" w:eastAsiaTheme="minorHAnsi" w:hAnsi="TimesNewRomanPSMT" w:cs="TimesNewRomanPSMT"/>
          <w:szCs w:val="24"/>
        </w:rPr>
        <w:t xml:space="preserve">  Mr. Slone instead recommended a provision under which any dollars received by AEP Ohio through the bankruptcy process would be credited in increments of $5.0 million, alternating between customers and Ohio Power.  AEP Ohio’s customers would receive the first </w:t>
      </w:r>
      <w:r w:rsidR="0035445E">
        <w:rPr>
          <w:rFonts w:ascii="TimesNewRomanPSMT" w:eastAsiaTheme="minorHAnsi" w:hAnsi="TimesNewRomanPSMT" w:cs="TimesNewRomanPSMT"/>
          <w:szCs w:val="24"/>
        </w:rPr>
        <w:t>$5.0</w:t>
      </w:r>
      <w:r>
        <w:rPr>
          <w:rFonts w:ascii="TimesNewRomanPSMT" w:eastAsiaTheme="minorHAnsi" w:hAnsi="TimesNewRomanPSMT" w:cs="TimesNewRomanPSMT"/>
          <w:szCs w:val="24"/>
        </w:rPr>
        <w:t xml:space="preserve"> million</w:t>
      </w:r>
      <w:r w:rsidR="00D14CE7">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credit.  Thus, if any significant dollars are recouped through the bankruptcy</w:t>
      </w:r>
      <w:r w:rsidR="00BF6F9C">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process</w:t>
      </w:r>
      <w:r w:rsidR="00BF6F9C">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customers will have a better chance of receiving back some of the more than $200 million they have paid to </w:t>
      </w:r>
      <w:r w:rsidR="00F41788">
        <w:rPr>
          <w:rFonts w:ascii="TimesNewRomanPSMT" w:eastAsiaTheme="minorHAnsi" w:hAnsi="TimesNewRomanPSMT" w:cs="TimesNewRomanPSMT"/>
          <w:szCs w:val="24"/>
        </w:rPr>
        <w:t xml:space="preserve">subsidize AEP Ohio’s discount to </w:t>
      </w:r>
      <w:r w:rsidR="0098242D">
        <w:rPr>
          <w:rFonts w:ascii="TimesNewRomanPSMT" w:eastAsiaTheme="minorHAnsi" w:hAnsi="TimesNewRomanPSMT" w:cs="TimesNewRomanPSMT"/>
          <w:szCs w:val="24"/>
        </w:rPr>
        <w:t>its Customer</w:t>
      </w:r>
      <w:r>
        <w:rPr>
          <w:rFonts w:ascii="TimesNewRomanPSMT" w:eastAsiaTheme="minorHAnsi" w:hAnsi="TimesNewRomanPSMT" w:cs="TimesNewRomanPSMT"/>
          <w:szCs w:val="24"/>
        </w:rPr>
        <w:t>.</w:t>
      </w:r>
    </w:p>
    <w:p w:rsidR="003D073A" w:rsidRDefault="003D073A" w:rsidP="003D073A">
      <w:pPr>
        <w:ind w:left="720"/>
      </w:pPr>
    </w:p>
    <w:p w:rsidR="00EE7580" w:rsidRPr="004A10F8" w:rsidRDefault="00EE7580" w:rsidP="00EE7580">
      <w:pPr>
        <w:pStyle w:val="Heading1"/>
      </w:pPr>
      <w:bookmarkStart w:id="14" w:name="_Toc382231043"/>
      <w:bookmarkStart w:id="15" w:name="_Toc389135311"/>
      <w:r w:rsidRPr="004A10F8">
        <w:t>III.</w:t>
      </w:r>
      <w:r w:rsidRPr="004A10F8">
        <w:tab/>
        <w:t>CONCLUSION</w:t>
      </w:r>
      <w:bookmarkEnd w:id="14"/>
      <w:bookmarkEnd w:id="15"/>
    </w:p>
    <w:p w:rsidR="0098242D" w:rsidRDefault="0098242D" w:rsidP="005236AB">
      <w:pPr>
        <w:spacing w:line="480" w:lineRule="auto"/>
        <w:ind w:firstLine="720"/>
      </w:pPr>
      <w:r>
        <w:t>Two parties with like interests, AEP and its Customer, joined together to sign a Settlement that would have others (including residential consumers) pay.  That is unfortunate for AEP Ohio’s c</w:t>
      </w:r>
      <w:r w:rsidR="005236AB">
        <w:t>onsumers.</w:t>
      </w:r>
    </w:p>
    <w:p w:rsidR="00EE7580" w:rsidRDefault="00EE7580" w:rsidP="005236AB">
      <w:pPr>
        <w:spacing w:line="480" w:lineRule="auto"/>
        <w:ind w:firstLine="720"/>
      </w:pPr>
      <w:r>
        <w:t>The Stipulation violates each of the three prongs of the</w:t>
      </w:r>
      <w:r w:rsidR="00E9196C">
        <w:t xml:space="preserve"> PUCO’s</w:t>
      </w:r>
      <w:r>
        <w:t xml:space="preserve"> test for evaluating Stipulations. </w:t>
      </w:r>
      <w:r w:rsidR="00314EE9">
        <w:t xml:space="preserve"> It should be rejected.  </w:t>
      </w:r>
      <w:r w:rsidR="005A7287">
        <w:t xml:space="preserve">The PUCO should </w:t>
      </w:r>
      <w:r w:rsidR="006345DF">
        <w:t xml:space="preserve">also </w:t>
      </w:r>
      <w:r w:rsidR="005A7287">
        <w:t xml:space="preserve">consider </w:t>
      </w:r>
      <w:r w:rsidR="0098242D">
        <w:t xml:space="preserve">AEP’s </w:t>
      </w:r>
      <w:r w:rsidR="005A7287">
        <w:t>request</w:t>
      </w:r>
      <w:r w:rsidR="0098242D">
        <w:t xml:space="preserve"> </w:t>
      </w:r>
      <w:r w:rsidR="00722342">
        <w:t>(</w:t>
      </w:r>
      <w:r w:rsidR="0098242D">
        <w:t>to</w:t>
      </w:r>
      <w:r w:rsidR="005A7287">
        <w:t xml:space="preserve"> </w:t>
      </w:r>
      <w:r w:rsidR="0098242D">
        <w:t>charge</w:t>
      </w:r>
      <w:r w:rsidR="00722342">
        <w:t xml:space="preserve"> other customers</w:t>
      </w:r>
      <w:r w:rsidR="0098242D">
        <w:t xml:space="preserve"> </w:t>
      </w:r>
      <w:r w:rsidR="00423C68">
        <w:t>$</w:t>
      </w:r>
      <w:r w:rsidR="006345DF">
        <w:t xml:space="preserve">4.98 million in </w:t>
      </w:r>
      <w:r w:rsidR="005A7287">
        <w:t>unpaid bills</w:t>
      </w:r>
      <w:r w:rsidR="00722342">
        <w:t>)</w:t>
      </w:r>
      <w:r w:rsidR="005A7287">
        <w:t xml:space="preserve"> as a belated</w:t>
      </w:r>
      <w:r w:rsidR="0098242D">
        <w:t xml:space="preserve"> and unlawful</w:t>
      </w:r>
      <w:r w:rsidR="005A7287">
        <w:t xml:space="preserve"> application</w:t>
      </w:r>
      <w:r w:rsidR="0015043F">
        <w:t xml:space="preserve"> for rehearing</w:t>
      </w:r>
      <w:r w:rsidR="005236AB">
        <w:t>.</w:t>
      </w:r>
      <w:r w:rsidR="005A7287">
        <w:t xml:space="preserve"> </w:t>
      </w:r>
      <w:r w:rsidR="00722342">
        <w:t xml:space="preserve"> The PUCO has no jurisdi</w:t>
      </w:r>
      <w:r w:rsidR="005236AB">
        <w:t>ction to hear about the filing.</w:t>
      </w:r>
    </w:p>
    <w:p w:rsidR="002B3974" w:rsidRDefault="006345DF" w:rsidP="005236AB">
      <w:pPr>
        <w:spacing w:line="480" w:lineRule="auto"/>
        <w:ind w:firstLine="720"/>
      </w:pPr>
      <w:r>
        <w:t>If the PUCO adopts the Stipulation, it should modify it to delete the provisions requir</w:t>
      </w:r>
      <w:r w:rsidR="00722342">
        <w:t>ing</w:t>
      </w:r>
      <w:r>
        <w:t xml:space="preserve"> customer</w:t>
      </w:r>
      <w:r w:rsidR="00F41788">
        <w:t>s</w:t>
      </w:r>
      <w:r>
        <w:t xml:space="preserve"> to fund an addition</w:t>
      </w:r>
      <w:r w:rsidR="002B3974">
        <w:t>al</w:t>
      </w:r>
      <w:r>
        <w:t xml:space="preserve"> $4.98 million on top of the $2</w:t>
      </w:r>
      <w:r w:rsidR="009C1341">
        <w:t>32</w:t>
      </w:r>
      <w:r>
        <w:t xml:space="preserve"> million they have already paid to subsidize </w:t>
      </w:r>
      <w:r w:rsidR="00F41788">
        <w:t xml:space="preserve">AEP Ohio’s discounted rates to </w:t>
      </w:r>
      <w:r w:rsidR="002B3974">
        <w:t>its Customer</w:t>
      </w:r>
      <w:r w:rsidR="00F41788">
        <w:t>.</w:t>
      </w:r>
      <w:r>
        <w:t xml:space="preserve">  The </w:t>
      </w:r>
      <w:r w:rsidR="00F41788">
        <w:t>PUCO</w:t>
      </w:r>
      <w:r>
        <w:t xml:space="preserve"> should determine that it is not just or reasonable to impose </w:t>
      </w:r>
      <w:r w:rsidR="002B3974">
        <w:t>these further</w:t>
      </w:r>
      <w:r>
        <w:t xml:space="preserve"> </w:t>
      </w:r>
      <w:r w:rsidR="002B3974">
        <w:t>charges</w:t>
      </w:r>
      <w:r>
        <w:t xml:space="preserve"> on customers who have already borne almost the entire subsidy for Ohio Power’s discount</w:t>
      </w:r>
      <w:r w:rsidR="00F41788">
        <w:t>ed rates</w:t>
      </w:r>
      <w:r w:rsidR="005236AB">
        <w:t>.</w:t>
      </w:r>
    </w:p>
    <w:p w:rsidR="006345DF" w:rsidRDefault="006345DF" w:rsidP="009C1341">
      <w:pPr>
        <w:spacing w:line="480" w:lineRule="auto"/>
        <w:ind w:firstLine="720"/>
      </w:pPr>
      <w:r>
        <w:t>Additionally, the PUCO should modify the way the Stipulation treats revenues Ohio Power receives through the bankruptcy p</w:t>
      </w:r>
      <w:r w:rsidR="0063656C">
        <w:t>r</w:t>
      </w:r>
      <w:r>
        <w:t xml:space="preserve">ocess.  Customers should be credited for the first $5.0 million of the proceeds that Ohio Power receives from </w:t>
      </w:r>
      <w:r w:rsidR="002B3974">
        <w:t>the bankruptcy process</w:t>
      </w:r>
      <w:r>
        <w:t xml:space="preserve">.  </w:t>
      </w:r>
      <w:r w:rsidR="003D073A">
        <w:t>This is a way for customers to recoup some of the over $2</w:t>
      </w:r>
      <w:r w:rsidR="009C1341">
        <w:t>32</w:t>
      </w:r>
      <w:r w:rsidR="003D073A">
        <w:t xml:space="preserve"> million </w:t>
      </w:r>
      <w:r w:rsidR="0063656C">
        <w:t xml:space="preserve">they have paid in subsidies to </w:t>
      </w:r>
      <w:r w:rsidR="005236AB">
        <w:t>AEP Ohio.</w:t>
      </w:r>
    </w:p>
    <w:p w:rsidR="00396859" w:rsidRDefault="00396859">
      <w:pPr>
        <w:spacing w:line="480" w:lineRule="auto"/>
        <w:rPr>
          <w:szCs w:val="24"/>
        </w:rPr>
      </w:pPr>
    </w:p>
    <w:p w:rsidR="00EE7580" w:rsidRDefault="00EE7580" w:rsidP="00EE7580">
      <w:pPr>
        <w:spacing w:line="480" w:lineRule="auto"/>
        <w:ind w:left="3600" w:firstLine="720"/>
        <w:rPr>
          <w:szCs w:val="24"/>
        </w:rPr>
      </w:pPr>
      <w:r>
        <w:rPr>
          <w:szCs w:val="24"/>
        </w:rPr>
        <w:t>Respectfully submitted,</w:t>
      </w:r>
    </w:p>
    <w:p w:rsidR="00EE7580" w:rsidRDefault="00EE7580" w:rsidP="00EE7580">
      <w:pPr>
        <w:pStyle w:val="Footer"/>
        <w:tabs>
          <w:tab w:val="clear" w:pos="8640"/>
          <w:tab w:val="left" w:pos="4320"/>
        </w:tabs>
        <w:spacing w:before="240"/>
        <w:rPr>
          <w:sz w:val="24"/>
          <w:szCs w:val="24"/>
        </w:rPr>
      </w:pPr>
      <w:r>
        <w:rPr>
          <w:sz w:val="24"/>
          <w:szCs w:val="24"/>
        </w:rPr>
        <w:tab/>
        <w:t>BRUCE J. WESTON</w:t>
      </w:r>
    </w:p>
    <w:p w:rsidR="00EE7580" w:rsidRDefault="00EE7580" w:rsidP="00EE7580">
      <w:pPr>
        <w:tabs>
          <w:tab w:val="left" w:pos="4320"/>
        </w:tabs>
        <w:rPr>
          <w:szCs w:val="24"/>
        </w:rPr>
      </w:pPr>
      <w:r>
        <w:rPr>
          <w:szCs w:val="24"/>
        </w:rPr>
        <w:tab/>
        <w:t>OHIO CONSUMERS’ COUNSEL</w:t>
      </w:r>
    </w:p>
    <w:p w:rsidR="00EE7580" w:rsidRDefault="00EE7580" w:rsidP="00EE7580">
      <w:pPr>
        <w:tabs>
          <w:tab w:val="left" w:pos="4320"/>
        </w:tabs>
        <w:rPr>
          <w:szCs w:val="24"/>
        </w:rPr>
      </w:pPr>
      <w:r>
        <w:rPr>
          <w:szCs w:val="24"/>
        </w:rPr>
        <w:tab/>
      </w:r>
    </w:p>
    <w:p w:rsidR="00EE7580" w:rsidRDefault="00EE7580" w:rsidP="00EE7580">
      <w:pPr>
        <w:tabs>
          <w:tab w:val="left" w:pos="4320"/>
        </w:tabs>
        <w:rPr>
          <w:szCs w:val="24"/>
        </w:rPr>
      </w:pPr>
      <w:r>
        <w:rPr>
          <w:szCs w:val="24"/>
        </w:rPr>
        <w:tab/>
      </w:r>
      <w:r>
        <w:rPr>
          <w:i/>
          <w:szCs w:val="24"/>
          <w:u w:val="single"/>
        </w:rPr>
        <w:t>/s/ Maureen R. Grady</w:t>
      </w:r>
      <w:r>
        <w:rPr>
          <w:szCs w:val="24"/>
        </w:rPr>
        <w:t>___________</w:t>
      </w:r>
    </w:p>
    <w:p w:rsidR="00EE7580" w:rsidRDefault="00EE7580" w:rsidP="00EE7580">
      <w:pPr>
        <w:tabs>
          <w:tab w:val="left" w:pos="4320"/>
        </w:tabs>
        <w:rPr>
          <w:szCs w:val="24"/>
        </w:rPr>
      </w:pPr>
      <w:r>
        <w:rPr>
          <w:szCs w:val="24"/>
        </w:rPr>
        <w:tab/>
        <w:t>Maureen R. Grady, Counsel of Record</w:t>
      </w:r>
    </w:p>
    <w:p w:rsidR="00EE7580" w:rsidRDefault="00EE7580" w:rsidP="00EE7580">
      <w:pPr>
        <w:tabs>
          <w:tab w:val="left" w:pos="4320"/>
        </w:tabs>
        <w:rPr>
          <w:szCs w:val="24"/>
        </w:rPr>
      </w:pPr>
      <w:r>
        <w:rPr>
          <w:szCs w:val="24"/>
        </w:rPr>
        <w:tab/>
        <w:t>Edmund J. Berger</w:t>
      </w:r>
    </w:p>
    <w:p w:rsidR="00EE7580" w:rsidRDefault="00EE7580" w:rsidP="00EE7580">
      <w:pPr>
        <w:tabs>
          <w:tab w:val="left" w:pos="4320"/>
        </w:tabs>
        <w:rPr>
          <w:szCs w:val="24"/>
        </w:rPr>
      </w:pPr>
      <w:r>
        <w:rPr>
          <w:szCs w:val="24"/>
        </w:rPr>
        <w:tab/>
        <w:t>Assistant Consumers’ Counsel</w:t>
      </w:r>
    </w:p>
    <w:p w:rsidR="00EE7580" w:rsidRDefault="00EE7580" w:rsidP="00EE7580">
      <w:pPr>
        <w:tabs>
          <w:tab w:val="left" w:pos="4320"/>
        </w:tabs>
        <w:rPr>
          <w:szCs w:val="24"/>
        </w:rPr>
      </w:pPr>
    </w:p>
    <w:p w:rsidR="00EE7580" w:rsidRPr="004A10F8" w:rsidRDefault="00EE7580" w:rsidP="00EE7580">
      <w:pPr>
        <w:rPr>
          <w:b/>
        </w:rPr>
      </w:pPr>
      <w:r>
        <w:tab/>
      </w:r>
      <w:r>
        <w:tab/>
      </w:r>
      <w:r>
        <w:tab/>
      </w:r>
      <w:r>
        <w:tab/>
      </w:r>
      <w:r>
        <w:tab/>
      </w:r>
      <w:r w:rsidRPr="004A10F8">
        <w:rPr>
          <w:b/>
        </w:rPr>
        <w:tab/>
        <w:t>Office of the Ohio Consumers’ Counsel</w:t>
      </w:r>
    </w:p>
    <w:p w:rsidR="00EE7580" w:rsidRDefault="00EE7580" w:rsidP="00EE7580">
      <w:pPr>
        <w:ind w:left="4320" w:hanging="4320"/>
      </w:pPr>
      <w:r>
        <w:tab/>
        <w:t>10 West Broad Street, Suite 1800</w:t>
      </w:r>
    </w:p>
    <w:p w:rsidR="00EE7580" w:rsidRDefault="00EE7580" w:rsidP="00EE7580">
      <w:pPr>
        <w:ind w:left="4320" w:hanging="4320"/>
      </w:pPr>
      <w:r>
        <w:tab/>
        <w:t>Columbus, Ohio 43215-3485</w:t>
      </w:r>
    </w:p>
    <w:p w:rsidR="00EE7580" w:rsidRDefault="00EE7580" w:rsidP="00EE7580">
      <w:pPr>
        <w:ind w:left="4320"/>
        <w:rPr>
          <w:szCs w:val="24"/>
        </w:rPr>
      </w:pPr>
      <w:r>
        <w:rPr>
          <w:szCs w:val="24"/>
        </w:rPr>
        <w:t>Telephone:  (Grady) (614) 466-9567</w:t>
      </w:r>
    </w:p>
    <w:p w:rsidR="00EE7580" w:rsidRDefault="00EE7580" w:rsidP="00EE7580">
      <w:pPr>
        <w:autoSpaceDE w:val="0"/>
        <w:autoSpaceDN w:val="0"/>
        <w:adjustRightInd w:val="0"/>
        <w:ind w:left="3600" w:firstLine="720"/>
        <w:rPr>
          <w:szCs w:val="24"/>
        </w:rPr>
      </w:pPr>
      <w:r>
        <w:rPr>
          <w:szCs w:val="24"/>
        </w:rPr>
        <w:t>Telephone:  (Berger) (614) 466-1292</w:t>
      </w:r>
    </w:p>
    <w:p w:rsidR="00EE7580" w:rsidRDefault="00EE7580" w:rsidP="00EE7580">
      <w:pPr>
        <w:rPr>
          <w:szCs w:val="24"/>
        </w:rPr>
      </w:pPr>
      <w:r>
        <w:rPr>
          <w:szCs w:val="24"/>
        </w:rPr>
        <w:tab/>
      </w:r>
      <w:r>
        <w:rPr>
          <w:szCs w:val="24"/>
        </w:rPr>
        <w:tab/>
      </w:r>
      <w:r>
        <w:rPr>
          <w:szCs w:val="24"/>
        </w:rPr>
        <w:tab/>
      </w:r>
      <w:r>
        <w:rPr>
          <w:szCs w:val="24"/>
        </w:rPr>
        <w:tab/>
      </w:r>
      <w:r>
        <w:rPr>
          <w:szCs w:val="24"/>
        </w:rPr>
        <w:tab/>
      </w:r>
      <w:r>
        <w:rPr>
          <w:szCs w:val="24"/>
        </w:rPr>
        <w:tab/>
      </w:r>
      <w:r w:rsidRPr="00AE4A6F">
        <w:rPr>
          <w:rFonts w:eastAsia="Courier New"/>
          <w:szCs w:val="24"/>
        </w:rPr>
        <w:t>maureen.grady@occ.ohio.gov</w:t>
      </w:r>
    </w:p>
    <w:p w:rsidR="00EE7580" w:rsidRDefault="00EE7580" w:rsidP="00EE7580">
      <w:pPr>
        <w:rPr>
          <w:szCs w:val="24"/>
        </w:rPr>
      </w:pPr>
      <w:r>
        <w:rPr>
          <w:szCs w:val="24"/>
        </w:rPr>
        <w:tab/>
      </w:r>
      <w:r>
        <w:rPr>
          <w:szCs w:val="24"/>
        </w:rPr>
        <w:tab/>
      </w:r>
      <w:r>
        <w:rPr>
          <w:szCs w:val="24"/>
        </w:rPr>
        <w:tab/>
      </w:r>
      <w:r>
        <w:rPr>
          <w:szCs w:val="24"/>
        </w:rPr>
        <w:tab/>
      </w:r>
      <w:r>
        <w:rPr>
          <w:szCs w:val="24"/>
        </w:rPr>
        <w:tab/>
      </w:r>
      <w:r>
        <w:rPr>
          <w:szCs w:val="24"/>
        </w:rPr>
        <w:tab/>
      </w:r>
      <w:r w:rsidRPr="00AE4A6F">
        <w:rPr>
          <w:rFonts w:eastAsia="Courier New"/>
          <w:szCs w:val="24"/>
        </w:rPr>
        <w:t>edmund.berger@occ.ohio.gov</w:t>
      </w:r>
    </w:p>
    <w:p w:rsidR="00EE7580" w:rsidRDefault="00EE7580" w:rsidP="00EE7580">
      <w:pPr>
        <w:rPr>
          <w:szCs w:val="24"/>
        </w:rPr>
      </w:pPr>
    </w:p>
    <w:p w:rsidR="00EE7580" w:rsidRDefault="00EE7580" w:rsidP="00EE7580">
      <w:pPr>
        <w:rPr>
          <w:szCs w:val="24"/>
        </w:rPr>
      </w:pPr>
      <w:r>
        <w:rPr>
          <w:szCs w:val="24"/>
        </w:rPr>
        <w:tab/>
      </w:r>
      <w:r>
        <w:rPr>
          <w:szCs w:val="24"/>
        </w:rPr>
        <w:tab/>
      </w:r>
      <w:r>
        <w:rPr>
          <w:szCs w:val="24"/>
        </w:rPr>
        <w:tab/>
      </w:r>
      <w:r>
        <w:rPr>
          <w:szCs w:val="24"/>
        </w:rPr>
        <w:tab/>
      </w:r>
      <w:r>
        <w:rPr>
          <w:szCs w:val="24"/>
        </w:rPr>
        <w:tab/>
      </w:r>
      <w:r>
        <w:rPr>
          <w:szCs w:val="24"/>
        </w:rPr>
        <w:tab/>
      </w:r>
    </w:p>
    <w:p w:rsidR="00EE7580" w:rsidRDefault="00EE7580" w:rsidP="00EE7580">
      <w:pPr>
        <w:rPr>
          <w:szCs w:val="24"/>
        </w:rPr>
      </w:pPr>
      <w:r>
        <w:rPr>
          <w:szCs w:val="24"/>
        </w:rPr>
        <w:tab/>
      </w:r>
      <w:r>
        <w:rPr>
          <w:szCs w:val="24"/>
        </w:rPr>
        <w:tab/>
      </w:r>
      <w:r>
        <w:rPr>
          <w:szCs w:val="24"/>
        </w:rPr>
        <w:tab/>
      </w:r>
      <w:r>
        <w:rPr>
          <w:szCs w:val="24"/>
        </w:rPr>
        <w:tab/>
      </w:r>
      <w:r>
        <w:rPr>
          <w:szCs w:val="24"/>
        </w:rPr>
        <w:tab/>
      </w:r>
      <w:r>
        <w:rPr>
          <w:szCs w:val="24"/>
        </w:rPr>
        <w:tab/>
      </w:r>
    </w:p>
    <w:p w:rsidR="00EE7580" w:rsidRDefault="00EE7580" w:rsidP="00EE7580">
      <w:pPr>
        <w:jc w:val="center"/>
        <w:rPr>
          <w:b/>
          <w:bCs/>
          <w:u w:val="single"/>
        </w:rPr>
      </w:pPr>
      <w:r>
        <w:br w:type="page"/>
      </w:r>
      <w:r>
        <w:rPr>
          <w:b/>
          <w:bCs/>
          <w:u w:val="single"/>
        </w:rPr>
        <w:t>CERTIFICATE OF SERVICE</w:t>
      </w:r>
    </w:p>
    <w:p w:rsidR="00EE7580" w:rsidRDefault="00EE7580" w:rsidP="005236AB">
      <w:pPr>
        <w:spacing w:line="480" w:lineRule="atLeast"/>
        <w:ind w:firstLine="720"/>
      </w:pPr>
      <w:r>
        <w:t xml:space="preserve">I hereby certify that a copy of this </w:t>
      </w:r>
      <w:r w:rsidR="005A7287">
        <w:t>Brief</w:t>
      </w:r>
      <w:r>
        <w:t xml:space="preserve"> was served on the persons stated below via electronic transmission, this </w:t>
      </w:r>
      <w:r w:rsidR="005A7287">
        <w:t>30</w:t>
      </w:r>
      <w:r w:rsidR="005A7287" w:rsidRPr="005A7287">
        <w:rPr>
          <w:vertAlign w:val="superscript"/>
        </w:rPr>
        <w:t>th</w:t>
      </w:r>
      <w:r w:rsidR="005A7287">
        <w:t xml:space="preserve"> </w:t>
      </w:r>
      <w:r>
        <w:t>day of Ma</w:t>
      </w:r>
      <w:r w:rsidR="005A7287">
        <w:t>y</w:t>
      </w:r>
      <w:r>
        <w:t xml:space="preserve"> 2014.</w:t>
      </w:r>
    </w:p>
    <w:p w:rsidR="00EE7580" w:rsidRDefault="00EE7580" w:rsidP="00EE7580">
      <w:pPr>
        <w:spacing w:line="480" w:lineRule="atLeast"/>
      </w:pPr>
    </w:p>
    <w:p w:rsidR="00EE7580" w:rsidRDefault="00EE7580" w:rsidP="00EE7580">
      <w:pPr>
        <w:tabs>
          <w:tab w:val="left" w:pos="4320"/>
        </w:tabs>
      </w:pPr>
      <w:r>
        <w:tab/>
      </w:r>
      <w:r>
        <w:rPr>
          <w:i/>
          <w:u w:val="single"/>
        </w:rPr>
        <w:t>/s/ Maureen R. Grady</w:t>
      </w:r>
      <w:r>
        <w:t>____________</w:t>
      </w:r>
    </w:p>
    <w:p w:rsidR="00EE7580" w:rsidRDefault="00EE7580" w:rsidP="00EE7580">
      <w:pPr>
        <w:tabs>
          <w:tab w:val="left" w:pos="4320"/>
        </w:tabs>
      </w:pPr>
      <w:r>
        <w:tab/>
        <w:t>Maureen R. Grady</w:t>
      </w:r>
    </w:p>
    <w:p w:rsidR="00EE7580" w:rsidRDefault="00EE7580" w:rsidP="00EE7580">
      <w:pPr>
        <w:tabs>
          <w:tab w:val="left" w:pos="4320"/>
        </w:tabs>
      </w:pPr>
      <w:r>
        <w:tab/>
        <w:t>Assistant Consumers’ Counsel</w:t>
      </w:r>
    </w:p>
    <w:p w:rsidR="00EE7580" w:rsidRDefault="00EE7580" w:rsidP="00EE7580">
      <w:pPr>
        <w:pStyle w:val="CommentSubject"/>
      </w:pPr>
    </w:p>
    <w:p w:rsidR="00EE7580" w:rsidRDefault="00EE7580" w:rsidP="00EE7580">
      <w:pPr>
        <w:pStyle w:val="CommentText"/>
      </w:pPr>
    </w:p>
    <w:p w:rsidR="00EE7580" w:rsidRDefault="00EE7580" w:rsidP="00EE7580">
      <w:pPr>
        <w:pStyle w:val="CommentText"/>
        <w:jc w:val="center"/>
        <w:rPr>
          <w:b/>
          <w:u w:val="single"/>
        </w:rPr>
      </w:pPr>
      <w:r>
        <w:rPr>
          <w:b/>
          <w:u w:val="single"/>
        </w:rPr>
        <w:t>SERVICE LIST</w:t>
      </w:r>
    </w:p>
    <w:p w:rsidR="00EE7580" w:rsidRDefault="00EE7580" w:rsidP="00EE7580">
      <w:pPr>
        <w:pStyle w:val="BodyText"/>
        <w:rPr>
          <w:b/>
          <w:bCs/>
        </w:rPr>
      </w:pPr>
    </w:p>
    <w:tbl>
      <w:tblPr>
        <w:tblW w:w="0" w:type="auto"/>
        <w:tblLook w:val="01E0" w:firstRow="1" w:lastRow="1" w:firstColumn="1" w:lastColumn="1" w:noHBand="0" w:noVBand="0"/>
      </w:tblPr>
      <w:tblGrid>
        <w:gridCol w:w="4428"/>
        <w:gridCol w:w="4428"/>
      </w:tblGrid>
      <w:tr w:rsidR="00EE7580" w:rsidRPr="00947A24" w:rsidTr="00272094">
        <w:tc>
          <w:tcPr>
            <w:tcW w:w="4428" w:type="dxa"/>
            <w:shd w:val="clear" w:color="auto" w:fill="auto"/>
          </w:tcPr>
          <w:p w:rsidR="00EE7580" w:rsidRDefault="00EE7580" w:rsidP="00272094">
            <w:pPr>
              <w:autoSpaceDE w:val="0"/>
              <w:autoSpaceDN w:val="0"/>
              <w:adjustRightInd w:val="0"/>
              <w:rPr>
                <w:bCs/>
              </w:rPr>
            </w:pPr>
            <w:r>
              <w:rPr>
                <w:bCs/>
              </w:rPr>
              <w:t>William Wright</w:t>
            </w:r>
          </w:p>
          <w:p w:rsidR="00EE7580" w:rsidRDefault="00EE7580" w:rsidP="00272094">
            <w:pPr>
              <w:autoSpaceDE w:val="0"/>
              <w:autoSpaceDN w:val="0"/>
              <w:adjustRightInd w:val="0"/>
              <w:rPr>
                <w:bCs/>
              </w:rPr>
            </w:pPr>
            <w:r>
              <w:rPr>
                <w:bCs/>
              </w:rPr>
              <w:t>Attorney General’s Office</w:t>
            </w:r>
          </w:p>
          <w:p w:rsidR="00EE7580" w:rsidRDefault="00EE7580" w:rsidP="00272094">
            <w:pPr>
              <w:autoSpaceDE w:val="0"/>
              <w:autoSpaceDN w:val="0"/>
              <w:adjustRightInd w:val="0"/>
              <w:rPr>
                <w:bCs/>
              </w:rPr>
            </w:pPr>
            <w:r>
              <w:rPr>
                <w:bCs/>
              </w:rPr>
              <w:t>Public Utilities Commission of Ohio</w:t>
            </w:r>
          </w:p>
          <w:p w:rsidR="00EE7580" w:rsidRDefault="00EE7580" w:rsidP="00272094">
            <w:pPr>
              <w:autoSpaceDE w:val="0"/>
              <w:autoSpaceDN w:val="0"/>
              <w:adjustRightInd w:val="0"/>
              <w:rPr>
                <w:bCs/>
              </w:rPr>
            </w:pPr>
            <w:r>
              <w:rPr>
                <w:bCs/>
              </w:rPr>
              <w:t>180 E. Broad St., 6</w:t>
            </w:r>
            <w:r w:rsidRPr="00323022">
              <w:rPr>
                <w:bCs/>
                <w:vertAlign w:val="superscript"/>
              </w:rPr>
              <w:t>th</w:t>
            </w:r>
            <w:r>
              <w:rPr>
                <w:bCs/>
              </w:rPr>
              <w:t xml:space="preserve"> Fl.</w:t>
            </w:r>
          </w:p>
          <w:p w:rsidR="00EE7580" w:rsidRDefault="00EE7580" w:rsidP="00272094">
            <w:pPr>
              <w:autoSpaceDE w:val="0"/>
              <w:autoSpaceDN w:val="0"/>
              <w:adjustRightInd w:val="0"/>
              <w:rPr>
                <w:bCs/>
              </w:rPr>
            </w:pPr>
            <w:r>
              <w:rPr>
                <w:bCs/>
              </w:rPr>
              <w:t>Columbus, OH 43215</w:t>
            </w:r>
          </w:p>
          <w:p w:rsidR="00EE7580" w:rsidRDefault="00EE7580" w:rsidP="00272094">
            <w:pPr>
              <w:autoSpaceDE w:val="0"/>
              <w:autoSpaceDN w:val="0"/>
              <w:adjustRightInd w:val="0"/>
              <w:rPr>
                <w:bCs/>
              </w:rPr>
            </w:pPr>
            <w:r w:rsidRPr="00AE4A6F">
              <w:rPr>
                <w:rFonts w:eastAsia="Courier New"/>
                <w:bCs/>
              </w:rPr>
              <w:t>William.wright@puc.state.oh.us</w:t>
            </w:r>
          </w:p>
          <w:p w:rsidR="00EE7580" w:rsidRPr="00947A24" w:rsidRDefault="00EE7580" w:rsidP="00272094">
            <w:pPr>
              <w:autoSpaceDE w:val="0"/>
              <w:autoSpaceDN w:val="0"/>
              <w:adjustRightInd w:val="0"/>
              <w:rPr>
                <w:bCs/>
              </w:rPr>
            </w:pPr>
          </w:p>
        </w:tc>
        <w:tc>
          <w:tcPr>
            <w:tcW w:w="4428" w:type="dxa"/>
            <w:shd w:val="clear" w:color="auto" w:fill="auto"/>
          </w:tcPr>
          <w:p w:rsidR="00EE7580" w:rsidRDefault="00EE7580" w:rsidP="00272094">
            <w:pPr>
              <w:autoSpaceDE w:val="0"/>
              <w:autoSpaceDN w:val="0"/>
              <w:adjustRightInd w:val="0"/>
              <w:rPr>
                <w:color w:val="000000"/>
                <w:szCs w:val="24"/>
              </w:rPr>
            </w:pPr>
            <w:r>
              <w:rPr>
                <w:color w:val="000000"/>
                <w:szCs w:val="24"/>
              </w:rPr>
              <w:t>Steven T. Nourse</w:t>
            </w:r>
          </w:p>
          <w:p w:rsidR="00EE7580" w:rsidRDefault="00EE7580" w:rsidP="00272094">
            <w:pPr>
              <w:autoSpaceDE w:val="0"/>
              <w:autoSpaceDN w:val="0"/>
              <w:adjustRightInd w:val="0"/>
              <w:rPr>
                <w:color w:val="000000"/>
                <w:szCs w:val="24"/>
              </w:rPr>
            </w:pPr>
            <w:r>
              <w:rPr>
                <w:color w:val="000000"/>
                <w:szCs w:val="24"/>
              </w:rPr>
              <w:t>Yazen Alami</w:t>
            </w:r>
          </w:p>
          <w:p w:rsidR="00EE7580" w:rsidRDefault="00EE7580" w:rsidP="00272094">
            <w:pPr>
              <w:autoSpaceDE w:val="0"/>
              <w:autoSpaceDN w:val="0"/>
              <w:adjustRightInd w:val="0"/>
              <w:rPr>
                <w:color w:val="000000"/>
                <w:szCs w:val="24"/>
              </w:rPr>
            </w:pPr>
            <w:r>
              <w:rPr>
                <w:color w:val="000000"/>
                <w:szCs w:val="24"/>
              </w:rPr>
              <w:t>American Electric Power Service Corp.</w:t>
            </w:r>
          </w:p>
          <w:p w:rsidR="00EE7580" w:rsidRDefault="00EE7580" w:rsidP="00272094">
            <w:pPr>
              <w:autoSpaceDE w:val="0"/>
              <w:autoSpaceDN w:val="0"/>
              <w:adjustRightInd w:val="0"/>
              <w:rPr>
                <w:color w:val="000000"/>
                <w:szCs w:val="24"/>
              </w:rPr>
            </w:pPr>
            <w:r>
              <w:rPr>
                <w:color w:val="000000"/>
                <w:szCs w:val="24"/>
              </w:rPr>
              <w:t>1 Riverside Plaza, 29</w:t>
            </w:r>
            <w:r>
              <w:rPr>
                <w:color w:val="000000"/>
                <w:sz w:val="16"/>
                <w:szCs w:val="16"/>
              </w:rPr>
              <w:t xml:space="preserve">th </w:t>
            </w:r>
            <w:r>
              <w:rPr>
                <w:color w:val="000000"/>
                <w:szCs w:val="24"/>
              </w:rPr>
              <w:t>Floor</w:t>
            </w:r>
          </w:p>
          <w:p w:rsidR="00EE7580" w:rsidRDefault="00EE7580" w:rsidP="00272094">
            <w:pPr>
              <w:autoSpaceDE w:val="0"/>
              <w:autoSpaceDN w:val="0"/>
              <w:adjustRightInd w:val="0"/>
              <w:rPr>
                <w:color w:val="000000"/>
                <w:szCs w:val="24"/>
              </w:rPr>
            </w:pPr>
            <w:r>
              <w:rPr>
                <w:color w:val="000000"/>
                <w:szCs w:val="24"/>
              </w:rPr>
              <w:t>Columbus, OH 43215</w:t>
            </w:r>
          </w:p>
          <w:p w:rsidR="00EE7580" w:rsidRDefault="00EE7580" w:rsidP="00272094">
            <w:pPr>
              <w:pStyle w:val="BodyText"/>
              <w:rPr>
                <w:color w:val="0000FF"/>
                <w:szCs w:val="24"/>
              </w:rPr>
            </w:pPr>
            <w:r w:rsidRPr="00AE4A6F">
              <w:rPr>
                <w:rFonts w:eastAsia="Courier New"/>
                <w:szCs w:val="24"/>
              </w:rPr>
              <w:t>stnourse@aep.com</w:t>
            </w:r>
          </w:p>
          <w:p w:rsidR="00EE7580" w:rsidRDefault="00EE7580" w:rsidP="00272094">
            <w:pPr>
              <w:pStyle w:val="BodyText"/>
              <w:rPr>
                <w:color w:val="0000FF"/>
                <w:szCs w:val="24"/>
              </w:rPr>
            </w:pPr>
            <w:r w:rsidRPr="00AE4A6F">
              <w:rPr>
                <w:rFonts w:eastAsia="Courier New"/>
                <w:szCs w:val="24"/>
              </w:rPr>
              <w:t>yalami@aep.com</w:t>
            </w:r>
          </w:p>
          <w:p w:rsidR="00EE7580" w:rsidRPr="00947A24" w:rsidRDefault="00EE7580" w:rsidP="00272094">
            <w:pPr>
              <w:pStyle w:val="BodyText"/>
              <w:rPr>
                <w:bCs/>
              </w:rPr>
            </w:pPr>
          </w:p>
        </w:tc>
      </w:tr>
      <w:tr w:rsidR="00EE7580" w:rsidRPr="00947A24" w:rsidTr="00272094">
        <w:tc>
          <w:tcPr>
            <w:tcW w:w="4428" w:type="dxa"/>
            <w:shd w:val="clear" w:color="auto" w:fill="auto"/>
          </w:tcPr>
          <w:p w:rsidR="00EE7580" w:rsidRDefault="00EE7580" w:rsidP="00272094">
            <w:pPr>
              <w:autoSpaceDE w:val="0"/>
              <w:autoSpaceDN w:val="0"/>
              <w:adjustRightInd w:val="0"/>
              <w:rPr>
                <w:szCs w:val="24"/>
              </w:rPr>
            </w:pPr>
            <w:r>
              <w:rPr>
                <w:szCs w:val="24"/>
              </w:rPr>
              <w:t xml:space="preserve">Emma F. Hand </w:t>
            </w:r>
          </w:p>
          <w:p w:rsidR="00EE7580" w:rsidRDefault="00EE7580" w:rsidP="00272094">
            <w:pPr>
              <w:autoSpaceDE w:val="0"/>
              <w:autoSpaceDN w:val="0"/>
              <w:adjustRightInd w:val="0"/>
              <w:rPr>
                <w:szCs w:val="24"/>
              </w:rPr>
            </w:pPr>
            <w:r>
              <w:rPr>
                <w:szCs w:val="24"/>
              </w:rPr>
              <w:t>Dentons US LLP</w:t>
            </w:r>
          </w:p>
          <w:p w:rsidR="00EE7580" w:rsidRDefault="00EE7580" w:rsidP="00272094">
            <w:pPr>
              <w:autoSpaceDE w:val="0"/>
              <w:autoSpaceDN w:val="0"/>
              <w:adjustRightInd w:val="0"/>
              <w:rPr>
                <w:szCs w:val="24"/>
              </w:rPr>
            </w:pPr>
            <w:r>
              <w:rPr>
                <w:szCs w:val="24"/>
              </w:rPr>
              <w:t>1301 K Street NW</w:t>
            </w:r>
          </w:p>
          <w:p w:rsidR="00EE7580" w:rsidRDefault="00EE7580" w:rsidP="00272094">
            <w:pPr>
              <w:autoSpaceDE w:val="0"/>
              <w:autoSpaceDN w:val="0"/>
              <w:adjustRightInd w:val="0"/>
              <w:rPr>
                <w:szCs w:val="24"/>
              </w:rPr>
            </w:pPr>
            <w:r>
              <w:rPr>
                <w:szCs w:val="24"/>
              </w:rPr>
              <w:t>Suite 600, East Tower</w:t>
            </w:r>
          </w:p>
          <w:p w:rsidR="00EE7580" w:rsidRDefault="00EE7580" w:rsidP="00272094">
            <w:pPr>
              <w:autoSpaceDE w:val="0"/>
              <w:autoSpaceDN w:val="0"/>
              <w:adjustRightInd w:val="0"/>
              <w:rPr>
                <w:szCs w:val="24"/>
              </w:rPr>
            </w:pPr>
            <w:r>
              <w:rPr>
                <w:szCs w:val="24"/>
              </w:rPr>
              <w:t>Washington, DC 20005</w:t>
            </w:r>
          </w:p>
          <w:p w:rsidR="00EE7580" w:rsidRDefault="00EE7580" w:rsidP="00272094">
            <w:pPr>
              <w:autoSpaceDE w:val="0"/>
              <w:autoSpaceDN w:val="0"/>
              <w:adjustRightInd w:val="0"/>
              <w:rPr>
                <w:szCs w:val="24"/>
              </w:rPr>
            </w:pPr>
            <w:r w:rsidRPr="00AE4A6F">
              <w:rPr>
                <w:rFonts w:eastAsia="Courier New"/>
                <w:szCs w:val="24"/>
              </w:rPr>
              <w:t>emma.hand@dentons.cocm</w:t>
            </w:r>
          </w:p>
          <w:p w:rsidR="00EE7580" w:rsidRDefault="00EE7580" w:rsidP="00272094">
            <w:pPr>
              <w:rPr>
                <w:szCs w:val="24"/>
              </w:rPr>
            </w:pPr>
          </w:p>
          <w:p w:rsidR="00EE7580" w:rsidRPr="00947A24" w:rsidRDefault="00EE7580" w:rsidP="00272094">
            <w:pPr>
              <w:rPr>
                <w:szCs w:val="24"/>
              </w:rPr>
            </w:pPr>
          </w:p>
        </w:tc>
        <w:tc>
          <w:tcPr>
            <w:tcW w:w="4428" w:type="dxa"/>
            <w:shd w:val="clear" w:color="auto" w:fill="auto"/>
          </w:tcPr>
          <w:p w:rsidR="00EE7580" w:rsidRDefault="00EE7580" w:rsidP="00272094">
            <w:pPr>
              <w:autoSpaceDE w:val="0"/>
              <w:autoSpaceDN w:val="0"/>
              <w:adjustRightInd w:val="0"/>
              <w:rPr>
                <w:szCs w:val="24"/>
              </w:rPr>
            </w:pPr>
            <w:r w:rsidRPr="00355809">
              <w:rPr>
                <w:szCs w:val="24"/>
              </w:rPr>
              <w:t>Samuel C. Randazzo</w:t>
            </w:r>
          </w:p>
          <w:p w:rsidR="00EE7580" w:rsidRPr="00355809" w:rsidRDefault="00EE7580" w:rsidP="00272094">
            <w:pPr>
              <w:autoSpaceDE w:val="0"/>
              <w:autoSpaceDN w:val="0"/>
              <w:adjustRightInd w:val="0"/>
              <w:rPr>
                <w:szCs w:val="24"/>
              </w:rPr>
            </w:pPr>
            <w:r w:rsidRPr="00355809">
              <w:rPr>
                <w:szCs w:val="24"/>
              </w:rPr>
              <w:t>Frank P. Darr</w:t>
            </w:r>
          </w:p>
          <w:p w:rsidR="00EE7580" w:rsidRPr="00355809" w:rsidRDefault="00EE7580" w:rsidP="00272094">
            <w:pPr>
              <w:autoSpaceDE w:val="0"/>
              <w:autoSpaceDN w:val="0"/>
              <w:adjustRightInd w:val="0"/>
              <w:rPr>
                <w:szCs w:val="24"/>
              </w:rPr>
            </w:pPr>
            <w:r w:rsidRPr="00355809">
              <w:rPr>
                <w:szCs w:val="24"/>
              </w:rPr>
              <w:t>Matthew R. Pritchard</w:t>
            </w:r>
          </w:p>
          <w:p w:rsidR="00EE7580" w:rsidRPr="00355809" w:rsidRDefault="007B6AD8" w:rsidP="00272094">
            <w:pPr>
              <w:autoSpaceDE w:val="0"/>
              <w:autoSpaceDN w:val="0"/>
              <w:adjustRightInd w:val="0"/>
              <w:rPr>
                <w:szCs w:val="24"/>
              </w:rPr>
            </w:pPr>
            <w:r w:rsidRPr="007B6AD8">
              <w:rPr>
                <w:szCs w:val="24"/>
              </w:rPr>
              <w:t>McNees Wallace &amp; Nurick</w:t>
            </w:r>
            <w:r w:rsidRPr="00355809">
              <w:rPr>
                <w:sz w:val="19"/>
                <w:szCs w:val="19"/>
              </w:rPr>
              <w:t xml:space="preserve"> </w:t>
            </w:r>
            <w:r w:rsidR="00EE7580" w:rsidRPr="00355809">
              <w:rPr>
                <w:szCs w:val="24"/>
              </w:rPr>
              <w:t>LLC</w:t>
            </w:r>
          </w:p>
          <w:p w:rsidR="00EE7580" w:rsidRPr="00355809" w:rsidRDefault="00EE7580" w:rsidP="00272094">
            <w:pPr>
              <w:autoSpaceDE w:val="0"/>
              <w:autoSpaceDN w:val="0"/>
              <w:adjustRightInd w:val="0"/>
              <w:rPr>
                <w:szCs w:val="24"/>
              </w:rPr>
            </w:pPr>
            <w:r w:rsidRPr="00355809">
              <w:rPr>
                <w:szCs w:val="24"/>
              </w:rPr>
              <w:t>21 East State Street, 17</w:t>
            </w:r>
            <w:r w:rsidRPr="00355809">
              <w:rPr>
                <w:sz w:val="16"/>
                <w:szCs w:val="16"/>
              </w:rPr>
              <w:t xml:space="preserve">TH </w:t>
            </w:r>
            <w:r w:rsidRPr="00355809">
              <w:rPr>
                <w:szCs w:val="24"/>
              </w:rPr>
              <w:t>Floor</w:t>
            </w:r>
          </w:p>
          <w:p w:rsidR="00EE7580" w:rsidRPr="00355809" w:rsidRDefault="00EE7580" w:rsidP="00272094">
            <w:pPr>
              <w:autoSpaceDE w:val="0"/>
              <w:autoSpaceDN w:val="0"/>
              <w:adjustRightInd w:val="0"/>
              <w:rPr>
                <w:szCs w:val="24"/>
              </w:rPr>
            </w:pPr>
            <w:r w:rsidRPr="00355809">
              <w:rPr>
                <w:szCs w:val="24"/>
              </w:rPr>
              <w:t>Columbus, OH 43215</w:t>
            </w:r>
          </w:p>
          <w:p w:rsidR="00EE7580" w:rsidRPr="00355809" w:rsidRDefault="00EE7580" w:rsidP="00272094">
            <w:pPr>
              <w:autoSpaceDE w:val="0"/>
              <w:autoSpaceDN w:val="0"/>
              <w:adjustRightInd w:val="0"/>
              <w:rPr>
                <w:szCs w:val="24"/>
              </w:rPr>
            </w:pPr>
            <w:r w:rsidRPr="00AE4A6F">
              <w:rPr>
                <w:rFonts w:eastAsia="Courier New"/>
                <w:szCs w:val="24"/>
              </w:rPr>
              <w:t>sam@mwncmh.com</w:t>
            </w:r>
          </w:p>
          <w:p w:rsidR="00EE7580" w:rsidRPr="00355809" w:rsidRDefault="00EE7580" w:rsidP="00272094">
            <w:pPr>
              <w:autoSpaceDE w:val="0"/>
              <w:autoSpaceDN w:val="0"/>
              <w:adjustRightInd w:val="0"/>
              <w:rPr>
                <w:szCs w:val="24"/>
              </w:rPr>
            </w:pPr>
            <w:r w:rsidRPr="00AE4A6F">
              <w:rPr>
                <w:rFonts w:eastAsia="Courier New"/>
                <w:szCs w:val="24"/>
              </w:rPr>
              <w:t>fdarr@mwncmh.com</w:t>
            </w:r>
          </w:p>
          <w:p w:rsidR="00EE7580" w:rsidRPr="00355809" w:rsidRDefault="00EE7580" w:rsidP="00272094">
            <w:pPr>
              <w:autoSpaceDE w:val="0"/>
              <w:autoSpaceDN w:val="0"/>
              <w:adjustRightInd w:val="0"/>
              <w:rPr>
                <w:szCs w:val="24"/>
              </w:rPr>
            </w:pPr>
            <w:r w:rsidRPr="00AE4A6F">
              <w:rPr>
                <w:rFonts w:eastAsia="Courier New"/>
                <w:szCs w:val="24"/>
              </w:rPr>
              <w:t>mpritchard@mwncmh.com</w:t>
            </w:r>
          </w:p>
          <w:p w:rsidR="00EE7580" w:rsidRPr="00947A24" w:rsidRDefault="00EE7580" w:rsidP="00272094">
            <w:pPr>
              <w:rPr>
                <w:bCs/>
              </w:rPr>
            </w:pPr>
          </w:p>
        </w:tc>
      </w:tr>
      <w:tr w:rsidR="00EE7580" w:rsidRPr="00947A24" w:rsidTr="00272094">
        <w:tc>
          <w:tcPr>
            <w:tcW w:w="4428" w:type="dxa"/>
            <w:shd w:val="clear" w:color="auto" w:fill="auto"/>
          </w:tcPr>
          <w:p w:rsidR="00EE7580" w:rsidRDefault="00EE7580" w:rsidP="00272094">
            <w:pPr>
              <w:rPr>
                <w:bCs/>
              </w:rPr>
            </w:pPr>
            <w:r>
              <w:rPr>
                <w:bCs/>
              </w:rPr>
              <w:t>Attorney Examiner:</w:t>
            </w:r>
          </w:p>
          <w:p w:rsidR="00EE7580" w:rsidRDefault="00EE7580" w:rsidP="00272094">
            <w:pPr>
              <w:rPr>
                <w:bCs/>
              </w:rPr>
            </w:pPr>
          </w:p>
          <w:p w:rsidR="00EE7580" w:rsidRDefault="00EE7580" w:rsidP="00272094">
            <w:pPr>
              <w:rPr>
                <w:bCs/>
              </w:rPr>
            </w:pPr>
            <w:r w:rsidRPr="00AE4A6F">
              <w:rPr>
                <w:rFonts w:eastAsia="Courier New"/>
                <w:bCs/>
              </w:rPr>
              <w:t>Sarah.parrot@puc.state.oh.us</w:t>
            </w:r>
          </w:p>
          <w:p w:rsidR="00EE7580" w:rsidRDefault="00EE7580" w:rsidP="00272094">
            <w:pPr>
              <w:autoSpaceDE w:val="0"/>
              <w:autoSpaceDN w:val="0"/>
              <w:adjustRightInd w:val="0"/>
              <w:rPr>
                <w:szCs w:val="24"/>
              </w:rPr>
            </w:pPr>
          </w:p>
        </w:tc>
        <w:tc>
          <w:tcPr>
            <w:tcW w:w="4428" w:type="dxa"/>
            <w:shd w:val="clear" w:color="auto" w:fill="auto"/>
          </w:tcPr>
          <w:p w:rsidR="00EE7580" w:rsidRDefault="00EE7580" w:rsidP="00272094">
            <w:pPr>
              <w:rPr>
                <w:bCs/>
              </w:rPr>
            </w:pPr>
          </w:p>
        </w:tc>
      </w:tr>
    </w:tbl>
    <w:p w:rsidR="00EE7580" w:rsidRDefault="00EE7580" w:rsidP="00EE7580">
      <w:pPr>
        <w:pStyle w:val="BodyText"/>
        <w:rPr>
          <w:b/>
          <w:bCs/>
        </w:rPr>
      </w:pPr>
    </w:p>
    <w:p w:rsidR="00EE7580" w:rsidRDefault="00EE7580" w:rsidP="00EE7580">
      <w:pPr>
        <w:pStyle w:val="HTMLPreformatted"/>
        <w:rPr>
          <w:rFonts w:ascii="Times New Roman" w:hAnsi="Times New Roman"/>
          <w:sz w:val="24"/>
        </w:rPr>
      </w:pPr>
    </w:p>
    <w:sectPr w:rsidR="00EE7580" w:rsidSect="008C13A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86" w:rsidRDefault="00E52686" w:rsidP="00EE7580">
      <w:r>
        <w:separator/>
      </w:r>
    </w:p>
  </w:endnote>
  <w:endnote w:type="continuationSeparator" w:id="0">
    <w:p w:rsidR="00E52686" w:rsidRDefault="00E52686" w:rsidP="00EE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6F" w:rsidRDefault="00AE4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68" w:rsidRDefault="00423C68">
    <w:pPr>
      <w:pStyle w:val="Footer"/>
      <w:jc w:val="center"/>
    </w:pPr>
  </w:p>
  <w:p w:rsidR="00423C68" w:rsidRDefault="00423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6F" w:rsidRDefault="00AE4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8257"/>
      <w:docPartObj>
        <w:docPartGallery w:val="Page Numbers (Bottom of Page)"/>
        <w:docPartUnique/>
      </w:docPartObj>
    </w:sdtPr>
    <w:sdtEndPr>
      <w:rPr>
        <w:noProof/>
        <w:sz w:val="24"/>
        <w:szCs w:val="24"/>
      </w:rPr>
    </w:sdtEndPr>
    <w:sdtContent>
      <w:p w:rsidR="00423C68" w:rsidRPr="00BD7A92" w:rsidRDefault="00423C68">
        <w:pPr>
          <w:pStyle w:val="Footer"/>
          <w:jc w:val="center"/>
          <w:rPr>
            <w:sz w:val="24"/>
            <w:szCs w:val="24"/>
          </w:rPr>
        </w:pPr>
        <w:r w:rsidRPr="00BD7A92">
          <w:rPr>
            <w:sz w:val="24"/>
            <w:szCs w:val="24"/>
          </w:rPr>
          <w:fldChar w:fldCharType="begin"/>
        </w:r>
        <w:r w:rsidRPr="00BD7A92">
          <w:rPr>
            <w:sz w:val="24"/>
            <w:szCs w:val="24"/>
          </w:rPr>
          <w:instrText xml:space="preserve"> PAGE   \* MERGEFORMAT </w:instrText>
        </w:r>
        <w:r w:rsidRPr="00BD7A92">
          <w:rPr>
            <w:sz w:val="24"/>
            <w:szCs w:val="24"/>
          </w:rPr>
          <w:fldChar w:fldCharType="separate"/>
        </w:r>
        <w:r w:rsidR="00AE4A6F">
          <w:rPr>
            <w:noProof/>
            <w:sz w:val="24"/>
            <w:szCs w:val="24"/>
          </w:rPr>
          <w:t>21</w:t>
        </w:r>
        <w:r w:rsidRPr="00BD7A92">
          <w:rPr>
            <w:noProof/>
            <w:sz w:val="24"/>
            <w:szCs w:val="24"/>
          </w:rPr>
          <w:fldChar w:fldCharType="end"/>
        </w:r>
      </w:p>
    </w:sdtContent>
  </w:sdt>
  <w:p w:rsidR="00423C68" w:rsidRDefault="004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86" w:rsidRDefault="00E52686" w:rsidP="00EE7580">
      <w:r>
        <w:separator/>
      </w:r>
    </w:p>
  </w:footnote>
  <w:footnote w:type="continuationSeparator" w:id="0">
    <w:p w:rsidR="00E52686" w:rsidRDefault="00E52686" w:rsidP="00EE7580">
      <w:r>
        <w:continuationSeparator/>
      </w:r>
    </w:p>
  </w:footnote>
  <w:footnote w:id="1">
    <w:p w:rsidR="00423C68" w:rsidRPr="00D92C8B" w:rsidRDefault="00423C68" w:rsidP="005236AB">
      <w:pPr>
        <w:pStyle w:val="FootnoteText"/>
        <w:spacing w:after="120"/>
      </w:pPr>
      <w:r w:rsidRPr="00D92C8B">
        <w:rPr>
          <w:rStyle w:val="FootnoteReference"/>
        </w:rPr>
        <w:footnoteRef/>
      </w:r>
      <w:r w:rsidRPr="00D92C8B">
        <w:t xml:space="preserve"> U.S. Energy Information Administration, Table 5.6B (Oct. 2013).</w:t>
      </w:r>
    </w:p>
  </w:footnote>
  <w:footnote w:id="2">
    <w:p w:rsidR="00423C68" w:rsidRPr="00B72F8F" w:rsidRDefault="00423C68" w:rsidP="005236AB">
      <w:pPr>
        <w:pStyle w:val="FootnoteText"/>
        <w:spacing w:after="120"/>
      </w:pPr>
      <w:r w:rsidRPr="00B72F8F">
        <w:rPr>
          <w:rStyle w:val="FootnoteReference"/>
        </w:rPr>
        <w:footnoteRef/>
      </w:r>
      <w:r w:rsidRPr="00B72F8F">
        <w:t xml:space="preserve"> </w:t>
      </w:r>
      <w:r w:rsidRPr="00B72F8F">
        <w:rPr>
          <w:i/>
        </w:rPr>
        <w:t>Ormet Primary Aluminum Corporation v. Ohio Power Company</w:t>
      </w:r>
      <w:r w:rsidRPr="00B72F8F">
        <w:t>, Case No. 13-2206-EL-CSS, Stipulation and Recom</w:t>
      </w:r>
      <w:r w:rsidR="004A7997">
        <w:t>mendation at 6 (Feb. 3, 2014).</w:t>
      </w:r>
    </w:p>
  </w:footnote>
  <w:footnote w:id="3">
    <w:p w:rsidR="00423C68" w:rsidRPr="00B72F8F" w:rsidRDefault="00423C68" w:rsidP="005236AB">
      <w:pPr>
        <w:pStyle w:val="FootnoteText"/>
        <w:spacing w:after="120"/>
      </w:pPr>
      <w:r w:rsidRPr="00B72F8F">
        <w:rPr>
          <w:rStyle w:val="FootnoteReference"/>
        </w:rPr>
        <w:footnoteRef/>
      </w:r>
      <w:r w:rsidRPr="00B72F8F">
        <w:t xml:space="preserve"> See, e.g., </w:t>
      </w:r>
      <w:r w:rsidRPr="00B72F8F">
        <w:rPr>
          <w:i/>
        </w:rPr>
        <w:t>In re: Ormet</w:t>
      </w:r>
      <w:r w:rsidRPr="00B72F8F">
        <w:t>, Case No. 09-119-EL-AEC, Entry at ¶5 (Oct. 17, 2012);</w:t>
      </w:r>
      <w:r w:rsidR="004A7997">
        <w:t xml:space="preserve"> Entry at ¶20 (Aug. 21, 2013).</w:t>
      </w:r>
    </w:p>
  </w:footnote>
  <w:footnote w:id="4">
    <w:p w:rsidR="00423C68" w:rsidRPr="00B72F8F" w:rsidRDefault="00423C68" w:rsidP="005236AB">
      <w:pPr>
        <w:pStyle w:val="FootnoteText"/>
        <w:spacing w:after="120"/>
      </w:pPr>
      <w:r w:rsidRPr="00B72F8F">
        <w:rPr>
          <w:rStyle w:val="FootnoteReference"/>
        </w:rPr>
        <w:footnoteRef/>
      </w:r>
      <w:r w:rsidRPr="00B72F8F">
        <w:t xml:space="preserve"> OCC’s efforts opposing approximately $13 million of the $49.3 million of delta revenues were unsuccessful.  See, e.g., </w:t>
      </w:r>
      <w:r w:rsidRPr="00B72F8F">
        <w:rPr>
          <w:i/>
        </w:rPr>
        <w:t>In re: Ormet</w:t>
      </w:r>
      <w:r w:rsidRPr="00B72F8F">
        <w:t>, Case No. 09-119-EL-AEC, Opinion and Order at 7</w:t>
      </w:r>
      <w:r w:rsidR="001675EF">
        <w:t>,</w:t>
      </w:r>
      <w:r w:rsidR="00363A11">
        <w:t xml:space="preserve"> 9,</w:t>
      </w:r>
      <w:r w:rsidRPr="00B72F8F">
        <w:t xml:space="preserve"> </w:t>
      </w:r>
      <w:r w:rsidR="001675EF">
        <w:t xml:space="preserve">(July 15, 2009) </w:t>
      </w:r>
      <w:r w:rsidRPr="00B72F8F">
        <w:t>(citing to OCC’s original position that the delta revenue should not exceed $32 million annually (for five years), the amount of wages of the Ohi</w:t>
      </w:r>
      <w:r w:rsidR="004A7997">
        <w:t>o workers at the Ormet plant).</w:t>
      </w:r>
    </w:p>
  </w:footnote>
  <w:footnote w:id="5">
    <w:p w:rsidR="00423C68" w:rsidRPr="00D92C8B" w:rsidRDefault="00423C68" w:rsidP="004A7997">
      <w:pPr>
        <w:spacing w:after="120"/>
      </w:pPr>
      <w:r w:rsidRPr="00B72F8F">
        <w:rPr>
          <w:rStyle w:val="FootnoteReference"/>
          <w:sz w:val="20"/>
        </w:rPr>
        <w:footnoteRef/>
      </w:r>
      <w:r w:rsidRPr="00B72F8F">
        <w:rPr>
          <w:sz w:val="20"/>
        </w:rPr>
        <w:t xml:space="preserve"> </w:t>
      </w:r>
      <w:r w:rsidRPr="00B72F8F">
        <w:rPr>
          <w:i/>
          <w:sz w:val="20"/>
        </w:rPr>
        <w:t>Ormet Primary Aluminum Corporation v. Ohio Power Company</w:t>
      </w:r>
      <w:r w:rsidRPr="00B72F8F">
        <w:rPr>
          <w:sz w:val="20"/>
        </w:rPr>
        <w:t>, Case No. 13-2206-EL-CSS, Stipulation and Recommendation at 6.</w:t>
      </w:r>
    </w:p>
  </w:footnote>
  <w:footnote w:id="6">
    <w:p w:rsidR="00423C68" w:rsidRPr="00B72F8F" w:rsidRDefault="00423C68" w:rsidP="005236AB">
      <w:pPr>
        <w:spacing w:after="120"/>
        <w:rPr>
          <w:sz w:val="20"/>
        </w:rPr>
      </w:pPr>
      <w:r w:rsidRPr="00B72F8F">
        <w:rPr>
          <w:rStyle w:val="FootnoteReference"/>
          <w:sz w:val="20"/>
        </w:rPr>
        <w:footnoteRef/>
      </w:r>
      <w:r w:rsidRPr="00B72F8F">
        <w:rPr>
          <w:sz w:val="20"/>
        </w:rPr>
        <w:t xml:space="preserve"> Notably, the PUCO has not ruled that these charges pertaining to Ormet’s unpaid bills and September 2013 usage deferral are 1) appropriate or 2) that customers (and not AEP) </w:t>
      </w:r>
      <w:r w:rsidR="004A7997">
        <w:rPr>
          <w:sz w:val="20"/>
        </w:rPr>
        <w:t>should be responsible for them.</w:t>
      </w:r>
    </w:p>
  </w:footnote>
  <w:footnote w:id="7">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In the Matter of the Restatement of the Accounts and Records of Cincinnati Gas &amp; Electric Co., the Dayton Power and Light Co. and Columbus &amp; Southern Ohio Electric Company</w:t>
      </w:r>
      <w:r w:rsidRPr="00D92C8B">
        <w:t xml:space="preserve">, </w:t>
      </w:r>
      <w:r>
        <w:t>C</w:t>
      </w:r>
      <w:r w:rsidRPr="00D92C8B">
        <w:t>ase No. 84-1187-EL-UNC, Opinion and Order (Nov. 26, 1985).</w:t>
      </w:r>
    </w:p>
  </w:footnote>
  <w:footnote w:id="8">
    <w:p w:rsidR="00423C68" w:rsidRPr="00D92C8B" w:rsidRDefault="00423C68" w:rsidP="005236AB">
      <w:pPr>
        <w:pStyle w:val="FootnoteText"/>
        <w:spacing w:after="120"/>
      </w:pPr>
      <w:r w:rsidRPr="00D92C8B">
        <w:rPr>
          <w:rStyle w:val="FootnoteReference"/>
          <w:i/>
        </w:rPr>
        <w:footnoteRef/>
      </w:r>
      <w:r w:rsidRPr="00D92C8B">
        <w:rPr>
          <w:i/>
        </w:rPr>
        <w:t xml:space="preserve"> Industrial Energy Consumers of Ohio Power Co. v. Pub. Util. Comm</w:t>
      </w:r>
      <w:r w:rsidRPr="00D92C8B">
        <w:t xml:space="preserve">., 68 Ohio St.3d 547 (1994) (citing </w:t>
      </w:r>
      <w:r w:rsidRPr="00D92C8B">
        <w:rPr>
          <w:i/>
        </w:rPr>
        <w:t>Consumers’ Counsel v. Pub. Util. Comm</w:t>
      </w:r>
      <w:r w:rsidRPr="00D92C8B">
        <w:t>., 64 Ohio St.3d 123, at 126 (1992)</w:t>
      </w:r>
      <w:r>
        <w:t>)</w:t>
      </w:r>
      <w:r w:rsidRPr="00D92C8B">
        <w:t>.</w:t>
      </w:r>
    </w:p>
  </w:footnote>
  <w:footnote w:id="9">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Duff v. Pub. Util. Comm.,</w:t>
      </w:r>
      <w:r w:rsidRPr="00D92C8B">
        <w:t xml:space="preserve"> </w:t>
      </w:r>
      <w:r w:rsidR="004A7997">
        <w:t>56 Ohio St.2d 367, 379 (1978).</w:t>
      </w:r>
    </w:p>
  </w:footnote>
  <w:footnote w:id="10">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 xml:space="preserve">In re </w:t>
      </w:r>
      <w:r>
        <w:rPr>
          <w:i/>
        </w:rPr>
        <w:t>R</w:t>
      </w:r>
      <w:r w:rsidRPr="00D92C8B">
        <w:rPr>
          <w:i/>
        </w:rPr>
        <w:t>estatement of Accounts and Records of CG&amp;E, DP&amp;L, and CSOE</w:t>
      </w:r>
      <w:r w:rsidRPr="00D92C8B">
        <w:t>, Case No. 84-1187-EL-UN</w:t>
      </w:r>
      <w:r w:rsidR="004A7997">
        <w:t>C, Order at 7 (Nov. 26, 1985).</w:t>
      </w:r>
    </w:p>
  </w:footnote>
  <w:footnote w:id="11">
    <w:p w:rsidR="00423C68" w:rsidRDefault="00423C68" w:rsidP="005236AB">
      <w:pPr>
        <w:pStyle w:val="FootnoteText"/>
        <w:spacing w:after="120"/>
      </w:pPr>
      <w:r>
        <w:rPr>
          <w:rStyle w:val="FootnoteReference"/>
        </w:rPr>
        <w:footnoteRef/>
      </w:r>
      <w:r>
        <w:t xml:space="preserve"> Direct Testimony of Grego</w:t>
      </w:r>
      <w:r w:rsidR="004A7997">
        <w:t>ry Slone at 5 (Apr. 22, 2014).</w:t>
      </w:r>
    </w:p>
  </w:footnote>
  <w:footnote w:id="12">
    <w:p w:rsidR="00423C68" w:rsidRDefault="00423C68" w:rsidP="005236AB">
      <w:pPr>
        <w:pStyle w:val="FootnoteText"/>
        <w:spacing w:after="120"/>
      </w:pPr>
      <w:r>
        <w:rPr>
          <w:rStyle w:val="FootnoteReference"/>
        </w:rPr>
        <w:footnoteRef/>
      </w:r>
      <w:r w:rsidR="004A7997">
        <w:t xml:space="preserve"> Id.</w:t>
      </w:r>
    </w:p>
  </w:footnote>
  <w:footnote w:id="13">
    <w:p w:rsidR="00423C68" w:rsidRDefault="00423C68" w:rsidP="005236AB">
      <w:pPr>
        <w:pStyle w:val="FootnoteText"/>
        <w:spacing w:after="120"/>
      </w:pPr>
      <w:r>
        <w:rPr>
          <w:rStyle w:val="FootnoteReference"/>
        </w:rPr>
        <w:footnoteRef/>
      </w:r>
      <w:r w:rsidR="004A7997">
        <w:t xml:space="preserve"> Id.</w:t>
      </w:r>
    </w:p>
  </w:footnote>
  <w:footnote w:id="14">
    <w:p w:rsidR="00423C68" w:rsidRDefault="00423C68" w:rsidP="005236AB">
      <w:pPr>
        <w:pStyle w:val="FootnoteText"/>
        <w:spacing w:after="120"/>
      </w:pPr>
      <w:r>
        <w:rPr>
          <w:rStyle w:val="FootnoteReference"/>
        </w:rPr>
        <w:footnoteRef/>
      </w:r>
      <w:r>
        <w:t xml:space="preserve"> See Direct Testimony of William A. Allen at 6.</w:t>
      </w:r>
    </w:p>
  </w:footnote>
  <w:footnote w:id="15">
    <w:p w:rsidR="00423C68" w:rsidRDefault="00423C68" w:rsidP="005236AB">
      <w:pPr>
        <w:pStyle w:val="FootnoteText"/>
        <w:spacing w:after="120"/>
      </w:pPr>
      <w:r>
        <w:rPr>
          <w:rStyle w:val="FootnoteReference"/>
        </w:rPr>
        <w:footnoteRef/>
      </w:r>
      <w:r>
        <w:t xml:space="preserve"> </w:t>
      </w:r>
      <w:r w:rsidRPr="004C0646">
        <w:rPr>
          <w:i/>
        </w:rPr>
        <w:t xml:space="preserve">In the Matter of the Application of Ormet Primary Aluminum </w:t>
      </w:r>
      <w:r>
        <w:rPr>
          <w:i/>
        </w:rPr>
        <w:t>C</w:t>
      </w:r>
      <w:r w:rsidRPr="004C0646">
        <w:rPr>
          <w:i/>
        </w:rPr>
        <w:t>orporation for Approval of a Uniq</w:t>
      </w:r>
      <w:r>
        <w:rPr>
          <w:i/>
        </w:rPr>
        <w:t>ue Arrangement with Ohio Power Co</w:t>
      </w:r>
      <w:r w:rsidRPr="004C0646">
        <w:rPr>
          <w:i/>
        </w:rPr>
        <w:t>mpany and Columbus Southern Power Company</w:t>
      </w:r>
      <w:r w:rsidR="00974292">
        <w:t>, Case No. 09-119-EL</w:t>
      </w:r>
      <w:r>
        <w:t>-AEC, Entry on Rehearing at ¶10 (Nov. 13, 2013).</w:t>
      </w:r>
    </w:p>
  </w:footnote>
  <w:footnote w:id="16">
    <w:p w:rsidR="00423C68" w:rsidRDefault="00423C68" w:rsidP="005236AB">
      <w:pPr>
        <w:pStyle w:val="FootnoteText"/>
        <w:spacing w:after="120"/>
      </w:pPr>
      <w:r>
        <w:rPr>
          <w:rStyle w:val="FootnoteReference"/>
        </w:rPr>
        <w:footnoteRef/>
      </w:r>
      <w:r>
        <w:t xml:space="preserve"> See Direct Testimo</w:t>
      </w:r>
      <w:r w:rsidR="004A7997">
        <w:t>ny of William A. Allen at 10.</w:t>
      </w:r>
    </w:p>
  </w:footnote>
  <w:footnote w:id="17">
    <w:p w:rsidR="00423C68" w:rsidRDefault="00423C68" w:rsidP="005236AB">
      <w:pPr>
        <w:pStyle w:val="FootnoteText"/>
        <w:spacing w:after="120"/>
      </w:pPr>
      <w:r>
        <w:rPr>
          <w:rStyle w:val="FootnoteReference"/>
        </w:rPr>
        <w:footnoteRef/>
      </w:r>
      <w:r w:rsidR="004A7997">
        <w:t xml:space="preserve"> Id. at 6.</w:t>
      </w:r>
    </w:p>
  </w:footnote>
  <w:footnote w:id="18">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Time Warner AxS v. Pub. Util. Comm</w:t>
      </w:r>
      <w:r w:rsidRPr="00D92C8B">
        <w:t>., 75 Ohio St.3d 2269, footnote 2</w:t>
      </w:r>
      <w:r w:rsidR="004A7997">
        <w:t>.</w:t>
      </w:r>
    </w:p>
  </w:footnote>
  <w:footnote w:id="19">
    <w:p w:rsidR="00423C68" w:rsidRDefault="00423C68" w:rsidP="005236AB">
      <w:pPr>
        <w:pStyle w:val="FootnoteText"/>
        <w:spacing w:after="120"/>
      </w:pPr>
      <w:r>
        <w:rPr>
          <w:rStyle w:val="FootnoteReference"/>
        </w:rPr>
        <w:footnoteRef/>
      </w:r>
      <w:r>
        <w:t xml:space="preserve"> Direct Testimony of William A. Allen at 10.</w:t>
      </w:r>
    </w:p>
  </w:footnote>
  <w:footnote w:id="20">
    <w:p w:rsidR="00423C68" w:rsidRDefault="00423C68" w:rsidP="005236AB">
      <w:pPr>
        <w:pStyle w:val="FootnoteText"/>
        <w:spacing w:after="120"/>
      </w:pPr>
      <w:r>
        <w:rPr>
          <w:rStyle w:val="FootnoteReference"/>
        </w:rPr>
        <w:footnoteRef/>
      </w:r>
      <w:r>
        <w:t xml:space="preserve"> Direct Te</w:t>
      </w:r>
      <w:r w:rsidR="004A7997">
        <w:t>stimony of Gregory Slone at 6.</w:t>
      </w:r>
    </w:p>
  </w:footnote>
  <w:footnote w:id="21">
    <w:p w:rsidR="00423C68" w:rsidRDefault="00423C68" w:rsidP="005236AB">
      <w:pPr>
        <w:pStyle w:val="FootnoteText"/>
        <w:spacing w:after="120"/>
      </w:pPr>
      <w:r>
        <w:rPr>
          <w:rStyle w:val="FootnoteReference"/>
        </w:rPr>
        <w:footnoteRef/>
      </w:r>
      <w:r>
        <w:t xml:space="preserve"> </w:t>
      </w:r>
      <w:r w:rsidRPr="00D92C8B">
        <w:rPr>
          <w:i/>
        </w:rPr>
        <w:t>In re: Ormet</w:t>
      </w:r>
      <w:r w:rsidRPr="00D92C8B">
        <w:t>, Case No. 09-119-</w:t>
      </w:r>
      <w:r>
        <w:t>E</w:t>
      </w:r>
      <w:r w:rsidR="00974292">
        <w:t>L</w:t>
      </w:r>
      <w:r w:rsidRPr="00D92C8B">
        <w:t>-AEC, Opinion and Order at 11</w:t>
      </w:r>
      <w:r w:rsidR="001675EF">
        <w:t xml:space="preserve"> (July 15, 2009)</w:t>
      </w:r>
      <w:r w:rsidRPr="00D92C8B">
        <w:t>.</w:t>
      </w:r>
    </w:p>
  </w:footnote>
  <w:footnote w:id="22">
    <w:p w:rsidR="00423C68" w:rsidRPr="00D92C8B" w:rsidRDefault="00423C68" w:rsidP="005236AB">
      <w:pPr>
        <w:pStyle w:val="FootnoteText"/>
        <w:spacing w:after="120"/>
      </w:pPr>
      <w:r w:rsidRPr="00D92C8B">
        <w:rPr>
          <w:rStyle w:val="FootnoteReference"/>
        </w:rPr>
        <w:footnoteRef/>
      </w:r>
      <w:r w:rsidRPr="00D92C8B">
        <w:t xml:space="preserve"> </w:t>
      </w:r>
      <w:r w:rsidR="00974292">
        <w:t>Id.</w:t>
      </w:r>
    </w:p>
  </w:footnote>
  <w:footnote w:id="23">
    <w:p w:rsidR="00423C68" w:rsidRDefault="00423C68" w:rsidP="005236AB">
      <w:pPr>
        <w:pStyle w:val="FootnoteText"/>
        <w:spacing w:after="120"/>
      </w:pPr>
      <w:r>
        <w:rPr>
          <w:rStyle w:val="FootnoteReference"/>
        </w:rPr>
        <w:footnoteRef/>
      </w:r>
      <w:r>
        <w:t xml:space="preserve"> Direct Testim</w:t>
      </w:r>
      <w:r w:rsidR="004A7997">
        <w:t>ony of William A. Allen at 14.</w:t>
      </w:r>
    </w:p>
  </w:footnote>
  <w:footnote w:id="24">
    <w:p w:rsidR="00423C68" w:rsidRDefault="00423C68" w:rsidP="005236AB">
      <w:pPr>
        <w:pStyle w:val="FootnoteText"/>
        <w:spacing w:after="120"/>
      </w:pPr>
      <w:r>
        <w:rPr>
          <w:rStyle w:val="FootnoteReference"/>
        </w:rPr>
        <w:footnoteRef/>
      </w:r>
      <w:r>
        <w:t xml:space="preserve"> </w:t>
      </w:r>
      <w:r w:rsidR="00974292">
        <w:t>Id.</w:t>
      </w:r>
      <w:r>
        <w:t xml:space="preserve"> (Emphasis added).</w:t>
      </w:r>
    </w:p>
  </w:footnote>
  <w:footnote w:id="25">
    <w:p w:rsidR="00423C68" w:rsidRDefault="00423C68" w:rsidP="005236AB">
      <w:pPr>
        <w:pStyle w:val="FootnoteText"/>
        <w:spacing w:after="120"/>
      </w:pPr>
      <w:r>
        <w:rPr>
          <w:rStyle w:val="FootnoteReference"/>
        </w:rPr>
        <w:footnoteRef/>
      </w:r>
      <w:r>
        <w:t xml:space="preserve"> See Direct Testimony of William A. Allen at 8 (testifying that ratepayers would receive credit through the EDR only after AEP recoups its $7,239,473).</w:t>
      </w:r>
    </w:p>
  </w:footnote>
  <w:footnote w:id="26">
    <w:p w:rsidR="00423C68" w:rsidRDefault="00423C68" w:rsidP="005236AB">
      <w:pPr>
        <w:pStyle w:val="FootnoteText"/>
        <w:spacing w:after="120"/>
      </w:pPr>
      <w:r>
        <w:rPr>
          <w:rStyle w:val="FootnoteReference"/>
        </w:rPr>
        <w:footnoteRef/>
      </w:r>
      <w:r>
        <w:t xml:space="preserve"> In this regard, OCC Witness Slone proposed that the stipulation be modified so that the first $5.0 million collected through bankruptcy process be credited to customers.  Direct Testim</w:t>
      </w:r>
      <w:r w:rsidR="004A7997">
        <w:t>ony of Gregory Slone at 12-13.</w:t>
      </w:r>
    </w:p>
  </w:footnote>
  <w:footnote w:id="27">
    <w:p w:rsidR="00423C68" w:rsidRDefault="00423C68" w:rsidP="005236AB">
      <w:pPr>
        <w:pStyle w:val="FootnoteText"/>
        <w:spacing w:after="120"/>
      </w:pPr>
      <w:r>
        <w:rPr>
          <w:rStyle w:val="FootnoteReference"/>
        </w:rPr>
        <w:footnoteRef/>
      </w:r>
      <w:r w:rsidR="004A7997">
        <w:t xml:space="preserve"> Id. at 14.</w:t>
      </w:r>
    </w:p>
  </w:footnote>
  <w:footnote w:id="28">
    <w:p w:rsidR="00423C68" w:rsidRDefault="00423C68" w:rsidP="005236AB">
      <w:pPr>
        <w:pStyle w:val="FootnoteText"/>
        <w:spacing w:after="120"/>
      </w:pPr>
      <w:r>
        <w:rPr>
          <w:rStyle w:val="FootnoteReference"/>
        </w:rPr>
        <w:footnoteRef/>
      </w:r>
      <w:r>
        <w:t xml:space="preserve"> Direct Testimony of Gre</w:t>
      </w:r>
      <w:r w:rsidR="004A7997">
        <w:t>gory Slone at 6.</w:t>
      </w:r>
    </w:p>
  </w:footnote>
  <w:footnote w:id="29">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In re</w:t>
      </w:r>
      <w:r>
        <w:rPr>
          <w:i/>
        </w:rPr>
        <w:t>:</w:t>
      </w:r>
      <w:r w:rsidRPr="00D92C8B">
        <w:rPr>
          <w:i/>
        </w:rPr>
        <w:t xml:space="preserve"> Ormet</w:t>
      </w:r>
      <w:r w:rsidRPr="00D92C8B">
        <w:t>, Case No. 09-119-EL-AEC, Opinion an</w:t>
      </w:r>
      <w:r w:rsidR="004A7997">
        <w:t>d Order at 10 (July 15, 2009).</w:t>
      </w:r>
    </w:p>
  </w:footnote>
  <w:footnote w:id="30">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In re: Ormet</w:t>
      </w:r>
      <w:r w:rsidRPr="00D92C8B">
        <w:t>, Case No. 09-119-EL-AEC, Opinion a</w:t>
      </w:r>
      <w:r w:rsidR="004A7997">
        <w:t>nd Order at 20 (Oct. 2, 2013).</w:t>
      </w:r>
    </w:p>
  </w:footnote>
  <w:footnote w:id="31">
    <w:p w:rsidR="00423C68" w:rsidRDefault="00423C68" w:rsidP="005236AB">
      <w:pPr>
        <w:pStyle w:val="FootnoteText"/>
        <w:spacing w:after="120"/>
      </w:pPr>
      <w:r>
        <w:rPr>
          <w:rStyle w:val="FootnoteReference"/>
        </w:rPr>
        <w:footnoteRef/>
      </w:r>
      <w:r>
        <w:t xml:space="preserve"> Direct Test</w:t>
      </w:r>
      <w:r w:rsidR="004A7997">
        <w:t>imony of Gregory Slone at 7-8.</w:t>
      </w:r>
    </w:p>
  </w:footnote>
  <w:footnote w:id="32">
    <w:p w:rsidR="00423C68" w:rsidRDefault="00423C68" w:rsidP="005236AB">
      <w:pPr>
        <w:pStyle w:val="FootnoteText"/>
        <w:spacing w:after="120"/>
      </w:pPr>
      <w:r>
        <w:rPr>
          <w:rStyle w:val="FootnoteReference"/>
        </w:rPr>
        <w:footnoteRef/>
      </w:r>
      <w:r>
        <w:t xml:space="preserve"> </w:t>
      </w:r>
      <w:r w:rsidRPr="00D92C8B">
        <w:rPr>
          <w:i/>
        </w:rPr>
        <w:t>In re: Ormet</w:t>
      </w:r>
      <w:r w:rsidRPr="00D92C8B">
        <w:t xml:space="preserve">, Case No. 09-119-EL-AEC, </w:t>
      </w:r>
      <w:r w:rsidR="004A7997">
        <w:t>Entry at 7 (Aug. 21, 2013).</w:t>
      </w:r>
    </w:p>
  </w:footnote>
  <w:footnote w:id="33">
    <w:p w:rsidR="00423C68" w:rsidRDefault="00423C68" w:rsidP="005236AB">
      <w:pPr>
        <w:pStyle w:val="FootnoteText"/>
        <w:spacing w:after="120"/>
      </w:pPr>
      <w:r>
        <w:rPr>
          <w:rStyle w:val="FootnoteReference"/>
        </w:rPr>
        <w:footnoteRef/>
      </w:r>
      <w:r>
        <w:t xml:space="preserve"> Id.</w:t>
      </w:r>
    </w:p>
  </w:footnote>
  <w:footnote w:id="34">
    <w:p w:rsidR="00423C68" w:rsidRDefault="00423C68" w:rsidP="005236AB">
      <w:pPr>
        <w:pStyle w:val="FootnoteText"/>
        <w:spacing w:after="120"/>
      </w:pPr>
      <w:r>
        <w:rPr>
          <w:rStyle w:val="FootnoteReference"/>
        </w:rPr>
        <w:footnoteRef/>
      </w:r>
      <w:r>
        <w:t xml:space="preserve"> Direct Te</w:t>
      </w:r>
      <w:r w:rsidR="004A7997">
        <w:t>stimony of Gregory Slone at 8.</w:t>
      </w:r>
    </w:p>
  </w:footnote>
  <w:footnote w:id="35">
    <w:p w:rsidR="00423C68" w:rsidRDefault="00423C68" w:rsidP="005236AB">
      <w:pPr>
        <w:pStyle w:val="FootnoteText"/>
        <w:spacing w:after="120"/>
      </w:pPr>
      <w:r>
        <w:rPr>
          <w:rStyle w:val="FootnoteReference"/>
        </w:rPr>
        <w:footnoteRef/>
      </w:r>
      <w:r w:rsidR="004A7997">
        <w:t xml:space="preserve"> Id.</w:t>
      </w:r>
    </w:p>
  </w:footnote>
  <w:footnote w:id="36">
    <w:p w:rsidR="00423C68" w:rsidRPr="00D92C8B" w:rsidRDefault="00423C68" w:rsidP="005236AB">
      <w:pPr>
        <w:pStyle w:val="FootnoteText"/>
        <w:spacing w:after="120"/>
      </w:pPr>
      <w:r w:rsidRPr="00D92C8B">
        <w:rPr>
          <w:rStyle w:val="FootnoteReference"/>
        </w:rPr>
        <w:footnoteRef/>
      </w:r>
      <w:r w:rsidRPr="00D92C8B">
        <w:t xml:space="preserve"> See, e.g., </w:t>
      </w:r>
      <w:r w:rsidRPr="00D92C8B">
        <w:rPr>
          <w:i/>
        </w:rPr>
        <w:t>In re: DP&amp;L</w:t>
      </w:r>
      <w:r w:rsidRPr="00D92C8B">
        <w:t>, Case No. 83-777-GA-AIR, Opinion and Order at 11-12 (Aug. 7, 1984)</w:t>
      </w:r>
      <w:r>
        <w:t>.</w:t>
      </w:r>
    </w:p>
  </w:footnote>
  <w:footnote w:id="37">
    <w:p w:rsidR="00423C68" w:rsidRPr="00D92C8B" w:rsidRDefault="00423C68" w:rsidP="005236AB">
      <w:pPr>
        <w:pStyle w:val="FootnoteText"/>
        <w:spacing w:after="120"/>
      </w:pPr>
      <w:r w:rsidRPr="00D92C8B">
        <w:rPr>
          <w:rStyle w:val="FootnoteReference"/>
        </w:rPr>
        <w:footnoteRef/>
      </w:r>
      <w:r w:rsidRPr="00D92C8B">
        <w:t xml:space="preserve"> See, e.g., </w:t>
      </w:r>
      <w:r w:rsidRPr="00D92C8B">
        <w:rPr>
          <w:i/>
        </w:rPr>
        <w:t>In the Matter of the Application of East Ohio Gas Company for Approval of a Payment Matching Program and other Matters</w:t>
      </w:r>
      <w:r w:rsidRPr="00D92C8B">
        <w:t xml:space="preserve">, Case No. 01-2592-GA-UNC, Entry on Rehearing at 7 (Nov. 29, 2001) (PUCO disallowed a bad debt rider and instructed the utility that if it desired to seek extraordinary recovery of the bad debts, it should do so in </w:t>
      </w:r>
      <w:r w:rsidR="004A7997">
        <w:t>the utility’s next rate case).</w:t>
      </w:r>
    </w:p>
  </w:footnote>
  <w:footnote w:id="38">
    <w:p w:rsidR="00423C68" w:rsidRDefault="00423C68" w:rsidP="005236AB">
      <w:pPr>
        <w:pStyle w:val="FootnoteText"/>
        <w:spacing w:after="120"/>
      </w:pPr>
      <w:r>
        <w:rPr>
          <w:rStyle w:val="FootnoteReference"/>
        </w:rPr>
        <w:footnoteRef/>
      </w:r>
      <w:r>
        <w:t xml:space="preserve"> Direct Testimony of William A. Allen at 13.</w:t>
      </w:r>
    </w:p>
  </w:footnote>
  <w:footnote w:id="39">
    <w:p w:rsidR="00423C68" w:rsidRDefault="00423C68" w:rsidP="005236AB">
      <w:pPr>
        <w:pStyle w:val="FootnoteText"/>
        <w:spacing w:after="120"/>
      </w:pPr>
      <w:r>
        <w:rPr>
          <w:rStyle w:val="FootnoteReference"/>
        </w:rPr>
        <w:footnoteRef/>
      </w:r>
      <w:r w:rsidR="004A7997">
        <w:t xml:space="preserve"> Id.</w:t>
      </w:r>
    </w:p>
  </w:footnote>
  <w:footnote w:id="40">
    <w:p w:rsidR="00423C68" w:rsidRDefault="00423C68" w:rsidP="005236AB">
      <w:pPr>
        <w:pStyle w:val="FootnoteText"/>
        <w:spacing w:after="120"/>
      </w:pPr>
      <w:r>
        <w:rPr>
          <w:rStyle w:val="FootnoteReference"/>
        </w:rPr>
        <w:footnoteRef/>
      </w:r>
      <w:r>
        <w:t xml:space="preserve"> Direct Testim</w:t>
      </w:r>
      <w:r w:rsidR="004A7997">
        <w:t>ony of William A. Allen at 12.</w:t>
      </w:r>
    </w:p>
  </w:footnote>
  <w:footnote w:id="41">
    <w:p w:rsidR="00423C68" w:rsidRDefault="00423C68" w:rsidP="005236AB">
      <w:pPr>
        <w:pStyle w:val="FootnoteText"/>
        <w:spacing w:after="120"/>
      </w:pPr>
      <w:r>
        <w:rPr>
          <w:rStyle w:val="FootnoteReference"/>
        </w:rPr>
        <w:footnoteRef/>
      </w:r>
      <w:r w:rsidR="004A7997">
        <w:t xml:space="preserve"> Id. at 11.</w:t>
      </w:r>
    </w:p>
  </w:footnote>
  <w:footnote w:id="42">
    <w:p w:rsidR="00423C68" w:rsidRDefault="00423C68" w:rsidP="005236AB">
      <w:pPr>
        <w:pStyle w:val="FootnoteText"/>
        <w:spacing w:after="120"/>
      </w:pPr>
      <w:r>
        <w:rPr>
          <w:rStyle w:val="FootnoteReference"/>
        </w:rPr>
        <w:footnoteRef/>
      </w:r>
      <w:r>
        <w:t xml:space="preserve"> Direct Tes</w:t>
      </w:r>
      <w:r w:rsidR="004A7997">
        <w:t>timony of Gregory Slone at 11.</w:t>
      </w:r>
    </w:p>
  </w:footnote>
  <w:footnote w:id="43">
    <w:p w:rsidR="00423C68" w:rsidRDefault="00423C68" w:rsidP="00C74F92">
      <w:pPr>
        <w:pStyle w:val="FootnoteText"/>
        <w:spacing w:after="120"/>
      </w:pPr>
      <w:r>
        <w:rPr>
          <w:rStyle w:val="FootnoteReference"/>
        </w:rPr>
        <w:footnoteRef/>
      </w:r>
      <w:r>
        <w:t xml:space="preserve"> </w:t>
      </w:r>
      <w:r w:rsidRPr="00D92C8B">
        <w:rPr>
          <w:i/>
        </w:rPr>
        <w:t>In re: Ormet</w:t>
      </w:r>
      <w:r w:rsidRPr="00D92C8B">
        <w:t xml:space="preserve">, Case No. 09-119-EL-AEC, </w:t>
      </w:r>
      <w:r w:rsidR="00C74F92">
        <w:t>Entry</w:t>
      </w:r>
      <w:r w:rsidRPr="00D92C8B">
        <w:t xml:space="preserve"> at </w:t>
      </w:r>
      <w:r>
        <w:t>5</w:t>
      </w:r>
      <w:r w:rsidRPr="00D92C8B">
        <w:t xml:space="preserve"> (Oct. </w:t>
      </w:r>
      <w:r>
        <w:t>17, 2012).</w:t>
      </w:r>
    </w:p>
  </w:footnote>
  <w:footnote w:id="44">
    <w:p w:rsidR="00423C68" w:rsidRDefault="00423C68" w:rsidP="005236AB">
      <w:pPr>
        <w:pStyle w:val="FootnoteText"/>
        <w:spacing w:after="120"/>
      </w:pPr>
      <w:r>
        <w:rPr>
          <w:rStyle w:val="FootnoteReference"/>
        </w:rPr>
        <w:footnoteRef/>
      </w:r>
      <w:r>
        <w:t xml:space="preserve"> Direct Testim</w:t>
      </w:r>
      <w:r w:rsidR="004A7997">
        <w:t>ony of William A. Allen at 11.</w:t>
      </w:r>
    </w:p>
  </w:footnote>
  <w:footnote w:id="45">
    <w:p w:rsidR="00423C68" w:rsidRDefault="00423C68" w:rsidP="005236AB">
      <w:pPr>
        <w:pStyle w:val="FootnoteText"/>
        <w:spacing w:after="120"/>
      </w:pPr>
      <w:r>
        <w:rPr>
          <w:rStyle w:val="FootnoteReference"/>
        </w:rPr>
        <w:footnoteRef/>
      </w:r>
      <w:r>
        <w:t xml:space="preserve"> </w:t>
      </w:r>
      <w:r w:rsidRPr="00974292">
        <w:rPr>
          <w:i/>
        </w:rPr>
        <w:t>In re: Ormet</w:t>
      </w:r>
      <w:r>
        <w:t>, Case No. 09-119-EL-AEC, Entry at ¶5 (Oct. 17, 2012).</w:t>
      </w:r>
    </w:p>
  </w:footnote>
  <w:footnote w:id="46">
    <w:p w:rsidR="00423C68" w:rsidRDefault="00423C68" w:rsidP="004A7997">
      <w:pPr>
        <w:pStyle w:val="FootnoteText"/>
        <w:spacing w:after="120"/>
      </w:pPr>
      <w:r>
        <w:rPr>
          <w:rStyle w:val="FootnoteReference"/>
        </w:rPr>
        <w:footnoteRef/>
      </w:r>
      <w:r>
        <w:t xml:space="preserve"> See, e.g., </w:t>
      </w:r>
      <w:r>
        <w:rPr>
          <w:i/>
        </w:rPr>
        <w:t>In the Matter of the Application of Ohio Edison Company, The Cleveland Electric Illuminating Company and the Toledo Edison Company for Approval of a New Rider and Revision of an Existing Rider</w:t>
      </w:r>
      <w:r>
        <w:t>, Case No. 10-176-EL-ATA, Entry at ¶ 15 (Dec. 22, 2012)(ruling that utility could not avoid the requirements of the PUCO’s rules on interlocutory appeals by calling its filing an application for rehearing, rather than an interlocutory appeal)(citing</w:t>
      </w:r>
      <w:r>
        <w:rPr>
          <w:i/>
        </w:rPr>
        <w:t xml:space="preserve"> In re Cincinnati Gas &amp; Electric Company,</w:t>
      </w:r>
      <w:r>
        <w:t xml:space="preserve"> Case No. 05-59-EL-AIR, Entry at 2 (Nov. 3, 2005)).</w:t>
      </w:r>
    </w:p>
  </w:footnote>
  <w:footnote w:id="47">
    <w:p w:rsidR="00423C68" w:rsidRDefault="00423C68" w:rsidP="005236AB">
      <w:pPr>
        <w:pStyle w:val="FootnoteText"/>
        <w:spacing w:after="120"/>
      </w:pPr>
      <w:r>
        <w:rPr>
          <w:rStyle w:val="FootnoteReference"/>
        </w:rPr>
        <w:footnoteRef/>
      </w:r>
      <w:r>
        <w:t xml:space="preserve"> U.S. Supreme Court Justice Brandeis, </w:t>
      </w:r>
      <w:r>
        <w:rPr>
          <w:i/>
        </w:rPr>
        <w:t>DeSanto v. Pennsylvania</w:t>
      </w:r>
      <w:r>
        <w:t xml:space="preserve"> (1927), 273 U.S. 34, 43.</w:t>
      </w:r>
    </w:p>
  </w:footnote>
  <w:footnote w:id="48">
    <w:p w:rsidR="00423C68" w:rsidRPr="00B72F8F" w:rsidRDefault="00423C68" w:rsidP="005236AB">
      <w:pPr>
        <w:pStyle w:val="FootnoteText"/>
        <w:spacing w:after="120"/>
      </w:pPr>
      <w:r w:rsidRPr="00B72F8F">
        <w:rPr>
          <w:rStyle w:val="FootnoteReference"/>
        </w:rPr>
        <w:footnoteRef/>
      </w:r>
      <w:r w:rsidRPr="00B72F8F">
        <w:t xml:space="preserve"> </w:t>
      </w:r>
      <w:r w:rsidRPr="00B72F8F">
        <w:rPr>
          <w:i/>
        </w:rPr>
        <w:t xml:space="preserve">In re: Ormet, </w:t>
      </w:r>
      <w:r w:rsidRPr="00B72F8F">
        <w:t>Case No. 09-119-EL-AEC,</w:t>
      </w:r>
      <w:r w:rsidRPr="00B72F8F">
        <w:rPr>
          <w:i/>
        </w:rPr>
        <w:t xml:space="preserve"> </w:t>
      </w:r>
      <w:r w:rsidRPr="00B72F8F">
        <w:t>Application</w:t>
      </w:r>
      <w:r w:rsidR="004A7997">
        <w:t xml:space="preserve"> for Rehearing (Nov. 1, 2013).</w:t>
      </w:r>
    </w:p>
  </w:footnote>
  <w:footnote w:id="49">
    <w:p w:rsidR="00423C68" w:rsidRPr="00B72F8F" w:rsidRDefault="00423C68" w:rsidP="005236AB">
      <w:pPr>
        <w:pStyle w:val="FootnoteText"/>
        <w:spacing w:after="120"/>
      </w:pPr>
      <w:r w:rsidRPr="00B72F8F">
        <w:rPr>
          <w:rStyle w:val="FootnoteReference"/>
        </w:rPr>
        <w:footnoteRef/>
      </w:r>
      <w:r w:rsidRPr="00B72F8F">
        <w:t xml:space="preserve"> </w:t>
      </w:r>
      <w:r w:rsidRPr="00B72F8F">
        <w:rPr>
          <w:i/>
        </w:rPr>
        <w:t xml:space="preserve">In re: Ormet, </w:t>
      </w:r>
      <w:r w:rsidRPr="00B72F8F">
        <w:t>Case No. 09-119-EL-AEC</w:t>
      </w:r>
      <w:r w:rsidRPr="00B72F8F">
        <w:rPr>
          <w:i/>
        </w:rPr>
        <w:t xml:space="preserve">, </w:t>
      </w:r>
      <w:r w:rsidRPr="00B72F8F">
        <w:t>Entry on Rehearing at ¶10 (Nov. 13, 2013).</w:t>
      </w:r>
    </w:p>
  </w:footnote>
  <w:footnote w:id="50">
    <w:p w:rsidR="00423C68" w:rsidRPr="00B72F8F" w:rsidRDefault="00423C68" w:rsidP="005236AB">
      <w:pPr>
        <w:pStyle w:val="FootnoteText"/>
        <w:spacing w:after="120"/>
      </w:pPr>
      <w:r w:rsidRPr="00B72F8F">
        <w:rPr>
          <w:rStyle w:val="FootnoteReference"/>
        </w:rPr>
        <w:footnoteRef/>
      </w:r>
      <w:r w:rsidR="004A7997">
        <w:t xml:space="preserve"> Id.</w:t>
      </w:r>
    </w:p>
  </w:footnote>
  <w:footnote w:id="51">
    <w:p w:rsidR="00423C68" w:rsidRPr="00B72F8F" w:rsidRDefault="00423C68" w:rsidP="005236AB">
      <w:pPr>
        <w:pStyle w:val="FootnoteText"/>
        <w:spacing w:after="120"/>
      </w:pPr>
      <w:r w:rsidRPr="00B72F8F">
        <w:rPr>
          <w:rStyle w:val="FootnoteReference"/>
        </w:rPr>
        <w:footnoteRef/>
      </w:r>
      <w:r w:rsidRPr="00B72F8F">
        <w:t xml:space="preserve"> Ohio Admin. Code 4901-1-30(D).</w:t>
      </w:r>
    </w:p>
  </w:footnote>
  <w:footnote w:id="52">
    <w:p w:rsidR="00423C68" w:rsidRPr="00B72F8F" w:rsidRDefault="00423C68" w:rsidP="005236AB">
      <w:pPr>
        <w:spacing w:after="120"/>
        <w:rPr>
          <w:sz w:val="20"/>
        </w:rPr>
      </w:pPr>
      <w:r w:rsidRPr="00B72F8F">
        <w:rPr>
          <w:rStyle w:val="FootnoteReference"/>
          <w:i/>
          <w:sz w:val="20"/>
        </w:rPr>
        <w:footnoteRef/>
      </w:r>
      <w:r w:rsidRPr="00B72F8F">
        <w:rPr>
          <w:i/>
          <w:sz w:val="20"/>
        </w:rPr>
        <w:t xml:space="preserve"> In re: Ormet</w:t>
      </w:r>
      <w:r w:rsidRPr="00B72F8F">
        <w:rPr>
          <w:sz w:val="20"/>
        </w:rPr>
        <w:t>, Case No. 09-119-EL-AEC, Opinion and Order at 2 (Oct. 2, 2013).</w:t>
      </w:r>
    </w:p>
  </w:footnote>
  <w:footnote w:id="53">
    <w:p w:rsidR="00423C68" w:rsidRPr="00B72F8F" w:rsidRDefault="00423C68" w:rsidP="004A7997">
      <w:pPr>
        <w:pStyle w:val="FootnoteText"/>
        <w:spacing w:after="120"/>
      </w:pPr>
      <w:r w:rsidRPr="00B72F8F">
        <w:rPr>
          <w:rStyle w:val="FootnoteReference"/>
        </w:rPr>
        <w:footnoteRef/>
      </w:r>
      <w:r w:rsidRPr="00B72F8F">
        <w:t xml:space="preserve"> It was not until 2012 that Ohio Power was required to pick up a slight portion of the Ormet costs.  See </w:t>
      </w:r>
      <w:r w:rsidRPr="00B72F8F">
        <w:rPr>
          <w:i/>
        </w:rPr>
        <w:t>In re: Ormet</w:t>
      </w:r>
      <w:r w:rsidRPr="00B72F8F">
        <w:t xml:space="preserve">, Case No. 09-119-EL-AEC, Opinion and Order at ¶5 (Oct. 17, 2012) (where the PUCO capped Ormet’s deferred payment at $20 million).  Ohio Power alleges that it has had to shoulder $7.2 million relating to the October/November 2012 billing deferrals and has acted as an interest-free bank for the deferred billing payments in 2012 and 2013.  See Ohio Power Reply Comments in  </w:t>
      </w:r>
      <w:r w:rsidRPr="00B72F8F">
        <w:rPr>
          <w:i/>
        </w:rPr>
        <w:t>In The Matter of the Application of Ohio Power Company to Adjust the Economic Development Cost Recovery Rider</w:t>
      </w:r>
      <w:r w:rsidRPr="00B72F8F">
        <w:t>, Case No</w:t>
      </w:r>
      <w:r w:rsidR="004A7997">
        <w:t>. 14-193-EL-RDR (Mar. 7, 2014).</w:t>
      </w:r>
    </w:p>
  </w:footnote>
  <w:footnote w:id="54">
    <w:p w:rsidR="00423C68" w:rsidRPr="00D92C8B" w:rsidRDefault="00423C68" w:rsidP="006568B3">
      <w:pPr>
        <w:pStyle w:val="FootnoteText"/>
        <w:spacing w:after="120"/>
      </w:pPr>
      <w:r w:rsidRPr="00D92C8B">
        <w:rPr>
          <w:rStyle w:val="FootnoteReference"/>
        </w:rPr>
        <w:footnoteRef/>
      </w:r>
      <w:r w:rsidRPr="00D92C8B">
        <w:t xml:space="preserve"> Ohio Power has benefitted from economic development in the area served by Ormet to a similar degree as the communities in which Ormet operates.  Both residential and commercial electric service ha</w:t>
      </w:r>
      <w:r w:rsidR="006568B3">
        <w:t>ve</w:t>
      </w:r>
      <w:r w:rsidRPr="00D92C8B">
        <w:t xml:space="preserve"> no doubt been greater than they would have been in the absence of Ormet.</w:t>
      </w:r>
    </w:p>
  </w:footnote>
  <w:footnote w:id="55">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 xml:space="preserve">In re: Ormet, </w:t>
      </w:r>
      <w:r w:rsidRPr="00D92C8B">
        <w:t>Case No. 09-119-EL-AEC, Executed Power Agreement, Articl</w:t>
      </w:r>
      <w:r w:rsidR="004A7997">
        <w:t>e 4.01 at 11 (Sept. 18, 2009).</w:t>
      </w:r>
    </w:p>
  </w:footnote>
  <w:footnote w:id="56">
    <w:p w:rsidR="00423C68" w:rsidRPr="00D92C8B" w:rsidRDefault="00423C68" w:rsidP="006568B3">
      <w:pPr>
        <w:pStyle w:val="FootnoteText"/>
        <w:spacing w:after="120"/>
      </w:pPr>
      <w:r w:rsidRPr="00D92C8B">
        <w:rPr>
          <w:rStyle w:val="FootnoteReference"/>
        </w:rPr>
        <w:footnoteRef/>
      </w:r>
      <w:r w:rsidRPr="00D92C8B">
        <w:t xml:space="preserve"> </w:t>
      </w:r>
      <w:r w:rsidRPr="00D92C8B">
        <w:rPr>
          <w:i/>
        </w:rPr>
        <w:t>In re: Ormet</w:t>
      </w:r>
      <w:r w:rsidRPr="00D92C8B">
        <w:t>, Case No. 09-119-EL-AEC, Entry on Reh</w:t>
      </w:r>
      <w:r w:rsidR="004A7997">
        <w:t>earing at ¶12 (Nov. 13, 201</w:t>
      </w:r>
      <w:r w:rsidR="006568B3">
        <w:t>3</w:t>
      </w:r>
      <w:r w:rsidR="004A7997">
        <w:t>).</w:t>
      </w:r>
    </w:p>
  </w:footnote>
  <w:footnote w:id="57">
    <w:p w:rsidR="00423C68" w:rsidRPr="00D92C8B" w:rsidRDefault="00423C68" w:rsidP="006568B3">
      <w:pPr>
        <w:pStyle w:val="FootnoteText"/>
        <w:spacing w:after="120"/>
      </w:pPr>
      <w:r w:rsidRPr="00D92C8B">
        <w:rPr>
          <w:rStyle w:val="FootnoteReference"/>
        </w:rPr>
        <w:footnoteRef/>
      </w:r>
      <w:r w:rsidRPr="00D92C8B">
        <w:t xml:space="preserve"> The PUCO in the past, allowed Ormet subsidies to be reduced if the London Metal Exchange (LME) prices exceeded the target prices in the agreement.  </w:t>
      </w:r>
      <w:r w:rsidRPr="00D92C8B">
        <w:rPr>
          <w:i/>
        </w:rPr>
        <w:t>In re: Ormet</w:t>
      </w:r>
      <w:r w:rsidRPr="00D92C8B">
        <w:t>, Case No. 09-119-EL-AEC, Opinion and Order at 12 (July 15, 2009).  Unfortunately, customers never received delta revenue credits because the price of aluminum in the LME never rose above the target price.  Id., Opi</w:t>
      </w:r>
      <w:r w:rsidR="00FA0CAB">
        <w:t>nion and Order at 19-20 (Oct. 2</w:t>
      </w:r>
      <w:r w:rsidRPr="00D92C8B">
        <w:t xml:space="preserve">, 2013).  Customer contributions were also reduced by Ormet’s payment of provider of last resort charges.  </w:t>
      </w:r>
      <w:r w:rsidRPr="00D92C8B">
        <w:rPr>
          <w:i/>
        </w:rPr>
        <w:t>In re: Ormet</w:t>
      </w:r>
      <w:r w:rsidRPr="00D92C8B">
        <w:t xml:space="preserve">, Case No. 09-119-EL-AEC, Opinion and Order at 13-14 (July 15, 2009), upheld on appeal, </w:t>
      </w:r>
      <w:r w:rsidRPr="00D92C8B">
        <w:rPr>
          <w:i/>
        </w:rPr>
        <w:t>In re: Ormet Primary Aluminum Corp.,</w:t>
      </w:r>
      <w:r w:rsidRPr="00D92C8B">
        <w:t xml:space="preserve"> </w:t>
      </w:r>
      <w:r w:rsidR="006568B3">
        <w:t xml:space="preserve">129 Ohio St.3d 9, </w:t>
      </w:r>
      <w:r w:rsidRPr="00D92C8B">
        <w:t>20</w:t>
      </w:r>
      <w:r w:rsidR="004A7997">
        <w:t>11-Ohio-2377,</w:t>
      </w:r>
      <w:r w:rsidR="006568B3">
        <w:t xml:space="preserve"> 949 N.E.2d 991</w:t>
      </w:r>
      <w:r w:rsidR="004A7997">
        <w:t>.</w:t>
      </w:r>
    </w:p>
  </w:footnote>
  <w:footnote w:id="58">
    <w:p w:rsidR="00423C68" w:rsidRDefault="00423C68" w:rsidP="0057362D">
      <w:pPr>
        <w:pStyle w:val="FootnoteText"/>
        <w:spacing w:after="120"/>
      </w:pPr>
      <w:r>
        <w:rPr>
          <w:rStyle w:val="FootnoteReference"/>
        </w:rPr>
        <w:footnoteRef/>
      </w:r>
      <w:r>
        <w:t xml:space="preserve"> </w:t>
      </w:r>
      <w:r w:rsidRPr="00D92C8B">
        <w:rPr>
          <w:i/>
        </w:rPr>
        <w:t>In re: Ormet</w:t>
      </w:r>
      <w:r w:rsidRPr="00D92C8B">
        <w:t xml:space="preserve">, Case No. 09-119-EL-AEC, </w:t>
      </w:r>
      <w:r w:rsidR="0057362D">
        <w:t>Entry</w:t>
      </w:r>
      <w:r w:rsidRPr="00D92C8B">
        <w:t xml:space="preserve"> at </w:t>
      </w:r>
      <w:r w:rsidR="004A7997">
        <w:t>¶19 (Aug. 21, 2013).</w:t>
      </w:r>
    </w:p>
  </w:footnote>
  <w:footnote w:id="59">
    <w:p w:rsidR="00423C68" w:rsidRPr="00D92C8B" w:rsidRDefault="00423C68" w:rsidP="005236AB">
      <w:pPr>
        <w:pStyle w:val="FootnoteText"/>
        <w:spacing w:after="120"/>
      </w:pPr>
      <w:r w:rsidRPr="00D92C8B">
        <w:rPr>
          <w:rStyle w:val="FootnoteReference"/>
        </w:rPr>
        <w:footnoteRef/>
      </w:r>
      <w:r w:rsidRPr="00D92C8B">
        <w:t xml:space="preserve"> </w:t>
      </w:r>
      <w:r w:rsidRPr="00D92C8B">
        <w:rPr>
          <w:i/>
        </w:rPr>
        <w:t>In re: Ormet</w:t>
      </w:r>
      <w:r w:rsidRPr="00D92C8B">
        <w:t>, Case No. 09-119-EL-AEC, Entry on Rehearing at ¶12 (Sept. 15, 2009) (affirming its earlier ruling that the Provider Of Last Resort charge</w:t>
      </w:r>
      <w:r>
        <w:t>s</w:t>
      </w:r>
      <w:r w:rsidRPr="00D92C8B">
        <w:t xml:space="preserve"> paid for by Ormet could be credited to the economic development rider); affirmed by the Ohio Supreme Court in </w:t>
      </w:r>
      <w:r w:rsidRPr="00D92C8B">
        <w:rPr>
          <w:i/>
        </w:rPr>
        <w:t>In re: Ormet Primary Aluminum Corp.,</w:t>
      </w:r>
      <w:r w:rsidR="0057362D">
        <w:t xml:space="preserve"> 129 Ohio St.3d 9, 2011-Ohio-23</w:t>
      </w:r>
      <w:r w:rsidRPr="00D92C8B">
        <w:t>77, 949 N.E.2d 991</w:t>
      </w:r>
      <w:r w:rsidR="0057362D">
        <w:t xml:space="preserve">, </w:t>
      </w:r>
      <w:r w:rsidR="0057362D" w:rsidRPr="00D92C8B">
        <w:t>¶</w:t>
      </w:r>
      <w:r w:rsidR="0057362D">
        <w:t>16</w:t>
      </w:r>
      <w:r w:rsidRPr="00D92C8B">
        <w:t>.</w:t>
      </w:r>
    </w:p>
  </w:footnote>
  <w:footnote w:id="60">
    <w:p w:rsidR="00423C68" w:rsidRPr="00D92C8B" w:rsidRDefault="00423C68" w:rsidP="005236AB">
      <w:pPr>
        <w:pStyle w:val="FootnoteText"/>
        <w:spacing w:after="120"/>
      </w:pPr>
      <w:r w:rsidRPr="00D92C8B">
        <w:rPr>
          <w:rStyle w:val="FootnoteReference"/>
        </w:rPr>
        <w:footnoteRef/>
      </w:r>
      <w:r w:rsidRPr="00D92C8B">
        <w:t xml:space="preserve"> Id.</w:t>
      </w:r>
      <w:r>
        <w:t xml:space="preserve">  See also R.C. 4905.31.</w:t>
      </w:r>
    </w:p>
  </w:footnote>
  <w:footnote w:id="61">
    <w:p w:rsidR="00423C68" w:rsidRPr="00D92C8B" w:rsidRDefault="00423C68" w:rsidP="0057362D">
      <w:pPr>
        <w:pStyle w:val="FootnoteText"/>
        <w:spacing w:after="120"/>
      </w:pPr>
      <w:r w:rsidRPr="00D92C8B">
        <w:rPr>
          <w:rStyle w:val="FootnoteReference"/>
        </w:rPr>
        <w:footnoteRef/>
      </w:r>
      <w:r w:rsidRPr="00D92C8B">
        <w:t xml:space="preserve"> </w:t>
      </w:r>
      <w:r w:rsidR="0057362D" w:rsidRPr="00D92C8B">
        <w:rPr>
          <w:i/>
        </w:rPr>
        <w:t>In re: Ormet Primary Aluminum Corp.,</w:t>
      </w:r>
      <w:r w:rsidR="0057362D">
        <w:t xml:space="preserve"> 129 Ohio St.3d 9, 2011-Ohio-23</w:t>
      </w:r>
      <w:r w:rsidR="0057362D" w:rsidRPr="00D92C8B">
        <w:t>77, 949 N.E.2d 991</w:t>
      </w:r>
      <w:r w:rsidR="0057362D">
        <w:t xml:space="preserve">, </w:t>
      </w:r>
      <w:r w:rsidR="0057362D" w:rsidRPr="00D92C8B">
        <w:t>¶</w:t>
      </w:r>
      <w:r w:rsidR="0057362D">
        <w:t>16</w:t>
      </w:r>
      <w:r w:rsidR="0057362D" w:rsidRPr="00D92C8B">
        <w:t>.</w:t>
      </w:r>
    </w:p>
  </w:footnote>
  <w:footnote w:id="62">
    <w:p w:rsidR="00423C68" w:rsidRDefault="00423C68" w:rsidP="005236AB">
      <w:pPr>
        <w:pStyle w:val="FootnoteText"/>
        <w:spacing w:after="120"/>
      </w:pPr>
      <w:r>
        <w:rPr>
          <w:rStyle w:val="FootnoteReference"/>
        </w:rPr>
        <w:footnoteRef/>
      </w:r>
      <w:r>
        <w:t xml:space="preserve"> Stipulatio</w:t>
      </w:r>
      <w:r w:rsidR="004A7997">
        <w:t>n and Recommendation at 7, ¶5.</w:t>
      </w:r>
    </w:p>
  </w:footnote>
  <w:footnote w:id="63">
    <w:p w:rsidR="00423C68" w:rsidRDefault="00423C68" w:rsidP="005236AB">
      <w:pPr>
        <w:pStyle w:val="FootnoteText"/>
        <w:spacing w:after="120"/>
      </w:pPr>
      <w:r>
        <w:rPr>
          <w:rStyle w:val="FootnoteReference"/>
        </w:rPr>
        <w:footnoteRef/>
      </w:r>
      <w:r w:rsidR="004A7997">
        <w:t xml:space="preserve"> Id.</w:t>
      </w:r>
    </w:p>
  </w:footnote>
  <w:footnote w:id="64">
    <w:p w:rsidR="00423C68" w:rsidRDefault="00423C68" w:rsidP="005236AB">
      <w:pPr>
        <w:pStyle w:val="FootnoteText"/>
        <w:spacing w:after="120"/>
      </w:pPr>
      <w:r>
        <w:rPr>
          <w:rStyle w:val="FootnoteReference"/>
        </w:rPr>
        <w:footnoteRef/>
      </w:r>
      <w:r>
        <w:t xml:space="preserve"> Direct Testim</w:t>
      </w:r>
      <w:r w:rsidR="004A7997">
        <w:t>ony of Gregory Slone at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6F" w:rsidRDefault="00AE4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6F" w:rsidRDefault="00AE4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6F" w:rsidRDefault="00AE4A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68" w:rsidRDefault="00423C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68" w:rsidRDefault="00423C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68" w:rsidRDefault="00423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0A9B8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396D24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0CAE03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D9685E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4DA6FFE"/>
    <w:lvl w:ilvl="0">
      <w:start w:val="1"/>
      <w:numFmt w:val="decimal"/>
      <w:lvlText w:val="%1."/>
      <w:lvlJc w:val="left"/>
      <w:pPr>
        <w:tabs>
          <w:tab w:val="num" w:pos="360"/>
        </w:tabs>
        <w:ind w:left="360" w:hanging="360"/>
      </w:pPr>
    </w:lvl>
  </w:abstractNum>
  <w:abstractNum w:abstractNumId="5">
    <w:nsid w:val="FFFFFF89"/>
    <w:multiLevelType w:val="singleLevel"/>
    <w:tmpl w:val="15968AD4"/>
    <w:lvl w:ilvl="0">
      <w:start w:val="1"/>
      <w:numFmt w:val="bullet"/>
      <w:lvlText w:val=""/>
      <w:lvlJc w:val="left"/>
      <w:pPr>
        <w:tabs>
          <w:tab w:val="num" w:pos="360"/>
        </w:tabs>
        <w:ind w:left="360" w:hanging="360"/>
      </w:pPr>
      <w:rPr>
        <w:rFonts w:ascii="Symbol" w:hAnsi="Symbol" w:hint="default"/>
      </w:rPr>
    </w:lvl>
  </w:abstractNum>
  <w:abstractNum w:abstractNumId="6">
    <w:nsid w:val="0C1B24DD"/>
    <w:multiLevelType w:val="hybridMultilevel"/>
    <w:tmpl w:val="CE041304"/>
    <w:lvl w:ilvl="0" w:tplc="D9842BBC">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E6068B"/>
    <w:multiLevelType w:val="hybridMultilevel"/>
    <w:tmpl w:val="F230C6EA"/>
    <w:lvl w:ilvl="0" w:tplc="9E825A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76E33"/>
    <w:multiLevelType w:val="hybridMultilevel"/>
    <w:tmpl w:val="584A84C6"/>
    <w:lvl w:ilvl="0" w:tplc="219CE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E179BD"/>
    <w:multiLevelType w:val="hybridMultilevel"/>
    <w:tmpl w:val="7F52D116"/>
    <w:lvl w:ilvl="0" w:tplc="BDE0B9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5C627A3"/>
    <w:multiLevelType w:val="hybridMultilevel"/>
    <w:tmpl w:val="03DA0770"/>
    <w:lvl w:ilvl="0" w:tplc="B54E09A2">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9"/>
  </w:num>
  <w:num w:numId="5">
    <w:abstractNumId w:val="5"/>
  </w:num>
  <w:num w:numId="6">
    <w:abstractNumId w:val="3"/>
  </w:num>
  <w:num w:numId="7">
    <w:abstractNumId w:val="2"/>
  </w:num>
  <w:num w:numId="8">
    <w:abstractNumId w:val="1"/>
  </w:num>
  <w:num w:numId="9">
    <w:abstractNumId w:val="0"/>
  </w:num>
  <w:num w:numId="10">
    <w:abstractNumId w:val="4"/>
  </w:num>
  <w:num w:numId="11">
    <w:abstractNumId w:val="6"/>
  </w:num>
  <w:num w:numId="12">
    <w:abstractNumId w:val="10"/>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80"/>
    <w:rsid w:val="00001889"/>
    <w:rsid w:val="000062E8"/>
    <w:rsid w:val="0002196A"/>
    <w:rsid w:val="00034A71"/>
    <w:rsid w:val="00045932"/>
    <w:rsid w:val="00082416"/>
    <w:rsid w:val="0008467B"/>
    <w:rsid w:val="0009229F"/>
    <w:rsid w:val="00093432"/>
    <w:rsid w:val="000B46E4"/>
    <w:rsid w:val="000E312A"/>
    <w:rsid w:val="000E42D2"/>
    <w:rsid w:val="000E4C3D"/>
    <w:rsid w:val="000F586C"/>
    <w:rsid w:val="00103D0F"/>
    <w:rsid w:val="0011148E"/>
    <w:rsid w:val="001147B6"/>
    <w:rsid w:val="00117AEA"/>
    <w:rsid w:val="00127376"/>
    <w:rsid w:val="00134B60"/>
    <w:rsid w:val="00136D29"/>
    <w:rsid w:val="00142125"/>
    <w:rsid w:val="00146447"/>
    <w:rsid w:val="0015043F"/>
    <w:rsid w:val="0015376B"/>
    <w:rsid w:val="00161A10"/>
    <w:rsid w:val="001675EF"/>
    <w:rsid w:val="00173585"/>
    <w:rsid w:val="001765F1"/>
    <w:rsid w:val="001B3FF5"/>
    <w:rsid w:val="001B47B3"/>
    <w:rsid w:val="001D7BDF"/>
    <w:rsid w:val="001E3523"/>
    <w:rsid w:val="002019BA"/>
    <w:rsid w:val="00210976"/>
    <w:rsid w:val="00213CF6"/>
    <w:rsid w:val="00233716"/>
    <w:rsid w:val="00272094"/>
    <w:rsid w:val="002955B5"/>
    <w:rsid w:val="002A1710"/>
    <w:rsid w:val="002B34ED"/>
    <w:rsid w:val="002B3974"/>
    <w:rsid w:val="002D7BF6"/>
    <w:rsid w:val="002F49EC"/>
    <w:rsid w:val="00314EE9"/>
    <w:rsid w:val="00333AEE"/>
    <w:rsid w:val="003460FE"/>
    <w:rsid w:val="0035445E"/>
    <w:rsid w:val="0035662E"/>
    <w:rsid w:val="00363A11"/>
    <w:rsid w:val="0037227A"/>
    <w:rsid w:val="00377F79"/>
    <w:rsid w:val="00382509"/>
    <w:rsid w:val="00396859"/>
    <w:rsid w:val="003A0020"/>
    <w:rsid w:val="003B633C"/>
    <w:rsid w:val="003C4829"/>
    <w:rsid w:val="003C5705"/>
    <w:rsid w:val="003D073A"/>
    <w:rsid w:val="003E22C7"/>
    <w:rsid w:val="003E410E"/>
    <w:rsid w:val="0041421E"/>
    <w:rsid w:val="00423C68"/>
    <w:rsid w:val="004318AC"/>
    <w:rsid w:val="004418E8"/>
    <w:rsid w:val="00457C89"/>
    <w:rsid w:val="00460BA0"/>
    <w:rsid w:val="004670DC"/>
    <w:rsid w:val="004864D6"/>
    <w:rsid w:val="004A2C6A"/>
    <w:rsid w:val="004A7997"/>
    <w:rsid w:val="004B4991"/>
    <w:rsid w:val="004C0646"/>
    <w:rsid w:val="004D3B09"/>
    <w:rsid w:val="004E56ED"/>
    <w:rsid w:val="0050296A"/>
    <w:rsid w:val="00503927"/>
    <w:rsid w:val="0050478A"/>
    <w:rsid w:val="00520B6C"/>
    <w:rsid w:val="005236AB"/>
    <w:rsid w:val="00537C54"/>
    <w:rsid w:val="0057362D"/>
    <w:rsid w:val="00580229"/>
    <w:rsid w:val="00583332"/>
    <w:rsid w:val="00593E2D"/>
    <w:rsid w:val="005A7287"/>
    <w:rsid w:val="005C1923"/>
    <w:rsid w:val="005C32C8"/>
    <w:rsid w:val="005C5C25"/>
    <w:rsid w:val="005C6EBB"/>
    <w:rsid w:val="00623C7B"/>
    <w:rsid w:val="006307D3"/>
    <w:rsid w:val="006345DF"/>
    <w:rsid w:val="0063656C"/>
    <w:rsid w:val="0065336C"/>
    <w:rsid w:val="00653A5A"/>
    <w:rsid w:val="006568B3"/>
    <w:rsid w:val="0066202C"/>
    <w:rsid w:val="00680E99"/>
    <w:rsid w:val="006F53C2"/>
    <w:rsid w:val="00722342"/>
    <w:rsid w:val="00732DDB"/>
    <w:rsid w:val="00792879"/>
    <w:rsid w:val="007A3A05"/>
    <w:rsid w:val="007A468E"/>
    <w:rsid w:val="007A4A59"/>
    <w:rsid w:val="007A5863"/>
    <w:rsid w:val="007B4C5F"/>
    <w:rsid w:val="007B6AD8"/>
    <w:rsid w:val="007C1DE1"/>
    <w:rsid w:val="007D4FB2"/>
    <w:rsid w:val="007E0D8C"/>
    <w:rsid w:val="007E7C5C"/>
    <w:rsid w:val="007F67CA"/>
    <w:rsid w:val="0082162B"/>
    <w:rsid w:val="00832460"/>
    <w:rsid w:val="00834CFB"/>
    <w:rsid w:val="00884E05"/>
    <w:rsid w:val="008905F8"/>
    <w:rsid w:val="008C13A3"/>
    <w:rsid w:val="008C6B2D"/>
    <w:rsid w:val="008F4D16"/>
    <w:rsid w:val="008F676D"/>
    <w:rsid w:val="00907BE0"/>
    <w:rsid w:val="00915CEC"/>
    <w:rsid w:val="0092135B"/>
    <w:rsid w:val="00933FE7"/>
    <w:rsid w:val="0094100B"/>
    <w:rsid w:val="00974292"/>
    <w:rsid w:val="0098242D"/>
    <w:rsid w:val="00982474"/>
    <w:rsid w:val="009824A3"/>
    <w:rsid w:val="009B4892"/>
    <w:rsid w:val="009C1341"/>
    <w:rsid w:val="009C5ECC"/>
    <w:rsid w:val="009D1949"/>
    <w:rsid w:val="009F118D"/>
    <w:rsid w:val="009F374B"/>
    <w:rsid w:val="009F5DAD"/>
    <w:rsid w:val="00A005C9"/>
    <w:rsid w:val="00A16CCE"/>
    <w:rsid w:val="00A25342"/>
    <w:rsid w:val="00A26BD2"/>
    <w:rsid w:val="00A32F11"/>
    <w:rsid w:val="00A467E8"/>
    <w:rsid w:val="00A72787"/>
    <w:rsid w:val="00A83248"/>
    <w:rsid w:val="00A838A9"/>
    <w:rsid w:val="00A91E14"/>
    <w:rsid w:val="00AB06AD"/>
    <w:rsid w:val="00AB0F29"/>
    <w:rsid w:val="00AB2CD8"/>
    <w:rsid w:val="00AB5EB7"/>
    <w:rsid w:val="00AE2BB4"/>
    <w:rsid w:val="00AE4236"/>
    <w:rsid w:val="00AE4A6F"/>
    <w:rsid w:val="00B01ABB"/>
    <w:rsid w:val="00B06E20"/>
    <w:rsid w:val="00B33707"/>
    <w:rsid w:val="00B34287"/>
    <w:rsid w:val="00B4249B"/>
    <w:rsid w:val="00B438B9"/>
    <w:rsid w:val="00B63693"/>
    <w:rsid w:val="00B66336"/>
    <w:rsid w:val="00B72F8F"/>
    <w:rsid w:val="00B7725E"/>
    <w:rsid w:val="00BA0734"/>
    <w:rsid w:val="00BC22EA"/>
    <w:rsid w:val="00BC4567"/>
    <w:rsid w:val="00BD7A92"/>
    <w:rsid w:val="00BE5F9B"/>
    <w:rsid w:val="00BF1019"/>
    <w:rsid w:val="00BF5B35"/>
    <w:rsid w:val="00BF6F48"/>
    <w:rsid w:val="00BF6F9C"/>
    <w:rsid w:val="00C0043D"/>
    <w:rsid w:val="00C23885"/>
    <w:rsid w:val="00C25288"/>
    <w:rsid w:val="00C412FD"/>
    <w:rsid w:val="00C74F92"/>
    <w:rsid w:val="00C82F42"/>
    <w:rsid w:val="00C831DA"/>
    <w:rsid w:val="00CA2D9E"/>
    <w:rsid w:val="00CB658C"/>
    <w:rsid w:val="00CD781A"/>
    <w:rsid w:val="00CF4534"/>
    <w:rsid w:val="00D140C7"/>
    <w:rsid w:val="00D147EB"/>
    <w:rsid w:val="00D14CE7"/>
    <w:rsid w:val="00D8655B"/>
    <w:rsid w:val="00D92ACB"/>
    <w:rsid w:val="00D952DB"/>
    <w:rsid w:val="00DA5CEF"/>
    <w:rsid w:val="00DC3440"/>
    <w:rsid w:val="00DC65DF"/>
    <w:rsid w:val="00DE0266"/>
    <w:rsid w:val="00DF24DF"/>
    <w:rsid w:val="00E17C7A"/>
    <w:rsid w:val="00E516D2"/>
    <w:rsid w:val="00E52686"/>
    <w:rsid w:val="00E6752E"/>
    <w:rsid w:val="00E83119"/>
    <w:rsid w:val="00E851A9"/>
    <w:rsid w:val="00E876B5"/>
    <w:rsid w:val="00E9196C"/>
    <w:rsid w:val="00E91CEE"/>
    <w:rsid w:val="00EA7F4B"/>
    <w:rsid w:val="00EC76B4"/>
    <w:rsid w:val="00ED1CEC"/>
    <w:rsid w:val="00EE30C4"/>
    <w:rsid w:val="00EE710F"/>
    <w:rsid w:val="00EE7580"/>
    <w:rsid w:val="00F176CE"/>
    <w:rsid w:val="00F41788"/>
    <w:rsid w:val="00F478EA"/>
    <w:rsid w:val="00F52729"/>
    <w:rsid w:val="00F56F6A"/>
    <w:rsid w:val="00F93E80"/>
    <w:rsid w:val="00FA0CAB"/>
    <w:rsid w:val="00FA4507"/>
    <w:rsid w:val="00FA5408"/>
    <w:rsid w:val="00FC1A48"/>
    <w:rsid w:val="00FC67B1"/>
    <w:rsid w:val="00FD2895"/>
    <w:rsid w:val="00FE5D99"/>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F"/>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72F8F"/>
    <w:pPr>
      <w:keepNext/>
      <w:spacing w:after="240"/>
      <w:ind w:left="720" w:hanging="720"/>
      <w:outlineLvl w:val="0"/>
    </w:pPr>
    <w:rPr>
      <w:b/>
      <w:caps/>
      <w:szCs w:val="24"/>
    </w:rPr>
  </w:style>
  <w:style w:type="paragraph" w:styleId="Heading2">
    <w:name w:val="heading 2"/>
    <w:basedOn w:val="Normal"/>
    <w:next w:val="Normal"/>
    <w:link w:val="Heading2Char"/>
    <w:autoRedefine/>
    <w:qFormat/>
    <w:rsid w:val="003D073A"/>
    <w:pPr>
      <w:keepNext/>
      <w:numPr>
        <w:numId w:val="1"/>
      </w:numPr>
      <w:spacing w:after="240"/>
      <w:ind w:left="1440" w:right="720" w:hanging="720"/>
      <w:outlineLvl w:val="1"/>
    </w:pPr>
    <w:rPr>
      <w:b/>
    </w:rPr>
  </w:style>
  <w:style w:type="paragraph" w:styleId="Heading3">
    <w:name w:val="heading 3"/>
    <w:basedOn w:val="Normal"/>
    <w:next w:val="Normal"/>
    <w:link w:val="Heading3Char"/>
    <w:autoRedefine/>
    <w:qFormat/>
    <w:rsid w:val="008C13A3"/>
    <w:pPr>
      <w:keepNext/>
      <w:numPr>
        <w:numId w:val="11"/>
      </w:numPr>
      <w:spacing w:after="240"/>
      <w:ind w:left="2160" w:righ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7580"/>
    <w:rPr>
      <w:color w:val="0000FF"/>
      <w:u w:val="single"/>
    </w:rPr>
  </w:style>
  <w:style w:type="paragraph" w:styleId="HTMLPreformatted">
    <w:name w:val="HTML Preformatted"/>
    <w:basedOn w:val="Normal"/>
    <w:link w:val="HTMLPreformattedChar"/>
    <w:unhideWhenUsed/>
    <w:rsid w:val="00EE7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E7580"/>
    <w:rPr>
      <w:rFonts w:ascii="Courier New" w:eastAsia="Courier New" w:hAnsi="Courier New" w:cs="Courier New"/>
      <w:sz w:val="20"/>
      <w:szCs w:val="20"/>
    </w:rPr>
  </w:style>
  <w:style w:type="paragraph" w:styleId="Footer">
    <w:name w:val="footer"/>
    <w:basedOn w:val="Normal"/>
    <w:link w:val="FooterChar"/>
    <w:uiPriority w:val="99"/>
    <w:unhideWhenUsed/>
    <w:rsid w:val="00EE7580"/>
    <w:pPr>
      <w:tabs>
        <w:tab w:val="center" w:pos="4320"/>
        <w:tab w:val="right" w:pos="8640"/>
      </w:tabs>
    </w:pPr>
    <w:rPr>
      <w:sz w:val="20"/>
    </w:rPr>
  </w:style>
  <w:style w:type="character" w:customStyle="1" w:styleId="FooterChar">
    <w:name w:val="Footer Char"/>
    <w:basedOn w:val="DefaultParagraphFont"/>
    <w:link w:val="Footer"/>
    <w:uiPriority w:val="99"/>
    <w:rsid w:val="00EE7580"/>
    <w:rPr>
      <w:rFonts w:ascii="Times New Roman" w:eastAsia="Times New Roman" w:hAnsi="Times New Roman" w:cs="Times New Roman"/>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rsid w:val="00EE7580"/>
    <w:rPr>
      <w:sz w:val="20"/>
    </w:rPr>
  </w:style>
  <w:style w:type="character" w:customStyle="1" w:styleId="FootnoteTextChar">
    <w:name w:val="Footnote Text Char"/>
    <w:basedOn w:val="DefaultParagraphFont"/>
    <w:uiPriority w:val="99"/>
    <w:semiHidden/>
    <w:rsid w:val="00EE7580"/>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semiHidden/>
    <w:rsid w:val="00EE7580"/>
    <w:rPr>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rsid w:val="00EE758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72F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D073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C13A3"/>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EE7580"/>
    <w:pPr>
      <w:spacing w:line="480" w:lineRule="atLeast"/>
      <w:ind w:firstLine="720"/>
    </w:pPr>
  </w:style>
  <w:style w:type="character" w:customStyle="1" w:styleId="BodyTextIndent3Char">
    <w:name w:val="Body Text Indent 3 Char"/>
    <w:basedOn w:val="DefaultParagraphFont"/>
    <w:link w:val="BodyTextIndent3"/>
    <w:rsid w:val="00EE7580"/>
    <w:rPr>
      <w:rFonts w:ascii="Times New Roman" w:eastAsia="Times New Roman" w:hAnsi="Times New Roman" w:cs="Times New Roman"/>
      <w:sz w:val="24"/>
      <w:szCs w:val="20"/>
    </w:rPr>
  </w:style>
  <w:style w:type="paragraph" w:styleId="BodyText">
    <w:name w:val="Body Text"/>
    <w:basedOn w:val="Normal"/>
    <w:link w:val="BodyTextChar"/>
    <w:rsid w:val="00EE7580"/>
    <w:pPr>
      <w:jc w:val="both"/>
    </w:pPr>
  </w:style>
  <w:style w:type="character" w:customStyle="1" w:styleId="BodyTextChar">
    <w:name w:val="Body Text Char"/>
    <w:basedOn w:val="DefaultParagraphFont"/>
    <w:link w:val="BodyText"/>
    <w:rsid w:val="00EE7580"/>
    <w:rPr>
      <w:rFonts w:ascii="Times New Roman" w:eastAsia="Times New Roman" w:hAnsi="Times New Roman" w:cs="Times New Roman"/>
      <w:sz w:val="24"/>
      <w:szCs w:val="20"/>
    </w:rPr>
  </w:style>
  <w:style w:type="paragraph" w:styleId="CommentText">
    <w:name w:val="annotation text"/>
    <w:basedOn w:val="Normal"/>
    <w:link w:val="CommentTextChar"/>
    <w:semiHidden/>
    <w:rsid w:val="00EE7580"/>
    <w:rPr>
      <w:szCs w:val="24"/>
    </w:rPr>
  </w:style>
  <w:style w:type="character" w:customStyle="1" w:styleId="CommentTextChar">
    <w:name w:val="Comment Text Char"/>
    <w:basedOn w:val="DefaultParagraphFont"/>
    <w:link w:val="CommentText"/>
    <w:semiHidden/>
    <w:rsid w:val="00EE75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EE7580"/>
    <w:rPr>
      <w:szCs w:val="20"/>
    </w:rPr>
  </w:style>
  <w:style w:type="character" w:customStyle="1" w:styleId="CommentSubjectChar">
    <w:name w:val="Comment Subject Char"/>
    <w:basedOn w:val="CommentTextChar"/>
    <w:link w:val="CommentSubject"/>
    <w:semiHidden/>
    <w:rsid w:val="00EE7580"/>
    <w:rPr>
      <w:rFonts w:ascii="Times New Roman" w:eastAsia="Times New Roman" w:hAnsi="Times New Roman" w:cs="Times New Roman"/>
      <w:sz w:val="24"/>
      <w:szCs w:val="20"/>
    </w:rPr>
  </w:style>
  <w:style w:type="paragraph" w:styleId="ListParagraph">
    <w:name w:val="List Paragraph"/>
    <w:basedOn w:val="Normal"/>
    <w:uiPriority w:val="34"/>
    <w:qFormat/>
    <w:rsid w:val="00EE7580"/>
    <w:pPr>
      <w:ind w:left="720"/>
      <w:contextualSpacing/>
    </w:p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uiPriority w:val="99"/>
    <w:locked/>
    <w:rsid w:val="0011148E"/>
    <w:rPr>
      <w:rFonts w:eastAsia="Times New Roman"/>
    </w:rPr>
  </w:style>
  <w:style w:type="paragraph" w:styleId="Header">
    <w:name w:val="header"/>
    <w:basedOn w:val="Normal"/>
    <w:link w:val="HeaderChar"/>
    <w:uiPriority w:val="99"/>
    <w:unhideWhenUsed/>
    <w:rsid w:val="008C13A3"/>
    <w:pPr>
      <w:tabs>
        <w:tab w:val="center" w:pos="4680"/>
        <w:tab w:val="right" w:pos="9360"/>
      </w:tabs>
    </w:pPr>
  </w:style>
  <w:style w:type="character" w:customStyle="1" w:styleId="HeaderChar">
    <w:name w:val="Header Char"/>
    <w:basedOn w:val="DefaultParagraphFont"/>
    <w:link w:val="Header"/>
    <w:uiPriority w:val="99"/>
    <w:rsid w:val="008C13A3"/>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8C13A3"/>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8C13A3"/>
    <w:pPr>
      <w:tabs>
        <w:tab w:val="decimal" w:leader="dot" w:pos="8640"/>
      </w:tabs>
      <w:spacing w:after="240"/>
      <w:ind w:left="1440" w:hanging="720"/>
    </w:pPr>
  </w:style>
  <w:style w:type="paragraph" w:styleId="TOC3">
    <w:name w:val="toc 3"/>
    <w:basedOn w:val="Normal"/>
    <w:next w:val="Normal"/>
    <w:autoRedefine/>
    <w:uiPriority w:val="39"/>
    <w:unhideWhenUsed/>
    <w:qFormat/>
    <w:rsid w:val="008C13A3"/>
    <w:pPr>
      <w:tabs>
        <w:tab w:val="decimal" w:leader="dot" w:pos="8640"/>
      </w:tabs>
      <w:spacing w:after="240"/>
      <w:ind w:left="2160" w:hanging="720"/>
    </w:pPr>
  </w:style>
  <w:style w:type="character" w:styleId="CommentReference">
    <w:name w:val="annotation reference"/>
    <w:basedOn w:val="DefaultParagraphFont"/>
    <w:uiPriority w:val="99"/>
    <w:semiHidden/>
    <w:unhideWhenUsed/>
    <w:rsid w:val="00B33707"/>
    <w:rPr>
      <w:sz w:val="16"/>
      <w:szCs w:val="16"/>
    </w:rPr>
  </w:style>
  <w:style w:type="paragraph" w:styleId="BalloonText">
    <w:name w:val="Balloon Text"/>
    <w:basedOn w:val="Normal"/>
    <w:link w:val="BalloonTextChar"/>
    <w:uiPriority w:val="99"/>
    <w:semiHidden/>
    <w:unhideWhenUsed/>
    <w:rsid w:val="00B33707"/>
    <w:rPr>
      <w:rFonts w:ascii="Tahoma" w:hAnsi="Tahoma" w:cs="Tahoma"/>
      <w:sz w:val="16"/>
      <w:szCs w:val="16"/>
    </w:rPr>
  </w:style>
  <w:style w:type="character" w:customStyle="1" w:styleId="BalloonTextChar">
    <w:name w:val="Balloon Text Char"/>
    <w:basedOn w:val="DefaultParagraphFont"/>
    <w:link w:val="BalloonText"/>
    <w:uiPriority w:val="99"/>
    <w:semiHidden/>
    <w:rsid w:val="00B337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F"/>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72F8F"/>
    <w:pPr>
      <w:keepNext/>
      <w:spacing w:after="240"/>
      <w:ind w:left="720" w:hanging="720"/>
      <w:outlineLvl w:val="0"/>
    </w:pPr>
    <w:rPr>
      <w:b/>
      <w:caps/>
      <w:szCs w:val="24"/>
    </w:rPr>
  </w:style>
  <w:style w:type="paragraph" w:styleId="Heading2">
    <w:name w:val="heading 2"/>
    <w:basedOn w:val="Normal"/>
    <w:next w:val="Normal"/>
    <w:link w:val="Heading2Char"/>
    <w:autoRedefine/>
    <w:qFormat/>
    <w:rsid w:val="003D073A"/>
    <w:pPr>
      <w:keepNext/>
      <w:numPr>
        <w:numId w:val="1"/>
      </w:numPr>
      <w:spacing w:after="240"/>
      <w:ind w:left="1440" w:right="720" w:hanging="720"/>
      <w:outlineLvl w:val="1"/>
    </w:pPr>
    <w:rPr>
      <w:b/>
    </w:rPr>
  </w:style>
  <w:style w:type="paragraph" w:styleId="Heading3">
    <w:name w:val="heading 3"/>
    <w:basedOn w:val="Normal"/>
    <w:next w:val="Normal"/>
    <w:link w:val="Heading3Char"/>
    <w:autoRedefine/>
    <w:qFormat/>
    <w:rsid w:val="008C13A3"/>
    <w:pPr>
      <w:keepNext/>
      <w:numPr>
        <w:numId w:val="11"/>
      </w:numPr>
      <w:spacing w:after="240"/>
      <w:ind w:left="2160" w:righ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7580"/>
    <w:rPr>
      <w:color w:val="0000FF"/>
      <w:u w:val="single"/>
    </w:rPr>
  </w:style>
  <w:style w:type="paragraph" w:styleId="HTMLPreformatted">
    <w:name w:val="HTML Preformatted"/>
    <w:basedOn w:val="Normal"/>
    <w:link w:val="HTMLPreformattedChar"/>
    <w:unhideWhenUsed/>
    <w:rsid w:val="00EE7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E7580"/>
    <w:rPr>
      <w:rFonts w:ascii="Courier New" w:eastAsia="Courier New" w:hAnsi="Courier New" w:cs="Courier New"/>
      <w:sz w:val="20"/>
      <w:szCs w:val="20"/>
    </w:rPr>
  </w:style>
  <w:style w:type="paragraph" w:styleId="Footer">
    <w:name w:val="footer"/>
    <w:basedOn w:val="Normal"/>
    <w:link w:val="FooterChar"/>
    <w:uiPriority w:val="99"/>
    <w:unhideWhenUsed/>
    <w:rsid w:val="00EE7580"/>
    <w:pPr>
      <w:tabs>
        <w:tab w:val="center" w:pos="4320"/>
        <w:tab w:val="right" w:pos="8640"/>
      </w:tabs>
    </w:pPr>
    <w:rPr>
      <w:sz w:val="20"/>
    </w:rPr>
  </w:style>
  <w:style w:type="character" w:customStyle="1" w:styleId="FooterChar">
    <w:name w:val="Footer Char"/>
    <w:basedOn w:val="DefaultParagraphFont"/>
    <w:link w:val="Footer"/>
    <w:uiPriority w:val="99"/>
    <w:rsid w:val="00EE7580"/>
    <w:rPr>
      <w:rFonts w:ascii="Times New Roman" w:eastAsia="Times New Roman" w:hAnsi="Times New Roman" w:cs="Times New Roman"/>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rsid w:val="00EE7580"/>
    <w:rPr>
      <w:sz w:val="20"/>
    </w:rPr>
  </w:style>
  <w:style w:type="character" w:customStyle="1" w:styleId="FootnoteTextChar">
    <w:name w:val="Footnote Text Char"/>
    <w:basedOn w:val="DefaultParagraphFont"/>
    <w:uiPriority w:val="99"/>
    <w:semiHidden/>
    <w:rsid w:val="00EE7580"/>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semiHidden/>
    <w:rsid w:val="00EE7580"/>
    <w:rPr>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rsid w:val="00EE758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72F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D073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C13A3"/>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EE7580"/>
    <w:pPr>
      <w:spacing w:line="480" w:lineRule="atLeast"/>
      <w:ind w:firstLine="720"/>
    </w:pPr>
  </w:style>
  <w:style w:type="character" w:customStyle="1" w:styleId="BodyTextIndent3Char">
    <w:name w:val="Body Text Indent 3 Char"/>
    <w:basedOn w:val="DefaultParagraphFont"/>
    <w:link w:val="BodyTextIndent3"/>
    <w:rsid w:val="00EE7580"/>
    <w:rPr>
      <w:rFonts w:ascii="Times New Roman" w:eastAsia="Times New Roman" w:hAnsi="Times New Roman" w:cs="Times New Roman"/>
      <w:sz w:val="24"/>
      <w:szCs w:val="20"/>
    </w:rPr>
  </w:style>
  <w:style w:type="paragraph" w:styleId="BodyText">
    <w:name w:val="Body Text"/>
    <w:basedOn w:val="Normal"/>
    <w:link w:val="BodyTextChar"/>
    <w:rsid w:val="00EE7580"/>
    <w:pPr>
      <w:jc w:val="both"/>
    </w:pPr>
  </w:style>
  <w:style w:type="character" w:customStyle="1" w:styleId="BodyTextChar">
    <w:name w:val="Body Text Char"/>
    <w:basedOn w:val="DefaultParagraphFont"/>
    <w:link w:val="BodyText"/>
    <w:rsid w:val="00EE7580"/>
    <w:rPr>
      <w:rFonts w:ascii="Times New Roman" w:eastAsia="Times New Roman" w:hAnsi="Times New Roman" w:cs="Times New Roman"/>
      <w:sz w:val="24"/>
      <w:szCs w:val="20"/>
    </w:rPr>
  </w:style>
  <w:style w:type="paragraph" w:styleId="CommentText">
    <w:name w:val="annotation text"/>
    <w:basedOn w:val="Normal"/>
    <w:link w:val="CommentTextChar"/>
    <w:semiHidden/>
    <w:rsid w:val="00EE7580"/>
    <w:rPr>
      <w:szCs w:val="24"/>
    </w:rPr>
  </w:style>
  <w:style w:type="character" w:customStyle="1" w:styleId="CommentTextChar">
    <w:name w:val="Comment Text Char"/>
    <w:basedOn w:val="DefaultParagraphFont"/>
    <w:link w:val="CommentText"/>
    <w:semiHidden/>
    <w:rsid w:val="00EE75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EE7580"/>
    <w:rPr>
      <w:szCs w:val="20"/>
    </w:rPr>
  </w:style>
  <w:style w:type="character" w:customStyle="1" w:styleId="CommentSubjectChar">
    <w:name w:val="Comment Subject Char"/>
    <w:basedOn w:val="CommentTextChar"/>
    <w:link w:val="CommentSubject"/>
    <w:semiHidden/>
    <w:rsid w:val="00EE7580"/>
    <w:rPr>
      <w:rFonts w:ascii="Times New Roman" w:eastAsia="Times New Roman" w:hAnsi="Times New Roman" w:cs="Times New Roman"/>
      <w:sz w:val="24"/>
      <w:szCs w:val="20"/>
    </w:rPr>
  </w:style>
  <w:style w:type="paragraph" w:styleId="ListParagraph">
    <w:name w:val="List Paragraph"/>
    <w:basedOn w:val="Normal"/>
    <w:uiPriority w:val="34"/>
    <w:qFormat/>
    <w:rsid w:val="00EE7580"/>
    <w:pPr>
      <w:ind w:left="720"/>
      <w:contextualSpacing/>
    </w:p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uiPriority w:val="99"/>
    <w:locked/>
    <w:rsid w:val="0011148E"/>
    <w:rPr>
      <w:rFonts w:eastAsia="Times New Roman"/>
    </w:rPr>
  </w:style>
  <w:style w:type="paragraph" w:styleId="Header">
    <w:name w:val="header"/>
    <w:basedOn w:val="Normal"/>
    <w:link w:val="HeaderChar"/>
    <w:uiPriority w:val="99"/>
    <w:unhideWhenUsed/>
    <w:rsid w:val="008C13A3"/>
    <w:pPr>
      <w:tabs>
        <w:tab w:val="center" w:pos="4680"/>
        <w:tab w:val="right" w:pos="9360"/>
      </w:tabs>
    </w:pPr>
  </w:style>
  <w:style w:type="character" w:customStyle="1" w:styleId="HeaderChar">
    <w:name w:val="Header Char"/>
    <w:basedOn w:val="DefaultParagraphFont"/>
    <w:link w:val="Header"/>
    <w:uiPriority w:val="99"/>
    <w:rsid w:val="008C13A3"/>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8C13A3"/>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8C13A3"/>
    <w:pPr>
      <w:tabs>
        <w:tab w:val="decimal" w:leader="dot" w:pos="8640"/>
      </w:tabs>
      <w:spacing w:after="240"/>
      <w:ind w:left="1440" w:hanging="720"/>
    </w:pPr>
  </w:style>
  <w:style w:type="paragraph" w:styleId="TOC3">
    <w:name w:val="toc 3"/>
    <w:basedOn w:val="Normal"/>
    <w:next w:val="Normal"/>
    <w:autoRedefine/>
    <w:uiPriority w:val="39"/>
    <w:unhideWhenUsed/>
    <w:qFormat/>
    <w:rsid w:val="008C13A3"/>
    <w:pPr>
      <w:tabs>
        <w:tab w:val="decimal" w:leader="dot" w:pos="8640"/>
      </w:tabs>
      <w:spacing w:after="240"/>
      <w:ind w:left="2160" w:hanging="720"/>
    </w:pPr>
  </w:style>
  <w:style w:type="character" w:styleId="CommentReference">
    <w:name w:val="annotation reference"/>
    <w:basedOn w:val="DefaultParagraphFont"/>
    <w:uiPriority w:val="99"/>
    <w:semiHidden/>
    <w:unhideWhenUsed/>
    <w:rsid w:val="00B33707"/>
    <w:rPr>
      <w:sz w:val="16"/>
      <w:szCs w:val="16"/>
    </w:rPr>
  </w:style>
  <w:style w:type="paragraph" w:styleId="BalloonText">
    <w:name w:val="Balloon Text"/>
    <w:basedOn w:val="Normal"/>
    <w:link w:val="BalloonTextChar"/>
    <w:uiPriority w:val="99"/>
    <w:semiHidden/>
    <w:unhideWhenUsed/>
    <w:rsid w:val="00B33707"/>
    <w:rPr>
      <w:rFonts w:ascii="Tahoma" w:hAnsi="Tahoma" w:cs="Tahoma"/>
      <w:sz w:val="16"/>
      <w:szCs w:val="16"/>
    </w:rPr>
  </w:style>
  <w:style w:type="character" w:customStyle="1" w:styleId="BalloonTextChar">
    <w:name w:val="Balloon Text Char"/>
    <w:basedOn w:val="DefaultParagraphFont"/>
    <w:link w:val="BalloonText"/>
    <w:uiPriority w:val="99"/>
    <w:semiHidden/>
    <w:rsid w:val="00B33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4979</Words>
  <Characters>26343</Characters>
  <Application>Microsoft Office Word</Application>
  <DocSecurity>0</DocSecurity>
  <Lines>561</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2014-05-30T15:08:00Z</cp:lastPrinted>
  <dcterms:created xsi:type="dcterms:W3CDTF">2014-05-30T15:16:00Z</dcterms:created>
  <dcterms:modified xsi:type="dcterms:W3CDTF">2014-05-30T15:16:00Z</dcterms:modified>
  <cp:category> </cp:category>
  <cp:contentStatus> </cp:contentStatus>
</cp:coreProperties>
</file>