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20A" w:rsidRDefault="00F5158D" w:rsidP="0062420A">
      <w:pPr>
        <w:pStyle w:val="HTMLPreformatted"/>
        <w:jc w:val="center"/>
        <w:rPr>
          <w:rFonts w:ascii="Times New Roman" w:hAnsi="Times New Roman"/>
          <w:b/>
          <w:bCs/>
          <w:sz w:val="24"/>
        </w:rPr>
      </w:pPr>
      <w:r>
        <w:rPr>
          <w:rFonts w:ascii="Times New Roman" w:hAnsi="Times New Roman"/>
          <w:b/>
          <w:bCs/>
          <w:sz w:val="24"/>
        </w:rPr>
        <w:t>BEFORE</w:t>
      </w:r>
    </w:p>
    <w:p w:rsidR="0062420A" w:rsidRDefault="00F5158D" w:rsidP="0062420A">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62420A" w:rsidRDefault="00F5158D" w:rsidP="0062420A">
      <w:pPr>
        <w:pStyle w:val="HTMLPreformatted"/>
        <w:jc w:val="center"/>
        <w:rPr>
          <w:rFonts w:ascii="Times New Roman" w:hAnsi="Times New Roman"/>
          <w:b/>
          <w:bCs/>
          <w:sz w:val="24"/>
        </w:rPr>
      </w:pPr>
    </w:p>
    <w:tbl>
      <w:tblPr>
        <w:tblW w:w="9092" w:type="dxa"/>
        <w:tblLook w:val="01E0" w:firstRow="1" w:lastRow="1" w:firstColumn="1" w:lastColumn="1" w:noHBand="0" w:noVBand="0"/>
      </w:tblPr>
      <w:tblGrid>
        <w:gridCol w:w="4332"/>
        <w:gridCol w:w="360"/>
        <w:gridCol w:w="4400"/>
      </w:tblGrid>
      <w:tr w:rsidR="0054318C" w:rsidTr="0062420A">
        <w:trPr>
          <w:trHeight w:val="807"/>
        </w:trPr>
        <w:tc>
          <w:tcPr>
            <w:tcW w:w="4332" w:type="dxa"/>
            <w:shd w:val="clear" w:color="auto" w:fill="auto"/>
          </w:tcPr>
          <w:p w:rsidR="0062420A" w:rsidRDefault="00F5158D" w:rsidP="0062420A">
            <w:pPr>
              <w:autoSpaceDE w:val="0"/>
              <w:autoSpaceDN w:val="0"/>
              <w:adjustRightInd w:val="0"/>
            </w:pPr>
            <w:r>
              <w:t>In the Matter of the Application of The Dayton Power and Light Company for Approval of its Energy Efficiency and Peak Demand Reduction Portfolio Plan.</w:t>
            </w:r>
          </w:p>
          <w:p w:rsidR="0062420A" w:rsidRDefault="00F5158D" w:rsidP="0062420A">
            <w:pPr>
              <w:autoSpaceDE w:val="0"/>
              <w:autoSpaceDN w:val="0"/>
              <w:adjustRightInd w:val="0"/>
            </w:pPr>
          </w:p>
          <w:p w:rsidR="0062420A" w:rsidRPr="00710E80" w:rsidRDefault="00F5158D" w:rsidP="0062420A">
            <w:pPr>
              <w:autoSpaceDE w:val="0"/>
              <w:autoSpaceDN w:val="0"/>
              <w:adjustRightInd w:val="0"/>
            </w:pPr>
            <w:r w:rsidRPr="00710E80">
              <w:t xml:space="preserve">In the Matter of </w:t>
            </w:r>
            <w:r>
              <w:t xml:space="preserve">the Application of The Dayton Power </w:t>
            </w:r>
            <w:r>
              <w:t>and Light Company for Approval of Its Energy Efficiency and Peak Demand Reduction Program Portfolio Plan for 2017 through 2019.</w:t>
            </w:r>
          </w:p>
        </w:tc>
        <w:tc>
          <w:tcPr>
            <w:tcW w:w="360" w:type="dxa"/>
            <w:shd w:val="clear" w:color="auto" w:fill="auto"/>
          </w:tcPr>
          <w:p w:rsidR="0062420A" w:rsidRDefault="00F5158D" w:rsidP="0062420A">
            <w:pPr>
              <w:pStyle w:val="HTMLPreformatted"/>
              <w:rPr>
                <w:rFonts w:ascii="Times New Roman" w:hAnsi="Times New Roman" w:cs="Times New Roman"/>
                <w:sz w:val="24"/>
              </w:rPr>
            </w:pPr>
            <w:r>
              <w:rPr>
                <w:rFonts w:ascii="Times New Roman" w:hAnsi="Times New Roman" w:cs="Times New Roman"/>
                <w:sz w:val="24"/>
              </w:rPr>
              <w:t>)</w:t>
            </w:r>
          </w:p>
          <w:p w:rsidR="0062420A" w:rsidRDefault="00F5158D" w:rsidP="0062420A">
            <w:pPr>
              <w:pStyle w:val="HTMLPreformatted"/>
              <w:rPr>
                <w:rFonts w:ascii="Times New Roman" w:hAnsi="Times New Roman" w:cs="Times New Roman"/>
                <w:sz w:val="24"/>
              </w:rPr>
            </w:pPr>
            <w:r>
              <w:rPr>
                <w:rFonts w:ascii="Times New Roman" w:hAnsi="Times New Roman" w:cs="Times New Roman"/>
                <w:sz w:val="24"/>
              </w:rPr>
              <w:t>)</w:t>
            </w:r>
          </w:p>
          <w:p w:rsidR="0062420A" w:rsidRDefault="00F5158D" w:rsidP="0062420A">
            <w:pPr>
              <w:pStyle w:val="HTMLPreformatted"/>
              <w:rPr>
                <w:rFonts w:ascii="Times New Roman" w:hAnsi="Times New Roman" w:cs="Times New Roman"/>
                <w:sz w:val="24"/>
              </w:rPr>
            </w:pPr>
            <w:r>
              <w:rPr>
                <w:rFonts w:ascii="Times New Roman" w:hAnsi="Times New Roman" w:cs="Times New Roman"/>
                <w:sz w:val="24"/>
              </w:rPr>
              <w:t>)</w:t>
            </w:r>
          </w:p>
          <w:p w:rsidR="0062420A" w:rsidRDefault="00F5158D" w:rsidP="0062420A">
            <w:pPr>
              <w:pStyle w:val="HTMLPreformatted"/>
              <w:rPr>
                <w:rFonts w:ascii="Times New Roman" w:hAnsi="Times New Roman" w:cs="Times New Roman"/>
                <w:sz w:val="24"/>
              </w:rPr>
            </w:pPr>
            <w:r>
              <w:rPr>
                <w:rFonts w:ascii="Times New Roman" w:hAnsi="Times New Roman" w:cs="Times New Roman"/>
                <w:sz w:val="24"/>
              </w:rPr>
              <w:t>)</w:t>
            </w:r>
          </w:p>
          <w:p w:rsidR="0062420A" w:rsidRDefault="00F5158D" w:rsidP="0062420A">
            <w:pPr>
              <w:pStyle w:val="HTMLPreformatted"/>
              <w:rPr>
                <w:rFonts w:ascii="Times New Roman" w:hAnsi="Times New Roman" w:cs="Times New Roman"/>
                <w:sz w:val="24"/>
              </w:rPr>
            </w:pPr>
          </w:p>
          <w:p w:rsidR="0062420A" w:rsidRPr="00710E80" w:rsidRDefault="00F5158D" w:rsidP="0062420A">
            <w:pPr>
              <w:pStyle w:val="HTMLPreformatted"/>
              <w:rPr>
                <w:rFonts w:ascii="Times New Roman" w:hAnsi="Times New Roman" w:cs="Times New Roman"/>
                <w:sz w:val="24"/>
              </w:rPr>
            </w:pPr>
            <w:r w:rsidRPr="00710E80">
              <w:rPr>
                <w:rFonts w:ascii="Times New Roman" w:hAnsi="Times New Roman" w:cs="Times New Roman"/>
                <w:sz w:val="24"/>
              </w:rPr>
              <w:t>)</w:t>
            </w:r>
          </w:p>
          <w:p w:rsidR="0062420A" w:rsidRPr="00710E80" w:rsidRDefault="00F5158D" w:rsidP="0062420A">
            <w:pPr>
              <w:pStyle w:val="HTMLPreformatted"/>
              <w:rPr>
                <w:rFonts w:ascii="Times New Roman" w:hAnsi="Times New Roman" w:cs="Times New Roman"/>
                <w:sz w:val="24"/>
              </w:rPr>
            </w:pPr>
            <w:r w:rsidRPr="00710E80">
              <w:rPr>
                <w:rFonts w:ascii="Times New Roman" w:hAnsi="Times New Roman" w:cs="Times New Roman"/>
                <w:sz w:val="24"/>
              </w:rPr>
              <w:t>)</w:t>
            </w:r>
          </w:p>
          <w:p w:rsidR="0062420A" w:rsidRDefault="00F5158D" w:rsidP="0062420A">
            <w:pPr>
              <w:pStyle w:val="HTMLPreformatted"/>
              <w:rPr>
                <w:rFonts w:ascii="Times New Roman" w:hAnsi="Times New Roman" w:cs="Times New Roman"/>
                <w:sz w:val="24"/>
              </w:rPr>
            </w:pPr>
            <w:r w:rsidRPr="00710E80">
              <w:rPr>
                <w:rFonts w:ascii="Times New Roman" w:hAnsi="Times New Roman" w:cs="Times New Roman"/>
                <w:sz w:val="24"/>
              </w:rPr>
              <w:t>)</w:t>
            </w:r>
          </w:p>
          <w:p w:rsidR="0062420A" w:rsidRDefault="00F5158D" w:rsidP="0062420A">
            <w:pPr>
              <w:pStyle w:val="HTMLPreformatted"/>
              <w:rPr>
                <w:rFonts w:ascii="Times New Roman" w:hAnsi="Times New Roman" w:cs="Times New Roman"/>
                <w:sz w:val="24"/>
              </w:rPr>
            </w:pPr>
            <w:r>
              <w:rPr>
                <w:rFonts w:ascii="Times New Roman" w:hAnsi="Times New Roman" w:cs="Times New Roman"/>
                <w:sz w:val="24"/>
              </w:rPr>
              <w:t>)</w:t>
            </w:r>
          </w:p>
          <w:p w:rsidR="0062420A" w:rsidRPr="00710E80" w:rsidRDefault="00F5158D" w:rsidP="0062420A">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62420A" w:rsidRPr="00710E80" w:rsidRDefault="00F5158D" w:rsidP="0062420A">
            <w:pPr>
              <w:pStyle w:val="HTMLPreformatted"/>
              <w:rPr>
                <w:rFonts w:ascii="Times New Roman" w:hAnsi="Times New Roman" w:cs="Times New Roman"/>
                <w:sz w:val="24"/>
              </w:rPr>
            </w:pPr>
          </w:p>
          <w:p w:rsidR="0062420A" w:rsidRDefault="00F5158D" w:rsidP="0062420A">
            <w:r>
              <w:t>Case No. 16-0649-EL-POR</w:t>
            </w:r>
          </w:p>
          <w:p w:rsidR="0062420A" w:rsidRDefault="00F5158D" w:rsidP="0062420A">
            <w:pPr>
              <w:tabs>
                <w:tab w:val="left" w:pos="363"/>
              </w:tabs>
            </w:pPr>
          </w:p>
          <w:p w:rsidR="0062420A" w:rsidRDefault="00F5158D" w:rsidP="0062420A">
            <w:pPr>
              <w:tabs>
                <w:tab w:val="left" w:pos="363"/>
              </w:tabs>
            </w:pPr>
          </w:p>
          <w:p w:rsidR="0062420A" w:rsidRDefault="00F5158D" w:rsidP="0062420A">
            <w:pPr>
              <w:tabs>
                <w:tab w:val="left" w:pos="363"/>
              </w:tabs>
            </w:pPr>
          </w:p>
          <w:p w:rsidR="0062420A" w:rsidRDefault="00F5158D" w:rsidP="0062420A">
            <w:pPr>
              <w:tabs>
                <w:tab w:val="left" w:pos="363"/>
              </w:tabs>
            </w:pPr>
          </w:p>
          <w:p w:rsidR="0062420A" w:rsidRDefault="00F5158D" w:rsidP="0062420A">
            <w:pPr>
              <w:tabs>
                <w:tab w:val="left" w:pos="363"/>
              </w:tabs>
            </w:pPr>
            <w:r>
              <w:tab/>
            </w:r>
          </w:p>
          <w:p w:rsidR="0062420A" w:rsidRDefault="00F5158D" w:rsidP="0062420A">
            <w:pPr>
              <w:tabs>
                <w:tab w:val="left" w:pos="363"/>
              </w:tabs>
            </w:pPr>
            <w:r>
              <w:t>Case No. 16-1369-EL-WVR</w:t>
            </w:r>
          </w:p>
          <w:p w:rsidR="0062420A" w:rsidRDefault="00F5158D" w:rsidP="0062420A"/>
          <w:p w:rsidR="0062420A" w:rsidRPr="00002580" w:rsidRDefault="00F5158D" w:rsidP="0062420A">
            <w:pPr>
              <w:rPr>
                <w:i/>
              </w:rPr>
            </w:pPr>
          </w:p>
        </w:tc>
      </w:tr>
    </w:tbl>
    <w:p w:rsidR="0062420A" w:rsidRPr="00710E80" w:rsidRDefault="00F5158D" w:rsidP="0062420A">
      <w:pPr>
        <w:pStyle w:val="HTMLPreformatted"/>
        <w:rPr>
          <w:rFonts w:ascii="Times New Roman" w:hAnsi="Times New Roman" w:cs="Times New Roman"/>
          <w:sz w:val="24"/>
        </w:rPr>
      </w:pPr>
    </w:p>
    <w:p w:rsidR="0062420A" w:rsidRPr="00710E80" w:rsidRDefault="00F5158D" w:rsidP="0062420A">
      <w:pPr>
        <w:pStyle w:val="HTMLPreformatted"/>
        <w:pBdr>
          <w:top w:val="single" w:sz="12" w:space="1" w:color="auto"/>
        </w:pBdr>
        <w:rPr>
          <w:rFonts w:ascii="Times New Roman" w:hAnsi="Times New Roman" w:cs="Times New Roman"/>
          <w:sz w:val="24"/>
        </w:rPr>
      </w:pPr>
    </w:p>
    <w:p w:rsidR="0062420A" w:rsidRDefault="00F5158D" w:rsidP="0062420A">
      <w:pPr>
        <w:jc w:val="center"/>
        <w:rPr>
          <w:b/>
          <w:bCs/>
        </w:rPr>
      </w:pPr>
      <w:r>
        <w:rPr>
          <w:b/>
          <w:bCs/>
        </w:rPr>
        <w:t>REPLY BRIEF</w:t>
      </w:r>
    </w:p>
    <w:p w:rsidR="0062420A" w:rsidRPr="00710E80" w:rsidRDefault="00F5158D" w:rsidP="0062420A">
      <w:pPr>
        <w:jc w:val="center"/>
        <w:rPr>
          <w:b/>
          <w:bCs/>
        </w:rPr>
      </w:pPr>
      <w:r w:rsidRPr="00710E80">
        <w:rPr>
          <w:b/>
          <w:bCs/>
        </w:rPr>
        <w:t>BY</w:t>
      </w:r>
    </w:p>
    <w:p w:rsidR="0062420A" w:rsidRDefault="00F5158D" w:rsidP="0062420A">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62420A" w:rsidRPr="00710E80" w:rsidRDefault="00F5158D" w:rsidP="0062420A">
      <w:pPr>
        <w:pBdr>
          <w:bottom w:val="single" w:sz="12" w:space="1" w:color="auto"/>
        </w:pBdr>
        <w:tabs>
          <w:tab w:val="left" w:pos="4320"/>
        </w:tabs>
      </w:pPr>
    </w:p>
    <w:p w:rsidR="0062420A" w:rsidRDefault="00F5158D" w:rsidP="0062420A">
      <w:pPr>
        <w:rPr>
          <w:b/>
          <w:bCs/>
        </w:rPr>
      </w:pPr>
    </w:p>
    <w:p w:rsidR="0062420A" w:rsidRDefault="00F5158D" w:rsidP="0062420A">
      <w:pPr>
        <w:spacing w:line="480" w:lineRule="auto"/>
        <w:ind w:left="3600" w:firstLine="720"/>
        <w:rPr>
          <w:bCs/>
        </w:rPr>
      </w:pPr>
    </w:p>
    <w:p w:rsidR="0062420A" w:rsidRDefault="00F5158D" w:rsidP="0062420A">
      <w:pPr>
        <w:spacing w:line="480" w:lineRule="auto"/>
        <w:ind w:left="3600" w:firstLine="720"/>
        <w:rPr>
          <w:bCs/>
        </w:rPr>
      </w:pPr>
    </w:p>
    <w:p w:rsidR="0062420A" w:rsidRDefault="00F5158D" w:rsidP="0062420A">
      <w:pPr>
        <w:spacing w:line="480" w:lineRule="auto"/>
        <w:ind w:left="3600" w:firstLine="720"/>
        <w:rPr>
          <w:bCs/>
        </w:rPr>
      </w:pPr>
    </w:p>
    <w:p w:rsidR="0062420A" w:rsidRDefault="00F5158D" w:rsidP="0062420A">
      <w:pPr>
        <w:rPr>
          <w:b/>
          <w:bCs/>
        </w:rPr>
      </w:pPr>
    </w:p>
    <w:p w:rsidR="0062420A" w:rsidRPr="00710E80" w:rsidRDefault="00F5158D" w:rsidP="0062420A">
      <w:pPr>
        <w:ind w:firstLine="4320"/>
      </w:pPr>
      <w:r w:rsidRPr="00710E80">
        <w:t>BRUCE WESTON (0016973)</w:t>
      </w:r>
    </w:p>
    <w:p w:rsidR="0062420A" w:rsidRPr="00710E80" w:rsidRDefault="00F5158D" w:rsidP="0062420A">
      <w:pPr>
        <w:tabs>
          <w:tab w:val="left" w:pos="4320"/>
        </w:tabs>
        <w:ind w:left="4320"/>
        <w:rPr>
          <w:szCs w:val="24"/>
        </w:rPr>
      </w:pPr>
      <w:r w:rsidRPr="00710E80">
        <w:rPr>
          <w:szCs w:val="24"/>
        </w:rPr>
        <w:t>OHIO CONSUMERS</w:t>
      </w:r>
      <w:r>
        <w:rPr>
          <w:szCs w:val="24"/>
        </w:rPr>
        <w:t>'</w:t>
      </w:r>
      <w:r w:rsidRPr="00710E80">
        <w:rPr>
          <w:szCs w:val="24"/>
        </w:rPr>
        <w:t xml:space="preserve"> COUNSEL</w:t>
      </w:r>
    </w:p>
    <w:p w:rsidR="0062420A" w:rsidRPr="00710E80" w:rsidRDefault="00F5158D" w:rsidP="0062420A">
      <w:pPr>
        <w:tabs>
          <w:tab w:val="left" w:pos="4320"/>
        </w:tabs>
        <w:ind w:left="4320"/>
        <w:rPr>
          <w:szCs w:val="24"/>
        </w:rPr>
      </w:pPr>
    </w:p>
    <w:p w:rsidR="0062420A" w:rsidRDefault="00F5158D" w:rsidP="0062420A">
      <w:pPr>
        <w:tabs>
          <w:tab w:val="left" w:pos="4320"/>
        </w:tabs>
        <w:ind w:left="4320" w:right="-270"/>
        <w:rPr>
          <w:szCs w:val="24"/>
        </w:rPr>
      </w:pPr>
      <w:r w:rsidRPr="008A6DE3">
        <w:rPr>
          <w:szCs w:val="24"/>
        </w:rPr>
        <w:t>Christopher Healey (0086027)</w:t>
      </w:r>
      <w:r>
        <w:rPr>
          <w:szCs w:val="24"/>
        </w:rPr>
        <w:t xml:space="preserve"> </w:t>
      </w:r>
      <w:r>
        <w:rPr>
          <w:szCs w:val="24"/>
        </w:rPr>
        <w:br/>
      </w:r>
      <w:r w:rsidRPr="008A6DE3">
        <w:rPr>
          <w:szCs w:val="24"/>
        </w:rPr>
        <w:t>Counsel of Record</w:t>
      </w:r>
    </w:p>
    <w:p w:rsidR="0062420A" w:rsidRDefault="00F5158D" w:rsidP="0062420A">
      <w:pPr>
        <w:tabs>
          <w:tab w:val="left" w:pos="4320"/>
        </w:tabs>
        <w:ind w:left="4320" w:right="-270"/>
        <w:rPr>
          <w:szCs w:val="24"/>
        </w:rPr>
      </w:pPr>
      <w:r>
        <w:rPr>
          <w:szCs w:val="24"/>
        </w:rPr>
        <w:t>Terry L. Etter (0067445)</w:t>
      </w:r>
    </w:p>
    <w:p w:rsidR="0062420A" w:rsidRDefault="00F5158D" w:rsidP="0062420A">
      <w:pPr>
        <w:tabs>
          <w:tab w:val="left" w:pos="4320"/>
        </w:tabs>
        <w:ind w:left="4320" w:right="-270"/>
        <w:rPr>
          <w:szCs w:val="24"/>
        </w:rPr>
      </w:pPr>
      <w:r>
        <w:rPr>
          <w:szCs w:val="24"/>
        </w:rPr>
        <w:t>Assistant Consumers' Counsel</w:t>
      </w:r>
    </w:p>
    <w:p w:rsidR="0062420A" w:rsidRDefault="00F5158D" w:rsidP="0062420A">
      <w:pPr>
        <w:ind w:left="4320"/>
        <w:rPr>
          <w:b/>
        </w:rPr>
      </w:pPr>
    </w:p>
    <w:p w:rsidR="0062420A" w:rsidRPr="005801DA" w:rsidRDefault="00F5158D" w:rsidP="0062420A">
      <w:pPr>
        <w:ind w:left="4320"/>
        <w:rPr>
          <w:b/>
        </w:rPr>
      </w:pPr>
      <w:r w:rsidRPr="005801DA">
        <w:rPr>
          <w:b/>
        </w:rPr>
        <w:t>Office of the Ohio Consumers</w:t>
      </w:r>
      <w:r>
        <w:rPr>
          <w:b/>
        </w:rPr>
        <w:t>'</w:t>
      </w:r>
      <w:r w:rsidRPr="005801DA">
        <w:rPr>
          <w:b/>
        </w:rPr>
        <w:t xml:space="preserve"> Counsel</w:t>
      </w:r>
    </w:p>
    <w:p w:rsidR="0062420A" w:rsidRPr="00710E80" w:rsidRDefault="00F5158D" w:rsidP="0062420A">
      <w:pPr>
        <w:ind w:left="4320"/>
        <w:rPr>
          <w:b/>
        </w:rPr>
      </w:pPr>
      <w:smartTag w:uri="urn:schemas-microsoft-com:office:smarttags" w:element="address">
        <w:smartTag w:uri="urn:schemas-microsoft-com:office:smarttags" w:element="Street">
          <w:r w:rsidRPr="00710E80">
            <w:t>10 West Broad Street, Suite 1800</w:t>
          </w:r>
        </w:smartTag>
      </w:smartTag>
    </w:p>
    <w:p w:rsidR="0062420A" w:rsidRPr="008A6DE3" w:rsidRDefault="00F5158D" w:rsidP="0062420A">
      <w:pPr>
        <w:ind w:left="4320"/>
        <w:rPr>
          <w:b/>
        </w:rPr>
      </w:pPr>
      <w:r w:rsidRPr="008A6DE3">
        <w:t xml:space="preserve">Columbus, Ohio </w:t>
      </w:r>
      <w:r w:rsidRPr="008A6DE3">
        <w:t>43215-3485</w:t>
      </w:r>
    </w:p>
    <w:p w:rsidR="0062420A" w:rsidRDefault="00F5158D" w:rsidP="0062420A">
      <w:pPr>
        <w:autoSpaceDE w:val="0"/>
        <w:autoSpaceDN w:val="0"/>
        <w:adjustRightInd w:val="0"/>
        <w:ind w:left="3600" w:firstLine="720"/>
        <w:rPr>
          <w:szCs w:val="24"/>
        </w:rPr>
      </w:pPr>
      <w:r w:rsidRPr="008A6DE3">
        <w:rPr>
          <w:szCs w:val="24"/>
        </w:rPr>
        <w:t>Telephone</w:t>
      </w:r>
      <w:r>
        <w:rPr>
          <w:szCs w:val="24"/>
        </w:rPr>
        <w:t xml:space="preserve"> [Healey]: 614-</w:t>
      </w:r>
      <w:r w:rsidRPr="008A6DE3">
        <w:rPr>
          <w:szCs w:val="24"/>
        </w:rPr>
        <w:t>466-9571</w:t>
      </w:r>
    </w:p>
    <w:p w:rsidR="0062420A" w:rsidRPr="008A6DE3" w:rsidRDefault="00F5158D" w:rsidP="0062420A">
      <w:pPr>
        <w:autoSpaceDE w:val="0"/>
        <w:autoSpaceDN w:val="0"/>
        <w:adjustRightInd w:val="0"/>
        <w:ind w:left="3600" w:firstLine="720"/>
        <w:rPr>
          <w:szCs w:val="24"/>
        </w:rPr>
      </w:pPr>
      <w:r>
        <w:rPr>
          <w:szCs w:val="24"/>
        </w:rPr>
        <w:t>Telephone [Etter]: 614-466-7964</w:t>
      </w:r>
    </w:p>
    <w:p w:rsidR="0062420A" w:rsidRDefault="003B0DA9" w:rsidP="0062420A">
      <w:pPr>
        <w:ind w:left="3600" w:firstLine="720"/>
      </w:pPr>
      <w:hyperlink r:id="rId7" w:history="1">
        <w:r w:rsidRPr="00880B50">
          <w:rPr>
            <w:rStyle w:val="Hyperlink"/>
          </w:rPr>
          <w:t>Christopher.healey@occ.ohio.gov</w:t>
        </w:r>
      </w:hyperlink>
      <w:r>
        <w:t xml:space="preserve"> </w:t>
      </w:r>
      <w:r w:rsidR="00F5158D">
        <w:t xml:space="preserve"> </w:t>
      </w:r>
    </w:p>
    <w:p w:rsidR="0062420A" w:rsidRPr="008A6DE3" w:rsidRDefault="00F5158D" w:rsidP="0062420A">
      <w:pPr>
        <w:ind w:left="3600" w:firstLine="720"/>
        <w:rPr>
          <w:szCs w:val="24"/>
        </w:rPr>
      </w:pPr>
      <w:r>
        <w:rPr>
          <w:rStyle w:val="Hyperlink"/>
          <w:szCs w:val="24"/>
        </w:rPr>
        <w:t>terry.etter@occ.ohio.gov</w:t>
      </w:r>
    </w:p>
    <w:p w:rsidR="0062420A" w:rsidRDefault="00F5158D" w:rsidP="0062420A">
      <w:pPr>
        <w:ind w:left="4320"/>
        <w:rPr>
          <w:szCs w:val="24"/>
        </w:rPr>
        <w:sectPr w:rsidR="0062420A" w:rsidSect="0062420A">
          <w:footerReference w:type="default" r:id="rId8"/>
          <w:pgSz w:w="12240" w:h="15840"/>
          <w:pgMar w:top="1440" w:right="1800" w:bottom="1440" w:left="1800" w:header="720" w:footer="720" w:gutter="0"/>
          <w:pgNumType w:fmt="lowerRoman" w:start="1"/>
          <w:cols w:space="720"/>
          <w:docGrid w:linePitch="360"/>
        </w:sectPr>
      </w:pPr>
      <w:r w:rsidRPr="00710E80">
        <w:rPr>
          <w:szCs w:val="24"/>
        </w:rPr>
        <w:t>(</w:t>
      </w:r>
      <w:r>
        <w:rPr>
          <w:szCs w:val="24"/>
        </w:rPr>
        <w:t>will accept service via email)</w:t>
      </w:r>
    </w:p>
    <w:p w:rsidR="0062420A" w:rsidRPr="00E13125" w:rsidRDefault="00F5158D" w:rsidP="0062420A">
      <w:pPr>
        <w:pStyle w:val="HTMLPreformatted"/>
        <w:jc w:val="center"/>
        <w:rPr>
          <w:rFonts w:ascii="Times New Roman" w:hAnsi="Times New Roman"/>
          <w:b/>
          <w:bCs/>
          <w:sz w:val="24"/>
          <w:u w:val="single"/>
        </w:rPr>
      </w:pPr>
      <w:r w:rsidRPr="00E13125">
        <w:rPr>
          <w:rFonts w:ascii="Times New Roman" w:hAnsi="Times New Roman"/>
          <w:b/>
          <w:bCs/>
          <w:sz w:val="24"/>
          <w:u w:val="single"/>
        </w:rPr>
        <w:lastRenderedPageBreak/>
        <w:t>TABLE OF CONTENTS</w:t>
      </w:r>
    </w:p>
    <w:p w:rsidR="0062420A" w:rsidRDefault="00F5158D" w:rsidP="0062420A">
      <w:pPr>
        <w:pStyle w:val="HTMLPreformatted"/>
        <w:jc w:val="right"/>
        <w:rPr>
          <w:rFonts w:ascii="Times New Roman" w:hAnsi="Times New Roman"/>
          <w:b/>
          <w:bCs/>
          <w:sz w:val="24"/>
        </w:rPr>
      </w:pPr>
      <w:r>
        <w:rPr>
          <w:rFonts w:ascii="Times New Roman" w:hAnsi="Times New Roman"/>
          <w:b/>
          <w:bCs/>
          <w:sz w:val="24"/>
        </w:rPr>
        <w:t>Page</w:t>
      </w:r>
    </w:p>
    <w:p w:rsidR="0062420A" w:rsidRDefault="00F5158D" w:rsidP="0062420A">
      <w:pPr>
        <w:pStyle w:val="HTMLPreformatted"/>
        <w:rPr>
          <w:rFonts w:ascii="Times New Roman" w:hAnsi="Times New Roman"/>
          <w:b/>
          <w:bCs/>
          <w:sz w:val="24"/>
        </w:rPr>
      </w:pPr>
    </w:p>
    <w:p w:rsidR="00715613" w:rsidRDefault="00F5158D">
      <w:pPr>
        <w:pStyle w:val="TOC1"/>
        <w:rPr>
          <w:rFonts w:asciiTheme="minorHAnsi" w:eastAsiaTheme="minorEastAsia" w:hAnsiTheme="minorHAnsi" w:cstheme="minorBidi"/>
          <w:caps w:val="0"/>
          <w:noProof/>
          <w:sz w:val="22"/>
          <w:szCs w:val="22"/>
        </w:rPr>
      </w:pPr>
      <w:r>
        <w:rPr>
          <w:bCs/>
        </w:rPr>
        <w:fldChar w:fldCharType="begin"/>
      </w:r>
      <w:r>
        <w:rPr>
          <w:bCs/>
        </w:rPr>
        <w:instrText xml:space="preserve"> TOC \o "1-3" \h \z \u </w:instrText>
      </w:r>
      <w:r>
        <w:rPr>
          <w:bCs/>
        </w:rPr>
        <w:fldChar w:fldCharType="separate"/>
      </w:r>
      <w:hyperlink w:anchor="_Toc478129223" w:history="1">
        <w:r w:rsidRPr="007056E5">
          <w:rPr>
            <w:rStyle w:val="Hyperlink"/>
            <w:noProof/>
          </w:rPr>
          <w:t>I.</w:t>
        </w:r>
        <w:r>
          <w:rPr>
            <w:rFonts w:asciiTheme="minorHAnsi" w:eastAsiaTheme="minorEastAsia" w:hAnsiTheme="minorHAnsi" w:cstheme="minorBidi"/>
            <w:caps w:val="0"/>
            <w:noProof/>
            <w:sz w:val="22"/>
            <w:szCs w:val="22"/>
          </w:rPr>
          <w:tab/>
        </w:r>
        <w:r w:rsidRPr="007056E5">
          <w:rPr>
            <w:rStyle w:val="Hyperlink"/>
            <w:noProof/>
          </w:rPr>
          <w:t>REPLY</w:t>
        </w:r>
        <w:r>
          <w:rPr>
            <w:noProof/>
            <w:webHidden/>
          </w:rPr>
          <w:tab/>
        </w:r>
        <w:r>
          <w:rPr>
            <w:noProof/>
            <w:webHidden/>
          </w:rPr>
          <w:fldChar w:fldCharType="begin"/>
        </w:r>
        <w:r>
          <w:rPr>
            <w:noProof/>
            <w:webHidden/>
          </w:rPr>
          <w:instrText xml:space="preserve"> PAGEREF _Toc478129223 \h </w:instrText>
        </w:r>
        <w:r>
          <w:rPr>
            <w:noProof/>
            <w:webHidden/>
          </w:rPr>
        </w:r>
        <w:r>
          <w:rPr>
            <w:noProof/>
            <w:webHidden/>
          </w:rPr>
          <w:fldChar w:fldCharType="separate"/>
        </w:r>
        <w:r w:rsidR="003B0DA9">
          <w:rPr>
            <w:noProof/>
            <w:webHidden/>
          </w:rPr>
          <w:t>2</w:t>
        </w:r>
        <w:r>
          <w:rPr>
            <w:noProof/>
            <w:webHidden/>
          </w:rPr>
          <w:fldChar w:fldCharType="end"/>
        </w:r>
      </w:hyperlink>
    </w:p>
    <w:p w:rsidR="00715613" w:rsidRDefault="00F5158D">
      <w:pPr>
        <w:pStyle w:val="TOC2"/>
        <w:tabs>
          <w:tab w:val="left" w:pos="1440"/>
        </w:tabs>
        <w:rPr>
          <w:rFonts w:asciiTheme="minorHAnsi" w:eastAsiaTheme="minorEastAsia" w:hAnsiTheme="minorHAnsi" w:cstheme="minorBidi"/>
          <w:noProof/>
          <w:sz w:val="22"/>
          <w:szCs w:val="22"/>
        </w:rPr>
      </w:pPr>
      <w:hyperlink w:anchor="_Toc478129224" w:history="1">
        <w:r w:rsidRPr="007056E5">
          <w:rPr>
            <w:rStyle w:val="Hyperlink"/>
            <w:noProof/>
          </w:rPr>
          <w:t>A.</w:t>
        </w:r>
        <w:r>
          <w:rPr>
            <w:rFonts w:asciiTheme="minorHAnsi" w:eastAsiaTheme="minorEastAsia" w:hAnsiTheme="minorHAnsi" w:cstheme="minorBidi"/>
            <w:noProof/>
            <w:sz w:val="22"/>
            <w:szCs w:val="22"/>
          </w:rPr>
          <w:tab/>
        </w:r>
        <w:r w:rsidRPr="007056E5">
          <w:rPr>
            <w:rStyle w:val="Hyperlink"/>
            <w:noProof/>
          </w:rPr>
          <w:t xml:space="preserve">The Settlement would require customers </w:t>
        </w:r>
        <w:r w:rsidRPr="007056E5">
          <w:rPr>
            <w:rStyle w:val="Hyperlink"/>
            <w:noProof/>
          </w:rPr>
          <w:t xml:space="preserve">to pay unjust and unreasonable lost revenue charges. The fact that a distribution decoupling rider might, </w:t>
        </w:r>
        <w:r>
          <w:rPr>
            <w:rStyle w:val="Hyperlink"/>
            <w:noProof/>
          </w:rPr>
          <w:br/>
        </w:r>
        <w:r w:rsidRPr="007056E5">
          <w:rPr>
            <w:rStyle w:val="Hyperlink"/>
            <w:noProof/>
          </w:rPr>
          <w:t>at some unknown time in the future, replace the lost revenue mechanism, does not change that.</w:t>
        </w:r>
        <w:r>
          <w:rPr>
            <w:noProof/>
            <w:webHidden/>
          </w:rPr>
          <w:tab/>
        </w:r>
        <w:r>
          <w:rPr>
            <w:noProof/>
            <w:webHidden/>
          </w:rPr>
          <w:fldChar w:fldCharType="begin"/>
        </w:r>
        <w:r>
          <w:rPr>
            <w:noProof/>
            <w:webHidden/>
          </w:rPr>
          <w:instrText xml:space="preserve"> PAGEREF _Toc478129224 \h </w:instrText>
        </w:r>
        <w:r>
          <w:rPr>
            <w:noProof/>
            <w:webHidden/>
          </w:rPr>
        </w:r>
        <w:r>
          <w:rPr>
            <w:noProof/>
            <w:webHidden/>
          </w:rPr>
          <w:fldChar w:fldCharType="separate"/>
        </w:r>
        <w:r w:rsidR="003B0DA9">
          <w:rPr>
            <w:noProof/>
            <w:webHidden/>
          </w:rPr>
          <w:t>2</w:t>
        </w:r>
        <w:r>
          <w:rPr>
            <w:noProof/>
            <w:webHidden/>
          </w:rPr>
          <w:fldChar w:fldCharType="end"/>
        </w:r>
      </w:hyperlink>
    </w:p>
    <w:p w:rsidR="00715613" w:rsidRDefault="00F5158D">
      <w:pPr>
        <w:pStyle w:val="TOC2"/>
        <w:tabs>
          <w:tab w:val="left" w:pos="1440"/>
        </w:tabs>
        <w:rPr>
          <w:rFonts w:asciiTheme="minorHAnsi" w:eastAsiaTheme="minorEastAsia" w:hAnsiTheme="minorHAnsi" w:cstheme="minorBidi"/>
          <w:noProof/>
          <w:sz w:val="22"/>
          <w:szCs w:val="22"/>
        </w:rPr>
      </w:pPr>
      <w:hyperlink w:anchor="_Toc478129225" w:history="1">
        <w:r w:rsidRPr="007056E5">
          <w:rPr>
            <w:rStyle w:val="Hyperlink"/>
            <w:noProof/>
          </w:rPr>
          <w:t>B.</w:t>
        </w:r>
        <w:r>
          <w:rPr>
            <w:rFonts w:asciiTheme="minorHAnsi" w:eastAsiaTheme="minorEastAsia" w:hAnsiTheme="minorHAnsi" w:cstheme="minorBidi"/>
            <w:noProof/>
            <w:sz w:val="22"/>
            <w:szCs w:val="22"/>
          </w:rPr>
          <w:tab/>
        </w:r>
        <w:r w:rsidRPr="007056E5">
          <w:rPr>
            <w:rStyle w:val="Hyperlink"/>
            <w:noProof/>
          </w:rPr>
          <w:t>DP&amp;L is not entitled to charge customers for lost revenues or shared savings.</w:t>
        </w:r>
        <w:r>
          <w:rPr>
            <w:noProof/>
            <w:webHidden/>
          </w:rPr>
          <w:tab/>
        </w:r>
        <w:r>
          <w:rPr>
            <w:noProof/>
            <w:webHidden/>
          </w:rPr>
          <w:fldChar w:fldCharType="begin"/>
        </w:r>
        <w:r>
          <w:rPr>
            <w:noProof/>
            <w:webHidden/>
          </w:rPr>
          <w:instrText xml:space="preserve"> PAGEREF _Toc478129225 \h </w:instrText>
        </w:r>
        <w:r>
          <w:rPr>
            <w:noProof/>
            <w:webHidden/>
          </w:rPr>
        </w:r>
        <w:r>
          <w:rPr>
            <w:noProof/>
            <w:webHidden/>
          </w:rPr>
          <w:fldChar w:fldCharType="separate"/>
        </w:r>
        <w:r w:rsidR="003B0DA9">
          <w:rPr>
            <w:noProof/>
            <w:webHidden/>
          </w:rPr>
          <w:t>4</w:t>
        </w:r>
        <w:r>
          <w:rPr>
            <w:noProof/>
            <w:webHidden/>
          </w:rPr>
          <w:fldChar w:fldCharType="end"/>
        </w:r>
      </w:hyperlink>
    </w:p>
    <w:p w:rsidR="00715613" w:rsidRDefault="00F5158D">
      <w:pPr>
        <w:pStyle w:val="TOC2"/>
        <w:tabs>
          <w:tab w:val="left" w:pos="1440"/>
        </w:tabs>
        <w:rPr>
          <w:rFonts w:asciiTheme="minorHAnsi" w:eastAsiaTheme="minorEastAsia" w:hAnsiTheme="minorHAnsi" w:cstheme="minorBidi"/>
          <w:noProof/>
          <w:sz w:val="22"/>
          <w:szCs w:val="22"/>
        </w:rPr>
      </w:pPr>
      <w:hyperlink w:anchor="_Toc478129226" w:history="1">
        <w:r w:rsidRPr="007056E5">
          <w:rPr>
            <w:rStyle w:val="Hyperlink"/>
            <w:noProof/>
          </w:rPr>
          <w:t>C.</w:t>
        </w:r>
        <w:r>
          <w:rPr>
            <w:rFonts w:asciiTheme="minorHAnsi" w:eastAsiaTheme="minorEastAsia" w:hAnsiTheme="minorHAnsi" w:cstheme="minorBidi"/>
            <w:noProof/>
            <w:sz w:val="22"/>
            <w:szCs w:val="22"/>
          </w:rPr>
          <w:tab/>
        </w:r>
        <w:r w:rsidRPr="007056E5">
          <w:rPr>
            <w:rStyle w:val="Hyperlink"/>
            <w:noProof/>
          </w:rPr>
          <w:t xml:space="preserve">There is no evidence that customers will benefit from DP&amp;L's programs </w:t>
        </w:r>
        <w:r>
          <w:rPr>
            <w:rStyle w:val="Hyperlink"/>
            <w:noProof/>
          </w:rPr>
          <w:br/>
        </w:r>
        <w:r w:rsidRPr="007056E5">
          <w:rPr>
            <w:rStyle w:val="Hyperlink"/>
            <w:noProof/>
          </w:rPr>
          <w:t>in 2017.</w:t>
        </w:r>
        <w:r>
          <w:rPr>
            <w:noProof/>
            <w:webHidden/>
          </w:rPr>
          <w:tab/>
        </w:r>
        <w:r>
          <w:rPr>
            <w:noProof/>
            <w:webHidden/>
          </w:rPr>
          <w:fldChar w:fldCharType="begin"/>
        </w:r>
        <w:r>
          <w:rPr>
            <w:noProof/>
            <w:webHidden/>
          </w:rPr>
          <w:instrText xml:space="preserve"> PAGEREF _Toc478129226 \h </w:instrText>
        </w:r>
        <w:r>
          <w:rPr>
            <w:noProof/>
            <w:webHidden/>
          </w:rPr>
        </w:r>
        <w:r>
          <w:rPr>
            <w:noProof/>
            <w:webHidden/>
          </w:rPr>
          <w:fldChar w:fldCharType="separate"/>
        </w:r>
        <w:r w:rsidR="003B0DA9">
          <w:rPr>
            <w:noProof/>
            <w:webHidden/>
          </w:rPr>
          <w:t>6</w:t>
        </w:r>
        <w:r>
          <w:rPr>
            <w:noProof/>
            <w:webHidden/>
          </w:rPr>
          <w:fldChar w:fldCharType="end"/>
        </w:r>
      </w:hyperlink>
    </w:p>
    <w:p w:rsidR="00715613" w:rsidRDefault="00F5158D">
      <w:pPr>
        <w:pStyle w:val="TOC2"/>
        <w:tabs>
          <w:tab w:val="left" w:pos="1440"/>
        </w:tabs>
        <w:rPr>
          <w:rFonts w:asciiTheme="minorHAnsi" w:eastAsiaTheme="minorEastAsia" w:hAnsiTheme="minorHAnsi" w:cstheme="minorBidi"/>
          <w:noProof/>
          <w:sz w:val="22"/>
          <w:szCs w:val="22"/>
        </w:rPr>
      </w:pPr>
      <w:hyperlink w:anchor="_Toc478129227" w:history="1">
        <w:r w:rsidRPr="007056E5">
          <w:rPr>
            <w:rStyle w:val="Hyperlink"/>
            <w:noProof/>
          </w:rPr>
          <w:t>D.</w:t>
        </w:r>
        <w:r>
          <w:rPr>
            <w:rFonts w:asciiTheme="minorHAnsi" w:eastAsiaTheme="minorEastAsia" w:hAnsiTheme="minorHAnsi" w:cstheme="minorBidi"/>
            <w:noProof/>
            <w:sz w:val="22"/>
            <w:szCs w:val="22"/>
          </w:rPr>
          <w:tab/>
        </w:r>
        <w:r w:rsidRPr="007056E5">
          <w:rPr>
            <w:rStyle w:val="Hyperlink"/>
            <w:noProof/>
          </w:rPr>
          <w:t xml:space="preserve">Any energy efficiency portfolio settlement that the PUCO approves </w:t>
        </w:r>
        <w:r>
          <w:rPr>
            <w:rStyle w:val="Hyperlink"/>
            <w:noProof/>
          </w:rPr>
          <w:br/>
        </w:r>
        <w:r w:rsidRPr="007056E5">
          <w:rPr>
            <w:rStyle w:val="Hyperlink"/>
            <w:noProof/>
          </w:rPr>
          <w:t>should include an annual limit on charges to customers for energy efficiency program costs and utility profits.</w:t>
        </w:r>
        <w:r>
          <w:rPr>
            <w:noProof/>
            <w:webHidden/>
          </w:rPr>
          <w:tab/>
        </w:r>
        <w:r>
          <w:rPr>
            <w:noProof/>
            <w:webHidden/>
          </w:rPr>
          <w:fldChar w:fldCharType="begin"/>
        </w:r>
        <w:r>
          <w:rPr>
            <w:noProof/>
            <w:webHidden/>
          </w:rPr>
          <w:instrText xml:space="preserve"> PAGEREF _Toc478129227 \h </w:instrText>
        </w:r>
        <w:r>
          <w:rPr>
            <w:noProof/>
            <w:webHidden/>
          </w:rPr>
        </w:r>
        <w:r>
          <w:rPr>
            <w:noProof/>
            <w:webHidden/>
          </w:rPr>
          <w:fldChar w:fldCharType="separate"/>
        </w:r>
        <w:r w:rsidR="003B0DA9">
          <w:rPr>
            <w:noProof/>
            <w:webHidden/>
          </w:rPr>
          <w:t>8</w:t>
        </w:r>
        <w:r>
          <w:rPr>
            <w:noProof/>
            <w:webHidden/>
          </w:rPr>
          <w:fldChar w:fldCharType="end"/>
        </w:r>
      </w:hyperlink>
    </w:p>
    <w:p w:rsidR="00715613" w:rsidRDefault="00F5158D">
      <w:pPr>
        <w:pStyle w:val="TOC2"/>
        <w:tabs>
          <w:tab w:val="left" w:pos="1440"/>
        </w:tabs>
        <w:rPr>
          <w:rFonts w:asciiTheme="minorHAnsi" w:eastAsiaTheme="minorEastAsia" w:hAnsiTheme="minorHAnsi" w:cstheme="minorBidi"/>
          <w:noProof/>
          <w:sz w:val="22"/>
          <w:szCs w:val="22"/>
        </w:rPr>
      </w:pPr>
      <w:hyperlink w:anchor="_Toc478129228" w:history="1">
        <w:r w:rsidRPr="007056E5">
          <w:rPr>
            <w:rStyle w:val="Hyperlink"/>
            <w:noProof/>
          </w:rPr>
          <w:t>E.</w:t>
        </w:r>
        <w:r>
          <w:rPr>
            <w:rFonts w:asciiTheme="minorHAnsi" w:eastAsiaTheme="minorEastAsia" w:hAnsiTheme="minorHAnsi" w:cstheme="minorBidi"/>
            <w:noProof/>
            <w:sz w:val="22"/>
            <w:szCs w:val="22"/>
          </w:rPr>
          <w:tab/>
        </w:r>
        <w:r w:rsidRPr="007056E5">
          <w:rPr>
            <w:rStyle w:val="Hyperlink"/>
            <w:noProof/>
          </w:rPr>
          <w:t>The 2017 Settlement violates regulatory principles and practices.</w:t>
        </w:r>
        <w:r>
          <w:rPr>
            <w:noProof/>
            <w:webHidden/>
          </w:rPr>
          <w:tab/>
        </w:r>
        <w:r>
          <w:rPr>
            <w:noProof/>
            <w:webHidden/>
          </w:rPr>
          <w:fldChar w:fldCharType="begin"/>
        </w:r>
        <w:r>
          <w:rPr>
            <w:noProof/>
            <w:webHidden/>
          </w:rPr>
          <w:instrText xml:space="preserve"> PAGEREF _Toc478129228 \h </w:instrText>
        </w:r>
        <w:r>
          <w:rPr>
            <w:noProof/>
            <w:webHidden/>
          </w:rPr>
        </w:r>
        <w:r>
          <w:rPr>
            <w:noProof/>
            <w:webHidden/>
          </w:rPr>
          <w:fldChar w:fldCharType="separate"/>
        </w:r>
        <w:r w:rsidR="003B0DA9">
          <w:rPr>
            <w:noProof/>
            <w:webHidden/>
          </w:rPr>
          <w:t>9</w:t>
        </w:r>
        <w:r>
          <w:rPr>
            <w:noProof/>
            <w:webHidden/>
          </w:rPr>
          <w:fldChar w:fldCharType="end"/>
        </w:r>
      </w:hyperlink>
    </w:p>
    <w:p w:rsidR="00715613" w:rsidRDefault="00F5158D">
      <w:pPr>
        <w:pStyle w:val="TOC1"/>
        <w:rPr>
          <w:rStyle w:val="Hyperlink"/>
          <w:noProof/>
        </w:rPr>
      </w:pPr>
      <w:hyperlink w:anchor="_Toc478129229" w:history="1">
        <w:r w:rsidRPr="007056E5">
          <w:rPr>
            <w:rStyle w:val="Hyperlink"/>
            <w:noProof/>
          </w:rPr>
          <w:t>II.</w:t>
        </w:r>
        <w:r>
          <w:rPr>
            <w:rFonts w:asciiTheme="minorHAnsi" w:eastAsiaTheme="minorEastAsia" w:hAnsiTheme="minorHAnsi" w:cstheme="minorBidi"/>
            <w:caps w:val="0"/>
            <w:noProof/>
            <w:sz w:val="22"/>
            <w:szCs w:val="22"/>
          </w:rPr>
          <w:tab/>
        </w:r>
        <w:r w:rsidRPr="007056E5">
          <w:rPr>
            <w:rStyle w:val="Hyperlink"/>
            <w:noProof/>
          </w:rPr>
          <w:t>CONCLUSION</w:t>
        </w:r>
        <w:r>
          <w:rPr>
            <w:noProof/>
            <w:webHidden/>
          </w:rPr>
          <w:tab/>
        </w:r>
        <w:r>
          <w:rPr>
            <w:noProof/>
            <w:webHidden/>
          </w:rPr>
          <w:fldChar w:fldCharType="begin"/>
        </w:r>
        <w:r>
          <w:rPr>
            <w:noProof/>
            <w:webHidden/>
          </w:rPr>
          <w:instrText xml:space="preserve"> PAGEREF _Toc478129229 \h </w:instrText>
        </w:r>
        <w:r>
          <w:rPr>
            <w:noProof/>
            <w:webHidden/>
          </w:rPr>
        </w:r>
        <w:r>
          <w:rPr>
            <w:noProof/>
            <w:webHidden/>
          </w:rPr>
          <w:fldChar w:fldCharType="separate"/>
        </w:r>
        <w:r w:rsidR="003B0DA9">
          <w:rPr>
            <w:noProof/>
            <w:webHidden/>
          </w:rPr>
          <w:t>10</w:t>
        </w:r>
        <w:r>
          <w:rPr>
            <w:noProof/>
            <w:webHidden/>
          </w:rPr>
          <w:fldChar w:fldCharType="end"/>
        </w:r>
      </w:hyperlink>
    </w:p>
    <w:p w:rsidR="00715613" w:rsidRDefault="00F5158D" w:rsidP="00715613">
      <w:pPr>
        <w:rPr>
          <w:noProof/>
        </w:rPr>
      </w:pPr>
    </w:p>
    <w:p w:rsidR="00715613" w:rsidRDefault="00F5158D" w:rsidP="00715613">
      <w:pPr>
        <w:rPr>
          <w:noProof/>
        </w:rPr>
      </w:pPr>
    </w:p>
    <w:p w:rsidR="00715613" w:rsidRDefault="00F5158D" w:rsidP="00715613">
      <w:pPr>
        <w:rPr>
          <w:noProof/>
        </w:rPr>
      </w:pPr>
    </w:p>
    <w:p w:rsidR="00715613" w:rsidRDefault="00F5158D" w:rsidP="00715613">
      <w:pPr>
        <w:rPr>
          <w:noProof/>
        </w:rPr>
        <w:sectPr w:rsidR="00715613" w:rsidSect="00715613">
          <w:footerReference w:type="default" r:id="rId9"/>
          <w:pgSz w:w="12240" w:h="15840"/>
          <w:pgMar w:top="1440" w:right="1800" w:bottom="1440" w:left="1800" w:header="720" w:footer="720" w:gutter="0"/>
          <w:pgNumType w:fmt="lowerRoman" w:start="1"/>
          <w:cols w:space="720"/>
          <w:docGrid w:linePitch="360"/>
        </w:sectPr>
      </w:pPr>
    </w:p>
    <w:p w:rsidR="0062420A" w:rsidRDefault="00F5158D" w:rsidP="0067681E">
      <w:pPr>
        <w:pStyle w:val="HTMLPreformatted"/>
        <w:jc w:val="center"/>
        <w:rPr>
          <w:rFonts w:ascii="Times New Roman" w:hAnsi="Times New Roman"/>
          <w:b/>
          <w:bCs/>
          <w:sz w:val="24"/>
        </w:rPr>
      </w:pPr>
      <w:r>
        <w:rPr>
          <w:rFonts w:ascii="Times New Roman" w:eastAsia="Times New Roman" w:hAnsi="Times New Roman" w:cs="Times New Roman"/>
          <w:bCs/>
          <w:sz w:val="24"/>
        </w:rPr>
        <w:lastRenderedPageBreak/>
        <w:fldChar w:fldCharType="end"/>
      </w:r>
      <w:r>
        <w:rPr>
          <w:rFonts w:ascii="Times New Roman" w:hAnsi="Times New Roman"/>
          <w:b/>
          <w:bCs/>
          <w:sz w:val="24"/>
        </w:rPr>
        <w:t>BEFORE</w:t>
      </w:r>
    </w:p>
    <w:p w:rsidR="0062420A" w:rsidRDefault="00F5158D" w:rsidP="0062420A">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62420A" w:rsidRDefault="00F5158D" w:rsidP="0062420A">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5"/>
        </w:tabs>
        <w:rPr>
          <w:rFonts w:ascii="Times New Roman" w:hAnsi="Times New Roman"/>
          <w:b/>
          <w:bCs/>
          <w:sz w:val="24"/>
        </w:rPr>
      </w:pPr>
      <w:r>
        <w:rPr>
          <w:rFonts w:ascii="Times New Roman" w:hAnsi="Times New Roman"/>
          <w:b/>
          <w:bCs/>
          <w:sz w:val="24"/>
        </w:rPr>
        <w:tab/>
      </w:r>
      <w:r>
        <w:rPr>
          <w:rFonts w:ascii="Times New Roman" w:hAnsi="Times New Roman"/>
          <w:b/>
          <w:bCs/>
          <w:sz w:val="24"/>
        </w:rPr>
        <w:tab/>
      </w:r>
    </w:p>
    <w:tbl>
      <w:tblPr>
        <w:tblW w:w="9092" w:type="dxa"/>
        <w:tblLook w:val="01E0" w:firstRow="1" w:lastRow="1" w:firstColumn="1" w:lastColumn="1" w:noHBand="0" w:noVBand="0"/>
      </w:tblPr>
      <w:tblGrid>
        <w:gridCol w:w="4332"/>
        <w:gridCol w:w="360"/>
        <w:gridCol w:w="4400"/>
      </w:tblGrid>
      <w:tr w:rsidR="0054318C" w:rsidTr="0062420A">
        <w:trPr>
          <w:trHeight w:val="807"/>
        </w:trPr>
        <w:tc>
          <w:tcPr>
            <w:tcW w:w="4332" w:type="dxa"/>
            <w:shd w:val="clear" w:color="auto" w:fill="auto"/>
          </w:tcPr>
          <w:p w:rsidR="0062420A" w:rsidRDefault="00F5158D" w:rsidP="0062420A">
            <w:pPr>
              <w:autoSpaceDE w:val="0"/>
              <w:autoSpaceDN w:val="0"/>
              <w:adjustRightInd w:val="0"/>
            </w:pPr>
            <w:r>
              <w:t>In the Matter of the Application of The Dayton Power and Light Company for Approval of its Energy Efficiency and Peak Demand Reduction Portfolio Plan.</w:t>
            </w:r>
          </w:p>
          <w:p w:rsidR="0062420A" w:rsidRDefault="00F5158D" w:rsidP="0062420A">
            <w:pPr>
              <w:autoSpaceDE w:val="0"/>
              <w:autoSpaceDN w:val="0"/>
              <w:adjustRightInd w:val="0"/>
            </w:pPr>
          </w:p>
          <w:p w:rsidR="0062420A" w:rsidRPr="00710E80" w:rsidRDefault="00F5158D" w:rsidP="0062420A">
            <w:pPr>
              <w:autoSpaceDE w:val="0"/>
              <w:autoSpaceDN w:val="0"/>
              <w:adjustRightInd w:val="0"/>
            </w:pPr>
            <w:r w:rsidRPr="00710E80">
              <w:t xml:space="preserve">In the Matter of </w:t>
            </w:r>
            <w:r>
              <w:t xml:space="preserve">the </w:t>
            </w:r>
            <w:r>
              <w:t>Application of The Dayton Power and Light Company for Approval of Its Energy Efficiency and Peak Demand Reduction Program Portfolio Plan for 2017 through 2019.</w:t>
            </w:r>
          </w:p>
        </w:tc>
        <w:tc>
          <w:tcPr>
            <w:tcW w:w="360" w:type="dxa"/>
            <w:shd w:val="clear" w:color="auto" w:fill="auto"/>
          </w:tcPr>
          <w:p w:rsidR="0062420A" w:rsidRDefault="00F5158D" w:rsidP="0062420A">
            <w:pPr>
              <w:pStyle w:val="HTMLPreformatted"/>
              <w:rPr>
                <w:rFonts w:ascii="Times New Roman" w:hAnsi="Times New Roman" w:cs="Times New Roman"/>
                <w:sz w:val="24"/>
              </w:rPr>
            </w:pPr>
            <w:r>
              <w:rPr>
                <w:rFonts w:ascii="Times New Roman" w:hAnsi="Times New Roman" w:cs="Times New Roman"/>
                <w:sz w:val="24"/>
              </w:rPr>
              <w:t>)</w:t>
            </w:r>
          </w:p>
          <w:p w:rsidR="0062420A" w:rsidRDefault="00F5158D" w:rsidP="0062420A">
            <w:pPr>
              <w:pStyle w:val="HTMLPreformatted"/>
              <w:rPr>
                <w:rFonts w:ascii="Times New Roman" w:hAnsi="Times New Roman" w:cs="Times New Roman"/>
                <w:sz w:val="24"/>
              </w:rPr>
            </w:pPr>
            <w:r>
              <w:rPr>
                <w:rFonts w:ascii="Times New Roman" w:hAnsi="Times New Roman" w:cs="Times New Roman"/>
                <w:sz w:val="24"/>
              </w:rPr>
              <w:t>)</w:t>
            </w:r>
          </w:p>
          <w:p w:rsidR="0062420A" w:rsidRDefault="00F5158D" w:rsidP="0062420A">
            <w:pPr>
              <w:pStyle w:val="HTMLPreformatted"/>
              <w:rPr>
                <w:rFonts w:ascii="Times New Roman" w:hAnsi="Times New Roman" w:cs="Times New Roman"/>
                <w:sz w:val="24"/>
              </w:rPr>
            </w:pPr>
            <w:r>
              <w:rPr>
                <w:rFonts w:ascii="Times New Roman" w:hAnsi="Times New Roman" w:cs="Times New Roman"/>
                <w:sz w:val="24"/>
              </w:rPr>
              <w:t>)</w:t>
            </w:r>
          </w:p>
          <w:p w:rsidR="0062420A" w:rsidRDefault="00F5158D" w:rsidP="0062420A">
            <w:pPr>
              <w:pStyle w:val="HTMLPreformatted"/>
              <w:rPr>
                <w:rFonts w:ascii="Times New Roman" w:hAnsi="Times New Roman" w:cs="Times New Roman"/>
                <w:sz w:val="24"/>
              </w:rPr>
            </w:pPr>
            <w:r>
              <w:rPr>
                <w:rFonts w:ascii="Times New Roman" w:hAnsi="Times New Roman" w:cs="Times New Roman"/>
                <w:sz w:val="24"/>
              </w:rPr>
              <w:t>)</w:t>
            </w:r>
          </w:p>
          <w:p w:rsidR="0062420A" w:rsidRDefault="00F5158D" w:rsidP="0062420A">
            <w:pPr>
              <w:pStyle w:val="HTMLPreformatted"/>
              <w:rPr>
                <w:rFonts w:ascii="Times New Roman" w:hAnsi="Times New Roman" w:cs="Times New Roman"/>
                <w:sz w:val="24"/>
              </w:rPr>
            </w:pPr>
          </w:p>
          <w:p w:rsidR="0062420A" w:rsidRPr="00710E80" w:rsidRDefault="00F5158D" w:rsidP="0062420A">
            <w:pPr>
              <w:pStyle w:val="HTMLPreformatted"/>
              <w:rPr>
                <w:rFonts w:ascii="Times New Roman" w:hAnsi="Times New Roman" w:cs="Times New Roman"/>
                <w:sz w:val="24"/>
              </w:rPr>
            </w:pPr>
            <w:r w:rsidRPr="00710E80">
              <w:rPr>
                <w:rFonts w:ascii="Times New Roman" w:hAnsi="Times New Roman" w:cs="Times New Roman"/>
                <w:sz w:val="24"/>
              </w:rPr>
              <w:t>)</w:t>
            </w:r>
          </w:p>
          <w:p w:rsidR="0062420A" w:rsidRPr="00710E80" w:rsidRDefault="00F5158D" w:rsidP="0062420A">
            <w:pPr>
              <w:pStyle w:val="HTMLPreformatted"/>
              <w:rPr>
                <w:rFonts w:ascii="Times New Roman" w:hAnsi="Times New Roman" w:cs="Times New Roman"/>
                <w:sz w:val="24"/>
              </w:rPr>
            </w:pPr>
            <w:r w:rsidRPr="00710E80">
              <w:rPr>
                <w:rFonts w:ascii="Times New Roman" w:hAnsi="Times New Roman" w:cs="Times New Roman"/>
                <w:sz w:val="24"/>
              </w:rPr>
              <w:t>)</w:t>
            </w:r>
          </w:p>
          <w:p w:rsidR="0062420A" w:rsidRDefault="00F5158D" w:rsidP="0062420A">
            <w:pPr>
              <w:pStyle w:val="HTMLPreformatted"/>
              <w:rPr>
                <w:rFonts w:ascii="Times New Roman" w:hAnsi="Times New Roman" w:cs="Times New Roman"/>
                <w:sz w:val="24"/>
              </w:rPr>
            </w:pPr>
            <w:r w:rsidRPr="00710E80">
              <w:rPr>
                <w:rFonts w:ascii="Times New Roman" w:hAnsi="Times New Roman" w:cs="Times New Roman"/>
                <w:sz w:val="24"/>
              </w:rPr>
              <w:t>)</w:t>
            </w:r>
          </w:p>
          <w:p w:rsidR="0062420A" w:rsidRDefault="00F5158D" w:rsidP="0062420A">
            <w:pPr>
              <w:pStyle w:val="HTMLPreformatted"/>
              <w:rPr>
                <w:rFonts w:ascii="Times New Roman" w:hAnsi="Times New Roman" w:cs="Times New Roman"/>
                <w:sz w:val="24"/>
              </w:rPr>
            </w:pPr>
            <w:r>
              <w:rPr>
                <w:rFonts w:ascii="Times New Roman" w:hAnsi="Times New Roman" w:cs="Times New Roman"/>
                <w:sz w:val="24"/>
              </w:rPr>
              <w:t>)</w:t>
            </w:r>
          </w:p>
          <w:p w:rsidR="0062420A" w:rsidRPr="00710E80" w:rsidRDefault="00F5158D" w:rsidP="0062420A">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62420A" w:rsidRPr="00710E80" w:rsidRDefault="00F5158D" w:rsidP="0062420A">
            <w:pPr>
              <w:pStyle w:val="HTMLPreformatted"/>
              <w:rPr>
                <w:rFonts w:ascii="Times New Roman" w:hAnsi="Times New Roman" w:cs="Times New Roman"/>
                <w:sz w:val="24"/>
              </w:rPr>
            </w:pPr>
          </w:p>
          <w:p w:rsidR="0062420A" w:rsidRDefault="00F5158D" w:rsidP="0062420A">
            <w:r>
              <w:t>Case No. 16-0649-EL-POR</w:t>
            </w:r>
          </w:p>
          <w:p w:rsidR="0062420A" w:rsidRDefault="00F5158D" w:rsidP="0062420A">
            <w:pPr>
              <w:tabs>
                <w:tab w:val="left" w:pos="363"/>
              </w:tabs>
            </w:pPr>
          </w:p>
          <w:p w:rsidR="0062420A" w:rsidRDefault="00F5158D" w:rsidP="0062420A">
            <w:pPr>
              <w:tabs>
                <w:tab w:val="left" w:pos="363"/>
              </w:tabs>
            </w:pPr>
          </w:p>
          <w:p w:rsidR="0062420A" w:rsidRDefault="00F5158D" w:rsidP="0062420A">
            <w:pPr>
              <w:tabs>
                <w:tab w:val="left" w:pos="363"/>
              </w:tabs>
            </w:pPr>
          </w:p>
          <w:p w:rsidR="0062420A" w:rsidRDefault="00F5158D" w:rsidP="0062420A">
            <w:pPr>
              <w:tabs>
                <w:tab w:val="left" w:pos="363"/>
              </w:tabs>
            </w:pPr>
          </w:p>
          <w:p w:rsidR="0062420A" w:rsidRDefault="00F5158D" w:rsidP="0062420A">
            <w:pPr>
              <w:tabs>
                <w:tab w:val="left" w:pos="363"/>
              </w:tabs>
            </w:pPr>
          </w:p>
          <w:p w:rsidR="0062420A" w:rsidRDefault="00F5158D" w:rsidP="0062420A">
            <w:pPr>
              <w:tabs>
                <w:tab w:val="left" w:pos="363"/>
              </w:tabs>
            </w:pPr>
            <w:r>
              <w:t>Case No. 16-1369-EL-WVR</w:t>
            </w:r>
          </w:p>
          <w:p w:rsidR="0062420A" w:rsidRDefault="00F5158D" w:rsidP="0062420A"/>
          <w:p w:rsidR="0062420A" w:rsidRPr="00002580" w:rsidRDefault="00F5158D" w:rsidP="0062420A">
            <w:pPr>
              <w:rPr>
                <w:i/>
              </w:rPr>
            </w:pPr>
          </w:p>
        </w:tc>
      </w:tr>
    </w:tbl>
    <w:p w:rsidR="0062420A" w:rsidRPr="00710E80" w:rsidRDefault="00F5158D" w:rsidP="0062420A">
      <w:pPr>
        <w:pStyle w:val="HTMLPreformatted"/>
        <w:rPr>
          <w:rFonts w:ascii="Times New Roman" w:hAnsi="Times New Roman" w:cs="Times New Roman"/>
          <w:sz w:val="24"/>
        </w:rPr>
      </w:pPr>
    </w:p>
    <w:p w:rsidR="0062420A" w:rsidRPr="00710E80" w:rsidRDefault="00F5158D" w:rsidP="0062420A">
      <w:pPr>
        <w:pStyle w:val="HTMLPreformatted"/>
        <w:pBdr>
          <w:top w:val="single" w:sz="12" w:space="1" w:color="auto"/>
        </w:pBdr>
        <w:rPr>
          <w:rFonts w:ascii="Times New Roman" w:hAnsi="Times New Roman" w:cs="Times New Roman"/>
          <w:sz w:val="24"/>
        </w:rPr>
      </w:pPr>
    </w:p>
    <w:p w:rsidR="0062420A" w:rsidRDefault="00F5158D" w:rsidP="0062420A">
      <w:pPr>
        <w:jc w:val="center"/>
        <w:rPr>
          <w:b/>
          <w:bCs/>
        </w:rPr>
      </w:pPr>
      <w:r>
        <w:rPr>
          <w:b/>
          <w:bCs/>
        </w:rPr>
        <w:t>REPLY BRIEF</w:t>
      </w:r>
    </w:p>
    <w:p w:rsidR="0062420A" w:rsidRPr="00710E80" w:rsidRDefault="00F5158D" w:rsidP="0062420A">
      <w:pPr>
        <w:jc w:val="center"/>
        <w:rPr>
          <w:b/>
          <w:bCs/>
        </w:rPr>
      </w:pPr>
      <w:r w:rsidRPr="00710E80">
        <w:rPr>
          <w:b/>
          <w:bCs/>
        </w:rPr>
        <w:t>BY</w:t>
      </w:r>
    </w:p>
    <w:p w:rsidR="0062420A" w:rsidRDefault="00F5158D" w:rsidP="0062420A">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62420A" w:rsidRPr="00710E80" w:rsidRDefault="00F5158D" w:rsidP="0062420A">
      <w:pPr>
        <w:pBdr>
          <w:bottom w:val="single" w:sz="12" w:space="1" w:color="auto"/>
        </w:pBdr>
        <w:tabs>
          <w:tab w:val="left" w:pos="4320"/>
        </w:tabs>
      </w:pPr>
    </w:p>
    <w:p w:rsidR="00530DC9" w:rsidRDefault="00F5158D" w:rsidP="00903B3B">
      <w:pPr>
        <w:spacing w:before="240" w:line="480" w:lineRule="auto"/>
        <w:ind w:firstLine="720"/>
      </w:pPr>
      <w:r>
        <w:t>The rates that Ohioans pay for electric service must be just and reasonable.</w:t>
      </w:r>
      <w:r>
        <w:rPr>
          <w:rStyle w:val="FootnoteReference"/>
        </w:rPr>
        <w:footnoteReference w:id="1"/>
      </w:r>
      <w:r>
        <w:t xml:space="preserve"> </w:t>
      </w:r>
      <w:r w:rsidRPr="002B73C9">
        <w:t xml:space="preserve">The </w:t>
      </w:r>
      <w:r>
        <w:t>settlement</w:t>
      </w:r>
      <w:r>
        <w:rPr>
          <w:rStyle w:val="FootnoteReference"/>
        </w:rPr>
        <w:footnoteReference w:id="2"/>
      </w:r>
      <w:r w:rsidRPr="002B73C9">
        <w:t xml:space="preserve"> in this case would </w:t>
      </w:r>
      <w:r>
        <w:t>permit Dayton Power &amp; Light Company ("DP&amp;L") to charge customers an unlimited amount of lost revenue</w:t>
      </w:r>
      <w:r>
        <w:t>s for 2016, 2017, and for an unlimited number of years beyond that, resulting in consumers paying rates that are unjust and unreasonable. The Public Utilities Commission of Ohio ("PUCO") should reject the settlement.</w:t>
      </w:r>
    </w:p>
    <w:p w:rsidR="0067681E" w:rsidRDefault="00F5158D" w:rsidP="008151A7">
      <w:pPr>
        <w:spacing w:line="480" w:lineRule="auto"/>
        <w:ind w:firstLine="720"/>
        <w:sectPr w:rsidR="0067681E" w:rsidSect="00715613">
          <w:footerReference w:type="default" r:id="rId10"/>
          <w:pgSz w:w="12240" w:h="15840"/>
          <w:pgMar w:top="1440" w:right="1800" w:bottom="1440" w:left="1800" w:header="720" w:footer="720" w:gutter="0"/>
          <w:pgNumType w:fmt="lowerRoman" w:start="1"/>
          <w:cols w:space="720"/>
          <w:docGrid w:linePitch="360"/>
        </w:sectPr>
      </w:pPr>
      <w:r>
        <w:t>The initial brief o</w:t>
      </w:r>
      <w:r>
        <w:t>f the Office of the Ohio Consumers' Counsel ("OCC") showed that the 2017 Settlement does not meet the criteria that the PUCO uses to evaluate settlements. A settlement must benefit consumers and the public interest. A settlement cannot violate important re</w:t>
      </w:r>
      <w:r>
        <w:t>gulatory principles. The 2017 Settlement does not meet either of these criteria.</w:t>
      </w:r>
    </w:p>
    <w:p w:rsidR="0051002A" w:rsidRDefault="00F5158D" w:rsidP="0051002A">
      <w:pPr>
        <w:spacing w:line="480" w:lineRule="auto"/>
        <w:ind w:firstLine="720"/>
        <w:rPr>
          <w:szCs w:val="24"/>
        </w:rPr>
      </w:pPr>
      <w:r>
        <w:rPr>
          <w:szCs w:val="24"/>
        </w:rPr>
        <w:lastRenderedPageBreak/>
        <w:t>The PUCO should adopt</w:t>
      </w:r>
      <w:r w:rsidRPr="009D0AA7">
        <w:rPr>
          <w:szCs w:val="24"/>
        </w:rPr>
        <w:t xml:space="preserve"> </w:t>
      </w:r>
      <w:r>
        <w:rPr>
          <w:szCs w:val="24"/>
        </w:rPr>
        <w:t xml:space="preserve">the recommendations set forth in OCC's initial brief. </w:t>
      </w:r>
      <w:r w:rsidRPr="009D0AA7">
        <w:rPr>
          <w:szCs w:val="24"/>
        </w:rPr>
        <w:t>Section II.A.iv of the 2017 Settlement, which permits DP&amp;L to charge customers for an unlimited amo</w:t>
      </w:r>
      <w:r w:rsidRPr="009D0AA7">
        <w:rPr>
          <w:szCs w:val="24"/>
        </w:rPr>
        <w:t>unt of lost revenues for an unlimited amount of time (including retroactively for 2016), should be deleted</w:t>
      </w:r>
      <w:r>
        <w:rPr>
          <w:szCs w:val="24"/>
        </w:rPr>
        <w:t>. And t</w:t>
      </w:r>
      <w:r w:rsidRPr="009D0AA7">
        <w:rPr>
          <w:szCs w:val="24"/>
        </w:rPr>
        <w:t>he last sentence in section IV.A of the 2017 Settlement, which permits DP&amp;L to continue its programs</w:t>
      </w:r>
      <w:r>
        <w:rPr>
          <w:szCs w:val="24"/>
        </w:rPr>
        <w:t>—</w:t>
      </w:r>
      <w:r w:rsidRPr="009D0AA7">
        <w:rPr>
          <w:szCs w:val="24"/>
        </w:rPr>
        <w:t>and charge customers</w:t>
      </w:r>
      <w:r>
        <w:rPr>
          <w:szCs w:val="24"/>
        </w:rPr>
        <w:t>—</w:t>
      </w:r>
      <w:r w:rsidRPr="009D0AA7">
        <w:rPr>
          <w:szCs w:val="24"/>
        </w:rPr>
        <w:t>for an unlimited amou</w:t>
      </w:r>
      <w:r w:rsidRPr="009D0AA7">
        <w:rPr>
          <w:szCs w:val="24"/>
        </w:rPr>
        <w:t>nt of time into the future, should be deleted.</w:t>
      </w:r>
    </w:p>
    <w:p w:rsidR="008179A1" w:rsidRPr="001D2286" w:rsidRDefault="00F5158D" w:rsidP="008179A1">
      <w:pPr>
        <w:ind w:firstLine="720"/>
        <w:rPr>
          <w:szCs w:val="24"/>
        </w:rPr>
      </w:pPr>
    </w:p>
    <w:p w:rsidR="0062420A" w:rsidRPr="00B97282" w:rsidRDefault="00F5158D" w:rsidP="0067681E">
      <w:pPr>
        <w:pStyle w:val="Heading1"/>
      </w:pPr>
      <w:bookmarkStart w:id="0" w:name="_Toc478129223"/>
      <w:r>
        <w:t>I.</w:t>
      </w:r>
      <w:r>
        <w:tab/>
      </w:r>
      <w:r w:rsidRPr="0067681E">
        <w:t>REPLY</w:t>
      </w:r>
      <w:bookmarkEnd w:id="0"/>
    </w:p>
    <w:p w:rsidR="00903B3B" w:rsidRDefault="00F5158D" w:rsidP="0067681E">
      <w:pPr>
        <w:pStyle w:val="Heading2"/>
      </w:pPr>
      <w:bookmarkStart w:id="1" w:name="_Toc478129224"/>
      <w:r>
        <w:t>A.</w:t>
      </w:r>
      <w:r>
        <w:tab/>
        <w:t>The Settlement would require customers to pay unjust and unreasonable lost revenue charges. The fact that a distribution decoupling rider might, at some unknown time in the future, replace the los</w:t>
      </w:r>
      <w:r>
        <w:t>t revenue mechanism, does not change that.</w:t>
      </w:r>
      <w:bookmarkEnd w:id="1"/>
    </w:p>
    <w:p w:rsidR="00CB2B76" w:rsidRDefault="00F5158D" w:rsidP="00A30120">
      <w:pPr>
        <w:spacing w:line="480" w:lineRule="auto"/>
        <w:ind w:firstLine="720"/>
      </w:pPr>
      <w:r>
        <w:t>The Settlement permits DP&amp;L to charge customers an unlimited amount of lost revenues for 2016, 2017, and for an unlimited number of years beyond that.</w:t>
      </w:r>
      <w:r>
        <w:rPr>
          <w:rStyle w:val="FootnoteReference"/>
        </w:rPr>
        <w:footnoteReference w:id="3"/>
      </w:r>
      <w:r>
        <w:t xml:space="preserve"> For 2016, DP&amp;L seeks to charge customers $20 million in lost </w:t>
      </w:r>
      <w:r>
        <w:t>revenues.</w:t>
      </w:r>
      <w:r>
        <w:rPr>
          <w:rStyle w:val="FootnoteReference"/>
        </w:rPr>
        <w:footnoteReference w:id="4"/>
      </w:r>
      <w:r>
        <w:t xml:space="preserve"> In its initial brief, Ohio Partners for Affordable Energy ("OPAE") argues that the PUCO should approve the Settlement because DP&amp;L's collection of lost revenues from customers will be short-lived.</w:t>
      </w:r>
      <w:r>
        <w:rPr>
          <w:rStyle w:val="FootnoteReference"/>
        </w:rPr>
        <w:footnoteReference w:id="5"/>
      </w:r>
      <w:r>
        <w:t xml:space="preserve"> According to OPAE, the lost revenues issue is "</w:t>
      </w:r>
      <w:r>
        <w:t>being addressed" in DP&amp;L's pending electric security plan ("ESP") and rate cases and "should be resolved in 2017."</w:t>
      </w:r>
      <w:r>
        <w:rPr>
          <w:rStyle w:val="FootnoteReference"/>
        </w:rPr>
        <w:footnoteReference w:id="6"/>
      </w:r>
      <w:r>
        <w:t xml:space="preserve"> But this is sheer speculation and is not supported by the record in this proceeding.</w:t>
      </w:r>
    </w:p>
    <w:p w:rsidR="00DB6024" w:rsidRDefault="00F5158D" w:rsidP="00A30120">
      <w:pPr>
        <w:spacing w:line="480" w:lineRule="auto"/>
        <w:ind w:firstLine="720"/>
      </w:pPr>
      <w:r>
        <w:t>There is nothing in this record supporting OPAE's conte</w:t>
      </w:r>
      <w:r>
        <w:t xml:space="preserve">ntion that the ESP case and base rate case will be resolved in 2017. DP&amp;L's base rate case is unlikely to be </w:t>
      </w:r>
      <w:r>
        <w:lastRenderedPageBreak/>
        <w:t>resolved before the end of the year. DP&amp;L filed the rate case in October 2015.</w:t>
      </w:r>
      <w:r>
        <w:rPr>
          <w:rStyle w:val="FootnoteReference"/>
        </w:rPr>
        <w:footnoteReference w:id="7"/>
      </w:r>
      <w:r>
        <w:t xml:space="preserve"> On March 22, 2017—17 months after the case was filed—the Commission</w:t>
      </w:r>
      <w:r>
        <w:t xml:space="preserve"> directed the PUCO Staff to issue an RFP for an independent auditor.</w:t>
      </w:r>
      <w:r>
        <w:rPr>
          <w:rStyle w:val="FootnoteReference"/>
        </w:rPr>
        <w:footnoteReference w:id="8"/>
      </w:r>
      <w:r>
        <w:t xml:space="preserve"> The RFP will be issued on April 5, 2017, and the auditor will not present its final report to the PUCO Staff until September 29, 2017.</w:t>
      </w:r>
      <w:r>
        <w:rPr>
          <w:rStyle w:val="FootnoteReference"/>
        </w:rPr>
        <w:footnoteReference w:id="9"/>
      </w:r>
      <w:r>
        <w:t xml:space="preserve"> Following the completion of the audit, the PUCO St</w:t>
      </w:r>
      <w:r>
        <w:t>aff will be required to file a report in accordance with R.C. 4909.19(C). Parties will then have 30 days to file objections to the report.</w:t>
      </w:r>
      <w:r>
        <w:rPr>
          <w:rStyle w:val="FootnoteReference"/>
        </w:rPr>
        <w:footnoteReference w:id="10"/>
      </w:r>
      <w:r>
        <w:t xml:space="preserve"> And if parties file objections, the PUCO must hold a pre-hearing conference and then schedule a hearing.</w:t>
      </w:r>
      <w:r>
        <w:rPr>
          <w:rStyle w:val="FootnoteReference"/>
        </w:rPr>
        <w:footnoteReference w:id="11"/>
      </w:r>
      <w:r>
        <w:t xml:space="preserve"> In light o</w:t>
      </w:r>
      <w:r>
        <w:t>f the significant delay in the rate case, there is no reason to believe that the base rate case will be resolved before the end of the year. Likewise, there is no evidence in the record in this case regarding when the ESP case might be resolved. OPAE's cla</w:t>
      </w:r>
      <w:r>
        <w:t>im that the ESP case and base rate case will be soon resolved is unsupported by the record.</w:t>
      </w:r>
    </w:p>
    <w:p w:rsidR="00CB2B76" w:rsidRPr="00715B16" w:rsidRDefault="00F5158D" w:rsidP="00A30120">
      <w:pPr>
        <w:spacing w:line="480" w:lineRule="auto"/>
        <w:ind w:firstLine="720"/>
      </w:pPr>
      <w:r>
        <w:t xml:space="preserve">More importantly, even if the ESP case and base rate case are soon resolved, there is nothing that </w:t>
      </w:r>
      <w:r w:rsidRPr="00F05DFE">
        <w:rPr>
          <w:i/>
        </w:rPr>
        <w:t>requires</w:t>
      </w:r>
      <w:r>
        <w:t xml:space="preserve"> DP&amp;L to establish a decoupling rider in either case. As OCC witness Shutrump explained, DP&amp;L, in the ESP case, is only seeking to establish a decoupling rider and to set it at zero.</w:t>
      </w:r>
      <w:r>
        <w:rPr>
          <w:rStyle w:val="FootnoteReference"/>
        </w:rPr>
        <w:footnoteReference w:id="12"/>
      </w:r>
      <w:r>
        <w:t xml:space="preserve"> The ESP case does not provide any details regarding a potential decoupli</w:t>
      </w:r>
      <w:r>
        <w:t>ng rider, and in fact, it explicitly defers consideration of such rider to DP&amp;L's "to-be-filed Energy Efficiency Portfolio case."</w:t>
      </w:r>
      <w:r>
        <w:rPr>
          <w:rStyle w:val="FootnoteReference"/>
        </w:rPr>
        <w:footnoteReference w:id="13"/>
      </w:r>
      <w:r>
        <w:t xml:space="preserve"> And of course, if </w:t>
      </w:r>
      <w:r>
        <w:lastRenderedPageBreak/>
        <w:t>DP&amp;L's ESP case is ultimately resolved through a complete or partial settlement, then DP&amp;L's obligations wi</w:t>
      </w:r>
      <w:r>
        <w:t>th respect to decoupling could change materially, or DP&amp;L could abandon the concept altogether. Furthermore, DP&amp;L has the unilateral authority to withdraw its ESP application—even after it has been approved.</w:t>
      </w:r>
      <w:r>
        <w:rPr>
          <w:rStyle w:val="FootnoteReference"/>
        </w:rPr>
        <w:footnoteReference w:id="14"/>
      </w:r>
      <w:r>
        <w:t xml:space="preserve"> Any reliance on the ESP case, therefore, is pur</w:t>
      </w:r>
      <w:r>
        <w:t>ely speculative.</w:t>
      </w:r>
    </w:p>
    <w:p w:rsidR="00063297" w:rsidRDefault="00F5158D" w:rsidP="00A30120">
      <w:pPr>
        <w:spacing w:line="480" w:lineRule="auto"/>
        <w:ind w:firstLine="720"/>
      </w:pPr>
      <w:r>
        <w:t xml:space="preserve">The harm to customers caused by DP&amp;L's unlimited collection of lost revenues for an unspecified amount of time—as provided in the 2017 Settlement—is real. The PUCO should not let this happen. The PUCO should reject and delete the lost </w:t>
      </w:r>
      <w:r>
        <w:t>revenue provisions of the 2017 Settlement that allow this harm to customers.</w:t>
      </w:r>
    </w:p>
    <w:p w:rsidR="000A4767" w:rsidRPr="000A4767" w:rsidRDefault="00F5158D" w:rsidP="008179A1">
      <w:pPr>
        <w:pStyle w:val="Heading2"/>
      </w:pPr>
      <w:bookmarkStart w:id="2" w:name="_Toc478129225"/>
      <w:r>
        <w:t>B.</w:t>
      </w:r>
      <w:r>
        <w:tab/>
        <w:t xml:space="preserve">DP&amp;L is not </w:t>
      </w:r>
      <w:r>
        <w:rPr>
          <w:i/>
        </w:rPr>
        <w:t>entitled</w:t>
      </w:r>
      <w:r>
        <w:t xml:space="preserve"> to charge customers for lost revenues or shared savings.</w:t>
      </w:r>
      <w:bookmarkEnd w:id="2"/>
    </w:p>
    <w:p w:rsidR="000A4767" w:rsidRDefault="00F5158D" w:rsidP="0062420A">
      <w:pPr>
        <w:spacing w:line="480" w:lineRule="auto"/>
        <w:ind w:firstLine="720"/>
      </w:pPr>
      <w:r>
        <w:t>DP&amp;L claims in its initial brief that it is "legally entitled to recover shared savings and lost d</w:t>
      </w:r>
      <w:r>
        <w:t>istribution revenues that result from the statutorily mandated energy efficiency portfolio programs."</w:t>
      </w:r>
      <w:r>
        <w:rPr>
          <w:rStyle w:val="FootnoteReference"/>
        </w:rPr>
        <w:footnoteReference w:id="15"/>
      </w:r>
      <w:r>
        <w:t xml:space="preserve"> This is false. DP&amp;L is not </w:t>
      </w:r>
      <w:r>
        <w:rPr>
          <w:i/>
        </w:rPr>
        <w:t>entitled</w:t>
      </w:r>
      <w:r>
        <w:t xml:space="preserve"> to shared savings or lost revenues. DP&amp;L </w:t>
      </w:r>
      <w:r>
        <w:rPr>
          <w:i/>
        </w:rPr>
        <w:t>may</w:t>
      </w:r>
      <w:r>
        <w:t xml:space="preserve"> be </w:t>
      </w:r>
      <w:r>
        <w:rPr>
          <w:i/>
        </w:rPr>
        <w:t>eligible</w:t>
      </w:r>
      <w:r>
        <w:t xml:space="preserve"> for shared savings or lost revenues, </w:t>
      </w:r>
      <w:r w:rsidRPr="00B94AD8">
        <w:rPr>
          <w:i/>
        </w:rPr>
        <w:t>if</w:t>
      </w:r>
      <w:r>
        <w:t xml:space="preserve"> the PUCO approves th</w:t>
      </w:r>
      <w:r>
        <w:t>em prospectively.</w:t>
      </w:r>
    </w:p>
    <w:p w:rsidR="00B94AD8" w:rsidRDefault="00F5158D" w:rsidP="0062420A">
      <w:pPr>
        <w:spacing w:line="480" w:lineRule="auto"/>
        <w:ind w:firstLine="720"/>
      </w:pPr>
      <w:r>
        <w:t>In support of its claim, DP&amp;L cites Ohio Adm. Code 4901:1-30-07. But this section does not provide a legal entitlement to shared savings or lost revenues; it merely permits a utility to ask the PUCO for these things. The rule provides: "W</w:t>
      </w:r>
      <w:r>
        <w:t>ith the filing of its proposed  program portfolio plan, the electric utility may submit a request for recovery of an approved rate adjustment mechanism, commencing after approval of the electric utility's program portfolio plan, of costs due to electric ut</w:t>
      </w:r>
      <w:r>
        <w:t xml:space="preserve">ility peak-demand reduction, </w:t>
      </w:r>
      <w:r>
        <w:lastRenderedPageBreak/>
        <w:t>demand response, energy efficiency program costs, appropriate lost distribution revenues, and shared savings."</w:t>
      </w:r>
      <w:r>
        <w:rPr>
          <w:rStyle w:val="FootnoteReference"/>
        </w:rPr>
        <w:footnoteReference w:id="16"/>
      </w:r>
      <w:r>
        <w:t xml:space="preserve"> Nothing in this rule requires the PUCO to approve lost revenues or shared savings. The rule is procedural: it allow</w:t>
      </w:r>
      <w:r>
        <w:t>s the utility to include certain requests in its application. The rule does not create an entitlement to shared savings or lost revenues.</w:t>
      </w:r>
    </w:p>
    <w:p w:rsidR="0051002A" w:rsidRDefault="00F5158D" w:rsidP="0062420A">
      <w:pPr>
        <w:spacing w:line="480" w:lineRule="auto"/>
        <w:ind w:firstLine="720"/>
      </w:pPr>
      <w:r>
        <w:t xml:space="preserve">The rule also clarifies that the PUCO can only approve </w:t>
      </w:r>
      <w:r>
        <w:rPr>
          <w:i/>
        </w:rPr>
        <w:t>appropriate</w:t>
      </w:r>
      <w:r>
        <w:t xml:space="preserve"> lost revenues. To determine what is appropriate, th</w:t>
      </w:r>
      <w:r>
        <w:t>e PUCO should look to the Ohio Revised Code and Ohio Supreme Court precedent. First, as OCC explained in detail in its initial brief, the Settlement would result in retroactive approval of 2016 lost revenues.</w:t>
      </w:r>
      <w:r>
        <w:rPr>
          <w:rStyle w:val="FootnoteReference"/>
        </w:rPr>
        <w:footnoteReference w:id="17"/>
      </w:r>
      <w:r>
        <w:t xml:space="preserve"> This retroactive ratemaking is illegal.</w:t>
      </w:r>
      <w:r>
        <w:rPr>
          <w:rStyle w:val="FootnoteReference"/>
        </w:rPr>
        <w:footnoteReference w:id="18"/>
      </w:r>
      <w:r>
        <w:t xml:space="preserve"> Illeg</w:t>
      </w:r>
      <w:r>
        <w:t xml:space="preserve">al charges are not "appropriate" for purposes of Ohio Adm. Code 4901:1-30-07(A). </w:t>
      </w:r>
    </w:p>
    <w:p w:rsidR="002E51B6" w:rsidRDefault="00F5158D" w:rsidP="0062420A">
      <w:pPr>
        <w:spacing w:line="480" w:lineRule="auto"/>
        <w:ind w:firstLine="720"/>
      </w:pPr>
      <w:r>
        <w:t>Second, under R.C. 4928.66(D), the PUCO can approve a "revenue decoupling mechanism [that] provides for the recovery of revenue that otherwise may be forgone by the utility a</w:t>
      </w:r>
      <w:r>
        <w:t>s a result of or in connection with the implementation by the electric distribution utility of any energy efficiency or energy conservation programs."</w:t>
      </w:r>
      <w:r>
        <w:rPr>
          <w:rStyle w:val="FootnoteReference"/>
        </w:rPr>
        <w:footnoteReference w:id="19"/>
      </w:r>
      <w:r>
        <w:t xml:space="preserve"> But any such provision must "align[] the interests of the utility and of its customers in favor of those</w:t>
      </w:r>
      <w:r>
        <w:t xml:space="preserve"> programs."</w:t>
      </w:r>
      <w:r>
        <w:rPr>
          <w:rStyle w:val="FootnoteReference"/>
        </w:rPr>
        <w:footnoteReference w:id="20"/>
      </w:r>
      <w:r>
        <w:t xml:space="preserve"> A collection mechanism that allows unlimited collection of lost revenues in perpetuity does not "reasonably align" customer interests with utility interests.</w:t>
      </w:r>
    </w:p>
    <w:p w:rsidR="00B94AD8" w:rsidRDefault="00F5158D" w:rsidP="0062420A">
      <w:pPr>
        <w:spacing w:line="480" w:lineRule="auto"/>
        <w:ind w:firstLine="720"/>
      </w:pPr>
      <w:r>
        <w:lastRenderedPageBreak/>
        <w:t xml:space="preserve">Furthermore, the rule states that any rate adjustment mechanism that includes shared </w:t>
      </w:r>
      <w:r>
        <w:t>savings or lost revenues does not commence until "after approval of the electric utility's program portfolio plan."</w:t>
      </w:r>
      <w:r>
        <w:rPr>
          <w:rStyle w:val="FootnoteReference"/>
        </w:rPr>
        <w:footnoteReference w:id="21"/>
      </w:r>
      <w:r>
        <w:t xml:space="preserve"> DP&amp;L's settlement includes a request for lost revenues from 2016. Any lost revenues from 2016 were necessarily not incurred "after approval</w:t>
      </w:r>
      <w:r>
        <w:t xml:space="preserve"> of the electric utility's [2017] program portfolio plan" that is the subject of the 2017 Settlement. This further supports the conclusion that DP&amp;L is not permitted to retroactively charge customers for past lost revenues.</w:t>
      </w:r>
      <w:r>
        <w:rPr>
          <w:rStyle w:val="FootnoteReference"/>
        </w:rPr>
        <w:footnoteReference w:id="22"/>
      </w:r>
    </w:p>
    <w:p w:rsidR="000A4767" w:rsidRPr="000A4767" w:rsidRDefault="00F5158D" w:rsidP="008179A1">
      <w:pPr>
        <w:pStyle w:val="Heading2"/>
      </w:pPr>
      <w:bookmarkStart w:id="3" w:name="_Toc478129226"/>
      <w:r>
        <w:t>C.</w:t>
      </w:r>
      <w:r>
        <w:tab/>
        <w:t>There is no evidence that cu</w:t>
      </w:r>
      <w:r>
        <w:t>stomers will benefit from DP&amp;L's programs in 2017.</w:t>
      </w:r>
      <w:bookmarkEnd w:id="3"/>
    </w:p>
    <w:p w:rsidR="00A30120" w:rsidRDefault="00F5158D" w:rsidP="00A30120">
      <w:pPr>
        <w:spacing w:line="480" w:lineRule="auto"/>
        <w:ind w:firstLine="720"/>
      </w:pPr>
      <w:r>
        <w:t>Both DP&amp;L and the PUCO Staff list the various programs in the 2017 Settlement as benefits to consumers.</w:t>
      </w:r>
      <w:r>
        <w:rPr>
          <w:rStyle w:val="FootnoteReference"/>
        </w:rPr>
        <w:footnoteReference w:id="23"/>
      </w:r>
      <w:r>
        <w:t xml:space="preserve"> The mere existence of programs, however, does not constitute a benefit to customers for purposes of </w:t>
      </w:r>
      <w:r>
        <w:t>the PUCO's three-prong test.</w:t>
      </w:r>
    </w:p>
    <w:p w:rsidR="0071469F" w:rsidRDefault="00F5158D" w:rsidP="00A30120">
      <w:pPr>
        <w:spacing w:line="480" w:lineRule="auto"/>
        <w:ind w:firstLine="720"/>
      </w:pPr>
      <w:r>
        <w:t>First, DP&amp;L is required, by law, to implement energy efficiency programs for the benefit of customers and to reduce customer energy usage and demand.</w:t>
      </w:r>
      <w:r>
        <w:rPr>
          <w:rStyle w:val="FootnoteReference"/>
        </w:rPr>
        <w:footnoteReference w:id="24"/>
      </w:r>
      <w:r>
        <w:t xml:space="preserve"> This is true whether DP&amp;L signed a settlement or not. Thus, the 2017 Settlem</w:t>
      </w:r>
      <w:r>
        <w:t>ent simply authorizes DP&amp;L to administer programs that it would be required to administer in the absence of the settlement. DP&amp;L cannot claim the existence of programs, therefore, as an added benefit to customers.</w:t>
      </w:r>
    </w:p>
    <w:p w:rsidR="00C541C9" w:rsidRDefault="00F5158D" w:rsidP="00A30120">
      <w:pPr>
        <w:spacing w:line="480" w:lineRule="auto"/>
        <w:ind w:firstLine="720"/>
      </w:pPr>
      <w:r>
        <w:t>Second, and perhaps more importantly, ther</w:t>
      </w:r>
      <w:r>
        <w:t xml:space="preserve">e is no evidence in the record that the programs will benefit customers. The PUCO's rules require an electric utility's energy </w:t>
      </w:r>
      <w:r>
        <w:lastRenderedPageBreak/>
        <w:t>efficiency programs to be cost-effective on a portfolio basis.</w:t>
      </w:r>
      <w:r>
        <w:rPr>
          <w:rStyle w:val="FootnoteReference"/>
        </w:rPr>
        <w:footnoteReference w:id="25"/>
      </w:r>
      <w:r>
        <w:t xml:space="preserve"> The rules also require each program to be cost-effective unless t</w:t>
      </w:r>
      <w:r>
        <w:t>he program provides "substantial nonenergy benefits."</w:t>
      </w:r>
      <w:r>
        <w:rPr>
          <w:rStyle w:val="FootnoteReference"/>
        </w:rPr>
        <w:footnoteReference w:id="26"/>
      </w:r>
      <w:r>
        <w:t xml:space="preserve"> By definition, therefore, programs must be cost-effective to provide benefits to customers.</w:t>
      </w:r>
      <w:r>
        <w:rPr>
          <w:rStyle w:val="FootnoteReference"/>
        </w:rPr>
        <w:footnoteReference w:id="27"/>
      </w:r>
      <w:r>
        <w:t xml:space="preserve"> But the record in this case contains no information about the cost-effectiveness of the programs proposed fo</w:t>
      </w:r>
      <w:r>
        <w:t>r 2017. The 2017 Settlement does not provide any cost-effectiveness calculations for the 2017 portfolio of programs. DP&amp;L's only witness in this case, Tyler Teuscher, did not provide any cost-effectiveness calculations for 2017.</w:t>
      </w:r>
      <w:r>
        <w:rPr>
          <w:rStyle w:val="FootnoteReference"/>
        </w:rPr>
        <w:footnoteReference w:id="28"/>
      </w:r>
      <w:r>
        <w:t xml:space="preserve"> Nor did PUCO Staff witness</w:t>
      </w:r>
      <w:r>
        <w:t xml:space="preserve"> Braun.</w:t>
      </w:r>
      <w:r>
        <w:rPr>
          <w:rStyle w:val="FootnoteReference"/>
        </w:rPr>
        <w:footnoteReference w:id="29"/>
      </w:r>
      <w:r>
        <w:t xml:space="preserve"> The record contains no evidence whatsoever that DP&amp;L's programs will be cost-effective in 2017. Without this evidence, the PUCO cannot conclude that the programs will benefit customers.</w:t>
      </w:r>
    </w:p>
    <w:p w:rsidR="00DC1302" w:rsidRDefault="00F5158D" w:rsidP="00DC1302">
      <w:pPr>
        <w:spacing w:line="480" w:lineRule="auto"/>
        <w:ind w:firstLine="720"/>
      </w:pPr>
      <w:r>
        <w:t>Furthermore, for the various programs funded through the 2017</w:t>
      </w:r>
      <w:r>
        <w:t xml:space="preserve"> Settlement, only one—communicating energy efficiency programs to manufacturers—uses shareholder dollars.</w:t>
      </w:r>
      <w:r>
        <w:rPr>
          <w:rStyle w:val="FootnoteReference"/>
        </w:rPr>
        <w:footnoteReference w:id="30"/>
      </w:r>
      <w:r>
        <w:t xml:space="preserve"> The others use funds paid for by customers. The </w:t>
      </w:r>
      <w:r>
        <w:rPr>
          <w:rFonts w:ascii="Times-Roman" w:hAnsi="Times-Roman" w:cs="Times-Roman"/>
          <w:szCs w:val="24"/>
        </w:rPr>
        <w:t xml:space="preserve">Residential Low Income Affordability Program money allocated to OPAE is paid for by customers. </w:t>
      </w:r>
      <w:r>
        <w:t xml:space="preserve">The </w:t>
      </w:r>
      <w:r>
        <w:t>$75,000 for hospital energy audits comes from DP&amp;L's business programs budget that is funded by customers. The $200,000 for weatherization programs by People Working Cooperatively comes from DP&amp;L's 2017 Pilot Program, which is funded by customers. The $250</w:t>
      </w:r>
      <w:r>
        <w:t xml:space="preserve">,000 for the Combined Heat and Power and the Waste Energy and Recovery </w:t>
      </w:r>
      <w:r>
        <w:lastRenderedPageBreak/>
        <w:t>programs comes from DP&amp;L's Custom Rebate Program budget that is paid for by customers. The same is true for the expanded Government Audit program. The LED lighting incentive will come f</w:t>
      </w:r>
      <w:r>
        <w:t>rom the Residential Lighting Program, which is funded by customers. And the $600,000 for marketing and customer incentives regarding smart thermostats will be paid for by customers. This money is already budgeted to benefit customers. Thus, there is no add</w:t>
      </w:r>
      <w:r>
        <w:t>itional benefit to customers from these programs in the 2017 Settlement.</w:t>
      </w:r>
    </w:p>
    <w:p w:rsidR="00903B3B" w:rsidRPr="00DC1302" w:rsidRDefault="00F5158D" w:rsidP="0067681E">
      <w:pPr>
        <w:pStyle w:val="Heading2"/>
      </w:pPr>
      <w:bookmarkStart w:id="4" w:name="_Toc478129227"/>
      <w:r w:rsidRPr="00DC1302">
        <w:t>D.</w:t>
      </w:r>
      <w:r w:rsidRPr="00DC1302">
        <w:tab/>
        <w:t>Any energy efficiency portfolio settlement that the PUCO approves should include an annual limit on charges to customers for energy efficiency program costs and utility profits.</w:t>
      </w:r>
      <w:bookmarkEnd w:id="4"/>
    </w:p>
    <w:p w:rsidR="00903B3B" w:rsidRDefault="00F5158D" w:rsidP="0062420A">
      <w:pPr>
        <w:spacing w:line="480" w:lineRule="auto"/>
        <w:ind w:firstLine="720"/>
      </w:pPr>
      <w:r>
        <w:t>Al</w:t>
      </w:r>
      <w:r>
        <w:t>though the 2017 Settlement as a package does not benefit customers or the public interest (for the reasons set forth herein and in OCC's initial brief), the Settlement does include one important customer protection: it limits the annual amount that custome</w:t>
      </w:r>
      <w:r>
        <w:t>rs can be charged for energy efficiency program costs and shared savings.</w:t>
      </w:r>
      <w:r>
        <w:rPr>
          <w:rStyle w:val="FootnoteReference"/>
        </w:rPr>
        <w:footnoteReference w:id="31"/>
      </w:r>
      <w:r>
        <w:t xml:space="preserve"> Under the settlement, for 2017, DP&amp;L cannot charge customers more than 4% of its 2015 revenues for program costs and shared savings.</w:t>
      </w:r>
      <w:r>
        <w:rPr>
          <w:rStyle w:val="FootnoteReference"/>
        </w:rPr>
        <w:footnoteReference w:id="32"/>
      </w:r>
    </w:p>
    <w:p w:rsidR="007E23C7" w:rsidRDefault="00F5158D" w:rsidP="0062420A">
      <w:pPr>
        <w:spacing w:line="480" w:lineRule="auto"/>
        <w:ind w:firstLine="720"/>
      </w:pPr>
      <w:r>
        <w:t>In its initial brief, ELPC "urges the Commissio</w:t>
      </w:r>
      <w:r>
        <w:t>n not to reach the broad question of the general merits of a cost cap."</w:t>
      </w:r>
      <w:r>
        <w:rPr>
          <w:rStyle w:val="FootnoteReference"/>
        </w:rPr>
        <w:footnoteReference w:id="33"/>
      </w:r>
      <w:r>
        <w:t xml:space="preserve"> ELPC admits that the cost cap "does not prevent the Stipulation as a whole from benefitting ratepayers in 2017."</w:t>
      </w:r>
      <w:r>
        <w:rPr>
          <w:rStyle w:val="FootnoteReference"/>
        </w:rPr>
        <w:footnoteReference w:id="34"/>
      </w:r>
      <w:r>
        <w:t xml:space="preserve"> But it claims that the record "provides no basis for determining that</w:t>
      </w:r>
      <w:r>
        <w:t xml:space="preserve"> a cost cap would be good policy beyond the </w:t>
      </w:r>
      <w:r>
        <w:lastRenderedPageBreak/>
        <w:t>specific context of this particular settlement package."</w:t>
      </w:r>
      <w:r>
        <w:rPr>
          <w:rStyle w:val="FootnoteReference"/>
        </w:rPr>
        <w:footnoteReference w:id="35"/>
      </w:r>
      <w:r>
        <w:t xml:space="preserve"> To the contrary, the record contains expert witness testimony regarding the benefits of an annual limit on charges to customers for energy efficiency. </w:t>
      </w:r>
    </w:p>
    <w:p w:rsidR="003879EF" w:rsidRDefault="00F5158D" w:rsidP="0062420A">
      <w:pPr>
        <w:spacing w:line="480" w:lineRule="auto"/>
        <w:ind w:firstLine="720"/>
      </w:pPr>
      <w:r>
        <w:t>PU</w:t>
      </w:r>
      <w:r>
        <w:t>CO Staff witness Kristin Braun testified that an annual cost cap "benefits ratepayers and the public interest by providing cost control, certainty, and stability, as well as price assurances to customers."</w:t>
      </w:r>
      <w:r>
        <w:rPr>
          <w:rStyle w:val="FootnoteReference"/>
        </w:rPr>
        <w:footnoteReference w:id="36"/>
      </w:r>
      <w:r>
        <w:t xml:space="preserve"> ELPC may disagree with this statement, but ELPC d</w:t>
      </w:r>
      <w:r>
        <w:t>id not submit any testimony in this case. Indeed, Ms. Braun's testimony regarding the benefits of a cost cap was unrebutted. No party to this case even chose to cross-examine Ms. Braun.</w:t>
      </w:r>
      <w:r>
        <w:rPr>
          <w:rStyle w:val="FootnoteReference"/>
        </w:rPr>
        <w:footnoteReference w:id="37"/>
      </w:r>
      <w:r>
        <w:t xml:space="preserve"> Ms. Braun's testimony, including the language quoted above, was admit</w:t>
      </w:r>
      <w:r>
        <w:t>ted into the record.</w:t>
      </w:r>
      <w:r>
        <w:rPr>
          <w:rStyle w:val="FootnoteReference"/>
        </w:rPr>
        <w:footnoteReference w:id="38"/>
      </w:r>
      <w:r>
        <w:t xml:space="preserve"> The PUCO can rely on Ms. Braun's testimony in determining that an annual cost cap is sound regulatory policy.</w:t>
      </w:r>
    </w:p>
    <w:p w:rsidR="00527883" w:rsidRPr="002B355A" w:rsidRDefault="00F5158D" w:rsidP="008179A1">
      <w:pPr>
        <w:pStyle w:val="Heading2"/>
      </w:pPr>
      <w:bookmarkStart w:id="5" w:name="_Toc478129228"/>
      <w:r>
        <w:t>E.</w:t>
      </w:r>
      <w:r>
        <w:tab/>
        <w:t>The 2017 Settlement violates regulatory principles and practices.</w:t>
      </w:r>
      <w:bookmarkEnd w:id="5"/>
    </w:p>
    <w:p w:rsidR="00F2175A" w:rsidRDefault="00F5158D" w:rsidP="0062420A">
      <w:pPr>
        <w:spacing w:line="480" w:lineRule="auto"/>
        <w:ind w:firstLine="720"/>
        <w:rPr>
          <w:szCs w:val="24"/>
        </w:rPr>
      </w:pPr>
      <w:r>
        <w:rPr>
          <w:szCs w:val="24"/>
        </w:rPr>
        <w:t>Both DP&amp;L and the PUCO Staff contend that the 2017 Sett</w:t>
      </w:r>
      <w:r>
        <w:rPr>
          <w:szCs w:val="24"/>
        </w:rPr>
        <w:t>lement does not violate any important regulatory principles or practices. Both are wrong.</w:t>
      </w:r>
    </w:p>
    <w:p w:rsidR="00D172AD" w:rsidRDefault="00F5158D" w:rsidP="0062420A">
      <w:pPr>
        <w:spacing w:line="480" w:lineRule="auto"/>
        <w:ind w:firstLine="720"/>
        <w:rPr>
          <w:szCs w:val="24"/>
        </w:rPr>
      </w:pPr>
      <w:r>
        <w:rPr>
          <w:szCs w:val="24"/>
        </w:rPr>
        <w:t>The PUCO Staff lists three state policies that it asserts are furthered by the 2017 Settlement.</w:t>
      </w:r>
      <w:r w:rsidRPr="00DC1302">
        <w:rPr>
          <w:rStyle w:val="FootnoteReference"/>
          <w:szCs w:val="24"/>
        </w:rPr>
        <w:t xml:space="preserve"> </w:t>
      </w:r>
      <w:r>
        <w:rPr>
          <w:rStyle w:val="FootnoteReference"/>
          <w:szCs w:val="24"/>
        </w:rPr>
        <w:footnoteReference w:id="39"/>
      </w:r>
      <w:r>
        <w:rPr>
          <w:szCs w:val="24"/>
        </w:rPr>
        <w:t xml:space="preserve"> The PUCO Staff, however, ignores a key state policy that is thwarted</w:t>
      </w:r>
      <w:r>
        <w:rPr>
          <w:szCs w:val="24"/>
        </w:rPr>
        <w:t xml:space="preserve"> by the 2017 Settlement.</w:t>
      </w:r>
    </w:p>
    <w:p w:rsidR="007535C0" w:rsidRDefault="00F5158D" w:rsidP="00715613">
      <w:pPr>
        <w:spacing w:line="480" w:lineRule="auto"/>
        <w:ind w:firstLine="720"/>
      </w:pPr>
      <w:r>
        <w:rPr>
          <w:szCs w:val="24"/>
        </w:rPr>
        <w:lastRenderedPageBreak/>
        <w:t>State policy under R.C. 4928.02(A) is to ensure "</w:t>
      </w:r>
      <w:r>
        <w:t xml:space="preserve">the availability to consumers of adequate, reliable, safe, efficient, nondiscriminatory, and </w:t>
      </w:r>
      <w:r w:rsidRPr="007535C0">
        <w:rPr>
          <w:i/>
        </w:rPr>
        <w:t>reasonably priced</w:t>
      </w:r>
      <w:r>
        <w:t xml:space="preserve"> retail electric service."</w:t>
      </w:r>
      <w:r>
        <w:rPr>
          <w:rStyle w:val="FootnoteReference"/>
        </w:rPr>
        <w:footnoteReference w:id="40"/>
      </w:r>
      <w:r>
        <w:t xml:space="preserve"> As discussed above and in OCC's initial brie</w:t>
      </w:r>
      <w:r>
        <w:t>f,</w:t>
      </w:r>
      <w:r>
        <w:rPr>
          <w:rStyle w:val="FootnoteReference"/>
        </w:rPr>
        <w:footnoteReference w:id="41"/>
      </w:r>
      <w:r>
        <w:t xml:space="preserve"> the collection of lost revenues provided in the 2017 Settlement would make the rates charged to consumers unjust and unreasonable.</w:t>
      </w:r>
    </w:p>
    <w:p w:rsidR="0062420A" w:rsidRDefault="00F5158D" w:rsidP="0062420A">
      <w:pPr>
        <w:spacing w:line="480" w:lineRule="auto"/>
        <w:ind w:firstLine="720"/>
      </w:pPr>
      <w:r>
        <w:t>Further, the 2017 Settlement violates the prohibition against retroactive ratemaking, as discussed in OCC's initial brief</w:t>
      </w:r>
      <w:r>
        <w:t>.</w:t>
      </w:r>
      <w:r>
        <w:rPr>
          <w:rStyle w:val="FootnoteReference"/>
        </w:rPr>
        <w:footnoteReference w:id="42"/>
      </w:r>
      <w:r>
        <w:t xml:space="preserve"> The 2017 Settlement asks the PUCO to authorize DP&amp;L to charge customers for distribution revenues that DP&amp;L purportedly lost as a result of its energy efficiency programs in 2016.</w:t>
      </w:r>
      <w:r>
        <w:rPr>
          <w:rStyle w:val="FootnoteReference"/>
        </w:rPr>
        <w:footnoteReference w:id="43"/>
      </w:r>
      <w:r>
        <w:t xml:space="preserve"> But the 2017 Settlement was not even filed until December 13, 2016, and </w:t>
      </w:r>
      <w:r>
        <w:t xml:space="preserve">the PUCO has not yet entered an order approving the 2017 Settlement. Any order approving the 2017 Settlement would occur, at the earliest, in 2017. An order issued in 2017 cannot authorize DP&amp;L to increase customer rates based on losses that occurred from </w:t>
      </w:r>
      <w:r>
        <w:t>January through December 2016.  This is contrary to the clear prohibition on retroactive ratemaking established in case law.</w:t>
      </w:r>
    </w:p>
    <w:p w:rsidR="0062420A" w:rsidRDefault="00F5158D" w:rsidP="00BD5FF3">
      <w:pPr>
        <w:spacing w:line="480" w:lineRule="auto"/>
        <w:ind w:firstLine="720"/>
      </w:pPr>
      <w:r>
        <w:t xml:space="preserve">The 2017 Settlement violates several regulatory principles and practices. It thus fails the PUCO's three-prong test for approving </w:t>
      </w:r>
      <w:r>
        <w:t>stipulations. The PUCO should reject the 2017 Settlement.</w:t>
      </w:r>
    </w:p>
    <w:p w:rsidR="008179A1" w:rsidRDefault="00F5158D" w:rsidP="008179A1">
      <w:pPr>
        <w:ind w:firstLine="720"/>
      </w:pPr>
    </w:p>
    <w:p w:rsidR="0062420A" w:rsidRPr="00DE4151" w:rsidRDefault="00F5158D" w:rsidP="008179A1">
      <w:pPr>
        <w:pStyle w:val="Heading1"/>
      </w:pPr>
      <w:bookmarkStart w:id="6" w:name="_Toc478129229"/>
      <w:r>
        <w:t>II.</w:t>
      </w:r>
      <w:r>
        <w:tab/>
        <w:t>CONCLUSION</w:t>
      </w:r>
      <w:bookmarkEnd w:id="6"/>
    </w:p>
    <w:p w:rsidR="0062420A" w:rsidRDefault="00F5158D" w:rsidP="0062420A">
      <w:pPr>
        <w:spacing w:line="480" w:lineRule="auto"/>
        <w:ind w:firstLine="720"/>
        <w:rPr>
          <w:bCs/>
        </w:rPr>
      </w:pPr>
      <w:r>
        <w:t xml:space="preserve">The arguments for the 2017 Settlement are without merit. The PUCO should not approve any settlement that allows a utility to collect unlimited lost revenues for an </w:t>
      </w:r>
      <w:r>
        <w:lastRenderedPageBreak/>
        <w:t>unspecified amount</w:t>
      </w:r>
      <w:r>
        <w:t xml:space="preserve"> of time and without a lawful collection mechanism in place. OCC has shown that the 2017 Settlement would harm consumers by allowing DP&amp;L to collect unjust and unreasonable rates. To protect consumers, the PUCO should reject the 2017 Settlement as filed an</w:t>
      </w:r>
      <w:r>
        <w:t>d should modify it as OCC proposes.</w:t>
      </w:r>
      <w:r>
        <w:rPr>
          <w:bCs/>
        </w:rPr>
        <w:t xml:space="preserve"> </w:t>
      </w:r>
    </w:p>
    <w:p w:rsidR="0067681E" w:rsidRDefault="00F5158D" w:rsidP="0062420A">
      <w:pPr>
        <w:spacing w:line="480" w:lineRule="auto"/>
        <w:ind w:firstLine="4320"/>
        <w:rPr>
          <w:bCs/>
        </w:rPr>
      </w:pPr>
    </w:p>
    <w:p w:rsidR="0067681E" w:rsidRDefault="00F5158D" w:rsidP="0062420A">
      <w:pPr>
        <w:spacing w:line="480" w:lineRule="auto"/>
        <w:ind w:firstLine="4320"/>
        <w:rPr>
          <w:bCs/>
        </w:rPr>
      </w:pPr>
    </w:p>
    <w:p w:rsidR="0067681E" w:rsidRDefault="00F5158D" w:rsidP="0062420A">
      <w:pPr>
        <w:spacing w:line="480" w:lineRule="auto"/>
        <w:ind w:firstLine="4320"/>
        <w:rPr>
          <w:bCs/>
        </w:rPr>
      </w:pPr>
    </w:p>
    <w:p w:rsidR="0062420A" w:rsidRPr="007C1655" w:rsidRDefault="00F5158D" w:rsidP="0062420A">
      <w:pPr>
        <w:spacing w:line="480" w:lineRule="auto"/>
        <w:ind w:firstLine="4320"/>
        <w:rPr>
          <w:bCs/>
        </w:rPr>
      </w:pPr>
      <w:r w:rsidRPr="007C1655">
        <w:rPr>
          <w:bCs/>
        </w:rPr>
        <w:t>Respectfully submitted,</w:t>
      </w:r>
    </w:p>
    <w:p w:rsidR="0062420A" w:rsidRDefault="00F5158D" w:rsidP="0062420A">
      <w:pPr>
        <w:rPr>
          <w:b/>
          <w:bCs/>
        </w:rPr>
      </w:pPr>
    </w:p>
    <w:p w:rsidR="0062420A" w:rsidRPr="00710E80" w:rsidRDefault="00F5158D" w:rsidP="0062420A">
      <w:pPr>
        <w:ind w:firstLine="4320"/>
      </w:pPr>
      <w:r w:rsidRPr="00710E80">
        <w:t>BRUCE WESTON (0016973)</w:t>
      </w:r>
    </w:p>
    <w:p w:rsidR="0062420A" w:rsidRPr="00710E80" w:rsidRDefault="00F5158D" w:rsidP="0062420A">
      <w:pPr>
        <w:tabs>
          <w:tab w:val="left" w:pos="4320"/>
        </w:tabs>
        <w:ind w:left="4320"/>
        <w:rPr>
          <w:szCs w:val="24"/>
        </w:rPr>
      </w:pPr>
      <w:r w:rsidRPr="00710E80">
        <w:rPr>
          <w:szCs w:val="24"/>
        </w:rPr>
        <w:t>OHIO CONSUMERS</w:t>
      </w:r>
      <w:r>
        <w:rPr>
          <w:szCs w:val="24"/>
        </w:rPr>
        <w:t>'</w:t>
      </w:r>
      <w:r w:rsidRPr="00710E80">
        <w:rPr>
          <w:szCs w:val="24"/>
        </w:rPr>
        <w:t xml:space="preserve"> COUNSEL</w:t>
      </w:r>
    </w:p>
    <w:p w:rsidR="0062420A" w:rsidRPr="00710E80" w:rsidRDefault="00F5158D" w:rsidP="0062420A">
      <w:pPr>
        <w:tabs>
          <w:tab w:val="left" w:pos="4320"/>
        </w:tabs>
        <w:ind w:left="4320"/>
        <w:rPr>
          <w:szCs w:val="24"/>
        </w:rPr>
      </w:pPr>
    </w:p>
    <w:p w:rsidR="0062420A" w:rsidRPr="007C1655" w:rsidRDefault="00F5158D" w:rsidP="0062420A">
      <w:pPr>
        <w:tabs>
          <w:tab w:val="left" w:pos="4320"/>
        </w:tabs>
        <w:ind w:left="4320" w:right="-270"/>
        <w:rPr>
          <w:szCs w:val="24"/>
          <w:u w:val="single"/>
        </w:rPr>
      </w:pPr>
      <w:r>
        <w:rPr>
          <w:szCs w:val="24"/>
          <w:u w:val="single"/>
        </w:rPr>
        <w:t xml:space="preserve">/s/ </w:t>
      </w:r>
      <w:r>
        <w:rPr>
          <w:i/>
          <w:szCs w:val="24"/>
          <w:u w:val="single"/>
        </w:rPr>
        <w:t>Christopher Healey</w:t>
      </w:r>
      <w:r>
        <w:rPr>
          <w:szCs w:val="24"/>
          <w:u w:val="single"/>
        </w:rPr>
        <w:tab/>
      </w:r>
    </w:p>
    <w:p w:rsidR="0062420A" w:rsidRDefault="00F5158D" w:rsidP="0062420A">
      <w:pPr>
        <w:tabs>
          <w:tab w:val="left" w:pos="4320"/>
        </w:tabs>
        <w:ind w:left="4320" w:right="-270"/>
        <w:rPr>
          <w:szCs w:val="24"/>
        </w:rPr>
      </w:pPr>
      <w:r w:rsidRPr="008A6DE3">
        <w:rPr>
          <w:szCs w:val="24"/>
        </w:rPr>
        <w:t>Christopher Healey (0086027)</w:t>
      </w:r>
      <w:r>
        <w:rPr>
          <w:szCs w:val="24"/>
        </w:rPr>
        <w:t xml:space="preserve"> </w:t>
      </w:r>
      <w:r>
        <w:rPr>
          <w:szCs w:val="24"/>
        </w:rPr>
        <w:br/>
      </w:r>
      <w:r w:rsidRPr="008A6DE3">
        <w:rPr>
          <w:szCs w:val="24"/>
        </w:rPr>
        <w:t>Counsel of Record</w:t>
      </w:r>
    </w:p>
    <w:p w:rsidR="0062420A" w:rsidRDefault="00F5158D" w:rsidP="0062420A">
      <w:pPr>
        <w:tabs>
          <w:tab w:val="left" w:pos="4320"/>
        </w:tabs>
        <w:ind w:left="4320" w:right="-270"/>
        <w:rPr>
          <w:szCs w:val="24"/>
        </w:rPr>
      </w:pPr>
      <w:r>
        <w:rPr>
          <w:szCs w:val="24"/>
        </w:rPr>
        <w:t>Terry L. Etter (0067445)</w:t>
      </w:r>
    </w:p>
    <w:p w:rsidR="0062420A" w:rsidRDefault="00F5158D" w:rsidP="0062420A">
      <w:pPr>
        <w:tabs>
          <w:tab w:val="left" w:pos="4320"/>
        </w:tabs>
        <w:ind w:left="4320" w:right="-270"/>
        <w:rPr>
          <w:szCs w:val="24"/>
        </w:rPr>
      </w:pPr>
      <w:r>
        <w:rPr>
          <w:szCs w:val="24"/>
        </w:rPr>
        <w:t>Assistant Consumers' Counsel</w:t>
      </w:r>
    </w:p>
    <w:p w:rsidR="0062420A" w:rsidRDefault="00F5158D" w:rsidP="0062420A">
      <w:pPr>
        <w:ind w:left="4320"/>
        <w:rPr>
          <w:b/>
        </w:rPr>
      </w:pPr>
    </w:p>
    <w:p w:rsidR="0062420A" w:rsidRPr="005801DA" w:rsidRDefault="00F5158D" w:rsidP="0062420A">
      <w:pPr>
        <w:ind w:left="4320"/>
        <w:rPr>
          <w:b/>
        </w:rPr>
      </w:pPr>
      <w:r w:rsidRPr="005801DA">
        <w:rPr>
          <w:b/>
        </w:rPr>
        <w:t xml:space="preserve">Office of the </w:t>
      </w:r>
      <w:r w:rsidRPr="005801DA">
        <w:rPr>
          <w:b/>
        </w:rPr>
        <w:t>Ohio Consumers</w:t>
      </w:r>
      <w:r>
        <w:rPr>
          <w:b/>
        </w:rPr>
        <w:t>'</w:t>
      </w:r>
      <w:r w:rsidRPr="005801DA">
        <w:rPr>
          <w:b/>
        </w:rPr>
        <w:t xml:space="preserve"> Counsel</w:t>
      </w:r>
    </w:p>
    <w:p w:rsidR="0062420A" w:rsidRPr="00710E80" w:rsidRDefault="00F5158D" w:rsidP="0062420A">
      <w:pPr>
        <w:ind w:left="4320"/>
        <w:rPr>
          <w:b/>
        </w:rPr>
      </w:pPr>
      <w:smartTag w:uri="urn:schemas-microsoft-com:office:smarttags" w:element="address">
        <w:smartTag w:uri="urn:schemas-microsoft-com:office:smarttags" w:element="Street">
          <w:r w:rsidRPr="00710E80">
            <w:t>10 West Broad Street, Suite 1800</w:t>
          </w:r>
        </w:smartTag>
      </w:smartTag>
    </w:p>
    <w:p w:rsidR="0062420A" w:rsidRPr="008A6DE3" w:rsidRDefault="00F5158D" w:rsidP="0062420A">
      <w:pPr>
        <w:ind w:left="4320"/>
        <w:rPr>
          <w:b/>
        </w:rPr>
      </w:pPr>
      <w:r w:rsidRPr="008A6DE3">
        <w:t>Columbus, Ohio 43215-3485</w:t>
      </w:r>
    </w:p>
    <w:p w:rsidR="0062420A" w:rsidRDefault="00F5158D" w:rsidP="0062420A">
      <w:pPr>
        <w:autoSpaceDE w:val="0"/>
        <w:autoSpaceDN w:val="0"/>
        <w:adjustRightInd w:val="0"/>
        <w:ind w:left="3600" w:firstLine="720"/>
        <w:rPr>
          <w:szCs w:val="24"/>
        </w:rPr>
      </w:pPr>
      <w:r w:rsidRPr="008A6DE3">
        <w:rPr>
          <w:szCs w:val="24"/>
        </w:rPr>
        <w:t>Telephone</w:t>
      </w:r>
      <w:r>
        <w:rPr>
          <w:szCs w:val="24"/>
        </w:rPr>
        <w:t xml:space="preserve"> [Healey]: </w:t>
      </w:r>
      <w:r w:rsidRPr="008A6DE3">
        <w:rPr>
          <w:szCs w:val="24"/>
        </w:rPr>
        <w:t>614</w:t>
      </w:r>
      <w:r>
        <w:rPr>
          <w:szCs w:val="24"/>
        </w:rPr>
        <w:t>-</w:t>
      </w:r>
      <w:r w:rsidRPr="008A6DE3">
        <w:rPr>
          <w:szCs w:val="24"/>
        </w:rPr>
        <w:t>466-9571</w:t>
      </w:r>
    </w:p>
    <w:p w:rsidR="0062420A" w:rsidRPr="008A6DE3" w:rsidRDefault="00F5158D" w:rsidP="0062420A">
      <w:pPr>
        <w:autoSpaceDE w:val="0"/>
        <w:autoSpaceDN w:val="0"/>
        <w:adjustRightInd w:val="0"/>
        <w:ind w:left="3600" w:firstLine="720"/>
        <w:rPr>
          <w:szCs w:val="24"/>
        </w:rPr>
      </w:pPr>
      <w:r>
        <w:rPr>
          <w:szCs w:val="24"/>
        </w:rPr>
        <w:t>Telephone [Etter]: 614-466-7964</w:t>
      </w:r>
    </w:p>
    <w:p w:rsidR="0062420A" w:rsidRDefault="003B0DA9" w:rsidP="0062420A">
      <w:pPr>
        <w:ind w:left="4320"/>
        <w:rPr>
          <w:rStyle w:val="Hyperlink"/>
          <w:szCs w:val="24"/>
        </w:rPr>
      </w:pPr>
      <w:hyperlink r:id="rId11" w:history="1">
        <w:r w:rsidRPr="00880B50">
          <w:rPr>
            <w:rStyle w:val="Hyperlink"/>
            <w:szCs w:val="24"/>
          </w:rPr>
          <w:t>christopher.healey@occ.ohio.gov</w:t>
        </w:r>
      </w:hyperlink>
      <w:r>
        <w:rPr>
          <w:szCs w:val="24"/>
        </w:rPr>
        <w:t xml:space="preserve"> </w:t>
      </w:r>
      <w:r w:rsidR="00F5158D">
        <w:rPr>
          <w:szCs w:val="24"/>
        </w:rPr>
        <w:t xml:space="preserve"> </w:t>
      </w:r>
    </w:p>
    <w:p w:rsidR="0062420A" w:rsidRPr="008A6DE3" w:rsidRDefault="00F5158D" w:rsidP="0062420A">
      <w:pPr>
        <w:ind w:left="4320"/>
        <w:rPr>
          <w:szCs w:val="24"/>
        </w:rPr>
      </w:pPr>
      <w:r>
        <w:rPr>
          <w:rStyle w:val="Hyperlink"/>
          <w:szCs w:val="24"/>
        </w:rPr>
        <w:t>terry.etter@occ.ohio.gov</w:t>
      </w:r>
    </w:p>
    <w:p w:rsidR="0062420A" w:rsidRDefault="00F5158D" w:rsidP="0062420A">
      <w:pPr>
        <w:ind w:left="4320"/>
        <w:rPr>
          <w:szCs w:val="24"/>
        </w:rPr>
      </w:pPr>
      <w:r w:rsidRPr="00710E80">
        <w:rPr>
          <w:szCs w:val="24"/>
        </w:rPr>
        <w:t>(</w:t>
      </w:r>
      <w:r>
        <w:rPr>
          <w:szCs w:val="24"/>
        </w:rPr>
        <w:t>W</w:t>
      </w:r>
      <w:r w:rsidRPr="00710E80">
        <w:rPr>
          <w:szCs w:val="24"/>
        </w:rPr>
        <w:t>ill accept service via email)</w:t>
      </w:r>
    </w:p>
    <w:p w:rsidR="0062420A" w:rsidRDefault="00F5158D" w:rsidP="0062420A">
      <w:pPr>
        <w:ind w:left="4320"/>
        <w:rPr>
          <w:szCs w:val="24"/>
        </w:rPr>
      </w:pPr>
    </w:p>
    <w:p w:rsidR="0062420A" w:rsidRDefault="00F5158D" w:rsidP="0062420A">
      <w:pPr>
        <w:ind w:left="4320"/>
        <w:rPr>
          <w:szCs w:val="24"/>
        </w:rPr>
        <w:sectPr w:rsidR="0062420A" w:rsidSect="0062420A">
          <w:footerReference w:type="default" r:id="rId12"/>
          <w:pgSz w:w="12240" w:h="15840"/>
          <w:pgMar w:top="1440" w:right="1800" w:bottom="1440" w:left="1800" w:header="720" w:footer="720" w:gutter="0"/>
          <w:cols w:space="720"/>
          <w:docGrid w:linePitch="360"/>
        </w:sectPr>
      </w:pPr>
    </w:p>
    <w:p w:rsidR="0062420A" w:rsidRPr="00710E80" w:rsidRDefault="00F5158D" w:rsidP="0062420A">
      <w:pPr>
        <w:jc w:val="center"/>
        <w:rPr>
          <w:b/>
          <w:bCs/>
          <w:u w:val="single"/>
        </w:rPr>
      </w:pPr>
      <w:r w:rsidRPr="00710E80">
        <w:rPr>
          <w:b/>
          <w:bCs/>
          <w:u w:val="single"/>
        </w:rPr>
        <w:lastRenderedPageBreak/>
        <w:t>CERTIFICATE OF SERVICE</w:t>
      </w:r>
    </w:p>
    <w:p w:rsidR="0062420A" w:rsidRPr="00710E80" w:rsidRDefault="00F5158D" w:rsidP="0062420A">
      <w:pPr>
        <w:spacing w:line="480" w:lineRule="atLeast"/>
        <w:ind w:firstLine="720"/>
      </w:pPr>
      <w:r w:rsidRPr="00710E80">
        <w:t xml:space="preserve">I hereby certify that a copy of this </w:t>
      </w:r>
      <w:r>
        <w:t>Reply Brief</w:t>
      </w:r>
      <w:r w:rsidRPr="00710E80">
        <w:t xml:space="preserve"> was served on the persons stated below via</w:t>
      </w:r>
      <w:r w:rsidRPr="00710E80">
        <w:rPr>
          <w:i/>
        </w:rPr>
        <w:t xml:space="preserve"> </w:t>
      </w:r>
      <w:r w:rsidRPr="00710E80">
        <w:t>electr</w:t>
      </w:r>
      <w:r>
        <w:t>onic</w:t>
      </w:r>
      <w:r w:rsidRPr="00710E80">
        <w:t xml:space="preserve"> transmission this </w:t>
      </w:r>
      <w:r>
        <w:t>24th</w:t>
      </w:r>
      <w:r w:rsidRPr="00710E80">
        <w:t xml:space="preserve"> day of </w:t>
      </w:r>
      <w:r>
        <w:t>March 2017</w:t>
      </w:r>
      <w:r w:rsidRPr="00710E80">
        <w:t>.</w:t>
      </w:r>
    </w:p>
    <w:p w:rsidR="0062420A" w:rsidRPr="00710E80" w:rsidRDefault="00F5158D" w:rsidP="0062420A">
      <w:pPr>
        <w:spacing w:line="480" w:lineRule="atLeast"/>
      </w:pPr>
      <w:bookmarkStart w:id="7" w:name="_GoBack"/>
    </w:p>
    <w:bookmarkEnd w:id="7"/>
    <w:p w:rsidR="0062420A" w:rsidRPr="00710E80" w:rsidRDefault="00F5158D" w:rsidP="0062420A">
      <w:pPr>
        <w:autoSpaceDE w:val="0"/>
        <w:autoSpaceDN w:val="0"/>
        <w:adjustRightInd w:val="0"/>
        <w:ind w:left="4320"/>
        <w:rPr>
          <w:i/>
        </w:rPr>
      </w:pPr>
      <w:r w:rsidRPr="00710E80">
        <w:rPr>
          <w:i/>
          <w:u w:val="single"/>
        </w:rPr>
        <w:t>/s/ Christopher Healey</w:t>
      </w:r>
      <w:r w:rsidRPr="00710E80">
        <w:rPr>
          <w:i/>
          <w:u w:val="single"/>
        </w:rPr>
        <w:tab/>
      </w:r>
      <w:r>
        <w:rPr>
          <w:i/>
          <w:u w:val="single"/>
        </w:rPr>
        <w:tab/>
      </w:r>
    </w:p>
    <w:p w:rsidR="0062420A" w:rsidRPr="00710E80" w:rsidRDefault="00F5158D" w:rsidP="0062420A">
      <w:pPr>
        <w:tabs>
          <w:tab w:val="left" w:pos="4320"/>
        </w:tabs>
        <w:ind w:left="4320"/>
      </w:pPr>
      <w:r w:rsidRPr="00710E80">
        <w:t>Christopher Healey</w:t>
      </w:r>
      <w:r w:rsidRPr="00710E80">
        <w:br/>
      </w:r>
      <w:r>
        <w:t>Assistant Consumers' Counsel</w:t>
      </w:r>
    </w:p>
    <w:p w:rsidR="0062420A" w:rsidRPr="00710E80" w:rsidRDefault="00F5158D" w:rsidP="0062420A">
      <w:pPr>
        <w:pStyle w:val="CommentSubject"/>
      </w:pPr>
    </w:p>
    <w:p w:rsidR="0062420A" w:rsidRPr="00710E80" w:rsidRDefault="00F5158D" w:rsidP="0062420A">
      <w:pPr>
        <w:pStyle w:val="CommentText"/>
      </w:pPr>
    </w:p>
    <w:p w:rsidR="0062420A" w:rsidRDefault="00F5158D" w:rsidP="0062420A">
      <w:pPr>
        <w:pStyle w:val="CommentText"/>
        <w:jc w:val="center"/>
        <w:rPr>
          <w:b/>
          <w:u w:val="single"/>
        </w:rPr>
      </w:pPr>
      <w:r w:rsidRPr="00710E80">
        <w:rPr>
          <w:b/>
          <w:u w:val="single"/>
        </w:rPr>
        <w:t>SERVICE LIST</w:t>
      </w:r>
    </w:p>
    <w:p w:rsidR="0062420A" w:rsidRPr="00710E80" w:rsidRDefault="00F5158D" w:rsidP="0062420A">
      <w:pPr>
        <w:pStyle w:val="CommentText"/>
        <w:jc w:val="center"/>
        <w:rPr>
          <w:b/>
          <w:bCs/>
        </w:rPr>
      </w:pPr>
    </w:p>
    <w:tbl>
      <w:tblPr>
        <w:tblW w:w="0" w:type="auto"/>
        <w:tblLook w:val="01E0" w:firstRow="1" w:lastRow="1" w:firstColumn="1" w:lastColumn="1" w:noHBand="0" w:noVBand="0"/>
      </w:tblPr>
      <w:tblGrid>
        <w:gridCol w:w="4354"/>
        <w:gridCol w:w="4286"/>
      </w:tblGrid>
      <w:tr w:rsidR="0054318C" w:rsidTr="0062420A">
        <w:tc>
          <w:tcPr>
            <w:tcW w:w="4428" w:type="dxa"/>
            <w:shd w:val="clear" w:color="auto" w:fill="auto"/>
          </w:tcPr>
          <w:p w:rsidR="0062420A" w:rsidRDefault="00F5158D" w:rsidP="0062420A">
            <w:pPr>
              <w:autoSpaceDE w:val="0"/>
              <w:autoSpaceDN w:val="0"/>
              <w:adjustRightInd w:val="0"/>
              <w:rPr>
                <w:bCs/>
              </w:rPr>
            </w:pPr>
            <w:r w:rsidRPr="007A6799">
              <w:t>John.jones@ohioattorneygeneral.gov</w:t>
            </w:r>
            <w:r>
              <w:t xml:space="preserve"> </w:t>
            </w:r>
            <w:r>
              <w:t xml:space="preserve"> </w:t>
            </w:r>
            <w:r>
              <w:rPr>
                <w:bCs/>
              </w:rPr>
              <w:t xml:space="preserve">  </w:t>
            </w:r>
          </w:p>
          <w:p w:rsidR="0062420A" w:rsidRDefault="00F5158D" w:rsidP="0062420A">
            <w:pPr>
              <w:autoSpaceDE w:val="0"/>
              <w:autoSpaceDN w:val="0"/>
              <w:adjustRightInd w:val="0"/>
              <w:rPr>
                <w:szCs w:val="24"/>
              </w:rPr>
            </w:pPr>
            <w:r w:rsidRPr="007A6799">
              <w:rPr>
                <w:szCs w:val="24"/>
              </w:rPr>
              <w:t>tdougherty@theoec.org</w:t>
            </w:r>
            <w:r>
              <w:rPr>
                <w:szCs w:val="24"/>
              </w:rPr>
              <w:t xml:space="preserve"> </w:t>
            </w:r>
            <w:r>
              <w:rPr>
                <w:szCs w:val="24"/>
              </w:rPr>
              <w:t xml:space="preserve">   </w:t>
            </w:r>
          </w:p>
          <w:p w:rsidR="0062420A" w:rsidRDefault="00F5158D" w:rsidP="0062420A">
            <w:pPr>
              <w:autoSpaceDE w:val="0"/>
              <w:autoSpaceDN w:val="0"/>
              <w:adjustRightInd w:val="0"/>
              <w:rPr>
                <w:szCs w:val="24"/>
              </w:rPr>
            </w:pPr>
            <w:r w:rsidRPr="007A6799">
              <w:rPr>
                <w:szCs w:val="24"/>
              </w:rPr>
              <w:t>mleppla@theoec.org</w:t>
            </w:r>
            <w:r>
              <w:rPr>
                <w:szCs w:val="24"/>
              </w:rPr>
              <w:t xml:space="preserve"> </w:t>
            </w:r>
            <w:r>
              <w:rPr>
                <w:szCs w:val="24"/>
              </w:rPr>
              <w:t xml:space="preserve">    </w:t>
            </w:r>
          </w:p>
          <w:p w:rsidR="0062420A" w:rsidRDefault="00F5158D" w:rsidP="0062420A">
            <w:pPr>
              <w:autoSpaceDE w:val="0"/>
              <w:autoSpaceDN w:val="0"/>
              <w:adjustRightInd w:val="0"/>
              <w:rPr>
                <w:szCs w:val="24"/>
              </w:rPr>
            </w:pPr>
            <w:r w:rsidRPr="007A6799">
              <w:rPr>
                <w:szCs w:val="24"/>
              </w:rPr>
              <w:t>jfinnigan@edf.org</w:t>
            </w:r>
            <w:r>
              <w:rPr>
                <w:szCs w:val="24"/>
              </w:rPr>
              <w:t xml:space="preserve"> </w:t>
            </w:r>
            <w:r>
              <w:rPr>
                <w:szCs w:val="24"/>
              </w:rPr>
              <w:t xml:space="preserve"> </w:t>
            </w:r>
            <w:r>
              <w:rPr>
                <w:szCs w:val="24"/>
              </w:rPr>
              <w:t xml:space="preserve"> </w:t>
            </w:r>
            <w:r>
              <w:rPr>
                <w:szCs w:val="24"/>
              </w:rPr>
              <w:t xml:space="preserve">  </w:t>
            </w:r>
          </w:p>
          <w:p w:rsidR="0062420A" w:rsidRDefault="00F5158D" w:rsidP="0062420A">
            <w:pPr>
              <w:autoSpaceDE w:val="0"/>
              <w:autoSpaceDN w:val="0"/>
              <w:adjustRightInd w:val="0"/>
              <w:rPr>
                <w:szCs w:val="24"/>
              </w:rPr>
            </w:pPr>
            <w:r w:rsidRPr="007A6799">
              <w:rPr>
                <w:szCs w:val="24"/>
              </w:rPr>
              <w:t>joliker@igsenerg.com</w:t>
            </w:r>
            <w:r>
              <w:rPr>
                <w:szCs w:val="24"/>
              </w:rPr>
              <w:t xml:space="preserve"> </w:t>
            </w:r>
            <w:r>
              <w:rPr>
                <w:szCs w:val="24"/>
              </w:rPr>
              <w:t xml:space="preserve">   </w:t>
            </w:r>
          </w:p>
          <w:p w:rsidR="0062420A" w:rsidRDefault="00F5158D" w:rsidP="0062420A">
            <w:pPr>
              <w:autoSpaceDE w:val="0"/>
              <w:autoSpaceDN w:val="0"/>
              <w:adjustRightInd w:val="0"/>
              <w:rPr>
                <w:rStyle w:val="Hyperlink"/>
                <w:szCs w:val="24"/>
              </w:rPr>
            </w:pPr>
            <w:r w:rsidRPr="007A6799">
              <w:rPr>
                <w:szCs w:val="24"/>
              </w:rPr>
              <w:t>dparram@bricker.com</w:t>
            </w:r>
            <w:r>
              <w:rPr>
                <w:szCs w:val="24"/>
              </w:rPr>
              <w:t xml:space="preserve"> </w:t>
            </w:r>
            <w:r>
              <w:rPr>
                <w:szCs w:val="24"/>
              </w:rPr>
              <w:t xml:space="preserve">  </w:t>
            </w:r>
          </w:p>
          <w:p w:rsidR="0062420A" w:rsidRDefault="00F5158D" w:rsidP="0062420A">
            <w:pPr>
              <w:autoSpaceDE w:val="0"/>
              <w:autoSpaceDN w:val="0"/>
              <w:adjustRightInd w:val="0"/>
              <w:rPr>
                <w:szCs w:val="24"/>
              </w:rPr>
            </w:pPr>
            <w:r w:rsidRPr="007A6799">
              <w:rPr>
                <w:szCs w:val="24"/>
              </w:rPr>
              <w:t>cmooney@ohiopartners.org</w:t>
            </w:r>
            <w:r>
              <w:rPr>
                <w:szCs w:val="24"/>
              </w:rPr>
              <w:t xml:space="preserve"> </w:t>
            </w:r>
            <w:r>
              <w:rPr>
                <w:szCs w:val="24"/>
              </w:rPr>
              <w:t xml:space="preserve">    </w:t>
            </w:r>
          </w:p>
          <w:p w:rsidR="0062420A" w:rsidRDefault="00F5158D" w:rsidP="0062420A">
            <w:pPr>
              <w:autoSpaceDE w:val="0"/>
              <w:autoSpaceDN w:val="0"/>
              <w:adjustRightInd w:val="0"/>
              <w:rPr>
                <w:bCs/>
              </w:rPr>
            </w:pPr>
          </w:p>
          <w:p w:rsidR="0062420A" w:rsidRDefault="00F5158D" w:rsidP="0062420A">
            <w:pPr>
              <w:autoSpaceDE w:val="0"/>
              <w:autoSpaceDN w:val="0"/>
              <w:adjustRightInd w:val="0"/>
              <w:rPr>
                <w:bCs/>
              </w:rPr>
            </w:pPr>
          </w:p>
          <w:p w:rsidR="0062420A" w:rsidRDefault="00F5158D" w:rsidP="0062420A">
            <w:pPr>
              <w:autoSpaceDE w:val="0"/>
              <w:autoSpaceDN w:val="0"/>
              <w:adjustRightInd w:val="0"/>
              <w:rPr>
                <w:bCs/>
              </w:rPr>
            </w:pPr>
            <w:r>
              <w:rPr>
                <w:bCs/>
              </w:rPr>
              <w:t>Attorney Examiner:</w:t>
            </w:r>
          </w:p>
          <w:p w:rsidR="0062420A" w:rsidRPr="00710E80" w:rsidRDefault="00F5158D" w:rsidP="0062420A">
            <w:pPr>
              <w:autoSpaceDE w:val="0"/>
              <w:autoSpaceDN w:val="0"/>
              <w:adjustRightInd w:val="0"/>
              <w:rPr>
                <w:bCs/>
              </w:rPr>
            </w:pPr>
            <w:r w:rsidRPr="007A6799">
              <w:t>Richard.bulgrin@puc.state.oh.us</w:t>
            </w:r>
            <w:r>
              <w:t xml:space="preserve"> </w:t>
            </w:r>
            <w:r>
              <w:t xml:space="preserve"> </w:t>
            </w:r>
            <w:r>
              <w:rPr>
                <w:bCs/>
              </w:rPr>
              <w:t xml:space="preserve"> </w:t>
            </w:r>
          </w:p>
        </w:tc>
        <w:tc>
          <w:tcPr>
            <w:tcW w:w="4428" w:type="dxa"/>
            <w:shd w:val="clear" w:color="auto" w:fill="auto"/>
          </w:tcPr>
          <w:p w:rsidR="0062420A" w:rsidRDefault="00F5158D" w:rsidP="0062420A">
            <w:pPr>
              <w:autoSpaceDE w:val="0"/>
              <w:autoSpaceDN w:val="0"/>
              <w:adjustRightInd w:val="0"/>
              <w:rPr>
                <w:szCs w:val="24"/>
              </w:rPr>
            </w:pPr>
            <w:r w:rsidRPr="007A6799">
              <w:rPr>
                <w:szCs w:val="24"/>
              </w:rPr>
              <w:t>jeremy.grayem@icemiller.com</w:t>
            </w:r>
            <w:r>
              <w:rPr>
                <w:szCs w:val="24"/>
              </w:rPr>
              <w:t xml:space="preserve"> </w:t>
            </w:r>
            <w:r>
              <w:rPr>
                <w:szCs w:val="24"/>
              </w:rPr>
              <w:t xml:space="preserve">   </w:t>
            </w:r>
          </w:p>
          <w:p w:rsidR="0062420A" w:rsidRDefault="00F5158D" w:rsidP="0062420A">
            <w:pPr>
              <w:autoSpaceDE w:val="0"/>
              <w:autoSpaceDN w:val="0"/>
              <w:adjustRightInd w:val="0"/>
              <w:rPr>
                <w:szCs w:val="24"/>
              </w:rPr>
            </w:pPr>
            <w:r w:rsidRPr="007A6799">
              <w:rPr>
                <w:szCs w:val="24"/>
              </w:rPr>
              <w:t>mfleisher@elpc.org</w:t>
            </w:r>
            <w:r>
              <w:rPr>
                <w:szCs w:val="24"/>
              </w:rPr>
              <w:t xml:space="preserve"> </w:t>
            </w:r>
            <w:r>
              <w:rPr>
                <w:szCs w:val="24"/>
              </w:rPr>
              <w:t xml:space="preserve">    </w:t>
            </w:r>
          </w:p>
          <w:p w:rsidR="0062420A" w:rsidRDefault="00F5158D" w:rsidP="0062420A">
            <w:pPr>
              <w:autoSpaceDE w:val="0"/>
              <w:autoSpaceDN w:val="0"/>
              <w:adjustRightInd w:val="0"/>
              <w:rPr>
                <w:szCs w:val="24"/>
              </w:rPr>
            </w:pPr>
            <w:r w:rsidRPr="007A6799">
              <w:rPr>
                <w:szCs w:val="24"/>
              </w:rPr>
              <w:t>bojko@carpenterlipps.com</w:t>
            </w:r>
            <w:r>
              <w:rPr>
                <w:szCs w:val="24"/>
              </w:rPr>
              <w:t xml:space="preserve"> </w:t>
            </w:r>
            <w:r>
              <w:rPr>
                <w:szCs w:val="24"/>
              </w:rPr>
              <w:t xml:space="preserve">   </w:t>
            </w:r>
          </w:p>
          <w:p w:rsidR="0062420A" w:rsidRDefault="00F5158D" w:rsidP="0062420A">
            <w:pPr>
              <w:autoSpaceDE w:val="0"/>
              <w:autoSpaceDN w:val="0"/>
              <w:adjustRightInd w:val="0"/>
              <w:rPr>
                <w:szCs w:val="24"/>
              </w:rPr>
            </w:pPr>
            <w:r w:rsidRPr="007A6799">
              <w:rPr>
                <w:szCs w:val="24"/>
              </w:rPr>
              <w:t>perko@carpenterlipps.com</w:t>
            </w:r>
            <w:r>
              <w:rPr>
                <w:szCs w:val="24"/>
              </w:rPr>
              <w:t xml:space="preserve"> </w:t>
            </w:r>
            <w:r>
              <w:rPr>
                <w:szCs w:val="24"/>
              </w:rPr>
              <w:t xml:space="preserve">   </w:t>
            </w:r>
          </w:p>
          <w:p w:rsidR="0062420A" w:rsidRDefault="00F5158D" w:rsidP="0062420A">
            <w:pPr>
              <w:autoSpaceDE w:val="0"/>
              <w:autoSpaceDN w:val="0"/>
              <w:adjustRightInd w:val="0"/>
              <w:rPr>
                <w:szCs w:val="24"/>
              </w:rPr>
            </w:pPr>
            <w:r w:rsidRPr="007A6799">
              <w:rPr>
                <w:szCs w:val="24"/>
              </w:rPr>
              <w:t>orourke@carpenterlipps.com</w:t>
            </w:r>
            <w:r>
              <w:rPr>
                <w:szCs w:val="24"/>
              </w:rPr>
              <w:t xml:space="preserve"> </w:t>
            </w:r>
            <w:r>
              <w:rPr>
                <w:szCs w:val="24"/>
              </w:rPr>
              <w:t xml:space="preserve">     </w:t>
            </w:r>
          </w:p>
          <w:p w:rsidR="0062420A" w:rsidRDefault="00F5158D" w:rsidP="0062420A">
            <w:pPr>
              <w:autoSpaceDE w:val="0"/>
              <w:autoSpaceDN w:val="0"/>
              <w:adjustRightInd w:val="0"/>
              <w:rPr>
                <w:szCs w:val="24"/>
              </w:rPr>
            </w:pPr>
            <w:r w:rsidRPr="007A6799">
              <w:rPr>
                <w:szCs w:val="24"/>
              </w:rPr>
              <w:t>sam@mwncmh.com</w:t>
            </w:r>
            <w:r>
              <w:rPr>
                <w:szCs w:val="24"/>
              </w:rPr>
              <w:t xml:space="preserve"> </w:t>
            </w:r>
            <w:r>
              <w:rPr>
                <w:szCs w:val="24"/>
              </w:rPr>
              <w:t xml:space="preserve">   </w:t>
            </w:r>
          </w:p>
          <w:p w:rsidR="0062420A" w:rsidRDefault="00F5158D" w:rsidP="0062420A">
            <w:pPr>
              <w:autoSpaceDE w:val="0"/>
              <w:autoSpaceDN w:val="0"/>
              <w:adjustRightInd w:val="0"/>
              <w:rPr>
                <w:szCs w:val="24"/>
              </w:rPr>
            </w:pPr>
            <w:r w:rsidRPr="007A6799">
              <w:rPr>
                <w:szCs w:val="24"/>
              </w:rPr>
              <w:t>mpritchard@mwncmh.com</w:t>
            </w:r>
            <w:r>
              <w:rPr>
                <w:szCs w:val="24"/>
              </w:rPr>
              <w:t xml:space="preserve"> </w:t>
            </w:r>
            <w:r>
              <w:rPr>
                <w:szCs w:val="24"/>
              </w:rPr>
              <w:t xml:space="preserve">   </w:t>
            </w:r>
          </w:p>
          <w:p w:rsidR="0062420A" w:rsidRDefault="00F5158D" w:rsidP="0062420A">
            <w:pPr>
              <w:autoSpaceDE w:val="0"/>
              <w:autoSpaceDN w:val="0"/>
              <w:adjustRightInd w:val="0"/>
              <w:rPr>
                <w:szCs w:val="24"/>
              </w:rPr>
            </w:pPr>
            <w:r w:rsidRPr="007A6799">
              <w:rPr>
                <w:szCs w:val="24"/>
              </w:rPr>
              <w:t>fdarr@mwncmh.com</w:t>
            </w:r>
            <w:r>
              <w:rPr>
                <w:szCs w:val="24"/>
              </w:rPr>
              <w:t xml:space="preserve"> </w:t>
            </w:r>
            <w:r>
              <w:rPr>
                <w:szCs w:val="24"/>
              </w:rPr>
              <w:t xml:space="preserve"> </w:t>
            </w:r>
            <w:r>
              <w:rPr>
                <w:szCs w:val="24"/>
              </w:rPr>
              <w:t xml:space="preserve"> </w:t>
            </w:r>
            <w:r>
              <w:rPr>
                <w:szCs w:val="24"/>
              </w:rPr>
              <w:t xml:space="preserve">  </w:t>
            </w:r>
          </w:p>
          <w:p w:rsidR="0062420A" w:rsidRPr="00710E80" w:rsidRDefault="00F5158D" w:rsidP="0062420A">
            <w:pPr>
              <w:pStyle w:val="BodyText"/>
              <w:jc w:val="left"/>
            </w:pPr>
          </w:p>
        </w:tc>
      </w:tr>
    </w:tbl>
    <w:p w:rsidR="0062420A" w:rsidRPr="00710E80" w:rsidRDefault="00F5158D" w:rsidP="0062420A">
      <w:pPr>
        <w:pStyle w:val="BodyText"/>
        <w:ind w:firstLine="720"/>
      </w:pPr>
    </w:p>
    <w:sectPr w:rsidR="0062420A" w:rsidRPr="00710E80" w:rsidSect="0062420A">
      <w:headerReference w:type="even" r:id="rId13"/>
      <w:headerReference w:type="default" r:id="rId14"/>
      <w:footerReference w:type="default" r:id="rId15"/>
      <w:headerReference w:type="firs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158D">
      <w:r>
        <w:separator/>
      </w:r>
    </w:p>
  </w:endnote>
  <w:endnote w:type="continuationSeparator" w:id="0">
    <w:p w:rsidR="00000000" w:rsidRDefault="00F5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0A" w:rsidRPr="0019576D" w:rsidRDefault="00F5158D">
    <w:pPr>
      <w:pStyle w:val="Footer"/>
      <w:jc w:val="center"/>
    </w:pPr>
  </w:p>
  <w:p w:rsidR="0062420A" w:rsidRPr="0019576D" w:rsidRDefault="00F5158D" w:rsidP="00624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191630"/>
      <w:docPartObj>
        <w:docPartGallery w:val="Page Numbers (Bottom of Page)"/>
        <w:docPartUnique/>
      </w:docPartObj>
    </w:sdtPr>
    <w:sdtEndPr>
      <w:rPr>
        <w:noProof/>
        <w:sz w:val="24"/>
        <w:szCs w:val="24"/>
      </w:rPr>
    </w:sdtEndPr>
    <w:sdtContent>
      <w:p w:rsidR="00715613" w:rsidRPr="00715613" w:rsidRDefault="00F5158D">
        <w:pPr>
          <w:pStyle w:val="Footer"/>
          <w:jc w:val="center"/>
          <w:rPr>
            <w:sz w:val="24"/>
            <w:szCs w:val="24"/>
          </w:rPr>
        </w:pPr>
        <w:r w:rsidRPr="00715613">
          <w:rPr>
            <w:sz w:val="24"/>
            <w:szCs w:val="24"/>
          </w:rPr>
          <w:fldChar w:fldCharType="begin"/>
        </w:r>
        <w:r w:rsidRPr="00715613">
          <w:rPr>
            <w:sz w:val="24"/>
            <w:szCs w:val="24"/>
          </w:rPr>
          <w:instrText xml:space="preserve"> PAGE   \* MERGEFORMAT </w:instrText>
        </w:r>
        <w:r w:rsidRPr="00715613">
          <w:rPr>
            <w:sz w:val="24"/>
            <w:szCs w:val="24"/>
          </w:rPr>
          <w:fldChar w:fldCharType="separate"/>
        </w:r>
        <w:r w:rsidR="003B0DA9">
          <w:rPr>
            <w:noProof/>
            <w:sz w:val="24"/>
            <w:szCs w:val="24"/>
          </w:rPr>
          <w:t>i</w:t>
        </w:r>
        <w:r w:rsidRPr="00715613">
          <w:rPr>
            <w:noProof/>
            <w:sz w:val="24"/>
            <w:szCs w:val="24"/>
          </w:rPr>
          <w:fldChar w:fldCharType="end"/>
        </w:r>
      </w:p>
    </w:sdtContent>
  </w:sdt>
  <w:p w:rsidR="00715613" w:rsidRPr="00715613" w:rsidRDefault="00F5158D" w:rsidP="0062420A">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13" w:rsidRPr="00715613" w:rsidRDefault="00F5158D">
    <w:pPr>
      <w:pStyle w:val="Footer"/>
      <w:jc w:val="center"/>
      <w:rPr>
        <w:sz w:val="24"/>
        <w:szCs w:val="24"/>
      </w:rPr>
    </w:pPr>
  </w:p>
  <w:p w:rsidR="00715613" w:rsidRPr="00715613" w:rsidRDefault="00F5158D" w:rsidP="0062420A">
    <w:pPr>
      <w:pStyle w:val="Foo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685286"/>
      <w:docPartObj>
        <w:docPartGallery w:val="Page Numbers (Bottom of Page)"/>
        <w:docPartUnique/>
      </w:docPartObj>
    </w:sdtPr>
    <w:sdtEndPr>
      <w:rPr>
        <w:noProof/>
        <w:sz w:val="24"/>
        <w:szCs w:val="24"/>
      </w:rPr>
    </w:sdtEndPr>
    <w:sdtContent>
      <w:p w:rsidR="0067681E" w:rsidRPr="0067681E" w:rsidRDefault="00F5158D">
        <w:pPr>
          <w:pStyle w:val="Footer"/>
          <w:jc w:val="center"/>
          <w:rPr>
            <w:sz w:val="24"/>
            <w:szCs w:val="24"/>
          </w:rPr>
        </w:pPr>
        <w:r w:rsidRPr="0067681E">
          <w:rPr>
            <w:sz w:val="24"/>
            <w:szCs w:val="24"/>
          </w:rPr>
          <w:fldChar w:fldCharType="begin"/>
        </w:r>
        <w:r w:rsidRPr="0067681E">
          <w:rPr>
            <w:sz w:val="24"/>
            <w:szCs w:val="24"/>
          </w:rPr>
          <w:instrText xml:space="preserve"> PAGE   \* MERGEFORMAT </w:instrText>
        </w:r>
        <w:r w:rsidRPr="0067681E">
          <w:rPr>
            <w:sz w:val="24"/>
            <w:szCs w:val="24"/>
          </w:rPr>
          <w:fldChar w:fldCharType="separate"/>
        </w:r>
        <w:r w:rsidR="003B0DA9">
          <w:rPr>
            <w:noProof/>
            <w:sz w:val="24"/>
            <w:szCs w:val="24"/>
          </w:rPr>
          <w:t>5</w:t>
        </w:r>
        <w:r w:rsidRPr="0067681E">
          <w:rPr>
            <w:noProof/>
            <w:sz w:val="24"/>
            <w:szCs w:val="24"/>
          </w:rPr>
          <w:fldChar w:fldCharType="end"/>
        </w:r>
      </w:p>
    </w:sdtContent>
  </w:sdt>
  <w:p w:rsidR="0067681E" w:rsidRPr="0019576D" w:rsidRDefault="00F5158D" w:rsidP="006242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0A" w:rsidRPr="0019576D" w:rsidRDefault="00F51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20A" w:rsidRDefault="00F5158D">
      <w:r>
        <w:separator/>
      </w:r>
    </w:p>
  </w:footnote>
  <w:footnote w:type="continuationSeparator" w:id="0">
    <w:p w:rsidR="0062420A" w:rsidRDefault="00F5158D">
      <w:r>
        <w:continuationSeparator/>
      </w:r>
    </w:p>
  </w:footnote>
  <w:footnote w:id="1">
    <w:p w:rsidR="0062420A" w:rsidRDefault="00F5158D" w:rsidP="0067681E">
      <w:pPr>
        <w:pStyle w:val="FootnoteText"/>
        <w:spacing w:before="0" w:after="120"/>
      </w:pPr>
      <w:r>
        <w:rPr>
          <w:rStyle w:val="FootnoteReference"/>
        </w:rPr>
        <w:footnoteRef/>
      </w:r>
      <w:r>
        <w:t xml:space="preserve"> R.C. 4905.22.</w:t>
      </w:r>
    </w:p>
  </w:footnote>
  <w:footnote w:id="2">
    <w:p w:rsidR="0062420A" w:rsidRPr="009714EC" w:rsidRDefault="00F5158D" w:rsidP="0067681E">
      <w:pPr>
        <w:pStyle w:val="FootnoteText"/>
        <w:spacing w:before="0" w:after="120"/>
      </w:pPr>
      <w:r w:rsidRPr="009714EC">
        <w:rPr>
          <w:rStyle w:val="FootnoteReference"/>
        </w:rPr>
        <w:footnoteRef/>
      </w:r>
      <w:r w:rsidRPr="009714EC">
        <w:t xml:space="preserve"> Joint Ex. 1 (Dec. 13, 2016) (the </w:t>
      </w:r>
      <w:r>
        <w:t>"</w:t>
      </w:r>
      <w:r w:rsidRPr="009714EC">
        <w:t>2017 Settlement</w:t>
      </w:r>
      <w:r>
        <w:t>"</w:t>
      </w:r>
      <w:r w:rsidRPr="009714EC">
        <w:t>).</w:t>
      </w:r>
    </w:p>
  </w:footnote>
  <w:footnote w:id="3">
    <w:p w:rsidR="0062420A" w:rsidRDefault="00F5158D" w:rsidP="0067681E">
      <w:pPr>
        <w:pStyle w:val="FootnoteText"/>
        <w:spacing w:before="0" w:after="120"/>
      </w:pPr>
      <w:r>
        <w:rPr>
          <w:rStyle w:val="FootnoteReference"/>
        </w:rPr>
        <w:footnoteRef/>
      </w:r>
      <w:r>
        <w:t xml:space="preserve"> See generally OCC Initial Brief at 7-11.</w:t>
      </w:r>
    </w:p>
  </w:footnote>
  <w:footnote w:id="4">
    <w:p w:rsidR="0062420A" w:rsidRDefault="00F5158D" w:rsidP="0067681E">
      <w:pPr>
        <w:pStyle w:val="FootnoteText"/>
        <w:spacing w:before="0" w:after="120"/>
      </w:pPr>
      <w:r>
        <w:rPr>
          <w:rStyle w:val="FootnoteReference"/>
        </w:rPr>
        <w:footnoteRef/>
      </w:r>
      <w:r>
        <w:t xml:space="preserve"> OCC Ex. 1 (Shutrump Direct) at 6.</w:t>
      </w:r>
    </w:p>
  </w:footnote>
  <w:footnote w:id="5">
    <w:p w:rsidR="0062420A" w:rsidRDefault="00F5158D" w:rsidP="0067681E">
      <w:pPr>
        <w:pStyle w:val="FootnoteText"/>
        <w:spacing w:before="0" w:after="120"/>
      </w:pPr>
      <w:r>
        <w:rPr>
          <w:rStyle w:val="FootnoteReference"/>
        </w:rPr>
        <w:footnoteRef/>
      </w:r>
      <w:r>
        <w:t xml:space="preserve"> OPAE Initial Brief at 3-5.</w:t>
      </w:r>
    </w:p>
  </w:footnote>
  <w:footnote w:id="6">
    <w:p w:rsidR="0062420A" w:rsidRDefault="00F5158D" w:rsidP="0067681E">
      <w:pPr>
        <w:pStyle w:val="FootnoteText"/>
        <w:spacing w:before="0" w:after="120"/>
      </w:pPr>
      <w:r>
        <w:rPr>
          <w:rStyle w:val="FootnoteReference"/>
        </w:rPr>
        <w:footnoteRef/>
      </w:r>
      <w:r>
        <w:t xml:space="preserve"> Id. at 5.</w:t>
      </w:r>
    </w:p>
  </w:footnote>
  <w:footnote w:id="7">
    <w:p w:rsidR="0062420A" w:rsidRDefault="00F5158D" w:rsidP="0067681E">
      <w:pPr>
        <w:pStyle w:val="FootnoteText"/>
        <w:spacing w:before="0" w:after="120"/>
      </w:pPr>
      <w:r>
        <w:rPr>
          <w:rStyle w:val="FootnoteReference"/>
        </w:rPr>
        <w:footnoteRef/>
      </w:r>
      <w:r>
        <w:t xml:space="preserve"> OCC Ex. 1 (Shutrump Direct) at 10.</w:t>
      </w:r>
    </w:p>
  </w:footnote>
  <w:footnote w:id="8">
    <w:p w:rsidR="00741E0E" w:rsidRDefault="00F5158D" w:rsidP="0067681E">
      <w:pPr>
        <w:pStyle w:val="FootnoteText"/>
        <w:spacing w:before="0" w:after="120"/>
      </w:pPr>
      <w:r>
        <w:rPr>
          <w:rStyle w:val="FootnoteReference"/>
        </w:rPr>
        <w:footnoteRef/>
      </w:r>
      <w:r>
        <w:t xml:space="preserve"> Entry, In re Applicati</w:t>
      </w:r>
      <w:r>
        <w:t>on of the Dayton Power &amp; Light Co. for an Increase in its Elec. Distrib. Rates, Case No. 15-1830-EL-AIR (Mar. 22, 2017).</w:t>
      </w:r>
    </w:p>
  </w:footnote>
  <w:footnote w:id="9">
    <w:p w:rsidR="00965D78" w:rsidRDefault="00F5158D" w:rsidP="0067681E">
      <w:pPr>
        <w:pStyle w:val="FootnoteText"/>
        <w:spacing w:before="0" w:after="120"/>
      </w:pPr>
      <w:r>
        <w:rPr>
          <w:rStyle w:val="FootnoteReference"/>
        </w:rPr>
        <w:footnoteRef/>
      </w:r>
      <w:r>
        <w:t xml:space="preserve"> Id. at RFP Exhibit § IV.</w:t>
      </w:r>
    </w:p>
  </w:footnote>
  <w:footnote w:id="10">
    <w:p w:rsidR="00965D78" w:rsidRDefault="00F5158D" w:rsidP="0067681E">
      <w:pPr>
        <w:pStyle w:val="FootnoteText"/>
        <w:spacing w:before="0" w:after="120"/>
      </w:pPr>
      <w:r>
        <w:rPr>
          <w:rStyle w:val="FootnoteReference"/>
        </w:rPr>
        <w:footnoteRef/>
      </w:r>
      <w:r>
        <w:t xml:space="preserve"> R.C. 4909.19(C).</w:t>
      </w:r>
    </w:p>
  </w:footnote>
  <w:footnote w:id="11">
    <w:p w:rsidR="00965D78" w:rsidRDefault="00F5158D" w:rsidP="0067681E">
      <w:pPr>
        <w:pStyle w:val="FootnoteText"/>
        <w:spacing w:before="0" w:after="120"/>
      </w:pPr>
      <w:r>
        <w:rPr>
          <w:rStyle w:val="FootnoteReference"/>
        </w:rPr>
        <w:footnoteRef/>
      </w:r>
      <w:r>
        <w:t xml:space="preserve"> Id.</w:t>
      </w:r>
    </w:p>
  </w:footnote>
  <w:footnote w:id="12">
    <w:p w:rsidR="0062420A" w:rsidRDefault="00F5158D" w:rsidP="0067681E">
      <w:pPr>
        <w:pStyle w:val="FootnoteText"/>
        <w:spacing w:before="0" w:after="120"/>
      </w:pPr>
      <w:r>
        <w:rPr>
          <w:rStyle w:val="FootnoteReference"/>
        </w:rPr>
        <w:footnoteRef/>
      </w:r>
      <w:r>
        <w:t xml:space="preserve"> OCC Ex. 1 (Shutrump Direct) at 9.</w:t>
      </w:r>
    </w:p>
  </w:footnote>
  <w:footnote w:id="13">
    <w:p w:rsidR="0062420A" w:rsidRDefault="00F5158D" w:rsidP="0067681E">
      <w:pPr>
        <w:pStyle w:val="FootnoteText"/>
        <w:spacing w:before="0" w:after="120"/>
      </w:pPr>
      <w:r>
        <w:rPr>
          <w:rStyle w:val="FootnoteReference"/>
        </w:rPr>
        <w:footnoteRef/>
      </w:r>
      <w:r>
        <w:t xml:space="preserve"> Id.</w:t>
      </w:r>
    </w:p>
  </w:footnote>
  <w:footnote w:id="14">
    <w:p w:rsidR="0062420A" w:rsidRDefault="00F5158D" w:rsidP="0067681E">
      <w:pPr>
        <w:pStyle w:val="FootnoteText"/>
        <w:spacing w:before="0" w:after="120"/>
      </w:pPr>
      <w:r>
        <w:rPr>
          <w:rStyle w:val="FootnoteReference"/>
        </w:rPr>
        <w:footnoteRef/>
      </w:r>
      <w:r>
        <w:t xml:space="preserve"> R.C. 4928.143(C)(2)(a).</w:t>
      </w:r>
    </w:p>
  </w:footnote>
  <w:footnote w:id="15">
    <w:p w:rsidR="0062420A" w:rsidRDefault="00F5158D" w:rsidP="0067681E">
      <w:pPr>
        <w:pStyle w:val="FootnoteText"/>
        <w:spacing w:before="0" w:after="120"/>
      </w:pPr>
      <w:r>
        <w:rPr>
          <w:rStyle w:val="FootnoteReference"/>
        </w:rPr>
        <w:footnoteRef/>
      </w:r>
      <w:r>
        <w:t xml:space="preserve"> DP&amp;L Brief at 9.</w:t>
      </w:r>
    </w:p>
  </w:footnote>
  <w:footnote w:id="16">
    <w:p w:rsidR="0062420A" w:rsidRDefault="00F5158D" w:rsidP="0067681E">
      <w:pPr>
        <w:pStyle w:val="FootnoteText"/>
        <w:spacing w:before="0" w:after="120"/>
      </w:pPr>
      <w:r>
        <w:rPr>
          <w:rStyle w:val="FootnoteReference"/>
        </w:rPr>
        <w:footnoteRef/>
      </w:r>
      <w:r>
        <w:t xml:space="preserve"> Ohio Adm. Code 4901:1-39-07(A).</w:t>
      </w:r>
    </w:p>
  </w:footnote>
  <w:footnote w:id="17">
    <w:p w:rsidR="0062420A" w:rsidRDefault="00F5158D" w:rsidP="0067681E">
      <w:pPr>
        <w:pStyle w:val="FootnoteText"/>
        <w:spacing w:before="0" w:after="120"/>
      </w:pPr>
      <w:r>
        <w:rPr>
          <w:rStyle w:val="FootnoteReference"/>
        </w:rPr>
        <w:footnoteRef/>
      </w:r>
      <w:r>
        <w:t xml:space="preserve"> OCC Initial Brief at 15-21.</w:t>
      </w:r>
    </w:p>
  </w:footnote>
  <w:footnote w:id="18">
    <w:p w:rsidR="0062420A" w:rsidRDefault="00F5158D" w:rsidP="0067681E">
      <w:pPr>
        <w:pStyle w:val="FootnoteText"/>
        <w:spacing w:before="0" w:after="120"/>
      </w:pPr>
      <w:r>
        <w:rPr>
          <w:rStyle w:val="FootnoteReference"/>
        </w:rPr>
        <w:footnoteRef/>
      </w:r>
      <w:r>
        <w:t xml:space="preserve"> Id. For the same reasons, any lost revenues approved for 2017 should only be incurred in 2017 after a PUCO order is entered. DP&amp;L cannot charge customers for 2017 lost revenues that are incurred before approval of a 2017 portfolio.</w:t>
      </w:r>
    </w:p>
  </w:footnote>
  <w:footnote w:id="19">
    <w:p w:rsidR="0062420A" w:rsidRDefault="00F5158D" w:rsidP="0067681E">
      <w:pPr>
        <w:pStyle w:val="FootnoteText"/>
        <w:spacing w:before="0" w:after="120"/>
      </w:pPr>
      <w:r>
        <w:rPr>
          <w:rStyle w:val="FootnoteReference"/>
        </w:rPr>
        <w:footnoteRef/>
      </w:r>
      <w:r>
        <w:t xml:space="preserve"> R.C. 4928.66(D).</w:t>
      </w:r>
    </w:p>
  </w:footnote>
  <w:footnote w:id="20">
    <w:p w:rsidR="0062420A" w:rsidRDefault="00F5158D" w:rsidP="0067681E">
      <w:pPr>
        <w:pStyle w:val="FootnoteText"/>
        <w:spacing w:before="0" w:after="120"/>
      </w:pPr>
      <w:r>
        <w:rPr>
          <w:rStyle w:val="FootnoteReference"/>
        </w:rPr>
        <w:footnoteRef/>
      </w:r>
      <w:r>
        <w:t xml:space="preserve"> Id</w:t>
      </w:r>
      <w:r>
        <w:t>.</w:t>
      </w:r>
    </w:p>
  </w:footnote>
  <w:footnote w:id="21">
    <w:p w:rsidR="0062420A" w:rsidRDefault="00F5158D" w:rsidP="0067681E">
      <w:pPr>
        <w:pStyle w:val="FootnoteText"/>
        <w:spacing w:before="0" w:after="120"/>
      </w:pPr>
      <w:r>
        <w:rPr>
          <w:rStyle w:val="FootnoteReference"/>
        </w:rPr>
        <w:footnoteRef/>
      </w:r>
      <w:r>
        <w:t xml:space="preserve"> Id.</w:t>
      </w:r>
    </w:p>
  </w:footnote>
  <w:footnote w:id="22">
    <w:p w:rsidR="0062420A" w:rsidRDefault="00F5158D" w:rsidP="0067681E">
      <w:pPr>
        <w:pStyle w:val="FootnoteText"/>
        <w:spacing w:before="0" w:after="120"/>
      </w:pPr>
      <w:r>
        <w:rPr>
          <w:rStyle w:val="FootnoteReference"/>
        </w:rPr>
        <w:footnoteRef/>
      </w:r>
      <w:r>
        <w:t xml:space="preserve"> See generally OCC Initial Brief at 15-21.</w:t>
      </w:r>
    </w:p>
  </w:footnote>
  <w:footnote w:id="23">
    <w:p w:rsidR="0062420A" w:rsidRDefault="00F5158D" w:rsidP="0067681E">
      <w:pPr>
        <w:pStyle w:val="FootnoteText"/>
        <w:spacing w:before="0" w:after="120"/>
      </w:pPr>
      <w:r>
        <w:rPr>
          <w:rStyle w:val="FootnoteReference"/>
        </w:rPr>
        <w:footnoteRef/>
      </w:r>
      <w:r>
        <w:t xml:space="preserve"> DP&amp;L Brief at 7-8; PUCO Staff Brief at 7-8.</w:t>
      </w:r>
    </w:p>
  </w:footnote>
  <w:footnote w:id="24">
    <w:p w:rsidR="0062420A" w:rsidRDefault="00F5158D" w:rsidP="0067681E">
      <w:pPr>
        <w:pStyle w:val="FootnoteText"/>
        <w:spacing w:before="0" w:after="120"/>
      </w:pPr>
      <w:r>
        <w:rPr>
          <w:rStyle w:val="FootnoteReference"/>
        </w:rPr>
        <w:footnoteRef/>
      </w:r>
      <w:r>
        <w:t xml:space="preserve"> R.C. 4928.66(A)(1).</w:t>
      </w:r>
    </w:p>
  </w:footnote>
  <w:footnote w:id="25">
    <w:p w:rsidR="0062420A" w:rsidRDefault="00F5158D" w:rsidP="0067681E">
      <w:pPr>
        <w:pStyle w:val="FootnoteText"/>
        <w:spacing w:before="0" w:after="120"/>
      </w:pPr>
      <w:r>
        <w:rPr>
          <w:rStyle w:val="FootnoteReference"/>
        </w:rPr>
        <w:footnoteRef/>
      </w:r>
      <w:r>
        <w:t xml:space="preserve"> Ohio Adm. Code 4901:1-39-04(B).</w:t>
      </w:r>
    </w:p>
  </w:footnote>
  <w:footnote w:id="26">
    <w:p w:rsidR="0062420A" w:rsidRDefault="00F5158D" w:rsidP="0067681E">
      <w:pPr>
        <w:pStyle w:val="FootnoteText"/>
        <w:spacing w:before="0" w:after="120"/>
      </w:pPr>
      <w:r>
        <w:rPr>
          <w:rStyle w:val="FootnoteReference"/>
        </w:rPr>
        <w:footnoteRef/>
      </w:r>
      <w:r>
        <w:t xml:space="preserve"> Id.</w:t>
      </w:r>
    </w:p>
  </w:footnote>
  <w:footnote w:id="27">
    <w:p w:rsidR="0062420A" w:rsidRDefault="00F5158D" w:rsidP="0067681E">
      <w:pPr>
        <w:pStyle w:val="FootnoteText"/>
        <w:spacing w:before="0" w:after="120"/>
      </w:pPr>
      <w:r>
        <w:rPr>
          <w:rStyle w:val="FootnoteReference"/>
        </w:rPr>
        <w:footnoteRef/>
      </w:r>
      <w:r>
        <w:t xml:space="preserve"> Ohio Adm. Code 4901:1-39-04(B) (requiring the utility's entire portfolio to be cost effective </w:t>
      </w:r>
      <w:r>
        <w:t>and for each program to be individually cost-effective, unless the program provides substantial nonenergy benefits).</w:t>
      </w:r>
    </w:p>
  </w:footnote>
  <w:footnote w:id="28">
    <w:p w:rsidR="0062420A" w:rsidRDefault="00F5158D" w:rsidP="0067681E">
      <w:pPr>
        <w:pStyle w:val="FootnoteText"/>
        <w:spacing w:before="0" w:after="120"/>
      </w:pPr>
      <w:r>
        <w:rPr>
          <w:rStyle w:val="FootnoteReference"/>
        </w:rPr>
        <w:footnoteRef/>
      </w:r>
      <w:r>
        <w:t xml:space="preserve"> See generally DP&amp;L Ex. 3 (Teuscher Direct).</w:t>
      </w:r>
    </w:p>
  </w:footnote>
  <w:footnote w:id="29">
    <w:p w:rsidR="0062420A" w:rsidRDefault="00F5158D" w:rsidP="0067681E">
      <w:pPr>
        <w:pStyle w:val="FootnoteText"/>
        <w:spacing w:before="0" w:after="120"/>
      </w:pPr>
      <w:r>
        <w:rPr>
          <w:rStyle w:val="FootnoteReference"/>
        </w:rPr>
        <w:footnoteRef/>
      </w:r>
      <w:r>
        <w:t xml:space="preserve"> See generally PUCO Staff Ex. 1 (Braun Direct).</w:t>
      </w:r>
    </w:p>
  </w:footnote>
  <w:footnote w:id="30">
    <w:p w:rsidR="0062420A" w:rsidRDefault="00F5158D" w:rsidP="0067681E">
      <w:pPr>
        <w:pStyle w:val="FootnoteText"/>
        <w:spacing w:before="0" w:after="120"/>
      </w:pPr>
      <w:r>
        <w:rPr>
          <w:rStyle w:val="FootnoteReference"/>
        </w:rPr>
        <w:footnoteRef/>
      </w:r>
      <w:r>
        <w:t xml:space="preserve"> 2917 Settlement at 7.</w:t>
      </w:r>
    </w:p>
  </w:footnote>
  <w:footnote w:id="31">
    <w:p w:rsidR="0062420A" w:rsidRDefault="00F5158D" w:rsidP="0067681E">
      <w:pPr>
        <w:pStyle w:val="FootnoteText"/>
        <w:spacing w:before="0" w:after="120"/>
      </w:pPr>
      <w:r>
        <w:rPr>
          <w:rStyle w:val="FootnoteReference"/>
        </w:rPr>
        <w:footnoteRef/>
      </w:r>
      <w:r>
        <w:t xml:space="preserve"> Joint Ex. 1 § I.A.</w:t>
      </w:r>
    </w:p>
  </w:footnote>
  <w:footnote w:id="32">
    <w:p w:rsidR="0062420A" w:rsidRDefault="00F5158D" w:rsidP="0067681E">
      <w:pPr>
        <w:pStyle w:val="FootnoteText"/>
        <w:spacing w:before="0" w:after="120"/>
      </w:pPr>
      <w:r>
        <w:rPr>
          <w:rStyle w:val="FootnoteReference"/>
        </w:rPr>
        <w:footnoteRef/>
      </w:r>
      <w:r>
        <w:t xml:space="preserve"> Id.</w:t>
      </w:r>
    </w:p>
  </w:footnote>
  <w:footnote w:id="33">
    <w:p w:rsidR="0062420A" w:rsidRDefault="00F5158D" w:rsidP="0067681E">
      <w:pPr>
        <w:pStyle w:val="FootnoteText"/>
        <w:spacing w:before="0" w:after="120"/>
      </w:pPr>
      <w:r>
        <w:rPr>
          <w:rStyle w:val="FootnoteReference"/>
        </w:rPr>
        <w:footnoteRef/>
      </w:r>
      <w:r>
        <w:t xml:space="preserve"> Initial Brief of ELPC at 2 (Mar. 10, 2017).</w:t>
      </w:r>
    </w:p>
  </w:footnote>
  <w:footnote w:id="34">
    <w:p w:rsidR="0062420A" w:rsidRDefault="00F5158D" w:rsidP="0067681E">
      <w:pPr>
        <w:pStyle w:val="FootnoteText"/>
        <w:spacing w:before="0" w:after="120"/>
      </w:pPr>
      <w:r>
        <w:rPr>
          <w:rStyle w:val="FootnoteReference"/>
        </w:rPr>
        <w:footnoteRef/>
      </w:r>
      <w:r>
        <w:t xml:space="preserve"> Id.</w:t>
      </w:r>
    </w:p>
  </w:footnote>
  <w:footnote w:id="35">
    <w:p w:rsidR="0062420A" w:rsidRDefault="00F5158D" w:rsidP="0067681E">
      <w:pPr>
        <w:pStyle w:val="FootnoteText"/>
        <w:spacing w:before="0" w:after="120"/>
      </w:pPr>
      <w:r>
        <w:rPr>
          <w:rStyle w:val="FootnoteReference"/>
        </w:rPr>
        <w:footnoteRef/>
      </w:r>
      <w:r>
        <w:t xml:space="preserve"> Id.</w:t>
      </w:r>
    </w:p>
  </w:footnote>
  <w:footnote w:id="36">
    <w:p w:rsidR="0062420A" w:rsidRDefault="00F5158D" w:rsidP="0067681E">
      <w:pPr>
        <w:pStyle w:val="FootnoteText"/>
        <w:spacing w:before="0" w:after="120"/>
      </w:pPr>
      <w:r>
        <w:rPr>
          <w:rStyle w:val="FootnoteReference"/>
        </w:rPr>
        <w:footnoteRef/>
      </w:r>
      <w:r>
        <w:t xml:space="preserve"> PUCO Staff Ex. 1 (Braun Direct) at 5:73-75.</w:t>
      </w:r>
    </w:p>
  </w:footnote>
  <w:footnote w:id="37">
    <w:p w:rsidR="0062420A" w:rsidRDefault="00F5158D" w:rsidP="0067681E">
      <w:pPr>
        <w:pStyle w:val="FootnoteText"/>
        <w:spacing w:before="0" w:after="120"/>
      </w:pPr>
      <w:r>
        <w:rPr>
          <w:rStyle w:val="FootnoteReference"/>
        </w:rPr>
        <w:footnoteRef/>
      </w:r>
      <w:r>
        <w:t xml:space="preserve"> Tr. at 8-10.</w:t>
      </w:r>
    </w:p>
  </w:footnote>
  <w:footnote w:id="38">
    <w:p w:rsidR="0062420A" w:rsidRDefault="00F5158D" w:rsidP="0067681E">
      <w:pPr>
        <w:pStyle w:val="FootnoteText"/>
        <w:spacing w:before="0" w:after="120"/>
      </w:pPr>
      <w:r>
        <w:rPr>
          <w:rStyle w:val="FootnoteReference"/>
        </w:rPr>
        <w:footnoteRef/>
      </w:r>
      <w:r>
        <w:t xml:space="preserve"> Id. at 9-10. The PUCO Staff did agree to remove a different sentence from lines 71-73 of Ms. Braun's testimony. Id. at 9.</w:t>
      </w:r>
    </w:p>
  </w:footnote>
  <w:footnote w:id="39">
    <w:p w:rsidR="00DC1302" w:rsidRDefault="00F5158D" w:rsidP="0067681E">
      <w:pPr>
        <w:pStyle w:val="FootnoteText"/>
        <w:spacing w:before="0" w:after="120"/>
      </w:pPr>
      <w:r>
        <w:rPr>
          <w:rStyle w:val="FootnoteReference"/>
        </w:rPr>
        <w:footnoteRef/>
      </w:r>
      <w:r>
        <w:t xml:space="preserve"> PUCO</w:t>
      </w:r>
      <w:r>
        <w:t xml:space="preserve"> Staff Brief at 10.</w:t>
      </w:r>
    </w:p>
  </w:footnote>
  <w:footnote w:id="40">
    <w:p w:rsidR="0062420A" w:rsidRPr="007E23C7" w:rsidRDefault="00F5158D" w:rsidP="0067681E">
      <w:pPr>
        <w:pStyle w:val="FootnoteText"/>
        <w:spacing w:before="0" w:after="120"/>
      </w:pPr>
      <w:r w:rsidRPr="007E23C7">
        <w:rPr>
          <w:rStyle w:val="FootnoteReference"/>
        </w:rPr>
        <w:footnoteRef/>
      </w:r>
      <w:r w:rsidRPr="007E23C7">
        <w:t xml:space="preserve"> See also R.C. 4905.22, which requires that all charges for utility service must be just and reasonable.</w:t>
      </w:r>
    </w:p>
  </w:footnote>
  <w:footnote w:id="41">
    <w:p w:rsidR="0062420A" w:rsidRPr="007E23C7" w:rsidRDefault="00F5158D" w:rsidP="0067681E">
      <w:pPr>
        <w:pStyle w:val="FootnoteText"/>
        <w:spacing w:before="0" w:after="120"/>
      </w:pPr>
      <w:r w:rsidRPr="007E23C7">
        <w:rPr>
          <w:rStyle w:val="FootnoteReference"/>
        </w:rPr>
        <w:footnoteRef/>
      </w:r>
      <w:r w:rsidRPr="007E23C7">
        <w:t xml:space="preserve"> OCC Brief at </w:t>
      </w:r>
      <w:r>
        <w:t>22</w:t>
      </w:r>
      <w:r w:rsidRPr="007E23C7">
        <w:t>.</w:t>
      </w:r>
    </w:p>
  </w:footnote>
  <w:footnote w:id="42">
    <w:p w:rsidR="0062420A" w:rsidRPr="007E23C7" w:rsidRDefault="00F5158D" w:rsidP="0067681E">
      <w:pPr>
        <w:pStyle w:val="FootnoteText"/>
        <w:spacing w:before="0" w:after="120"/>
      </w:pPr>
      <w:r w:rsidRPr="007E23C7">
        <w:rPr>
          <w:rStyle w:val="FootnoteReference"/>
        </w:rPr>
        <w:footnoteRef/>
      </w:r>
      <w:r w:rsidRPr="007E23C7">
        <w:t xml:space="preserve"> Id. at </w:t>
      </w:r>
      <w:r>
        <w:t>15-17</w:t>
      </w:r>
      <w:r w:rsidRPr="007E23C7">
        <w:t>.</w:t>
      </w:r>
    </w:p>
  </w:footnote>
  <w:footnote w:id="43">
    <w:p w:rsidR="0062420A" w:rsidRPr="009714EC" w:rsidRDefault="00F5158D" w:rsidP="0067681E">
      <w:pPr>
        <w:pStyle w:val="FootnoteText"/>
        <w:spacing w:before="0" w:after="120"/>
      </w:pPr>
      <w:r w:rsidRPr="009714EC">
        <w:rPr>
          <w:rStyle w:val="FootnoteReference"/>
        </w:rPr>
        <w:footnoteRef/>
      </w:r>
      <w:r w:rsidRPr="009714EC">
        <w:t xml:space="preserve"> Joint Ex. 1 § II.A.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0A" w:rsidRDefault="00F51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0A" w:rsidRDefault="00F51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0A" w:rsidRDefault="00F51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3C09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B899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80C6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169D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FA0D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0DC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05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98FC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08D3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CE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652D0"/>
    <w:multiLevelType w:val="hybridMultilevel"/>
    <w:tmpl w:val="8DAC928E"/>
    <w:lvl w:ilvl="0" w:tplc="764A8082">
      <w:start w:val="1"/>
      <w:numFmt w:val="bullet"/>
      <w:lvlText w:val=""/>
      <w:lvlJc w:val="left"/>
      <w:pPr>
        <w:ind w:left="1440" w:hanging="360"/>
      </w:pPr>
      <w:rPr>
        <w:rFonts w:ascii="Symbol" w:hAnsi="Symbol" w:hint="default"/>
      </w:rPr>
    </w:lvl>
    <w:lvl w:ilvl="1" w:tplc="8CCE275A" w:tentative="1">
      <w:start w:val="1"/>
      <w:numFmt w:val="bullet"/>
      <w:lvlText w:val="o"/>
      <w:lvlJc w:val="left"/>
      <w:pPr>
        <w:ind w:left="2160" w:hanging="360"/>
      </w:pPr>
      <w:rPr>
        <w:rFonts w:ascii="Courier New" w:hAnsi="Courier New" w:cs="Courier New" w:hint="default"/>
      </w:rPr>
    </w:lvl>
    <w:lvl w:ilvl="2" w:tplc="010EDD12" w:tentative="1">
      <w:start w:val="1"/>
      <w:numFmt w:val="bullet"/>
      <w:lvlText w:val=""/>
      <w:lvlJc w:val="left"/>
      <w:pPr>
        <w:ind w:left="2880" w:hanging="360"/>
      </w:pPr>
      <w:rPr>
        <w:rFonts w:ascii="Wingdings" w:hAnsi="Wingdings" w:hint="default"/>
      </w:rPr>
    </w:lvl>
    <w:lvl w:ilvl="3" w:tplc="AC18B88E" w:tentative="1">
      <w:start w:val="1"/>
      <w:numFmt w:val="bullet"/>
      <w:lvlText w:val=""/>
      <w:lvlJc w:val="left"/>
      <w:pPr>
        <w:ind w:left="3600" w:hanging="360"/>
      </w:pPr>
      <w:rPr>
        <w:rFonts w:ascii="Symbol" w:hAnsi="Symbol" w:hint="default"/>
      </w:rPr>
    </w:lvl>
    <w:lvl w:ilvl="4" w:tplc="B0E8226E" w:tentative="1">
      <w:start w:val="1"/>
      <w:numFmt w:val="bullet"/>
      <w:lvlText w:val="o"/>
      <w:lvlJc w:val="left"/>
      <w:pPr>
        <w:ind w:left="4320" w:hanging="360"/>
      </w:pPr>
      <w:rPr>
        <w:rFonts w:ascii="Courier New" w:hAnsi="Courier New" w:cs="Courier New" w:hint="default"/>
      </w:rPr>
    </w:lvl>
    <w:lvl w:ilvl="5" w:tplc="46083850" w:tentative="1">
      <w:start w:val="1"/>
      <w:numFmt w:val="bullet"/>
      <w:lvlText w:val=""/>
      <w:lvlJc w:val="left"/>
      <w:pPr>
        <w:ind w:left="5040" w:hanging="360"/>
      </w:pPr>
      <w:rPr>
        <w:rFonts w:ascii="Wingdings" w:hAnsi="Wingdings" w:hint="default"/>
      </w:rPr>
    </w:lvl>
    <w:lvl w:ilvl="6" w:tplc="AAE49FC6" w:tentative="1">
      <w:start w:val="1"/>
      <w:numFmt w:val="bullet"/>
      <w:lvlText w:val=""/>
      <w:lvlJc w:val="left"/>
      <w:pPr>
        <w:ind w:left="5760" w:hanging="360"/>
      </w:pPr>
      <w:rPr>
        <w:rFonts w:ascii="Symbol" w:hAnsi="Symbol" w:hint="default"/>
      </w:rPr>
    </w:lvl>
    <w:lvl w:ilvl="7" w:tplc="FE329000" w:tentative="1">
      <w:start w:val="1"/>
      <w:numFmt w:val="bullet"/>
      <w:lvlText w:val="o"/>
      <w:lvlJc w:val="left"/>
      <w:pPr>
        <w:ind w:left="6480" w:hanging="360"/>
      </w:pPr>
      <w:rPr>
        <w:rFonts w:ascii="Courier New" w:hAnsi="Courier New" w:cs="Courier New" w:hint="default"/>
      </w:rPr>
    </w:lvl>
    <w:lvl w:ilvl="8" w:tplc="C6263580" w:tentative="1">
      <w:start w:val="1"/>
      <w:numFmt w:val="bullet"/>
      <w:lvlText w:val=""/>
      <w:lvlJc w:val="left"/>
      <w:pPr>
        <w:ind w:left="7200" w:hanging="360"/>
      </w:pPr>
      <w:rPr>
        <w:rFonts w:ascii="Wingdings" w:hAnsi="Wingdings" w:hint="default"/>
      </w:rPr>
    </w:lvl>
  </w:abstractNum>
  <w:abstractNum w:abstractNumId="11" w15:restartNumberingAfterBreak="0">
    <w:nsid w:val="192B2A13"/>
    <w:multiLevelType w:val="hybridMultilevel"/>
    <w:tmpl w:val="CE2646FC"/>
    <w:lvl w:ilvl="0" w:tplc="2D30F354">
      <w:start w:val="1"/>
      <w:numFmt w:val="bullet"/>
      <w:lvlText w:val=""/>
      <w:lvlJc w:val="left"/>
      <w:pPr>
        <w:ind w:left="1440" w:hanging="360"/>
      </w:pPr>
      <w:rPr>
        <w:rFonts w:ascii="Symbol" w:hAnsi="Symbol" w:hint="default"/>
      </w:rPr>
    </w:lvl>
    <w:lvl w:ilvl="1" w:tplc="64B870C8" w:tentative="1">
      <w:start w:val="1"/>
      <w:numFmt w:val="bullet"/>
      <w:lvlText w:val="o"/>
      <w:lvlJc w:val="left"/>
      <w:pPr>
        <w:ind w:left="2160" w:hanging="360"/>
      </w:pPr>
      <w:rPr>
        <w:rFonts w:ascii="Courier New" w:hAnsi="Courier New" w:cs="Courier New" w:hint="default"/>
      </w:rPr>
    </w:lvl>
    <w:lvl w:ilvl="2" w:tplc="1BC01E16" w:tentative="1">
      <w:start w:val="1"/>
      <w:numFmt w:val="bullet"/>
      <w:lvlText w:val=""/>
      <w:lvlJc w:val="left"/>
      <w:pPr>
        <w:ind w:left="2880" w:hanging="360"/>
      </w:pPr>
      <w:rPr>
        <w:rFonts w:ascii="Wingdings" w:hAnsi="Wingdings" w:hint="default"/>
      </w:rPr>
    </w:lvl>
    <w:lvl w:ilvl="3" w:tplc="B6569ECC" w:tentative="1">
      <w:start w:val="1"/>
      <w:numFmt w:val="bullet"/>
      <w:lvlText w:val=""/>
      <w:lvlJc w:val="left"/>
      <w:pPr>
        <w:ind w:left="3600" w:hanging="360"/>
      </w:pPr>
      <w:rPr>
        <w:rFonts w:ascii="Symbol" w:hAnsi="Symbol" w:hint="default"/>
      </w:rPr>
    </w:lvl>
    <w:lvl w:ilvl="4" w:tplc="93489DAA" w:tentative="1">
      <w:start w:val="1"/>
      <w:numFmt w:val="bullet"/>
      <w:lvlText w:val="o"/>
      <w:lvlJc w:val="left"/>
      <w:pPr>
        <w:ind w:left="4320" w:hanging="360"/>
      </w:pPr>
      <w:rPr>
        <w:rFonts w:ascii="Courier New" w:hAnsi="Courier New" w:cs="Courier New" w:hint="default"/>
      </w:rPr>
    </w:lvl>
    <w:lvl w:ilvl="5" w:tplc="F730792C" w:tentative="1">
      <w:start w:val="1"/>
      <w:numFmt w:val="bullet"/>
      <w:lvlText w:val=""/>
      <w:lvlJc w:val="left"/>
      <w:pPr>
        <w:ind w:left="5040" w:hanging="360"/>
      </w:pPr>
      <w:rPr>
        <w:rFonts w:ascii="Wingdings" w:hAnsi="Wingdings" w:hint="default"/>
      </w:rPr>
    </w:lvl>
    <w:lvl w:ilvl="6" w:tplc="1382D13E" w:tentative="1">
      <w:start w:val="1"/>
      <w:numFmt w:val="bullet"/>
      <w:lvlText w:val=""/>
      <w:lvlJc w:val="left"/>
      <w:pPr>
        <w:ind w:left="5760" w:hanging="360"/>
      </w:pPr>
      <w:rPr>
        <w:rFonts w:ascii="Symbol" w:hAnsi="Symbol" w:hint="default"/>
      </w:rPr>
    </w:lvl>
    <w:lvl w:ilvl="7" w:tplc="B57CC554" w:tentative="1">
      <w:start w:val="1"/>
      <w:numFmt w:val="bullet"/>
      <w:lvlText w:val="o"/>
      <w:lvlJc w:val="left"/>
      <w:pPr>
        <w:ind w:left="6480" w:hanging="360"/>
      </w:pPr>
      <w:rPr>
        <w:rFonts w:ascii="Courier New" w:hAnsi="Courier New" w:cs="Courier New" w:hint="default"/>
      </w:rPr>
    </w:lvl>
    <w:lvl w:ilvl="8" w:tplc="C6D68740" w:tentative="1">
      <w:start w:val="1"/>
      <w:numFmt w:val="bullet"/>
      <w:lvlText w:val=""/>
      <w:lvlJc w:val="left"/>
      <w:pPr>
        <w:ind w:left="7200" w:hanging="360"/>
      </w:pPr>
      <w:rPr>
        <w:rFonts w:ascii="Wingdings" w:hAnsi="Wingdings" w:hint="default"/>
      </w:rPr>
    </w:lvl>
  </w:abstractNum>
  <w:abstractNum w:abstractNumId="12" w15:restartNumberingAfterBreak="0">
    <w:nsid w:val="2D986994"/>
    <w:multiLevelType w:val="hybridMultilevel"/>
    <w:tmpl w:val="A1DC07E8"/>
    <w:lvl w:ilvl="0" w:tplc="3E90A3AE">
      <w:start w:val="1"/>
      <w:numFmt w:val="upperLetter"/>
      <w:lvlText w:val="%1."/>
      <w:lvlJc w:val="left"/>
      <w:pPr>
        <w:ind w:left="1440" w:hanging="360"/>
      </w:pPr>
    </w:lvl>
    <w:lvl w:ilvl="1" w:tplc="E7A691A2" w:tentative="1">
      <w:start w:val="1"/>
      <w:numFmt w:val="lowerLetter"/>
      <w:lvlText w:val="%2."/>
      <w:lvlJc w:val="left"/>
      <w:pPr>
        <w:ind w:left="2160" w:hanging="360"/>
      </w:pPr>
    </w:lvl>
    <w:lvl w:ilvl="2" w:tplc="9D46296C" w:tentative="1">
      <w:start w:val="1"/>
      <w:numFmt w:val="lowerRoman"/>
      <w:lvlText w:val="%3."/>
      <w:lvlJc w:val="right"/>
      <w:pPr>
        <w:ind w:left="2880" w:hanging="180"/>
      </w:pPr>
    </w:lvl>
    <w:lvl w:ilvl="3" w:tplc="5D3E6786" w:tentative="1">
      <w:start w:val="1"/>
      <w:numFmt w:val="decimal"/>
      <w:lvlText w:val="%4."/>
      <w:lvlJc w:val="left"/>
      <w:pPr>
        <w:ind w:left="3600" w:hanging="360"/>
      </w:pPr>
    </w:lvl>
    <w:lvl w:ilvl="4" w:tplc="1818CB42" w:tentative="1">
      <w:start w:val="1"/>
      <w:numFmt w:val="lowerLetter"/>
      <w:lvlText w:val="%5."/>
      <w:lvlJc w:val="left"/>
      <w:pPr>
        <w:ind w:left="4320" w:hanging="360"/>
      </w:pPr>
    </w:lvl>
    <w:lvl w:ilvl="5" w:tplc="312A7794" w:tentative="1">
      <w:start w:val="1"/>
      <w:numFmt w:val="lowerRoman"/>
      <w:lvlText w:val="%6."/>
      <w:lvlJc w:val="right"/>
      <w:pPr>
        <w:ind w:left="5040" w:hanging="180"/>
      </w:pPr>
    </w:lvl>
    <w:lvl w:ilvl="6" w:tplc="DF2E7916" w:tentative="1">
      <w:start w:val="1"/>
      <w:numFmt w:val="decimal"/>
      <w:lvlText w:val="%7."/>
      <w:lvlJc w:val="left"/>
      <w:pPr>
        <w:ind w:left="5760" w:hanging="360"/>
      </w:pPr>
    </w:lvl>
    <w:lvl w:ilvl="7" w:tplc="AA32B286" w:tentative="1">
      <w:start w:val="1"/>
      <w:numFmt w:val="lowerLetter"/>
      <w:lvlText w:val="%8."/>
      <w:lvlJc w:val="left"/>
      <w:pPr>
        <w:ind w:left="6480" w:hanging="360"/>
      </w:pPr>
    </w:lvl>
    <w:lvl w:ilvl="8" w:tplc="698809F6" w:tentative="1">
      <w:start w:val="1"/>
      <w:numFmt w:val="lowerRoman"/>
      <w:lvlText w:val="%9."/>
      <w:lvlJc w:val="right"/>
      <w:pPr>
        <w:ind w:left="7200" w:hanging="180"/>
      </w:pPr>
    </w:lvl>
  </w:abstractNum>
  <w:abstractNum w:abstractNumId="13" w15:restartNumberingAfterBreak="0">
    <w:nsid w:val="2E471ADC"/>
    <w:multiLevelType w:val="hybridMultilevel"/>
    <w:tmpl w:val="1A7208B6"/>
    <w:lvl w:ilvl="0" w:tplc="7CE0FC32">
      <w:start w:val="1"/>
      <w:numFmt w:val="bullet"/>
      <w:lvlText w:val=""/>
      <w:lvlJc w:val="left"/>
      <w:pPr>
        <w:ind w:left="1440" w:hanging="360"/>
      </w:pPr>
      <w:rPr>
        <w:rFonts w:ascii="Symbol" w:hAnsi="Symbol" w:hint="default"/>
      </w:rPr>
    </w:lvl>
    <w:lvl w:ilvl="1" w:tplc="A0CA091A" w:tentative="1">
      <w:start w:val="1"/>
      <w:numFmt w:val="bullet"/>
      <w:lvlText w:val="o"/>
      <w:lvlJc w:val="left"/>
      <w:pPr>
        <w:ind w:left="2160" w:hanging="360"/>
      </w:pPr>
      <w:rPr>
        <w:rFonts w:ascii="Courier New" w:hAnsi="Courier New" w:cs="Courier New" w:hint="default"/>
      </w:rPr>
    </w:lvl>
    <w:lvl w:ilvl="2" w:tplc="84FE7BCA" w:tentative="1">
      <w:start w:val="1"/>
      <w:numFmt w:val="bullet"/>
      <w:lvlText w:val=""/>
      <w:lvlJc w:val="left"/>
      <w:pPr>
        <w:ind w:left="2880" w:hanging="360"/>
      </w:pPr>
      <w:rPr>
        <w:rFonts w:ascii="Wingdings" w:hAnsi="Wingdings" w:hint="default"/>
      </w:rPr>
    </w:lvl>
    <w:lvl w:ilvl="3" w:tplc="50B2523C" w:tentative="1">
      <w:start w:val="1"/>
      <w:numFmt w:val="bullet"/>
      <w:lvlText w:val=""/>
      <w:lvlJc w:val="left"/>
      <w:pPr>
        <w:ind w:left="3600" w:hanging="360"/>
      </w:pPr>
      <w:rPr>
        <w:rFonts w:ascii="Symbol" w:hAnsi="Symbol" w:hint="default"/>
      </w:rPr>
    </w:lvl>
    <w:lvl w:ilvl="4" w:tplc="2408D0CA" w:tentative="1">
      <w:start w:val="1"/>
      <w:numFmt w:val="bullet"/>
      <w:lvlText w:val="o"/>
      <w:lvlJc w:val="left"/>
      <w:pPr>
        <w:ind w:left="4320" w:hanging="360"/>
      </w:pPr>
      <w:rPr>
        <w:rFonts w:ascii="Courier New" w:hAnsi="Courier New" w:cs="Courier New" w:hint="default"/>
      </w:rPr>
    </w:lvl>
    <w:lvl w:ilvl="5" w:tplc="93440628" w:tentative="1">
      <w:start w:val="1"/>
      <w:numFmt w:val="bullet"/>
      <w:lvlText w:val=""/>
      <w:lvlJc w:val="left"/>
      <w:pPr>
        <w:ind w:left="5040" w:hanging="360"/>
      </w:pPr>
      <w:rPr>
        <w:rFonts w:ascii="Wingdings" w:hAnsi="Wingdings" w:hint="default"/>
      </w:rPr>
    </w:lvl>
    <w:lvl w:ilvl="6" w:tplc="A9547810" w:tentative="1">
      <w:start w:val="1"/>
      <w:numFmt w:val="bullet"/>
      <w:lvlText w:val=""/>
      <w:lvlJc w:val="left"/>
      <w:pPr>
        <w:ind w:left="5760" w:hanging="360"/>
      </w:pPr>
      <w:rPr>
        <w:rFonts w:ascii="Symbol" w:hAnsi="Symbol" w:hint="default"/>
      </w:rPr>
    </w:lvl>
    <w:lvl w:ilvl="7" w:tplc="639820D8" w:tentative="1">
      <w:start w:val="1"/>
      <w:numFmt w:val="bullet"/>
      <w:lvlText w:val="o"/>
      <w:lvlJc w:val="left"/>
      <w:pPr>
        <w:ind w:left="6480" w:hanging="360"/>
      </w:pPr>
      <w:rPr>
        <w:rFonts w:ascii="Courier New" w:hAnsi="Courier New" w:cs="Courier New" w:hint="default"/>
      </w:rPr>
    </w:lvl>
    <w:lvl w:ilvl="8" w:tplc="50540FB8" w:tentative="1">
      <w:start w:val="1"/>
      <w:numFmt w:val="bullet"/>
      <w:lvlText w:val=""/>
      <w:lvlJc w:val="left"/>
      <w:pPr>
        <w:ind w:left="7200" w:hanging="360"/>
      </w:pPr>
      <w:rPr>
        <w:rFonts w:ascii="Wingdings" w:hAnsi="Wingdings" w:hint="default"/>
      </w:rPr>
    </w:lvl>
  </w:abstractNum>
  <w:abstractNum w:abstractNumId="14" w15:restartNumberingAfterBreak="0">
    <w:nsid w:val="306C4E86"/>
    <w:multiLevelType w:val="hybridMultilevel"/>
    <w:tmpl w:val="1C72868C"/>
    <w:lvl w:ilvl="0" w:tplc="BCB4D8B6">
      <w:start w:val="1"/>
      <w:numFmt w:val="upperLetter"/>
      <w:lvlText w:val="%1."/>
      <w:lvlJc w:val="left"/>
      <w:pPr>
        <w:ind w:left="1440" w:hanging="360"/>
      </w:pPr>
    </w:lvl>
    <w:lvl w:ilvl="1" w:tplc="5104556C" w:tentative="1">
      <w:start w:val="1"/>
      <w:numFmt w:val="lowerLetter"/>
      <w:lvlText w:val="%2."/>
      <w:lvlJc w:val="left"/>
      <w:pPr>
        <w:ind w:left="2160" w:hanging="360"/>
      </w:pPr>
    </w:lvl>
    <w:lvl w:ilvl="2" w:tplc="A0F66B8E" w:tentative="1">
      <w:start w:val="1"/>
      <w:numFmt w:val="lowerRoman"/>
      <w:lvlText w:val="%3."/>
      <w:lvlJc w:val="right"/>
      <w:pPr>
        <w:ind w:left="2880" w:hanging="180"/>
      </w:pPr>
    </w:lvl>
    <w:lvl w:ilvl="3" w:tplc="7DB61AE2" w:tentative="1">
      <w:start w:val="1"/>
      <w:numFmt w:val="decimal"/>
      <w:lvlText w:val="%4."/>
      <w:lvlJc w:val="left"/>
      <w:pPr>
        <w:ind w:left="3600" w:hanging="360"/>
      </w:pPr>
    </w:lvl>
    <w:lvl w:ilvl="4" w:tplc="D2CA3AB6" w:tentative="1">
      <w:start w:val="1"/>
      <w:numFmt w:val="lowerLetter"/>
      <w:lvlText w:val="%5."/>
      <w:lvlJc w:val="left"/>
      <w:pPr>
        <w:ind w:left="4320" w:hanging="360"/>
      </w:pPr>
    </w:lvl>
    <w:lvl w:ilvl="5" w:tplc="E7DEC86E" w:tentative="1">
      <w:start w:val="1"/>
      <w:numFmt w:val="lowerRoman"/>
      <w:lvlText w:val="%6."/>
      <w:lvlJc w:val="right"/>
      <w:pPr>
        <w:ind w:left="5040" w:hanging="180"/>
      </w:pPr>
    </w:lvl>
    <w:lvl w:ilvl="6" w:tplc="CAF6C438" w:tentative="1">
      <w:start w:val="1"/>
      <w:numFmt w:val="decimal"/>
      <w:lvlText w:val="%7."/>
      <w:lvlJc w:val="left"/>
      <w:pPr>
        <w:ind w:left="5760" w:hanging="360"/>
      </w:pPr>
    </w:lvl>
    <w:lvl w:ilvl="7" w:tplc="19DA43AE" w:tentative="1">
      <w:start w:val="1"/>
      <w:numFmt w:val="lowerLetter"/>
      <w:lvlText w:val="%8."/>
      <w:lvlJc w:val="left"/>
      <w:pPr>
        <w:ind w:left="6480" w:hanging="360"/>
      </w:pPr>
    </w:lvl>
    <w:lvl w:ilvl="8" w:tplc="DEDADB7A" w:tentative="1">
      <w:start w:val="1"/>
      <w:numFmt w:val="lowerRoman"/>
      <w:lvlText w:val="%9."/>
      <w:lvlJc w:val="right"/>
      <w:pPr>
        <w:ind w:left="7200" w:hanging="180"/>
      </w:pPr>
    </w:lvl>
  </w:abstractNum>
  <w:abstractNum w:abstractNumId="15" w15:restartNumberingAfterBreak="0">
    <w:nsid w:val="396809BA"/>
    <w:multiLevelType w:val="hybridMultilevel"/>
    <w:tmpl w:val="8D06AC1A"/>
    <w:lvl w:ilvl="0" w:tplc="7B18DA44">
      <w:start w:val="1"/>
      <w:numFmt w:val="bullet"/>
      <w:lvlText w:val=""/>
      <w:lvlJc w:val="left"/>
      <w:pPr>
        <w:ind w:left="1440" w:hanging="360"/>
      </w:pPr>
      <w:rPr>
        <w:rFonts w:ascii="Symbol" w:hAnsi="Symbol" w:hint="default"/>
      </w:rPr>
    </w:lvl>
    <w:lvl w:ilvl="1" w:tplc="E00CB398" w:tentative="1">
      <w:start w:val="1"/>
      <w:numFmt w:val="bullet"/>
      <w:lvlText w:val="o"/>
      <w:lvlJc w:val="left"/>
      <w:pPr>
        <w:ind w:left="2160" w:hanging="360"/>
      </w:pPr>
      <w:rPr>
        <w:rFonts w:ascii="Courier New" w:hAnsi="Courier New" w:cs="Courier New" w:hint="default"/>
      </w:rPr>
    </w:lvl>
    <w:lvl w:ilvl="2" w:tplc="4290246E" w:tentative="1">
      <w:start w:val="1"/>
      <w:numFmt w:val="bullet"/>
      <w:lvlText w:val=""/>
      <w:lvlJc w:val="left"/>
      <w:pPr>
        <w:ind w:left="2880" w:hanging="360"/>
      </w:pPr>
      <w:rPr>
        <w:rFonts w:ascii="Wingdings" w:hAnsi="Wingdings" w:hint="default"/>
      </w:rPr>
    </w:lvl>
    <w:lvl w:ilvl="3" w:tplc="E872DED6" w:tentative="1">
      <w:start w:val="1"/>
      <w:numFmt w:val="bullet"/>
      <w:lvlText w:val=""/>
      <w:lvlJc w:val="left"/>
      <w:pPr>
        <w:ind w:left="3600" w:hanging="360"/>
      </w:pPr>
      <w:rPr>
        <w:rFonts w:ascii="Symbol" w:hAnsi="Symbol" w:hint="default"/>
      </w:rPr>
    </w:lvl>
    <w:lvl w:ilvl="4" w:tplc="65C0F73A" w:tentative="1">
      <w:start w:val="1"/>
      <w:numFmt w:val="bullet"/>
      <w:lvlText w:val="o"/>
      <w:lvlJc w:val="left"/>
      <w:pPr>
        <w:ind w:left="4320" w:hanging="360"/>
      </w:pPr>
      <w:rPr>
        <w:rFonts w:ascii="Courier New" w:hAnsi="Courier New" w:cs="Courier New" w:hint="default"/>
      </w:rPr>
    </w:lvl>
    <w:lvl w:ilvl="5" w:tplc="31284848" w:tentative="1">
      <w:start w:val="1"/>
      <w:numFmt w:val="bullet"/>
      <w:lvlText w:val=""/>
      <w:lvlJc w:val="left"/>
      <w:pPr>
        <w:ind w:left="5040" w:hanging="360"/>
      </w:pPr>
      <w:rPr>
        <w:rFonts w:ascii="Wingdings" w:hAnsi="Wingdings" w:hint="default"/>
      </w:rPr>
    </w:lvl>
    <w:lvl w:ilvl="6" w:tplc="4D4CE764" w:tentative="1">
      <w:start w:val="1"/>
      <w:numFmt w:val="bullet"/>
      <w:lvlText w:val=""/>
      <w:lvlJc w:val="left"/>
      <w:pPr>
        <w:ind w:left="5760" w:hanging="360"/>
      </w:pPr>
      <w:rPr>
        <w:rFonts w:ascii="Symbol" w:hAnsi="Symbol" w:hint="default"/>
      </w:rPr>
    </w:lvl>
    <w:lvl w:ilvl="7" w:tplc="AE581230" w:tentative="1">
      <w:start w:val="1"/>
      <w:numFmt w:val="bullet"/>
      <w:lvlText w:val="o"/>
      <w:lvlJc w:val="left"/>
      <w:pPr>
        <w:ind w:left="6480" w:hanging="360"/>
      </w:pPr>
      <w:rPr>
        <w:rFonts w:ascii="Courier New" w:hAnsi="Courier New" w:cs="Courier New" w:hint="default"/>
      </w:rPr>
    </w:lvl>
    <w:lvl w:ilvl="8" w:tplc="0BE6E218" w:tentative="1">
      <w:start w:val="1"/>
      <w:numFmt w:val="bullet"/>
      <w:lvlText w:val=""/>
      <w:lvlJc w:val="left"/>
      <w:pPr>
        <w:ind w:left="7200" w:hanging="360"/>
      </w:pPr>
      <w:rPr>
        <w:rFonts w:ascii="Wingdings" w:hAnsi="Wingdings" w:hint="default"/>
      </w:rPr>
    </w:lvl>
  </w:abstractNum>
  <w:abstractNum w:abstractNumId="16" w15:restartNumberingAfterBreak="0">
    <w:nsid w:val="493D69A1"/>
    <w:multiLevelType w:val="hybridMultilevel"/>
    <w:tmpl w:val="85487C90"/>
    <w:lvl w:ilvl="0" w:tplc="E6887B08">
      <w:start w:val="1"/>
      <w:numFmt w:val="upperRoman"/>
      <w:lvlText w:val="%1."/>
      <w:lvlJc w:val="right"/>
      <w:pPr>
        <w:ind w:left="1440" w:hanging="360"/>
      </w:pPr>
    </w:lvl>
    <w:lvl w:ilvl="1" w:tplc="7BD068AC" w:tentative="1">
      <w:start w:val="1"/>
      <w:numFmt w:val="lowerLetter"/>
      <w:lvlText w:val="%2."/>
      <w:lvlJc w:val="left"/>
      <w:pPr>
        <w:ind w:left="2160" w:hanging="360"/>
      </w:pPr>
    </w:lvl>
    <w:lvl w:ilvl="2" w:tplc="016A8B42" w:tentative="1">
      <w:start w:val="1"/>
      <w:numFmt w:val="lowerRoman"/>
      <w:lvlText w:val="%3."/>
      <w:lvlJc w:val="right"/>
      <w:pPr>
        <w:ind w:left="2880" w:hanging="180"/>
      </w:pPr>
    </w:lvl>
    <w:lvl w:ilvl="3" w:tplc="E7CE5E96" w:tentative="1">
      <w:start w:val="1"/>
      <w:numFmt w:val="decimal"/>
      <w:lvlText w:val="%4."/>
      <w:lvlJc w:val="left"/>
      <w:pPr>
        <w:ind w:left="3600" w:hanging="360"/>
      </w:pPr>
    </w:lvl>
    <w:lvl w:ilvl="4" w:tplc="1D743B02" w:tentative="1">
      <w:start w:val="1"/>
      <w:numFmt w:val="lowerLetter"/>
      <w:lvlText w:val="%5."/>
      <w:lvlJc w:val="left"/>
      <w:pPr>
        <w:ind w:left="4320" w:hanging="360"/>
      </w:pPr>
    </w:lvl>
    <w:lvl w:ilvl="5" w:tplc="18A0FDE4" w:tentative="1">
      <w:start w:val="1"/>
      <w:numFmt w:val="lowerRoman"/>
      <w:lvlText w:val="%6."/>
      <w:lvlJc w:val="right"/>
      <w:pPr>
        <w:ind w:left="5040" w:hanging="180"/>
      </w:pPr>
    </w:lvl>
    <w:lvl w:ilvl="6" w:tplc="D6864D10" w:tentative="1">
      <w:start w:val="1"/>
      <w:numFmt w:val="decimal"/>
      <w:lvlText w:val="%7."/>
      <w:lvlJc w:val="left"/>
      <w:pPr>
        <w:ind w:left="5760" w:hanging="360"/>
      </w:pPr>
    </w:lvl>
    <w:lvl w:ilvl="7" w:tplc="D376EC64" w:tentative="1">
      <w:start w:val="1"/>
      <w:numFmt w:val="lowerLetter"/>
      <w:lvlText w:val="%8."/>
      <w:lvlJc w:val="left"/>
      <w:pPr>
        <w:ind w:left="6480" w:hanging="360"/>
      </w:pPr>
    </w:lvl>
    <w:lvl w:ilvl="8" w:tplc="7E4A3AAE" w:tentative="1">
      <w:start w:val="1"/>
      <w:numFmt w:val="lowerRoman"/>
      <w:lvlText w:val="%9."/>
      <w:lvlJc w:val="right"/>
      <w:pPr>
        <w:ind w:left="7200" w:hanging="180"/>
      </w:pPr>
    </w:lvl>
  </w:abstractNum>
  <w:abstractNum w:abstractNumId="17" w15:restartNumberingAfterBreak="0">
    <w:nsid w:val="50E95135"/>
    <w:multiLevelType w:val="hybridMultilevel"/>
    <w:tmpl w:val="6E54F5B6"/>
    <w:lvl w:ilvl="0" w:tplc="86DE89D6">
      <w:start w:val="1"/>
      <w:numFmt w:val="bullet"/>
      <w:lvlText w:val=""/>
      <w:lvlJc w:val="left"/>
      <w:pPr>
        <w:ind w:left="1440" w:hanging="360"/>
      </w:pPr>
      <w:rPr>
        <w:rFonts w:ascii="Symbol" w:hAnsi="Symbol" w:hint="default"/>
      </w:rPr>
    </w:lvl>
    <w:lvl w:ilvl="1" w:tplc="3692C6D0" w:tentative="1">
      <w:start w:val="1"/>
      <w:numFmt w:val="bullet"/>
      <w:lvlText w:val="o"/>
      <w:lvlJc w:val="left"/>
      <w:pPr>
        <w:ind w:left="2160" w:hanging="360"/>
      </w:pPr>
      <w:rPr>
        <w:rFonts w:ascii="Courier New" w:hAnsi="Courier New" w:cs="Courier New" w:hint="default"/>
      </w:rPr>
    </w:lvl>
    <w:lvl w:ilvl="2" w:tplc="8CFAEB46" w:tentative="1">
      <w:start w:val="1"/>
      <w:numFmt w:val="bullet"/>
      <w:lvlText w:val=""/>
      <w:lvlJc w:val="left"/>
      <w:pPr>
        <w:ind w:left="2880" w:hanging="360"/>
      </w:pPr>
      <w:rPr>
        <w:rFonts w:ascii="Wingdings" w:hAnsi="Wingdings" w:hint="default"/>
      </w:rPr>
    </w:lvl>
    <w:lvl w:ilvl="3" w:tplc="9230CC86" w:tentative="1">
      <w:start w:val="1"/>
      <w:numFmt w:val="bullet"/>
      <w:lvlText w:val=""/>
      <w:lvlJc w:val="left"/>
      <w:pPr>
        <w:ind w:left="3600" w:hanging="360"/>
      </w:pPr>
      <w:rPr>
        <w:rFonts w:ascii="Symbol" w:hAnsi="Symbol" w:hint="default"/>
      </w:rPr>
    </w:lvl>
    <w:lvl w:ilvl="4" w:tplc="D456A048" w:tentative="1">
      <w:start w:val="1"/>
      <w:numFmt w:val="bullet"/>
      <w:lvlText w:val="o"/>
      <w:lvlJc w:val="left"/>
      <w:pPr>
        <w:ind w:left="4320" w:hanging="360"/>
      </w:pPr>
      <w:rPr>
        <w:rFonts w:ascii="Courier New" w:hAnsi="Courier New" w:cs="Courier New" w:hint="default"/>
      </w:rPr>
    </w:lvl>
    <w:lvl w:ilvl="5" w:tplc="793ED01C" w:tentative="1">
      <w:start w:val="1"/>
      <w:numFmt w:val="bullet"/>
      <w:lvlText w:val=""/>
      <w:lvlJc w:val="left"/>
      <w:pPr>
        <w:ind w:left="5040" w:hanging="360"/>
      </w:pPr>
      <w:rPr>
        <w:rFonts w:ascii="Wingdings" w:hAnsi="Wingdings" w:hint="default"/>
      </w:rPr>
    </w:lvl>
    <w:lvl w:ilvl="6" w:tplc="610A2E72" w:tentative="1">
      <w:start w:val="1"/>
      <w:numFmt w:val="bullet"/>
      <w:lvlText w:val=""/>
      <w:lvlJc w:val="left"/>
      <w:pPr>
        <w:ind w:left="5760" w:hanging="360"/>
      </w:pPr>
      <w:rPr>
        <w:rFonts w:ascii="Symbol" w:hAnsi="Symbol" w:hint="default"/>
      </w:rPr>
    </w:lvl>
    <w:lvl w:ilvl="7" w:tplc="1854D680" w:tentative="1">
      <w:start w:val="1"/>
      <w:numFmt w:val="bullet"/>
      <w:lvlText w:val="o"/>
      <w:lvlJc w:val="left"/>
      <w:pPr>
        <w:ind w:left="6480" w:hanging="360"/>
      </w:pPr>
      <w:rPr>
        <w:rFonts w:ascii="Courier New" w:hAnsi="Courier New" w:cs="Courier New" w:hint="default"/>
      </w:rPr>
    </w:lvl>
    <w:lvl w:ilvl="8" w:tplc="81B0B1B4" w:tentative="1">
      <w:start w:val="1"/>
      <w:numFmt w:val="bullet"/>
      <w:lvlText w:val=""/>
      <w:lvlJc w:val="left"/>
      <w:pPr>
        <w:ind w:left="7200" w:hanging="360"/>
      </w:pPr>
      <w:rPr>
        <w:rFonts w:ascii="Wingdings" w:hAnsi="Wingdings" w:hint="default"/>
      </w:rPr>
    </w:lvl>
  </w:abstractNum>
  <w:abstractNum w:abstractNumId="18" w15:restartNumberingAfterBreak="0">
    <w:nsid w:val="564D0EF3"/>
    <w:multiLevelType w:val="hybridMultilevel"/>
    <w:tmpl w:val="96FA7D82"/>
    <w:lvl w:ilvl="0" w:tplc="8CA89856">
      <w:start w:val="1"/>
      <w:numFmt w:val="upperLetter"/>
      <w:lvlText w:val="%1."/>
      <w:lvlJc w:val="left"/>
      <w:pPr>
        <w:ind w:left="1440" w:hanging="360"/>
      </w:pPr>
    </w:lvl>
    <w:lvl w:ilvl="1" w:tplc="9926E32A" w:tentative="1">
      <w:start w:val="1"/>
      <w:numFmt w:val="lowerLetter"/>
      <w:lvlText w:val="%2."/>
      <w:lvlJc w:val="left"/>
      <w:pPr>
        <w:ind w:left="2160" w:hanging="360"/>
      </w:pPr>
    </w:lvl>
    <w:lvl w:ilvl="2" w:tplc="4A0635C0" w:tentative="1">
      <w:start w:val="1"/>
      <w:numFmt w:val="lowerRoman"/>
      <w:lvlText w:val="%3."/>
      <w:lvlJc w:val="right"/>
      <w:pPr>
        <w:ind w:left="2880" w:hanging="180"/>
      </w:pPr>
    </w:lvl>
    <w:lvl w:ilvl="3" w:tplc="6F9AE26C" w:tentative="1">
      <w:start w:val="1"/>
      <w:numFmt w:val="decimal"/>
      <w:lvlText w:val="%4."/>
      <w:lvlJc w:val="left"/>
      <w:pPr>
        <w:ind w:left="3600" w:hanging="360"/>
      </w:pPr>
    </w:lvl>
    <w:lvl w:ilvl="4" w:tplc="FAF66B36" w:tentative="1">
      <w:start w:val="1"/>
      <w:numFmt w:val="lowerLetter"/>
      <w:lvlText w:val="%5."/>
      <w:lvlJc w:val="left"/>
      <w:pPr>
        <w:ind w:left="4320" w:hanging="360"/>
      </w:pPr>
    </w:lvl>
    <w:lvl w:ilvl="5" w:tplc="6C56BE4C" w:tentative="1">
      <w:start w:val="1"/>
      <w:numFmt w:val="lowerRoman"/>
      <w:lvlText w:val="%6."/>
      <w:lvlJc w:val="right"/>
      <w:pPr>
        <w:ind w:left="5040" w:hanging="180"/>
      </w:pPr>
    </w:lvl>
    <w:lvl w:ilvl="6" w:tplc="10A280DA" w:tentative="1">
      <w:start w:val="1"/>
      <w:numFmt w:val="decimal"/>
      <w:lvlText w:val="%7."/>
      <w:lvlJc w:val="left"/>
      <w:pPr>
        <w:ind w:left="5760" w:hanging="360"/>
      </w:pPr>
    </w:lvl>
    <w:lvl w:ilvl="7" w:tplc="93DA99E4" w:tentative="1">
      <w:start w:val="1"/>
      <w:numFmt w:val="lowerLetter"/>
      <w:lvlText w:val="%8."/>
      <w:lvlJc w:val="left"/>
      <w:pPr>
        <w:ind w:left="6480" w:hanging="360"/>
      </w:pPr>
    </w:lvl>
    <w:lvl w:ilvl="8" w:tplc="5E625F8E" w:tentative="1">
      <w:start w:val="1"/>
      <w:numFmt w:val="lowerRoman"/>
      <w:lvlText w:val="%9."/>
      <w:lvlJc w:val="right"/>
      <w:pPr>
        <w:ind w:left="7200" w:hanging="180"/>
      </w:pPr>
    </w:lvl>
  </w:abstractNum>
  <w:abstractNum w:abstractNumId="19" w15:restartNumberingAfterBreak="0">
    <w:nsid w:val="5F3700AF"/>
    <w:multiLevelType w:val="hybridMultilevel"/>
    <w:tmpl w:val="1498717C"/>
    <w:lvl w:ilvl="0" w:tplc="EA6CF1E6">
      <w:start w:val="1"/>
      <w:numFmt w:val="upperLetter"/>
      <w:lvlText w:val="%1."/>
      <w:lvlJc w:val="left"/>
      <w:pPr>
        <w:ind w:left="1440" w:hanging="360"/>
      </w:pPr>
    </w:lvl>
    <w:lvl w:ilvl="1" w:tplc="B612502E" w:tentative="1">
      <w:start w:val="1"/>
      <w:numFmt w:val="lowerLetter"/>
      <w:lvlText w:val="%2."/>
      <w:lvlJc w:val="left"/>
      <w:pPr>
        <w:ind w:left="2160" w:hanging="360"/>
      </w:pPr>
    </w:lvl>
    <w:lvl w:ilvl="2" w:tplc="70AE58FE" w:tentative="1">
      <w:start w:val="1"/>
      <w:numFmt w:val="lowerRoman"/>
      <w:lvlText w:val="%3."/>
      <w:lvlJc w:val="right"/>
      <w:pPr>
        <w:ind w:left="2880" w:hanging="180"/>
      </w:pPr>
    </w:lvl>
    <w:lvl w:ilvl="3" w:tplc="65725A0C" w:tentative="1">
      <w:start w:val="1"/>
      <w:numFmt w:val="decimal"/>
      <w:lvlText w:val="%4."/>
      <w:lvlJc w:val="left"/>
      <w:pPr>
        <w:ind w:left="3600" w:hanging="360"/>
      </w:pPr>
    </w:lvl>
    <w:lvl w:ilvl="4" w:tplc="0F14CB88" w:tentative="1">
      <w:start w:val="1"/>
      <w:numFmt w:val="lowerLetter"/>
      <w:lvlText w:val="%5."/>
      <w:lvlJc w:val="left"/>
      <w:pPr>
        <w:ind w:left="4320" w:hanging="360"/>
      </w:pPr>
    </w:lvl>
    <w:lvl w:ilvl="5" w:tplc="ACF8393E" w:tentative="1">
      <w:start w:val="1"/>
      <w:numFmt w:val="lowerRoman"/>
      <w:lvlText w:val="%6."/>
      <w:lvlJc w:val="right"/>
      <w:pPr>
        <w:ind w:left="5040" w:hanging="180"/>
      </w:pPr>
    </w:lvl>
    <w:lvl w:ilvl="6" w:tplc="73585CA6" w:tentative="1">
      <w:start w:val="1"/>
      <w:numFmt w:val="decimal"/>
      <w:lvlText w:val="%7."/>
      <w:lvlJc w:val="left"/>
      <w:pPr>
        <w:ind w:left="5760" w:hanging="360"/>
      </w:pPr>
    </w:lvl>
    <w:lvl w:ilvl="7" w:tplc="C01EF494" w:tentative="1">
      <w:start w:val="1"/>
      <w:numFmt w:val="lowerLetter"/>
      <w:lvlText w:val="%8."/>
      <w:lvlJc w:val="left"/>
      <w:pPr>
        <w:ind w:left="6480" w:hanging="360"/>
      </w:pPr>
    </w:lvl>
    <w:lvl w:ilvl="8" w:tplc="79787788" w:tentative="1">
      <w:start w:val="1"/>
      <w:numFmt w:val="lowerRoman"/>
      <w:lvlText w:val="%9."/>
      <w:lvlJc w:val="right"/>
      <w:pPr>
        <w:ind w:left="7200" w:hanging="180"/>
      </w:pPr>
    </w:lvl>
  </w:abstractNum>
  <w:abstractNum w:abstractNumId="20" w15:restartNumberingAfterBreak="0">
    <w:nsid w:val="5F74287D"/>
    <w:multiLevelType w:val="hybridMultilevel"/>
    <w:tmpl w:val="1760228A"/>
    <w:lvl w:ilvl="0" w:tplc="A09ABE20">
      <w:start w:val="1"/>
      <w:numFmt w:val="decimal"/>
      <w:lvlText w:val="%1."/>
      <w:lvlJc w:val="left"/>
      <w:pPr>
        <w:ind w:left="1800" w:hanging="360"/>
      </w:pPr>
      <w:rPr>
        <w:rFonts w:hint="default"/>
      </w:rPr>
    </w:lvl>
    <w:lvl w:ilvl="1" w:tplc="88C0B44E" w:tentative="1">
      <w:start w:val="1"/>
      <w:numFmt w:val="lowerLetter"/>
      <w:lvlText w:val="%2."/>
      <w:lvlJc w:val="left"/>
      <w:pPr>
        <w:ind w:left="2520" w:hanging="360"/>
      </w:pPr>
    </w:lvl>
    <w:lvl w:ilvl="2" w:tplc="A0008710" w:tentative="1">
      <w:start w:val="1"/>
      <w:numFmt w:val="lowerRoman"/>
      <w:lvlText w:val="%3."/>
      <w:lvlJc w:val="right"/>
      <w:pPr>
        <w:ind w:left="3240" w:hanging="180"/>
      </w:pPr>
    </w:lvl>
    <w:lvl w:ilvl="3" w:tplc="098CA28E" w:tentative="1">
      <w:start w:val="1"/>
      <w:numFmt w:val="decimal"/>
      <w:lvlText w:val="%4."/>
      <w:lvlJc w:val="left"/>
      <w:pPr>
        <w:ind w:left="3960" w:hanging="360"/>
      </w:pPr>
    </w:lvl>
    <w:lvl w:ilvl="4" w:tplc="CE1CC208" w:tentative="1">
      <w:start w:val="1"/>
      <w:numFmt w:val="lowerLetter"/>
      <w:lvlText w:val="%5."/>
      <w:lvlJc w:val="left"/>
      <w:pPr>
        <w:ind w:left="4680" w:hanging="360"/>
      </w:pPr>
    </w:lvl>
    <w:lvl w:ilvl="5" w:tplc="4D66B62E" w:tentative="1">
      <w:start w:val="1"/>
      <w:numFmt w:val="lowerRoman"/>
      <w:lvlText w:val="%6."/>
      <w:lvlJc w:val="right"/>
      <w:pPr>
        <w:ind w:left="5400" w:hanging="180"/>
      </w:pPr>
    </w:lvl>
    <w:lvl w:ilvl="6" w:tplc="7174EB30" w:tentative="1">
      <w:start w:val="1"/>
      <w:numFmt w:val="decimal"/>
      <w:lvlText w:val="%7."/>
      <w:lvlJc w:val="left"/>
      <w:pPr>
        <w:ind w:left="6120" w:hanging="360"/>
      </w:pPr>
    </w:lvl>
    <w:lvl w:ilvl="7" w:tplc="35A66CAE" w:tentative="1">
      <w:start w:val="1"/>
      <w:numFmt w:val="lowerLetter"/>
      <w:lvlText w:val="%8."/>
      <w:lvlJc w:val="left"/>
      <w:pPr>
        <w:ind w:left="6840" w:hanging="360"/>
      </w:pPr>
    </w:lvl>
    <w:lvl w:ilvl="8" w:tplc="B784CD4C" w:tentative="1">
      <w:start w:val="1"/>
      <w:numFmt w:val="lowerRoman"/>
      <w:lvlText w:val="%9."/>
      <w:lvlJc w:val="right"/>
      <w:pPr>
        <w:ind w:left="7560" w:hanging="180"/>
      </w:pPr>
    </w:lvl>
  </w:abstractNum>
  <w:abstractNum w:abstractNumId="21" w15:restartNumberingAfterBreak="0">
    <w:nsid w:val="62C73043"/>
    <w:multiLevelType w:val="hybridMultilevel"/>
    <w:tmpl w:val="BC7439A2"/>
    <w:lvl w:ilvl="0" w:tplc="B220EDDA">
      <w:start w:val="1"/>
      <w:numFmt w:val="upperLetter"/>
      <w:lvlText w:val="%1."/>
      <w:lvlJc w:val="left"/>
      <w:pPr>
        <w:ind w:left="1440" w:hanging="360"/>
      </w:pPr>
    </w:lvl>
    <w:lvl w:ilvl="1" w:tplc="8764A61A" w:tentative="1">
      <w:start w:val="1"/>
      <w:numFmt w:val="lowerLetter"/>
      <w:lvlText w:val="%2."/>
      <w:lvlJc w:val="left"/>
      <w:pPr>
        <w:ind w:left="2160" w:hanging="360"/>
      </w:pPr>
    </w:lvl>
    <w:lvl w:ilvl="2" w:tplc="C25CD7DA" w:tentative="1">
      <w:start w:val="1"/>
      <w:numFmt w:val="lowerRoman"/>
      <w:lvlText w:val="%3."/>
      <w:lvlJc w:val="right"/>
      <w:pPr>
        <w:ind w:left="2880" w:hanging="180"/>
      </w:pPr>
    </w:lvl>
    <w:lvl w:ilvl="3" w:tplc="6F7419A6" w:tentative="1">
      <w:start w:val="1"/>
      <w:numFmt w:val="decimal"/>
      <w:lvlText w:val="%4."/>
      <w:lvlJc w:val="left"/>
      <w:pPr>
        <w:ind w:left="3600" w:hanging="360"/>
      </w:pPr>
    </w:lvl>
    <w:lvl w:ilvl="4" w:tplc="4058DE0A" w:tentative="1">
      <w:start w:val="1"/>
      <w:numFmt w:val="lowerLetter"/>
      <w:lvlText w:val="%5."/>
      <w:lvlJc w:val="left"/>
      <w:pPr>
        <w:ind w:left="4320" w:hanging="360"/>
      </w:pPr>
    </w:lvl>
    <w:lvl w:ilvl="5" w:tplc="C054DEA8" w:tentative="1">
      <w:start w:val="1"/>
      <w:numFmt w:val="lowerRoman"/>
      <w:lvlText w:val="%6."/>
      <w:lvlJc w:val="right"/>
      <w:pPr>
        <w:ind w:left="5040" w:hanging="180"/>
      </w:pPr>
    </w:lvl>
    <w:lvl w:ilvl="6" w:tplc="673AB760" w:tentative="1">
      <w:start w:val="1"/>
      <w:numFmt w:val="decimal"/>
      <w:lvlText w:val="%7."/>
      <w:lvlJc w:val="left"/>
      <w:pPr>
        <w:ind w:left="5760" w:hanging="360"/>
      </w:pPr>
    </w:lvl>
    <w:lvl w:ilvl="7" w:tplc="8CBCA630" w:tentative="1">
      <w:start w:val="1"/>
      <w:numFmt w:val="lowerLetter"/>
      <w:lvlText w:val="%8."/>
      <w:lvlJc w:val="left"/>
      <w:pPr>
        <w:ind w:left="6480" w:hanging="360"/>
      </w:pPr>
    </w:lvl>
    <w:lvl w:ilvl="8" w:tplc="11181EC4" w:tentative="1">
      <w:start w:val="1"/>
      <w:numFmt w:val="lowerRoman"/>
      <w:lvlText w:val="%9."/>
      <w:lvlJc w:val="right"/>
      <w:pPr>
        <w:ind w:left="7200" w:hanging="180"/>
      </w:pPr>
    </w:lvl>
  </w:abstractNum>
  <w:abstractNum w:abstractNumId="22" w15:restartNumberingAfterBreak="0">
    <w:nsid w:val="6D191AB9"/>
    <w:multiLevelType w:val="hybridMultilevel"/>
    <w:tmpl w:val="AD66D0F4"/>
    <w:lvl w:ilvl="0" w:tplc="ACCA61AE">
      <w:start w:val="1"/>
      <w:numFmt w:val="upperLetter"/>
      <w:lvlText w:val="%1."/>
      <w:lvlJc w:val="left"/>
      <w:pPr>
        <w:ind w:left="1440" w:hanging="360"/>
      </w:pPr>
    </w:lvl>
    <w:lvl w:ilvl="1" w:tplc="CEEE2B8C" w:tentative="1">
      <w:start w:val="1"/>
      <w:numFmt w:val="lowerLetter"/>
      <w:lvlText w:val="%2."/>
      <w:lvlJc w:val="left"/>
      <w:pPr>
        <w:ind w:left="2160" w:hanging="360"/>
      </w:pPr>
    </w:lvl>
    <w:lvl w:ilvl="2" w:tplc="F4C25E34" w:tentative="1">
      <w:start w:val="1"/>
      <w:numFmt w:val="lowerRoman"/>
      <w:lvlText w:val="%3."/>
      <w:lvlJc w:val="right"/>
      <w:pPr>
        <w:ind w:left="2880" w:hanging="180"/>
      </w:pPr>
    </w:lvl>
    <w:lvl w:ilvl="3" w:tplc="733C22F4" w:tentative="1">
      <w:start w:val="1"/>
      <w:numFmt w:val="decimal"/>
      <w:lvlText w:val="%4."/>
      <w:lvlJc w:val="left"/>
      <w:pPr>
        <w:ind w:left="3600" w:hanging="360"/>
      </w:pPr>
    </w:lvl>
    <w:lvl w:ilvl="4" w:tplc="583EB6DC" w:tentative="1">
      <w:start w:val="1"/>
      <w:numFmt w:val="lowerLetter"/>
      <w:lvlText w:val="%5."/>
      <w:lvlJc w:val="left"/>
      <w:pPr>
        <w:ind w:left="4320" w:hanging="360"/>
      </w:pPr>
    </w:lvl>
    <w:lvl w:ilvl="5" w:tplc="BE7C282A" w:tentative="1">
      <w:start w:val="1"/>
      <w:numFmt w:val="lowerRoman"/>
      <w:lvlText w:val="%6."/>
      <w:lvlJc w:val="right"/>
      <w:pPr>
        <w:ind w:left="5040" w:hanging="180"/>
      </w:pPr>
    </w:lvl>
    <w:lvl w:ilvl="6" w:tplc="373C5AA0" w:tentative="1">
      <w:start w:val="1"/>
      <w:numFmt w:val="decimal"/>
      <w:lvlText w:val="%7."/>
      <w:lvlJc w:val="left"/>
      <w:pPr>
        <w:ind w:left="5760" w:hanging="360"/>
      </w:pPr>
    </w:lvl>
    <w:lvl w:ilvl="7" w:tplc="2242A610" w:tentative="1">
      <w:start w:val="1"/>
      <w:numFmt w:val="lowerLetter"/>
      <w:lvlText w:val="%8."/>
      <w:lvlJc w:val="left"/>
      <w:pPr>
        <w:ind w:left="6480" w:hanging="360"/>
      </w:pPr>
    </w:lvl>
    <w:lvl w:ilvl="8" w:tplc="4854505C" w:tentative="1">
      <w:start w:val="1"/>
      <w:numFmt w:val="lowerRoman"/>
      <w:lvlText w:val="%9."/>
      <w:lvlJc w:val="right"/>
      <w:pPr>
        <w:ind w:left="7200" w:hanging="180"/>
      </w:pPr>
    </w:lvl>
  </w:abstractNum>
  <w:abstractNum w:abstractNumId="23" w15:restartNumberingAfterBreak="0">
    <w:nsid w:val="6D953C5A"/>
    <w:multiLevelType w:val="hybridMultilevel"/>
    <w:tmpl w:val="EDCA181C"/>
    <w:lvl w:ilvl="0" w:tplc="06D80554">
      <w:start w:val="1"/>
      <w:numFmt w:val="upperLetter"/>
      <w:lvlText w:val="%1."/>
      <w:lvlJc w:val="left"/>
      <w:pPr>
        <w:ind w:left="1440" w:hanging="360"/>
      </w:pPr>
    </w:lvl>
    <w:lvl w:ilvl="1" w:tplc="E4121E4C" w:tentative="1">
      <w:start w:val="1"/>
      <w:numFmt w:val="lowerLetter"/>
      <w:lvlText w:val="%2."/>
      <w:lvlJc w:val="left"/>
      <w:pPr>
        <w:ind w:left="2160" w:hanging="360"/>
      </w:pPr>
    </w:lvl>
    <w:lvl w:ilvl="2" w:tplc="9DA6561C" w:tentative="1">
      <w:start w:val="1"/>
      <w:numFmt w:val="lowerRoman"/>
      <w:lvlText w:val="%3."/>
      <w:lvlJc w:val="right"/>
      <w:pPr>
        <w:ind w:left="2880" w:hanging="180"/>
      </w:pPr>
    </w:lvl>
    <w:lvl w:ilvl="3" w:tplc="D5B2909E" w:tentative="1">
      <w:start w:val="1"/>
      <w:numFmt w:val="decimal"/>
      <w:lvlText w:val="%4."/>
      <w:lvlJc w:val="left"/>
      <w:pPr>
        <w:ind w:left="3600" w:hanging="360"/>
      </w:pPr>
    </w:lvl>
    <w:lvl w:ilvl="4" w:tplc="874E29FE" w:tentative="1">
      <w:start w:val="1"/>
      <w:numFmt w:val="lowerLetter"/>
      <w:lvlText w:val="%5."/>
      <w:lvlJc w:val="left"/>
      <w:pPr>
        <w:ind w:left="4320" w:hanging="360"/>
      </w:pPr>
    </w:lvl>
    <w:lvl w:ilvl="5" w:tplc="7EE6DD6E" w:tentative="1">
      <w:start w:val="1"/>
      <w:numFmt w:val="lowerRoman"/>
      <w:lvlText w:val="%6."/>
      <w:lvlJc w:val="right"/>
      <w:pPr>
        <w:ind w:left="5040" w:hanging="180"/>
      </w:pPr>
    </w:lvl>
    <w:lvl w:ilvl="6" w:tplc="3D9CF88E" w:tentative="1">
      <w:start w:val="1"/>
      <w:numFmt w:val="decimal"/>
      <w:lvlText w:val="%7."/>
      <w:lvlJc w:val="left"/>
      <w:pPr>
        <w:ind w:left="5760" w:hanging="360"/>
      </w:pPr>
    </w:lvl>
    <w:lvl w:ilvl="7" w:tplc="FA006D8A" w:tentative="1">
      <w:start w:val="1"/>
      <w:numFmt w:val="lowerLetter"/>
      <w:lvlText w:val="%8."/>
      <w:lvlJc w:val="left"/>
      <w:pPr>
        <w:ind w:left="6480" w:hanging="360"/>
      </w:pPr>
    </w:lvl>
    <w:lvl w:ilvl="8" w:tplc="B1243E46" w:tentative="1">
      <w:start w:val="1"/>
      <w:numFmt w:val="lowerRoman"/>
      <w:lvlText w:val="%9."/>
      <w:lvlJc w:val="right"/>
      <w:pPr>
        <w:ind w:left="7200" w:hanging="180"/>
      </w:pPr>
    </w:lvl>
  </w:abstractNum>
  <w:abstractNum w:abstractNumId="24" w15:restartNumberingAfterBreak="0">
    <w:nsid w:val="732A63DA"/>
    <w:multiLevelType w:val="hybridMultilevel"/>
    <w:tmpl w:val="A9F6BD66"/>
    <w:lvl w:ilvl="0" w:tplc="9FF03D48">
      <w:start w:val="1"/>
      <w:numFmt w:val="upperRoman"/>
      <w:lvlText w:val="%1."/>
      <w:lvlJc w:val="right"/>
      <w:pPr>
        <w:ind w:left="720" w:hanging="360"/>
      </w:pPr>
    </w:lvl>
    <w:lvl w:ilvl="1" w:tplc="82649688" w:tentative="1">
      <w:start w:val="1"/>
      <w:numFmt w:val="lowerLetter"/>
      <w:lvlText w:val="%2."/>
      <w:lvlJc w:val="left"/>
      <w:pPr>
        <w:ind w:left="1440" w:hanging="360"/>
      </w:pPr>
    </w:lvl>
    <w:lvl w:ilvl="2" w:tplc="8B467B66" w:tentative="1">
      <w:start w:val="1"/>
      <w:numFmt w:val="lowerRoman"/>
      <w:lvlText w:val="%3."/>
      <w:lvlJc w:val="right"/>
      <w:pPr>
        <w:ind w:left="2160" w:hanging="180"/>
      </w:pPr>
    </w:lvl>
    <w:lvl w:ilvl="3" w:tplc="6D141852" w:tentative="1">
      <w:start w:val="1"/>
      <w:numFmt w:val="decimal"/>
      <w:lvlText w:val="%4."/>
      <w:lvlJc w:val="left"/>
      <w:pPr>
        <w:ind w:left="2880" w:hanging="360"/>
      </w:pPr>
    </w:lvl>
    <w:lvl w:ilvl="4" w:tplc="87207AB6" w:tentative="1">
      <w:start w:val="1"/>
      <w:numFmt w:val="lowerLetter"/>
      <w:lvlText w:val="%5."/>
      <w:lvlJc w:val="left"/>
      <w:pPr>
        <w:ind w:left="3600" w:hanging="360"/>
      </w:pPr>
    </w:lvl>
    <w:lvl w:ilvl="5" w:tplc="2228CB0C" w:tentative="1">
      <w:start w:val="1"/>
      <w:numFmt w:val="lowerRoman"/>
      <w:lvlText w:val="%6."/>
      <w:lvlJc w:val="right"/>
      <w:pPr>
        <w:ind w:left="4320" w:hanging="180"/>
      </w:pPr>
    </w:lvl>
    <w:lvl w:ilvl="6" w:tplc="0748A1EA" w:tentative="1">
      <w:start w:val="1"/>
      <w:numFmt w:val="decimal"/>
      <w:lvlText w:val="%7."/>
      <w:lvlJc w:val="left"/>
      <w:pPr>
        <w:ind w:left="5040" w:hanging="360"/>
      </w:pPr>
    </w:lvl>
    <w:lvl w:ilvl="7" w:tplc="2E340102" w:tentative="1">
      <w:start w:val="1"/>
      <w:numFmt w:val="lowerLetter"/>
      <w:lvlText w:val="%8."/>
      <w:lvlJc w:val="left"/>
      <w:pPr>
        <w:ind w:left="5760" w:hanging="360"/>
      </w:pPr>
    </w:lvl>
    <w:lvl w:ilvl="8" w:tplc="EDBE1C24" w:tentative="1">
      <w:start w:val="1"/>
      <w:numFmt w:val="lowerRoman"/>
      <w:lvlText w:val="%9."/>
      <w:lvlJc w:val="right"/>
      <w:pPr>
        <w:ind w:left="6480" w:hanging="180"/>
      </w:pPr>
    </w:lvl>
  </w:abstractNum>
  <w:abstractNum w:abstractNumId="25" w15:restartNumberingAfterBreak="0">
    <w:nsid w:val="7A433CF3"/>
    <w:multiLevelType w:val="hybridMultilevel"/>
    <w:tmpl w:val="821CDEBE"/>
    <w:lvl w:ilvl="0" w:tplc="48DEB8E0">
      <w:start w:val="1"/>
      <w:numFmt w:val="bullet"/>
      <w:lvlText w:val=""/>
      <w:lvlJc w:val="left"/>
      <w:pPr>
        <w:ind w:left="1440" w:hanging="360"/>
      </w:pPr>
      <w:rPr>
        <w:rFonts w:ascii="Symbol" w:hAnsi="Symbol" w:hint="default"/>
      </w:rPr>
    </w:lvl>
    <w:lvl w:ilvl="1" w:tplc="F50A1070" w:tentative="1">
      <w:start w:val="1"/>
      <w:numFmt w:val="bullet"/>
      <w:lvlText w:val="o"/>
      <w:lvlJc w:val="left"/>
      <w:pPr>
        <w:ind w:left="2160" w:hanging="360"/>
      </w:pPr>
      <w:rPr>
        <w:rFonts w:ascii="Courier New" w:hAnsi="Courier New" w:cs="Courier New" w:hint="default"/>
      </w:rPr>
    </w:lvl>
    <w:lvl w:ilvl="2" w:tplc="FE48D946" w:tentative="1">
      <w:start w:val="1"/>
      <w:numFmt w:val="bullet"/>
      <w:lvlText w:val=""/>
      <w:lvlJc w:val="left"/>
      <w:pPr>
        <w:ind w:left="2880" w:hanging="360"/>
      </w:pPr>
      <w:rPr>
        <w:rFonts w:ascii="Wingdings" w:hAnsi="Wingdings" w:hint="default"/>
      </w:rPr>
    </w:lvl>
    <w:lvl w:ilvl="3" w:tplc="0D42E41E" w:tentative="1">
      <w:start w:val="1"/>
      <w:numFmt w:val="bullet"/>
      <w:lvlText w:val=""/>
      <w:lvlJc w:val="left"/>
      <w:pPr>
        <w:ind w:left="3600" w:hanging="360"/>
      </w:pPr>
      <w:rPr>
        <w:rFonts w:ascii="Symbol" w:hAnsi="Symbol" w:hint="default"/>
      </w:rPr>
    </w:lvl>
    <w:lvl w:ilvl="4" w:tplc="12BCF57E" w:tentative="1">
      <w:start w:val="1"/>
      <w:numFmt w:val="bullet"/>
      <w:lvlText w:val="o"/>
      <w:lvlJc w:val="left"/>
      <w:pPr>
        <w:ind w:left="4320" w:hanging="360"/>
      </w:pPr>
      <w:rPr>
        <w:rFonts w:ascii="Courier New" w:hAnsi="Courier New" w:cs="Courier New" w:hint="default"/>
      </w:rPr>
    </w:lvl>
    <w:lvl w:ilvl="5" w:tplc="9E14EC82" w:tentative="1">
      <w:start w:val="1"/>
      <w:numFmt w:val="bullet"/>
      <w:lvlText w:val=""/>
      <w:lvlJc w:val="left"/>
      <w:pPr>
        <w:ind w:left="5040" w:hanging="360"/>
      </w:pPr>
      <w:rPr>
        <w:rFonts w:ascii="Wingdings" w:hAnsi="Wingdings" w:hint="default"/>
      </w:rPr>
    </w:lvl>
    <w:lvl w:ilvl="6" w:tplc="EF32FAA4" w:tentative="1">
      <w:start w:val="1"/>
      <w:numFmt w:val="bullet"/>
      <w:lvlText w:val=""/>
      <w:lvlJc w:val="left"/>
      <w:pPr>
        <w:ind w:left="5760" w:hanging="360"/>
      </w:pPr>
      <w:rPr>
        <w:rFonts w:ascii="Symbol" w:hAnsi="Symbol" w:hint="default"/>
      </w:rPr>
    </w:lvl>
    <w:lvl w:ilvl="7" w:tplc="08D63C06" w:tentative="1">
      <w:start w:val="1"/>
      <w:numFmt w:val="bullet"/>
      <w:lvlText w:val="o"/>
      <w:lvlJc w:val="left"/>
      <w:pPr>
        <w:ind w:left="6480" w:hanging="360"/>
      </w:pPr>
      <w:rPr>
        <w:rFonts w:ascii="Courier New" w:hAnsi="Courier New" w:cs="Courier New" w:hint="default"/>
      </w:rPr>
    </w:lvl>
    <w:lvl w:ilvl="8" w:tplc="207A6CD2" w:tentative="1">
      <w:start w:val="1"/>
      <w:numFmt w:val="bullet"/>
      <w:lvlText w:val=""/>
      <w:lvlJc w:val="left"/>
      <w:pPr>
        <w:ind w:left="7200" w:hanging="360"/>
      </w:pPr>
      <w:rPr>
        <w:rFonts w:ascii="Wingdings" w:hAnsi="Wingdings" w:hint="default"/>
      </w:rPr>
    </w:lvl>
  </w:abstractNum>
  <w:num w:numId="1">
    <w:abstractNumId w:val="24"/>
  </w:num>
  <w:num w:numId="2">
    <w:abstractNumId w:val="18"/>
  </w:num>
  <w:num w:numId="3">
    <w:abstractNumId w:val="23"/>
  </w:num>
  <w:num w:numId="4">
    <w:abstractNumId w:val="22"/>
  </w:num>
  <w:num w:numId="5">
    <w:abstractNumId w:val="16"/>
  </w:num>
  <w:num w:numId="6">
    <w:abstractNumId w:val="25"/>
  </w:num>
  <w:num w:numId="7">
    <w:abstractNumId w:val="19"/>
  </w:num>
  <w:num w:numId="8">
    <w:abstractNumId w:val="14"/>
  </w:num>
  <w:num w:numId="9">
    <w:abstractNumId w:val="12"/>
  </w:num>
  <w:num w:numId="10">
    <w:abstractNumId w:val="21"/>
  </w:num>
  <w:num w:numId="11">
    <w:abstractNumId w:val="17"/>
  </w:num>
  <w:num w:numId="12">
    <w:abstractNumId w:val="13"/>
  </w:num>
  <w:num w:numId="13">
    <w:abstractNumId w:val="11"/>
  </w:num>
  <w:num w:numId="14">
    <w:abstractNumId w:val="15"/>
  </w:num>
  <w:num w:numId="15">
    <w:abstractNumId w:val="20"/>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mirrorMargin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8C"/>
    <w:rsid w:val="003B0DA9"/>
    <w:rsid w:val="0054318C"/>
    <w:rsid w:val="00F515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58F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AB3"/>
    <w:rPr>
      <w:sz w:val="24"/>
    </w:rPr>
  </w:style>
  <w:style w:type="paragraph" w:styleId="Heading1">
    <w:name w:val="heading 1"/>
    <w:basedOn w:val="Normal"/>
    <w:next w:val="Normal"/>
    <w:link w:val="Heading1Char"/>
    <w:autoRedefine/>
    <w:qFormat/>
    <w:rsid w:val="0067681E"/>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67681E"/>
    <w:pPr>
      <w:keepNext/>
      <w:tabs>
        <w:tab w:val="left" w:pos="4320"/>
      </w:tabs>
      <w:spacing w:after="240"/>
      <w:ind w:left="1440" w:right="720" w:hanging="720"/>
      <w:outlineLvl w:val="1"/>
    </w:pPr>
    <w:rPr>
      <w:rFonts w:ascii="Times New Roman Bold" w:hAnsi="Times New Roman Bold"/>
      <w:b/>
    </w:rPr>
  </w:style>
  <w:style w:type="paragraph" w:styleId="Heading3">
    <w:name w:val="heading 3"/>
    <w:basedOn w:val="Normal"/>
    <w:next w:val="Normal"/>
    <w:link w:val="Heading3Char"/>
    <w:autoRedefine/>
    <w:unhideWhenUsed/>
    <w:qFormat/>
    <w:rsid w:val="009714EC"/>
    <w:pPr>
      <w:keepNext/>
      <w:keepLines/>
      <w:spacing w:after="240"/>
      <w:ind w:left="2160" w:right="720" w:hanging="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uiPriority w:val="99"/>
    <w:rsid w:val="007C2976"/>
    <w:rPr>
      <w:color w:val="0000FF"/>
      <w:u w:val="single"/>
    </w:rPr>
  </w:style>
  <w:style w:type="paragraph" w:styleId="FootnoteText">
    <w:name w:val="footnote text"/>
    <w:basedOn w:val="Normal"/>
    <w:link w:val="FootnoteTextChar"/>
    <w:uiPriority w:val="99"/>
    <w:rsid w:val="007C2976"/>
    <w:pPr>
      <w:spacing w:before="120"/>
    </w:pPr>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7C2976"/>
    <w:rPr>
      <w:vertAlign w:val="superscript"/>
    </w:rPr>
  </w:style>
  <w:style w:type="paragraph" w:styleId="BodyTextIndent">
    <w:name w:val="Body Text Indent"/>
    <w:basedOn w:val="Normal"/>
    <w:link w:val="BodyTextIndentChar"/>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uiPriority w:val="99"/>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paragraph" w:styleId="ListParagraph">
    <w:name w:val="List Paragraph"/>
    <w:basedOn w:val="Normal"/>
    <w:uiPriority w:val="34"/>
    <w:qFormat/>
    <w:rsid w:val="00704873"/>
    <w:pPr>
      <w:ind w:left="720"/>
      <w:contextualSpacing/>
    </w:pPr>
  </w:style>
  <w:style w:type="paragraph" w:styleId="EndnoteText">
    <w:name w:val="endnote text"/>
    <w:basedOn w:val="Normal"/>
    <w:link w:val="EndnoteTextChar"/>
    <w:rsid w:val="00AF29C0"/>
    <w:rPr>
      <w:sz w:val="20"/>
    </w:rPr>
  </w:style>
  <w:style w:type="character" w:customStyle="1" w:styleId="EndnoteTextChar">
    <w:name w:val="Endnote Text Char"/>
    <w:basedOn w:val="DefaultParagraphFont"/>
    <w:link w:val="EndnoteText"/>
    <w:rsid w:val="00AF29C0"/>
  </w:style>
  <w:style w:type="character" w:styleId="EndnoteReference">
    <w:name w:val="endnote reference"/>
    <w:basedOn w:val="DefaultParagraphFont"/>
    <w:rsid w:val="00AF29C0"/>
    <w:rPr>
      <w:vertAlign w:val="superscript"/>
    </w:rPr>
  </w:style>
  <w:style w:type="character" w:customStyle="1" w:styleId="apple-converted-space">
    <w:name w:val="apple-converted-space"/>
    <w:basedOn w:val="DefaultParagraphFont"/>
    <w:rsid w:val="0040693B"/>
  </w:style>
  <w:style w:type="character" w:customStyle="1" w:styleId="Heading1Char">
    <w:name w:val="Heading 1 Char"/>
    <w:basedOn w:val="DefaultParagraphFont"/>
    <w:link w:val="Heading1"/>
    <w:rsid w:val="0067681E"/>
    <w:rPr>
      <w:rFonts w:ascii="Times New Roman Bold" w:hAnsi="Times New Roman Bold"/>
      <w:b/>
      <w:caps/>
      <w:sz w:val="24"/>
      <w:szCs w:val="24"/>
    </w:rPr>
  </w:style>
  <w:style w:type="character" w:customStyle="1" w:styleId="Heading2Char">
    <w:name w:val="Heading 2 Char"/>
    <w:basedOn w:val="DefaultParagraphFont"/>
    <w:link w:val="Heading2"/>
    <w:rsid w:val="0067681E"/>
    <w:rPr>
      <w:rFonts w:ascii="Times New Roman Bold" w:hAnsi="Times New Roman Bold"/>
      <w:b/>
      <w:sz w:val="24"/>
    </w:rPr>
  </w:style>
  <w:style w:type="character" w:customStyle="1" w:styleId="TOC2Char">
    <w:name w:val="TOC 2 Char"/>
    <w:basedOn w:val="DefaultParagraphFont"/>
    <w:link w:val="TOC2"/>
    <w:uiPriority w:val="39"/>
    <w:rsid w:val="00CD57C1"/>
    <w:rPr>
      <w:sz w:val="24"/>
    </w:rPr>
  </w:style>
  <w:style w:type="paragraph" w:styleId="TOC1">
    <w:name w:val="toc 1"/>
    <w:basedOn w:val="Normal"/>
    <w:next w:val="Normal"/>
    <w:autoRedefine/>
    <w:uiPriority w:val="39"/>
    <w:qFormat/>
    <w:rsid w:val="00CD57C1"/>
    <w:pPr>
      <w:tabs>
        <w:tab w:val="decimal" w:leader="dot" w:pos="8640"/>
      </w:tabs>
      <w:spacing w:after="240"/>
      <w:ind w:left="720" w:hanging="720"/>
      <w:outlineLvl w:val="0"/>
    </w:pPr>
    <w:rPr>
      <w:caps/>
    </w:rPr>
  </w:style>
  <w:style w:type="paragraph" w:styleId="TOC2">
    <w:name w:val="toc 2"/>
    <w:basedOn w:val="Normal"/>
    <w:next w:val="Normal"/>
    <w:link w:val="TOC2Char"/>
    <w:autoRedefine/>
    <w:uiPriority w:val="39"/>
    <w:qFormat/>
    <w:rsid w:val="00CD57C1"/>
    <w:pPr>
      <w:tabs>
        <w:tab w:val="decimal" w:leader="dot" w:pos="8640"/>
      </w:tabs>
      <w:spacing w:after="240"/>
      <w:ind w:left="1440" w:hanging="720"/>
      <w:outlineLvl w:val="1"/>
    </w:pPr>
  </w:style>
  <w:style w:type="character" w:customStyle="1" w:styleId="Heading3Char">
    <w:name w:val="Heading 3 Char"/>
    <w:basedOn w:val="DefaultParagraphFont"/>
    <w:link w:val="Heading3"/>
    <w:rsid w:val="009714EC"/>
    <w:rPr>
      <w:rFonts w:eastAsiaTheme="majorEastAsia" w:cstheme="majorBidi"/>
      <w:b/>
      <w:sz w:val="24"/>
      <w:szCs w:val="24"/>
    </w:rPr>
  </w:style>
  <w:style w:type="character" w:customStyle="1" w:styleId="BodyTextChar">
    <w:name w:val="Body Text Char"/>
    <w:basedOn w:val="DefaultParagraphFont"/>
    <w:link w:val="BodyText"/>
    <w:rsid w:val="00296AB3"/>
    <w:rPr>
      <w:sz w:val="24"/>
    </w:rPr>
  </w:style>
  <w:style w:type="character" w:customStyle="1" w:styleId="BodyTextIndentChar">
    <w:name w:val="Body Text Indent Char"/>
    <w:basedOn w:val="DefaultParagraphFont"/>
    <w:link w:val="BodyTextIndent"/>
    <w:rsid w:val="00296AB3"/>
    <w:rPr>
      <w:sz w:val="24"/>
    </w:rPr>
  </w:style>
  <w:style w:type="paragraph" w:styleId="TOC3">
    <w:name w:val="toc 3"/>
    <w:basedOn w:val="Normal"/>
    <w:next w:val="Normal"/>
    <w:autoRedefine/>
    <w:uiPriority w:val="39"/>
    <w:unhideWhenUsed/>
    <w:qFormat/>
    <w:rsid w:val="00CD57C1"/>
    <w:pPr>
      <w:spacing w:after="240"/>
      <w:ind w:left="2160" w:hanging="72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opher.healey@occ.ohio.gov" TargetMode="Externa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er.healey@occ.ohio.gov"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2737</Words>
  <Characters>14973</Characters>
  <Application>Microsoft Office Word</Application>
  <DocSecurity>0</DocSecurity>
  <PresentationFormat/>
  <Lines>370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C16-649-EL-POR - OCC Reply Brief.docx</dc:title>
  <cp:lastModifiedBy/>
  <cp:revision>1</cp:revision>
  <dcterms:created xsi:type="dcterms:W3CDTF">2017-03-24T19:47:00Z</dcterms:created>
  <dcterms:modified xsi:type="dcterms:W3CDTF">2017-03-24T19:49:00Z</dcterms:modified>
</cp:coreProperties>
</file>