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D302D" w:rsidRPr="00E61247" w:rsidP="004D302D" w14:paraId="4E8062B9" w14:textId="77777777">
      <w:pPr>
        <w:pStyle w:val="HTMLPreformatted"/>
        <w:jc w:val="center"/>
        <w:rPr>
          <w:rFonts w:ascii="Times New Roman" w:hAnsi="Times New Roman" w:cs="Times New Roman"/>
          <w:b/>
          <w:bCs/>
          <w:sz w:val="24"/>
          <w:szCs w:val="24"/>
        </w:rPr>
      </w:pPr>
      <w:r w:rsidRPr="00E61247">
        <w:rPr>
          <w:rFonts w:ascii="Times New Roman" w:hAnsi="Times New Roman" w:cs="Times New Roman"/>
          <w:b/>
          <w:bCs/>
          <w:sz w:val="24"/>
          <w:szCs w:val="24"/>
        </w:rPr>
        <w:t>BEFORE</w:t>
      </w:r>
    </w:p>
    <w:p w:rsidR="004D302D" w:rsidRPr="00E61247" w:rsidP="004D302D" w14:paraId="2E582242" w14:textId="77777777">
      <w:pPr>
        <w:pStyle w:val="HTMLPreformatted"/>
        <w:jc w:val="center"/>
        <w:rPr>
          <w:rFonts w:ascii="Times New Roman" w:hAnsi="Times New Roman" w:cs="Times New Roman"/>
          <w:sz w:val="24"/>
          <w:szCs w:val="24"/>
        </w:rPr>
      </w:pPr>
      <w:r w:rsidRPr="00E61247">
        <w:rPr>
          <w:rFonts w:ascii="Times New Roman" w:hAnsi="Times New Roman" w:cs="Times New Roman"/>
          <w:b/>
          <w:bCs/>
          <w:sz w:val="24"/>
          <w:szCs w:val="24"/>
        </w:rPr>
        <w:t>THE PUBLIC UTILITIES COMMISSION OF OHIO</w:t>
      </w:r>
    </w:p>
    <w:p w:rsidR="004D302D" w:rsidRPr="00E61247" w:rsidP="004D302D" w14:paraId="062709A8" w14:textId="77777777">
      <w:pPr>
        <w:pStyle w:val="HTMLPreformatted"/>
        <w:rPr>
          <w:rFonts w:ascii="Times New Roman" w:hAnsi="Times New Roman" w:cs="Times New Roman"/>
          <w:sz w:val="24"/>
          <w:szCs w:val="24"/>
        </w:rPr>
      </w:pPr>
    </w:p>
    <w:tbl>
      <w:tblPr>
        <w:tblW w:w="9452" w:type="dxa"/>
        <w:tblLook w:val="01E0"/>
      </w:tblPr>
      <w:tblGrid>
        <w:gridCol w:w="4692"/>
        <w:gridCol w:w="360"/>
        <w:gridCol w:w="4400"/>
      </w:tblGrid>
      <w:tr w14:paraId="57A77629" w14:textId="77777777" w:rsidTr="00D968C9">
        <w:tblPrEx>
          <w:tblW w:w="9452" w:type="dxa"/>
          <w:tblLook w:val="01E0"/>
        </w:tblPrEx>
        <w:trPr>
          <w:trHeight w:val="807"/>
        </w:trPr>
        <w:tc>
          <w:tcPr>
            <w:tcW w:w="4692" w:type="dxa"/>
            <w:shd w:val="clear" w:color="auto" w:fill="auto"/>
          </w:tcPr>
          <w:p w:rsidR="004D302D" w:rsidRPr="00E61247" w:rsidP="00D968C9" w14:paraId="22AA370B" w14:textId="77777777">
            <w:pPr>
              <w:autoSpaceDE w:val="0"/>
              <w:autoSpaceDN w:val="0"/>
              <w:adjustRightInd w:val="0"/>
              <w:rPr>
                <w:szCs w:val="24"/>
              </w:rPr>
            </w:pPr>
          </w:p>
          <w:p w:rsidR="004D302D" w:rsidRPr="00E61247" w:rsidP="00D968C9" w14:paraId="770E5FA2" w14:textId="77777777">
            <w:pPr>
              <w:autoSpaceDE w:val="0"/>
              <w:autoSpaceDN w:val="0"/>
              <w:adjustRightInd w:val="0"/>
              <w:rPr>
                <w:szCs w:val="24"/>
              </w:rPr>
            </w:pPr>
          </w:p>
          <w:p w:rsidR="004D302D" w:rsidRPr="00E61247" w:rsidP="00D968C9" w14:paraId="7D77C45B" w14:textId="77777777">
            <w:pPr>
              <w:autoSpaceDE w:val="0"/>
              <w:autoSpaceDN w:val="0"/>
              <w:adjustRightInd w:val="0"/>
              <w:rPr>
                <w:szCs w:val="24"/>
              </w:rPr>
            </w:pPr>
            <w:r w:rsidRPr="00E61247">
              <w:rPr>
                <w:szCs w:val="24"/>
              </w:rPr>
              <w:t>In the Matters of the Applications of Duke Energy Ohio, Inc., for Adjustments to Rider MGP Rates.</w:t>
            </w:r>
          </w:p>
          <w:p w:rsidR="004D302D" w:rsidRPr="00E61247" w:rsidP="00D968C9" w14:paraId="76B4D6A9" w14:textId="77777777">
            <w:pPr>
              <w:autoSpaceDE w:val="0"/>
              <w:autoSpaceDN w:val="0"/>
              <w:adjustRightInd w:val="0"/>
              <w:rPr>
                <w:szCs w:val="24"/>
              </w:rPr>
            </w:pPr>
          </w:p>
          <w:p w:rsidR="004D302D" w:rsidRPr="00E61247" w:rsidP="00D968C9" w14:paraId="129BF820" w14:textId="77777777">
            <w:pPr>
              <w:autoSpaceDE w:val="0"/>
              <w:autoSpaceDN w:val="0"/>
              <w:adjustRightInd w:val="0"/>
              <w:rPr>
                <w:szCs w:val="24"/>
              </w:rPr>
            </w:pPr>
          </w:p>
          <w:p w:rsidR="004D302D" w:rsidRPr="00E61247" w:rsidP="00D968C9" w14:paraId="048A984E" w14:textId="77777777">
            <w:pPr>
              <w:autoSpaceDE w:val="0"/>
              <w:autoSpaceDN w:val="0"/>
              <w:adjustRightInd w:val="0"/>
              <w:rPr>
                <w:szCs w:val="24"/>
              </w:rPr>
            </w:pPr>
          </w:p>
          <w:p w:rsidR="004D302D" w:rsidRPr="00E61247" w:rsidP="00D968C9" w14:paraId="5401900C" w14:textId="77777777">
            <w:pPr>
              <w:autoSpaceDE w:val="0"/>
              <w:autoSpaceDN w:val="0"/>
              <w:adjustRightInd w:val="0"/>
              <w:rPr>
                <w:szCs w:val="24"/>
              </w:rPr>
            </w:pPr>
          </w:p>
          <w:p w:rsidR="00FF1B8A" w:rsidP="00D968C9" w14:paraId="3D915528" w14:textId="77777777">
            <w:pPr>
              <w:autoSpaceDE w:val="0"/>
              <w:autoSpaceDN w:val="0"/>
              <w:adjustRightInd w:val="0"/>
              <w:rPr>
                <w:szCs w:val="24"/>
              </w:rPr>
            </w:pPr>
          </w:p>
          <w:p w:rsidR="00FF1B8A" w:rsidP="00D968C9" w14:paraId="4B561DE1" w14:textId="77777777">
            <w:pPr>
              <w:autoSpaceDE w:val="0"/>
              <w:autoSpaceDN w:val="0"/>
              <w:adjustRightInd w:val="0"/>
              <w:rPr>
                <w:szCs w:val="24"/>
              </w:rPr>
            </w:pPr>
          </w:p>
          <w:p w:rsidR="004D302D" w:rsidP="00D968C9" w14:paraId="0DD95382" w14:textId="0B7CBC72">
            <w:pPr>
              <w:autoSpaceDE w:val="0"/>
              <w:autoSpaceDN w:val="0"/>
              <w:adjustRightInd w:val="0"/>
              <w:rPr>
                <w:szCs w:val="24"/>
              </w:rPr>
            </w:pPr>
            <w:r w:rsidRPr="00E61247">
              <w:rPr>
                <w:szCs w:val="24"/>
              </w:rPr>
              <w:t>In the Matters of the Applications of Duke Energy Ohio, Inc. for Tariff Approval.</w:t>
            </w:r>
          </w:p>
          <w:p w:rsidR="00FF1B8A" w:rsidP="00D968C9" w14:paraId="7A2E5C3A" w14:textId="77777777">
            <w:pPr>
              <w:autoSpaceDE w:val="0"/>
              <w:autoSpaceDN w:val="0"/>
              <w:adjustRightInd w:val="0"/>
              <w:rPr>
                <w:szCs w:val="24"/>
              </w:rPr>
            </w:pPr>
          </w:p>
          <w:p w:rsidR="00FF1B8A" w:rsidP="00D968C9" w14:paraId="73355EC4" w14:textId="77777777">
            <w:pPr>
              <w:autoSpaceDE w:val="0"/>
              <w:autoSpaceDN w:val="0"/>
              <w:adjustRightInd w:val="0"/>
              <w:rPr>
                <w:szCs w:val="24"/>
              </w:rPr>
            </w:pPr>
          </w:p>
          <w:p w:rsidR="00FF1B8A" w:rsidP="00D968C9" w14:paraId="4185D17E" w14:textId="6BE5F64D">
            <w:pPr>
              <w:autoSpaceDE w:val="0"/>
              <w:autoSpaceDN w:val="0"/>
              <w:adjustRightInd w:val="0"/>
              <w:rPr>
                <w:szCs w:val="24"/>
              </w:rPr>
            </w:pPr>
          </w:p>
          <w:p w:rsidR="00FF1B8A" w:rsidP="00D968C9" w14:paraId="0D04B81A" w14:textId="77777777">
            <w:pPr>
              <w:autoSpaceDE w:val="0"/>
              <w:autoSpaceDN w:val="0"/>
              <w:adjustRightInd w:val="0"/>
              <w:rPr>
                <w:szCs w:val="24"/>
              </w:rPr>
            </w:pPr>
          </w:p>
          <w:p w:rsidR="00FF1B8A" w:rsidP="00D968C9" w14:paraId="7026E4E0" w14:textId="0F29903F">
            <w:pPr>
              <w:autoSpaceDE w:val="0"/>
              <w:autoSpaceDN w:val="0"/>
              <w:adjustRightInd w:val="0"/>
              <w:rPr>
                <w:szCs w:val="24"/>
              </w:rPr>
            </w:pPr>
            <w:r>
              <w:rPr>
                <w:szCs w:val="24"/>
              </w:rPr>
              <w:t>In the Matter of the Application of Duke Energy Ohio, Inc., for Implementation of the Tax Cuts and Jobs Act of 2017.</w:t>
            </w:r>
          </w:p>
          <w:p w:rsidR="00FF1B8A" w:rsidP="00D968C9" w14:paraId="54982590" w14:textId="77777777">
            <w:pPr>
              <w:autoSpaceDE w:val="0"/>
              <w:autoSpaceDN w:val="0"/>
              <w:adjustRightInd w:val="0"/>
              <w:rPr>
                <w:szCs w:val="24"/>
              </w:rPr>
            </w:pPr>
          </w:p>
          <w:p w:rsidR="00FF1B8A" w:rsidP="00D968C9" w14:paraId="391CC9BF" w14:textId="77777777">
            <w:pPr>
              <w:autoSpaceDE w:val="0"/>
              <w:autoSpaceDN w:val="0"/>
              <w:adjustRightInd w:val="0"/>
              <w:rPr>
                <w:szCs w:val="24"/>
              </w:rPr>
            </w:pPr>
            <w:r>
              <w:rPr>
                <w:szCs w:val="24"/>
              </w:rPr>
              <w:t>In the Matter of the Application of Duke Energy Ohio, Inc., for Approval of Tariff Amendments.</w:t>
            </w:r>
          </w:p>
          <w:p w:rsidR="00FF1B8A" w:rsidP="00D968C9" w14:paraId="2DF64172" w14:textId="77777777">
            <w:pPr>
              <w:autoSpaceDE w:val="0"/>
              <w:autoSpaceDN w:val="0"/>
              <w:adjustRightInd w:val="0"/>
              <w:rPr>
                <w:szCs w:val="24"/>
              </w:rPr>
            </w:pPr>
          </w:p>
          <w:p w:rsidR="00FF1B8A" w:rsidRPr="00FF1B8A" w:rsidP="00D968C9" w14:paraId="5B00008A" w14:textId="0C65588F">
            <w:pPr>
              <w:autoSpaceDE w:val="0"/>
              <w:autoSpaceDN w:val="0"/>
              <w:adjustRightInd w:val="0"/>
            </w:pPr>
            <w:r>
              <w:rPr>
                <w:szCs w:val="24"/>
              </w:rPr>
              <w:t xml:space="preserve">In the Matter of the Application </w:t>
            </w:r>
            <w:r w:rsidRPr="007A2091">
              <w:t>of Duke Energy Ohio, Inc., for Authority to Defer Environmental Investigation and Remediation Costs</w:t>
            </w:r>
            <w:r>
              <w:t>.</w:t>
            </w:r>
          </w:p>
        </w:tc>
        <w:tc>
          <w:tcPr>
            <w:tcW w:w="360" w:type="dxa"/>
            <w:shd w:val="clear" w:color="auto" w:fill="auto"/>
          </w:tcPr>
          <w:p w:rsidR="004D302D" w:rsidRPr="00E61247" w:rsidP="00D968C9" w14:paraId="2A21825B"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29296D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CB11E94"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21EEEC4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65EA674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6C8A188A" w14:textId="77A87858">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RPr="00E61247" w:rsidP="00D968C9" w14:paraId="151DC5ED" w14:textId="323ED59D">
            <w:pPr>
              <w:pStyle w:val="HTMLPreformatted"/>
              <w:rPr>
                <w:rFonts w:ascii="Times New Roman" w:hAnsi="Times New Roman" w:cs="Times New Roman"/>
                <w:sz w:val="24"/>
                <w:szCs w:val="24"/>
              </w:rPr>
            </w:pPr>
            <w:r>
              <w:rPr>
                <w:rFonts w:ascii="Times New Roman" w:hAnsi="Times New Roman" w:cs="Times New Roman"/>
                <w:sz w:val="24"/>
                <w:szCs w:val="24"/>
              </w:rPr>
              <w:t>)</w:t>
            </w:r>
          </w:p>
          <w:p w:rsidR="004D302D" w:rsidRPr="00E61247" w:rsidP="00D968C9" w14:paraId="08DC53FB" w14:textId="77777777">
            <w:pPr>
              <w:pStyle w:val="HTMLPreformatted"/>
              <w:rPr>
                <w:rFonts w:ascii="Times New Roman" w:hAnsi="Times New Roman" w:cs="Times New Roman"/>
                <w:sz w:val="24"/>
                <w:szCs w:val="24"/>
              </w:rPr>
            </w:pPr>
          </w:p>
          <w:p w:rsidR="004D302D" w:rsidRPr="00E61247" w:rsidP="00D968C9" w14:paraId="078E82C1"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013ACCEE"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47D47D62"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3DDAF7E9"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RPr="00E61247" w:rsidP="00D968C9" w14:paraId="14658CC0" w14:textId="77777777">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4D302D" w:rsidP="00D968C9" w14:paraId="54DE4BDA" w14:textId="2F95AA93">
            <w:pPr>
              <w:pStyle w:val="HTMLPreformatted"/>
              <w:rPr>
                <w:rFonts w:ascii="Times New Roman" w:hAnsi="Times New Roman" w:cs="Times New Roman"/>
                <w:sz w:val="24"/>
                <w:szCs w:val="24"/>
              </w:rPr>
            </w:pPr>
            <w:r w:rsidRPr="00E61247">
              <w:rPr>
                <w:rFonts w:ascii="Times New Roman" w:hAnsi="Times New Roman" w:cs="Times New Roman"/>
                <w:sz w:val="24"/>
                <w:szCs w:val="24"/>
              </w:rPr>
              <w:t>)</w:t>
            </w:r>
          </w:p>
          <w:p w:rsidR="00FF1B8A" w:rsidP="00D968C9" w14:paraId="1BBD8845" w14:textId="569DDB43">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0F17462" w14:textId="4A0A7B50">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3512703" w14:textId="77777777">
            <w:pPr>
              <w:pStyle w:val="HTMLPreformatted"/>
              <w:rPr>
                <w:rFonts w:ascii="Times New Roman" w:hAnsi="Times New Roman" w:cs="Times New Roman"/>
                <w:sz w:val="24"/>
                <w:szCs w:val="24"/>
              </w:rPr>
            </w:pPr>
          </w:p>
          <w:p w:rsidR="00FF1B8A" w:rsidP="00D968C9" w14:paraId="2208E61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567F23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0AE539B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2979927D" w14:textId="77777777">
            <w:pPr>
              <w:pStyle w:val="HTMLPreformatted"/>
              <w:rPr>
                <w:rFonts w:ascii="Times New Roman" w:hAnsi="Times New Roman" w:cs="Times New Roman"/>
                <w:sz w:val="24"/>
                <w:szCs w:val="24"/>
              </w:rPr>
            </w:pPr>
          </w:p>
          <w:p w:rsidR="00FF1B8A" w:rsidP="00D968C9" w14:paraId="09ACC70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3908EC2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7C455E68" w14:textId="55EB7FAD">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68DF261" w14:textId="4E98479B">
            <w:pPr>
              <w:pStyle w:val="HTMLPreformatted"/>
              <w:rPr>
                <w:rFonts w:ascii="Times New Roman" w:hAnsi="Times New Roman" w:cs="Times New Roman"/>
                <w:sz w:val="24"/>
                <w:szCs w:val="24"/>
              </w:rPr>
            </w:pPr>
          </w:p>
          <w:p w:rsidR="00FF1B8A" w:rsidP="00D968C9" w14:paraId="42FFF361" w14:textId="7028A38E">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1EE874C7" w14:textId="3A50DE2A">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P="00D968C9" w14:paraId="4B67CC38" w14:textId="06915C95">
            <w:pPr>
              <w:pStyle w:val="HTMLPreformatted"/>
              <w:rPr>
                <w:rFonts w:ascii="Times New Roman" w:hAnsi="Times New Roman" w:cs="Times New Roman"/>
                <w:sz w:val="24"/>
                <w:szCs w:val="24"/>
              </w:rPr>
            </w:pPr>
            <w:r>
              <w:rPr>
                <w:rFonts w:ascii="Times New Roman" w:hAnsi="Times New Roman" w:cs="Times New Roman"/>
                <w:sz w:val="24"/>
                <w:szCs w:val="24"/>
              </w:rPr>
              <w:t>)</w:t>
            </w:r>
          </w:p>
          <w:p w:rsidR="00FF1B8A" w:rsidRPr="00E61247" w:rsidP="00FF1B8A" w14:paraId="16D552D5" w14:textId="41C530F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4D302D" w:rsidRPr="00E61247" w:rsidP="00D968C9" w14:paraId="10D767E2" w14:textId="77777777">
            <w:pPr>
              <w:rPr>
                <w:szCs w:val="24"/>
              </w:rPr>
            </w:pPr>
            <w:r w:rsidRPr="00E61247">
              <w:rPr>
                <w:szCs w:val="24"/>
              </w:rPr>
              <w:t>Case No. 14-375-GA-RDR</w:t>
            </w:r>
          </w:p>
          <w:p w:rsidR="004D302D" w:rsidRPr="00E61247" w:rsidP="00D968C9" w14:paraId="32B90CEA" w14:textId="77777777">
            <w:pPr>
              <w:rPr>
                <w:szCs w:val="24"/>
              </w:rPr>
            </w:pPr>
            <w:r w:rsidRPr="00E61247">
              <w:rPr>
                <w:szCs w:val="24"/>
              </w:rPr>
              <w:t>Case No. 15-452-GA-RDR</w:t>
            </w:r>
          </w:p>
          <w:p w:rsidR="004D302D" w:rsidRPr="00E61247" w:rsidP="00D968C9" w14:paraId="00312F40" w14:textId="77777777">
            <w:pPr>
              <w:rPr>
                <w:szCs w:val="24"/>
              </w:rPr>
            </w:pPr>
            <w:r w:rsidRPr="00E61247">
              <w:rPr>
                <w:szCs w:val="24"/>
              </w:rPr>
              <w:t>Case No. 16-542-GA-RDR</w:t>
            </w:r>
          </w:p>
          <w:p w:rsidR="004D302D" w:rsidRPr="00E61247" w:rsidP="00D968C9" w14:paraId="79EE4D3D" w14:textId="77777777">
            <w:pPr>
              <w:rPr>
                <w:szCs w:val="24"/>
              </w:rPr>
            </w:pPr>
            <w:r w:rsidRPr="00E61247">
              <w:rPr>
                <w:szCs w:val="24"/>
              </w:rPr>
              <w:t>Case No. 17-596-GA-RDR</w:t>
            </w:r>
          </w:p>
          <w:p w:rsidR="004D302D" w:rsidRPr="00E61247" w:rsidP="00D968C9" w14:paraId="461616B2" w14:textId="77777777">
            <w:pPr>
              <w:rPr>
                <w:szCs w:val="24"/>
              </w:rPr>
            </w:pPr>
            <w:r w:rsidRPr="00E61247">
              <w:rPr>
                <w:szCs w:val="24"/>
              </w:rPr>
              <w:t>Case No. 18-283-GA-RDR</w:t>
            </w:r>
          </w:p>
          <w:p w:rsidR="004D302D" w:rsidP="00D968C9" w14:paraId="5871845A" w14:textId="61E9CA02">
            <w:pPr>
              <w:rPr>
                <w:szCs w:val="24"/>
              </w:rPr>
            </w:pPr>
            <w:r w:rsidRPr="00E61247">
              <w:rPr>
                <w:szCs w:val="24"/>
              </w:rPr>
              <w:t>Case No. 19-174-GA-RDR</w:t>
            </w:r>
          </w:p>
          <w:p w:rsidR="00FF1B8A" w:rsidRPr="00E61247" w:rsidP="00D968C9" w14:paraId="60F7957D" w14:textId="07D7F6CD">
            <w:pPr>
              <w:rPr>
                <w:szCs w:val="24"/>
              </w:rPr>
            </w:pPr>
            <w:r>
              <w:rPr>
                <w:szCs w:val="24"/>
              </w:rPr>
              <w:t>Case No. 20-53-GA-RDR</w:t>
            </w:r>
          </w:p>
          <w:p w:rsidR="004D302D" w:rsidRPr="00E61247" w:rsidP="00D968C9" w14:paraId="15EF5ACC" w14:textId="77777777">
            <w:pPr>
              <w:rPr>
                <w:szCs w:val="24"/>
              </w:rPr>
            </w:pPr>
          </w:p>
          <w:p w:rsidR="004D302D" w:rsidRPr="00E61247" w:rsidP="00D968C9" w14:paraId="1A7AFF61" w14:textId="77777777">
            <w:pPr>
              <w:rPr>
                <w:szCs w:val="24"/>
              </w:rPr>
            </w:pPr>
            <w:r w:rsidRPr="00E61247">
              <w:rPr>
                <w:szCs w:val="24"/>
              </w:rPr>
              <w:t>Case No. 14-376-GA-ATA</w:t>
            </w:r>
          </w:p>
          <w:p w:rsidR="004D302D" w:rsidRPr="00E61247" w:rsidP="00D968C9" w14:paraId="7BA3F9B6" w14:textId="77777777">
            <w:pPr>
              <w:rPr>
                <w:szCs w:val="24"/>
              </w:rPr>
            </w:pPr>
            <w:r w:rsidRPr="00E61247">
              <w:rPr>
                <w:szCs w:val="24"/>
              </w:rPr>
              <w:t>Case No. 15-453-GA-ATA</w:t>
            </w:r>
          </w:p>
          <w:p w:rsidR="004D302D" w:rsidRPr="00E61247" w:rsidP="00D968C9" w14:paraId="5CAFB446" w14:textId="77777777">
            <w:pPr>
              <w:rPr>
                <w:szCs w:val="24"/>
              </w:rPr>
            </w:pPr>
            <w:r w:rsidRPr="00E61247">
              <w:rPr>
                <w:szCs w:val="24"/>
              </w:rPr>
              <w:t>Case No. 16-543-GA-ATA</w:t>
            </w:r>
          </w:p>
          <w:p w:rsidR="004D302D" w:rsidRPr="00E61247" w:rsidP="00D968C9" w14:paraId="5BA3D6B1" w14:textId="77777777">
            <w:pPr>
              <w:rPr>
                <w:szCs w:val="24"/>
              </w:rPr>
            </w:pPr>
            <w:r w:rsidRPr="00E61247">
              <w:rPr>
                <w:szCs w:val="24"/>
              </w:rPr>
              <w:t>Case No. 17-597-GA-ATA</w:t>
            </w:r>
          </w:p>
          <w:p w:rsidR="00FF1B8A" w:rsidRPr="00E61247" w:rsidP="00D968C9" w14:paraId="525FBFD6" w14:textId="288A6FA5">
            <w:pPr>
              <w:rPr>
                <w:szCs w:val="24"/>
              </w:rPr>
            </w:pPr>
            <w:r w:rsidRPr="00E61247">
              <w:rPr>
                <w:szCs w:val="24"/>
              </w:rPr>
              <w:t>Case No. 18-284-GA-ATA</w:t>
            </w:r>
          </w:p>
          <w:p w:rsidR="004D302D" w:rsidP="00D968C9" w14:paraId="258E31E6" w14:textId="10F0E089">
            <w:pPr>
              <w:rPr>
                <w:szCs w:val="24"/>
              </w:rPr>
            </w:pPr>
            <w:r w:rsidRPr="00E61247">
              <w:rPr>
                <w:szCs w:val="24"/>
              </w:rPr>
              <w:t>Case No. 19-175-GA-ATA</w:t>
            </w:r>
          </w:p>
          <w:p w:rsidR="00FF1B8A" w:rsidP="00D968C9" w14:paraId="03E2AAAF" w14:textId="7C3D4C1C">
            <w:pPr>
              <w:rPr>
                <w:szCs w:val="24"/>
              </w:rPr>
            </w:pPr>
            <w:r>
              <w:rPr>
                <w:szCs w:val="24"/>
              </w:rPr>
              <w:t>Case No. 19-1086-GA-ATA</w:t>
            </w:r>
          </w:p>
          <w:p w:rsidR="00FF1B8A" w:rsidP="00D968C9" w14:paraId="46EF2C01" w14:textId="0FD76D78">
            <w:pPr>
              <w:rPr>
                <w:szCs w:val="24"/>
              </w:rPr>
            </w:pPr>
            <w:r>
              <w:rPr>
                <w:szCs w:val="24"/>
              </w:rPr>
              <w:t>Case No. 20-54-GA-ATA</w:t>
            </w:r>
          </w:p>
          <w:p w:rsidR="00FF1B8A" w:rsidP="00D968C9" w14:paraId="05C80A04" w14:textId="77777777">
            <w:pPr>
              <w:rPr>
                <w:szCs w:val="24"/>
              </w:rPr>
            </w:pPr>
          </w:p>
          <w:p w:rsidR="00FF1B8A" w:rsidP="00D968C9" w14:paraId="17AAD30A" w14:textId="77777777">
            <w:pPr>
              <w:rPr>
                <w:szCs w:val="24"/>
              </w:rPr>
            </w:pPr>
          </w:p>
          <w:p w:rsidR="00FF1B8A" w:rsidP="00D968C9" w14:paraId="7BBCB8ED" w14:textId="77777777">
            <w:pPr>
              <w:rPr>
                <w:szCs w:val="24"/>
              </w:rPr>
            </w:pPr>
            <w:r>
              <w:rPr>
                <w:szCs w:val="24"/>
              </w:rPr>
              <w:t>Case No. 18-1830-GA-UNC</w:t>
            </w:r>
          </w:p>
          <w:p w:rsidR="00FF1B8A" w:rsidP="00D968C9" w14:paraId="71F30C1D" w14:textId="77777777">
            <w:pPr>
              <w:rPr>
                <w:szCs w:val="24"/>
              </w:rPr>
            </w:pPr>
          </w:p>
          <w:p w:rsidR="00FF1B8A" w:rsidP="00D968C9" w14:paraId="5E30F419" w14:textId="77777777">
            <w:pPr>
              <w:rPr>
                <w:szCs w:val="24"/>
              </w:rPr>
            </w:pPr>
          </w:p>
          <w:p w:rsidR="00FF1B8A" w:rsidP="00D968C9" w14:paraId="0FBEE8D8" w14:textId="77777777">
            <w:pPr>
              <w:rPr>
                <w:szCs w:val="24"/>
              </w:rPr>
            </w:pPr>
          </w:p>
          <w:p w:rsidR="00FF1B8A" w:rsidP="00D968C9" w14:paraId="28F36E22" w14:textId="77777777">
            <w:pPr>
              <w:rPr>
                <w:szCs w:val="24"/>
              </w:rPr>
            </w:pPr>
            <w:r>
              <w:rPr>
                <w:szCs w:val="24"/>
              </w:rPr>
              <w:t>Case No. 18-1831-GA-UNC</w:t>
            </w:r>
          </w:p>
          <w:p w:rsidR="00FF1B8A" w:rsidP="00D968C9" w14:paraId="079542C0" w14:textId="77777777">
            <w:pPr>
              <w:rPr>
                <w:szCs w:val="24"/>
              </w:rPr>
            </w:pPr>
          </w:p>
          <w:p w:rsidR="00FF1B8A" w:rsidP="00D968C9" w14:paraId="048BAF4F" w14:textId="77777777">
            <w:pPr>
              <w:rPr>
                <w:szCs w:val="24"/>
              </w:rPr>
            </w:pPr>
          </w:p>
          <w:p w:rsidR="00FF1B8A" w:rsidP="00D968C9" w14:paraId="58175303" w14:textId="77777777">
            <w:pPr>
              <w:rPr>
                <w:szCs w:val="24"/>
              </w:rPr>
            </w:pPr>
          </w:p>
          <w:p w:rsidR="00FF1B8A" w:rsidRPr="00E61247" w:rsidP="00D968C9" w14:paraId="64CAEB08" w14:textId="2CB067F8">
            <w:pPr>
              <w:rPr>
                <w:szCs w:val="24"/>
              </w:rPr>
            </w:pPr>
            <w:r>
              <w:rPr>
                <w:szCs w:val="24"/>
              </w:rPr>
              <w:t>Case No. 19-1085-GA-AAM</w:t>
            </w:r>
          </w:p>
        </w:tc>
      </w:tr>
    </w:tbl>
    <w:p w:rsidR="004D302D" w:rsidRPr="00E61247" w:rsidP="004D302D" w14:paraId="4E6CDE15" w14:textId="77777777">
      <w:pPr>
        <w:pBdr>
          <w:bottom w:val="single" w:sz="12" w:space="1" w:color="auto"/>
        </w:pBdr>
        <w:spacing w:before="4"/>
        <w:rPr>
          <w:szCs w:val="24"/>
        </w:rPr>
      </w:pPr>
    </w:p>
    <w:p w:rsidR="004D302D" w:rsidRPr="00E61247" w:rsidP="004D302D" w14:paraId="4190A7A4" w14:textId="77777777">
      <w:pPr>
        <w:tabs>
          <w:tab w:val="left" w:pos="-720"/>
        </w:tabs>
        <w:suppressAutoHyphens/>
        <w:jc w:val="center"/>
        <w:rPr>
          <w:b/>
          <w:spacing w:val="-3"/>
          <w:szCs w:val="24"/>
        </w:rPr>
      </w:pPr>
    </w:p>
    <w:p w:rsidR="004D302D" w:rsidP="004D302D" w14:paraId="657C1A83" w14:textId="01FE7552">
      <w:pPr>
        <w:tabs>
          <w:tab w:val="left" w:pos="-720"/>
        </w:tabs>
        <w:suppressAutoHyphens/>
        <w:jc w:val="center"/>
        <w:rPr>
          <w:b/>
          <w:spacing w:val="-3"/>
          <w:szCs w:val="24"/>
        </w:rPr>
      </w:pPr>
      <w:r>
        <w:rPr>
          <w:b/>
          <w:spacing w:val="-3"/>
          <w:szCs w:val="24"/>
        </w:rPr>
        <w:t xml:space="preserve">MEMORANDUM CONTRA </w:t>
      </w:r>
      <w:r w:rsidR="00BC329C">
        <w:rPr>
          <w:b/>
          <w:spacing w:val="-3"/>
          <w:szCs w:val="24"/>
        </w:rPr>
        <w:t>RESA</w:t>
      </w:r>
      <w:r w:rsidR="00060DF0">
        <w:rPr>
          <w:b/>
          <w:spacing w:val="-3"/>
          <w:szCs w:val="24"/>
        </w:rPr>
        <w:t xml:space="preserve"> AND IGS</w:t>
      </w:r>
      <w:r w:rsidR="00BC329C">
        <w:rPr>
          <w:b/>
          <w:spacing w:val="-3"/>
          <w:szCs w:val="24"/>
        </w:rPr>
        <w:t>’S</w:t>
      </w:r>
      <w:r>
        <w:rPr>
          <w:b/>
          <w:spacing w:val="-3"/>
          <w:szCs w:val="24"/>
        </w:rPr>
        <w:t xml:space="preserve"> </w:t>
      </w:r>
      <w:r w:rsidR="00060DF0">
        <w:rPr>
          <w:b/>
          <w:spacing w:val="-3"/>
          <w:szCs w:val="24"/>
        </w:rPr>
        <w:t>INTERLOCUTORY APPEAL</w:t>
      </w:r>
    </w:p>
    <w:p w:rsidR="004D302D" w:rsidRPr="00E61247" w:rsidP="004D302D" w14:paraId="65120EEB" w14:textId="77777777">
      <w:pPr>
        <w:tabs>
          <w:tab w:val="left" w:pos="-720"/>
        </w:tabs>
        <w:suppressAutoHyphens/>
        <w:jc w:val="center"/>
        <w:rPr>
          <w:b/>
          <w:spacing w:val="-3"/>
          <w:szCs w:val="24"/>
        </w:rPr>
      </w:pPr>
      <w:r w:rsidRPr="00E61247">
        <w:rPr>
          <w:b/>
          <w:spacing w:val="-3"/>
          <w:szCs w:val="24"/>
        </w:rPr>
        <w:t>BY</w:t>
      </w:r>
    </w:p>
    <w:p w:rsidR="004D302D" w:rsidRPr="00E61247" w:rsidP="004D302D" w14:paraId="00D34CD4" w14:textId="0ACCE9D1">
      <w:pPr>
        <w:tabs>
          <w:tab w:val="left" w:pos="-720"/>
        </w:tabs>
        <w:suppressAutoHyphens/>
        <w:jc w:val="center"/>
        <w:rPr>
          <w:b/>
          <w:spacing w:val="-3"/>
          <w:szCs w:val="24"/>
        </w:rPr>
      </w:pPr>
      <w:r w:rsidRPr="00E61247">
        <w:rPr>
          <w:b/>
          <w:spacing w:val="-3"/>
          <w:szCs w:val="24"/>
        </w:rPr>
        <w:t>OFFICE OF THE OHIO CONSUMERS’ COUNSEL</w:t>
      </w:r>
    </w:p>
    <w:p w:rsidR="004D302D" w:rsidRPr="00E61247" w:rsidP="004D302D" w14:paraId="4537135E" w14:textId="77777777">
      <w:pPr>
        <w:pBdr>
          <w:bottom w:val="single" w:sz="12" w:space="1" w:color="auto"/>
        </w:pBdr>
        <w:tabs>
          <w:tab w:val="left" w:pos="-720"/>
        </w:tabs>
        <w:suppressAutoHyphens/>
        <w:jc w:val="center"/>
        <w:rPr>
          <w:b/>
          <w:spacing w:val="-3"/>
          <w:szCs w:val="24"/>
        </w:rPr>
      </w:pPr>
    </w:p>
    <w:p w:rsidR="004312EF" w:rsidP="004312EF" w14:paraId="1F294979" w14:textId="77777777">
      <w:pPr>
        <w:ind w:firstLine="720"/>
        <w:rPr>
          <w:szCs w:val="24"/>
        </w:rPr>
      </w:pPr>
    </w:p>
    <w:p w:rsidR="00E91D9A" w:rsidP="00EF0986" w14:paraId="18EE0461" w14:textId="77777777">
      <w:pPr>
        <w:spacing w:line="480" w:lineRule="auto"/>
        <w:ind w:firstLine="720"/>
        <w:rPr>
          <w:szCs w:val="24"/>
        </w:rPr>
        <w:sectPr w:rsidSect="00D1611D">
          <w:footerReference w:type="default" r:id="rId6"/>
          <w:pgSz w:w="12240" w:h="15840"/>
          <w:pgMar w:top="1440" w:right="1440" w:bottom="1440" w:left="1440" w:header="720" w:footer="720" w:gutter="0"/>
          <w:pgNumType w:start="2"/>
          <w:cols w:space="720"/>
          <w:docGrid w:linePitch="360"/>
        </w:sectPr>
      </w:pPr>
      <w:r>
        <w:rPr>
          <w:szCs w:val="24"/>
        </w:rPr>
        <w:t xml:space="preserve">The </w:t>
      </w:r>
      <w:r w:rsidR="000D0211">
        <w:rPr>
          <w:szCs w:val="24"/>
        </w:rPr>
        <w:t>PUCO should deny the interlocutory appeal</w:t>
      </w:r>
      <w:r>
        <w:rPr>
          <w:rStyle w:val="FootnoteReference"/>
          <w:szCs w:val="24"/>
        </w:rPr>
        <w:footnoteReference w:id="2"/>
      </w:r>
      <w:r w:rsidR="000D0211">
        <w:rPr>
          <w:szCs w:val="24"/>
        </w:rPr>
        <w:t xml:space="preserve"> filed by the Retail Energy Supply Association and Interstate Gas Supply, Inc. (together, the “Marketers”). It does not meet the</w:t>
      </w:r>
      <w:r w:rsidR="00EF0986">
        <w:rPr>
          <w:szCs w:val="24"/>
        </w:rPr>
        <w:t xml:space="preserve"> </w:t>
      </w:r>
    </w:p>
    <w:p w:rsidR="000D0211" w:rsidP="00E91D9A" w14:paraId="0C0551FB" w14:textId="3573075B">
      <w:pPr>
        <w:spacing w:line="480" w:lineRule="auto"/>
        <w:rPr>
          <w:szCs w:val="24"/>
        </w:rPr>
      </w:pPr>
      <w:r>
        <w:rPr>
          <w:szCs w:val="24"/>
        </w:rPr>
        <w:t>s</w:t>
      </w:r>
      <w:r>
        <w:rPr>
          <w:szCs w:val="24"/>
        </w:rPr>
        <w:t xml:space="preserve">tandard for certification to the Commission. </w:t>
      </w:r>
      <w:r w:rsidR="005F1534">
        <w:rPr>
          <w:szCs w:val="24"/>
        </w:rPr>
        <w:t xml:space="preserve">It is a collateral attack on the PUCO’s earlier ruling granting the Marketers only limited intervention. </w:t>
      </w:r>
      <w:r>
        <w:rPr>
          <w:szCs w:val="24"/>
        </w:rPr>
        <w:t>And although it is fashioned as an interlocutory appeal, it is, in substance, a request for an advisory opinion about what evidence might or might not be admitted at the November 18, 2021 hearing in these proceedings.</w:t>
      </w:r>
    </w:p>
    <w:p w:rsidR="000D0211" w:rsidRPr="000D0211" w:rsidP="000D0211" w14:paraId="24CC8AB7" w14:textId="74EF0FC4">
      <w:pPr>
        <w:keepNext/>
        <w:keepLines/>
        <w:spacing w:after="240"/>
        <w:rPr>
          <w:b/>
          <w:bCs/>
          <w:szCs w:val="24"/>
        </w:rPr>
      </w:pPr>
      <w:r>
        <w:rPr>
          <w:b/>
          <w:bCs/>
          <w:szCs w:val="24"/>
        </w:rPr>
        <w:t>I.</w:t>
      </w:r>
      <w:r>
        <w:rPr>
          <w:b/>
          <w:bCs/>
          <w:szCs w:val="24"/>
        </w:rPr>
        <w:tab/>
        <w:t>ARGUMENT</w:t>
      </w:r>
    </w:p>
    <w:p w:rsidR="000D0211" w:rsidRPr="000D0211" w:rsidP="000D0211" w14:paraId="2FCB2F9A" w14:textId="554B54BD">
      <w:pPr>
        <w:keepNext/>
        <w:keepLines/>
        <w:spacing w:after="240"/>
        <w:ind w:left="1440" w:hanging="720"/>
        <w:rPr>
          <w:b/>
          <w:bCs/>
          <w:szCs w:val="24"/>
        </w:rPr>
      </w:pPr>
      <w:r>
        <w:rPr>
          <w:b/>
          <w:bCs/>
          <w:szCs w:val="24"/>
        </w:rPr>
        <w:t>A.</w:t>
      </w:r>
      <w:r>
        <w:rPr>
          <w:b/>
          <w:bCs/>
          <w:szCs w:val="24"/>
        </w:rPr>
        <w:tab/>
        <w:t xml:space="preserve">The Marketers’ </w:t>
      </w:r>
      <w:r w:rsidR="004D63B4">
        <w:rPr>
          <w:b/>
          <w:bCs/>
          <w:szCs w:val="24"/>
        </w:rPr>
        <w:t>interlocutory appeal is procedurally improper because it is a collateral attack on the PUCO’s ruling granting them limited intervention and effectively seeks an advisory ruling on what will and will not be admissible at the hearing in these cases</w:t>
      </w:r>
      <w:r>
        <w:rPr>
          <w:b/>
          <w:bCs/>
          <w:szCs w:val="24"/>
        </w:rPr>
        <w:t>.</w:t>
      </w:r>
    </w:p>
    <w:p w:rsidR="004D63B4" w:rsidP="00AC4DAA" w14:paraId="6FCAA699" w14:textId="59E191FA">
      <w:pPr>
        <w:spacing w:line="480" w:lineRule="auto"/>
        <w:ind w:firstLine="720"/>
        <w:rPr>
          <w:szCs w:val="24"/>
        </w:rPr>
      </w:pPr>
      <w:r>
        <w:rPr>
          <w:szCs w:val="24"/>
        </w:rPr>
        <w:t>Nearly a month ago</w:t>
      </w:r>
      <w:r w:rsidR="00C828CC">
        <w:rPr>
          <w:szCs w:val="24"/>
        </w:rPr>
        <w:t xml:space="preserve"> on October 15, 2021</w:t>
      </w:r>
      <w:r>
        <w:rPr>
          <w:szCs w:val="24"/>
        </w:rPr>
        <w:t>, the PUCO granted the Marketers’ motions to intervene on a limited basis.</w:t>
      </w:r>
      <w:r>
        <w:rPr>
          <w:rStyle w:val="FootnoteReference"/>
          <w:szCs w:val="24"/>
        </w:rPr>
        <w:footnoteReference w:id="3"/>
      </w:r>
      <w:r>
        <w:rPr>
          <w:szCs w:val="24"/>
        </w:rPr>
        <w:t xml:space="preserve"> The PUCO explained:</w:t>
      </w:r>
    </w:p>
    <w:p w:rsidR="006B0920" w:rsidP="00C828CC" w14:paraId="695480F7" w14:textId="002BD3BC">
      <w:pPr>
        <w:spacing w:after="240"/>
        <w:ind w:left="1440" w:right="1440"/>
        <w:jc w:val="both"/>
        <w:rPr>
          <w:szCs w:val="24"/>
        </w:rPr>
      </w:pPr>
      <w:bookmarkStart w:id="0" w:name="_Hlk87347180"/>
      <w:r>
        <w:rPr>
          <w:szCs w:val="24"/>
        </w:rPr>
        <w:t>[T]he attorney examiner continues to find that IGS and RESA’s interests in these proceedings are limited to the three areas discussed in their motions for leave to intervene, namely Duke’s commitment to transition from the GCR mechanism to an SSO competitive auction format for natural gas supply, the proposed SSO price-to-compare message on natural gas bills, and the commitment to provide OCC aggregate shadow billing data on an ongoing basis. ... [U]pon being granted limited intervention, IGS and RESA are entitled to inquire into these specific provisions of the Stipulation and any potential adverse impact that they may have upon the competitive market in Duke’s service territory, even if Duke, OCC, and OEG believe there will be no such adverse impact. As such, based on the very unique circumstances presented in these cases, the attorney examiner finds that the motions to intervene filed by IGS and RESA should be granted on a limited basis to address the proposed provisions related to the competitive market, as noted above.</w:t>
      </w:r>
      <w:r>
        <w:rPr>
          <w:rStyle w:val="FootnoteReference"/>
          <w:szCs w:val="24"/>
        </w:rPr>
        <w:footnoteReference w:id="4"/>
      </w:r>
      <w:bookmarkEnd w:id="0"/>
    </w:p>
    <w:p w:rsidR="004D63B4" w:rsidP="00AC4DAA" w14:paraId="06BD5A77" w14:textId="2CCFF699">
      <w:pPr>
        <w:spacing w:line="480" w:lineRule="auto"/>
        <w:ind w:firstLine="720"/>
        <w:rPr>
          <w:szCs w:val="24"/>
        </w:rPr>
      </w:pPr>
      <w:r>
        <w:rPr>
          <w:szCs w:val="24"/>
        </w:rPr>
        <w:t>Through this Entry, the Attorney Examiner clearly established the limits on the Marketers’ participation in these cases. Neither of the Marketers filed an interlocutory appeal regarding this ruling limiting their intervention. The time has long since passed to do so.</w:t>
      </w:r>
      <w:r>
        <w:rPr>
          <w:rStyle w:val="FootnoteReference"/>
          <w:szCs w:val="24"/>
        </w:rPr>
        <w:footnoteReference w:id="5"/>
      </w:r>
    </w:p>
    <w:p w:rsidR="00C828CC" w:rsidP="00AC4DAA" w14:paraId="3658AD54" w14:textId="13A217D8">
      <w:pPr>
        <w:spacing w:line="480" w:lineRule="auto"/>
        <w:ind w:firstLine="720"/>
        <w:rPr>
          <w:szCs w:val="24"/>
        </w:rPr>
      </w:pPr>
      <w:r>
        <w:rPr>
          <w:szCs w:val="24"/>
        </w:rPr>
        <w:t>On November 3, 2021, the Attorney Examiner issued an Entry regarding a discovery dispute between Duke and the Marketers. In that Entry, the Attorney Examiner wrote, “RESA and IGS are being provided ample opportunity to offer evidence and/or argument in opposition, consistent with Ohio Adm.Code 4901-1-30, but also within the confines of their limited intervention status.”</w:t>
      </w:r>
      <w:r>
        <w:rPr>
          <w:rStyle w:val="FootnoteReference"/>
          <w:szCs w:val="24"/>
        </w:rPr>
        <w:footnoteReference w:id="6"/>
      </w:r>
      <w:r w:rsidR="005E71EF">
        <w:rPr>
          <w:szCs w:val="24"/>
        </w:rPr>
        <w:t xml:space="preserve"> The phrase “within the confines of their limited intervention status” unambiguously refers to the October 15, 2021 Entry in which the Attorney Examiner granted the Marketers the right to intervene but only on a limited basis.</w:t>
      </w:r>
    </w:p>
    <w:p w:rsidR="005E71EF" w:rsidP="005E71EF" w14:paraId="6263068E" w14:textId="3BCC1843">
      <w:pPr>
        <w:spacing w:line="480" w:lineRule="auto"/>
        <w:ind w:firstLine="720"/>
        <w:rPr>
          <w:szCs w:val="24"/>
        </w:rPr>
      </w:pPr>
      <w:r>
        <w:rPr>
          <w:szCs w:val="24"/>
        </w:rPr>
        <w:t>Now, however, the Marketers have filed an interlocutory appeal regarding the November 3, 2021 Entry claiming that the PUCO must clarify the meaning of “within the confines of their limited intervention status.” The Marketers demand that the PUCO issue an order explicitly stating that such language be interpreted to mean that the Marketers shall be allowed, at the hearing and in their briefs, to address “whether the Stipulation is reasonable given the inclusion of the retail market provisions.”</w:t>
      </w:r>
      <w:r>
        <w:rPr>
          <w:rStyle w:val="FootnoteReference"/>
          <w:szCs w:val="24"/>
        </w:rPr>
        <w:footnoteReference w:id="7"/>
      </w:r>
    </w:p>
    <w:p w:rsidR="005E71EF" w:rsidP="005E71EF" w14:paraId="1FCB9331" w14:textId="604D4221">
      <w:pPr>
        <w:spacing w:line="480" w:lineRule="auto"/>
        <w:ind w:firstLine="720"/>
        <w:rPr>
          <w:szCs w:val="24"/>
        </w:rPr>
      </w:pPr>
      <w:r>
        <w:rPr>
          <w:szCs w:val="24"/>
        </w:rPr>
        <w:t>But what the Marketers are really asking the P</w:t>
      </w:r>
      <w:r w:rsidR="00FA303A">
        <w:rPr>
          <w:szCs w:val="24"/>
        </w:rPr>
        <w:t>UCO to do is</w:t>
      </w:r>
      <w:r w:rsidR="00FE5376">
        <w:rPr>
          <w:szCs w:val="24"/>
        </w:rPr>
        <w:t xml:space="preserve"> revisit its decision granting them limited intervention. That ruling was unambiguous. The Marketers “are entitled to inquire into these specific provisions of the Stipulation and any potential adverse impact that they may have upon the competitive market in Duke’s service territory, even if Duke, OCC, and OEG believe there will be no such adverse impact.”</w:t>
      </w:r>
      <w:r>
        <w:rPr>
          <w:rStyle w:val="FootnoteReference"/>
          <w:szCs w:val="24"/>
        </w:rPr>
        <w:footnoteReference w:id="8"/>
      </w:r>
      <w:r w:rsidR="00FE5376">
        <w:rPr>
          <w:szCs w:val="24"/>
        </w:rPr>
        <w:t xml:space="preserve"> The Attorney Examiner will be guided by this ruling in deciding whether and to what extent any evidence offered by the Marketers at the hearing is admissible, whether any questions asked by the Marketers on cross examination are objectionable, and whether any arguments raised in the Marketers’ briefs should be struck.</w:t>
      </w:r>
      <w:r w:rsidR="005F5C8D">
        <w:rPr>
          <w:szCs w:val="24"/>
        </w:rPr>
        <w:t xml:space="preserve"> The Marketers’ improper collateral attack of the PUCO’s October 15, 2021 Entry should be denied.</w:t>
      </w:r>
      <w:r>
        <w:rPr>
          <w:rStyle w:val="FootnoteReference"/>
          <w:szCs w:val="24"/>
        </w:rPr>
        <w:footnoteReference w:id="9"/>
      </w:r>
    </w:p>
    <w:p w:rsidR="00FA303A" w:rsidRPr="00FA303A" w:rsidP="005E71EF" w14:paraId="1D16F775" w14:textId="30FC2F06">
      <w:pPr>
        <w:spacing w:line="480" w:lineRule="auto"/>
        <w:ind w:firstLine="720"/>
        <w:rPr>
          <w:b/>
          <w:bCs/>
          <w:szCs w:val="24"/>
        </w:rPr>
      </w:pPr>
      <w:r>
        <w:rPr>
          <w:szCs w:val="24"/>
        </w:rPr>
        <w:t xml:space="preserve">Alternatively, what the Marketers </w:t>
      </w:r>
      <w:r w:rsidR="00FE5376">
        <w:rPr>
          <w:szCs w:val="24"/>
        </w:rPr>
        <w:t>seem to be</w:t>
      </w:r>
      <w:r>
        <w:rPr>
          <w:szCs w:val="24"/>
        </w:rPr>
        <w:t xml:space="preserve"> asking for </w:t>
      </w:r>
      <w:r w:rsidR="00FE5376">
        <w:rPr>
          <w:szCs w:val="24"/>
        </w:rPr>
        <w:t xml:space="preserve">is </w:t>
      </w:r>
      <w:r>
        <w:rPr>
          <w:szCs w:val="24"/>
        </w:rPr>
        <w:t>an advisory opinion on what will and will not be admissible at the hearing in these cases. The October 15, 2021 Entry speaks for itself regarding the scope of the Marketers’ participation. If and when the Marketers seek to offer any particular piece of evidence at the hearing, the Attorney Examiner will make a ruling regarding its admissibility. Unless and until the Attorney Examiner denies the Marketers the right to offer evidence that they believe they have a right to offer, they have no grievance. The PUCO should not give the Marketers an advisory opinion on whether any of its evidence might or might not be deemed admissible.</w:t>
      </w:r>
      <w:r>
        <w:rPr>
          <w:rStyle w:val="FootnoteReference"/>
          <w:szCs w:val="24"/>
        </w:rPr>
        <w:footnoteReference w:id="10"/>
      </w:r>
    </w:p>
    <w:p w:rsidR="005E71EF" w:rsidP="00AC4DAA" w14:paraId="695AFBE5" w14:textId="6D163630">
      <w:pPr>
        <w:spacing w:line="480" w:lineRule="auto"/>
        <w:ind w:firstLine="720"/>
        <w:rPr>
          <w:szCs w:val="24"/>
        </w:rPr>
      </w:pPr>
      <w:r>
        <w:rPr>
          <w:szCs w:val="24"/>
        </w:rPr>
        <w:t xml:space="preserve">Indeed, it would be impossible for the PUCO to give the Marketers what they want. Without knowing what specific evidence the Marketers want to offer, what questions the Marketers might ask witnesses on cross examination, </w:t>
      </w:r>
      <w:r w:rsidR="00FE5376">
        <w:rPr>
          <w:szCs w:val="24"/>
        </w:rPr>
        <w:t>and what arguments the Marketers might make in their briefs, there is no way</w:t>
      </w:r>
      <w:r>
        <w:rPr>
          <w:szCs w:val="24"/>
        </w:rPr>
        <w:t xml:space="preserve"> to know whether such evidence</w:t>
      </w:r>
      <w:r w:rsidR="00FE5376">
        <w:rPr>
          <w:szCs w:val="24"/>
        </w:rPr>
        <w:t xml:space="preserve">, </w:t>
      </w:r>
      <w:r>
        <w:rPr>
          <w:szCs w:val="24"/>
        </w:rPr>
        <w:t>questions</w:t>
      </w:r>
      <w:r w:rsidR="00FE5376">
        <w:rPr>
          <w:szCs w:val="24"/>
        </w:rPr>
        <w:t xml:space="preserve">, and arguments are </w:t>
      </w:r>
      <w:r>
        <w:rPr>
          <w:szCs w:val="24"/>
        </w:rPr>
        <w:t>consistent with the Marketers’ limited intervention.</w:t>
      </w:r>
    </w:p>
    <w:p w:rsidR="004D63B4" w:rsidRPr="004D63B4" w:rsidP="00DD6D8A" w14:paraId="3AD7948E" w14:textId="0829BB57">
      <w:pPr>
        <w:keepNext/>
        <w:keepLines/>
        <w:spacing w:after="240"/>
        <w:ind w:left="1440" w:hanging="720"/>
        <w:rPr>
          <w:b/>
          <w:bCs/>
          <w:szCs w:val="24"/>
        </w:rPr>
      </w:pPr>
      <w:r>
        <w:rPr>
          <w:b/>
          <w:bCs/>
          <w:szCs w:val="24"/>
        </w:rPr>
        <w:t>B.</w:t>
      </w:r>
      <w:r>
        <w:rPr>
          <w:b/>
          <w:bCs/>
          <w:szCs w:val="24"/>
        </w:rPr>
        <w:tab/>
        <w:t>The Marketers’ appeal does not present a new or novel question of interpretation, law, or policy</w:t>
      </w:r>
      <w:r w:rsidR="00DD6D8A">
        <w:rPr>
          <w:b/>
          <w:bCs/>
          <w:szCs w:val="24"/>
        </w:rPr>
        <w:t>.</w:t>
      </w:r>
    </w:p>
    <w:p w:rsidR="000D0211" w:rsidP="00AC4DAA" w14:paraId="687FCB0E" w14:textId="4CD22D49">
      <w:pPr>
        <w:spacing w:line="480" w:lineRule="auto"/>
        <w:ind w:firstLine="720"/>
        <w:rPr>
          <w:szCs w:val="24"/>
        </w:rPr>
      </w:pPr>
      <w:r>
        <w:rPr>
          <w:szCs w:val="24"/>
        </w:rPr>
        <w:t>The Marketers claim that the Attorney Examiner’s November 3, 2021 Entry “raises the issue of whether the Commission can preclude a party from opposing a stipulation contrary to the express language of Rule 4901-1-30.”</w:t>
      </w:r>
      <w:r>
        <w:rPr>
          <w:rStyle w:val="FootnoteReference"/>
          <w:szCs w:val="24"/>
        </w:rPr>
        <w:footnoteReference w:id="11"/>
      </w:r>
      <w:r w:rsidR="00DD6D8A">
        <w:rPr>
          <w:szCs w:val="24"/>
        </w:rPr>
        <w:t xml:space="preserve"> This does not present a new or novel question of interpretation, law, or policy, as required by O.A.C. 4901-1-15(B) for an interlocutory appeal.</w:t>
      </w:r>
    </w:p>
    <w:p w:rsidR="00DD6D8A" w:rsidP="00AC4DAA" w14:paraId="3620235C" w14:textId="1F6AB499">
      <w:pPr>
        <w:spacing w:line="480" w:lineRule="auto"/>
        <w:ind w:firstLine="720"/>
        <w:rPr>
          <w:szCs w:val="24"/>
        </w:rPr>
      </w:pPr>
      <w:r>
        <w:rPr>
          <w:szCs w:val="24"/>
        </w:rPr>
        <w:t xml:space="preserve">First, as explained above, the PUCO has not precluded the Marketers from opposing the settlement in this case. The November 3, 2021 ruling merely reaffirms that the Marketers’ intervention in this case is limited, and those limits are expressly set forth in the October 15, 2021 Entry. Thus, there is no need, at this time, for the PUCO to address whether it can preclude a party from opposing a settlement. If the Attorney Examiner or PUCO in fact precludes the Marketers from doing so at the hearing, then the Marketers can assert whatever rights they have on appeal at that time. But there is no </w:t>
      </w:r>
      <w:r w:rsidRPr="00DD6D8A">
        <w:rPr>
          <w:szCs w:val="24"/>
        </w:rPr>
        <w:t>new or novel question of interpretation, law, or policy</w:t>
      </w:r>
      <w:r>
        <w:rPr>
          <w:szCs w:val="24"/>
        </w:rPr>
        <w:t xml:space="preserve"> to be addressed at this time.</w:t>
      </w:r>
    </w:p>
    <w:p w:rsidR="000D0211" w:rsidP="002A340A" w14:paraId="05BEF4BC" w14:textId="54A62D04">
      <w:pPr>
        <w:keepNext/>
        <w:keepLines/>
        <w:spacing w:after="240"/>
        <w:ind w:left="1440" w:hanging="720"/>
        <w:rPr>
          <w:szCs w:val="24"/>
        </w:rPr>
      </w:pPr>
      <w:r>
        <w:rPr>
          <w:b/>
          <w:bCs/>
          <w:szCs w:val="24"/>
        </w:rPr>
        <w:t>C.</w:t>
      </w:r>
      <w:r>
        <w:rPr>
          <w:b/>
          <w:bCs/>
          <w:szCs w:val="24"/>
        </w:rPr>
        <w:tab/>
      </w:r>
      <w:r w:rsidR="002A340A">
        <w:rPr>
          <w:b/>
          <w:bCs/>
          <w:szCs w:val="24"/>
        </w:rPr>
        <w:t>An immediate determination by the PUCO is not needed to prevent the likelihood of undue prejudice or expense to the Marketers.</w:t>
      </w:r>
    </w:p>
    <w:p w:rsidR="002A340A" w:rsidRPr="002A340A" w:rsidP="00AC4DAA" w14:paraId="55297601" w14:textId="4ECD0189">
      <w:pPr>
        <w:spacing w:line="480" w:lineRule="auto"/>
        <w:ind w:firstLine="720"/>
        <w:rPr>
          <w:szCs w:val="24"/>
        </w:rPr>
      </w:pPr>
      <w:r>
        <w:rPr>
          <w:szCs w:val="24"/>
        </w:rPr>
        <w:t xml:space="preserve">As explained above, the Marketers are essentially seeking an advisory opinion regarding the hearing that has yet to take place in these cases. Because the hearing has not yet taken place, the Marketers cannot have been prejudiced by any rulings that might occur at the hearing. The gist of the Marketers’ appeal is that they are worried the Attorney Examiner might unduly limit their participation at the hearing or in their post-hearing briefing. But until that actually happens, they have suffered no prejudice. Thus, there is no need for an </w:t>
      </w:r>
      <w:r>
        <w:rPr>
          <w:i/>
          <w:iCs/>
          <w:szCs w:val="24"/>
        </w:rPr>
        <w:t>immediate</w:t>
      </w:r>
      <w:r>
        <w:rPr>
          <w:szCs w:val="24"/>
        </w:rPr>
        <w:t xml:space="preserve"> determination by the PUCO regarding the Marketers’ concerns about hypothetical future rulings.</w:t>
      </w:r>
    </w:p>
    <w:p w:rsidR="00E47042" w:rsidP="00E47042" w14:paraId="146D4975" w14:textId="77777777">
      <w:pPr>
        <w:ind w:firstLine="720"/>
        <w:rPr>
          <w:szCs w:val="24"/>
        </w:rPr>
      </w:pPr>
    </w:p>
    <w:p w:rsidR="00566AA9" w:rsidRPr="00566AA9" w:rsidP="00566AA9" w14:paraId="4393ABB9" w14:textId="611E333F">
      <w:pPr>
        <w:keepNext/>
        <w:keepLines/>
        <w:spacing w:after="240"/>
        <w:rPr>
          <w:b/>
          <w:bCs/>
          <w:szCs w:val="24"/>
        </w:rPr>
      </w:pPr>
      <w:r>
        <w:rPr>
          <w:b/>
          <w:bCs/>
          <w:szCs w:val="24"/>
        </w:rPr>
        <w:t>II.</w:t>
      </w:r>
      <w:r>
        <w:rPr>
          <w:b/>
          <w:bCs/>
          <w:szCs w:val="24"/>
        </w:rPr>
        <w:tab/>
        <w:t>CONCLUSION</w:t>
      </w:r>
    </w:p>
    <w:p w:rsidR="00153E9F" w:rsidP="005F1534" w14:paraId="36BA0EC6" w14:textId="59678188">
      <w:pPr>
        <w:spacing w:line="480" w:lineRule="auto"/>
        <w:ind w:firstLine="720"/>
        <w:rPr>
          <w:szCs w:val="24"/>
        </w:rPr>
      </w:pPr>
      <w:r>
        <w:rPr>
          <w:szCs w:val="24"/>
        </w:rPr>
        <w:t>In its October 15, 2021 Entry, the PUCO spoke clearly about the scope of the Marketers’ participation in these cases. The Marketers declined to challenge that ruling. At the hearing, the Attorney Examiners will rule accordingly on any evidence that the Marketers might offer and on any questions the Marketers might ask when cross examining other witnesses. The PUCO will likely rule on whether the Marketers’ post-hearing briefs are consistent with their limited intervention. But there is no need, at this time, for the PUCO to offer an advisory ruling on whether and to what extent the Marketers might make particular arguments regarding approval of the settlement. The interlocutory appeal should be denied.</w:t>
      </w:r>
    </w:p>
    <w:p w:rsidR="00E91D9A" w:rsidP="00357613" w14:paraId="44B43E51" w14:textId="77777777">
      <w:pPr>
        <w:pStyle w:val="BodyTextIndent3"/>
        <w:widowControl w:val="0"/>
        <w:spacing w:line="480" w:lineRule="auto"/>
        <w:ind w:left="4320" w:hanging="360"/>
        <w:rPr>
          <w:sz w:val="24"/>
          <w:szCs w:val="24"/>
        </w:rPr>
      </w:pPr>
    </w:p>
    <w:p w:rsidR="00115AF7" w:rsidRPr="00E61247" w:rsidP="00357613" w14:paraId="0F52B6E1" w14:textId="04081257">
      <w:pPr>
        <w:pStyle w:val="BodyTextIndent3"/>
        <w:widowControl w:val="0"/>
        <w:spacing w:line="480" w:lineRule="auto"/>
        <w:ind w:left="4320" w:hanging="360"/>
        <w:rPr>
          <w:sz w:val="24"/>
          <w:szCs w:val="24"/>
        </w:rPr>
      </w:pPr>
      <w:r w:rsidRPr="00E61247">
        <w:rPr>
          <w:sz w:val="24"/>
          <w:szCs w:val="24"/>
        </w:rPr>
        <w:t>Respectfully submitted,</w:t>
      </w:r>
    </w:p>
    <w:p w:rsidR="00115AF7" w:rsidRPr="00E61247" w:rsidP="00357613" w14:paraId="733E8C22" w14:textId="77777777">
      <w:pPr>
        <w:ind w:left="4320" w:hanging="360"/>
        <w:rPr>
          <w:szCs w:val="24"/>
        </w:rPr>
      </w:pPr>
      <w:r w:rsidRPr="00E61247">
        <w:rPr>
          <w:szCs w:val="24"/>
        </w:rPr>
        <w:t>Bruce Weston (0016973)</w:t>
      </w:r>
    </w:p>
    <w:p w:rsidR="00115AF7" w:rsidRPr="00E61247" w:rsidP="00357613" w14:paraId="4192EF9C" w14:textId="77777777">
      <w:pPr>
        <w:tabs>
          <w:tab w:val="left" w:pos="4320"/>
        </w:tabs>
        <w:ind w:left="4320" w:hanging="360"/>
        <w:rPr>
          <w:szCs w:val="24"/>
        </w:rPr>
      </w:pPr>
      <w:r w:rsidRPr="00E61247">
        <w:rPr>
          <w:szCs w:val="24"/>
        </w:rPr>
        <w:t>Ohio Consumers’ Counsel</w:t>
      </w:r>
    </w:p>
    <w:p w:rsidR="00115AF7" w:rsidRPr="00E61247" w:rsidP="00357613" w14:paraId="3CFF05DE" w14:textId="77777777">
      <w:pPr>
        <w:tabs>
          <w:tab w:val="left" w:pos="4320"/>
        </w:tabs>
        <w:ind w:left="4320" w:hanging="360"/>
        <w:rPr>
          <w:szCs w:val="24"/>
        </w:rPr>
      </w:pPr>
    </w:p>
    <w:p w:rsidR="00115AF7" w:rsidRPr="00E61247" w:rsidP="00357613" w14:paraId="1E90F975" w14:textId="77777777">
      <w:pPr>
        <w:autoSpaceDE w:val="0"/>
        <w:autoSpaceDN w:val="0"/>
        <w:adjustRightInd w:val="0"/>
        <w:ind w:left="4320" w:hanging="360"/>
        <w:rPr>
          <w:i/>
          <w:szCs w:val="24"/>
        </w:rPr>
      </w:pPr>
      <w:r w:rsidRPr="00E61247">
        <w:rPr>
          <w:i/>
          <w:szCs w:val="24"/>
          <w:u w:val="single"/>
        </w:rPr>
        <w:t>/s/ Christopher Healey</w:t>
      </w:r>
      <w:r w:rsidRPr="00E61247">
        <w:rPr>
          <w:i/>
          <w:szCs w:val="24"/>
          <w:u w:val="single"/>
        </w:rPr>
        <w:tab/>
      </w:r>
      <w:r w:rsidRPr="00E61247">
        <w:rPr>
          <w:i/>
          <w:szCs w:val="24"/>
          <w:u w:val="single"/>
        </w:rPr>
        <w:tab/>
      </w:r>
      <w:r w:rsidRPr="00E61247">
        <w:rPr>
          <w:i/>
          <w:szCs w:val="24"/>
          <w:u w:val="single"/>
        </w:rPr>
        <w:tab/>
      </w:r>
    </w:p>
    <w:p w:rsidR="00115AF7" w:rsidRPr="00E61247" w:rsidP="00357613" w14:paraId="3ABEAEE2" w14:textId="77777777">
      <w:pPr>
        <w:tabs>
          <w:tab w:val="left" w:pos="4320"/>
        </w:tabs>
        <w:ind w:left="4320" w:hanging="360"/>
        <w:rPr>
          <w:szCs w:val="24"/>
        </w:rPr>
      </w:pPr>
      <w:r w:rsidRPr="00E61247">
        <w:rPr>
          <w:szCs w:val="24"/>
        </w:rPr>
        <w:t>Christopher Healey (0086027)</w:t>
      </w:r>
    </w:p>
    <w:p w:rsidR="00115AF7" w:rsidRPr="00E61247" w:rsidP="00357613" w14:paraId="4047E27A" w14:textId="68BA971B">
      <w:pPr>
        <w:tabs>
          <w:tab w:val="left" w:pos="4320"/>
        </w:tabs>
        <w:ind w:left="4320" w:hanging="360"/>
        <w:rPr>
          <w:szCs w:val="24"/>
        </w:rPr>
      </w:pPr>
      <w:r w:rsidRPr="00E61247">
        <w:rPr>
          <w:szCs w:val="24"/>
        </w:rPr>
        <w:t>Counsel of Record</w:t>
      </w:r>
      <w:r w:rsidR="003E4F5B">
        <w:rPr>
          <w:szCs w:val="24"/>
        </w:rPr>
        <w:t xml:space="preserve"> (Case No. 14-375-GA-RDR, et al.)</w:t>
      </w:r>
    </w:p>
    <w:p w:rsidR="00115AF7" w:rsidRPr="00E61247" w:rsidP="00357613" w14:paraId="20C83C03" w14:textId="77777777">
      <w:pPr>
        <w:tabs>
          <w:tab w:val="left" w:pos="4320"/>
        </w:tabs>
        <w:ind w:left="4320" w:hanging="360"/>
        <w:rPr>
          <w:szCs w:val="24"/>
        </w:rPr>
      </w:pPr>
      <w:r w:rsidRPr="00E61247">
        <w:rPr>
          <w:szCs w:val="24"/>
        </w:rPr>
        <w:t>Amy Botschner</w:t>
      </w:r>
      <w:r w:rsidRPr="00E61247" w:rsidR="0060669B">
        <w:rPr>
          <w:szCs w:val="24"/>
        </w:rPr>
        <w:t xml:space="preserve"> </w:t>
      </w:r>
      <w:r w:rsidRPr="00E61247">
        <w:rPr>
          <w:szCs w:val="24"/>
        </w:rPr>
        <w:t>O’Brien (0074423)</w:t>
      </w:r>
    </w:p>
    <w:p w:rsidR="00115AF7" w:rsidRPr="00E61247" w:rsidP="00357613" w14:paraId="3CB302D3" w14:textId="77777777">
      <w:pPr>
        <w:tabs>
          <w:tab w:val="left" w:pos="4320"/>
        </w:tabs>
        <w:ind w:left="4320" w:hanging="360"/>
        <w:rPr>
          <w:szCs w:val="24"/>
        </w:rPr>
      </w:pPr>
      <w:r w:rsidRPr="00E61247">
        <w:rPr>
          <w:szCs w:val="24"/>
        </w:rPr>
        <w:t>Assistant Consumers’ Counsel</w:t>
      </w:r>
    </w:p>
    <w:p w:rsidR="00115AF7" w:rsidRPr="00E61247" w:rsidP="00357613" w14:paraId="3A803A49" w14:textId="77777777">
      <w:pPr>
        <w:tabs>
          <w:tab w:val="left" w:pos="4320"/>
        </w:tabs>
        <w:ind w:left="4320" w:hanging="360"/>
        <w:rPr>
          <w:szCs w:val="24"/>
        </w:rPr>
      </w:pPr>
    </w:p>
    <w:p w:rsidR="00115AF7" w:rsidRPr="00E61247" w:rsidP="00357613" w14:paraId="6448CFFE" w14:textId="77777777">
      <w:pPr>
        <w:ind w:left="3600" w:firstLine="360"/>
        <w:rPr>
          <w:b/>
          <w:bCs/>
          <w:szCs w:val="24"/>
        </w:rPr>
      </w:pPr>
      <w:r w:rsidRPr="00E61247">
        <w:rPr>
          <w:b/>
          <w:bCs/>
          <w:szCs w:val="24"/>
        </w:rPr>
        <w:t>Office of the Ohio Consumers’ Counsel</w:t>
      </w:r>
    </w:p>
    <w:p w:rsidR="00115AF7" w:rsidRPr="00E61247" w:rsidP="00357613" w14:paraId="58603C6E" w14:textId="77777777">
      <w:pPr>
        <w:ind w:left="3600" w:firstLine="360"/>
        <w:rPr>
          <w:b/>
          <w:szCs w:val="24"/>
        </w:rPr>
      </w:pPr>
      <w:r w:rsidRPr="00E61247">
        <w:rPr>
          <w:szCs w:val="24"/>
        </w:rPr>
        <w:t>65 East State Street, 7th Floor</w:t>
      </w:r>
    </w:p>
    <w:p w:rsidR="00115AF7" w:rsidRPr="00E61247" w:rsidP="00357613" w14:paraId="7EFB3D25" w14:textId="77777777">
      <w:pPr>
        <w:ind w:left="3600" w:firstLine="360"/>
        <w:rPr>
          <w:b/>
          <w:szCs w:val="24"/>
        </w:rPr>
      </w:pPr>
      <w:r w:rsidRPr="00E61247">
        <w:rPr>
          <w:szCs w:val="24"/>
        </w:rPr>
        <w:t>Columbus, Ohio 43215-4213</w:t>
      </w:r>
    </w:p>
    <w:p w:rsidR="00115AF7" w:rsidRPr="00E61247" w:rsidP="00357613" w14:paraId="0765B7F2" w14:textId="77777777">
      <w:pPr>
        <w:autoSpaceDE w:val="0"/>
        <w:autoSpaceDN w:val="0"/>
        <w:adjustRightInd w:val="0"/>
        <w:ind w:left="3600" w:firstLine="360"/>
        <w:rPr>
          <w:szCs w:val="24"/>
        </w:rPr>
      </w:pPr>
      <w:r w:rsidRPr="00E61247">
        <w:rPr>
          <w:szCs w:val="24"/>
        </w:rPr>
        <w:t>Telephone [Healey]: (614) 466-9571</w:t>
      </w:r>
    </w:p>
    <w:p w:rsidR="00115AF7" w:rsidRPr="00E61247" w:rsidP="00357613" w14:paraId="644E69FF" w14:textId="77777777">
      <w:pPr>
        <w:autoSpaceDE w:val="0"/>
        <w:autoSpaceDN w:val="0"/>
        <w:adjustRightInd w:val="0"/>
        <w:ind w:left="3600" w:firstLine="360"/>
        <w:rPr>
          <w:szCs w:val="24"/>
        </w:rPr>
      </w:pPr>
      <w:r w:rsidRPr="00E61247">
        <w:rPr>
          <w:szCs w:val="24"/>
        </w:rPr>
        <w:t>Telephone [Botschner]: (614) 466-9575</w:t>
      </w:r>
    </w:p>
    <w:p w:rsidR="00115AF7" w:rsidRPr="00E61247" w:rsidP="00357613" w14:paraId="2F45467C" w14:textId="77777777">
      <w:pPr>
        <w:ind w:left="4320" w:hanging="360"/>
        <w:rPr>
          <w:rStyle w:val="Hyperlink"/>
          <w:szCs w:val="24"/>
        </w:rPr>
      </w:pPr>
      <w:r w:rsidRPr="00E61247">
        <w:rPr>
          <w:rStyle w:val="Hyperlink"/>
          <w:szCs w:val="24"/>
        </w:rPr>
        <w:t>christopher.healey@occ.ohio.gov</w:t>
      </w:r>
    </w:p>
    <w:p w:rsidR="00115AF7" w:rsidRPr="00E61247" w:rsidP="00357613" w14:paraId="0FADDDA3" w14:textId="77777777">
      <w:pPr>
        <w:ind w:left="4320" w:hanging="360"/>
        <w:rPr>
          <w:rStyle w:val="Hyperlink"/>
          <w:szCs w:val="24"/>
        </w:rPr>
      </w:pPr>
      <w:r w:rsidRPr="00E61247">
        <w:rPr>
          <w:rStyle w:val="Hyperlink"/>
          <w:szCs w:val="24"/>
        </w:rPr>
        <w:t>amy.botschner.obrien@occ.ohio.gov</w:t>
      </w:r>
    </w:p>
    <w:p w:rsidR="00115AF7" w:rsidP="00357613" w14:paraId="1C1C80D9" w14:textId="0F38967A">
      <w:pPr>
        <w:ind w:left="4320" w:hanging="360"/>
        <w:rPr>
          <w:szCs w:val="24"/>
        </w:rPr>
      </w:pPr>
      <w:r w:rsidRPr="00E61247">
        <w:rPr>
          <w:szCs w:val="24"/>
        </w:rPr>
        <w:t>(willing to accept service by e-mail)</w:t>
      </w:r>
    </w:p>
    <w:p w:rsidR="003E4F5B" w:rsidP="00115AF7" w14:paraId="08F1778D" w14:textId="5943DA0C">
      <w:pPr>
        <w:ind w:left="4320"/>
        <w:rPr>
          <w:szCs w:val="24"/>
        </w:rPr>
      </w:pPr>
    </w:p>
    <w:p w:rsidR="00646F90" w14:paraId="71E1E394" w14:textId="72E11E76">
      <w:pPr>
        <w:spacing w:after="200" w:line="276" w:lineRule="auto"/>
        <w:rPr>
          <w:i/>
          <w:iCs/>
          <w:szCs w:val="24"/>
          <w:u w:val="single"/>
        </w:rPr>
      </w:pPr>
      <w:r>
        <w:rPr>
          <w:i/>
          <w:iCs/>
          <w:szCs w:val="24"/>
          <w:u w:val="single"/>
        </w:rPr>
        <w:br w:type="page"/>
      </w:r>
    </w:p>
    <w:p w:rsidR="003E4F5B" w:rsidRPr="00C743FA" w:rsidP="00357613" w14:paraId="0E20952E" w14:textId="77777777">
      <w:pPr>
        <w:tabs>
          <w:tab w:val="left" w:pos="4320"/>
        </w:tabs>
        <w:ind w:left="4320" w:hanging="360"/>
      </w:pPr>
      <w:r w:rsidRPr="00C743FA">
        <w:t>William J. Michael (0070921)</w:t>
      </w:r>
    </w:p>
    <w:p w:rsidR="003E4F5B" w:rsidRPr="00C743FA" w:rsidP="00357613" w14:paraId="1307AFAD" w14:textId="51ACDD30">
      <w:pPr>
        <w:tabs>
          <w:tab w:val="left" w:pos="4320"/>
        </w:tabs>
        <w:ind w:left="4320" w:hanging="360"/>
      </w:pPr>
      <w:r w:rsidRPr="00C743FA">
        <w:t>Counsel of Record</w:t>
      </w:r>
      <w:r>
        <w:t xml:space="preserve"> (Case No. 18-1830-GA-UNC)</w:t>
      </w:r>
    </w:p>
    <w:p w:rsidR="003E4F5B" w:rsidRPr="00C743FA" w:rsidP="00357613" w14:paraId="28EB2889" w14:textId="0AA41233">
      <w:pPr>
        <w:tabs>
          <w:tab w:val="left" w:pos="4320"/>
        </w:tabs>
        <w:ind w:left="4320" w:hanging="360"/>
      </w:pPr>
      <w:r w:rsidRPr="00C743FA">
        <w:t>Angel</w:t>
      </w:r>
      <w:r>
        <w:t>a</w:t>
      </w:r>
      <w:r w:rsidRPr="00C743FA">
        <w:t xml:space="preserve"> </w:t>
      </w:r>
      <w:r>
        <w:t xml:space="preserve">D. </w:t>
      </w:r>
      <w:r w:rsidRPr="00C743FA">
        <w:t>O</w:t>
      </w:r>
      <w:r>
        <w:t>’</w:t>
      </w:r>
      <w:r w:rsidRPr="00C743FA">
        <w:t>Brien (0097579)</w:t>
      </w:r>
    </w:p>
    <w:p w:rsidR="003E4F5B" w:rsidRPr="00C743FA" w:rsidP="00357613" w14:paraId="607EDB72" w14:textId="5AAF6128">
      <w:pPr>
        <w:tabs>
          <w:tab w:val="left" w:pos="4320"/>
        </w:tabs>
        <w:ind w:left="4320" w:hanging="360"/>
      </w:pPr>
      <w:r w:rsidRPr="00C743FA">
        <w:t xml:space="preserve">Ambrosia </w:t>
      </w:r>
      <w:r>
        <w:t>E. Wilson</w:t>
      </w:r>
      <w:r w:rsidRPr="00C743FA">
        <w:t xml:space="preserve"> (0096598)</w:t>
      </w:r>
    </w:p>
    <w:p w:rsidR="003E4F5B" w:rsidP="00357613" w14:paraId="7DB58FC8" w14:textId="77777777">
      <w:pPr>
        <w:tabs>
          <w:tab w:val="left" w:pos="4320"/>
        </w:tabs>
        <w:ind w:left="4320" w:hanging="360"/>
      </w:pPr>
      <w:r w:rsidRPr="00C743FA">
        <w:t>Assistant Consumers</w:t>
      </w:r>
      <w:r>
        <w:t>’</w:t>
      </w:r>
      <w:r w:rsidRPr="00C743FA">
        <w:t xml:space="preserve"> Counsel </w:t>
      </w:r>
    </w:p>
    <w:p w:rsidR="00357613" w:rsidP="00357613" w14:paraId="2F7F8262" w14:textId="77777777">
      <w:pPr>
        <w:ind w:left="4320" w:hanging="360"/>
      </w:pPr>
    </w:p>
    <w:p w:rsidR="003E4F5B" w:rsidRPr="00C743FA" w:rsidP="00357613" w14:paraId="3959F706" w14:textId="4E97C579">
      <w:pPr>
        <w:ind w:left="4320" w:hanging="360"/>
        <w:rPr>
          <w:b/>
        </w:rPr>
      </w:pPr>
      <w:r w:rsidRPr="00C743FA">
        <w:rPr>
          <w:b/>
        </w:rPr>
        <w:t>Office of the Ohio Consumers</w:t>
      </w:r>
      <w:r>
        <w:rPr>
          <w:b/>
        </w:rPr>
        <w:t>’</w:t>
      </w:r>
      <w:r w:rsidRPr="00C743FA">
        <w:rPr>
          <w:b/>
        </w:rPr>
        <w:t xml:space="preserve"> Counsel</w:t>
      </w:r>
    </w:p>
    <w:p w:rsidR="003E4F5B" w:rsidRPr="00C743FA" w:rsidP="00357613" w14:paraId="4B667553" w14:textId="77777777">
      <w:pPr>
        <w:tabs>
          <w:tab w:val="left" w:pos="4320"/>
        </w:tabs>
        <w:ind w:left="4320" w:hanging="360"/>
      </w:pPr>
      <w:r w:rsidRPr="00C743FA">
        <w:t>65 East State Street, 7</w:t>
      </w:r>
      <w:r w:rsidRPr="00554787">
        <w:t>th</w:t>
      </w:r>
      <w:r w:rsidRPr="00C743FA">
        <w:t xml:space="preserve"> Floor</w:t>
      </w:r>
    </w:p>
    <w:p w:rsidR="003E4F5B" w:rsidRPr="00C743FA" w:rsidP="00357613" w14:paraId="34AFCA51" w14:textId="77777777">
      <w:pPr>
        <w:tabs>
          <w:tab w:val="left" w:pos="4320"/>
        </w:tabs>
        <w:ind w:left="4320" w:hanging="360"/>
      </w:pPr>
      <w:r w:rsidRPr="00C743FA">
        <w:t>Columbus, Ohio 43215-4213</w:t>
      </w:r>
    </w:p>
    <w:p w:rsidR="003E4F5B" w:rsidRPr="00C743FA" w:rsidP="00357613" w14:paraId="56F1651C" w14:textId="77777777">
      <w:pPr>
        <w:tabs>
          <w:tab w:val="left" w:pos="4320"/>
        </w:tabs>
        <w:ind w:left="4320" w:hanging="360"/>
      </w:pPr>
      <w:r w:rsidRPr="00C743FA">
        <w:t>Telephone: (614) 466-1291 (Michael)</w:t>
      </w:r>
    </w:p>
    <w:p w:rsidR="003E4F5B" w:rsidRPr="00C743FA" w:rsidP="00357613" w14:paraId="05C0BB4B" w14:textId="77777777">
      <w:pPr>
        <w:tabs>
          <w:tab w:val="left" w:pos="4320"/>
        </w:tabs>
        <w:ind w:left="4320" w:hanging="360"/>
      </w:pPr>
      <w:r w:rsidRPr="00C743FA">
        <w:t>Telephone: (614) 466-</w:t>
      </w:r>
      <w:r>
        <w:t>9531</w:t>
      </w:r>
      <w:r w:rsidRPr="00C743FA">
        <w:t xml:space="preserve"> (O</w:t>
      </w:r>
      <w:r>
        <w:t>’</w:t>
      </w:r>
      <w:r w:rsidRPr="00C743FA">
        <w:t xml:space="preserve">Brien) </w:t>
      </w:r>
    </w:p>
    <w:p w:rsidR="003E4F5B" w:rsidRPr="00C743FA" w:rsidP="00357613" w14:paraId="4DDDD0BC" w14:textId="44B662FC">
      <w:pPr>
        <w:tabs>
          <w:tab w:val="left" w:pos="4320"/>
        </w:tabs>
        <w:ind w:left="4320" w:hanging="360"/>
      </w:pPr>
      <w:r w:rsidRPr="00C743FA">
        <w:t>Telephone: (614) 466-1292 (</w:t>
      </w:r>
      <w:r>
        <w:t>Wilson</w:t>
      </w:r>
      <w:r w:rsidRPr="00C743FA">
        <w:t xml:space="preserve">) </w:t>
      </w:r>
    </w:p>
    <w:p w:rsidR="003E4F5B" w:rsidRPr="00627C88" w:rsidP="00357613" w14:paraId="519DA7BE" w14:textId="77777777">
      <w:pPr>
        <w:ind w:left="4320" w:hanging="360"/>
        <w:rPr>
          <w:rStyle w:val="Hyperlink"/>
          <w:rFonts w:eastAsiaTheme="majorEastAsia"/>
          <w:szCs w:val="24"/>
        </w:rPr>
      </w:pPr>
      <w:hyperlink r:id="rId7" w:history="1">
        <w:r w:rsidRPr="00627C88">
          <w:rPr>
            <w:rStyle w:val="Hyperlink"/>
            <w:rFonts w:eastAsiaTheme="majorEastAsia"/>
            <w:szCs w:val="24"/>
          </w:rPr>
          <w:t>william.michael@occ.ohio.gov</w:t>
        </w:r>
      </w:hyperlink>
    </w:p>
    <w:p w:rsidR="003E4F5B" w:rsidRPr="00627C88" w:rsidP="00357613" w14:paraId="28390FFF" w14:textId="77777777">
      <w:pPr>
        <w:ind w:left="4320" w:hanging="360"/>
        <w:rPr>
          <w:rStyle w:val="Hyperlink"/>
          <w:rFonts w:eastAsiaTheme="majorEastAsia"/>
          <w:szCs w:val="24"/>
        </w:rPr>
      </w:pPr>
      <w:hyperlink r:id="rId8" w:history="1">
        <w:r w:rsidRPr="00627C88">
          <w:rPr>
            <w:rStyle w:val="Hyperlink"/>
            <w:rFonts w:eastAsiaTheme="majorEastAsia"/>
            <w:szCs w:val="24"/>
          </w:rPr>
          <w:t>angela.obrien@occ.ohio.gov</w:t>
        </w:r>
      </w:hyperlink>
    </w:p>
    <w:p w:rsidR="003E4F5B" w:rsidRPr="00627C88" w:rsidP="00357613" w14:paraId="302779A9" w14:textId="783C3472">
      <w:pPr>
        <w:ind w:left="4320" w:hanging="360"/>
        <w:rPr>
          <w:rStyle w:val="Hyperlink"/>
          <w:rFonts w:eastAsiaTheme="majorEastAsia"/>
          <w:szCs w:val="24"/>
        </w:rPr>
      </w:pPr>
      <w:hyperlink r:id="rId9" w:history="1">
        <w:r w:rsidRPr="002A4414">
          <w:rPr>
            <w:rStyle w:val="Hyperlink"/>
            <w:rFonts w:eastAsiaTheme="majorEastAsia"/>
            <w:szCs w:val="24"/>
          </w:rPr>
          <w:t>ambrosia.wilson@occ.ohio.gov</w:t>
        </w:r>
      </w:hyperlink>
    </w:p>
    <w:p w:rsidR="003E4F5B" w:rsidP="00357613" w14:paraId="757321EE" w14:textId="77777777">
      <w:pPr>
        <w:ind w:firstLine="3960"/>
      </w:pPr>
      <w:r w:rsidRPr="00C743FA">
        <w:t>(will</w:t>
      </w:r>
      <w:r>
        <w:t xml:space="preserve">ing to </w:t>
      </w:r>
      <w:r w:rsidRPr="00C743FA">
        <w:t xml:space="preserve">accept service </w:t>
      </w:r>
      <w:r>
        <w:t>by e-</w:t>
      </w:r>
      <w:r w:rsidRPr="00C743FA">
        <w:t>mail)</w:t>
      </w:r>
    </w:p>
    <w:p w:rsidR="003E4F5B" w:rsidRPr="00E61247" w:rsidP="00115AF7" w14:paraId="114C6154" w14:textId="77777777">
      <w:pPr>
        <w:ind w:left="4320"/>
        <w:rPr>
          <w:szCs w:val="24"/>
        </w:rPr>
      </w:pPr>
    </w:p>
    <w:p w:rsidR="00565ACF" w:rsidRPr="00E61247" w:rsidP="00565ACF" w14:paraId="0C87B504" w14:textId="77777777">
      <w:pPr>
        <w:ind w:left="4320"/>
        <w:rPr>
          <w:szCs w:val="24"/>
        </w:rPr>
      </w:pPr>
    </w:p>
    <w:p w:rsidR="00E1100F" w:rsidRPr="00E61247" w:rsidP="00D805DF" w14:paraId="4D380610" w14:textId="77777777">
      <w:pPr>
        <w:ind w:left="2160" w:firstLine="720"/>
        <w:rPr>
          <w:b/>
          <w:bCs/>
          <w:szCs w:val="24"/>
          <w:u w:val="single"/>
        </w:rPr>
        <w:sectPr w:rsidSect="00D1611D">
          <w:footerReference w:type="default" r:id="rId10"/>
          <w:pgSz w:w="12240" w:h="15840"/>
          <w:pgMar w:top="1440" w:right="1440" w:bottom="1440" w:left="1440" w:header="720" w:footer="720" w:gutter="0"/>
          <w:pgNumType w:start="2"/>
          <w:cols w:space="720"/>
          <w:docGrid w:linePitch="360"/>
        </w:sectPr>
      </w:pPr>
    </w:p>
    <w:p w:rsidR="00BA6EC5" w:rsidRPr="00E61247" w:rsidP="00D805DF" w14:paraId="794D62B5" w14:textId="77777777">
      <w:pPr>
        <w:ind w:left="2160" w:firstLine="720"/>
        <w:rPr>
          <w:b/>
          <w:bCs/>
          <w:szCs w:val="24"/>
          <w:u w:val="single"/>
        </w:rPr>
      </w:pPr>
      <w:r w:rsidRPr="00E61247">
        <w:rPr>
          <w:b/>
          <w:bCs/>
          <w:szCs w:val="24"/>
          <w:u w:val="single"/>
        </w:rPr>
        <w:t>CERTIFICATE OF SERVICE</w:t>
      </w:r>
    </w:p>
    <w:p w:rsidR="00BA6EC5" w:rsidRPr="00E61247" w14:paraId="28D0C439" w14:textId="77777777">
      <w:pPr>
        <w:pStyle w:val="EndnoteText"/>
        <w:widowControl/>
        <w:tabs>
          <w:tab w:val="left" w:pos="-720"/>
        </w:tabs>
        <w:suppressAutoHyphens/>
        <w:rPr>
          <w:rFonts w:ascii="Times New Roman" w:hAnsi="Times New Roman"/>
          <w:spacing w:val="-3"/>
          <w:szCs w:val="24"/>
        </w:rPr>
      </w:pPr>
    </w:p>
    <w:p w:rsidR="00BA6EC5" w:rsidRPr="00E61247" w:rsidP="00A81C49" w14:paraId="6C048BF5" w14:textId="7C2E31DB">
      <w:pPr>
        <w:tabs>
          <w:tab w:val="left" w:pos="-720"/>
        </w:tabs>
        <w:suppressAutoHyphens/>
        <w:spacing w:line="480" w:lineRule="auto"/>
        <w:ind w:firstLine="720"/>
        <w:rPr>
          <w:szCs w:val="24"/>
        </w:rPr>
      </w:pPr>
      <w:r w:rsidRPr="00E61247">
        <w:rPr>
          <w:szCs w:val="24"/>
        </w:rPr>
        <w:t xml:space="preserve">It is hereby certified that a true copy of the foregoing </w:t>
      </w:r>
      <w:r w:rsidR="00180094">
        <w:rPr>
          <w:szCs w:val="24"/>
        </w:rPr>
        <w:t>Memorandum Contra</w:t>
      </w:r>
      <w:r w:rsidRPr="00E61247">
        <w:rPr>
          <w:szCs w:val="24"/>
        </w:rPr>
        <w:t xml:space="preserve"> was served by electronic transmission upon the parties below this </w:t>
      </w:r>
      <w:r w:rsidR="005F1534">
        <w:rPr>
          <w:szCs w:val="24"/>
        </w:rPr>
        <w:t>10th</w:t>
      </w:r>
      <w:r w:rsidRPr="00E61247">
        <w:rPr>
          <w:szCs w:val="24"/>
        </w:rPr>
        <w:t xml:space="preserve"> day of </w:t>
      </w:r>
      <w:r w:rsidR="005F1534">
        <w:rPr>
          <w:szCs w:val="24"/>
        </w:rPr>
        <w:t>November</w:t>
      </w:r>
      <w:r w:rsidR="00180094">
        <w:rPr>
          <w:szCs w:val="24"/>
        </w:rPr>
        <w:t xml:space="preserve"> 2021</w:t>
      </w:r>
      <w:r w:rsidRPr="00E61247">
        <w:rPr>
          <w:szCs w:val="24"/>
        </w:rPr>
        <w:t>.</w:t>
      </w:r>
    </w:p>
    <w:p w:rsidR="00BA6EC5" w:rsidRPr="00E61247" w14:paraId="057A1A43" w14:textId="77777777">
      <w:pPr>
        <w:pStyle w:val="EndnoteText"/>
        <w:widowControl/>
        <w:rPr>
          <w:rFonts w:ascii="Times New Roman" w:hAnsi="Times New Roman"/>
          <w:snapToGrid/>
          <w:szCs w:val="24"/>
        </w:rPr>
      </w:pPr>
    </w:p>
    <w:p w:rsidR="00BA6EC5" w:rsidRPr="00E61247" w14:paraId="384E3151"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i/>
          <w:snapToGrid/>
          <w:szCs w:val="24"/>
          <w:u w:val="single"/>
        </w:rPr>
        <w:t>/s/ Christopher Healey</w:t>
      </w:r>
      <w:r w:rsidRPr="00E61247">
        <w:rPr>
          <w:rFonts w:ascii="Times New Roman" w:hAnsi="Times New Roman"/>
          <w:i/>
          <w:snapToGrid/>
          <w:szCs w:val="24"/>
          <w:u w:val="single"/>
        </w:rPr>
        <w:tab/>
      </w:r>
    </w:p>
    <w:p w:rsidR="00BA6EC5" w:rsidRPr="00E61247" w14:paraId="2AC6B403"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Christopher Healey</w:t>
      </w:r>
    </w:p>
    <w:p w:rsidR="00BA6EC5" w:rsidRPr="00E61247" w14:paraId="23F4AAC9" w14:textId="77777777">
      <w:pPr>
        <w:pStyle w:val="EndnoteText"/>
        <w:widowControl/>
        <w:rPr>
          <w:rFonts w:ascii="Times New Roman" w:hAnsi="Times New Roman"/>
          <w:snapToGrid/>
          <w:szCs w:val="24"/>
        </w:rPr>
      </w:pP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r>
      <w:r w:rsidRPr="00E61247">
        <w:rPr>
          <w:rFonts w:ascii="Times New Roman" w:hAnsi="Times New Roman"/>
          <w:snapToGrid/>
          <w:szCs w:val="24"/>
        </w:rPr>
        <w:tab/>
        <w:t>Assistant Consumers’ Counsel</w:t>
      </w:r>
    </w:p>
    <w:p w:rsidR="00BA6EC5" w:rsidRPr="00E61247" w14:paraId="7C48B6BC" w14:textId="77777777">
      <w:pPr>
        <w:pStyle w:val="EndnoteText"/>
        <w:widowControl/>
        <w:rPr>
          <w:rFonts w:ascii="Times New Roman" w:hAnsi="Times New Roman"/>
          <w:snapToGrid/>
          <w:szCs w:val="24"/>
        </w:rPr>
      </w:pPr>
    </w:p>
    <w:p w:rsidR="00BA6EC5" w:rsidRPr="00E61247" w14:paraId="0C9742B6" w14:textId="77777777">
      <w:pPr>
        <w:pStyle w:val="EndnoteText"/>
        <w:widowControl/>
        <w:jc w:val="center"/>
        <w:rPr>
          <w:rFonts w:ascii="Times New Roman" w:hAnsi="Times New Roman"/>
          <w:b/>
          <w:bCs/>
          <w:snapToGrid/>
          <w:szCs w:val="24"/>
        </w:rPr>
      </w:pPr>
    </w:p>
    <w:p w:rsidR="00B438EA" w:rsidRPr="00E61247" w:rsidP="00B438EA" w14:paraId="21E6EFB3" w14:textId="77777777">
      <w:pPr>
        <w:pStyle w:val="CommentText"/>
        <w:rPr>
          <w:sz w:val="24"/>
          <w:szCs w:val="24"/>
        </w:rPr>
      </w:pPr>
      <w:bookmarkStart w:id="1" w:name="_Hlk22544303"/>
      <w:r w:rsidRPr="00E61247">
        <w:rPr>
          <w:sz w:val="24"/>
          <w:szCs w:val="24"/>
        </w:rPr>
        <w:t>The PUCO’s e-filing system will electronically serve notice of the filing of this document on the following parties:</w:t>
      </w:r>
    </w:p>
    <w:p w:rsidR="00B438EA" w:rsidRPr="00E61247" w:rsidP="00B438EA" w14:paraId="3386669E" w14:textId="77777777">
      <w:pPr>
        <w:pStyle w:val="EndnoteText"/>
        <w:widowControl/>
        <w:rPr>
          <w:rFonts w:ascii="Times New Roman" w:hAnsi="Times New Roman"/>
          <w:snapToGrid/>
          <w:szCs w:val="24"/>
        </w:rPr>
      </w:pPr>
    </w:p>
    <w:p w:rsidR="00B438EA" w:rsidP="00B438EA" w14:paraId="6037969A" w14:textId="51C7716E">
      <w:pPr>
        <w:pStyle w:val="CommentText"/>
        <w:jc w:val="center"/>
        <w:rPr>
          <w:b/>
          <w:bCs/>
          <w:sz w:val="24"/>
          <w:szCs w:val="24"/>
          <w:u w:val="single"/>
        </w:rPr>
      </w:pPr>
      <w:r w:rsidRPr="00E61247">
        <w:rPr>
          <w:b/>
          <w:bCs/>
          <w:sz w:val="24"/>
          <w:szCs w:val="24"/>
          <w:u w:val="single"/>
        </w:rPr>
        <w:t>SERVICE LIST</w:t>
      </w:r>
    </w:p>
    <w:p w:rsidR="00E91D9A" w:rsidP="00B438EA" w14:paraId="6B577827" w14:textId="15A95F4A">
      <w:pPr>
        <w:pStyle w:val="CommentText"/>
        <w:jc w:val="center"/>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gridCol w:w="4111"/>
      </w:tblGrid>
      <w:tr w14:paraId="5E90D6AC" w14:textId="77777777" w:rsidTr="00E91D9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9" w:type="dxa"/>
          </w:tcPr>
          <w:p w:rsidR="00E91D9A" w14:paraId="5EDA8C6A" w14:textId="77777777">
            <w:pPr>
              <w:rPr>
                <w:rStyle w:val="Hyperlink"/>
                <w:szCs w:val="24"/>
              </w:rPr>
            </w:pPr>
            <w:hyperlink r:id="rId11" w:history="1">
              <w:r>
                <w:rPr>
                  <w:rStyle w:val="Hyperlink"/>
                </w:rPr>
                <w:t>werner.margard@ohioAGO.gov</w:t>
              </w:r>
            </w:hyperlink>
          </w:p>
          <w:p w:rsidR="00E91D9A" w14:paraId="0149A457" w14:textId="77777777">
            <w:hyperlink r:id="rId12" w:history="1">
              <w:r>
                <w:rPr>
                  <w:rStyle w:val="Hyperlink"/>
                </w:rPr>
                <w:t>Robert.eubanks@ohioAGO.gov</w:t>
              </w:r>
            </w:hyperlink>
          </w:p>
          <w:p w:rsidR="00E91D9A" w14:paraId="01324B51" w14:textId="77777777">
            <w:hyperlink r:id="rId13" w:history="1">
              <w:r>
                <w:rPr>
                  <w:rStyle w:val="Hyperlink"/>
                </w:rPr>
                <w:t>Jodi.bair@ohioAGO.gov</w:t>
              </w:r>
            </w:hyperlink>
          </w:p>
          <w:p w:rsidR="00E91D9A" w14:paraId="01800E44" w14:textId="77777777">
            <w:hyperlink r:id="rId14" w:history="1">
              <w:r>
                <w:rPr>
                  <w:rStyle w:val="Hyperlink"/>
                </w:rPr>
                <w:t>Kyle.kern@ohioAGO.gov</w:t>
              </w:r>
            </w:hyperlink>
          </w:p>
          <w:p w:rsidR="00E91D9A" w14:paraId="28AFE948" w14:textId="77777777">
            <w:pPr>
              <w:rPr>
                <w:rStyle w:val="Hyperlink"/>
                <w:szCs w:val="24"/>
              </w:rPr>
            </w:pPr>
            <w:hyperlink r:id="rId15" w:history="1">
              <w:r>
                <w:rPr>
                  <w:rStyle w:val="Hyperlink"/>
                </w:rPr>
                <w:t>John.jones@ohioAGO.gov</w:t>
              </w:r>
            </w:hyperlink>
          </w:p>
          <w:p w:rsidR="00E91D9A" w14:paraId="7F953E8C" w14:textId="77777777">
            <w:pPr>
              <w:rPr>
                <w:rStyle w:val="Hyperlink"/>
              </w:rPr>
            </w:pPr>
            <w:r>
              <w:rPr>
                <w:rStyle w:val="Hyperlink"/>
              </w:rPr>
              <w:t>rdove@keglerbrown.com</w:t>
            </w:r>
          </w:p>
          <w:p w:rsidR="00E91D9A" w14:paraId="1B8D82D3" w14:textId="77777777">
            <w:hyperlink r:id="rId16" w:history="1">
              <w:r>
                <w:rPr>
                  <w:rStyle w:val="Hyperlink"/>
                </w:rPr>
                <w:t>dboehm@BKLlawfirm.com</w:t>
              </w:r>
            </w:hyperlink>
          </w:p>
          <w:p w:rsidR="00E91D9A" w14:paraId="1EE0A18F" w14:textId="77777777">
            <w:pPr>
              <w:rPr>
                <w:szCs w:val="24"/>
              </w:rPr>
            </w:pPr>
            <w:hyperlink r:id="rId17" w:history="1">
              <w:r>
                <w:rPr>
                  <w:rStyle w:val="Hyperlink"/>
                </w:rPr>
                <w:t>mkurtz@BKLlawfirm.com</w:t>
              </w:r>
            </w:hyperlink>
          </w:p>
          <w:p w:rsidR="00E91D9A" w14:paraId="2AA2BAAD" w14:textId="77777777">
            <w:pPr>
              <w:rPr>
                <w:szCs w:val="24"/>
              </w:rPr>
            </w:pPr>
            <w:hyperlink r:id="rId18" w:history="1">
              <w:r>
                <w:rPr>
                  <w:rStyle w:val="Hyperlink"/>
                </w:rPr>
                <w:t>jkylercohn@BKLlawfirm.com</w:t>
              </w:r>
            </w:hyperlink>
          </w:p>
          <w:p w:rsidR="00E91D9A" w14:paraId="3FE03C84" w14:textId="77777777">
            <w:pPr>
              <w:rPr>
                <w:szCs w:val="24"/>
              </w:rPr>
            </w:pPr>
          </w:p>
          <w:p w:rsidR="00E91D9A" w14:paraId="187E5A3D" w14:textId="77777777">
            <w:pPr>
              <w:rPr>
                <w:szCs w:val="24"/>
              </w:rPr>
            </w:pPr>
            <w:r>
              <w:rPr>
                <w:szCs w:val="24"/>
              </w:rPr>
              <w:t>Attorney Examiner:</w:t>
            </w:r>
          </w:p>
          <w:p w:rsidR="00E91D9A" w14:paraId="4258982C" w14:textId="77777777">
            <w:pPr>
              <w:rPr>
                <w:szCs w:val="24"/>
              </w:rPr>
            </w:pPr>
          </w:p>
          <w:p w:rsidR="00E91D9A" w14:paraId="5BD2AACC" w14:textId="77777777">
            <w:pPr>
              <w:rPr>
                <w:szCs w:val="24"/>
              </w:rPr>
            </w:pPr>
            <w:hyperlink r:id="rId19" w:history="1">
              <w:r>
                <w:rPr>
                  <w:rStyle w:val="Hyperlink"/>
                </w:rPr>
                <w:t>Megan.addison@puco.ohio.gov</w:t>
              </w:r>
            </w:hyperlink>
          </w:p>
          <w:p w:rsidR="00E91D9A" w14:paraId="3BEF33A5" w14:textId="77777777">
            <w:pPr>
              <w:rPr>
                <w:szCs w:val="24"/>
              </w:rPr>
            </w:pPr>
            <w:hyperlink r:id="rId20" w:history="1">
              <w:r>
                <w:rPr>
                  <w:rStyle w:val="Hyperlink"/>
                </w:rPr>
                <w:t>Matthew.sandor@puco.ohio.gov</w:t>
              </w:r>
            </w:hyperlink>
          </w:p>
          <w:p w:rsidR="00E91D9A" w14:paraId="629D0B1E" w14:textId="77777777">
            <w:pPr>
              <w:rPr>
                <w:rStyle w:val="Hyperlink"/>
              </w:rPr>
            </w:pPr>
            <w:hyperlink r:id="rId21" w:history="1">
              <w:r>
                <w:rPr>
                  <w:rStyle w:val="Hyperlink"/>
                </w:rPr>
                <w:t>Nicholas.walstra@puco.ohio.gov</w:t>
              </w:r>
            </w:hyperlink>
          </w:p>
          <w:p w:rsidR="00E91D9A" w14:paraId="3DC0775C" w14:textId="77777777">
            <w:pPr>
              <w:pStyle w:val="CommentText"/>
              <w:jc w:val="both"/>
              <w:rPr>
                <w:rStyle w:val="Hyperlink"/>
                <w:rFonts w:eastAsiaTheme="majorEastAsia"/>
                <w:sz w:val="24"/>
              </w:rPr>
            </w:pPr>
            <w:r>
              <w:rPr>
                <w:rStyle w:val="Hyperlink"/>
                <w:rFonts w:eastAsiaTheme="majorEastAsia"/>
              </w:rPr>
              <w:t>Lauren.augostini@puco.ohio.gov</w:t>
            </w:r>
          </w:p>
          <w:p w:rsidR="00E91D9A" w14:paraId="1BAFC8C2" w14:textId="77777777"/>
          <w:p w:rsidR="00E91D9A" w14:paraId="41B58721" w14:textId="77777777">
            <w:pPr>
              <w:rPr>
                <w:szCs w:val="24"/>
              </w:rPr>
            </w:pPr>
          </w:p>
          <w:p w:rsidR="00E91D9A" w14:paraId="6C0DCFDB" w14:textId="77777777">
            <w:pPr>
              <w:rPr>
                <w:szCs w:val="24"/>
              </w:rPr>
            </w:pPr>
          </w:p>
        </w:tc>
        <w:tc>
          <w:tcPr>
            <w:tcW w:w="4111" w:type="dxa"/>
          </w:tcPr>
          <w:p w:rsidR="00E91D9A" w14:paraId="68EC00B6" w14:textId="77777777">
            <w:pPr>
              <w:ind w:left="400"/>
              <w:rPr>
                <w:rStyle w:val="Hyperlink"/>
              </w:rPr>
            </w:pPr>
            <w:hyperlink r:id="rId22" w:history="1">
              <w:r>
                <w:rPr>
                  <w:rStyle w:val="Hyperlink"/>
                </w:rPr>
                <w:t>Rocco.dascenzo@duke-energy.com</w:t>
              </w:r>
            </w:hyperlink>
          </w:p>
          <w:p w:rsidR="00E91D9A" w14:paraId="40E44592" w14:textId="77777777">
            <w:pPr>
              <w:ind w:left="400"/>
              <w:rPr>
                <w:rStyle w:val="Hyperlink"/>
              </w:rPr>
            </w:pPr>
            <w:hyperlink r:id="rId23" w:history="1">
              <w:r>
                <w:rPr>
                  <w:rStyle w:val="Hyperlink"/>
                </w:rPr>
                <w:t>Jeanne.kingery@duke-energy.com</w:t>
              </w:r>
            </w:hyperlink>
          </w:p>
          <w:p w:rsidR="00E91D9A" w14:paraId="104DCAC2" w14:textId="77777777">
            <w:pPr>
              <w:ind w:left="400"/>
              <w:rPr>
                <w:rStyle w:val="Hyperlink"/>
              </w:rPr>
            </w:pPr>
            <w:hyperlink r:id="rId24" w:history="1">
              <w:r>
                <w:rPr>
                  <w:rStyle w:val="Hyperlink"/>
                </w:rPr>
                <w:t>Larisa.vaysman@duke-energy.com</w:t>
              </w:r>
            </w:hyperlink>
          </w:p>
          <w:p w:rsidR="00E91D9A" w14:paraId="13682A5A" w14:textId="77777777">
            <w:pPr>
              <w:ind w:left="400"/>
              <w:rPr>
                <w:rStyle w:val="Hyperlink"/>
              </w:rPr>
            </w:pPr>
            <w:hyperlink r:id="rId25" w:history="1">
              <w:r>
                <w:rPr>
                  <w:rStyle w:val="Hyperlink"/>
                </w:rPr>
                <w:t>kmcmurray@fbtlaw.com</w:t>
              </w:r>
            </w:hyperlink>
          </w:p>
          <w:p w:rsidR="00E91D9A" w14:paraId="1E2D892D" w14:textId="77777777">
            <w:pPr>
              <w:ind w:left="400"/>
              <w:rPr>
                <w:rStyle w:val="Hyperlink"/>
              </w:rPr>
            </w:pPr>
            <w:hyperlink r:id="rId26" w:history="1">
              <w:r>
                <w:rPr>
                  <w:rStyle w:val="Hyperlink"/>
                </w:rPr>
                <w:t>Paul@carpenterlipps.com</w:t>
              </w:r>
            </w:hyperlink>
          </w:p>
          <w:p w:rsidR="00E91D9A" w14:paraId="53F44BF4" w14:textId="77777777">
            <w:pPr>
              <w:ind w:left="400"/>
              <w:rPr>
                <w:rStyle w:val="Hyperlink"/>
              </w:rPr>
            </w:pPr>
            <w:hyperlink r:id="rId27" w:history="1">
              <w:r>
                <w:rPr>
                  <w:rStyle w:val="Hyperlink"/>
                </w:rPr>
                <w:t>bojko@carpenterlipps.com</w:t>
              </w:r>
            </w:hyperlink>
          </w:p>
          <w:p w:rsidR="00E91D9A" w14:paraId="5E12A9DA" w14:textId="77777777">
            <w:pPr>
              <w:ind w:left="400"/>
              <w:rPr>
                <w:rStyle w:val="Hyperlink"/>
              </w:rPr>
            </w:pPr>
            <w:hyperlink r:id="rId28" w:history="1">
              <w:r>
                <w:rPr>
                  <w:rStyle w:val="Hyperlink"/>
                </w:rPr>
                <w:t>michael.nugent@igs.com</w:t>
              </w:r>
            </w:hyperlink>
          </w:p>
          <w:p w:rsidR="00E91D9A" w14:paraId="0D0B04B6" w14:textId="77777777">
            <w:pPr>
              <w:ind w:left="400"/>
              <w:rPr>
                <w:rStyle w:val="Hyperlink"/>
              </w:rPr>
            </w:pPr>
            <w:hyperlink r:id="rId29" w:history="1">
              <w:r>
                <w:rPr>
                  <w:rStyle w:val="Hyperlink"/>
                </w:rPr>
                <w:t>bethany.allen@igs.com</w:t>
              </w:r>
            </w:hyperlink>
          </w:p>
          <w:p w:rsidR="00E91D9A" w14:paraId="7AC07EE6" w14:textId="77777777">
            <w:pPr>
              <w:ind w:left="400"/>
              <w:rPr>
                <w:rStyle w:val="Hyperlink"/>
              </w:rPr>
            </w:pPr>
            <w:hyperlink r:id="rId30" w:history="1">
              <w:r>
                <w:rPr>
                  <w:rStyle w:val="Hyperlink"/>
                </w:rPr>
                <w:t>evan.betterton@igs.com</w:t>
              </w:r>
            </w:hyperlink>
          </w:p>
          <w:p w:rsidR="00E91D9A" w14:paraId="45D13404" w14:textId="77777777">
            <w:pPr>
              <w:ind w:left="400"/>
              <w:rPr>
                <w:rStyle w:val="Hyperlink"/>
              </w:rPr>
            </w:pPr>
            <w:hyperlink r:id="rId31" w:history="1">
              <w:r>
                <w:rPr>
                  <w:rStyle w:val="Hyperlink"/>
                </w:rPr>
                <w:t>talexander@beneschlaw.com</w:t>
              </w:r>
            </w:hyperlink>
          </w:p>
          <w:p w:rsidR="00E91D9A" w14:paraId="05C55E0A" w14:textId="77777777">
            <w:pPr>
              <w:ind w:left="400"/>
              <w:rPr>
                <w:rStyle w:val="Hyperlink"/>
              </w:rPr>
            </w:pPr>
            <w:hyperlink r:id="rId32" w:history="1">
              <w:r>
                <w:rPr>
                  <w:rStyle w:val="Hyperlink"/>
                </w:rPr>
                <w:t>khehmeyer@beneschlaw.com</w:t>
              </w:r>
            </w:hyperlink>
          </w:p>
          <w:p w:rsidR="00E91D9A" w14:paraId="7FB55E46" w14:textId="77777777">
            <w:pPr>
              <w:ind w:left="400"/>
              <w:rPr>
                <w:rStyle w:val="Hyperlink"/>
              </w:rPr>
            </w:pPr>
            <w:hyperlink r:id="rId33" w:history="1">
              <w:r>
                <w:rPr>
                  <w:rStyle w:val="Hyperlink"/>
                </w:rPr>
                <w:t>ssiewe@beneschlaw.com</w:t>
              </w:r>
            </w:hyperlink>
          </w:p>
          <w:p w:rsidR="00E91D9A" w14:paraId="6BEEAFEB" w14:textId="77777777">
            <w:pPr>
              <w:ind w:left="400"/>
              <w:rPr>
                <w:rStyle w:val="Hyperlink"/>
              </w:rPr>
            </w:pPr>
            <w:hyperlink r:id="rId34" w:history="1">
              <w:r>
                <w:rPr>
                  <w:rStyle w:val="Hyperlink"/>
                </w:rPr>
                <w:t>glpetrucci@vorys.com</w:t>
              </w:r>
            </w:hyperlink>
          </w:p>
          <w:p w:rsidR="00E91D9A" w14:paraId="3EDFBA64" w14:textId="77777777">
            <w:pPr>
              <w:ind w:left="400"/>
              <w:rPr>
                <w:rStyle w:val="Hyperlink"/>
              </w:rPr>
            </w:pPr>
            <w:hyperlink r:id="rId35" w:history="1">
              <w:r>
                <w:rPr>
                  <w:rStyle w:val="Hyperlink"/>
                </w:rPr>
                <w:t>mjsettineri@vorys.com</w:t>
              </w:r>
            </w:hyperlink>
          </w:p>
          <w:p w:rsidR="00E91D9A" w14:paraId="27FE5716" w14:textId="77777777">
            <w:pPr>
              <w:ind w:left="400"/>
              <w:rPr>
                <w:rStyle w:val="Hyperlink"/>
              </w:rPr>
            </w:pPr>
            <w:hyperlink r:id="rId36" w:history="1">
              <w:r>
                <w:rPr>
                  <w:rStyle w:val="Hyperlink"/>
                </w:rPr>
                <w:t>aasanyal@vorys.com</w:t>
              </w:r>
            </w:hyperlink>
          </w:p>
          <w:p w:rsidR="00E91D9A" w14:paraId="635FA8C7" w14:textId="77777777">
            <w:pPr>
              <w:ind w:left="400"/>
              <w:rPr>
                <w:rStyle w:val="Hyperlink"/>
              </w:rPr>
            </w:pPr>
          </w:p>
          <w:p w:rsidR="00E91D9A" w14:paraId="67DAC690" w14:textId="77777777">
            <w:pPr>
              <w:rPr>
                <w:rStyle w:val="Hyperlink"/>
              </w:rPr>
            </w:pPr>
          </w:p>
          <w:p w:rsidR="00E91D9A" w14:paraId="4F006E35" w14:textId="77777777">
            <w:pPr>
              <w:rPr>
                <w:rStyle w:val="Hyperlink"/>
              </w:rPr>
            </w:pPr>
          </w:p>
        </w:tc>
      </w:tr>
      <w:tr w14:paraId="427DFB8A" w14:textId="77777777" w:rsidTr="00E91D9A">
        <w:tblPrEx>
          <w:tblW w:w="0" w:type="auto"/>
          <w:tblLook w:val="04A0"/>
        </w:tblPrEx>
        <w:tc>
          <w:tcPr>
            <w:tcW w:w="4529" w:type="dxa"/>
          </w:tcPr>
          <w:p w:rsidR="00E91D9A" w14:paraId="75886224" w14:textId="77777777"/>
        </w:tc>
        <w:tc>
          <w:tcPr>
            <w:tcW w:w="4111" w:type="dxa"/>
          </w:tcPr>
          <w:p w:rsidR="00E91D9A" w14:paraId="0C2A013B" w14:textId="77777777">
            <w:pPr>
              <w:ind w:left="400"/>
            </w:pPr>
          </w:p>
        </w:tc>
      </w:tr>
      <w:bookmarkEnd w:id="1"/>
    </w:tbl>
    <w:p w:rsidR="00F658D3" w:rsidRPr="00E61247" w:rsidP="00E91D9A" w14:paraId="52645D7F" w14:textId="77777777">
      <w:pPr>
        <w:pStyle w:val="CommentText"/>
        <w:jc w:val="center"/>
        <w:rPr>
          <w:b/>
          <w:bCs/>
          <w:sz w:val="24"/>
          <w:szCs w:val="24"/>
          <w:u w:val="single"/>
        </w:rPr>
      </w:pPr>
    </w:p>
    <w:sectPr w:rsidSect="003546B3">
      <w:footerReference w:type="default" r:id="rI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025329"/>
      <w:docPartObj>
        <w:docPartGallery w:val="Page Numbers (Bottom of Page)"/>
        <w:docPartUnique/>
      </w:docPartObj>
    </w:sdtPr>
    <w:sdtEndPr>
      <w:rPr>
        <w:rFonts w:ascii="Times New Roman" w:hAnsi="Times New Roman" w:cs="Times New Roman"/>
        <w:noProof/>
      </w:rPr>
    </w:sdtEndPr>
    <w:sdtContent>
      <w:p w:rsidR="00E91D9A" w:rsidRPr="00E91D9A" w14:paraId="3F2E80EB" w14:textId="70C52399">
        <w:pPr>
          <w:pStyle w:val="Footer"/>
          <w:jc w:val="center"/>
          <w:rPr>
            <w:rFonts w:ascii="Times New Roman" w:hAnsi="Times New Roman" w:cs="Times New Roman"/>
          </w:rPr>
        </w:pPr>
      </w:p>
    </w:sdtContent>
  </w:sdt>
  <w:p w:rsidR="00646F90" w:rsidRPr="00646F90" w14:paraId="726AFF7C" w14:textId="13822D14">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6275645"/>
      <w:docPartObj>
        <w:docPartGallery w:val="Page Numbers (Bottom of Page)"/>
        <w:docPartUnique/>
      </w:docPartObj>
    </w:sdtPr>
    <w:sdtEndPr>
      <w:rPr>
        <w:rFonts w:ascii="Times New Roman" w:hAnsi="Times New Roman" w:cs="Times New Roman"/>
        <w:noProof/>
      </w:rPr>
    </w:sdtEndPr>
    <w:sdtContent>
      <w:p w:rsidR="00E91D9A" w:rsidRPr="00E91D9A" w14:paraId="051C7E46" w14:textId="77777777">
        <w:pPr>
          <w:pStyle w:val="Footer"/>
          <w:jc w:val="center"/>
          <w:rPr>
            <w:rFonts w:ascii="Times New Roman" w:hAnsi="Times New Roman" w:cs="Times New Roman"/>
          </w:rPr>
        </w:pPr>
        <w:r w:rsidRPr="00E91D9A">
          <w:rPr>
            <w:rFonts w:ascii="Times New Roman" w:hAnsi="Times New Roman" w:cs="Times New Roman"/>
          </w:rPr>
          <w:fldChar w:fldCharType="begin"/>
        </w:r>
        <w:r w:rsidRPr="00E91D9A">
          <w:rPr>
            <w:rFonts w:ascii="Times New Roman" w:hAnsi="Times New Roman" w:cs="Times New Roman"/>
          </w:rPr>
          <w:instrText xml:space="preserve"> PAGE   \* MERGEFORMAT </w:instrText>
        </w:r>
        <w:r w:rsidRPr="00E91D9A">
          <w:rPr>
            <w:rFonts w:ascii="Times New Roman" w:hAnsi="Times New Roman" w:cs="Times New Roman"/>
          </w:rPr>
          <w:fldChar w:fldCharType="separate"/>
        </w:r>
        <w:r w:rsidRPr="00E91D9A">
          <w:rPr>
            <w:rFonts w:ascii="Times New Roman" w:hAnsi="Times New Roman" w:cs="Times New Roman"/>
            <w:noProof/>
          </w:rPr>
          <w:t>2</w:t>
        </w:r>
        <w:r w:rsidRPr="00E91D9A">
          <w:rPr>
            <w:rFonts w:ascii="Times New Roman" w:hAnsi="Times New Roman" w:cs="Times New Roman"/>
            <w:noProof/>
          </w:rPr>
          <w:fldChar w:fldCharType="end"/>
        </w:r>
      </w:p>
    </w:sdtContent>
  </w:sdt>
  <w:p w:rsidR="00E91D9A" w:rsidRPr="00646F90" w14:paraId="3124EDD7" w14:textId="77777777">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2514799"/>
      <w:docPartObj>
        <w:docPartGallery w:val="Page Numbers (Bottom of Page)"/>
        <w:docPartUnique/>
      </w:docPartObj>
    </w:sdtPr>
    <w:sdtEndPr>
      <w:rPr>
        <w:rFonts w:ascii="Times New Roman" w:hAnsi="Times New Roman" w:cs="Times New Roman"/>
        <w:noProof/>
      </w:rPr>
    </w:sdtEndPr>
    <w:sdtContent>
      <w:p w:rsidR="003546B3" w:rsidRPr="001A5EC2" w14:paraId="51059E7A" w14:textId="77777777">
        <w:pPr>
          <w:pStyle w:val="Footer"/>
          <w:jc w:val="center"/>
          <w:rPr>
            <w:rFonts w:ascii="Times New Roman" w:hAnsi="Times New Roman" w:cs="Times New Roman"/>
          </w:rPr>
        </w:pPr>
        <w:r w:rsidRPr="001A5EC2">
          <w:rPr>
            <w:rFonts w:ascii="Times New Roman" w:hAnsi="Times New Roman" w:cs="Times New Roman"/>
          </w:rPr>
          <w:fldChar w:fldCharType="begin"/>
        </w:r>
        <w:r w:rsidRPr="001A5EC2">
          <w:rPr>
            <w:rFonts w:ascii="Times New Roman" w:hAnsi="Times New Roman" w:cs="Times New Roman"/>
          </w:rPr>
          <w:instrText xml:space="preserve"> PAGE   \* MERGEFORMAT </w:instrText>
        </w:r>
        <w:r w:rsidRPr="001A5EC2">
          <w:rPr>
            <w:rFonts w:ascii="Times New Roman" w:hAnsi="Times New Roman" w:cs="Times New Roman"/>
          </w:rPr>
          <w:fldChar w:fldCharType="separate"/>
        </w:r>
        <w:r>
          <w:rPr>
            <w:rFonts w:ascii="Times New Roman" w:hAnsi="Times New Roman" w:cs="Times New Roman"/>
            <w:noProof/>
          </w:rPr>
          <w:t>25</w:t>
        </w:r>
        <w:r w:rsidRPr="001A5EC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586B" w14:paraId="4F78C686" w14:textId="77777777">
      <w:r>
        <w:separator/>
      </w:r>
    </w:p>
  </w:footnote>
  <w:footnote w:type="continuationSeparator" w:id="1">
    <w:p w:rsidR="0074586B" w14:paraId="257D9432" w14:textId="77777777">
      <w:r>
        <w:continuationSeparator/>
      </w:r>
    </w:p>
  </w:footnote>
  <w:footnote w:id="2">
    <w:p w:rsidR="0050190B" w:rsidP="001C69C2" w14:paraId="2ED07DFF" w14:textId="09667FD6">
      <w:pPr>
        <w:pStyle w:val="FootnoteText"/>
        <w:spacing w:after="120"/>
      </w:pPr>
      <w:r>
        <w:rPr>
          <w:rStyle w:val="FootnoteReference"/>
        </w:rPr>
        <w:footnoteRef/>
      </w:r>
      <w:r>
        <w:t xml:space="preserve"> Joint Interlocutory Appeal and Request for Certification of the Retail Energy Supply Association and Interstate Gas Supply, Inc. (Nov. 8, 2021) (the “Marketer Appeal”).</w:t>
      </w:r>
    </w:p>
  </w:footnote>
  <w:footnote w:id="3">
    <w:p w:rsidR="006B0920" w:rsidP="001C69C2" w14:paraId="6D7C6162" w14:textId="0F2E0B9D">
      <w:pPr>
        <w:pStyle w:val="FootnoteText"/>
        <w:spacing w:after="120"/>
      </w:pPr>
      <w:r>
        <w:rPr>
          <w:rStyle w:val="FootnoteReference"/>
        </w:rPr>
        <w:footnoteRef/>
      </w:r>
      <w:r>
        <w:t xml:space="preserve"> Entry (Oct. 15, 2021).</w:t>
      </w:r>
    </w:p>
  </w:footnote>
  <w:footnote w:id="4">
    <w:p w:rsidR="006B0920" w:rsidRPr="006B0920" w:rsidP="001C69C2" w14:paraId="2C6688CC" w14:textId="575CE06C">
      <w:pPr>
        <w:pStyle w:val="FootnoteText"/>
        <w:spacing w:after="120"/>
      </w:pPr>
      <w:r>
        <w:rPr>
          <w:rStyle w:val="FootnoteReference"/>
        </w:rPr>
        <w:footnoteRef/>
      </w:r>
      <w:r>
        <w:t xml:space="preserve"> </w:t>
      </w:r>
      <w:r>
        <w:rPr>
          <w:i/>
          <w:iCs/>
        </w:rPr>
        <w:t>Id.</w:t>
      </w:r>
      <w:r>
        <w:t>¶ 32.</w:t>
      </w:r>
    </w:p>
  </w:footnote>
  <w:footnote w:id="5">
    <w:p w:rsidR="00C828CC" w:rsidP="001C69C2" w14:paraId="413406B3" w14:textId="682873B5">
      <w:pPr>
        <w:pStyle w:val="FootnoteText"/>
        <w:spacing w:after="120"/>
      </w:pPr>
      <w:r>
        <w:rPr>
          <w:rStyle w:val="FootnoteReference"/>
        </w:rPr>
        <w:footnoteRef/>
      </w:r>
      <w:r>
        <w:t xml:space="preserve"> O.A.C. 4901-1-15(C).</w:t>
      </w:r>
    </w:p>
  </w:footnote>
  <w:footnote w:id="6">
    <w:p w:rsidR="00C828CC" w:rsidP="001C69C2" w14:paraId="1240C175" w14:textId="7BC69614">
      <w:pPr>
        <w:pStyle w:val="FootnoteText"/>
        <w:spacing w:after="120"/>
      </w:pPr>
      <w:r>
        <w:rPr>
          <w:rStyle w:val="FootnoteReference"/>
        </w:rPr>
        <w:footnoteRef/>
      </w:r>
      <w:r>
        <w:t xml:space="preserve"> Entry ¶ 28 (Nov. 3, 2021).</w:t>
      </w:r>
    </w:p>
  </w:footnote>
  <w:footnote w:id="7">
    <w:p w:rsidR="005E71EF" w:rsidP="001C69C2" w14:paraId="7896D08E" w14:textId="02BE4C41">
      <w:pPr>
        <w:pStyle w:val="FootnoteText"/>
        <w:spacing w:after="120"/>
      </w:pPr>
      <w:r>
        <w:rPr>
          <w:rStyle w:val="FootnoteReference"/>
        </w:rPr>
        <w:footnoteRef/>
      </w:r>
      <w:r>
        <w:t xml:space="preserve"> Marketer Appeal at 3.</w:t>
      </w:r>
    </w:p>
  </w:footnote>
  <w:footnote w:id="8">
    <w:p w:rsidR="00FE5376" w:rsidP="001C69C2" w14:paraId="40CE4970" w14:textId="2A92CA0F">
      <w:pPr>
        <w:pStyle w:val="FootnoteText"/>
        <w:spacing w:after="120"/>
      </w:pPr>
      <w:r>
        <w:rPr>
          <w:rStyle w:val="FootnoteReference"/>
        </w:rPr>
        <w:footnoteRef/>
      </w:r>
      <w:r>
        <w:t xml:space="preserve"> Entry ¶ 32 (Oct. 15, 2021).</w:t>
      </w:r>
    </w:p>
  </w:footnote>
  <w:footnote w:id="9">
    <w:p w:rsidR="00EF0986" w:rsidRPr="001C69C2" w:rsidP="001C69C2" w14:paraId="0EEEE334" w14:textId="7FEA6031">
      <w:pPr>
        <w:pStyle w:val="FootnoteText"/>
        <w:spacing w:after="120"/>
      </w:pPr>
      <w:r>
        <w:rPr>
          <w:rStyle w:val="FootnoteReference"/>
        </w:rPr>
        <w:footnoteRef/>
      </w:r>
      <w:r>
        <w:t xml:space="preserve"> </w:t>
      </w:r>
      <w:r>
        <w:rPr>
          <w:i/>
          <w:iCs/>
        </w:rPr>
        <w:t>See In re Application of [FirstEnergy] for Authority to Provide for a Standard Serv. Offer</w:t>
      </w:r>
      <w:r>
        <w:t xml:space="preserve">, Case No. 14-1297-El-SSO, </w:t>
      </w:r>
      <w:r w:rsidR="001C69C2">
        <w:t>Opinion &amp; Order (Mar. 31, 2016) (rejecting party’s attempt to collaterally attack a prior attorney examiner ruling granting intervention).</w:t>
      </w:r>
    </w:p>
  </w:footnote>
  <w:footnote w:id="10">
    <w:p w:rsidR="00513DE0" w:rsidRPr="00513DE0" w:rsidP="001C69C2" w14:paraId="55A4CFDF" w14:textId="50BF204E">
      <w:pPr>
        <w:pStyle w:val="FootnoteText"/>
        <w:spacing w:after="120"/>
      </w:pPr>
      <w:r>
        <w:rPr>
          <w:rStyle w:val="FootnoteReference"/>
        </w:rPr>
        <w:footnoteRef/>
      </w:r>
      <w:r>
        <w:t xml:space="preserve"> </w:t>
      </w:r>
      <w:r>
        <w:rPr>
          <w:i/>
          <w:iCs/>
        </w:rPr>
        <w:t>See In re Complaint of WorldCom, Inc.</w:t>
      </w:r>
      <w:r>
        <w:t xml:space="preserve">, Case No. 03-324-AU-PWC, Opinion &amp; Order (June 26, 2003) (“Complainants are correct that the Commission decides cases based upon the record presented and does not give advisory opinions.”). </w:t>
      </w:r>
    </w:p>
  </w:footnote>
  <w:footnote w:id="11">
    <w:p w:rsidR="0050190B" w:rsidP="001C69C2" w14:paraId="276B325E" w14:textId="103D2980">
      <w:pPr>
        <w:pStyle w:val="FootnoteText"/>
        <w:spacing w:after="120"/>
      </w:pPr>
      <w:r>
        <w:rPr>
          <w:rStyle w:val="FootnoteReference"/>
        </w:rPr>
        <w:footnoteRef/>
      </w:r>
      <w:r>
        <w:t xml:space="preserve"> Marketer Appeal at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0E4453E"/>
    <w:lvl w:ilvl="0">
      <w:start w:val="1"/>
      <w:numFmt w:val="decimal"/>
      <w:lvlText w:val="%1."/>
      <w:lvlJc w:val="left"/>
      <w:pPr>
        <w:tabs>
          <w:tab w:val="num" w:pos="1800"/>
        </w:tabs>
        <w:ind w:left="1800" w:hanging="360"/>
      </w:pPr>
    </w:lvl>
  </w:abstractNum>
  <w:abstractNum w:abstractNumId="1">
    <w:nsid w:val="FFFFFF7D"/>
    <w:multiLevelType w:val="singleLevel"/>
    <w:tmpl w:val="567E7D5E"/>
    <w:lvl w:ilvl="0">
      <w:start w:val="1"/>
      <w:numFmt w:val="decimal"/>
      <w:lvlText w:val="%1."/>
      <w:lvlJc w:val="left"/>
      <w:pPr>
        <w:tabs>
          <w:tab w:val="num" w:pos="1440"/>
        </w:tabs>
        <w:ind w:left="1440" w:hanging="360"/>
      </w:pPr>
    </w:lvl>
  </w:abstractNum>
  <w:abstractNum w:abstractNumId="2">
    <w:nsid w:val="FFFFFF7E"/>
    <w:multiLevelType w:val="singleLevel"/>
    <w:tmpl w:val="76E4AB5C"/>
    <w:lvl w:ilvl="0">
      <w:start w:val="1"/>
      <w:numFmt w:val="decimal"/>
      <w:lvlText w:val="%1."/>
      <w:lvlJc w:val="left"/>
      <w:pPr>
        <w:tabs>
          <w:tab w:val="num" w:pos="1080"/>
        </w:tabs>
        <w:ind w:left="1080" w:hanging="360"/>
      </w:pPr>
    </w:lvl>
  </w:abstractNum>
  <w:abstractNum w:abstractNumId="3">
    <w:nsid w:val="FFFFFF7F"/>
    <w:multiLevelType w:val="singleLevel"/>
    <w:tmpl w:val="99F84012"/>
    <w:lvl w:ilvl="0">
      <w:start w:val="1"/>
      <w:numFmt w:val="decimal"/>
      <w:lvlText w:val="%1."/>
      <w:lvlJc w:val="left"/>
      <w:pPr>
        <w:tabs>
          <w:tab w:val="num" w:pos="720"/>
        </w:tabs>
        <w:ind w:left="720" w:hanging="360"/>
      </w:pPr>
    </w:lvl>
  </w:abstractNum>
  <w:abstractNum w:abstractNumId="4">
    <w:nsid w:val="FFFFFF80"/>
    <w:multiLevelType w:val="singleLevel"/>
    <w:tmpl w:val="6C1A91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AEA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36C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300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92FE5C"/>
    <w:lvl w:ilvl="0">
      <w:start w:val="1"/>
      <w:numFmt w:val="decimal"/>
      <w:lvlText w:val="%1."/>
      <w:lvlJc w:val="left"/>
      <w:pPr>
        <w:tabs>
          <w:tab w:val="num" w:pos="360"/>
        </w:tabs>
        <w:ind w:left="360" w:hanging="360"/>
      </w:pPr>
    </w:lvl>
  </w:abstractNum>
  <w:abstractNum w:abstractNumId="9">
    <w:nsid w:val="FFFFFF89"/>
    <w:multiLevelType w:val="singleLevel"/>
    <w:tmpl w:val="DD3CE0A8"/>
    <w:lvl w:ilvl="0">
      <w:start w:val="1"/>
      <w:numFmt w:val="bullet"/>
      <w:lvlText w:val=""/>
      <w:lvlJc w:val="left"/>
      <w:pPr>
        <w:tabs>
          <w:tab w:val="num" w:pos="360"/>
        </w:tabs>
        <w:ind w:left="360" w:hanging="360"/>
      </w:pPr>
      <w:rPr>
        <w:rFonts w:ascii="Symbol" w:hAnsi="Symbol" w:hint="default"/>
      </w:rPr>
    </w:lvl>
  </w:abstractNum>
  <w:abstractNum w:abstractNumId="10">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4401AC7"/>
    <w:multiLevelType w:val="hybridMultilevel"/>
    <w:tmpl w:val="778CA0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1AB8291E"/>
    <w:multiLevelType w:val="hybridMultilevel"/>
    <w:tmpl w:val="3084A9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13F17E9"/>
    <w:multiLevelType w:val="hybridMultilevel"/>
    <w:tmpl w:val="828EF11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2460828"/>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6F3551"/>
    <w:multiLevelType w:val="hybridMultilevel"/>
    <w:tmpl w:val="5DA03A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2F12130"/>
    <w:multiLevelType w:val="hybridMultilevel"/>
    <w:tmpl w:val="B7362CE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4CE3B51"/>
    <w:multiLevelType w:val="hybridMultilevel"/>
    <w:tmpl w:val="4318685E"/>
    <w:lvl w:ilvl="0">
      <w:start w:val="1"/>
      <w:numFmt w:val="lowerRoman"/>
      <w:lvlText w:val="%1."/>
      <w:lvlJc w:val="left"/>
      <w:pPr>
        <w:ind w:left="1080" w:hanging="720"/>
      </w:pPr>
      <w:rPr>
        <w:rFonts w:ascii="Times New Roman" w:hAnsi="Times New Roman" w:cs="Times New Roman"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845193B"/>
    <w:multiLevelType w:val="hybridMultilevel"/>
    <w:tmpl w:val="48E619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8081968"/>
    <w:multiLevelType w:val="hybridMultilevel"/>
    <w:tmpl w:val="B456D6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32">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7D0430"/>
    <w:multiLevelType w:val="hybridMultilevel"/>
    <w:tmpl w:val="B5D2C2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8A01561"/>
    <w:multiLevelType w:val="hybridMultilevel"/>
    <w:tmpl w:val="ACA25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C135FC2"/>
    <w:multiLevelType w:val="hybridMultilevel"/>
    <w:tmpl w:val="BE1A5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38">
    <w:nsid w:val="72394CCA"/>
    <w:multiLevelType w:val="hybridMultilevel"/>
    <w:tmpl w:val="51B87C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D393FAB"/>
    <w:multiLevelType w:val="hybridMultilevel"/>
    <w:tmpl w:val="9B2A2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7"/>
  </w:num>
  <w:num w:numId="4">
    <w:abstractNumId w:val="14"/>
  </w:num>
  <w:num w:numId="5">
    <w:abstractNumId w:val="19"/>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28"/>
  </w:num>
  <w:num w:numId="16">
    <w:abstractNumId w:val="27"/>
  </w:num>
  <w:num w:numId="17">
    <w:abstractNumId w:val="29"/>
  </w:num>
  <w:num w:numId="18">
    <w:abstractNumId w:val="31"/>
  </w:num>
  <w:num w:numId="19">
    <w:abstractNumId w:val="13"/>
  </w:num>
  <w:num w:numId="20">
    <w:abstractNumId w:val="35"/>
  </w:num>
  <w:num w:numId="21">
    <w:abstractNumId w:val="18"/>
  </w:num>
  <w:num w:numId="22">
    <w:abstractNumId w:val="39"/>
  </w:num>
  <w:num w:numId="23">
    <w:abstractNumId w:val="10"/>
  </w:num>
  <w:num w:numId="24">
    <w:abstractNumId w:val="15"/>
  </w:num>
  <w:num w:numId="25">
    <w:abstractNumId w:val="12"/>
  </w:num>
  <w:num w:numId="26">
    <w:abstractNumId w:val="26"/>
  </w:num>
  <w:num w:numId="27">
    <w:abstractNumId w:val="23"/>
  </w:num>
  <w:num w:numId="28">
    <w:abstractNumId w:val="22"/>
  </w:num>
  <w:num w:numId="29">
    <w:abstractNumId w:val="21"/>
  </w:num>
  <w:num w:numId="30">
    <w:abstractNumId w:val="20"/>
  </w:num>
  <w:num w:numId="31">
    <w:abstractNumId w:val="25"/>
  </w:num>
  <w:num w:numId="32">
    <w:abstractNumId w:val="38"/>
  </w:num>
  <w:num w:numId="33">
    <w:abstractNumId w:val="34"/>
  </w:num>
  <w:num w:numId="34">
    <w:abstractNumId w:val="16"/>
  </w:num>
  <w:num w:numId="35">
    <w:abstractNumId w:val="40"/>
  </w:num>
  <w:num w:numId="36">
    <w:abstractNumId w:val="17"/>
  </w:num>
  <w:num w:numId="37">
    <w:abstractNumId w:val="36"/>
  </w:num>
  <w:num w:numId="38">
    <w:abstractNumId w:val="1"/>
  </w:num>
  <w:num w:numId="39">
    <w:abstractNumId w:val="0"/>
  </w:num>
  <w:num w:numId="40">
    <w:abstractNumId w:val="3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57"/>
    <w:rsid w:val="00000C21"/>
    <w:rsid w:val="000016C2"/>
    <w:rsid w:val="00001945"/>
    <w:rsid w:val="0000257C"/>
    <w:rsid w:val="00012C98"/>
    <w:rsid w:val="00012F0C"/>
    <w:rsid w:val="00013D63"/>
    <w:rsid w:val="00020881"/>
    <w:rsid w:val="00021F0A"/>
    <w:rsid w:val="000306FC"/>
    <w:rsid w:val="000324F4"/>
    <w:rsid w:val="00036EC1"/>
    <w:rsid w:val="000373C7"/>
    <w:rsid w:val="0004187B"/>
    <w:rsid w:val="00047DF8"/>
    <w:rsid w:val="000607D2"/>
    <w:rsid w:val="00060DF0"/>
    <w:rsid w:val="00061EE9"/>
    <w:rsid w:val="00062AEE"/>
    <w:rsid w:val="00064A2D"/>
    <w:rsid w:val="0006654F"/>
    <w:rsid w:val="0007317E"/>
    <w:rsid w:val="00080317"/>
    <w:rsid w:val="000827C9"/>
    <w:rsid w:val="00084393"/>
    <w:rsid w:val="00084BBC"/>
    <w:rsid w:val="00093350"/>
    <w:rsid w:val="00095025"/>
    <w:rsid w:val="000A0F91"/>
    <w:rsid w:val="000A1544"/>
    <w:rsid w:val="000A188E"/>
    <w:rsid w:val="000A31BC"/>
    <w:rsid w:val="000A6239"/>
    <w:rsid w:val="000A7841"/>
    <w:rsid w:val="000B3258"/>
    <w:rsid w:val="000B3882"/>
    <w:rsid w:val="000B4987"/>
    <w:rsid w:val="000C4B77"/>
    <w:rsid w:val="000D0211"/>
    <w:rsid w:val="000D1239"/>
    <w:rsid w:val="000D446B"/>
    <w:rsid w:val="000F1B7E"/>
    <w:rsid w:val="000F3A9F"/>
    <w:rsid w:val="000F4357"/>
    <w:rsid w:val="000F4D00"/>
    <w:rsid w:val="00115AF7"/>
    <w:rsid w:val="001175FF"/>
    <w:rsid w:val="00120E9A"/>
    <w:rsid w:val="001249E8"/>
    <w:rsid w:val="00130BDA"/>
    <w:rsid w:val="00144E06"/>
    <w:rsid w:val="0014635C"/>
    <w:rsid w:val="00153E9F"/>
    <w:rsid w:val="0016093B"/>
    <w:rsid w:val="00166BDA"/>
    <w:rsid w:val="00167574"/>
    <w:rsid w:val="00167C22"/>
    <w:rsid w:val="0017390A"/>
    <w:rsid w:val="00175B53"/>
    <w:rsid w:val="00177862"/>
    <w:rsid w:val="00180094"/>
    <w:rsid w:val="00182262"/>
    <w:rsid w:val="001842A9"/>
    <w:rsid w:val="001A1C03"/>
    <w:rsid w:val="001A2C9D"/>
    <w:rsid w:val="001A5EC2"/>
    <w:rsid w:val="001B0826"/>
    <w:rsid w:val="001B1500"/>
    <w:rsid w:val="001B157D"/>
    <w:rsid w:val="001B5114"/>
    <w:rsid w:val="001B6D86"/>
    <w:rsid w:val="001C2054"/>
    <w:rsid w:val="001C69C2"/>
    <w:rsid w:val="001D4EBF"/>
    <w:rsid w:val="001E376C"/>
    <w:rsid w:val="001E7061"/>
    <w:rsid w:val="001F19BF"/>
    <w:rsid w:val="001F547B"/>
    <w:rsid w:val="00203337"/>
    <w:rsid w:val="00207745"/>
    <w:rsid w:val="00213411"/>
    <w:rsid w:val="00222C6F"/>
    <w:rsid w:val="00224C28"/>
    <w:rsid w:val="00230E11"/>
    <w:rsid w:val="002434AC"/>
    <w:rsid w:val="00245811"/>
    <w:rsid w:val="00246C3B"/>
    <w:rsid w:val="00251124"/>
    <w:rsid w:val="00252427"/>
    <w:rsid w:val="0025648E"/>
    <w:rsid w:val="002712B7"/>
    <w:rsid w:val="00274996"/>
    <w:rsid w:val="002804A2"/>
    <w:rsid w:val="00282DE7"/>
    <w:rsid w:val="00283A42"/>
    <w:rsid w:val="00285C3D"/>
    <w:rsid w:val="00286159"/>
    <w:rsid w:val="0029478F"/>
    <w:rsid w:val="00295460"/>
    <w:rsid w:val="00295BCE"/>
    <w:rsid w:val="002A340A"/>
    <w:rsid w:val="002A4414"/>
    <w:rsid w:val="002A4671"/>
    <w:rsid w:val="002A75D0"/>
    <w:rsid w:val="002B395A"/>
    <w:rsid w:val="002B460B"/>
    <w:rsid w:val="002B63C4"/>
    <w:rsid w:val="002C0A59"/>
    <w:rsid w:val="002C4CAB"/>
    <w:rsid w:val="002D2B35"/>
    <w:rsid w:val="002D318F"/>
    <w:rsid w:val="002D33C0"/>
    <w:rsid w:val="002D45DE"/>
    <w:rsid w:val="002D4A61"/>
    <w:rsid w:val="002D4DD2"/>
    <w:rsid w:val="002D4E47"/>
    <w:rsid w:val="002D6AC1"/>
    <w:rsid w:val="002D756F"/>
    <w:rsid w:val="002E269B"/>
    <w:rsid w:val="002E6338"/>
    <w:rsid w:val="002F1BB2"/>
    <w:rsid w:val="002F24E6"/>
    <w:rsid w:val="002F7485"/>
    <w:rsid w:val="00300B65"/>
    <w:rsid w:val="00301169"/>
    <w:rsid w:val="0030283E"/>
    <w:rsid w:val="00303291"/>
    <w:rsid w:val="00306181"/>
    <w:rsid w:val="003131A4"/>
    <w:rsid w:val="003136C4"/>
    <w:rsid w:val="0031558D"/>
    <w:rsid w:val="0031575C"/>
    <w:rsid w:val="00316F14"/>
    <w:rsid w:val="0032098F"/>
    <w:rsid w:val="003237BA"/>
    <w:rsid w:val="00324BD3"/>
    <w:rsid w:val="00332743"/>
    <w:rsid w:val="0033620E"/>
    <w:rsid w:val="00347C24"/>
    <w:rsid w:val="00353E1B"/>
    <w:rsid w:val="00353FB7"/>
    <w:rsid w:val="003546B3"/>
    <w:rsid w:val="00355577"/>
    <w:rsid w:val="00357613"/>
    <w:rsid w:val="0036196F"/>
    <w:rsid w:val="00363F20"/>
    <w:rsid w:val="00365A81"/>
    <w:rsid w:val="0037114A"/>
    <w:rsid w:val="00371421"/>
    <w:rsid w:val="00371ABA"/>
    <w:rsid w:val="00382620"/>
    <w:rsid w:val="0039135F"/>
    <w:rsid w:val="0039519A"/>
    <w:rsid w:val="00397187"/>
    <w:rsid w:val="003A067C"/>
    <w:rsid w:val="003A1850"/>
    <w:rsid w:val="003A2682"/>
    <w:rsid w:val="003B0748"/>
    <w:rsid w:val="003B182E"/>
    <w:rsid w:val="003B2206"/>
    <w:rsid w:val="003C0369"/>
    <w:rsid w:val="003C263B"/>
    <w:rsid w:val="003D3CFE"/>
    <w:rsid w:val="003D7430"/>
    <w:rsid w:val="003D7F18"/>
    <w:rsid w:val="003E1739"/>
    <w:rsid w:val="003E4F5B"/>
    <w:rsid w:val="003E66C0"/>
    <w:rsid w:val="003E7620"/>
    <w:rsid w:val="003F3477"/>
    <w:rsid w:val="003F5FD4"/>
    <w:rsid w:val="003F653A"/>
    <w:rsid w:val="003F7FDE"/>
    <w:rsid w:val="00405B2F"/>
    <w:rsid w:val="00412682"/>
    <w:rsid w:val="00414C96"/>
    <w:rsid w:val="004217B2"/>
    <w:rsid w:val="004312EF"/>
    <w:rsid w:val="00431597"/>
    <w:rsid w:val="00434A54"/>
    <w:rsid w:val="00436A72"/>
    <w:rsid w:val="00436D80"/>
    <w:rsid w:val="00437C97"/>
    <w:rsid w:val="00444BD1"/>
    <w:rsid w:val="004451BD"/>
    <w:rsid w:val="004517BB"/>
    <w:rsid w:val="0045505C"/>
    <w:rsid w:val="00457DA1"/>
    <w:rsid w:val="004608D8"/>
    <w:rsid w:val="004610D3"/>
    <w:rsid w:val="00463EDD"/>
    <w:rsid w:val="00464766"/>
    <w:rsid w:val="00467D07"/>
    <w:rsid w:val="0047000B"/>
    <w:rsid w:val="00470945"/>
    <w:rsid w:val="00477293"/>
    <w:rsid w:val="004776F7"/>
    <w:rsid w:val="0048051E"/>
    <w:rsid w:val="00486434"/>
    <w:rsid w:val="00486ED3"/>
    <w:rsid w:val="004901EC"/>
    <w:rsid w:val="00493034"/>
    <w:rsid w:val="0049449A"/>
    <w:rsid w:val="00495EE0"/>
    <w:rsid w:val="0049633E"/>
    <w:rsid w:val="00496D6A"/>
    <w:rsid w:val="004977A8"/>
    <w:rsid w:val="004A54B8"/>
    <w:rsid w:val="004A70F8"/>
    <w:rsid w:val="004A71CC"/>
    <w:rsid w:val="004B2413"/>
    <w:rsid w:val="004B68FA"/>
    <w:rsid w:val="004C1953"/>
    <w:rsid w:val="004C3701"/>
    <w:rsid w:val="004D0398"/>
    <w:rsid w:val="004D283E"/>
    <w:rsid w:val="004D302D"/>
    <w:rsid w:val="004D3225"/>
    <w:rsid w:val="004D32F6"/>
    <w:rsid w:val="004D3C13"/>
    <w:rsid w:val="004D63B4"/>
    <w:rsid w:val="004E0DF9"/>
    <w:rsid w:val="004E4181"/>
    <w:rsid w:val="004E5D43"/>
    <w:rsid w:val="004E61CF"/>
    <w:rsid w:val="004E7851"/>
    <w:rsid w:val="004F3A9B"/>
    <w:rsid w:val="0050190B"/>
    <w:rsid w:val="005027FB"/>
    <w:rsid w:val="005028AA"/>
    <w:rsid w:val="00504987"/>
    <w:rsid w:val="00505418"/>
    <w:rsid w:val="005056E8"/>
    <w:rsid w:val="00506AE7"/>
    <w:rsid w:val="005073A5"/>
    <w:rsid w:val="00510499"/>
    <w:rsid w:val="00510E24"/>
    <w:rsid w:val="00513DE0"/>
    <w:rsid w:val="00514BC8"/>
    <w:rsid w:val="005161E1"/>
    <w:rsid w:val="00517314"/>
    <w:rsid w:val="00520392"/>
    <w:rsid w:val="005216DF"/>
    <w:rsid w:val="0052274B"/>
    <w:rsid w:val="00524F71"/>
    <w:rsid w:val="00525931"/>
    <w:rsid w:val="0052620E"/>
    <w:rsid w:val="00534F9D"/>
    <w:rsid w:val="00536B61"/>
    <w:rsid w:val="00544AEA"/>
    <w:rsid w:val="00550FC5"/>
    <w:rsid w:val="00554787"/>
    <w:rsid w:val="005645D0"/>
    <w:rsid w:val="005646B0"/>
    <w:rsid w:val="00564914"/>
    <w:rsid w:val="005652AC"/>
    <w:rsid w:val="00565398"/>
    <w:rsid w:val="00565ACF"/>
    <w:rsid w:val="005660CE"/>
    <w:rsid w:val="00566AA9"/>
    <w:rsid w:val="00567800"/>
    <w:rsid w:val="0057242C"/>
    <w:rsid w:val="00575E61"/>
    <w:rsid w:val="005801BC"/>
    <w:rsid w:val="00580713"/>
    <w:rsid w:val="0058129A"/>
    <w:rsid w:val="00582F6F"/>
    <w:rsid w:val="00590F01"/>
    <w:rsid w:val="00592506"/>
    <w:rsid w:val="0059331C"/>
    <w:rsid w:val="00595F10"/>
    <w:rsid w:val="005A1347"/>
    <w:rsid w:val="005A4754"/>
    <w:rsid w:val="005A4C5A"/>
    <w:rsid w:val="005B0E27"/>
    <w:rsid w:val="005B14C6"/>
    <w:rsid w:val="005B2903"/>
    <w:rsid w:val="005B4E31"/>
    <w:rsid w:val="005B6A16"/>
    <w:rsid w:val="005C1F33"/>
    <w:rsid w:val="005C3632"/>
    <w:rsid w:val="005C5FD2"/>
    <w:rsid w:val="005C6566"/>
    <w:rsid w:val="005D226A"/>
    <w:rsid w:val="005D357C"/>
    <w:rsid w:val="005D373E"/>
    <w:rsid w:val="005D45BD"/>
    <w:rsid w:val="005E0828"/>
    <w:rsid w:val="005E1C2D"/>
    <w:rsid w:val="005E4B02"/>
    <w:rsid w:val="005E71EF"/>
    <w:rsid w:val="005F0417"/>
    <w:rsid w:val="005F04FF"/>
    <w:rsid w:val="005F1534"/>
    <w:rsid w:val="005F166A"/>
    <w:rsid w:val="005F27FE"/>
    <w:rsid w:val="005F3473"/>
    <w:rsid w:val="005F4C34"/>
    <w:rsid w:val="005F5C8D"/>
    <w:rsid w:val="005F7A3C"/>
    <w:rsid w:val="00603E89"/>
    <w:rsid w:val="006041A0"/>
    <w:rsid w:val="0060669B"/>
    <w:rsid w:val="00606FB6"/>
    <w:rsid w:val="006153A7"/>
    <w:rsid w:val="00620787"/>
    <w:rsid w:val="00620B47"/>
    <w:rsid w:val="00624073"/>
    <w:rsid w:val="006240C9"/>
    <w:rsid w:val="0062413D"/>
    <w:rsid w:val="00626254"/>
    <w:rsid w:val="00627C88"/>
    <w:rsid w:val="00630C66"/>
    <w:rsid w:val="00634D75"/>
    <w:rsid w:val="00641252"/>
    <w:rsid w:val="00641E6B"/>
    <w:rsid w:val="00645E24"/>
    <w:rsid w:val="00646F90"/>
    <w:rsid w:val="00647DC1"/>
    <w:rsid w:val="00655EB2"/>
    <w:rsid w:val="006560DB"/>
    <w:rsid w:val="0066707F"/>
    <w:rsid w:val="00675B1D"/>
    <w:rsid w:val="006801F6"/>
    <w:rsid w:val="00691128"/>
    <w:rsid w:val="0069276D"/>
    <w:rsid w:val="00693A0E"/>
    <w:rsid w:val="00695B12"/>
    <w:rsid w:val="00696C58"/>
    <w:rsid w:val="00696C93"/>
    <w:rsid w:val="006A29C2"/>
    <w:rsid w:val="006A7A1C"/>
    <w:rsid w:val="006B0920"/>
    <w:rsid w:val="006B1333"/>
    <w:rsid w:val="006B2321"/>
    <w:rsid w:val="006B4573"/>
    <w:rsid w:val="006B5130"/>
    <w:rsid w:val="006B7CBD"/>
    <w:rsid w:val="006C2011"/>
    <w:rsid w:val="006C714F"/>
    <w:rsid w:val="006D1513"/>
    <w:rsid w:val="006E0657"/>
    <w:rsid w:val="006E6BD2"/>
    <w:rsid w:val="006F1B32"/>
    <w:rsid w:val="006F1F4F"/>
    <w:rsid w:val="00701C59"/>
    <w:rsid w:val="007049AE"/>
    <w:rsid w:val="00710E80"/>
    <w:rsid w:val="00711832"/>
    <w:rsid w:val="00712AC1"/>
    <w:rsid w:val="0071455E"/>
    <w:rsid w:val="0072030A"/>
    <w:rsid w:val="007207E3"/>
    <w:rsid w:val="0072462D"/>
    <w:rsid w:val="007358FF"/>
    <w:rsid w:val="00740795"/>
    <w:rsid w:val="00742263"/>
    <w:rsid w:val="007423B0"/>
    <w:rsid w:val="0074586B"/>
    <w:rsid w:val="00746BEB"/>
    <w:rsid w:val="00747411"/>
    <w:rsid w:val="00754539"/>
    <w:rsid w:val="00757C3D"/>
    <w:rsid w:val="007612FB"/>
    <w:rsid w:val="00761A50"/>
    <w:rsid w:val="0077409F"/>
    <w:rsid w:val="007750BB"/>
    <w:rsid w:val="00775C67"/>
    <w:rsid w:val="0077635E"/>
    <w:rsid w:val="0077698F"/>
    <w:rsid w:val="00787021"/>
    <w:rsid w:val="00796AD7"/>
    <w:rsid w:val="007A2091"/>
    <w:rsid w:val="007A324B"/>
    <w:rsid w:val="007B4CAB"/>
    <w:rsid w:val="007B583C"/>
    <w:rsid w:val="007C1628"/>
    <w:rsid w:val="007C1CB6"/>
    <w:rsid w:val="007C2E95"/>
    <w:rsid w:val="007C4EFC"/>
    <w:rsid w:val="007D3013"/>
    <w:rsid w:val="007D3031"/>
    <w:rsid w:val="007D48E0"/>
    <w:rsid w:val="007E2B94"/>
    <w:rsid w:val="007F7B8B"/>
    <w:rsid w:val="0080436F"/>
    <w:rsid w:val="00806F14"/>
    <w:rsid w:val="00806F3D"/>
    <w:rsid w:val="00812885"/>
    <w:rsid w:val="0081464E"/>
    <w:rsid w:val="00814E2F"/>
    <w:rsid w:val="00820C38"/>
    <w:rsid w:val="008259E7"/>
    <w:rsid w:val="00833986"/>
    <w:rsid w:val="008408C2"/>
    <w:rsid w:val="008431F5"/>
    <w:rsid w:val="00853CF4"/>
    <w:rsid w:val="0085640D"/>
    <w:rsid w:val="00860401"/>
    <w:rsid w:val="00866D6C"/>
    <w:rsid w:val="0087395F"/>
    <w:rsid w:val="0088263C"/>
    <w:rsid w:val="008A51A9"/>
    <w:rsid w:val="008A5B63"/>
    <w:rsid w:val="008C046D"/>
    <w:rsid w:val="008C3B94"/>
    <w:rsid w:val="008C58D7"/>
    <w:rsid w:val="008D30B3"/>
    <w:rsid w:val="008D456B"/>
    <w:rsid w:val="008D480F"/>
    <w:rsid w:val="008D4F51"/>
    <w:rsid w:val="008D6C9C"/>
    <w:rsid w:val="008E6DC2"/>
    <w:rsid w:val="008F4D5A"/>
    <w:rsid w:val="009038BE"/>
    <w:rsid w:val="00903C28"/>
    <w:rsid w:val="009040D9"/>
    <w:rsid w:val="009048CA"/>
    <w:rsid w:val="00904F86"/>
    <w:rsid w:val="00912DB0"/>
    <w:rsid w:val="0091574D"/>
    <w:rsid w:val="00923223"/>
    <w:rsid w:val="00925AC1"/>
    <w:rsid w:val="009275F1"/>
    <w:rsid w:val="00936074"/>
    <w:rsid w:val="00937191"/>
    <w:rsid w:val="00944073"/>
    <w:rsid w:val="00956472"/>
    <w:rsid w:val="00977719"/>
    <w:rsid w:val="009832E0"/>
    <w:rsid w:val="00984C58"/>
    <w:rsid w:val="00984ED5"/>
    <w:rsid w:val="00991A47"/>
    <w:rsid w:val="00991FD0"/>
    <w:rsid w:val="00992E96"/>
    <w:rsid w:val="00993B71"/>
    <w:rsid w:val="009A162A"/>
    <w:rsid w:val="009B1A46"/>
    <w:rsid w:val="009B29EC"/>
    <w:rsid w:val="009C0395"/>
    <w:rsid w:val="009C2737"/>
    <w:rsid w:val="009C5D23"/>
    <w:rsid w:val="009D05DD"/>
    <w:rsid w:val="009D1A05"/>
    <w:rsid w:val="009D5456"/>
    <w:rsid w:val="009D7F71"/>
    <w:rsid w:val="009F00FA"/>
    <w:rsid w:val="009F07DA"/>
    <w:rsid w:val="009F2853"/>
    <w:rsid w:val="009F2964"/>
    <w:rsid w:val="009F35FD"/>
    <w:rsid w:val="00A13B99"/>
    <w:rsid w:val="00A15DAF"/>
    <w:rsid w:val="00A15E60"/>
    <w:rsid w:val="00A22A5D"/>
    <w:rsid w:val="00A31D8E"/>
    <w:rsid w:val="00A36764"/>
    <w:rsid w:val="00A40934"/>
    <w:rsid w:val="00A44D32"/>
    <w:rsid w:val="00A55C29"/>
    <w:rsid w:val="00A60F32"/>
    <w:rsid w:val="00A64295"/>
    <w:rsid w:val="00A64AD2"/>
    <w:rsid w:val="00A6769E"/>
    <w:rsid w:val="00A77C36"/>
    <w:rsid w:val="00A81C49"/>
    <w:rsid w:val="00A81C84"/>
    <w:rsid w:val="00A8760A"/>
    <w:rsid w:val="00A9019D"/>
    <w:rsid w:val="00A9216D"/>
    <w:rsid w:val="00A948BD"/>
    <w:rsid w:val="00A95549"/>
    <w:rsid w:val="00A96DB1"/>
    <w:rsid w:val="00AA040E"/>
    <w:rsid w:val="00AA399B"/>
    <w:rsid w:val="00AA5DCF"/>
    <w:rsid w:val="00AB0649"/>
    <w:rsid w:val="00AB0E59"/>
    <w:rsid w:val="00AB2921"/>
    <w:rsid w:val="00AB3C40"/>
    <w:rsid w:val="00AC19A6"/>
    <w:rsid w:val="00AC4DAA"/>
    <w:rsid w:val="00AC5380"/>
    <w:rsid w:val="00AC5B92"/>
    <w:rsid w:val="00AD3F61"/>
    <w:rsid w:val="00AD56A2"/>
    <w:rsid w:val="00AE086F"/>
    <w:rsid w:val="00AE27E6"/>
    <w:rsid w:val="00AF0F08"/>
    <w:rsid w:val="00AF4A2F"/>
    <w:rsid w:val="00AF6C26"/>
    <w:rsid w:val="00AF6EF8"/>
    <w:rsid w:val="00B0229D"/>
    <w:rsid w:val="00B052DA"/>
    <w:rsid w:val="00B2471F"/>
    <w:rsid w:val="00B3028B"/>
    <w:rsid w:val="00B30D7F"/>
    <w:rsid w:val="00B3451A"/>
    <w:rsid w:val="00B362AD"/>
    <w:rsid w:val="00B37488"/>
    <w:rsid w:val="00B438EA"/>
    <w:rsid w:val="00B44DF0"/>
    <w:rsid w:val="00B533CA"/>
    <w:rsid w:val="00B5599C"/>
    <w:rsid w:val="00B619C1"/>
    <w:rsid w:val="00B64556"/>
    <w:rsid w:val="00B667DE"/>
    <w:rsid w:val="00B70844"/>
    <w:rsid w:val="00B7214D"/>
    <w:rsid w:val="00B74499"/>
    <w:rsid w:val="00B7714B"/>
    <w:rsid w:val="00B83BDD"/>
    <w:rsid w:val="00B852D2"/>
    <w:rsid w:val="00B86F58"/>
    <w:rsid w:val="00B92308"/>
    <w:rsid w:val="00BA466A"/>
    <w:rsid w:val="00BA6EC5"/>
    <w:rsid w:val="00BA78BC"/>
    <w:rsid w:val="00BB212E"/>
    <w:rsid w:val="00BB7A61"/>
    <w:rsid w:val="00BC1404"/>
    <w:rsid w:val="00BC329C"/>
    <w:rsid w:val="00BD28AF"/>
    <w:rsid w:val="00BD5B63"/>
    <w:rsid w:val="00BD7660"/>
    <w:rsid w:val="00BD7BD5"/>
    <w:rsid w:val="00BE7914"/>
    <w:rsid w:val="00C02C16"/>
    <w:rsid w:val="00C04FFB"/>
    <w:rsid w:val="00C06907"/>
    <w:rsid w:val="00C13719"/>
    <w:rsid w:val="00C14528"/>
    <w:rsid w:val="00C2371A"/>
    <w:rsid w:val="00C23EAA"/>
    <w:rsid w:val="00C257C4"/>
    <w:rsid w:val="00C27A19"/>
    <w:rsid w:val="00C3373A"/>
    <w:rsid w:val="00C33F4E"/>
    <w:rsid w:val="00C362CF"/>
    <w:rsid w:val="00C36FC8"/>
    <w:rsid w:val="00C43952"/>
    <w:rsid w:val="00C6431A"/>
    <w:rsid w:val="00C66999"/>
    <w:rsid w:val="00C743FA"/>
    <w:rsid w:val="00C828CC"/>
    <w:rsid w:val="00C83EEC"/>
    <w:rsid w:val="00C84CD8"/>
    <w:rsid w:val="00C87143"/>
    <w:rsid w:val="00C971FE"/>
    <w:rsid w:val="00CA04AA"/>
    <w:rsid w:val="00CB29DA"/>
    <w:rsid w:val="00CC22AB"/>
    <w:rsid w:val="00CC4AC6"/>
    <w:rsid w:val="00CC7647"/>
    <w:rsid w:val="00CF22D1"/>
    <w:rsid w:val="00D009EF"/>
    <w:rsid w:val="00D04D2E"/>
    <w:rsid w:val="00D058D1"/>
    <w:rsid w:val="00D13958"/>
    <w:rsid w:val="00D1611D"/>
    <w:rsid w:val="00D16AC3"/>
    <w:rsid w:val="00D23463"/>
    <w:rsid w:val="00D23ABF"/>
    <w:rsid w:val="00D27F55"/>
    <w:rsid w:val="00D32FD4"/>
    <w:rsid w:val="00D378A0"/>
    <w:rsid w:val="00D4346D"/>
    <w:rsid w:val="00D46087"/>
    <w:rsid w:val="00D4701C"/>
    <w:rsid w:val="00D50271"/>
    <w:rsid w:val="00D557FA"/>
    <w:rsid w:val="00D63C5B"/>
    <w:rsid w:val="00D66DEB"/>
    <w:rsid w:val="00D805DF"/>
    <w:rsid w:val="00D81A64"/>
    <w:rsid w:val="00D82629"/>
    <w:rsid w:val="00D96181"/>
    <w:rsid w:val="00D965B6"/>
    <w:rsid w:val="00D968C9"/>
    <w:rsid w:val="00DA0650"/>
    <w:rsid w:val="00DA41C8"/>
    <w:rsid w:val="00DA7EBC"/>
    <w:rsid w:val="00DC09DE"/>
    <w:rsid w:val="00DC1207"/>
    <w:rsid w:val="00DC3179"/>
    <w:rsid w:val="00DD3C0D"/>
    <w:rsid w:val="00DD3C2C"/>
    <w:rsid w:val="00DD428E"/>
    <w:rsid w:val="00DD6D8A"/>
    <w:rsid w:val="00DD7657"/>
    <w:rsid w:val="00DE40A6"/>
    <w:rsid w:val="00DE583F"/>
    <w:rsid w:val="00DF0D70"/>
    <w:rsid w:val="00DF4B1F"/>
    <w:rsid w:val="00DF763C"/>
    <w:rsid w:val="00DF7EF9"/>
    <w:rsid w:val="00E0470E"/>
    <w:rsid w:val="00E05B2C"/>
    <w:rsid w:val="00E1100F"/>
    <w:rsid w:val="00E11521"/>
    <w:rsid w:val="00E13468"/>
    <w:rsid w:val="00E14B6F"/>
    <w:rsid w:val="00E22760"/>
    <w:rsid w:val="00E24F07"/>
    <w:rsid w:val="00E26663"/>
    <w:rsid w:val="00E26781"/>
    <w:rsid w:val="00E31CBD"/>
    <w:rsid w:val="00E3791C"/>
    <w:rsid w:val="00E402CC"/>
    <w:rsid w:val="00E457FE"/>
    <w:rsid w:val="00E47042"/>
    <w:rsid w:val="00E514DA"/>
    <w:rsid w:val="00E61247"/>
    <w:rsid w:val="00E61B01"/>
    <w:rsid w:val="00E6552B"/>
    <w:rsid w:val="00E6586D"/>
    <w:rsid w:val="00E66A04"/>
    <w:rsid w:val="00E74594"/>
    <w:rsid w:val="00E77777"/>
    <w:rsid w:val="00E85B4A"/>
    <w:rsid w:val="00E90472"/>
    <w:rsid w:val="00E91D9A"/>
    <w:rsid w:val="00E93741"/>
    <w:rsid w:val="00E97250"/>
    <w:rsid w:val="00EA01E4"/>
    <w:rsid w:val="00EA0844"/>
    <w:rsid w:val="00EA0DEF"/>
    <w:rsid w:val="00EA37EF"/>
    <w:rsid w:val="00EA49CF"/>
    <w:rsid w:val="00EB2B6A"/>
    <w:rsid w:val="00EB3F40"/>
    <w:rsid w:val="00EB7CA4"/>
    <w:rsid w:val="00EC7A57"/>
    <w:rsid w:val="00ED090C"/>
    <w:rsid w:val="00ED13D2"/>
    <w:rsid w:val="00ED454E"/>
    <w:rsid w:val="00ED52C7"/>
    <w:rsid w:val="00ED5384"/>
    <w:rsid w:val="00ED5A32"/>
    <w:rsid w:val="00EE59B0"/>
    <w:rsid w:val="00EF0986"/>
    <w:rsid w:val="00EF17BD"/>
    <w:rsid w:val="00EF553A"/>
    <w:rsid w:val="00F00C10"/>
    <w:rsid w:val="00F01BB1"/>
    <w:rsid w:val="00F05092"/>
    <w:rsid w:val="00F0538B"/>
    <w:rsid w:val="00F058E8"/>
    <w:rsid w:val="00F06F00"/>
    <w:rsid w:val="00F17357"/>
    <w:rsid w:val="00F20BE0"/>
    <w:rsid w:val="00F218F4"/>
    <w:rsid w:val="00F223D2"/>
    <w:rsid w:val="00F30ECE"/>
    <w:rsid w:val="00F337A8"/>
    <w:rsid w:val="00F37775"/>
    <w:rsid w:val="00F37EAD"/>
    <w:rsid w:val="00F4013C"/>
    <w:rsid w:val="00F42A92"/>
    <w:rsid w:val="00F42B38"/>
    <w:rsid w:val="00F43FF8"/>
    <w:rsid w:val="00F441C6"/>
    <w:rsid w:val="00F44CCC"/>
    <w:rsid w:val="00F45260"/>
    <w:rsid w:val="00F45D00"/>
    <w:rsid w:val="00F521D0"/>
    <w:rsid w:val="00F52CDF"/>
    <w:rsid w:val="00F54477"/>
    <w:rsid w:val="00F63CBA"/>
    <w:rsid w:val="00F63ECC"/>
    <w:rsid w:val="00F658D3"/>
    <w:rsid w:val="00F66B10"/>
    <w:rsid w:val="00F66BEB"/>
    <w:rsid w:val="00F8332E"/>
    <w:rsid w:val="00F83FF5"/>
    <w:rsid w:val="00F92551"/>
    <w:rsid w:val="00F92B07"/>
    <w:rsid w:val="00F9516D"/>
    <w:rsid w:val="00FA303A"/>
    <w:rsid w:val="00FA34A0"/>
    <w:rsid w:val="00FB4A0C"/>
    <w:rsid w:val="00FB5730"/>
    <w:rsid w:val="00FB7C6B"/>
    <w:rsid w:val="00FC1A18"/>
    <w:rsid w:val="00FC1BD1"/>
    <w:rsid w:val="00FC3D9B"/>
    <w:rsid w:val="00FD2D15"/>
    <w:rsid w:val="00FD46E7"/>
    <w:rsid w:val="00FD506F"/>
    <w:rsid w:val="00FD7928"/>
    <w:rsid w:val="00FE0CFD"/>
    <w:rsid w:val="00FE4031"/>
    <w:rsid w:val="00FE5376"/>
    <w:rsid w:val="00FF1B8A"/>
    <w:rsid w:val="00FF5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2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0669B"/>
    <w:pPr>
      <w:keepNext/>
      <w:spacing w:after="24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4E61CF"/>
    <w:pPr>
      <w:keepNext/>
      <w:keepLines/>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B83BDD"/>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iPriority w:val="9"/>
    <w:unhideWhenUsed/>
    <w:qFormat/>
    <w:rsid w:val="0060669B"/>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69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4E61CF"/>
    <w:rPr>
      <w:rFonts w:ascii="Times New Roman Bold" w:eastAsia="Times New Roman" w:hAnsi="Times New Roman Bold" w:cs="Times New Roman"/>
      <w:b/>
      <w:sz w:val="24"/>
      <w:szCs w:val="24"/>
    </w:rPr>
  </w:style>
  <w:style w:type="paragraph" w:styleId="ListParagraph">
    <w:name w:val="List Paragraph"/>
    <w:basedOn w:val="Normal"/>
    <w:uiPriority w:val="34"/>
    <w:qFormat/>
    <w:rsid w:val="004776F7"/>
    <w:pPr>
      <w:ind w:left="720"/>
      <w:contextualSpacing/>
    </w:p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4776F7"/>
    <w:rPr>
      <w:sz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semiHidden/>
    <w:rsid w:val="004776F7"/>
    <w:rPr>
      <w:rFonts w:ascii="Times New Roman" w:eastAsia="Times New Roman" w:hAnsi="Times New Roman" w:cs="Times New Roman"/>
      <w:sz w:val="20"/>
      <w:szCs w:val="20"/>
    </w:rPr>
  </w:style>
  <w:style w:type="character" w:styleId="FootnoteReference">
    <w:name w:val="footnote reference"/>
    <w:aliases w:val="o"/>
    <w:rsid w:val="004776F7"/>
    <w:rPr>
      <w:vertAlign w:val="superscript"/>
    </w:rPr>
  </w:style>
  <w:style w:type="paragraph" w:styleId="HTMLPreformatted">
    <w:name w:val="HTML Preformatted"/>
    <w:aliases w:val=" Char,Char"/>
    <w:basedOn w:val="Normal"/>
    <w:link w:val="HTMLPreformattedChar"/>
    <w:rsid w:val="0047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4776F7"/>
    <w:rPr>
      <w:rFonts w:ascii="Courier New" w:eastAsia="Courier New" w:hAnsi="Courier New" w:cs="Courier New"/>
      <w:sz w:val="20"/>
      <w:szCs w:val="20"/>
    </w:rPr>
  </w:style>
  <w:style w:type="character" w:styleId="Hyperlink">
    <w:name w:val="Hyperlink"/>
    <w:uiPriority w:val="99"/>
    <w:rsid w:val="004776F7"/>
    <w:rPr>
      <w:color w:val="0000FF"/>
      <w:u w:val="single"/>
    </w:rPr>
  </w:style>
  <w:style w:type="paragraph" w:styleId="Footer">
    <w:name w:val="footer"/>
    <w:basedOn w:val="Normal"/>
    <w:link w:val="FooterChar"/>
    <w:uiPriority w:val="99"/>
    <w:rsid w:val="004776F7"/>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sid w:val="004776F7"/>
    <w:rPr>
      <w:rFonts w:ascii="Arial" w:eastAsia="Times New Roman" w:hAnsi="Arial" w:cs="Arial"/>
      <w:sz w:val="24"/>
      <w:szCs w:val="24"/>
    </w:rPr>
  </w:style>
  <w:style w:type="paragraph" w:styleId="EndnoteText">
    <w:name w:val="endnote text"/>
    <w:basedOn w:val="Normal"/>
    <w:link w:val="EndnoteTextChar"/>
    <w:semiHidden/>
    <w:rsid w:val="004776F7"/>
    <w:pPr>
      <w:widowControl w:val="0"/>
    </w:pPr>
    <w:rPr>
      <w:rFonts w:ascii="Courier New" w:hAnsi="Courier New"/>
      <w:snapToGrid w:val="0"/>
    </w:rPr>
  </w:style>
  <w:style w:type="character" w:customStyle="1" w:styleId="EndnoteTextChar">
    <w:name w:val="Endnote Text Char"/>
    <w:basedOn w:val="DefaultParagraphFont"/>
    <w:link w:val="EndnoteText"/>
    <w:semiHidden/>
    <w:rsid w:val="004776F7"/>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4776F7"/>
    <w:rPr>
      <w:sz w:val="16"/>
      <w:szCs w:val="16"/>
    </w:rPr>
  </w:style>
  <w:style w:type="paragraph" w:styleId="CommentText">
    <w:name w:val="annotation text"/>
    <w:basedOn w:val="Normal"/>
    <w:link w:val="CommentTextChar"/>
    <w:unhideWhenUsed/>
    <w:rsid w:val="004776F7"/>
    <w:rPr>
      <w:sz w:val="20"/>
    </w:rPr>
  </w:style>
  <w:style w:type="character" w:customStyle="1" w:styleId="CommentTextChar">
    <w:name w:val="Comment Text Char"/>
    <w:basedOn w:val="DefaultParagraphFont"/>
    <w:link w:val="CommentText"/>
    <w:rsid w:val="00477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6F7"/>
    <w:rPr>
      <w:b/>
      <w:bCs/>
    </w:rPr>
  </w:style>
  <w:style w:type="character" w:customStyle="1" w:styleId="CommentSubjectChar">
    <w:name w:val="Comment Subject Char"/>
    <w:basedOn w:val="CommentTextChar"/>
    <w:link w:val="CommentSubject"/>
    <w:uiPriority w:val="99"/>
    <w:semiHidden/>
    <w:rsid w:val="004776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6F7"/>
    <w:rPr>
      <w:rFonts w:ascii="Tahoma" w:hAnsi="Tahoma" w:cs="Tahoma"/>
      <w:sz w:val="16"/>
      <w:szCs w:val="16"/>
    </w:rPr>
  </w:style>
  <w:style w:type="character" w:customStyle="1" w:styleId="BalloonTextChar">
    <w:name w:val="Balloon Text Char"/>
    <w:basedOn w:val="DefaultParagraphFont"/>
    <w:link w:val="BalloonText"/>
    <w:uiPriority w:val="99"/>
    <w:semiHidden/>
    <w:rsid w:val="004776F7"/>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B83BDD"/>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6801F6"/>
    <w:pPr>
      <w:tabs>
        <w:tab w:val="left" w:pos="720"/>
        <w:tab w:val="decimal" w:leader="dot" w:pos="9360"/>
      </w:tabs>
      <w:spacing w:after="120"/>
      <w:ind w:left="720" w:hanging="720"/>
      <w:jc w:val="center"/>
    </w:pPr>
    <w:rPr>
      <w:caps/>
      <w:noProof/>
    </w:rPr>
  </w:style>
  <w:style w:type="paragraph" w:styleId="TOC2">
    <w:name w:val="toc 2"/>
    <w:basedOn w:val="Normal"/>
    <w:next w:val="Normal"/>
    <w:autoRedefine/>
    <w:uiPriority w:val="39"/>
    <w:unhideWhenUsed/>
    <w:qFormat/>
    <w:rsid w:val="006801F6"/>
    <w:pPr>
      <w:tabs>
        <w:tab w:val="left" w:pos="720"/>
        <w:tab w:val="left" w:pos="1440"/>
        <w:tab w:val="decimal" w:leader="dot" w:pos="9360"/>
      </w:tabs>
      <w:spacing w:after="12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84427E"/>
    <w:rPr>
      <w:color w:val="605E5C"/>
      <w:shd w:val="clear" w:color="auto" w:fill="E1DFDD"/>
    </w:rPr>
  </w:style>
  <w:style w:type="paragraph" w:styleId="BodyTextIndent3">
    <w:name w:val="Body Text Indent 3"/>
    <w:basedOn w:val="Normal"/>
    <w:link w:val="BodyTextIndent3Char"/>
    <w:uiPriority w:val="99"/>
    <w:semiHidden/>
    <w:unhideWhenUsed/>
    <w:rsid w:val="00115A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5AF7"/>
    <w:rPr>
      <w:rFonts w:ascii="Times New Roman" w:eastAsia="Times New Roman" w:hAnsi="Times New Roman" w:cs="Times New Roman"/>
      <w:sz w:val="16"/>
      <w:szCs w:val="16"/>
    </w:r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locked/>
    <w:rsid w:val="007750BB"/>
    <w:rPr>
      <w:lang w:val="en-US" w:eastAsia="en-US" w:bidi="ar-SA"/>
    </w:rPr>
  </w:style>
  <w:style w:type="character" w:customStyle="1" w:styleId="Heading4Char">
    <w:name w:val="Heading 4 Char"/>
    <w:basedOn w:val="DefaultParagraphFont"/>
    <w:link w:val="Heading4"/>
    <w:uiPriority w:val="9"/>
    <w:rsid w:val="0060669B"/>
    <w:rPr>
      <w:rFonts w:ascii="Times New Roman Bold" w:hAnsi="Times New Roman Bold" w:eastAsiaTheme="majorEastAsia" w:cstheme="majorBidi"/>
      <w:b/>
      <w:iCs/>
      <w:sz w:val="24"/>
      <w:szCs w:val="20"/>
    </w:rPr>
  </w:style>
  <w:style w:type="paragraph" w:styleId="TOC3">
    <w:name w:val="toc 3"/>
    <w:basedOn w:val="Normal"/>
    <w:next w:val="Normal"/>
    <w:autoRedefine/>
    <w:uiPriority w:val="39"/>
    <w:unhideWhenUsed/>
    <w:rsid w:val="006801F6"/>
    <w:pPr>
      <w:tabs>
        <w:tab w:val="left" w:pos="720"/>
        <w:tab w:val="left" w:pos="2160"/>
        <w:tab w:val="decimal" w:leader="dot" w:pos="9360"/>
      </w:tabs>
      <w:spacing w:after="120"/>
      <w:ind w:left="2160" w:hanging="720"/>
    </w:pPr>
  </w:style>
  <w:style w:type="paragraph" w:styleId="TOC4">
    <w:name w:val="toc 4"/>
    <w:basedOn w:val="Normal"/>
    <w:next w:val="Normal"/>
    <w:autoRedefine/>
    <w:uiPriority w:val="39"/>
    <w:unhideWhenUsed/>
    <w:rsid w:val="00E26781"/>
    <w:pPr>
      <w:tabs>
        <w:tab w:val="left" w:pos="720"/>
        <w:tab w:val="left" w:pos="2880"/>
        <w:tab w:val="decimal" w:leader="dot" w:pos="9360"/>
      </w:tabs>
      <w:spacing w:after="240"/>
      <w:ind w:left="2880" w:hanging="720"/>
    </w:pPr>
  </w:style>
  <w:style w:type="character" w:customStyle="1" w:styleId="UnresolvedMention2">
    <w:name w:val="Unresolved Mention2"/>
    <w:basedOn w:val="DefaultParagraphFont"/>
    <w:uiPriority w:val="99"/>
    <w:semiHidden/>
    <w:unhideWhenUsed/>
    <w:rsid w:val="00510E24"/>
    <w:rPr>
      <w:color w:val="605E5C"/>
      <w:shd w:val="clear" w:color="auto" w:fill="E1DFDD"/>
    </w:rPr>
  </w:style>
  <w:style w:type="character" w:customStyle="1" w:styleId="UnresolvedMention">
    <w:name w:val="Unresolved Mention"/>
    <w:basedOn w:val="DefaultParagraphFont"/>
    <w:uiPriority w:val="99"/>
    <w:rsid w:val="00D1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werner.margard@ohioAGO.gov" TargetMode="External" /><Relationship Id="rId12" Type="http://schemas.openxmlformats.org/officeDocument/2006/relationships/hyperlink" Target="mailto:Robert.eubanks@ohioAGO.gov" TargetMode="External" /><Relationship Id="rId13" Type="http://schemas.openxmlformats.org/officeDocument/2006/relationships/hyperlink" Target="mailto:Jodi.bair@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John.jones@ohioAGO.gov" TargetMode="External" /><Relationship Id="rId16" Type="http://schemas.openxmlformats.org/officeDocument/2006/relationships/hyperlink" Target="mailto:dboehm@BKLlawfirm.com"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Megan.addison@puco.ohio.gov" TargetMode="External" /><Relationship Id="rId2" Type="http://schemas.openxmlformats.org/officeDocument/2006/relationships/settings" Target="settings.xml" /><Relationship Id="rId20" Type="http://schemas.openxmlformats.org/officeDocument/2006/relationships/hyperlink" Target="mailto:Matthew.sandor@puco.ohio.gov" TargetMode="External" /><Relationship Id="rId21" Type="http://schemas.openxmlformats.org/officeDocument/2006/relationships/hyperlink" Target="mailto:Nicholas.walstra@puco.ohio.gov" TargetMode="External" /><Relationship Id="rId22" Type="http://schemas.openxmlformats.org/officeDocument/2006/relationships/hyperlink" Target="mailto:Rocco.dascenzo@duke-energy.com" TargetMode="External" /><Relationship Id="rId23" Type="http://schemas.openxmlformats.org/officeDocument/2006/relationships/hyperlink" Target="mailto:Jeanne.kingery@duke-energy.com" TargetMode="External" /><Relationship Id="rId24" Type="http://schemas.openxmlformats.org/officeDocument/2006/relationships/hyperlink" Target="mailto:Larisa.vaysman@duke-energy.com" TargetMode="External" /><Relationship Id="rId25" Type="http://schemas.openxmlformats.org/officeDocument/2006/relationships/hyperlink" Target="mailto:kmcmurray@fbtlaw.com" TargetMode="External" /><Relationship Id="rId26" Type="http://schemas.openxmlformats.org/officeDocument/2006/relationships/hyperlink" Target="mailto:Paul@carpenterlipps.com" TargetMode="External" /><Relationship Id="rId27" Type="http://schemas.openxmlformats.org/officeDocument/2006/relationships/hyperlink" Target="mailto:bojko@carpenterlipps.com" TargetMode="External" /><Relationship Id="rId28" Type="http://schemas.openxmlformats.org/officeDocument/2006/relationships/hyperlink" Target="mailto:michael.nugent@igs.com" TargetMode="External" /><Relationship Id="rId29" Type="http://schemas.openxmlformats.org/officeDocument/2006/relationships/hyperlink" Target="mailto:bethany.allen@igs.com" TargetMode="External" /><Relationship Id="rId3" Type="http://schemas.openxmlformats.org/officeDocument/2006/relationships/webSettings" Target="webSettings.xml" /><Relationship Id="rId30" Type="http://schemas.openxmlformats.org/officeDocument/2006/relationships/hyperlink" Target="mailto:evan.betterton@igs.com" TargetMode="External" /><Relationship Id="rId31" Type="http://schemas.openxmlformats.org/officeDocument/2006/relationships/hyperlink" Target="mailto:talexander@beneschlaw.com" TargetMode="External" /><Relationship Id="rId32" Type="http://schemas.openxmlformats.org/officeDocument/2006/relationships/hyperlink" Target="mailto:khehmeyer@beneschlaw.com" TargetMode="External" /><Relationship Id="rId33" Type="http://schemas.openxmlformats.org/officeDocument/2006/relationships/hyperlink" Target="mailto:ssiewe@beneschlaw.com" TargetMode="External" /><Relationship Id="rId34" Type="http://schemas.openxmlformats.org/officeDocument/2006/relationships/hyperlink" Target="mailto:glpetrucci@vorys.com" TargetMode="External" /><Relationship Id="rId35" Type="http://schemas.openxmlformats.org/officeDocument/2006/relationships/hyperlink" Target="mailto:mjsettineri@vorys.com" TargetMode="External" /><Relationship Id="rId36" Type="http://schemas.openxmlformats.org/officeDocument/2006/relationships/hyperlink" Target="mailto:aasanyal@vorys.com" TargetMode="External" /><Relationship Id="rId37" Type="http://schemas.openxmlformats.org/officeDocument/2006/relationships/footer" Target="footer3.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ngela.obrien@occ.ohio.gov" TargetMode="Externa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26F9B-71F6-422A-876C-784C7A3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2021-11-10T13:53:33Z</dcterms:created>
  <dcterms:modified xsi:type="dcterms:W3CDTF">2021-11-10T13:53:33Z</dcterms:modified>
</cp:coreProperties>
</file>