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B9" w:rsidRDefault="002E55B9">
      <w:pPr>
        <w:pStyle w:val="Title"/>
      </w:pPr>
      <w:r>
        <w:t>Standard Choice Offer Commodity Service</w:t>
      </w:r>
    </w:p>
    <w:p w:rsidR="002E55B9" w:rsidRDefault="002E55B9"/>
    <w:p w:rsidR="002E55B9" w:rsidRDefault="002E55B9">
      <w:pPr>
        <w:pStyle w:val="Subtitle"/>
      </w:pPr>
      <w:r>
        <w:t>Description</w:t>
      </w:r>
    </w:p>
    <w:p w:rsidR="002E55B9" w:rsidRDefault="002E55B9"/>
    <w:p w:rsidR="002E55B9" w:rsidRDefault="002E55B9">
      <w:pPr>
        <w:pStyle w:val="BodyText"/>
      </w:pPr>
      <w:r>
        <w:rPr>
          <w:rStyle w:val="BodyTextChar"/>
        </w:rPr>
        <w:t>Standard Choice Offer (“SCO”) commodity service is provided by competitive retail</w:t>
      </w:r>
      <w:r>
        <w:t xml:space="preserve"> natural gas (“CRNG”) suppliers participating in Dominion East Ohio’s (“East Ohio”) Energy Choice program pursuant to the June 18, 2008 Opinion and Order issued by the Public Utilities Commission of Ohio (“PUCO”) in Case No. 07-1224-GA-EXM.  SCO commodity service is rendered in conjunction with East Ohio’s Energy Choice Transportation Service</w:t>
      </w:r>
      <w:r w:rsidR="002E33CE">
        <w:t xml:space="preserve"> – Residential</w:t>
      </w:r>
      <w:r>
        <w:t xml:space="preserve"> (“ECTS</w:t>
      </w:r>
      <w:r w:rsidR="002E33CE">
        <w:t>-R</w:t>
      </w:r>
      <w:r>
        <w:t>”) rate schedule.</w:t>
      </w:r>
    </w:p>
    <w:p w:rsidR="002E55B9" w:rsidRDefault="002E55B9">
      <w:pPr>
        <w:pStyle w:val="Subtitle"/>
      </w:pPr>
      <w:r>
        <w:t>Price</w:t>
      </w:r>
    </w:p>
    <w:p w:rsidR="002E55B9" w:rsidRDefault="002E55B9"/>
    <w:p w:rsidR="002E55B9" w:rsidRDefault="002E55B9">
      <w:pPr>
        <w:pStyle w:val="BodyText"/>
      </w:pPr>
      <w:r>
        <w:t>The price for SCO commodity service equals the New York Mercantile Exchange (“NYMEX”) settlement price for the prompt month natural gas contract on the final day of trading for each month plus a Retail Price Adjustment of $</w:t>
      </w:r>
      <w:r w:rsidR="004267C4">
        <w:t>0.</w:t>
      </w:r>
      <w:r w:rsidR="00FC74CB">
        <w:t xml:space="preserve">02 </w:t>
      </w:r>
      <w:r>
        <w:t xml:space="preserve">per Mcf as approved by the </w:t>
      </w:r>
      <w:r w:rsidR="004267C4">
        <w:t xml:space="preserve">February </w:t>
      </w:r>
      <w:r w:rsidR="00F97687">
        <w:t>1</w:t>
      </w:r>
      <w:r w:rsidR="00FC74CB">
        <w:t>1</w:t>
      </w:r>
      <w:r w:rsidR="004267C4">
        <w:t xml:space="preserve">, </w:t>
      </w:r>
      <w:r w:rsidR="00FC74CB">
        <w:t xml:space="preserve">2015 </w:t>
      </w:r>
      <w:r>
        <w:t>Entry issued by the PUCO in Case No</w:t>
      </w:r>
      <w:r w:rsidR="000D72DB">
        <w:t>s</w:t>
      </w:r>
      <w:r>
        <w:t xml:space="preserve">. </w:t>
      </w:r>
      <w:r w:rsidR="000D72DB">
        <w:t xml:space="preserve">07-1224-GA-EXM, </w:t>
      </w:r>
      <w:r w:rsidR="004267C4">
        <w:t>11-6076</w:t>
      </w:r>
      <w:r>
        <w:t>-GA-EXM</w:t>
      </w:r>
      <w:r w:rsidR="000D72DB">
        <w:t>, and 12-1842-GA-EXM</w:t>
      </w:r>
      <w:r>
        <w:t>.  The amount billed for SCO commodity service will also include the applicable Ohio sales and use tax for those Customers not exempted from the payment of that tax.</w:t>
      </w:r>
    </w:p>
    <w:p w:rsidR="002E55B9" w:rsidRDefault="002E55B9">
      <w:pPr>
        <w:pStyle w:val="Subtitle"/>
      </w:pPr>
      <w:r>
        <w:t>Appl</w:t>
      </w:r>
      <w:r>
        <w:rPr>
          <w:rStyle w:val="SubtitleChar"/>
        </w:rPr>
        <w:t>i</w:t>
      </w:r>
      <w:r>
        <w:t>cability</w:t>
      </w:r>
    </w:p>
    <w:p w:rsidR="002E55B9" w:rsidRDefault="002E55B9"/>
    <w:p w:rsidR="002E55B9" w:rsidRDefault="002E55B9">
      <w:pPr>
        <w:pStyle w:val="BodyText"/>
      </w:pPr>
      <w:r>
        <w:t>Provided they are eligible to receive service under the ECTS</w:t>
      </w:r>
      <w:r w:rsidR="002E33CE">
        <w:t>-R</w:t>
      </w:r>
      <w:r>
        <w:t xml:space="preserve"> rate schedule, SCO commodity service will be provided to the following Customers (“Choice-eligible Customers”):</w:t>
      </w:r>
    </w:p>
    <w:p w:rsidR="002E55B9" w:rsidRDefault="002E55B9">
      <w:pPr>
        <w:pStyle w:val="BodyTextIndent"/>
        <w:tabs>
          <w:tab w:val="clear" w:pos="1440"/>
          <w:tab w:val="num" w:pos="1260"/>
        </w:tabs>
        <w:ind w:left="1260" w:hanging="540"/>
      </w:pPr>
      <w:r>
        <w:t xml:space="preserve">Customers assigned to a CRNG supplier in accordance with the </w:t>
      </w:r>
      <w:r w:rsidR="004267C4">
        <w:t xml:space="preserve">February </w:t>
      </w:r>
      <w:r w:rsidR="00F717BD">
        <w:t>10</w:t>
      </w:r>
      <w:r w:rsidR="004267C4">
        <w:t xml:space="preserve">, </w:t>
      </w:r>
      <w:r w:rsidR="00F717BD">
        <w:t xml:space="preserve">2015 </w:t>
      </w:r>
      <w:r>
        <w:t xml:space="preserve">auction conducted to establish SCO pricing and to determine suppliers for those Choice-eligible Customers receiving Standard Service Offer (“SSO”) </w:t>
      </w:r>
      <w:r w:rsidR="006424EF">
        <w:t xml:space="preserve">or SCO </w:t>
      </w:r>
      <w:r>
        <w:t xml:space="preserve">commodity service as of the March </w:t>
      </w:r>
      <w:r w:rsidR="009B79F0">
        <w:t xml:space="preserve">2015 </w:t>
      </w:r>
      <w:r w:rsidR="004267C4">
        <w:t>b</w:t>
      </w:r>
      <w:r>
        <w:t>illing period.</w:t>
      </w:r>
    </w:p>
    <w:p w:rsidR="002E55B9" w:rsidRDefault="002E55B9">
      <w:pPr>
        <w:pStyle w:val="BodyTextIndent"/>
        <w:tabs>
          <w:tab w:val="clear" w:pos="1440"/>
          <w:tab w:val="num" w:pos="1260"/>
        </w:tabs>
        <w:ind w:left="1260" w:hanging="540"/>
      </w:pPr>
      <w:r>
        <w:t xml:space="preserve">New Customers assigned to a CRNG supplier after having received SSO service for up to two consecutive billing periods.  New Customers include Customers (i) establishing service with East Ohio for the first time, (ii) relocating within East Ohio’s service territory and whose Energy Choice or government aggregation agreement is </w:t>
      </w:r>
      <w:proofErr w:type="gramStart"/>
      <w:r>
        <w:t>not portable, and (iii) restoring</w:t>
      </w:r>
      <w:proofErr w:type="gramEnd"/>
      <w:r>
        <w:t xml:space="preserve"> service more than ten days after being disconnected for non-payment.  </w:t>
      </w:r>
    </w:p>
    <w:p w:rsidR="002E55B9" w:rsidRDefault="002E55B9">
      <w:pPr>
        <w:pStyle w:val="BodyTextIndent"/>
        <w:tabs>
          <w:tab w:val="clear" w:pos="1440"/>
          <w:tab w:val="num" w:pos="1260"/>
        </w:tabs>
        <w:ind w:left="1260" w:hanging="540"/>
      </w:pPr>
      <w:r>
        <w:t>Customers assigned to a CRNG supplier after having received SSO service for up to two consecutive billing periods following termination of their opt-out governmental aggregation program.</w:t>
      </w:r>
    </w:p>
    <w:p w:rsidR="00571570" w:rsidRDefault="00571570">
      <w:pPr>
        <w:pStyle w:val="BodyTextIndent"/>
        <w:tabs>
          <w:tab w:val="clear" w:pos="1440"/>
          <w:tab w:val="num" w:pos="1260"/>
        </w:tabs>
        <w:ind w:left="1260" w:hanging="540"/>
        <w:sectPr w:rsidR="00571570">
          <w:headerReference w:type="default" r:id="rId8"/>
          <w:footerReference w:type="default" r:id="rId9"/>
          <w:pgSz w:w="12240" w:h="15840"/>
          <w:pgMar w:top="1440" w:right="1800" w:bottom="1440" w:left="1800" w:header="720" w:footer="720" w:gutter="0"/>
          <w:cols w:space="720"/>
          <w:docGrid w:linePitch="360"/>
        </w:sectPr>
      </w:pPr>
    </w:p>
    <w:p w:rsidR="002E55B9" w:rsidRDefault="002E55B9">
      <w:pPr>
        <w:pStyle w:val="BodyTextIndent"/>
        <w:tabs>
          <w:tab w:val="clear" w:pos="1440"/>
          <w:tab w:val="num" w:pos="1260"/>
        </w:tabs>
        <w:ind w:left="1260" w:hanging="540"/>
      </w:pPr>
      <w:r>
        <w:lastRenderedPageBreak/>
        <w:t>Customers assigned to a CRNG supplier after having received SSO service for up to two consecutive billing periods following termination of their Energy Choice or opt-in governmental aggregation program only if such Customers elect to be assigned to SCO commodity service; otherwise, such Customers shall be assigned to a CRNG supplier that has agreed to accept Customers at the supplier’s posted monthly variable rate (“MVR”).</w:t>
      </w:r>
    </w:p>
    <w:p w:rsidR="002E55B9" w:rsidRDefault="002E55B9">
      <w:pPr>
        <w:pStyle w:val="Subtitle"/>
      </w:pPr>
      <w:r>
        <w:t>Other Terms and Conditions</w:t>
      </w:r>
    </w:p>
    <w:p w:rsidR="002E55B9" w:rsidRDefault="002E55B9"/>
    <w:p w:rsidR="002E55B9" w:rsidRDefault="002E55B9">
      <w:pPr>
        <w:pStyle w:val="Subnumbers"/>
      </w:pPr>
      <w:r>
        <w:t>SCO commodity service will be billed by East Ohio in conjunction with charges for service under the ECTS</w:t>
      </w:r>
      <w:r w:rsidR="002E33CE">
        <w:t>-R</w:t>
      </w:r>
      <w:r>
        <w:t xml:space="preserve"> rate schedule.</w:t>
      </w:r>
    </w:p>
    <w:p w:rsidR="002E55B9" w:rsidRDefault="002E55B9">
      <w:pPr>
        <w:pStyle w:val="Subnumbers"/>
      </w:pPr>
      <w:r>
        <w:t xml:space="preserve">Customers may cease receiving SCO commodity service at any time at no additional charge from East Ohio or the SCO supplier by enrolling with a CRNG supplier in accordance with standard Energy Choice enrollment provisions or participating in an opt-out governmental aggregation program.  </w:t>
      </w:r>
    </w:p>
    <w:p w:rsidR="002E55B9" w:rsidRDefault="002E55B9">
      <w:pPr>
        <w:pStyle w:val="Subnumbers"/>
      </w:pPr>
      <w:r>
        <w:t xml:space="preserve">Customers assigned to SCO commodity service may not select their SCO supplier.  SCO commodity service shall be provided by the Customer’s assigned CRNG supplier through the March </w:t>
      </w:r>
      <w:r w:rsidR="00FC74CB">
        <w:t xml:space="preserve">2016 </w:t>
      </w:r>
      <w:r>
        <w:t xml:space="preserve">billing period unless the Customer enrolls with a CRNG supplier, participates in an opt-out governmental aggregation program, or becomes ineligible to receive SCO commodity service prior to the March </w:t>
      </w:r>
      <w:r w:rsidR="00FC74CB">
        <w:t xml:space="preserve">2016 </w:t>
      </w:r>
      <w:r>
        <w:t>billing period.</w:t>
      </w:r>
    </w:p>
    <w:p w:rsidR="002E55B9" w:rsidRDefault="009257E4" w:rsidP="00897CA1">
      <w:pPr>
        <w:pStyle w:val="Subnumbers"/>
      </w:pPr>
      <w:r>
        <w:t>In the event of a supplier default that would cause the aggregate annualized volume assigned to SCO suppliers to be more than 50% above the level assigned in the</w:t>
      </w:r>
      <w:r w:rsidR="007B7510">
        <w:t xml:space="preserve"> </w:t>
      </w:r>
      <w:r w:rsidR="004267C4">
        <w:t xml:space="preserve">February </w:t>
      </w:r>
      <w:r w:rsidR="00F717BD">
        <w:t>10</w:t>
      </w:r>
      <w:r w:rsidR="004267C4">
        <w:t xml:space="preserve">, </w:t>
      </w:r>
      <w:r w:rsidR="00FC74CB">
        <w:t xml:space="preserve">2015 </w:t>
      </w:r>
      <w:r>
        <w:t xml:space="preserve">auction, East Ohio shall solicit volunteers from non-defaulting SCO suppliers to serve the defaulted load through the March </w:t>
      </w:r>
      <w:r w:rsidR="00FC74CB">
        <w:t xml:space="preserve">2016 </w:t>
      </w:r>
      <w:r>
        <w:t xml:space="preserve">billing period at the price established in that auction.  </w:t>
      </w:r>
      <w:r w:rsidR="00034B8E">
        <w:t xml:space="preserve">If </w:t>
      </w:r>
      <w:r>
        <w:t>non-defaulting SCO suppliers agree to serve the defaulted load under those terms, East Ohio shall assign the Customers previously served by the defaulting supplier that have not already selected another CRNG supplier or enrolled in a governmental aggregation program to non-defaulting SCO suppliers in proportion to the SCO load each serves at the time of the assignment.  If a proportionate assignment does not accommodate assignment of the entire load, East Ohio may utilize another basis provided assignments are made in a non-discriminatory manner approved by PUCO Staff.  In the event non-defaulting SCO suppliers do not voluntarily agree to serve the entire defaulted load under the terms described in this section, East Ohio shall conduct a supplemental auction under the supervision of PUCO Staff for the volume that had been served by the defaulting supplier.  East Ohio shall assign Customers as ordered by the PUCO in its decision regarding the results of the supplemental auction.</w:t>
      </w:r>
    </w:p>
    <w:p w:rsidR="002E55B9" w:rsidRDefault="002E55B9"/>
    <w:sectPr w:rsidR="002E55B9" w:rsidSect="00465385">
      <w:head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FF8" w:rsidRDefault="00FF2FF8">
      <w:r>
        <w:separator/>
      </w:r>
    </w:p>
  </w:endnote>
  <w:endnote w:type="continuationSeparator" w:id="0">
    <w:p w:rsidR="00FF2FF8" w:rsidRDefault="00FF2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115" w:type="dxa"/>
        <w:right w:w="115" w:type="dxa"/>
      </w:tblCellMar>
      <w:tblLook w:val="0000"/>
    </w:tblPr>
    <w:tblGrid>
      <w:gridCol w:w="2625"/>
      <w:gridCol w:w="6245"/>
    </w:tblGrid>
    <w:tr w:rsidR="00C20325">
      <w:tc>
        <w:tcPr>
          <w:tcW w:w="2808" w:type="dxa"/>
        </w:tcPr>
        <w:p w:rsidR="00C20325" w:rsidRDefault="00C20325" w:rsidP="00FC74CB">
          <w:pPr>
            <w:pStyle w:val="Footer"/>
            <w:spacing w:line="200" w:lineRule="exact"/>
            <w:rPr>
              <w:sz w:val="20"/>
            </w:rPr>
          </w:pPr>
          <w:r>
            <w:rPr>
              <w:sz w:val="20"/>
            </w:rPr>
            <w:t xml:space="preserve">Issued: </w:t>
          </w:r>
          <w:r w:rsidR="00F97687">
            <w:rPr>
              <w:sz w:val="20"/>
            </w:rPr>
            <w:t>March 2</w:t>
          </w:r>
          <w:r w:rsidR="00E27365">
            <w:rPr>
              <w:sz w:val="20"/>
            </w:rPr>
            <w:t>7</w:t>
          </w:r>
          <w:r w:rsidR="00F97687">
            <w:rPr>
              <w:sz w:val="20"/>
            </w:rPr>
            <w:t>, 201</w:t>
          </w:r>
          <w:r w:rsidR="00E27365">
            <w:rPr>
              <w:sz w:val="20"/>
            </w:rPr>
            <w:t>5</w:t>
          </w:r>
        </w:p>
      </w:tc>
      <w:tc>
        <w:tcPr>
          <w:tcW w:w="6768" w:type="dxa"/>
        </w:tcPr>
        <w:p w:rsidR="00C20325" w:rsidRDefault="00C20325" w:rsidP="00AC5AC3">
          <w:pPr>
            <w:pStyle w:val="Footer"/>
            <w:jc w:val="center"/>
            <w:rPr>
              <w:sz w:val="20"/>
            </w:rPr>
          </w:pPr>
          <w:r>
            <w:rPr>
              <w:sz w:val="20"/>
            </w:rPr>
            <w:t xml:space="preserve"> </w:t>
          </w:r>
          <w:r w:rsidR="00F97687">
            <w:rPr>
              <w:sz w:val="20"/>
            </w:rPr>
            <w:t xml:space="preserve">      </w:t>
          </w:r>
          <w:r w:rsidR="008A2A0A">
            <w:rPr>
              <w:sz w:val="20"/>
            </w:rPr>
            <w:t xml:space="preserve">                       </w:t>
          </w:r>
          <w:r>
            <w:rPr>
              <w:sz w:val="20"/>
            </w:rPr>
            <w:t>Effective:</w:t>
          </w:r>
          <w:r w:rsidR="00F97687">
            <w:rPr>
              <w:sz w:val="20"/>
            </w:rPr>
            <w:t xml:space="preserve"> With bills rendered on or after April 14, 201</w:t>
          </w:r>
          <w:r w:rsidR="00FC74CB">
            <w:rPr>
              <w:sz w:val="20"/>
            </w:rPr>
            <w:t>5</w:t>
          </w:r>
        </w:p>
      </w:tc>
    </w:tr>
    <w:tr w:rsidR="00C20325">
      <w:tc>
        <w:tcPr>
          <w:tcW w:w="9576" w:type="dxa"/>
          <w:gridSpan w:val="2"/>
        </w:tcPr>
        <w:p w:rsidR="00C20325" w:rsidRDefault="00C20325">
          <w:pPr>
            <w:pStyle w:val="Footer"/>
            <w:jc w:val="center"/>
            <w:rPr>
              <w:sz w:val="20"/>
            </w:rPr>
          </w:pPr>
          <w:r>
            <w:rPr>
              <w:sz w:val="20"/>
            </w:rPr>
            <w:t>Filed under authority of The Public Utilities Commission of Ohio in Case No. 12-1842-GA-EXM</w:t>
          </w:r>
        </w:p>
        <w:p w:rsidR="00C20325" w:rsidRDefault="00FC74CB" w:rsidP="00F97687">
          <w:pPr>
            <w:pStyle w:val="Footer"/>
            <w:jc w:val="center"/>
            <w:rPr>
              <w:sz w:val="20"/>
            </w:rPr>
          </w:pPr>
          <w:r>
            <w:rPr>
              <w:sz w:val="20"/>
            </w:rPr>
            <w:t>Jeffrey A. Murphy</w:t>
          </w:r>
          <w:r w:rsidR="00C20325">
            <w:rPr>
              <w:sz w:val="20"/>
            </w:rPr>
            <w:t>, Vice President</w:t>
          </w:r>
        </w:p>
      </w:tc>
    </w:tr>
  </w:tbl>
  <w:p w:rsidR="00C20325" w:rsidRPr="00AC5AC3" w:rsidRDefault="00C20325" w:rsidP="00AC5AC3">
    <w:pPr>
      <w:pStyle w:val="Footer"/>
      <w:tabs>
        <w:tab w:val="clear" w:pos="4320"/>
        <w:tab w:val="clear" w:pos="8640"/>
        <w:tab w:val="left" w:pos="5655"/>
      </w:tabs>
      <w:rPr>
        <w:i/>
      </w:rPr>
    </w:pPr>
    <w:r w:rsidRPr="00AC5AC3">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FF8" w:rsidRDefault="00FF2FF8">
      <w:r>
        <w:separator/>
      </w:r>
    </w:p>
  </w:footnote>
  <w:footnote w:type="continuationSeparator" w:id="0">
    <w:p w:rsidR="00FF2FF8" w:rsidRDefault="00FF2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3295"/>
      <w:gridCol w:w="5561"/>
    </w:tblGrid>
    <w:tr w:rsidR="00C20325">
      <w:tc>
        <w:tcPr>
          <w:tcW w:w="3528" w:type="dxa"/>
        </w:tcPr>
        <w:p w:rsidR="00C20325" w:rsidRDefault="00C20325">
          <w:pPr>
            <w:pStyle w:val="Header"/>
            <w:rPr>
              <w:sz w:val="20"/>
            </w:rPr>
          </w:pPr>
          <w:r>
            <w:rPr>
              <w:sz w:val="20"/>
            </w:rPr>
            <w:t>THE EAST OHIO GAS COMPANY</w:t>
          </w:r>
        </w:p>
      </w:tc>
      <w:tc>
        <w:tcPr>
          <w:tcW w:w="6048" w:type="dxa"/>
        </w:tcPr>
        <w:p w:rsidR="00C20325" w:rsidRDefault="00FC74CB" w:rsidP="002E33CE">
          <w:pPr>
            <w:pStyle w:val="Header"/>
            <w:jc w:val="right"/>
            <w:rPr>
              <w:rStyle w:val="PageNumber"/>
            </w:rPr>
          </w:pPr>
          <w:r>
            <w:rPr>
              <w:sz w:val="20"/>
            </w:rPr>
            <w:t xml:space="preserve">Seventh </w:t>
          </w:r>
          <w:r w:rsidR="00C20325">
            <w:rPr>
              <w:sz w:val="20"/>
            </w:rPr>
            <w:t xml:space="preserve">Revised Sheet No. B-SCO </w:t>
          </w:r>
          <w:r w:rsidR="009F58EE">
            <w:rPr>
              <w:rStyle w:val="PageNumber"/>
            </w:rPr>
            <w:fldChar w:fldCharType="begin"/>
          </w:r>
          <w:r w:rsidR="00C20325">
            <w:rPr>
              <w:rStyle w:val="PageNumber"/>
            </w:rPr>
            <w:instrText xml:space="preserve"> PAGE </w:instrText>
          </w:r>
          <w:r w:rsidR="009F58EE">
            <w:rPr>
              <w:rStyle w:val="PageNumber"/>
            </w:rPr>
            <w:fldChar w:fldCharType="separate"/>
          </w:r>
          <w:r w:rsidR="00B41930">
            <w:rPr>
              <w:rStyle w:val="PageNumber"/>
              <w:noProof/>
            </w:rPr>
            <w:t>1</w:t>
          </w:r>
          <w:r w:rsidR="009F58EE">
            <w:rPr>
              <w:rStyle w:val="PageNumber"/>
            </w:rPr>
            <w:fldChar w:fldCharType="end"/>
          </w:r>
        </w:p>
        <w:p w:rsidR="00C20325" w:rsidRDefault="00C20325" w:rsidP="00FC74CB">
          <w:pPr>
            <w:pStyle w:val="Header"/>
            <w:jc w:val="right"/>
            <w:rPr>
              <w:sz w:val="20"/>
            </w:rPr>
          </w:pPr>
          <w:r>
            <w:rPr>
              <w:rStyle w:val="PageNumber"/>
            </w:rPr>
            <w:t xml:space="preserve">Superseding </w:t>
          </w:r>
          <w:r w:rsidR="00FC74CB">
            <w:rPr>
              <w:rStyle w:val="PageNumber"/>
            </w:rPr>
            <w:t xml:space="preserve">Sixth </w:t>
          </w:r>
          <w:r>
            <w:rPr>
              <w:rStyle w:val="PageNumber"/>
            </w:rPr>
            <w:t xml:space="preserve">Revised Sheet No. B-SCO 1 </w:t>
          </w:r>
          <w:r>
            <w:rPr>
              <w:sz w:val="20"/>
            </w:rPr>
            <w:t xml:space="preserve"> </w:t>
          </w:r>
        </w:p>
      </w:tc>
    </w:tr>
    <w:tr w:rsidR="00C20325">
      <w:tc>
        <w:tcPr>
          <w:tcW w:w="3528" w:type="dxa"/>
        </w:tcPr>
        <w:p w:rsidR="00C20325" w:rsidRDefault="00C20325">
          <w:pPr>
            <w:pStyle w:val="Header"/>
            <w:rPr>
              <w:sz w:val="20"/>
            </w:rPr>
          </w:pPr>
        </w:p>
      </w:tc>
      <w:tc>
        <w:tcPr>
          <w:tcW w:w="6048" w:type="dxa"/>
        </w:tcPr>
        <w:p w:rsidR="00C20325" w:rsidRDefault="00C20325">
          <w:pPr>
            <w:pStyle w:val="Header"/>
            <w:jc w:val="right"/>
            <w:rPr>
              <w:sz w:val="20"/>
            </w:rPr>
          </w:pPr>
        </w:p>
      </w:tc>
    </w:tr>
  </w:tbl>
  <w:p w:rsidR="00C20325" w:rsidRDefault="00C203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3295"/>
      <w:gridCol w:w="5561"/>
    </w:tblGrid>
    <w:tr w:rsidR="00C20325">
      <w:tc>
        <w:tcPr>
          <w:tcW w:w="3528" w:type="dxa"/>
        </w:tcPr>
        <w:p w:rsidR="00C20325" w:rsidRDefault="00C20325">
          <w:pPr>
            <w:pStyle w:val="Header"/>
            <w:rPr>
              <w:sz w:val="20"/>
            </w:rPr>
          </w:pPr>
          <w:r>
            <w:rPr>
              <w:sz w:val="20"/>
            </w:rPr>
            <w:t>THE EAST OHIO GAS COMPANY</w:t>
          </w:r>
        </w:p>
      </w:tc>
      <w:tc>
        <w:tcPr>
          <w:tcW w:w="6048" w:type="dxa"/>
        </w:tcPr>
        <w:p w:rsidR="00C20325" w:rsidRDefault="00FC74CB" w:rsidP="002E33CE">
          <w:pPr>
            <w:pStyle w:val="Header"/>
            <w:jc w:val="right"/>
            <w:rPr>
              <w:rStyle w:val="PageNumber"/>
            </w:rPr>
          </w:pPr>
          <w:r>
            <w:rPr>
              <w:sz w:val="20"/>
            </w:rPr>
            <w:t xml:space="preserve">Seventh </w:t>
          </w:r>
          <w:r w:rsidR="00C20325">
            <w:rPr>
              <w:sz w:val="20"/>
            </w:rPr>
            <w:t xml:space="preserve">Revised Sheet No. B-SCO </w:t>
          </w:r>
          <w:r w:rsidR="009F58EE">
            <w:rPr>
              <w:rStyle w:val="PageNumber"/>
            </w:rPr>
            <w:fldChar w:fldCharType="begin"/>
          </w:r>
          <w:r w:rsidR="00C20325">
            <w:rPr>
              <w:rStyle w:val="PageNumber"/>
            </w:rPr>
            <w:instrText xml:space="preserve"> PAGE </w:instrText>
          </w:r>
          <w:r w:rsidR="009F58EE">
            <w:rPr>
              <w:rStyle w:val="PageNumber"/>
            </w:rPr>
            <w:fldChar w:fldCharType="separate"/>
          </w:r>
          <w:r w:rsidR="00F45491">
            <w:rPr>
              <w:rStyle w:val="PageNumber"/>
              <w:noProof/>
            </w:rPr>
            <w:t>2</w:t>
          </w:r>
          <w:r w:rsidR="009F58EE">
            <w:rPr>
              <w:rStyle w:val="PageNumber"/>
            </w:rPr>
            <w:fldChar w:fldCharType="end"/>
          </w:r>
        </w:p>
        <w:p w:rsidR="00C20325" w:rsidRDefault="00C20325" w:rsidP="00D640C0">
          <w:pPr>
            <w:pStyle w:val="Header"/>
            <w:jc w:val="right"/>
            <w:rPr>
              <w:sz w:val="20"/>
            </w:rPr>
          </w:pPr>
          <w:r>
            <w:rPr>
              <w:rStyle w:val="PageNumber"/>
            </w:rPr>
            <w:t xml:space="preserve">Superseding </w:t>
          </w:r>
          <w:r w:rsidR="00FC74CB">
            <w:rPr>
              <w:rStyle w:val="PageNumber"/>
            </w:rPr>
            <w:t xml:space="preserve">Sixth </w:t>
          </w:r>
          <w:r>
            <w:rPr>
              <w:rStyle w:val="PageNumber"/>
            </w:rPr>
            <w:t xml:space="preserve">Revised Sheet No. B-SCO 2 </w:t>
          </w:r>
          <w:r>
            <w:rPr>
              <w:sz w:val="20"/>
            </w:rPr>
            <w:t xml:space="preserve"> </w:t>
          </w:r>
        </w:p>
      </w:tc>
    </w:tr>
    <w:tr w:rsidR="00C20325">
      <w:tc>
        <w:tcPr>
          <w:tcW w:w="3528" w:type="dxa"/>
        </w:tcPr>
        <w:p w:rsidR="00C20325" w:rsidRDefault="00C20325">
          <w:pPr>
            <w:pStyle w:val="Header"/>
            <w:rPr>
              <w:sz w:val="20"/>
            </w:rPr>
          </w:pPr>
        </w:p>
      </w:tc>
      <w:tc>
        <w:tcPr>
          <w:tcW w:w="6048" w:type="dxa"/>
        </w:tcPr>
        <w:p w:rsidR="00C20325" w:rsidRDefault="00C20325">
          <w:pPr>
            <w:pStyle w:val="Header"/>
            <w:jc w:val="right"/>
            <w:rPr>
              <w:sz w:val="20"/>
            </w:rPr>
          </w:pPr>
        </w:p>
      </w:tc>
    </w:tr>
  </w:tbl>
  <w:p w:rsidR="00C20325" w:rsidRDefault="00C203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50BD4"/>
    <w:multiLevelType w:val="hybridMultilevel"/>
    <w:tmpl w:val="F41EE1FC"/>
    <w:lvl w:ilvl="0" w:tplc="3E769C5C">
      <w:start w:val="1"/>
      <w:numFmt w:val="decimal"/>
      <w:pStyle w:val="Subtitle"/>
      <w:lvlText w:val="%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FE238C"/>
    <w:multiLevelType w:val="hybridMultilevel"/>
    <w:tmpl w:val="EF1CC444"/>
    <w:lvl w:ilvl="0" w:tplc="1D1E83BC">
      <w:start w:val="1"/>
      <w:numFmt w:val="decimal"/>
      <w:pStyle w:val="Subnumbers"/>
      <w:lvlText w:val="4.%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5C55EE7"/>
    <w:multiLevelType w:val="hybridMultilevel"/>
    <w:tmpl w:val="2B84EA58"/>
    <w:lvl w:ilvl="0" w:tplc="CA36F776">
      <w:start w:val="1"/>
      <w:numFmt w:val="lowerLetter"/>
      <w:pStyle w:val="BodyTextIndent"/>
      <w:lvlText w:val="%1)"/>
      <w:lvlJc w:val="left"/>
      <w:pPr>
        <w:tabs>
          <w:tab w:val="num" w:pos="1440"/>
        </w:tabs>
        <w:ind w:left="144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trackRevisions/>
  <w:defaultTabStop w:val="720"/>
  <w:noPunctuationKerning/>
  <w:characterSpacingControl w:val="doNotCompress"/>
  <w:hdrShapeDefaults>
    <o:shapedefaults v:ext="edit" spidmax="9217"/>
  </w:hdrShapeDefaults>
  <w:footnotePr>
    <w:footnote w:id="-1"/>
    <w:footnote w:id="0"/>
  </w:footnotePr>
  <w:endnotePr>
    <w:endnote w:id="-1"/>
    <w:endnote w:id="0"/>
  </w:endnotePr>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0"/>
    <w:docVar w:name="MPDocID" w:val="C:\Documents and Settings\jp007107\Desktop\SCO Tariff (AJC EDITS).doc"/>
    <w:docVar w:name="MPDocIDTemplate" w:val="%l-|%n|v%v"/>
    <w:docVar w:name="MPDocIDTemplateDefault" w:val="%l-|%n|v%v"/>
    <w:docVar w:name="NewDocStampType" w:val="1"/>
  </w:docVars>
  <w:rsids>
    <w:rsidRoot w:val="00381185"/>
    <w:rsid w:val="00034B8E"/>
    <w:rsid w:val="000409A1"/>
    <w:rsid w:val="00054EB8"/>
    <w:rsid w:val="000D3617"/>
    <w:rsid w:val="000D72DB"/>
    <w:rsid w:val="001249F6"/>
    <w:rsid w:val="00163200"/>
    <w:rsid w:val="002128E5"/>
    <w:rsid w:val="00274DC4"/>
    <w:rsid w:val="00295880"/>
    <w:rsid w:val="002D2D53"/>
    <w:rsid w:val="002E33CE"/>
    <w:rsid w:val="002E55B9"/>
    <w:rsid w:val="00307181"/>
    <w:rsid w:val="00350470"/>
    <w:rsid w:val="003541F0"/>
    <w:rsid w:val="00365944"/>
    <w:rsid w:val="003802A6"/>
    <w:rsid w:val="00381185"/>
    <w:rsid w:val="00382ED3"/>
    <w:rsid w:val="003F7565"/>
    <w:rsid w:val="004267C4"/>
    <w:rsid w:val="0045039A"/>
    <w:rsid w:val="00450633"/>
    <w:rsid w:val="00465385"/>
    <w:rsid w:val="004818C8"/>
    <w:rsid w:val="004A50DE"/>
    <w:rsid w:val="004F0BB9"/>
    <w:rsid w:val="00571570"/>
    <w:rsid w:val="005B70CD"/>
    <w:rsid w:val="00633896"/>
    <w:rsid w:val="006424EF"/>
    <w:rsid w:val="00646984"/>
    <w:rsid w:val="00670EBA"/>
    <w:rsid w:val="006723B6"/>
    <w:rsid w:val="007B5659"/>
    <w:rsid w:val="007B70AD"/>
    <w:rsid w:val="007B7510"/>
    <w:rsid w:val="007F39C8"/>
    <w:rsid w:val="00804AF0"/>
    <w:rsid w:val="00897CA1"/>
    <w:rsid w:val="008A2A0A"/>
    <w:rsid w:val="008A6820"/>
    <w:rsid w:val="008B5E4C"/>
    <w:rsid w:val="009257E4"/>
    <w:rsid w:val="009520D7"/>
    <w:rsid w:val="0097287F"/>
    <w:rsid w:val="009B79F0"/>
    <w:rsid w:val="009F58EE"/>
    <w:rsid w:val="00A73DF5"/>
    <w:rsid w:val="00A910AB"/>
    <w:rsid w:val="00AC5AC3"/>
    <w:rsid w:val="00AD334B"/>
    <w:rsid w:val="00AE22B6"/>
    <w:rsid w:val="00B049B9"/>
    <w:rsid w:val="00B24E1A"/>
    <w:rsid w:val="00B41930"/>
    <w:rsid w:val="00B47332"/>
    <w:rsid w:val="00B541C6"/>
    <w:rsid w:val="00B71AF0"/>
    <w:rsid w:val="00B72294"/>
    <w:rsid w:val="00BF00A6"/>
    <w:rsid w:val="00C15936"/>
    <w:rsid w:val="00C20325"/>
    <w:rsid w:val="00C33752"/>
    <w:rsid w:val="00C34BF7"/>
    <w:rsid w:val="00C52A07"/>
    <w:rsid w:val="00C80887"/>
    <w:rsid w:val="00CA3F5C"/>
    <w:rsid w:val="00CB7C55"/>
    <w:rsid w:val="00D04BC8"/>
    <w:rsid w:val="00D05A62"/>
    <w:rsid w:val="00D06979"/>
    <w:rsid w:val="00D24884"/>
    <w:rsid w:val="00D640C0"/>
    <w:rsid w:val="00DD3463"/>
    <w:rsid w:val="00DE16B4"/>
    <w:rsid w:val="00E15D7B"/>
    <w:rsid w:val="00E229D9"/>
    <w:rsid w:val="00E27365"/>
    <w:rsid w:val="00E60F5A"/>
    <w:rsid w:val="00EB79C3"/>
    <w:rsid w:val="00F15359"/>
    <w:rsid w:val="00F21E58"/>
    <w:rsid w:val="00F32D21"/>
    <w:rsid w:val="00F45491"/>
    <w:rsid w:val="00F717BD"/>
    <w:rsid w:val="00F75EC7"/>
    <w:rsid w:val="00F97687"/>
    <w:rsid w:val="00FC1E4B"/>
    <w:rsid w:val="00FC609F"/>
    <w:rsid w:val="00FC74CB"/>
    <w:rsid w:val="00FE3B1A"/>
    <w:rsid w:val="00FF2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385"/>
    <w:rPr>
      <w:sz w:val="24"/>
      <w:szCs w:val="24"/>
    </w:rPr>
  </w:style>
  <w:style w:type="paragraph" w:styleId="Heading1">
    <w:name w:val="heading 1"/>
    <w:basedOn w:val="Normal"/>
    <w:next w:val="Normal"/>
    <w:qFormat/>
    <w:rsid w:val="0046538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5385"/>
    <w:pPr>
      <w:jc w:val="center"/>
    </w:pPr>
    <w:rPr>
      <w:b/>
      <w:bCs/>
      <w:sz w:val="28"/>
    </w:rPr>
  </w:style>
  <w:style w:type="paragraph" w:styleId="Subtitle">
    <w:name w:val="Subtitle"/>
    <w:basedOn w:val="Normal"/>
    <w:qFormat/>
    <w:rsid w:val="00465385"/>
    <w:pPr>
      <w:numPr>
        <w:numId w:val="1"/>
      </w:numPr>
      <w:tabs>
        <w:tab w:val="num" w:pos="360"/>
      </w:tabs>
    </w:pPr>
    <w:rPr>
      <w:b/>
      <w:bCs/>
    </w:rPr>
  </w:style>
  <w:style w:type="paragraph" w:styleId="Header">
    <w:name w:val="header"/>
    <w:basedOn w:val="Normal"/>
    <w:semiHidden/>
    <w:rsid w:val="00465385"/>
    <w:pPr>
      <w:tabs>
        <w:tab w:val="center" w:pos="4320"/>
        <w:tab w:val="right" w:pos="8640"/>
      </w:tabs>
    </w:pPr>
  </w:style>
  <w:style w:type="paragraph" w:styleId="Footer">
    <w:name w:val="footer"/>
    <w:basedOn w:val="Normal"/>
    <w:semiHidden/>
    <w:rsid w:val="00465385"/>
    <w:pPr>
      <w:tabs>
        <w:tab w:val="center" w:pos="4320"/>
        <w:tab w:val="right" w:pos="8640"/>
      </w:tabs>
    </w:pPr>
  </w:style>
  <w:style w:type="character" w:styleId="PageNumber">
    <w:name w:val="page number"/>
    <w:basedOn w:val="DefaultParagraphFont"/>
    <w:semiHidden/>
    <w:rsid w:val="00465385"/>
    <w:rPr>
      <w:rFonts w:ascii="Times New Roman" w:hAnsi="Times New Roman"/>
      <w:sz w:val="20"/>
    </w:rPr>
  </w:style>
  <w:style w:type="paragraph" w:styleId="BodyTextIndent">
    <w:name w:val="Body Text Indent"/>
    <w:basedOn w:val="Normal"/>
    <w:semiHidden/>
    <w:rsid w:val="00465385"/>
    <w:pPr>
      <w:numPr>
        <w:numId w:val="2"/>
      </w:numPr>
      <w:spacing w:after="240"/>
    </w:pPr>
  </w:style>
  <w:style w:type="paragraph" w:styleId="BodyText">
    <w:name w:val="Body Text"/>
    <w:basedOn w:val="Normal"/>
    <w:semiHidden/>
    <w:rsid w:val="00465385"/>
    <w:pPr>
      <w:tabs>
        <w:tab w:val="left" w:pos="1080"/>
        <w:tab w:val="left" w:pos="1800"/>
      </w:tabs>
      <w:spacing w:after="240"/>
      <w:ind w:left="360"/>
    </w:pPr>
  </w:style>
  <w:style w:type="character" w:customStyle="1" w:styleId="BodyTextChar">
    <w:name w:val="Body Text Char"/>
    <w:basedOn w:val="DefaultParagraphFont"/>
    <w:rsid w:val="00465385"/>
    <w:rPr>
      <w:sz w:val="24"/>
      <w:szCs w:val="24"/>
      <w:lang w:val="en-US" w:eastAsia="en-US" w:bidi="ar-SA"/>
    </w:rPr>
  </w:style>
  <w:style w:type="character" w:customStyle="1" w:styleId="SubtitleChar">
    <w:name w:val="Subtitle Char"/>
    <w:basedOn w:val="DefaultParagraphFont"/>
    <w:rsid w:val="00465385"/>
    <w:rPr>
      <w:b/>
      <w:bCs/>
      <w:sz w:val="24"/>
      <w:szCs w:val="24"/>
      <w:lang w:val="en-US" w:eastAsia="en-US" w:bidi="ar-SA"/>
    </w:rPr>
  </w:style>
  <w:style w:type="paragraph" w:customStyle="1" w:styleId="Subnumbers">
    <w:name w:val="Subnumbers"/>
    <w:basedOn w:val="Normal"/>
    <w:rsid w:val="00465385"/>
    <w:pPr>
      <w:numPr>
        <w:numId w:val="3"/>
      </w:numPr>
      <w:spacing w:after="240"/>
    </w:pPr>
  </w:style>
  <w:style w:type="character" w:customStyle="1" w:styleId="zzmpTrailerItem">
    <w:name w:val="zzmpTrailerItem"/>
    <w:basedOn w:val="DefaultParagraphFont"/>
    <w:rsid w:val="00465385"/>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2E33CE"/>
    <w:rPr>
      <w:rFonts w:ascii="Tahoma" w:hAnsi="Tahoma" w:cs="Tahoma"/>
      <w:sz w:val="16"/>
      <w:szCs w:val="16"/>
    </w:rPr>
  </w:style>
  <w:style w:type="character" w:customStyle="1" w:styleId="BalloonTextChar">
    <w:name w:val="Balloon Text Char"/>
    <w:basedOn w:val="DefaultParagraphFont"/>
    <w:link w:val="BalloonText"/>
    <w:uiPriority w:val="99"/>
    <w:semiHidden/>
    <w:rsid w:val="002E33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8608F-6581-4EA4-ADC7-328262AD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2009-01-22T22:07:00Z</cp:lastPrinted>
  <dcterms:created xsi:type="dcterms:W3CDTF">2015-03-26T19:17:00Z</dcterms:created>
  <dcterms:modified xsi:type="dcterms:W3CDTF">2015-03-26T19:18:00Z</dcterms:modified>
</cp:coreProperties>
</file>