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18" w:rsidRDefault="00594D18" w:rsidP="00594D1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594D18" w:rsidRDefault="00594D18" w:rsidP="00594D18">
      <w:pPr>
        <w:pStyle w:val="HTMLPreformatted"/>
        <w:jc w:val="center"/>
        <w:rPr>
          <w:rFonts w:ascii="Times New Roman" w:hAnsi="Times New Roman"/>
          <w:sz w:val="24"/>
        </w:rPr>
      </w:pPr>
      <w:r>
        <w:rPr>
          <w:rFonts w:ascii="Times New Roman" w:hAnsi="Times New Roman"/>
          <w:b/>
          <w:bCs/>
          <w:sz w:val="24"/>
        </w:rPr>
        <w:t>THE PUBLIC UTILITIES COMMISSION OF OHIO</w:t>
      </w:r>
    </w:p>
    <w:p w:rsidR="00594D18" w:rsidRDefault="00594D18" w:rsidP="00594D18">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594D18" w:rsidTr="0006318A">
        <w:trPr>
          <w:trHeight w:val="807"/>
        </w:trPr>
        <w:tc>
          <w:tcPr>
            <w:tcW w:w="4332" w:type="dxa"/>
            <w:shd w:val="clear" w:color="auto" w:fill="auto"/>
          </w:tcPr>
          <w:p w:rsidR="00CC4D02" w:rsidRPr="00CC4D02" w:rsidRDefault="00CC4D02" w:rsidP="00CC4D02">
            <w:pPr>
              <w:autoSpaceDE w:val="0"/>
              <w:autoSpaceDN w:val="0"/>
              <w:adjustRightInd w:val="0"/>
              <w:rPr>
                <w:szCs w:val="24"/>
              </w:rPr>
            </w:pPr>
            <w:r w:rsidRPr="00CC4D02">
              <w:rPr>
                <w:szCs w:val="24"/>
              </w:rPr>
              <w:t xml:space="preserve">In the Matter of the Commission's Review of Chapter 4901:1-25 of the </w:t>
            </w:r>
            <w:r w:rsidR="0069147F">
              <w:rPr>
                <w:szCs w:val="24"/>
              </w:rPr>
              <w:t xml:space="preserve"> Ohio</w:t>
            </w:r>
          </w:p>
          <w:p w:rsidR="00CC4D02" w:rsidRPr="00CC4D02" w:rsidRDefault="00CC4D02" w:rsidP="00CC4D02">
            <w:pPr>
              <w:autoSpaceDE w:val="0"/>
              <w:autoSpaceDN w:val="0"/>
              <w:adjustRightInd w:val="0"/>
              <w:rPr>
                <w:szCs w:val="24"/>
              </w:rPr>
            </w:pPr>
            <w:r w:rsidRPr="00CC4D02">
              <w:rPr>
                <w:szCs w:val="24"/>
              </w:rPr>
              <w:t xml:space="preserve">Administrative Code, Regarding Market </w:t>
            </w:r>
          </w:p>
          <w:p w:rsidR="00594D18" w:rsidRDefault="00CC4D02" w:rsidP="005B1651">
            <w:pPr>
              <w:pStyle w:val="HTMLPreformatted"/>
              <w:rPr>
                <w:rFonts w:ascii="Times New Roman" w:hAnsi="Times New Roman"/>
                <w:sz w:val="24"/>
                <w:szCs w:val="24"/>
              </w:rPr>
            </w:pPr>
            <w:r w:rsidRPr="00CC4D02">
              <w:rPr>
                <w:rFonts w:ascii="Times New Roman" w:hAnsi="Times New Roman" w:cs="Times New Roman"/>
                <w:sz w:val="24"/>
                <w:szCs w:val="24"/>
              </w:rPr>
              <w:t xml:space="preserve">Monitoring. </w:t>
            </w:r>
          </w:p>
        </w:tc>
        <w:tc>
          <w:tcPr>
            <w:tcW w:w="360" w:type="dxa"/>
            <w:shd w:val="clear" w:color="auto" w:fill="auto"/>
          </w:tcPr>
          <w:p w:rsidR="00594D18" w:rsidRDefault="00594D18" w:rsidP="0006318A">
            <w:pPr>
              <w:pStyle w:val="HTMLPreformatted"/>
              <w:rPr>
                <w:rFonts w:ascii="Times New Roman" w:hAnsi="Times New Roman"/>
                <w:sz w:val="24"/>
              </w:rPr>
            </w:pPr>
            <w:r>
              <w:rPr>
                <w:rFonts w:ascii="Times New Roman" w:hAnsi="Times New Roman"/>
                <w:sz w:val="24"/>
              </w:rPr>
              <w:t>)</w:t>
            </w:r>
          </w:p>
          <w:p w:rsidR="00594D18" w:rsidRDefault="00594D18" w:rsidP="0006318A">
            <w:pPr>
              <w:pStyle w:val="HTMLPreformatted"/>
              <w:rPr>
                <w:rFonts w:ascii="Times New Roman" w:hAnsi="Times New Roman"/>
                <w:sz w:val="24"/>
              </w:rPr>
            </w:pPr>
            <w:r>
              <w:rPr>
                <w:rFonts w:ascii="Times New Roman" w:hAnsi="Times New Roman"/>
                <w:sz w:val="24"/>
              </w:rPr>
              <w:t>)</w:t>
            </w:r>
          </w:p>
          <w:p w:rsidR="00594D18" w:rsidRDefault="00594D18" w:rsidP="0006318A">
            <w:pPr>
              <w:pStyle w:val="HTMLPreformatted"/>
              <w:rPr>
                <w:rFonts w:ascii="Times New Roman" w:hAnsi="Times New Roman"/>
                <w:sz w:val="24"/>
              </w:rPr>
            </w:pPr>
            <w:r>
              <w:rPr>
                <w:rFonts w:ascii="Times New Roman" w:hAnsi="Times New Roman"/>
                <w:sz w:val="24"/>
              </w:rPr>
              <w:t>)</w:t>
            </w:r>
          </w:p>
          <w:p w:rsidR="00594D18" w:rsidRDefault="00594D18" w:rsidP="0006318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594D18" w:rsidRDefault="00594D18" w:rsidP="0006318A">
            <w:pPr>
              <w:pStyle w:val="HTMLPreformatted"/>
              <w:rPr>
                <w:rFonts w:ascii="Times New Roman" w:hAnsi="Times New Roman"/>
                <w:sz w:val="24"/>
              </w:rPr>
            </w:pPr>
          </w:p>
          <w:p w:rsidR="00594D18" w:rsidRDefault="00594D18" w:rsidP="0006318A">
            <w:pPr>
              <w:pStyle w:val="HTMLPreformatted"/>
              <w:rPr>
                <w:rFonts w:ascii="Times New Roman" w:hAnsi="Times New Roman"/>
                <w:sz w:val="24"/>
              </w:rPr>
            </w:pPr>
            <w:r>
              <w:rPr>
                <w:rFonts w:ascii="Times New Roman" w:hAnsi="Times New Roman"/>
                <w:sz w:val="24"/>
              </w:rPr>
              <w:t>Case No. 1</w:t>
            </w:r>
            <w:r w:rsidR="00C9030C">
              <w:rPr>
                <w:rFonts w:ascii="Times New Roman" w:hAnsi="Times New Roman"/>
                <w:sz w:val="24"/>
              </w:rPr>
              <w:t>2</w:t>
            </w:r>
            <w:r>
              <w:rPr>
                <w:rFonts w:ascii="Times New Roman" w:hAnsi="Times New Roman"/>
                <w:sz w:val="24"/>
              </w:rPr>
              <w:t>-</w:t>
            </w:r>
            <w:r w:rsidR="00CC4D02">
              <w:rPr>
                <w:rFonts w:ascii="Times New Roman" w:hAnsi="Times New Roman"/>
                <w:sz w:val="24"/>
              </w:rPr>
              <w:t>2053</w:t>
            </w:r>
            <w:r>
              <w:rPr>
                <w:rFonts w:ascii="Times New Roman" w:hAnsi="Times New Roman"/>
                <w:sz w:val="24"/>
              </w:rPr>
              <w:t>-EL-</w:t>
            </w:r>
            <w:r w:rsidR="00CC4D02">
              <w:rPr>
                <w:rFonts w:ascii="Times New Roman" w:hAnsi="Times New Roman"/>
                <w:sz w:val="24"/>
              </w:rPr>
              <w:t>ORD</w:t>
            </w:r>
          </w:p>
          <w:p w:rsidR="00594D18" w:rsidRDefault="00594D18" w:rsidP="0006318A">
            <w:pPr>
              <w:pStyle w:val="HTMLPreformatted"/>
              <w:rPr>
                <w:rFonts w:ascii="Times New Roman" w:hAnsi="Times New Roman"/>
                <w:sz w:val="24"/>
              </w:rPr>
            </w:pPr>
          </w:p>
        </w:tc>
      </w:tr>
    </w:tbl>
    <w:p w:rsidR="00594D18" w:rsidRDefault="00594D18" w:rsidP="00594D18">
      <w:pPr>
        <w:pStyle w:val="HTMLPreformatted"/>
        <w:rPr>
          <w:rFonts w:ascii="Times New Roman" w:hAnsi="Times New Roman"/>
          <w:sz w:val="24"/>
        </w:rPr>
      </w:pPr>
    </w:p>
    <w:p w:rsidR="00594D18" w:rsidRDefault="00594D18" w:rsidP="00594D18">
      <w:pPr>
        <w:pStyle w:val="HTMLPreformatted"/>
        <w:pBdr>
          <w:top w:val="single" w:sz="12" w:space="1" w:color="auto"/>
        </w:pBdr>
        <w:rPr>
          <w:rFonts w:ascii="Times New Roman" w:hAnsi="Times New Roman"/>
          <w:sz w:val="24"/>
        </w:rPr>
      </w:pPr>
    </w:p>
    <w:p w:rsidR="00594D18" w:rsidRDefault="00594D18" w:rsidP="00594D18">
      <w:pPr>
        <w:jc w:val="center"/>
        <w:rPr>
          <w:b/>
          <w:bCs/>
        </w:rPr>
      </w:pPr>
      <w:r>
        <w:rPr>
          <w:b/>
          <w:bCs/>
        </w:rPr>
        <w:t>COMMENTS</w:t>
      </w:r>
    </w:p>
    <w:p w:rsidR="00594D18" w:rsidRDefault="00594D18" w:rsidP="00594D18">
      <w:pPr>
        <w:jc w:val="center"/>
        <w:rPr>
          <w:b/>
          <w:bCs/>
        </w:rPr>
      </w:pPr>
      <w:r>
        <w:rPr>
          <w:b/>
          <w:bCs/>
        </w:rPr>
        <w:t>BY</w:t>
      </w:r>
    </w:p>
    <w:p w:rsidR="00594D18" w:rsidRDefault="00594D18" w:rsidP="00594D18">
      <w:pPr>
        <w:jc w:val="center"/>
        <w:rPr>
          <w:b/>
          <w:bCs/>
        </w:rPr>
      </w:pPr>
      <w:r>
        <w:rPr>
          <w:b/>
          <w:bCs/>
        </w:rPr>
        <w:t>THE OFFICE OF THE OHIO CONSUMERS’ COUNSEL</w:t>
      </w:r>
    </w:p>
    <w:p w:rsidR="00594D18" w:rsidRDefault="00594D18" w:rsidP="00594D18">
      <w:pPr>
        <w:pBdr>
          <w:bottom w:val="single" w:sz="12" w:space="1" w:color="auto"/>
        </w:pBdr>
        <w:tabs>
          <w:tab w:val="left" w:pos="4320"/>
        </w:tabs>
      </w:pPr>
    </w:p>
    <w:p w:rsidR="00594D18" w:rsidRDefault="00594D18" w:rsidP="00594D18">
      <w:pPr>
        <w:tabs>
          <w:tab w:val="left" w:pos="4320"/>
        </w:tabs>
      </w:pPr>
    </w:p>
    <w:p w:rsidR="0090794F" w:rsidRDefault="00CC4D02" w:rsidP="00E72038">
      <w:pPr>
        <w:spacing w:line="480" w:lineRule="auto"/>
        <w:ind w:firstLine="720"/>
        <w:rPr>
          <w:rFonts w:eastAsia="Calibri"/>
          <w:szCs w:val="24"/>
        </w:rPr>
      </w:pPr>
      <w:r w:rsidRPr="00CC4D02">
        <w:rPr>
          <w:rFonts w:eastAsia="Calibri"/>
          <w:szCs w:val="24"/>
        </w:rPr>
        <w:t xml:space="preserve">The </w:t>
      </w:r>
      <w:r w:rsidR="0090794F" w:rsidRPr="00CC4D02">
        <w:rPr>
          <w:rFonts w:eastAsia="Calibri"/>
          <w:szCs w:val="24"/>
        </w:rPr>
        <w:t>P</w:t>
      </w:r>
      <w:r w:rsidR="0090794F">
        <w:rPr>
          <w:rFonts w:eastAsia="Calibri"/>
          <w:szCs w:val="24"/>
        </w:rPr>
        <w:t xml:space="preserve">ublic </w:t>
      </w:r>
      <w:r w:rsidR="0090794F" w:rsidRPr="00CC4D02">
        <w:rPr>
          <w:rFonts w:eastAsia="Calibri"/>
          <w:szCs w:val="24"/>
        </w:rPr>
        <w:t>U</w:t>
      </w:r>
      <w:r w:rsidR="0090794F">
        <w:rPr>
          <w:rFonts w:eastAsia="Calibri"/>
          <w:szCs w:val="24"/>
        </w:rPr>
        <w:t xml:space="preserve">tilities </w:t>
      </w:r>
      <w:r w:rsidR="0090794F" w:rsidRPr="00CC4D02">
        <w:rPr>
          <w:rFonts w:eastAsia="Calibri"/>
          <w:szCs w:val="24"/>
        </w:rPr>
        <w:t>C</w:t>
      </w:r>
      <w:r w:rsidR="0090794F">
        <w:rPr>
          <w:rFonts w:eastAsia="Calibri"/>
          <w:szCs w:val="24"/>
        </w:rPr>
        <w:t xml:space="preserve">ommission of </w:t>
      </w:r>
      <w:r w:rsidR="0090794F" w:rsidRPr="00CC4D02">
        <w:rPr>
          <w:rFonts w:eastAsia="Calibri"/>
          <w:szCs w:val="24"/>
        </w:rPr>
        <w:t>O</w:t>
      </w:r>
      <w:r w:rsidR="0090794F">
        <w:rPr>
          <w:rFonts w:eastAsia="Calibri"/>
          <w:szCs w:val="24"/>
        </w:rPr>
        <w:t xml:space="preserve">hio’s (“PUCO”) market monitoring </w:t>
      </w:r>
      <w:r w:rsidRPr="00CC4D02">
        <w:rPr>
          <w:rFonts w:eastAsia="Calibri"/>
          <w:szCs w:val="24"/>
        </w:rPr>
        <w:t>rules</w:t>
      </w:r>
      <w:r w:rsidR="0090794F">
        <w:rPr>
          <w:rStyle w:val="FootnoteReference"/>
          <w:rFonts w:eastAsia="Calibri"/>
          <w:szCs w:val="24"/>
        </w:rPr>
        <w:footnoteReference w:id="1"/>
      </w:r>
      <w:r w:rsidRPr="00CC4D02">
        <w:rPr>
          <w:rFonts w:eastAsia="Calibri"/>
          <w:szCs w:val="24"/>
        </w:rPr>
        <w:t xml:space="preserve"> are important to customers because they serve to protect customers from unfair market practices that may impair or impede retail electric competition.  And because competition is </w:t>
      </w:r>
      <w:r w:rsidR="00580727">
        <w:rPr>
          <w:rFonts w:eastAsia="Calibri"/>
          <w:szCs w:val="24"/>
        </w:rPr>
        <w:t xml:space="preserve">one tool to achieve </w:t>
      </w:r>
      <w:r w:rsidRPr="00CC4D02">
        <w:rPr>
          <w:rFonts w:eastAsia="Calibri"/>
          <w:szCs w:val="24"/>
        </w:rPr>
        <w:t xml:space="preserve">reasonably priced retail electric service, the rules protecting competition are important to consumers. </w:t>
      </w:r>
    </w:p>
    <w:p w:rsidR="0090794F" w:rsidRDefault="0090794F" w:rsidP="00AA23DD">
      <w:pPr>
        <w:spacing w:line="480" w:lineRule="auto"/>
        <w:ind w:firstLine="720"/>
        <w:rPr>
          <w:rFonts w:eastAsia="Calibri"/>
          <w:szCs w:val="24"/>
        </w:rPr>
      </w:pPr>
      <w:r>
        <w:t>By Entry dated January 29, 2014, the PUCO invited interested persons to file comments (and reply comments)</w:t>
      </w:r>
      <w:r>
        <w:rPr>
          <w:rStyle w:val="FootnoteReference"/>
        </w:rPr>
        <w:footnoteReference w:id="2"/>
      </w:r>
      <w:r>
        <w:t xml:space="preserve"> concerning the PUCO Staff’s proposed changes to the market monitoring rules.</w:t>
      </w:r>
      <w:r>
        <w:rPr>
          <w:rStyle w:val="FootnoteReference"/>
        </w:rPr>
        <w:footnoteReference w:id="3"/>
      </w:r>
      <w:r>
        <w:t xml:space="preserve">  T</w:t>
      </w:r>
      <w:r>
        <w:rPr>
          <w:rFonts w:eastAsia="Calibri"/>
          <w:szCs w:val="24"/>
        </w:rPr>
        <w:t xml:space="preserve">he </w:t>
      </w:r>
      <w:r w:rsidRPr="00CC4D02">
        <w:rPr>
          <w:rFonts w:eastAsia="Calibri"/>
          <w:szCs w:val="24"/>
        </w:rPr>
        <w:t>O</w:t>
      </w:r>
      <w:r>
        <w:rPr>
          <w:rFonts w:eastAsia="Calibri"/>
          <w:szCs w:val="24"/>
        </w:rPr>
        <w:t xml:space="preserve">ffice of the Ohio </w:t>
      </w:r>
      <w:r w:rsidRPr="00CC4D02">
        <w:rPr>
          <w:rFonts w:eastAsia="Calibri"/>
          <w:szCs w:val="24"/>
        </w:rPr>
        <w:t>C</w:t>
      </w:r>
      <w:r>
        <w:rPr>
          <w:rFonts w:eastAsia="Calibri"/>
          <w:szCs w:val="24"/>
        </w:rPr>
        <w:t xml:space="preserve">onsumers’ </w:t>
      </w:r>
      <w:r w:rsidRPr="00CC4D02">
        <w:rPr>
          <w:rFonts w:eastAsia="Calibri"/>
          <w:szCs w:val="24"/>
        </w:rPr>
        <w:t>C</w:t>
      </w:r>
      <w:r>
        <w:rPr>
          <w:rFonts w:eastAsia="Calibri"/>
          <w:szCs w:val="24"/>
        </w:rPr>
        <w:t>ounsel</w:t>
      </w:r>
      <w:r w:rsidRPr="00CC4D02">
        <w:rPr>
          <w:rFonts w:eastAsia="Calibri"/>
          <w:szCs w:val="24"/>
        </w:rPr>
        <w:t xml:space="preserve"> </w:t>
      </w:r>
      <w:r>
        <w:rPr>
          <w:rFonts w:eastAsia="Calibri"/>
          <w:szCs w:val="24"/>
        </w:rPr>
        <w:t xml:space="preserve">(“OCC”) </w:t>
      </w:r>
      <w:r w:rsidRPr="00CC4D02">
        <w:rPr>
          <w:rFonts w:eastAsia="Calibri"/>
          <w:szCs w:val="24"/>
        </w:rPr>
        <w:t xml:space="preserve">appreciates the opportunity to provide </w:t>
      </w:r>
      <w:r>
        <w:rPr>
          <w:rFonts w:eastAsia="Calibri"/>
          <w:szCs w:val="24"/>
        </w:rPr>
        <w:t xml:space="preserve">these </w:t>
      </w:r>
      <w:r w:rsidRPr="00CC4D02">
        <w:rPr>
          <w:rFonts w:eastAsia="Calibri"/>
          <w:szCs w:val="24"/>
        </w:rPr>
        <w:t xml:space="preserve">comments on the </w:t>
      </w:r>
      <w:r>
        <w:rPr>
          <w:rFonts w:eastAsia="Calibri"/>
          <w:szCs w:val="24"/>
        </w:rPr>
        <w:t xml:space="preserve">proposed </w:t>
      </w:r>
      <w:r w:rsidRPr="00CC4D02">
        <w:rPr>
          <w:rFonts w:eastAsia="Calibri"/>
          <w:szCs w:val="24"/>
        </w:rPr>
        <w:t>revisions to the market mon</w:t>
      </w:r>
      <w:r>
        <w:rPr>
          <w:rFonts w:eastAsia="Calibri"/>
          <w:szCs w:val="24"/>
        </w:rPr>
        <w:t>i</w:t>
      </w:r>
      <w:r w:rsidRPr="00CC4D02">
        <w:rPr>
          <w:rFonts w:eastAsia="Calibri"/>
          <w:szCs w:val="24"/>
        </w:rPr>
        <w:t>toring rules</w:t>
      </w:r>
      <w:r>
        <w:rPr>
          <w:rFonts w:eastAsia="Calibri"/>
          <w:szCs w:val="24"/>
        </w:rPr>
        <w:t>.</w:t>
      </w:r>
      <w:r>
        <w:rPr>
          <w:rStyle w:val="FootnoteReference"/>
          <w:rFonts w:eastAsia="Calibri"/>
          <w:szCs w:val="24"/>
        </w:rPr>
        <w:footnoteReference w:id="4"/>
      </w:r>
      <w:r>
        <w:rPr>
          <w:rFonts w:eastAsia="Calibri"/>
          <w:szCs w:val="24"/>
        </w:rPr>
        <w:t xml:space="preserve"> </w:t>
      </w:r>
    </w:p>
    <w:p w:rsidR="007F252B" w:rsidRDefault="00CC4D02" w:rsidP="00AA23DD">
      <w:pPr>
        <w:spacing w:line="480" w:lineRule="auto"/>
        <w:ind w:firstLine="720"/>
        <w:rPr>
          <w:rFonts w:eastAsia="Calibri"/>
          <w:szCs w:val="24"/>
        </w:rPr>
        <w:sectPr w:rsidR="007F252B" w:rsidSect="00594D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r w:rsidRPr="00CC4D02">
        <w:rPr>
          <w:rFonts w:eastAsia="Calibri"/>
          <w:szCs w:val="24"/>
        </w:rPr>
        <w:t xml:space="preserve">In the retail competition </w:t>
      </w:r>
      <w:r w:rsidR="003474F5">
        <w:rPr>
          <w:rFonts w:eastAsia="Calibri"/>
          <w:szCs w:val="24"/>
        </w:rPr>
        <w:t>proceeding</w:t>
      </w:r>
      <w:r w:rsidRPr="00CC4D02">
        <w:rPr>
          <w:rFonts w:eastAsia="Calibri"/>
          <w:szCs w:val="24"/>
        </w:rPr>
        <w:t xml:space="preserve">, Case No. 12-3151-EL-UNC, the </w:t>
      </w:r>
      <w:r w:rsidR="005B1651">
        <w:rPr>
          <w:rFonts w:eastAsia="Calibri"/>
          <w:szCs w:val="24"/>
        </w:rPr>
        <w:t>PUCO Staff</w:t>
      </w:r>
      <w:r w:rsidRPr="00CC4D02">
        <w:rPr>
          <w:rFonts w:eastAsia="Calibri"/>
          <w:szCs w:val="24"/>
        </w:rPr>
        <w:t xml:space="preserve"> </w:t>
      </w:r>
      <w:r w:rsidR="0078057D">
        <w:rPr>
          <w:rFonts w:eastAsia="Calibri"/>
          <w:szCs w:val="24"/>
        </w:rPr>
        <w:t>advocated for a change in a PUCO rule</w:t>
      </w:r>
      <w:r w:rsidR="0078057D">
        <w:rPr>
          <w:rStyle w:val="FootnoteReference"/>
          <w:rFonts w:eastAsia="Calibri"/>
          <w:szCs w:val="24"/>
        </w:rPr>
        <w:footnoteReference w:id="5"/>
      </w:r>
      <w:r w:rsidR="0078057D">
        <w:rPr>
          <w:rFonts w:eastAsia="Calibri"/>
          <w:szCs w:val="24"/>
        </w:rPr>
        <w:t xml:space="preserve"> that kept the number of customers and load </w:t>
      </w:r>
    </w:p>
    <w:p w:rsidR="00843692" w:rsidRDefault="0078057D" w:rsidP="007F252B">
      <w:pPr>
        <w:spacing w:line="480" w:lineRule="auto"/>
        <w:rPr>
          <w:rFonts w:eastAsia="Calibri"/>
          <w:szCs w:val="24"/>
        </w:rPr>
      </w:pPr>
      <w:r>
        <w:rPr>
          <w:rFonts w:eastAsia="Calibri"/>
          <w:szCs w:val="24"/>
        </w:rPr>
        <w:lastRenderedPageBreak/>
        <w:t>served by competitive retail electric service (“CRES”) providers concealed from the public.</w:t>
      </w:r>
      <w:r>
        <w:rPr>
          <w:rStyle w:val="FootnoteReference"/>
          <w:rFonts w:eastAsia="Calibri"/>
          <w:szCs w:val="24"/>
        </w:rPr>
        <w:footnoteReference w:id="6"/>
      </w:r>
      <w:r>
        <w:rPr>
          <w:rFonts w:eastAsia="Calibri"/>
          <w:szCs w:val="24"/>
        </w:rPr>
        <w:t xml:space="preserve"> </w:t>
      </w:r>
      <w:r w:rsidR="00BD37EA">
        <w:rPr>
          <w:rFonts w:eastAsia="Calibri"/>
          <w:szCs w:val="24"/>
        </w:rPr>
        <w:t xml:space="preserve">In </w:t>
      </w:r>
      <w:r w:rsidR="0090794F">
        <w:rPr>
          <w:rFonts w:eastAsia="Calibri"/>
          <w:szCs w:val="24"/>
        </w:rPr>
        <w:t xml:space="preserve">that </w:t>
      </w:r>
      <w:r w:rsidR="00E72038">
        <w:rPr>
          <w:rFonts w:eastAsia="Calibri"/>
          <w:szCs w:val="24"/>
        </w:rPr>
        <w:t>proceedin</w:t>
      </w:r>
      <w:r w:rsidR="00AA23DD">
        <w:rPr>
          <w:rFonts w:eastAsia="Calibri"/>
          <w:szCs w:val="24"/>
        </w:rPr>
        <w:t>g</w:t>
      </w:r>
      <w:r w:rsidR="00BD37EA">
        <w:rPr>
          <w:rFonts w:eastAsia="Calibri"/>
          <w:szCs w:val="24"/>
        </w:rPr>
        <w:t>, the PUCO Staff noted that</w:t>
      </w:r>
      <w:r w:rsidR="00843692">
        <w:rPr>
          <w:rFonts w:eastAsia="Calibri"/>
          <w:szCs w:val="24"/>
        </w:rPr>
        <w:t xml:space="preserve"> “the number of customers served and load in MWh for each CRES in each EDUs service territory should not be confidential because this type of information is not confidential in other industries.”</w:t>
      </w:r>
      <w:r w:rsidR="00843692">
        <w:rPr>
          <w:rStyle w:val="FootnoteReference"/>
          <w:rFonts w:eastAsia="Calibri"/>
          <w:szCs w:val="24"/>
        </w:rPr>
        <w:footnoteReference w:id="7"/>
      </w:r>
      <w:r w:rsidR="00843692">
        <w:rPr>
          <w:rFonts w:eastAsia="Calibri"/>
          <w:szCs w:val="24"/>
        </w:rPr>
        <w:t xml:space="preserve"> </w:t>
      </w:r>
      <w:r w:rsidR="00BD37EA">
        <w:rPr>
          <w:rFonts w:eastAsia="Calibri"/>
          <w:szCs w:val="24"/>
        </w:rPr>
        <w:t xml:space="preserve"> </w:t>
      </w:r>
      <w:r w:rsidR="00843692">
        <w:rPr>
          <w:rFonts w:eastAsia="Calibri"/>
          <w:szCs w:val="24"/>
        </w:rPr>
        <w:t xml:space="preserve">Furthermore, the PUCO Staff maintained that </w:t>
      </w:r>
      <w:r w:rsidR="003474F5">
        <w:rPr>
          <w:rFonts w:eastAsia="Calibri"/>
          <w:szCs w:val="24"/>
        </w:rPr>
        <w:t>designating information as “confidential, when it is often public knowledge in non-regulated markets, can create public mistrust.”</w:t>
      </w:r>
      <w:r w:rsidR="003474F5">
        <w:rPr>
          <w:rStyle w:val="FootnoteReference"/>
          <w:rFonts w:eastAsia="Calibri"/>
          <w:szCs w:val="24"/>
        </w:rPr>
        <w:footnoteReference w:id="8"/>
      </w:r>
      <w:r w:rsidR="003474F5">
        <w:rPr>
          <w:rFonts w:eastAsia="Calibri"/>
          <w:szCs w:val="24"/>
        </w:rPr>
        <w:t xml:space="preserve">  </w:t>
      </w:r>
      <w:r w:rsidR="00CC4D02" w:rsidRPr="00CC4D02">
        <w:rPr>
          <w:rFonts w:eastAsia="Calibri"/>
          <w:szCs w:val="24"/>
        </w:rPr>
        <w:t xml:space="preserve">OCC agrees.  </w:t>
      </w:r>
    </w:p>
    <w:p w:rsidR="006C463E" w:rsidRDefault="00B23CC9" w:rsidP="006C463E">
      <w:pPr>
        <w:pStyle w:val="BodyTextFirstIndent"/>
        <w:spacing w:line="480" w:lineRule="auto"/>
        <w:ind w:firstLine="720"/>
      </w:pPr>
      <w:r>
        <w:t>Additionally,</w:t>
      </w:r>
      <w:r w:rsidR="00843692">
        <w:t xml:space="preserve"> </w:t>
      </w:r>
      <w:r>
        <w:t>the Ohio General Assembly has determined that, except as provide</w:t>
      </w:r>
      <w:r w:rsidR="00C229E0">
        <w:t>d</w:t>
      </w:r>
      <w:r>
        <w:t xml:space="preserve"> in R.C. 149.43 and consistent with the purposes of Title 49, “all facts and information in the possession of the public utilities commission shall be public, and all reports, records, files, books, accounts, papers, and memorandums of every nature in its possession shall be open to inspection by interested parties or their attorneys.”</w:t>
      </w:r>
      <w:r>
        <w:rPr>
          <w:rStyle w:val="FootnoteReference"/>
        </w:rPr>
        <w:footnoteReference w:id="9"/>
      </w:r>
      <w:r w:rsidR="00C229E0">
        <w:t xml:space="preserve"> </w:t>
      </w:r>
      <w:r>
        <w:t xml:space="preserve">And information </w:t>
      </w:r>
      <w:r w:rsidR="006C463E" w:rsidRPr="00313283">
        <w:t xml:space="preserve">is “trade secret” and exempt </w:t>
      </w:r>
      <w:r w:rsidR="006C463E">
        <w:t>from</w:t>
      </w:r>
      <w:r w:rsidR="00C229E0">
        <w:t xml:space="preserve"> Ohio’s </w:t>
      </w:r>
      <w:r w:rsidR="006C463E" w:rsidRPr="00313283">
        <w:t>public records law</w:t>
      </w:r>
      <w:r>
        <w:rPr>
          <w:rStyle w:val="FootnoteReference"/>
        </w:rPr>
        <w:footnoteReference w:id="10"/>
      </w:r>
      <w:r>
        <w:t xml:space="preserve"> only </w:t>
      </w:r>
      <w:r w:rsidR="006C463E" w:rsidRPr="00313283">
        <w:t>if it “derives independent economic value, actual or potential, from not being generally known to, and not being readily ascertainable by proper means by, other persons who can obtain economic v</w:t>
      </w:r>
      <w:r w:rsidR="004E440E">
        <w:t>alue from its disclosure or use</w:t>
      </w:r>
      <w:r w:rsidR="006C463E" w:rsidRPr="00313283">
        <w:t>”</w:t>
      </w:r>
      <w:r w:rsidR="004E440E">
        <w:t xml:space="preserve"> and “is the subject of efforts that are reasonable under the circumstances to maintain its secrecy.”</w:t>
      </w:r>
      <w:r w:rsidR="006C463E" w:rsidRPr="00313283">
        <w:rPr>
          <w:rStyle w:val="FootnoteReference"/>
        </w:rPr>
        <w:footnoteReference w:id="11"/>
      </w:r>
      <w:r w:rsidR="006C463E" w:rsidRPr="00313283">
        <w:t xml:space="preserve">  </w:t>
      </w:r>
    </w:p>
    <w:p w:rsidR="006C463E" w:rsidRPr="0050096D" w:rsidRDefault="006C463E" w:rsidP="006C463E">
      <w:pPr>
        <w:pStyle w:val="BodyTextFirstIndent"/>
        <w:spacing w:line="480" w:lineRule="auto"/>
        <w:ind w:firstLine="720"/>
      </w:pPr>
      <w:r w:rsidRPr="00313283">
        <w:t>To assist in determining whether a trade secret claim meets the statutory definition as codified in R.C. 1333.61(D), the Ohio Supreme Court has adopted, and this Commission has recognized,</w:t>
      </w:r>
      <w:r w:rsidRPr="00313283">
        <w:rPr>
          <w:rStyle w:val="FootnoteReference"/>
        </w:rPr>
        <w:footnoteReference w:id="12"/>
      </w:r>
      <w:r w:rsidRPr="00313283">
        <w:t xml:space="preserve"> a six-factor test:</w:t>
      </w:r>
      <w:r w:rsidRPr="0050096D">
        <w:t xml:space="preserve"> </w:t>
      </w:r>
    </w:p>
    <w:p w:rsidR="006C463E" w:rsidRDefault="006C463E" w:rsidP="006C463E">
      <w:pPr>
        <w:ind w:left="1440" w:right="720"/>
      </w:pPr>
      <w:r w:rsidRPr="0050096D">
        <w:t xml:space="preserve">(1) the extent to which the information is known outside the business; (2) the extent to which it is known to those inside the business, </w:t>
      </w:r>
      <w:r w:rsidRPr="0050096D">
        <w:rPr>
          <w:i/>
        </w:rPr>
        <w:t>i.e</w:t>
      </w:r>
      <w:r w:rsidRPr="0050096D">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r>
        <w:t>.</w:t>
      </w:r>
      <w:r w:rsidRPr="0050096D">
        <w:rPr>
          <w:rStyle w:val="FootnoteReference"/>
        </w:rPr>
        <w:footnoteReference w:id="13"/>
      </w:r>
    </w:p>
    <w:p w:rsidR="006C463E" w:rsidRPr="0050096D" w:rsidRDefault="006C463E" w:rsidP="006C463E">
      <w:pPr>
        <w:ind w:left="1440" w:right="720"/>
      </w:pPr>
    </w:p>
    <w:p w:rsidR="006C463E" w:rsidRDefault="00C229E0" w:rsidP="00580727">
      <w:pPr>
        <w:spacing w:line="480" w:lineRule="auto"/>
      </w:pPr>
      <w:r>
        <w:t>And</w:t>
      </w:r>
      <w:r w:rsidR="006C463E">
        <w:t xml:space="preserve"> t</w:t>
      </w:r>
      <w:r w:rsidR="006C463E" w:rsidRPr="0050096D">
        <w:t xml:space="preserve">his Commission has held that the trade secret exception is a </w:t>
      </w:r>
      <w:r w:rsidR="006C463E" w:rsidRPr="0050096D">
        <w:rPr>
          <w:b/>
        </w:rPr>
        <w:t>very limited and narrow exception</w:t>
      </w:r>
      <w:r w:rsidR="006C463E" w:rsidRPr="0050096D">
        <w:t>.</w:t>
      </w:r>
      <w:r w:rsidR="006C463E" w:rsidRPr="0050096D">
        <w:rPr>
          <w:rStyle w:val="FootnoteReference"/>
        </w:rPr>
        <w:footnoteReference w:id="14"/>
      </w:r>
      <w:r>
        <w:t xml:space="preserve"> </w:t>
      </w:r>
      <w:r w:rsidR="004E440E">
        <w:t xml:space="preserve">And information that </w:t>
      </w:r>
      <w:r w:rsidR="00453B08">
        <w:t>“</w:t>
      </w:r>
      <w:r w:rsidR="004E440E">
        <w:t>is</w:t>
      </w:r>
      <w:r w:rsidR="00453B08">
        <w:t xml:space="preserve"> </w:t>
      </w:r>
      <w:r w:rsidR="004E440E">
        <w:rPr>
          <w:rFonts w:eastAsia="Calibri"/>
          <w:szCs w:val="24"/>
        </w:rPr>
        <w:t>often public knowledge”</w:t>
      </w:r>
      <w:r w:rsidR="004E440E">
        <w:rPr>
          <w:rStyle w:val="FootnoteReference"/>
          <w:rFonts w:eastAsia="Calibri"/>
          <w:szCs w:val="24"/>
        </w:rPr>
        <w:footnoteReference w:id="15"/>
      </w:r>
      <w:r w:rsidR="004E440E">
        <w:rPr>
          <w:rFonts w:eastAsia="Calibri"/>
          <w:szCs w:val="24"/>
        </w:rPr>
        <w:t xml:space="preserve"> </w:t>
      </w:r>
      <w:r w:rsidR="00453B08">
        <w:rPr>
          <w:rFonts w:eastAsia="Calibri"/>
          <w:szCs w:val="24"/>
        </w:rPr>
        <w:t>does not qualify as a trade secret under Ohio law.</w:t>
      </w:r>
      <w:r>
        <w:rPr>
          <w:rStyle w:val="FootnoteReference"/>
          <w:rFonts w:eastAsia="Calibri"/>
          <w:szCs w:val="24"/>
        </w:rPr>
        <w:footnoteReference w:id="16"/>
      </w:r>
      <w:r w:rsidR="004E440E">
        <w:rPr>
          <w:rFonts w:eastAsia="Calibri"/>
          <w:szCs w:val="24"/>
        </w:rPr>
        <w:t xml:space="preserve"> </w:t>
      </w:r>
    </w:p>
    <w:p w:rsidR="00CC4D02" w:rsidRPr="00CC4D02" w:rsidRDefault="00EE7A2C" w:rsidP="00CC4D02">
      <w:pPr>
        <w:spacing w:line="480" w:lineRule="auto"/>
        <w:ind w:firstLine="720"/>
        <w:rPr>
          <w:rFonts w:eastAsia="Calibri"/>
          <w:szCs w:val="24"/>
        </w:rPr>
      </w:pPr>
      <w:r>
        <w:rPr>
          <w:rFonts w:eastAsia="Calibri"/>
          <w:szCs w:val="24"/>
        </w:rPr>
        <w:t>Finally, this</w:t>
      </w:r>
      <w:r w:rsidR="00CC4D02" w:rsidRPr="00CC4D02">
        <w:rPr>
          <w:rFonts w:eastAsia="Calibri"/>
          <w:szCs w:val="24"/>
        </w:rPr>
        <w:t xml:space="preserve"> information </w:t>
      </w:r>
      <w:r>
        <w:rPr>
          <w:rFonts w:eastAsia="Calibri"/>
          <w:szCs w:val="24"/>
        </w:rPr>
        <w:t xml:space="preserve">(number of customers and load served) </w:t>
      </w:r>
      <w:r w:rsidR="00CC4D02" w:rsidRPr="00CC4D02">
        <w:rPr>
          <w:rFonts w:eastAsia="Calibri"/>
          <w:szCs w:val="24"/>
        </w:rPr>
        <w:t xml:space="preserve">may be helpful to customers in determining whether they want to choose an alternative supplier. It will assist customers in engaging in and being informed regarding choice for retail competition.  </w:t>
      </w:r>
    </w:p>
    <w:p w:rsidR="00CC4D02" w:rsidRPr="00CC4D02" w:rsidRDefault="00CC4D02" w:rsidP="00CC4D02">
      <w:pPr>
        <w:spacing w:line="480" w:lineRule="auto"/>
        <w:rPr>
          <w:rFonts w:eastAsia="Calibri"/>
          <w:szCs w:val="24"/>
        </w:rPr>
      </w:pPr>
      <w:r w:rsidRPr="00CC4D02">
        <w:rPr>
          <w:rFonts w:eastAsia="Calibri"/>
          <w:szCs w:val="24"/>
        </w:rPr>
        <w:tab/>
        <w:t xml:space="preserve">Thus, consistent with </w:t>
      </w:r>
      <w:r w:rsidR="00C661AE">
        <w:rPr>
          <w:rFonts w:eastAsia="Calibri"/>
          <w:szCs w:val="24"/>
        </w:rPr>
        <w:t xml:space="preserve">Ohio law and </w:t>
      </w:r>
      <w:r w:rsidRPr="00CC4D02">
        <w:rPr>
          <w:rFonts w:eastAsia="Calibri"/>
          <w:szCs w:val="24"/>
        </w:rPr>
        <w:t xml:space="preserve">the </w:t>
      </w:r>
      <w:r w:rsidR="005B1651">
        <w:rPr>
          <w:rFonts w:eastAsia="Calibri"/>
          <w:szCs w:val="24"/>
        </w:rPr>
        <w:t xml:space="preserve">PUCO </w:t>
      </w:r>
      <w:r w:rsidRPr="00CC4D02">
        <w:rPr>
          <w:rFonts w:eastAsia="Calibri"/>
          <w:szCs w:val="24"/>
        </w:rPr>
        <w:t>Staff</w:t>
      </w:r>
      <w:r w:rsidR="00C661AE">
        <w:rPr>
          <w:rFonts w:eastAsia="Calibri"/>
          <w:szCs w:val="24"/>
        </w:rPr>
        <w:t>’s</w:t>
      </w:r>
      <w:r w:rsidRPr="00CC4D02">
        <w:rPr>
          <w:rFonts w:eastAsia="Calibri"/>
          <w:szCs w:val="24"/>
        </w:rPr>
        <w:t xml:space="preserve"> recommendation in the retail competition </w:t>
      </w:r>
      <w:r w:rsidR="00C661AE">
        <w:rPr>
          <w:rFonts w:eastAsia="Calibri"/>
          <w:szCs w:val="24"/>
        </w:rPr>
        <w:t>proceeding</w:t>
      </w:r>
      <w:r w:rsidRPr="00CC4D02">
        <w:rPr>
          <w:rFonts w:eastAsia="Calibri"/>
          <w:szCs w:val="24"/>
        </w:rPr>
        <w:t xml:space="preserve">, the </w:t>
      </w:r>
      <w:r w:rsidR="005B1651">
        <w:rPr>
          <w:rFonts w:eastAsia="Calibri"/>
          <w:szCs w:val="24"/>
        </w:rPr>
        <w:t>PUCO</w:t>
      </w:r>
      <w:r w:rsidRPr="00CC4D02">
        <w:rPr>
          <w:rFonts w:eastAsia="Calibri"/>
          <w:szCs w:val="24"/>
        </w:rPr>
        <w:t xml:space="preserve"> should </w:t>
      </w:r>
      <w:r w:rsidR="00C661AE">
        <w:rPr>
          <w:rFonts w:eastAsia="Calibri"/>
          <w:szCs w:val="24"/>
        </w:rPr>
        <w:t xml:space="preserve">amend </w:t>
      </w:r>
      <w:r w:rsidRPr="00CC4D02">
        <w:rPr>
          <w:rFonts w:eastAsia="Calibri"/>
          <w:szCs w:val="24"/>
        </w:rPr>
        <w:t>Ohio Adm. Code 4901:1-25-02(A)(5)</w:t>
      </w:r>
      <w:r w:rsidR="0053039D">
        <w:rPr>
          <w:rFonts w:eastAsia="Calibri"/>
          <w:szCs w:val="24"/>
        </w:rPr>
        <w:t xml:space="preserve"> so that information filed pursuant to Ohio Adm. Code </w:t>
      </w:r>
      <w:r w:rsidR="0053039D" w:rsidRPr="00CC4D02">
        <w:rPr>
          <w:rFonts w:eastAsia="Calibri"/>
          <w:szCs w:val="24"/>
        </w:rPr>
        <w:t>4901:1-25-02</w:t>
      </w:r>
      <w:r w:rsidRPr="00CC4D02">
        <w:rPr>
          <w:rFonts w:eastAsia="Calibri"/>
          <w:szCs w:val="24"/>
        </w:rPr>
        <w:t xml:space="preserve">(A)(3) </w:t>
      </w:r>
      <w:r w:rsidR="0053039D">
        <w:rPr>
          <w:rFonts w:eastAsia="Calibri"/>
          <w:szCs w:val="24"/>
        </w:rPr>
        <w:t>is deemed to be pu</w:t>
      </w:r>
      <w:r w:rsidRPr="00CC4D02">
        <w:rPr>
          <w:rFonts w:eastAsia="Calibri"/>
          <w:szCs w:val="24"/>
        </w:rPr>
        <w:t>b</w:t>
      </w:r>
      <w:r w:rsidR="0053039D">
        <w:rPr>
          <w:rFonts w:eastAsia="Calibri"/>
          <w:szCs w:val="24"/>
        </w:rPr>
        <w:t xml:space="preserve">lic </w:t>
      </w:r>
      <w:r w:rsidRPr="00CC4D02">
        <w:rPr>
          <w:rFonts w:eastAsia="Calibri"/>
          <w:szCs w:val="24"/>
        </w:rPr>
        <w:t xml:space="preserve">information. The </w:t>
      </w:r>
      <w:r w:rsidR="0053039D">
        <w:rPr>
          <w:rFonts w:eastAsia="Calibri"/>
          <w:szCs w:val="24"/>
        </w:rPr>
        <w:t xml:space="preserve">necessary </w:t>
      </w:r>
      <w:r w:rsidRPr="00CC4D02">
        <w:rPr>
          <w:rFonts w:eastAsia="Calibri"/>
          <w:szCs w:val="24"/>
        </w:rPr>
        <w:t>change</w:t>
      </w:r>
      <w:r w:rsidR="0053039D">
        <w:rPr>
          <w:rFonts w:eastAsia="Calibri"/>
          <w:szCs w:val="24"/>
        </w:rPr>
        <w:t>s</w:t>
      </w:r>
      <w:r w:rsidRPr="00CC4D02">
        <w:rPr>
          <w:rFonts w:eastAsia="Calibri"/>
          <w:szCs w:val="24"/>
        </w:rPr>
        <w:t xml:space="preserve"> </w:t>
      </w:r>
      <w:r w:rsidR="0053039D">
        <w:rPr>
          <w:rFonts w:eastAsia="Calibri"/>
          <w:szCs w:val="24"/>
        </w:rPr>
        <w:t xml:space="preserve">are </w:t>
      </w:r>
      <w:r w:rsidRPr="00CC4D02">
        <w:rPr>
          <w:rFonts w:eastAsia="Calibri"/>
          <w:szCs w:val="24"/>
        </w:rPr>
        <w:t>as follows:</w:t>
      </w:r>
    </w:p>
    <w:p w:rsidR="00CC4D02" w:rsidRDefault="00CC4D02" w:rsidP="00CC4D02">
      <w:pPr>
        <w:ind w:left="2160" w:right="720" w:hanging="720"/>
        <w:rPr>
          <w:rFonts w:eastAsia="Calibri"/>
          <w:szCs w:val="24"/>
        </w:rPr>
      </w:pPr>
      <w:r w:rsidRPr="00CC4D02">
        <w:rPr>
          <w:rFonts w:eastAsia="Calibri"/>
          <w:szCs w:val="24"/>
        </w:rPr>
        <w:t xml:space="preserve">(5) </w:t>
      </w:r>
      <w:r w:rsidRPr="00CC4D02">
        <w:rPr>
          <w:rFonts w:eastAsia="Calibri"/>
          <w:szCs w:val="24"/>
        </w:rPr>
        <w:tab/>
        <w:t>The information contained in the reports provided to the commission and/or staff pursuant to paragraph (A) of this rule shall be treated in the following manner</w:t>
      </w:r>
      <w:r w:rsidR="00515A9F">
        <w:rPr>
          <w:rFonts w:eastAsia="Calibri"/>
          <w:szCs w:val="24"/>
        </w:rPr>
        <w:t>:</w:t>
      </w:r>
    </w:p>
    <w:p w:rsidR="007F252B" w:rsidRDefault="007F252B" w:rsidP="00CC4D02">
      <w:pPr>
        <w:ind w:left="2160" w:right="720" w:hanging="720"/>
        <w:rPr>
          <w:rFonts w:eastAsia="Calibri"/>
          <w:szCs w:val="24"/>
        </w:rPr>
      </w:pPr>
    </w:p>
    <w:p w:rsidR="00515A9F" w:rsidRDefault="00515A9F" w:rsidP="00580727">
      <w:pPr>
        <w:ind w:left="2880" w:hanging="720"/>
        <w:rPr>
          <w:rFonts w:eastAsia="Calibri"/>
          <w:szCs w:val="24"/>
        </w:rPr>
      </w:pPr>
      <w:r>
        <w:rPr>
          <w:rFonts w:eastAsia="Calibri"/>
          <w:szCs w:val="24"/>
        </w:rPr>
        <w:t xml:space="preserve">(a) </w:t>
      </w:r>
      <w:r>
        <w:rPr>
          <w:rFonts w:eastAsia="Calibri"/>
          <w:szCs w:val="24"/>
        </w:rPr>
        <w:tab/>
        <w:t>Any information filed pursuant to paragraphs (A)(1)</w:t>
      </w:r>
      <w:r w:rsidRPr="00580727">
        <w:rPr>
          <w:rFonts w:eastAsia="Calibri"/>
          <w:szCs w:val="24"/>
          <w:u w:val="single"/>
        </w:rPr>
        <w:t>,</w:t>
      </w:r>
      <w:r w:rsidRPr="00580727">
        <w:rPr>
          <w:rFonts w:eastAsia="Calibri"/>
          <w:strike/>
          <w:szCs w:val="24"/>
        </w:rPr>
        <w:t xml:space="preserve"> and</w:t>
      </w:r>
      <w:r>
        <w:rPr>
          <w:rFonts w:eastAsia="Calibri"/>
          <w:szCs w:val="24"/>
        </w:rPr>
        <w:t xml:space="preserve"> (A)(2) to (A)(2)(c)</w:t>
      </w:r>
      <w:r w:rsidRPr="00580727">
        <w:rPr>
          <w:rFonts w:eastAsia="Calibri"/>
          <w:szCs w:val="24"/>
          <w:u w:val="single"/>
        </w:rPr>
        <w:t xml:space="preserve">, and (A)(3) </w:t>
      </w:r>
      <w:r>
        <w:rPr>
          <w:rFonts w:eastAsia="Calibri"/>
          <w:szCs w:val="24"/>
        </w:rPr>
        <w:t>of this rule shall be deemed to be public information.</w:t>
      </w:r>
    </w:p>
    <w:p w:rsidR="00515A9F" w:rsidRPr="00CC4D02" w:rsidRDefault="00515A9F" w:rsidP="00580727">
      <w:pPr>
        <w:ind w:left="2880" w:hanging="720"/>
        <w:rPr>
          <w:rFonts w:eastAsia="Calibri"/>
          <w:szCs w:val="24"/>
        </w:rPr>
      </w:pPr>
    </w:p>
    <w:p w:rsidR="00CC4D02" w:rsidRPr="00CC4D02" w:rsidRDefault="00CC4D02" w:rsidP="00CC4D02">
      <w:pPr>
        <w:ind w:left="2880" w:right="720" w:hanging="720"/>
        <w:jc w:val="both"/>
        <w:rPr>
          <w:rFonts w:eastAsia="Calibri"/>
          <w:szCs w:val="24"/>
        </w:rPr>
      </w:pPr>
      <w:r w:rsidRPr="00CC4D02">
        <w:rPr>
          <w:rFonts w:eastAsia="Calibri"/>
          <w:szCs w:val="24"/>
        </w:rPr>
        <w:t>(b)</w:t>
      </w:r>
      <w:r>
        <w:rPr>
          <w:rFonts w:eastAsia="Calibri"/>
          <w:szCs w:val="24"/>
        </w:rPr>
        <w:t xml:space="preserve">  </w:t>
      </w:r>
      <w:r w:rsidRPr="00CC4D02">
        <w:rPr>
          <w:rFonts w:eastAsia="Calibri"/>
          <w:szCs w:val="24"/>
        </w:rPr>
        <w:t xml:space="preserve">Any information filed pursuant to paragraphs (A)(2)(d), </w:t>
      </w:r>
      <w:r w:rsidRPr="00CC4D02">
        <w:rPr>
          <w:rFonts w:eastAsia="Calibri"/>
          <w:strike/>
          <w:szCs w:val="24"/>
        </w:rPr>
        <w:t>(A)(3),</w:t>
      </w:r>
      <w:r w:rsidRPr="00CC4D02">
        <w:rPr>
          <w:rFonts w:eastAsia="Calibri"/>
          <w:szCs w:val="24"/>
        </w:rPr>
        <w:t xml:space="preserve"> and (A)(4) of this rule shall be deemed to be confidential information, unless and until the interconnection applicant or customer owner may make, or agree to make, such</w:t>
      </w:r>
      <w:r>
        <w:rPr>
          <w:rFonts w:eastAsia="Calibri"/>
          <w:szCs w:val="24"/>
        </w:rPr>
        <w:t xml:space="preserve"> </w:t>
      </w:r>
      <w:r w:rsidRPr="00CC4D02">
        <w:rPr>
          <w:rFonts w:eastAsia="Calibri"/>
          <w:szCs w:val="24"/>
        </w:rPr>
        <w:t xml:space="preserve"> information public.</w:t>
      </w:r>
    </w:p>
    <w:p w:rsidR="00CC4D02" w:rsidRPr="00CC4D02" w:rsidRDefault="00CC4D02" w:rsidP="00CC4D02">
      <w:pPr>
        <w:spacing w:line="480" w:lineRule="auto"/>
        <w:jc w:val="center"/>
        <w:rPr>
          <w:rFonts w:ascii="Calibri" w:eastAsia="Calibri" w:hAnsi="Calibri"/>
          <w:sz w:val="22"/>
          <w:szCs w:val="22"/>
        </w:rPr>
      </w:pPr>
    </w:p>
    <w:p w:rsidR="00CC4D02" w:rsidRPr="00CC4D02" w:rsidRDefault="00CC4D02" w:rsidP="007F252B">
      <w:pPr>
        <w:pStyle w:val="BodyTextIndent3"/>
        <w:widowControl w:val="0"/>
        <w:spacing w:line="480" w:lineRule="auto"/>
        <w:ind w:left="3600" w:right="-677"/>
        <w:rPr>
          <w:szCs w:val="24"/>
        </w:rPr>
      </w:pPr>
      <w:r w:rsidRPr="00CC4D02">
        <w:rPr>
          <w:szCs w:val="24"/>
        </w:rPr>
        <w:t>Respectfully submitted,</w:t>
      </w:r>
    </w:p>
    <w:p w:rsidR="00CC4D02" w:rsidRPr="00CC4D02" w:rsidRDefault="00CC4D02" w:rsidP="007F252B">
      <w:pPr>
        <w:tabs>
          <w:tab w:val="left" w:pos="4320"/>
        </w:tabs>
        <w:rPr>
          <w:szCs w:val="24"/>
        </w:rPr>
      </w:pPr>
      <w:r w:rsidRPr="00CC4D02">
        <w:rPr>
          <w:szCs w:val="24"/>
        </w:rPr>
        <w:tab/>
        <w:t>BRUCE J. WESTON</w:t>
      </w:r>
    </w:p>
    <w:p w:rsidR="00CC4D02" w:rsidRPr="00CC4D02" w:rsidRDefault="00CC4D02" w:rsidP="007F252B">
      <w:pPr>
        <w:tabs>
          <w:tab w:val="left" w:pos="4320"/>
        </w:tabs>
        <w:rPr>
          <w:szCs w:val="24"/>
        </w:rPr>
      </w:pPr>
      <w:r w:rsidRPr="00CC4D02">
        <w:rPr>
          <w:szCs w:val="24"/>
        </w:rPr>
        <w:tab/>
        <w:t>OHIO CONSUMERS’ COUNSEL</w:t>
      </w:r>
    </w:p>
    <w:p w:rsidR="00CC4D02" w:rsidRPr="00CC4D02" w:rsidRDefault="00CC4D02" w:rsidP="00CC4D02">
      <w:pPr>
        <w:tabs>
          <w:tab w:val="left" w:pos="4320"/>
        </w:tabs>
        <w:rPr>
          <w:szCs w:val="24"/>
        </w:rPr>
      </w:pPr>
      <w:r w:rsidRPr="00CC4D02">
        <w:rPr>
          <w:szCs w:val="24"/>
        </w:rPr>
        <w:tab/>
      </w:r>
    </w:p>
    <w:p w:rsidR="00CC4D02" w:rsidRPr="00CC4D02" w:rsidRDefault="00CC4D02" w:rsidP="00CC4D02">
      <w:pPr>
        <w:tabs>
          <w:tab w:val="left" w:pos="4320"/>
        </w:tabs>
        <w:rPr>
          <w:szCs w:val="24"/>
        </w:rPr>
      </w:pPr>
      <w:r w:rsidRPr="00CC4D02">
        <w:rPr>
          <w:szCs w:val="24"/>
        </w:rPr>
        <w:tab/>
      </w:r>
      <w:r w:rsidRPr="00CC4D02">
        <w:rPr>
          <w:i/>
          <w:szCs w:val="24"/>
          <w:u w:val="single"/>
        </w:rPr>
        <w:t>/s/ Maureen R. Grady</w:t>
      </w:r>
      <w:r w:rsidRPr="00CC4D02">
        <w:rPr>
          <w:szCs w:val="24"/>
        </w:rPr>
        <w:t>___________</w:t>
      </w:r>
    </w:p>
    <w:p w:rsidR="00CC4D02" w:rsidRDefault="00CC4D02" w:rsidP="00CC4D02">
      <w:pPr>
        <w:tabs>
          <w:tab w:val="left" w:pos="4320"/>
        </w:tabs>
        <w:rPr>
          <w:szCs w:val="24"/>
        </w:rPr>
      </w:pPr>
      <w:r w:rsidRPr="00CC4D02">
        <w:rPr>
          <w:szCs w:val="24"/>
        </w:rPr>
        <w:tab/>
        <w:t>Maureen R. Grady, Counsel of Record</w:t>
      </w:r>
      <w:r w:rsidR="00850505">
        <w:rPr>
          <w:szCs w:val="24"/>
        </w:rPr>
        <w:tab/>
      </w:r>
    </w:p>
    <w:p w:rsidR="00850505" w:rsidRPr="00CC4D02" w:rsidRDefault="00850505" w:rsidP="00CC4D02">
      <w:pPr>
        <w:tabs>
          <w:tab w:val="left" w:pos="4320"/>
        </w:tabs>
        <w:rPr>
          <w:szCs w:val="24"/>
        </w:rPr>
      </w:pPr>
      <w:r>
        <w:rPr>
          <w:szCs w:val="24"/>
        </w:rPr>
        <w:tab/>
        <w:t>Edmund “Tad” Berger</w:t>
      </w:r>
    </w:p>
    <w:p w:rsidR="00CC4D02" w:rsidRPr="00CC4D02" w:rsidRDefault="00CC4D02" w:rsidP="00CC4D02">
      <w:pPr>
        <w:tabs>
          <w:tab w:val="left" w:pos="4320"/>
        </w:tabs>
        <w:rPr>
          <w:szCs w:val="24"/>
        </w:rPr>
      </w:pPr>
      <w:r w:rsidRPr="00CC4D02">
        <w:rPr>
          <w:szCs w:val="24"/>
        </w:rPr>
        <w:tab/>
        <w:t>Assistant Consumers’ Counsel</w:t>
      </w:r>
    </w:p>
    <w:p w:rsidR="00CC4D02" w:rsidRPr="00CC4D02" w:rsidRDefault="00CC4D02" w:rsidP="00CC4D02">
      <w:pPr>
        <w:keepNext/>
        <w:ind w:left="3240" w:right="-648" w:firstLine="720"/>
        <w:outlineLvl w:val="0"/>
        <w:rPr>
          <w:b/>
          <w:szCs w:val="24"/>
        </w:rPr>
      </w:pPr>
      <w:r w:rsidRPr="00CC4D02">
        <w:rPr>
          <w:b/>
          <w:szCs w:val="24"/>
        </w:rPr>
        <w:tab/>
      </w:r>
    </w:p>
    <w:p w:rsidR="00CC4D02" w:rsidRPr="00CC4D02" w:rsidRDefault="00CC4D02" w:rsidP="00CC4D02">
      <w:pPr>
        <w:keepNext/>
        <w:ind w:left="3240" w:right="-648" w:firstLine="720"/>
        <w:outlineLvl w:val="0"/>
        <w:rPr>
          <w:b/>
          <w:szCs w:val="24"/>
        </w:rPr>
      </w:pPr>
      <w:r w:rsidRPr="00CC4D02">
        <w:rPr>
          <w:b/>
          <w:szCs w:val="24"/>
        </w:rPr>
        <w:tab/>
        <w:t>Office of the Ohio Consumers’ Counsel</w:t>
      </w:r>
    </w:p>
    <w:p w:rsidR="00CC4D02" w:rsidRPr="00CC4D02" w:rsidRDefault="00CC4D02" w:rsidP="00CC4D02">
      <w:pPr>
        <w:keepNext/>
        <w:ind w:left="3240" w:right="-648" w:firstLine="720"/>
        <w:outlineLvl w:val="0"/>
        <w:rPr>
          <w:szCs w:val="24"/>
        </w:rPr>
      </w:pPr>
      <w:r w:rsidRPr="00CC4D02">
        <w:rPr>
          <w:szCs w:val="24"/>
        </w:rPr>
        <w:tab/>
        <w:t>10 West Broad Street, Suite 1800</w:t>
      </w:r>
    </w:p>
    <w:p w:rsidR="00CC4D02" w:rsidRPr="00CC4D02" w:rsidRDefault="00CC4D02" w:rsidP="00CC4D02">
      <w:pPr>
        <w:keepNext/>
        <w:ind w:left="3240" w:right="-648" w:firstLine="720"/>
        <w:outlineLvl w:val="0"/>
        <w:rPr>
          <w:szCs w:val="24"/>
        </w:rPr>
      </w:pPr>
      <w:r w:rsidRPr="00CC4D02">
        <w:rPr>
          <w:szCs w:val="24"/>
        </w:rPr>
        <w:tab/>
        <w:t>Columbus, Ohio 43215-3485</w:t>
      </w:r>
    </w:p>
    <w:p w:rsidR="00CC4D02" w:rsidRPr="00CC4D02" w:rsidRDefault="00CC4D02" w:rsidP="00CC4D02">
      <w:pPr>
        <w:autoSpaceDE w:val="0"/>
        <w:autoSpaceDN w:val="0"/>
        <w:adjustRightInd w:val="0"/>
        <w:ind w:left="3600" w:firstLine="720"/>
        <w:rPr>
          <w:szCs w:val="24"/>
        </w:rPr>
      </w:pPr>
      <w:r w:rsidRPr="00CC4D02">
        <w:rPr>
          <w:szCs w:val="24"/>
        </w:rPr>
        <w:t>Telephone:  (Grady) (614) 466-9567</w:t>
      </w:r>
    </w:p>
    <w:p w:rsidR="00CC4D02" w:rsidRPr="00CC4D02" w:rsidRDefault="00CC4D02" w:rsidP="00CC4D02">
      <w:pPr>
        <w:rPr>
          <w:szCs w:val="24"/>
        </w:rPr>
      </w:pPr>
      <w:r w:rsidRPr="00CC4D02">
        <w:rPr>
          <w:szCs w:val="24"/>
        </w:rPr>
        <w:tab/>
      </w:r>
      <w:r w:rsidRPr="00CC4D02">
        <w:rPr>
          <w:szCs w:val="24"/>
        </w:rPr>
        <w:tab/>
      </w:r>
      <w:r w:rsidRPr="00CC4D02">
        <w:rPr>
          <w:szCs w:val="24"/>
        </w:rPr>
        <w:tab/>
      </w:r>
      <w:r w:rsidRPr="00CC4D02">
        <w:rPr>
          <w:szCs w:val="24"/>
        </w:rPr>
        <w:tab/>
      </w:r>
      <w:r w:rsidRPr="00CC4D02">
        <w:rPr>
          <w:szCs w:val="24"/>
        </w:rPr>
        <w:tab/>
      </w:r>
      <w:r w:rsidRPr="00CC4D02">
        <w:rPr>
          <w:szCs w:val="24"/>
        </w:rPr>
        <w:tab/>
        <w:t>Telephone: (Berger) (614) 466-1292</w:t>
      </w:r>
    </w:p>
    <w:p w:rsidR="00CC4D02" w:rsidRDefault="00FD5A24" w:rsidP="00CC4D02">
      <w:pPr>
        <w:ind w:left="3600" w:firstLine="720"/>
        <w:rPr>
          <w:color w:val="0000FF"/>
          <w:szCs w:val="24"/>
          <w:u w:val="single"/>
        </w:rPr>
      </w:pPr>
      <w:hyperlink r:id="rId14" w:history="1">
        <w:r w:rsidR="00CC4D02" w:rsidRPr="00CC4D02">
          <w:rPr>
            <w:color w:val="0000FF"/>
            <w:szCs w:val="24"/>
            <w:u w:val="single"/>
          </w:rPr>
          <w:t>maureen.grady@occ.ohio.gov</w:t>
        </w:r>
      </w:hyperlink>
    </w:p>
    <w:p w:rsidR="00850505" w:rsidRDefault="00850505" w:rsidP="00CC4D02">
      <w:pPr>
        <w:ind w:left="3600" w:firstLine="720"/>
        <w:rPr>
          <w:color w:val="0000FF"/>
          <w:szCs w:val="24"/>
          <w:u w:val="single"/>
        </w:rPr>
      </w:pPr>
      <w:r>
        <w:rPr>
          <w:color w:val="0000FF"/>
          <w:szCs w:val="24"/>
          <w:u w:val="single"/>
        </w:rPr>
        <w:t>Edmund.berger@occ.ohio.gov</w:t>
      </w:r>
    </w:p>
    <w:p w:rsidR="0053039D" w:rsidRPr="00CC4D02" w:rsidRDefault="0053039D" w:rsidP="00CC4D02">
      <w:pPr>
        <w:ind w:left="3600" w:firstLine="720"/>
        <w:rPr>
          <w:szCs w:val="24"/>
        </w:rPr>
      </w:pPr>
    </w:p>
    <w:p w:rsidR="00B45159" w:rsidRDefault="00B45159" w:rsidP="008F4B9B">
      <w:pPr>
        <w:rPr>
          <w:szCs w:val="24"/>
        </w:rPr>
      </w:pPr>
    </w:p>
    <w:p w:rsidR="008F4B9B" w:rsidRDefault="008F4B9B" w:rsidP="008F4B9B">
      <w:pPr>
        <w:rPr>
          <w:szCs w:val="24"/>
        </w:rPr>
      </w:pPr>
    </w:p>
    <w:p w:rsidR="000C2FD2" w:rsidRDefault="000C2FD2">
      <w:pPr>
        <w:jc w:val="center"/>
        <w:rPr>
          <w:b/>
          <w:bCs/>
          <w:u w:val="single"/>
        </w:rPr>
      </w:pPr>
      <w:r>
        <w:rPr>
          <w:szCs w:val="24"/>
        </w:rPr>
        <w:br w:type="page"/>
      </w:r>
      <w:r>
        <w:rPr>
          <w:b/>
          <w:bCs/>
          <w:u w:val="single"/>
        </w:rPr>
        <w:t>CERTIFICATE OF SERVICE</w:t>
      </w:r>
    </w:p>
    <w:p w:rsidR="000C2FD2" w:rsidRDefault="000C2FD2">
      <w:pPr>
        <w:spacing w:line="480" w:lineRule="atLeast"/>
      </w:pPr>
      <w:r>
        <w:tab/>
        <w:t xml:space="preserve">I hereby certify that a copy of </w:t>
      </w:r>
      <w:r w:rsidR="005D50C5">
        <w:t xml:space="preserve">these </w:t>
      </w:r>
      <w:r w:rsidR="005D50C5">
        <w:rPr>
          <w:i/>
        </w:rPr>
        <w:t>Comments</w:t>
      </w:r>
      <w:r>
        <w:t xml:space="preserve"> was served on the persons stated below via electronic transmission, this </w:t>
      </w:r>
      <w:r w:rsidR="00AC237A">
        <w:t>2</w:t>
      </w:r>
      <w:r w:rsidR="00CC4D02">
        <w:t>6</w:t>
      </w:r>
      <w:r w:rsidR="00D33597" w:rsidRPr="00D33597">
        <w:rPr>
          <w:vertAlign w:val="superscript"/>
        </w:rPr>
        <w:t>th</w:t>
      </w:r>
      <w:r w:rsidR="00D33597">
        <w:t xml:space="preserve"> </w:t>
      </w:r>
      <w:r>
        <w:t xml:space="preserve">day of </w:t>
      </w:r>
      <w:r w:rsidR="00AC237A">
        <w:t>February</w:t>
      </w:r>
      <w:r w:rsidR="00D33597">
        <w:t xml:space="preserve">, </w:t>
      </w:r>
      <w:r>
        <w:t>201</w:t>
      </w:r>
      <w:r w:rsidR="00AC237A">
        <w:t>4</w:t>
      </w:r>
      <w:r>
        <w:t>.</w:t>
      </w:r>
    </w:p>
    <w:p w:rsidR="000C2FD2" w:rsidRDefault="000C2FD2">
      <w:pPr>
        <w:spacing w:line="480" w:lineRule="atLeast"/>
      </w:pPr>
    </w:p>
    <w:p w:rsidR="000C2FD2" w:rsidRDefault="000C2FD2">
      <w:pPr>
        <w:tabs>
          <w:tab w:val="left" w:pos="4320"/>
        </w:tabs>
        <w:rPr>
          <w:i/>
          <w:u w:val="single"/>
        </w:rPr>
      </w:pPr>
      <w:r>
        <w:tab/>
      </w:r>
      <w:r w:rsidR="008F4B9B">
        <w:rPr>
          <w:i/>
          <w:u w:val="single"/>
        </w:rPr>
        <w:t xml:space="preserve">/s/ </w:t>
      </w:r>
      <w:r w:rsidR="00CC4D02">
        <w:rPr>
          <w:i/>
          <w:u w:val="single"/>
        </w:rPr>
        <w:t>Maureen R. Grady</w:t>
      </w:r>
      <w:r>
        <w:rPr>
          <w:i/>
          <w:u w:val="single"/>
        </w:rPr>
        <w:tab/>
      </w:r>
      <w:r>
        <w:rPr>
          <w:i/>
          <w:u w:val="single"/>
        </w:rPr>
        <w:tab/>
      </w:r>
    </w:p>
    <w:p w:rsidR="000C2FD2" w:rsidRDefault="000C2FD2">
      <w:pPr>
        <w:tabs>
          <w:tab w:val="left" w:pos="4320"/>
        </w:tabs>
      </w:pPr>
      <w:r>
        <w:tab/>
      </w:r>
      <w:r w:rsidR="00CC4D02">
        <w:t>Maureen R. Grady</w:t>
      </w:r>
    </w:p>
    <w:p w:rsidR="000C2FD2" w:rsidRDefault="000C2FD2">
      <w:pPr>
        <w:tabs>
          <w:tab w:val="left" w:pos="4320"/>
        </w:tabs>
      </w:pPr>
      <w:r>
        <w:tab/>
        <w:t>Assistant Consumers’ Counsel</w:t>
      </w:r>
    </w:p>
    <w:p w:rsidR="000C2FD2" w:rsidRDefault="000C2FD2">
      <w:pPr>
        <w:pStyle w:val="CommentSubject"/>
      </w:pPr>
    </w:p>
    <w:p w:rsidR="000C2FD2" w:rsidRDefault="000C2FD2">
      <w:pPr>
        <w:pStyle w:val="CommentText"/>
      </w:pPr>
    </w:p>
    <w:p w:rsidR="000C2FD2" w:rsidRDefault="000C2FD2">
      <w:pPr>
        <w:pStyle w:val="CommentText"/>
        <w:jc w:val="center"/>
        <w:rPr>
          <w:b/>
          <w:u w:val="single"/>
        </w:rPr>
      </w:pPr>
      <w:r>
        <w:rPr>
          <w:b/>
          <w:u w:val="single"/>
        </w:rPr>
        <w:t>SERVICE LIST</w:t>
      </w:r>
    </w:p>
    <w:p w:rsidR="000C2FD2" w:rsidRDefault="000C2FD2">
      <w:pPr>
        <w:pStyle w:val="BodyText"/>
        <w:rPr>
          <w:b/>
          <w:bCs/>
        </w:rPr>
      </w:pPr>
    </w:p>
    <w:tbl>
      <w:tblPr>
        <w:tblW w:w="0" w:type="auto"/>
        <w:tblLook w:val="01E0" w:firstRow="1" w:lastRow="1" w:firstColumn="1" w:lastColumn="1" w:noHBand="0" w:noVBand="0"/>
      </w:tblPr>
      <w:tblGrid>
        <w:gridCol w:w="4428"/>
        <w:gridCol w:w="4428"/>
      </w:tblGrid>
      <w:tr w:rsidR="000C2FD2" w:rsidRPr="006A2D56">
        <w:tc>
          <w:tcPr>
            <w:tcW w:w="4428" w:type="dxa"/>
            <w:shd w:val="clear" w:color="auto" w:fill="auto"/>
          </w:tcPr>
          <w:p w:rsidR="000C2FD2" w:rsidRPr="006A2D56" w:rsidRDefault="00B45159" w:rsidP="002C5095">
            <w:pPr>
              <w:autoSpaceDE w:val="0"/>
              <w:autoSpaceDN w:val="0"/>
              <w:adjustRightInd w:val="0"/>
              <w:rPr>
                <w:bCs/>
                <w:szCs w:val="24"/>
              </w:rPr>
            </w:pPr>
            <w:r w:rsidRPr="006A2D56">
              <w:rPr>
                <w:bCs/>
                <w:szCs w:val="24"/>
              </w:rPr>
              <w:t>Werner Margard</w:t>
            </w:r>
          </w:p>
          <w:p w:rsidR="00B45159" w:rsidRPr="006A2D56" w:rsidRDefault="00B45159" w:rsidP="002C5095">
            <w:pPr>
              <w:autoSpaceDE w:val="0"/>
              <w:autoSpaceDN w:val="0"/>
              <w:adjustRightInd w:val="0"/>
              <w:rPr>
                <w:bCs/>
                <w:szCs w:val="24"/>
              </w:rPr>
            </w:pPr>
            <w:r w:rsidRPr="006A2D56">
              <w:rPr>
                <w:bCs/>
                <w:szCs w:val="24"/>
              </w:rPr>
              <w:t>Steven Beeler</w:t>
            </w:r>
          </w:p>
          <w:p w:rsidR="00B45159" w:rsidRPr="006A2D56" w:rsidRDefault="00B45159" w:rsidP="002C5095">
            <w:pPr>
              <w:autoSpaceDE w:val="0"/>
              <w:autoSpaceDN w:val="0"/>
              <w:adjustRightInd w:val="0"/>
              <w:rPr>
                <w:bCs/>
                <w:szCs w:val="24"/>
              </w:rPr>
            </w:pPr>
            <w:r w:rsidRPr="006A2D56">
              <w:rPr>
                <w:bCs/>
                <w:szCs w:val="24"/>
              </w:rPr>
              <w:t>Public Utilities Commission of Ohio</w:t>
            </w:r>
          </w:p>
          <w:p w:rsidR="00B45159" w:rsidRPr="006A2D56" w:rsidRDefault="00B45159" w:rsidP="002C5095">
            <w:pPr>
              <w:autoSpaceDE w:val="0"/>
              <w:autoSpaceDN w:val="0"/>
              <w:adjustRightInd w:val="0"/>
              <w:rPr>
                <w:bCs/>
                <w:szCs w:val="24"/>
              </w:rPr>
            </w:pPr>
            <w:r w:rsidRPr="006A2D56">
              <w:rPr>
                <w:bCs/>
                <w:szCs w:val="24"/>
              </w:rPr>
              <w:t>180 E. Broad St., 6</w:t>
            </w:r>
            <w:r w:rsidRPr="006A2D56">
              <w:rPr>
                <w:bCs/>
                <w:szCs w:val="24"/>
                <w:vertAlign w:val="superscript"/>
              </w:rPr>
              <w:t>th</w:t>
            </w:r>
            <w:r w:rsidRPr="006A2D56">
              <w:rPr>
                <w:bCs/>
                <w:szCs w:val="24"/>
              </w:rPr>
              <w:t xml:space="preserve"> Fl.</w:t>
            </w:r>
          </w:p>
          <w:p w:rsidR="00B45159" w:rsidRPr="006A2D56" w:rsidRDefault="00B45159" w:rsidP="002C5095">
            <w:pPr>
              <w:autoSpaceDE w:val="0"/>
              <w:autoSpaceDN w:val="0"/>
              <w:adjustRightInd w:val="0"/>
              <w:rPr>
                <w:bCs/>
                <w:szCs w:val="24"/>
              </w:rPr>
            </w:pPr>
            <w:r w:rsidRPr="006A2D56">
              <w:rPr>
                <w:bCs/>
                <w:szCs w:val="24"/>
              </w:rPr>
              <w:t>Columbus, OH 43215</w:t>
            </w:r>
          </w:p>
          <w:p w:rsidR="00B45159" w:rsidRPr="006A2D56" w:rsidRDefault="00FD5A24" w:rsidP="002C5095">
            <w:pPr>
              <w:autoSpaceDE w:val="0"/>
              <w:autoSpaceDN w:val="0"/>
              <w:adjustRightInd w:val="0"/>
              <w:rPr>
                <w:bCs/>
                <w:szCs w:val="24"/>
              </w:rPr>
            </w:pPr>
            <w:hyperlink r:id="rId15" w:history="1">
              <w:r w:rsidR="009A42E5" w:rsidRPr="006A2D56">
                <w:rPr>
                  <w:rStyle w:val="Hyperlink"/>
                  <w:bCs/>
                  <w:szCs w:val="24"/>
                </w:rPr>
                <w:t>Werner.margard@puc.state.oh.us</w:t>
              </w:r>
            </w:hyperlink>
          </w:p>
          <w:p w:rsidR="00B45159" w:rsidRPr="006A2D56" w:rsidRDefault="00FD5A24" w:rsidP="002C5095">
            <w:pPr>
              <w:autoSpaceDE w:val="0"/>
              <w:autoSpaceDN w:val="0"/>
              <w:adjustRightInd w:val="0"/>
              <w:rPr>
                <w:bCs/>
                <w:szCs w:val="24"/>
              </w:rPr>
            </w:pPr>
            <w:hyperlink r:id="rId16" w:history="1">
              <w:r w:rsidR="002430BB" w:rsidRPr="006A2D56">
                <w:rPr>
                  <w:rStyle w:val="Hyperlink"/>
                  <w:bCs/>
                  <w:szCs w:val="24"/>
                </w:rPr>
                <w:t>Steven.beeler@puc.state.oh.us</w:t>
              </w:r>
            </w:hyperlink>
          </w:p>
          <w:p w:rsidR="002430BB" w:rsidRPr="006A2D56" w:rsidRDefault="002430BB" w:rsidP="002C5095">
            <w:pPr>
              <w:autoSpaceDE w:val="0"/>
              <w:autoSpaceDN w:val="0"/>
              <w:adjustRightInd w:val="0"/>
              <w:rPr>
                <w:bCs/>
                <w:szCs w:val="24"/>
              </w:rPr>
            </w:pPr>
          </w:p>
          <w:p w:rsidR="007F252B" w:rsidRDefault="007F252B" w:rsidP="002C5095">
            <w:pPr>
              <w:autoSpaceDE w:val="0"/>
              <w:autoSpaceDN w:val="0"/>
              <w:adjustRightInd w:val="0"/>
              <w:rPr>
                <w:bCs/>
                <w:szCs w:val="24"/>
              </w:rPr>
            </w:pPr>
          </w:p>
          <w:p w:rsidR="007F252B" w:rsidRDefault="007F252B" w:rsidP="002C5095">
            <w:pPr>
              <w:autoSpaceDE w:val="0"/>
              <w:autoSpaceDN w:val="0"/>
              <w:adjustRightInd w:val="0"/>
              <w:rPr>
                <w:bCs/>
                <w:szCs w:val="24"/>
              </w:rPr>
            </w:pPr>
          </w:p>
          <w:p w:rsidR="00CC4D02" w:rsidRDefault="002430BB" w:rsidP="002C5095">
            <w:pPr>
              <w:autoSpaceDE w:val="0"/>
              <w:autoSpaceDN w:val="0"/>
              <w:adjustRightInd w:val="0"/>
              <w:rPr>
                <w:bCs/>
                <w:szCs w:val="24"/>
              </w:rPr>
            </w:pPr>
            <w:r w:rsidRPr="006A2D56">
              <w:rPr>
                <w:bCs/>
                <w:szCs w:val="24"/>
              </w:rPr>
              <w:t xml:space="preserve">AE:  </w:t>
            </w:r>
            <w:hyperlink r:id="rId17" w:history="1">
              <w:r w:rsidR="00CC4D02" w:rsidRPr="00AC294F">
                <w:rPr>
                  <w:rStyle w:val="Hyperlink"/>
                  <w:bCs/>
                  <w:szCs w:val="24"/>
                </w:rPr>
                <w:t>lynn.james@puc.state.oh.us</w:t>
              </w:r>
            </w:hyperlink>
          </w:p>
          <w:p w:rsidR="00CC4D02" w:rsidRDefault="00CC4D02" w:rsidP="002C5095">
            <w:pPr>
              <w:autoSpaceDE w:val="0"/>
              <w:autoSpaceDN w:val="0"/>
              <w:adjustRightInd w:val="0"/>
              <w:rPr>
                <w:bCs/>
                <w:szCs w:val="24"/>
              </w:rPr>
            </w:pPr>
            <w:r>
              <w:rPr>
                <w:bCs/>
                <w:szCs w:val="24"/>
              </w:rPr>
              <w:t xml:space="preserve">        </w:t>
            </w:r>
            <w:hyperlink r:id="rId18" w:history="1">
              <w:r w:rsidRPr="00AC294F">
                <w:rPr>
                  <w:rStyle w:val="Hyperlink"/>
                  <w:bCs/>
                  <w:szCs w:val="24"/>
                </w:rPr>
                <w:t>Bryce.mckenney@puc.state.oh.us</w:t>
              </w:r>
            </w:hyperlink>
          </w:p>
          <w:p w:rsidR="002430BB" w:rsidRPr="006A2D56" w:rsidRDefault="006A2D56" w:rsidP="00CC4D02">
            <w:pPr>
              <w:autoSpaceDE w:val="0"/>
              <w:autoSpaceDN w:val="0"/>
              <w:adjustRightInd w:val="0"/>
              <w:rPr>
                <w:bCs/>
                <w:szCs w:val="24"/>
              </w:rPr>
            </w:pPr>
            <w:r w:rsidRPr="006A2D56">
              <w:rPr>
                <w:rStyle w:val="Hyperlink"/>
                <w:bCs/>
                <w:szCs w:val="24"/>
                <w:u w:val="none"/>
              </w:rPr>
              <w:t xml:space="preserve">     </w:t>
            </w:r>
          </w:p>
        </w:tc>
        <w:tc>
          <w:tcPr>
            <w:tcW w:w="4428" w:type="dxa"/>
            <w:shd w:val="clear" w:color="auto" w:fill="auto"/>
          </w:tcPr>
          <w:p w:rsidR="007F252B" w:rsidRDefault="007F252B" w:rsidP="007F252B">
            <w:pPr>
              <w:autoSpaceDE w:val="0"/>
              <w:autoSpaceDN w:val="0"/>
              <w:adjustRightInd w:val="0"/>
              <w:rPr>
                <w:szCs w:val="24"/>
              </w:rPr>
            </w:pPr>
            <w:r>
              <w:rPr>
                <w:szCs w:val="24"/>
              </w:rPr>
              <w:t>Steven T. Nourse</w:t>
            </w:r>
          </w:p>
          <w:p w:rsidR="007F252B" w:rsidRDefault="007F252B" w:rsidP="007F252B">
            <w:pPr>
              <w:autoSpaceDE w:val="0"/>
              <w:autoSpaceDN w:val="0"/>
              <w:adjustRightInd w:val="0"/>
              <w:rPr>
                <w:szCs w:val="24"/>
              </w:rPr>
            </w:pPr>
            <w:r>
              <w:rPr>
                <w:szCs w:val="24"/>
              </w:rPr>
              <w:t>Matthew J. Satterwhite</w:t>
            </w:r>
          </w:p>
          <w:p w:rsidR="007F252B" w:rsidRDefault="007F252B" w:rsidP="007F252B">
            <w:pPr>
              <w:autoSpaceDE w:val="0"/>
              <w:autoSpaceDN w:val="0"/>
              <w:adjustRightInd w:val="0"/>
              <w:rPr>
                <w:szCs w:val="24"/>
              </w:rPr>
            </w:pPr>
            <w:r>
              <w:rPr>
                <w:szCs w:val="24"/>
              </w:rPr>
              <w:t>American Electric Power Corporation</w:t>
            </w:r>
          </w:p>
          <w:p w:rsidR="007F252B" w:rsidRDefault="007F252B" w:rsidP="007F252B">
            <w:pPr>
              <w:autoSpaceDE w:val="0"/>
              <w:autoSpaceDN w:val="0"/>
              <w:adjustRightInd w:val="0"/>
              <w:rPr>
                <w:szCs w:val="24"/>
              </w:rPr>
            </w:pPr>
            <w:r>
              <w:rPr>
                <w:szCs w:val="24"/>
              </w:rPr>
              <w:t>1 Riverside Plaza, 29</w:t>
            </w:r>
            <w:r>
              <w:rPr>
                <w:sz w:val="16"/>
                <w:szCs w:val="16"/>
              </w:rPr>
              <w:t xml:space="preserve">th </w:t>
            </w:r>
            <w:r>
              <w:rPr>
                <w:szCs w:val="24"/>
              </w:rPr>
              <w:t>Floor</w:t>
            </w:r>
          </w:p>
          <w:p w:rsidR="007F252B" w:rsidRDefault="007F252B" w:rsidP="007F252B">
            <w:pPr>
              <w:autoSpaceDE w:val="0"/>
              <w:autoSpaceDN w:val="0"/>
              <w:adjustRightInd w:val="0"/>
              <w:rPr>
                <w:szCs w:val="24"/>
              </w:rPr>
            </w:pPr>
            <w:r>
              <w:rPr>
                <w:szCs w:val="24"/>
              </w:rPr>
              <w:t>Columbus, OH 43215</w:t>
            </w:r>
          </w:p>
          <w:p w:rsidR="007F252B" w:rsidRDefault="00FD5A24" w:rsidP="007F252B">
            <w:pPr>
              <w:autoSpaceDE w:val="0"/>
              <w:autoSpaceDN w:val="0"/>
              <w:adjustRightInd w:val="0"/>
              <w:rPr>
                <w:szCs w:val="24"/>
              </w:rPr>
            </w:pPr>
            <w:hyperlink r:id="rId19" w:history="1">
              <w:r w:rsidR="007F252B" w:rsidRPr="005F3B9B">
                <w:rPr>
                  <w:rStyle w:val="Hyperlink"/>
                  <w:szCs w:val="24"/>
                </w:rPr>
                <w:t>stnourse@aep.com</w:t>
              </w:r>
            </w:hyperlink>
          </w:p>
          <w:p w:rsidR="006A2D56" w:rsidRDefault="00FD5A24" w:rsidP="007F252B">
            <w:pPr>
              <w:autoSpaceDE w:val="0"/>
              <w:autoSpaceDN w:val="0"/>
              <w:adjustRightInd w:val="0"/>
              <w:rPr>
                <w:szCs w:val="24"/>
              </w:rPr>
            </w:pPr>
            <w:hyperlink r:id="rId20" w:history="1">
              <w:r w:rsidR="007F252B" w:rsidRPr="005F3B9B">
                <w:rPr>
                  <w:rStyle w:val="Hyperlink"/>
                  <w:szCs w:val="24"/>
                </w:rPr>
                <w:t>mjsatterwhite@aep.com</w:t>
              </w:r>
            </w:hyperlink>
          </w:p>
          <w:p w:rsidR="007F252B" w:rsidRPr="006A2D56" w:rsidRDefault="007F252B" w:rsidP="007F252B">
            <w:pPr>
              <w:autoSpaceDE w:val="0"/>
              <w:autoSpaceDN w:val="0"/>
              <w:adjustRightInd w:val="0"/>
              <w:rPr>
                <w:bCs/>
                <w:szCs w:val="24"/>
              </w:rPr>
            </w:pPr>
          </w:p>
        </w:tc>
      </w:tr>
    </w:tbl>
    <w:p w:rsidR="008C2387" w:rsidRPr="006A2D56" w:rsidRDefault="008C2387">
      <w:pPr>
        <w:pStyle w:val="BodyText"/>
        <w:rPr>
          <w:bCs/>
          <w:szCs w:val="24"/>
        </w:rPr>
      </w:pPr>
    </w:p>
    <w:sectPr w:rsidR="008C2387" w:rsidRPr="006A2D56" w:rsidSect="007F252B">
      <w:footerReference w:type="first" r:id="rId21"/>
      <w:pgSz w:w="12240" w:h="15840"/>
      <w:pgMar w:top="1440" w:right="1800" w:bottom="1440" w:left="1800" w:header="720" w:footer="720" w:gutter="0"/>
      <w:pgNumType w:start="2"/>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73" w:rsidRDefault="00094873">
      <w:r>
        <w:separator/>
      </w:r>
    </w:p>
  </w:endnote>
  <w:endnote w:type="continuationSeparator" w:id="0">
    <w:p w:rsidR="00094873" w:rsidRDefault="000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0C" w:rsidRDefault="00F07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B" w:rsidRDefault="007F252B">
    <w:pPr>
      <w:pStyle w:val="Footer"/>
      <w:jc w:val="center"/>
    </w:pPr>
    <w:r>
      <w:fldChar w:fldCharType="begin"/>
    </w:r>
    <w:r>
      <w:instrText xml:space="preserve"> PAGE   \* MERGEFORMAT </w:instrText>
    </w:r>
    <w:r>
      <w:fldChar w:fldCharType="separate"/>
    </w:r>
    <w:r w:rsidR="0069147F">
      <w:rPr>
        <w:noProof/>
      </w:rPr>
      <w:t>5</w:t>
    </w:r>
    <w:r>
      <w:rPr>
        <w:noProof/>
      </w:rPr>
      <w:fldChar w:fldCharType="end"/>
    </w:r>
  </w:p>
  <w:p w:rsidR="007F252B" w:rsidRDefault="007F2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0C" w:rsidRDefault="00F07B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B" w:rsidRDefault="007F252B">
    <w:pPr>
      <w:pStyle w:val="Footer"/>
      <w:jc w:val="center"/>
    </w:pPr>
    <w:r>
      <w:fldChar w:fldCharType="begin"/>
    </w:r>
    <w:r>
      <w:instrText xml:space="preserve"> PAGE   \* MERGEFORMAT </w:instrText>
    </w:r>
    <w:r>
      <w:fldChar w:fldCharType="separate"/>
    </w:r>
    <w:r w:rsidR="0069147F">
      <w:rPr>
        <w:noProof/>
      </w:rPr>
      <w:t>2</w:t>
    </w:r>
    <w:r>
      <w:rPr>
        <w:noProof/>
      </w:rPr>
      <w:fldChar w:fldCharType="end"/>
    </w:r>
  </w:p>
  <w:p w:rsidR="007F252B" w:rsidRDefault="007F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73" w:rsidRDefault="00094873">
      <w:r>
        <w:separator/>
      </w:r>
    </w:p>
  </w:footnote>
  <w:footnote w:type="continuationSeparator" w:id="0">
    <w:p w:rsidR="00094873" w:rsidRDefault="00094873">
      <w:r>
        <w:continuationSeparator/>
      </w:r>
    </w:p>
  </w:footnote>
  <w:footnote w:id="1">
    <w:p w:rsidR="0090794F" w:rsidRDefault="0090794F" w:rsidP="00403A2D">
      <w:pPr>
        <w:pStyle w:val="FootnoteText"/>
        <w:spacing w:after="120"/>
      </w:pPr>
      <w:r>
        <w:rPr>
          <w:rStyle w:val="FootnoteReference"/>
        </w:rPr>
        <w:footnoteRef/>
      </w:r>
      <w:r>
        <w:t xml:space="preserve"> Ohio Adm. Code 4901:1-25.</w:t>
      </w:r>
    </w:p>
  </w:footnote>
  <w:footnote w:id="2">
    <w:p w:rsidR="0090794F" w:rsidRDefault="0090794F" w:rsidP="00403A2D">
      <w:pPr>
        <w:pStyle w:val="FootnoteText"/>
        <w:spacing w:after="120"/>
      </w:pPr>
      <w:r>
        <w:rPr>
          <w:rStyle w:val="FootnoteReference"/>
        </w:rPr>
        <w:footnoteRef/>
      </w:r>
      <w:r>
        <w:t xml:space="preserve"> Entry (January 19, 2014) at page 3.</w:t>
      </w:r>
    </w:p>
  </w:footnote>
  <w:footnote w:id="3">
    <w:p w:rsidR="0090794F" w:rsidRDefault="0090794F" w:rsidP="00403A2D">
      <w:pPr>
        <w:pStyle w:val="FootnoteText"/>
        <w:spacing w:after="120"/>
      </w:pPr>
      <w:r>
        <w:rPr>
          <w:rStyle w:val="FootnoteReference"/>
        </w:rPr>
        <w:footnoteRef/>
      </w:r>
      <w:r>
        <w:t xml:space="preserve"> Ohio Adm. Code 4901:1-25.</w:t>
      </w:r>
    </w:p>
  </w:footnote>
  <w:footnote w:id="4">
    <w:p w:rsidR="0090794F" w:rsidRDefault="0090794F" w:rsidP="00403A2D">
      <w:pPr>
        <w:pStyle w:val="FootnoteText"/>
        <w:spacing w:after="120"/>
      </w:pPr>
      <w:r>
        <w:rPr>
          <w:rStyle w:val="FootnoteReference"/>
        </w:rPr>
        <w:footnoteRef/>
      </w:r>
      <w:r>
        <w:t xml:space="preserve"> Ohio Adm. Code 4901:1-25.</w:t>
      </w:r>
    </w:p>
  </w:footnote>
  <w:footnote w:id="5">
    <w:p w:rsidR="0078057D" w:rsidRDefault="0078057D" w:rsidP="00403A2D">
      <w:pPr>
        <w:pStyle w:val="FootnoteText"/>
        <w:spacing w:after="120"/>
      </w:pPr>
      <w:r>
        <w:rPr>
          <w:rStyle w:val="FootnoteReference"/>
        </w:rPr>
        <w:footnoteRef/>
      </w:r>
      <w:r>
        <w:t xml:space="preserve"> Ohio Adm. Code 4901:1-25-02(A)(5)(b).</w:t>
      </w:r>
    </w:p>
  </w:footnote>
  <w:footnote w:id="6">
    <w:p w:rsidR="0078057D" w:rsidRDefault="0078057D" w:rsidP="00403A2D">
      <w:pPr>
        <w:pStyle w:val="FootnoteText"/>
        <w:spacing w:after="120"/>
      </w:pPr>
      <w:r>
        <w:rPr>
          <w:rStyle w:val="FootnoteReference"/>
        </w:rPr>
        <w:footnoteRef/>
      </w:r>
      <w:r>
        <w:t xml:space="preserve"> </w:t>
      </w:r>
      <w:r w:rsidRPr="00CE0DF5">
        <w:rPr>
          <w:i/>
        </w:rPr>
        <w:t>In the Matter of the Commission’s Investigation of Ohio’s Retail Electric Service</w:t>
      </w:r>
      <w:r>
        <w:t>, Case No. 12-3151-EL-</w:t>
      </w:r>
      <w:r w:rsidR="00453B08">
        <w:t>COI,</w:t>
      </w:r>
      <w:r w:rsidR="00AC5C0D">
        <w:t xml:space="preserve"> </w:t>
      </w:r>
      <w:r>
        <w:t xml:space="preserve">Staff  Report </w:t>
      </w:r>
      <w:r w:rsidR="00453B08">
        <w:t xml:space="preserve">of Investigation </w:t>
      </w:r>
      <w:r>
        <w:t xml:space="preserve">(January 16, 2014) at 11-12.  </w:t>
      </w:r>
    </w:p>
  </w:footnote>
  <w:footnote w:id="7">
    <w:p w:rsidR="00843692" w:rsidRDefault="00843692" w:rsidP="00403A2D">
      <w:pPr>
        <w:pStyle w:val="FootnoteText"/>
        <w:spacing w:after="120"/>
      </w:pPr>
      <w:r>
        <w:rPr>
          <w:rStyle w:val="FootnoteReference"/>
        </w:rPr>
        <w:footnoteRef/>
      </w:r>
      <w:r>
        <w:t xml:space="preserve"> </w:t>
      </w:r>
      <w:r w:rsidRPr="00580727">
        <w:rPr>
          <w:i/>
        </w:rPr>
        <w:t>Id</w:t>
      </w:r>
      <w:r>
        <w:t>. at 12.</w:t>
      </w:r>
    </w:p>
  </w:footnote>
  <w:footnote w:id="8">
    <w:p w:rsidR="003474F5" w:rsidRDefault="003474F5" w:rsidP="00403A2D">
      <w:pPr>
        <w:pStyle w:val="FootnoteText"/>
        <w:spacing w:after="120"/>
      </w:pPr>
      <w:r>
        <w:rPr>
          <w:rStyle w:val="FootnoteReference"/>
        </w:rPr>
        <w:footnoteRef/>
      </w:r>
      <w:r>
        <w:t xml:space="preserve"> </w:t>
      </w:r>
      <w:r w:rsidRPr="00580727">
        <w:rPr>
          <w:i/>
        </w:rPr>
        <w:t>Id.</w:t>
      </w:r>
      <w:r w:rsidR="00843692" w:rsidRPr="00580727">
        <w:t>at 11.</w:t>
      </w:r>
    </w:p>
  </w:footnote>
  <w:footnote w:id="9">
    <w:p w:rsidR="00B23CC9" w:rsidRDefault="00B23CC9" w:rsidP="00403A2D">
      <w:pPr>
        <w:pStyle w:val="FootnoteText"/>
        <w:spacing w:after="120"/>
      </w:pPr>
      <w:r>
        <w:rPr>
          <w:rStyle w:val="FootnoteReference"/>
        </w:rPr>
        <w:footnoteRef/>
      </w:r>
      <w:r>
        <w:t xml:space="preserve"> R.C. 4905.07.</w:t>
      </w:r>
    </w:p>
  </w:footnote>
  <w:footnote w:id="10">
    <w:p w:rsidR="00B23CC9" w:rsidRDefault="00B23CC9" w:rsidP="00403A2D">
      <w:pPr>
        <w:pStyle w:val="FootnoteText"/>
        <w:spacing w:after="120"/>
      </w:pPr>
      <w:r>
        <w:rPr>
          <w:rStyle w:val="FootnoteReference"/>
        </w:rPr>
        <w:footnoteRef/>
      </w:r>
      <w:r>
        <w:t xml:space="preserve"> R.C. </w:t>
      </w:r>
      <w:r w:rsidR="004E440E">
        <w:t>149.43(A)(1)(v).</w:t>
      </w:r>
    </w:p>
  </w:footnote>
  <w:footnote w:id="11">
    <w:p w:rsidR="006C463E" w:rsidRPr="0050096D" w:rsidRDefault="006C463E" w:rsidP="00403A2D">
      <w:pPr>
        <w:pStyle w:val="FootnoteText"/>
        <w:spacing w:after="120"/>
      </w:pPr>
      <w:r w:rsidRPr="0050096D">
        <w:rPr>
          <w:rStyle w:val="FootnoteReference"/>
          <w:rFonts w:eastAsia="Calibri"/>
        </w:rPr>
        <w:footnoteRef/>
      </w:r>
      <w:r w:rsidR="004E440E">
        <w:t xml:space="preserve"> </w:t>
      </w:r>
      <w:r w:rsidR="00C229E0">
        <w:t>R.C. 1333.61(D).</w:t>
      </w:r>
    </w:p>
  </w:footnote>
  <w:footnote w:id="12">
    <w:p w:rsidR="006C463E" w:rsidRPr="0050096D" w:rsidRDefault="006C463E" w:rsidP="00403A2D">
      <w:pPr>
        <w:pStyle w:val="FootnoteText"/>
        <w:spacing w:after="120"/>
      </w:pPr>
      <w:r w:rsidRPr="0050096D">
        <w:rPr>
          <w:rStyle w:val="FootnoteReference"/>
          <w:rFonts w:eastAsia="Calibri"/>
        </w:rPr>
        <w:footnoteRef/>
      </w:r>
      <w:r w:rsidRPr="0050096D">
        <w:t xml:space="preserve"> </w:t>
      </w:r>
      <w:r w:rsidRPr="0050096D">
        <w:rPr>
          <w:i/>
        </w:rPr>
        <w:t>See</w:t>
      </w:r>
      <w:r w:rsidRPr="0050096D">
        <w:t xml:space="preserve"> </w:t>
      </w:r>
      <w:r w:rsidRPr="0050096D">
        <w:rPr>
          <w:i/>
        </w:rPr>
        <w:t>In the Matter of the Application of Constellation NewEnergy, Inc. for Renewal of its Certification as a Retail Electric Service Provider</w:t>
      </w:r>
      <w:r w:rsidRPr="0050096D">
        <w:t>,</w:t>
      </w:r>
      <w:r w:rsidRPr="0050096D">
        <w:rPr>
          <w:i/>
        </w:rPr>
        <w:t xml:space="preserve"> </w:t>
      </w:r>
      <w:r w:rsidRPr="0050096D">
        <w:t xml:space="preserve">Case No. 09-870-EL-AGG, </w:t>
      </w:r>
      <w:r w:rsidRPr="0050096D">
        <w:rPr>
          <w:i/>
        </w:rPr>
        <w:t>Entry</w:t>
      </w:r>
      <w:r w:rsidRPr="0050096D">
        <w:t xml:space="preserve"> at 2 (November 21, 2011); </w:t>
      </w:r>
      <w:r w:rsidRPr="0050096D">
        <w:rPr>
          <w:i/>
        </w:rPr>
        <w:t>In the Matter of the Application of The Ohio Bell Telephone Company for Approval of an Alternative Form of Regulation</w:t>
      </w:r>
      <w:r w:rsidRPr="0050096D">
        <w:t xml:space="preserve">, Case No. 93-487-TP-ALT, </w:t>
      </w:r>
      <w:r w:rsidRPr="0050096D">
        <w:rPr>
          <w:i/>
        </w:rPr>
        <w:t>Entry</w:t>
      </w:r>
      <w:r w:rsidRPr="0050096D">
        <w:t xml:space="preserve"> at 8-9 (Nov. 25, 2003) (citations omitted).  </w:t>
      </w:r>
    </w:p>
  </w:footnote>
  <w:footnote w:id="13">
    <w:p w:rsidR="006C463E" w:rsidRDefault="006C463E" w:rsidP="00403A2D">
      <w:pPr>
        <w:pStyle w:val="FootnoteText"/>
        <w:spacing w:after="120"/>
      </w:pPr>
      <w:r w:rsidRPr="0050096D">
        <w:rPr>
          <w:rStyle w:val="FootnoteReference"/>
          <w:rFonts w:eastAsia="Calibri"/>
        </w:rPr>
        <w:footnoteRef/>
      </w:r>
      <w:r w:rsidRPr="0050096D">
        <w:rPr>
          <w:i/>
        </w:rPr>
        <w:t xml:space="preserve"> State ex rel.</w:t>
      </w:r>
      <w:r w:rsidRPr="0050096D">
        <w:t xml:space="preserve"> </w:t>
      </w:r>
      <w:r w:rsidRPr="0050096D">
        <w:rPr>
          <w:i/>
        </w:rPr>
        <w:t>Plain Dealer v. Department of Insurance</w:t>
      </w:r>
      <w:r w:rsidRPr="0050096D">
        <w:t xml:space="preserve">, 80 Ohio St. 3d 513, 524-524 (1998)(citations omitted); </w:t>
      </w:r>
      <w:r w:rsidRPr="0050096D">
        <w:rPr>
          <w:i/>
        </w:rPr>
        <w:t>see also The State ex rel. Perrea v. Cincinnati Pub. Schools</w:t>
      </w:r>
      <w:r w:rsidRPr="0050096D">
        <w:t xml:space="preserve">, 123 Ohio St.3d 410, 414 (2009). </w:t>
      </w:r>
    </w:p>
  </w:footnote>
  <w:footnote w:id="14">
    <w:p w:rsidR="006C463E" w:rsidRPr="0050096D" w:rsidRDefault="006C463E" w:rsidP="00403A2D">
      <w:pPr>
        <w:pStyle w:val="FootnoteText"/>
        <w:spacing w:after="120"/>
      </w:pPr>
      <w:r w:rsidRPr="0050096D">
        <w:rPr>
          <w:rStyle w:val="FootnoteReference"/>
          <w:rFonts w:eastAsia="Calibri"/>
        </w:rPr>
        <w:footnoteRef/>
      </w:r>
      <w:r w:rsidRPr="0050096D">
        <w:t xml:space="preserve"> </w:t>
      </w:r>
      <w:r w:rsidRPr="0050096D">
        <w:rPr>
          <w:i/>
        </w:rPr>
        <w:t>See In the Matter of the Application of The Ohio Bell Telephone Company for Approval of an Alternative Form of Regulation</w:t>
      </w:r>
      <w:r w:rsidRPr="0050096D">
        <w:t xml:space="preserve">, Case No  93-487-TP-ALT, </w:t>
      </w:r>
      <w:r w:rsidRPr="0050096D">
        <w:rPr>
          <w:i/>
        </w:rPr>
        <w:t>Entry</w:t>
      </w:r>
      <w:r w:rsidRPr="0050096D">
        <w:t xml:space="preserve"> at 7 (Nov. 25, 2003)  (citations omitted)</w:t>
      </w:r>
      <w:r>
        <w:t xml:space="preserve"> (emphasis added)</w:t>
      </w:r>
      <w:r w:rsidRPr="0050096D">
        <w:t xml:space="preserve">.  </w:t>
      </w:r>
    </w:p>
  </w:footnote>
  <w:footnote w:id="15">
    <w:p w:rsidR="004E440E" w:rsidRDefault="004E440E" w:rsidP="00403A2D">
      <w:pPr>
        <w:pStyle w:val="FootnoteText"/>
        <w:spacing w:after="120"/>
      </w:pPr>
      <w:r>
        <w:rPr>
          <w:rStyle w:val="FootnoteReference"/>
        </w:rPr>
        <w:footnoteRef/>
      </w:r>
      <w:r>
        <w:t xml:space="preserve"> </w:t>
      </w:r>
      <w:r w:rsidR="00453B08" w:rsidRPr="00CE0DF5">
        <w:rPr>
          <w:i/>
        </w:rPr>
        <w:t>In the Matter of the Commission’s Investigation of Ohio’s Retail Electric Service</w:t>
      </w:r>
      <w:r w:rsidR="00453B08">
        <w:t xml:space="preserve">, Case No. 12-3151-EL-COI, Staff  Report of Investigation (January 16, 2014) at </w:t>
      </w:r>
      <w:r w:rsidRPr="00935F43">
        <w:t xml:space="preserve"> 11.</w:t>
      </w:r>
    </w:p>
  </w:footnote>
  <w:footnote w:id="16">
    <w:p w:rsidR="00C229E0" w:rsidRDefault="00C229E0" w:rsidP="00403A2D">
      <w:pPr>
        <w:pStyle w:val="FootnoteText"/>
        <w:spacing w:after="120"/>
      </w:pPr>
      <w:r>
        <w:rPr>
          <w:rStyle w:val="FootnoteReference"/>
        </w:rPr>
        <w:footnoteRef/>
      </w:r>
      <w:r>
        <w:t xml:space="preserve"> R.C. 1333.61(D).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0C" w:rsidRDefault="00F07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0C" w:rsidRDefault="00F07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0C" w:rsidRDefault="00F07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0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387"/>
    <w:rsid w:val="00000E6E"/>
    <w:rsid w:val="0000300F"/>
    <w:rsid w:val="00006BF5"/>
    <w:rsid w:val="0000731D"/>
    <w:rsid w:val="00010D0B"/>
    <w:rsid w:val="00012F6A"/>
    <w:rsid w:val="0002591D"/>
    <w:rsid w:val="000354E3"/>
    <w:rsid w:val="0003703A"/>
    <w:rsid w:val="00047337"/>
    <w:rsid w:val="00054C1C"/>
    <w:rsid w:val="0006516C"/>
    <w:rsid w:val="00066E96"/>
    <w:rsid w:val="00070DF5"/>
    <w:rsid w:val="000712F1"/>
    <w:rsid w:val="00071DA8"/>
    <w:rsid w:val="00072625"/>
    <w:rsid w:val="00075237"/>
    <w:rsid w:val="00075B2A"/>
    <w:rsid w:val="000859BF"/>
    <w:rsid w:val="00085EEA"/>
    <w:rsid w:val="00094873"/>
    <w:rsid w:val="00095DCA"/>
    <w:rsid w:val="000A5F5D"/>
    <w:rsid w:val="000B15C8"/>
    <w:rsid w:val="000B70B3"/>
    <w:rsid w:val="000B792E"/>
    <w:rsid w:val="000C20F0"/>
    <w:rsid w:val="000C2FD2"/>
    <w:rsid w:val="000C30A5"/>
    <w:rsid w:val="000E5801"/>
    <w:rsid w:val="000F58CE"/>
    <w:rsid w:val="000F741F"/>
    <w:rsid w:val="00100F68"/>
    <w:rsid w:val="00102F24"/>
    <w:rsid w:val="00104C92"/>
    <w:rsid w:val="0010564E"/>
    <w:rsid w:val="00105A37"/>
    <w:rsid w:val="00111107"/>
    <w:rsid w:val="00112519"/>
    <w:rsid w:val="00122D06"/>
    <w:rsid w:val="0012449E"/>
    <w:rsid w:val="00147265"/>
    <w:rsid w:val="00152F3E"/>
    <w:rsid w:val="00153A10"/>
    <w:rsid w:val="00160F0F"/>
    <w:rsid w:val="001627E5"/>
    <w:rsid w:val="00163261"/>
    <w:rsid w:val="00167FCD"/>
    <w:rsid w:val="00191825"/>
    <w:rsid w:val="001948A4"/>
    <w:rsid w:val="001A2EED"/>
    <w:rsid w:val="001B0965"/>
    <w:rsid w:val="001C3331"/>
    <w:rsid w:val="001C3FCC"/>
    <w:rsid w:val="001D2CEF"/>
    <w:rsid w:val="001E0A80"/>
    <w:rsid w:val="001F15B6"/>
    <w:rsid w:val="001F386D"/>
    <w:rsid w:val="001F3E74"/>
    <w:rsid w:val="00205143"/>
    <w:rsid w:val="002055DE"/>
    <w:rsid w:val="00205B6F"/>
    <w:rsid w:val="00211283"/>
    <w:rsid w:val="00211598"/>
    <w:rsid w:val="00226D1B"/>
    <w:rsid w:val="00227195"/>
    <w:rsid w:val="00230181"/>
    <w:rsid w:val="002310B1"/>
    <w:rsid w:val="00232E98"/>
    <w:rsid w:val="00236785"/>
    <w:rsid w:val="002430BB"/>
    <w:rsid w:val="00247851"/>
    <w:rsid w:val="00251C83"/>
    <w:rsid w:val="002525A4"/>
    <w:rsid w:val="00277D48"/>
    <w:rsid w:val="002856C4"/>
    <w:rsid w:val="00287280"/>
    <w:rsid w:val="002904C2"/>
    <w:rsid w:val="002907DB"/>
    <w:rsid w:val="0029155E"/>
    <w:rsid w:val="00293C12"/>
    <w:rsid w:val="00294799"/>
    <w:rsid w:val="00294CBF"/>
    <w:rsid w:val="00296ABC"/>
    <w:rsid w:val="002A14CA"/>
    <w:rsid w:val="002A1785"/>
    <w:rsid w:val="002B05F4"/>
    <w:rsid w:val="002B2459"/>
    <w:rsid w:val="002C08D3"/>
    <w:rsid w:val="002C1175"/>
    <w:rsid w:val="002C1BDC"/>
    <w:rsid w:val="002C5095"/>
    <w:rsid w:val="002D3ED0"/>
    <w:rsid w:val="002D6B3E"/>
    <w:rsid w:val="002E7C08"/>
    <w:rsid w:val="002F68DD"/>
    <w:rsid w:val="00302451"/>
    <w:rsid w:val="00312D45"/>
    <w:rsid w:val="003247FD"/>
    <w:rsid w:val="00331ABC"/>
    <w:rsid w:val="003407A7"/>
    <w:rsid w:val="0034444A"/>
    <w:rsid w:val="003474F5"/>
    <w:rsid w:val="003516DE"/>
    <w:rsid w:val="00352378"/>
    <w:rsid w:val="00356CAE"/>
    <w:rsid w:val="00377537"/>
    <w:rsid w:val="00380B47"/>
    <w:rsid w:val="00386DB3"/>
    <w:rsid w:val="00392A36"/>
    <w:rsid w:val="00393DF4"/>
    <w:rsid w:val="00395565"/>
    <w:rsid w:val="003A2BD6"/>
    <w:rsid w:val="003A3AFD"/>
    <w:rsid w:val="003A73CD"/>
    <w:rsid w:val="003B6486"/>
    <w:rsid w:val="003C1E81"/>
    <w:rsid w:val="003C70A0"/>
    <w:rsid w:val="003D017B"/>
    <w:rsid w:val="003E0316"/>
    <w:rsid w:val="003E22BC"/>
    <w:rsid w:val="003F7F4D"/>
    <w:rsid w:val="00403A2D"/>
    <w:rsid w:val="004102A5"/>
    <w:rsid w:val="0041433D"/>
    <w:rsid w:val="0041574F"/>
    <w:rsid w:val="00416CE8"/>
    <w:rsid w:val="0042421C"/>
    <w:rsid w:val="00431D32"/>
    <w:rsid w:val="00436E05"/>
    <w:rsid w:val="00440D96"/>
    <w:rsid w:val="0044483E"/>
    <w:rsid w:val="00453B08"/>
    <w:rsid w:val="00453B66"/>
    <w:rsid w:val="00456BA1"/>
    <w:rsid w:val="0046090D"/>
    <w:rsid w:val="00461956"/>
    <w:rsid w:val="00470BCB"/>
    <w:rsid w:val="00482A1F"/>
    <w:rsid w:val="00485A40"/>
    <w:rsid w:val="00493741"/>
    <w:rsid w:val="0049450A"/>
    <w:rsid w:val="0049530D"/>
    <w:rsid w:val="004A12EE"/>
    <w:rsid w:val="004B49EE"/>
    <w:rsid w:val="004B5F5C"/>
    <w:rsid w:val="004C29BC"/>
    <w:rsid w:val="004C34BD"/>
    <w:rsid w:val="004C5756"/>
    <w:rsid w:val="004C5799"/>
    <w:rsid w:val="004E0567"/>
    <w:rsid w:val="004E440E"/>
    <w:rsid w:val="004F2389"/>
    <w:rsid w:val="004F2F23"/>
    <w:rsid w:val="004F50C7"/>
    <w:rsid w:val="00515A9F"/>
    <w:rsid w:val="00517CF4"/>
    <w:rsid w:val="0053039D"/>
    <w:rsid w:val="00530653"/>
    <w:rsid w:val="005314E8"/>
    <w:rsid w:val="0053167B"/>
    <w:rsid w:val="005333A5"/>
    <w:rsid w:val="005565F9"/>
    <w:rsid w:val="005659D6"/>
    <w:rsid w:val="00572C0D"/>
    <w:rsid w:val="00580727"/>
    <w:rsid w:val="00594D18"/>
    <w:rsid w:val="005959F5"/>
    <w:rsid w:val="005A3AF4"/>
    <w:rsid w:val="005A45CE"/>
    <w:rsid w:val="005A6261"/>
    <w:rsid w:val="005A7249"/>
    <w:rsid w:val="005B1651"/>
    <w:rsid w:val="005C76E3"/>
    <w:rsid w:val="005D1F3C"/>
    <w:rsid w:val="005D50C5"/>
    <w:rsid w:val="005F0555"/>
    <w:rsid w:val="00600107"/>
    <w:rsid w:val="00601D27"/>
    <w:rsid w:val="006027FA"/>
    <w:rsid w:val="006032D6"/>
    <w:rsid w:val="00613030"/>
    <w:rsid w:val="00624B97"/>
    <w:rsid w:val="006272FF"/>
    <w:rsid w:val="00631D43"/>
    <w:rsid w:val="00640835"/>
    <w:rsid w:val="0064300F"/>
    <w:rsid w:val="00646508"/>
    <w:rsid w:val="006479DA"/>
    <w:rsid w:val="006567BE"/>
    <w:rsid w:val="00656984"/>
    <w:rsid w:val="006613AE"/>
    <w:rsid w:val="00662432"/>
    <w:rsid w:val="0066355B"/>
    <w:rsid w:val="00663621"/>
    <w:rsid w:val="0066461C"/>
    <w:rsid w:val="0066463E"/>
    <w:rsid w:val="00666532"/>
    <w:rsid w:val="00670BAF"/>
    <w:rsid w:val="00670CAD"/>
    <w:rsid w:val="00680024"/>
    <w:rsid w:val="0068365F"/>
    <w:rsid w:val="0069147F"/>
    <w:rsid w:val="0069157B"/>
    <w:rsid w:val="006A1096"/>
    <w:rsid w:val="006A1633"/>
    <w:rsid w:val="006A2D56"/>
    <w:rsid w:val="006B0EA8"/>
    <w:rsid w:val="006B2A40"/>
    <w:rsid w:val="006B7ADD"/>
    <w:rsid w:val="006C463E"/>
    <w:rsid w:val="006C5A47"/>
    <w:rsid w:val="006D36BC"/>
    <w:rsid w:val="006D7B4E"/>
    <w:rsid w:val="006E02EC"/>
    <w:rsid w:val="006E0E26"/>
    <w:rsid w:val="006F6BBE"/>
    <w:rsid w:val="00704E02"/>
    <w:rsid w:val="00716843"/>
    <w:rsid w:val="007271E4"/>
    <w:rsid w:val="00731FA1"/>
    <w:rsid w:val="00735405"/>
    <w:rsid w:val="007377E1"/>
    <w:rsid w:val="00744BCC"/>
    <w:rsid w:val="00745C14"/>
    <w:rsid w:val="007461E5"/>
    <w:rsid w:val="007502C2"/>
    <w:rsid w:val="0075295B"/>
    <w:rsid w:val="00763DBF"/>
    <w:rsid w:val="00764016"/>
    <w:rsid w:val="00764124"/>
    <w:rsid w:val="007757A1"/>
    <w:rsid w:val="0077756B"/>
    <w:rsid w:val="007777C9"/>
    <w:rsid w:val="007778E8"/>
    <w:rsid w:val="0078057D"/>
    <w:rsid w:val="007858A2"/>
    <w:rsid w:val="00793AC2"/>
    <w:rsid w:val="0079414C"/>
    <w:rsid w:val="0079459F"/>
    <w:rsid w:val="007A171A"/>
    <w:rsid w:val="007A1E77"/>
    <w:rsid w:val="007B6380"/>
    <w:rsid w:val="007C4684"/>
    <w:rsid w:val="007C4870"/>
    <w:rsid w:val="007D0CC2"/>
    <w:rsid w:val="007E076F"/>
    <w:rsid w:val="007E3918"/>
    <w:rsid w:val="007E4C3D"/>
    <w:rsid w:val="007F252B"/>
    <w:rsid w:val="007F6163"/>
    <w:rsid w:val="00803EC6"/>
    <w:rsid w:val="00804ABE"/>
    <w:rsid w:val="00816079"/>
    <w:rsid w:val="00820F8D"/>
    <w:rsid w:val="0082405D"/>
    <w:rsid w:val="00827BDB"/>
    <w:rsid w:val="00835BD9"/>
    <w:rsid w:val="00842A7A"/>
    <w:rsid w:val="00843692"/>
    <w:rsid w:val="00850505"/>
    <w:rsid w:val="00855493"/>
    <w:rsid w:val="00860A1B"/>
    <w:rsid w:val="00877B5F"/>
    <w:rsid w:val="00881FCD"/>
    <w:rsid w:val="008855C1"/>
    <w:rsid w:val="0089054D"/>
    <w:rsid w:val="008A5E0E"/>
    <w:rsid w:val="008C2387"/>
    <w:rsid w:val="008C37CA"/>
    <w:rsid w:val="008D2CF1"/>
    <w:rsid w:val="008F079F"/>
    <w:rsid w:val="008F4B9B"/>
    <w:rsid w:val="00902991"/>
    <w:rsid w:val="009070F7"/>
    <w:rsid w:val="0090794F"/>
    <w:rsid w:val="00910FDB"/>
    <w:rsid w:val="0091287F"/>
    <w:rsid w:val="00912D15"/>
    <w:rsid w:val="00921735"/>
    <w:rsid w:val="009246FB"/>
    <w:rsid w:val="00925FCE"/>
    <w:rsid w:val="00932F07"/>
    <w:rsid w:val="0094421F"/>
    <w:rsid w:val="00947D9F"/>
    <w:rsid w:val="009504C6"/>
    <w:rsid w:val="00951591"/>
    <w:rsid w:val="00953AE0"/>
    <w:rsid w:val="00954A55"/>
    <w:rsid w:val="00966E32"/>
    <w:rsid w:val="00980D44"/>
    <w:rsid w:val="00983839"/>
    <w:rsid w:val="00985F7E"/>
    <w:rsid w:val="009A1825"/>
    <w:rsid w:val="009A42E5"/>
    <w:rsid w:val="009B08B6"/>
    <w:rsid w:val="009B0CDC"/>
    <w:rsid w:val="009D1FC8"/>
    <w:rsid w:val="009D77F0"/>
    <w:rsid w:val="009E5D75"/>
    <w:rsid w:val="009E73FE"/>
    <w:rsid w:val="009F0EA6"/>
    <w:rsid w:val="009F32ED"/>
    <w:rsid w:val="009F37D5"/>
    <w:rsid w:val="009F3C54"/>
    <w:rsid w:val="00A0081F"/>
    <w:rsid w:val="00A027F4"/>
    <w:rsid w:val="00A04320"/>
    <w:rsid w:val="00A10685"/>
    <w:rsid w:val="00A10B38"/>
    <w:rsid w:val="00A13486"/>
    <w:rsid w:val="00A14EB4"/>
    <w:rsid w:val="00A15CB7"/>
    <w:rsid w:val="00A25700"/>
    <w:rsid w:val="00A25F36"/>
    <w:rsid w:val="00A36CA1"/>
    <w:rsid w:val="00A42887"/>
    <w:rsid w:val="00A44EEA"/>
    <w:rsid w:val="00A624C5"/>
    <w:rsid w:val="00A64B80"/>
    <w:rsid w:val="00A72712"/>
    <w:rsid w:val="00A83070"/>
    <w:rsid w:val="00A849D7"/>
    <w:rsid w:val="00A96615"/>
    <w:rsid w:val="00AA23DD"/>
    <w:rsid w:val="00AA6F51"/>
    <w:rsid w:val="00AC237A"/>
    <w:rsid w:val="00AC5C0D"/>
    <w:rsid w:val="00AD210B"/>
    <w:rsid w:val="00AD213B"/>
    <w:rsid w:val="00AD2F35"/>
    <w:rsid w:val="00AD3DEB"/>
    <w:rsid w:val="00AE25C5"/>
    <w:rsid w:val="00AE2EC1"/>
    <w:rsid w:val="00AE54A6"/>
    <w:rsid w:val="00AF4DCD"/>
    <w:rsid w:val="00AF6E0B"/>
    <w:rsid w:val="00AF7693"/>
    <w:rsid w:val="00B00362"/>
    <w:rsid w:val="00B026C3"/>
    <w:rsid w:val="00B144AD"/>
    <w:rsid w:val="00B23CC9"/>
    <w:rsid w:val="00B269FA"/>
    <w:rsid w:val="00B36E72"/>
    <w:rsid w:val="00B403B8"/>
    <w:rsid w:val="00B433D4"/>
    <w:rsid w:val="00B45159"/>
    <w:rsid w:val="00B46513"/>
    <w:rsid w:val="00B5265F"/>
    <w:rsid w:val="00B52CFE"/>
    <w:rsid w:val="00B54B83"/>
    <w:rsid w:val="00B70BF0"/>
    <w:rsid w:val="00B82D88"/>
    <w:rsid w:val="00B87E4D"/>
    <w:rsid w:val="00B93551"/>
    <w:rsid w:val="00B94336"/>
    <w:rsid w:val="00BA000A"/>
    <w:rsid w:val="00BB0BB0"/>
    <w:rsid w:val="00BB37B3"/>
    <w:rsid w:val="00BC28A0"/>
    <w:rsid w:val="00BC6A3F"/>
    <w:rsid w:val="00BD00C5"/>
    <w:rsid w:val="00BD033E"/>
    <w:rsid w:val="00BD37EA"/>
    <w:rsid w:val="00BD558E"/>
    <w:rsid w:val="00BE2123"/>
    <w:rsid w:val="00BE3647"/>
    <w:rsid w:val="00BE462B"/>
    <w:rsid w:val="00BF5241"/>
    <w:rsid w:val="00C074B3"/>
    <w:rsid w:val="00C15391"/>
    <w:rsid w:val="00C157B1"/>
    <w:rsid w:val="00C178F5"/>
    <w:rsid w:val="00C229E0"/>
    <w:rsid w:val="00C305E9"/>
    <w:rsid w:val="00C517F8"/>
    <w:rsid w:val="00C63C49"/>
    <w:rsid w:val="00C6406A"/>
    <w:rsid w:val="00C661AE"/>
    <w:rsid w:val="00C678B8"/>
    <w:rsid w:val="00C7705B"/>
    <w:rsid w:val="00C90072"/>
    <w:rsid w:val="00C9030C"/>
    <w:rsid w:val="00C9135E"/>
    <w:rsid w:val="00CC4076"/>
    <w:rsid w:val="00CC40DC"/>
    <w:rsid w:val="00CC4D02"/>
    <w:rsid w:val="00CC6E86"/>
    <w:rsid w:val="00CC735D"/>
    <w:rsid w:val="00CD252F"/>
    <w:rsid w:val="00CE4F9C"/>
    <w:rsid w:val="00CE7F35"/>
    <w:rsid w:val="00CF21C4"/>
    <w:rsid w:val="00D0476B"/>
    <w:rsid w:val="00D103A6"/>
    <w:rsid w:val="00D16DF1"/>
    <w:rsid w:val="00D312F4"/>
    <w:rsid w:val="00D33597"/>
    <w:rsid w:val="00D3583E"/>
    <w:rsid w:val="00D35E60"/>
    <w:rsid w:val="00D620F5"/>
    <w:rsid w:val="00D669BC"/>
    <w:rsid w:val="00D706DE"/>
    <w:rsid w:val="00D778FC"/>
    <w:rsid w:val="00D80594"/>
    <w:rsid w:val="00D932F0"/>
    <w:rsid w:val="00DB08A3"/>
    <w:rsid w:val="00DB3741"/>
    <w:rsid w:val="00DB5120"/>
    <w:rsid w:val="00DC4767"/>
    <w:rsid w:val="00DD34E1"/>
    <w:rsid w:val="00DD4FB0"/>
    <w:rsid w:val="00DD54E4"/>
    <w:rsid w:val="00DD6DFC"/>
    <w:rsid w:val="00DE3A21"/>
    <w:rsid w:val="00DF3C69"/>
    <w:rsid w:val="00DF3D7E"/>
    <w:rsid w:val="00DF69FA"/>
    <w:rsid w:val="00E0473A"/>
    <w:rsid w:val="00E154E6"/>
    <w:rsid w:val="00E2394C"/>
    <w:rsid w:val="00E24B60"/>
    <w:rsid w:val="00E25DB2"/>
    <w:rsid w:val="00E33414"/>
    <w:rsid w:val="00E40307"/>
    <w:rsid w:val="00E530E6"/>
    <w:rsid w:val="00E54193"/>
    <w:rsid w:val="00E55E85"/>
    <w:rsid w:val="00E7074F"/>
    <w:rsid w:val="00E72038"/>
    <w:rsid w:val="00E72470"/>
    <w:rsid w:val="00E77F5A"/>
    <w:rsid w:val="00E81EA6"/>
    <w:rsid w:val="00E82AC4"/>
    <w:rsid w:val="00E92B1C"/>
    <w:rsid w:val="00E96D89"/>
    <w:rsid w:val="00EA371B"/>
    <w:rsid w:val="00EB3072"/>
    <w:rsid w:val="00EB450D"/>
    <w:rsid w:val="00EC4B35"/>
    <w:rsid w:val="00EC740F"/>
    <w:rsid w:val="00ED5531"/>
    <w:rsid w:val="00EE2440"/>
    <w:rsid w:val="00EE280B"/>
    <w:rsid w:val="00EE7A2C"/>
    <w:rsid w:val="00EF23EA"/>
    <w:rsid w:val="00EF336C"/>
    <w:rsid w:val="00F042BB"/>
    <w:rsid w:val="00F044CF"/>
    <w:rsid w:val="00F07B0C"/>
    <w:rsid w:val="00F115FB"/>
    <w:rsid w:val="00F26DC0"/>
    <w:rsid w:val="00F326A0"/>
    <w:rsid w:val="00F34A22"/>
    <w:rsid w:val="00F37B4E"/>
    <w:rsid w:val="00F422C7"/>
    <w:rsid w:val="00F42F65"/>
    <w:rsid w:val="00F5374E"/>
    <w:rsid w:val="00F56BAB"/>
    <w:rsid w:val="00F811BA"/>
    <w:rsid w:val="00F81EA1"/>
    <w:rsid w:val="00F91ED1"/>
    <w:rsid w:val="00F9391F"/>
    <w:rsid w:val="00F960A9"/>
    <w:rsid w:val="00FC1796"/>
    <w:rsid w:val="00FC1CA9"/>
    <w:rsid w:val="00FC2892"/>
    <w:rsid w:val="00FD31D2"/>
    <w:rsid w:val="00FD5A24"/>
    <w:rsid w:val="00FE3924"/>
    <w:rsid w:val="00FF3AA0"/>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486"/>
    <w:rPr>
      <w:sz w:val="24"/>
    </w:rPr>
  </w:style>
  <w:style w:type="paragraph" w:styleId="Heading1">
    <w:name w:val="heading 1"/>
    <w:basedOn w:val="Normal"/>
    <w:next w:val="Normal"/>
    <w:autoRedefine/>
    <w:qFormat/>
    <w:rsid w:val="002D6B3E"/>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2D6B3E"/>
    <w:pPr>
      <w:keepNext/>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2D6B3E"/>
    <w:pPr>
      <w:keepNext/>
      <w:spacing w:after="240"/>
      <w:ind w:left="2160" w:right="720" w:hanging="720"/>
      <w:outlineLvl w:val="2"/>
    </w:pPr>
    <w:rPr>
      <w:rFonts w:ascii="Times New Roman Bold" w:hAnsi="Times New Roman Bold"/>
      <w:b/>
      <w:bCs/>
    </w:rPr>
  </w:style>
  <w:style w:type="paragraph" w:styleId="Heading4">
    <w:name w:val="heading 4"/>
    <w:basedOn w:val="Normal"/>
    <w:next w:val="Normal"/>
    <w:link w:val="Heading4Char"/>
    <w:autoRedefine/>
    <w:semiHidden/>
    <w:unhideWhenUsed/>
    <w:qFormat/>
    <w:rsid w:val="00A13486"/>
    <w:pPr>
      <w:keepNext/>
      <w:spacing w:after="240"/>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rPr>
      <w:sz w:val="20"/>
    </w:rPr>
  </w:style>
  <w:style w:type="character" w:styleId="FootnoteReference">
    <w:name w:val="footnote reference"/>
    <w:aliases w:val="o,fr,Style 3,Style 13,Appel note de bas de p,Style 12,(NECG) Footnote Reference,Style 124"/>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Heading4Char">
    <w:name w:val="Heading 4 Char"/>
    <w:link w:val="Heading4"/>
    <w:semiHidden/>
    <w:rsid w:val="00A13486"/>
    <w:rPr>
      <w:rFonts w:eastAsia="Times New Roman" w:cs="Times New Roman"/>
      <w:b/>
      <w:bCs/>
      <w:sz w:val="24"/>
      <w:szCs w:val="28"/>
    </w:rPr>
  </w:style>
  <w:style w:type="character" w:customStyle="1" w:styleId="BodyTextIndentChar">
    <w:name w:val="Body Text Indent Char"/>
    <w:link w:val="BodyTextIndent"/>
    <w:rsid w:val="00A13486"/>
    <w:rPr>
      <w:sz w:val="24"/>
    </w:rPr>
  </w:style>
  <w:style w:type="paragraph" w:styleId="Revision">
    <w:name w:val="Revision"/>
    <w:hidden/>
    <w:uiPriority w:val="99"/>
    <w:semiHidden/>
    <w:rsid w:val="00763DBF"/>
    <w:rPr>
      <w:sz w:val="24"/>
    </w:rPr>
  </w:style>
  <w:style w:type="character" w:customStyle="1" w:styleId="FooterChar">
    <w:name w:val="Footer Char"/>
    <w:link w:val="Footer"/>
    <w:uiPriority w:val="99"/>
    <w:rsid w:val="00594D18"/>
  </w:style>
  <w:style w:type="paragraph" w:styleId="TOC1">
    <w:name w:val="toc 1"/>
    <w:basedOn w:val="Normal"/>
    <w:next w:val="Normal"/>
    <w:autoRedefine/>
    <w:uiPriority w:val="39"/>
    <w:qFormat/>
    <w:rsid w:val="00594D18"/>
    <w:pPr>
      <w:tabs>
        <w:tab w:val="left" w:pos="720"/>
        <w:tab w:val="decimal" w:leader="dot" w:pos="8640"/>
      </w:tabs>
      <w:spacing w:after="240"/>
      <w:ind w:left="720" w:hanging="720"/>
    </w:pPr>
  </w:style>
  <w:style w:type="paragraph" w:styleId="TOC2">
    <w:name w:val="toc 2"/>
    <w:basedOn w:val="Normal"/>
    <w:next w:val="Normal"/>
    <w:autoRedefine/>
    <w:uiPriority w:val="39"/>
    <w:qFormat/>
    <w:rsid w:val="00594D18"/>
    <w:pPr>
      <w:tabs>
        <w:tab w:val="left" w:pos="720"/>
        <w:tab w:val="decimal" w:leader="dot" w:pos="8640"/>
      </w:tabs>
      <w:spacing w:after="240"/>
      <w:ind w:left="1440" w:hanging="720"/>
    </w:pPr>
  </w:style>
  <w:style w:type="paragraph" w:styleId="TOC3">
    <w:name w:val="toc 3"/>
    <w:basedOn w:val="Normal"/>
    <w:next w:val="Normal"/>
    <w:autoRedefine/>
    <w:uiPriority w:val="39"/>
    <w:qFormat/>
    <w:rsid w:val="00594D18"/>
    <w:pPr>
      <w:tabs>
        <w:tab w:val="left" w:pos="720"/>
        <w:tab w:val="decimal" w:leader="dot" w:pos="8640"/>
      </w:tabs>
      <w:spacing w:after="240"/>
      <w:ind w:left="2160" w:hanging="720"/>
    </w:pPr>
  </w:style>
  <w:style w:type="character" w:customStyle="1" w:styleId="BodyTextIndent3Char">
    <w:name w:val="Body Text Indent 3 Char"/>
    <w:link w:val="BodyTextIndent3"/>
    <w:rsid w:val="00CC4D02"/>
    <w:rPr>
      <w:sz w:val="24"/>
    </w:rPr>
  </w:style>
  <w:style w:type="character" w:customStyle="1" w:styleId="FootnoteTextChar1">
    <w:name w:val="Footnote Text Char1"/>
    <w:aliases w:val="Footnote Text Char Char,Footnote Text Char4 Char Char,Footnote Text Char Char4 Char Char,Footnote Text Char4 Char1 Char Char Char,Footnote Text Char Char4 Char1 Char Char Char,Footnote Text Char5 Char1 Char Char Char Char Char Char"/>
    <w:link w:val="FootnoteText"/>
    <w:uiPriority w:val="99"/>
    <w:rsid w:val="0090794F"/>
  </w:style>
  <w:style w:type="paragraph" w:styleId="BodyTextFirstIndent">
    <w:name w:val="Body Text First Indent"/>
    <w:basedOn w:val="BodyText"/>
    <w:link w:val="BodyTextFirstIndentChar"/>
    <w:rsid w:val="006C463E"/>
    <w:pPr>
      <w:ind w:firstLine="360"/>
      <w:jc w:val="left"/>
    </w:pPr>
    <w:rPr>
      <w:rFonts w:eastAsia="Calibri"/>
      <w:szCs w:val="24"/>
    </w:rPr>
  </w:style>
  <w:style w:type="character" w:customStyle="1" w:styleId="BodyTextFirstIndentChar">
    <w:name w:val="Body Text First Indent Char"/>
    <w:link w:val="BodyTextFirstIndent"/>
    <w:rsid w:val="006C463E"/>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ryce.mckenney@puc.state.oh.us"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ynn.james@puc.state.oh.us" TargetMode="External"/><Relationship Id="rId2" Type="http://schemas.openxmlformats.org/officeDocument/2006/relationships/styles" Target="styles.xml"/><Relationship Id="rId16" Type="http://schemas.openxmlformats.org/officeDocument/2006/relationships/hyperlink" Target="mailto:Steven.beeler@puc.state.oh.us" TargetMode="External"/><Relationship Id="rId20" Type="http://schemas.openxmlformats.org/officeDocument/2006/relationships/hyperlink" Target="mailto:mjsatterwhite@ae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rner.margard@puc.state.oh.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ureen.grady@occ.ohi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4809</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5656</CharactersWithSpaces>
  <SharedDoc>false</SharedDoc>
  <HyperlinkBase> </HyperlinkBase>
  <HLinks>
    <vt:vector size="42" baseType="variant">
      <vt:variant>
        <vt:i4>8257617</vt:i4>
      </vt:variant>
      <vt:variant>
        <vt:i4>18</vt:i4>
      </vt:variant>
      <vt:variant>
        <vt:i4>0</vt:i4>
      </vt:variant>
      <vt:variant>
        <vt:i4>5</vt:i4>
      </vt:variant>
      <vt:variant>
        <vt:lpwstr>mailto:yalami@aep.com</vt:lpwstr>
      </vt:variant>
      <vt:variant>
        <vt:lpwstr/>
      </vt:variant>
      <vt:variant>
        <vt:i4>589887</vt:i4>
      </vt:variant>
      <vt:variant>
        <vt:i4>15</vt:i4>
      </vt:variant>
      <vt:variant>
        <vt:i4>0</vt:i4>
      </vt:variant>
      <vt:variant>
        <vt:i4>5</vt:i4>
      </vt:variant>
      <vt:variant>
        <vt:lpwstr>mailto:mjsatterwhite@aep.com</vt:lpwstr>
      </vt:variant>
      <vt:variant>
        <vt:lpwstr/>
      </vt:variant>
      <vt:variant>
        <vt:i4>1900596</vt:i4>
      </vt:variant>
      <vt:variant>
        <vt:i4>12</vt:i4>
      </vt:variant>
      <vt:variant>
        <vt:i4>0</vt:i4>
      </vt:variant>
      <vt:variant>
        <vt:i4>5</vt:i4>
      </vt:variant>
      <vt:variant>
        <vt:lpwstr>mailto:stnourse@aep.com</vt:lpwstr>
      </vt:variant>
      <vt:variant>
        <vt:lpwstr/>
      </vt:variant>
      <vt:variant>
        <vt:i4>7995406</vt:i4>
      </vt:variant>
      <vt:variant>
        <vt:i4>9</vt:i4>
      </vt:variant>
      <vt:variant>
        <vt:i4>0</vt:i4>
      </vt:variant>
      <vt:variant>
        <vt:i4>5</vt:i4>
      </vt:variant>
      <vt:variant>
        <vt:lpwstr>mailto:Jonathan.tauber@puc.state.oh.us</vt:lpwstr>
      </vt:variant>
      <vt:variant>
        <vt:lpwstr/>
      </vt:variant>
      <vt:variant>
        <vt:i4>1179756</vt:i4>
      </vt:variant>
      <vt:variant>
        <vt:i4>6</vt:i4>
      </vt:variant>
      <vt:variant>
        <vt:i4>0</vt:i4>
      </vt:variant>
      <vt:variant>
        <vt:i4>5</vt:i4>
      </vt:variant>
      <vt:variant>
        <vt:lpwstr>mailto:Steven.beeler@puc.state.oh.us</vt:lpwstr>
      </vt:variant>
      <vt:variant>
        <vt:lpwstr/>
      </vt:variant>
      <vt:variant>
        <vt:i4>7340044</vt:i4>
      </vt:variant>
      <vt:variant>
        <vt:i4>3</vt:i4>
      </vt:variant>
      <vt:variant>
        <vt:i4>0</vt:i4>
      </vt:variant>
      <vt:variant>
        <vt:i4>5</vt:i4>
      </vt:variant>
      <vt:variant>
        <vt:lpwstr>mailto:Werner.margard@puc.state.oh.us</vt:lpwstr>
      </vt:variant>
      <vt:variant>
        <vt:lpwstr/>
      </vt:variant>
      <vt:variant>
        <vt:i4>2686976</vt:i4>
      </vt:variant>
      <vt:variant>
        <vt:i4>0</vt:i4>
      </vt:variant>
      <vt:variant>
        <vt:i4>0</vt:i4>
      </vt:variant>
      <vt:variant>
        <vt:i4>5</vt:i4>
      </vt:variant>
      <vt:variant>
        <vt:lpwstr>mailto:berger@occ.state.oh.us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2014-02-21T21:03:00Z</cp:lastPrinted>
  <dcterms:created xsi:type="dcterms:W3CDTF">2014-02-26T19:38:00Z</dcterms:created>
  <dcterms:modified xsi:type="dcterms:W3CDTF">2014-02-26T19:38:00Z</dcterms:modified>
  <cp:category> </cp:category>
  <cp:contentStatus> </cp:contentStatus>
</cp:coreProperties>
</file>