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347FA" w14:textId="77777777" w:rsidR="00266AE5" w:rsidRDefault="009A1285">
      <w:pPr>
        <w:pStyle w:val="PersonalInfo"/>
      </w:pPr>
      <w:r>
        <w:t>Matthew R. Pritchard</w:t>
      </w:r>
      <w:r>
        <w:br/>
        <w:t>614.719.2842—Direct Dial</w:t>
      </w:r>
      <w:r>
        <w:br/>
        <w:t>mpritchard@mwncmh.com</w:t>
      </w:r>
    </w:p>
    <w:p w14:paraId="662D19DC" w14:textId="77777777" w:rsidR="00266AE5" w:rsidRPr="009A1285" w:rsidRDefault="00266AE5">
      <w:pPr>
        <w:rPr>
          <w:sz w:val="22"/>
          <w:szCs w:val="22"/>
        </w:rPr>
      </w:pPr>
    </w:p>
    <w:p w14:paraId="6B45F72B" w14:textId="77777777" w:rsidR="009A1285" w:rsidRPr="009A1285" w:rsidRDefault="009A1285">
      <w:pPr>
        <w:pStyle w:val="LetterDate"/>
        <w:jc w:val="left"/>
        <w:rPr>
          <w:szCs w:val="23"/>
        </w:rPr>
      </w:pPr>
      <w:r w:rsidRPr="009A1285">
        <w:rPr>
          <w:szCs w:val="23"/>
        </w:rPr>
        <w:t>December 7, 2016</w:t>
      </w:r>
    </w:p>
    <w:p w14:paraId="76281C30" w14:textId="6AAB1DAA" w:rsidR="00266AE5" w:rsidRPr="009A1285" w:rsidRDefault="00266AE5">
      <w:pPr>
        <w:rPr>
          <w:szCs w:val="23"/>
        </w:rPr>
      </w:pPr>
    </w:p>
    <w:p w14:paraId="7BCE491B" w14:textId="77777777" w:rsidR="009A1285" w:rsidRPr="009A1285" w:rsidRDefault="009A1285" w:rsidP="009A1285">
      <w:pPr>
        <w:rPr>
          <w:rFonts w:eastAsia="Calibri"/>
          <w:szCs w:val="23"/>
        </w:rPr>
      </w:pPr>
      <w:bookmarkStart w:id="0" w:name="Closing"/>
      <w:r w:rsidRPr="009A1285">
        <w:rPr>
          <w:rFonts w:eastAsia="Calibri"/>
          <w:szCs w:val="23"/>
        </w:rPr>
        <w:t>Bryce McKenney</w:t>
      </w:r>
    </w:p>
    <w:p w14:paraId="33D791C3" w14:textId="77777777" w:rsidR="009A1285" w:rsidRPr="009A1285" w:rsidRDefault="009A1285" w:rsidP="009A1285">
      <w:pPr>
        <w:rPr>
          <w:rFonts w:eastAsia="Calibri"/>
          <w:szCs w:val="23"/>
        </w:rPr>
      </w:pPr>
      <w:r w:rsidRPr="009A1285">
        <w:rPr>
          <w:rFonts w:eastAsia="Calibri"/>
          <w:szCs w:val="23"/>
        </w:rPr>
        <w:t>Gregory Price</w:t>
      </w:r>
    </w:p>
    <w:p w14:paraId="6FFFB08A" w14:textId="77777777" w:rsidR="009A1285" w:rsidRPr="009A1285" w:rsidRDefault="009A1285" w:rsidP="009A1285">
      <w:pPr>
        <w:rPr>
          <w:rFonts w:eastAsia="Calibri"/>
          <w:szCs w:val="23"/>
        </w:rPr>
      </w:pPr>
      <w:r w:rsidRPr="009A1285">
        <w:rPr>
          <w:rFonts w:eastAsia="Calibri"/>
          <w:szCs w:val="23"/>
        </w:rPr>
        <w:t>Attorney Examiners</w:t>
      </w:r>
    </w:p>
    <w:p w14:paraId="3F24A202" w14:textId="77777777" w:rsidR="009A1285" w:rsidRPr="009A1285" w:rsidRDefault="009A1285" w:rsidP="009A1285">
      <w:pPr>
        <w:rPr>
          <w:rFonts w:eastAsia="Calibri"/>
          <w:szCs w:val="23"/>
        </w:rPr>
      </w:pPr>
      <w:r w:rsidRPr="009A1285">
        <w:rPr>
          <w:rFonts w:eastAsia="Calibri"/>
          <w:szCs w:val="23"/>
        </w:rPr>
        <w:t>Legal Department</w:t>
      </w:r>
    </w:p>
    <w:p w14:paraId="7B67F493" w14:textId="77777777" w:rsidR="009A1285" w:rsidRPr="009A1285" w:rsidRDefault="009A1285" w:rsidP="009A1285">
      <w:pPr>
        <w:rPr>
          <w:rFonts w:eastAsia="Calibri"/>
          <w:szCs w:val="23"/>
        </w:rPr>
      </w:pPr>
      <w:r w:rsidRPr="009A1285">
        <w:rPr>
          <w:rFonts w:eastAsia="Calibri"/>
          <w:szCs w:val="23"/>
        </w:rPr>
        <w:t>Public Utilities Commission of Ohio</w:t>
      </w:r>
    </w:p>
    <w:p w14:paraId="5E1EA10A" w14:textId="77777777" w:rsidR="009A1285" w:rsidRPr="009A1285" w:rsidRDefault="009A1285" w:rsidP="009A1285">
      <w:pPr>
        <w:rPr>
          <w:rFonts w:eastAsia="Calibri"/>
          <w:szCs w:val="23"/>
        </w:rPr>
      </w:pPr>
      <w:r w:rsidRPr="009A1285">
        <w:rPr>
          <w:rFonts w:eastAsia="Calibri"/>
          <w:szCs w:val="23"/>
        </w:rPr>
        <w:t>180 East Broad Street, 12</w:t>
      </w:r>
      <w:r w:rsidRPr="009A1285">
        <w:rPr>
          <w:rFonts w:eastAsia="Calibri"/>
          <w:szCs w:val="23"/>
          <w:vertAlign w:val="superscript"/>
        </w:rPr>
        <w:t>th</w:t>
      </w:r>
      <w:r w:rsidRPr="009A1285">
        <w:rPr>
          <w:rFonts w:eastAsia="Calibri"/>
          <w:szCs w:val="23"/>
        </w:rPr>
        <w:t xml:space="preserve"> Floor</w:t>
      </w:r>
    </w:p>
    <w:p w14:paraId="5814DD5D" w14:textId="77777777" w:rsidR="009A1285" w:rsidRPr="009A1285" w:rsidRDefault="009A1285" w:rsidP="009A1285">
      <w:pPr>
        <w:rPr>
          <w:rFonts w:eastAsia="Calibri"/>
          <w:szCs w:val="23"/>
        </w:rPr>
      </w:pPr>
      <w:r w:rsidRPr="009A1285">
        <w:rPr>
          <w:rFonts w:eastAsia="Calibri"/>
          <w:szCs w:val="23"/>
        </w:rPr>
        <w:t>Columbus OH  43215</w:t>
      </w:r>
    </w:p>
    <w:p w14:paraId="337D25BB" w14:textId="77777777" w:rsidR="009A1285" w:rsidRDefault="009A1285" w:rsidP="009E130D">
      <w:pPr>
        <w:jc w:val="both"/>
        <w:rPr>
          <w:szCs w:val="23"/>
        </w:rPr>
      </w:pPr>
    </w:p>
    <w:p w14:paraId="631D54D1" w14:textId="77777777" w:rsidR="00A70332" w:rsidRPr="008B24AD" w:rsidRDefault="00A70332" w:rsidP="008B24AD">
      <w:pPr>
        <w:tabs>
          <w:tab w:val="left" w:pos="4680"/>
          <w:tab w:val="left" w:pos="5220"/>
        </w:tabs>
        <w:autoSpaceDE w:val="0"/>
        <w:autoSpaceDN w:val="0"/>
        <w:adjustRightInd w:val="0"/>
        <w:ind w:left="720" w:hanging="720"/>
        <w:jc w:val="both"/>
        <w:rPr>
          <w:b/>
        </w:rPr>
      </w:pPr>
      <w:r w:rsidRPr="008B24AD">
        <w:rPr>
          <w:b/>
          <w:szCs w:val="23"/>
        </w:rPr>
        <w:t>RE:</w:t>
      </w:r>
      <w:r w:rsidRPr="008B24AD">
        <w:rPr>
          <w:b/>
          <w:szCs w:val="23"/>
        </w:rPr>
        <w:tab/>
      </w:r>
      <w:r w:rsidRPr="008B24AD">
        <w:rPr>
          <w:b/>
        </w:rPr>
        <w:t xml:space="preserve">In the Matter of the Application of The Dayton Power and Light Company for Approval of Its Electric Security Plan, PUCO Case Nos. 16-395-EL-SSO, </w:t>
      </w:r>
      <w:r w:rsidRPr="008B24AD">
        <w:rPr>
          <w:b/>
          <w:i/>
        </w:rPr>
        <w:t>et al.</w:t>
      </w:r>
    </w:p>
    <w:p w14:paraId="774BC69D" w14:textId="77777777" w:rsidR="00A70332" w:rsidRPr="009A1285" w:rsidRDefault="00A70332" w:rsidP="009E130D">
      <w:pPr>
        <w:jc w:val="both"/>
        <w:rPr>
          <w:szCs w:val="23"/>
        </w:rPr>
      </w:pPr>
    </w:p>
    <w:p w14:paraId="310F7C6F" w14:textId="77777777" w:rsidR="009E130D" w:rsidRPr="009A1285" w:rsidRDefault="009E130D" w:rsidP="009E130D">
      <w:pPr>
        <w:jc w:val="both"/>
        <w:rPr>
          <w:rFonts w:cstheme="minorBidi"/>
          <w:szCs w:val="23"/>
        </w:rPr>
      </w:pPr>
      <w:r w:rsidRPr="009A1285">
        <w:rPr>
          <w:szCs w:val="23"/>
        </w:rPr>
        <w:t>Dear Attorney Examiners Price and McKenney,</w:t>
      </w:r>
    </w:p>
    <w:p w14:paraId="3A256A7E" w14:textId="77777777" w:rsidR="009E130D" w:rsidRPr="009A1285" w:rsidRDefault="009E130D" w:rsidP="009E130D">
      <w:pPr>
        <w:jc w:val="both"/>
        <w:rPr>
          <w:szCs w:val="23"/>
        </w:rPr>
      </w:pPr>
    </w:p>
    <w:p w14:paraId="48733824" w14:textId="7FD72B21" w:rsidR="0051447D" w:rsidRPr="009A1285" w:rsidRDefault="009E130D" w:rsidP="009E130D">
      <w:pPr>
        <w:jc w:val="both"/>
        <w:rPr>
          <w:szCs w:val="23"/>
        </w:rPr>
      </w:pPr>
      <w:r w:rsidRPr="009A1285">
        <w:rPr>
          <w:szCs w:val="23"/>
        </w:rPr>
        <w:t xml:space="preserve">As you are aware, </w:t>
      </w:r>
      <w:r w:rsidR="00A70332">
        <w:rPr>
          <w:szCs w:val="23"/>
        </w:rPr>
        <w:t>Industrial Energy Users-Ohio (“</w:t>
      </w:r>
      <w:r w:rsidRPr="009A1285">
        <w:rPr>
          <w:szCs w:val="23"/>
        </w:rPr>
        <w:t>IEU-Ohio</w:t>
      </w:r>
      <w:r w:rsidR="00A70332">
        <w:rPr>
          <w:szCs w:val="23"/>
        </w:rPr>
        <w:t>”)</w:t>
      </w:r>
      <w:r w:rsidRPr="009A1285">
        <w:rPr>
          <w:szCs w:val="23"/>
        </w:rPr>
        <w:t xml:space="preserve"> has a pending Motion to Compel in </w:t>
      </w:r>
      <w:r w:rsidR="00D26B9F">
        <w:rPr>
          <w:szCs w:val="23"/>
        </w:rPr>
        <w:t>The Dayton Power and Light Company’s (“</w:t>
      </w:r>
      <w:r w:rsidRPr="009A1285">
        <w:rPr>
          <w:szCs w:val="23"/>
        </w:rPr>
        <w:t>DP&amp;L</w:t>
      </w:r>
      <w:r w:rsidR="00D26B9F">
        <w:rPr>
          <w:szCs w:val="23"/>
        </w:rPr>
        <w:t>”)</w:t>
      </w:r>
      <w:r w:rsidRPr="009A1285">
        <w:rPr>
          <w:szCs w:val="23"/>
        </w:rPr>
        <w:t xml:space="preserve"> pending electric security plan (“ESP”) (Case Nos. 16-3</w:t>
      </w:r>
      <w:r w:rsidR="00D26B9F">
        <w:rPr>
          <w:szCs w:val="23"/>
        </w:rPr>
        <w:t>9</w:t>
      </w:r>
      <w:r w:rsidRPr="009A1285">
        <w:rPr>
          <w:szCs w:val="23"/>
        </w:rPr>
        <w:t xml:space="preserve">5-EL-SSO, </w:t>
      </w:r>
      <w:r w:rsidRPr="009A1285">
        <w:rPr>
          <w:i/>
          <w:szCs w:val="23"/>
        </w:rPr>
        <w:t>et al.</w:t>
      </w:r>
      <w:r w:rsidRPr="009A1285">
        <w:rPr>
          <w:szCs w:val="23"/>
        </w:rPr>
        <w:t xml:space="preserve">).  IEU-Ohio’s Motion </w:t>
      </w:r>
      <w:r w:rsidR="00E741A2">
        <w:rPr>
          <w:szCs w:val="23"/>
        </w:rPr>
        <w:t xml:space="preserve">to Compel </w:t>
      </w:r>
      <w:r w:rsidRPr="009A1285">
        <w:rPr>
          <w:szCs w:val="23"/>
        </w:rPr>
        <w:t xml:space="preserve">sought the production of DP&amp;L’s impairment analyses.  IEU-Ohio and DP&amp;L have worked extensively to resolve the parties’ respective issues and DP&amp;L has produced its internal documents related to the impairment analyses.  The only issue that remains with respect to IEU-Ohio’s Motion to Compel </w:t>
      </w:r>
      <w:r w:rsidR="000D190B">
        <w:rPr>
          <w:szCs w:val="23"/>
        </w:rPr>
        <w:t xml:space="preserve">involves </w:t>
      </w:r>
      <w:r w:rsidRPr="009A1285">
        <w:rPr>
          <w:szCs w:val="23"/>
        </w:rPr>
        <w:t>the impairment analyses</w:t>
      </w:r>
      <w:r w:rsidR="00D26B9F">
        <w:rPr>
          <w:szCs w:val="23"/>
        </w:rPr>
        <w:t>-</w:t>
      </w:r>
      <w:r w:rsidRPr="009A1285">
        <w:rPr>
          <w:szCs w:val="23"/>
        </w:rPr>
        <w:t xml:space="preserve">related documents created by its outside consultant, Deloitte.  </w:t>
      </w:r>
    </w:p>
    <w:p w14:paraId="073DAB27" w14:textId="77777777" w:rsidR="0051447D" w:rsidRPr="009A1285" w:rsidRDefault="0051447D" w:rsidP="009E130D">
      <w:pPr>
        <w:jc w:val="both"/>
        <w:rPr>
          <w:szCs w:val="23"/>
        </w:rPr>
      </w:pPr>
    </w:p>
    <w:p w14:paraId="63DBA420" w14:textId="66D73D6E" w:rsidR="009C72EE" w:rsidRPr="009A1285" w:rsidRDefault="009E130D" w:rsidP="009E130D">
      <w:pPr>
        <w:jc w:val="both"/>
        <w:rPr>
          <w:szCs w:val="23"/>
        </w:rPr>
      </w:pPr>
      <w:r w:rsidRPr="009A1285">
        <w:rPr>
          <w:szCs w:val="23"/>
        </w:rPr>
        <w:t>Based on representations from DP&amp;L’s counsel, DP&amp;L has waived all of its objections to the disclosure of the Deloitte documents except confidentiality.  DP&amp;L’s counsel has represented that DP&amp;L is willing to produce these documents to IEU-Ohio but is currently under a contract</w:t>
      </w:r>
      <w:r w:rsidR="0051447D" w:rsidRPr="009A1285">
        <w:rPr>
          <w:szCs w:val="23"/>
        </w:rPr>
        <w:t>ual</w:t>
      </w:r>
      <w:r w:rsidRPr="009A1285">
        <w:rPr>
          <w:szCs w:val="23"/>
        </w:rPr>
        <w:t xml:space="preserve"> obligation with Deloitte to not disclose the documents.  Deloitte has provided</w:t>
      </w:r>
      <w:r w:rsidR="0051447D" w:rsidRPr="009A1285">
        <w:rPr>
          <w:szCs w:val="23"/>
        </w:rPr>
        <w:t xml:space="preserve"> IEU-Ohio,</w:t>
      </w:r>
      <w:r w:rsidRPr="009A1285">
        <w:rPr>
          <w:szCs w:val="23"/>
        </w:rPr>
        <w:t xml:space="preserve"> through counsel for DP&amp;L</w:t>
      </w:r>
      <w:r w:rsidR="0051447D" w:rsidRPr="009A1285">
        <w:rPr>
          <w:szCs w:val="23"/>
        </w:rPr>
        <w:t>,</w:t>
      </w:r>
      <w:r w:rsidRPr="009A1285">
        <w:rPr>
          <w:szCs w:val="23"/>
        </w:rPr>
        <w:t xml:space="preserve"> with two letters that propose terms and conditions upon which Deloitte would allow DP&amp;L to release the documents to IEU-Ohio (the letters contain the same terms and conditions).  Among other issues with Deloitte’s </w:t>
      </w:r>
      <w:r w:rsidR="0051447D" w:rsidRPr="009A1285">
        <w:rPr>
          <w:szCs w:val="23"/>
        </w:rPr>
        <w:t xml:space="preserve">proposal </w:t>
      </w:r>
      <w:r w:rsidRPr="009A1285">
        <w:rPr>
          <w:szCs w:val="23"/>
        </w:rPr>
        <w:t>is that it would prohibit IEU-Ohio from disclosing the documents or the information in the documents to anyone but DP&amp;L and Deloitte.  Thus, under Deloitte’s proposed conditions of release</w:t>
      </w:r>
      <w:r w:rsidR="00847DEB">
        <w:rPr>
          <w:szCs w:val="23"/>
        </w:rPr>
        <w:t>,</w:t>
      </w:r>
      <w:r w:rsidRPr="009A1285">
        <w:rPr>
          <w:szCs w:val="23"/>
        </w:rPr>
        <w:t xml:space="preserve"> IEU-Ohio would be prohibited from using these documents or the information contained therein at the hearing</w:t>
      </w:r>
      <w:r w:rsidR="004D6066">
        <w:rPr>
          <w:szCs w:val="23"/>
        </w:rPr>
        <w:t xml:space="preserve"> in this matter</w:t>
      </w:r>
      <w:r w:rsidRPr="009A1285">
        <w:rPr>
          <w:szCs w:val="23"/>
        </w:rPr>
        <w:t xml:space="preserve">.  </w:t>
      </w:r>
    </w:p>
    <w:p w14:paraId="7C3438DC" w14:textId="77777777" w:rsidR="009C72EE" w:rsidRPr="009A1285" w:rsidRDefault="009C72EE" w:rsidP="009E130D">
      <w:pPr>
        <w:jc w:val="both"/>
        <w:rPr>
          <w:szCs w:val="23"/>
        </w:rPr>
      </w:pPr>
    </w:p>
    <w:p w14:paraId="7A765CEF" w14:textId="1088B76F" w:rsidR="009E130D" w:rsidRPr="009A1285" w:rsidRDefault="009E130D" w:rsidP="009E130D">
      <w:pPr>
        <w:jc w:val="both"/>
        <w:rPr>
          <w:szCs w:val="23"/>
        </w:rPr>
      </w:pPr>
      <w:r w:rsidRPr="009A1285">
        <w:rPr>
          <w:szCs w:val="23"/>
        </w:rPr>
        <w:t xml:space="preserve">IEU-Ohio twice conveyed its disagreement with </w:t>
      </w:r>
      <w:r w:rsidR="004D6066">
        <w:rPr>
          <w:szCs w:val="23"/>
        </w:rPr>
        <w:t>the terms proposed by Deloitte</w:t>
      </w:r>
      <w:r w:rsidRPr="009A1285">
        <w:rPr>
          <w:szCs w:val="23"/>
        </w:rPr>
        <w:t>, but to date has not satisfactorily resolved the issue with DP&amp;L and Deloitte.</w:t>
      </w:r>
      <w:r w:rsidR="000708BC" w:rsidRPr="009A1285">
        <w:rPr>
          <w:szCs w:val="23"/>
        </w:rPr>
        <w:t xml:space="preserve">  IEU-Ohio has proposed to</w:t>
      </w:r>
      <w:r w:rsidR="009C72EE" w:rsidRPr="009A1285">
        <w:rPr>
          <w:szCs w:val="23"/>
        </w:rPr>
        <w:t xml:space="preserve"> treat the Deloitte-related documents as confidential (if so designated by DP&amp;L) pursuant to the protective agreement that IEU-Ohio and DP&amp;L have entered </w:t>
      </w:r>
      <w:r w:rsidR="00847DEB">
        <w:rPr>
          <w:szCs w:val="23"/>
        </w:rPr>
        <w:t>in</w:t>
      </w:r>
      <w:r w:rsidR="009C72EE" w:rsidRPr="009A1285">
        <w:rPr>
          <w:szCs w:val="23"/>
        </w:rPr>
        <w:t xml:space="preserve">to in this proceeding.  IEU-Ohio is unaware of any uniqueness as to the Deloitte-related documents that would render the existing protective </w:t>
      </w:r>
      <w:r w:rsidR="004660AC" w:rsidRPr="009A1285">
        <w:rPr>
          <w:szCs w:val="23"/>
        </w:rPr>
        <w:lastRenderedPageBreak/>
        <w:t xml:space="preserve">agreement </w:t>
      </w:r>
      <w:r w:rsidR="009C72EE" w:rsidRPr="009A1285">
        <w:rPr>
          <w:szCs w:val="23"/>
        </w:rPr>
        <w:t xml:space="preserve">unsatisfactory to protect the confidential nature of the documents.  </w:t>
      </w:r>
      <w:r w:rsidR="00D62AD3" w:rsidRPr="009A1285">
        <w:rPr>
          <w:szCs w:val="23"/>
        </w:rPr>
        <w:t xml:space="preserve">The protective agreement between DP&amp;L and IEU-Ohio </w:t>
      </w:r>
      <w:r w:rsidR="00134867">
        <w:rPr>
          <w:szCs w:val="23"/>
        </w:rPr>
        <w:t xml:space="preserve">(Attachment C) </w:t>
      </w:r>
      <w:r w:rsidR="00D62AD3" w:rsidRPr="009A1285">
        <w:rPr>
          <w:szCs w:val="23"/>
        </w:rPr>
        <w:t>is attached to this letter as are the two letters from Deloitte</w:t>
      </w:r>
      <w:r w:rsidR="00134867">
        <w:rPr>
          <w:szCs w:val="23"/>
        </w:rPr>
        <w:t xml:space="preserve"> (see Attachments A and B)</w:t>
      </w:r>
      <w:r w:rsidR="00D62AD3" w:rsidRPr="009A1285">
        <w:rPr>
          <w:szCs w:val="23"/>
        </w:rPr>
        <w:t>.</w:t>
      </w:r>
    </w:p>
    <w:p w14:paraId="29D83755" w14:textId="77777777" w:rsidR="009E130D" w:rsidRPr="009A1285" w:rsidRDefault="009E130D" w:rsidP="009E130D">
      <w:pPr>
        <w:jc w:val="both"/>
        <w:rPr>
          <w:szCs w:val="23"/>
        </w:rPr>
      </w:pPr>
    </w:p>
    <w:p w14:paraId="66CF911E" w14:textId="67F1E148" w:rsidR="009E130D" w:rsidRPr="009A1285" w:rsidRDefault="009E130D" w:rsidP="009E130D">
      <w:pPr>
        <w:jc w:val="both"/>
        <w:rPr>
          <w:szCs w:val="23"/>
        </w:rPr>
      </w:pPr>
      <w:r w:rsidRPr="009A1285">
        <w:rPr>
          <w:szCs w:val="23"/>
        </w:rPr>
        <w:t xml:space="preserve">As briefed in IEU-Ohio’s Motion to Compel and </w:t>
      </w:r>
      <w:r w:rsidR="000708BC" w:rsidRPr="009A1285">
        <w:rPr>
          <w:szCs w:val="23"/>
        </w:rPr>
        <w:t xml:space="preserve">IEU-Ohio’s </w:t>
      </w:r>
      <w:r w:rsidRPr="009A1285">
        <w:rPr>
          <w:szCs w:val="23"/>
        </w:rPr>
        <w:t xml:space="preserve">Reply </w:t>
      </w:r>
      <w:r w:rsidR="009A5F01">
        <w:rPr>
          <w:szCs w:val="23"/>
        </w:rPr>
        <w:t>i</w:t>
      </w:r>
      <w:r w:rsidRPr="009A1285">
        <w:rPr>
          <w:szCs w:val="23"/>
        </w:rPr>
        <w:t>n Support</w:t>
      </w:r>
      <w:r w:rsidR="000708BC" w:rsidRPr="009A1285">
        <w:rPr>
          <w:szCs w:val="23"/>
        </w:rPr>
        <w:t xml:space="preserve"> of the Motion to Compel</w:t>
      </w:r>
      <w:r w:rsidRPr="009A1285">
        <w:rPr>
          <w:szCs w:val="23"/>
        </w:rPr>
        <w:t>, the Commission has the authority to order DP&amp;L to produce the documents to IEU-Ohio irrespective of any private contractual obligation DP&amp;L might have with Deloitte</w:t>
      </w:r>
      <w:r w:rsidR="00AE1590" w:rsidRPr="009A1285">
        <w:rPr>
          <w:szCs w:val="23"/>
        </w:rPr>
        <w:t xml:space="preserve"> (Motion to Compel at 9-12, Reply at 4-5)</w:t>
      </w:r>
      <w:r w:rsidRPr="009A1285">
        <w:rPr>
          <w:szCs w:val="23"/>
        </w:rPr>
        <w:t xml:space="preserve">.  </w:t>
      </w:r>
      <w:r w:rsidR="00622614" w:rsidRPr="009A1285">
        <w:rPr>
          <w:szCs w:val="23"/>
        </w:rPr>
        <w:t xml:space="preserve">Any issue with the confidentiality of these documents can be addressed within the framework of the </w:t>
      </w:r>
      <w:r w:rsidRPr="009A1285">
        <w:rPr>
          <w:szCs w:val="23"/>
        </w:rPr>
        <w:t xml:space="preserve">protective agreement that IEU-Ohio and DP&amp;L have entered </w:t>
      </w:r>
      <w:r w:rsidR="00622614" w:rsidRPr="009A1285">
        <w:rPr>
          <w:szCs w:val="23"/>
        </w:rPr>
        <w:t>in</w:t>
      </w:r>
      <w:r w:rsidRPr="009A1285">
        <w:rPr>
          <w:szCs w:val="23"/>
        </w:rPr>
        <w:t xml:space="preserve">to in this proceeding.  </w:t>
      </w:r>
    </w:p>
    <w:p w14:paraId="43FF128D" w14:textId="77777777" w:rsidR="009E130D" w:rsidRPr="009A1285" w:rsidRDefault="009E130D" w:rsidP="009E130D">
      <w:pPr>
        <w:jc w:val="both"/>
        <w:rPr>
          <w:szCs w:val="23"/>
        </w:rPr>
      </w:pPr>
    </w:p>
    <w:p w14:paraId="2B777F38" w14:textId="77777777" w:rsidR="009E130D" w:rsidRPr="009A1285" w:rsidRDefault="009E130D" w:rsidP="009E130D">
      <w:pPr>
        <w:jc w:val="both"/>
        <w:rPr>
          <w:szCs w:val="23"/>
        </w:rPr>
      </w:pPr>
      <w:r w:rsidRPr="009A1285">
        <w:rPr>
          <w:szCs w:val="23"/>
        </w:rPr>
        <w:t>This discovery dispute that is the subject of IEU-Ohio’s Motion to Compel dates back to IEU-Ohio</w:t>
      </w:r>
      <w:r w:rsidR="00847DEB">
        <w:rPr>
          <w:szCs w:val="23"/>
        </w:rPr>
        <w:t>’s</w:t>
      </w:r>
      <w:r w:rsidRPr="009A1285">
        <w:rPr>
          <w:szCs w:val="23"/>
        </w:rPr>
        <w:t xml:space="preserve"> </w:t>
      </w:r>
      <w:r w:rsidR="00847DEB" w:rsidRPr="009A1285">
        <w:rPr>
          <w:szCs w:val="23"/>
        </w:rPr>
        <w:t xml:space="preserve">fourth set of discovery </w:t>
      </w:r>
      <w:r w:rsidRPr="009A1285">
        <w:rPr>
          <w:szCs w:val="23"/>
        </w:rPr>
        <w:t xml:space="preserve">in this matter, which was served upon DP&amp;L on May 31, 2016.  In the six months that have passed, IEU-Ohio has expended considerable efforts to try to resolve the discovery issues both before and after IEU-Ohio filed its Motion to Compel, but IEU-Ohio’s efforts have been unsuccessful in completely resolving the matter.  </w:t>
      </w:r>
    </w:p>
    <w:p w14:paraId="22585293" w14:textId="77777777" w:rsidR="009E130D" w:rsidRPr="009A1285" w:rsidRDefault="009E130D" w:rsidP="009E130D">
      <w:pPr>
        <w:jc w:val="both"/>
        <w:rPr>
          <w:szCs w:val="23"/>
        </w:rPr>
      </w:pPr>
    </w:p>
    <w:p w14:paraId="316492F7" w14:textId="455C7DB1" w:rsidR="009E130D" w:rsidRPr="009A1285" w:rsidRDefault="009E130D" w:rsidP="009E130D">
      <w:pPr>
        <w:jc w:val="both"/>
        <w:rPr>
          <w:szCs w:val="23"/>
        </w:rPr>
      </w:pPr>
      <w:r w:rsidRPr="009A1285">
        <w:rPr>
          <w:szCs w:val="23"/>
        </w:rPr>
        <w:t xml:space="preserve">At the October 4, 2016 prehearing conference before Attorney Examiner McKenney, counsel for IEU-Ohio indicated that it would inform you if the issues underlying the Motion to Compel could not be resolved.  Accordingly, IEU-Ohio is hereby informing </w:t>
      </w:r>
      <w:r w:rsidR="004660AC" w:rsidRPr="009A1285">
        <w:rPr>
          <w:szCs w:val="23"/>
        </w:rPr>
        <w:t>you</w:t>
      </w:r>
      <w:r w:rsidRPr="009A1285">
        <w:rPr>
          <w:szCs w:val="23"/>
        </w:rPr>
        <w:t xml:space="preserve"> of the </w:t>
      </w:r>
      <w:r w:rsidR="00D15019" w:rsidRPr="009A1285">
        <w:rPr>
          <w:szCs w:val="23"/>
        </w:rPr>
        <w:t>unresolved issue underlying the Motion to Compel</w:t>
      </w:r>
      <w:r w:rsidRPr="009A1285">
        <w:rPr>
          <w:szCs w:val="23"/>
        </w:rPr>
        <w:t xml:space="preserve"> and therefore requests that </w:t>
      </w:r>
      <w:r w:rsidR="004660AC" w:rsidRPr="009A1285">
        <w:rPr>
          <w:szCs w:val="23"/>
        </w:rPr>
        <w:t>you</w:t>
      </w:r>
      <w:r w:rsidRPr="009A1285">
        <w:rPr>
          <w:szCs w:val="23"/>
        </w:rPr>
        <w:t xml:space="preserve"> take up consideration of IEU-Ohio’s Motion to Compel and grant the </w:t>
      </w:r>
      <w:r w:rsidR="00847DEB">
        <w:rPr>
          <w:szCs w:val="23"/>
        </w:rPr>
        <w:t>M</w:t>
      </w:r>
      <w:r w:rsidRPr="009A1285">
        <w:rPr>
          <w:szCs w:val="23"/>
        </w:rPr>
        <w:t xml:space="preserve">otion.  Given that the only issue that remains is the disclosure restriction between DP&amp;L and Deloitte, IEU-Ohio believes that the Commission can grant the Motion to Compel without the need for a prehearing conference on the Motion.  </w:t>
      </w:r>
    </w:p>
    <w:p w14:paraId="7A66E518" w14:textId="77777777" w:rsidR="009E130D" w:rsidRPr="009A1285" w:rsidRDefault="009E130D" w:rsidP="009E130D">
      <w:pPr>
        <w:jc w:val="both"/>
        <w:rPr>
          <w:szCs w:val="23"/>
        </w:rPr>
      </w:pPr>
    </w:p>
    <w:bookmarkEnd w:id="0"/>
    <w:p w14:paraId="586FC1FA" w14:textId="77777777" w:rsidR="00266AE5" w:rsidRPr="009A1285" w:rsidRDefault="009E130D">
      <w:pPr>
        <w:pStyle w:val="Closing"/>
        <w:rPr>
          <w:szCs w:val="23"/>
        </w:rPr>
      </w:pPr>
      <w:r w:rsidRPr="009A1285">
        <w:rPr>
          <w:szCs w:val="23"/>
        </w:rPr>
        <w:t>Sincerely,</w:t>
      </w:r>
    </w:p>
    <w:p w14:paraId="52718230" w14:textId="77777777" w:rsidR="009A5F01" w:rsidRDefault="009A5F01">
      <w:pPr>
        <w:pStyle w:val="Closing"/>
        <w:rPr>
          <w:szCs w:val="23"/>
        </w:rPr>
      </w:pPr>
    </w:p>
    <w:p w14:paraId="679C5AA1" w14:textId="77777777" w:rsidR="009A5F01" w:rsidRDefault="009A5F01">
      <w:pPr>
        <w:pStyle w:val="Closing"/>
        <w:rPr>
          <w:szCs w:val="23"/>
        </w:rPr>
      </w:pPr>
    </w:p>
    <w:p w14:paraId="744DC19B" w14:textId="77777777" w:rsidR="009E130D" w:rsidRPr="008B24AD" w:rsidRDefault="009E130D" w:rsidP="009A5F01">
      <w:pPr>
        <w:pStyle w:val="Closing"/>
        <w:tabs>
          <w:tab w:val="right" w:pos="3600"/>
        </w:tabs>
        <w:rPr>
          <w:i/>
          <w:szCs w:val="23"/>
          <w:u w:val="single"/>
        </w:rPr>
      </w:pPr>
      <w:r w:rsidRPr="008B24AD">
        <w:rPr>
          <w:i/>
          <w:szCs w:val="23"/>
          <w:u w:val="single"/>
        </w:rPr>
        <w:t>/s/ Matthew R. Pritchard</w:t>
      </w:r>
      <w:r w:rsidR="009A5F01" w:rsidRPr="008B24AD">
        <w:rPr>
          <w:i/>
          <w:szCs w:val="23"/>
          <w:u w:val="single"/>
        </w:rPr>
        <w:tab/>
      </w:r>
    </w:p>
    <w:p w14:paraId="66093F75" w14:textId="77777777" w:rsidR="009A5F01" w:rsidRPr="009A1285" w:rsidRDefault="009A5F01">
      <w:pPr>
        <w:pStyle w:val="Closing"/>
        <w:rPr>
          <w:szCs w:val="23"/>
        </w:rPr>
      </w:pPr>
      <w:r>
        <w:rPr>
          <w:szCs w:val="23"/>
        </w:rPr>
        <w:t>Matthew R. Pritchard</w:t>
      </w:r>
    </w:p>
    <w:p w14:paraId="0BD457EE" w14:textId="77777777" w:rsidR="009E130D" w:rsidRPr="009A1285" w:rsidRDefault="009E130D">
      <w:pPr>
        <w:rPr>
          <w:szCs w:val="23"/>
        </w:rPr>
      </w:pPr>
      <w:r w:rsidRPr="009A1285">
        <w:rPr>
          <w:szCs w:val="23"/>
        </w:rPr>
        <w:t>Counsel for IEU-Ohio</w:t>
      </w:r>
    </w:p>
    <w:p w14:paraId="6C3DF291" w14:textId="77777777" w:rsidR="00266AE5" w:rsidRPr="009A1285" w:rsidRDefault="00266AE5">
      <w:pPr>
        <w:rPr>
          <w:szCs w:val="23"/>
        </w:rPr>
      </w:pPr>
    </w:p>
    <w:p w14:paraId="1F8F8BDB" w14:textId="77777777" w:rsidR="00266AE5" w:rsidRPr="009A1285" w:rsidRDefault="00266AE5">
      <w:pPr>
        <w:pStyle w:val="RecipientName"/>
        <w:rPr>
          <w:szCs w:val="23"/>
        </w:rPr>
      </w:pPr>
    </w:p>
    <w:p w14:paraId="06BE0BEA" w14:textId="68833EC3" w:rsidR="00266AE5" w:rsidRPr="008B24AD" w:rsidRDefault="008B24AD">
      <w:pPr>
        <w:spacing w:line="240" w:lineRule="exact"/>
        <w:rPr>
          <w:sz w:val="20"/>
        </w:rPr>
      </w:pPr>
      <w:r w:rsidRPr="008B24AD">
        <w:rPr>
          <w:sz w:val="20"/>
        </w:rPr>
        <w:t>MRP:dr</w:t>
      </w:r>
    </w:p>
    <w:p w14:paraId="0E0BBD3F" w14:textId="71673DFD" w:rsidR="008B24AD" w:rsidRDefault="008B24AD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Attachments</w:t>
      </w:r>
    </w:p>
    <w:p w14:paraId="20C20541" w14:textId="14832C64" w:rsidR="008B24AD" w:rsidRDefault="008B24AD">
      <w:pPr>
        <w:spacing w:line="240" w:lineRule="exact"/>
        <w:rPr>
          <w:sz w:val="22"/>
          <w:szCs w:val="22"/>
        </w:rPr>
      </w:pPr>
    </w:p>
    <w:p w14:paraId="074AAFB4" w14:textId="54C0C5C7" w:rsidR="008B24AD" w:rsidRDefault="008B24AD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Parties of Record (w/Attachments)</w:t>
      </w:r>
    </w:p>
    <w:p w14:paraId="02703CE9" w14:textId="076504E9" w:rsidR="002E14EE" w:rsidRDefault="002E14EE">
      <w:pPr>
        <w:rPr>
          <w:sz w:val="22"/>
          <w:szCs w:val="22"/>
        </w:rPr>
      </w:pPr>
    </w:p>
    <w:p w14:paraId="7729D5BC" w14:textId="3B1E08C5" w:rsidR="00150781" w:rsidRDefault="00150781">
      <w:pPr>
        <w:spacing w:line="240" w:lineRule="exact"/>
        <w:rPr>
          <w:sz w:val="22"/>
          <w:szCs w:val="22"/>
        </w:rPr>
      </w:pPr>
    </w:p>
    <w:p w14:paraId="7E1EB880" w14:textId="77777777" w:rsidR="001B361D" w:rsidRDefault="001B361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2ADA5F2" w14:textId="09222629" w:rsidR="002E14EE" w:rsidRPr="00D357A2" w:rsidRDefault="002E14EE" w:rsidP="00D357A2">
      <w:pPr>
        <w:spacing w:line="240" w:lineRule="exact"/>
        <w:jc w:val="center"/>
        <w:rPr>
          <w:b/>
          <w:sz w:val="22"/>
          <w:szCs w:val="22"/>
        </w:rPr>
      </w:pPr>
      <w:r w:rsidRPr="00D357A2">
        <w:rPr>
          <w:b/>
          <w:sz w:val="22"/>
          <w:szCs w:val="22"/>
        </w:rPr>
        <w:t>ATTACHMENTS A – C</w:t>
      </w:r>
      <w:bookmarkStart w:id="1" w:name="_GoBack"/>
      <w:bookmarkEnd w:id="1"/>
    </w:p>
    <w:p w14:paraId="5194D2E1" w14:textId="631B8CC4" w:rsidR="002E14EE" w:rsidRPr="00D357A2" w:rsidRDefault="002E14EE" w:rsidP="00D357A2">
      <w:pPr>
        <w:spacing w:line="240" w:lineRule="exact"/>
        <w:jc w:val="center"/>
        <w:rPr>
          <w:b/>
          <w:sz w:val="22"/>
          <w:szCs w:val="22"/>
        </w:rPr>
      </w:pPr>
      <w:r w:rsidRPr="00D357A2">
        <w:rPr>
          <w:b/>
          <w:sz w:val="22"/>
          <w:szCs w:val="22"/>
        </w:rPr>
        <w:t>ARE ATTACHED TO PDF VERSION OF DOCUMENT</w:t>
      </w:r>
    </w:p>
    <w:sectPr w:rsidR="002E14EE" w:rsidRPr="00D357A2">
      <w:headerReference w:type="default" r:id="rId7"/>
      <w:headerReference w:type="first" r:id="rId8"/>
      <w:footerReference w:type="first" r:id="rId9"/>
      <w:type w:val="oddPage"/>
      <w:pgSz w:w="12240" w:h="15840" w:code="1"/>
      <w:pgMar w:top="2520" w:right="1166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2F23F" w14:textId="77777777" w:rsidR="009E130D" w:rsidRDefault="009E130D">
      <w:r>
        <w:separator/>
      </w:r>
    </w:p>
  </w:endnote>
  <w:endnote w:type="continuationSeparator" w:id="0">
    <w:p w14:paraId="254D18EC" w14:textId="77777777" w:rsidR="009E130D" w:rsidRDefault="009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B9AD" w14:textId="56841FC5" w:rsidR="00266AE5" w:rsidRDefault="005D4E60">
    <w:pPr>
      <w:pStyle w:val="Footer"/>
      <w:jc w:val="center"/>
      <w:rPr>
        <w:sz w:val="16"/>
      </w:rPr>
    </w:pPr>
    <w:r w:rsidRPr="005D4E60">
      <w:rPr>
        <w:noProof/>
        <w:sz w:val="16"/>
      </w:rPr>
      <w:drawing>
        <wp:inline distT="0" distB="0" distL="0" distR="0" wp14:anchorId="764BEEE3" wp14:editId="5A1864A3">
          <wp:extent cx="5943600" cy="414655"/>
          <wp:effectExtent l="0" t="0" r="0" b="0"/>
          <wp:docPr id="10" name="Picture 10" descr="N:\Programs\Office 2007\Word\TempDev\Ohio\BottomLetterhead_O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Office 2007\Word\TempDev\Ohio\BottomLetterhead_O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5A5D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9A9E3" wp14:editId="79308C52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2F7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D37DD" w14:textId="77777777" w:rsidR="009E130D" w:rsidRDefault="009E130D">
      <w:r>
        <w:separator/>
      </w:r>
    </w:p>
  </w:footnote>
  <w:footnote w:type="continuationSeparator" w:id="0">
    <w:p w14:paraId="1E1828A4" w14:textId="77777777" w:rsidR="009E130D" w:rsidRDefault="009E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2FA4" w14:textId="77777777" w:rsidR="00266AE5" w:rsidRDefault="00266AE5">
    <w:pPr>
      <w:pStyle w:val="Header"/>
    </w:pPr>
  </w:p>
  <w:p w14:paraId="65026E5C" w14:textId="77777777" w:rsidR="00266AE5" w:rsidRDefault="00266AE5">
    <w:pPr>
      <w:pStyle w:val="Header"/>
    </w:pPr>
  </w:p>
  <w:p w14:paraId="04E6D4D4" w14:textId="47B9DC62" w:rsidR="00266AE5" w:rsidRPr="009A1285" w:rsidRDefault="00E872C2">
    <w:pPr>
      <w:pStyle w:val="Header"/>
      <w:rPr>
        <w:szCs w:val="23"/>
      </w:rPr>
    </w:pPr>
    <w:bookmarkStart w:id="2" w:name="Recipients"/>
    <w:bookmarkEnd w:id="2"/>
    <w:r>
      <w:rPr>
        <w:szCs w:val="23"/>
      </w:rPr>
      <w:t>December 7, 2016</w:t>
    </w:r>
  </w:p>
  <w:p w14:paraId="267F7321" w14:textId="5680A0A3" w:rsidR="00266AE5" w:rsidRPr="009A1285" w:rsidRDefault="005D4E60">
    <w:pPr>
      <w:pStyle w:val="Header"/>
      <w:rPr>
        <w:rStyle w:val="PageNumber"/>
        <w:szCs w:val="23"/>
      </w:rPr>
    </w:pPr>
    <w:r w:rsidRPr="009A1285">
      <w:rPr>
        <w:szCs w:val="23"/>
      </w:rPr>
      <w:t xml:space="preserve">Page </w:t>
    </w:r>
    <w:r w:rsidRPr="009A1285">
      <w:rPr>
        <w:rStyle w:val="PageNumber"/>
        <w:szCs w:val="23"/>
      </w:rPr>
      <w:fldChar w:fldCharType="begin"/>
    </w:r>
    <w:r w:rsidRPr="009A1285">
      <w:rPr>
        <w:rStyle w:val="PageNumber"/>
        <w:szCs w:val="23"/>
      </w:rPr>
      <w:instrText xml:space="preserve"> PAGE </w:instrText>
    </w:r>
    <w:r w:rsidRPr="009A1285">
      <w:rPr>
        <w:rStyle w:val="PageNumber"/>
        <w:szCs w:val="23"/>
      </w:rPr>
      <w:fldChar w:fldCharType="separate"/>
    </w:r>
    <w:r w:rsidR="007C3CD5">
      <w:rPr>
        <w:rStyle w:val="PageNumber"/>
        <w:noProof/>
        <w:szCs w:val="23"/>
      </w:rPr>
      <w:t>3</w:t>
    </w:r>
    <w:r w:rsidRPr="009A1285">
      <w:rPr>
        <w:rStyle w:val="PageNumber"/>
        <w:szCs w:val="23"/>
      </w:rPr>
      <w:fldChar w:fldCharType="end"/>
    </w:r>
  </w:p>
  <w:p w14:paraId="02706F9D" w14:textId="77777777" w:rsidR="00266AE5" w:rsidRPr="009A1285" w:rsidRDefault="00266AE5">
    <w:pPr>
      <w:pStyle w:val="Header"/>
      <w:rPr>
        <w:rStyle w:val="PageNumber"/>
        <w:szCs w:val="23"/>
      </w:rPr>
    </w:pPr>
  </w:p>
  <w:p w14:paraId="2E769D79" w14:textId="77777777" w:rsidR="00266AE5" w:rsidRDefault="00266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172" w14:textId="77777777" w:rsidR="00266AE5" w:rsidRDefault="005D4E6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82530D" wp14:editId="1CB8EE2B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8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 wp14:anchorId="7D95B64B" wp14:editId="737F50CE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9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LTFontsClean" w:val="True"/>
  </w:docVars>
  <w:rsids>
    <w:rsidRoot w:val="009E130D"/>
    <w:rsid w:val="000708BC"/>
    <w:rsid w:val="000D190B"/>
    <w:rsid w:val="00134867"/>
    <w:rsid w:val="00150781"/>
    <w:rsid w:val="001B361D"/>
    <w:rsid w:val="00266AE5"/>
    <w:rsid w:val="002E14EE"/>
    <w:rsid w:val="004660AC"/>
    <w:rsid w:val="004D6066"/>
    <w:rsid w:val="0051447D"/>
    <w:rsid w:val="005D4E60"/>
    <w:rsid w:val="00622614"/>
    <w:rsid w:val="006C3723"/>
    <w:rsid w:val="006E4725"/>
    <w:rsid w:val="007C3CD5"/>
    <w:rsid w:val="00847DEB"/>
    <w:rsid w:val="008B24AD"/>
    <w:rsid w:val="00967F52"/>
    <w:rsid w:val="009A1285"/>
    <w:rsid w:val="009A5F01"/>
    <w:rsid w:val="009A7D08"/>
    <w:rsid w:val="009C72EE"/>
    <w:rsid w:val="009E130D"/>
    <w:rsid w:val="009F6C86"/>
    <w:rsid w:val="00A70332"/>
    <w:rsid w:val="00AE1590"/>
    <w:rsid w:val="00C679B3"/>
    <w:rsid w:val="00CC5A5D"/>
    <w:rsid w:val="00D15019"/>
    <w:rsid w:val="00D26B9F"/>
    <w:rsid w:val="00D357A2"/>
    <w:rsid w:val="00D62AD3"/>
    <w:rsid w:val="00E741A2"/>
    <w:rsid w:val="00E8430F"/>
    <w:rsid w:val="00E872C2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  <w14:docId w14:val="7C108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6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B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B9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B9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3787</Characters>
  <Application>Microsoft Office Word</Application>
  <DocSecurity>0</DocSecurity>
  <PresentationFormat/>
  <Lines>85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IEU-Ohio Letter to AEs RE Motion to Compel (16-395).docx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IEU-Ohio Letter to AEs RE Motion to Compel (16-395).docx</dc:title>
  <dc:subject/>
  <dc:creator/>
  <cp:keywords/>
  <cp:lastModifiedBy/>
  <cp:revision>1</cp:revision>
  <dcterms:created xsi:type="dcterms:W3CDTF">2016-12-07T19:53:00Z</dcterms:created>
  <dcterms:modified xsi:type="dcterms:W3CDTF">2016-12-07T19:57:00Z</dcterms:modified>
</cp:coreProperties>
</file>