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4.0.0 -->
  <w:body>
    <w:p w:rsidR="00306114" w:rsidRPr="00F644A9" w:rsidP="00306114">
      <w:pPr>
        <w:tabs>
          <w:tab w:val="center" w:pos="4320"/>
          <w:tab w:val="right" w:pos="8640"/>
        </w:tabs>
        <w:spacing w:after="0" w:line="240" w:lineRule="auto"/>
        <w:jc w:val="right"/>
        <w:rPr>
          <w:rFonts w:ascii="Times New Roman" w:eastAsia="Calibri" w:hAnsi="Times New Roman" w:cs="Times New Roman"/>
          <w:i/>
          <w:iCs/>
          <w:sz w:val="24"/>
          <w:szCs w:val="24"/>
        </w:rPr>
      </w:pPr>
      <w:bookmarkStart w:id="0" w:name="_GoBack"/>
      <w:bookmarkEnd w:id="0"/>
      <w:r w:rsidRPr="00F644A9">
        <w:rPr>
          <w:rFonts w:ascii="Times New Roman" w:eastAsia="Calibri" w:hAnsi="Times New Roman" w:cs="Times New Roman"/>
          <w:i/>
          <w:iCs/>
          <w:sz w:val="24"/>
          <w:szCs w:val="24"/>
        </w:rPr>
        <w:t>OCC EXHIBIT NO. ______</w:t>
      </w:r>
    </w:p>
    <w:p w:rsidR="00500C80" w:rsidP="00306114">
      <w:pPr>
        <w:spacing w:after="0" w:line="240" w:lineRule="auto"/>
        <w:jc w:val="center"/>
        <w:rPr>
          <w:rFonts w:ascii="Times New Roman" w:eastAsia="Calibri" w:hAnsi="Times New Roman" w:cs="Times New Roman"/>
          <w:b/>
          <w:bCs/>
          <w:sz w:val="24"/>
          <w:szCs w:val="24"/>
        </w:rPr>
      </w:pP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BEFORE</w:t>
      </w: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THE PUBLIC UTILITIES COMMISSION OF OHIO</w:t>
      </w:r>
    </w:p>
    <w:p w:rsidR="00306114" w:rsidRPr="00F644A9" w:rsidP="00306114">
      <w:pPr>
        <w:spacing w:after="0" w:line="240" w:lineRule="auto"/>
        <w:jc w:val="center"/>
        <w:rPr>
          <w:rFonts w:ascii="Times New Roman" w:eastAsia="Calibri" w:hAnsi="Times New Roman" w:cs="Times New Roman"/>
          <w:sz w:val="24"/>
          <w:szCs w:val="24"/>
        </w:rPr>
      </w:pPr>
    </w:p>
    <w:p w:rsidR="00306114" w:rsidRPr="00F644A9" w:rsidP="00306114">
      <w:pPr>
        <w:tabs>
          <w:tab w:val="left" w:pos="5898"/>
        </w:tabs>
        <w:spacing w:after="0" w:line="240" w:lineRule="auto"/>
        <w:jc w:val="center"/>
        <w:rPr>
          <w:rFonts w:ascii="Times New Roman" w:eastAsia="Calibri" w:hAnsi="Times New Roman" w:cs="Times New Roman"/>
          <w:b/>
          <w:bCs/>
          <w:sz w:val="24"/>
          <w:szCs w:val="24"/>
        </w:rPr>
      </w:pPr>
    </w:p>
    <w:tbl>
      <w:tblPr>
        <w:tblW w:w="9498" w:type="dxa"/>
        <w:jc w:val="center"/>
        <w:tblLook w:val="0000"/>
      </w:tblPr>
      <w:tblGrid>
        <w:gridCol w:w="4575"/>
        <w:gridCol w:w="453"/>
        <w:gridCol w:w="4470"/>
      </w:tblGrid>
      <w:tr w:rsidTr="003227F2">
        <w:tblPrEx>
          <w:tblW w:w="9498" w:type="dxa"/>
          <w:jc w:val="center"/>
          <w:tblLook w:val="0000"/>
        </w:tblPrEx>
        <w:trPr>
          <w:trHeight w:val="950"/>
          <w:jc w:val="center"/>
        </w:trPr>
        <w:tc>
          <w:tcPr>
            <w:tcW w:w="4575" w:type="dxa"/>
          </w:tcPr>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In the Matter of the Application of</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The Dayton Power and Light Company for Approval of Its Electric Security Plan.</w:t>
            </w:r>
          </w:p>
          <w:p w:rsidR="00306114" w:rsidRPr="00F644A9" w:rsidP="003227F2">
            <w:pPr>
              <w:spacing w:after="0" w:line="240" w:lineRule="auto"/>
              <w:rPr>
                <w:rFonts w:ascii="Times New Roman" w:eastAsia="Calibri" w:hAnsi="Times New Roman" w:cs="Times New Roman"/>
                <w:bCs/>
                <w:sz w:val="24"/>
                <w:szCs w:val="24"/>
              </w:rPr>
            </w:pP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In the Matter of the Application of</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The Dayton Power and Light Company for Approval of Revised Tariffs.</w:t>
            </w:r>
          </w:p>
          <w:p w:rsidR="00306114" w:rsidRPr="00F644A9" w:rsidP="003227F2">
            <w:pPr>
              <w:spacing w:after="0" w:line="240" w:lineRule="auto"/>
              <w:rPr>
                <w:rFonts w:ascii="Times New Roman" w:eastAsia="Calibri" w:hAnsi="Times New Roman" w:cs="Times New Roman"/>
                <w:bCs/>
                <w:sz w:val="24"/>
                <w:szCs w:val="24"/>
              </w:rPr>
            </w:pP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In the Matter of the Application of</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The Dayton Power and Light Company for Approval of Certain Accounting Authority Pursuant to Ohio Rev. Code § 4905.13.</w:t>
            </w:r>
          </w:p>
        </w:tc>
        <w:tc>
          <w:tcPr>
            <w:tcW w:w="453" w:type="dxa"/>
          </w:tcPr>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w:t>
            </w:r>
          </w:p>
        </w:tc>
        <w:tc>
          <w:tcPr>
            <w:tcW w:w="4470" w:type="dxa"/>
          </w:tcPr>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r w:rsidRPr="00F644A9">
              <w:rPr>
                <w:rFonts w:ascii="Times New Roman" w:eastAsia="Calibri" w:hAnsi="Times New Roman" w:cs="Times New Roman"/>
                <w:bCs/>
                <w:sz w:val="24"/>
                <w:szCs w:val="24"/>
                <w:lang w:val="es-ES"/>
              </w:rPr>
              <w:t>Case No. 16-395-EL-SSO</w:t>
            </w: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r w:rsidRPr="00F644A9">
              <w:rPr>
                <w:rFonts w:ascii="Times New Roman" w:eastAsia="Calibri" w:hAnsi="Times New Roman" w:cs="Times New Roman"/>
                <w:bCs/>
                <w:sz w:val="24"/>
                <w:szCs w:val="24"/>
                <w:lang w:val="es-ES"/>
              </w:rPr>
              <w:t>Case No. 16-396-EL-ATA</w:t>
            </w: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lang w:val="es-ES"/>
              </w:rPr>
            </w:pPr>
          </w:p>
          <w:p w:rsidR="00306114" w:rsidRPr="00F644A9" w:rsidP="003227F2">
            <w:pPr>
              <w:spacing w:after="0" w:line="240" w:lineRule="auto"/>
              <w:rPr>
                <w:rFonts w:ascii="Times New Roman" w:eastAsia="Calibri" w:hAnsi="Times New Roman" w:cs="Times New Roman"/>
                <w:bCs/>
                <w:sz w:val="24"/>
                <w:szCs w:val="24"/>
              </w:rPr>
            </w:pPr>
            <w:r w:rsidRPr="00F644A9">
              <w:rPr>
                <w:rFonts w:ascii="Times New Roman" w:eastAsia="Calibri" w:hAnsi="Times New Roman" w:cs="Times New Roman"/>
                <w:bCs/>
                <w:sz w:val="24"/>
                <w:szCs w:val="24"/>
              </w:rPr>
              <w:t>Case No. 16-397-EL-AAM</w:t>
            </w:r>
          </w:p>
        </w:tc>
      </w:tr>
    </w:tbl>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sz w:val="24"/>
          <w:szCs w:val="24"/>
        </w:rPr>
      </w:pPr>
    </w:p>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bCs/>
          <w:sz w:val="24"/>
          <w:szCs w:val="24"/>
        </w:rPr>
      </w:pP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DIRECT TESTIMONY</w:t>
      </w: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OF</w:t>
      </w: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ROBERT B. FORTNEY</w:t>
      </w:r>
    </w:p>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bCs/>
          <w:sz w:val="24"/>
          <w:szCs w:val="24"/>
        </w:rPr>
      </w:pP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 xml:space="preserve">On Behalf, of </w:t>
      </w:r>
    </w:p>
    <w:p w:rsidR="00306114" w:rsidRPr="00F644A9" w:rsidP="00306114">
      <w:pPr>
        <w:spacing w:after="0" w:line="240" w:lineRule="auto"/>
        <w:jc w:val="center"/>
        <w:rPr>
          <w:rFonts w:ascii="Times New Roman" w:eastAsia="Calibri" w:hAnsi="Times New Roman" w:cs="Times New Roman"/>
          <w:b/>
          <w:bCs/>
          <w:sz w:val="24"/>
          <w:szCs w:val="24"/>
        </w:rPr>
      </w:pPr>
      <w:r w:rsidRPr="00F644A9">
        <w:rPr>
          <w:rFonts w:ascii="Times New Roman" w:eastAsia="Calibri" w:hAnsi="Times New Roman" w:cs="Times New Roman"/>
          <w:b/>
          <w:bCs/>
          <w:sz w:val="24"/>
          <w:szCs w:val="24"/>
        </w:rPr>
        <w:t>The Office of the Ohio Consumers’ Counsel</w:t>
      </w:r>
    </w:p>
    <w:p w:rsidR="00306114" w:rsidRPr="00F644A9" w:rsidP="00306114">
      <w:pPr>
        <w:spacing w:after="0" w:line="240" w:lineRule="auto"/>
        <w:jc w:val="center"/>
        <w:rPr>
          <w:rFonts w:ascii="Times New Roman" w:eastAsia="Calibri" w:hAnsi="Times New Roman" w:cs="Times New Roman"/>
          <w:i/>
          <w:sz w:val="24"/>
          <w:szCs w:val="24"/>
        </w:rPr>
      </w:pPr>
      <w:r w:rsidRPr="00F644A9">
        <w:rPr>
          <w:rFonts w:ascii="Times New Roman" w:eastAsia="Calibri" w:hAnsi="Times New Roman" w:cs="Times New Roman"/>
          <w:i/>
          <w:sz w:val="24"/>
          <w:szCs w:val="24"/>
        </w:rPr>
        <w:t>10 West Broad Street, Suite 1800</w:t>
      </w:r>
    </w:p>
    <w:p w:rsidR="00306114" w:rsidRPr="00F644A9" w:rsidP="00306114">
      <w:pPr>
        <w:spacing w:after="0" w:line="240" w:lineRule="auto"/>
        <w:jc w:val="center"/>
        <w:rPr>
          <w:rFonts w:ascii="Times New Roman" w:eastAsia="Calibri" w:hAnsi="Times New Roman" w:cs="Times New Roman"/>
          <w:i/>
          <w:sz w:val="24"/>
          <w:szCs w:val="24"/>
        </w:rPr>
      </w:pPr>
      <w:r w:rsidRPr="00F644A9">
        <w:rPr>
          <w:rFonts w:ascii="Times New Roman" w:eastAsia="Calibri" w:hAnsi="Times New Roman" w:cs="Times New Roman"/>
          <w:i/>
          <w:sz w:val="24"/>
          <w:szCs w:val="24"/>
        </w:rPr>
        <w:t>Columbus, Ohio 43215-3485</w:t>
      </w:r>
    </w:p>
    <w:p w:rsidR="00306114" w:rsidRPr="007B2C5B" w:rsidP="00306114">
      <w:pPr>
        <w:spacing w:after="0" w:line="240" w:lineRule="auto"/>
        <w:jc w:val="center"/>
        <w:rPr>
          <w:rFonts w:ascii="Times New Roman" w:eastAsia="Calibri" w:hAnsi="Times New Roman" w:cs="Times New Roman"/>
          <w:bCs/>
          <w:sz w:val="24"/>
          <w:szCs w:val="24"/>
        </w:rPr>
      </w:pPr>
    </w:p>
    <w:p w:rsidR="00306114" w:rsidRPr="007B2C5B" w:rsidP="00306114">
      <w:pPr>
        <w:spacing w:after="0" w:line="240" w:lineRule="auto"/>
        <w:jc w:val="center"/>
        <w:rPr>
          <w:rFonts w:ascii="Times New Roman" w:eastAsia="Calibri" w:hAnsi="Times New Roman" w:cs="Times New Roman"/>
          <w:sz w:val="24"/>
          <w:szCs w:val="24"/>
        </w:rPr>
      </w:pPr>
    </w:p>
    <w:p w:rsidR="00306114" w:rsidRPr="007B2C5B" w:rsidP="00306114">
      <w:pPr>
        <w:spacing w:after="0" w:line="240" w:lineRule="auto"/>
        <w:jc w:val="center"/>
        <w:rPr>
          <w:rFonts w:ascii="Times New Roman" w:eastAsia="Calibri" w:hAnsi="Times New Roman" w:cs="Times New Roman"/>
          <w:sz w:val="24"/>
          <w:szCs w:val="24"/>
        </w:rPr>
      </w:pPr>
    </w:p>
    <w:p w:rsidR="00306114" w:rsidRPr="007B2C5B" w:rsidP="00306114">
      <w:pPr>
        <w:spacing w:after="0" w:line="240" w:lineRule="auto"/>
        <w:jc w:val="center"/>
        <w:rPr>
          <w:rFonts w:ascii="Times New Roman" w:eastAsia="Calibri" w:hAnsi="Times New Roman" w:cs="Times New Roman"/>
          <w:sz w:val="24"/>
          <w:szCs w:val="24"/>
        </w:rPr>
      </w:pPr>
    </w:p>
    <w:p w:rsidR="003227F2" w:rsidRPr="00F644A9" w:rsidP="00306114">
      <w:pPr>
        <w:jc w:val="center"/>
        <w:rPr>
          <w:rFonts w:ascii="Times New Roman" w:hAnsi="Times New Roman" w:cs="Times New Roman"/>
          <w:b/>
          <w:sz w:val="24"/>
          <w:szCs w:val="24"/>
        </w:rPr>
      </w:pPr>
      <w:r>
        <w:rPr>
          <w:rFonts w:ascii="Times New Roman" w:hAnsi="Times New Roman" w:cs="Times New Roman"/>
          <w:b/>
          <w:sz w:val="24"/>
          <w:szCs w:val="24"/>
        </w:rPr>
        <w:t>MARCH 29, 2017</w:t>
      </w:r>
    </w:p>
    <w:p w:rsidR="00306114" w:rsidRPr="00F644A9" w:rsidP="00306114">
      <w:pPr>
        <w:jc w:val="center"/>
        <w:rPr>
          <w:rFonts w:ascii="Times New Roman" w:hAnsi="Times New Roman" w:cs="Times New Roman"/>
          <w:sz w:val="24"/>
          <w:szCs w:val="24"/>
        </w:rPr>
        <w:sectPr w:rsidSect="00306114">
          <w:footerReference w:type="default" r:id="rId5"/>
          <w:pgSz w:w="12240" w:h="15840"/>
          <w:pgMar w:top="1440" w:right="1800" w:bottom="1440" w:left="1800" w:header="720" w:footer="720" w:gutter="0"/>
          <w:cols w:space="720"/>
          <w:docGrid w:linePitch="360"/>
        </w:sectPr>
      </w:pPr>
    </w:p>
    <w:p w:rsidR="00306114" w:rsidRPr="00F644A9" w:rsidP="007B2C5B">
      <w:pPr>
        <w:tabs>
          <w:tab w:val="left" w:pos="720"/>
        </w:tabs>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Q1.</w:t>
      </w:r>
      <w:r>
        <w:rPr>
          <w:rFonts w:ascii="Times New Roman" w:hAnsi="Times New Roman" w:cs="Times New Roman"/>
          <w:b/>
          <w:i/>
          <w:sz w:val="24"/>
          <w:szCs w:val="24"/>
        </w:rPr>
        <w:tab/>
      </w:r>
      <w:r w:rsidRPr="00F644A9">
        <w:rPr>
          <w:rFonts w:ascii="Times New Roman" w:hAnsi="Times New Roman" w:cs="Times New Roman"/>
          <w:b/>
          <w:i/>
          <w:sz w:val="24"/>
          <w:szCs w:val="24"/>
        </w:rPr>
        <w:t>PLEASE STATE YOUR NAME, ADDRESS AND POSITION.</w:t>
      </w:r>
    </w:p>
    <w:p w:rsidR="00306114" w:rsidRPr="00F644A9" w:rsidP="007B2C5B">
      <w:pPr>
        <w:tabs>
          <w:tab w:val="left" w:pos="720"/>
        </w:tabs>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A1.</w:t>
      </w:r>
      <w:r>
        <w:rPr>
          <w:rFonts w:ascii="Times New Roman" w:hAnsi="Times New Roman" w:cs="Times New Roman"/>
          <w:sz w:val="24"/>
          <w:szCs w:val="24"/>
        </w:rPr>
        <w:tab/>
      </w:r>
      <w:r w:rsidRPr="00F644A9">
        <w:rPr>
          <w:rFonts w:ascii="Times New Roman" w:hAnsi="Times New Roman" w:cs="Times New Roman"/>
          <w:sz w:val="24"/>
          <w:szCs w:val="24"/>
        </w:rPr>
        <w:t>My name is Robert B. Fortney.  My business address is 10 West Broad Street, Suite 1800, Columbus, Ohio 43215-3485.  I am employed by the Office of the Ohio Consumers’ Counsel (“OCC”) as a Rate Design and Cost of Service Analyst.</w:t>
      </w:r>
    </w:p>
    <w:p w:rsidR="00306114" w:rsidRPr="00F644A9" w:rsidP="007B2C5B">
      <w:pPr>
        <w:spacing w:after="0" w:line="480" w:lineRule="auto"/>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Q2.</w:t>
      </w:r>
      <w:r>
        <w:rPr>
          <w:rFonts w:ascii="Times New Roman" w:hAnsi="Times New Roman" w:cs="Times New Roman"/>
          <w:b/>
          <w:i/>
          <w:sz w:val="24"/>
          <w:szCs w:val="24"/>
        </w:rPr>
        <w:tab/>
      </w:r>
      <w:r w:rsidRPr="00F644A9">
        <w:rPr>
          <w:rFonts w:ascii="Times New Roman" w:hAnsi="Times New Roman" w:cs="Times New Roman"/>
          <w:b/>
          <w:i/>
          <w:sz w:val="24"/>
          <w:szCs w:val="24"/>
        </w:rPr>
        <w:t>WHAT ARE YOUR RESPONSIBILITIES AS A RATE DESIGN AND COST OF SERVICE ANALYST?</w:t>
      </w:r>
    </w:p>
    <w:p w:rsidR="00306114"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A2</w:t>
      </w:r>
      <w:r>
        <w:rPr>
          <w:rFonts w:ascii="Times New Roman" w:hAnsi="Times New Roman" w:cs="Times New Roman"/>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I am responsible for investigating utility applications regarding rate and tariff activities related to tariff language, cost of service studies, revenue distribution, cost allocation</w:t>
      </w:r>
      <w:r>
        <w:rPr>
          <w:rFonts w:ascii="Times New Roman" w:hAnsi="Times New Roman" w:cs="Times New Roman"/>
          <w:sz w:val="24"/>
          <w:szCs w:val="24"/>
        </w:rPr>
        <w:t>,</w:t>
      </w:r>
      <w:r w:rsidRPr="00F644A9">
        <w:rPr>
          <w:rFonts w:ascii="Times New Roman" w:hAnsi="Times New Roman" w:cs="Times New Roman"/>
          <w:sz w:val="24"/>
          <w:szCs w:val="24"/>
        </w:rPr>
        <w:t xml:space="preserve"> and rate design that impact the residential consumers of Ohio.  My primary focus is to make recommendations to protect residential consumers from unnecessary utility rate increases and unfair regulatory practices.</w:t>
      </w:r>
    </w:p>
    <w:p w:rsidR="007B2C5B" w:rsidRPr="00F644A9"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Q3.</w:t>
      </w:r>
      <w:r>
        <w:rPr>
          <w:rFonts w:ascii="Times New Roman" w:hAnsi="Times New Roman" w:cs="Times New Roman"/>
          <w:b/>
          <w:i/>
          <w:sz w:val="24"/>
          <w:szCs w:val="24"/>
        </w:rPr>
        <w:tab/>
      </w:r>
      <w:r w:rsidRPr="00F644A9">
        <w:rPr>
          <w:rFonts w:ascii="Times New Roman" w:hAnsi="Times New Roman" w:cs="Times New Roman"/>
          <w:b/>
          <w:i/>
          <w:sz w:val="24"/>
          <w:szCs w:val="24"/>
        </w:rPr>
        <w:t>PLEASE SUMMARIZE YOUR EDUCATIONAL BACKGROUND.</w:t>
      </w:r>
    </w:p>
    <w:p w:rsidR="00306114" w:rsidRPr="00F644A9"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A3</w:t>
      </w:r>
      <w:r>
        <w:rPr>
          <w:rFonts w:ascii="Times New Roman" w:hAnsi="Times New Roman" w:cs="Times New Roman"/>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I earned a Bachelor of Science degree in Business Administration from Ball State University in Muncie, Indiana in 1971.  I earned a Master of Business Administration degree from the University of Dayton in 1979.</w:t>
      </w:r>
    </w:p>
    <w:p w:rsidR="00306114" w:rsidRPr="00F644A9" w:rsidP="007B2C5B">
      <w:pPr>
        <w:spacing w:after="0" w:line="480" w:lineRule="auto"/>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Q4.</w:t>
      </w:r>
      <w:r>
        <w:rPr>
          <w:rFonts w:ascii="Times New Roman" w:hAnsi="Times New Roman" w:cs="Times New Roman"/>
          <w:b/>
          <w:i/>
          <w:sz w:val="24"/>
          <w:szCs w:val="24"/>
        </w:rPr>
        <w:tab/>
      </w:r>
      <w:r w:rsidRPr="00F644A9">
        <w:rPr>
          <w:rFonts w:ascii="Times New Roman" w:hAnsi="Times New Roman" w:cs="Times New Roman"/>
          <w:b/>
          <w:i/>
          <w:sz w:val="24"/>
          <w:szCs w:val="24"/>
        </w:rPr>
        <w:t>PLEASE SUMMARIZE YOUR PROFESSIONAL BACKGROUND AS IT RELATES TO UTILITY REGULATION.</w:t>
      </w:r>
    </w:p>
    <w:p w:rsidR="00306114" w:rsidRPr="00F644A9"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A4.</w:t>
      </w:r>
      <w:r>
        <w:rPr>
          <w:rFonts w:ascii="Times New Roman" w:hAnsi="Times New Roman" w:cs="Times New Roman"/>
          <w:sz w:val="24"/>
          <w:szCs w:val="24"/>
        </w:rPr>
        <w:tab/>
      </w:r>
      <w:r w:rsidRPr="00F644A9">
        <w:rPr>
          <w:rFonts w:ascii="Times New Roman" w:hAnsi="Times New Roman" w:cs="Times New Roman"/>
          <w:sz w:val="24"/>
          <w:szCs w:val="24"/>
        </w:rPr>
        <w:t xml:space="preserve">From July 1985 to August 2012, I was employed by the Public Utilities Commission of Ohio (“PUCO”).  During that time, I held a number of positions </w:t>
      </w:r>
      <w:r w:rsidRPr="00F644A9">
        <w:rPr>
          <w:rFonts w:ascii="Times New Roman" w:hAnsi="Times New Roman" w:cs="Times New Roman"/>
          <w:sz w:val="24"/>
          <w:szCs w:val="24"/>
        </w:rPr>
        <w:t>(e.g., Rate Analyst, Rate Analyst Supervisor, Public Utilities Administrator) in various divisions and departments that focused on utility applications rega</w:t>
      </w:r>
      <w:r>
        <w:rPr>
          <w:rFonts w:ascii="Times New Roman" w:hAnsi="Times New Roman" w:cs="Times New Roman"/>
          <w:sz w:val="24"/>
          <w:szCs w:val="24"/>
        </w:rPr>
        <w:t xml:space="preserve">rding rates and tariff issues. </w:t>
      </w:r>
      <w:r w:rsidRPr="00F644A9">
        <w:rPr>
          <w:rFonts w:ascii="Times New Roman" w:hAnsi="Times New Roman" w:cs="Times New Roman"/>
          <w:sz w:val="24"/>
          <w:szCs w:val="24"/>
        </w:rPr>
        <w:t xml:space="preserve"> In August 2012, I retired from the PUCO as a Public Utilities Administrator 2, Chief of the Rates and Tariffs Division, which focused on utility rates and tariff matters.  The role of that division was to investigate and analyze the rate- and tariff-related filings and applications of the electric, gas</w:t>
      </w:r>
      <w:r>
        <w:rPr>
          <w:rFonts w:ascii="Times New Roman" w:hAnsi="Times New Roman" w:cs="Times New Roman"/>
          <w:sz w:val="24"/>
          <w:szCs w:val="24"/>
        </w:rPr>
        <w:t>,</w:t>
      </w:r>
      <w:r w:rsidRPr="00F644A9">
        <w:rPr>
          <w:rFonts w:ascii="Times New Roman" w:hAnsi="Times New Roman" w:cs="Times New Roman"/>
          <w:sz w:val="24"/>
          <w:szCs w:val="24"/>
        </w:rPr>
        <w:t xml:space="preserve"> and water utilities regulated by the PUCO and to make </w:t>
      </w:r>
      <w:r>
        <w:rPr>
          <w:rFonts w:ascii="Times New Roman" w:hAnsi="Times New Roman" w:cs="Times New Roman"/>
          <w:sz w:val="24"/>
          <w:szCs w:val="24"/>
        </w:rPr>
        <w:t>S</w:t>
      </w:r>
      <w:r w:rsidRPr="00F644A9">
        <w:rPr>
          <w:rFonts w:ascii="Times New Roman" w:hAnsi="Times New Roman" w:cs="Times New Roman"/>
          <w:sz w:val="24"/>
          <w:szCs w:val="24"/>
        </w:rPr>
        <w:t>taff recommendations to the PUCO regarding those filings.</w:t>
      </w:r>
    </w:p>
    <w:p w:rsidR="00306114" w:rsidRPr="00F644A9" w:rsidP="007B2C5B">
      <w:pPr>
        <w:spacing w:after="0" w:line="480" w:lineRule="auto"/>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Q5.</w:t>
      </w:r>
      <w:r>
        <w:rPr>
          <w:rFonts w:ascii="Times New Roman" w:hAnsi="Times New Roman" w:cs="Times New Roman"/>
          <w:b/>
          <w:i/>
          <w:sz w:val="24"/>
          <w:szCs w:val="24"/>
        </w:rPr>
        <w:tab/>
      </w:r>
      <w:r w:rsidRPr="00F644A9">
        <w:rPr>
          <w:rFonts w:ascii="Times New Roman" w:hAnsi="Times New Roman" w:cs="Times New Roman"/>
          <w:b/>
          <w:i/>
          <w:sz w:val="24"/>
          <w:szCs w:val="24"/>
        </w:rPr>
        <w:t>HAVE YOU PREVIOUSLY SUBMITTED TESTIMONY BEFORE THE PUCO?</w:t>
      </w:r>
    </w:p>
    <w:p w:rsidR="007B2C5B"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A5.</w:t>
      </w:r>
      <w:r>
        <w:rPr>
          <w:rFonts w:ascii="Times New Roman" w:hAnsi="Times New Roman" w:cs="Times New Roman"/>
          <w:sz w:val="24"/>
          <w:szCs w:val="24"/>
        </w:rPr>
        <w:tab/>
      </w:r>
      <w:r w:rsidRPr="00F644A9">
        <w:rPr>
          <w:rFonts w:ascii="Times New Roman" w:hAnsi="Times New Roman" w:cs="Times New Roman"/>
          <w:sz w:val="24"/>
          <w:szCs w:val="24"/>
        </w:rPr>
        <w:t>Yes.  I have testified on numerous occasions to advocate to the PUCO the positions of the PUCO Staff</w:t>
      </w:r>
      <w:r>
        <w:rPr>
          <w:rFonts w:ascii="Times New Roman" w:hAnsi="Times New Roman" w:cs="Times New Roman"/>
          <w:sz w:val="24"/>
          <w:szCs w:val="24"/>
        </w:rPr>
        <w:t xml:space="preserve"> (“Staff”)</w:t>
      </w:r>
      <w:r w:rsidRPr="00F644A9">
        <w:rPr>
          <w:rFonts w:ascii="Times New Roman" w:hAnsi="Times New Roman" w:cs="Times New Roman"/>
          <w:sz w:val="24"/>
          <w:szCs w:val="24"/>
        </w:rPr>
        <w:t xml:space="preserve">.  Over the course of my career at the PUCO, I often recommended to the PUCO cost allocation methodologies needed to develop a reasonable distribution of revenues.  I also was responsible for recommending reasonable rate designs needed to recover the revenue requirement, by class </w:t>
      </w:r>
      <w:r>
        <w:rPr>
          <w:rFonts w:ascii="Times New Roman" w:hAnsi="Times New Roman" w:cs="Times New Roman"/>
          <w:sz w:val="24"/>
          <w:szCs w:val="24"/>
        </w:rPr>
        <w:t xml:space="preserve">of service </w:t>
      </w:r>
      <w:r w:rsidRPr="00F644A9">
        <w:rPr>
          <w:rFonts w:ascii="Times New Roman" w:hAnsi="Times New Roman" w:cs="Times New Roman"/>
          <w:sz w:val="24"/>
          <w:szCs w:val="24"/>
        </w:rPr>
        <w:t xml:space="preserve">and in total.  </w:t>
      </w:r>
      <w:r>
        <w:rPr>
          <w:rFonts w:ascii="Times New Roman" w:hAnsi="Times New Roman" w:cs="Times New Roman"/>
          <w:sz w:val="24"/>
          <w:szCs w:val="24"/>
        </w:rPr>
        <w:t xml:space="preserve">In addition, </w:t>
      </w:r>
      <w:r w:rsidRPr="00F644A9">
        <w:rPr>
          <w:rFonts w:ascii="Times New Roman" w:hAnsi="Times New Roman" w:cs="Times New Roman"/>
          <w:sz w:val="24"/>
          <w:szCs w:val="24"/>
        </w:rPr>
        <w:t xml:space="preserve">I testified for </w:t>
      </w:r>
      <w:r>
        <w:rPr>
          <w:rFonts w:ascii="Times New Roman" w:hAnsi="Times New Roman" w:cs="Times New Roman"/>
          <w:sz w:val="24"/>
          <w:szCs w:val="24"/>
        </w:rPr>
        <w:t xml:space="preserve">the </w:t>
      </w:r>
      <w:r w:rsidRPr="00F644A9">
        <w:rPr>
          <w:rFonts w:ascii="Times New Roman" w:hAnsi="Times New Roman" w:cs="Times New Roman"/>
          <w:sz w:val="24"/>
          <w:szCs w:val="24"/>
        </w:rPr>
        <w:t>OCC in two proceedings since joining its staff.  A list of proceedings that I have submitted testimony to the PUCO is provided in Attachment RBF-1 to this testimony.</w:t>
      </w:r>
      <w:r>
        <w:rPr>
          <w:rFonts w:ascii="Times New Roman" w:hAnsi="Times New Roman" w:cs="Times New Roman"/>
          <w:b/>
          <w:i/>
          <w:sz w:val="24"/>
          <w:szCs w:val="24"/>
        </w:rPr>
        <w:br w:type="page"/>
      </w: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Q6.</w:t>
      </w:r>
      <w:r>
        <w:rPr>
          <w:rFonts w:ascii="Times New Roman" w:hAnsi="Times New Roman" w:cs="Times New Roman"/>
          <w:b/>
          <w:i/>
          <w:sz w:val="24"/>
          <w:szCs w:val="24"/>
        </w:rPr>
        <w:tab/>
      </w:r>
      <w:r w:rsidRPr="00F644A9">
        <w:rPr>
          <w:rFonts w:ascii="Times New Roman" w:hAnsi="Times New Roman" w:cs="Times New Roman"/>
          <w:b/>
          <w:i/>
          <w:sz w:val="24"/>
          <w:szCs w:val="24"/>
        </w:rPr>
        <w:t>WHAT DOCUMENTS HAVE YOU REVIEWED IN THE PREPARATION OF YOUR TESTIMONY?</w:t>
      </w:r>
    </w:p>
    <w:p w:rsidR="00306114" w:rsidRPr="00F644A9"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A6.</w:t>
      </w:r>
      <w:r>
        <w:rPr>
          <w:rFonts w:ascii="Times New Roman" w:hAnsi="Times New Roman" w:cs="Times New Roman"/>
          <w:sz w:val="24"/>
          <w:szCs w:val="24"/>
        </w:rPr>
        <w:tab/>
      </w:r>
      <w:r w:rsidRPr="00F644A9">
        <w:rPr>
          <w:rFonts w:ascii="Times New Roman" w:hAnsi="Times New Roman" w:cs="Times New Roman"/>
          <w:sz w:val="24"/>
          <w:szCs w:val="24"/>
        </w:rPr>
        <w:t>I have reviewed various filings by Dayton Power and Light Company (“DP&amp;L”</w:t>
      </w:r>
      <w:r>
        <w:rPr>
          <w:rFonts w:ascii="Times New Roman" w:hAnsi="Times New Roman" w:cs="Times New Roman"/>
          <w:sz w:val="24"/>
          <w:szCs w:val="24"/>
        </w:rPr>
        <w:t xml:space="preserve"> or “Utility”</w:t>
      </w:r>
      <w:r w:rsidRPr="00F644A9">
        <w:rPr>
          <w:rFonts w:ascii="Times New Roman" w:hAnsi="Times New Roman" w:cs="Times New Roman"/>
          <w:sz w:val="24"/>
          <w:szCs w:val="24"/>
        </w:rPr>
        <w:t xml:space="preserve">) in Case Nos. 02-2770-EL-ATA, 05-0276-EL-AIR, 08-1094-EL-SSO, 12-0426-EL-SSO and 16-0395-EL-SSO.  As related to case No. 16-0395-EL-SSO the filings include the application and amended application, various </w:t>
      </w:r>
      <w:r>
        <w:rPr>
          <w:rFonts w:ascii="Times New Roman" w:hAnsi="Times New Roman" w:cs="Times New Roman"/>
          <w:sz w:val="24"/>
          <w:szCs w:val="24"/>
        </w:rPr>
        <w:t>Utility</w:t>
      </w:r>
      <w:r w:rsidRPr="00F644A9">
        <w:rPr>
          <w:rFonts w:ascii="Times New Roman" w:hAnsi="Times New Roman" w:cs="Times New Roman"/>
          <w:sz w:val="24"/>
          <w:szCs w:val="24"/>
        </w:rPr>
        <w:t xml:space="preserve"> and intervenor testimonies, various responses to OCC Interrogatories</w:t>
      </w:r>
      <w:r>
        <w:rPr>
          <w:rFonts w:ascii="Times New Roman" w:hAnsi="Times New Roman" w:cs="Times New Roman"/>
          <w:sz w:val="24"/>
          <w:szCs w:val="24"/>
        </w:rPr>
        <w:t>,</w:t>
      </w:r>
      <w:r w:rsidRPr="00F644A9">
        <w:rPr>
          <w:rFonts w:ascii="Times New Roman" w:hAnsi="Times New Roman" w:cs="Times New Roman"/>
          <w:sz w:val="24"/>
          <w:szCs w:val="24"/>
        </w:rPr>
        <w:t xml:space="preserve"> the proposed Stipulation and </w:t>
      </w:r>
      <w:r w:rsidRPr="00901631">
        <w:rPr>
          <w:rFonts w:ascii="Times New Roman" w:hAnsi="Times New Roman" w:cs="Times New Roman"/>
          <w:sz w:val="24"/>
          <w:szCs w:val="24"/>
        </w:rPr>
        <w:t>Recommendation</w:t>
      </w:r>
      <w:r>
        <w:rPr>
          <w:rFonts w:ascii="Times New Roman" w:hAnsi="Times New Roman" w:cs="Times New Roman"/>
          <w:sz w:val="24"/>
          <w:szCs w:val="24"/>
        </w:rPr>
        <w:t xml:space="preserve"> filed on January 30, 2017, and the Amended Stipulation and Recommendation filed on March 13, 2017</w:t>
      </w:r>
      <w:r w:rsidRPr="00901631">
        <w:rPr>
          <w:rFonts w:ascii="Times New Roman" w:hAnsi="Times New Roman" w:cs="Times New Roman"/>
          <w:sz w:val="24"/>
          <w:szCs w:val="24"/>
        </w:rPr>
        <w:t xml:space="preserve"> (“the Settlement”) that is the subject of this hearing.</w:t>
      </w:r>
    </w:p>
    <w:p w:rsidR="00306114" w:rsidRPr="00F644A9"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Q7.</w:t>
      </w:r>
      <w:r>
        <w:rPr>
          <w:rFonts w:ascii="Times New Roman" w:hAnsi="Times New Roman" w:cs="Times New Roman"/>
          <w:b/>
          <w:i/>
          <w:sz w:val="24"/>
          <w:szCs w:val="24"/>
        </w:rPr>
        <w:tab/>
      </w:r>
      <w:r w:rsidRPr="00F644A9">
        <w:rPr>
          <w:rFonts w:ascii="Times New Roman" w:hAnsi="Times New Roman" w:cs="Times New Roman"/>
          <w:b/>
          <w:i/>
          <w:sz w:val="24"/>
          <w:szCs w:val="24"/>
        </w:rPr>
        <w:t>WHAT IS THE PURPOSE OF YOUR TESTIMONY IN THIS PROCEEDING?</w:t>
      </w:r>
    </w:p>
    <w:p w:rsidR="00C513BF" w:rsidP="007B2C5B">
      <w:pPr>
        <w:tabs>
          <w:tab w:val="left" w:pos="-720"/>
          <w:tab w:val="left" w:pos="0"/>
        </w:tabs>
        <w:suppressAutoHyphens/>
        <w:spacing w:after="0" w:line="480" w:lineRule="auto"/>
        <w:ind w:left="720" w:right="-90" w:hanging="720"/>
        <w:rPr>
          <w:rFonts w:ascii="Times New Roman" w:hAnsi="Times New Roman" w:cs="Times New Roman"/>
          <w:sz w:val="24"/>
          <w:szCs w:val="24"/>
        </w:rPr>
      </w:pPr>
      <w:r w:rsidRPr="00F644A9">
        <w:rPr>
          <w:rFonts w:ascii="Times New Roman" w:hAnsi="Times New Roman" w:cs="Times New Roman"/>
          <w:b/>
          <w:i/>
          <w:sz w:val="24"/>
          <w:szCs w:val="24"/>
        </w:rPr>
        <w:t>A7.</w:t>
      </w:r>
      <w:r>
        <w:rPr>
          <w:rFonts w:ascii="Times New Roman" w:hAnsi="Times New Roman" w:cs="Times New Roman"/>
          <w:sz w:val="24"/>
          <w:szCs w:val="24"/>
        </w:rPr>
        <w:tab/>
      </w:r>
      <w:r w:rsidRPr="00521AF2">
        <w:rPr>
          <w:rFonts w:ascii="Times New Roman" w:hAnsi="Times New Roman" w:cs="Times New Roman"/>
          <w:bCs/>
          <w:iCs/>
          <w:sz w:val="24"/>
          <w:szCs w:val="24"/>
        </w:rPr>
        <w:t xml:space="preserve">On </w:t>
      </w:r>
      <w:r>
        <w:rPr>
          <w:rFonts w:ascii="Times New Roman" w:hAnsi="Times New Roman" w:cs="Times New Roman"/>
          <w:bCs/>
          <w:iCs/>
          <w:sz w:val="24"/>
          <w:szCs w:val="24"/>
        </w:rPr>
        <w:t>March</w:t>
      </w:r>
      <w:r w:rsidRPr="00521AF2">
        <w:rPr>
          <w:rFonts w:ascii="Times New Roman" w:hAnsi="Times New Roman" w:cs="Times New Roman"/>
          <w:bCs/>
          <w:iCs/>
          <w:sz w:val="24"/>
          <w:szCs w:val="24"/>
        </w:rPr>
        <w:t xml:space="preserve"> </w:t>
      </w:r>
      <w:r>
        <w:rPr>
          <w:rFonts w:ascii="Times New Roman" w:hAnsi="Times New Roman" w:cs="Times New Roman"/>
          <w:bCs/>
          <w:iCs/>
          <w:sz w:val="24"/>
          <w:szCs w:val="24"/>
        </w:rPr>
        <w:t>13</w:t>
      </w:r>
      <w:r w:rsidRPr="00521AF2">
        <w:rPr>
          <w:rFonts w:ascii="Times New Roman" w:hAnsi="Times New Roman" w:cs="Times New Roman"/>
          <w:bCs/>
          <w:iCs/>
          <w:sz w:val="24"/>
          <w:szCs w:val="24"/>
        </w:rPr>
        <w:t>, 2017, DP&amp;L</w:t>
      </w:r>
      <w:r>
        <w:rPr>
          <w:rFonts w:ascii="Times New Roman" w:hAnsi="Times New Roman" w:cs="Times New Roman"/>
          <w:bCs/>
          <w:iCs/>
          <w:sz w:val="24"/>
          <w:szCs w:val="24"/>
        </w:rPr>
        <w:t xml:space="preserve"> </w:t>
      </w:r>
      <w:r w:rsidRPr="00521AF2">
        <w:rPr>
          <w:rFonts w:ascii="Times New Roman" w:hAnsi="Times New Roman" w:cs="Times New Roman"/>
          <w:bCs/>
          <w:iCs/>
          <w:sz w:val="24"/>
          <w:szCs w:val="24"/>
        </w:rPr>
        <w:t xml:space="preserve">filed a proposed </w:t>
      </w:r>
      <w:r>
        <w:rPr>
          <w:rFonts w:ascii="Times New Roman" w:hAnsi="Times New Roman" w:cs="Times New Roman"/>
          <w:bCs/>
          <w:iCs/>
          <w:sz w:val="24"/>
          <w:szCs w:val="24"/>
        </w:rPr>
        <w:t>Settlement</w:t>
      </w:r>
      <w:r w:rsidRPr="00521AF2">
        <w:rPr>
          <w:rFonts w:ascii="Times New Roman" w:hAnsi="Times New Roman" w:cs="Times New Roman"/>
          <w:bCs/>
          <w:iCs/>
          <w:sz w:val="24"/>
          <w:szCs w:val="24"/>
        </w:rPr>
        <w:t xml:space="preserve"> to </w:t>
      </w:r>
      <w:r>
        <w:rPr>
          <w:rFonts w:ascii="Times New Roman" w:hAnsi="Times New Roman" w:cs="Times New Roman"/>
          <w:bCs/>
          <w:iCs/>
          <w:sz w:val="24"/>
          <w:szCs w:val="24"/>
        </w:rPr>
        <w:t>resolve all issues in</w:t>
      </w:r>
      <w:r w:rsidRPr="00521AF2">
        <w:rPr>
          <w:rFonts w:ascii="Times New Roman" w:hAnsi="Times New Roman" w:cs="Times New Roman"/>
          <w:bCs/>
          <w:iCs/>
          <w:sz w:val="24"/>
          <w:szCs w:val="24"/>
        </w:rPr>
        <w:t xml:space="preserve"> its third electric security plan, which was originally filed on February 22, 2016</w:t>
      </w:r>
      <w:r>
        <w:rPr>
          <w:rFonts w:ascii="Times New Roman" w:hAnsi="Times New Roman" w:cs="Times New Roman"/>
          <w:bCs/>
          <w:iCs/>
          <w:sz w:val="24"/>
          <w:szCs w:val="24"/>
        </w:rPr>
        <w:t xml:space="preserve">.  </w:t>
      </w:r>
      <w:r>
        <w:rPr>
          <w:rFonts w:ascii="Times New Roman" w:hAnsi="Times New Roman" w:cs="Times New Roman"/>
          <w:sz w:val="24"/>
          <w:szCs w:val="24"/>
        </w:rPr>
        <w:t>Upon</w:t>
      </w:r>
      <w:r w:rsidRPr="00521AF2">
        <w:rPr>
          <w:rFonts w:ascii="Times New Roman" w:hAnsi="Times New Roman" w:cs="Times New Roman"/>
          <w:sz w:val="24"/>
          <w:szCs w:val="24"/>
        </w:rPr>
        <w:t xml:space="preserve"> considering the reasonableness of a settlement or stipulation, the </w:t>
      </w:r>
      <w:r>
        <w:rPr>
          <w:rFonts w:ascii="Times New Roman" w:hAnsi="Times New Roman" w:cs="Times New Roman"/>
          <w:sz w:val="24"/>
          <w:szCs w:val="24"/>
        </w:rPr>
        <w:t>PUCO</w:t>
      </w:r>
      <w:r w:rsidRPr="00521AF2">
        <w:rPr>
          <w:rFonts w:ascii="Times New Roman" w:hAnsi="Times New Roman" w:cs="Times New Roman"/>
          <w:sz w:val="24"/>
          <w:szCs w:val="24"/>
        </w:rPr>
        <w:t xml:space="preserve"> applies three criteria: </w:t>
      </w:r>
      <w:r>
        <w:rPr>
          <w:rFonts w:ascii="Times New Roman" w:hAnsi="Times New Roman" w:cs="Times New Roman"/>
          <w:sz w:val="24"/>
          <w:szCs w:val="24"/>
        </w:rPr>
        <w:t xml:space="preserve"> </w:t>
      </w:r>
      <w:r w:rsidRPr="00521AF2">
        <w:rPr>
          <w:rFonts w:ascii="Times New Roman" w:hAnsi="Times New Roman" w:cs="Times New Roman"/>
          <w:sz w:val="24"/>
          <w:szCs w:val="24"/>
        </w:rPr>
        <w:t xml:space="preserve">(1) Is the settlement a product of serious bargaining among capable, knowledgeable parties? (2) Does the settlement, as a package, benefit </w:t>
      </w:r>
      <w:r>
        <w:rPr>
          <w:rFonts w:ascii="Times New Roman" w:hAnsi="Times New Roman" w:cs="Times New Roman"/>
          <w:sz w:val="24"/>
          <w:szCs w:val="24"/>
        </w:rPr>
        <w:t>customers</w:t>
      </w:r>
      <w:r w:rsidRPr="00521AF2">
        <w:rPr>
          <w:rFonts w:ascii="Times New Roman" w:hAnsi="Times New Roman" w:cs="Times New Roman"/>
          <w:sz w:val="24"/>
          <w:szCs w:val="24"/>
        </w:rPr>
        <w:t xml:space="preserve"> and the public interest? (3) Does the settlement package violate any important re</w:t>
      </w:r>
      <w:r>
        <w:rPr>
          <w:rFonts w:ascii="Times New Roman" w:hAnsi="Times New Roman" w:cs="Times New Roman"/>
          <w:sz w:val="24"/>
          <w:szCs w:val="24"/>
        </w:rPr>
        <w:t>gulatory principle or practice?</w:t>
      </w:r>
    </w:p>
    <w:p w:rsidR="00C513BF" w:rsidP="007B2C5B">
      <w:pPr>
        <w:tabs>
          <w:tab w:val="left" w:pos="-720"/>
          <w:tab w:val="left" w:pos="0"/>
        </w:tabs>
        <w:suppressAutoHyphens/>
        <w:spacing w:after="0" w:line="480" w:lineRule="auto"/>
        <w:ind w:left="720" w:right="-90" w:hanging="720"/>
        <w:rPr>
          <w:rFonts w:ascii="Times New Roman" w:hAnsi="Times New Roman" w:cs="Times New Roman"/>
          <w:sz w:val="24"/>
          <w:szCs w:val="24"/>
        </w:rPr>
      </w:pPr>
    </w:p>
    <w:p w:rsidR="00EB1541" w:rsidP="00666AF4">
      <w:pPr>
        <w:tabs>
          <w:tab w:val="left" w:pos="-720"/>
          <w:tab w:val="left" w:pos="0"/>
        </w:tabs>
        <w:suppressAutoHyphens/>
        <w:spacing w:after="0" w:line="480" w:lineRule="auto"/>
        <w:ind w:left="720" w:right="-90"/>
        <w:rPr>
          <w:rFonts w:ascii="Times New Roman" w:hAnsi="Times New Roman" w:cs="Times New Roman"/>
          <w:sz w:val="24"/>
          <w:szCs w:val="24"/>
        </w:rPr>
      </w:pPr>
      <w:r w:rsidRPr="00521AF2">
        <w:rPr>
          <w:rFonts w:ascii="Times New Roman" w:hAnsi="Times New Roman" w:cs="Times New Roman"/>
          <w:sz w:val="24"/>
          <w:szCs w:val="24"/>
        </w:rPr>
        <w:t xml:space="preserve">The purpose of this Testimony is to address whether the </w:t>
      </w:r>
      <w:r w:rsidRPr="00F644A9">
        <w:rPr>
          <w:rFonts w:ascii="Times New Roman" w:hAnsi="Times New Roman" w:cs="Times New Roman"/>
          <w:sz w:val="24"/>
          <w:szCs w:val="24"/>
        </w:rPr>
        <w:t>allocation</w:t>
      </w:r>
      <w:r>
        <w:rPr>
          <w:rFonts w:ascii="Times New Roman" w:hAnsi="Times New Roman" w:cs="Times New Roman"/>
          <w:sz w:val="24"/>
          <w:szCs w:val="24"/>
        </w:rPr>
        <w:t xml:space="preserve"> </w:t>
      </w:r>
      <w:r w:rsidRPr="00F644A9">
        <w:rPr>
          <w:rFonts w:ascii="Times New Roman" w:hAnsi="Times New Roman" w:cs="Times New Roman"/>
          <w:sz w:val="24"/>
          <w:szCs w:val="24"/>
        </w:rPr>
        <w:t>of the costs associated with the D</w:t>
      </w:r>
      <w:r>
        <w:rPr>
          <w:rFonts w:ascii="Times New Roman" w:hAnsi="Times New Roman" w:cs="Times New Roman"/>
          <w:sz w:val="24"/>
          <w:szCs w:val="24"/>
        </w:rPr>
        <w:t xml:space="preserve">istribution </w:t>
      </w:r>
      <w:r w:rsidRPr="00F644A9">
        <w:rPr>
          <w:rFonts w:ascii="Times New Roman" w:hAnsi="Times New Roman" w:cs="Times New Roman"/>
          <w:sz w:val="24"/>
          <w:szCs w:val="24"/>
        </w:rPr>
        <w:t>M</w:t>
      </w:r>
      <w:r>
        <w:rPr>
          <w:rFonts w:ascii="Times New Roman" w:hAnsi="Times New Roman" w:cs="Times New Roman"/>
          <w:sz w:val="24"/>
          <w:szCs w:val="24"/>
        </w:rPr>
        <w:t xml:space="preserve">odernization </w:t>
      </w:r>
      <w:r w:rsidRPr="00F644A9">
        <w:rPr>
          <w:rFonts w:ascii="Times New Roman" w:hAnsi="Times New Roman" w:cs="Times New Roman"/>
          <w:sz w:val="24"/>
          <w:szCs w:val="24"/>
        </w:rPr>
        <w:t>R</w:t>
      </w:r>
      <w:r>
        <w:rPr>
          <w:rFonts w:ascii="Times New Roman" w:hAnsi="Times New Roman" w:cs="Times New Roman"/>
          <w:sz w:val="24"/>
          <w:szCs w:val="24"/>
        </w:rPr>
        <w:t>ider (“DMR”)</w:t>
      </w:r>
      <w:r w:rsidRPr="00EB1541">
        <w:rPr>
          <w:rFonts w:ascii="Times New Roman" w:hAnsi="Times New Roman" w:cs="Times New Roman"/>
          <w:sz w:val="24"/>
          <w:szCs w:val="24"/>
        </w:rPr>
        <w:t xml:space="preserve"> </w:t>
      </w:r>
      <w:r>
        <w:rPr>
          <w:rFonts w:ascii="Times New Roman" w:hAnsi="Times New Roman" w:cs="Times New Roman"/>
          <w:sz w:val="24"/>
          <w:szCs w:val="24"/>
        </w:rPr>
        <w:t xml:space="preserve">under the </w:t>
      </w:r>
      <w:r w:rsidRPr="00521AF2">
        <w:rPr>
          <w:rFonts w:ascii="Times New Roman" w:hAnsi="Times New Roman" w:cs="Times New Roman"/>
          <w:sz w:val="24"/>
          <w:szCs w:val="24"/>
        </w:rPr>
        <w:t>Settlement comport with criteria (2) and (3) of the three</w:t>
      </w:r>
      <w:r>
        <w:rPr>
          <w:rFonts w:ascii="Times New Roman" w:hAnsi="Times New Roman" w:cs="Times New Roman"/>
          <w:sz w:val="24"/>
          <w:szCs w:val="24"/>
        </w:rPr>
        <w:t>-</w:t>
      </w:r>
      <w:r w:rsidRPr="00521AF2">
        <w:rPr>
          <w:rFonts w:ascii="Times New Roman" w:hAnsi="Times New Roman" w:cs="Times New Roman"/>
          <w:sz w:val="24"/>
          <w:szCs w:val="24"/>
        </w:rPr>
        <w:t xml:space="preserve">part test employed by the </w:t>
      </w:r>
      <w:r>
        <w:rPr>
          <w:rFonts w:ascii="Times New Roman" w:hAnsi="Times New Roman" w:cs="Times New Roman"/>
          <w:sz w:val="24"/>
          <w:szCs w:val="24"/>
        </w:rPr>
        <w:t>PUCO</w:t>
      </w:r>
      <w:r w:rsidRPr="00521AF2">
        <w:rPr>
          <w:rFonts w:ascii="Times New Roman" w:hAnsi="Times New Roman" w:cs="Times New Roman"/>
          <w:sz w:val="24"/>
          <w:szCs w:val="24"/>
        </w:rPr>
        <w:t xml:space="preserve"> in the evaluation of proposed settlements.</w:t>
      </w:r>
    </w:p>
    <w:p w:rsidR="00ED4996" w:rsidRPr="00521AF2" w:rsidP="007B2C5B">
      <w:pPr>
        <w:tabs>
          <w:tab w:val="left" w:pos="-720"/>
          <w:tab w:val="left" w:pos="0"/>
        </w:tabs>
        <w:suppressAutoHyphens/>
        <w:spacing w:after="0" w:line="480" w:lineRule="auto"/>
        <w:ind w:left="720" w:right="-86" w:hanging="720"/>
        <w:rPr>
          <w:rFonts w:ascii="Times New Roman" w:hAnsi="Times New Roman" w:cs="Times New Roman"/>
          <w:sz w:val="24"/>
          <w:szCs w:val="24"/>
        </w:rPr>
      </w:pPr>
    </w:p>
    <w:p w:rsidR="00666AF4" w:rsidP="007B2C5B">
      <w:pPr>
        <w:spacing w:after="0" w:line="480" w:lineRule="auto"/>
        <w:ind w:left="720"/>
        <w:rPr>
          <w:rFonts w:ascii="Times New Roman" w:hAnsi="Times New Roman" w:cs="Times New Roman"/>
          <w:sz w:val="24"/>
          <w:szCs w:val="24"/>
        </w:rPr>
      </w:pPr>
      <w:r w:rsidRPr="00F644A9">
        <w:rPr>
          <w:rFonts w:ascii="Times New Roman" w:hAnsi="Times New Roman" w:cs="Times New Roman"/>
          <w:sz w:val="24"/>
          <w:szCs w:val="24"/>
        </w:rPr>
        <w:t>OCC opposes the DMR in principle.  However, if the PUCO find</w:t>
      </w:r>
      <w:r>
        <w:rPr>
          <w:rFonts w:ascii="Times New Roman" w:hAnsi="Times New Roman" w:cs="Times New Roman"/>
          <w:sz w:val="24"/>
          <w:szCs w:val="24"/>
        </w:rPr>
        <w:t>s</w:t>
      </w:r>
      <w:r w:rsidRPr="00F644A9">
        <w:rPr>
          <w:rFonts w:ascii="Times New Roman" w:hAnsi="Times New Roman" w:cs="Times New Roman"/>
          <w:sz w:val="24"/>
          <w:szCs w:val="24"/>
        </w:rPr>
        <w:t xml:space="preserve"> the DMR to be reasonable, in some form, my testimon</w:t>
      </w:r>
      <w:r>
        <w:rPr>
          <w:rFonts w:ascii="Times New Roman" w:hAnsi="Times New Roman" w:cs="Times New Roman"/>
          <w:sz w:val="24"/>
          <w:szCs w:val="24"/>
        </w:rPr>
        <w:t xml:space="preserve">y </w:t>
      </w:r>
      <w:r w:rsidRPr="00F644A9">
        <w:rPr>
          <w:rFonts w:ascii="Times New Roman" w:hAnsi="Times New Roman" w:cs="Times New Roman"/>
          <w:sz w:val="24"/>
          <w:szCs w:val="24"/>
        </w:rPr>
        <w:t>address</w:t>
      </w:r>
      <w:r>
        <w:rPr>
          <w:rFonts w:ascii="Times New Roman" w:hAnsi="Times New Roman" w:cs="Times New Roman"/>
          <w:sz w:val="24"/>
          <w:szCs w:val="24"/>
        </w:rPr>
        <w:t>es</w:t>
      </w:r>
      <w:r w:rsidRPr="00F644A9">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F644A9">
        <w:rPr>
          <w:rFonts w:ascii="Times New Roman" w:hAnsi="Times New Roman" w:cs="Times New Roman"/>
          <w:sz w:val="24"/>
          <w:szCs w:val="24"/>
        </w:rPr>
        <w:t>allocation</w:t>
      </w:r>
      <w:r>
        <w:rPr>
          <w:rFonts w:ascii="Times New Roman" w:hAnsi="Times New Roman" w:cs="Times New Roman"/>
          <w:sz w:val="24"/>
          <w:szCs w:val="24"/>
        </w:rPr>
        <w:t xml:space="preserve"> </w:t>
      </w:r>
      <w:r w:rsidRPr="00F644A9">
        <w:rPr>
          <w:rFonts w:ascii="Times New Roman" w:hAnsi="Times New Roman" w:cs="Times New Roman"/>
          <w:sz w:val="24"/>
          <w:szCs w:val="24"/>
        </w:rPr>
        <w:t>of the costs associated with the DMR.</w:t>
      </w:r>
    </w:p>
    <w:p w:rsidR="00906048" w:rsidP="007B2C5B">
      <w:pPr>
        <w:spacing w:after="0" w:line="480" w:lineRule="auto"/>
        <w:ind w:left="720"/>
        <w:rPr>
          <w:rFonts w:ascii="Times New Roman" w:hAnsi="Times New Roman" w:cs="Times New Roman"/>
          <w:sz w:val="24"/>
          <w:szCs w:val="24"/>
        </w:rPr>
      </w:pPr>
    </w:p>
    <w:p w:rsidR="009C4F7C" w:rsidRPr="00666AF4" w:rsidP="007B2C5B">
      <w:pPr>
        <w:spacing w:after="0" w:line="480" w:lineRule="auto"/>
        <w:ind w:left="720" w:hanging="720"/>
        <w:rPr>
          <w:rFonts w:ascii="Times New Roman" w:hAnsi="Times New Roman" w:cs="Times New Roman"/>
          <w:b/>
          <w:i/>
          <w:sz w:val="24"/>
          <w:szCs w:val="24"/>
        </w:rPr>
      </w:pPr>
      <w:r w:rsidRPr="00666AF4">
        <w:rPr>
          <w:rFonts w:ascii="Times New Roman" w:hAnsi="Times New Roman" w:cs="Times New Roman"/>
          <w:b/>
          <w:i/>
          <w:sz w:val="24"/>
          <w:szCs w:val="24"/>
        </w:rPr>
        <w:t>Q8.</w:t>
      </w:r>
      <w:r w:rsidRPr="00666AF4">
        <w:rPr>
          <w:rFonts w:ascii="Times New Roman" w:hAnsi="Times New Roman" w:cs="Times New Roman"/>
          <w:b/>
          <w:i/>
          <w:sz w:val="24"/>
          <w:szCs w:val="24"/>
        </w:rPr>
        <w:tab/>
        <w:t>ARE YOU TESTIFYING AS TO WHETHER THE ALLOCATION OF THE COSTS ASSOCIATED WITH THE DMR SETTLEMENT MEETS THE THREE PRONG TEST WHICH THE PUCO USES TO EVALUATE THE REASONABLENESS OF SETTLEMENTS?</w:t>
      </w:r>
    </w:p>
    <w:p w:rsidR="00521AF2" w:rsidP="007B2C5B">
      <w:pPr>
        <w:spacing w:after="0" w:line="480" w:lineRule="auto"/>
        <w:ind w:left="720" w:hanging="720"/>
        <w:rPr>
          <w:rFonts w:ascii="Times New Roman" w:hAnsi="Times New Roman" w:cs="Times New Roman"/>
          <w:sz w:val="24"/>
          <w:szCs w:val="24"/>
        </w:rPr>
      </w:pPr>
      <w:r>
        <w:rPr>
          <w:rFonts w:ascii="Times New Roman" w:hAnsi="Times New Roman" w:cs="Times New Roman"/>
          <w:b/>
          <w:i/>
          <w:sz w:val="24"/>
          <w:szCs w:val="24"/>
        </w:rPr>
        <w:t>A</w:t>
      </w:r>
      <w:r w:rsidRPr="00A719BA">
        <w:rPr>
          <w:rFonts w:ascii="Times New Roman" w:hAnsi="Times New Roman" w:cs="Times New Roman"/>
          <w:b/>
          <w:i/>
          <w:sz w:val="24"/>
          <w:szCs w:val="24"/>
        </w:rPr>
        <w:t>8</w:t>
      </w:r>
      <w:r>
        <w:rPr>
          <w:rFonts w:ascii="Times New Roman" w:hAnsi="Times New Roman" w:cs="Times New Roman"/>
          <w:b/>
          <w:i/>
          <w:sz w:val="24"/>
          <w:szCs w:val="24"/>
        </w:rPr>
        <w:t>.</w:t>
      </w:r>
      <w:r>
        <w:rPr>
          <w:rFonts w:ascii="Times New Roman" w:hAnsi="Times New Roman" w:cs="Times New Roman"/>
          <w:b/>
          <w:i/>
          <w:sz w:val="24"/>
          <w:szCs w:val="24"/>
        </w:rPr>
        <w:tab/>
      </w:r>
      <w:r w:rsidRPr="005879EC">
        <w:rPr>
          <w:rFonts w:ascii="Times New Roman" w:hAnsi="Times New Roman" w:cs="Times New Roman"/>
          <w:sz w:val="24"/>
          <w:szCs w:val="24"/>
        </w:rPr>
        <w:t>Yes.</w:t>
      </w:r>
      <w:r w:rsidRPr="005879EC">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E27343">
        <w:rPr>
          <w:rFonts w:ascii="Times New Roman" w:hAnsi="Times New Roman" w:cs="Times New Roman"/>
          <w:sz w:val="24"/>
          <w:szCs w:val="24"/>
        </w:rPr>
        <w:t>Other</w:t>
      </w:r>
      <w:r>
        <w:rPr>
          <w:rFonts w:ascii="Times New Roman" w:hAnsi="Times New Roman" w:cs="Times New Roman"/>
          <w:sz w:val="24"/>
          <w:szCs w:val="24"/>
        </w:rPr>
        <w:t xml:space="preserve"> OCC witnesses address the three-prong test as it relates to the Settlement as a whole and the DMR as a policy.  </w:t>
      </w:r>
      <w:r w:rsidRPr="006D7370">
        <w:rPr>
          <w:rFonts w:ascii="Times New Roman" w:hAnsi="Times New Roman" w:cs="Times New Roman"/>
          <w:sz w:val="24"/>
          <w:szCs w:val="24"/>
        </w:rPr>
        <w:t xml:space="preserve">However, </w:t>
      </w:r>
      <w:r>
        <w:rPr>
          <w:rFonts w:ascii="Times New Roman" w:hAnsi="Times New Roman" w:cs="Times New Roman"/>
          <w:sz w:val="24"/>
          <w:szCs w:val="24"/>
        </w:rPr>
        <w:t xml:space="preserve">if the PUCO were to find that the DMR, as a policy, is reasonable, then the </w:t>
      </w:r>
      <w:r w:rsidRPr="00F644A9">
        <w:rPr>
          <w:rFonts w:ascii="Times New Roman" w:hAnsi="Times New Roman" w:cs="Times New Roman"/>
          <w:sz w:val="24"/>
          <w:szCs w:val="24"/>
        </w:rPr>
        <w:t>allocation</w:t>
      </w:r>
      <w:r>
        <w:rPr>
          <w:rFonts w:ascii="Times New Roman" w:hAnsi="Times New Roman" w:cs="Times New Roman"/>
          <w:sz w:val="24"/>
          <w:szCs w:val="24"/>
        </w:rPr>
        <w:t xml:space="preserve"> </w:t>
      </w:r>
      <w:r w:rsidRPr="00F644A9">
        <w:rPr>
          <w:rFonts w:ascii="Times New Roman" w:hAnsi="Times New Roman" w:cs="Times New Roman"/>
          <w:sz w:val="24"/>
          <w:szCs w:val="24"/>
        </w:rPr>
        <w:t>of the costs associated with the DMR</w:t>
      </w:r>
      <w:r>
        <w:rPr>
          <w:rFonts w:ascii="Times New Roman" w:hAnsi="Times New Roman" w:cs="Times New Roman"/>
          <w:sz w:val="24"/>
          <w:szCs w:val="24"/>
        </w:rPr>
        <w:t xml:space="preserve"> under the Settlement violates both </w:t>
      </w:r>
      <w:r w:rsidRPr="006D7370">
        <w:rPr>
          <w:rFonts w:ascii="Times New Roman" w:hAnsi="Times New Roman" w:cs="Times New Roman"/>
          <w:sz w:val="24"/>
          <w:szCs w:val="24"/>
        </w:rPr>
        <w:t>the</w:t>
      </w:r>
      <w:r>
        <w:rPr>
          <w:rFonts w:ascii="Times New Roman" w:hAnsi="Times New Roman" w:cs="Times New Roman"/>
          <w:sz w:val="24"/>
          <w:szCs w:val="24"/>
        </w:rPr>
        <w:t xml:space="preserve"> second</w:t>
      </w:r>
      <w:r w:rsidRPr="006D7370">
        <w:rPr>
          <w:rFonts w:ascii="Times New Roman" w:hAnsi="Times New Roman" w:cs="Times New Roman"/>
          <w:sz w:val="24"/>
          <w:szCs w:val="24"/>
        </w:rPr>
        <w:t xml:space="preserve"> </w:t>
      </w:r>
      <w:r>
        <w:rPr>
          <w:rFonts w:ascii="Times New Roman" w:hAnsi="Times New Roman" w:cs="Times New Roman"/>
          <w:sz w:val="24"/>
          <w:szCs w:val="24"/>
        </w:rPr>
        <w:t xml:space="preserve">and third </w:t>
      </w:r>
      <w:r w:rsidRPr="006D7370">
        <w:rPr>
          <w:rFonts w:ascii="Times New Roman" w:hAnsi="Times New Roman" w:cs="Times New Roman"/>
          <w:sz w:val="24"/>
          <w:szCs w:val="24"/>
        </w:rPr>
        <w:t>prong</w:t>
      </w:r>
      <w:r>
        <w:rPr>
          <w:rFonts w:ascii="Times New Roman" w:hAnsi="Times New Roman" w:cs="Times New Roman"/>
          <w:sz w:val="24"/>
          <w:szCs w:val="24"/>
        </w:rPr>
        <w:t xml:space="preserve"> of the three-prong test.</w:t>
      </w:r>
    </w:p>
    <w:p w:rsidR="003A4C27" w:rsidRPr="00F644A9"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9.</w:t>
      </w:r>
      <w:r>
        <w:rPr>
          <w:rFonts w:ascii="Times New Roman" w:hAnsi="Times New Roman" w:cs="Times New Roman"/>
          <w:b/>
          <w:i/>
          <w:sz w:val="24"/>
          <w:szCs w:val="24"/>
        </w:rPr>
        <w:tab/>
      </w:r>
      <w:r w:rsidRPr="00F644A9">
        <w:rPr>
          <w:rFonts w:ascii="Times New Roman" w:hAnsi="Times New Roman" w:cs="Times New Roman"/>
          <w:b/>
          <w:i/>
          <w:sz w:val="24"/>
          <w:szCs w:val="24"/>
        </w:rPr>
        <w:t xml:space="preserve">IN THE PROPOSED </w:t>
      </w:r>
      <w:r>
        <w:rPr>
          <w:rFonts w:ascii="Times New Roman" w:hAnsi="Times New Roman" w:cs="Times New Roman"/>
          <w:b/>
          <w:i/>
          <w:sz w:val="24"/>
          <w:szCs w:val="24"/>
        </w:rPr>
        <w:t>SETTLEMENT</w:t>
      </w:r>
      <w:r w:rsidRPr="00F644A9">
        <w:rPr>
          <w:rFonts w:ascii="Times New Roman" w:hAnsi="Times New Roman" w:cs="Times New Roman"/>
          <w:b/>
          <w:i/>
          <w:sz w:val="24"/>
          <w:szCs w:val="24"/>
        </w:rPr>
        <w:t xml:space="preserve">, HOW ARE THE DMR COSTS ALLOCATED TO </w:t>
      </w:r>
      <w:r>
        <w:rPr>
          <w:rFonts w:ascii="Times New Roman" w:hAnsi="Times New Roman" w:cs="Times New Roman"/>
          <w:b/>
          <w:i/>
          <w:sz w:val="24"/>
          <w:szCs w:val="24"/>
        </w:rPr>
        <w:t>RESIDENTIAL CUSTOMERS</w:t>
      </w:r>
      <w:r w:rsidRPr="00F644A9">
        <w:rPr>
          <w:rFonts w:ascii="Times New Roman" w:hAnsi="Times New Roman" w:cs="Times New Roman"/>
          <w:b/>
          <w:i/>
          <w:sz w:val="24"/>
          <w:szCs w:val="24"/>
        </w:rPr>
        <w:t>?</w:t>
      </w:r>
    </w:p>
    <w:p w:rsidR="003A4C27"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9</w:t>
      </w:r>
      <w:r w:rsidRPr="00F644A9">
        <w:rPr>
          <w:rFonts w:ascii="Times New Roman" w:hAnsi="Times New Roman" w:cs="Times New Roman"/>
          <w:b/>
          <w:i/>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 xml:space="preserve">The allocation is as follows: 34% allocated based on 5 </w:t>
      </w:r>
      <w:r w:rsidRPr="00901631">
        <w:rPr>
          <w:rFonts w:ascii="Times New Roman" w:hAnsi="Times New Roman" w:cs="Times New Roman"/>
          <w:sz w:val="24"/>
          <w:szCs w:val="24"/>
        </w:rPr>
        <w:t>coincident peaks</w:t>
      </w:r>
      <w:r>
        <w:rPr>
          <w:rFonts w:ascii="Times New Roman" w:hAnsi="Times New Roman" w:cs="Times New Roman"/>
          <w:sz w:val="24"/>
          <w:szCs w:val="24"/>
        </w:rPr>
        <w:t xml:space="preserve"> (“5CP”)</w:t>
      </w:r>
      <w:r w:rsidRPr="00901631">
        <w:rPr>
          <w:rFonts w:ascii="Times New Roman" w:hAnsi="Times New Roman" w:cs="Times New Roman"/>
          <w:sz w:val="24"/>
          <w:szCs w:val="24"/>
        </w:rPr>
        <w:t xml:space="preserve">, </w:t>
      </w:r>
      <w:r w:rsidRPr="009C4F7C">
        <w:rPr>
          <w:rFonts w:ascii="Times New Roman" w:hAnsi="Times New Roman" w:cs="Times New Roman"/>
          <w:sz w:val="24"/>
          <w:szCs w:val="24"/>
        </w:rPr>
        <w:t>33% allocated based on distribution revenue</w:t>
      </w:r>
      <w:r>
        <w:rPr>
          <w:rFonts w:ascii="Times New Roman" w:hAnsi="Times New Roman" w:cs="Times New Roman"/>
          <w:sz w:val="24"/>
          <w:szCs w:val="24"/>
        </w:rPr>
        <w:t>,</w:t>
      </w:r>
      <w:r w:rsidRPr="00F644A9">
        <w:rPr>
          <w:rFonts w:ascii="Times New Roman" w:hAnsi="Times New Roman" w:cs="Times New Roman"/>
          <w:sz w:val="24"/>
          <w:szCs w:val="24"/>
        </w:rPr>
        <w:t xml:space="preserve"> and 33% based on the allocation of the current Rate Stabilization Charge (RSC</w:t>
      </w:r>
      <w:r w:rsidRPr="00EA6C04">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Pr="00F644A9">
        <w:rPr>
          <w:rFonts w:ascii="Times New Roman" w:hAnsi="Times New Roman" w:cs="Times New Roman"/>
          <w:sz w:val="24"/>
          <w:szCs w:val="24"/>
        </w:rPr>
        <w:t xml:space="preserve">  I will refer to this as “the combination allocation methodology.” </w:t>
      </w:r>
      <w:r>
        <w:rPr>
          <w:rFonts w:ascii="Times New Roman" w:hAnsi="Times New Roman" w:cs="Times New Roman"/>
          <w:sz w:val="24"/>
          <w:szCs w:val="24"/>
        </w:rPr>
        <w:t xml:space="preserve"> </w:t>
      </w:r>
      <w:r w:rsidRPr="00F644A9">
        <w:rPr>
          <w:rFonts w:ascii="Times New Roman" w:hAnsi="Times New Roman" w:cs="Times New Roman"/>
          <w:sz w:val="24"/>
          <w:szCs w:val="24"/>
        </w:rPr>
        <w:t>As shown in Appendix A to the S</w:t>
      </w:r>
      <w:r>
        <w:rPr>
          <w:rFonts w:ascii="Times New Roman" w:hAnsi="Times New Roman" w:cs="Times New Roman"/>
          <w:sz w:val="24"/>
          <w:szCs w:val="24"/>
        </w:rPr>
        <w:t>ettlement</w:t>
      </w:r>
      <w:r w:rsidRPr="00F644A9">
        <w:rPr>
          <w:rFonts w:ascii="Times New Roman" w:hAnsi="Times New Roman" w:cs="Times New Roman"/>
          <w:sz w:val="24"/>
          <w:szCs w:val="24"/>
        </w:rPr>
        <w:t>, the combination allocation methodology results in 48.6% of the DMR costs being allocated to the Residential Tariff Class</w:t>
      </w:r>
      <w:r>
        <w:rPr>
          <w:rFonts w:ascii="Times New Roman" w:hAnsi="Times New Roman" w:cs="Times New Roman"/>
          <w:sz w:val="24"/>
          <w:szCs w:val="24"/>
        </w:rPr>
        <w:t xml:space="preserve"> customers.</w:t>
      </w:r>
    </w:p>
    <w:p w:rsidR="00883342"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10.</w:t>
      </w:r>
      <w:r>
        <w:rPr>
          <w:rFonts w:ascii="Times New Roman" w:hAnsi="Times New Roman" w:cs="Times New Roman"/>
          <w:b/>
          <w:i/>
          <w:sz w:val="24"/>
          <w:szCs w:val="24"/>
        </w:rPr>
        <w:tab/>
      </w:r>
      <w:r w:rsidRPr="00F644A9">
        <w:rPr>
          <w:rFonts w:ascii="Times New Roman" w:hAnsi="Times New Roman" w:cs="Times New Roman"/>
          <w:b/>
          <w:i/>
          <w:sz w:val="24"/>
          <w:szCs w:val="24"/>
        </w:rPr>
        <w:t>DOES THE S</w:t>
      </w:r>
      <w:r>
        <w:rPr>
          <w:rFonts w:ascii="Times New Roman" w:hAnsi="Times New Roman" w:cs="Times New Roman"/>
          <w:b/>
          <w:i/>
          <w:sz w:val="24"/>
          <w:szCs w:val="24"/>
        </w:rPr>
        <w:t>ETTLEMENT</w:t>
      </w:r>
      <w:r w:rsidRPr="00F644A9">
        <w:rPr>
          <w:rFonts w:ascii="Times New Roman" w:hAnsi="Times New Roman" w:cs="Times New Roman"/>
          <w:b/>
          <w:i/>
          <w:sz w:val="24"/>
          <w:szCs w:val="24"/>
        </w:rPr>
        <w:t xml:space="preserve"> ADDRESS THE RATIONALE FOR THE </w:t>
      </w:r>
      <w:r>
        <w:rPr>
          <w:rFonts w:ascii="Times New Roman" w:hAnsi="Times New Roman" w:cs="Times New Roman"/>
          <w:b/>
          <w:i/>
          <w:sz w:val="24"/>
          <w:szCs w:val="24"/>
        </w:rPr>
        <w:t>WAY IT ALLOCATES DMR COSTS TO CUSTOMERS</w:t>
      </w:r>
      <w:r w:rsidRPr="00F644A9">
        <w:rPr>
          <w:rFonts w:ascii="Times New Roman" w:hAnsi="Times New Roman" w:cs="Times New Roman"/>
          <w:b/>
          <w:i/>
          <w:sz w:val="24"/>
          <w:szCs w:val="24"/>
        </w:rPr>
        <w:t>?</w:t>
      </w:r>
    </w:p>
    <w:p w:rsidR="00306114"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10</w:t>
      </w:r>
      <w:r w:rsidRPr="00F644A9">
        <w:rPr>
          <w:rFonts w:ascii="Times New Roman" w:hAnsi="Times New Roman" w:cs="Times New Roman"/>
          <w:b/>
          <w:i/>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Yes.  It states that</w:t>
      </w:r>
      <w:r>
        <w:rPr>
          <w:rFonts w:ascii="Times New Roman" w:hAnsi="Times New Roman" w:cs="Times New Roman"/>
          <w:sz w:val="24"/>
          <w:szCs w:val="24"/>
        </w:rPr>
        <w:t>,</w:t>
      </w:r>
      <w:r w:rsidRPr="00F644A9">
        <w:rPr>
          <w:rFonts w:ascii="Times New Roman" w:hAnsi="Times New Roman" w:cs="Times New Roman"/>
          <w:sz w:val="24"/>
          <w:szCs w:val="24"/>
        </w:rPr>
        <w:t xml:space="preserve"> “The cost allocation of the DMR to tariff classes will balance the bill impact to customers, fairness, and cost-causation principles.”</w:t>
      </w:r>
      <w:r>
        <w:rPr>
          <w:rStyle w:val="FootnoteReference"/>
          <w:rFonts w:ascii="Times New Roman" w:hAnsi="Times New Roman" w:cs="Times New Roman"/>
          <w:sz w:val="24"/>
          <w:szCs w:val="24"/>
        </w:rPr>
        <w:footnoteReference w:id="3"/>
      </w:r>
    </w:p>
    <w:p w:rsidR="00883342" w:rsidRPr="00F644A9"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11.</w:t>
      </w:r>
      <w:r>
        <w:rPr>
          <w:rFonts w:ascii="Times New Roman" w:hAnsi="Times New Roman" w:cs="Times New Roman"/>
          <w:b/>
          <w:i/>
          <w:sz w:val="24"/>
          <w:szCs w:val="24"/>
        </w:rPr>
        <w:tab/>
      </w:r>
      <w:r w:rsidRPr="00F644A9">
        <w:rPr>
          <w:rFonts w:ascii="Times New Roman" w:hAnsi="Times New Roman" w:cs="Times New Roman"/>
          <w:b/>
          <w:i/>
          <w:sz w:val="24"/>
          <w:szCs w:val="24"/>
        </w:rPr>
        <w:t>DO YOU AGREE WITH THAT RATIONALE?</w:t>
      </w:r>
    </w:p>
    <w:p w:rsidR="00B40C8E" w:rsidP="00B40C8E">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11</w:t>
      </w:r>
      <w:r w:rsidRPr="00F644A9">
        <w:rPr>
          <w:rFonts w:ascii="Times New Roman" w:hAnsi="Times New Roman" w:cs="Times New Roman"/>
          <w:b/>
          <w:i/>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Yes, I agree that</w:t>
      </w:r>
      <w:r>
        <w:rPr>
          <w:rFonts w:ascii="Times New Roman" w:hAnsi="Times New Roman" w:cs="Times New Roman"/>
          <w:sz w:val="24"/>
          <w:szCs w:val="24"/>
        </w:rPr>
        <w:t xml:space="preserve"> balancing the bill impact to customers, fairness, and cost allocation are reasonable principles to follow in cost allocation. </w:t>
      </w:r>
      <w:r w:rsidRPr="00F644A9">
        <w:rPr>
          <w:rFonts w:ascii="Times New Roman" w:hAnsi="Times New Roman" w:cs="Times New Roman"/>
          <w:sz w:val="24"/>
          <w:szCs w:val="24"/>
        </w:rPr>
        <w:t xml:space="preserve"> However, the cost allocation methodology proposed in the S</w:t>
      </w:r>
      <w:r>
        <w:rPr>
          <w:rFonts w:ascii="Times New Roman" w:hAnsi="Times New Roman" w:cs="Times New Roman"/>
          <w:sz w:val="24"/>
          <w:szCs w:val="24"/>
        </w:rPr>
        <w:t>ettlement</w:t>
      </w:r>
      <w:r w:rsidRPr="00F644A9">
        <w:rPr>
          <w:rFonts w:ascii="Times New Roman" w:hAnsi="Times New Roman" w:cs="Times New Roman"/>
          <w:sz w:val="24"/>
          <w:szCs w:val="24"/>
        </w:rPr>
        <w:t xml:space="preserve"> does not accomplish the goals of the rationale. </w:t>
      </w:r>
      <w:r>
        <w:rPr>
          <w:rFonts w:ascii="Times New Roman" w:hAnsi="Times New Roman" w:cs="Times New Roman"/>
          <w:sz w:val="24"/>
          <w:szCs w:val="24"/>
        </w:rPr>
        <w:t xml:space="preserve"> Instead, it</w:t>
      </w:r>
      <w:r w:rsidRPr="00F644A9">
        <w:rPr>
          <w:rFonts w:ascii="Times New Roman" w:hAnsi="Times New Roman" w:cs="Times New Roman"/>
          <w:sz w:val="24"/>
          <w:szCs w:val="24"/>
        </w:rPr>
        <w:t xml:space="preserve"> assign</w:t>
      </w:r>
      <w:r>
        <w:rPr>
          <w:rFonts w:ascii="Times New Roman" w:hAnsi="Times New Roman" w:cs="Times New Roman"/>
          <w:sz w:val="24"/>
          <w:szCs w:val="24"/>
        </w:rPr>
        <w:t>s</w:t>
      </w:r>
      <w:r w:rsidRPr="00F644A9">
        <w:rPr>
          <w:rFonts w:ascii="Times New Roman" w:hAnsi="Times New Roman" w:cs="Times New Roman"/>
          <w:sz w:val="24"/>
          <w:szCs w:val="24"/>
        </w:rPr>
        <w:t xml:space="preserve"> a disproportionate share of the DMR costs to the </w:t>
      </w:r>
      <w:r>
        <w:rPr>
          <w:rFonts w:ascii="Times New Roman" w:hAnsi="Times New Roman" w:cs="Times New Roman"/>
          <w:sz w:val="24"/>
          <w:szCs w:val="24"/>
        </w:rPr>
        <w:t>R</w:t>
      </w:r>
      <w:r w:rsidRPr="00F644A9">
        <w:rPr>
          <w:rFonts w:ascii="Times New Roman" w:hAnsi="Times New Roman" w:cs="Times New Roman"/>
          <w:sz w:val="24"/>
          <w:szCs w:val="24"/>
        </w:rPr>
        <w:t xml:space="preserve">esidential </w:t>
      </w:r>
      <w:r>
        <w:rPr>
          <w:rFonts w:ascii="Times New Roman" w:hAnsi="Times New Roman" w:cs="Times New Roman"/>
          <w:sz w:val="24"/>
          <w:szCs w:val="24"/>
        </w:rPr>
        <w:t>C</w:t>
      </w:r>
      <w:r w:rsidRPr="00F644A9">
        <w:rPr>
          <w:rFonts w:ascii="Times New Roman" w:hAnsi="Times New Roman" w:cs="Times New Roman"/>
          <w:sz w:val="24"/>
          <w:szCs w:val="24"/>
        </w:rPr>
        <w:t>lass.</w:t>
      </w:r>
      <w:r>
        <w:rPr>
          <w:rFonts w:ascii="Times New Roman" w:hAnsi="Times New Roman" w:cs="Times New Roman"/>
          <w:b/>
          <w:i/>
          <w:sz w:val="24"/>
          <w:szCs w:val="24"/>
        </w:rPr>
        <w:br w:type="page"/>
      </w: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12.</w:t>
      </w:r>
      <w:r>
        <w:rPr>
          <w:rFonts w:ascii="Times New Roman" w:hAnsi="Times New Roman" w:cs="Times New Roman"/>
          <w:b/>
          <w:i/>
          <w:sz w:val="24"/>
          <w:szCs w:val="24"/>
        </w:rPr>
        <w:tab/>
        <w:t>IS THE PROPOSED DMR ALLOCAT</w:t>
      </w:r>
      <w:r w:rsidRPr="00521AF2">
        <w:rPr>
          <w:rFonts w:ascii="Times New Roman" w:hAnsi="Times New Roman" w:cs="Times New Roman"/>
          <w:b/>
          <w:i/>
          <w:sz w:val="24"/>
          <w:szCs w:val="24"/>
        </w:rPr>
        <w:t>ION METHODOLOGY IN THE SETTLEMENT</w:t>
      </w:r>
      <w:r>
        <w:rPr>
          <w:rFonts w:ascii="Times New Roman" w:hAnsi="Times New Roman" w:cs="Times New Roman"/>
          <w:b/>
          <w:i/>
          <w:sz w:val="24"/>
          <w:szCs w:val="24"/>
        </w:rPr>
        <w:t xml:space="preserve"> HARMFUL TO CUSTOMERS AND NOT IN THE PUBLIC INTEREST IN VIOLATION OF PRONG TWO OF THE PUCO’S EVALUATION OF SETTLEMENTS?</w:t>
      </w:r>
    </w:p>
    <w:p w:rsidR="00306114" w:rsidRPr="00B96FFF"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12</w:t>
      </w:r>
      <w:r>
        <w:rPr>
          <w:rFonts w:ascii="Times New Roman" w:hAnsi="Times New Roman" w:cs="Times New Roman"/>
          <w:sz w:val="24"/>
          <w:szCs w:val="24"/>
        </w:rPr>
        <w:t>.</w:t>
      </w:r>
      <w:r>
        <w:rPr>
          <w:rFonts w:ascii="Times New Roman" w:hAnsi="Times New Roman" w:cs="Times New Roman"/>
          <w:sz w:val="24"/>
          <w:szCs w:val="24"/>
        </w:rPr>
        <w:tab/>
        <w:t xml:space="preserve">Yes it is.  </w:t>
      </w:r>
      <w:r w:rsidRPr="00F644A9">
        <w:rPr>
          <w:rFonts w:ascii="Times New Roman" w:hAnsi="Times New Roman" w:cs="Times New Roman"/>
          <w:sz w:val="24"/>
          <w:szCs w:val="24"/>
        </w:rPr>
        <w:t xml:space="preserve">The proposed cost allocation methodology </w:t>
      </w:r>
      <w:r>
        <w:rPr>
          <w:rFonts w:ascii="Times New Roman" w:hAnsi="Times New Roman" w:cs="Times New Roman"/>
          <w:sz w:val="24"/>
          <w:szCs w:val="24"/>
        </w:rPr>
        <w:t>included in the Settlement is harmful to consumers and not in the public interest because i</w:t>
      </w:r>
      <w:r w:rsidRPr="00F644A9">
        <w:rPr>
          <w:rFonts w:ascii="Times New Roman" w:hAnsi="Times New Roman" w:cs="Times New Roman"/>
          <w:sz w:val="24"/>
          <w:szCs w:val="24"/>
        </w:rPr>
        <w:t>t is contrary to the recommendations of DP&amp;L’s own witness and</w:t>
      </w:r>
      <w:r>
        <w:rPr>
          <w:rFonts w:ascii="Times New Roman" w:hAnsi="Times New Roman" w:cs="Times New Roman"/>
          <w:sz w:val="24"/>
          <w:szCs w:val="24"/>
        </w:rPr>
        <w:t xml:space="preserve"> unfairly and unjustly causes inter-class shifts in revenue that harms the residential class.</w:t>
      </w:r>
    </w:p>
    <w:p w:rsidR="00906048" w:rsidP="007B2C5B">
      <w:pPr>
        <w:spacing w:after="0" w:line="480" w:lineRule="auto"/>
        <w:rPr>
          <w:rFonts w:ascii="Times New Roman" w:hAnsi="Times New Roman" w:cs="Times New Roman"/>
          <w:b/>
          <w:i/>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13.</w:t>
      </w:r>
      <w:r>
        <w:rPr>
          <w:rFonts w:ascii="Times New Roman" w:hAnsi="Times New Roman" w:cs="Times New Roman"/>
          <w:b/>
          <w:i/>
          <w:sz w:val="24"/>
          <w:szCs w:val="24"/>
        </w:rPr>
        <w:tab/>
      </w:r>
      <w:r w:rsidRPr="00F644A9">
        <w:rPr>
          <w:rFonts w:ascii="Times New Roman" w:hAnsi="Times New Roman" w:cs="Times New Roman"/>
          <w:b/>
          <w:i/>
          <w:sz w:val="24"/>
          <w:szCs w:val="24"/>
        </w:rPr>
        <w:t>WHAT WAS DP&amp;L’S ORIGINAL RECOMMENDATION ON HOW THE COSTS OF THE DMR SHOULD BE ALLOCATED</w:t>
      </w:r>
      <w:r>
        <w:rPr>
          <w:rFonts w:ascii="Times New Roman" w:hAnsi="Times New Roman" w:cs="Times New Roman"/>
          <w:b/>
          <w:i/>
          <w:sz w:val="24"/>
          <w:szCs w:val="24"/>
        </w:rPr>
        <w:t xml:space="preserve"> TO CUSTOMERS</w:t>
      </w:r>
      <w:r w:rsidRPr="00F644A9">
        <w:rPr>
          <w:rFonts w:ascii="Times New Roman" w:hAnsi="Times New Roman" w:cs="Times New Roman"/>
          <w:b/>
          <w:i/>
          <w:sz w:val="24"/>
          <w:szCs w:val="24"/>
        </w:rPr>
        <w:t>?</w:t>
      </w:r>
    </w:p>
    <w:p w:rsidR="00B309D3"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13</w:t>
      </w:r>
      <w:r w:rsidRPr="00F644A9">
        <w:rPr>
          <w:rFonts w:ascii="Times New Roman" w:hAnsi="Times New Roman" w:cs="Times New Roman"/>
          <w:b/>
          <w:i/>
          <w:sz w:val="24"/>
          <w:szCs w:val="24"/>
        </w:rPr>
        <w:t>.</w:t>
      </w:r>
      <w:r>
        <w:rPr>
          <w:rFonts w:ascii="Times New Roman" w:hAnsi="Times New Roman" w:cs="Times New Roman"/>
          <w:sz w:val="24"/>
          <w:szCs w:val="24"/>
        </w:rPr>
        <w:tab/>
      </w:r>
      <w:r w:rsidRPr="00F644A9">
        <w:rPr>
          <w:rFonts w:ascii="Times New Roman" w:hAnsi="Times New Roman" w:cs="Times New Roman"/>
          <w:sz w:val="24"/>
          <w:szCs w:val="24"/>
        </w:rPr>
        <w:t>The direct testimony of Claire E. Hale, filed on October 11, 2016, was intended to support the DMR</w:t>
      </w:r>
      <w:r>
        <w:rPr>
          <w:rFonts w:ascii="Times New Roman" w:hAnsi="Times New Roman" w:cs="Times New Roman"/>
          <w:sz w:val="24"/>
          <w:szCs w:val="24"/>
        </w:rPr>
        <w:t>’s</w:t>
      </w:r>
      <w:r w:rsidRPr="00F644A9">
        <w:rPr>
          <w:rFonts w:ascii="Times New Roman" w:hAnsi="Times New Roman" w:cs="Times New Roman"/>
          <w:sz w:val="24"/>
          <w:szCs w:val="24"/>
        </w:rPr>
        <w:t xml:space="preserve"> rate design.  Exhibit CEH-1, attached to her testimony, </w:t>
      </w:r>
      <w:r>
        <w:rPr>
          <w:rFonts w:ascii="Times New Roman" w:hAnsi="Times New Roman" w:cs="Times New Roman"/>
          <w:sz w:val="24"/>
          <w:szCs w:val="24"/>
        </w:rPr>
        <w:t>which I include as Attachment RBF-2</w:t>
      </w:r>
      <w:r w:rsidRPr="00F644A9">
        <w:rPr>
          <w:rFonts w:ascii="Times New Roman" w:hAnsi="Times New Roman" w:cs="Times New Roman"/>
          <w:sz w:val="24"/>
          <w:szCs w:val="24"/>
        </w:rPr>
        <w:t xml:space="preserve"> to this testimony</w:t>
      </w:r>
      <w:r>
        <w:rPr>
          <w:rFonts w:ascii="Times New Roman" w:hAnsi="Times New Roman" w:cs="Times New Roman"/>
          <w:sz w:val="24"/>
          <w:szCs w:val="24"/>
        </w:rPr>
        <w:t xml:space="preserve">, </w:t>
      </w:r>
      <w:r w:rsidRPr="00F644A9">
        <w:rPr>
          <w:rFonts w:ascii="Times New Roman" w:hAnsi="Times New Roman" w:cs="Times New Roman"/>
          <w:sz w:val="24"/>
          <w:szCs w:val="24"/>
        </w:rPr>
        <w:t>shows the calculation of the proposed DMR rates by beginning with the then-current Service Stability Rider (“SSR”), applying rate design modifications rates, and scaling those rates to meet the DMR revenue requirement.  CEH-1 shows that DP&amp;L intended to use the same revenue allocation to the tariff classes</w:t>
      </w:r>
      <w:r>
        <w:rPr>
          <w:rFonts w:ascii="Times New Roman" w:hAnsi="Times New Roman" w:cs="Times New Roman"/>
          <w:sz w:val="24"/>
          <w:szCs w:val="24"/>
        </w:rPr>
        <w:t xml:space="preserve"> of service that</w:t>
      </w:r>
      <w:r w:rsidRPr="00F644A9">
        <w:rPr>
          <w:rFonts w:ascii="Times New Roman" w:hAnsi="Times New Roman" w:cs="Times New Roman"/>
          <w:sz w:val="24"/>
          <w:szCs w:val="24"/>
        </w:rPr>
        <w:t xml:space="preserve"> was utilized for the SSR.  There the allocation to the Residential Class was 43.92%.  </w:t>
      </w:r>
      <w:r>
        <w:rPr>
          <w:rFonts w:ascii="Times New Roman" w:hAnsi="Times New Roman" w:cs="Times New Roman"/>
          <w:sz w:val="24"/>
          <w:szCs w:val="24"/>
        </w:rPr>
        <w:t xml:space="preserve">Ms. </w:t>
      </w:r>
      <w:r w:rsidRPr="00F644A9">
        <w:rPr>
          <w:rFonts w:ascii="Times New Roman" w:hAnsi="Times New Roman" w:cs="Times New Roman"/>
          <w:sz w:val="24"/>
          <w:szCs w:val="24"/>
        </w:rPr>
        <w:t>Hale states, on page 2, lines 17 -19 that</w:t>
      </w:r>
      <w:r>
        <w:rPr>
          <w:rFonts w:ascii="Times New Roman" w:hAnsi="Times New Roman" w:cs="Times New Roman"/>
          <w:sz w:val="24"/>
          <w:szCs w:val="24"/>
        </w:rPr>
        <w:t>,</w:t>
      </w:r>
      <w:r w:rsidRPr="00F644A9">
        <w:rPr>
          <w:rFonts w:ascii="Times New Roman" w:hAnsi="Times New Roman" w:cs="Times New Roman"/>
          <w:sz w:val="24"/>
          <w:szCs w:val="24"/>
        </w:rPr>
        <w:t xml:space="preserve"> “Using the current SSR rates as a starting point promotes the retail rate stability intended by the DMR.”  </w:t>
      </w:r>
      <w:r>
        <w:rPr>
          <w:rFonts w:ascii="Times New Roman" w:hAnsi="Times New Roman" w:cs="Times New Roman"/>
          <w:sz w:val="24"/>
          <w:szCs w:val="24"/>
        </w:rPr>
        <w:t xml:space="preserve">Ms. Hale </w:t>
      </w:r>
      <w:r w:rsidRPr="00F644A9">
        <w:rPr>
          <w:rFonts w:ascii="Times New Roman" w:hAnsi="Times New Roman" w:cs="Times New Roman"/>
          <w:sz w:val="24"/>
          <w:szCs w:val="24"/>
        </w:rPr>
        <w:t>continues</w:t>
      </w:r>
      <w:r>
        <w:rPr>
          <w:rFonts w:ascii="Times New Roman" w:hAnsi="Times New Roman" w:cs="Times New Roman"/>
          <w:sz w:val="24"/>
          <w:szCs w:val="24"/>
        </w:rPr>
        <w:t xml:space="preserve"> by stating, “</w:t>
      </w:r>
      <w:r w:rsidRPr="00F644A9">
        <w:rPr>
          <w:rFonts w:ascii="Times New Roman" w:hAnsi="Times New Roman" w:cs="Times New Roman"/>
          <w:sz w:val="24"/>
          <w:szCs w:val="24"/>
        </w:rPr>
        <w:t>These rate design changes impact the revenue calculated for each class, so the new rates are the scaled up or down to bring the revenue for each class back in line with that originally calculated from the SSR rates.  This prevents rate design changes from causing any inter-class shi</w:t>
      </w:r>
      <w:r>
        <w:rPr>
          <w:rFonts w:ascii="Times New Roman" w:hAnsi="Times New Roman" w:cs="Times New Roman"/>
          <w:sz w:val="24"/>
          <w:szCs w:val="24"/>
        </w:rPr>
        <w:t>fts in revenue.”</w:t>
      </w:r>
    </w:p>
    <w:p w:rsidR="00B309D3" w:rsidP="007B2C5B">
      <w:pPr>
        <w:spacing w:after="0" w:line="480" w:lineRule="auto"/>
        <w:ind w:left="720" w:hanging="720"/>
        <w:rPr>
          <w:rFonts w:ascii="Times New Roman" w:hAnsi="Times New Roman" w:cs="Times New Roman"/>
          <w:sz w:val="24"/>
          <w:szCs w:val="24"/>
        </w:rPr>
      </w:pPr>
    </w:p>
    <w:p w:rsidR="00352777" w:rsidP="007B2C5B">
      <w:pPr>
        <w:spacing w:after="0" w:line="480" w:lineRule="auto"/>
        <w:ind w:left="720"/>
        <w:rPr>
          <w:rFonts w:ascii="Times New Roman" w:hAnsi="Times New Roman" w:cs="Times New Roman"/>
          <w:sz w:val="24"/>
          <w:szCs w:val="24"/>
        </w:rPr>
      </w:pPr>
      <w:r w:rsidRPr="00F644A9">
        <w:rPr>
          <w:rFonts w:ascii="Times New Roman" w:hAnsi="Times New Roman" w:cs="Times New Roman"/>
          <w:sz w:val="24"/>
          <w:szCs w:val="24"/>
        </w:rPr>
        <w:t>Clearly DP&amp;L intended to maintain rate stability by utilizing the same revenue allocation to customer tariff classes as was utilized in the SSR.  The different cost allocation methodology proposed in the S</w:t>
      </w:r>
      <w:r>
        <w:rPr>
          <w:rFonts w:ascii="Times New Roman" w:hAnsi="Times New Roman" w:cs="Times New Roman"/>
          <w:sz w:val="24"/>
          <w:szCs w:val="24"/>
        </w:rPr>
        <w:t>ettlement</w:t>
      </w:r>
      <w:r w:rsidRPr="00F644A9">
        <w:rPr>
          <w:rFonts w:ascii="Times New Roman" w:hAnsi="Times New Roman" w:cs="Times New Roman"/>
          <w:sz w:val="24"/>
          <w:szCs w:val="24"/>
        </w:rPr>
        <w:t xml:space="preserve"> results in inter-class revenue shifts that are clearly not consistent with the original intent of the </w:t>
      </w:r>
      <w:r>
        <w:rPr>
          <w:rFonts w:ascii="Times New Roman" w:hAnsi="Times New Roman" w:cs="Times New Roman"/>
          <w:sz w:val="24"/>
          <w:szCs w:val="24"/>
        </w:rPr>
        <w:t xml:space="preserve">DMR </w:t>
      </w:r>
      <w:r w:rsidRPr="00F644A9">
        <w:rPr>
          <w:rFonts w:ascii="Times New Roman" w:hAnsi="Times New Roman" w:cs="Times New Roman"/>
          <w:sz w:val="24"/>
          <w:szCs w:val="24"/>
        </w:rPr>
        <w:t>rider</w:t>
      </w:r>
      <w:r>
        <w:rPr>
          <w:rFonts w:ascii="Times New Roman" w:hAnsi="Times New Roman" w:cs="Times New Roman"/>
          <w:sz w:val="24"/>
          <w:szCs w:val="24"/>
        </w:rPr>
        <w:t>’s rate design</w:t>
      </w:r>
      <w:r w:rsidRPr="00F644A9">
        <w:rPr>
          <w:rFonts w:ascii="Times New Roman" w:hAnsi="Times New Roman" w:cs="Times New Roman"/>
          <w:sz w:val="24"/>
          <w:szCs w:val="24"/>
        </w:rPr>
        <w:t>.  The revenue allocation shift to the Residential Class from 43.9</w:t>
      </w:r>
      <w:r>
        <w:rPr>
          <w:rFonts w:ascii="Times New Roman" w:hAnsi="Times New Roman" w:cs="Times New Roman"/>
          <w:sz w:val="24"/>
          <w:szCs w:val="24"/>
        </w:rPr>
        <w:t>2</w:t>
      </w:r>
      <w:r w:rsidRPr="00F644A9">
        <w:rPr>
          <w:rFonts w:ascii="Times New Roman" w:hAnsi="Times New Roman" w:cs="Times New Roman"/>
          <w:sz w:val="24"/>
          <w:szCs w:val="24"/>
        </w:rPr>
        <w:t>% to 48.6</w:t>
      </w:r>
      <w:r>
        <w:rPr>
          <w:rFonts w:ascii="Times New Roman" w:hAnsi="Times New Roman" w:cs="Times New Roman"/>
          <w:sz w:val="24"/>
          <w:szCs w:val="24"/>
        </w:rPr>
        <w:t>5</w:t>
      </w:r>
      <w:r w:rsidRPr="00F644A9">
        <w:rPr>
          <w:rFonts w:ascii="Times New Roman" w:hAnsi="Times New Roman" w:cs="Times New Roman"/>
          <w:sz w:val="24"/>
          <w:szCs w:val="24"/>
        </w:rPr>
        <w:t>%, when applied to the proposed $</w:t>
      </w:r>
      <w:r>
        <w:rPr>
          <w:rFonts w:ascii="Times New Roman" w:hAnsi="Times New Roman" w:cs="Times New Roman"/>
          <w:sz w:val="24"/>
          <w:szCs w:val="24"/>
        </w:rPr>
        <w:t>105,</w:t>
      </w:r>
      <w:r w:rsidRPr="00F644A9">
        <w:rPr>
          <w:rFonts w:ascii="Times New Roman" w:hAnsi="Times New Roman" w:cs="Times New Roman"/>
          <w:sz w:val="24"/>
          <w:szCs w:val="24"/>
        </w:rPr>
        <w:t>000,000 DMR, results in approximately $4,</w:t>
      </w:r>
      <w:r>
        <w:rPr>
          <w:rFonts w:ascii="Times New Roman" w:hAnsi="Times New Roman" w:cs="Times New Roman"/>
          <w:sz w:val="24"/>
          <w:szCs w:val="24"/>
        </w:rPr>
        <w:t>961</w:t>
      </w:r>
      <w:r w:rsidRPr="00F644A9">
        <w:rPr>
          <w:rFonts w:ascii="Times New Roman" w:hAnsi="Times New Roman" w:cs="Times New Roman"/>
          <w:sz w:val="24"/>
          <w:szCs w:val="24"/>
        </w:rPr>
        <w:t>,</w:t>
      </w:r>
      <w:r>
        <w:rPr>
          <w:rFonts w:ascii="Times New Roman" w:hAnsi="Times New Roman" w:cs="Times New Roman"/>
          <w:sz w:val="24"/>
          <w:szCs w:val="24"/>
        </w:rPr>
        <w:t>935</w:t>
      </w:r>
      <w:r w:rsidRPr="00F644A9">
        <w:rPr>
          <w:rFonts w:ascii="Times New Roman" w:hAnsi="Times New Roman" w:cs="Times New Roman"/>
          <w:sz w:val="24"/>
          <w:szCs w:val="24"/>
        </w:rPr>
        <w:t xml:space="preserve"> in additional revenue</w:t>
      </w:r>
      <w:r>
        <w:rPr>
          <w:rFonts w:ascii="Times New Roman" w:hAnsi="Times New Roman" w:cs="Times New Roman"/>
          <w:sz w:val="24"/>
          <w:szCs w:val="24"/>
        </w:rPr>
        <w:t>s</w:t>
      </w:r>
      <w:r w:rsidRPr="00F644A9">
        <w:rPr>
          <w:rFonts w:ascii="Times New Roman" w:hAnsi="Times New Roman" w:cs="Times New Roman"/>
          <w:sz w:val="24"/>
          <w:szCs w:val="24"/>
        </w:rPr>
        <w:t xml:space="preserve"> being </w:t>
      </w:r>
      <w:r>
        <w:rPr>
          <w:rFonts w:ascii="Times New Roman" w:hAnsi="Times New Roman" w:cs="Times New Roman"/>
          <w:sz w:val="24"/>
          <w:szCs w:val="24"/>
        </w:rPr>
        <w:t>paid by</w:t>
      </w:r>
      <w:r w:rsidRPr="00F644A9">
        <w:rPr>
          <w:rFonts w:ascii="Times New Roman" w:hAnsi="Times New Roman" w:cs="Times New Roman"/>
          <w:sz w:val="24"/>
          <w:szCs w:val="24"/>
        </w:rPr>
        <w:t xml:space="preserve"> the Residential Class on an annual basis.  </w:t>
      </w:r>
      <w:r>
        <w:rPr>
          <w:rFonts w:ascii="Times New Roman" w:hAnsi="Times New Roman" w:cs="Times New Roman"/>
          <w:sz w:val="24"/>
          <w:szCs w:val="24"/>
        </w:rPr>
        <w:t xml:space="preserve">This revenue shift is harmful to residential consumers and not in the public interest.  </w:t>
      </w:r>
      <w:r w:rsidRPr="00F644A9">
        <w:rPr>
          <w:rFonts w:ascii="Times New Roman" w:hAnsi="Times New Roman" w:cs="Times New Roman"/>
          <w:sz w:val="24"/>
          <w:szCs w:val="24"/>
        </w:rPr>
        <w:t>This amounts to an additional $0.</w:t>
      </w:r>
      <w:r>
        <w:rPr>
          <w:rFonts w:ascii="Times New Roman" w:hAnsi="Times New Roman" w:cs="Times New Roman"/>
          <w:sz w:val="24"/>
          <w:szCs w:val="24"/>
        </w:rPr>
        <w:t xml:space="preserve">91per </w:t>
      </w:r>
      <w:r w:rsidRPr="00F644A9">
        <w:rPr>
          <w:rFonts w:ascii="Times New Roman" w:hAnsi="Times New Roman" w:cs="Times New Roman"/>
          <w:sz w:val="24"/>
          <w:szCs w:val="24"/>
        </w:rPr>
        <w:t>month ($</w:t>
      </w:r>
      <w:r>
        <w:rPr>
          <w:rFonts w:ascii="Times New Roman" w:hAnsi="Times New Roman" w:cs="Times New Roman"/>
          <w:sz w:val="24"/>
          <w:szCs w:val="24"/>
        </w:rPr>
        <w:t>9.40</w:t>
      </w:r>
      <w:r w:rsidRPr="00F644A9">
        <w:rPr>
          <w:rFonts w:ascii="Times New Roman" w:hAnsi="Times New Roman" w:cs="Times New Roman"/>
          <w:sz w:val="24"/>
          <w:szCs w:val="24"/>
        </w:rPr>
        <w:t xml:space="preserve"> </w:t>
      </w:r>
      <w:r>
        <w:rPr>
          <w:rFonts w:ascii="Times New Roman" w:hAnsi="Times New Roman" w:cs="Times New Roman"/>
          <w:sz w:val="24"/>
          <w:szCs w:val="24"/>
        </w:rPr>
        <w:t>less</w:t>
      </w:r>
      <w:r w:rsidRPr="00F644A9">
        <w:rPr>
          <w:rFonts w:ascii="Times New Roman" w:hAnsi="Times New Roman" w:cs="Times New Roman"/>
          <w:sz w:val="24"/>
          <w:szCs w:val="24"/>
        </w:rPr>
        <w:t xml:space="preserve"> $</w:t>
      </w:r>
      <w:r>
        <w:rPr>
          <w:rFonts w:ascii="Times New Roman" w:hAnsi="Times New Roman" w:cs="Times New Roman"/>
          <w:sz w:val="24"/>
          <w:szCs w:val="24"/>
        </w:rPr>
        <w:t>8.49</w:t>
      </w:r>
      <w:r w:rsidRPr="00F644A9">
        <w:rPr>
          <w:rFonts w:ascii="Times New Roman" w:hAnsi="Times New Roman" w:cs="Times New Roman"/>
          <w:sz w:val="24"/>
          <w:szCs w:val="24"/>
        </w:rPr>
        <w:t>)</w:t>
      </w:r>
      <w:r>
        <w:rPr>
          <w:rFonts w:ascii="Times New Roman" w:hAnsi="Times New Roman" w:cs="Times New Roman"/>
          <w:sz w:val="24"/>
          <w:szCs w:val="24"/>
        </w:rPr>
        <w:t xml:space="preserve"> </w:t>
      </w:r>
      <w:r w:rsidRPr="00F644A9">
        <w:rPr>
          <w:rFonts w:ascii="Times New Roman" w:hAnsi="Times New Roman" w:cs="Times New Roman"/>
          <w:sz w:val="24"/>
          <w:szCs w:val="24"/>
        </w:rPr>
        <w:t>being borne by a typical residential customer using 1,000 kWh per month, or an additional $</w:t>
      </w:r>
      <w:r>
        <w:rPr>
          <w:rFonts w:ascii="Times New Roman" w:hAnsi="Times New Roman" w:cs="Times New Roman"/>
          <w:sz w:val="24"/>
          <w:szCs w:val="24"/>
        </w:rPr>
        <w:t>10</w:t>
      </w:r>
      <w:r w:rsidRPr="00F644A9">
        <w:rPr>
          <w:rFonts w:ascii="Times New Roman" w:hAnsi="Times New Roman" w:cs="Times New Roman"/>
          <w:sz w:val="24"/>
          <w:szCs w:val="24"/>
        </w:rPr>
        <w:t>.</w:t>
      </w:r>
      <w:r>
        <w:rPr>
          <w:rFonts w:ascii="Times New Roman" w:hAnsi="Times New Roman" w:cs="Times New Roman"/>
          <w:sz w:val="24"/>
          <w:szCs w:val="24"/>
        </w:rPr>
        <w:t>92</w:t>
      </w:r>
      <w:r w:rsidRPr="00F644A9">
        <w:rPr>
          <w:rFonts w:ascii="Times New Roman" w:hAnsi="Times New Roman" w:cs="Times New Roman"/>
          <w:sz w:val="24"/>
          <w:szCs w:val="24"/>
        </w:rPr>
        <w:t xml:space="preserve"> per year.</w:t>
      </w:r>
    </w:p>
    <w:p w:rsidR="00306114" w:rsidRPr="00F644A9"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14.</w:t>
      </w:r>
      <w:r>
        <w:rPr>
          <w:rFonts w:ascii="Times New Roman" w:hAnsi="Times New Roman" w:cs="Times New Roman"/>
          <w:b/>
          <w:i/>
          <w:sz w:val="24"/>
          <w:szCs w:val="24"/>
        </w:rPr>
        <w:tab/>
      </w:r>
      <w:r w:rsidRPr="00F644A9">
        <w:rPr>
          <w:rFonts w:ascii="Times New Roman" w:hAnsi="Times New Roman" w:cs="Times New Roman"/>
          <w:b/>
          <w:i/>
          <w:sz w:val="24"/>
          <w:szCs w:val="24"/>
        </w:rPr>
        <w:t>HOW SHOULD THE COSTS OF THE DP&amp;L DMR RIDER BE ALLOCATED</w:t>
      </w:r>
      <w:r>
        <w:rPr>
          <w:rFonts w:ascii="Times New Roman" w:hAnsi="Times New Roman" w:cs="Times New Roman"/>
          <w:b/>
          <w:i/>
          <w:sz w:val="24"/>
          <w:szCs w:val="24"/>
        </w:rPr>
        <w:t xml:space="preserve"> TO CUSTOMERS</w:t>
      </w:r>
      <w:r w:rsidRPr="00F644A9">
        <w:rPr>
          <w:rFonts w:ascii="Times New Roman" w:hAnsi="Times New Roman" w:cs="Times New Roman"/>
          <w:b/>
          <w:i/>
          <w:sz w:val="24"/>
          <w:szCs w:val="24"/>
        </w:rPr>
        <w:t>?</w:t>
      </w:r>
    </w:p>
    <w:p w:rsidR="002468C0"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14</w:t>
      </w:r>
      <w:r w:rsidRPr="00F644A9">
        <w:rPr>
          <w:rFonts w:ascii="Times New Roman" w:hAnsi="Times New Roman" w:cs="Times New Roman"/>
          <w:b/>
          <w:i/>
          <w:sz w:val="24"/>
          <w:szCs w:val="24"/>
        </w:rPr>
        <w:t>.</w:t>
      </w:r>
      <w:r>
        <w:rPr>
          <w:rFonts w:ascii="Times New Roman" w:hAnsi="Times New Roman" w:cs="Times New Roman"/>
          <w:sz w:val="24"/>
          <w:szCs w:val="24"/>
        </w:rPr>
        <w:tab/>
        <w:t xml:space="preserve">The cost allocation methodology that </w:t>
      </w:r>
      <w:r w:rsidRPr="00F644A9">
        <w:rPr>
          <w:rFonts w:ascii="Times New Roman" w:hAnsi="Times New Roman" w:cs="Times New Roman"/>
          <w:sz w:val="24"/>
          <w:szCs w:val="24"/>
        </w:rPr>
        <w:t>appears to best embody the concept of</w:t>
      </w:r>
      <w:r>
        <w:rPr>
          <w:rFonts w:ascii="Times New Roman" w:hAnsi="Times New Roman" w:cs="Times New Roman"/>
          <w:sz w:val="24"/>
          <w:szCs w:val="24"/>
        </w:rPr>
        <w:t xml:space="preserve"> cost causation is </w:t>
      </w:r>
      <w:r w:rsidRPr="00F644A9">
        <w:rPr>
          <w:rFonts w:ascii="Times New Roman" w:hAnsi="Times New Roman" w:cs="Times New Roman"/>
          <w:sz w:val="24"/>
          <w:szCs w:val="24"/>
        </w:rPr>
        <w:t>allocating the revenue based in equal share on energy and demand</w:t>
      </w:r>
      <w:r>
        <w:rPr>
          <w:rFonts w:ascii="Times New Roman" w:hAnsi="Times New Roman" w:cs="Times New Roman"/>
          <w:sz w:val="24"/>
          <w:szCs w:val="24"/>
        </w:rPr>
        <w:t xml:space="preserve">. </w:t>
      </w:r>
      <w:r w:rsidRPr="00F644A9">
        <w:rPr>
          <w:rFonts w:ascii="Times New Roman" w:hAnsi="Times New Roman" w:cs="Times New Roman"/>
          <w:sz w:val="24"/>
          <w:szCs w:val="24"/>
        </w:rPr>
        <w:t xml:space="preserve"> According to the testimony of Sharon R. Schroder in support of the </w:t>
      </w:r>
      <w:r>
        <w:rPr>
          <w:rFonts w:ascii="Times New Roman" w:hAnsi="Times New Roman" w:cs="Times New Roman"/>
          <w:sz w:val="24"/>
          <w:szCs w:val="24"/>
        </w:rPr>
        <w:t xml:space="preserve">Settlement </w:t>
      </w:r>
      <w:r w:rsidRPr="00F644A9">
        <w:rPr>
          <w:rFonts w:ascii="Times New Roman" w:hAnsi="Times New Roman" w:cs="Times New Roman"/>
          <w:sz w:val="24"/>
          <w:szCs w:val="24"/>
        </w:rPr>
        <w:t xml:space="preserve">filed on </w:t>
      </w:r>
      <w:r>
        <w:rPr>
          <w:rFonts w:ascii="Times New Roman" w:hAnsi="Times New Roman" w:cs="Times New Roman"/>
          <w:sz w:val="24"/>
          <w:szCs w:val="24"/>
        </w:rPr>
        <w:t>March 22</w:t>
      </w:r>
      <w:r w:rsidRPr="00F644A9">
        <w:rPr>
          <w:rFonts w:ascii="Times New Roman" w:hAnsi="Times New Roman" w:cs="Times New Roman"/>
          <w:sz w:val="24"/>
          <w:szCs w:val="24"/>
        </w:rPr>
        <w:t xml:space="preserve">, 2017, page 3, lines 14 – 19, “Customers of DP&amp;L rely upon DP&amp;L to provide safe and reliable service, and the principle goal of the </w:t>
      </w:r>
      <w:r>
        <w:rPr>
          <w:rFonts w:ascii="Times New Roman" w:hAnsi="Times New Roman" w:cs="Times New Roman"/>
          <w:sz w:val="24"/>
          <w:szCs w:val="24"/>
        </w:rPr>
        <w:t xml:space="preserve">Amended </w:t>
      </w:r>
      <w:r w:rsidRPr="00F644A9">
        <w:rPr>
          <w:rFonts w:ascii="Times New Roman" w:hAnsi="Times New Roman" w:cs="Times New Roman"/>
          <w:sz w:val="24"/>
          <w:szCs w:val="24"/>
        </w:rPr>
        <w:t xml:space="preserve">Stipulation is to allow DP&amp;L to continue to provide such service to customers during a six-year Electric Security Plan (“ESP”).  DP&amp;L is currently facing a financial crisis, and will not be able to continue to provide such service without financial support.  The </w:t>
      </w:r>
      <w:r>
        <w:rPr>
          <w:rFonts w:ascii="Times New Roman" w:hAnsi="Times New Roman" w:cs="Times New Roman"/>
          <w:sz w:val="24"/>
          <w:szCs w:val="24"/>
        </w:rPr>
        <w:t xml:space="preserve">Amended </w:t>
      </w:r>
      <w:r w:rsidRPr="00F644A9">
        <w:rPr>
          <w:rFonts w:ascii="Times New Roman" w:hAnsi="Times New Roman" w:cs="Times New Roman"/>
          <w:sz w:val="24"/>
          <w:szCs w:val="24"/>
        </w:rPr>
        <w:t>Stipulation provides the needed financial support, along with numerous commitments by the Company</w:t>
      </w:r>
      <w:r>
        <w:rPr>
          <w:rFonts w:ascii="Times New Roman" w:hAnsi="Times New Roman" w:cs="Times New Roman"/>
          <w:sz w:val="24"/>
          <w:szCs w:val="24"/>
        </w:rPr>
        <w:t>,</w:t>
      </w:r>
      <w:r w:rsidRPr="00F644A9">
        <w:rPr>
          <w:rFonts w:ascii="Times New Roman" w:hAnsi="Times New Roman" w:cs="Times New Roman"/>
          <w:sz w:val="24"/>
          <w:szCs w:val="24"/>
        </w:rPr>
        <w:t xml:space="preserve"> that benefit customers.”  On page </w:t>
      </w:r>
      <w:r>
        <w:rPr>
          <w:rFonts w:ascii="Times New Roman" w:hAnsi="Times New Roman" w:cs="Times New Roman"/>
          <w:sz w:val="24"/>
          <w:szCs w:val="24"/>
        </w:rPr>
        <w:t>10</w:t>
      </w:r>
      <w:r w:rsidRPr="00F644A9">
        <w:rPr>
          <w:rFonts w:ascii="Times New Roman" w:hAnsi="Times New Roman" w:cs="Times New Roman"/>
          <w:sz w:val="24"/>
          <w:szCs w:val="24"/>
        </w:rPr>
        <w:t xml:space="preserve">, </w:t>
      </w:r>
      <w:r w:rsidRPr="00D83292">
        <w:rPr>
          <w:rFonts w:ascii="Times New Roman" w:hAnsi="Times New Roman" w:cs="Times New Roman"/>
          <w:sz w:val="24"/>
          <w:szCs w:val="24"/>
        </w:rPr>
        <w:t>lines 10 through 17,</w:t>
      </w:r>
      <w:r w:rsidRPr="00F644A9">
        <w:rPr>
          <w:rFonts w:ascii="Times New Roman" w:hAnsi="Times New Roman" w:cs="Times New Roman"/>
          <w:sz w:val="24"/>
          <w:szCs w:val="24"/>
        </w:rPr>
        <w:t xml:space="preserve"> she further states that</w:t>
      </w:r>
      <w:r>
        <w:rPr>
          <w:rFonts w:ascii="Times New Roman" w:hAnsi="Times New Roman" w:cs="Times New Roman"/>
          <w:sz w:val="24"/>
          <w:szCs w:val="24"/>
        </w:rPr>
        <w:t>,</w:t>
      </w:r>
      <w:r w:rsidRPr="00F644A9">
        <w:rPr>
          <w:rFonts w:ascii="Times New Roman" w:hAnsi="Times New Roman" w:cs="Times New Roman"/>
          <w:sz w:val="24"/>
          <w:szCs w:val="24"/>
        </w:rPr>
        <w:t xml:space="preserve"> “DP&amp;L will be entitled to collect a $</w:t>
      </w:r>
      <w:r>
        <w:rPr>
          <w:rFonts w:ascii="Times New Roman" w:hAnsi="Times New Roman" w:cs="Times New Roman"/>
          <w:sz w:val="24"/>
          <w:szCs w:val="24"/>
        </w:rPr>
        <w:t>105</w:t>
      </w:r>
      <w:r w:rsidRPr="00F644A9">
        <w:rPr>
          <w:rFonts w:ascii="Times New Roman" w:hAnsi="Times New Roman" w:cs="Times New Roman"/>
          <w:sz w:val="24"/>
          <w:szCs w:val="24"/>
        </w:rPr>
        <w:t xml:space="preserve"> million per year Distribution Modernization Rider (“DMR”), as established in </w:t>
      </w:r>
      <w:r>
        <w:rPr>
          <w:rFonts w:ascii="Times New Roman" w:hAnsi="Times New Roman" w:cs="Times New Roman"/>
          <w:sz w:val="24"/>
          <w:szCs w:val="24"/>
        </w:rPr>
        <w:t xml:space="preserve">Amended </w:t>
      </w:r>
      <w:r w:rsidRPr="00F644A9">
        <w:rPr>
          <w:rFonts w:ascii="Times New Roman" w:hAnsi="Times New Roman" w:cs="Times New Roman"/>
          <w:sz w:val="24"/>
          <w:szCs w:val="24"/>
        </w:rPr>
        <w:t>Stipulation, paragraph II.2.a</w:t>
      </w:r>
      <w:r>
        <w:rPr>
          <w:rFonts w:ascii="Times New Roman" w:hAnsi="Times New Roman" w:cs="Times New Roman"/>
          <w:sz w:val="24"/>
          <w:szCs w:val="24"/>
        </w:rPr>
        <w:t>.,</w:t>
      </w:r>
      <w:r w:rsidRPr="00F644A9">
        <w:rPr>
          <w:rFonts w:ascii="Times New Roman" w:hAnsi="Times New Roman" w:cs="Times New Roman"/>
          <w:sz w:val="24"/>
          <w:szCs w:val="24"/>
        </w:rPr>
        <w:t xml:space="preserve"> to be used to pay down debt.  The DMR is targeted to</w:t>
      </w:r>
      <w:r>
        <w:rPr>
          <w:rFonts w:ascii="Times New Roman" w:hAnsi="Times New Roman" w:cs="Times New Roman"/>
          <w:sz w:val="24"/>
          <w:szCs w:val="24"/>
        </w:rPr>
        <w:t xml:space="preserve">ward putting </w:t>
      </w:r>
      <w:r w:rsidRPr="00F644A9">
        <w:rPr>
          <w:rFonts w:ascii="Times New Roman" w:hAnsi="Times New Roman" w:cs="Times New Roman"/>
          <w:sz w:val="24"/>
          <w:szCs w:val="24"/>
        </w:rPr>
        <w:t xml:space="preserve">DPL Inc. </w:t>
      </w:r>
      <w:r>
        <w:rPr>
          <w:rFonts w:ascii="Times New Roman" w:hAnsi="Times New Roman" w:cs="Times New Roman"/>
          <w:sz w:val="24"/>
          <w:szCs w:val="24"/>
        </w:rPr>
        <w:t xml:space="preserve">and DP&amp;L on a path towards achieving and maintaining an </w:t>
      </w:r>
      <w:r w:rsidRPr="00F644A9">
        <w:rPr>
          <w:rFonts w:ascii="Times New Roman" w:hAnsi="Times New Roman" w:cs="Times New Roman"/>
          <w:sz w:val="24"/>
          <w:szCs w:val="24"/>
        </w:rPr>
        <w:t>investment grade</w:t>
      </w:r>
      <w:r>
        <w:rPr>
          <w:rFonts w:ascii="Times New Roman" w:hAnsi="Times New Roman" w:cs="Times New Roman"/>
          <w:sz w:val="24"/>
          <w:szCs w:val="24"/>
        </w:rPr>
        <w:t xml:space="preserve"> (i.e., not be in the junk bond category) credit rating.  </w:t>
      </w:r>
      <w:r w:rsidRPr="00F644A9">
        <w:rPr>
          <w:rFonts w:ascii="Times New Roman" w:hAnsi="Times New Roman" w:cs="Times New Roman"/>
          <w:sz w:val="24"/>
          <w:szCs w:val="24"/>
        </w:rPr>
        <w:t>DPL Inc. and DP&amp;L need the DMR to maintain access to reasonably priced debt, so that they can borrow money at reasonable rates to maintain</w:t>
      </w:r>
      <w:r>
        <w:rPr>
          <w:rFonts w:ascii="Times New Roman" w:hAnsi="Times New Roman" w:cs="Times New Roman"/>
          <w:sz w:val="24"/>
          <w:szCs w:val="24"/>
        </w:rPr>
        <w:t xml:space="preserve"> </w:t>
      </w:r>
      <w:r w:rsidRPr="00F644A9">
        <w:rPr>
          <w:rFonts w:ascii="Times New Roman" w:hAnsi="Times New Roman" w:cs="Times New Roman"/>
          <w:sz w:val="24"/>
          <w:szCs w:val="24"/>
        </w:rPr>
        <w:t xml:space="preserve">and make investments </w:t>
      </w:r>
      <w:r>
        <w:rPr>
          <w:rFonts w:ascii="Times New Roman" w:hAnsi="Times New Roman" w:cs="Times New Roman"/>
          <w:sz w:val="24"/>
          <w:szCs w:val="24"/>
        </w:rPr>
        <w:t>in DP&amp;L’s distribution system.”</w:t>
      </w:r>
    </w:p>
    <w:p w:rsidR="00C33308" w:rsidP="007B2C5B">
      <w:pPr>
        <w:spacing w:after="0" w:line="480" w:lineRule="auto"/>
        <w:ind w:left="720" w:hanging="720"/>
        <w:rPr>
          <w:rFonts w:ascii="Times New Roman" w:hAnsi="Times New Roman" w:cs="Times New Roman"/>
          <w:sz w:val="24"/>
          <w:szCs w:val="24"/>
        </w:rPr>
      </w:pPr>
    </w:p>
    <w:p w:rsidR="002468C0" w:rsidP="00352777">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When I worked at the PUCO, I often referenced the NARUC Cost Allocation Manual for electric-related cost allocation issues.  This manual does not address the allocation of costs associated with riders designed for credit support in order to maintain the financial integrity of electric companies or their parent or affiliates.  This is a new concept for utility riders and requires the use of common sense when allocating the costs.</w:t>
      </w:r>
    </w:p>
    <w:p w:rsidR="00C96FA1" w:rsidP="007B2C5B">
      <w:pPr>
        <w:spacing w:after="0" w:line="480" w:lineRule="auto"/>
        <w:ind w:left="720" w:hanging="720"/>
        <w:rPr>
          <w:rFonts w:ascii="Times New Roman" w:hAnsi="Times New Roman" w:cs="Times New Roman"/>
          <w:sz w:val="24"/>
          <w:szCs w:val="24"/>
        </w:rPr>
      </w:pPr>
    </w:p>
    <w:p w:rsidR="00222A13" w:rsidP="007B2C5B">
      <w:pPr>
        <w:spacing w:after="0" w:line="480" w:lineRule="auto"/>
        <w:ind w:left="720"/>
        <w:rPr>
          <w:rFonts w:ascii="Times New Roman" w:hAnsi="Times New Roman" w:cs="Times New Roman"/>
          <w:sz w:val="24"/>
          <w:szCs w:val="24"/>
        </w:rPr>
      </w:pPr>
      <w:r w:rsidRPr="00F644A9">
        <w:rPr>
          <w:rFonts w:ascii="Times New Roman" w:hAnsi="Times New Roman" w:cs="Times New Roman"/>
          <w:sz w:val="24"/>
          <w:szCs w:val="24"/>
        </w:rPr>
        <w:t xml:space="preserve">The principle service provided by an electric </w:t>
      </w:r>
      <w:r>
        <w:rPr>
          <w:rFonts w:ascii="Times New Roman" w:hAnsi="Times New Roman" w:cs="Times New Roman"/>
          <w:sz w:val="24"/>
          <w:szCs w:val="24"/>
        </w:rPr>
        <w:t xml:space="preserve">distribution </w:t>
      </w:r>
      <w:r w:rsidRPr="00F644A9">
        <w:rPr>
          <w:rFonts w:ascii="Times New Roman" w:hAnsi="Times New Roman" w:cs="Times New Roman"/>
          <w:sz w:val="24"/>
          <w:szCs w:val="24"/>
        </w:rPr>
        <w:t>utility to its customers is the provision of energy, instantaneously and over time.  The allocation methodolog</w:t>
      </w:r>
      <w:r>
        <w:rPr>
          <w:rFonts w:ascii="Times New Roman" w:hAnsi="Times New Roman" w:cs="Times New Roman"/>
          <w:sz w:val="24"/>
          <w:szCs w:val="24"/>
        </w:rPr>
        <w:t>y</w:t>
      </w:r>
      <w:r w:rsidRPr="00F644A9">
        <w:rPr>
          <w:rFonts w:ascii="Times New Roman" w:hAnsi="Times New Roman" w:cs="Times New Roman"/>
          <w:sz w:val="24"/>
          <w:szCs w:val="24"/>
        </w:rPr>
        <w:t xml:space="preserve"> </w:t>
      </w:r>
      <w:r>
        <w:rPr>
          <w:rFonts w:ascii="Times New Roman" w:hAnsi="Times New Roman" w:cs="Times New Roman"/>
          <w:sz w:val="24"/>
          <w:szCs w:val="24"/>
        </w:rPr>
        <w:t>that</w:t>
      </w:r>
      <w:r w:rsidRPr="00F644A9">
        <w:rPr>
          <w:rFonts w:ascii="Times New Roman" w:hAnsi="Times New Roman" w:cs="Times New Roman"/>
          <w:sz w:val="24"/>
          <w:szCs w:val="24"/>
        </w:rPr>
        <w:t xml:space="preserve"> best represents that service </w:t>
      </w:r>
      <w:r>
        <w:rPr>
          <w:rFonts w:ascii="Times New Roman" w:hAnsi="Times New Roman" w:cs="Times New Roman"/>
          <w:sz w:val="24"/>
          <w:szCs w:val="24"/>
        </w:rPr>
        <w:t xml:space="preserve">is an </w:t>
      </w:r>
      <w:r w:rsidRPr="00F644A9">
        <w:rPr>
          <w:rFonts w:ascii="Times New Roman" w:hAnsi="Times New Roman" w:cs="Times New Roman"/>
          <w:sz w:val="24"/>
          <w:szCs w:val="24"/>
        </w:rPr>
        <w:t xml:space="preserve">allocation based on </w:t>
      </w:r>
      <w:r>
        <w:rPr>
          <w:rFonts w:ascii="Times New Roman" w:hAnsi="Times New Roman" w:cs="Times New Roman"/>
          <w:sz w:val="24"/>
          <w:szCs w:val="24"/>
        </w:rPr>
        <w:t xml:space="preserve">both </w:t>
      </w:r>
      <w:r w:rsidRPr="00F644A9">
        <w:rPr>
          <w:rFonts w:ascii="Times New Roman" w:hAnsi="Times New Roman" w:cs="Times New Roman"/>
          <w:sz w:val="24"/>
          <w:szCs w:val="24"/>
        </w:rPr>
        <w:t>energy and demand.  A 50</w:t>
      </w:r>
      <w:r>
        <w:rPr>
          <w:rFonts w:ascii="Times New Roman" w:hAnsi="Times New Roman" w:cs="Times New Roman"/>
          <w:sz w:val="24"/>
          <w:szCs w:val="24"/>
        </w:rPr>
        <w:t xml:space="preserve">% </w:t>
      </w:r>
      <w:r w:rsidRPr="00F644A9">
        <w:rPr>
          <w:rFonts w:ascii="Times New Roman" w:hAnsi="Times New Roman" w:cs="Times New Roman"/>
          <w:sz w:val="24"/>
          <w:szCs w:val="24"/>
        </w:rPr>
        <w:t>energy</w:t>
      </w:r>
      <w:r>
        <w:rPr>
          <w:rFonts w:ascii="Times New Roman" w:hAnsi="Times New Roman" w:cs="Times New Roman"/>
          <w:sz w:val="24"/>
          <w:szCs w:val="24"/>
        </w:rPr>
        <w:t xml:space="preserve"> and a </w:t>
      </w:r>
      <w:r w:rsidRPr="00F644A9">
        <w:rPr>
          <w:rFonts w:ascii="Times New Roman" w:hAnsi="Times New Roman" w:cs="Times New Roman"/>
          <w:sz w:val="24"/>
          <w:szCs w:val="24"/>
        </w:rPr>
        <w:t>50</w:t>
      </w:r>
      <w:r>
        <w:rPr>
          <w:rFonts w:ascii="Times New Roman" w:hAnsi="Times New Roman" w:cs="Times New Roman"/>
          <w:sz w:val="24"/>
          <w:szCs w:val="24"/>
        </w:rPr>
        <w:t xml:space="preserve">% </w:t>
      </w:r>
      <w:r w:rsidRPr="00F644A9">
        <w:rPr>
          <w:rFonts w:ascii="Times New Roman" w:hAnsi="Times New Roman" w:cs="Times New Roman"/>
          <w:sz w:val="24"/>
          <w:szCs w:val="24"/>
        </w:rPr>
        <w:t xml:space="preserve">5CP demand allocation </w:t>
      </w:r>
      <w:r>
        <w:rPr>
          <w:rFonts w:ascii="Times New Roman" w:hAnsi="Times New Roman" w:cs="Times New Roman"/>
          <w:sz w:val="24"/>
          <w:szCs w:val="24"/>
        </w:rPr>
        <w:t xml:space="preserve">results </w:t>
      </w:r>
      <w:r w:rsidRPr="00FC79FF">
        <w:rPr>
          <w:rFonts w:ascii="Times New Roman" w:hAnsi="Times New Roman" w:cs="Times New Roman"/>
          <w:sz w:val="24"/>
          <w:szCs w:val="24"/>
        </w:rPr>
        <w:t>in</w:t>
      </w:r>
      <w:r>
        <w:rPr>
          <w:rFonts w:ascii="Times New Roman" w:hAnsi="Times New Roman" w:cs="Times New Roman"/>
          <w:sz w:val="24"/>
          <w:szCs w:val="24"/>
        </w:rPr>
        <w:t xml:space="preserve"> residential customers paying </w:t>
      </w:r>
      <w:r w:rsidRPr="00521AF2">
        <w:rPr>
          <w:rFonts w:ascii="Times New Roman" w:hAnsi="Times New Roman" w:cs="Times New Roman"/>
          <w:sz w:val="24"/>
          <w:szCs w:val="24"/>
        </w:rPr>
        <w:t>38.4</w:t>
      </w:r>
      <w:r>
        <w:rPr>
          <w:rFonts w:ascii="Times New Roman" w:hAnsi="Times New Roman" w:cs="Times New Roman"/>
          <w:sz w:val="24"/>
          <w:szCs w:val="24"/>
        </w:rPr>
        <w:t>3</w:t>
      </w:r>
      <w:r w:rsidRPr="00521AF2">
        <w:rPr>
          <w:rFonts w:ascii="Times New Roman" w:hAnsi="Times New Roman" w:cs="Times New Roman"/>
          <w:sz w:val="24"/>
          <w:szCs w:val="24"/>
        </w:rPr>
        <w:t>5% of the DMR’s costs (an average of 38.</w:t>
      </w:r>
      <w:r>
        <w:rPr>
          <w:rFonts w:ascii="Times New Roman" w:hAnsi="Times New Roman" w:cs="Times New Roman"/>
          <w:sz w:val="24"/>
          <w:szCs w:val="24"/>
        </w:rPr>
        <w:t>09</w:t>
      </w:r>
      <w:r w:rsidRPr="00521AF2">
        <w:rPr>
          <w:rFonts w:ascii="Times New Roman" w:hAnsi="Times New Roman" w:cs="Times New Roman"/>
          <w:sz w:val="24"/>
          <w:szCs w:val="24"/>
        </w:rPr>
        <w:t>% (energy) and 38.</w:t>
      </w:r>
      <w:r>
        <w:rPr>
          <w:rFonts w:ascii="Times New Roman" w:hAnsi="Times New Roman" w:cs="Times New Roman"/>
          <w:sz w:val="24"/>
          <w:szCs w:val="24"/>
        </w:rPr>
        <w:t>7</w:t>
      </w:r>
      <w:r w:rsidRPr="00521AF2">
        <w:rPr>
          <w:rFonts w:ascii="Times New Roman" w:hAnsi="Times New Roman" w:cs="Times New Roman"/>
          <w:sz w:val="24"/>
          <w:szCs w:val="24"/>
        </w:rPr>
        <w:t>8% (demand)).  38.4</w:t>
      </w:r>
      <w:r>
        <w:rPr>
          <w:rFonts w:ascii="Times New Roman" w:hAnsi="Times New Roman" w:cs="Times New Roman"/>
          <w:sz w:val="24"/>
          <w:szCs w:val="24"/>
        </w:rPr>
        <w:t>3</w:t>
      </w:r>
      <w:r w:rsidRPr="00521AF2">
        <w:rPr>
          <w:rFonts w:ascii="Times New Roman" w:hAnsi="Times New Roman" w:cs="Times New Roman"/>
          <w:sz w:val="24"/>
          <w:szCs w:val="24"/>
        </w:rPr>
        <w:t>5% of the $</w:t>
      </w:r>
      <w:r>
        <w:rPr>
          <w:rFonts w:ascii="Times New Roman" w:hAnsi="Times New Roman" w:cs="Times New Roman"/>
          <w:sz w:val="24"/>
          <w:szCs w:val="24"/>
        </w:rPr>
        <w:t>105</w:t>
      </w:r>
      <w:r w:rsidRPr="00521AF2">
        <w:rPr>
          <w:rFonts w:ascii="Times New Roman" w:hAnsi="Times New Roman" w:cs="Times New Roman"/>
          <w:sz w:val="24"/>
          <w:szCs w:val="24"/>
        </w:rPr>
        <w:t>,000,000 in DMR charges equals an annual cost to residential consumers of $</w:t>
      </w:r>
      <w:r>
        <w:rPr>
          <w:rFonts w:ascii="Times New Roman" w:hAnsi="Times New Roman" w:cs="Times New Roman"/>
          <w:sz w:val="24"/>
          <w:szCs w:val="24"/>
        </w:rPr>
        <w:t>40</w:t>
      </w:r>
      <w:r w:rsidRPr="00521AF2">
        <w:rPr>
          <w:rFonts w:ascii="Times New Roman" w:hAnsi="Times New Roman" w:cs="Times New Roman"/>
          <w:sz w:val="24"/>
          <w:szCs w:val="24"/>
        </w:rPr>
        <w:t>,</w:t>
      </w:r>
      <w:r>
        <w:rPr>
          <w:rFonts w:ascii="Times New Roman" w:hAnsi="Times New Roman" w:cs="Times New Roman"/>
          <w:sz w:val="24"/>
          <w:szCs w:val="24"/>
        </w:rPr>
        <w:t>356</w:t>
      </w:r>
      <w:r w:rsidRPr="00521AF2">
        <w:rPr>
          <w:rFonts w:ascii="Times New Roman" w:hAnsi="Times New Roman" w:cs="Times New Roman"/>
          <w:sz w:val="24"/>
          <w:szCs w:val="24"/>
        </w:rPr>
        <w:t>,</w:t>
      </w:r>
      <w:r>
        <w:rPr>
          <w:rFonts w:ascii="Times New Roman" w:hAnsi="Times New Roman" w:cs="Times New Roman"/>
          <w:sz w:val="24"/>
          <w:szCs w:val="24"/>
        </w:rPr>
        <w:t>750</w:t>
      </w:r>
      <w:r w:rsidRPr="00521A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1AF2">
        <w:rPr>
          <w:rFonts w:ascii="Times New Roman" w:hAnsi="Times New Roman" w:cs="Times New Roman"/>
          <w:sz w:val="24"/>
          <w:szCs w:val="24"/>
        </w:rPr>
        <w:t>This equates to a $0.00</w:t>
      </w:r>
      <w:r>
        <w:rPr>
          <w:rFonts w:ascii="Times New Roman" w:hAnsi="Times New Roman" w:cs="Times New Roman"/>
          <w:sz w:val="24"/>
          <w:szCs w:val="24"/>
        </w:rPr>
        <w:t>743</w:t>
      </w:r>
      <w:r w:rsidRPr="00521AF2">
        <w:rPr>
          <w:rFonts w:ascii="Times New Roman" w:hAnsi="Times New Roman" w:cs="Times New Roman"/>
          <w:sz w:val="24"/>
          <w:szCs w:val="24"/>
        </w:rPr>
        <w:t xml:space="preserve"> rate per kWh or $</w:t>
      </w:r>
      <w:r>
        <w:rPr>
          <w:rFonts w:ascii="Times New Roman" w:hAnsi="Times New Roman" w:cs="Times New Roman"/>
          <w:sz w:val="24"/>
          <w:szCs w:val="24"/>
        </w:rPr>
        <w:t>7</w:t>
      </w:r>
      <w:r w:rsidRPr="00521AF2">
        <w:rPr>
          <w:rFonts w:ascii="Times New Roman" w:hAnsi="Times New Roman" w:cs="Times New Roman"/>
          <w:sz w:val="24"/>
          <w:szCs w:val="24"/>
        </w:rPr>
        <w:t>.</w:t>
      </w:r>
      <w:r>
        <w:rPr>
          <w:rFonts w:ascii="Times New Roman" w:hAnsi="Times New Roman" w:cs="Times New Roman"/>
          <w:sz w:val="24"/>
          <w:szCs w:val="24"/>
        </w:rPr>
        <w:t xml:space="preserve">43 </w:t>
      </w:r>
      <w:r w:rsidRPr="00F644A9">
        <w:rPr>
          <w:rFonts w:ascii="Times New Roman" w:hAnsi="Times New Roman" w:cs="Times New Roman"/>
          <w:sz w:val="24"/>
          <w:szCs w:val="24"/>
        </w:rPr>
        <w:t xml:space="preserve">to </w:t>
      </w:r>
      <w:r>
        <w:rPr>
          <w:rFonts w:ascii="Times New Roman" w:hAnsi="Times New Roman" w:cs="Times New Roman"/>
          <w:sz w:val="24"/>
          <w:szCs w:val="24"/>
        </w:rPr>
        <w:t>a</w:t>
      </w:r>
      <w:r w:rsidRPr="00F644A9">
        <w:rPr>
          <w:rFonts w:ascii="Times New Roman" w:hAnsi="Times New Roman" w:cs="Times New Roman"/>
          <w:sz w:val="24"/>
          <w:szCs w:val="24"/>
        </w:rPr>
        <w:t xml:space="preserve"> residential customer using 1,000 kWh per month.</w:t>
      </w:r>
    </w:p>
    <w:p w:rsidR="00222A13" w:rsidP="007B2C5B">
      <w:pPr>
        <w:spacing w:after="0" w:line="480" w:lineRule="auto"/>
        <w:ind w:left="720"/>
        <w:rPr>
          <w:rFonts w:ascii="Times New Roman" w:hAnsi="Times New Roman" w:cs="Times New Roman"/>
          <w:sz w:val="24"/>
          <w:szCs w:val="24"/>
        </w:rPr>
      </w:pPr>
    </w:p>
    <w:p w:rsidR="00B40C8E" w:rsidP="00B40C8E">
      <w:pPr>
        <w:spacing w:after="0" w:line="480" w:lineRule="auto"/>
        <w:ind w:left="720"/>
        <w:rPr>
          <w:rFonts w:ascii="Times New Roman" w:hAnsi="Times New Roman" w:cs="Times New Roman"/>
          <w:b/>
          <w:i/>
          <w:sz w:val="24"/>
          <w:szCs w:val="24"/>
        </w:rPr>
      </w:pPr>
      <w:r w:rsidRPr="00F644A9">
        <w:rPr>
          <w:rFonts w:ascii="Times New Roman" w:hAnsi="Times New Roman" w:cs="Times New Roman"/>
          <w:sz w:val="24"/>
          <w:szCs w:val="24"/>
        </w:rPr>
        <w:t>If the allocation methodology proposed in the Stipulation is adopted, it would amount to an unjustified additional $</w:t>
      </w:r>
      <w:r w:rsidRPr="00521AF2">
        <w:rPr>
          <w:rFonts w:ascii="Times New Roman" w:hAnsi="Times New Roman" w:cs="Times New Roman"/>
          <w:sz w:val="24"/>
          <w:szCs w:val="24"/>
        </w:rPr>
        <w:t>1.</w:t>
      </w:r>
      <w:r>
        <w:rPr>
          <w:rFonts w:ascii="Times New Roman" w:hAnsi="Times New Roman" w:cs="Times New Roman"/>
          <w:sz w:val="24"/>
          <w:szCs w:val="24"/>
        </w:rPr>
        <w:t xml:space="preserve">97 per </w:t>
      </w:r>
      <w:r w:rsidRPr="00521AF2">
        <w:rPr>
          <w:rFonts w:ascii="Times New Roman" w:hAnsi="Times New Roman" w:cs="Times New Roman"/>
          <w:sz w:val="24"/>
          <w:szCs w:val="24"/>
        </w:rPr>
        <w:t>month being borne by a typical residential customer using 1,000 kWh per month ($</w:t>
      </w:r>
      <w:r>
        <w:rPr>
          <w:rFonts w:ascii="Times New Roman" w:hAnsi="Times New Roman" w:cs="Times New Roman"/>
          <w:sz w:val="24"/>
          <w:szCs w:val="24"/>
        </w:rPr>
        <w:t>9</w:t>
      </w:r>
      <w:r w:rsidRPr="00521AF2">
        <w:rPr>
          <w:rFonts w:ascii="Times New Roman" w:hAnsi="Times New Roman" w:cs="Times New Roman"/>
          <w:sz w:val="24"/>
          <w:szCs w:val="24"/>
        </w:rPr>
        <w:t>.</w:t>
      </w:r>
      <w:r>
        <w:rPr>
          <w:rFonts w:ascii="Times New Roman" w:hAnsi="Times New Roman" w:cs="Times New Roman"/>
          <w:sz w:val="24"/>
          <w:szCs w:val="24"/>
        </w:rPr>
        <w:t>40</w:t>
      </w:r>
      <w:r w:rsidRPr="00521AF2">
        <w:rPr>
          <w:rFonts w:ascii="Times New Roman" w:hAnsi="Times New Roman" w:cs="Times New Roman"/>
          <w:sz w:val="24"/>
          <w:szCs w:val="24"/>
        </w:rPr>
        <w:t xml:space="preserve"> - $</w:t>
      </w:r>
      <w:r>
        <w:rPr>
          <w:rFonts w:ascii="Times New Roman" w:hAnsi="Times New Roman" w:cs="Times New Roman"/>
          <w:sz w:val="24"/>
          <w:szCs w:val="24"/>
        </w:rPr>
        <w:t>7</w:t>
      </w:r>
      <w:r w:rsidRPr="00521AF2">
        <w:rPr>
          <w:rFonts w:ascii="Times New Roman" w:hAnsi="Times New Roman" w:cs="Times New Roman"/>
          <w:sz w:val="24"/>
          <w:szCs w:val="24"/>
        </w:rPr>
        <w:t>.</w:t>
      </w:r>
      <w:r>
        <w:rPr>
          <w:rFonts w:ascii="Times New Roman" w:hAnsi="Times New Roman" w:cs="Times New Roman"/>
          <w:sz w:val="24"/>
          <w:szCs w:val="24"/>
        </w:rPr>
        <w:t>43</w:t>
      </w:r>
      <w:r w:rsidRPr="00521AF2">
        <w:rPr>
          <w:rFonts w:ascii="Times New Roman" w:hAnsi="Times New Roman" w:cs="Times New Roman"/>
          <w:sz w:val="24"/>
          <w:szCs w:val="24"/>
        </w:rPr>
        <w:t>), or an additional $2</w:t>
      </w:r>
      <w:r>
        <w:rPr>
          <w:rFonts w:ascii="Times New Roman" w:hAnsi="Times New Roman" w:cs="Times New Roman"/>
          <w:sz w:val="24"/>
          <w:szCs w:val="24"/>
        </w:rPr>
        <w:t>3</w:t>
      </w:r>
      <w:r w:rsidRPr="00521AF2">
        <w:rPr>
          <w:rFonts w:ascii="Times New Roman" w:hAnsi="Times New Roman" w:cs="Times New Roman"/>
          <w:sz w:val="24"/>
          <w:szCs w:val="24"/>
        </w:rPr>
        <w:t>.</w:t>
      </w:r>
      <w:r>
        <w:rPr>
          <w:rFonts w:ascii="Times New Roman" w:hAnsi="Times New Roman" w:cs="Times New Roman"/>
          <w:sz w:val="24"/>
          <w:szCs w:val="24"/>
        </w:rPr>
        <w:t>64</w:t>
      </w:r>
      <w:r w:rsidRPr="00521AF2">
        <w:rPr>
          <w:rFonts w:ascii="Times New Roman" w:hAnsi="Times New Roman" w:cs="Times New Roman"/>
          <w:sz w:val="24"/>
          <w:szCs w:val="24"/>
        </w:rPr>
        <w:t xml:space="preserve"> per</w:t>
      </w:r>
      <w:r w:rsidRPr="00F644A9">
        <w:rPr>
          <w:rFonts w:ascii="Times New Roman" w:hAnsi="Times New Roman" w:cs="Times New Roman"/>
          <w:sz w:val="24"/>
          <w:szCs w:val="24"/>
        </w:rPr>
        <w:t xml:space="preserve"> year.  </w:t>
      </w:r>
      <w:r>
        <w:rPr>
          <w:rFonts w:ascii="Times New Roman" w:hAnsi="Times New Roman" w:cs="Times New Roman"/>
          <w:sz w:val="24"/>
          <w:szCs w:val="24"/>
        </w:rPr>
        <w:t xml:space="preserve">OCC strongly opposes the adoption of Rider DMR for a number of reasons, as set forth in the testimony of OCC Witnesses Kahal and Williams.  But if a DMR is adopted, </w:t>
      </w:r>
      <w:r w:rsidRPr="00F644A9">
        <w:rPr>
          <w:rFonts w:ascii="Times New Roman" w:hAnsi="Times New Roman" w:cs="Times New Roman"/>
          <w:sz w:val="24"/>
          <w:szCs w:val="24"/>
        </w:rPr>
        <w:t>I recommend that the DMR</w:t>
      </w:r>
      <w:r>
        <w:rPr>
          <w:rFonts w:ascii="Times New Roman" w:hAnsi="Times New Roman" w:cs="Times New Roman"/>
          <w:sz w:val="24"/>
          <w:szCs w:val="24"/>
        </w:rPr>
        <w:t xml:space="preserve"> </w:t>
      </w:r>
      <w:r w:rsidRPr="00F644A9">
        <w:rPr>
          <w:rFonts w:ascii="Times New Roman" w:hAnsi="Times New Roman" w:cs="Times New Roman"/>
          <w:sz w:val="24"/>
          <w:szCs w:val="24"/>
        </w:rPr>
        <w:t>be allocated on a 50</w:t>
      </w:r>
      <w:r>
        <w:rPr>
          <w:rFonts w:ascii="Times New Roman" w:hAnsi="Times New Roman" w:cs="Times New Roman"/>
          <w:sz w:val="24"/>
          <w:szCs w:val="24"/>
        </w:rPr>
        <w:t xml:space="preserve">% </w:t>
      </w:r>
      <w:r w:rsidRPr="00F644A9">
        <w:rPr>
          <w:rFonts w:ascii="Times New Roman" w:hAnsi="Times New Roman" w:cs="Times New Roman"/>
          <w:sz w:val="24"/>
          <w:szCs w:val="24"/>
        </w:rPr>
        <w:t>energy</w:t>
      </w:r>
      <w:r>
        <w:rPr>
          <w:rFonts w:ascii="Times New Roman" w:hAnsi="Times New Roman" w:cs="Times New Roman"/>
          <w:sz w:val="24"/>
          <w:szCs w:val="24"/>
        </w:rPr>
        <w:t xml:space="preserve"> and</w:t>
      </w:r>
      <w:r w:rsidRPr="00F644A9">
        <w:rPr>
          <w:rFonts w:ascii="Times New Roman" w:hAnsi="Times New Roman" w:cs="Times New Roman"/>
          <w:sz w:val="24"/>
          <w:szCs w:val="24"/>
        </w:rPr>
        <w:t xml:space="preserve"> 50</w:t>
      </w:r>
      <w:r>
        <w:rPr>
          <w:rFonts w:ascii="Times New Roman" w:hAnsi="Times New Roman" w:cs="Times New Roman"/>
          <w:sz w:val="24"/>
          <w:szCs w:val="24"/>
        </w:rPr>
        <w:t>%</w:t>
      </w:r>
      <w:r w:rsidRPr="00F644A9">
        <w:rPr>
          <w:rFonts w:ascii="Times New Roman" w:hAnsi="Times New Roman" w:cs="Times New Roman"/>
          <w:sz w:val="24"/>
          <w:szCs w:val="24"/>
        </w:rPr>
        <w:t xml:space="preserve"> 5 CP demand basis to better reflect </w:t>
      </w:r>
      <w:r>
        <w:rPr>
          <w:rFonts w:ascii="Times New Roman" w:hAnsi="Times New Roman" w:cs="Times New Roman"/>
          <w:sz w:val="24"/>
          <w:szCs w:val="24"/>
        </w:rPr>
        <w:t>a more balanced and fair cost allocation to residential customers.  Therefore, if the PUCO approves the DMR, it should not authorize the combination cost allocation methodology provided for in the Settlement.</w:t>
      </w:r>
      <w:r>
        <w:rPr>
          <w:rFonts w:ascii="Times New Roman" w:hAnsi="Times New Roman" w:cs="Times New Roman"/>
          <w:b/>
          <w:i/>
          <w:sz w:val="24"/>
          <w:szCs w:val="24"/>
        </w:rPr>
        <w:br w:type="page"/>
      </w:r>
    </w:p>
    <w:p w:rsidR="00E27343" w:rsidRPr="00714706" w:rsidP="007B2C5B">
      <w:pPr>
        <w:spacing w:after="0" w:line="480" w:lineRule="auto"/>
        <w:ind w:left="720" w:hanging="720"/>
        <w:rPr>
          <w:rFonts w:ascii="Times New Roman" w:hAnsi="Times New Roman" w:cs="Times New Roman"/>
          <w:b/>
          <w:i/>
          <w:sz w:val="24"/>
          <w:szCs w:val="24"/>
        </w:rPr>
      </w:pPr>
      <w:r w:rsidRPr="005879EC">
        <w:rPr>
          <w:rFonts w:ascii="Times New Roman" w:hAnsi="Times New Roman" w:cs="Times New Roman"/>
          <w:b/>
          <w:i/>
          <w:sz w:val="24"/>
          <w:szCs w:val="24"/>
        </w:rPr>
        <w:t>Q1</w:t>
      </w:r>
      <w:r>
        <w:rPr>
          <w:rFonts w:ascii="Times New Roman" w:hAnsi="Times New Roman" w:cs="Times New Roman"/>
          <w:b/>
          <w:i/>
          <w:sz w:val="24"/>
          <w:szCs w:val="24"/>
        </w:rPr>
        <w:t>5</w:t>
      </w:r>
      <w:r w:rsidRPr="005879EC">
        <w:rPr>
          <w:rFonts w:ascii="Times New Roman" w:hAnsi="Times New Roman" w:cs="Times New Roman"/>
          <w:b/>
          <w:i/>
          <w:sz w:val="24"/>
          <w:szCs w:val="24"/>
        </w:rPr>
        <w:t>.</w:t>
      </w:r>
      <w:r>
        <w:rPr>
          <w:rFonts w:ascii="Times New Roman" w:hAnsi="Times New Roman" w:cs="Times New Roman"/>
          <w:sz w:val="24"/>
          <w:szCs w:val="24"/>
        </w:rPr>
        <w:tab/>
      </w:r>
      <w:r w:rsidRPr="00714706">
        <w:rPr>
          <w:rFonts w:ascii="Times New Roman" w:hAnsi="Times New Roman" w:cs="Times New Roman"/>
          <w:b/>
          <w:i/>
          <w:sz w:val="24"/>
          <w:szCs w:val="24"/>
        </w:rPr>
        <w:t xml:space="preserve">HOW DOES THE ALLOCATION OF THE COSTS ASSOCIATED WITH THE DMR UNDER THE SETTLEMENT VIOLATE </w:t>
      </w:r>
      <w:r>
        <w:rPr>
          <w:rFonts w:ascii="Times New Roman" w:hAnsi="Times New Roman" w:cs="Times New Roman"/>
          <w:b/>
          <w:i/>
          <w:sz w:val="24"/>
          <w:szCs w:val="24"/>
        </w:rPr>
        <w:t xml:space="preserve">PRONG THREE -- </w:t>
      </w:r>
      <w:r w:rsidRPr="00714706">
        <w:rPr>
          <w:rFonts w:ascii="Times New Roman" w:hAnsi="Times New Roman" w:cs="Times New Roman"/>
          <w:b/>
          <w:i/>
          <w:sz w:val="24"/>
          <w:szCs w:val="24"/>
        </w:rPr>
        <w:t xml:space="preserve">A </w:t>
      </w:r>
      <w:r w:rsidRPr="00094ABA">
        <w:rPr>
          <w:rFonts w:ascii="Times New Roman" w:hAnsi="Times New Roman" w:cs="Times New Roman"/>
          <w:b/>
          <w:i/>
          <w:sz w:val="24"/>
          <w:szCs w:val="24"/>
        </w:rPr>
        <w:t>REGULATORY PRINCIPLE OR PRACTIC</w:t>
      </w:r>
      <w:r>
        <w:rPr>
          <w:rFonts w:ascii="Times New Roman" w:hAnsi="Times New Roman" w:cs="Times New Roman"/>
          <w:b/>
          <w:i/>
          <w:sz w:val="24"/>
          <w:szCs w:val="24"/>
        </w:rPr>
        <w:t>E?</w:t>
      </w:r>
    </w:p>
    <w:p w:rsidR="00E27343" w:rsidP="007B2C5B">
      <w:pPr>
        <w:spacing w:after="0" w:line="480" w:lineRule="auto"/>
        <w:ind w:left="720" w:hanging="720"/>
        <w:rPr>
          <w:rFonts w:ascii="Times New Roman" w:hAnsi="Times New Roman" w:cs="Times New Roman"/>
          <w:sz w:val="24"/>
          <w:szCs w:val="24"/>
        </w:rPr>
      </w:pPr>
      <w:r w:rsidRPr="005879EC">
        <w:rPr>
          <w:rFonts w:ascii="Times New Roman" w:hAnsi="Times New Roman" w:cs="Times New Roman"/>
          <w:b/>
          <w:i/>
          <w:sz w:val="24"/>
          <w:szCs w:val="24"/>
        </w:rPr>
        <w:t>A1</w:t>
      </w:r>
      <w:r>
        <w:rPr>
          <w:rFonts w:ascii="Times New Roman" w:hAnsi="Times New Roman" w:cs="Times New Roman"/>
          <w:b/>
          <w:i/>
          <w:sz w:val="24"/>
          <w:szCs w:val="24"/>
        </w:rPr>
        <w:t>5</w:t>
      </w:r>
      <w:r w:rsidRPr="005879EC">
        <w:rPr>
          <w:rFonts w:ascii="Times New Roman" w:hAnsi="Times New Roman" w:cs="Times New Roman"/>
          <w:b/>
          <w:i/>
          <w:sz w:val="24"/>
          <w:szCs w:val="24"/>
        </w:rPr>
        <w:t>.</w:t>
      </w:r>
      <w:r>
        <w:rPr>
          <w:rFonts w:ascii="Times New Roman" w:hAnsi="Times New Roman" w:cs="Times New Roman"/>
          <w:sz w:val="24"/>
          <w:szCs w:val="24"/>
        </w:rPr>
        <w:tab/>
      </w:r>
      <w:r w:rsidRPr="006D7370">
        <w:rPr>
          <w:rFonts w:ascii="Times New Roman" w:hAnsi="Times New Roman" w:cs="Times New Roman"/>
          <w:sz w:val="24"/>
          <w:szCs w:val="24"/>
        </w:rPr>
        <w:t>The allocation of the costs of the DMR is simply one piece of the settlement package as a whole.  But I believe that one of the most important guidelines of cost allocation and rate design is that costs should be allocated and rates should be designed to best reflect the “causers” of the costs</w:t>
      </w:r>
      <w:r>
        <w:rPr>
          <w:rFonts w:ascii="Times New Roman" w:hAnsi="Times New Roman" w:cs="Times New Roman"/>
          <w:sz w:val="24"/>
          <w:szCs w:val="24"/>
        </w:rPr>
        <w:t xml:space="preserve"> (i.e., cost causation)</w:t>
      </w:r>
      <w:r w:rsidRPr="006D7370">
        <w:rPr>
          <w:rFonts w:ascii="Times New Roman" w:hAnsi="Times New Roman" w:cs="Times New Roman"/>
          <w:sz w:val="24"/>
          <w:szCs w:val="24"/>
        </w:rPr>
        <w:t xml:space="preserve">.  It is my belief that the combination allocation methodology as proposed in this </w:t>
      </w:r>
      <w:r>
        <w:rPr>
          <w:rFonts w:ascii="Times New Roman" w:hAnsi="Times New Roman" w:cs="Times New Roman"/>
          <w:sz w:val="24"/>
          <w:szCs w:val="24"/>
        </w:rPr>
        <w:t>Settlement</w:t>
      </w:r>
      <w:r w:rsidRPr="006D7370">
        <w:rPr>
          <w:rFonts w:ascii="Times New Roman" w:hAnsi="Times New Roman" w:cs="Times New Roman"/>
          <w:sz w:val="24"/>
          <w:szCs w:val="24"/>
        </w:rPr>
        <w:t xml:space="preserve"> does not best reflect the causers of the cost of the DMR</w:t>
      </w:r>
      <w:r>
        <w:rPr>
          <w:rFonts w:ascii="Times New Roman" w:hAnsi="Times New Roman" w:cs="Times New Roman"/>
          <w:sz w:val="24"/>
          <w:szCs w:val="24"/>
        </w:rPr>
        <w:t xml:space="preserve">, </w:t>
      </w:r>
      <w:r w:rsidRPr="004A2041">
        <w:rPr>
          <w:rFonts w:ascii="Times New Roman" w:hAnsi="Times New Roman" w:cs="Times New Roman"/>
          <w:sz w:val="24"/>
          <w:szCs w:val="24"/>
        </w:rPr>
        <w:t xml:space="preserve">and allocates a disproportionate share of the costs to the Residential </w:t>
      </w:r>
      <w:r>
        <w:rPr>
          <w:rFonts w:ascii="Times New Roman" w:hAnsi="Times New Roman" w:cs="Times New Roman"/>
          <w:sz w:val="24"/>
          <w:szCs w:val="24"/>
        </w:rPr>
        <w:t>C</w:t>
      </w:r>
      <w:r w:rsidRPr="004A2041">
        <w:rPr>
          <w:rFonts w:ascii="Times New Roman" w:hAnsi="Times New Roman" w:cs="Times New Roman"/>
          <w:sz w:val="24"/>
          <w:szCs w:val="24"/>
        </w:rPr>
        <w:t>lass</w:t>
      </w:r>
      <w:r>
        <w:rPr>
          <w:rFonts w:ascii="Times New Roman" w:hAnsi="Times New Roman" w:cs="Times New Roman"/>
          <w:sz w:val="24"/>
          <w:szCs w:val="24"/>
        </w:rPr>
        <w:t xml:space="preserve"> of customers.  As such, the Settlement violates the regulatory principle of cost causation. Therefore, the Settlement should not be adopted with the combination cost allocation methodology for DMR as a provision of the Settlement.</w:t>
      </w:r>
    </w:p>
    <w:p w:rsidR="00222A13" w:rsidP="007B2C5B">
      <w:pPr>
        <w:spacing w:after="0" w:line="480" w:lineRule="auto"/>
        <w:ind w:left="720" w:hanging="720"/>
        <w:rPr>
          <w:rFonts w:ascii="Times New Roman" w:hAnsi="Times New Roman" w:cs="Times New Roman"/>
          <w:sz w:val="24"/>
          <w:szCs w:val="24"/>
        </w:rPr>
      </w:pPr>
    </w:p>
    <w:p w:rsidR="00E93ADB"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16</w:t>
      </w:r>
      <w:r>
        <w:rPr>
          <w:rFonts w:ascii="Times New Roman" w:hAnsi="Times New Roman" w:cs="Times New Roman"/>
          <w:b/>
          <w:i/>
          <w:caps/>
          <w:sz w:val="24"/>
          <w:szCs w:val="24"/>
        </w:rPr>
        <w:t>.</w:t>
      </w:r>
      <w:r>
        <w:rPr>
          <w:rFonts w:ascii="Times New Roman" w:hAnsi="Times New Roman" w:cs="Times New Roman"/>
          <w:b/>
          <w:i/>
          <w:caps/>
          <w:sz w:val="24"/>
          <w:szCs w:val="24"/>
        </w:rPr>
        <w:tab/>
        <w:t xml:space="preserve">DOES </w:t>
      </w:r>
      <w:r w:rsidRPr="00AA2F53">
        <w:rPr>
          <w:rFonts w:ascii="Times New Roman" w:hAnsi="Times New Roman" w:cs="Times New Roman"/>
          <w:b/>
          <w:i/>
          <w:caps/>
          <w:sz w:val="24"/>
          <w:szCs w:val="24"/>
        </w:rPr>
        <w:t xml:space="preserve">the proposed cost allocation in the settlement disregard </w:t>
      </w:r>
      <w:r>
        <w:rPr>
          <w:rFonts w:ascii="Times New Roman" w:hAnsi="Times New Roman" w:cs="Times New Roman"/>
          <w:b/>
          <w:i/>
          <w:caps/>
          <w:sz w:val="24"/>
          <w:szCs w:val="24"/>
        </w:rPr>
        <w:t xml:space="preserve">A </w:t>
      </w:r>
      <w:r w:rsidRPr="00404E83">
        <w:rPr>
          <w:rFonts w:ascii="Times New Roman" w:hAnsi="Times New Roman" w:cs="Times New Roman"/>
          <w:b/>
          <w:i/>
          <w:caps/>
          <w:sz w:val="24"/>
          <w:szCs w:val="24"/>
        </w:rPr>
        <w:t xml:space="preserve">past PUCO </w:t>
      </w:r>
      <w:r>
        <w:rPr>
          <w:rFonts w:ascii="Times New Roman" w:hAnsi="Times New Roman" w:cs="Times New Roman"/>
          <w:b/>
          <w:i/>
          <w:caps/>
          <w:sz w:val="24"/>
          <w:szCs w:val="24"/>
        </w:rPr>
        <w:t>PRECEDENT, ALSO IN VIOLATION OF THE PUCO’S THIRD PRONG</w:t>
      </w:r>
      <w:r>
        <w:rPr>
          <w:rFonts w:ascii="Times New Roman" w:hAnsi="Times New Roman" w:cs="Times New Roman"/>
          <w:b/>
          <w:i/>
          <w:sz w:val="24"/>
          <w:szCs w:val="24"/>
        </w:rPr>
        <w:t>?</w:t>
      </w:r>
    </w:p>
    <w:p w:rsidR="00E93ADB"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16</w:t>
      </w:r>
      <w:r w:rsidRPr="00F644A9">
        <w:rPr>
          <w:rFonts w:ascii="Times New Roman" w:hAnsi="Times New Roman" w:cs="Times New Roman"/>
          <w:b/>
          <w:i/>
          <w:sz w:val="24"/>
          <w:szCs w:val="24"/>
        </w:rPr>
        <w:t>.</w:t>
      </w:r>
      <w:r>
        <w:rPr>
          <w:rFonts w:ascii="Times New Roman" w:hAnsi="Times New Roman" w:cs="Times New Roman"/>
          <w:sz w:val="24"/>
          <w:szCs w:val="24"/>
        </w:rPr>
        <w:tab/>
        <w:t>Yes.  In t</w:t>
      </w:r>
      <w:r w:rsidRPr="00F644A9">
        <w:rPr>
          <w:rFonts w:ascii="Times New Roman" w:hAnsi="Times New Roman" w:cs="Times New Roman"/>
          <w:sz w:val="24"/>
          <w:szCs w:val="24"/>
        </w:rPr>
        <w:t xml:space="preserve">he PUCO’s </w:t>
      </w:r>
      <w:r>
        <w:rPr>
          <w:rFonts w:ascii="Times New Roman" w:hAnsi="Times New Roman" w:cs="Times New Roman"/>
          <w:sz w:val="24"/>
          <w:szCs w:val="24"/>
        </w:rPr>
        <w:t xml:space="preserve">recent </w:t>
      </w:r>
      <w:r w:rsidRPr="00F644A9">
        <w:rPr>
          <w:rFonts w:ascii="Times New Roman" w:hAnsi="Times New Roman" w:cs="Times New Roman"/>
          <w:sz w:val="24"/>
          <w:szCs w:val="24"/>
        </w:rPr>
        <w:t xml:space="preserve">Fifth Entry on Rehearing </w:t>
      </w:r>
      <w:r>
        <w:rPr>
          <w:rFonts w:ascii="Times New Roman" w:hAnsi="Times New Roman" w:cs="Times New Roman"/>
          <w:sz w:val="24"/>
          <w:szCs w:val="24"/>
        </w:rPr>
        <w:t>issued</w:t>
      </w:r>
      <w:r w:rsidRPr="00F644A9">
        <w:rPr>
          <w:rFonts w:ascii="Times New Roman" w:hAnsi="Times New Roman" w:cs="Times New Roman"/>
          <w:sz w:val="24"/>
          <w:szCs w:val="24"/>
        </w:rPr>
        <w:t xml:space="preserve"> on October 12, 2016, in Case No. 14-1297-EL-SSO</w:t>
      </w:r>
      <w:r>
        <w:rPr>
          <w:rFonts w:ascii="Times New Roman" w:hAnsi="Times New Roman" w:cs="Times New Roman"/>
          <w:sz w:val="24"/>
          <w:szCs w:val="24"/>
        </w:rPr>
        <w:t xml:space="preserve">, </w:t>
      </w:r>
      <w:r w:rsidRPr="00F644A9">
        <w:rPr>
          <w:rFonts w:ascii="Times New Roman" w:hAnsi="Times New Roman" w:cs="Times New Roman"/>
          <w:sz w:val="24"/>
          <w:szCs w:val="24"/>
        </w:rPr>
        <w:t xml:space="preserve">the PUCO approved a DMR for the FirstEnergy Companies.  Beginning on page 8, paragraph 211, of that Entry, the PUCO states: </w:t>
      </w:r>
    </w:p>
    <w:p w:rsidR="00B40C8E" w:rsidP="00B40C8E">
      <w:pPr>
        <w:spacing w:after="0" w:line="480" w:lineRule="auto"/>
        <w:ind w:left="1440" w:right="720"/>
        <w:rPr>
          <w:rFonts w:ascii="Times New Roman" w:hAnsi="Times New Roman" w:cs="Times New Roman"/>
          <w:b/>
          <w:i/>
          <w:sz w:val="24"/>
          <w:szCs w:val="24"/>
        </w:rPr>
      </w:pPr>
      <w:r w:rsidRPr="00F644A9">
        <w:rPr>
          <w:rFonts w:ascii="Times New Roman" w:hAnsi="Times New Roman" w:cs="Times New Roman"/>
          <w:sz w:val="24"/>
          <w:szCs w:val="24"/>
        </w:rPr>
        <w:t>With respect to rate design, we note that we agree with OEG witness Baron that Rider DMR is primarily a distribution-related rider since the revenues received by the Companies under the Rider are intended to incentivize increased investment in distribution modernization (OEG Ex. 7 at 2).  We further agree that the Commission should take a different approach to Rider DMR and take a hybrid approach to allocating Rider DMR costs (OEG Ex. 7 at 3).  However, the allocation and rate design proposed by Mr. Baron results in the allocation of 44 percent of the Rider DMR cost to residential customers (Rehearing Tr. Vol. IV at 1303-04; OEG Ex. 8).  The Commission finds that this allocation would excessively impact residential customers.  Therefore, the Commission will adopt the rate design and allocation proposed by Staff witness Turkenton on cross-examination, based on 50 percent energy and 50 percent demand (Rehearing Tr. Vol. II at 431).  This rate design appears to best embody the concept of gradualism by allocating the revenue and designing rates based in equal share on energy and demand (Rehearing Tr, Vol. II at 430-31).  This allocation will mitigate the impact of Rider DMR on residential customers.  The Commission finds that Rider DMR revenue should also be allocated between Ohio Edison, Cleveland Electric Illuminating, and Toledo Edison cased upon 50 percent energy and 50 percent demand.</w:t>
      </w:r>
      <w:r>
        <w:rPr>
          <w:rFonts w:ascii="Times New Roman" w:hAnsi="Times New Roman" w:cs="Times New Roman"/>
          <w:b/>
          <w:i/>
          <w:sz w:val="24"/>
          <w:szCs w:val="24"/>
        </w:rPr>
        <w:br w:type="page"/>
      </w:r>
    </w:p>
    <w:p w:rsidR="00E93ADB" w:rsidRPr="00F644A9" w:rsidP="007B2C5B">
      <w:pPr>
        <w:spacing w:after="0" w:line="480" w:lineRule="auto"/>
        <w:ind w:left="720" w:hanging="720"/>
        <w:rPr>
          <w:rFonts w:ascii="Times New Roman" w:hAnsi="Times New Roman" w:cs="Times New Roman"/>
          <w:b/>
          <w:i/>
          <w:sz w:val="24"/>
          <w:szCs w:val="24"/>
        </w:rPr>
      </w:pPr>
      <w:r w:rsidRPr="00F644A9">
        <w:rPr>
          <w:rFonts w:ascii="Times New Roman" w:hAnsi="Times New Roman" w:cs="Times New Roman"/>
          <w:b/>
          <w:i/>
          <w:sz w:val="24"/>
          <w:szCs w:val="24"/>
        </w:rPr>
        <w:t>Q</w:t>
      </w:r>
      <w:r>
        <w:rPr>
          <w:rFonts w:ascii="Times New Roman" w:hAnsi="Times New Roman" w:cs="Times New Roman"/>
          <w:b/>
          <w:i/>
          <w:sz w:val="24"/>
          <w:szCs w:val="24"/>
        </w:rPr>
        <w:t>17.</w:t>
      </w:r>
      <w:r>
        <w:rPr>
          <w:rFonts w:ascii="Times New Roman" w:hAnsi="Times New Roman" w:cs="Times New Roman"/>
          <w:b/>
          <w:i/>
          <w:sz w:val="24"/>
          <w:szCs w:val="24"/>
        </w:rPr>
        <w:tab/>
        <w:t xml:space="preserve">IS </w:t>
      </w:r>
      <w:r w:rsidRPr="00F644A9">
        <w:rPr>
          <w:rFonts w:ascii="Times New Roman" w:hAnsi="Times New Roman" w:cs="Times New Roman"/>
          <w:b/>
          <w:i/>
          <w:sz w:val="24"/>
          <w:szCs w:val="24"/>
        </w:rPr>
        <w:t xml:space="preserve">THE FIRSTENERGY RIDER DMR </w:t>
      </w:r>
      <w:r>
        <w:rPr>
          <w:rFonts w:ascii="Times New Roman" w:hAnsi="Times New Roman" w:cs="Times New Roman"/>
          <w:b/>
          <w:i/>
          <w:sz w:val="24"/>
          <w:szCs w:val="24"/>
        </w:rPr>
        <w:t>SIMILAR TO THE DP&amp;L RIDER DMR?</w:t>
      </w:r>
    </w:p>
    <w:p w:rsidR="00E93ADB" w:rsidP="007B2C5B">
      <w:pPr>
        <w:spacing w:after="0" w:line="480" w:lineRule="auto"/>
        <w:ind w:left="720" w:hanging="720"/>
        <w:rPr>
          <w:rFonts w:ascii="Times New Roman" w:hAnsi="Times New Roman" w:cs="Times New Roman"/>
          <w:sz w:val="24"/>
          <w:szCs w:val="24"/>
        </w:rPr>
      </w:pPr>
      <w:r w:rsidRPr="00F644A9">
        <w:rPr>
          <w:rFonts w:ascii="Times New Roman" w:hAnsi="Times New Roman" w:cs="Times New Roman"/>
          <w:b/>
          <w:i/>
          <w:sz w:val="24"/>
          <w:szCs w:val="24"/>
        </w:rPr>
        <w:t>A</w:t>
      </w:r>
      <w:r>
        <w:rPr>
          <w:rFonts w:ascii="Times New Roman" w:hAnsi="Times New Roman" w:cs="Times New Roman"/>
          <w:b/>
          <w:i/>
          <w:sz w:val="24"/>
          <w:szCs w:val="24"/>
        </w:rPr>
        <w:t>17</w:t>
      </w:r>
      <w:r>
        <w:rPr>
          <w:rFonts w:ascii="Times New Roman" w:hAnsi="Times New Roman" w:cs="Times New Roman"/>
          <w:sz w:val="24"/>
          <w:szCs w:val="24"/>
        </w:rPr>
        <w:t>.</w:t>
      </w:r>
      <w:r>
        <w:rPr>
          <w:rFonts w:ascii="Times New Roman" w:hAnsi="Times New Roman" w:cs="Times New Roman"/>
          <w:sz w:val="24"/>
          <w:szCs w:val="24"/>
        </w:rPr>
        <w:tab/>
        <w:t>Essentially, y</w:t>
      </w:r>
      <w:r w:rsidRPr="00F644A9">
        <w:rPr>
          <w:rFonts w:ascii="Times New Roman" w:hAnsi="Times New Roman" w:cs="Times New Roman"/>
          <w:sz w:val="24"/>
          <w:szCs w:val="24"/>
        </w:rPr>
        <w:t>es.</w:t>
      </w:r>
      <w:r>
        <w:rPr>
          <w:rFonts w:ascii="Times New Roman" w:hAnsi="Times New Roman" w:cs="Times New Roman"/>
          <w:sz w:val="24"/>
          <w:szCs w:val="24"/>
        </w:rPr>
        <w:t xml:space="preserve">  However, there are some slight variations that are important.</w:t>
      </w:r>
      <w:r w:rsidRPr="00F644A9">
        <w:rPr>
          <w:rFonts w:ascii="Times New Roman" w:hAnsi="Times New Roman" w:cs="Times New Roman"/>
          <w:sz w:val="24"/>
          <w:szCs w:val="24"/>
        </w:rPr>
        <w:t xml:space="preserve">  FirstEnergy</w:t>
      </w:r>
      <w:r>
        <w:rPr>
          <w:rFonts w:ascii="Times New Roman" w:hAnsi="Times New Roman" w:cs="Times New Roman"/>
          <w:sz w:val="24"/>
          <w:szCs w:val="24"/>
        </w:rPr>
        <w:t>’s</w:t>
      </w:r>
      <w:r w:rsidRPr="00F644A9">
        <w:rPr>
          <w:rFonts w:ascii="Times New Roman" w:hAnsi="Times New Roman" w:cs="Times New Roman"/>
          <w:sz w:val="24"/>
          <w:szCs w:val="24"/>
        </w:rPr>
        <w:t xml:space="preserve"> </w:t>
      </w:r>
      <w:r>
        <w:rPr>
          <w:rFonts w:ascii="Times New Roman" w:hAnsi="Times New Roman" w:cs="Times New Roman"/>
          <w:sz w:val="24"/>
          <w:szCs w:val="24"/>
        </w:rPr>
        <w:t>DMR</w:t>
      </w:r>
      <w:r w:rsidRPr="00F644A9">
        <w:rPr>
          <w:rFonts w:ascii="Times New Roman" w:hAnsi="Times New Roman" w:cs="Times New Roman"/>
          <w:sz w:val="24"/>
          <w:szCs w:val="24"/>
        </w:rPr>
        <w:t>, as noted above, is primarily a distribution-related rider intended to incent increased investment in distribution modernization and to improve FirstEnergy’s credit position, as determined by its Cash Flow from Operations per-Working Capital (CFO) to debt ratio (</w:t>
      </w:r>
      <w:r>
        <w:rPr>
          <w:rFonts w:ascii="Times New Roman" w:hAnsi="Times New Roman" w:cs="Times New Roman"/>
          <w:sz w:val="24"/>
          <w:szCs w:val="24"/>
        </w:rPr>
        <w:t xml:space="preserve">Case No. 14-1297-EL-SSO, </w:t>
      </w:r>
      <w:r w:rsidRPr="00F644A9">
        <w:rPr>
          <w:rFonts w:ascii="Times New Roman" w:hAnsi="Times New Roman" w:cs="Times New Roman"/>
          <w:sz w:val="24"/>
          <w:szCs w:val="24"/>
        </w:rPr>
        <w:t>Fifth Entry on Rehea</w:t>
      </w:r>
      <w:r>
        <w:rPr>
          <w:rFonts w:ascii="Times New Roman" w:hAnsi="Times New Roman" w:cs="Times New Roman"/>
          <w:sz w:val="24"/>
          <w:szCs w:val="24"/>
        </w:rPr>
        <w:t>ring, October 12, 2016, page 51</w:t>
      </w:r>
      <w:r w:rsidRPr="00F644A9">
        <w:rPr>
          <w:rFonts w:ascii="Times New Roman" w:hAnsi="Times New Roman" w:cs="Times New Roman"/>
          <w:sz w:val="24"/>
          <w:szCs w:val="24"/>
        </w:rPr>
        <w:t>)</w:t>
      </w:r>
      <w:r>
        <w:rPr>
          <w:rFonts w:ascii="Times New Roman" w:hAnsi="Times New Roman" w:cs="Times New Roman"/>
          <w:sz w:val="24"/>
          <w:szCs w:val="24"/>
        </w:rPr>
        <w:t>.</w:t>
      </w:r>
      <w:r w:rsidRPr="00F644A9">
        <w:rPr>
          <w:rFonts w:ascii="Times New Roman" w:hAnsi="Times New Roman" w:cs="Times New Roman"/>
          <w:sz w:val="24"/>
          <w:szCs w:val="24"/>
        </w:rPr>
        <w:t xml:space="preserve">  Thus, one of its prime purposes is </w:t>
      </w:r>
      <w:r>
        <w:rPr>
          <w:rFonts w:ascii="Times New Roman" w:hAnsi="Times New Roman" w:cs="Times New Roman"/>
          <w:sz w:val="24"/>
          <w:szCs w:val="24"/>
        </w:rPr>
        <w:t xml:space="preserve">to address the need for </w:t>
      </w:r>
      <w:r w:rsidRPr="00F644A9">
        <w:rPr>
          <w:rFonts w:ascii="Times New Roman" w:hAnsi="Times New Roman" w:cs="Times New Roman"/>
          <w:sz w:val="24"/>
          <w:szCs w:val="24"/>
        </w:rPr>
        <w:t>credit support</w:t>
      </w:r>
      <w:r>
        <w:rPr>
          <w:rFonts w:ascii="Times New Roman" w:hAnsi="Times New Roman" w:cs="Times New Roman"/>
          <w:sz w:val="24"/>
          <w:szCs w:val="24"/>
        </w:rPr>
        <w:t xml:space="preserve"> for the FirstEnergy Utilities in order to ensure that they have access to capital market in order to make investments in their distribution systems (Case No. 14-1297-EL-SSO, Fifth Entry on Rehearing, October 12, 2016, page 87).</w:t>
      </w:r>
    </w:p>
    <w:p w:rsidR="00E93ADB" w:rsidRPr="00F644A9" w:rsidP="007B2C5B">
      <w:pPr>
        <w:spacing w:after="0" w:line="480" w:lineRule="auto"/>
        <w:ind w:left="720" w:hanging="720"/>
        <w:rPr>
          <w:rFonts w:ascii="Times New Roman" w:hAnsi="Times New Roman" w:cs="Times New Roman"/>
          <w:sz w:val="24"/>
          <w:szCs w:val="24"/>
        </w:rPr>
      </w:pPr>
    </w:p>
    <w:p w:rsidR="00E93ADB" w:rsidP="008D23F5">
      <w:pPr>
        <w:spacing w:after="0" w:line="480" w:lineRule="auto"/>
        <w:ind w:left="720"/>
        <w:rPr>
          <w:rFonts w:ascii="Times New Roman" w:hAnsi="Times New Roman" w:cs="Times New Roman"/>
          <w:sz w:val="24"/>
          <w:szCs w:val="24"/>
        </w:rPr>
      </w:pPr>
      <w:r w:rsidRPr="00F644A9">
        <w:rPr>
          <w:rFonts w:ascii="Times New Roman" w:hAnsi="Times New Roman" w:cs="Times New Roman"/>
          <w:sz w:val="24"/>
          <w:szCs w:val="24"/>
        </w:rPr>
        <w:t>Cash flow from the DP&amp;L DMR will be used to (a) pay interest obligation on existing debt at DPL Inc. and DP&amp;L; (b) make discretionary debt prepayments at DPL Inc. and DP&amp;L; and (c) position DP&amp;L to make capital expenditures to modernize and/or maintain DP&amp;L’s transmission and distribution infrastructure.</w:t>
      </w:r>
      <w:r>
        <w:rPr>
          <w:rStyle w:val="FootnoteReference"/>
          <w:rFonts w:ascii="Times New Roman" w:hAnsi="Times New Roman" w:cs="Times New Roman"/>
          <w:sz w:val="24"/>
          <w:szCs w:val="24"/>
        </w:rPr>
        <w:footnoteReference w:id="4"/>
      </w:r>
    </w:p>
    <w:p w:rsidR="00E93ADB" w:rsidRPr="00F644A9" w:rsidP="007B2C5B">
      <w:pPr>
        <w:spacing w:after="0" w:line="480" w:lineRule="auto"/>
        <w:ind w:left="720" w:hanging="720"/>
        <w:rPr>
          <w:rFonts w:ascii="Times New Roman" w:hAnsi="Times New Roman" w:cs="Times New Roman"/>
          <w:sz w:val="24"/>
          <w:szCs w:val="24"/>
        </w:rPr>
      </w:pPr>
    </w:p>
    <w:p w:rsidR="00E93ADB" w:rsidRPr="002468C0" w:rsidP="008D23F5">
      <w:pPr>
        <w:spacing w:after="0" w:line="480" w:lineRule="auto"/>
        <w:ind w:left="720"/>
        <w:rPr>
          <w:rFonts w:ascii="Times New Roman" w:hAnsi="Times New Roman" w:cs="Times New Roman"/>
          <w:sz w:val="24"/>
          <w:szCs w:val="24"/>
        </w:rPr>
      </w:pPr>
      <w:r w:rsidRPr="00F644A9">
        <w:rPr>
          <w:rFonts w:ascii="Times New Roman" w:hAnsi="Times New Roman" w:cs="Times New Roman"/>
          <w:sz w:val="24"/>
          <w:szCs w:val="24"/>
        </w:rPr>
        <w:t xml:space="preserve">It appears to me that both </w:t>
      </w:r>
      <w:r>
        <w:rPr>
          <w:rFonts w:ascii="Times New Roman" w:hAnsi="Times New Roman" w:cs="Times New Roman"/>
          <w:sz w:val="24"/>
          <w:szCs w:val="24"/>
        </w:rPr>
        <w:t xml:space="preserve">the FirstEnergy and DP&amp;L </w:t>
      </w:r>
      <w:r w:rsidRPr="00F644A9">
        <w:rPr>
          <w:rFonts w:ascii="Times New Roman" w:hAnsi="Times New Roman" w:cs="Times New Roman"/>
          <w:sz w:val="24"/>
          <w:szCs w:val="24"/>
        </w:rPr>
        <w:t xml:space="preserve">DMRs are meant to help the </w:t>
      </w:r>
      <w:r>
        <w:rPr>
          <w:rFonts w:ascii="Times New Roman" w:hAnsi="Times New Roman" w:cs="Times New Roman"/>
          <w:sz w:val="24"/>
          <w:szCs w:val="24"/>
        </w:rPr>
        <w:t>utilities</w:t>
      </w:r>
      <w:r w:rsidRPr="00F644A9">
        <w:rPr>
          <w:rFonts w:ascii="Times New Roman" w:hAnsi="Times New Roman" w:cs="Times New Roman"/>
          <w:sz w:val="24"/>
          <w:szCs w:val="24"/>
        </w:rPr>
        <w:t xml:space="preserve"> maintain financial </w:t>
      </w:r>
      <w:r>
        <w:rPr>
          <w:rFonts w:ascii="Times New Roman" w:hAnsi="Times New Roman" w:cs="Times New Roman"/>
          <w:sz w:val="24"/>
          <w:szCs w:val="24"/>
        </w:rPr>
        <w:t>integrity</w:t>
      </w:r>
      <w:r w:rsidRPr="00F644A9">
        <w:rPr>
          <w:rFonts w:ascii="Times New Roman" w:hAnsi="Times New Roman" w:cs="Times New Roman"/>
          <w:sz w:val="24"/>
          <w:szCs w:val="24"/>
        </w:rPr>
        <w:t xml:space="preserve"> and to allow better access to capital and equity.  Therefore, the PUCO’s decision in the FirstEnergy proceeding regarding the </w:t>
      </w:r>
      <w:r>
        <w:rPr>
          <w:rFonts w:ascii="Times New Roman" w:hAnsi="Times New Roman" w:cs="Times New Roman"/>
          <w:sz w:val="24"/>
          <w:szCs w:val="24"/>
        </w:rPr>
        <w:t xml:space="preserve">allocation of the DMR’s costs is </w:t>
      </w:r>
      <w:r w:rsidRPr="00F644A9">
        <w:rPr>
          <w:rFonts w:ascii="Times New Roman" w:hAnsi="Times New Roman" w:cs="Times New Roman"/>
          <w:sz w:val="24"/>
          <w:szCs w:val="24"/>
        </w:rPr>
        <w:t xml:space="preserve">relevant to </w:t>
      </w:r>
      <w:r>
        <w:rPr>
          <w:rFonts w:ascii="Times New Roman" w:hAnsi="Times New Roman" w:cs="Times New Roman"/>
          <w:sz w:val="24"/>
          <w:szCs w:val="24"/>
        </w:rPr>
        <w:t>the similar</w:t>
      </w:r>
      <w:r w:rsidRPr="00F644A9">
        <w:rPr>
          <w:rFonts w:ascii="Times New Roman" w:hAnsi="Times New Roman" w:cs="Times New Roman"/>
          <w:sz w:val="24"/>
          <w:szCs w:val="24"/>
        </w:rPr>
        <w:t xml:space="preserve"> </w:t>
      </w:r>
      <w:r>
        <w:rPr>
          <w:rFonts w:ascii="Times New Roman" w:hAnsi="Times New Roman" w:cs="Times New Roman"/>
          <w:sz w:val="24"/>
          <w:szCs w:val="24"/>
        </w:rPr>
        <w:t>cost allocation</w:t>
      </w:r>
      <w:r w:rsidRPr="00F644A9">
        <w:rPr>
          <w:rFonts w:ascii="Times New Roman" w:hAnsi="Times New Roman" w:cs="Times New Roman"/>
          <w:sz w:val="24"/>
          <w:szCs w:val="24"/>
        </w:rPr>
        <w:t xml:space="preserve"> issues in this proceeding.</w:t>
      </w:r>
      <w:r>
        <w:rPr>
          <w:rFonts w:ascii="Times New Roman" w:hAnsi="Times New Roman" w:cs="Times New Roman"/>
          <w:sz w:val="24"/>
          <w:szCs w:val="24"/>
        </w:rPr>
        <w:t xml:space="preserve">  Here, </w:t>
      </w:r>
      <w:r w:rsidRPr="002468C0">
        <w:rPr>
          <w:rFonts w:ascii="Times New Roman" w:hAnsi="Times New Roman" w:cs="Times New Roman"/>
          <w:sz w:val="24"/>
          <w:szCs w:val="24"/>
        </w:rPr>
        <w:t xml:space="preserve">there is even less reason to base any allocation on distribution revenues because </w:t>
      </w:r>
      <w:r>
        <w:rPr>
          <w:rFonts w:ascii="Times New Roman" w:hAnsi="Times New Roman" w:cs="Times New Roman"/>
          <w:sz w:val="24"/>
          <w:szCs w:val="24"/>
        </w:rPr>
        <w:t>DP&amp;L’s</w:t>
      </w:r>
      <w:r w:rsidRPr="002468C0">
        <w:rPr>
          <w:rFonts w:ascii="Times New Roman" w:hAnsi="Times New Roman" w:cs="Times New Roman"/>
          <w:sz w:val="24"/>
          <w:szCs w:val="24"/>
        </w:rPr>
        <w:t xml:space="preserve"> proposed DMR focuses </w:t>
      </w:r>
      <w:r>
        <w:rPr>
          <w:rFonts w:ascii="Times New Roman" w:hAnsi="Times New Roman" w:cs="Times New Roman"/>
          <w:sz w:val="24"/>
          <w:szCs w:val="24"/>
        </w:rPr>
        <w:t xml:space="preserve">significantly </w:t>
      </w:r>
      <w:r w:rsidRPr="002468C0">
        <w:rPr>
          <w:rFonts w:ascii="Times New Roman" w:hAnsi="Times New Roman" w:cs="Times New Roman"/>
          <w:sz w:val="24"/>
          <w:szCs w:val="24"/>
        </w:rPr>
        <w:t xml:space="preserve">less </w:t>
      </w:r>
      <w:r>
        <w:rPr>
          <w:rFonts w:ascii="Times New Roman" w:hAnsi="Times New Roman" w:cs="Times New Roman"/>
          <w:sz w:val="24"/>
          <w:szCs w:val="24"/>
        </w:rPr>
        <w:t xml:space="preserve">(if at all) </w:t>
      </w:r>
      <w:r w:rsidRPr="002468C0">
        <w:rPr>
          <w:rFonts w:ascii="Times New Roman" w:hAnsi="Times New Roman" w:cs="Times New Roman"/>
          <w:sz w:val="24"/>
          <w:szCs w:val="24"/>
        </w:rPr>
        <w:t xml:space="preserve">on </w:t>
      </w:r>
      <w:r>
        <w:rPr>
          <w:rFonts w:ascii="Times New Roman" w:hAnsi="Times New Roman" w:cs="Times New Roman"/>
          <w:sz w:val="24"/>
          <w:szCs w:val="24"/>
        </w:rPr>
        <w:t>d</w:t>
      </w:r>
      <w:r w:rsidRPr="002468C0">
        <w:rPr>
          <w:rFonts w:ascii="Times New Roman" w:hAnsi="Times New Roman" w:cs="Times New Roman"/>
          <w:sz w:val="24"/>
          <w:szCs w:val="24"/>
        </w:rPr>
        <w:t xml:space="preserve">istribution infrastructure </w:t>
      </w:r>
      <w:r>
        <w:rPr>
          <w:rFonts w:ascii="Times New Roman" w:hAnsi="Times New Roman" w:cs="Times New Roman"/>
          <w:sz w:val="24"/>
          <w:szCs w:val="24"/>
        </w:rPr>
        <w:t>investment</w:t>
      </w:r>
      <w:r w:rsidRPr="002468C0">
        <w:rPr>
          <w:rFonts w:ascii="Times New Roman" w:hAnsi="Times New Roman" w:cs="Times New Roman"/>
          <w:sz w:val="24"/>
          <w:szCs w:val="24"/>
        </w:rPr>
        <w:t xml:space="preserve"> as a goal than does FirstEnergy</w:t>
      </w:r>
      <w:r>
        <w:rPr>
          <w:rFonts w:ascii="Times New Roman" w:hAnsi="Times New Roman" w:cs="Times New Roman"/>
          <w:sz w:val="24"/>
          <w:szCs w:val="24"/>
        </w:rPr>
        <w:t>’s DMR</w:t>
      </w:r>
      <w:r w:rsidRPr="002468C0">
        <w:rPr>
          <w:rFonts w:ascii="Times New Roman" w:hAnsi="Times New Roman" w:cs="Times New Roman"/>
          <w:sz w:val="24"/>
          <w:szCs w:val="24"/>
        </w:rPr>
        <w:t xml:space="preserve">.  </w:t>
      </w:r>
      <w:r>
        <w:rPr>
          <w:rFonts w:ascii="Times New Roman" w:hAnsi="Times New Roman" w:cs="Times New Roman"/>
          <w:sz w:val="24"/>
          <w:szCs w:val="24"/>
        </w:rPr>
        <w:t>Rather, DP&amp;L’s proposed DMR focuses solely on credit support by reducing debt.</w:t>
      </w:r>
    </w:p>
    <w:p w:rsidR="00E93ADB" w:rsidP="007B2C5B">
      <w:pPr>
        <w:spacing w:after="0" w:line="480" w:lineRule="auto"/>
        <w:ind w:left="720" w:hanging="720"/>
        <w:rPr>
          <w:rFonts w:ascii="Times New Roman" w:hAnsi="Times New Roman" w:cs="Times New Roman"/>
          <w:sz w:val="24"/>
          <w:szCs w:val="24"/>
        </w:rPr>
      </w:pPr>
    </w:p>
    <w:p w:rsidR="00306114" w:rsidRPr="00F644A9" w:rsidP="007B2C5B">
      <w:pPr>
        <w:spacing w:after="0" w:line="480" w:lineRule="auto"/>
        <w:ind w:left="720" w:hanging="720"/>
        <w:rPr>
          <w:rFonts w:ascii="Times New Roman" w:hAnsi="Times New Roman" w:cs="Times New Roman"/>
          <w:b/>
          <w:i/>
          <w:sz w:val="24"/>
          <w:szCs w:val="24"/>
        </w:rPr>
      </w:pPr>
      <w:r>
        <w:rPr>
          <w:rFonts w:ascii="Times New Roman" w:hAnsi="Times New Roman" w:cs="Times New Roman"/>
          <w:b/>
          <w:i/>
          <w:sz w:val="24"/>
          <w:szCs w:val="24"/>
        </w:rPr>
        <w:t>Q18.</w:t>
      </w:r>
      <w:r>
        <w:rPr>
          <w:rFonts w:ascii="Times New Roman" w:hAnsi="Times New Roman" w:cs="Times New Roman"/>
          <w:b/>
          <w:i/>
          <w:sz w:val="24"/>
          <w:szCs w:val="24"/>
        </w:rPr>
        <w:tab/>
      </w:r>
      <w:r w:rsidRPr="00F644A9">
        <w:rPr>
          <w:rFonts w:ascii="Times New Roman" w:hAnsi="Times New Roman" w:cs="Times New Roman"/>
          <w:b/>
          <w:i/>
          <w:sz w:val="24"/>
          <w:szCs w:val="24"/>
        </w:rPr>
        <w:t>DOES THIS CONCLUDE YOUR TESTIMONY OPPOSI</w:t>
      </w:r>
      <w:r>
        <w:rPr>
          <w:rFonts w:ascii="Times New Roman" w:hAnsi="Times New Roman" w:cs="Times New Roman"/>
          <w:b/>
          <w:i/>
          <w:sz w:val="24"/>
          <w:szCs w:val="24"/>
        </w:rPr>
        <w:t xml:space="preserve">NG </w:t>
      </w:r>
      <w:r w:rsidRPr="00F644A9">
        <w:rPr>
          <w:rFonts w:ascii="Times New Roman" w:hAnsi="Times New Roman" w:cs="Times New Roman"/>
          <w:b/>
          <w:i/>
          <w:sz w:val="24"/>
          <w:szCs w:val="24"/>
        </w:rPr>
        <w:t>THE S</w:t>
      </w:r>
      <w:r>
        <w:rPr>
          <w:rFonts w:ascii="Times New Roman" w:hAnsi="Times New Roman" w:cs="Times New Roman"/>
          <w:b/>
          <w:i/>
          <w:sz w:val="24"/>
          <w:szCs w:val="24"/>
        </w:rPr>
        <w:t>ETTLEMENT</w:t>
      </w:r>
      <w:r w:rsidRPr="00F644A9">
        <w:rPr>
          <w:rFonts w:ascii="Times New Roman" w:hAnsi="Times New Roman" w:cs="Times New Roman"/>
          <w:b/>
          <w:i/>
          <w:sz w:val="24"/>
          <w:szCs w:val="24"/>
        </w:rPr>
        <w:t>?</w:t>
      </w:r>
    </w:p>
    <w:p w:rsidR="003227F2" w:rsidP="007B2C5B">
      <w:pPr>
        <w:spacing w:after="0" w:line="480" w:lineRule="auto"/>
        <w:ind w:left="720" w:hanging="720"/>
        <w:rPr>
          <w:rFonts w:ascii="Times New Roman" w:hAnsi="Times New Roman" w:cs="Times New Roman"/>
          <w:sz w:val="24"/>
          <w:szCs w:val="24"/>
        </w:rPr>
        <w:sectPr w:rsidSect="00B40C8E">
          <w:headerReference w:type="even" r:id="rId6"/>
          <w:headerReference w:type="default" r:id="rId7"/>
          <w:footerReference w:type="default" r:id="rId8"/>
          <w:headerReference w:type="first" r:id="rId9"/>
          <w:pgSz w:w="12240" w:h="15840"/>
          <w:pgMar w:top="1440" w:right="1800" w:bottom="1440" w:left="1800" w:header="720" w:footer="720" w:gutter="0"/>
          <w:lnNumType w:countBy="1"/>
          <w:pgNumType w:start="1"/>
          <w:cols w:space="720"/>
          <w:docGrid w:linePitch="360"/>
        </w:sectPr>
      </w:pPr>
      <w:r w:rsidRPr="00F644A9">
        <w:rPr>
          <w:rFonts w:ascii="Times New Roman" w:hAnsi="Times New Roman" w:cs="Times New Roman"/>
          <w:b/>
          <w:i/>
          <w:sz w:val="24"/>
          <w:szCs w:val="24"/>
        </w:rPr>
        <w:t>A1</w:t>
      </w:r>
      <w:r>
        <w:rPr>
          <w:rFonts w:ascii="Times New Roman" w:hAnsi="Times New Roman" w:cs="Times New Roman"/>
          <w:b/>
          <w:i/>
          <w:sz w:val="24"/>
          <w:szCs w:val="24"/>
        </w:rPr>
        <w:t>8</w:t>
      </w:r>
      <w:r w:rsidRPr="00F644A9">
        <w:rPr>
          <w:rFonts w:ascii="Times New Roman" w:hAnsi="Times New Roman" w:cs="Times New Roman"/>
          <w:b/>
          <w:i/>
          <w:sz w:val="24"/>
          <w:szCs w:val="24"/>
        </w:rPr>
        <w:t>.</w:t>
      </w:r>
      <w:r w:rsidRPr="00F644A9">
        <w:rPr>
          <w:rFonts w:ascii="Times New Roman" w:hAnsi="Times New Roman" w:cs="Times New Roman"/>
          <w:sz w:val="24"/>
          <w:szCs w:val="24"/>
        </w:rPr>
        <w:t xml:space="preserve">  </w:t>
      </w:r>
      <w:r>
        <w:rPr>
          <w:rFonts w:ascii="Times New Roman" w:hAnsi="Times New Roman" w:cs="Times New Roman"/>
          <w:sz w:val="24"/>
          <w:szCs w:val="24"/>
        </w:rPr>
        <w:tab/>
      </w:r>
      <w:r w:rsidRPr="00F644A9">
        <w:rPr>
          <w:rFonts w:ascii="Times New Roman" w:hAnsi="Times New Roman" w:cs="Times New Roman"/>
          <w:sz w:val="24"/>
          <w:szCs w:val="24"/>
        </w:rPr>
        <w:t>Yes, it does.  However, I reserve the right to incorporate new information that may subsequently become available.  I also reserve the right to supplement my testimony in the event DP&amp;L or any other party submits new or corrected information in connection with this proceeding and, specifically, this S</w:t>
      </w:r>
      <w:r>
        <w:rPr>
          <w:rFonts w:ascii="Times New Roman" w:hAnsi="Times New Roman" w:cs="Times New Roman"/>
          <w:sz w:val="24"/>
          <w:szCs w:val="24"/>
        </w:rPr>
        <w:t>ettlement</w:t>
      </w:r>
      <w:r w:rsidRPr="00F644A9">
        <w:rPr>
          <w:rFonts w:ascii="Times New Roman" w:hAnsi="Times New Roman" w:cs="Times New Roman"/>
          <w:sz w:val="24"/>
          <w:szCs w:val="24"/>
        </w:rPr>
        <w:t>.</w:t>
      </w:r>
    </w:p>
    <w:p w:rsidR="003A4C27" w:rsidRPr="00F644A9" w:rsidP="003227F2">
      <w:pPr>
        <w:spacing w:after="0" w:line="480" w:lineRule="auto"/>
        <w:ind w:left="720" w:hanging="720"/>
        <w:jc w:val="center"/>
        <w:rPr>
          <w:rFonts w:ascii="Times New Roman" w:hAnsi="Times New Roman" w:cs="Times New Roman"/>
          <w:sz w:val="24"/>
          <w:szCs w:val="24"/>
        </w:rPr>
      </w:pPr>
      <w:r w:rsidRPr="00F644A9">
        <w:rPr>
          <w:rFonts w:ascii="Times New Roman" w:hAnsi="Times New Roman" w:cs="Times New Roman"/>
          <w:b/>
          <w:sz w:val="24"/>
          <w:szCs w:val="24"/>
          <w:u w:val="single"/>
        </w:rPr>
        <w:t>CERTIFICATE OF SERVICE</w:t>
      </w:r>
    </w:p>
    <w:p w:rsidR="00FD2451" w:rsidP="00FD2451">
      <w:pPr>
        <w:suppressAutoHyphens/>
        <w:spacing w:line="480" w:lineRule="auto"/>
        <w:ind w:right="-90" w:firstLine="720"/>
        <w:rPr>
          <w:rFonts w:ascii="Times New Roman" w:hAnsi="Times New Roman" w:cs="Times New Roman"/>
          <w:bCs/>
          <w:spacing w:val="-3"/>
          <w:sz w:val="24"/>
          <w:szCs w:val="24"/>
        </w:rPr>
      </w:pPr>
      <w:r w:rsidRPr="00F644A9">
        <w:rPr>
          <w:rFonts w:ascii="Times New Roman" w:hAnsi="Times New Roman" w:cs="Times New Roman"/>
          <w:bCs/>
          <w:spacing w:val="-3"/>
          <w:sz w:val="24"/>
          <w:szCs w:val="24"/>
        </w:rPr>
        <w:t xml:space="preserve">It is hereby certified that a true copy of the foregoing </w:t>
      </w:r>
      <w:r w:rsidRPr="00F644A9">
        <w:rPr>
          <w:rFonts w:ascii="Times New Roman" w:hAnsi="Times New Roman" w:cs="Times New Roman"/>
          <w:bCs/>
          <w:i/>
          <w:spacing w:val="-3"/>
          <w:sz w:val="24"/>
          <w:szCs w:val="24"/>
        </w:rPr>
        <w:t>Direct Testimony of</w:t>
      </w:r>
      <w:r w:rsidRPr="00F644A9">
        <w:rPr>
          <w:rFonts w:ascii="Times New Roman" w:hAnsi="Times New Roman" w:cs="Times New Roman"/>
          <w:bCs/>
          <w:i/>
          <w:spacing w:val="-3"/>
          <w:sz w:val="24"/>
          <w:szCs w:val="24"/>
          <w:u w:val="single"/>
        </w:rPr>
        <w:t xml:space="preserve"> </w:t>
      </w:r>
      <w:r>
        <w:rPr>
          <w:rFonts w:ascii="Times New Roman" w:hAnsi="Times New Roman" w:cs="Times New Roman"/>
          <w:bCs/>
          <w:i/>
          <w:spacing w:val="-3"/>
          <w:sz w:val="24"/>
          <w:szCs w:val="24"/>
        </w:rPr>
        <w:t>Robert B. Fortney</w:t>
      </w:r>
      <w:r w:rsidRPr="00F644A9">
        <w:rPr>
          <w:rFonts w:ascii="Times New Roman" w:hAnsi="Times New Roman" w:cs="Times New Roman"/>
          <w:bCs/>
          <w:i/>
          <w:spacing w:val="-3"/>
          <w:sz w:val="24"/>
          <w:szCs w:val="24"/>
        </w:rPr>
        <w:t xml:space="preserve"> on Behalf of The </w:t>
      </w:r>
      <w:r w:rsidRPr="00F644A9">
        <w:rPr>
          <w:rFonts w:ascii="Times New Roman" w:hAnsi="Times New Roman" w:cs="Times New Roman"/>
          <w:bCs/>
          <w:i/>
          <w:iCs/>
          <w:spacing w:val="-3"/>
          <w:sz w:val="24"/>
          <w:szCs w:val="24"/>
        </w:rPr>
        <w:t>Ohio Consumers’ Counsel</w:t>
      </w:r>
      <w:r w:rsidRPr="00F644A9">
        <w:rPr>
          <w:rFonts w:ascii="Times New Roman" w:hAnsi="Times New Roman" w:cs="Times New Roman"/>
          <w:bCs/>
          <w:spacing w:val="-3"/>
          <w:sz w:val="24"/>
          <w:szCs w:val="24"/>
        </w:rPr>
        <w:t xml:space="preserve"> was served via electronic transmission this </w:t>
      </w:r>
      <w:r>
        <w:rPr>
          <w:rFonts w:ascii="Times New Roman" w:hAnsi="Times New Roman" w:cs="Times New Roman"/>
          <w:bCs/>
          <w:spacing w:val="-3"/>
          <w:sz w:val="24"/>
          <w:szCs w:val="24"/>
        </w:rPr>
        <w:t>29</w:t>
      </w:r>
      <w:r>
        <w:rPr>
          <w:rFonts w:ascii="Times New Roman" w:hAnsi="Times New Roman" w:cs="Times New Roman"/>
          <w:bCs/>
          <w:spacing w:val="-3"/>
          <w:sz w:val="24"/>
          <w:szCs w:val="24"/>
          <w:vertAlign w:val="superscript"/>
        </w:rPr>
        <w:t>th</w:t>
      </w:r>
      <w:r w:rsidRPr="00F644A9">
        <w:rPr>
          <w:rFonts w:ascii="Times New Roman" w:hAnsi="Times New Roman" w:cs="Times New Roman"/>
          <w:bCs/>
          <w:spacing w:val="-3"/>
          <w:sz w:val="24"/>
          <w:szCs w:val="24"/>
        </w:rPr>
        <w:t xml:space="preserve"> day of March 2017.</w:t>
      </w:r>
    </w:p>
    <w:p w:rsidR="00FD2451" w:rsidP="00FD2451">
      <w:pPr>
        <w:suppressAutoHyphens/>
        <w:spacing w:after="0" w:line="240" w:lineRule="auto"/>
        <w:ind w:right="-90" w:firstLine="5040"/>
        <w:rPr>
          <w:rFonts w:ascii="Times New Roman" w:hAnsi="Times New Roman" w:cs="Times New Roman"/>
          <w:bCs/>
          <w:spacing w:val="-3"/>
          <w:sz w:val="24"/>
          <w:szCs w:val="24"/>
        </w:rPr>
      </w:pPr>
      <w:r>
        <w:rPr>
          <w:rFonts w:ascii="Times New Roman" w:hAnsi="Times New Roman" w:cs="Times New Roman"/>
          <w:bCs/>
          <w:i/>
          <w:spacing w:val="-3"/>
          <w:sz w:val="24"/>
          <w:szCs w:val="24"/>
          <w:u w:val="single"/>
        </w:rPr>
        <w:t>/s/ William J Michael_____</w:t>
      </w:r>
    </w:p>
    <w:p w:rsidR="00FD2451" w:rsidRPr="00FD2451" w:rsidP="00FD2451">
      <w:pPr>
        <w:suppressAutoHyphens/>
        <w:spacing w:after="0" w:line="240" w:lineRule="auto"/>
        <w:ind w:right="-90" w:firstLine="5040"/>
        <w:rPr>
          <w:rFonts w:ascii="Times New Roman" w:hAnsi="Times New Roman" w:cs="Times New Roman"/>
          <w:bCs/>
          <w:spacing w:val="-3"/>
          <w:sz w:val="24"/>
          <w:szCs w:val="24"/>
        </w:rPr>
      </w:pPr>
      <w:r w:rsidRPr="00FD2451">
        <w:rPr>
          <w:rFonts w:ascii="Times New Roman" w:hAnsi="Times New Roman" w:cs="Times New Roman"/>
          <w:bCs/>
          <w:spacing w:val="-3"/>
          <w:sz w:val="24"/>
          <w:szCs w:val="24"/>
        </w:rPr>
        <w:t>William J. Michael</w:t>
      </w:r>
    </w:p>
    <w:p w:rsidR="00FD2451" w:rsidRPr="00FD2451" w:rsidP="00FD2451">
      <w:pPr>
        <w:suppressAutoHyphens/>
        <w:spacing w:after="0" w:line="240" w:lineRule="auto"/>
        <w:ind w:right="-86" w:firstLine="5040"/>
        <w:rPr>
          <w:rFonts w:ascii="Times New Roman" w:hAnsi="Times New Roman" w:cs="Times New Roman"/>
          <w:bCs/>
          <w:spacing w:val="-3"/>
          <w:sz w:val="24"/>
          <w:szCs w:val="24"/>
        </w:rPr>
      </w:pPr>
      <w:r w:rsidRPr="00FD2451">
        <w:rPr>
          <w:rFonts w:ascii="Times New Roman" w:hAnsi="Times New Roman" w:cs="Times New Roman"/>
          <w:bCs/>
          <w:spacing w:val="-3"/>
          <w:sz w:val="24"/>
          <w:szCs w:val="24"/>
        </w:rPr>
        <w:t>Assistant Consumers’ Counsel</w:t>
      </w:r>
    </w:p>
    <w:p w:rsidR="003A4C27" w:rsidRPr="00FD2451" w:rsidP="003A4C27">
      <w:pPr>
        <w:pStyle w:val="EndnoteText"/>
        <w:widowControl/>
        <w:ind w:right="-90"/>
        <w:rPr>
          <w:rFonts w:ascii="Times New Roman" w:hAnsi="Times New Roman"/>
          <w:bCs/>
          <w:snapToGrid/>
          <w:sz w:val="20"/>
          <w:szCs w:val="24"/>
        </w:rPr>
      </w:pPr>
    </w:p>
    <w:p w:rsidR="003A4C27" w:rsidP="003A4C27">
      <w:pPr>
        <w:pStyle w:val="EndnoteText"/>
        <w:widowControl/>
        <w:ind w:right="-90"/>
        <w:jc w:val="center"/>
        <w:rPr>
          <w:rFonts w:ascii="Times New Roman" w:hAnsi="Times New Roman"/>
          <w:b/>
          <w:bCs/>
          <w:snapToGrid/>
          <w:szCs w:val="24"/>
        </w:rPr>
      </w:pPr>
      <w:r>
        <w:rPr>
          <w:rFonts w:ascii="Times New Roman" w:hAnsi="Times New Roman"/>
          <w:b/>
          <w:bCs/>
          <w:snapToGrid/>
          <w:szCs w:val="24"/>
        </w:rPr>
        <w:t>SERVICE LIST</w:t>
      </w:r>
    </w:p>
    <w:p w:rsidR="00FD2451" w:rsidRPr="00FD2451" w:rsidP="00FD2451">
      <w:pPr>
        <w:pStyle w:val="EndnoteText"/>
        <w:widowControl/>
        <w:ind w:right="-90"/>
        <w:rPr>
          <w:rFonts w:ascii="Times New Roman" w:hAnsi="Times New Roman"/>
          <w:b/>
          <w:bCs/>
          <w:snapToGrid/>
          <w:sz w:val="12"/>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5"/>
        <w:gridCol w:w="4587"/>
      </w:tblGrid>
      <w:tr w:rsidTr="003227F2">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20" w:type="dxa"/>
          </w:tcPr>
          <w:p w:rsidR="00FD2451" w:rsidRPr="00FD2451" w:rsidP="003227F2">
            <w:pPr>
              <w:autoSpaceDE w:val="0"/>
              <w:autoSpaceDN w:val="0"/>
              <w:adjustRightInd w:val="0"/>
              <w:rPr>
                <w:color w:val="0000FF"/>
                <w:sz w:val="22"/>
              </w:rPr>
            </w:pPr>
            <w:r w:rsidRPr="00FD2451" w:rsidR="004A102C">
              <w:rPr>
                <w:rStyle w:val="DefaultParagraphFont"/>
                <w:sz w:val="22"/>
              </w:rPr>
              <w:t>william.wright@ohioattorneygeneral.gov</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dboehm@bkllawfirm.com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mkurtz@bkllawfirm.com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jkylercohn@bkllawfirm.com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kboehm@bkllawfirm.com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fdarr@mwncmh.com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mpritchard@mwncmh.com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mjsettineri@vorys.com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smhoward@vorys.com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glpetrucci@vorys.com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ibatikov@vorys.com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wasieck@vorys.com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tdougherty@theOEC.org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cmooney@ohiopartners.org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joliker@igsenergy.com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mswhite@igsenergy.com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ebetterton@igsenergy.com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Slesser@calfee.com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jlang@calfee.com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talexander@calfee.com</w:t>
            </w:r>
          </w:p>
          <w:p w:rsidR="00FD2451" w:rsidRPr="00FD2451" w:rsidP="003227F2">
            <w:pPr>
              <w:autoSpaceDE w:val="0"/>
              <w:autoSpaceDN w:val="0"/>
              <w:adjustRightInd w:val="0"/>
              <w:rPr>
                <w:color w:val="0000FF"/>
                <w:sz w:val="22"/>
              </w:rPr>
            </w:pPr>
            <w:r w:rsidRPr="00FD2451" w:rsidR="004A102C">
              <w:rPr>
                <w:rStyle w:val="DefaultParagraphFont"/>
                <w:sz w:val="22"/>
              </w:rPr>
              <w:t>mkeaney@calfee.com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slesser@calfee.com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jlang@calfee.com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amy.spiller@duke-energy.com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elizabeth.watts@duke-energy.com</w:t>
            </w:r>
          </w:p>
          <w:p w:rsidR="00FD2451" w:rsidRPr="00FD2451" w:rsidP="003227F2">
            <w:pPr>
              <w:autoSpaceDE w:val="0"/>
              <w:autoSpaceDN w:val="0"/>
              <w:adjustRightInd w:val="0"/>
              <w:rPr>
                <w:color w:val="0000FF"/>
                <w:sz w:val="22"/>
              </w:rPr>
            </w:pPr>
            <w:r w:rsidRPr="00FD2451" w:rsidR="004A102C">
              <w:rPr>
                <w:rStyle w:val="DefaultParagraphFont"/>
                <w:sz w:val="22"/>
              </w:rPr>
              <w:t>jeanne.kingery@duke-energy.com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gthomas@gtpowergroup.com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stheodore@epsa.org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laurac@chappelleconsulting.net</w:t>
            </w:r>
            <w:r w:rsidRPr="00FD2451" w:rsidR="004A102C">
              <w:rPr>
                <w:color w:val="0000FF"/>
                <w:sz w:val="22"/>
              </w:rPr>
              <w:t xml:space="preserve"> </w:t>
            </w:r>
          </w:p>
          <w:p w:rsidR="00FD2451" w:rsidP="003227F2">
            <w:pPr>
              <w:autoSpaceDE w:val="0"/>
              <w:autoSpaceDN w:val="0"/>
              <w:adjustRightInd w:val="0"/>
              <w:rPr>
                <w:color w:val="0000FF"/>
                <w:sz w:val="22"/>
              </w:rPr>
            </w:pPr>
            <w:r w:rsidRPr="00FD2451" w:rsidR="004A102C">
              <w:rPr>
                <w:rStyle w:val="DefaultParagraphFont"/>
                <w:sz w:val="22"/>
              </w:rPr>
              <w:t>todonnell@dickinsonwright.com</w:t>
            </w:r>
            <w:r w:rsidRPr="00FD2451" w:rsidR="004A102C">
              <w:rPr>
                <w:color w:val="0000FF"/>
                <w:sz w:val="22"/>
              </w:rPr>
              <w:t xml:space="preserve"> </w:t>
            </w:r>
          </w:p>
          <w:p w:rsidR="00FD2451" w:rsidRPr="00FD2451" w:rsidP="003227F2">
            <w:pPr>
              <w:autoSpaceDE w:val="0"/>
              <w:autoSpaceDN w:val="0"/>
              <w:adjustRightInd w:val="0"/>
              <w:rPr>
                <w:color w:val="0000FF"/>
                <w:sz w:val="22"/>
              </w:rPr>
            </w:pPr>
          </w:p>
          <w:p w:rsidR="00FD2451" w:rsidRPr="00FD2451" w:rsidP="003227F2">
            <w:pPr>
              <w:autoSpaceDE w:val="0"/>
              <w:autoSpaceDN w:val="0"/>
              <w:adjustRightInd w:val="0"/>
              <w:rPr>
                <w:color w:val="000000"/>
                <w:sz w:val="22"/>
              </w:rPr>
            </w:pPr>
            <w:r w:rsidRPr="00FD2451">
              <w:rPr>
                <w:color w:val="000000"/>
                <w:sz w:val="22"/>
              </w:rPr>
              <w:t>Attorney Examiners:</w:t>
            </w:r>
          </w:p>
          <w:p w:rsidR="00FD2451" w:rsidRPr="00FD2451" w:rsidP="003227F2">
            <w:pPr>
              <w:autoSpaceDE w:val="0"/>
              <w:autoSpaceDN w:val="0"/>
              <w:adjustRightInd w:val="0"/>
              <w:rPr>
                <w:color w:val="0000FF"/>
                <w:sz w:val="22"/>
              </w:rPr>
            </w:pPr>
            <w:r w:rsidRPr="00FD2451" w:rsidR="004A102C">
              <w:rPr>
                <w:rStyle w:val="DefaultParagraphFont"/>
                <w:sz w:val="22"/>
              </w:rPr>
              <w:t>gregory.price@puc.state.oh.us</w:t>
            </w:r>
            <w:r w:rsidRPr="00FD2451" w:rsidR="004A102C">
              <w:rPr>
                <w:color w:val="0000FF"/>
                <w:sz w:val="22"/>
              </w:rPr>
              <w:t xml:space="preserve"> </w:t>
            </w:r>
          </w:p>
          <w:p w:rsidR="00FD2451" w:rsidRPr="00FD2451" w:rsidP="003227F2">
            <w:pPr>
              <w:autoSpaceDE w:val="0"/>
              <w:autoSpaceDN w:val="0"/>
              <w:adjustRightInd w:val="0"/>
              <w:rPr>
                <w:sz w:val="22"/>
                <w:szCs w:val="20"/>
              </w:rPr>
            </w:pPr>
            <w:r w:rsidRPr="00FD2451" w:rsidR="004A102C">
              <w:rPr>
                <w:rStyle w:val="DefaultParagraphFont"/>
                <w:sz w:val="22"/>
              </w:rPr>
              <w:t>nicholas.walstra@puc.state.oh.us</w:t>
            </w:r>
            <w:r w:rsidRPr="00FD2451" w:rsidR="004A102C">
              <w:rPr>
                <w:rStyle w:val="DefaultParagraphFont"/>
                <w:sz w:val="22"/>
              </w:rPr>
              <w:t xml:space="preserve"> </w:t>
            </w:r>
            <w:r w:rsidRPr="00FD2451" w:rsidR="004A102C">
              <w:rPr>
                <w:color w:val="0000FF"/>
                <w:sz w:val="22"/>
                <w:szCs w:val="20"/>
              </w:rPr>
              <w:t xml:space="preserve"> </w:t>
            </w:r>
          </w:p>
        </w:tc>
        <w:tc>
          <w:tcPr>
            <w:tcW w:w="4640" w:type="dxa"/>
          </w:tcPr>
          <w:p w:rsidR="00FD2451" w:rsidRPr="00FD2451" w:rsidP="003227F2">
            <w:pPr>
              <w:autoSpaceDE w:val="0"/>
              <w:autoSpaceDN w:val="0"/>
              <w:adjustRightInd w:val="0"/>
              <w:rPr>
                <w:color w:val="0000FF"/>
                <w:sz w:val="22"/>
              </w:rPr>
            </w:pPr>
            <w:r w:rsidRPr="00FD2451" w:rsidR="004A102C">
              <w:rPr>
                <w:rStyle w:val="DefaultParagraphFont"/>
                <w:sz w:val="22"/>
              </w:rPr>
              <w:t>michael.schuler@aes.com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cfaruki@ficlaw.com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djireland@ficlaw.com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jsharkey@ficlaw.com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mfleisher@elpc.org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kfield@elpc.org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jeffrey.mayes@monitoringanalytics.com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evelyn.robinson@pjm.com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schmidt@sppgrp.com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rsahli@columbus.rr.com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tony.mendoza@sierraclub.org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kristin.henry@sierraclub.org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gpoulos@enernoc.com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mdortch@kravitzllc.com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rparsons@kravitzllc.com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Bojko@carpenterlipps.com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perko@carpenterlipps.com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Ghiloni@carpenterlipps.com</w:t>
            </w:r>
          </w:p>
          <w:p w:rsidR="00FD2451" w:rsidRPr="00FD2451" w:rsidP="003227F2">
            <w:pPr>
              <w:autoSpaceDE w:val="0"/>
              <w:autoSpaceDN w:val="0"/>
              <w:adjustRightInd w:val="0"/>
              <w:rPr>
                <w:color w:val="0000FF"/>
                <w:sz w:val="22"/>
              </w:rPr>
            </w:pPr>
            <w:r w:rsidRPr="00FD2451" w:rsidR="004A102C">
              <w:rPr>
                <w:rStyle w:val="DefaultParagraphFont"/>
                <w:sz w:val="22"/>
              </w:rPr>
              <w:t>paul@carpenterlipps.com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sechler@carpenterlipps.com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rick.sites@ohiohospitals.org</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mwarnock@bricker.com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dparram@bricker.com</w:t>
            </w:r>
            <w:r w:rsidRPr="00FD2451" w:rsidR="004A102C">
              <w:rPr>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dborchers@bricker.com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lhawrot@spilmanlaw.com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dwilliamson@spilmanlaw.com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charris@spilmanlaw.com</w:t>
            </w:r>
            <w:r w:rsidRPr="00FD2451" w:rsidR="004A102C">
              <w:rPr>
                <w:color w:val="0000FF"/>
                <w:sz w:val="22"/>
              </w:rPr>
              <w:t xml:space="preserve"> </w:t>
            </w:r>
          </w:p>
          <w:p w:rsidR="00FD2451" w:rsidRPr="00FD2451" w:rsidP="003227F2">
            <w:pPr>
              <w:autoSpaceDE w:val="0"/>
              <w:autoSpaceDN w:val="0"/>
              <w:adjustRightInd w:val="0"/>
              <w:rPr>
                <w:sz w:val="22"/>
                <w:szCs w:val="20"/>
              </w:rPr>
            </w:pPr>
            <w:r w:rsidRPr="00FD2451" w:rsidR="004A102C">
              <w:rPr>
                <w:rStyle w:val="DefaultParagraphFont"/>
                <w:sz w:val="22"/>
              </w:rPr>
              <w:t>ejacobs@ablelaw.org</w:t>
            </w:r>
            <w:r w:rsidRPr="00FD2451" w:rsidR="004A102C">
              <w:rPr>
                <w:color w:val="0000FF"/>
                <w:sz w:val="22"/>
                <w:szCs w:val="20"/>
              </w:rPr>
              <w:t xml:space="preserve"> </w:t>
            </w:r>
            <w:r w:rsidRPr="00FD2451" w:rsidR="004A102C">
              <w:rPr>
                <w:sz w:val="22"/>
                <w:szCs w:val="20"/>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rseiler@dickinsonwright.com</w:t>
            </w:r>
            <w:r w:rsidRPr="00FD2451" w:rsidR="004A102C">
              <w:rPr>
                <w:color w:val="0000FF"/>
                <w:sz w:val="22"/>
              </w:rPr>
              <w:t xml:space="preserve"> </w:t>
            </w:r>
          </w:p>
          <w:p w:rsidR="00FD2451" w:rsidRPr="00FD2451" w:rsidP="003227F2">
            <w:pPr>
              <w:autoSpaceDE w:val="0"/>
              <w:autoSpaceDN w:val="0"/>
              <w:adjustRightInd w:val="0"/>
              <w:rPr>
                <w:color w:val="0000FF"/>
                <w:sz w:val="22"/>
              </w:rPr>
            </w:pPr>
            <w:r w:rsidRPr="00FD2451" w:rsidR="004A102C">
              <w:rPr>
                <w:rStyle w:val="DefaultParagraphFont"/>
                <w:sz w:val="22"/>
              </w:rPr>
              <w:t>cpirik@dickinsonwright.com</w:t>
            </w:r>
            <w:r w:rsidRPr="00FD2451" w:rsidR="004A102C">
              <w:rPr>
                <w:color w:val="0000FF"/>
                <w:sz w:val="22"/>
              </w:rPr>
              <w:t xml:space="preserve"> </w:t>
            </w:r>
          </w:p>
          <w:p w:rsidR="00FD2451" w:rsidP="003227F2">
            <w:pPr>
              <w:autoSpaceDE w:val="0"/>
              <w:autoSpaceDN w:val="0"/>
              <w:adjustRightInd w:val="0"/>
              <w:rPr>
                <w:rStyle w:val="Hyperlink"/>
                <w:sz w:val="22"/>
              </w:rPr>
            </w:pPr>
            <w:r w:rsidRPr="00FD2451" w:rsidR="004A102C">
              <w:rPr>
                <w:rStyle w:val="DefaultParagraphFont"/>
                <w:sz w:val="22"/>
              </w:rPr>
              <w:t>wvorys@dickinsonwright.com</w:t>
            </w:r>
          </w:p>
          <w:p w:rsidR="00FD2451" w:rsidRPr="00FD2451" w:rsidP="00FD2451">
            <w:pPr>
              <w:autoSpaceDE w:val="0"/>
              <w:autoSpaceDN w:val="0"/>
              <w:adjustRightInd w:val="0"/>
              <w:rPr>
                <w:color w:val="0000FF"/>
                <w:sz w:val="22"/>
              </w:rPr>
            </w:pPr>
            <w:r w:rsidRPr="00FD2451" w:rsidR="004A102C">
              <w:rPr>
                <w:rStyle w:val="DefaultParagraphFont"/>
                <w:sz w:val="22"/>
              </w:rPr>
              <w:t>jdoll@djflawfirm.com</w:t>
            </w:r>
            <w:r w:rsidRPr="00FD2451" w:rsidR="004A102C">
              <w:rPr>
                <w:color w:val="0000FF"/>
                <w:sz w:val="22"/>
              </w:rPr>
              <w:t xml:space="preserve"> </w:t>
            </w:r>
          </w:p>
          <w:p w:rsidR="00FD2451" w:rsidRPr="00FD2451" w:rsidP="00FD2451">
            <w:pPr>
              <w:autoSpaceDE w:val="0"/>
              <w:autoSpaceDN w:val="0"/>
              <w:adjustRightInd w:val="0"/>
              <w:rPr>
                <w:sz w:val="22"/>
                <w:szCs w:val="20"/>
              </w:rPr>
            </w:pPr>
            <w:r w:rsidRPr="00FD2451" w:rsidR="004A102C">
              <w:rPr>
                <w:rStyle w:val="DefaultParagraphFont"/>
                <w:sz w:val="22"/>
              </w:rPr>
              <w:t>mcrawford@djflawfirm.com</w:t>
            </w:r>
          </w:p>
        </w:tc>
      </w:tr>
    </w:tbl>
    <w:p w:rsidR="00DE014F" w:rsidP="00306114">
      <w:pPr>
        <w:spacing w:line="480" w:lineRule="auto"/>
        <w:rPr>
          <w:rFonts w:ascii="Times New Roman" w:hAnsi="Times New Roman" w:cs="Times New Roman"/>
          <w:sz w:val="24"/>
          <w:szCs w:val="24"/>
        </w:rPr>
        <w:sectPr w:rsidSect="003A4C27">
          <w:headerReference w:type="default" r:id="rId10"/>
          <w:footerReference w:type="default" r:id="rId11"/>
          <w:pgSz w:w="12240" w:h="15840"/>
          <w:pgMar w:top="1440" w:right="1440" w:bottom="1440" w:left="1440" w:header="720" w:footer="720" w:gutter="0"/>
          <w:cols w:space="720"/>
          <w:docGrid w:linePitch="360"/>
        </w:sectPr>
      </w:pPr>
    </w:p>
    <w:p w:rsidR="003A4C27" w:rsidP="00306114">
      <w:pPr>
        <w:spacing w:after="0"/>
        <w:jc w:val="right"/>
        <w:rPr>
          <w:rFonts w:ascii="Times New Roman" w:hAnsi="Times New Roman" w:cs="Times New Roman"/>
          <w:sz w:val="24"/>
          <w:szCs w:val="24"/>
        </w:rPr>
      </w:pPr>
      <w:r w:rsidRPr="00F644A9">
        <w:rPr>
          <w:rFonts w:ascii="Times New Roman" w:hAnsi="Times New Roman" w:cs="Times New Roman"/>
          <w:sz w:val="24"/>
          <w:szCs w:val="24"/>
        </w:rPr>
        <w:t>Attachment RBF-1</w:t>
      </w:r>
    </w:p>
    <w:p w:rsidR="00306114" w:rsidRPr="00F644A9" w:rsidP="00B40C8E">
      <w:pPr>
        <w:spacing w:after="0"/>
        <w:jc w:val="right"/>
        <w:rPr>
          <w:rFonts w:ascii="Times New Roman" w:hAnsi="Times New Roman" w:cs="Times New Roman"/>
          <w:sz w:val="24"/>
          <w:szCs w:val="24"/>
        </w:rPr>
      </w:pPr>
      <w:r>
        <w:rPr>
          <w:rFonts w:ascii="Times New Roman" w:hAnsi="Times New Roman" w:cs="Times New Roman"/>
          <w:sz w:val="24"/>
          <w:szCs w:val="24"/>
        </w:rPr>
        <w:t>Page 1 of 2</w:t>
      </w:r>
    </w:p>
    <w:p w:rsidR="00306114" w:rsidRPr="00F644A9" w:rsidP="00306114">
      <w:pPr>
        <w:spacing w:after="0"/>
        <w:jc w:val="right"/>
        <w:rPr>
          <w:rFonts w:ascii="Times New Roman" w:hAnsi="Times New Roman" w:cs="Times New Roman"/>
          <w:sz w:val="24"/>
          <w:szCs w:val="24"/>
        </w:rPr>
      </w:pPr>
    </w:p>
    <w:p w:rsidR="00306114" w:rsidRPr="00F644A9" w:rsidP="00306114">
      <w:pPr>
        <w:spacing w:after="0"/>
        <w:jc w:val="center"/>
        <w:rPr>
          <w:rFonts w:ascii="Times New Roman" w:hAnsi="Times New Roman" w:cs="Times New Roman"/>
          <w:sz w:val="24"/>
          <w:szCs w:val="24"/>
        </w:rPr>
      </w:pPr>
      <w:r w:rsidRPr="00F644A9">
        <w:rPr>
          <w:rFonts w:ascii="Times New Roman" w:hAnsi="Times New Roman" w:cs="Times New Roman"/>
          <w:sz w:val="24"/>
          <w:szCs w:val="24"/>
        </w:rPr>
        <w:t>Robert Fortney</w:t>
      </w:r>
    </w:p>
    <w:p w:rsidR="00306114" w:rsidRPr="00F644A9" w:rsidP="00306114">
      <w:pPr>
        <w:spacing w:after="0"/>
        <w:jc w:val="center"/>
        <w:rPr>
          <w:rFonts w:ascii="Times New Roman" w:hAnsi="Times New Roman" w:cs="Times New Roman"/>
          <w:sz w:val="24"/>
          <w:szCs w:val="24"/>
        </w:rPr>
      </w:pPr>
      <w:r w:rsidRPr="00F644A9">
        <w:rPr>
          <w:rFonts w:ascii="Times New Roman" w:hAnsi="Times New Roman" w:cs="Times New Roman"/>
          <w:sz w:val="24"/>
          <w:szCs w:val="24"/>
        </w:rPr>
        <w:t>Proceedings with Testimony Submitted to the Public Utilities Commission of Ohio</w:t>
      </w:r>
    </w:p>
    <w:p w:rsidR="00306114" w:rsidRPr="00F644A9" w:rsidP="00306114">
      <w:pPr>
        <w:spacing w:after="0"/>
        <w:jc w:val="center"/>
        <w:rPr>
          <w:rFonts w:ascii="Times New Roman" w:hAnsi="Times New Roman" w:cs="Times New Roman"/>
          <w:sz w:val="24"/>
          <w:szCs w:val="24"/>
        </w:rPr>
      </w:pP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2524"/>
        <w:gridCol w:w="1644"/>
      </w:tblGrid>
      <w:tr w:rsidTr="003227F2">
        <w:tblPrEx>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5423" w:type="dxa"/>
            <w:tcBorders>
              <w:top w:val="nil"/>
              <w:left w:val="nil"/>
              <w:bottom w:val="single" w:sz="4" w:space="0" w:color="auto"/>
              <w:right w:val="nil"/>
            </w:tcBorders>
            <w:hideMark/>
          </w:tcPr>
          <w:p w:rsidR="00306114" w:rsidRPr="00F644A9" w:rsidP="003227F2">
            <w:pPr>
              <w:rPr>
                <w:rFonts w:cs="Times New Roman"/>
                <w:szCs w:val="24"/>
              </w:rPr>
            </w:pPr>
            <w:r w:rsidRPr="00F644A9">
              <w:rPr>
                <w:rFonts w:cs="Times New Roman"/>
                <w:szCs w:val="24"/>
              </w:rPr>
              <w:t>Company</w:t>
            </w:r>
          </w:p>
        </w:tc>
        <w:tc>
          <w:tcPr>
            <w:tcW w:w="2524" w:type="dxa"/>
            <w:tcBorders>
              <w:top w:val="nil"/>
              <w:left w:val="nil"/>
              <w:bottom w:val="single" w:sz="4" w:space="0" w:color="auto"/>
              <w:right w:val="nil"/>
            </w:tcBorders>
            <w:hideMark/>
          </w:tcPr>
          <w:p w:rsidR="00306114" w:rsidRPr="00F644A9" w:rsidP="003227F2">
            <w:pPr>
              <w:rPr>
                <w:rFonts w:cs="Times New Roman"/>
                <w:szCs w:val="24"/>
              </w:rPr>
            </w:pPr>
            <w:r w:rsidRPr="00F644A9">
              <w:rPr>
                <w:rFonts w:cs="Times New Roman"/>
                <w:szCs w:val="24"/>
              </w:rPr>
              <w:t>Docket No.</w:t>
            </w:r>
          </w:p>
        </w:tc>
        <w:tc>
          <w:tcPr>
            <w:tcW w:w="1644" w:type="dxa"/>
            <w:tcBorders>
              <w:top w:val="nil"/>
              <w:left w:val="nil"/>
              <w:bottom w:val="single" w:sz="4" w:space="0" w:color="auto"/>
              <w:right w:val="nil"/>
            </w:tcBorders>
            <w:hideMark/>
          </w:tcPr>
          <w:p w:rsidR="00306114" w:rsidRPr="00F644A9" w:rsidP="003227F2">
            <w:pPr>
              <w:rPr>
                <w:rFonts w:cs="Times New Roman"/>
                <w:szCs w:val="24"/>
              </w:rPr>
            </w:pPr>
            <w:r w:rsidRPr="00F644A9">
              <w:rPr>
                <w:rFonts w:cs="Times New Roman"/>
                <w:szCs w:val="24"/>
              </w:rPr>
              <w:t>Date</w:t>
            </w:r>
          </w:p>
        </w:tc>
      </w:tr>
      <w:tr w:rsidTr="003227F2">
        <w:tblPrEx>
          <w:tblW w:w="9591" w:type="dxa"/>
          <w:tblLook w:val="04A0"/>
        </w:tblPrEx>
        <w:trPr>
          <w:trHeight w:val="144"/>
        </w:trPr>
        <w:tc>
          <w:tcPr>
            <w:tcW w:w="5423" w:type="dxa"/>
            <w:tcBorders>
              <w:top w:val="single" w:sz="4" w:space="0" w:color="auto"/>
              <w:left w:val="nil"/>
              <w:bottom w:val="nil"/>
              <w:right w:val="nil"/>
            </w:tcBorders>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tcBorders>
              <w:top w:val="single" w:sz="4" w:space="0" w:color="auto"/>
              <w:left w:val="nil"/>
              <w:bottom w:val="nil"/>
              <w:right w:val="nil"/>
            </w:tcBorders>
            <w:hideMark/>
          </w:tcPr>
          <w:p w:rsidR="00306114" w:rsidRPr="00F644A9" w:rsidP="003227F2">
            <w:pPr>
              <w:rPr>
                <w:rFonts w:cs="Times New Roman"/>
                <w:szCs w:val="24"/>
              </w:rPr>
            </w:pPr>
            <w:r w:rsidRPr="00F644A9">
              <w:rPr>
                <w:rFonts w:cs="Times New Roman"/>
                <w:szCs w:val="24"/>
              </w:rPr>
              <w:t>85-675-EL-AIR</w:t>
            </w:r>
          </w:p>
        </w:tc>
        <w:tc>
          <w:tcPr>
            <w:tcW w:w="1644" w:type="dxa"/>
            <w:tcBorders>
              <w:top w:val="single" w:sz="4" w:space="0" w:color="auto"/>
              <w:left w:val="nil"/>
              <w:bottom w:val="nil"/>
              <w:right w:val="nil"/>
            </w:tcBorders>
            <w:hideMark/>
          </w:tcPr>
          <w:p w:rsidR="00306114" w:rsidRPr="00F644A9" w:rsidP="003227F2">
            <w:pPr>
              <w:rPr>
                <w:rFonts w:cs="Times New Roman"/>
                <w:szCs w:val="24"/>
              </w:rPr>
            </w:pPr>
            <w:r w:rsidRPr="00F644A9">
              <w:rPr>
                <w:rFonts w:cs="Times New Roman"/>
                <w:szCs w:val="24"/>
              </w:rPr>
              <w:t>1986</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86-2025-EL-AIR</w:t>
            </w:r>
          </w:p>
        </w:tc>
        <w:tc>
          <w:tcPr>
            <w:tcW w:w="1644" w:type="dxa"/>
            <w:hideMark/>
          </w:tcPr>
          <w:p w:rsidR="00306114" w:rsidRPr="00F644A9" w:rsidP="003227F2">
            <w:pPr>
              <w:rPr>
                <w:rFonts w:cs="Times New Roman"/>
                <w:szCs w:val="24"/>
              </w:rPr>
            </w:pPr>
            <w:r w:rsidRPr="00F644A9">
              <w:rPr>
                <w:rFonts w:cs="Times New Roman"/>
                <w:szCs w:val="24"/>
              </w:rPr>
              <w:t>1987</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86-2026-EL-AIR</w:t>
            </w:r>
          </w:p>
        </w:tc>
        <w:tc>
          <w:tcPr>
            <w:tcW w:w="1644" w:type="dxa"/>
            <w:hideMark/>
          </w:tcPr>
          <w:p w:rsidR="00306114" w:rsidRPr="00F644A9" w:rsidP="003227F2">
            <w:pPr>
              <w:rPr>
                <w:rFonts w:cs="Times New Roman"/>
                <w:szCs w:val="24"/>
              </w:rPr>
            </w:pPr>
            <w:r w:rsidRPr="00F644A9">
              <w:rPr>
                <w:rFonts w:cs="Times New Roman"/>
                <w:szCs w:val="24"/>
              </w:rPr>
              <w:t>1987</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Ohio Edison Company</w:t>
            </w:r>
          </w:p>
        </w:tc>
        <w:tc>
          <w:tcPr>
            <w:tcW w:w="2524" w:type="dxa"/>
            <w:hideMark/>
          </w:tcPr>
          <w:p w:rsidR="00306114" w:rsidRPr="00F644A9" w:rsidP="003227F2">
            <w:pPr>
              <w:rPr>
                <w:rFonts w:cs="Times New Roman"/>
                <w:szCs w:val="24"/>
              </w:rPr>
            </w:pPr>
            <w:r w:rsidRPr="00F644A9">
              <w:rPr>
                <w:rFonts w:cs="Times New Roman"/>
                <w:szCs w:val="24"/>
              </w:rPr>
              <w:t>87-689-EL-AIR</w:t>
            </w:r>
          </w:p>
        </w:tc>
        <w:tc>
          <w:tcPr>
            <w:tcW w:w="1644" w:type="dxa"/>
            <w:hideMark/>
          </w:tcPr>
          <w:p w:rsidR="00306114" w:rsidRPr="00F644A9" w:rsidP="003227F2">
            <w:pPr>
              <w:rPr>
                <w:rFonts w:cs="Times New Roman"/>
                <w:szCs w:val="24"/>
              </w:rPr>
            </w:pPr>
            <w:r w:rsidRPr="00F644A9">
              <w:rPr>
                <w:rFonts w:cs="Times New Roman"/>
                <w:szCs w:val="24"/>
              </w:rPr>
              <w:t>1987</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88-170-EL-AIR</w:t>
            </w:r>
          </w:p>
        </w:tc>
        <w:tc>
          <w:tcPr>
            <w:tcW w:w="1644" w:type="dxa"/>
            <w:hideMark/>
          </w:tcPr>
          <w:p w:rsidR="00306114" w:rsidRPr="00F644A9" w:rsidP="003227F2">
            <w:pPr>
              <w:rPr>
                <w:rFonts w:cs="Times New Roman"/>
                <w:szCs w:val="24"/>
              </w:rPr>
            </w:pPr>
            <w:r w:rsidRPr="00F644A9">
              <w:rPr>
                <w:rFonts w:cs="Times New Roman"/>
                <w:szCs w:val="24"/>
              </w:rPr>
              <w:t>1988</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88-171-EL-AIR</w:t>
            </w:r>
          </w:p>
        </w:tc>
        <w:tc>
          <w:tcPr>
            <w:tcW w:w="1644" w:type="dxa"/>
            <w:hideMark/>
          </w:tcPr>
          <w:p w:rsidR="00306114" w:rsidRPr="00F644A9" w:rsidP="003227F2">
            <w:pPr>
              <w:rPr>
                <w:rFonts w:cs="Times New Roman"/>
                <w:szCs w:val="24"/>
              </w:rPr>
            </w:pPr>
            <w:r w:rsidRPr="00F644A9">
              <w:rPr>
                <w:rFonts w:cs="Times New Roman"/>
                <w:szCs w:val="24"/>
              </w:rPr>
              <w:t>1988</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Ohio Edison Company</w:t>
            </w:r>
          </w:p>
        </w:tc>
        <w:tc>
          <w:tcPr>
            <w:tcW w:w="2524" w:type="dxa"/>
            <w:hideMark/>
          </w:tcPr>
          <w:p w:rsidR="00306114" w:rsidRPr="00F644A9" w:rsidP="003227F2">
            <w:pPr>
              <w:rPr>
                <w:rFonts w:cs="Times New Roman"/>
                <w:szCs w:val="24"/>
              </w:rPr>
            </w:pPr>
            <w:r w:rsidRPr="00F644A9">
              <w:rPr>
                <w:rFonts w:cs="Times New Roman"/>
                <w:szCs w:val="24"/>
              </w:rPr>
              <w:t>89-1001-EL-AIR</w:t>
            </w:r>
          </w:p>
        </w:tc>
        <w:tc>
          <w:tcPr>
            <w:tcW w:w="1644" w:type="dxa"/>
            <w:hideMark/>
          </w:tcPr>
          <w:p w:rsidR="00306114" w:rsidRPr="00F644A9" w:rsidP="003227F2">
            <w:pPr>
              <w:rPr>
                <w:rFonts w:cs="Times New Roman"/>
                <w:szCs w:val="24"/>
              </w:rPr>
            </w:pPr>
            <w:r w:rsidRPr="00F644A9">
              <w:rPr>
                <w:rFonts w:cs="Times New Roman"/>
                <w:szCs w:val="24"/>
              </w:rPr>
              <w:t>1990</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Cincinnati Gas &amp; Electric Company</w:t>
            </w:r>
          </w:p>
        </w:tc>
        <w:tc>
          <w:tcPr>
            <w:tcW w:w="2524" w:type="dxa"/>
            <w:hideMark/>
          </w:tcPr>
          <w:p w:rsidR="00306114" w:rsidRPr="00F644A9" w:rsidP="003227F2">
            <w:pPr>
              <w:rPr>
                <w:rFonts w:cs="Times New Roman"/>
                <w:szCs w:val="24"/>
              </w:rPr>
            </w:pPr>
            <w:r w:rsidRPr="00F644A9">
              <w:rPr>
                <w:rFonts w:cs="Times New Roman"/>
                <w:szCs w:val="24"/>
              </w:rPr>
              <w:t>91-410-EL-AIR</w:t>
            </w:r>
          </w:p>
        </w:tc>
        <w:tc>
          <w:tcPr>
            <w:tcW w:w="1644" w:type="dxa"/>
            <w:hideMark/>
          </w:tcPr>
          <w:p w:rsidR="00306114" w:rsidRPr="00F644A9" w:rsidP="003227F2">
            <w:pPr>
              <w:rPr>
                <w:rFonts w:cs="Times New Roman"/>
                <w:szCs w:val="24"/>
              </w:rPr>
            </w:pPr>
            <w:r w:rsidRPr="00F644A9">
              <w:rPr>
                <w:rFonts w:cs="Times New Roman"/>
                <w:szCs w:val="24"/>
              </w:rPr>
              <w:t>1991</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Columbus Southern Power Company</w:t>
            </w:r>
          </w:p>
        </w:tc>
        <w:tc>
          <w:tcPr>
            <w:tcW w:w="2524" w:type="dxa"/>
            <w:hideMark/>
          </w:tcPr>
          <w:p w:rsidR="00306114" w:rsidRPr="00F644A9" w:rsidP="003227F2">
            <w:pPr>
              <w:rPr>
                <w:rFonts w:cs="Times New Roman"/>
                <w:szCs w:val="24"/>
              </w:rPr>
            </w:pPr>
            <w:r w:rsidRPr="00F644A9">
              <w:rPr>
                <w:rFonts w:cs="Times New Roman"/>
                <w:szCs w:val="24"/>
              </w:rPr>
              <w:t>91-418-EL-AIR</w:t>
            </w:r>
          </w:p>
        </w:tc>
        <w:tc>
          <w:tcPr>
            <w:tcW w:w="1644" w:type="dxa"/>
            <w:hideMark/>
          </w:tcPr>
          <w:p w:rsidR="00306114" w:rsidRPr="00F644A9" w:rsidP="003227F2">
            <w:pPr>
              <w:rPr>
                <w:rFonts w:cs="Times New Roman"/>
                <w:szCs w:val="24"/>
              </w:rPr>
            </w:pPr>
            <w:r w:rsidRPr="00F644A9">
              <w:rPr>
                <w:rFonts w:cs="Times New Roman"/>
                <w:szCs w:val="24"/>
              </w:rPr>
              <w:t>1992</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Cincinnati Gas &amp; Electric Company</w:t>
            </w:r>
          </w:p>
        </w:tc>
        <w:tc>
          <w:tcPr>
            <w:tcW w:w="2524" w:type="dxa"/>
            <w:hideMark/>
          </w:tcPr>
          <w:p w:rsidR="00306114" w:rsidRPr="00F644A9" w:rsidP="003227F2">
            <w:pPr>
              <w:rPr>
                <w:rFonts w:cs="Times New Roman"/>
                <w:szCs w:val="24"/>
              </w:rPr>
            </w:pPr>
            <w:r w:rsidRPr="00F644A9">
              <w:rPr>
                <w:rFonts w:cs="Times New Roman"/>
                <w:szCs w:val="24"/>
              </w:rPr>
              <w:t>92-1464-EL-AIR</w:t>
            </w:r>
          </w:p>
        </w:tc>
        <w:tc>
          <w:tcPr>
            <w:tcW w:w="1644" w:type="dxa"/>
            <w:hideMark/>
          </w:tcPr>
          <w:p w:rsidR="00306114" w:rsidRPr="00F644A9" w:rsidP="003227F2">
            <w:pPr>
              <w:rPr>
                <w:rFonts w:cs="Times New Roman"/>
                <w:szCs w:val="24"/>
              </w:rPr>
            </w:pPr>
            <w:r w:rsidRPr="00F644A9">
              <w:rPr>
                <w:rFonts w:cs="Times New Roman"/>
                <w:szCs w:val="24"/>
              </w:rPr>
              <w:t>1993</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Ohio Power Company</w:t>
            </w:r>
          </w:p>
        </w:tc>
        <w:tc>
          <w:tcPr>
            <w:tcW w:w="2524" w:type="dxa"/>
            <w:hideMark/>
          </w:tcPr>
          <w:p w:rsidR="00306114" w:rsidRPr="00F644A9" w:rsidP="003227F2">
            <w:pPr>
              <w:rPr>
                <w:rFonts w:cs="Times New Roman"/>
                <w:szCs w:val="24"/>
              </w:rPr>
            </w:pPr>
            <w:r w:rsidRPr="00F644A9">
              <w:rPr>
                <w:rFonts w:cs="Times New Roman"/>
                <w:szCs w:val="24"/>
              </w:rPr>
              <w:t>94-996-EL-AIR</w:t>
            </w:r>
          </w:p>
        </w:tc>
        <w:tc>
          <w:tcPr>
            <w:tcW w:w="1644" w:type="dxa"/>
            <w:hideMark/>
          </w:tcPr>
          <w:p w:rsidR="00306114" w:rsidRPr="00F644A9" w:rsidP="003227F2">
            <w:pPr>
              <w:rPr>
                <w:rFonts w:cs="Times New Roman"/>
                <w:szCs w:val="24"/>
              </w:rPr>
            </w:pPr>
            <w:r w:rsidRPr="00F644A9">
              <w:rPr>
                <w:rFonts w:cs="Times New Roman"/>
                <w:szCs w:val="24"/>
              </w:rPr>
              <w:t>1994</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94-1987-EL-CSS</w:t>
            </w:r>
          </w:p>
        </w:tc>
        <w:tc>
          <w:tcPr>
            <w:tcW w:w="1644" w:type="dxa"/>
            <w:hideMark/>
          </w:tcPr>
          <w:p w:rsidR="00306114" w:rsidRPr="00F644A9" w:rsidP="003227F2">
            <w:pPr>
              <w:rPr>
                <w:rFonts w:cs="Times New Roman"/>
                <w:szCs w:val="24"/>
              </w:rPr>
            </w:pPr>
            <w:r w:rsidRPr="00F644A9">
              <w:rPr>
                <w:rFonts w:cs="Times New Roman"/>
                <w:szCs w:val="24"/>
              </w:rPr>
              <w:t>1995</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94-1964-EL-CSS</w:t>
            </w:r>
          </w:p>
        </w:tc>
        <w:tc>
          <w:tcPr>
            <w:tcW w:w="1644" w:type="dxa"/>
            <w:hideMark/>
          </w:tcPr>
          <w:p w:rsidR="00306114" w:rsidRPr="00F644A9" w:rsidP="003227F2">
            <w:pPr>
              <w:rPr>
                <w:rFonts w:cs="Times New Roman"/>
                <w:szCs w:val="24"/>
              </w:rPr>
            </w:pPr>
            <w:r w:rsidRPr="00F644A9">
              <w:rPr>
                <w:rFonts w:cs="Times New Roman"/>
                <w:szCs w:val="24"/>
              </w:rPr>
              <w:t>1995</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95-299-EL-AIR</w:t>
            </w:r>
          </w:p>
        </w:tc>
        <w:tc>
          <w:tcPr>
            <w:tcW w:w="1644" w:type="dxa"/>
            <w:hideMark/>
          </w:tcPr>
          <w:p w:rsidR="00306114" w:rsidRPr="00F644A9" w:rsidP="003227F2">
            <w:pPr>
              <w:rPr>
                <w:rFonts w:cs="Times New Roman"/>
                <w:szCs w:val="24"/>
              </w:rPr>
            </w:pPr>
            <w:r w:rsidRPr="00F644A9">
              <w:rPr>
                <w:rFonts w:cs="Times New Roman"/>
                <w:szCs w:val="24"/>
              </w:rPr>
              <w:t>1995</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95-300-EL-AIR</w:t>
            </w:r>
          </w:p>
        </w:tc>
        <w:tc>
          <w:tcPr>
            <w:tcW w:w="1644" w:type="dxa"/>
            <w:hideMark/>
          </w:tcPr>
          <w:p w:rsidR="00306114" w:rsidRPr="00F644A9" w:rsidP="003227F2">
            <w:pPr>
              <w:rPr>
                <w:rFonts w:cs="Times New Roman"/>
                <w:szCs w:val="24"/>
              </w:rPr>
            </w:pPr>
            <w:r w:rsidRPr="00F644A9">
              <w:rPr>
                <w:rFonts w:cs="Times New Roman"/>
                <w:szCs w:val="24"/>
              </w:rPr>
              <w:t>1996</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All Electric Companies (Rulemaking Proceeding)</w:t>
            </w:r>
          </w:p>
        </w:tc>
        <w:tc>
          <w:tcPr>
            <w:tcW w:w="2524" w:type="dxa"/>
            <w:hideMark/>
          </w:tcPr>
          <w:p w:rsidR="00306114" w:rsidRPr="00F644A9" w:rsidP="003227F2">
            <w:pPr>
              <w:rPr>
                <w:rFonts w:cs="Times New Roman"/>
                <w:szCs w:val="24"/>
              </w:rPr>
            </w:pPr>
            <w:r w:rsidRPr="00F644A9">
              <w:rPr>
                <w:rFonts w:cs="Times New Roman"/>
                <w:szCs w:val="24"/>
              </w:rPr>
              <w:t>96-406-EL-COI</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97-358-EL-ATA</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97-359-EL-ATA</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286"/>
        </w:trPr>
        <w:tc>
          <w:tcPr>
            <w:tcW w:w="5423" w:type="dxa"/>
            <w:hideMark/>
          </w:tcPr>
          <w:p w:rsidR="00306114" w:rsidRPr="00F644A9" w:rsidP="003227F2">
            <w:pPr>
              <w:rPr>
                <w:rFonts w:cs="Times New Roman"/>
                <w:szCs w:val="24"/>
              </w:rPr>
            </w:pPr>
            <w:r w:rsidRPr="00F644A9">
              <w:rPr>
                <w:rFonts w:cs="Times New Roman"/>
                <w:szCs w:val="24"/>
              </w:rPr>
              <w:t>Cleveland Electric Illuminating Company</w:t>
            </w:r>
          </w:p>
        </w:tc>
        <w:tc>
          <w:tcPr>
            <w:tcW w:w="2524" w:type="dxa"/>
            <w:hideMark/>
          </w:tcPr>
          <w:p w:rsidR="00306114" w:rsidRPr="00F644A9" w:rsidP="003227F2">
            <w:pPr>
              <w:rPr>
                <w:rFonts w:cs="Times New Roman"/>
                <w:szCs w:val="24"/>
              </w:rPr>
            </w:pPr>
            <w:r w:rsidRPr="00F644A9">
              <w:rPr>
                <w:rFonts w:cs="Times New Roman"/>
                <w:szCs w:val="24"/>
              </w:rPr>
              <w:t>97-1146-EL-COI</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271"/>
        </w:trPr>
        <w:tc>
          <w:tcPr>
            <w:tcW w:w="5423" w:type="dxa"/>
            <w:hideMark/>
          </w:tcPr>
          <w:p w:rsidR="00306114" w:rsidRPr="00F644A9" w:rsidP="003227F2">
            <w:pPr>
              <w:rPr>
                <w:rFonts w:cs="Times New Roman"/>
                <w:szCs w:val="24"/>
              </w:rPr>
            </w:pPr>
            <w:r w:rsidRPr="00F644A9">
              <w:rPr>
                <w:rFonts w:cs="Times New Roman"/>
                <w:szCs w:val="24"/>
              </w:rPr>
              <w:t>Toledo Edison Company</w:t>
            </w:r>
          </w:p>
        </w:tc>
        <w:tc>
          <w:tcPr>
            <w:tcW w:w="2524" w:type="dxa"/>
            <w:hideMark/>
          </w:tcPr>
          <w:p w:rsidR="00306114" w:rsidRPr="00F644A9" w:rsidP="003227F2">
            <w:pPr>
              <w:rPr>
                <w:rFonts w:cs="Times New Roman"/>
                <w:szCs w:val="24"/>
              </w:rPr>
            </w:pPr>
            <w:r w:rsidRPr="00F644A9">
              <w:rPr>
                <w:rFonts w:cs="Times New Roman"/>
                <w:szCs w:val="24"/>
              </w:rPr>
              <w:t>97-1147-EL-COI</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144"/>
        </w:trPr>
        <w:tc>
          <w:tcPr>
            <w:tcW w:w="5423" w:type="dxa"/>
            <w:hideMark/>
          </w:tcPr>
          <w:p w:rsidR="00306114" w:rsidRPr="00F644A9" w:rsidP="003227F2">
            <w:pPr>
              <w:rPr>
                <w:rFonts w:cs="Times New Roman"/>
                <w:szCs w:val="24"/>
              </w:rPr>
            </w:pPr>
            <w:r w:rsidRPr="00F644A9">
              <w:rPr>
                <w:rFonts w:cs="Times New Roman"/>
                <w:szCs w:val="24"/>
              </w:rPr>
              <w:t>FirstEnergy</w:t>
            </w:r>
          </w:p>
        </w:tc>
        <w:tc>
          <w:tcPr>
            <w:tcW w:w="2524" w:type="dxa"/>
            <w:hideMark/>
          </w:tcPr>
          <w:p w:rsidR="00306114" w:rsidRPr="00F644A9" w:rsidP="003227F2">
            <w:pPr>
              <w:rPr>
                <w:rFonts w:cs="Times New Roman"/>
                <w:szCs w:val="24"/>
              </w:rPr>
            </w:pPr>
            <w:r w:rsidRPr="00F644A9">
              <w:rPr>
                <w:rFonts w:cs="Times New Roman"/>
                <w:szCs w:val="24"/>
              </w:rPr>
              <w:t>96-1211-EL-UNC</w:t>
            </w:r>
          </w:p>
        </w:tc>
        <w:tc>
          <w:tcPr>
            <w:tcW w:w="1644" w:type="dxa"/>
            <w:hideMark/>
          </w:tcPr>
          <w:p w:rsidR="00306114" w:rsidRPr="00F644A9" w:rsidP="003227F2">
            <w:pPr>
              <w:rPr>
                <w:rFonts w:cs="Times New Roman"/>
                <w:szCs w:val="24"/>
              </w:rPr>
            </w:pPr>
            <w:r w:rsidRPr="00F644A9">
              <w:rPr>
                <w:rFonts w:cs="Times New Roman"/>
                <w:szCs w:val="24"/>
              </w:rPr>
              <w:t>1998</w:t>
            </w:r>
          </w:p>
        </w:tc>
      </w:tr>
      <w:tr w:rsidTr="003227F2">
        <w:tblPrEx>
          <w:tblW w:w="9591" w:type="dxa"/>
          <w:tblLook w:val="04A0"/>
        </w:tblPrEx>
        <w:trPr>
          <w:trHeight w:val="313"/>
        </w:trPr>
        <w:tc>
          <w:tcPr>
            <w:tcW w:w="5423" w:type="dxa"/>
            <w:hideMark/>
          </w:tcPr>
          <w:p w:rsidR="00306114" w:rsidRPr="00F644A9" w:rsidP="003227F2">
            <w:pPr>
              <w:rPr>
                <w:rFonts w:cs="Times New Roman"/>
                <w:szCs w:val="24"/>
              </w:rPr>
            </w:pPr>
            <w:r w:rsidRPr="00F644A9">
              <w:rPr>
                <w:rFonts w:cs="Times New Roman"/>
                <w:szCs w:val="24"/>
              </w:rPr>
              <w:t>Columbus Southern Power Company</w:t>
            </w:r>
          </w:p>
        </w:tc>
        <w:tc>
          <w:tcPr>
            <w:tcW w:w="2524" w:type="dxa"/>
            <w:hideMark/>
          </w:tcPr>
          <w:p w:rsidR="00306114" w:rsidRPr="00F644A9" w:rsidP="003227F2">
            <w:pPr>
              <w:rPr>
                <w:rFonts w:cs="Times New Roman"/>
                <w:szCs w:val="24"/>
              </w:rPr>
            </w:pPr>
            <w:r w:rsidRPr="00F644A9">
              <w:rPr>
                <w:rFonts w:cs="Times New Roman"/>
                <w:szCs w:val="24"/>
              </w:rPr>
              <w:t>01-1356-EL-ATA</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07"/>
        </w:trPr>
        <w:tc>
          <w:tcPr>
            <w:tcW w:w="5423" w:type="dxa"/>
            <w:hideMark/>
          </w:tcPr>
          <w:p w:rsidR="00306114" w:rsidRPr="00F644A9" w:rsidP="003227F2">
            <w:pPr>
              <w:rPr>
                <w:rFonts w:cs="Times New Roman"/>
                <w:szCs w:val="24"/>
              </w:rPr>
            </w:pPr>
            <w:r w:rsidRPr="00F644A9">
              <w:rPr>
                <w:rFonts w:cs="Times New Roman"/>
                <w:szCs w:val="24"/>
              </w:rPr>
              <w:t>Columbus Southern Power Company</w:t>
            </w:r>
          </w:p>
        </w:tc>
        <w:tc>
          <w:tcPr>
            <w:tcW w:w="2524" w:type="dxa"/>
            <w:hideMark/>
          </w:tcPr>
          <w:p w:rsidR="00306114" w:rsidRPr="00F644A9" w:rsidP="003227F2">
            <w:pPr>
              <w:rPr>
                <w:rFonts w:cs="Times New Roman"/>
                <w:szCs w:val="24"/>
              </w:rPr>
            </w:pPr>
            <w:r w:rsidRPr="00F644A9">
              <w:rPr>
                <w:rFonts w:cs="Times New Roman"/>
                <w:szCs w:val="24"/>
              </w:rPr>
              <w:t>01-1357-EL-AAM</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16"/>
        </w:trPr>
        <w:tc>
          <w:tcPr>
            <w:tcW w:w="5423" w:type="dxa"/>
            <w:hideMark/>
          </w:tcPr>
          <w:p w:rsidR="00306114" w:rsidRPr="00F644A9" w:rsidP="003227F2">
            <w:pPr>
              <w:rPr>
                <w:rFonts w:cs="Times New Roman"/>
                <w:szCs w:val="24"/>
              </w:rPr>
            </w:pPr>
            <w:r w:rsidRPr="00F644A9">
              <w:rPr>
                <w:rFonts w:cs="Times New Roman"/>
                <w:szCs w:val="24"/>
              </w:rPr>
              <w:t>Rulemaking Proceeding</w:t>
            </w:r>
          </w:p>
        </w:tc>
        <w:tc>
          <w:tcPr>
            <w:tcW w:w="2524" w:type="dxa"/>
            <w:hideMark/>
          </w:tcPr>
          <w:p w:rsidR="00306114" w:rsidRPr="00F644A9" w:rsidP="003227F2">
            <w:pPr>
              <w:rPr>
                <w:rFonts w:cs="Times New Roman"/>
                <w:szCs w:val="24"/>
              </w:rPr>
            </w:pPr>
            <w:r w:rsidRPr="00F644A9">
              <w:rPr>
                <w:rFonts w:cs="Times New Roman"/>
                <w:szCs w:val="24"/>
              </w:rPr>
              <w:t>01-2708-EL-COI</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25"/>
        </w:trPr>
        <w:tc>
          <w:tcPr>
            <w:tcW w:w="5423" w:type="dxa"/>
            <w:hideMark/>
          </w:tcPr>
          <w:p w:rsidR="00306114" w:rsidRPr="00F644A9" w:rsidP="003227F2">
            <w:pPr>
              <w:rPr>
                <w:rFonts w:cs="Times New Roman"/>
                <w:szCs w:val="24"/>
              </w:rPr>
            </w:pPr>
            <w:r w:rsidRPr="00F644A9">
              <w:rPr>
                <w:rFonts w:cs="Times New Roman"/>
                <w:szCs w:val="24"/>
              </w:rPr>
              <w:t xml:space="preserve">FirstEnergy </w:t>
            </w:r>
          </w:p>
        </w:tc>
        <w:tc>
          <w:tcPr>
            <w:tcW w:w="2524" w:type="dxa"/>
            <w:hideMark/>
          </w:tcPr>
          <w:p w:rsidR="00306114" w:rsidRPr="00F644A9" w:rsidP="003227F2">
            <w:pPr>
              <w:rPr>
                <w:rFonts w:cs="Times New Roman"/>
                <w:szCs w:val="24"/>
              </w:rPr>
            </w:pPr>
            <w:r w:rsidRPr="00F644A9">
              <w:rPr>
                <w:rFonts w:cs="Times New Roman"/>
                <w:szCs w:val="24"/>
              </w:rPr>
              <w:t>01-3019-EL-UNC</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04"/>
        </w:trPr>
        <w:tc>
          <w:tcPr>
            <w:tcW w:w="5423" w:type="dxa"/>
            <w:hideMark/>
          </w:tcPr>
          <w:p w:rsidR="00306114" w:rsidRPr="00F644A9" w:rsidP="003227F2">
            <w:pPr>
              <w:rPr>
                <w:rFonts w:cs="Times New Roman"/>
                <w:szCs w:val="24"/>
              </w:rPr>
            </w:pPr>
            <w:r w:rsidRPr="00F644A9">
              <w:rPr>
                <w:rFonts w:cs="Times New Roman"/>
                <w:szCs w:val="24"/>
              </w:rPr>
              <w:t>Ohio Power Company</w:t>
            </w:r>
          </w:p>
        </w:tc>
        <w:tc>
          <w:tcPr>
            <w:tcW w:w="2524" w:type="dxa"/>
            <w:hideMark/>
          </w:tcPr>
          <w:p w:rsidR="00306114" w:rsidRPr="00F644A9" w:rsidP="003227F2">
            <w:pPr>
              <w:rPr>
                <w:rFonts w:cs="Times New Roman"/>
                <w:szCs w:val="24"/>
              </w:rPr>
            </w:pPr>
            <w:r w:rsidRPr="00F644A9">
              <w:rPr>
                <w:rFonts w:cs="Times New Roman"/>
                <w:szCs w:val="24"/>
              </w:rPr>
              <w:t>01-1358-EL-ATA</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13"/>
        </w:trPr>
        <w:tc>
          <w:tcPr>
            <w:tcW w:w="5423" w:type="dxa"/>
            <w:hideMark/>
          </w:tcPr>
          <w:p w:rsidR="00306114" w:rsidRPr="00F644A9" w:rsidP="003227F2">
            <w:pPr>
              <w:rPr>
                <w:rFonts w:cs="Times New Roman"/>
                <w:szCs w:val="24"/>
              </w:rPr>
            </w:pPr>
            <w:r w:rsidRPr="00F644A9">
              <w:rPr>
                <w:rFonts w:cs="Times New Roman"/>
                <w:szCs w:val="24"/>
              </w:rPr>
              <w:t>Ohio Power Company</w:t>
            </w:r>
          </w:p>
        </w:tc>
        <w:tc>
          <w:tcPr>
            <w:tcW w:w="2524" w:type="dxa"/>
            <w:hideMark/>
          </w:tcPr>
          <w:p w:rsidR="00306114" w:rsidRPr="00F644A9" w:rsidP="003227F2">
            <w:pPr>
              <w:rPr>
                <w:rFonts w:cs="Times New Roman"/>
                <w:szCs w:val="24"/>
              </w:rPr>
            </w:pPr>
            <w:r w:rsidRPr="00F644A9">
              <w:rPr>
                <w:rFonts w:cs="Times New Roman"/>
                <w:szCs w:val="24"/>
              </w:rPr>
              <w:t>01-1359-EL-AAM</w:t>
            </w:r>
          </w:p>
        </w:tc>
        <w:tc>
          <w:tcPr>
            <w:tcW w:w="1644" w:type="dxa"/>
            <w:hideMark/>
          </w:tcPr>
          <w:p w:rsidR="00306114" w:rsidRPr="00F644A9" w:rsidP="003227F2">
            <w:pPr>
              <w:rPr>
                <w:rFonts w:cs="Times New Roman"/>
                <w:szCs w:val="24"/>
              </w:rPr>
            </w:pPr>
            <w:r w:rsidRPr="00F644A9">
              <w:rPr>
                <w:rFonts w:cs="Times New Roman"/>
                <w:szCs w:val="24"/>
              </w:rPr>
              <w:t>2002</w:t>
            </w:r>
          </w:p>
        </w:tc>
      </w:tr>
      <w:tr w:rsidTr="003227F2">
        <w:tblPrEx>
          <w:tblW w:w="9591" w:type="dxa"/>
          <w:tblLook w:val="04A0"/>
        </w:tblPrEx>
        <w:trPr>
          <w:trHeight w:val="337"/>
        </w:trPr>
        <w:tc>
          <w:tcPr>
            <w:tcW w:w="5423" w:type="dxa"/>
            <w:hideMark/>
          </w:tcPr>
          <w:p w:rsidR="00306114" w:rsidRPr="00F644A9" w:rsidP="003227F2">
            <w:pPr>
              <w:rPr>
                <w:rFonts w:cs="Times New Roman"/>
                <w:szCs w:val="24"/>
              </w:rPr>
            </w:pPr>
            <w:r w:rsidRPr="00F644A9">
              <w:rPr>
                <w:rFonts w:cs="Times New Roman"/>
                <w:szCs w:val="24"/>
              </w:rPr>
              <w:t>The Dayton Power and Light Company</w:t>
            </w:r>
            <w:r w:rsidRPr="00F644A9">
              <w:rPr>
                <w:rFonts w:cs="Times New Roman"/>
                <w:szCs w:val="24"/>
              </w:rPr>
              <w:tab/>
            </w:r>
          </w:p>
        </w:tc>
        <w:tc>
          <w:tcPr>
            <w:tcW w:w="2524" w:type="dxa"/>
            <w:hideMark/>
          </w:tcPr>
          <w:p w:rsidR="00306114" w:rsidRPr="00F644A9" w:rsidP="003227F2">
            <w:pPr>
              <w:rPr>
                <w:rFonts w:cs="Times New Roman"/>
                <w:szCs w:val="24"/>
              </w:rPr>
            </w:pPr>
            <w:r w:rsidRPr="00F644A9">
              <w:rPr>
                <w:rFonts w:cs="Times New Roman"/>
                <w:szCs w:val="24"/>
              </w:rPr>
              <w:t>02-0570-EL-ATA</w:t>
            </w:r>
          </w:p>
        </w:tc>
        <w:tc>
          <w:tcPr>
            <w:tcW w:w="1644" w:type="dxa"/>
            <w:hideMark/>
          </w:tcPr>
          <w:p w:rsidR="00306114" w:rsidRPr="00F644A9" w:rsidP="003227F2">
            <w:pPr>
              <w:rPr>
                <w:rFonts w:cs="Times New Roman"/>
                <w:szCs w:val="24"/>
              </w:rPr>
            </w:pPr>
            <w:r w:rsidRPr="00F644A9">
              <w:rPr>
                <w:rFonts w:cs="Times New Roman"/>
                <w:szCs w:val="24"/>
              </w:rPr>
              <w:t>2003</w:t>
            </w:r>
          </w:p>
        </w:tc>
      </w:tr>
      <w:tr w:rsidTr="003227F2">
        <w:tblPrEx>
          <w:tblW w:w="9591" w:type="dxa"/>
          <w:tblLook w:val="04A0"/>
        </w:tblPrEx>
        <w:trPr>
          <w:trHeight w:val="280"/>
        </w:trPr>
        <w:tc>
          <w:tcPr>
            <w:tcW w:w="5423" w:type="dxa"/>
            <w:hideMark/>
          </w:tcPr>
          <w:p w:rsidR="00306114" w:rsidRPr="00F644A9" w:rsidP="003227F2">
            <w:pPr>
              <w:rPr>
                <w:rFonts w:cs="Times New Roman"/>
                <w:szCs w:val="24"/>
              </w:rPr>
            </w:pPr>
            <w:r w:rsidRPr="00F644A9">
              <w:rPr>
                <w:rFonts w:cs="Times New Roman"/>
                <w:szCs w:val="24"/>
              </w:rPr>
              <w:t>Dayton Power and Light Company</w:t>
            </w:r>
          </w:p>
        </w:tc>
        <w:tc>
          <w:tcPr>
            <w:tcW w:w="2524" w:type="dxa"/>
            <w:hideMark/>
          </w:tcPr>
          <w:p w:rsidR="00306114" w:rsidRPr="00F644A9" w:rsidP="003227F2">
            <w:pPr>
              <w:rPr>
                <w:rFonts w:cs="Times New Roman"/>
                <w:szCs w:val="24"/>
              </w:rPr>
            </w:pPr>
            <w:r w:rsidRPr="00F644A9">
              <w:rPr>
                <w:rFonts w:cs="Times New Roman"/>
                <w:szCs w:val="24"/>
              </w:rPr>
              <w:t>02-2364-EL-CSS</w:t>
            </w:r>
          </w:p>
        </w:tc>
        <w:tc>
          <w:tcPr>
            <w:tcW w:w="1644" w:type="dxa"/>
            <w:hideMark/>
          </w:tcPr>
          <w:p w:rsidR="00306114" w:rsidRPr="00F644A9" w:rsidP="003227F2">
            <w:pPr>
              <w:rPr>
                <w:rFonts w:cs="Times New Roman"/>
                <w:szCs w:val="24"/>
              </w:rPr>
            </w:pPr>
            <w:r w:rsidRPr="00F644A9">
              <w:rPr>
                <w:rFonts w:cs="Times New Roman"/>
                <w:szCs w:val="24"/>
              </w:rPr>
              <w:t>2003</w:t>
            </w:r>
          </w:p>
        </w:tc>
      </w:tr>
      <w:tr w:rsidTr="003227F2">
        <w:tblPrEx>
          <w:tblW w:w="9591" w:type="dxa"/>
          <w:tblLook w:val="04A0"/>
        </w:tblPrEx>
        <w:trPr>
          <w:trHeight w:val="319"/>
        </w:trPr>
        <w:tc>
          <w:tcPr>
            <w:tcW w:w="5423" w:type="dxa"/>
            <w:hideMark/>
          </w:tcPr>
          <w:p w:rsidR="00306114" w:rsidRPr="00F644A9" w:rsidP="003227F2">
            <w:pPr>
              <w:rPr>
                <w:rFonts w:cs="Times New Roman"/>
                <w:szCs w:val="24"/>
              </w:rPr>
            </w:pPr>
            <w:r w:rsidRPr="00F644A9">
              <w:rPr>
                <w:rFonts w:cs="Times New Roman"/>
                <w:szCs w:val="24"/>
              </w:rPr>
              <w:t>Dayton Power and Light Company</w:t>
            </w:r>
          </w:p>
        </w:tc>
        <w:tc>
          <w:tcPr>
            <w:tcW w:w="2524" w:type="dxa"/>
            <w:hideMark/>
          </w:tcPr>
          <w:p w:rsidR="00306114" w:rsidRPr="00F644A9" w:rsidP="003227F2">
            <w:pPr>
              <w:rPr>
                <w:rFonts w:cs="Times New Roman"/>
                <w:szCs w:val="24"/>
              </w:rPr>
            </w:pPr>
            <w:r w:rsidRPr="00F644A9">
              <w:rPr>
                <w:rFonts w:cs="Times New Roman"/>
                <w:szCs w:val="24"/>
              </w:rPr>
              <w:t>02-2879-EL-AAM</w:t>
            </w:r>
          </w:p>
        </w:tc>
        <w:tc>
          <w:tcPr>
            <w:tcW w:w="1644" w:type="dxa"/>
            <w:hideMark/>
          </w:tcPr>
          <w:p w:rsidR="00306114" w:rsidRPr="00F644A9" w:rsidP="003227F2">
            <w:pPr>
              <w:rPr>
                <w:rFonts w:cs="Times New Roman"/>
                <w:szCs w:val="24"/>
              </w:rPr>
            </w:pPr>
            <w:r w:rsidRPr="00F644A9">
              <w:rPr>
                <w:rFonts w:cs="Times New Roman"/>
                <w:szCs w:val="24"/>
              </w:rPr>
              <w:t>2003</w:t>
            </w:r>
          </w:p>
        </w:tc>
      </w:tr>
      <w:tr w:rsidTr="003227F2">
        <w:tblPrEx>
          <w:tblW w:w="9591" w:type="dxa"/>
          <w:tblLook w:val="04A0"/>
        </w:tblPrEx>
        <w:trPr>
          <w:trHeight w:val="272"/>
        </w:trPr>
        <w:tc>
          <w:tcPr>
            <w:tcW w:w="5423" w:type="dxa"/>
            <w:hideMark/>
          </w:tcPr>
          <w:p w:rsidR="00306114" w:rsidRPr="00F644A9" w:rsidP="003227F2">
            <w:pPr>
              <w:rPr>
                <w:rFonts w:cs="Times New Roman"/>
                <w:szCs w:val="24"/>
              </w:rPr>
            </w:pPr>
            <w:r w:rsidRPr="00F644A9">
              <w:rPr>
                <w:rFonts w:cs="Times New Roman"/>
                <w:szCs w:val="24"/>
              </w:rPr>
              <w:t>Dayton Power and Light Company</w:t>
            </w:r>
          </w:p>
        </w:tc>
        <w:tc>
          <w:tcPr>
            <w:tcW w:w="2524" w:type="dxa"/>
            <w:hideMark/>
          </w:tcPr>
          <w:p w:rsidR="00306114" w:rsidRPr="00F644A9" w:rsidP="003227F2">
            <w:pPr>
              <w:rPr>
                <w:rFonts w:cs="Times New Roman"/>
                <w:szCs w:val="24"/>
              </w:rPr>
            </w:pPr>
            <w:r w:rsidRPr="00F644A9">
              <w:rPr>
                <w:rFonts w:cs="Times New Roman"/>
                <w:szCs w:val="24"/>
              </w:rPr>
              <w:t>02-2779-EL-ATA</w:t>
            </w:r>
          </w:p>
        </w:tc>
        <w:tc>
          <w:tcPr>
            <w:tcW w:w="1644" w:type="dxa"/>
            <w:hideMark/>
          </w:tcPr>
          <w:p w:rsidR="00306114" w:rsidRPr="00F644A9" w:rsidP="003227F2">
            <w:pPr>
              <w:rPr>
                <w:rFonts w:cs="Times New Roman"/>
                <w:szCs w:val="24"/>
              </w:rPr>
            </w:pPr>
            <w:r w:rsidRPr="00F644A9">
              <w:rPr>
                <w:rFonts w:cs="Times New Roman"/>
                <w:szCs w:val="24"/>
              </w:rPr>
              <w:t>2003</w:t>
            </w:r>
          </w:p>
        </w:tc>
      </w:tr>
      <w:tr w:rsidTr="003227F2">
        <w:tblPrEx>
          <w:tblW w:w="9591" w:type="dxa"/>
          <w:tblLook w:val="04A0"/>
        </w:tblPrEx>
        <w:trPr>
          <w:trHeight w:val="279"/>
        </w:trPr>
        <w:tc>
          <w:tcPr>
            <w:tcW w:w="5423" w:type="dxa"/>
            <w:hideMark/>
          </w:tcPr>
          <w:p w:rsidR="00306114" w:rsidRPr="00F644A9" w:rsidP="003227F2">
            <w:pPr>
              <w:rPr>
                <w:rFonts w:cs="Times New Roman"/>
                <w:szCs w:val="24"/>
              </w:rPr>
            </w:pPr>
            <w:r w:rsidRPr="00F644A9">
              <w:rPr>
                <w:rFonts w:cs="Times New Roman"/>
                <w:szCs w:val="24"/>
              </w:rPr>
              <w:t xml:space="preserve">FirstEnergy Corporation </w:t>
            </w:r>
          </w:p>
        </w:tc>
        <w:tc>
          <w:tcPr>
            <w:tcW w:w="2524" w:type="dxa"/>
            <w:hideMark/>
          </w:tcPr>
          <w:p w:rsidR="00306114" w:rsidRPr="00F644A9" w:rsidP="003227F2">
            <w:pPr>
              <w:rPr>
                <w:rFonts w:cs="Times New Roman"/>
                <w:szCs w:val="24"/>
              </w:rPr>
            </w:pPr>
            <w:r w:rsidRPr="00F644A9">
              <w:rPr>
                <w:rFonts w:cs="Times New Roman"/>
                <w:szCs w:val="24"/>
              </w:rPr>
              <w:t>03-2144-EL-ATA</w:t>
            </w:r>
          </w:p>
        </w:tc>
        <w:tc>
          <w:tcPr>
            <w:tcW w:w="1644" w:type="dxa"/>
            <w:hideMark/>
          </w:tcPr>
          <w:p w:rsidR="00306114" w:rsidRPr="00F644A9" w:rsidP="003227F2">
            <w:pPr>
              <w:rPr>
                <w:rFonts w:cs="Times New Roman"/>
                <w:szCs w:val="24"/>
              </w:rPr>
            </w:pPr>
            <w:r w:rsidRPr="00F644A9">
              <w:rPr>
                <w:rFonts w:cs="Times New Roman"/>
                <w:szCs w:val="24"/>
              </w:rPr>
              <w:t>2004</w:t>
            </w:r>
          </w:p>
        </w:tc>
      </w:tr>
      <w:tr w:rsidTr="003227F2">
        <w:tblPrEx>
          <w:tblW w:w="9591" w:type="dxa"/>
          <w:tblLook w:val="04A0"/>
        </w:tblPrEx>
        <w:trPr>
          <w:trHeight w:val="301"/>
        </w:trPr>
        <w:tc>
          <w:tcPr>
            <w:tcW w:w="5423" w:type="dxa"/>
            <w:hideMark/>
          </w:tcPr>
          <w:p w:rsidR="00306114" w:rsidRPr="00F644A9" w:rsidP="003227F2">
            <w:pPr>
              <w:rPr>
                <w:rFonts w:cs="Times New Roman"/>
                <w:szCs w:val="24"/>
              </w:rPr>
            </w:pPr>
            <w:r w:rsidRPr="00F644A9">
              <w:rPr>
                <w:rFonts w:cs="Times New Roman"/>
                <w:szCs w:val="24"/>
              </w:rPr>
              <w:t>Cincinnati Gas &amp; Electric Company</w:t>
            </w:r>
          </w:p>
        </w:tc>
        <w:tc>
          <w:tcPr>
            <w:tcW w:w="2524" w:type="dxa"/>
            <w:hideMark/>
          </w:tcPr>
          <w:p w:rsidR="00306114" w:rsidRPr="00F644A9" w:rsidP="003227F2">
            <w:pPr>
              <w:rPr>
                <w:rFonts w:cs="Times New Roman"/>
                <w:szCs w:val="24"/>
              </w:rPr>
            </w:pPr>
            <w:r w:rsidRPr="00F644A9">
              <w:rPr>
                <w:rFonts w:cs="Times New Roman"/>
                <w:szCs w:val="24"/>
              </w:rPr>
              <w:t>03-0093-EL-ATA</w:t>
            </w:r>
          </w:p>
        </w:tc>
        <w:tc>
          <w:tcPr>
            <w:tcW w:w="1644" w:type="dxa"/>
            <w:hideMark/>
          </w:tcPr>
          <w:p w:rsidR="00306114" w:rsidRPr="00F644A9" w:rsidP="003227F2">
            <w:pPr>
              <w:rPr>
                <w:rFonts w:cs="Times New Roman"/>
                <w:szCs w:val="24"/>
              </w:rPr>
            </w:pPr>
            <w:r w:rsidRPr="00F644A9">
              <w:rPr>
                <w:rFonts w:cs="Times New Roman"/>
                <w:szCs w:val="24"/>
              </w:rPr>
              <w:t>2004</w:t>
            </w:r>
          </w:p>
        </w:tc>
      </w:tr>
      <w:tr w:rsidTr="003227F2">
        <w:tblPrEx>
          <w:tblW w:w="9591" w:type="dxa"/>
          <w:tblLook w:val="04A0"/>
        </w:tblPrEx>
        <w:trPr>
          <w:trHeight w:val="346"/>
        </w:trPr>
        <w:tc>
          <w:tcPr>
            <w:tcW w:w="5423" w:type="dxa"/>
            <w:hideMark/>
          </w:tcPr>
          <w:p w:rsidR="00306114" w:rsidRPr="00F644A9" w:rsidP="003227F2">
            <w:pPr>
              <w:rPr>
                <w:rFonts w:cs="Times New Roman"/>
                <w:szCs w:val="24"/>
              </w:rPr>
            </w:pPr>
            <w:r w:rsidRPr="00F644A9">
              <w:rPr>
                <w:rFonts w:cs="Times New Roman"/>
                <w:szCs w:val="24"/>
              </w:rPr>
              <w:t>Cincinnati Gas &amp; Electric Company</w:t>
            </w:r>
          </w:p>
        </w:tc>
        <w:tc>
          <w:tcPr>
            <w:tcW w:w="2524" w:type="dxa"/>
            <w:hideMark/>
          </w:tcPr>
          <w:p w:rsidR="00306114" w:rsidRPr="00F644A9" w:rsidP="003227F2">
            <w:pPr>
              <w:rPr>
                <w:rFonts w:cs="Times New Roman"/>
                <w:szCs w:val="24"/>
              </w:rPr>
            </w:pPr>
            <w:r w:rsidRPr="00F644A9">
              <w:rPr>
                <w:rFonts w:cs="Times New Roman"/>
                <w:szCs w:val="24"/>
              </w:rPr>
              <w:t>03-2079-EL-AAM</w:t>
            </w:r>
          </w:p>
        </w:tc>
        <w:tc>
          <w:tcPr>
            <w:tcW w:w="1644" w:type="dxa"/>
            <w:hideMark/>
          </w:tcPr>
          <w:p w:rsidR="00306114" w:rsidRPr="00F644A9" w:rsidP="003227F2">
            <w:pPr>
              <w:rPr>
                <w:rFonts w:cs="Times New Roman"/>
                <w:szCs w:val="24"/>
              </w:rPr>
            </w:pPr>
            <w:r w:rsidRPr="00F644A9">
              <w:rPr>
                <w:rFonts w:cs="Times New Roman"/>
                <w:szCs w:val="24"/>
              </w:rPr>
              <w:t>2004</w:t>
            </w:r>
          </w:p>
        </w:tc>
      </w:tr>
      <w:tr w:rsidTr="003227F2">
        <w:tblPrEx>
          <w:tblW w:w="9591" w:type="dxa"/>
          <w:tblLook w:val="04A0"/>
        </w:tblPrEx>
        <w:trPr>
          <w:trHeight w:val="256"/>
        </w:trPr>
        <w:tc>
          <w:tcPr>
            <w:tcW w:w="5423" w:type="dxa"/>
            <w:hideMark/>
          </w:tcPr>
          <w:p w:rsidR="00306114" w:rsidRPr="00F644A9" w:rsidP="003227F2">
            <w:pPr>
              <w:rPr>
                <w:rFonts w:cs="Times New Roman"/>
                <w:szCs w:val="24"/>
              </w:rPr>
            </w:pPr>
            <w:r w:rsidRPr="00F644A9">
              <w:rPr>
                <w:rFonts w:cs="Times New Roman"/>
                <w:szCs w:val="24"/>
              </w:rPr>
              <w:t>Cincinnati Gas &amp; Electric Company</w:t>
            </w:r>
          </w:p>
        </w:tc>
        <w:tc>
          <w:tcPr>
            <w:tcW w:w="2524" w:type="dxa"/>
            <w:hideMark/>
          </w:tcPr>
          <w:p w:rsidR="00306114" w:rsidRPr="00F644A9" w:rsidP="003227F2">
            <w:pPr>
              <w:rPr>
                <w:rFonts w:cs="Times New Roman"/>
                <w:szCs w:val="24"/>
              </w:rPr>
            </w:pPr>
            <w:r w:rsidRPr="00F644A9">
              <w:rPr>
                <w:rFonts w:cs="Times New Roman"/>
                <w:szCs w:val="24"/>
              </w:rPr>
              <w:t>03-2081-EL-AAM</w:t>
            </w:r>
          </w:p>
        </w:tc>
        <w:tc>
          <w:tcPr>
            <w:tcW w:w="1644" w:type="dxa"/>
            <w:hideMark/>
          </w:tcPr>
          <w:p w:rsidR="00306114" w:rsidRPr="00F644A9" w:rsidP="003227F2">
            <w:pPr>
              <w:rPr>
                <w:rFonts w:cs="Times New Roman"/>
                <w:szCs w:val="24"/>
              </w:rPr>
            </w:pPr>
            <w:r w:rsidRPr="00F644A9">
              <w:rPr>
                <w:rFonts w:cs="Times New Roman"/>
                <w:szCs w:val="24"/>
              </w:rPr>
              <w:t>2004</w:t>
            </w:r>
          </w:p>
        </w:tc>
      </w:tr>
      <w:tr w:rsidTr="003227F2">
        <w:tblPrEx>
          <w:tblW w:w="9591" w:type="dxa"/>
          <w:tblLook w:val="04A0"/>
        </w:tblPrEx>
        <w:trPr>
          <w:trHeight w:val="6"/>
        </w:trPr>
        <w:tc>
          <w:tcPr>
            <w:tcW w:w="5423" w:type="dxa"/>
            <w:hideMark/>
          </w:tcPr>
          <w:p w:rsidR="00306114" w:rsidRPr="00F644A9" w:rsidP="003227F2">
            <w:pPr>
              <w:rPr>
                <w:rFonts w:cs="Times New Roman"/>
                <w:szCs w:val="24"/>
              </w:rPr>
            </w:pPr>
            <w:r w:rsidRPr="00F644A9">
              <w:rPr>
                <w:rFonts w:cs="Times New Roman"/>
                <w:szCs w:val="24"/>
              </w:rPr>
              <w:t>Monongahela Power Company</w:t>
            </w:r>
          </w:p>
        </w:tc>
        <w:tc>
          <w:tcPr>
            <w:tcW w:w="2524" w:type="dxa"/>
            <w:hideMark/>
          </w:tcPr>
          <w:p w:rsidR="00306114" w:rsidRPr="00F644A9" w:rsidP="003227F2">
            <w:pPr>
              <w:rPr>
                <w:rFonts w:cs="Times New Roman"/>
                <w:szCs w:val="24"/>
              </w:rPr>
            </w:pPr>
            <w:r w:rsidRPr="00F644A9">
              <w:rPr>
                <w:rFonts w:cs="Times New Roman"/>
                <w:szCs w:val="24"/>
              </w:rPr>
              <w:t>04-0880-EL-UNC</w:t>
            </w:r>
          </w:p>
        </w:tc>
        <w:tc>
          <w:tcPr>
            <w:tcW w:w="1644" w:type="dxa"/>
            <w:hideMark/>
          </w:tcPr>
          <w:p w:rsidR="00306114" w:rsidRPr="00F644A9" w:rsidP="003227F2">
            <w:pPr>
              <w:rPr>
                <w:rFonts w:cs="Times New Roman"/>
                <w:szCs w:val="24"/>
              </w:rPr>
            </w:pPr>
            <w:r w:rsidRPr="00F644A9">
              <w:rPr>
                <w:rFonts w:cs="Times New Roman"/>
                <w:szCs w:val="24"/>
              </w:rPr>
              <w:t>2004</w:t>
            </w:r>
          </w:p>
        </w:tc>
      </w:tr>
      <w:tr w:rsidTr="003227F2">
        <w:tblPrEx>
          <w:tblW w:w="9591" w:type="dxa"/>
          <w:tblLook w:val="04A0"/>
        </w:tblPrEx>
        <w:trPr>
          <w:trHeight w:val="271"/>
        </w:trPr>
        <w:tc>
          <w:tcPr>
            <w:tcW w:w="5423" w:type="dxa"/>
            <w:hideMark/>
          </w:tcPr>
          <w:p w:rsidR="00306114" w:rsidRPr="00F644A9" w:rsidP="00C13666">
            <w:pPr>
              <w:tabs>
                <w:tab w:val="right" w:pos="5207"/>
              </w:tabs>
              <w:rPr>
                <w:rFonts w:cs="Times New Roman"/>
                <w:szCs w:val="24"/>
              </w:rPr>
            </w:pPr>
            <w:r w:rsidRPr="00F644A9">
              <w:rPr>
                <w:rFonts w:cs="Times New Roman"/>
                <w:szCs w:val="24"/>
              </w:rPr>
              <w:t>Monongahela Power Company</w:t>
            </w:r>
            <w:r>
              <w:rPr>
                <w:rFonts w:cs="Times New Roman"/>
                <w:szCs w:val="24"/>
              </w:rPr>
              <w:tab/>
            </w:r>
          </w:p>
        </w:tc>
        <w:tc>
          <w:tcPr>
            <w:tcW w:w="2524" w:type="dxa"/>
            <w:hideMark/>
          </w:tcPr>
          <w:p w:rsidR="00306114" w:rsidRPr="00F644A9" w:rsidP="003227F2">
            <w:pPr>
              <w:rPr>
                <w:rFonts w:cs="Times New Roman"/>
                <w:szCs w:val="24"/>
              </w:rPr>
            </w:pPr>
            <w:r w:rsidRPr="00F644A9">
              <w:rPr>
                <w:rFonts w:cs="Times New Roman"/>
                <w:szCs w:val="24"/>
              </w:rPr>
              <w:t>05-0765-EL-UNC</w:t>
            </w:r>
          </w:p>
        </w:tc>
        <w:tc>
          <w:tcPr>
            <w:tcW w:w="1644" w:type="dxa"/>
            <w:hideMark/>
          </w:tcPr>
          <w:p w:rsidR="00306114" w:rsidRPr="00F644A9" w:rsidP="003227F2">
            <w:pPr>
              <w:rPr>
                <w:rFonts w:cs="Times New Roman"/>
                <w:szCs w:val="24"/>
              </w:rPr>
            </w:pPr>
            <w:r w:rsidRPr="00F644A9">
              <w:rPr>
                <w:rFonts w:cs="Times New Roman"/>
                <w:szCs w:val="24"/>
              </w:rPr>
              <w:t>2005</w:t>
            </w:r>
          </w:p>
        </w:tc>
      </w:tr>
      <w:tr w:rsidTr="003227F2">
        <w:tblPrEx>
          <w:tblW w:w="9591" w:type="dxa"/>
          <w:tblLook w:val="04A0"/>
        </w:tblPrEx>
        <w:trPr>
          <w:trHeight w:val="241"/>
        </w:trPr>
        <w:tc>
          <w:tcPr>
            <w:tcW w:w="5423" w:type="dxa"/>
            <w:hideMark/>
          </w:tcPr>
          <w:p w:rsidR="00306114" w:rsidRPr="00F644A9" w:rsidP="003227F2">
            <w:pPr>
              <w:rPr>
                <w:rFonts w:cs="Times New Roman"/>
                <w:szCs w:val="24"/>
              </w:rPr>
            </w:pPr>
            <w:r w:rsidRPr="00F644A9">
              <w:rPr>
                <w:rFonts w:cs="Times New Roman"/>
                <w:szCs w:val="24"/>
              </w:rPr>
              <w:t>Dayton Power and Light Company</w:t>
            </w:r>
          </w:p>
        </w:tc>
        <w:tc>
          <w:tcPr>
            <w:tcW w:w="2524" w:type="dxa"/>
            <w:hideMark/>
          </w:tcPr>
          <w:p w:rsidR="00306114" w:rsidRPr="00F644A9" w:rsidP="003227F2">
            <w:pPr>
              <w:rPr>
                <w:rFonts w:cs="Times New Roman"/>
                <w:szCs w:val="24"/>
              </w:rPr>
            </w:pPr>
            <w:r w:rsidRPr="00F644A9">
              <w:rPr>
                <w:rFonts w:cs="Times New Roman"/>
                <w:szCs w:val="24"/>
              </w:rPr>
              <w:t>05-0276-EL-AIR</w:t>
            </w:r>
          </w:p>
        </w:tc>
        <w:tc>
          <w:tcPr>
            <w:tcW w:w="1644" w:type="dxa"/>
            <w:hideMark/>
          </w:tcPr>
          <w:p w:rsidR="00306114" w:rsidRPr="00F644A9" w:rsidP="003227F2">
            <w:pPr>
              <w:rPr>
                <w:rFonts w:cs="Times New Roman"/>
                <w:szCs w:val="24"/>
              </w:rPr>
            </w:pPr>
            <w:r w:rsidRPr="00F644A9">
              <w:rPr>
                <w:rFonts w:cs="Times New Roman"/>
                <w:szCs w:val="24"/>
              </w:rPr>
              <w:t>2005</w:t>
            </w:r>
          </w:p>
        </w:tc>
      </w:tr>
    </w:tbl>
    <w:p w:rsidR="00B40C8E" w:rsidP="00023682">
      <w:pPr>
        <w:spacing w:after="0" w:line="240" w:lineRule="auto"/>
        <w:jc w:val="right"/>
        <w:rPr>
          <w:rFonts w:ascii="Times New Roman" w:hAnsi="Times New Roman" w:cs="Times New Roman"/>
          <w:sz w:val="24"/>
          <w:szCs w:val="24"/>
        </w:rPr>
      </w:pPr>
    </w:p>
    <w:p w:rsidR="00023682" w:rsidP="00023682">
      <w:pPr>
        <w:spacing w:after="0" w:line="240" w:lineRule="auto"/>
        <w:jc w:val="right"/>
        <w:rPr>
          <w:rFonts w:ascii="Times New Roman" w:hAnsi="Times New Roman" w:cs="Times New Roman"/>
          <w:sz w:val="24"/>
          <w:szCs w:val="24"/>
        </w:rPr>
      </w:pPr>
      <w:r w:rsidRPr="00F644A9">
        <w:rPr>
          <w:rFonts w:ascii="Times New Roman" w:hAnsi="Times New Roman" w:cs="Times New Roman"/>
          <w:sz w:val="24"/>
          <w:szCs w:val="24"/>
        </w:rPr>
        <w:t>Attachment RBF-1</w:t>
      </w:r>
    </w:p>
    <w:p w:rsidR="00023682" w:rsidP="0002368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Page 2 of 2</w:t>
      </w:r>
    </w:p>
    <w:p w:rsidR="00814541" w:rsidP="00023682">
      <w:pPr>
        <w:spacing w:after="0" w:line="240" w:lineRule="auto"/>
        <w:ind w:right="-90"/>
        <w:rPr>
          <w:rFonts w:ascii="Times New Roman" w:hAnsi="Times New Roman" w:cs="Times New Roman"/>
          <w:sz w:val="24"/>
          <w:szCs w:val="24"/>
        </w:rPr>
      </w:pP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3"/>
        <w:gridCol w:w="2524"/>
        <w:gridCol w:w="1644"/>
      </w:tblGrid>
      <w:tr w:rsidTr="00815F78">
        <w:tblPrEx>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0"/>
        </w:trPr>
        <w:tc>
          <w:tcPr>
            <w:tcW w:w="5423" w:type="dxa"/>
            <w:hideMark/>
          </w:tcPr>
          <w:p w:rsidR="00023682" w:rsidRPr="00F644A9" w:rsidP="00023682">
            <w:pPr>
              <w:rPr>
                <w:rFonts w:cs="Times New Roman"/>
                <w:szCs w:val="24"/>
              </w:rPr>
            </w:pPr>
            <w:r w:rsidRPr="00F644A9">
              <w:rPr>
                <w:rFonts w:cs="Times New Roman"/>
                <w:szCs w:val="24"/>
              </w:rPr>
              <w:t>FirstEnergy</w:t>
            </w:r>
          </w:p>
        </w:tc>
        <w:tc>
          <w:tcPr>
            <w:tcW w:w="2524" w:type="dxa"/>
            <w:hideMark/>
          </w:tcPr>
          <w:p w:rsidR="00023682" w:rsidRPr="00F644A9" w:rsidP="00023682">
            <w:pPr>
              <w:rPr>
                <w:rFonts w:cs="Times New Roman"/>
                <w:szCs w:val="24"/>
              </w:rPr>
            </w:pPr>
            <w:r w:rsidRPr="00F644A9">
              <w:rPr>
                <w:rFonts w:cs="Times New Roman"/>
                <w:szCs w:val="24"/>
              </w:rPr>
              <w:t>07-0551-EL-AIR</w:t>
            </w:r>
          </w:p>
        </w:tc>
        <w:tc>
          <w:tcPr>
            <w:tcW w:w="1644" w:type="dxa"/>
            <w:hideMark/>
          </w:tcPr>
          <w:p w:rsidR="00023682" w:rsidRPr="00F644A9" w:rsidP="00023682">
            <w:pPr>
              <w:rPr>
                <w:rFonts w:cs="Times New Roman"/>
                <w:szCs w:val="24"/>
              </w:rPr>
            </w:pPr>
            <w:r w:rsidRPr="00F644A9">
              <w:rPr>
                <w:rFonts w:cs="Times New Roman"/>
                <w:szCs w:val="24"/>
              </w:rPr>
              <w:t>2008</w:t>
            </w:r>
          </w:p>
        </w:tc>
      </w:tr>
      <w:tr w:rsidTr="00815F78">
        <w:tblPrEx>
          <w:tblW w:w="9591" w:type="dxa"/>
          <w:tblLook w:val="04A0"/>
        </w:tblPrEx>
        <w:trPr>
          <w:trHeight w:val="271"/>
        </w:trPr>
        <w:tc>
          <w:tcPr>
            <w:tcW w:w="5423" w:type="dxa"/>
            <w:hideMark/>
          </w:tcPr>
          <w:p w:rsidR="00023682" w:rsidRPr="00F644A9" w:rsidP="00023682">
            <w:pPr>
              <w:rPr>
                <w:rFonts w:cs="Times New Roman"/>
                <w:szCs w:val="24"/>
              </w:rPr>
            </w:pPr>
            <w:r w:rsidRPr="00F644A9">
              <w:rPr>
                <w:rFonts w:cs="Times New Roman"/>
                <w:szCs w:val="24"/>
              </w:rPr>
              <w:t xml:space="preserve">FirstEnergy </w:t>
            </w:r>
          </w:p>
        </w:tc>
        <w:tc>
          <w:tcPr>
            <w:tcW w:w="2524" w:type="dxa"/>
            <w:hideMark/>
          </w:tcPr>
          <w:p w:rsidR="00023682" w:rsidRPr="00F644A9" w:rsidP="00023682">
            <w:pPr>
              <w:rPr>
                <w:rFonts w:cs="Times New Roman"/>
                <w:szCs w:val="24"/>
              </w:rPr>
            </w:pPr>
            <w:r w:rsidRPr="00F644A9">
              <w:rPr>
                <w:rFonts w:cs="Times New Roman"/>
                <w:szCs w:val="24"/>
              </w:rPr>
              <w:t>08-0936-EL-SSO</w:t>
            </w:r>
          </w:p>
        </w:tc>
        <w:tc>
          <w:tcPr>
            <w:tcW w:w="1644" w:type="dxa"/>
            <w:hideMark/>
          </w:tcPr>
          <w:p w:rsidR="00023682" w:rsidRPr="00F644A9" w:rsidP="00023682">
            <w:pPr>
              <w:rPr>
                <w:rFonts w:cs="Times New Roman"/>
                <w:szCs w:val="24"/>
              </w:rPr>
            </w:pPr>
            <w:r w:rsidRPr="00F644A9">
              <w:rPr>
                <w:rFonts w:cs="Times New Roman"/>
                <w:szCs w:val="24"/>
              </w:rPr>
              <w:t>2008</w:t>
            </w:r>
          </w:p>
        </w:tc>
      </w:tr>
      <w:tr w:rsidTr="00815F78">
        <w:tblPrEx>
          <w:tblW w:w="9591" w:type="dxa"/>
          <w:tblLook w:val="04A0"/>
        </w:tblPrEx>
        <w:trPr>
          <w:trHeight w:val="271"/>
        </w:trPr>
        <w:tc>
          <w:tcPr>
            <w:tcW w:w="5423" w:type="dxa"/>
            <w:hideMark/>
          </w:tcPr>
          <w:p w:rsidR="00023682" w:rsidRPr="00F644A9" w:rsidP="00815F78">
            <w:pPr>
              <w:rPr>
                <w:rFonts w:cs="Times New Roman"/>
                <w:szCs w:val="24"/>
              </w:rPr>
            </w:pPr>
            <w:r w:rsidRPr="00F644A9">
              <w:rPr>
                <w:rFonts w:cs="Times New Roman"/>
                <w:szCs w:val="24"/>
              </w:rPr>
              <w:t>FirstEnergy</w:t>
            </w:r>
          </w:p>
        </w:tc>
        <w:tc>
          <w:tcPr>
            <w:tcW w:w="2524" w:type="dxa"/>
            <w:hideMark/>
          </w:tcPr>
          <w:p w:rsidR="00023682" w:rsidRPr="00F644A9" w:rsidP="00815F78">
            <w:pPr>
              <w:rPr>
                <w:rFonts w:cs="Times New Roman"/>
                <w:szCs w:val="24"/>
              </w:rPr>
            </w:pPr>
            <w:r w:rsidRPr="00F644A9">
              <w:rPr>
                <w:rFonts w:cs="Times New Roman"/>
                <w:szCs w:val="24"/>
              </w:rPr>
              <w:t>08-0935-EL-SSO</w:t>
            </w:r>
          </w:p>
        </w:tc>
        <w:tc>
          <w:tcPr>
            <w:tcW w:w="1644" w:type="dxa"/>
            <w:hideMark/>
          </w:tcPr>
          <w:p w:rsidR="00023682" w:rsidRPr="00F644A9" w:rsidP="00815F78">
            <w:pPr>
              <w:rPr>
                <w:rFonts w:cs="Times New Roman"/>
                <w:szCs w:val="24"/>
              </w:rPr>
            </w:pPr>
            <w:r w:rsidRPr="00F644A9">
              <w:rPr>
                <w:rFonts w:cs="Times New Roman"/>
                <w:szCs w:val="24"/>
              </w:rPr>
              <w:t>2008</w:t>
            </w:r>
          </w:p>
        </w:tc>
      </w:tr>
      <w:tr w:rsidTr="00815F78">
        <w:tblPrEx>
          <w:tblW w:w="9591" w:type="dxa"/>
          <w:tblLook w:val="04A0"/>
        </w:tblPrEx>
        <w:trPr>
          <w:trHeight w:val="271"/>
        </w:trPr>
        <w:tc>
          <w:tcPr>
            <w:tcW w:w="5423" w:type="dxa"/>
            <w:hideMark/>
          </w:tcPr>
          <w:p w:rsidR="00023682" w:rsidRPr="00F644A9" w:rsidP="00815F78">
            <w:pPr>
              <w:rPr>
                <w:rFonts w:cs="Times New Roman"/>
                <w:szCs w:val="24"/>
              </w:rPr>
            </w:pPr>
            <w:r w:rsidRPr="00F644A9">
              <w:rPr>
                <w:rFonts w:cs="Times New Roman"/>
                <w:szCs w:val="24"/>
              </w:rPr>
              <w:t xml:space="preserve">Ormet Primary Aluminum Corporation </w:t>
            </w:r>
          </w:p>
        </w:tc>
        <w:tc>
          <w:tcPr>
            <w:tcW w:w="2524" w:type="dxa"/>
            <w:hideMark/>
          </w:tcPr>
          <w:p w:rsidR="00023682" w:rsidRPr="00F644A9" w:rsidP="00815F78">
            <w:pPr>
              <w:rPr>
                <w:rFonts w:cs="Times New Roman"/>
                <w:szCs w:val="24"/>
              </w:rPr>
            </w:pPr>
            <w:r w:rsidRPr="00F644A9">
              <w:rPr>
                <w:rFonts w:cs="Times New Roman"/>
                <w:szCs w:val="24"/>
              </w:rPr>
              <w:t>09-0119-EL-AEC</w:t>
            </w:r>
          </w:p>
        </w:tc>
        <w:tc>
          <w:tcPr>
            <w:tcW w:w="1644" w:type="dxa"/>
            <w:hideMark/>
          </w:tcPr>
          <w:p w:rsidR="00023682" w:rsidRPr="00F644A9" w:rsidP="00815F78">
            <w:pPr>
              <w:rPr>
                <w:rFonts w:cs="Times New Roman"/>
                <w:szCs w:val="24"/>
              </w:rPr>
            </w:pPr>
            <w:r w:rsidRPr="00F644A9">
              <w:rPr>
                <w:rFonts w:cs="Times New Roman"/>
                <w:szCs w:val="24"/>
              </w:rPr>
              <w:t>2009</w:t>
            </w:r>
          </w:p>
        </w:tc>
      </w:tr>
      <w:tr w:rsidTr="00815F78">
        <w:tblPrEx>
          <w:tblW w:w="9591" w:type="dxa"/>
          <w:tblLook w:val="04A0"/>
        </w:tblPrEx>
        <w:trPr>
          <w:trHeight w:val="297"/>
        </w:trPr>
        <w:tc>
          <w:tcPr>
            <w:tcW w:w="5423" w:type="dxa"/>
            <w:hideMark/>
          </w:tcPr>
          <w:p w:rsidR="00023682" w:rsidRPr="00F644A9" w:rsidP="00815F78">
            <w:pPr>
              <w:rPr>
                <w:rFonts w:cs="Times New Roman"/>
                <w:szCs w:val="24"/>
              </w:rPr>
            </w:pPr>
            <w:r w:rsidRPr="00F644A9">
              <w:rPr>
                <w:rFonts w:cs="Times New Roman"/>
                <w:szCs w:val="24"/>
              </w:rPr>
              <w:t>Cleveland Electric Illuminating Company</w:t>
            </w:r>
          </w:p>
        </w:tc>
        <w:tc>
          <w:tcPr>
            <w:tcW w:w="2524" w:type="dxa"/>
            <w:hideMark/>
          </w:tcPr>
          <w:p w:rsidR="00023682" w:rsidRPr="00F644A9" w:rsidP="00815F78">
            <w:pPr>
              <w:rPr>
                <w:rFonts w:cs="Times New Roman"/>
                <w:szCs w:val="24"/>
              </w:rPr>
            </w:pPr>
            <w:r w:rsidRPr="00F644A9">
              <w:rPr>
                <w:rFonts w:cs="Times New Roman"/>
                <w:szCs w:val="24"/>
              </w:rPr>
              <w:t>08-1238-EL-AEC</w:t>
            </w:r>
          </w:p>
        </w:tc>
        <w:tc>
          <w:tcPr>
            <w:tcW w:w="1644" w:type="dxa"/>
            <w:hideMark/>
          </w:tcPr>
          <w:p w:rsidR="00023682" w:rsidRPr="00F644A9" w:rsidP="00815F78">
            <w:pPr>
              <w:rPr>
                <w:rFonts w:cs="Times New Roman"/>
                <w:szCs w:val="24"/>
              </w:rPr>
            </w:pPr>
            <w:r w:rsidRPr="00F644A9">
              <w:rPr>
                <w:rFonts w:cs="Times New Roman"/>
                <w:szCs w:val="24"/>
              </w:rPr>
              <w:t>2009</w:t>
            </w:r>
          </w:p>
        </w:tc>
      </w:tr>
      <w:tr w:rsidTr="00815F78">
        <w:tblPrEx>
          <w:tblW w:w="9591" w:type="dxa"/>
          <w:tblLook w:val="04A0"/>
        </w:tblPrEx>
        <w:trPr>
          <w:trHeight w:val="270"/>
        </w:trPr>
        <w:tc>
          <w:tcPr>
            <w:tcW w:w="5423" w:type="dxa"/>
            <w:hideMark/>
          </w:tcPr>
          <w:p w:rsidR="00023682" w:rsidRPr="00F644A9" w:rsidP="00815F78">
            <w:pPr>
              <w:rPr>
                <w:rFonts w:cs="Times New Roman"/>
                <w:szCs w:val="24"/>
              </w:rPr>
            </w:pPr>
            <w:r w:rsidRPr="00F644A9">
              <w:rPr>
                <w:rFonts w:cs="Times New Roman"/>
                <w:szCs w:val="24"/>
              </w:rPr>
              <w:t xml:space="preserve">Columbus Southern Power Company </w:t>
            </w:r>
          </w:p>
        </w:tc>
        <w:tc>
          <w:tcPr>
            <w:tcW w:w="2524" w:type="dxa"/>
            <w:hideMark/>
          </w:tcPr>
          <w:p w:rsidR="00023682" w:rsidRPr="00F644A9" w:rsidP="00815F78">
            <w:pPr>
              <w:rPr>
                <w:rFonts w:cs="Times New Roman"/>
                <w:szCs w:val="24"/>
              </w:rPr>
            </w:pPr>
            <w:r w:rsidRPr="00F644A9">
              <w:rPr>
                <w:rFonts w:cs="Times New Roman"/>
                <w:szCs w:val="24"/>
              </w:rPr>
              <w:t>09-0516-EL-AEC</w:t>
            </w:r>
          </w:p>
        </w:tc>
        <w:tc>
          <w:tcPr>
            <w:tcW w:w="1644" w:type="dxa"/>
            <w:hideMark/>
          </w:tcPr>
          <w:p w:rsidR="00023682" w:rsidRPr="00F644A9" w:rsidP="00815F78">
            <w:pPr>
              <w:rPr>
                <w:rFonts w:cs="Times New Roman"/>
                <w:szCs w:val="24"/>
              </w:rPr>
            </w:pPr>
            <w:r w:rsidRPr="00F644A9">
              <w:rPr>
                <w:rFonts w:cs="Times New Roman"/>
                <w:szCs w:val="24"/>
              </w:rPr>
              <w:t>2009</w:t>
            </w:r>
          </w:p>
        </w:tc>
      </w:tr>
      <w:tr w:rsidTr="00815F78">
        <w:tblPrEx>
          <w:tblW w:w="9591" w:type="dxa"/>
          <w:tblLook w:val="04A0"/>
        </w:tblPrEx>
        <w:trPr>
          <w:trHeight w:val="324"/>
        </w:trPr>
        <w:tc>
          <w:tcPr>
            <w:tcW w:w="5423" w:type="dxa"/>
            <w:hideMark/>
          </w:tcPr>
          <w:p w:rsidR="00023682" w:rsidRPr="00F644A9" w:rsidP="00815F78">
            <w:pPr>
              <w:rPr>
                <w:rFonts w:cs="Times New Roman"/>
                <w:szCs w:val="24"/>
              </w:rPr>
            </w:pPr>
            <w:r w:rsidRPr="00F644A9">
              <w:rPr>
                <w:rFonts w:cs="Times New Roman"/>
                <w:szCs w:val="24"/>
              </w:rPr>
              <w:t>FirstEnergy</w:t>
            </w:r>
          </w:p>
        </w:tc>
        <w:tc>
          <w:tcPr>
            <w:tcW w:w="2524" w:type="dxa"/>
            <w:hideMark/>
          </w:tcPr>
          <w:p w:rsidR="00023682" w:rsidRPr="00F644A9" w:rsidP="00815F78">
            <w:pPr>
              <w:rPr>
                <w:rFonts w:cs="Times New Roman"/>
                <w:szCs w:val="24"/>
              </w:rPr>
            </w:pPr>
            <w:r w:rsidRPr="00F644A9">
              <w:rPr>
                <w:rFonts w:cs="Times New Roman"/>
                <w:szCs w:val="24"/>
              </w:rPr>
              <w:t>10-0388-EL-SSO</w:t>
            </w:r>
          </w:p>
        </w:tc>
        <w:tc>
          <w:tcPr>
            <w:tcW w:w="1644" w:type="dxa"/>
            <w:hideMark/>
          </w:tcPr>
          <w:p w:rsidR="00023682" w:rsidRPr="00F644A9" w:rsidP="00815F78">
            <w:pPr>
              <w:rPr>
                <w:rFonts w:cs="Times New Roman"/>
                <w:szCs w:val="24"/>
              </w:rPr>
            </w:pPr>
            <w:r w:rsidRPr="00F644A9">
              <w:rPr>
                <w:rFonts w:cs="Times New Roman"/>
                <w:szCs w:val="24"/>
              </w:rPr>
              <w:t>2010</w:t>
            </w:r>
          </w:p>
        </w:tc>
      </w:tr>
      <w:tr w:rsidTr="00815F78">
        <w:tblPrEx>
          <w:tblW w:w="9591" w:type="dxa"/>
          <w:tblLook w:val="04A0"/>
        </w:tblPrEx>
        <w:trPr>
          <w:trHeight w:val="273"/>
        </w:trPr>
        <w:tc>
          <w:tcPr>
            <w:tcW w:w="5423" w:type="dxa"/>
            <w:hideMark/>
          </w:tcPr>
          <w:p w:rsidR="00023682" w:rsidRPr="00F644A9" w:rsidP="00815F78">
            <w:pPr>
              <w:rPr>
                <w:rFonts w:cs="Times New Roman"/>
                <w:szCs w:val="24"/>
              </w:rPr>
            </w:pPr>
            <w:r w:rsidRPr="00F644A9">
              <w:rPr>
                <w:rFonts w:cs="Times New Roman"/>
                <w:szCs w:val="24"/>
              </w:rPr>
              <w:t>FirstEnergy</w:t>
            </w:r>
          </w:p>
        </w:tc>
        <w:tc>
          <w:tcPr>
            <w:tcW w:w="2524" w:type="dxa"/>
            <w:hideMark/>
          </w:tcPr>
          <w:p w:rsidR="00023682" w:rsidRPr="00F644A9" w:rsidP="00815F78">
            <w:pPr>
              <w:rPr>
                <w:rFonts w:cs="Times New Roman"/>
                <w:szCs w:val="24"/>
              </w:rPr>
            </w:pPr>
            <w:r w:rsidRPr="00F644A9">
              <w:rPr>
                <w:rFonts w:cs="Times New Roman"/>
                <w:szCs w:val="24"/>
              </w:rPr>
              <w:t>10-0176-EL-ATA</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294"/>
        </w:trPr>
        <w:tc>
          <w:tcPr>
            <w:tcW w:w="5423" w:type="dxa"/>
            <w:hideMark/>
          </w:tcPr>
          <w:p w:rsidR="00023682" w:rsidRPr="00F644A9" w:rsidP="00815F78">
            <w:pPr>
              <w:rPr>
                <w:rFonts w:cs="Times New Roman"/>
                <w:szCs w:val="24"/>
              </w:rPr>
            </w:pPr>
            <w:r w:rsidRPr="00F644A9">
              <w:rPr>
                <w:rFonts w:cs="Times New Roman"/>
                <w:szCs w:val="24"/>
              </w:rPr>
              <w:t>Columbus Southern Power Company</w:t>
            </w:r>
          </w:p>
        </w:tc>
        <w:tc>
          <w:tcPr>
            <w:tcW w:w="2524" w:type="dxa"/>
            <w:hideMark/>
          </w:tcPr>
          <w:p w:rsidR="00023682" w:rsidRPr="00F644A9" w:rsidP="00815F78">
            <w:pPr>
              <w:rPr>
                <w:rFonts w:cs="Times New Roman"/>
                <w:szCs w:val="24"/>
              </w:rPr>
            </w:pPr>
            <w:r w:rsidRPr="00F644A9">
              <w:rPr>
                <w:rFonts w:cs="Times New Roman"/>
                <w:szCs w:val="24"/>
              </w:rPr>
              <w:t>11-0346-EL-SSO</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273"/>
        </w:trPr>
        <w:tc>
          <w:tcPr>
            <w:tcW w:w="5423" w:type="dxa"/>
            <w:hideMark/>
          </w:tcPr>
          <w:p w:rsidR="00023682" w:rsidRPr="00F644A9" w:rsidP="00815F78">
            <w:pPr>
              <w:rPr>
                <w:rFonts w:cs="Times New Roman"/>
                <w:szCs w:val="24"/>
              </w:rPr>
            </w:pPr>
            <w:r w:rsidRPr="00F644A9">
              <w:rPr>
                <w:rFonts w:cs="Times New Roman"/>
                <w:szCs w:val="24"/>
              </w:rPr>
              <w:t>Ohio Power Company</w:t>
            </w:r>
          </w:p>
        </w:tc>
        <w:tc>
          <w:tcPr>
            <w:tcW w:w="2524" w:type="dxa"/>
            <w:hideMark/>
          </w:tcPr>
          <w:p w:rsidR="00023682" w:rsidRPr="00F644A9" w:rsidP="00815F78">
            <w:pPr>
              <w:rPr>
                <w:rFonts w:cs="Times New Roman"/>
                <w:szCs w:val="24"/>
              </w:rPr>
            </w:pPr>
            <w:r w:rsidRPr="00F644A9">
              <w:rPr>
                <w:rFonts w:cs="Times New Roman"/>
                <w:szCs w:val="24"/>
              </w:rPr>
              <w:t>11-0348-EL-SSO</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27"/>
        </w:trPr>
        <w:tc>
          <w:tcPr>
            <w:tcW w:w="5423" w:type="dxa"/>
            <w:hideMark/>
          </w:tcPr>
          <w:p w:rsidR="00023682" w:rsidRPr="00F644A9" w:rsidP="00815F78">
            <w:pPr>
              <w:rPr>
                <w:rFonts w:cs="Times New Roman"/>
                <w:szCs w:val="24"/>
              </w:rPr>
            </w:pPr>
            <w:r w:rsidRPr="00F644A9">
              <w:rPr>
                <w:rFonts w:cs="Times New Roman"/>
                <w:szCs w:val="24"/>
              </w:rPr>
              <w:t>Columbus Southern Power Company</w:t>
            </w:r>
          </w:p>
        </w:tc>
        <w:tc>
          <w:tcPr>
            <w:tcW w:w="2524" w:type="dxa"/>
            <w:hideMark/>
          </w:tcPr>
          <w:p w:rsidR="00023682" w:rsidRPr="00F644A9" w:rsidP="00815F78">
            <w:pPr>
              <w:rPr>
                <w:rFonts w:cs="Times New Roman"/>
                <w:szCs w:val="24"/>
              </w:rPr>
            </w:pPr>
            <w:r w:rsidRPr="00F644A9">
              <w:rPr>
                <w:rFonts w:cs="Times New Roman"/>
                <w:szCs w:val="24"/>
              </w:rPr>
              <w:t>10-0343-EL-ATA</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07"/>
        </w:trPr>
        <w:tc>
          <w:tcPr>
            <w:tcW w:w="5423" w:type="dxa"/>
            <w:hideMark/>
          </w:tcPr>
          <w:p w:rsidR="00023682" w:rsidRPr="00F644A9" w:rsidP="00815F78">
            <w:pPr>
              <w:rPr>
                <w:rFonts w:cs="Times New Roman"/>
                <w:szCs w:val="24"/>
              </w:rPr>
            </w:pPr>
            <w:r w:rsidRPr="00F644A9">
              <w:rPr>
                <w:rFonts w:cs="Times New Roman"/>
                <w:szCs w:val="24"/>
              </w:rPr>
              <w:t>Ohio Power Company</w:t>
            </w:r>
          </w:p>
        </w:tc>
        <w:tc>
          <w:tcPr>
            <w:tcW w:w="2524" w:type="dxa"/>
            <w:hideMark/>
          </w:tcPr>
          <w:p w:rsidR="00023682" w:rsidRPr="00F644A9" w:rsidP="00815F78">
            <w:pPr>
              <w:rPr>
                <w:rFonts w:cs="Times New Roman"/>
                <w:szCs w:val="24"/>
              </w:rPr>
            </w:pPr>
            <w:r w:rsidRPr="00F644A9">
              <w:rPr>
                <w:rFonts w:cs="Times New Roman"/>
                <w:szCs w:val="24"/>
              </w:rPr>
              <w:t>10-0344-EL-ATA</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31"/>
        </w:trPr>
        <w:tc>
          <w:tcPr>
            <w:tcW w:w="5423" w:type="dxa"/>
            <w:hideMark/>
          </w:tcPr>
          <w:p w:rsidR="00023682" w:rsidRPr="00F644A9" w:rsidP="00815F78">
            <w:pPr>
              <w:rPr>
                <w:rFonts w:cs="Times New Roman"/>
                <w:szCs w:val="24"/>
              </w:rPr>
            </w:pPr>
            <w:r w:rsidRPr="00F644A9">
              <w:rPr>
                <w:rFonts w:cs="Times New Roman"/>
                <w:szCs w:val="24"/>
              </w:rPr>
              <w:t>AEP Ohio</w:t>
            </w:r>
          </w:p>
        </w:tc>
        <w:tc>
          <w:tcPr>
            <w:tcW w:w="2524" w:type="dxa"/>
            <w:hideMark/>
          </w:tcPr>
          <w:p w:rsidR="00023682" w:rsidRPr="00F644A9" w:rsidP="00815F78">
            <w:pPr>
              <w:rPr>
                <w:rFonts w:cs="Times New Roman"/>
                <w:szCs w:val="24"/>
              </w:rPr>
            </w:pPr>
            <w:r w:rsidRPr="00F644A9">
              <w:rPr>
                <w:rFonts w:cs="Times New Roman"/>
                <w:szCs w:val="24"/>
              </w:rPr>
              <w:t>10-2376-EL-UNC</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25"/>
        </w:trPr>
        <w:tc>
          <w:tcPr>
            <w:tcW w:w="5423" w:type="dxa"/>
            <w:hideMark/>
          </w:tcPr>
          <w:p w:rsidR="00023682" w:rsidRPr="00F644A9" w:rsidP="00815F78">
            <w:pPr>
              <w:rPr>
                <w:rFonts w:cs="Times New Roman"/>
                <w:szCs w:val="24"/>
              </w:rPr>
            </w:pPr>
            <w:r w:rsidRPr="00F644A9">
              <w:rPr>
                <w:rFonts w:cs="Times New Roman"/>
                <w:szCs w:val="24"/>
              </w:rPr>
              <w:t>AEP Ohio</w:t>
            </w:r>
          </w:p>
        </w:tc>
        <w:tc>
          <w:tcPr>
            <w:tcW w:w="2524" w:type="dxa"/>
            <w:hideMark/>
          </w:tcPr>
          <w:p w:rsidR="00023682" w:rsidRPr="00F644A9" w:rsidP="00815F78">
            <w:pPr>
              <w:rPr>
                <w:rFonts w:cs="Times New Roman"/>
                <w:szCs w:val="24"/>
              </w:rPr>
            </w:pPr>
            <w:r w:rsidRPr="00F644A9">
              <w:rPr>
                <w:rFonts w:cs="Times New Roman"/>
                <w:szCs w:val="24"/>
              </w:rPr>
              <w:t>10-2929-EL-UNC</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43"/>
        </w:trPr>
        <w:tc>
          <w:tcPr>
            <w:tcW w:w="5423" w:type="dxa"/>
            <w:hideMark/>
          </w:tcPr>
          <w:p w:rsidR="00023682" w:rsidRPr="00F644A9" w:rsidP="00815F78">
            <w:pPr>
              <w:rPr>
                <w:rFonts w:cs="Times New Roman"/>
                <w:szCs w:val="24"/>
              </w:rPr>
            </w:pPr>
            <w:r w:rsidRPr="00F644A9">
              <w:rPr>
                <w:rFonts w:cs="Times New Roman"/>
                <w:szCs w:val="24"/>
              </w:rPr>
              <w:t>AEP Ohio</w:t>
            </w:r>
          </w:p>
        </w:tc>
        <w:tc>
          <w:tcPr>
            <w:tcW w:w="2524" w:type="dxa"/>
            <w:hideMark/>
          </w:tcPr>
          <w:p w:rsidR="00023682" w:rsidRPr="00F644A9" w:rsidP="00815F78">
            <w:pPr>
              <w:rPr>
                <w:rFonts w:cs="Times New Roman"/>
                <w:szCs w:val="24"/>
              </w:rPr>
            </w:pPr>
            <w:r w:rsidRPr="00F644A9">
              <w:rPr>
                <w:rFonts w:cs="Times New Roman"/>
                <w:szCs w:val="24"/>
              </w:rPr>
              <w:t>11-4921-EL-RDR</w:t>
            </w:r>
          </w:p>
        </w:tc>
        <w:tc>
          <w:tcPr>
            <w:tcW w:w="1644" w:type="dxa"/>
            <w:hideMark/>
          </w:tcPr>
          <w:p w:rsidR="00023682" w:rsidRPr="00F644A9" w:rsidP="00815F78">
            <w:pPr>
              <w:rPr>
                <w:rFonts w:cs="Times New Roman"/>
                <w:szCs w:val="24"/>
              </w:rPr>
            </w:pPr>
            <w:r w:rsidRPr="00F644A9">
              <w:rPr>
                <w:rFonts w:cs="Times New Roman"/>
                <w:szCs w:val="24"/>
              </w:rPr>
              <w:t>2011</w:t>
            </w:r>
          </w:p>
        </w:tc>
      </w:tr>
      <w:tr w:rsidTr="00815F78">
        <w:tblPrEx>
          <w:tblW w:w="9591" w:type="dxa"/>
          <w:tblLook w:val="04A0"/>
        </w:tblPrEx>
        <w:trPr>
          <w:trHeight w:val="337"/>
        </w:trPr>
        <w:tc>
          <w:tcPr>
            <w:tcW w:w="5423" w:type="dxa"/>
            <w:hideMark/>
          </w:tcPr>
          <w:p w:rsidR="00023682" w:rsidRPr="00F644A9" w:rsidP="00815F78">
            <w:pPr>
              <w:rPr>
                <w:rFonts w:cs="Times New Roman"/>
                <w:szCs w:val="24"/>
              </w:rPr>
            </w:pPr>
            <w:r w:rsidRPr="00F644A9">
              <w:rPr>
                <w:rFonts w:cs="Times New Roman"/>
                <w:szCs w:val="24"/>
              </w:rPr>
              <w:t>FirstEnergy</w:t>
            </w:r>
          </w:p>
        </w:tc>
        <w:tc>
          <w:tcPr>
            <w:tcW w:w="2524" w:type="dxa"/>
            <w:hideMark/>
          </w:tcPr>
          <w:p w:rsidR="00023682" w:rsidRPr="00F644A9" w:rsidP="00815F78">
            <w:pPr>
              <w:rPr>
                <w:rFonts w:cs="Times New Roman"/>
                <w:szCs w:val="24"/>
              </w:rPr>
            </w:pPr>
            <w:r w:rsidRPr="00F644A9">
              <w:rPr>
                <w:rFonts w:cs="Times New Roman"/>
                <w:szCs w:val="24"/>
              </w:rPr>
              <w:t>12-1230-EL-SSO</w:t>
            </w:r>
          </w:p>
        </w:tc>
        <w:tc>
          <w:tcPr>
            <w:tcW w:w="1644" w:type="dxa"/>
            <w:hideMark/>
          </w:tcPr>
          <w:p w:rsidR="00023682" w:rsidRPr="00F644A9" w:rsidP="00815F78">
            <w:pPr>
              <w:rPr>
                <w:rFonts w:cs="Times New Roman"/>
                <w:szCs w:val="24"/>
              </w:rPr>
            </w:pPr>
            <w:r w:rsidRPr="00F644A9">
              <w:rPr>
                <w:rFonts w:cs="Times New Roman"/>
                <w:szCs w:val="24"/>
              </w:rPr>
              <w:t>2012</w:t>
            </w:r>
          </w:p>
        </w:tc>
      </w:tr>
      <w:tr w:rsidTr="00815F78">
        <w:tblPrEx>
          <w:tblW w:w="9591" w:type="dxa"/>
          <w:tblLook w:val="04A0"/>
        </w:tblPrEx>
        <w:trPr>
          <w:trHeight w:val="286"/>
        </w:trPr>
        <w:tc>
          <w:tcPr>
            <w:tcW w:w="5423" w:type="dxa"/>
            <w:hideMark/>
          </w:tcPr>
          <w:p w:rsidR="00023682" w:rsidRPr="00F644A9" w:rsidP="00815F78">
            <w:pPr>
              <w:rPr>
                <w:rFonts w:cs="Times New Roman"/>
                <w:szCs w:val="24"/>
              </w:rPr>
            </w:pPr>
            <w:r w:rsidRPr="00F644A9">
              <w:rPr>
                <w:rFonts w:cs="Times New Roman"/>
                <w:szCs w:val="24"/>
              </w:rPr>
              <w:t>AEP Ohio</w:t>
            </w:r>
          </w:p>
          <w:p w:rsidR="00023682" w:rsidRPr="00F644A9" w:rsidP="00815F78">
            <w:pPr>
              <w:rPr>
                <w:rFonts w:cs="Times New Roman"/>
                <w:szCs w:val="24"/>
              </w:rPr>
            </w:pPr>
            <w:r w:rsidRPr="00F644A9">
              <w:rPr>
                <w:rFonts w:cs="Times New Roman"/>
                <w:szCs w:val="24"/>
              </w:rPr>
              <w:t>Aqua</w:t>
            </w:r>
          </w:p>
        </w:tc>
        <w:tc>
          <w:tcPr>
            <w:tcW w:w="2524" w:type="dxa"/>
            <w:hideMark/>
          </w:tcPr>
          <w:p w:rsidR="00023682" w:rsidRPr="00F644A9" w:rsidP="00815F78">
            <w:pPr>
              <w:rPr>
                <w:rFonts w:cs="Times New Roman"/>
                <w:szCs w:val="24"/>
              </w:rPr>
            </w:pPr>
            <w:r w:rsidRPr="00F644A9">
              <w:rPr>
                <w:rFonts w:cs="Times New Roman"/>
                <w:szCs w:val="24"/>
              </w:rPr>
              <w:t>14-1693-EL-RDR</w:t>
            </w:r>
          </w:p>
          <w:p w:rsidR="00023682" w:rsidRPr="00F644A9" w:rsidP="00815F78">
            <w:pPr>
              <w:rPr>
                <w:rFonts w:cs="Times New Roman"/>
                <w:szCs w:val="24"/>
              </w:rPr>
            </w:pPr>
            <w:r w:rsidRPr="00F644A9">
              <w:rPr>
                <w:rFonts w:cs="Times New Roman"/>
                <w:szCs w:val="24"/>
              </w:rPr>
              <w:t>16-0907-WW-AIR</w:t>
            </w:r>
          </w:p>
        </w:tc>
        <w:tc>
          <w:tcPr>
            <w:tcW w:w="1644" w:type="dxa"/>
          </w:tcPr>
          <w:p w:rsidR="00023682" w:rsidRPr="00F644A9" w:rsidP="00815F78">
            <w:pPr>
              <w:rPr>
                <w:rFonts w:cs="Times New Roman"/>
                <w:szCs w:val="24"/>
              </w:rPr>
            </w:pPr>
            <w:r w:rsidRPr="00F644A9">
              <w:rPr>
                <w:rFonts w:cs="Times New Roman"/>
                <w:szCs w:val="24"/>
              </w:rPr>
              <w:t>2015</w:t>
            </w:r>
          </w:p>
          <w:p w:rsidR="00023682" w:rsidRPr="00F644A9" w:rsidP="00815F78">
            <w:pPr>
              <w:rPr>
                <w:rFonts w:cs="Times New Roman"/>
                <w:szCs w:val="24"/>
              </w:rPr>
            </w:pPr>
            <w:r w:rsidRPr="00F644A9">
              <w:rPr>
                <w:rFonts w:cs="Times New Roman"/>
                <w:szCs w:val="24"/>
              </w:rPr>
              <w:t>2016</w:t>
            </w:r>
          </w:p>
          <w:p w:rsidR="00023682" w:rsidRPr="00F644A9" w:rsidP="00815F78">
            <w:pPr>
              <w:rPr>
                <w:rFonts w:cs="Times New Roman"/>
                <w:szCs w:val="24"/>
              </w:rPr>
            </w:pPr>
          </w:p>
        </w:tc>
      </w:tr>
    </w:tbl>
    <w:p w:rsidR="00023682" w:rsidP="00EE664D">
      <w:pPr>
        <w:spacing w:line="480" w:lineRule="auto"/>
        <w:ind w:right="-90"/>
        <w:rPr>
          <w:rFonts w:ascii="Times New Roman" w:hAnsi="Times New Roman" w:cs="Times New Roman"/>
          <w:sz w:val="24"/>
          <w:szCs w:val="24"/>
        </w:rPr>
      </w:pPr>
    </w:p>
    <w:p w:rsidR="00023682" w:rsidP="00EE664D">
      <w:pPr>
        <w:spacing w:line="480" w:lineRule="auto"/>
        <w:ind w:right="-90"/>
        <w:rPr>
          <w:rFonts w:ascii="Times New Roman" w:hAnsi="Times New Roman" w:cs="Times New Roman"/>
          <w:sz w:val="24"/>
          <w:szCs w:val="24"/>
        </w:rPr>
      </w:pPr>
    </w:p>
    <w:p w:rsidR="00023682" w:rsidP="00EE664D">
      <w:pPr>
        <w:spacing w:line="480" w:lineRule="auto"/>
        <w:ind w:right="-90"/>
        <w:rPr>
          <w:rFonts w:ascii="Times New Roman" w:hAnsi="Times New Roman" w:cs="Times New Roman"/>
          <w:sz w:val="24"/>
          <w:szCs w:val="24"/>
        </w:rPr>
        <w:sectPr w:rsidSect="00310B4D">
          <w:headerReference w:type="even" r:id="rId12"/>
          <w:headerReference w:type="default" r:id="rId13"/>
          <w:footerReference w:type="default" r:id="rId14"/>
          <w:headerReference w:type="first" r:id="rId15"/>
          <w:pgSz w:w="12240" w:h="15840"/>
          <w:pgMar w:top="720" w:right="720" w:bottom="720" w:left="720" w:header="720" w:footer="720" w:gutter="0"/>
          <w:cols w:space="720"/>
          <w:docGrid w:linePitch="360"/>
        </w:sectPr>
      </w:pPr>
    </w:p>
    <w:p w:rsidR="00306114" w:rsidRPr="00F644A9" w:rsidP="00EE664D">
      <w:pPr>
        <w:spacing w:line="480" w:lineRule="auto"/>
        <w:ind w:right="-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06009" cy="8801100"/>
            <wp:effectExtent l="0" t="0" r="0" b="0"/>
            <wp:docPr id="4" name="Picture 4" descr="S:\CC-2990 - DP&amp;L Rate Case - 16-395-EL-SSO\Final Testimony 3.29.17\Fortney Attachment RBF-2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2990 - DP&amp;L Rate Case - 16-395-EL-SSO\Final Testimony 3.29.17\Fortney Attachment RBF-2_Page_01.jp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1369" cy="8808031"/>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5" name="Picture 5" descr="S:\CC-2990 - DP&amp;L Rate Case - 16-395-EL-SSO\Final Testimony 3.29.17\Fortney Attachment RBF-2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C-2990 - DP&amp;L Rate Case - 16-395-EL-SSO\Final Testimony 3.29.17\Fortney Attachment RBF-2_Page_02.jpg"/>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6" name="Picture 6" descr="S:\CC-2990 - DP&amp;L Rate Case - 16-395-EL-SSO\Final Testimony 3.29.17\Fortney Attachment RBF-2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C-2990 - DP&amp;L Rate Case - 16-395-EL-SSO\Final Testimony 3.29.17\Fortney Attachment RBF-2_Page_03.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7" name="Picture 7" descr="S:\CC-2990 - DP&amp;L Rate Case - 16-395-EL-SSO\Final Testimony 3.29.17\Fortney Attachment RBF-2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C-2990 - DP&amp;L Rate Case - 16-395-EL-SSO\Final Testimony 3.29.17\Fortney Attachment RBF-2_Page_04.jpg"/>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8" name="Picture 8" descr="S:\CC-2990 - DP&amp;L Rate Case - 16-395-EL-SSO\Final Testimony 3.29.17\Fortney Attachment RBF-2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C-2990 - DP&amp;L Rate Case - 16-395-EL-SSO\Final Testimony 3.29.17\Fortney Attachment RBF-2_Page_05.jpg"/>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9" name="Picture 9" descr="S:\CC-2990 - DP&amp;L Rate Case - 16-395-EL-SSO\Final Testimony 3.29.17\Fortney Attachment RBF-2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C-2990 - DP&amp;L Rate Case - 16-395-EL-SSO\Final Testimony 3.29.17\Fortney Attachment RBF-2_Page_06.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0" name="Picture 10" descr="S:\CC-2990 - DP&amp;L Rate Case - 16-395-EL-SSO\Final Testimony 3.29.17\Fortney Attachment RBF-2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2990 - DP&amp;L Rate Case - 16-395-EL-SSO\Final Testimony 3.29.17\Fortney Attachment RBF-2_Page_07.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1" name="Picture 11" descr="S:\CC-2990 - DP&amp;L Rate Case - 16-395-EL-SSO\Final Testimony 3.29.17\Fortney Attachment RBF-2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C-2990 - DP&amp;L Rate Case - 16-395-EL-SSO\Final Testimony 3.29.17\Fortney Attachment RBF-2_Page_08.jp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2" name="Picture 12" descr="S:\CC-2990 - DP&amp;L Rate Case - 16-395-EL-SSO\Final Testimony 3.29.17\Fortney Attachment RBF-2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C-2990 - DP&amp;L Rate Case - 16-395-EL-SSO\Final Testimony 3.29.17\Fortney Attachment RBF-2_Page_09.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3" name="Picture 13" descr="S:\CC-2990 - DP&amp;L Rate Case - 16-395-EL-SSO\Final Testimony 3.29.17\Fortney Attachment RBF-2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C-2990 - DP&amp;L Rate Case - 16-395-EL-SSO\Final Testimony 3.29.17\Fortney Attachment RBF-2_Page_10.jpg"/>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4" name="Picture 14" descr="S:\CC-2990 - DP&amp;L Rate Case - 16-395-EL-SSO\Final Testimony 3.29.17\Fortney Attachment RBF-2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C-2990 - DP&amp;L Rate Case - 16-395-EL-SSO\Final Testimony 3.29.17\Fortney Attachment RBF-2_Page_11.jp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5" name="Picture 15" descr="S:\CC-2990 - DP&amp;L Rate Case - 16-395-EL-SSO\Final Testimony 3.29.17\Fortney Attachment RBF-2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C-2990 - DP&amp;L Rate Case - 16-395-EL-SSO\Final Testimony 3.29.17\Fortney Attachment RBF-2_Page_12.jp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6" name="Picture 16" descr="S:\CC-2990 - DP&amp;L Rate Case - 16-395-EL-SSO\Final Testimony 3.29.17\Fortney Attachment RBF-2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C-2990 - DP&amp;L Rate Case - 16-395-EL-SSO\Final Testimony 3.29.17\Fortney Attachment RBF-2_Page_13.jp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7" name="Picture 17" descr="S:\CC-2990 - DP&amp;L Rate Case - 16-395-EL-SSO\Final Testimony 3.29.17\Fortney Attachment RBF-2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C-2990 - DP&amp;L Rate Case - 16-395-EL-SSO\Final Testimony 3.29.17\Fortney Attachment RBF-2_Page_14.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6812280" cy="8805672"/>
            <wp:effectExtent l="0" t="0" r="7620" b="0"/>
            <wp:docPr id="18" name="Picture 18" descr="S:\CC-2990 - DP&amp;L Rate Case - 16-395-EL-SSO\Final Testimony 3.29.17\Fortney Attachment RBF-2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C-2990 - DP&amp;L Rate Case - 16-395-EL-SSO\Final Testimony 3.29.17\Fortney Attachment RBF-2_Page_15.jpg"/>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812280" cy="8805672"/>
                    </a:xfrm>
                    <a:prstGeom prst="rect">
                      <a:avLst/>
                    </a:prstGeom>
                    <a:noFill/>
                    <a:ln>
                      <a:noFill/>
                    </a:ln>
                  </pic:spPr>
                </pic:pic>
              </a:graphicData>
            </a:graphic>
          </wp:inline>
        </w:drawing>
      </w:r>
    </w:p>
    <w:sectPr w:rsidSect="00310B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rsidRPr="002E4469">
    <w:pPr>
      <w:pStyle w:val="Footer"/>
      <w:jc w:val="center"/>
    </w:pPr>
  </w:p>
  <w:p w:rsidR="00666AF4" w:rsidRPr="002E4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83143590"/>
      <w:docPartObj>
        <w:docPartGallery w:val="Page Numbers (Bottom of Page)"/>
        <w:docPartUnique/>
      </w:docPartObj>
    </w:sdtPr>
    <w:sdtEndPr>
      <w:rPr>
        <w:rFonts w:ascii="Times New Roman" w:hAnsi="Times New Roman" w:cs="Times New Roman"/>
        <w:noProof/>
        <w:sz w:val="24"/>
      </w:rPr>
    </w:sdtEndPr>
    <w:sdtContent>
      <w:p w:rsidR="00666AF4" w:rsidRPr="002E4469">
        <w:pPr>
          <w:pStyle w:val="Footer"/>
          <w:jc w:val="center"/>
          <w:rPr>
            <w:rFonts w:ascii="Times New Roman" w:hAnsi="Times New Roman" w:cs="Times New Roman"/>
            <w:sz w:val="24"/>
          </w:rPr>
        </w:pPr>
        <w:r w:rsidRPr="002E4469">
          <w:rPr>
            <w:rFonts w:ascii="Times New Roman" w:hAnsi="Times New Roman" w:cs="Times New Roman"/>
            <w:sz w:val="24"/>
          </w:rPr>
          <w:fldChar w:fldCharType="begin"/>
        </w:r>
        <w:r w:rsidRPr="002E4469">
          <w:rPr>
            <w:rFonts w:ascii="Times New Roman" w:hAnsi="Times New Roman" w:cs="Times New Roman"/>
            <w:sz w:val="24"/>
          </w:rPr>
          <w:instrText xml:space="preserve"> PAGE   \* MERGEFORMAT </w:instrText>
        </w:r>
        <w:r w:rsidRPr="002E4469">
          <w:rPr>
            <w:rFonts w:ascii="Times New Roman" w:hAnsi="Times New Roman" w:cs="Times New Roman"/>
            <w:sz w:val="24"/>
          </w:rPr>
          <w:fldChar w:fldCharType="separate"/>
        </w:r>
        <w:r w:rsidR="004E4BCB">
          <w:rPr>
            <w:rFonts w:ascii="Times New Roman" w:hAnsi="Times New Roman" w:cs="Times New Roman"/>
            <w:noProof/>
            <w:sz w:val="24"/>
          </w:rPr>
          <w:t>13</w:t>
        </w:r>
        <w:r w:rsidRPr="002E4469">
          <w:rPr>
            <w:rFonts w:ascii="Times New Roman" w:hAnsi="Times New Roman" w:cs="Times New Roman"/>
            <w:noProof/>
            <w:sz w:val="24"/>
          </w:rPr>
          <w:fldChar w:fldCharType="end"/>
        </w:r>
      </w:p>
    </w:sdtContent>
  </w:sdt>
  <w:p w:rsidR="00666AF4" w:rsidRPr="002E44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rsidRPr="002E4469">
    <w:pPr>
      <w:pStyle w:val="Footer"/>
      <w:jc w:val="center"/>
      <w:rPr>
        <w:rFonts w:ascii="Times New Roman" w:hAnsi="Times New Roman" w:cs="Times New Roman"/>
        <w:sz w:val="24"/>
        <w:szCs w:val="24"/>
      </w:rPr>
    </w:pPr>
  </w:p>
  <w:p w:rsidR="00666AF4" w:rsidRPr="002E44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rsidRPr="002E4469">
    <w:pPr>
      <w:pStyle w:val="Footer"/>
      <w:jc w:val="center"/>
      <w:rPr>
        <w:rFonts w:ascii="Times New Roman" w:hAnsi="Times New Roman" w:cs="Times New Roman"/>
        <w:sz w:val="24"/>
        <w:szCs w:val="24"/>
      </w:rPr>
    </w:pPr>
  </w:p>
  <w:p w:rsidR="00666AF4" w:rsidRPr="002E44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66AF4" w:rsidP="00306114">
      <w:pPr>
        <w:spacing w:after="0" w:line="240" w:lineRule="auto"/>
      </w:pPr>
      <w:r>
        <w:separator/>
      </w:r>
    </w:p>
  </w:footnote>
  <w:footnote w:type="continuationSeparator" w:id="1">
    <w:p w:rsidR="00666AF4" w:rsidP="00306114">
      <w:pPr>
        <w:spacing w:after="0" w:line="240" w:lineRule="auto"/>
      </w:pPr>
      <w:r>
        <w:continuationSeparator/>
      </w:r>
    </w:p>
  </w:footnote>
  <w:footnote w:id="2">
    <w:p w:rsidR="00666AF4" w:rsidRPr="00EA6C04" w:rsidP="00E60AD1">
      <w:pPr>
        <w:pStyle w:val="FootnoteText"/>
        <w:spacing w:after="120"/>
        <w:rPr>
          <w:rFonts w:ascii="Times New Roman" w:hAnsi="Times New Roman" w:cs="Times New Roman"/>
        </w:rPr>
      </w:pPr>
      <w:r w:rsidRPr="00EA6C04">
        <w:rPr>
          <w:rStyle w:val="FootnoteReference"/>
          <w:rFonts w:ascii="Times New Roman" w:hAnsi="Times New Roman" w:cs="Times New Roman"/>
        </w:rPr>
        <w:footnoteRef/>
      </w:r>
      <w:r w:rsidRPr="00EA6C04">
        <w:rPr>
          <w:rFonts w:ascii="Times New Roman" w:hAnsi="Times New Roman" w:cs="Times New Roman"/>
        </w:rPr>
        <w:t xml:space="preserve"> Stipulation at Section II.2.c.</w:t>
      </w:r>
    </w:p>
  </w:footnote>
  <w:footnote w:id="3">
    <w:p w:rsidR="00666AF4" w:rsidRPr="00EA6C04" w:rsidP="00E60AD1">
      <w:pPr>
        <w:pStyle w:val="FootnoteText"/>
        <w:spacing w:after="120"/>
        <w:rPr>
          <w:rFonts w:ascii="Times New Roman" w:hAnsi="Times New Roman" w:cs="Times New Roman"/>
        </w:rPr>
      </w:pPr>
      <w:r w:rsidRPr="00EA6C04">
        <w:rPr>
          <w:rStyle w:val="FootnoteReference"/>
          <w:rFonts w:ascii="Times New Roman" w:hAnsi="Times New Roman" w:cs="Times New Roman"/>
        </w:rPr>
        <w:footnoteRef/>
      </w:r>
      <w:r w:rsidRPr="00EA6C04">
        <w:rPr>
          <w:rFonts w:ascii="Times New Roman" w:hAnsi="Times New Roman" w:cs="Times New Roman"/>
        </w:rPr>
        <w:t xml:space="preserve"> Stipulation at Section II.2.c.</w:t>
      </w:r>
    </w:p>
  </w:footnote>
  <w:footnote w:id="4">
    <w:p w:rsidR="00666AF4" w:rsidRPr="00EA6C04" w:rsidP="00E60AD1">
      <w:pPr>
        <w:pStyle w:val="FootnoteText"/>
        <w:spacing w:after="120"/>
        <w:rPr>
          <w:rFonts w:ascii="Times New Roman" w:hAnsi="Times New Roman" w:cs="Times New Roman"/>
        </w:rPr>
      </w:pPr>
      <w:r w:rsidRPr="00EA6C04">
        <w:rPr>
          <w:rStyle w:val="FootnoteReference"/>
          <w:rFonts w:ascii="Times New Roman" w:hAnsi="Times New Roman" w:cs="Times New Roman"/>
        </w:rPr>
        <w:footnoteRef/>
      </w:r>
      <w:r w:rsidRPr="00EA6C04">
        <w:rPr>
          <w:rFonts w:ascii="Times New Roman" w:hAnsi="Times New Roman" w:cs="Times New Roman"/>
        </w:rPr>
        <w:t xml:space="preserve"> </w:t>
      </w:r>
      <w:r>
        <w:rPr>
          <w:rFonts w:ascii="Times New Roman" w:hAnsi="Times New Roman" w:cs="Times New Roman"/>
        </w:rPr>
        <w:t>Amended Stipulation at page</w:t>
      </w:r>
      <w:r w:rsidRPr="00EA6C04">
        <w:rPr>
          <w:rFonts w:ascii="Times New Roman" w:hAnsi="Times New Roman" w:cs="Times New Roman"/>
        </w:rPr>
        <w:t xml:space="preserve">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rsidP="007C2798">
    <w:pPr>
      <w:pStyle w:val="Header"/>
      <w:jc w:val="center"/>
      <w:rPr>
        <w:rFonts w:ascii="Times New Roman" w:hAnsi="Times New Roman" w:cs="Times New Roman"/>
        <w:i/>
        <w:sz w:val="20"/>
      </w:rPr>
    </w:pPr>
    <w:r w:rsidRPr="00F644A9">
      <w:rPr>
        <w:rFonts w:ascii="Times New Roman" w:hAnsi="Times New Roman" w:cs="Times New Roman"/>
        <w:i/>
        <w:sz w:val="20"/>
      </w:rPr>
      <w:t>Direct Testimony of Robert B. Fortney</w:t>
    </w:r>
  </w:p>
  <w:p w:rsidR="00666AF4" w:rsidRPr="00F644A9" w:rsidP="007C2798">
    <w:pPr>
      <w:pStyle w:val="Header"/>
      <w:jc w:val="center"/>
      <w:rPr>
        <w:rFonts w:ascii="Times New Roman" w:hAnsi="Times New Roman" w:cs="Times New Roman"/>
        <w:i/>
        <w:sz w:val="20"/>
      </w:rPr>
    </w:pPr>
    <w:r w:rsidRPr="00F644A9">
      <w:rPr>
        <w:rFonts w:ascii="Times New Roman" w:hAnsi="Times New Roman" w:cs="Times New Roman"/>
        <w:i/>
        <w:sz w:val="20"/>
      </w:rPr>
      <w:t xml:space="preserve">On Behalf of </w:t>
    </w:r>
    <w:r>
      <w:rPr>
        <w:rFonts w:ascii="Times New Roman" w:hAnsi="Times New Roman" w:cs="Times New Roman"/>
        <w:i/>
        <w:sz w:val="20"/>
      </w:rPr>
      <w:t>T</w:t>
    </w:r>
    <w:r w:rsidRPr="00F644A9">
      <w:rPr>
        <w:rFonts w:ascii="Times New Roman" w:hAnsi="Times New Roman" w:cs="Times New Roman"/>
        <w:i/>
        <w:sz w:val="20"/>
      </w:rPr>
      <w:t>he Office of the Ohio Consumers’ Counsel</w:t>
    </w:r>
  </w:p>
  <w:p w:rsidR="00666AF4" w:rsidRPr="00F644A9" w:rsidP="007C2798">
    <w:pPr>
      <w:pStyle w:val="Header"/>
      <w:jc w:val="center"/>
      <w:rPr>
        <w:rFonts w:ascii="Times New Roman" w:hAnsi="Times New Roman" w:cs="Times New Roman"/>
        <w:i/>
        <w:sz w:val="20"/>
      </w:rPr>
    </w:pPr>
    <w:r w:rsidRPr="00F644A9">
      <w:rPr>
        <w:rFonts w:ascii="Times New Roman" w:hAnsi="Times New Roman" w:cs="Times New Roman"/>
        <w:i/>
        <w:sz w:val="20"/>
      </w:rPr>
      <w:t>PUCO Case Nos. 16-0395-EL-SSO, et al.</w:t>
    </w:r>
  </w:p>
  <w:p w:rsidR="00666AF4" w:rsidRPr="00F644A9">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rsidRPr="00F644A9">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6A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03267A"/>
    <w:multiLevelType w:val="multilevel"/>
    <w:tmpl w:val="95AC852E"/>
    <w:styleLink w:val="List1"/>
    <w:lvl w:ilvl="0">
      <w:start w:val="1"/>
      <w:numFmt w:val="decimal"/>
      <w:lvlText w:val="%1."/>
      <w:lvlJc w:val="left"/>
      <w:rPr>
        <w:position w:val="0"/>
        <w:rtl w:val="0"/>
      </w:rPr>
    </w:lvl>
    <w:lvl w:ilvl="1">
      <w:start w:val="3"/>
      <w:numFmt w:val="upperRoman"/>
      <w:lvlText w:val="%2."/>
      <w:lvlJc w:val="left"/>
      <w:pPr>
        <w:ind w:left="720" w:hanging="720"/>
      </w:pPr>
      <w:rPr>
        <w:rFonts w:cstheme="majorBidi" w:hint="default"/>
      </w:rPr>
    </w:lvl>
    <w:lvl w:ilvl="2">
      <w:start w:val="1"/>
      <w:numFmt w:val="bullet"/>
      <w:lvlText w:val="-"/>
      <w:lvlJc w:val="left"/>
      <w:pPr>
        <w:ind w:left="360" w:hanging="360"/>
      </w:pPr>
      <w:rPr>
        <w:rFonts w:ascii="Times New Roman" w:eastAsia="Arial Unicode MS" w:hAnsi="Times New Roman" w:cs="Times New Roman" w:hint="default"/>
        <w:b/>
        <w:i/>
      </w:rPr>
    </w:lvl>
    <w:lvl w:ilvl="3">
      <w:start w:val="1"/>
      <w:numFmt w:val="bullet"/>
      <w:lvlText w:val="-"/>
      <w:lvlJc w:val="left"/>
      <w:pPr>
        <w:ind w:left="360" w:hanging="360"/>
      </w:pPr>
      <w:rPr>
        <w:rFonts w:ascii="Times New Roman" w:eastAsia="Arial Unicode MS" w:hAnsi="Times New Roman" w:cs="Times New Roman" w:hint="default"/>
        <w:b/>
        <w:i/>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num w:numId="1">
    <w:abstractNumId w:val="0"/>
    <w:lvlOverride w:ilvl="0">
      <w:lvl w:ilvl="0">
        <w:start w:val="1"/>
        <w:numFmt w:val="decimal"/>
        <w:lvlText w:val="%1."/>
        <w:lvlJc w:val="left"/>
        <w:pPr>
          <w:ind w:left="360" w:hanging="360"/>
        </w:pPr>
        <w:rPr>
          <w:rFonts w:hint="default"/>
          <w:sz w:val="24"/>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114"/>
  </w:style>
  <w:style w:type="paragraph" w:styleId="Footer">
    <w:name w:val="footer"/>
    <w:basedOn w:val="Normal"/>
    <w:link w:val="FooterChar"/>
    <w:uiPriority w:val="99"/>
    <w:unhideWhenUsed/>
    <w:rsid w:val="00306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114"/>
  </w:style>
  <w:style w:type="character" w:styleId="LineNumber">
    <w:name w:val="line number"/>
    <w:basedOn w:val="DefaultParagraphFont"/>
    <w:uiPriority w:val="99"/>
    <w:semiHidden/>
    <w:unhideWhenUsed/>
    <w:rsid w:val="00E00669"/>
    <w:rPr>
      <w:rFonts w:ascii="Times New Roman" w:hAnsi="Times New Roman"/>
      <w:sz w:val="20"/>
    </w:rPr>
  </w:style>
  <w:style w:type="table" w:styleId="TableGrid">
    <w:name w:val="Table Grid"/>
    <w:basedOn w:val="TableNormal"/>
    <w:rsid w:val="0030611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Footnote Text Char Char4 Char,Footnote Text Char Char4 Char1 Char Char,Footnote Text Char2,Footnote Text Char4 Char,Footnote Text Char4 Char1 Char Char,Footnote Text Char5 Char1 Char Char Char Char Char"/>
    <w:basedOn w:val="Normal"/>
    <w:link w:val="FootnoteTextChar"/>
    <w:unhideWhenUsed/>
    <w:rsid w:val="00306114"/>
    <w:pPr>
      <w:spacing w:after="0" w:line="240" w:lineRule="auto"/>
    </w:pPr>
    <w:rPr>
      <w:sz w:val="20"/>
      <w:szCs w:val="20"/>
    </w:rPr>
  </w:style>
  <w:style w:type="character" w:customStyle="1" w:styleId="FootnoteTextChar">
    <w:name w:val="Footnote Text Char"/>
    <w:aliases w:val="Footnote Text Cha Char,Footnote Text Char Char4 Char Char,Footnote Text Char Char4 Char1 Char Char Char,Footnote Text Char2 Char,Footnote Text Char4 Char Char,Footnote Text Char4 Char1 Char Char Char"/>
    <w:basedOn w:val="DefaultParagraphFont"/>
    <w:link w:val="FootnoteText"/>
    <w:uiPriority w:val="99"/>
    <w:rsid w:val="00306114"/>
    <w:rPr>
      <w:sz w:val="20"/>
      <w:szCs w:val="20"/>
    </w:rPr>
  </w:style>
  <w:style w:type="character" w:styleId="FootnoteReference">
    <w:name w:val="footnote reference"/>
    <w:aliases w:val="(NECG) Footnote Reference,Appel note de bas de p,Style 11,Style 12,Style 124,Style 13,Style 15,Style 17,Style 18,Style 19,Style 20,Style 21,Style 28,Style 3,Style 4,Style 42,Style 7,Style 8,Style 9,fr,fr1,fr2,fr3,o,o1,o2,o3"/>
    <w:basedOn w:val="DefaultParagraphFont"/>
    <w:uiPriority w:val="99"/>
    <w:unhideWhenUsed/>
    <w:rsid w:val="00306114"/>
    <w:rPr>
      <w:vertAlign w:val="superscript"/>
    </w:rPr>
  </w:style>
  <w:style w:type="paragraph" w:styleId="EndnoteText">
    <w:name w:val="endnote text"/>
    <w:basedOn w:val="Normal"/>
    <w:link w:val="EndnoteTextChar"/>
    <w:semiHidden/>
    <w:rsid w:val="00F644A9"/>
    <w:pPr>
      <w:widowControl w:val="0"/>
      <w:spacing w:after="0" w:line="240" w:lineRule="auto"/>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semiHidden/>
    <w:rsid w:val="00F644A9"/>
    <w:rPr>
      <w:rFonts w:ascii="Courier New" w:eastAsia="Times New Roman" w:hAnsi="Courier New" w:cs="Times New Roman"/>
      <w:snapToGrid w:val="0"/>
      <w:sz w:val="24"/>
      <w:szCs w:val="20"/>
    </w:rPr>
  </w:style>
  <w:style w:type="paragraph" w:styleId="BalloonText">
    <w:name w:val="Balloon Text"/>
    <w:basedOn w:val="Normal"/>
    <w:link w:val="BalloonTextChar"/>
    <w:uiPriority w:val="99"/>
    <w:semiHidden/>
    <w:unhideWhenUsed/>
    <w:rsid w:val="002C6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60D"/>
    <w:rPr>
      <w:rFonts w:ascii="Tahoma" w:hAnsi="Tahoma" w:cs="Tahoma"/>
      <w:sz w:val="16"/>
      <w:szCs w:val="16"/>
    </w:rPr>
  </w:style>
  <w:style w:type="character" w:styleId="CommentReference">
    <w:name w:val="annotation reference"/>
    <w:basedOn w:val="DefaultParagraphFont"/>
    <w:uiPriority w:val="99"/>
    <w:semiHidden/>
    <w:unhideWhenUsed/>
    <w:rsid w:val="0034288C"/>
    <w:rPr>
      <w:sz w:val="16"/>
      <w:szCs w:val="16"/>
    </w:rPr>
  </w:style>
  <w:style w:type="paragraph" w:styleId="CommentText">
    <w:name w:val="annotation text"/>
    <w:basedOn w:val="Normal"/>
    <w:link w:val="CommentTextChar"/>
    <w:uiPriority w:val="99"/>
    <w:semiHidden/>
    <w:unhideWhenUsed/>
    <w:rsid w:val="0034288C"/>
    <w:pPr>
      <w:spacing w:line="240" w:lineRule="auto"/>
    </w:pPr>
    <w:rPr>
      <w:sz w:val="20"/>
      <w:szCs w:val="20"/>
    </w:rPr>
  </w:style>
  <w:style w:type="character" w:customStyle="1" w:styleId="CommentTextChar">
    <w:name w:val="Comment Text Char"/>
    <w:basedOn w:val="DefaultParagraphFont"/>
    <w:link w:val="CommentText"/>
    <w:uiPriority w:val="99"/>
    <w:semiHidden/>
    <w:rsid w:val="0034288C"/>
    <w:rPr>
      <w:sz w:val="20"/>
      <w:szCs w:val="20"/>
    </w:rPr>
  </w:style>
  <w:style w:type="paragraph" w:styleId="CommentSubject">
    <w:name w:val="annotation subject"/>
    <w:basedOn w:val="CommentText"/>
    <w:next w:val="CommentText"/>
    <w:link w:val="CommentSubjectChar"/>
    <w:uiPriority w:val="99"/>
    <w:semiHidden/>
    <w:unhideWhenUsed/>
    <w:rsid w:val="0034288C"/>
    <w:rPr>
      <w:b/>
      <w:bCs/>
    </w:rPr>
  </w:style>
  <w:style w:type="character" w:customStyle="1" w:styleId="CommentSubjectChar">
    <w:name w:val="Comment Subject Char"/>
    <w:basedOn w:val="CommentTextChar"/>
    <w:link w:val="CommentSubject"/>
    <w:uiPriority w:val="99"/>
    <w:semiHidden/>
    <w:rsid w:val="0034288C"/>
    <w:rPr>
      <w:b/>
      <w:bCs/>
      <w:sz w:val="20"/>
      <w:szCs w:val="20"/>
    </w:rPr>
  </w:style>
  <w:style w:type="paragraph" w:customStyle="1" w:styleId="DirectQuestion">
    <w:name w:val="Direct Question"/>
    <w:next w:val="Normal"/>
    <w:rsid w:val="009D2A5A"/>
    <w:pPr>
      <w:pBdr>
        <w:top w:val="nil"/>
        <w:left w:val="nil"/>
        <w:bottom w:val="nil"/>
        <w:right w:val="nil"/>
        <w:between w:val="nil"/>
        <w:bar w:val="nil"/>
      </w:pBdr>
      <w:tabs>
        <w:tab w:val="left" w:pos="1440"/>
      </w:tabs>
      <w:spacing w:after="0" w:line="480" w:lineRule="auto"/>
      <w:ind w:left="1440" w:hanging="1440"/>
    </w:pPr>
    <w:rPr>
      <w:rFonts w:ascii="Times New Roman" w:eastAsia="Arial Unicode MS" w:hAnsi="Arial Unicode MS" w:cs="Arial Unicode MS"/>
      <w:b/>
      <w:bCs/>
      <w:i/>
      <w:iCs/>
      <w:caps/>
      <w:color w:val="000000"/>
      <w:sz w:val="24"/>
      <w:szCs w:val="24"/>
      <w:u w:color="000000"/>
      <w:bdr w:val="nil"/>
    </w:rPr>
  </w:style>
  <w:style w:type="paragraph" w:customStyle="1" w:styleId="DirectAnswer">
    <w:name w:val="Direct Answer"/>
    <w:next w:val="DirectNext"/>
    <w:rsid w:val="009D2A5A"/>
    <w:pPr>
      <w:pBdr>
        <w:top w:val="nil"/>
        <w:left w:val="nil"/>
        <w:bottom w:val="nil"/>
        <w:right w:val="nil"/>
        <w:between w:val="nil"/>
        <w:bar w:val="nil"/>
      </w:pBdr>
      <w:spacing w:after="0" w:line="480" w:lineRule="auto"/>
      <w:ind w:left="720" w:hanging="720"/>
    </w:pPr>
    <w:rPr>
      <w:rFonts w:ascii="Times New Roman" w:eastAsia="Arial Unicode MS" w:hAnsi="Arial Unicode MS" w:cs="Arial Unicode MS"/>
      <w:color w:val="000000"/>
      <w:sz w:val="24"/>
      <w:szCs w:val="24"/>
      <w:u w:color="000000"/>
      <w:bdr w:val="nil"/>
    </w:rPr>
  </w:style>
  <w:style w:type="paragraph" w:customStyle="1" w:styleId="DirectNext">
    <w:name w:val="Direct Next"/>
    <w:rsid w:val="009D2A5A"/>
    <w:pPr>
      <w:pBdr>
        <w:top w:val="nil"/>
        <w:left w:val="nil"/>
        <w:bottom w:val="nil"/>
        <w:right w:val="nil"/>
        <w:between w:val="nil"/>
        <w:bar w:val="nil"/>
      </w:pBdr>
      <w:spacing w:after="0" w:line="504" w:lineRule="exact"/>
      <w:ind w:left="720"/>
    </w:pPr>
    <w:rPr>
      <w:rFonts w:ascii="Times New Roman" w:eastAsia="Arial Unicode MS" w:hAnsi="Arial Unicode MS" w:cs="Arial Unicode MS"/>
      <w:color w:val="000000"/>
      <w:sz w:val="24"/>
      <w:szCs w:val="24"/>
      <w:u w:color="000000"/>
      <w:bdr w:val="nil"/>
    </w:rPr>
  </w:style>
  <w:style w:type="numbering" w:customStyle="1" w:styleId="List1">
    <w:name w:val="List 1"/>
    <w:basedOn w:val="NoList"/>
    <w:rsid w:val="009D2A5A"/>
    <w:pPr>
      <w:numPr>
        <w:numId w:val="2"/>
      </w:numPr>
    </w:pPr>
  </w:style>
  <w:style w:type="paragraph" w:styleId="ListParagraph">
    <w:name w:val="List Paragraph"/>
    <w:rsid w:val="009D2A5A"/>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character" w:styleId="Hyperlink">
    <w:name w:val="Hyperlink"/>
    <w:basedOn w:val="DefaultParagraphFont"/>
    <w:uiPriority w:val="99"/>
    <w:unhideWhenUsed/>
    <w:rsid w:val="00FD24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1" Type="http://schemas.openxmlformats.org/officeDocument/2006/relationships/footer" Target="footer3.xml" /><Relationship Id="rId12" Type="http://schemas.openxmlformats.org/officeDocument/2006/relationships/header" Target="header5.xml" /><Relationship Id="rId13" Type="http://schemas.openxmlformats.org/officeDocument/2006/relationships/header" Target="header6.xml" /><Relationship Id="rId14" Type="http://schemas.openxmlformats.org/officeDocument/2006/relationships/footer" Target="footer4.xml" /><Relationship Id="rId15" Type="http://schemas.openxmlformats.org/officeDocument/2006/relationships/header" Target="header7.xml" /><Relationship Id="rId16" Type="http://schemas.openxmlformats.org/officeDocument/2006/relationships/image" Target="media/image1.jpeg" /><Relationship Id="rId17" Type="http://schemas.openxmlformats.org/officeDocument/2006/relationships/image" Target="media/image2.jpeg" /><Relationship Id="rId18" Type="http://schemas.openxmlformats.org/officeDocument/2006/relationships/image" Target="media/image3.jpeg" /><Relationship Id="rId19" Type="http://schemas.openxmlformats.org/officeDocument/2006/relationships/image" Target="media/image4.jpeg" /><Relationship Id="rId2" Type="http://schemas.openxmlformats.org/officeDocument/2006/relationships/settings" Target="setting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jpeg" /><Relationship Id="rId3" Type="http://schemas.openxmlformats.org/officeDocument/2006/relationships/webSettings" Target="webSettings.xml" /><Relationship Id="rId30" Type="http://schemas.openxmlformats.org/officeDocument/2006/relationships/image" Target="media/image15.jpeg"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footer" Target="footer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3765</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2017-03-29T16:15:55Z</dcterms:created>
  <dcterms:modified xsi:type="dcterms:W3CDTF">2017-03-29T16:15:55Z</dcterms:modified>
</cp:coreProperties>
</file>