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3D" w:rsidRPr="00B97AFE" w:rsidRDefault="000C183D" w:rsidP="000C183D">
      <w:pPr>
        <w:jc w:val="center"/>
        <w:rPr>
          <w:rFonts w:ascii="Arial Bold" w:hAnsi="Arial Bold"/>
          <w:b/>
          <w:smallCaps/>
          <w:sz w:val="28"/>
          <w:szCs w:val="28"/>
        </w:rPr>
      </w:pPr>
      <w:r w:rsidRPr="00B97AFE">
        <w:rPr>
          <w:rFonts w:ascii="Arial Bold" w:hAnsi="Arial Bold"/>
          <w:b/>
          <w:smallCaps/>
          <w:sz w:val="28"/>
          <w:szCs w:val="28"/>
        </w:rPr>
        <w:t>Before</w:t>
      </w:r>
    </w:p>
    <w:p w:rsidR="000C183D" w:rsidRPr="00B97AFE" w:rsidRDefault="000C183D" w:rsidP="000C183D">
      <w:pPr>
        <w:jc w:val="center"/>
        <w:rPr>
          <w:rFonts w:ascii="Arial Bold" w:hAnsi="Arial Bold"/>
          <w:smallCaps/>
          <w:sz w:val="28"/>
          <w:szCs w:val="28"/>
        </w:rPr>
      </w:pPr>
      <w:r w:rsidRPr="00B97AFE">
        <w:rPr>
          <w:rFonts w:ascii="Arial Bold" w:hAnsi="Arial Bold"/>
          <w:b/>
          <w:smallCaps/>
          <w:sz w:val="28"/>
          <w:szCs w:val="28"/>
        </w:rPr>
        <w:t>The Public Utilities Commission of Ohio</w:t>
      </w:r>
    </w:p>
    <w:p w:rsidR="000C183D" w:rsidRDefault="000C183D" w:rsidP="000C183D"/>
    <w:p w:rsidR="000C183D" w:rsidRDefault="000C183D" w:rsidP="000C183D"/>
    <w:p w:rsidR="000C183D" w:rsidRPr="00FD114E" w:rsidRDefault="000C183D" w:rsidP="000C183D">
      <w:pPr>
        <w:tabs>
          <w:tab w:val="left" w:pos="4680"/>
          <w:tab w:val="left" w:pos="5220"/>
        </w:tabs>
        <w:autoSpaceDE w:val="0"/>
        <w:autoSpaceDN w:val="0"/>
        <w:adjustRightInd w:val="0"/>
        <w:rPr>
          <w:rFonts w:cs="Arial"/>
        </w:rPr>
      </w:pPr>
      <w:r w:rsidRPr="00FD114E">
        <w:rPr>
          <w:rFonts w:cs="Arial"/>
        </w:rPr>
        <w:t>In the Matter of the Commission</w:t>
      </w:r>
      <w:r>
        <w:rPr>
          <w:rFonts w:cs="Arial"/>
        </w:rPr>
        <w:t>’</w:t>
      </w:r>
      <w:r w:rsidRPr="00FD114E">
        <w:rPr>
          <w:rFonts w:cs="Arial"/>
        </w:rPr>
        <w:t>s Review</w:t>
      </w:r>
      <w:r>
        <w:rPr>
          <w:rFonts w:cs="Arial"/>
        </w:rPr>
        <w:tab/>
        <w:t>)</w:t>
      </w:r>
    </w:p>
    <w:p w:rsidR="000C183D" w:rsidRPr="00FD114E" w:rsidRDefault="000C183D" w:rsidP="000C183D">
      <w:pPr>
        <w:tabs>
          <w:tab w:val="left" w:pos="4680"/>
          <w:tab w:val="left" w:pos="5220"/>
        </w:tabs>
        <w:autoSpaceDE w:val="0"/>
        <w:autoSpaceDN w:val="0"/>
        <w:adjustRightInd w:val="0"/>
        <w:rPr>
          <w:rFonts w:cs="Arial"/>
        </w:rPr>
      </w:pPr>
      <w:r w:rsidRPr="00FD114E">
        <w:rPr>
          <w:rFonts w:cs="Arial"/>
        </w:rPr>
        <w:t>of Customer Rate Impacts from Ohio</w:t>
      </w:r>
      <w:r>
        <w:rPr>
          <w:rFonts w:cs="Arial"/>
        </w:rPr>
        <w:tab/>
        <w:t>)</w:t>
      </w:r>
      <w:r>
        <w:rPr>
          <w:rFonts w:cs="Arial"/>
        </w:rPr>
        <w:tab/>
        <w:t>Case No. 13-1530-EL-UNC</w:t>
      </w:r>
    </w:p>
    <w:p w:rsidR="000C183D" w:rsidRPr="00FD114E" w:rsidRDefault="000C183D" w:rsidP="000C183D">
      <w:pPr>
        <w:tabs>
          <w:tab w:val="left" w:pos="4680"/>
          <w:tab w:val="left" w:pos="5220"/>
        </w:tabs>
        <w:autoSpaceDE w:val="0"/>
        <w:autoSpaceDN w:val="0"/>
        <w:adjustRightInd w:val="0"/>
        <w:rPr>
          <w:rFonts w:cs="Arial"/>
        </w:rPr>
      </w:pPr>
      <w:r w:rsidRPr="00FD114E">
        <w:rPr>
          <w:rFonts w:cs="Arial"/>
        </w:rPr>
        <w:t>Power Company</w:t>
      </w:r>
      <w:r>
        <w:rPr>
          <w:rFonts w:cs="Arial"/>
        </w:rPr>
        <w:t>’</w:t>
      </w:r>
      <w:r w:rsidRPr="00FD114E">
        <w:rPr>
          <w:rFonts w:cs="Arial"/>
        </w:rPr>
        <w:t>s Transition to Market</w:t>
      </w:r>
      <w:r>
        <w:rPr>
          <w:rFonts w:cs="Arial"/>
        </w:rPr>
        <w:tab/>
        <w:t>)</w:t>
      </w:r>
    </w:p>
    <w:p w:rsidR="000C183D" w:rsidRDefault="000C183D" w:rsidP="000C183D">
      <w:pPr>
        <w:tabs>
          <w:tab w:val="left" w:pos="4680"/>
          <w:tab w:val="left" w:pos="5220"/>
        </w:tabs>
        <w:autoSpaceDE w:val="0"/>
        <w:autoSpaceDN w:val="0"/>
        <w:adjustRightInd w:val="0"/>
      </w:pPr>
      <w:r w:rsidRPr="00FD114E">
        <w:rPr>
          <w:rFonts w:cs="Arial"/>
        </w:rPr>
        <w:t>Based Rates.</w:t>
      </w:r>
      <w:r>
        <w:rPr>
          <w:rFonts w:cs="Arial"/>
        </w:rPr>
        <w:tab/>
        <w:t>)</w:t>
      </w:r>
    </w:p>
    <w:p w:rsidR="000C183D" w:rsidRDefault="000C183D" w:rsidP="000C183D"/>
    <w:p w:rsidR="000C183D" w:rsidRDefault="000C183D" w:rsidP="000C183D"/>
    <w:p w:rsidR="000C183D" w:rsidRDefault="000C183D" w:rsidP="000C183D">
      <w:pPr>
        <w:pBdr>
          <w:top w:val="single" w:sz="12" w:space="1" w:color="auto"/>
        </w:pBdr>
        <w:jc w:val="center"/>
        <w:rPr>
          <w:b/>
        </w:rPr>
      </w:pPr>
    </w:p>
    <w:p w:rsidR="000C183D" w:rsidRPr="00013C0B" w:rsidRDefault="000C183D" w:rsidP="000C183D">
      <w:pPr>
        <w:jc w:val="center"/>
        <w:rPr>
          <w:rFonts w:ascii="Arial Bold" w:hAnsi="Arial Bold"/>
          <w:b/>
          <w:smallCaps/>
          <w:sz w:val="28"/>
          <w:szCs w:val="28"/>
        </w:rPr>
      </w:pPr>
      <w:r>
        <w:rPr>
          <w:rFonts w:ascii="Arial Bold" w:hAnsi="Arial Bold"/>
          <w:b/>
          <w:smallCaps/>
          <w:sz w:val="28"/>
          <w:szCs w:val="28"/>
        </w:rPr>
        <w:t xml:space="preserve">Reply </w:t>
      </w:r>
      <w:r w:rsidRPr="00013C0B">
        <w:rPr>
          <w:rFonts w:ascii="Arial Bold" w:hAnsi="Arial Bold"/>
          <w:b/>
          <w:smallCaps/>
          <w:sz w:val="28"/>
          <w:szCs w:val="28"/>
        </w:rPr>
        <w:t>Comments of the Industrial Energy Users-Ohio</w:t>
      </w:r>
    </w:p>
    <w:p w:rsidR="000C183D" w:rsidRPr="00CA02E6" w:rsidRDefault="000C183D" w:rsidP="000C183D">
      <w:pPr>
        <w:pBdr>
          <w:bottom w:val="single" w:sz="12" w:space="1" w:color="auto"/>
        </w:pBdr>
        <w:jc w:val="center"/>
        <w:rPr>
          <w:b/>
        </w:rPr>
      </w:pPr>
    </w:p>
    <w:p w:rsidR="000C183D" w:rsidRDefault="000C183D" w:rsidP="000C183D"/>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Default="000C183D" w:rsidP="000C183D">
      <w:pPr>
        <w:tabs>
          <w:tab w:val="left" w:pos="4320"/>
          <w:tab w:val="right" w:pos="8640"/>
        </w:tabs>
        <w:ind w:left="4320"/>
        <w:rPr>
          <w:rFonts w:cs="Arial"/>
        </w:rPr>
      </w:pPr>
    </w:p>
    <w:p w:rsidR="000C183D" w:rsidRPr="000C183D" w:rsidRDefault="000C183D" w:rsidP="000C183D">
      <w:pPr>
        <w:tabs>
          <w:tab w:val="left" w:pos="4320"/>
          <w:tab w:val="right" w:pos="8640"/>
        </w:tabs>
        <w:ind w:left="4320"/>
        <w:rPr>
          <w:rFonts w:cs="Arial"/>
        </w:rPr>
      </w:pPr>
      <w:r w:rsidRPr="000C183D">
        <w:rPr>
          <w:rFonts w:cs="Arial"/>
        </w:rPr>
        <w:t>Samuel C. Randazzo (Counsel of Record)</w:t>
      </w:r>
    </w:p>
    <w:p w:rsidR="000C183D" w:rsidRPr="000C183D" w:rsidRDefault="000C183D" w:rsidP="000C183D">
      <w:pPr>
        <w:pStyle w:val="BodyText3"/>
        <w:widowControl w:val="0"/>
        <w:tabs>
          <w:tab w:val="left" w:pos="4320"/>
        </w:tabs>
        <w:spacing w:after="0"/>
        <w:jc w:val="both"/>
        <w:rPr>
          <w:rFonts w:cs="Arial"/>
          <w:b/>
          <w:bCs/>
          <w:sz w:val="24"/>
          <w:szCs w:val="24"/>
        </w:rPr>
      </w:pPr>
      <w:r w:rsidRPr="000C183D">
        <w:rPr>
          <w:rFonts w:cs="Arial"/>
          <w:bCs/>
          <w:sz w:val="24"/>
          <w:szCs w:val="24"/>
        </w:rPr>
        <w:tab/>
        <w:t>Frank P. Darr</w:t>
      </w:r>
    </w:p>
    <w:p w:rsidR="000C183D" w:rsidRPr="000C183D" w:rsidRDefault="000C183D" w:rsidP="000C183D">
      <w:pPr>
        <w:pStyle w:val="BodyText3"/>
        <w:widowControl w:val="0"/>
        <w:tabs>
          <w:tab w:val="left" w:pos="4320"/>
        </w:tabs>
        <w:spacing w:after="0"/>
        <w:ind w:left="4320"/>
        <w:jc w:val="both"/>
        <w:rPr>
          <w:rFonts w:cs="Arial"/>
          <w:b/>
          <w:bCs/>
          <w:sz w:val="24"/>
          <w:szCs w:val="24"/>
        </w:rPr>
      </w:pPr>
      <w:r w:rsidRPr="000C183D">
        <w:rPr>
          <w:rFonts w:cs="Arial"/>
          <w:bCs/>
          <w:sz w:val="24"/>
          <w:szCs w:val="24"/>
        </w:rPr>
        <w:t>Joseph E. Oliker</w:t>
      </w:r>
    </w:p>
    <w:p w:rsidR="000C183D" w:rsidRPr="000C183D" w:rsidRDefault="000C183D" w:rsidP="000C183D">
      <w:pPr>
        <w:pStyle w:val="BodyText3"/>
        <w:widowControl w:val="0"/>
        <w:tabs>
          <w:tab w:val="left" w:pos="4320"/>
        </w:tabs>
        <w:spacing w:after="0"/>
        <w:ind w:left="4320"/>
        <w:jc w:val="both"/>
        <w:rPr>
          <w:rFonts w:cs="Arial"/>
          <w:b/>
          <w:bCs/>
          <w:sz w:val="24"/>
          <w:szCs w:val="24"/>
        </w:rPr>
      </w:pPr>
      <w:r w:rsidRPr="000C183D">
        <w:rPr>
          <w:rFonts w:cs="Arial"/>
          <w:bCs/>
          <w:sz w:val="24"/>
          <w:szCs w:val="24"/>
        </w:rPr>
        <w:t>Matthew R. Pritchard</w:t>
      </w:r>
    </w:p>
    <w:p w:rsidR="000C183D" w:rsidRPr="000C183D" w:rsidRDefault="000C183D" w:rsidP="000C183D">
      <w:pPr>
        <w:pStyle w:val="BodyText3"/>
        <w:widowControl w:val="0"/>
        <w:tabs>
          <w:tab w:val="left" w:pos="4320"/>
        </w:tabs>
        <w:spacing w:after="0"/>
        <w:ind w:left="4320"/>
        <w:jc w:val="both"/>
        <w:rPr>
          <w:rFonts w:cs="Arial"/>
          <w:b/>
          <w:bCs/>
          <w:smallCaps/>
          <w:sz w:val="24"/>
          <w:szCs w:val="24"/>
        </w:rPr>
      </w:pPr>
      <w:r w:rsidRPr="000C183D">
        <w:rPr>
          <w:rFonts w:cs="Arial"/>
          <w:bCs/>
          <w:smallCaps/>
          <w:sz w:val="24"/>
          <w:szCs w:val="24"/>
        </w:rPr>
        <w:t>McNees Wallace &amp; Nurick LLC</w:t>
      </w:r>
    </w:p>
    <w:p w:rsidR="000C183D" w:rsidRPr="000C183D" w:rsidRDefault="000C183D" w:rsidP="000C183D">
      <w:pPr>
        <w:pStyle w:val="BodyText3"/>
        <w:widowControl w:val="0"/>
        <w:tabs>
          <w:tab w:val="left" w:pos="4320"/>
        </w:tabs>
        <w:spacing w:after="0"/>
        <w:ind w:left="4320"/>
        <w:jc w:val="both"/>
        <w:rPr>
          <w:rFonts w:cs="Arial"/>
          <w:b/>
          <w:bCs/>
          <w:sz w:val="24"/>
          <w:szCs w:val="24"/>
        </w:rPr>
      </w:pPr>
      <w:r w:rsidRPr="000C183D">
        <w:rPr>
          <w:rFonts w:cs="Arial"/>
          <w:bCs/>
          <w:sz w:val="24"/>
          <w:szCs w:val="24"/>
        </w:rPr>
        <w:t>21 East State Street, 17</w:t>
      </w:r>
      <w:r w:rsidRPr="000C183D">
        <w:rPr>
          <w:rFonts w:cs="Arial"/>
          <w:bCs/>
          <w:sz w:val="24"/>
          <w:szCs w:val="24"/>
          <w:vertAlign w:val="superscript"/>
        </w:rPr>
        <w:t>TH</w:t>
      </w:r>
      <w:r w:rsidRPr="000C183D">
        <w:rPr>
          <w:rFonts w:cs="Arial"/>
          <w:bCs/>
          <w:sz w:val="24"/>
          <w:szCs w:val="24"/>
        </w:rPr>
        <w:t xml:space="preserve"> Floor</w:t>
      </w:r>
    </w:p>
    <w:p w:rsidR="000C183D" w:rsidRPr="000C183D" w:rsidRDefault="000C183D" w:rsidP="000C183D">
      <w:pPr>
        <w:pStyle w:val="BodyText"/>
        <w:tabs>
          <w:tab w:val="left" w:pos="4320"/>
        </w:tabs>
        <w:spacing w:after="0"/>
        <w:ind w:left="4320"/>
      </w:pPr>
      <w:r w:rsidRPr="000C183D">
        <w:t>Columbus, OH  43215</w:t>
      </w:r>
    </w:p>
    <w:p w:rsidR="000C183D" w:rsidRPr="000C183D" w:rsidRDefault="000C183D" w:rsidP="000C183D">
      <w:pPr>
        <w:pStyle w:val="BodyText"/>
        <w:tabs>
          <w:tab w:val="left" w:pos="4320"/>
        </w:tabs>
        <w:spacing w:after="0"/>
        <w:ind w:left="4320"/>
      </w:pPr>
      <w:r w:rsidRPr="000C183D">
        <w:t>Telephone:  (614) 469-8000</w:t>
      </w:r>
    </w:p>
    <w:p w:rsidR="000C183D" w:rsidRPr="000C183D" w:rsidRDefault="000C183D" w:rsidP="000C183D">
      <w:pPr>
        <w:pStyle w:val="BodyText"/>
        <w:tabs>
          <w:tab w:val="left" w:pos="4320"/>
        </w:tabs>
        <w:spacing w:after="0"/>
        <w:ind w:left="4320"/>
      </w:pPr>
      <w:r w:rsidRPr="000C183D">
        <w:t>Telecopier:  (614) 469-4653</w:t>
      </w:r>
    </w:p>
    <w:p w:rsidR="000C183D" w:rsidRPr="000C183D" w:rsidRDefault="000C183D" w:rsidP="000C183D">
      <w:pPr>
        <w:pStyle w:val="BodyText"/>
        <w:spacing w:after="0"/>
        <w:ind w:left="4320"/>
      </w:pPr>
      <w:r w:rsidRPr="000C183D">
        <w:t>sam@mwncmh.com</w:t>
      </w:r>
    </w:p>
    <w:p w:rsidR="000C183D" w:rsidRPr="000C183D" w:rsidRDefault="000C183D" w:rsidP="000C183D">
      <w:pPr>
        <w:pStyle w:val="BodyText"/>
        <w:spacing w:after="0"/>
        <w:ind w:left="4320"/>
      </w:pPr>
      <w:r w:rsidRPr="000C183D">
        <w:t>fdarr@mwncmh.com</w:t>
      </w:r>
    </w:p>
    <w:p w:rsidR="000C183D" w:rsidRPr="000C183D" w:rsidRDefault="000C183D" w:rsidP="000C183D">
      <w:pPr>
        <w:pStyle w:val="BodyText"/>
        <w:spacing w:after="0"/>
        <w:ind w:left="4320"/>
      </w:pPr>
      <w:r w:rsidRPr="000C183D">
        <w:t>joliker@mwncmh.com</w:t>
      </w:r>
    </w:p>
    <w:p w:rsidR="000C183D" w:rsidRPr="000C183D" w:rsidRDefault="000C183D" w:rsidP="000C183D">
      <w:pPr>
        <w:pStyle w:val="BodyText"/>
        <w:spacing w:after="0"/>
        <w:ind w:left="4320"/>
      </w:pPr>
      <w:r w:rsidRPr="000C183D">
        <w:t>mpritchard@mwncmh.com</w:t>
      </w:r>
    </w:p>
    <w:p w:rsidR="000C183D" w:rsidRPr="000C183D" w:rsidRDefault="000C183D" w:rsidP="000C183D">
      <w:pPr>
        <w:pStyle w:val="BodyText"/>
        <w:spacing w:after="0"/>
      </w:pPr>
    </w:p>
    <w:p w:rsidR="000C183D" w:rsidRPr="000C183D" w:rsidRDefault="000C183D" w:rsidP="000C183D">
      <w:pPr>
        <w:pStyle w:val="Title"/>
        <w:spacing w:after="0" w:line="240" w:lineRule="auto"/>
        <w:ind w:left="4320" w:hanging="4320"/>
        <w:jc w:val="left"/>
        <w:rPr>
          <w:smallCaps/>
          <w:sz w:val="24"/>
          <w:szCs w:val="24"/>
        </w:rPr>
      </w:pPr>
      <w:r>
        <w:rPr>
          <w:b/>
          <w:sz w:val="24"/>
          <w:szCs w:val="24"/>
        </w:rPr>
        <w:t>September 6</w:t>
      </w:r>
      <w:r w:rsidRPr="000C183D">
        <w:rPr>
          <w:b/>
          <w:sz w:val="24"/>
          <w:szCs w:val="24"/>
        </w:rPr>
        <w:t>, 2013</w:t>
      </w:r>
      <w:r w:rsidRPr="000C183D">
        <w:rPr>
          <w:sz w:val="24"/>
          <w:szCs w:val="24"/>
        </w:rPr>
        <w:tab/>
      </w:r>
      <w:r w:rsidRPr="000C183D">
        <w:rPr>
          <w:b/>
          <w:sz w:val="24"/>
          <w:szCs w:val="24"/>
        </w:rPr>
        <w:t>Attorneys for Industrial Energy Users-Ohio</w:t>
      </w:r>
    </w:p>
    <w:p w:rsidR="000C183D" w:rsidRDefault="000C183D" w:rsidP="00FD114E">
      <w:pPr>
        <w:jc w:val="center"/>
        <w:rPr>
          <w:rFonts w:ascii="Arial Bold" w:hAnsi="Arial Bold"/>
          <w:b/>
          <w:smallCaps/>
        </w:rPr>
        <w:sectPr w:rsidR="000C183D" w:rsidSect="00B97A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sdt>
      <w:sdtPr>
        <w:rPr>
          <w:rFonts w:ascii="Arial" w:eastAsiaTheme="minorHAnsi" w:hAnsi="Arial" w:cstheme="minorBidi"/>
          <w:b w:val="0"/>
          <w:bCs w:val="0"/>
          <w:color w:val="auto"/>
          <w:sz w:val="24"/>
          <w:szCs w:val="24"/>
          <w:lang w:eastAsia="en-US"/>
        </w:rPr>
        <w:id w:val="885058798"/>
        <w:docPartObj>
          <w:docPartGallery w:val="Table of Contents"/>
          <w:docPartUnique/>
        </w:docPartObj>
      </w:sdtPr>
      <w:sdtEndPr>
        <w:rPr>
          <w:noProof/>
        </w:rPr>
      </w:sdtEndPr>
      <w:sdtContent>
        <w:p w:rsidR="000C183D" w:rsidRDefault="000C183D" w:rsidP="000C183D">
          <w:pPr>
            <w:pStyle w:val="TOCHeading"/>
            <w:jc w:val="center"/>
            <w:rPr>
              <w:rFonts w:ascii="Arial Bold" w:hAnsi="Arial Bold" w:cs="Arial"/>
              <w:smallCaps/>
              <w:color w:val="000000" w:themeColor="text1"/>
              <w:u w:val="single"/>
            </w:rPr>
          </w:pPr>
          <w:r w:rsidRPr="000C183D">
            <w:rPr>
              <w:rFonts w:ascii="Arial Bold" w:hAnsi="Arial Bold" w:cs="Arial"/>
              <w:smallCaps/>
              <w:color w:val="000000" w:themeColor="text1"/>
              <w:u w:val="single"/>
            </w:rPr>
            <w:t>Table of Contents</w:t>
          </w:r>
        </w:p>
        <w:p w:rsidR="000C183D" w:rsidRPr="000C183D" w:rsidRDefault="000C183D" w:rsidP="000C183D">
          <w:pPr>
            <w:rPr>
              <w:lang w:eastAsia="ja-JP"/>
            </w:rPr>
          </w:pPr>
        </w:p>
        <w:p w:rsidR="000C183D" w:rsidRDefault="000C183D" w:rsidP="000C183D">
          <w:pPr>
            <w:pStyle w:val="TOC1"/>
            <w:rPr>
              <w:noProof/>
            </w:rPr>
          </w:pPr>
          <w:r>
            <w:fldChar w:fldCharType="begin"/>
          </w:r>
          <w:r>
            <w:instrText xml:space="preserve"> TOC \o "1-3" \h \z \u </w:instrText>
          </w:r>
          <w:r>
            <w:fldChar w:fldCharType="separate"/>
          </w:r>
          <w:hyperlink w:anchor="_Toc366232149" w:history="1">
            <w:r w:rsidRPr="00705930">
              <w:rPr>
                <w:rStyle w:val="Hyperlink"/>
                <w:noProof/>
              </w:rPr>
              <w:t>I.</w:t>
            </w:r>
            <w:r>
              <w:rPr>
                <w:noProof/>
              </w:rPr>
              <w:tab/>
            </w:r>
            <w:r w:rsidRPr="00705930">
              <w:rPr>
                <w:rStyle w:val="Hyperlink"/>
                <w:noProof/>
              </w:rPr>
              <w:t>BACKGROUND</w:t>
            </w:r>
            <w:r>
              <w:rPr>
                <w:noProof/>
                <w:webHidden/>
              </w:rPr>
              <w:tab/>
            </w:r>
            <w:r>
              <w:rPr>
                <w:noProof/>
                <w:webHidden/>
              </w:rPr>
              <w:fldChar w:fldCharType="begin"/>
            </w:r>
            <w:r>
              <w:rPr>
                <w:noProof/>
                <w:webHidden/>
              </w:rPr>
              <w:instrText xml:space="preserve"> PAGEREF _Toc366232149 \h </w:instrText>
            </w:r>
            <w:r>
              <w:rPr>
                <w:noProof/>
                <w:webHidden/>
              </w:rPr>
            </w:r>
            <w:r>
              <w:rPr>
                <w:noProof/>
                <w:webHidden/>
              </w:rPr>
              <w:fldChar w:fldCharType="separate"/>
            </w:r>
            <w:r w:rsidR="00925527">
              <w:rPr>
                <w:noProof/>
                <w:webHidden/>
              </w:rPr>
              <w:t>1</w:t>
            </w:r>
            <w:r>
              <w:rPr>
                <w:noProof/>
                <w:webHidden/>
              </w:rPr>
              <w:fldChar w:fldCharType="end"/>
            </w:r>
          </w:hyperlink>
        </w:p>
        <w:p w:rsidR="000C183D" w:rsidRDefault="008A6572" w:rsidP="000C183D">
          <w:pPr>
            <w:pStyle w:val="TOC1"/>
            <w:rPr>
              <w:noProof/>
            </w:rPr>
          </w:pPr>
          <w:hyperlink w:anchor="_Toc366232150" w:history="1">
            <w:r w:rsidR="000C183D" w:rsidRPr="00705930">
              <w:rPr>
                <w:rStyle w:val="Hyperlink"/>
                <w:noProof/>
              </w:rPr>
              <w:t>II.</w:t>
            </w:r>
            <w:r w:rsidR="000C183D">
              <w:rPr>
                <w:noProof/>
              </w:rPr>
              <w:tab/>
            </w:r>
            <w:r w:rsidR="000C183D" w:rsidRPr="00705930">
              <w:rPr>
                <w:rStyle w:val="Hyperlink"/>
                <w:noProof/>
              </w:rPr>
              <w:t xml:space="preserve">REPLY </w:t>
            </w:r>
            <w:r w:rsidR="00511BCF" w:rsidRPr="00705930">
              <w:rPr>
                <w:rStyle w:val="Hyperlink"/>
                <w:noProof/>
              </w:rPr>
              <w:t>COMMENTS</w:t>
            </w:r>
            <w:r w:rsidR="000C183D">
              <w:rPr>
                <w:noProof/>
                <w:webHidden/>
              </w:rPr>
              <w:tab/>
            </w:r>
            <w:r w:rsidR="000C183D">
              <w:rPr>
                <w:noProof/>
                <w:webHidden/>
              </w:rPr>
              <w:fldChar w:fldCharType="begin"/>
            </w:r>
            <w:r w:rsidR="000C183D">
              <w:rPr>
                <w:noProof/>
                <w:webHidden/>
              </w:rPr>
              <w:instrText xml:space="preserve"> PAGEREF _Toc366232150 \h </w:instrText>
            </w:r>
            <w:r w:rsidR="000C183D">
              <w:rPr>
                <w:noProof/>
                <w:webHidden/>
              </w:rPr>
            </w:r>
            <w:r w:rsidR="000C183D">
              <w:rPr>
                <w:noProof/>
                <w:webHidden/>
              </w:rPr>
              <w:fldChar w:fldCharType="separate"/>
            </w:r>
            <w:r w:rsidR="00925527">
              <w:rPr>
                <w:noProof/>
                <w:webHidden/>
              </w:rPr>
              <w:t>7</w:t>
            </w:r>
            <w:r w:rsidR="000C183D">
              <w:rPr>
                <w:noProof/>
                <w:webHidden/>
              </w:rPr>
              <w:fldChar w:fldCharType="end"/>
            </w:r>
          </w:hyperlink>
        </w:p>
        <w:p w:rsidR="000C183D" w:rsidRDefault="008A6572" w:rsidP="000C183D">
          <w:pPr>
            <w:pStyle w:val="TOC2"/>
            <w:rPr>
              <w:noProof/>
            </w:rPr>
          </w:pPr>
          <w:hyperlink w:anchor="_Toc366232151" w:history="1">
            <w:r w:rsidR="000C183D" w:rsidRPr="00705930">
              <w:rPr>
                <w:rStyle w:val="Hyperlink"/>
                <w:noProof/>
              </w:rPr>
              <w:t>A.</w:t>
            </w:r>
            <w:r w:rsidR="000C183D">
              <w:rPr>
                <w:noProof/>
              </w:rPr>
              <w:tab/>
            </w:r>
            <w:r w:rsidR="000C183D" w:rsidRPr="00705930">
              <w:rPr>
                <w:rStyle w:val="Hyperlink"/>
                <w:noProof/>
              </w:rPr>
              <w:t>Ohio Power Company</w:t>
            </w:r>
            <w:r w:rsidR="000C183D">
              <w:rPr>
                <w:noProof/>
                <w:webHidden/>
              </w:rPr>
              <w:tab/>
            </w:r>
            <w:r w:rsidR="000C183D">
              <w:rPr>
                <w:noProof/>
                <w:webHidden/>
              </w:rPr>
              <w:fldChar w:fldCharType="begin"/>
            </w:r>
            <w:r w:rsidR="000C183D">
              <w:rPr>
                <w:noProof/>
                <w:webHidden/>
              </w:rPr>
              <w:instrText xml:space="preserve"> PAGEREF _Toc366232151 \h </w:instrText>
            </w:r>
            <w:r w:rsidR="000C183D">
              <w:rPr>
                <w:noProof/>
                <w:webHidden/>
              </w:rPr>
            </w:r>
            <w:r w:rsidR="000C183D">
              <w:rPr>
                <w:noProof/>
                <w:webHidden/>
              </w:rPr>
              <w:fldChar w:fldCharType="separate"/>
            </w:r>
            <w:r w:rsidR="00925527">
              <w:rPr>
                <w:noProof/>
                <w:webHidden/>
              </w:rPr>
              <w:t>7</w:t>
            </w:r>
            <w:r w:rsidR="000C183D">
              <w:rPr>
                <w:noProof/>
                <w:webHidden/>
              </w:rPr>
              <w:fldChar w:fldCharType="end"/>
            </w:r>
          </w:hyperlink>
        </w:p>
        <w:p w:rsidR="000C183D" w:rsidRDefault="008A6572" w:rsidP="000C183D">
          <w:pPr>
            <w:pStyle w:val="TOC2"/>
            <w:rPr>
              <w:noProof/>
            </w:rPr>
          </w:pPr>
          <w:hyperlink w:anchor="_Toc366232152" w:history="1">
            <w:r w:rsidR="000C183D" w:rsidRPr="00705930">
              <w:rPr>
                <w:rStyle w:val="Hyperlink"/>
                <w:noProof/>
              </w:rPr>
              <w:t>B.</w:t>
            </w:r>
            <w:r w:rsidR="000C183D">
              <w:rPr>
                <w:noProof/>
              </w:rPr>
              <w:tab/>
            </w:r>
            <w:r w:rsidR="000C183D" w:rsidRPr="00705930">
              <w:rPr>
                <w:rStyle w:val="Hyperlink"/>
                <w:noProof/>
              </w:rPr>
              <w:t>Staff of the Public Utilities Commission of Ohio</w:t>
            </w:r>
            <w:r w:rsidR="000C183D">
              <w:rPr>
                <w:noProof/>
                <w:webHidden/>
              </w:rPr>
              <w:tab/>
            </w:r>
            <w:r w:rsidR="000C183D">
              <w:rPr>
                <w:noProof/>
                <w:webHidden/>
              </w:rPr>
              <w:fldChar w:fldCharType="begin"/>
            </w:r>
            <w:r w:rsidR="000C183D">
              <w:rPr>
                <w:noProof/>
                <w:webHidden/>
              </w:rPr>
              <w:instrText xml:space="preserve"> PAGEREF _Toc366232152 \h </w:instrText>
            </w:r>
            <w:r w:rsidR="000C183D">
              <w:rPr>
                <w:noProof/>
                <w:webHidden/>
              </w:rPr>
            </w:r>
            <w:r w:rsidR="000C183D">
              <w:rPr>
                <w:noProof/>
                <w:webHidden/>
              </w:rPr>
              <w:fldChar w:fldCharType="separate"/>
            </w:r>
            <w:r w:rsidR="00925527">
              <w:rPr>
                <w:noProof/>
                <w:webHidden/>
              </w:rPr>
              <w:t>10</w:t>
            </w:r>
            <w:r w:rsidR="000C183D">
              <w:rPr>
                <w:noProof/>
                <w:webHidden/>
              </w:rPr>
              <w:fldChar w:fldCharType="end"/>
            </w:r>
          </w:hyperlink>
        </w:p>
        <w:p w:rsidR="000C183D" w:rsidRDefault="008A6572" w:rsidP="000C183D">
          <w:pPr>
            <w:pStyle w:val="TOC1"/>
            <w:rPr>
              <w:noProof/>
            </w:rPr>
          </w:pPr>
          <w:hyperlink w:anchor="_Toc366232153" w:history="1">
            <w:r w:rsidR="000C183D" w:rsidRPr="00705930">
              <w:rPr>
                <w:rStyle w:val="Hyperlink"/>
                <w:noProof/>
              </w:rPr>
              <w:t>III.</w:t>
            </w:r>
            <w:r w:rsidR="000C183D">
              <w:rPr>
                <w:noProof/>
              </w:rPr>
              <w:tab/>
            </w:r>
            <w:r w:rsidR="000C183D" w:rsidRPr="00705930">
              <w:rPr>
                <w:rStyle w:val="Hyperlink"/>
                <w:noProof/>
              </w:rPr>
              <w:t>CONCLUSION</w:t>
            </w:r>
            <w:r w:rsidR="000C183D">
              <w:rPr>
                <w:noProof/>
                <w:webHidden/>
              </w:rPr>
              <w:tab/>
            </w:r>
            <w:r w:rsidR="000C183D">
              <w:rPr>
                <w:noProof/>
                <w:webHidden/>
              </w:rPr>
              <w:fldChar w:fldCharType="begin"/>
            </w:r>
            <w:r w:rsidR="000C183D">
              <w:rPr>
                <w:noProof/>
                <w:webHidden/>
              </w:rPr>
              <w:instrText xml:space="preserve"> PAGEREF _Toc366232153 \h </w:instrText>
            </w:r>
            <w:r w:rsidR="000C183D">
              <w:rPr>
                <w:noProof/>
                <w:webHidden/>
              </w:rPr>
            </w:r>
            <w:r w:rsidR="000C183D">
              <w:rPr>
                <w:noProof/>
                <w:webHidden/>
              </w:rPr>
              <w:fldChar w:fldCharType="separate"/>
            </w:r>
            <w:r w:rsidR="00925527">
              <w:rPr>
                <w:noProof/>
                <w:webHidden/>
              </w:rPr>
              <w:t>11</w:t>
            </w:r>
            <w:r w:rsidR="000C183D">
              <w:rPr>
                <w:noProof/>
                <w:webHidden/>
              </w:rPr>
              <w:fldChar w:fldCharType="end"/>
            </w:r>
          </w:hyperlink>
        </w:p>
        <w:p w:rsidR="000C183D" w:rsidRDefault="000C183D">
          <w:r>
            <w:rPr>
              <w:b/>
              <w:bCs/>
              <w:noProof/>
            </w:rPr>
            <w:fldChar w:fldCharType="end"/>
          </w:r>
        </w:p>
      </w:sdtContent>
    </w:sdt>
    <w:p w:rsidR="000C183D" w:rsidRPr="000C183D" w:rsidRDefault="000C183D" w:rsidP="00FD114E">
      <w:pPr>
        <w:jc w:val="center"/>
        <w:rPr>
          <w:rFonts w:ascii="Arial Bold" w:hAnsi="Arial Bold"/>
          <w:b/>
          <w:smallCaps/>
        </w:rPr>
        <w:sectPr w:rsidR="000C183D" w:rsidRPr="000C183D" w:rsidSect="000C183D">
          <w:pgSz w:w="12240" w:h="15840" w:code="1"/>
          <w:pgMar w:top="1440" w:right="1440" w:bottom="1440" w:left="1440" w:header="720" w:footer="720" w:gutter="0"/>
          <w:pgNumType w:fmt="lowerRoman" w:start="1"/>
          <w:cols w:space="720"/>
          <w:docGrid w:linePitch="360"/>
        </w:sectPr>
      </w:pPr>
    </w:p>
    <w:p w:rsidR="008E3BF4" w:rsidRPr="00B97AFE" w:rsidRDefault="00B97AFE" w:rsidP="00FD114E">
      <w:pPr>
        <w:jc w:val="center"/>
        <w:rPr>
          <w:rFonts w:ascii="Arial Bold" w:hAnsi="Arial Bold"/>
          <w:b/>
          <w:smallCaps/>
          <w:sz w:val="28"/>
          <w:szCs w:val="28"/>
        </w:rPr>
      </w:pPr>
      <w:r w:rsidRPr="00B97AFE">
        <w:rPr>
          <w:rFonts w:ascii="Arial Bold" w:hAnsi="Arial Bold"/>
          <w:b/>
          <w:smallCaps/>
          <w:sz w:val="28"/>
          <w:szCs w:val="28"/>
        </w:rPr>
        <w:lastRenderedPageBreak/>
        <w:t>Before</w:t>
      </w:r>
    </w:p>
    <w:p w:rsidR="00FD114E" w:rsidRPr="00B97AFE" w:rsidRDefault="00B97AFE" w:rsidP="00FD114E">
      <w:pPr>
        <w:jc w:val="center"/>
        <w:rPr>
          <w:rFonts w:ascii="Arial Bold" w:hAnsi="Arial Bold"/>
          <w:smallCaps/>
          <w:sz w:val="28"/>
          <w:szCs w:val="28"/>
        </w:rPr>
      </w:pPr>
      <w:r w:rsidRPr="00B97AFE">
        <w:rPr>
          <w:rFonts w:ascii="Arial Bold" w:hAnsi="Arial Bold"/>
          <w:b/>
          <w:smallCaps/>
          <w:sz w:val="28"/>
          <w:szCs w:val="28"/>
        </w:rPr>
        <w:t>The Public Utilities Commission of Ohio</w:t>
      </w:r>
    </w:p>
    <w:p w:rsidR="00274E98" w:rsidRDefault="00274E98"/>
    <w:p w:rsidR="00274E98" w:rsidRDefault="00274E98"/>
    <w:p w:rsidR="00FD114E" w:rsidRPr="00FD114E" w:rsidRDefault="00FD114E" w:rsidP="00B97AFE">
      <w:pPr>
        <w:tabs>
          <w:tab w:val="left" w:pos="4680"/>
          <w:tab w:val="left" w:pos="5220"/>
        </w:tabs>
        <w:autoSpaceDE w:val="0"/>
        <w:autoSpaceDN w:val="0"/>
        <w:adjustRightInd w:val="0"/>
        <w:rPr>
          <w:rFonts w:cs="Arial"/>
        </w:rPr>
      </w:pPr>
      <w:r w:rsidRPr="00FD114E">
        <w:rPr>
          <w:rFonts w:cs="Arial"/>
        </w:rPr>
        <w:t>In the Matter of the Commission</w:t>
      </w:r>
      <w:r w:rsidR="003E1F72">
        <w:rPr>
          <w:rFonts w:cs="Arial"/>
        </w:rPr>
        <w:t>’</w:t>
      </w:r>
      <w:r w:rsidRPr="00FD114E">
        <w:rPr>
          <w:rFonts w:cs="Arial"/>
        </w:rPr>
        <w:t>s Review</w:t>
      </w:r>
      <w:r>
        <w:rPr>
          <w:rFonts w:cs="Arial"/>
        </w:rPr>
        <w:tab/>
        <w:t>)</w:t>
      </w:r>
    </w:p>
    <w:p w:rsidR="00FD114E" w:rsidRPr="00FD114E" w:rsidRDefault="00FD114E" w:rsidP="00B97AFE">
      <w:pPr>
        <w:tabs>
          <w:tab w:val="left" w:pos="4680"/>
          <w:tab w:val="left" w:pos="5220"/>
        </w:tabs>
        <w:autoSpaceDE w:val="0"/>
        <w:autoSpaceDN w:val="0"/>
        <w:adjustRightInd w:val="0"/>
        <w:rPr>
          <w:rFonts w:cs="Arial"/>
        </w:rPr>
      </w:pPr>
      <w:r w:rsidRPr="00FD114E">
        <w:rPr>
          <w:rFonts w:cs="Arial"/>
        </w:rPr>
        <w:t>of Customer Rate Impacts from Ohio</w:t>
      </w:r>
      <w:r>
        <w:rPr>
          <w:rFonts w:cs="Arial"/>
        </w:rPr>
        <w:tab/>
        <w:t>)</w:t>
      </w:r>
      <w:r>
        <w:rPr>
          <w:rFonts w:cs="Arial"/>
        </w:rPr>
        <w:tab/>
        <w:t>Case No. 13-15</w:t>
      </w:r>
      <w:r w:rsidR="00350B0D">
        <w:rPr>
          <w:rFonts w:cs="Arial"/>
        </w:rPr>
        <w:t>3</w:t>
      </w:r>
      <w:r>
        <w:rPr>
          <w:rFonts w:cs="Arial"/>
        </w:rPr>
        <w:t>0-EL-UNC</w:t>
      </w:r>
    </w:p>
    <w:p w:rsidR="00FD114E" w:rsidRPr="00FD114E" w:rsidRDefault="00FD114E" w:rsidP="00B97AFE">
      <w:pPr>
        <w:tabs>
          <w:tab w:val="left" w:pos="4680"/>
          <w:tab w:val="left" w:pos="5220"/>
        </w:tabs>
        <w:autoSpaceDE w:val="0"/>
        <w:autoSpaceDN w:val="0"/>
        <w:adjustRightInd w:val="0"/>
        <w:rPr>
          <w:rFonts w:cs="Arial"/>
        </w:rPr>
      </w:pPr>
      <w:r w:rsidRPr="00FD114E">
        <w:rPr>
          <w:rFonts w:cs="Arial"/>
        </w:rPr>
        <w:t>Power Company</w:t>
      </w:r>
      <w:r w:rsidR="003E1F72">
        <w:rPr>
          <w:rFonts w:cs="Arial"/>
        </w:rPr>
        <w:t>’</w:t>
      </w:r>
      <w:r w:rsidRPr="00FD114E">
        <w:rPr>
          <w:rFonts w:cs="Arial"/>
        </w:rPr>
        <w:t>s Transition to Market</w:t>
      </w:r>
      <w:r>
        <w:rPr>
          <w:rFonts w:cs="Arial"/>
        </w:rPr>
        <w:tab/>
        <w:t>)</w:t>
      </w:r>
    </w:p>
    <w:p w:rsidR="00FD114E" w:rsidRDefault="00FD114E" w:rsidP="00B97AFE">
      <w:pPr>
        <w:tabs>
          <w:tab w:val="left" w:pos="4680"/>
          <w:tab w:val="left" w:pos="5220"/>
        </w:tabs>
        <w:autoSpaceDE w:val="0"/>
        <w:autoSpaceDN w:val="0"/>
        <w:adjustRightInd w:val="0"/>
      </w:pPr>
      <w:r w:rsidRPr="00FD114E">
        <w:rPr>
          <w:rFonts w:cs="Arial"/>
        </w:rPr>
        <w:t>Based Rates.</w:t>
      </w:r>
      <w:r w:rsidR="00D64020">
        <w:rPr>
          <w:rFonts w:cs="Arial"/>
        </w:rPr>
        <w:tab/>
      </w:r>
      <w:r w:rsidR="00B97AFE">
        <w:rPr>
          <w:rFonts w:cs="Arial"/>
        </w:rPr>
        <w:t>)</w:t>
      </w:r>
    </w:p>
    <w:p w:rsidR="00FD114E" w:rsidRDefault="00FD114E"/>
    <w:p w:rsidR="007E263D" w:rsidRDefault="007E263D"/>
    <w:p w:rsidR="00B97AFE" w:rsidRDefault="00B97AFE" w:rsidP="00B97AFE">
      <w:pPr>
        <w:pBdr>
          <w:top w:val="single" w:sz="12" w:space="1" w:color="auto"/>
        </w:pBdr>
        <w:jc w:val="center"/>
        <w:rPr>
          <w:b/>
        </w:rPr>
      </w:pPr>
    </w:p>
    <w:p w:rsidR="00274E98" w:rsidRPr="00013C0B" w:rsidRDefault="008858A4" w:rsidP="00274E98">
      <w:pPr>
        <w:jc w:val="center"/>
        <w:rPr>
          <w:rFonts w:ascii="Arial Bold" w:hAnsi="Arial Bold"/>
          <w:b/>
          <w:smallCaps/>
          <w:sz w:val="28"/>
          <w:szCs w:val="28"/>
        </w:rPr>
      </w:pPr>
      <w:r>
        <w:rPr>
          <w:rFonts w:ascii="Arial Bold" w:hAnsi="Arial Bold"/>
          <w:b/>
          <w:smallCaps/>
          <w:sz w:val="28"/>
          <w:szCs w:val="28"/>
        </w:rPr>
        <w:t xml:space="preserve">Reply </w:t>
      </w:r>
      <w:r w:rsidR="00274E98" w:rsidRPr="00013C0B">
        <w:rPr>
          <w:rFonts w:ascii="Arial Bold" w:hAnsi="Arial Bold"/>
          <w:b/>
          <w:smallCaps/>
          <w:sz w:val="28"/>
          <w:szCs w:val="28"/>
        </w:rPr>
        <w:t>Comments of the Industrial Energy Users-Ohio</w:t>
      </w:r>
    </w:p>
    <w:p w:rsidR="00B97AFE" w:rsidRPr="00CA02E6" w:rsidRDefault="00B97AFE" w:rsidP="00B97AFE">
      <w:pPr>
        <w:pBdr>
          <w:bottom w:val="single" w:sz="12" w:space="1" w:color="auto"/>
        </w:pBdr>
        <w:jc w:val="center"/>
        <w:rPr>
          <w:b/>
        </w:rPr>
      </w:pPr>
    </w:p>
    <w:p w:rsidR="00274E98" w:rsidRDefault="00274E98"/>
    <w:p w:rsidR="0025139B" w:rsidRDefault="0025139B"/>
    <w:p w:rsidR="00274E98" w:rsidRPr="00D64020" w:rsidRDefault="00BE42A9" w:rsidP="00577C90">
      <w:pPr>
        <w:pStyle w:val="Heading1"/>
      </w:pPr>
      <w:bookmarkStart w:id="0" w:name="_Toc366232149"/>
      <w:r w:rsidRPr="00577C90">
        <w:t>Background</w:t>
      </w:r>
      <w:bookmarkEnd w:id="0"/>
    </w:p>
    <w:p w:rsidR="00274E98" w:rsidRDefault="00274E98" w:rsidP="0096150E">
      <w:pPr>
        <w:spacing w:line="480" w:lineRule="auto"/>
        <w:jc w:val="both"/>
      </w:pPr>
      <w:r>
        <w:tab/>
      </w:r>
      <w:r w:rsidR="00FD114E">
        <w:t xml:space="preserve">This proceeding was opened on </w:t>
      </w:r>
      <w:r>
        <w:t>June 27, 2013.</w:t>
      </w:r>
      <w:r w:rsidR="007A4CBA">
        <w:rPr>
          <w:rStyle w:val="FootnoteReference"/>
        </w:rPr>
        <w:footnoteReference w:id="1"/>
      </w:r>
      <w:r>
        <w:t xml:space="preserve">  The </w:t>
      </w:r>
      <w:r w:rsidR="00A21E43" w:rsidRPr="00A21E43">
        <w:rPr>
          <w:i/>
        </w:rPr>
        <w:t>Second Transition</w:t>
      </w:r>
      <w:r w:rsidR="00A21E43">
        <w:t xml:space="preserve"> </w:t>
      </w:r>
      <w:r w:rsidRPr="00CA02E6">
        <w:rPr>
          <w:i/>
        </w:rPr>
        <w:t>Entry</w:t>
      </w:r>
      <w:r>
        <w:t xml:space="preserve"> issued </w:t>
      </w:r>
      <w:r w:rsidR="00CA02E6">
        <w:t xml:space="preserve">on the same day </w:t>
      </w:r>
      <w:r>
        <w:t>states:</w:t>
      </w:r>
    </w:p>
    <w:p w:rsidR="00274E98" w:rsidRPr="00CA02E6" w:rsidRDefault="00274E98" w:rsidP="00CA02E6">
      <w:pPr>
        <w:autoSpaceDE w:val="0"/>
        <w:autoSpaceDN w:val="0"/>
        <w:adjustRightInd w:val="0"/>
        <w:ind w:left="720" w:right="720"/>
        <w:jc w:val="both"/>
        <w:rPr>
          <w:rFonts w:cs="Arial"/>
        </w:rPr>
      </w:pPr>
      <w:r w:rsidRPr="00CA02E6">
        <w:rPr>
          <w:rFonts w:cs="Arial"/>
        </w:rPr>
        <w:t xml:space="preserve">By Opinion and Order issued August 8, 2012, the Commission modified and approved an application for an electric security plan (ESP) filed by Ohio Power Company (AEP-Ohio) in </w:t>
      </w:r>
      <w:r w:rsidRPr="00CA02E6">
        <w:rPr>
          <w:rFonts w:cs="Arial"/>
          <w:i/>
          <w:iCs/>
        </w:rPr>
        <w:t>In the Matter of the Application of Ohio Power Company for Authority to Establish a Standard Service Offer Pursuant to Section 4928.143, Revised Code, in the Form of an Electric Security Plan</w:t>
      </w:r>
      <w:r w:rsidRPr="00CA02E6">
        <w:rPr>
          <w:rFonts w:cs="Arial"/>
        </w:rPr>
        <w:t>, Case No. 11-346-EL-SSO (ESP Case)</w:t>
      </w:r>
      <w:r w:rsidR="008A1B6E">
        <w:rPr>
          <w:rFonts w:cs="Arial"/>
        </w:rPr>
        <w:t>,</w:t>
      </w:r>
      <w:r w:rsidR="0096150E">
        <w:rPr>
          <w:rStyle w:val="FootnoteReference"/>
          <w:rFonts w:cs="Arial"/>
        </w:rPr>
        <w:footnoteReference w:id="2"/>
      </w:r>
      <w:r w:rsidRPr="00CA02E6">
        <w:rPr>
          <w:rFonts w:cs="Arial"/>
        </w:rPr>
        <w:t xml:space="preserve"> et al. </w:t>
      </w:r>
      <w:r w:rsidR="00B97AFE">
        <w:rPr>
          <w:rFonts w:cs="Arial"/>
        </w:rPr>
        <w:t xml:space="preserve"> </w:t>
      </w:r>
      <w:r w:rsidRPr="00CA02E6">
        <w:rPr>
          <w:rFonts w:cs="Arial"/>
        </w:rPr>
        <w:t>The Opinion and Order as approved, directed the attorney examiners to establish a new docket within 90 days from the order and issue an entry establishing a procedural schedule to allow Staff and any interested party to consider means to mitigate any potential adverse rate impacts from the shift to market based rates.</w:t>
      </w:r>
      <w:r w:rsidR="00B97AFE">
        <w:rPr>
          <w:rStyle w:val="FootnoteReference"/>
          <w:rFonts w:cs="Arial"/>
        </w:rPr>
        <w:footnoteReference w:id="3"/>
      </w:r>
    </w:p>
    <w:p w:rsidR="00CA02E6" w:rsidRDefault="00CA02E6" w:rsidP="00CA02E6">
      <w:pPr>
        <w:autoSpaceDE w:val="0"/>
        <w:autoSpaceDN w:val="0"/>
        <w:adjustRightInd w:val="0"/>
      </w:pPr>
    </w:p>
    <w:p w:rsidR="00242BDE" w:rsidRDefault="00242BDE" w:rsidP="00013C0B">
      <w:pPr>
        <w:autoSpaceDE w:val="0"/>
        <w:autoSpaceDN w:val="0"/>
        <w:adjustRightInd w:val="0"/>
        <w:spacing w:line="480" w:lineRule="auto"/>
        <w:ind w:firstLine="720"/>
        <w:jc w:val="both"/>
      </w:pPr>
      <w:r>
        <w:t xml:space="preserve">As evident from the above quote, the </w:t>
      </w:r>
      <w:r w:rsidRPr="003D22CA">
        <w:rPr>
          <w:i/>
        </w:rPr>
        <w:t xml:space="preserve">Second Transition </w:t>
      </w:r>
      <w:r w:rsidRPr="0096150E">
        <w:rPr>
          <w:i/>
        </w:rPr>
        <w:t>Entry</w:t>
      </w:r>
      <w:r>
        <w:t xml:space="preserve"> references the Opinion and Order in the </w:t>
      </w:r>
      <w:r w:rsidRPr="0096150E">
        <w:rPr>
          <w:i/>
        </w:rPr>
        <w:t>ESP II Case</w:t>
      </w:r>
      <w:r>
        <w:t xml:space="preserve"> which states:</w:t>
      </w:r>
    </w:p>
    <w:p w:rsidR="00242BDE" w:rsidRDefault="00242BDE" w:rsidP="00242BDE">
      <w:pPr>
        <w:autoSpaceDE w:val="0"/>
        <w:autoSpaceDN w:val="0"/>
        <w:adjustRightInd w:val="0"/>
        <w:ind w:left="720" w:right="720"/>
        <w:jc w:val="both"/>
      </w:pPr>
      <w:r>
        <w:lastRenderedPageBreak/>
        <w:t>The Commission finds that AEP-Ohio</w:t>
      </w:r>
      <w:r w:rsidR="003E1F72">
        <w:t>’</w:t>
      </w:r>
      <w:r>
        <w:t>s proposed base generation rates are reasonable. We note that AEP-Ohio</w:t>
      </w:r>
      <w:r w:rsidR="003E1F72">
        <w:t>’</w:t>
      </w:r>
      <w:r>
        <w:t>s base generation rate design was generally unopposed, as most parties supported AEP-Ohio</w:t>
      </w:r>
      <w:r w:rsidR="003E1F72">
        <w:t>’</w:t>
      </w:r>
      <w:r>
        <w:t>s proposal to keep base generation rates frozen. Although OCC and APJN conclude that the base generation rate plan does not benefit customers, OCC and APJN failed to justify their assertion and offer no evidence within the record other than the fact that the modified ESP contains several riders.  Accordingly, the modified ESP</w:t>
      </w:r>
      <w:r w:rsidR="003E1F72">
        <w:t>’</w:t>
      </w:r>
      <w:r>
        <w:t>s base generation rates should be approved.  In addition, as AEP-Ohio raised the possibility of disproportionate rate impacts on customers when class rates are set by auction, we direct the attorney examiners to establish a new docket within 90 days from the date of this opinion and order and issue an entry establishing a procedural schedule to allow Staff and any interested party to consider means to mitigate any potential adverse rate impacts for customers upon rates being set by auction.  Further, the Commission reserves the right to implement a new base generation rate design on a revenue neutral basis for all customer classes at any time during the term of the modified ESP.</w:t>
      </w:r>
      <w:r>
        <w:rPr>
          <w:rStyle w:val="FootnoteReference"/>
        </w:rPr>
        <w:footnoteReference w:id="4"/>
      </w:r>
    </w:p>
    <w:p w:rsidR="00242BDE" w:rsidRDefault="00242BDE" w:rsidP="00242BDE">
      <w:pPr>
        <w:autoSpaceDE w:val="0"/>
        <w:autoSpaceDN w:val="0"/>
        <w:adjustRightInd w:val="0"/>
      </w:pPr>
    </w:p>
    <w:p w:rsidR="00242BDE" w:rsidRDefault="00CA02E6" w:rsidP="00013C0B">
      <w:pPr>
        <w:autoSpaceDE w:val="0"/>
        <w:autoSpaceDN w:val="0"/>
        <w:adjustRightInd w:val="0"/>
        <w:spacing w:line="480" w:lineRule="auto"/>
        <w:ind w:firstLine="720"/>
        <w:jc w:val="both"/>
      </w:pPr>
      <w:r>
        <w:t xml:space="preserve">The </w:t>
      </w:r>
      <w:r w:rsidR="00A21E43" w:rsidRPr="00A21E43">
        <w:rPr>
          <w:i/>
        </w:rPr>
        <w:t>Second Transition</w:t>
      </w:r>
      <w:r w:rsidR="00A21E43">
        <w:t xml:space="preserve"> </w:t>
      </w:r>
      <w:r w:rsidRPr="00CA02E6">
        <w:rPr>
          <w:i/>
        </w:rPr>
        <w:t>Entry</w:t>
      </w:r>
      <w:r>
        <w:t xml:space="preserve"> also established a schedule </w:t>
      </w:r>
      <w:r w:rsidR="0096150E">
        <w:t xml:space="preserve">for filing comments </w:t>
      </w:r>
      <w:r>
        <w:t xml:space="preserve">and invited </w:t>
      </w:r>
      <w:r w:rsidR="00A21E43">
        <w:t>t</w:t>
      </w:r>
      <w:r>
        <w:t xml:space="preserve">he </w:t>
      </w:r>
      <w:r w:rsidR="001C5A25">
        <w:t>Public Utilities Commission of Ohio’s (“</w:t>
      </w:r>
      <w:r>
        <w:t>Commission</w:t>
      </w:r>
      <w:r w:rsidR="001C5A25">
        <w:t>”)</w:t>
      </w:r>
      <w:r>
        <w:t xml:space="preserve"> Staff and any interested party to file comments and reply comments to </w:t>
      </w:r>
      <w:r w:rsidR="003E1F72">
        <w:t>“</w:t>
      </w:r>
      <w:r>
        <w:t xml:space="preserve">assist the Commission in its review of potential adverse </w:t>
      </w:r>
      <w:r w:rsidR="00B97AFE">
        <w:t xml:space="preserve">rate </w:t>
      </w:r>
      <w:r>
        <w:t>impacts for customers during the transition to market based rates</w:t>
      </w:r>
      <w:r w:rsidR="00B97AFE">
        <w:t> </w:t>
      </w:r>
      <w:r>
        <w:t>…</w:t>
      </w:r>
      <w:r w:rsidR="0023497F">
        <w:t>.</w:t>
      </w:r>
      <w:r w:rsidR="003E1F72">
        <w:t>”</w:t>
      </w:r>
      <w:r w:rsidR="00B97AFE">
        <w:rPr>
          <w:rStyle w:val="FootnoteReference"/>
        </w:rPr>
        <w:footnoteReference w:id="5"/>
      </w:r>
      <w:r w:rsidR="000D3313">
        <w:t xml:space="preserve">  </w:t>
      </w:r>
    </w:p>
    <w:p w:rsidR="009E4C0D" w:rsidRDefault="00A21E43" w:rsidP="0068288B">
      <w:pPr>
        <w:autoSpaceDE w:val="0"/>
        <w:autoSpaceDN w:val="0"/>
        <w:adjustRightInd w:val="0"/>
        <w:spacing w:line="480" w:lineRule="auto"/>
        <w:ind w:firstLine="720"/>
        <w:jc w:val="both"/>
      </w:pPr>
      <w:r>
        <w:t xml:space="preserve">In a separate </w:t>
      </w:r>
      <w:r w:rsidR="003D22CA">
        <w:t xml:space="preserve">ongoing </w:t>
      </w:r>
      <w:r>
        <w:t>proceeding</w:t>
      </w:r>
      <w:r w:rsidR="0023497F">
        <w:t>,</w:t>
      </w:r>
      <w:r w:rsidR="008858A4">
        <w:rPr>
          <w:rStyle w:val="FootnoteReference"/>
        </w:rPr>
        <w:footnoteReference w:id="6"/>
      </w:r>
      <w:r>
        <w:t xml:space="preserve"> </w:t>
      </w:r>
      <w:r w:rsidR="003D22CA">
        <w:t xml:space="preserve">the Commission is presently wrestling with the predictable </w:t>
      </w:r>
      <w:r w:rsidR="000D3313">
        <w:t>(</w:t>
      </w:r>
      <w:r w:rsidR="003D22CA">
        <w:t>and predicted</w:t>
      </w:r>
      <w:r w:rsidR="000D3313">
        <w:t>)</w:t>
      </w:r>
      <w:r w:rsidR="003D22CA">
        <w:t xml:space="preserve"> consequences of the </w:t>
      </w:r>
      <w:r w:rsidR="003E1F72">
        <w:t>“</w:t>
      </w:r>
      <w:r w:rsidR="003D22CA">
        <w:t>energy-only</w:t>
      </w:r>
      <w:r w:rsidR="003E1F72">
        <w:t>”</w:t>
      </w:r>
      <w:r w:rsidR="003D22CA">
        <w:t xml:space="preserve"> auction that was </w:t>
      </w:r>
      <w:r w:rsidR="003D22CA">
        <w:lastRenderedPageBreak/>
        <w:t xml:space="preserve">approved in the </w:t>
      </w:r>
      <w:r w:rsidR="003D22CA" w:rsidRPr="003D22CA">
        <w:rPr>
          <w:i/>
        </w:rPr>
        <w:t>ESP II Case</w:t>
      </w:r>
      <w:r w:rsidR="00616AAF">
        <w:rPr>
          <w:i/>
        </w:rPr>
        <w:t>.</w:t>
      </w:r>
      <w:r w:rsidR="007A4CBA">
        <w:rPr>
          <w:i/>
        </w:rPr>
        <w:t xml:space="preserve">  </w:t>
      </w:r>
      <w:r w:rsidR="00023457" w:rsidRPr="00023457">
        <w:t>According to the Opinion and Order in the</w:t>
      </w:r>
      <w:r w:rsidR="00023457">
        <w:rPr>
          <w:i/>
        </w:rPr>
        <w:t xml:space="preserve"> ESP II Case</w:t>
      </w:r>
      <w:r w:rsidR="0023497F">
        <w:rPr>
          <w:i/>
        </w:rPr>
        <w:t>,</w:t>
      </w:r>
      <w:r w:rsidR="00FB1069">
        <w:rPr>
          <w:rStyle w:val="FootnoteReference"/>
          <w:i/>
        </w:rPr>
        <w:footnoteReference w:id="7"/>
      </w:r>
      <w:r w:rsidR="00023457">
        <w:rPr>
          <w:i/>
        </w:rPr>
        <w:t xml:space="preserve"> </w:t>
      </w:r>
      <w:r w:rsidR="008A1B6E">
        <w:t>the energy-</w:t>
      </w:r>
      <w:r w:rsidR="00023457" w:rsidRPr="00023457">
        <w:t>only a</w:t>
      </w:r>
      <w:r w:rsidR="0068288B">
        <w:t>u</w:t>
      </w:r>
      <w:r w:rsidR="00023457" w:rsidRPr="00023457">
        <w:t xml:space="preserve">ction </w:t>
      </w:r>
      <w:r w:rsidR="00F34079">
        <w:t>wa</w:t>
      </w:r>
      <w:r w:rsidR="00023457" w:rsidRPr="00023457">
        <w:t xml:space="preserve">s supposed to </w:t>
      </w:r>
      <w:r w:rsidR="003E1F72">
        <w:t>“</w:t>
      </w:r>
      <w:r w:rsidR="00023457">
        <w:t>facilitate a smooth</w:t>
      </w:r>
      <w:r w:rsidR="00C04240">
        <w:t>er</w:t>
      </w:r>
      <w:r w:rsidR="00023457">
        <w:t xml:space="preserve"> </w:t>
      </w:r>
      <w:r w:rsidR="00C04240">
        <w:t>transition to a full energy auction</w:t>
      </w:r>
      <w:r w:rsidR="003E1F72">
        <w:t>”</w:t>
      </w:r>
      <w:r w:rsidR="00766C5E">
        <w:t>.</w:t>
      </w:r>
      <w:r w:rsidR="00C04240">
        <w:rPr>
          <w:rStyle w:val="FootnoteReference"/>
        </w:rPr>
        <w:footnoteReference w:id="8"/>
      </w:r>
      <w:r w:rsidR="003D22CA">
        <w:t xml:space="preserve">  </w:t>
      </w:r>
      <w:r w:rsidR="007A4CBA">
        <w:t xml:space="preserve">In the context of the significant electric bill increases and new layers of non-bypassable charges subsidizing Ohio Power Company’s competitive generation business authorized by the Commission in the </w:t>
      </w:r>
      <w:r w:rsidR="007A4CBA" w:rsidRPr="007A4CBA">
        <w:rPr>
          <w:i/>
        </w:rPr>
        <w:t>ESP II Case</w:t>
      </w:r>
      <w:r w:rsidR="007A4CBA">
        <w:t xml:space="preserve">, the </w:t>
      </w:r>
      <w:r w:rsidR="008858A4" w:rsidRPr="008858A4">
        <w:t>Commission</w:t>
      </w:r>
      <w:r w:rsidR="007A4CBA">
        <w:t xml:space="preserve"> portrayed the </w:t>
      </w:r>
      <w:r w:rsidR="008858A4" w:rsidRPr="008858A4">
        <w:t xml:space="preserve">energy-only auctions </w:t>
      </w:r>
      <w:r w:rsidR="007A4CBA">
        <w:t xml:space="preserve">as a source of </w:t>
      </w:r>
      <w:r w:rsidR="008858A4" w:rsidRPr="008858A4">
        <w:t>signi</w:t>
      </w:r>
      <w:r w:rsidR="008858A4">
        <w:t>ficant benefits to c</w:t>
      </w:r>
      <w:r w:rsidR="007A4CBA">
        <w:t>onsumers during the period prior to June 2015</w:t>
      </w:r>
      <w:r w:rsidR="008858A4">
        <w:t>.  More s</w:t>
      </w:r>
      <w:r w:rsidR="008858A4" w:rsidRPr="008858A4">
        <w:t xml:space="preserve">pecifically, the Commission held that the benefit from the energy-only auctions would mitigate the known </w:t>
      </w:r>
      <w:r w:rsidR="00F34079">
        <w:t xml:space="preserve">and significant </w:t>
      </w:r>
      <w:r w:rsidR="008858A4" w:rsidRPr="008858A4">
        <w:t>rate increase</w:t>
      </w:r>
      <w:r w:rsidR="00F34079">
        <w:t>s</w:t>
      </w:r>
      <w:r w:rsidR="008858A4" w:rsidRPr="008858A4">
        <w:t xml:space="preserve"> </w:t>
      </w:r>
      <w:r w:rsidR="00F34079">
        <w:t xml:space="preserve">arising from the Commission-approved </w:t>
      </w:r>
      <w:r w:rsidR="008858A4" w:rsidRPr="008858A4">
        <w:t>Distribution Investment Rider (“DIR”) (</w:t>
      </w:r>
      <w:r w:rsidR="00B00FE4">
        <w:t xml:space="preserve">rate increase of </w:t>
      </w:r>
      <w:r w:rsidR="008858A4" w:rsidRPr="008858A4">
        <w:t>$365.7 million</w:t>
      </w:r>
      <w:r w:rsidR="00616AAF">
        <w:rPr>
          <w:rStyle w:val="FootnoteReference"/>
        </w:rPr>
        <w:footnoteReference w:id="9"/>
      </w:r>
      <w:r w:rsidR="008858A4" w:rsidRPr="008858A4">
        <w:t>), gridSMART Rider</w:t>
      </w:r>
      <w:r w:rsidR="00463174">
        <w:t>,</w:t>
      </w:r>
      <w:r w:rsidR="009B0F59">
        <w:rPr>
          <w:rStyle w:val="FootnoteReference"/>
        </w:rPr>
        <w:footnoteReference w:id="10"/>
      </w:r>
      <w:r w:rsidR="008858A4" w:rsidRPr="008858A4">
        <w:t xml:space="preserve"> and Enhanced Service Reliabili</w:t>
      </w:r>
      <w:r w:rsidR="009E4C0D">
        <w:t xml:space="preserve">ty Rider (“ESRR”) </w:t>
      </w:r>
      <w:r w:rsidR="009E4C0D">
        <w:lastRenderedPageBreak/>
        <w:t>($113 million</w:t>
      </w:r>
      <w:r w:rsidR="00B00FE4">
        <w:t xml:space="preserve"> in additional capital and expense spending</w:t>
      </w:r>
      <w:r w:rsidR="009B0F59">
        <w:rPr>
          <w:rStyle w:val="FootnoteReference"/>
        </w:rPr>
        <w:footnoteReference w:id="11"/>
      </w:r>
      <w:r w:rsidR="008858A4" w:rsidRPr="008858A4">
        <w:t xml:space="preserve">).  The Commission also held that the benefit from the energy-only auctions “may well exceed the costs associated with the </w:t>
      </w:r>
      <w:r w:rsidR="00F34079">
        <w:t xml:space="preserve">GRR </w:t>
      </w:r>
      <w:r w:rsidR="00766C5E">
        <w:t>[</w:t>
      </w:r>
      <w:r w:rsidR="00766C5E" w:rsidRPr="008858A4">
        <w:t>G</w:t>
      </w:r>
      <w:r w:rsidR="00766C5E">
        <w:t xml:space="preserve">eneration </w:t>
      </w:r>
      <w:r w:rsidR="00766C5E" w:rsidRPr="008858A4">
        <w:t>R</w:t>
      </w:r>
      <w:r w:rsidR="00766C5E">
        <w:t xml:space="preserve">ecovery </w:t>
      </w:r>
      <w:r w:rsidR="00766C5E" w:rsidRPr="008858A4">
        <w:t>R</w:t>
      </w:r>
      <w:r w:rsidR="00766C5E">
        <w:t>ider</w:t>
      </w:r>
      <w:r w:rsidR="00766C5E" w:rsidRPr="008858A4">
        <w:t xml:space="preserve"> </w:t>
      </w:r>
      <w:r w:rsidR="00F34079">
        <w:t>(</w:t>
      </w:r>
      <w:r w:rsidR="008858A4" w:rsidRPr="008858A4">
        <w:t>$8 million</w:t>
      </w:r>
      <w:r w:rsidR="009B0F59">
        <w:rPr>
          <w:rStyle w:val="FootnoteReference"/>
        </w:rPr>
        <w:footnoteReference w:id="12"/>
      </w:r>
      <w:r w:rsidR="00F34079">
        <w:t>)</w:t>
      </w:r>
      <w:r w:rsidR="00766C5E">
        <w:t>]</w:t>
      </w:r>
      <w:r w:rsidR="008858A4" w:rsidRPr="008858A4">
        <w:t xml:space="preserve"> and </w:t>
      </w:r>
      <w:r w:rsidR="00F34079">
        <w:t xml:space="preserve">RSR </w:t>
      </w:r>
      <w:r w:rsidR="00766C5E">
        <w:t xml:space="preserve">[Retail Stability Rider </w:t>
      </w:r>
      <w:r w:rsidR="00F34079">
        <w:t>(</w:t>
      </w:r>
      <w:r w:rsidR="008858A4" w:rsidRPr="008858A4">
        <w:t>$388 million</w:t>
      </w:r>
      <w:r w:rsidR="009B0F59">
        <w:rPr>
          <w:rStyle w:val="FootnoteReference"/>
        </w:rPr>
        <w:footnoteReference w:id="13"/>
      </w:r>
      <w:r w:rsidR="00F34079">
        <w:t>)</w:t>
      </w:r>
      <w:r w:rsidR="001E448D">
        <w:t>]</w:t>
      </w:r>
      <w:r w:rsidR="008858A4" w:rsidRPr="008858A4">
        <w:t>.”</w:t>
      </w:r>
      <w:r w:rsidR="009B0F59">
        <w:rPr>
          <w:rStyle w:val="FootnoteReference"/>
        </w:rPr>
        <w:footnoteReference w:id="14"/>
      </w:r>
    </w:p>
    <w:p w:rsidR="000F08DD" w:rsidRDefault="00F34079" w:rsidP="0068288B">
      <w:pPr>
        <w:autoSpaceDE w:val="0"/>
        <w:autoSpaceDN w:val="0"/>
        <w:adjustRightInd w:val="0"/>
        <w:spacing w:line="480" w:lineRule="auto"/>
        <w:ind w:firstLine="720"/>
        <w:jc w:val="both"/>
      </w:pPr>
      <w:r>
        <w:t xml:space="preserve">Despite all the </w:t>
      </w:r>
      <w:r w:rsidR="009E4C0D">
        <w:t xml:space="preserve">consumer </w:t>
      </w:r>
      <w:r>
        <w:t>benefits the Commission attributed to the energy</w:t>
      </w:r>
      <w:r w:rsidR="001C5A25">
        <w:t>-</w:t>
      </w:r>
      <w:r>
        <w:t xml:space="preserve">only auction aspect of the </w:t>
      </w:r>
      <w:r w:rsidR="009E4C0D">
        <w:t xml:space="preserve">anticompetitive </w:t>
      </w:r>
      <w:r w:rsidR="007A4CBA">
        <w:t xml:space="preserve">structure </w:t>
      </w:r>
      <w:r>
        <w:t xml:space="preserve">approved in the </w:t>
      </w:r>
      <w:r w:rsidRPr="00F34079">
        <w:rPr>
          <w:i/>
        </w:rPr>
        <w:t>ESP II Case</w:t>
      </w:r>
      <w:r>
        <w:rPr>
          <w:i/>
        </w:rPr>
        <w:t xml:space="preserve">, </w:t>
      </w:r>
      <w:r w:rsidRPr="00F34079">
        <w:t xml:space="preserve">the </w:t>
      </w:r>
      <w:r>
        <w:t xml:space="preserve">evidence in the </w:t>
      </w:r>
      <w:r w:rsidRPr="00F34079">
        <w:rPr>
          <w:i/>
        </w:rPr>
        <w:t>Contested Bid Process Case</w:t>
      </w:r>
      <w:r>
        <w:t xml:space="preserve"> </w:t>
      </w:r>
      <w:r w:rsidR="009E4C0D">
        <w:t xml:space="preserve">now </w:t>
      </w:r>
      <w:r>
        <w:t xml:space="preserve">confirms </w:t>
      </w:r>
      <w:r w:rsidR="007A4CBA">
        <w:t xml:space="preserve">the correctness of </w:t>
      </w:r>
      <w:r w:rsidR="008858A4">
        <w:t>IEU</w:t>
      </w:r>
      <w:r w:rsidR="001C5A25">
        <w:noBreakHyphen/>
      </w:r>
      <w:r w:rsidR="008858A4">
        <w:t>Ohio</w:t>
      </w:r>
      <w:r w:rsidR="007A4CBA">
        <w:t>’s</w:t>
      </w:r>
      <w:r w:rsidR="008858A4">
        <w:t xml:space="preserve"> predict</w:t>
      </w:r>
      <w:r w:rsidR="007A4CBA">
        <w:t xml:space="preserve">ion </w:t>
      </w:r>
      <w:r w:rsidR="008858A4">
        <w:t xml:space="preserve">in the </w:t>
      </w:r>
      <w:r w:rsidR="008858A4" w:rsidRPr="00F34079">
        <w:rPr>
          <w:i/>
        </w:rPr>
        <w:t>ESP II Case</w:t>
      </w:r>
      <w:r>
        <w:t>; that</w:t>
      </w:r>
      <w:r w:rsidRPr="00F34079">
        <w:t xml:space="preserve"> </w:t>
      </w:r>
      <w:r>
        <w:t>evidence confirms that the energy</w:t>
      </w:r>
      <w:r w:rsidR="001C5A25">
        <w:t>-</w:t>
      </w:r>
      <w:r>
        <w:t xml:space="preserve">only auction will not work to reduce or offset the significant increases that the Commission authorized </w:t>
      </w:r>
      <w:r w:rsidR="009B0F59">
        <w:t xml:space="preserve">Ohio Power Company </w:t>
      </w:r>
      <w:r>
        <w:t>to cram into electric bills.  Rather than offset these significant increases, the Commission’s energy</w:t>
      </w:r>
      <w:r w:rsidR="001C5A25">
        <w:t>-</w:t>
      </w:r>
      <w:r>
        <w:t xml:space="preserve">only auction will produce </w:t>
      </w:r>
      <w:r w:rsidR="009E4C0D">
        <w:t xml:space="preserve">another wave of electric bill increases if </w:t>
      </w:r>
      <w:r w:rsidR="009B0F59">
        <w:t xml:space="preserve">Ohio Power Company’s regulatory </w:t>
      </w:r>
      <w:r w:rsidR="009E4C0D">
        <w:t>ambitions are once again rewarded by the Commission.</w:t>
      </w:r>
      <w:r w:rsidR="009E4C0D">
        <w:rPr>
          <w:rStyle w:val="FootnoteReference"/>
        </w:rPr>
        <w:footnoteReference w:id="15"/>
      </w:r>
      <w:r w:rsidR="009E4C0D">
        <w:t xml:space="preserve">  </w:t>
      </w:r>
      <w:r w:rsidR="00616AAF">
        <w:t>Accordingly, the energy</w:t>
      </w:r>
      <w:r w:rsidR="001C5A25">
        <w:t>-</w:t>
      </w:r>
      <w:r w:rsidR="00616AAF">
        <w:t xml:space="preserve">only auction reality documented by the record in the </w:t>
      </w:r>
      <w:r w:rsidR="00616AAF" w:rsidRPr="00F34079">
        <w:rPr>
          <w:i/>
        </w:rPr>
        <w:t>Contested Bid Process Case</w:t>
      </w:r>
      <w:r w:rsidR="00616AAF">
        <w:t xml:space="preserve"> has consumer </w:t>
      </w:r>
      <w:r w:rsidR="00616AAF">
        <w:lastRenderedPageBreak/>
        <w:t xml:space="preserve">representatives such as OCC, OEG and IEU-Ohio scrambling to find ways to mitigate </w:t>
      </w:r>
      <w:r w:rsidR="00762A84">
        <w:t xml:space="preserve">yet </w:t>
      </w:r>
      <w:r w:rsidR="009B0F59">
        <w:t xml:space="preserve">another </w:t>
      </w:r>
      <w:r w:rsidR="00762A84">
        <w:t xml:space="preserve">wave </w:t>
      </w:r>
      <w:r w:rsidR="009B0F59">
        <w:t xml:space="preserve">of </w:t>
      </w:r>
      <w:r w:rsidR="00616AAF">
        <w:t xml:space="preserve">the </w:t>
      </w:r>
      <w:r w:rsidR="009B0F59">
        <w:t xml:space="preserve">actual </w:t>
      </w:r>
      <w:r w:rsidR="00616AAF">
        <w:t xml:space="preserve">damage </w:t>
      </w:r>
      <w:r w:rsidR="00762A84">
        <w:t xml:space="preserve">that was set in motion </w:t>
      </w:r>
      <w:r w:rsidR="00616AAF">
        <w:t xml:space="preserve">by the Commission’s decision in the </w:t>
      </w:r>
      <w:r w:rsidR="00616AAF" w:rsidRPr="00616AAF">
        <w:rPr>
          <w:i/>
        </w:rPr>
        <w:t>ESP II Case</w:t>
      </w:r>
      <w:r w:rsidR="00616AAF">
        <w:t xml:space="preserve">; damage that would not otherwise exist but for the Commission helping </w:t>
      </w:r>
      <w:r w:rsidR="001C5A25">
        <w:t xml:space="preserve">Ohio Power Company </w:t>
      </w:r>
      <w:r w:rsidR="00616AAF">
        <w:t xml:space="preserve">to </w:t>
      </w:r>
      <w:r w:rsidR="00762A84">
        <w:t xml:space="preserve">restrict consumer access </w:t>
      </w:r>
      <w:r w:rsidR="00616AAF">
        <w:t xml:space="preserve">to a market </w:t>
      </w:r>
      <w:r w:rsidR="001C5A25">
        <w:t xml:space="preserve">with </w:t>
      </w:r>
      <w:r w:rsidR="00762A84">
        <w:t>much lower electric bills.</w:t>
      </w:r>
    </w:p>
    <w:p w:rsidR="00762A84" w:rsidRDefault="00023457" w:rsidP="00762A84">
      <w:pPr>
        <w:autoSpaceDE w:val="0"/>
        <w:autoSpaceDN w:val="0"/>
        <w:adjustRightInd w:val="0"/>
        <w:spacing w:line="480" w:lineRule="auto"/>
        <w:ind w:firstLine="720"/>
        <w:jc w:val="both"/>
        <w:rPr>
          <w:rFonts w:cs="Arial"/>
        </w:rPr>
      </w:pPr>
      <w:r>
        <w:t>In another separate proceeding</w:t>
      </w:r>
      <w:r w:rsidR="00B97AFE">
        <w:t>,</w:t>
      </w:r>
      <w:r>
        <w:rPr>
          <w:rStyle w:val="FootnoteReference"/>
        </w:rPr>
        <w:footnoteReference w:id="16"/>
      </w:r>
      <w:r>
        <w:t xml:space="preserve"> </w:t>
      </w:r>
      <w:r w:rsidR="00233108">
        <w:t>the</w:t>
      </w:r>
      <w:r w:rsidR="00242BDE">
        <w:t xml:space="preserve"> </w:t>
      </w:r>
      <w:r w:rsidR="0047700F">
        <w:t>Commission</w:t>
      </w:r>
      <w:r w:rsidR="00242BDE">
        <w:t xml:space="preserve"> </w:t>
      </w:r>
      <w:r w:rsidR="009B1E9B">
        <w:t xml:space="preserve">is </w:t>
      </w:r>
      <w:r w:rsidR="00242BDE">
        <w:t xml:space="preserve">conducting </w:t>
      </w:r>
      <w:r w:rsidR="009B1E9B">
        <w:t xml:space="preserve">an </w:t>
      </w:r>
      <w:r w:rsidR="00233108">
        <w:t xml:space="preserve">investigation </w:t>
      </w:r>
      <w:r w:rsidR="009B1E9B">
        <w:t xml:space="preserve">(initiated in December 2012) </w:t>
      </w:r>
      <w:r w:rsidR="00233108" w:rsidRPr="008C0561">
        <w:rPr>
          <w:rFonts w:cs="Arial"/>
        </w:rPr>
        <w:t>regarding the health, strength and vitality of the competitive retail electric service market and actions that the Commission may take to enhance the health, safety and vitality of th</w:t>
      </w:r>
      <w:r w:rsidR="00233108">
        <w:rPr>
          <w:rFonts w:cs="Arial"/>
        </w:rPr>
        <w:t>at market</w:t>
      </w:r>
      <w:r w:rsidR="00233108" w:rsidRPr="008C0561">
        <w:rPr>
          <w:rFonts w:cs="Arial"/>
        </w:rPr>
        <w:t>.</w:t>
      </w:r>
      <w:r w:rsidR="009B0F59">
        <w:rPr>
          <w:rFonts w:cs="Arial"/>
        </w:rPr>
        <w:t xml:space="preserve">  </w:t>
      </w:r>
      <w:r w:rsidR="009B1E9B">
        <w:rPr>
          <w:rFonts w:cs="Arial"/>
        </w:rPr>
        <w:t>And in numerous other separate proceedings</w:t>
      </w:r>
      <w:r w:rsidR="008A1B6E">
        <w:rPr>
          <w:rFonts w:cs="Arial"/>
        </w:rPr>
        <w:t>,</w:t>
      </w:r>
      <w:r w:rsidR="00C7754F">
        <w:rPr>
          <w:rStyle w:val="FootnoteReference"/>
          <w:rFonts w:cs="Arial"/>
        </w:rPr>
        <w:footnoteReference w:id="17"/>
      </w:r>
      <w:r w:rsidR="009B1E9B">
        <w:rPr>
          <w:rFonts w:cs="Arial"/>
        </w:rPr>
        <w:t xml:space="preserve"> the Commission is or will be considering how and when to perm</w:t>
      </w:r>
      <w:r w:rsidR="00BE4C0E">
        <w:rPr>
          <w:rFonts w:cs="Arial"/>
        </w:rPr>
        <w:t xml:space="preserve">it </w:t>
      </w:r>
      <w:r w:rsidR="00D64020">
        <w:rPr>
          <w:rFonts w:cs="Arial"/>
        </w:rPr>
        <w:t xml:space="preserve">Ohio Power Company </w:t>
      </w:r>
      <w:r w:rsidR="00BE4C0E">
        <w:rPr>
          <w:rFonts w:cs="Arial"/>
        </w:rPr>
        <w:t>to further adjust</w:t>
      </w:r>
      <w:r w:rsidR="009B1E9B">
        <w:rPr>
          <w:rFonts w:cs="Arial"/>
        </w:rPr>
        <w:t xml:space="preserve"> electric bills through the ope</w:t>
      </w:r>
      <w:r w:rsidR="009B0F59">
        <w:rPr>
          <w:rFonts w:cs="Arial"/>
        </w:rPr>
        <w:t xml:space="preserve">ration of the numerous riders that the Commission has let loose on consumers in </w:t>
      </w:r>
      <w:r w:rsidR="000F08DD">
        <w:rPr>
          <w:rFonts w:cs="Arial"/>
        </w:rPr>
        <w:t xml:space="preserve">Ohio Power Company’s </w:t>
      </w:r>
      <w:r w:rsidR="009B0F59">
        <w:rPr>
          <w:rFonts w:cs="Arial"/>
        </w:rPr>
        <w:t>distribution service area.</w:t>
      </w:r>
      <w:r w:rsidR="00762A84">
        <w:rPr>
          <w:rFonts w:cs="Arial"/>
        </w:rPr>
        <w:t xml:space="preserve">  For example, o</w:t>
      </w:r>
      <w:r w:rsidR="00762A84" w:rsidRPr="00762A84">
        <w:rPr>
          <w:rFonts w:cs="Arial"/>
        </w:rPr>
        <w:t xml:space="preserve">n August 30, 2013, </w:t>
      </w:r>
      <w:r w:rsidR="00762A84">
        <w:rPr>
          <w:rFonts w:cs="Arial"/>
        </w:rPr>
        <w:t xml:space="preserve">Ohio Power Company </w:t>
      </w:r>
      <w:r w:rsidR="00762A84" w:rsidRPr="00762A84">
        <w:rPr>
          <w:rFonts w:cs="Arial"/>
        </w:rPr>
        <w:t>filed an application to update its rates for the Fuel Adjustment Clause (”FAC”) and the Alternative Energy Rider (“AER”).</w:t>
      </w:r>
      <w:r w:rsidR="00766C5E">
        <w:rPr>
          <w:rStyle w:val="FootnoteReference"/>
          <w:rFonts w:cs="Arial"/>
        </w:rPr>
        <w:footnoteReference w:id="18"/>
      </w:r>
      <w:r w:rsidR="00762A84" w:rsidRPr="00762A84">
        <w:rPr>
          <w:rFonts w:cs="Arial"/>
        </w:rPr>
        <w:t xml:space="preserve">  The revised </w:t>
      </w:r>
      <w:r w:rsidR="000F1976">
        <w:rPr>
          <w:rFonts w:cs="Arial"/>
        </w:rPr>
        <w:t xml:space="preserve">FAC </w:t>
      </w:r>
      <w:r w:rsidR="00762A84" w:rsidRPr="00762A84">
        <w:rPr>
          <w:rFonts w:cs="Arial"/>
        </w:rPr>
        <w:t>rates are proposed to go into effect with bills rendered in the first billing cycle of October 2013</w:t>
      </w:r>
      <w:r w:rsidR="000F1976">
        <w:rPr>
          <w:rFonts w:cs="Arial"/>
        </w:rPr>
        <w:t xml:space="preserve"> and will add to the significant electric bill increase</w:t>
      </w:r>
      <w:r w:rsidR="001C5A25">
        <w:rPr>
          <w:rFonts w:cs="Arial"/>
        </w:rPr>
        <w:t>s</w:t>
      </w:r>
      <w:r w:rsidR="000F1976">
        <w:rPr>
          <w:rFonts w:cs="Arial"/>
        </w:rPr>
        <w:t xml:space="preserve"> that have already taken place</w:t>
      </w:r>
      <w:r w:rsidR="00762A84" w:rsidRPr="00762A84">
        <w:rPr>
          <w:rFonts w:cs="Arial"/>
        </w:rPr>
        <w:t xml:space="preserve">.  </w:t>
      </w:r>
      <w:r w:rsidR="00514515">
        <w:rPr>
          <w:rFonts w:cs="Arial"/>
        </w:rPr>
        <w:t>Below are the FAC and AER changes that Ohio Power Company has proposed for the rate schedules applicable to businesses.</w:t>
      </w:r>
    </w:p>
    <w:p w:rsidR="0025139B" w:rsidRDefault="0025139B">
      <w:pPr>
        <w:rPr>
          <w:rFonts w:cs="Arial"/>
          <w:b/>
        </w:rPr>
      </w:pPr>
      <w:r>
        <w:br w:type="page"/>
      </w:r>
    </w:p>
    <w:p w:rsidR="00762A84" w:rsidRPr="00577C90" w:rsidRDefault="00514515" w:rsidP="00577C90">
      <w:pPr>
        <w:pStyle w:val="tablehead"/>
        <w:tabs>
          <w:tab w:val="left" w:pos="7600"/>
        </w:tabs>
      </w:pPr>
      <w:r w:rsidRPr="00577C90">
        <w:rPr>
          <w:u w:val="none"/>
        </w:rPr>
        <w:lastRenderedPageBreak/>
        <w:tab/>
      </w:r>
      <w:r w:rsidR="00762A84" w:rsidRPr="00577C90">
        <w:t>Current</w:t>
      </w:r>
      <w:r w:rsidR="00762A84" w:rsidRPr="00577C90">
        <w:rPr>
          <w:u w:val="none"/>
        </w:rPr>
        <w:tab/>
      </w:r>
      <w:r w:rsidR="00762A84" w:rsidRPr="00577C90">
        <w:t>Proposed</w:t>
      </w:r>
      <w:r w:rsidR="00762A84" w:rsidRPr="00577C90">
        <w:rPr>
          <w:u w:val="none"/>
        </w:rPr>
        <w:tab/>
      </w:r>
      <w:r w:rsidR="00577C90" w:rsidRPr="00577C90">
        <w:rPr>
          <w:u w:val="none"/>
        </w:rPr>
        <w:tab/>
      </w:r>
      <w:r w:rsidR="00762A84" w:rsidRPr="00577C90">
        <w:t>% Increase</w:t>
      </w:r>
    </w:p>
    <w:p w:rsidR="000F1976" w:rsidRDefault="000F1976" w:rsidP="00514515">
      <w:pPr>
        <w:autoSpaceDE w:val="0"/>
        <w:autoSpaceDN w:val="0"/>
        <w:adjustRightInd w:val="0"/>
        <w:jc w:val="both"/>
        <w:rPr>
          <w:rFonts w:cs="Arial"/>
        </w:rPr>
      </w:pPr>
    </w:p>
    <w:p w:rsidR="00762A84" w:rsidRPr="00762A84" w:rsidRDefault="00762A84" w:rsidP="00514515">
      <w:pPr>
        <w:autoSpaceDE w:val="0"/>
        <w:autoSpaceDN w:val="0"/>
        <w:adjustRightInd w:val="0"/>
        <w:ind w:firstLine="360"/>
        <w:jc w:val="both"/>
        <w:rPr>
          <w:rFonts w:cs="Arial"/>
          <w:b/>
        </w:rPr>
      </w:pPr>
      <w:r w:rsidRPr="00762A84">
        <w:rPr>
          <w:rFonts w:cs="Arial"/>
          <w:b/>
        </w:rPr>
        <w:t xml:space="preserve">Columbus Southern </w:t>
      </w:r>
      <w:r w:rsidR="00577C90">
        <w:rPr>
          <w:rFonts w:cs="Arial"/>
          <w:b/>
        </w:rPr>
        <w:t>FAC</w:t>
      </w:r>
    </w:p>
    <w:p w:rsidR="00762A84" w:rsidRPr="00762A84" w:rsidRDefault="00762A84" w:rsidP="00577C90">
      <w:pPr>
        <w:pStyle w:val="table"/>
      </w:pPr>
      <w:r w:rsidRPr="00762A84">
        <w:t>Secondary</w:t>
      </w:r>
      <w:r w:rsidRPr="00762A84">
        <w:tab/>
        <w:t>$0.0406652</w:t>
      </w:r>
      <w:r w:rsidRPr="00762A84">
        <w:tab/>
        <w:t>$0.0435464</w:t>
      </w:r>
      <w:r w:rsidR="000F1976">
        <w:tab/>
        <w:t>7%</w:t>
      </w:r>
    </w:p>
    <w:p w:rsidR="00762A84" w:rsidRPr="00762A84" w:rsidRDefault="00762A84" w:rsidP="00577C90">
      <w:pPr>
        <w:pStyle w:val="table"/>
      </w:pPr>
      <w:r w:rsidRPr="00762A84">
        <w:t>Primary</w:t>
      </w:r>
      <w:r w:rsidRPr="00762A84">
        <w:tab/>
        <w:t>$0.0392546</w:t>
      </w:r>
      <w:r w:rsidRPr="00762A84">
        <w:tab/>
        <w:t>$0.0420357</w:t>
      </w:r>
      <w:r w:rsidR="000F1976">
        <w:tab/>
        <w:t>7%</w:t>
      </w:r>
    </w:p>
    <w:p w:rsidR="00762A84" w:rsidRPr="00762A84" w:rsidRDefault="00762A84" w:rsidP="00577C90">
      <w:pPr>
        <w:pStyle w:val="table"/>
      </w:pPr>
      <w:r w:rsidRPr="00762A84">
        <w:t>Sub-transmission/Transmission</w:t>
      </w:r>
      <w:r w:rsidRPr="00762A84">
        <w:tab/>
        <w:t>$0.0384725</w:t>
      </w:r>
      <w:r w:rsidRPr="00762A84">
        <w:tab/>
        <w:t>$0.0411983</w:t>
      </w:r>
      <w:r w:rsidR="000F1976">
        <w:tab/>
        <w:t>7%</w:t>
      </w:r>
    </w:p>
    <w:p w:rsidR="00762A84" w:rsidRPr="00577C90" w:rsidRDefault="00762A84" w:rsidP="00577C90">
      <w:pPr>
        <w:pStyle w:val="table"/>
        <w:spacing w:before="60"/>
        <w:rPr>
          <w:b/>
        </w:rPr>
      </w:pPr>
      <w:r w:rsidRPr="00577C90">
        <w:rPr>
          <w:b/>
        </w:rPr>
        <w:t>Ohio Power</w:t>
      </w:r>
      <w:r w:rsidR="000F1976" w:rsidRPr="00577C90">
        <w:rPr>
          <w:b/>
        </w:rPr>
        <w:t xml:space="preserve"> FAC</w:t>
      </w:r>
    </w:p>
    <w:p w:rsidR="00762A84" w:rsidRPr="00762A84" w:rsidRDefault="00762A84" w:rsidP="00577C90">
      <w:pPr>
        <w:pStyle w:val="table"/>
      </w:pPr>
      <w:r w:rsidRPr="00762A84">
        <w:t>Secondary</w:t>
      </w:r>
      <w:r w:rsidRPr="00762A84">
        <w:tab/>
        <w:t>$0.0341979</w:t>
      </w:r>
      <w:r w:rsidRPr="00762A84">
        <w:tab/>
        <w:t>$0.0372933</w:t>
      </w:r>
      <w:r w:rsidR="000F1976">
        <w:tab/>
        <w:t>9%</w:t>
      </w:r>
    </w:p>
    <w:p w:rsidR="00762A84" w:rsidRPr="00762A84" w:rsidRDefault="00762A84" w:rsidP="00577C90">
      <w:pPr>
        <w:pStyle w:val="table"/>
      </w:pPr>
      <w:r w:rsidRPr="00762A84">
        <w:t>Primary</w:t>
      </w:r>
      <w:r w:rsidRPr="00762A84">
        <w:tab/>
        <w:t>$0.0330117</w:t>
      </w:r>
      <w:r w:rsidRPr="00762A84">
        <w:tab/>
        <w:t>$0.0359996</w:t>
      </w:r>
      <w:r w:rsidR="00577C90">
        <w:tab/>
      </w:r>
      <w:r w:rsidR="00514515">
        <w:t>9%</w:t>
      </w:r>
    </w:p>
    <w:p w:rsidR="000D3313" w:rsidRDefault="00762A84" w:rsidP="00577C90">
      <w:pPr>
        <w:pStyle w:val="table"/>
      </w:pPr>
      <w:r w:rsidRPr="00762A84">
        <w:t>Sub-transmission/Transmission</w:t>
      </w:r>
      <w:r w:rsidRPr="00762A84">
        <w:tab/>
        <w:t>$0.0323539</w:t>
      </w:r>
      <w:r w:rsidRPr="00762A84">
        <w:tab/>
        <w:t>$0.0352824</w:t>
      </w:r>
      <w:r w:rsidR="00514515">
        <w:tab/>
        <w:t>9%</w:t>
      </w:r>
    </w:p>
    <w:p w:rsidR="00577C90" w:rsidRDefault="00577C90" w:rsidP="00577C90">
      <w:pPr>
        <w:pStyle w:val="table"/>
        <w:rPr>
          <w:b/>
        </w:rPr>
      </w:pPr>
    </w:p>
    <w:p w:rsidR="00514515" w:rsidRPr="00577C90" w:rsidRDefault="00514515" w:rsidP="00577C90">
      <w:pPr>
        <w:pStyle w:val="table"/>
        <w:rPr>
          <w:b/>
        </w:rPr>
      </w:pPr>
      <w:r w:rsidRPr="00577C90">
        <w:rPr>
          <w:b/>
        </w:rPr>
        <w:t xml:space="preserve">Columbus Southern </w:t>
      </w:r>
      <w:r w:rsidR="008909AD" w:rsidRPr="00577C90">
        <w:rPr>
          <w:b/>
        </w:rPr>
        <w:t>AER</w:t>
      </w:r>
    </w:p>
    <w:p w:rsidR="00514515" w:rsidRPr="00514515" w:rsidRDefault="00514515" w:rsidP="00577C90">
      <w:pPr>
        <w:pStyle w:val="table"/>
      </w:pPr>
      <w:r w:rsidRPr="00514515">
        <w:t>Secondary</w:t>
      </w:r>
      <w:r w:rsidRPr="00514515">
        <w:tab/>
        <w:t>$0.0005249</w:t>
      </w:r>
      <w:r w:rsidRPr="00514515">
        <w:tab/>
        <w:t>$0.0016093</w:t>
      </w:r>
      <w:r w:rsidR="00577C90">
        <w:tab/>
      </w:r>
      <w:r w:rsidR="008909AD">
        <w:t>20</w:t>
      </w:r>
      <w:r w:rsidR="00130CFC">
        <w:t>7</w:t>
      </w:r>
      <w:r w:rsidR="008909AD">
        <w:t>%</w:t>
      </w:r>
    </w:p>
    <w:p w:rsidR="00514515" w:rsidRPr="00514515" w:rsidRDefault="00514515" w:rsidP="00577C90">
      <w:pPr>
        <w:pStyle w:val="table"/>
      </w:pPr>
      <w:r w:rsidRPr="00514515">
        <w:t>Primary</w:t>
      </w:r>
      <w:r w:rsidRPr="00514515">
        <w:tab/>
        <w:t>$0.0005067</w:t>
      </w:r>
      <w:r w:rsidR="008909AD">
        <w:tab/>
      </w:r>
      <w:r w:rsidRPr="00514515">
        <w:t>$0.0015535</w:t>
      </w:r>
      <w:r w:rsidR="008909AD">
        <w:tab/>
      </w:r>
      <w:r w:rsidR="00130CFC">
        <w:t>207</w:t>
      </w:r>
      <w:r w:rsidR="008909AD">
        <w:t>%</w:t>
      </w:r>
    </w:p>
    <w:p w:rsidR="00514515" w:rsidRPr="00514515" w:rsidRDefault="008909AD" w:rsidP="00577C90">
      <w:pPr>
        <w:pStyle w:val="table"/>
      </w:pPr>
      <w:r>
        <w:t>Sub-transmission/Transmission</w:t>
      </w:r>
      <w:r>
        <w:tab/>
      </w:r>
      <w:r w:rsidR="00514515" w:rsidRPr="00514515">
        <w:t>$0.0004966</w:t>
      </w:r>
      <w:r>
        <w:tab/>
      </w:r>
      <w:r w:rsidR="00514515" w:rsidRPr="00514515">
        <w:t>$0.0015226</w:t>
      </w:r>
      <w:r w:rsidR="00577C90">
        <w:tab/>
      </w:r>
      <w:r>
        <w:t>207%</w:t>
      </w:r>
    </w:p>
    <w:p w:rsidR="00514515" w:rsidRPr="00577C90" w:rsidRDefault="00514515" w:rsidP="00577C90">
      <w:pPr>
        <w:pStyle w:val="table"/>
        <w:spacing w:before="60"/>
        <w:rPr>
          <w:b/>
        </w:rPr>
      </w:pPr>
      <w:r w:rsidRPr="00577C90">
        <w:rPr>
          <w:b/>
        </w:rPr>
        <w:t>Ohio Power</w:t>
      </w:r>
      <w:r w:rsidR="008909AD" w:rsidRPr="00577C90">
        <w:rPr>
          <w:b/>
        </w:rPr>
        <w:t xml:space="preserve"> AER</w:t>
      </w:r>
    </w:p>
    <w:p w:rsidR="00514515" w:rsidRPr="00514515" w:rsidRDefault="00514515" w:rsidP="00577C90">
      <w:pPr>
        <w:pStyle w:val="table"/>
      </w:pPr>
      <w:r w:rsidRPr="00514515">
        <w:t>Secondary</w:t>
      </w:r>
      <w:r w:rsidRPr="00514515">
        <w:tab/>
        <w:t>$0.0001981</w:t>
      </w:r>
      <w:r w:rsidRPr="00514515">
        <w:tab/>
        <w:t>$0.0010064</w:t>
      </w:r>
      <w:r w:rsidR="008909AD">
        <w:tab/>
        <w:t>40</w:t>
      </w:r>
      <w:r w:rsidR="00130CFC">
        <w:t>8</w:t>
      </w:r>
      <w:r w:rsidR="008909AD">
        <w:t>%</w:t>
      </w:r>
    </w:p>
    <w:p w:rsidR="00514515" w:rsidRPr="00514515" w:rsidRDefault="00514515" w:rsidP="00577C90">
      <w:pPr>
        <w:pStyle w:val="table"/>
      </w:pPr>
      <w:r w:rsidRPr="00514515">
        <w:t>Primary</w:t>
      </w:r>
      <w:r w:rsidRPr="00514515">
        <w:tab/>
        <w:t>$0.0001913</w:t>
      </w:r>
      <w:r w:rsidRPr="00514515">
        <w:tab/>
        <w:t>$0.0009716</w:t>
      </w:r>
      <w:r w:rsidR="00577C90">
        <w:tab/>
      </w:r>
      <w:r w:rsidR="008909AD">
        <w:t>408%</w:t>
      </w:r>
    </w:p>
    <w:p w:rsidR="00514515" w:rsidRDefault="008909AD" w:rsidP="00577C90">
      <w:pPr>
        <w:pStyle w:val="table"/>
      </w:pPr>
      <w:r>
        <w:t>Sub-transmission/Transmission</w:t>
      </w:r>
      <w:r>
        <w:tab/>
      </w:r>
      <w:r w:rsidR="00514515" w:rsidRPr="00514515">
        <w:t>$0.0001875</w:t>
      </w:r>
      <w:r w:rsidR="00514515" w:rsidRPr="00514515">
        <w:tab/>
        <w:t>$0.0009523</w:t>
      </w:r>
      <w:r>
        <w:tab/>
        <w:t>408%</w:t>
      </w:r>
    </w:p>
    <w:p w:rsidR="000F1976" w:rsidRDefault="000F1976" w:rsidP="00514515">
      <w:pPr>
        <w:autoSpaceDE w:val="0"/>
        <w:autoSpaceDN w:val="0"/>
        <w:adjustRightInd w:val="0"/>
        <w:spacing w:line="480" w:lineRule="auto"/>
        <w:jc w:val="both"/>
        <w:rPr>
          <w:rFonts w:cs="Arial"/>
        </w:rPr>
      </w:pPr>
    </w:p>
    <w:p w:rsidR="00D4517A" w:rsidRDefault="00FE3299" w:rsidP="00950DBF">
      <w:pPr>
        <w:autoSpaceDE w:val="0"/>
        <w:autoSpaceDN w:val="0"/>
        <w:adjustRightInd w:val="0"/>
        <w:spacing w:line="480" w:lineRule="auto"/>
        <w:ind w:firstLine="360"/>
        <w:jc w:val="both"/>
        <w:rPr>
          <w:rFonts w:cs="Arial"/>
        </w:rPr>
      </w:pPr>
      <w:r>
        <w:rPr>
          <w:rFonts w:cs="Arial"/>
        </w:rPr>
        <w:t xml:space="preserve">Ohio Power Company </w:t>
      </w:r>
      <w:r w:rsidR="007A2A19">
        <w:rPr>
          <w:rFonts w:cs="Arial"/>
        </w:rPr>
        <w:t xml:space="preserve">has positioned the </w:t>
      </w:r>
      <w:r>
        <w:rPr>
          <w:rFonts w:cs="Arial"/>
        </w:rPr>
        <w:t xml:space="preserve">proposed FAC increases </w:t>
      </w:r>
      <w:r w:rsidR="007A2A19">
        <w:rPr>
          <w:rFonts w:cs="Arial"/>
        </w:rPr>
        <w:t xml:space="preserve">to become effective in a few days </w:t>
      </w:r>
      <w:r w:rsidR="004A3320">
        <w:rPr>
          <w:rFonts w:cs="Arial"/>
        </w:rPr>
        <w:t xml:space="preserve">(and applicable to September consumption for many customers) </w:t>
      </w:r>
      <w:r w:rsidR="00950DBF">
        <w:rPr>
          <w:rFonts w:cs="Arial"/>
        </w:rPr>
        <w:t xml:space="preserve">even though </w:t>
      </w:r>
      <w:r>
        <w:rPr>
          <w:rFonts w:cs="Arial"/>
        </w:rPr>
        <w:t xml:space="preserve">the Commission </w:t>
      </w:r>
      <w:r w:rsidR="00130CFC">
        <w:rPr>
          <w:rFonts w:cs="Arial"/>
        </w:rPr>
        <w:t xml:space="preserve">has failed to complete the reconciliation associated with past </w:t>
      </w:r>
      <w:r>
        <w:rPr>
          <w:rFonts w:cs="Arial"/>
        </w:rPr>
        <w:t>FAC audits that show</w:t>
      </w:r>
      <w:r w:rsidR="00130CFC">
        <w:rPr>
          <w:rFonts w:cs="Arial"/>
        </w:rPr>
        <w:t>, among other things,</w:t>
      </w:r>
      <w:r>
        <w:rPr>
          <w:rFonts w:cs="Arial"/>
        </w:rPr>
        <w:t xml:space="preserve"> that Ohio Power Company significantly overstated </w:t>
      </w:r>
      <w:r w:rsidR="00130CFC">
        <w:rPr>
          <w:rFonts w:cs="Arial"/>
        </w:rPr>
        <w:t xml:space="preserve">prior </w:t>
      </w:r>
      <w:r>
        <w:rPr>
          <w:rFonts w:cs="Arial"/>
        </w:rPr>
        <w:t xml:space="preserve">FAC charges.  More specifically, in the </w:t>
      </w:r>
      <w:r w:rsidR="00130CFC">
        <w:rPr>
          <w:rFonts w:cs="Arial"/>
        </w:rPr>
        <w:t xml:space="preserve">Commission’s </w:t>
      </w:r>
      <w:r>
        <w:rPr>
          <w:rFonts w:cs="Arial"/>
        </w:rPr>
        <w:t xml:space="preserve">audit associated with the operation of </w:t>
      </w:r>
      <w:r w:rsidR="00130CFC">
        <w:rPr>
          <w:rFonts w:cs="Arial"/>
        </w:rPr>
        <w:t xml:space="preserve">Ohio Power Company’s </w:t>
      </w:r>
      <w:r>
        <w:rPr>
          <w:rFonts w:cs="Arial"/>
        </w:rPr>
        <w:t xml:space="preserve">FAC in 2009, the Commission discovered that Ohio Power Company accelerated the termination of a low-priced coal contract in exchange for, among other things, real estate interests.  </w:t>
      </w:r>
      <w:r w:rsidR="00950DBF">
        <w:rPr>
          <w:rFonts w:cs="Arial"/>
        </w:rPr>
        <w:t xml:space="preserve">After such termination, Ohio Power Company </w:t>
      </w:r>
      <w:r>
        <w:rPr>
          <w:rFonts w:cs="Arial"/>
        </w:rPr>
        <w:t xml:space="preserve">then purchased higher cost replacement coal and passed the higher cost on to consumers through the FAC without netting the value of the real estate against the higher coal costs </w:t>
      </w:r>
      <w:r w:rsidR="00950DBF">
        <w:rPr>
          <w:rFonts w:cs="Arial"/>
        </w:rPr>
        <w:t>(</w:t>
      </w:r>
      <w:r>
        <w:rPr>
          <w:rFonts w:cs="Arial"/>
        </w:rPr>
        <w:t xml:space="preserve">thereby overstating the costs recoverable through the </w:t>
      </w:r>
      <w:r>
        <w:rPr>
          <w:rFonts w:cs="Arial"/>
        </w:rPr>
        <w:lastRenderedPageBreak/>
        <w:t>FAC</w:t>
      </w:r>
      <w:r w:rsidR="00950DBF">
        <w:rPr>
          <w:rFonts w:cs="Arial"/>
        </w:rPr>
        <w:t>)</w:t>
      </w:r>
      <w:r>
        <w:rPr>
          <w:rFonts w:cs="Arial"/>
        </w:rPr>
        <w:t>.</w:t>
      </w:r>
      <w:r w:rsidR="00130CFC">
        <w:rPr>
          <w:rStyle w:val="FootnoteReference"/>
          <w:rFonts w:cs="Arial"/>
        </w:rPr>
        <w:footnoteReference w:id="19"/>
      </w:r>
      <w:r>
        <w:rPr>
          <w:rFonts w:cs="Arial"/>
        </w:rPr>
        <w:t xml:space="preserve">  Since the</w:t>
      </w:r>
      <w:r w:rsidR="00130CFC">
        <w:rPr>
          <w:rFonts w:cs="Arial"/>
        </w:rPr>
        <w:t>n,</w:t>
      </w:r>
      <w:r>
        <w:rPr>
          <w:rFonts w:cs="Arial"/>
        </w:rPr>
        <w:t xml:space="preserve"> </w:t>
      </w:r>
      <w:r w:rsidR="00130CFC">
        <w:rPr>
          <w:rFonts w:cs="Arial"/>
        </w:rPr>
        <w:t xml:space="preserve">the </w:t>
      </w:r>
      <w:r>
        <w:rPr>
          <w:rFonts w:cs="Arial"/>
        </w:rPr>
        <w:t>Commission has failed to remedy Ohio Power</w:t>
      </w:r>
      <w:r w:rsidR="00130CFC">
        <w:rPr>
          <w:rFonts w:cs="Arial"/>
        </w:rPr>
        <w:t xml:space="preserve"> Comp</w:t>
      </w:r>
      <w:r w:rsidR="00950DBF">
        <w:rPr>
          <w:rFonts w:cs="Arial"/>
        </w:rPr>
        <w:t>a</w:t>
      </w:r>
      <w:r w:rsidR="00130CFC">
        <w:rPr>
          <w:rFonts w:cs="Arial"/>
        </w:rPr>
        <w:t>ny</w:t>
      </w:r>
      <w:r>
        <w:rPr>
          <w:rFonts w:cs="Arial"/>
        </w:rPr>
        <w:t>’s FAC overcharge</w:t>
      </w:r>
      <w:r w:rsidR="00130CFC">
        <w:rPr>
          <w:rFonts w:cs="Arial"/>
        </w:rPr>
        <w:t xml:space="preserve"> </w:t>
      </w:r>
      <w:r w:rsidR="00950DBF">
        <w:rPr>
          <w:rFonts w:cs="Arial"/>
        </w:rPr>
        <w:t xml:space="preserve">and provide consumers </w:t>
      </w:r>
      <w:r w:rsidR="00A11DC0">
        <w:rPr>
          <w:rFonts w:cs="Arial"/>
        </w:rPr>
        <w:t xml:space="preserve">the </w:t>
      </w:r>
      <w:r w:rsidR="00130CFC">
        <w:rPr>
          <w:rFonts w:cs="Arial"/>
        </w:rPr>
        <w:t xml:space="preserve">mitigation </w:t>
      </w:r>
      <w:r w:rsidR="00950DBF">
        <w:rPr>
          <w:rFonts w:cs="Arial"/>
        </w:rPr>
        <w:t xml:space="preserve">which they are </w:t>
      </w:r>
      <w:r w:rsidR="00A11DC0">
        <w:rPr>
          <w:rFonts w:cs="Arial"/>
        </w:rPr>
        <w:t>due</w:t>
      </w:r>
      <w:r w:rsidR="00950DBF">
        <w:rPr>
          <w:rFonts w:cs="Arial"/>
        </w:rPr>
        <w:t>.</w:t>
      </w:r>
    </w:p>
    <w:p w:rsidR="00950DBF" w:rsidRDefault="00CF22AC" w:rsidP="00950DBF">
      <w:pPr>
        <w:autoSpaceDE w:val="0"/>
        <w:autoSpaceDN w:val="0"/>
        <w:adjustRightInd w:val="0"/>
        <w:spacing w:line="480" w:lineRule="auto"/>
        <w:ind w:firstLine="720"/>
        <w:jc w:val="both"/>
        <w:rPr>
          <w:b/>
        </w:rPr>
      </w:pPr>
      <w:r>
        <w:t xml:space="preserve">There is </w:t>
      </w:r>
      <w:r w:rsidR="00DD4FA8">
        <w:t xml:space="preserve">already </w:t>
      </w:r>
      <w:r>
        <w:t xml:space="preserve">a </w:t>
      </w:r>
      <w:r w:rsidR="00950DBF">
        <w:t xml:space="preserve">significant and growing conflict between the consumer benefits held out by the Commission in the </w:t>
      </w:r>
      <w:r w:rsidR="00950DBF" w:rsidRPr="000F08DD">
        <w:rPr>
          <w:i/>
        </w:rPr>
        <w:t>ESP II Case</w:t>
      </w:r>
      <w:r w:rsidR="00950DBF">
        <w:rPr>
          <w:rStyle w:val="FootnoteReference"/>
          <w:i/>
        </w:rPr>
        <w:footnoteReference w:id="20"/>
      </w:r>
      <w:r w:rsidR="00950DBF">
        <w:t xml:space="preserve"> and the real implications of the Commission’s decisions in the </w:t>
      </w:r>
      <w:r w:rsidR="00950DBF" w:rsidRPr="000F08DD">
        <w:rPr>
          <w:i/>
        </w:rPr>
        <w:t>ESP II Case</w:t>
      </w:r>
      <w:r w:rsidR="00950DBF">
        <w:t xml:space="preserve"> and other proceedings (some of which are discussed herein).  This conflict highlights the consumer-unfriendly irony </w:t>
      </w:r>
      <w:r w:rsidR="007A2A19">
        <w:t xml:space="preserve">embedded in </w:t>
      </w:r>
      <w:r w:rsidR="00950DBF">
        <w:t xml:space="preserve">this proceeding.  </w:t>
      </w:r>
      <w:r w:rsidR="00950DBF" w:rsidRPr="000F08DD">
        <w:rPr>
          <w:b/>
        </w:rPr>
        <w:t xml:space="preserve">It is the Commission’s </w:t>
      </w:r>
      <w:r w:rsidR="00950DBF">
        <w:rPr>
          <w:b/>
        </w:rPr>
        <w:t xml:space="preserve">unreasonable and unlawful </w:t>
      </w:r>
      <w:r w:rsidR="00950DBF" w:rsidRPr="000F08DD">
        <w:rPr>
          <w:b/>
        </w:rPr>
        <w:t xml:space="preserve">transition (and not the market) </w:t>
      </w:r>
      <w:r w:rsidR="00950DBF">
        <w:rPr>
          <w:b/>
        </w:rPr>
        <w:t xml:space="preserve">accompanied by the Commission’s procrastination in cases where </w:t>
      </w:r>
      <w:r w:rsidR="007A2A19">
        <w:rPr>
          <w:b/>
        </w:rPr>
        <w:t xml:space="preserve">Ohio Power </w:t>
      </w:r>
      <w:r w:rsidR="001C5A25">
        <w:rPr>
          <w:b/>
        </w:rPr>
        <w:t xml:space="preserve">Company </w:t>
      </w:r>
      <w:r w:rsidR="007A2A19">
        <w:rPr>
          <w:b/>
        </w:rPr>
        <w:t xml:space="preserve">has been shown to have overcharged consumers </w:t>
      </w:r>
      <w:r w:rsidR="00950DBF" w:rsidRPr="000F08DD">
        <w:rPr>
          <w:b/>
        </w:rPr>
        <w:t xml:space="preserve">that </w:t>
      </w:r>
      <w:r w:rsidR="007A2A19">
        <w:rPr>
          <w:b/>
        </w:rPr>
        <w:t xml:space="preserve">are </w:t>
      </w:r>
      <w:r w:rsidR="00950DBF" w:rsidRPr="000F08DD">
        <w:rPr>
          <w:b/>
        </w:rPr>
        <w:t>causing significant harm to consumers</w:t>
      </w:r>
      <w:r w:rsidR="00950DBF">
        <w:rPr>
          <w:b/>
        </w:rPr>
        <w:t>.</w:t>
      </w:r>
    </w:p>
    <w:p w:rsidR="0068288B" w:rsidRDefault="00FB1069" w:rsidP="00577C90">
      <w:pPr>
        <w:pStyle w:val="Heading1"/>
      </w:pPr>
      <w:bookmarkStart w:id="1" w:name="_Toc366232150"/>
      <w:r>
        <w:t xml:space="preserve">REPLY </w:t>
      </w:r>
      <w:r w:rsidR="0068288B">
        <w:t>Comments</w:t>
      </w:r>
      <w:bookmarkEnd w:id="1"/>
    </w:p>
    <w:p w:rsidR="002736CB" w:rsidRDefault="00CF33E7" w:rsidP="00CF33E7">
      <w:pPr>
        <w:pStyle w:val="Heading2"/>
      </w:pPr>
      <w:bookmarkStart w:id="2" w:name="_Toc366232151"/>
      <w:r>
        <w:t>Ohio Power Company</w:t>
      </w:r>
      <w:bookmarkEnd w:id="2"/>
    </w:p>
    <w:p w:rsidR="00093281" w:rsidRDefault="00CF33E7" w:rsidP="002736CB">
      <w:pPr>
        <w:autoSpaceDE w:val="0"/>
        <w:autoSpaceDN w:val="0"/>
        <w:adjustRightInd w:val="0"/>
        <w:spacing w:line="480" w:lineRule="auto"/>
        <w:ind w:firstLine="720"/>
        <w:jc w:val="both"/>
        <w:rPr>
          <w:rFonts w:cs="Arial"/>
        </w:rPr>
      </w:pPr>
      <w:r>
        <w:rPr>
          <w:rFonts w:cs="Arial"/>
        </w:rPr>
        <w:t xml:space="preserve">For some time now, the Commission has </w:t>
      </w:r>
      <w:r w:rsidR="007A2A19">
        <w:rPr>
          <w:rFonts w:cs="Arial"/>
        </w:rPr>
        <w:t xml:space="preserve">implied </w:t>
      </w:r>
      <w:r w:rsidR="00093281">
        <w:rPr>
          <w:rFonts w:cs="Arial"/>
        </w:rPr>
        <w:t xml:space="preserve">that </w:t>
      </w:r>
      <w:r>
        <w:rPr>
          <w:rFonts w:cs="Arial"/>
        </w:rPr>
        <w:t xml:space="preserve">the excessive electric bills and accompanying barriers to </w:t>
      </w:r>
      <w:r w:rsidR="00DD4FA8">
        <w:rPr>
          <w:rFonts w:cs="Arial"/>
        </w:rPr>
        <w:t xml:space="preserve">“customer choice” </w:t>
      </w:r>
      <w:r w:rsidR="00093281">
        <w:rPr>
          <w:rFonts w:cs="Arial"/>
        </w:rPr>
        <w:t xml:space="preserve">that it sanctioned in the </w:t>
      </w:r>
      <w:r w:rsidR="00093281" w:rsidRPr="00093281">
        <w:rPr>
          <w:rFonts w:cs="Arial"/>
          <w:i/>
        </w:rPr>
        <w:t>ESP II Case</w:t>
      </w:r>
      <w:r w:rsidR="00093281">
        <w:rPr>
          <w:rFonts w:cs="Arial"/>
        </w:rPr>
        <w:t xml:space="preserve"> are </w:t>
      </w:r>
      <w:r>
        <w:rPr>
          <w:rFonts w:cs="Arial"/>
        </w:rPr>
        <w:t xml:space="preserve">the price that </w:t>
      </w:r>
      <w:r w:rsidR="00514515">
        <w:rPr>
          <w:rFonts w:cs="Arial"/>
        </w:rPr>
        <w:t xml:space="preserve">consumers </w:t>
      </w:r>
      <w:r w:rsidR="007A2A19">
        <w:rPr>
          <w:rFonts w:cs="Arial"/>
        </w:rPr>
        <w:t xml:space="preserve">must </w:t>
      </w:r>
      <w:r w:rsidR="00514515">
        <w:rPr>
          <w:rFonts w:cs="Arial"/>
        </w:rPr>
        <w:t xml:space="preserve">pay </w:t>
      </w:r>
      <w:r w:rsidR="00DD4FA8">
        <w:rPr>
          <w:rFonts w:cs="Arial"/>
        </w:rPr>
        <w:t xml:space="preserve">now to obtain, in the future, </w:t>
      </w:r>
      <w:r w:rsidR="007A2A19">
        <w:rPr>
          <w:rFonts w:cs="Arial"/>
        </w:rPr>
        <w:t xml:space="preserve">default generation supply </w:t>
      </w:r>
      <w:r w:rsidR="009C175A">
        <w:rPr>
          <w:rFonts w:cs="Arial"/>
        </w:rPr>
        <w:t xml:space="preserve">prices </w:t>
      </w:r>
      <w:r w:rsidR="00DD4FA8">
        <w:rPr>
          <w:rFonts w:cs="Arial"/>
        </w:rPr>
        <w:t xml:space="preserve">set </w:t>
      </w:r>
      <w:r w:rsidR="007A2A19">
        <w:rPr>
          <w:rFonts w:cs="Arial"/>
        </w:rPr>
        <w:t xml:space="preserve">through a competitive bid process (the size and shape of which is being </w:t>
      </w:r>
      <w:r w:rsidR="00DD4FA8">
        <w:rPr>
          <w:rFonts w:cs="Arial"/>
        </w:rPr>
        <w:t xml:space="preserve">or will be </w:t>
      </w:r>
      <w:r w:rsidR="007A2A19">
        <w:rPr>
          <w:rFonts w:cs="Arial"/>
        </w:rPr>
        <w:t xml:space="preserve">contested elsewhere).  </w:t>
      </w:r>
      <w:r w:rsidR="00093281">
        <w:rPr>
          <w:rFonts w:cs="Arial"/>
        </w:rPr>
        <w:t>For example, the press release issued by the Commission on August, 8, 2012</w:t>
      </w:r>
      <w:r w:rsidR="001C5A25">
        <w:rPr>
          <w:rFonts w:cs="Arial"/>
        </w:rPr>
        <w:t>,</w:t>
      </w:r>
      <w:r w:rsidR="00093281">
        <w:rPr>
          <w:rStyle w:val="FootnoteReference"/>
          <w:rFonts w:cs="Arial"/>
        </w:rPr>
        <w:footnoteReference w:id="21"/>
      </w:r>
      <w:r w:rsidR="00093281">
        <w:rPr>
          <w:rFonts w:cs="Arial"/>
        </w:rPr>
        <w:t xml:space="preserve"> the day the decision in the </w:t>
      </w:r>
      <w:r w:rsidR="00093281" w:rsidRPr="00A11DC0">
        <w:rPr>
          <w:rFonts w:cs="Arial"/>
          <w:i/>
        </w:rPr>
        <w:t>ESP II Case</w:t>
      </w:r>
      <w:r w:rsidR="00093281">
        <w:rPr>
          <w:rFonts w:cs="Arial"/>
        </w:rPr>
        <w:t xml:space="preserve"> was issued, contained the following quote:</w:t>
      </w:r>
    </w:p>
    <w:p w:rsidR="00093281" w:rsidRDefault="00093281" w:rsidP="00093281">
      <w:pPr>
        <w:autoSpaceDE w:val="0"/>
        <w:autoSpaceDN w:val="0"/>
        <w:adjustRightInd w:val="0"/>
        <w:ind w:left="720" w:right="720"/>
        <w:jc w:val="both"/>
        <w:rPr>
          <w:rFonts w:cs="Arial"/>
          <w:color w:val="000000"/>
        </w:rPr>
      </w:pPr>
      <w:r>
        <w:rPr>
          <w:rFonts w:cs="Arial"/>
          <w:color w:val="000000"/>
        </w:rPr>
        <w:lastRenderedPageBreak/>
        <w:t>‘</w:t>
      </w:r>
      <w:r w:rsidRPr="00093281">
        <w:rPr>
          <w:rFonts w:cs="Arial"/>
          <w:color w:val="000000"/>
        </w:rPr>
        <w:t>We are confident that this modified ESP will result in the outcome the General Assembly intended under both Senate Bill 3 and Senate Bill 221, and best represents a balance in the interests of both consumers and AEP-Ohio,</w:t>
      </w:r>
      <w:r>
        <w:rPr>
          <w:rFonts w:cs="Arial"/>
          <w:color w:val="000000"/>
        </w:rPr>
        <w:t>’</w:t>
      </w:r>
      <w:r w:rsidRPr="00093281">
        <w:rPr>
          <w:rFonts w:cs="Arial"/>
          <w:color w:val="000000"/>
        </w:rPr>
        <w:t xml:space="preserve"> said PU</w:t>
      </w:r>
      <w:r>
        <w:rPr>
          <w:rFonts w:cs="Arial"/>
          <w:color w:val="000000"/>
        </w:rPr>
        <w:t xml:space="preserve">CO Chairman Todd A. Snitchler. </w:t>
      </w:r>
      <w:r w:rsidR="00DD4FA8">
        <w:rPr>
          <w:rFonts w:cs="Arial"/>
          <w:color w:val="000000"/>
        </w:rPr>
        <w:t xml:space="preserve"> </w:t>
      </w:r>
      <w:r>
        <w:rPr>
          <w:rFonts w:cs="Arial"/>
          <w:color w:val="000000"/>
        </w:rPr>
        <w:t>‘</w:t>
      </w:r>
      <w:r w:rsidRPr="00093281">
        <w:rPr>
          <w:rFonts w:cs="Arial"/>
          <w:color w:val="000000"/>
        </w:rPr>
        <w:t>Today’s order leads us towards more robust competition in the state of Ohio in less than three years. It also provides mechanisms for consumer protection, and maintains that AEP-Ohio continues to provide adequate, safe, and reli</w:t>
      </w:r>
      <w:r>
        <w:rPr>
          <w:rFonts w:cs="Arial"/>
          <w:color w:val="000000"/>
        </w:rPr>
        <w:t>able service to its customers.’</w:t>
      </w:r>
    </w:p>
    <w:p w:rsidR="00093281" w:rsidRPr="00093281" w:rsidRDefault="00093281" w:rsidP="00093281">
      <w:pPr>
        <w:autoSpaceDE w:val="0"/>
        <w:autoSpaceDN w:val="0"/>
        <w:adjustRightInd w:val="0"/>
        <w:jc w:val="both"/>
        <w:rPr>
          <w:rFonts w:cs="Arial"/>
        </w:rPr>
      </w:pPr>
    </w:p>
    <w:p w:rsidR="00B54A03" w:rsidRDefault="00D4517A" w:rsidP="00093281">
      <w:pPr>
        <w:autoSpaceDE w:val="0"/>
        <w:autoSpaceDN w:val="0"/>
        <w:adjustRightInd w:val="0"/>
        <w:spacing w:line="480" w:lineRule="auto"/>
        <w:jc w:val="both"/>
        <w:rPr>
          <w:rFonts w:cs="Arial"/>
        </w:rPr>
      </w:pPr>
      <w:r>
        <w:rPr>
          <w:rFonts w:cs="Arial"/>
        </w:rPr>
        <w:t>T</w:t>
      </w:r>
      <w:r w:rsidR="00CF33E7">
        <w:rPr>
          <w:rFonts w:cs="Arial"/>
        </w:rPr>
        <w:t>h</w:t>
      </w:r>
      <w:r w:rsidR="00093281">
        <w:rPr>
          <w:rFonts w:cs="Arial"/>
        </w:rPr>
        <w:t xml:space="preserve">e </w:t>
      </w:r>
      <w:r w:rsidR="00D72668">
        <w:rPr>
          <w:rFonts w:cs="Arial"/>
        </w:rPr>
        <w:t xml:space="preserve">exchange </w:t>
      </w:r>
      <w:r w:rsidR="00093281">
        <w:rPr>
          <w:rFonts w:cs="Arial"/>
        </w:rPr>
        <w:t xml:space="preserve">implied in the Commission’s efforts to explain its </w:t>
      </w:r>
      <w:r w:rsidR="00093281" w:rsidRPr="00093281">
        <w:rPr>
          <w:rFonts w:cs="Arial"/>
          <w:i/>
        </w:rPr>
        <w:t>ESP II Case</w:t>
      </w:r>
      <w:r w:rsidR="00093281">
        <w:rPr>
          <w:rFonts w:cs="Arial"/>
        </w:rPr>
        <w:t xml:space="preserve"> decision </w:t>
      </w:r>
      <w:r w:rsidR="00CF33E7">
        <w:rPr>
          <w:rFonts w:cs="Arial"/>
        </w:rPr>
        <w:t xml:space="preserve">ignores the illegality embedded in </w:t>
      </w:r>
      <w:r w:rsidR="00514515">
        <w:rPr>
          <w:rFonts w:cs="Arial"/>
        </w:rPr>
        <w:t>th</w:t>
      </w:r>
      <w:r w:rsidR="00D72668">
        <w:rPr>
          <w:rFonts w:cs="Arial"/>
        </w:rPr>
        <w:t xml:space="preserve">e Commission’s authorization of a </w:t>
      </w:r>
      <w:r w:rsidR="00514515">
        <w:rPr>
          <w:rFonts w:cs="Arial"/>
        </w:rPr>
        <w:t>second transition to market</w:t>
      </w:r>
      <w:r>
        <w:rPr>
          <w:rFonts w:cs="Arial"/>
        </w:rPr>
        <w:t xml:space="preserve">.  </w:t>
      </w:r>
      <w:r w:rsidR="00B54A03">
        <w:rPr>
          <w:rFonts w:cs="Arial"/>
        </w:rPr>
        <w:t xml:space="preserve">The Commission also seems to be ignoring the fact that enforcing compliance with Ohio’s corporate separation requirements which have been in effect since January 1, 2001 would effectively require the separated electric distribution utility </w:t>
      </w:r>
      <w:r w:rsidR="00723A11">
        <w:rPr>
          <w:rFonts w:cs="Arial"/>
        </w:rPr>
        <w:t xml:space="preserve">(“EDU”) </w:t>
      </w:r>
      <w:r w:rsidR="00B54A03">
        <w:rPr>
          <w:rFonts w:cs="Arial"/>
        </w:rPr>
        <w:t>to procure default generation supply from the market as a result of the standards that have been adopted by the Federal Energy Regulatory Commission</w:t>
      </w:r>
      <w:r w:rsidR="00A45791">
        <w:rPr>
          <w:rFonts w:cs="Arial"/>
        </w:rPr>
        <w:t xml:space="preserve"> (“FERC”)</w:t>
      </w:r>
      <w:r w:rsidR="00B54A03">
        <w:rPr>
          <w:rFonts w:cs="Arial"/>
        </w:rPr>
        <w:t>.</w:t>
      </w:r>
      <w:r w:rsidR="00B54A03">
        <w:rPr>
          <w:rStyle w:val="FootnoteReference"/>
          <w:rFonts w:cs="Arial"/>
        </w:rPr>
        <w:footnoteReference w:id="22"/>
      </w:r>
      <w:r w:rsidR="00B54A03">
        <w:rPr>
          <w:rFonts w:cs="Arial"/>
        </w:rPr>
        <w:t xml:space="preserve">  By authorizing further delay with such compliance</w:t>
      </w:r>
      <w:r w:rsidR="00A45791">
        <w:rPr>
          <w:rFonts w:cs="Arial"/>
        </w:rPr>
        <w:t xml:space="preserve"> as the Commission did in the </w:t>
      </w:r>
      <w:r w:rsidR="00A45791" w:rsidRPr="00190671">
        <w:rPr>
          <w:rFonts w:cs="Arial"/>
          <w:i/>
        </w:rPr>
        <w:t>ESP II Case</w:t>
      </w:r>
      <w:r w:rsidR="00A45791">
        <w:rPr>
          <w:rFonts w:cs="Arial"/>
        </w:rPr>
        <w:t xml:space="preserve"> and more recently in </w:t>
      </w:r>
      <w:r w:rsidR="00A45791" w:rsidRPr="00190671">
        <w:rPr>
          <w:rFonts w:cs="Arial"/>
          <w:i/>
        </w:rPr>
        <w:t>In the Matter of the Application of The Dayton Power and Light Company for Approval of its Electric Security Plan</w:t>
      </w:r>
      <w:r w:rsidR="00A45791">
        <w:rPr>
          <w:rFonts w:cs="Arial"/>
        </w:rPr>
        <w:t>, Case Nos. 12-426-EL-SSO</w:t>
      </w:r>
      <w:r w:rsidR="00F7087D">
        <w:rPr>
          <w:rFonts w:cs="Arial"/>
        </w:rPr>
        <w:t>,</w:t>
      </w:r>
      <w:r w:rsidR="00A45791">
        <w:rPr>
          <w:rFonts w:cs="Arial"/>
        </w:rPr>
        <w:t xml:space="preserve"> </w:t>
      </w:r>
      <w:r w:rsidR="00A45791" w:rsidRPr="00190671">
        <w:rPr>
          <w:rFonts w:cs="Arial"/>
          <w:i/>
        </w:rPr>
        <w:t>et al.</w:t>
      </w:r>
      <w:r w:rsidR="00A45791">
        <w:rPr>
          <w:rFonts w:cs="Arial"/>
        </w:rPr>
        <w:t xml:space="preserve">, </w:t>
      </w:r>
      <w:r w:rsidR="00F7087D">
        <w:rPr>
          <w:rFonts w:cs="Arial"/>
        </w:rPr>
        <w:t xml:space="preserve">Opinion and Order </w:t>
      </w:r>
      <w:r w:rsidR="00A45791">
        <w:rPr>
          <w:rFonts w:cs="Arial"/>
        </w:rPr>
        <w:t>(September 6, 2013)</w:t>
      </w:r>
      <w:r w:rsidR="00B54A03">
        <w:rPr>
          <w:rFonts w:cs="Arial"/>
        </w:rPr>
        <w:t xml:space="preserve">, the Commission </w:t>
      </w:r>
      <w:r w:rsidR="00A45791">
        <w:rPr>
          <w:rFonts w:cs="Arial"/>
        </w:rPr>
        <w:t xml:space="preserve">has </w:t>
      </w:r>
      <w:r w:rsidR="00B54A03">
        <w:rPr>
          <w:rFonts w:cs="Arial"/>
        </w:rPr>
        <w:t>actually delay</w:t>
      </w:r>
      <w:r w:rsidR="00A45791">
        <w:rPr>
          <w:rFonts w:cs="Arial"/>
        </w:rPr>
        <w:t xml:space="preserve">ed accomplishing </w:t>
      </w:r>
      <w:r w:rsidR="00B54A03">
        <w:rPr>
          <w:rFonts w:cs="Arial"/>
        </w:rPr>
        <w:t>the “competition” goal that the Commission claims to be advancing</w:t>
      </w:r>
      <w:r w:rsidR="00A45791">
        <w:rPr>
          <w:rFonts w:cs="Arial"/>
        </w:rPr>
        <w:t xml:space="preserve"> while inflicting considerable damage on the consumers the Commission claims to be helping</w:t>
      </w:r>
      <w:r w:rsidR="0015214F">
        <w:rPr>
          <w:rFonts w:cs="Arial"/>
        </w:rPr>
        <w:t>.</w:t>
      </w:r>
    </w:p>
    <w:p w:rsidR="00CF33E7" w:rsidRDefault="00D4517A" w:rsidP="00190671">
      <w:pPr>
        <w:autoSpaceDE w:val="0"/>
        <w:autoSpaceDN w:val="0"/>
        <w:adjustRightInd w:val="0"/>
        <w:spacing w:line="480" w:lineRule="auto"/>
        <w:ind w:firstLine="720"/>
        <w:jc w:val="both"/>
        <w:rPr>
          <w:rFonts w:cs="Arial"/>
        </w:rPr>
      </w:pPr>
      <w:r>
        <w:rPr>
          <w:rFonts w:cs="Arial"/>
        </w:rPr>
        <w:t>But</w:t>
      </w:r>
      <w:r w:rsidR="00CF33E7">
        <w:rPr>
          <w:rFonts w:cs="Arial"/>
        </w:rPr>
        <w:t xml:space="preserve"> </w:t>
      </w:r>
      <w:r>
        <w:rPr>
          <w:rFonts w:cs="Arial"/>
        </w:rPr>
        <w:t xml:space="preserve">even assuming that the Commission had the authority to </w:t>
      </w:r>
      <w:r w:rsidR="00D72668">
        <w:rPr>
          <w:rFonts w:cs="Arial"/>
        </w:rPr>
        <w:t xml:space="preserve">allow </w:t>
      </w:r>
      <w:r w:rsidR="00A11DC0">
        <w:rPr>
          <w:rFonts w:cs="Arial"/>
        </w:rPr>
        <w:t xml:space="preserve">Ohio Power Company to </w:t>
      </w:r>
      <w:r>
        <w:rPr>
          <w:rFonts w:cs="Arial"/>
        </w:rPr>
        <w:t xml:space="preserve">deprive consumers of the </w:t>
      </w:r>
      <w:r w:rsidR="00514515">
        <w:rPr>
          <w:rFonts w:cs="Arial"/>
        </w:rPr>
        <w:t xml:space="preserve">electric bill reduction </w:t>
      </w:r>
      <w:r>
        <w:rPr>
          <w:rFonts w:cs="Arial"/>
        </w:rPr>
        <w:t xml:space="preserve">benefits they are due under </w:t>
      </w:r>
      <w:r w:rsidR="00514515">
        <w:rPr>
          <w:rFonts w:cs="Arial"/>
        </w:rPr>
        <w:lastRenderedPageBreak/>
        <w:t>the law</w:t>
      </w:r>
      <w:r>
        <w:rPr>
          <w:rFonts w:cs="Arial"/>
        </w:rPr>
        <w:t xml:space="preserve">, </w:t>
      </w:r>
      <w:r w:rsidR="00CF33E7">
        <w:rPr>
          <w:rFonts w:cs="Arial"/>
        </w:rPr>
        <w:t xml:space="preserve">the Comments filed by Ohio Power Company make it unmistakably clear that </w:t>
      </w:r>
      <w:r>
        <w:rPr>
          <w:rFonts w:cs="Arial"/>
        </w:rPr>
        <w:t xml:space="preserve">it rejects the Commission’s </w:t>
      </w:r>
      <w:r w:rsidR="00D72668">
        <w:rPr>
          <w:rFonts w:cs="Arial"/>
        </w:rPr>
        <w:t xml:space="preserve">view about what will happen in June 2015.  </w:t>
      </w:r>
      <w:r w:rsidR="00A11DC0">
        <w:rPr>
          <w:rFonts w:cs="Arial"/>
        </w:rPr>
        <w:t>At the beginning of its comments in this proceeding, Ohio Power Company states</w:t>
      </w:r>
      <w:r w:rsidR="00D72668">
        <w:rPr>
          <w:rFonts w:cs="Arial"/>
        </w:rPr>
        <w:t xml:space="preserve"> (emphasis added)</w:t>
      </w:r>
      <w:r w:rsidR="00A11DC0">
        <w:rPr>
          <w:rFonts w:cs="Arial"/>
        </w:rPr>
        <w:t>:</w:t>
      </w:r>
    </w:p>
    <w:p w:rsidR="00A11DC0" w:rsidRDefault="005D123E" w:rsidP="005D123E">
      <w:pPr>
        <w:autoSpaceDE w:val="0"/>
        <w:autoSpaceDN w:val="0"/>
        <w:adjustRightInd w:val="0"/>
        <w:ind w:left="720" w:right="720" w:firstLine="720"/>
        <w:jc w:val="both"/>
        <w:rPr>
          <w:rFonts w:cs="Arial"/>
        </w:rPr>
      </w:pPr>
      <w:r>
        <w:rPr>
          <w:rFonts w:cs="Arial"/>
        </w:rPr>
        <w:t>In adopting the modified Electric Security Plan for Ohio Power Company d/b/a AEP</w:t>
      </w:r>
      <w:r w:rsidR="001C5A25">
        <w:rPr>
          <w:rFonts w:cs="Arial"/>
        </w:rPr>
        <w:t xml:space="preserve"> </w:t>
      </w:r>
      <w:r>
        <w:rPr>
          <w:rFonts w:cs="Arial"/>
        </w:rPr>
        <w:t xml:space="preserve">Ohio (“AEP Ohio” or the “Company”) in Case Nos. 11-346-EL-SSO </w:t>
      </w:r>
      <w:r w:rsidRPr="005D123E">
        <w:rPr>
          <w:rFonts w:cs="Arial"/>
          <w:i/>
        </w:rPr>
        <w:t>et al</w:t>
      </w:r>
      <w:r>
        <w:rPr>
          <w:rFonts w:cs="Arial"/>
        </w:rPr>
        <w:t>., the Commission incorporated three energy-only auctions during the ESP term: (1) a 10% energy-only auction initially; (2) a 60% energy-only auction starting in June 2014; and (3) a 100% energy-only auction from January to May 2015.  As part of the Opinion and Order in the 11-346 cases, the Commission (at 15-16) directed the attorney examiners ‘to establish a new docket within 90 days of the opinion and order and issue an entry establishing a procedural schedule to allow the Staff and any interested party to consider means to mitigate any potential adverse impacts upon rates set by auction.’  This passage from the 11-346 decision is the basis for initiation of this docket and it governs the scope and purpose of this inquiry.</w:t>
      </w:r>
    </w:p>
    <w:p w:rsidR="00CB733E" w:rsidRDefault="00CB733E" w:rsidP="005D123E">
      <w:pPr>
        <w:autoSpaceDE w:val="0"/>
        <w:autoSpaceDN w:val="0"/>
        <w:adjustRightInd w:val="0"/>
        <w:ind w:left="720" w:right="720" w:firstLine="720"/>
        <w:jc w:val="both"/>
        <w:rPr>
          <w:rFonts w:cs="Arial"/>
        </w:rPr>
      </w:pPr>
    </w:p>
    <w:p w:rsidR="005D123E" w:rsidRDefault="005D123E" w:rsidP="005D123E">
      <w:pPr>
        <w:autoSpaceDE w:val="0"/>
        <w:autoSpaceDN w:val="0"/>
        <w:adjustRightInd w:val="0"/>
        <w:ind w:left="720" w:right="720" w:firstLine="720"/>
        <w:jc w:val="both"/>
        <w:rPr>
          <w:rFonts w:cs="Arial"/>
        </w:rPr>
      </w:pPr>
      <w:r>
        <w:rPr>
          <w:rFonts w:cs="Arial"/>
        </w:rPr>
        <w:t>The June 27, 2013 Entry initiating this docket uses the potentially broader – but ambiguous – concept of ‘</w:t>
      </w:r>
      <w:r w:rsidR="001C5A25">
        <w:rPr>
          <w:rFonts w:cs="Arial"/>
        </w:rPr>
        <w:t xml:space="preserve">the </w:t>
      </w:r>
      <w:r>
        <w:rPr>
          <w:rFonts w:cs="Arial"/>
        </w:rPr>
        <w:t xml:space="preserve">shift </w:t>
      </w:r>
      <w:r w:rsidR="00D72668">
        <w:rPr>
          <w:rFonts w:cs="Arial"/>
        </w:rPr>
        <w:t xml:space="preserve">to market based rates.’  But the Entry is necessarily limited to the scope of the 11-346 Opinion and Order and must be interpreted and applied in a consistent manner, as it is merely implementing that decision (which is final and being reviewed by the Supreme Court).  </w:t>
      </w:r>
      <w:r w:rsidR="00D72668" w:rsidRPr="00D72668">
        <w:rPr>
          <w:rFonts w:cs="Arial"/>
          <w:b/>
        </w:rPr>
        <w:t xml:space="preserve">In a similar vein, it must be understood that the inquiry here can only relate to the current ESP term and cannot relate to the </w:t>
      </w:r>
      <w:r w:rsidR="001C5A25">
        <w:rPr>
          <w:rFonts w:cs="Arial"/>
          <w:b/>
        </w:rPr>
        <w:t xml:space="preserve">SSO </w:t>
      </w:r>
      <w:r w:rsidR="00D72668" w:rsidRPr="00D72668">
        <w:rPr>
          <w:rFonts w:cs="Arial"/>
          <w:b/>
        </w:rPr>
        <w:t xml:space="preserve">plan that will commence in June </w:t>
      </w:r>
      <w:r w:rsidR="001C5A25">
        <w:rPr>
          <w:rFonts w:cs="Arial"/>
          <w:b/>
        </w:rPr>
        <w:t xml:space="preserve">of </w:t>
      </w:r>
      <w:r w:rsidR="00D72668" w:rsidRPr="00D72668">
        <w:rPr>
          <w:rFonts w:cs="Arial"/>
          <w:b/>
        </w:rPr>
        <w:t>2015, which itself will establish rates going forward from that date.  No firm presumption</w:t>
      </w:r>
      <w:r w:rsidR="001C5A25">
        <w:rPr>
          <w:rFonts w:cs="Arial"/>
          <w:b/>
        </w:rPr>
        <w:t>s</w:t>
      </w:r>
      <w:r w:rsidR="00D72668" w:rsidRPr="00D72668">
        <w:rPr>
          <w:rFonts w:cs="Arial"/>
          <w:b/>
        </w:rPr>
        <w:t xml:space="preserve"> or assumptions can be made about the next SSO rate plan, how the competitive bid</w:t>
      </w:r>
      <w:r w:rsidR="001C5A25">
        <w:rPr>
          <w:rFonts w:cs="Arial"/>
          <w:b/>
        </w:rPr>
        <w:t>ding</w:t>
      </w:r>
      <w:r w:rsidR="00D72668" w:rsidRPr="00D72668">
        <w:rPr>
          <w:rFonts w:cs="Arial"/>
          <w:b/>
        </w:rPr>
        <w:t xml:space="preserve"> process will work post-June 2015, or the rates to be paid by any particular customer group.</w:t>
      </w:r>
      <w:r w:rsidR="00D72668" w:rsidRPr="00190671">
        <w:rPr>
          <w:rStyle w:val="FootnoteReference"/>
          <w:rFonts w:cs="Arial"/>
        </w:rPr>
        <w:footnoteReference w:id="23"/>
      </w:r>
    </w:p>
    <w:p w:rsidR="00D4517A" w:rsidRDefault="00D4517A" w:rsidP="005D123E">
      <w:pPr>
        <w:autoSpaceDE w:val="0"/>
        <w:autoSpaceDN w:val="0"/>
        <w:adjustRightInd w:val="0"/>
        <w:jc w:val="both"/>
        <w:rPr>
          <w:rFonts w:cs="Arial"/>
        </w:rPr>
      </w:pPr>
    </w:p>
    <w:p w:rsidR="00D4517A" w:rsidRDefault="00CC50FB" w:rsidP="00093281">
      <w:pPr>
        <w:autoSpaceDE w:val="0"/>
        <w:autoSpaceDN w:val="0"/>
        <w:adjustRightInd w:val="0"/>
        <w:spacing w:line="480" w:lineRule="auto"/>
        <w:jc w:val="both"/>
        <w:rPr>
          <w:rFonts w:cs="Arial"/>
        </w:rPr>
      </w:pPr>
      <w:r>
        <w:rPr>
          <w:rFonts w:cs="Arial"/>
        </w:rPr>
        <w:t>Thus, Ohio Power Company’s Comments indicate that issues associated with the establishment of post</w:t>
      </w:r>
      <w:r w:rsidR="001C5A25">
        <w:rPr>
          <w:rFonts w:cs="Arial"/>
        </w:rPr>
        <w:t>-</w:t>
      </w:r>
      <w:r>
        <w:rPr>
          <w:rFonts w:cs="Arial"/>
        </w:rPr>
        <w:t xml:space="preserve">June 2015 default generation supply prices have not been resolved and will not be resolved until Ohio Power Company </w:t>
      </w:r>
      <w:r w:rsidR="00DD4FA8">
        <w:rPr>
          <w:rFonts w:cs="Arial"/>
        </w:rPr>
        <w:t>presents its “next SSO rate plan</w:t>
      </w:r>
      <w:r w:rsidR="001C5A25">
        <w:rPr>
          <w:rFonts w:cs="Arial"/>
        </w:rPr>
        <w:t> </w:t>
      </w:r>
      <w:r w:rsidR="00DD4FA8">
        <w:rPr>
          <w:rFonts w:cs="Arial"/>
        </w:rPr>
        <w:t>…</w:t>
      </w:r>
      <w:r w:rsidR="001C5A25">
        <w:rPr>
          <w:rFonts w:cs="Arial"/>
        </w:rPr>
        <w:t>.</w:t>
      </w:r>
      <w:r w:rsidR="00DD4FA8">
        <w:rPr>
          <w:rFonts w:cs="Arial"/>
        </w:rPr>
        <w:t>”</w:t>
      </w:r>
    </w:p>
    <w:p w:rsidR="0025139B" w:rsidRDefault="0025139B">
      <w:pPr>
        <w:rPr>
          <w:rFonts w:eastAsiaTheme="majorEastAsia" w:cs="Arial"/>
          <w:b/>
          <w:bCs/>
          <w:szCs w:val="26"/>
        </w:rPr>
      </w:pPr>
      <w:bookmarkStart w:id="3" w:name="_Toc366232152"/>
      <w:r>
        <w:br w:type="page"/>
      </w:r>
    </w:p>
    <w:p w:rsidR="00DD4FA8" w:rsidRDefault="00DD4FA8" w:rsidP="00DD4FA8">
      <w:pPr>
        <w:pStyle w:val="Heading2"/>
      </w:pPr>
      <w:r>
        <w:lastRenderedPageBreak/>
        <w:t>Staff of the Public Utilities Commission of Ohio</w:t>
      </w:r>
      <w:bookmarkEnd w:id="3"/>
    </w:p>
    <w:p w:rsidR="00540112" w:rsidRDefault="00DD4FA8" w:rsidP="009F59C3">
      <w:pPr>
        <w:spacing w:line="480" w:lineRule="auto"/>
        <w:ind w:firstLine="720"/>
        <w:jc w:val="both"/>
      </w:pPr>
      <w:r>
        <w:t xml:space="preserve">On August 12, 2013, the Staff of the Commission filed Initial Comments and Recommendations.  The Staff’s comments </w:t>
      </w:r>
      <w:r w:rsidR="00540112">
        <w:t xml:space="preserve">suggest a similar timing problem to that identified in </w:t>
      </w:r>
      <w:r>
        <w:t>the comments submitted by IEU-Ohio</w:t>
      </w:r>
      <w:r w:rsidR="00540112">
        <w:t xml:space="preserve">; at the present time </w:t>
      </w:r>
      <w:r>
        <w:t>it is not possible to know if, when or where any Commission mitigation may be needed</w:t>
      </w:r>
      <w:r w:rsidR="009F59C3">
        <w:t>.</w:t>
      </w:r>
      <w:r w:rsidR="00217944">
        <w:rPr>
          <w:rStyle w:val="FootnoteReference"/>
        </w:rPr>
        <w:footnoteReference w:id="24"/>
      </w:r>
      <w:r w:rsidR="009F59C3">
        <w:t xml:space="preserve">  </w:t>
      </w:r>
      <w:r w:rsidR="00540112">
        <w:t xml:space="preserve">But </w:t>
      </w:r>
      <w:r w:rsidR="009F59C3">
        <w:t xml:space="preserve">the </w:t>
      </w:r>
      <w:r w:rsidR="00540112">
        <w:t xml:space="preserve">current </w:t>
      </w:r>
      <w:r w:rsidR="009F59C3">
        <w:t xml:space="preserve">knowledge gap </w:t>
      </w:r>
      <w:r w:rsidR="00540112">
        <w:t xml:space="preserve">described in the Staff’s Initial Comments and Recommendations </w:t>
      </w:r>
      <w:r w:rsidR="009F59C3">
        <w:t xml:space="preserve">is much broader than the Staff’s Initial Comments </w:t>
      </w:r>
      <w:r w:rsidR="002B51DC">
        <w:t xml:space="preserve">and Recommendations </w:t>
      </w:r>
      <w:r w:rsidR="009F59C3">
        <w:t xml:space="preserve">suggest.  </w:t>
      </w:r>
      <w:r w:rsidR="00540112">
        <w:t xml:space="preserve">Contrary to the implications of the Staff’s </w:t>
      </w:r>
      <w:r w:rsidR="002B51DC">
        <w:t xml:space="preserve">Initial </w:t>
      </w:r>
      <w:r w:rsidR="00540112">
        <w:t xml:space="preserve">Comments and Recommendations, </w:t>
      </w:r>
      <w:r w:rsidR="009F59C3">
        <w:t xml:space="preserve">it is not the proposals of Ohio Power Company that will </w:t>
      </w:r>
      <w:r w:rsidR="00540112">
        <w:t xml:space="preserve">control </w:t>
      </w:r>
      <w:r w:rsidR="009F59C3">
        <w:t xml:space="preserve">what rates will apply in the future.  Instead, it is the Commission’s response (including the resolution of any contested issues) to such proposals that will control.  </w:t>
      </w:r>
    </w:p>
    <w:p w:rsidR="00DD4FA8" w:rsidRDefault="009F59C3" w:rsidP="009F59C3">
      <w:pPr>
        <w:spacing w:line="480" w:lineRule="auto"/>
        <w:ind w:firstLine="720"/>
        <w:jc w:val="both"/>
      </w:pPr>
      <w:r>
        <w:t xml:space="preserve">The Staff’s pleading </w:t>
      </w:r>
      <w:r w:rsidR="00540112">
        <w:t xml:space="preserve">nonetheless </w:t>
      </w:r>
      <w:r>
        <w:t>recommends that the Commission direct Ohio Power Company to provide information and typical bills for three different scenarios.</w:t>
      </w:r>
      <w:r w:rsidR="00540112">
        <w:rPr>
          <w:rStyle w:val="FootnoteReference"/>
        </w:rPr>
        <w:footnoteReference w:id="25"/>
      </w:r>
      <w:r w:rsidR="00540112">
        <w:t xml:space="preserve">  However, the information </w:t>
      </w:r>
      <w:r w:rsidR="00AA7BA6">
        <w:t xml:space="preserve">and scenarios </w:t>
      </w:r>
      <w:r w:rsidR="00540112">
        <w:t xml:space="preserve">that the Staff identified in its Initial Comments and Recommendations </w:t>
      </w:r>
      <w:r w:rsidR="00AB4E0F">
        <w:t xml:space="preserve">ignore the opportunity for customers to proactively mitigate more SSO pricing damage by obtaining generation supply from an electric services company (otherwise known as a Competitive Retail Electric Services or CRES provider).  </w:t>
      </w:r>
      <w:r w:rsidR="00AA7BA6">
        <w:t xml:space="preserve">To make matters worse, the Staff’s Initial Comments and Recommendations seem to suggest that </w:t>
      </w:r>
      <w:r w:rsidR="0015214F">
        <w:t xml:space="preserve">any future </w:t>
      </w:r>
      <w:r w:rsidR="00AA7BA6">
        <w:t xml:space="preserve">mitigation path will lead directly to another </w:t>
      </w:r>
      <w:r w:rsidR="00BE4338">
        <w:t xml:space="preserve">round of </w:t>
      </w:r>
      <w:r w:rsidR="00AA7BA6">
        <w:t>phase-in</w:t>
      </w:r>
      <w:r w:rsidR="00BE4338">
        <w:t>s</w:t>
      </w:r>
      <w:r w:rsidR="00AA7BA6">
        <w:t>, deferrals and more non-bypassable generation</w:t>
      </w:r>
      <w:r w:rsidR="001C5A25">
        <w:t>-</w:t>
      </w:r>
      <w:r w:rsidR="00AA7BA6">
        <w:t>related charges</w:t>
      </w:r>
      <w:r w:rsidR="0015214F">
        <w:t>.</w:t>
      </w:r>
    </w:p>
    <w:p w:rsidR="00AA7BA6" w:rsidRDefault="00AA7BA6" w:rsidP="009F59C3">
      <w:pPr>
        <w:spacing w:line="480" w:lineRule="auto"/>
        <w:ind w:firstLine="720"/>
        <w:jc w:val="both"/>
      </w:pPr>
      <w:r>
        <w:lastRenderedPageBreak/>
        <w:t>Accordingly</w:t>
      </w:r>
      <w:r w:rsidR="0015214F">
        <w:t xml:space="preserve"> and if the </w:t>
      </w:r>
      <w:r w:rsidR="00F7087D">
        <w:t>Commission</w:t>
      </w:r>
      <w:r w:rsidR="0015214F">
        <w:t xml:space="preserve"> is inclined to direct Ohio Power Company to promptly reveal where it is headed</w:t>
      </w:r>
      <w:r>
        <w:t xml:space="preserve">, IEU-Ohio urges the Commission to broaden the information collection </w:t>
      </w:r>
      <w:r w:rsidR="00217944">
        <w:t xml:space="preserve">scope </w:t>
      </w:r>
      <w:r>
        <w:t>to include typical bill illustrations for both shopping and non-shopping scenario</w:t>
      </w:r>
      <w:r w:rsidR="00217944">
        <w:t>s.  And from an end result perspective, IEU-Ohio also urges the Commission to accompany this broadened scope with an explicit preference for leveraging customer choice, devoid of new or higher non-bypassable charges, to accomplish whatever mitigation might otherwise be suggested by narrowly focusing on default generation supply prices.</w:t>
      </w:r>
    </w:p>
    <w:p w:rsidR="00CF22AC" w:rsidRDefault="00CF22AC" w:rsidP="00577C90">
      <w:pPr>
        <w:pStyle w:val="Heading1"/>
      </w:pPr>
      <w:bookmarkStart w:id="4" w:name="_Toc366232153"/>
      <w:r>
        <w:t>Conclusion</w:t>
      </w:r>
      <w:bookmarkEnd w:id="4"/>
    </w:p>
    <w:p w:rsidR="00CF22AC" w:rsidRDefault="00CF22AC" w:rsidP="00CF22AC">
      <w:pPr>
        <w:autoSpaceDE w:val="0"/>
        <w:autoSpaceDN w:val="0"/>
        <w:adjustRightInd w:val="0"/>
        <w:spacing w:line="480" w:lineRule="auto"/>
        <w:ind w:firstLine="720"/>
        <w:jc w:val="both"/>
        <w:rPr>
          <w:rFonts w:cs="Arial"/>
        </w:rPr>
      </w:pPr>
      <w:r>
        <w:rPr>
          <w:rFonts w:cs="Arial"/>
        </w:rPr>
        <w:t xml:space="preserve">At the time of the decision in the </w:t>
      </w:r>
      <w:r w:rsidRPr="00156163">
        <w:rPr>
          <w:rFonts w:cs="Arial"/>
          <w:i/>
        </w:rPr>
        <w:t>ESP II Case</w:t>
      </w:r>
      <w:r>
        <w:rPr>
          <w:rFonts w:cs="Arial"/>
        </w:rPr>
        <w:t>, Ohio law said (and still says) that the transition to market for the generation function of Ohio Power Company’s business had to be complete by the end of 2005 if not sooner</w:t>
      </w:r>
      <w:r>
        <w:rPr>
          <w:rStyle w:val="FootnoteReference"/>
          <w:rFonts w:cs="Arial"/>
        </w:rPr>
        <w:footnoteReference w:id="26"/>
      </w:r>
      <w:r>
        <w:rPr>
          <w:rFonts w:cs="Arial"/>
        </w:rPr>
        <w:t xml:space="preserve"> and that Ohio Power Company’s generation business had to be </w:t>
      </w:r>
      <w:r w:rsidR="0015214F">
        <w:rPr>
          <w:rFonts w:cs="Arial"/>
        </w:rPr>
        <w:t xml:space="preserve">separated and </w:t>
      </w:r>
      <w:r>
        <w:rPr>
          <w:rFonts w:cs="Arial"/>
        </w:rPr>
        <w:t>fully on its own in the competitive market.</w:t>
      </w:r>
      <w:r>
        <w:rPr>
          <w:rStyle w:val="FootnoteReference"/>
          <w:rFonts w:cs="Arial"/>
        </w:rPr>
        <w:footnoteReference w:id="27"/>
      </w:r>
      <w:r>
        <w:rPr>
          <w:rFonts w:cs="Arial"/>
        </w:rPr>
        <w:t xml:space="preserve">  In other words, the Commission’s decision in the </w:t>
      </w:r>
      <w:r w:rsidRPr="003422F5">
        <w:rPr>
          <w:rFonts w:cs="Arial"/>
          <w:i/>
        </w:rPr>
        <w:t>ESP II Case</w:t>
      </w:r>
      <w:r>
        <w:rPr>
          <w:rFonts w:cs="Arial"/>
        </w:rPr>
        <w:t xml:space="preserve"> ignored fundamental commands from the General Assembly.  And, as a consequence, Ohio Power Company’s shopping and non-shopping customers are paying a heavy price in the form of above-market and non-bypassable generation-related charges.</w:t>
      </w:r>
      <w:r>
        <w:rPr>
          <w:rStyle w:val="FootnoteReference"/>
          <w:rFonts w:cs="Arial"/>
        </w:rPr>
        <w:footnoteReference w:id="28"/>
      </w:r>
      <w:r>
        <w:rPr>
          <w:rFonts w:cs="Arial"/>
        </w:rPr>
        <w:t xml:space="preserve">  Thus, this </w:t>
      </w:r>
      <w:r>
        <w:rPr>
          <w:rFonts w:cs="Arial"/>
        </w:rPr>
        <w:lastRenderedPageBreak/>
        <w:t xml:space="preserve">proceeding essentially invites interested parties to assist the Commission in identifying means of mitigating the </w:t>
      </w:r>
      <w:r w:rsidRPr="00A039DC">
        <w:rPr>
          <w:rFonts w:cs="Arial"/>
        </w:rPr>
        <w:t xml:space="preserve">adverse rate impacts </w:t>
      </w:r>
      <w:r>
        <w:rPr>
          <w:rFonts w:cs="Arial"/>
        </w:rPr>
        <w:t xml:space="preserve">created by the decision in the </w:t>
      </w:r>
      <w:r w:rsidRPr="00013C0B">
        <w:rPr>
          <w:rFonts w:cs="Arial"/>
          <w:i/>
        </w:rPr>
        <w:t>ESP II Case</w:t>
      </w:r>
      <w:r>
        <w:rPr>
          <w:rFonts w:cs="Arial"/>
          <w:i/>
        </w:rPr>
        <w:t xml:space="preserve">.  </w:t>
      </w:r>
      <w:r>
        <w:rPr>
          <w:rFonts w:cs="Arial"/>
        </w:rPr>
        <w:t>In any event, the nature and extent of any future lawful</w:t>
      </w:r>
      <w:r>
        <w:rPr>
          <w:rStyle w:val="FootnoteReference"/>
          <w:rFonts w:cs="Arial"/>
        </w:rPr>
        <w:footnoteReference w:id="29"/>
      </w:r>
      <w:r>
        <w:rPr>
          <w:rFonts w:cs="Arial"/>
        </w:rPr>
        <w:t xml:space="preserve"> mitigation of the unnecessary damage caused by the </w:t>
      </w:r>
      <w:r w:rsidRPr="002736CB">
        <w:rPr>
          <w:rFonts w:cs="Arial"/>
          <w:i/>
        </w:rPr>
        <w:t>ESP II Case</w:t>
      </w:r>
      <w:r>
        <w:rPr>
          <w:rFonts w:cs="Arial"/>
        </w:rPr>
        <w:t xml:space="preserve"> cannot be determined until issues in other current and future cases are resolved.</w:t>
      </w:r>
    </w:p>
    <w:p w:rsidR="00CF22AC" w:rsidRDefault="00CF22AC" w:rsidP="00CF22AC">
      <w:pPr>
        <w:autoSpaceDE w:val="0"/>
        <w:autoSpaceDN w:val="0"/>
        <w:adjustRightInd w:val="0"/>
        <w:spacing w:line="480" w:lineRule="auto"/>
        <w:ind w:firstLine="720"/>
        <w:jc w:val="both"/>
        <w:rPr>
          <w:rFonts w:cs="Arial"/>
        </w:rPr>
      </w:pPr>
      <w:r>
        <w:rPr>
          <w:rFonts w:cs="Arial"/>
        </w:rPr>
        <w:t xml:space="preserve">The total bill outcomes produced by all the moving parts of the current and past Ohio Power Company ESPs, including the effect of non-bypassable charges to collect delayed rate increases, are presently unknown.  Beginning June 1, 2015, Ohio Power Company’s next SSO </w:t>
      </w:r>
      <w:r w:rsidR="00EB6F1E">
        <w:rPr>
          <w:rFonts w:cs="Arial"/>
        </w:rPr>
        <w:t>(</w:t>
      </w:r>
      <w:r>
        <w:rPr>
          <w:rFonts w:cs="Arial"/>
        </w:rPr>
        <w:t xml:space="preserve">which may be proposed in the form of an ESP or the alternative MRO) will, as things presently stand, likely affect the electric bills of shopping and non-shopping customers and it is presently unknown.  It is not currently possible to identify any means which might be lawfully applied </w:t>
      </w:r>
      <w:r w:rsidRPr="00F46E4A">
        <w:rPr>
          <w:rFonts w:cs="Arial"/>
        </w:rPr>
        <w:t xml:space="preserve">to </w:t>
      </w:r>
      <w:r>
        <w:rPr>
          <w:rFonts w:cs="Arial"/>
        </w:rPr>
        <w:t>“</w:t>
      </w:r>
      <w:r w:rsidRPr="00F46E4A">
        <w:rPr>
          <w:rFonts w:cs="Arial"/>
        </w:rPr>
        <w:t>mitigate any potential adverse rate impacts from the shift to market based rates</w:t>
      </w:r>
      <w:r>
        <w:rPr>
          <w:rFonts w:cs="Arial"/>
        </w:rPr>
        <w:t> …”</w:t>
      </w:r>
      <w:r>
        <w:rPr>
          <w:rStyle w:val="FootnoteReference"/>
          <w:rFonts w:cs="Arial"/>
        </w:rPr>
        <w:footnoteReference w:id="30"/>
      </w:r>
      <w:r>
        <w:rPr>
          <w:rFonts w:cs="Arial"/>
        </w:rPr>
        <w:t xml:space="preserve"> because the extent and nature of adverse rate impacts are presently unknown.  </w:t>
      </w:r>
    </w:p>
    <w:p w:rsidR="00CF22AC" w:rsidRDefault="00CF22AC" w:rsidP="00CF22AC">
      <w:pPr>
        <w:autoSpaceDE w:val="0"/>
        <w:autoSpaceDN w:val="0"/>
        <w:adjustRightInd w:val="0"/>
        <w:spacing w:line="480" w:lineRule="auto"/>
        <w:jc w:val="both"/>
        <w:rPr>
          <w:rFonts w:cs="Arial"/>
        </w:rPr>
      </w:pPr>
      <w:r>
        <w:rPr>
          <w:rFonts w:cs="Arial"/>
        </w:rPr>
        <w:tab/>
        <w:t>From a qualitative perspective, IEU-Ohio also suggests that the Commission’s interest in means to   “… </w:t>
      </w:r>
      <w:r w:rsidRPr="00F46E4A">
        <w:rPr>
          <w:rFonts w:cs="Arial"/>
        </w:rPr>
        <w:t xml:space="preserve">mitigate any potential adverse rate impacts from the shift to </w:t>
      </w:r>
      <w:r w:rsidRPr="00F46E4A">
        <w:rPr>
          <w:rFonts w:cs="Arial"/>
        </w:rPr>
        <w:lastRenderedPageBreak/>
        <w:t>market based rates</w:t>
      </w:r>
      <w:r>
        <w:rPr>
          <w:rFonts w:cs="Arial"/>
        </w:rPr>
        <w:t> …”</w:t>
      </w:r>
      <w:r>
        <w:rPr>
          <w:rStyle w:val="FootnoteReference"/>
          <w:rFonts w:cs="Arial"/>
        </w:rPr>
        <w:footnoteReference w:id="31"/>
      </w:r>
      <w:r>
        <w:rPr>
          <w:rFonts w:cs="Arial"/>
        </w:rPr>
        <w:t xml:space="preserve"> should include an explicit bias for market-based means.  For example, aggregation and competitive sourcing of generation supply could work to mitigate the </w:t>
      </w:r>
      <w:r w:rsidRPr="00F46E4A">
        <w:rPr>
          <w:rFonts w:cs="Arial"/>
        </w:rPr>
        <w:t xml:space="preserve">adverse rate impacts </w:t>
      </w:r>
      <w:r>
        <w:rPr>
          <w:rFonts w:cs="Arial"/>
        </w:rPr>
        <w:t>of Ohio Power Company’s current and next SSO on residential customers receiving assistance from the Universal Service Fund (“USF”).  Common sense and Ohio’s pro-competitive policies suggest that market-based approaches must be applied when they can serve the public interest while ensuring the effectuation</w:t>
      </w:r>
      <w:r>
        <w:rPr>
          <w:rStyle w:val="FootnoteReference"/>
          <w:rFonts w:cs="Arial"/>
        </w:rPr>
        <w:footnoteReference w:id="32"/>
      </w:r>
      <w:r>
        <w:rPr>
          <w:rFonts w:cs="Arial"/>
        </w:rPr>
        <w:t xml:space="preserve"> of the policies in Section 4928.02, Revised Code.</w:t>
      </w:r>
      <w:r w:rsidDel="00597385">
        <w:rPr>
          <w:rFonts w:cs="Arial"/>
        </w:rPr>
        <w:t xml:space="preserve"> </w:t>
      </w:r>
    </w:p>
    <w:p w:rsidR="00CF22AC" w:rsidRDefault="00CF22AC" w:rsidP="00CF22AC">
      <w:pPr>
        <w:ind w:left="4320"/>
        <w:rPr>
          <w:rFonts w:eastAsia="Times New Roman" w:cs="Arial"/>
        </w:rPr>
      </w:pPr>
      <w:r w:rsidRPr="00FB6529">
        <w:rPr>
          <w:rFonts w:eastAsia="Times New Roman" w:cs="Arial"/>
        </w:rPr>
        <w:t>Respectfully submitted,</w:t>
      </w:r>
    </w:p>
    <w:p w:rsidR="00CF22AC" w:rsidRDefault="00CF22AC" w:rsidP="00CF22AC">
      <w:pPr>
        <w:ind w:left="4320"/>
        <w:rPr>
          <w:rFonts w:eastAsia="Times New Roman" w:cs="Arial"/>
        </w:rPr>
      </w:pPr>
    </w:p>
    <w:p w:rsidR="0025139B" w:rsidRPr="00FB6529" w:rsidRDefault="0025139B" w:rsidP="00CF22AC">
      <w:pPr>
        <w:ind w:left="4320"/>
        <w:rPr>
          <w:rFonts w:eastAsia="Times New Roman" w:cs="Arial"/>
        </w:rPr>
      </w:pPr>
    </w:p>
    <w:p w:rsidR="00CF22AC" w:rsidRPr="005F0BF9" w:rsidRDefault="00CF22AC" w:rsidP="00CF22AC">
      <w:pPr>
        <w:tabs>
          <w:tab w:val="right" w:pos="9360"/>
        </w:tabs>
        <w:ind w:left="4320"/>
        <w:rPr>
          <w:rFonts w:eastAsia="Times New Roman" w:cs="Arial"/>
          <w:u w:val="single"/>
        </w:rPr>
      </w:pPr>
      <w:r w:rsidRPr="005F0BF9">
        <w:rPr>
          <w:rFonts w:eastAsia="Times New Roman" w:cs="Arial"/>
          <w:u w:val="single"/>
        </w:rPr>
        <w:t>/s/ Samuel C. Randazzo</w:t>
      </w:r>
      <w:r w:rsidRPr="005F0BF9">
        <w:rPr>
          <w:rFonts w:eastAsia="Times New Roman" w:cs="Arial"/>
          <w:u w:val="single"/>
        </w:rPr>
        <w:tab/>
      </w:r>
    </w:p>
    <w:p w:rsidR="00CF22AC" w:rsidRPr="00141048" w:rsidRDefault="00CF22AC" w:rsidP="00CF22AC">
      <w:pPr>
        <w:ind w:left="4320"/>
        <w:rPr>
          <w:rFonts w:eastAsia="Times New Roman" w:cs="Arial"/>
        </w:rPr>
      </w:pPr>
      <w:r w:rsidRPr="00141048">
        <w:rPr>
          <w:rFonts w:eastAsia="Times New Roman" w:cs="Arial"/>
        </w:rPr>
        <w:t>Samuel C. Randazzo (Counsel of Record)</w:t>
      </w:r>
    </w:p>
    <w:p w:rsidR="00CF22AC" w:rsidRPr="00FB6529" w:rsidRDefault="00CF22AC" w:rsidP="00CF22AC">
      <w:pPr>
        <w:ind w:left="4320"/>
        <w:rPr>
          <w:rFonts w:eastAsia="Times New Roman" w:cs="Arial"/>
        </w:rPr>
      </w:pPr>
      <w:r w:rsidRPr="00FB6529">
        <w:rPr>
          <w:rFonts w:eastAsia="Times New Roman" w:cs="Arial"/>
        </w:rPr>
        <w:t xml:space="preserve">Frank P. Darr </w:t>
      </w:r>
    </w:p>
    <w:p w:rsidR="00CF22AC" w:rsidRPr="00FB6529" w:rsidRDefault="00CF22AC" w:rsidP="00CF22AC">
      <w:pPr>
        <w:ind w:left="4320"/>
        <w:rPr>
          <w:rFonts w:eastAsia="Times New Roman" w:cs="Arial"/>
        </w:rPr>
      </w:pPr>
      <w:r w:rsidRPr="00FB6529">
        <w:rPr>
          <w:rFonts w:eastAsia="Times New Roman" w:cs="Arial"/>
        </w:rPr>
        <w:t>Joseph E. Oliker</w:t>
      </w:r>
    </w:p>
    <w:p w:rsidR="00CF22AC" w:rsidRPr="00FB6529" w:rsidRDefault="00CF22AC" w:rsidP="00CF22AC">
      <w:pPr>
        <w:ind w:left="4320"/>
        <w:rPr>
          <w:rFonts w:eastAsia="Times New Roman" w:cs="Arial"/>
        </w:rPr>
      </w:pPr>
      <w:r w:rsidRPr="00FB6529">
        <w:rPr>
          <w:rFonts w:eastAsia="Times New Roman" w:cs="Arial"/>
        </w:rPr>
        <w:t>Matthew R. Pritchard</w:t>
      </w:r>
    </w:p>
    <w:p w:rsidR="00CF22AC" w:rsidRPr="00FB6529" w:rsidRDefault="00CF22AC" w:rsidP="00CF22AC">
      <w:pPr>
        <w:ind w:left="4320"/>
        <w:rPr>
          <w:rFonts w:eastAsia="Times New Roman" w:cs="Arial"/>
          <w:bCs/>
        </w:rPr>
      </w:pPr>
      <w:r w:rsidRPr="00FB6529">
        <w:rPr>
          <w:rFonts w:eastAsia="Times New Roman" w:cs="Arial"/>
          <w:bCs/>
        </w:rPr>
        <w:t>McNees Wallace &amp; Nurick LLC</w:t>
      </w:r>
    </w:p>
    <w:p w:rsidR="00CF22AC" w:rsidRPr="00FB6529" w:rsidRDefault="00CF22AC" w:rsidP="00CF22AC">
      <w:pPr>
        <w:tabs>
          <w:tab w:val="left" w:pos="720"/>
          <w:tab w:val="left" w:pos="1440"/>
          <w:tab w:val="left" w:pos="2160"/>
          <w:tab w:val="left" w:pos="2880"/>
          <w:tab w:val="left" w:pos="3600"/>
          <w:tab w:val="left" w:pos="4320"/>
          <w:tab w:val="left" w:pos="5040"/>
          <w:tab w:val="left" w:pos="5760"/>
          <w:tab w:val="left" w:pos="6860"/>
        </w:tabs>
        <w:ind w:left="4320"/>
        <w:rPr>
          <w:rFonts w:eastAsia="Times New Roman" w:cs="Arial"/>
          <w:bCs/>
        </w:rPr>
      </w:pPr>
      <w:r w:rsidRPr="00FB6529">
        <w:rPr>
          <w:rFonts w:eastAsia="Times New Roman" w:cs="Arial"/>
          <w:bCs/>
        </w:rPr>
        <w:t>Fifth Third Center</w:t>
      </w:r>
    </w:p>
    <w:p w:rsidR="00CF22AC" w:rsidRPr="00FB6529" w:rsidRDefault="00CF22AC" w:rsidP="00CF22AC">
      <w:pPr>
        <w:ind w:left="4320"/>
        <w:rPr>
          <w:rFonts w:eastAsia="Times New Roman" w:cs="Arial"/>
          <w:bCs/>
        </w:rPr>
      </w:pPr>
      <w:r w:rsidRPr="00FB6529">
        <w:rPr>
          <w:rFonts w:eastAsia="Times New Roman" w:cs="Arial"/>
          <w:bCs/>
        </w:rPr>
        <w:t>21 East State Street, 17</w:t>
      </w:r>
      <w:r w:rsidRPr="00FB6529">
        <w:rPr>
          <w:rFonts w:eastAsia="Times New Roman" w:cs="Arial"/>
          <w:bCs/>
          <w:vertAlign w:val="superscript"/>
        </w:rPr>
        <w:t>th</w:t>
      </w:r>
      <w:r w:rsidRPr="00FB6529">
        <w:rPr>
          <w:rFonts w:eastAsia="Times New Roman" w:cs="Arial"/>
          <w:bCs/>
        </w:rPr>
        <w:t xml:space="preserve"> Floor</w:t>
      </w:r>
    </w:p>
    <w:p w:rsidR="00CF22AC" w:rsidRPr="00FB6529" w:rsidRDefault="00CF22AC" w:rsidP="00CF22AC">
      <w:pPr>
        <w:ind w:left="4320"/>
        <w:rPr>
          <w:rFonts w:eastAsia="Times New Roman" w:cs="Arial"/>
          <w:bCs/>
        </w:rPr>
      </w:pPr>
      <w:r w:rsidRPr="00FB6529">
        <w:rPr>
          <w:rFonts w:eastAsia="Times New Roman" w:cs="Arial"/>
          <w:bCs/>
        </w:rPr>
        <w:t>Columbus, OH  43215</w:t>
      </w:r>
    </w:p>
    <w:p w:rsidR="00CF22AC" w:rsidRPr="00FB6529" w:rsidRDefault="00CF22AC" w:rsidP="00CF22AC">
      <w:pPr>
        <w:autoSpaceDE w:val="0"/>
        <w:autoSpaceDN w:val="0"/>
        <w:adjustRightInd w:val="0"/>
        <w:ind w:left="4320"/>
        <w:rPr>
          <w:rFonts w:eastAsia="Times New Roman" w:cs="Arial"/>
        </w:rPr>
      </w:pPr>
      <w:r w:rsidRPr="00FB6529">
        <w:rPr>
          <w:rFonts w:eastAsia="Times New Roman" w:cs="Arial"/>
        </w:rPr>
        <w:t>Telephone: 614-469-8000</w:t>
      </w:r>
    </w:p>
    <w:p w:rsidR="00CF22AC" w:rsidRDefault="00CF22AC" w:rsidP="00CF22AC">
      <w:pPr>
        <w:autoSpaceDE w:val="0"/>
        <w:autoSpaceDN w:val="0"/>
        <w:adjustRightInd w:val="0"/>
        <w:ind w:left="4320"/>
        <w:rPr>
          <w:rFonts w:eastAsia="Times New Roman" w:cs="Arial"/>
          <w:bCs/>
          <w:smallCaps/>
        </w:rPr>
      </w:pPr>
      <w:r w:rsidRPr="00FB6529">
        <w:rPr>
          <w:rFonts w:eastAsia="Times New Roman" w:cs="Arial"/>
        </w:rPr>
        <w:t xml:space="preserve">Telecopier: </w:t>
      </w:r>
      <w:r w:rsidRPr="00FB6529">
        <w:rPr>
          <w:rFonts w:eastAsia="Times New Roman" w:cs="Arial"/>
          <w:bCs/>
          <w:smallCaps/>
        </w:rPr>
        <w:t>614-469-4653</w:t>
      </w:r>
    </w:p>
    <w:p w:rsidR="00CF22AC" w:rsidRPr="00DE4C0B" w:rsidRDefault="00CF22AC" w:rsidP="00CF22AC">
      <w:pPr>
        <w:autoSpaceDE w:val="0"/>
        <w:autoSpaceDN w:val="0"/>
        <w:adjustRightInd w:val="0"/>
        <w:ind w:left="4320"/>
        <w:rPr>
          <w:rFonts w:eastAsia="Times New Roman" w:cs="Arial"/>
          <w:bCs/>
        </w:rPr>
      </w:pPr>
      <w:r>
        <w:rPr>
          <w:rFonts w:eastAsia="Times New Roman" w:cs="Arial"/>
          <w:bCs/>
        </w:rPr>
        <w:t>sam@mwncmh.com</w:t>
      </w:r>
    </w:p>
    <w:p w:rsidR="00CF22AC" w:rsidRPr="00FB6529" w:rsidRDefault="00CF22AC" w:rsidP="00CF22AC">
      <w:pPr>
        <w:autoSpaceDE w:val="0"/>
        <w:autoSpaceDN w:val="0"/>
        <w:adjustRightInd w:val="0"/>
        <w:ind w:left="4320"/>
        <w:rPr>
          <w:rFonts w:eastAsia="Times New Roman" w:cs="Arial"/>
          <w:bCs/>
        </w:rPr>
      </w:pPr>
      <w:r w:rsidRPr="00FB6529">
        <w:rPr>
          <w:rFonts w:eastAsia="Times New Roman" w:cs="Arial"/>
          <w:bCs/>
        </w:rPr>
        <w:t xml:space="preserve">fdarr@mwncmh.com </w:t>
      </w:r>
    </w:p>
    <w:p w:rsidR="00CF22AC" w:rsidRPr="00FB6529" w:rsidRDefault="00CF22AC" w:rsidP="00CF22AC">
      <w:pPr>
        <w:autoSpaceDE w:val="0"/>
        <w:autoSpaceDN w:val="0"/>
        <w:adjustRightInd w:val="0"/>
        <w:ind w:left="4320"/>
        <w:rPr>
          <w:rFonts w:eastAsia="Times New Roman" w:cs="Arial"/>
          <w:bCs/>
        </w:rPr>
      </w:pPr>
      <w:r w:rsidRPr="00FB6529">
        <w:rPr>
          <w:rFonts w:eastAsia="Times New Roman" w:cs="Arial"/>
          <w:bCs/>
        </w:rPr>
        <w:t xml:space="preserve">joliker@mwncmh.com </w:t>
      </w:r>
    </w:p>
    <w:p w:rsidR="00CF22AC" w:rsidRDefault="00CF22AC" w:rsidP="00CF22AC">
      <w:pPr>
        <w:autoSpaceDE w:val="0"/>
        <w:autoSpaceDN w:val="0"/>
        <w:adjustRightInd w:val="0"/>
        <w:ind w:left="4320"/>
        <w:rPr>
          <w:rFonts w:eastAsia="Times New Roman" w:cs="Arial"/>
          <w:bCs/>
        </w:rPr>
      </w:pPr>
      <w:r w:rsidRPr="00FB6529">
        <w:rPr>
          <w:rFonts w:eastAsia="Times New Roman" w:cs="Arial"/>
          <w:bCs/>
        </w:rPr>
        <w:t xml:space="preserve">mpritchard@mwncmh.com </w:t>
      </w:r>
    </w:p>
    <w:p w:rsidR="0025139B" w:rsidRDefault="0025139B" w:rsidP="00CF22AC">
      <w:pPr>
        <w:autoSpaceDE w:val="0"/>
        <w:autoSpaceDN w:val="0"/>
        <w:adjustRightInd w:val="0"/>
        <w:ind w:left="4320"/>
        <w:rPr>
          <w:rFonts w:eastAsia="Times New Roman" w:cs="Arial"/>
          <w:bCs/>
        </w:rPr>
      </w:pPr>
    </w:p>
    <w:p w:rsidR="0025139B" w:rsidRPr="0025139B" w:rsidRDefault="0025139B" w:rsidP="00CF22AC">
      <w:pPr>
        <w:autoSpaceDE w:val="0"/>
        <w:autoSpaceDN w:val="0"/>
        <w:adjustRightInd w:val="0"/>
        <w:ind w:left="4320"/>
        <w:rPr>
          <w:rFonts w:eastAsia="Times New Roman" w:cs="Arial"/>
          <w:b/>
          <w:bCs/>
        </w:rPr>
      </w:pPr>
      <w:r w:rsidRPr="0025139B">
        <w:rPr>
          <w:rFonts w:eastAsia="Times New Roman" w:cs="Arial"/>
          <w:b/>
          <w:bCs/>
        </w:rPr>
        <w:t>Attorneys for Industrial Energy Users-Ohio</w:t>
      </w:r>
    </w:p>
    <w:p w:rsidR="0025139B" w:rsidRDefault="0025139B" w:rsidP="00CF22AC">
      <w:pPr>
        <w:autoSpaceDE w:val="0"/>
        <w:autoSpaceDN w:val="0"/>
        <w:adjustRightInd w:val="0"/>
        <w:spacing w:line="480" w:lineRule="auto"/>
        <w:ind w:firstLine="720"/>
        <w:jc w:val="both"/>
      </w:pPr>
    </w:p>
    <w:p w:rsidR="0025139B" w:rsidRDefault="0025139B" w:rsidP="00CF22AC">
      <w:pPr>
        <w:autoSpaceDE w:val="0"/>
        <w:autoSpaceDN w:val="0"/>
        <w:adjustRightInd w:val="0"/>
        <w:spacing w:line="480" w:lineRule="auto"/>
        <w:ind w:firstLine="720"/>
        <w:jc w:val="both"/>
        <w:sectPr w:rsidR="0025139B" w:rsidSect="000C183D">
          <w:pgSz w:w="12240" w:h="15840" w:code="1"/>
          <w:pgMar w:top="1440" w:right="1440" w:bottom="1440" w:left="1440" w:header="720" w:footer="720" w:gutter="0"/>
          <w:pgNumType w:start="1"/>
          <w:cols w:space="720"/>
          <w:titlePg/>
          <w:docGrid w:linePitch="360"/>
        </w:sectPr>
      </w:pPr>
    </w:p>
    <w:p w:rsidR="00B97AFE" w:rsidRPr="007C3BFD" w:rsidRDefault="00B97AFE" w:rsidP="00B97AFE">
      <w:pPr>
        <w:tabs>
          <w:tab w:val="left" w:pos="2160"/>
          <w:tab w:val="left" w:pos="2280"/>
        </w:tabs>
        <w:jc w:val="center"/>
        <w:rPr>
          <w:rFonts w:ascii="Arial Bold" w:eastAsia="Times New Roman" w:hAnsi="Arial Bold" w:cs="Arial"/>
          <w:b/>
          <w:bCs/>
          <w:smallCaps/>
          <w:sz w:val="28"/>
          <w:szCs w:val="28"/>
          <w:u w:val="single"/>
        </w:rPr>
      </w:pPr>
      <w:r w:rsidRPr="007C3BFD">
        <w:rPr>
          <w:rFonts w:ascii="Arial Bold" w:eastAsia="Times New Roman" w:hAnsi="Arial Bold" w:cs="Arial"/>
          <w:b/>
          <w:bCs/>
          <w:smallCaps/>
          <w:sz w:val="28"/>
          <w:szCs w:val="28"/>
          <w:u w:val="single"/>
        </w:rPr>
        <w:lastRenderedPageBreak/>
        <w:t>Certificate of Service</w:t>
      </w:r>
    </w:p>
    <w:p w:rsidR="00B97AFE" w:rsidRPr="00754E21" w:rsidRDefault="00B97AFE" w:rsidP="00B97AFE">
      <w:pPr>
        <w:spacing w:line="480" w:lineRule="auto"/>
        <w:ind w:firstLine="720"/>
        <w:rPr>
          <w:rFonts w:eastAsia="Times New Roman" w:cs="Arial"/>
        </w:rPr>
      </w:pPr>
    </w:p>
    <w:p w:rsidR="00B97AFE" w:rsidRPr="00754E21" w:rsidRDefault="00B97AFE" w:rsidP="008F3ADC">
      <w:pPr>
        <w:spacing w:line="480" w:lineRule="auto"/>
        <w:ind w:firstLine="720"/>
        <w:jc w:val="both"/>
        <w:rPr>
          <w:rFonts w:eastAsia="Times New Roman" w:cs="Arial"/>
        </w:rPr>
      </w:pPr>
      <w:r w:rsidRPr="00754E21">
        <w:rPr>
          <w:rFonts w:eastAsia="Times New Roman" w:cs="Arial"/>
        </w:rPr>
        <w:t>I hereby certify that a copy of the foregoing</w:t>
      </w:r>
      <w:r w:rsidRPr="00754E21">
        <w:rPr>
          <w:rFonts w:eastAsia="Times New Roman" w:cs="Arial"/>
          <w:smallCaps/>
        </w:rPr>
        <w:t xml:space="preserve"> </w:t>
      </w:r>
      <w:r w:rsidR="007E4A7E" w:rsidRPr="00190671">
        <w:rPr>
          <w:rFonts w:eastAsia="Times New Roman" w:cs="Arial"/>
          <w:i/>
        </w:rPr>
        <w:t>Reply</w:t>
      </w:r>
      <w:r w:rsidR="007E4A7E">
        <w:rPr>
          <w:rFonts w:eastAsia="Times New Roman" w:cs="Arial"/>
          <w:smallCaps/>
        </w:rPr>
        <w:t xml:space="preserve"> </w:t>
      </w:r>
      <w:r w:rsidR="008F3ADC" w:rsidRPr="008F3ADC">
        <w:rPr>
          <w:rFonts w:eastAsia="Times New Roman" w:cs="Arial"/>
          <w:i/>
        </w:rPr>
        <w:t>Comments of</w:t>
      </w:r>
      <w:r w:rsidR="008F3ADC">
        <w:rPr>
          <w:rFonts w:eastAsia="Times New Roman" w:cs="Arial"/>
          <w:i/>
          <w:iCs/>
        </w:rPr>
        <w:t xml:space="preserve"> </w:t>
      </w:r>
      <w:r w:rsidR="00FF02BD">
        <w:rPr>
          <w:rFonts w:eastAsia="Times New Roman" w:cs="Arial"/>
          <w:i/>
          <w:iCs/>
        </w:rPr>
        <w:t>Industrial Energy Users-Ohio</w:t>
      </w:r>
      <w:r w:rsidRPr="00754E21">
        <w:rPr>
          <w:rFonts w:eastAsia="Times New Roman" w:cs="Arial"/>
          <w:i/>
          <w:iCs/>
        </w:rPr>
        <w:t xml:space="preserve"> </w:t>
      </w:r>
      <w:r w:rsidRPr="00754E21">
        <w:rPr>
          <w:rFonts w:eastAsia="Times New Roman" w:cs="Arial"/>
        </w:rPr>
        <w:t xml:space="preserve">was served upon the following parties of record this </w:t>
      </w:r>
      <w:r w:rsidR="00CF22AC">
        <w:rPr>
          <w:rFonts w:eastAsia="Times New Roman" w:cs="Arial"/>
        </w:rPr>
        <w:t>6</w:t>
      </w:r>
      <w:r w:rsidR="00D92220" w:rsidRPr="00D92220">
        <w:rPr>
          <w:rFonts w:eastAsia="Times New Roman" w:cs="Arial"/>
          <w:vertAlign w:val="superscript"/>
        </w:rPr>
        <w:t>th</w:t>
      </w:r>
      <w:r w:rsidR="00D92220">
        <w:rPr>
          <w:rFonts w:eastAsia="Times New Roman" w:cs="Arial"/>
        </w:rPr>
        <w:t xml:space="preserve"> day of </w:t>
      </w:r>
      <w:r w:rsidR="00CF22AC">
        <w:rPr>
          <w:rFonts w:eastAsia="Times New Roman" w:cs="Arial"/>
        </w:rPr>
        <w:t xml:space="preserve">September </w:t>
      </w:r>
      <w:r w:rsidRPr="00754E21">
        <w:rPr>
          <w:rFonts w:eastAsia="Times New Roman" w:cs="Arial"/>
        </w:rPr>
        <w:t xml:space="preserve">2013, </w:t>
      </w:r>
      <w:r w:rsidRPr="00754E21">
        <w:rPr>
          <w:rFonts w:eastAsia="Times New Roman" w:cs="Arial"/>
          <w:i/>
        </w:rPr>
        <w:t>via</w:t>
      </w:r>
      <w:r w:rsidRPr="00754E21">
        <w:rPr>
          <w:rFonts w:eastAsia="Times New Roman" w:cs="Arial"/>
        </w:rPr>
        <w:t xml:space="preserve"> electronic transmission, hand-delivery or first class mail, postage prepaid.</w:t>
      </w:r>
    </w:p>
    <w:p w:rsidR="00B97AFE" w:rsidRDefault="00B97AFE" w:rsidP="00B97AFE">
      <w:pPr>
        <w:tabs>
          <w:tab w:val="left" w:pos="-1440"/>
          <w:tab w:val="left" w:pos="-720"/>
          <w:tab w:val="left" w:pos="5040"/>
          <w:tab w:val="center" w:pos="7200"/>
        </w:tabs>
        <w:rPr>
          <w:rFonts w:cs="Arial"/>
        </w:rPr>
      </w:pPr>
    </w:p>
    <w:p w:rsidR="00B97AFE" w:rsidRDefault="00B97AFE" w:rsidP="00B97AFE">
      <w:pPr>
        <w:tabs>
          <w:tab w:val="left" w:pos="-1440"/>
          <w:tab w:val="left" w:pos="-720"/>
          <w:tab w:val="left" w:pos="5040"/>
          <w:tab w:val="center" w:pos="7200"/>
          <w:tab w:val="right" w:pos="9360"/>
        </w:tabs>
        <w:ind w:firstLine="5040"/>
        <w:rPr>
          <w:rFonts w:cs="Arial"/>
        </w:rPr>
      </w:pPr>
      <w:r>
        <w:rPr>
          <w:rFonts w:cs="Arial"/>
          <w:u w:val="single"/>
        </w:rPr>
        <w:t xml:space="preserve">  /s/ Samuel C. Randazzo</w:t>
      </w:r>
      <w:r>
        <w:rPr>
          <w:rFonts w:cs="Arial"/>
          <w:u w:val="single"/>
        </w:rPr>
        <w:tab/>
      </w:r>
    </w:p>
    <w:p w:rsidR="00B97AFE" w:rsidRDefault="00B97AFE" w:rsidP="00B97AFE">
      <w:pPr>
        <w:tabs>
          <w:tab w:val="left" w:pos="-1440"/>
          <w:tab w:val="left" w:pos="-720"/>
          <w:tab w:val="left" w:pos="5040"/>
          <w:tab w:val="center" w:pos="7200"/>
        </w:tabs>
        <w:ind w:firstLine="5040"/>
        <w:rPr>
          <w:rFonts w:cs="Arial"/>
        </w:rPr>
      </w:pPr>
      <w:r>
        <w:rPr>
          <w:rFonts w:cs="Arial"/>
        </w:rPr>
        <w:tab/>
        <w:t>Samuel C. Randazzo</w:t>
      </w:r>
    </w:p>
    <w:p w:rsidR="00B97AFE" w:rsidRPr="00754E21" w:rsidRDefault="00B97AFE" w:rsidP="00B97AFE">
      <w:pPr>
        <w:tabs>
          <w:tab w:val="left" w:pos="-1440"/>
          <w:tab w:val="left" w:pos="-720"/>
          <w:tab w:val="left" w:pos="5040"/>
          <w:tab w:val="center" w:pos="7200"/>
        </w:tabs>
        <w:ind w:firstLine="5040"/>
        <w:rPr>
          <w:rFonts w:eastAsia="Times New Roman" w:cs="Arial"/>
        </w:rPr>
      </w:pPr>
    </w:p>
    <w:p w:rsidR="00013C0B" w:rsidRDefault="00013C0B" w:rsidP="00013C0B">
      <w:pPr>
        <w:rPr>
          <w:rFonts w:cs="Arial"/>
          <w:color w:val="000000" w:themeColor="text1"/>
          <w:sz w:val="22"/>
          <w:szCs w:val="22"/>
        </w:rPr>
        <w:sectPr w:rsidR="00013C0B" w:rsidSect="008F3ADC">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lastRenderedPageBreak/>
        <w:t>Bruce J. Weston</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Ohio Consumers’ Counsel</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Edmund Berger</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Assistant Consumers’ Counsel</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Office of the Ohio Consumers’ Counsel</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10 West Broad Street, Suite 1800</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Columbus, OH  43215-3485</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berger@occ.state.oh.us</w:t>
      </w:r>
    </w:p>
    <w:p w:rsidR="00F92465" w:rsidRPr="005159F1" w:rsidRDefault="00F92465" w:rsidP="00F92465">
      <w:pPr>
        <w:rPr>
          <w:rFonts w:cs="Arial"/>
          <w:color w:val="000000" w:themeColor="text1"/>
          <w:sz w:val="22"/>
          <w:szCs w:val="22"/>
        </w:rPr>
      </w:pPr>
    </w:p>
    <w:p w:rsidR="00F92465" w:rsidRPr="005159F1" w:rsidRDefault="00F92465" w:rsidP="00F92465">
      <w:pPr>
        <w:rPr>
          <w:rFonts w:cs="Arial"/>
          <w:b/>
          <w:smallCaps/>
          <w:color w:val="000000" w:themeColor="text1"/>
          <w:sz w:val="22"/>
          <w:szCs w:val="22"/>
        </w:rPr>
      </w:pPr>
      <w:r w:rsidRPr="005159F1">
        <w:rPr>
          <w:rFonts w:cs="Arial"/>
          <w:b/>
          <w:smallCaps/>
          <w:color w:val="000000" w:themeColor="text1"/>
          <w:sz w:val="22"/>
          <w:szCs w:val="22"/>
        </w:rPr>
        <w:t>On behalf of the Office of the Ohio Consumers’ Counsel</w:t>
      </w:r>
    </w:p>
    <w:p w:rsidR="00F92465" w:rsidRPr="005159F1" w:rsidRDefault="00F92465" w:rsidP="00F92465">
      <w:pPr>
        <w:rPr>
          <w:rFonts w:cs="Arial"/>
          <w:color w:val="000000" w:themeColor="text1"/>
          <w:sz w:val="22"/>
          <w:szCs w:val="22"/>
        </w:rPr>
      </w:pP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David F. Boehm</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Michael L. Kurtz</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Jody Kyler Cohn</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Boehm, Kurtz &amp; Lowry</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36 East Seventh Street, Suite 1510</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Cincinnati, OH  45202</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dboehm@BKLlawfirm.com</w:t>
      </w:r>
    </w:p>
    <w:p w:rsidR="00F92465" w:rsidRPr="005159F1" w:rsidRDefault="00F92465" w:rsidP="00F92465">
      <w:pPr>
        <w:rPr>
          <w:rFonts w:cs="Arial"/>
          <w:color w:val="000000" w:themeColor="text1"/>
          <w:sz w:val="22"/>
          <w:szCs w:val="22"/>
        </w:rPr>
      </w:pPr>
      <w:r w:rsidRPr="005159F1">
        <w:rPr>
          <w:color w:val="000000" w:themeColor="text1"/>
          <w:sz w:val="22"/>
          <w:szCs w:val="22"/>
        </w:rPr>
        <w:t>mkurtz@bkllawfirm.com</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jkylercohn@BKLlawfirm.com</w:t>
      </w:r>
    </w:p>
    <w:p w:rsidR="00F92465" w:rsidRPr="005159F1" w:rsidRDefault="00F92465" w:rsidP="00F92465">
      <w:pPr>
        <w:rPr>
          <w:rFonts w:cs="Arial"/>
          <w:color w:val="000000" w:themeColor="text1"/>
          <w:sz w:val="22"/>
          <w:szCs w:val="22"/>
        </w:rPr>
      </w:pPr>
    </w:p>
    <w:p w:rsidR="00F92465" w:rsidRPr="005159F1" w:rsidRDefault="00F92465" w:rsidP="00F92465">
      <w:pPr>
        <w:rPr>
          <w:rFonts w:cs="Arial"/>
          <w:b/>
          <w:smallCaps/>
          <w:color w:val="000000" w:themeColor="text1"/>
          <w:sz w:val="22"/>
          <w:szCs w:val="22"/>
        </w:rPr>
      </w:pPr>
      <w:r w:rsidRPr="005159F1">
        <w:rPr>
          <w:rFonts w:cs="Arial"/>
          <w:b/>
          <w:smallCaps/>
          <w:color w:val="000000" w:themeColor="text1"/>
          <w:sz w:val="22"/>
          <w:szCs w:val="22"/>
        </w:rPr>
        <w:t>On behalf of the Ohio Energy Group</w:t>
      </w:r>
    </w:p>
    <w:p w:rsidR="00F92465" w:rsidRPr="005159F1" w:rsidRDefault="00F92465" w:rsidP="00F92465">
      <w:pPr>
        <w:rPr>
          <w:color w:val="000000" w:themeColor="text1"/>
          <w:sz w:val="22"/>
          <w:szCs w:val="22"/>
        </w:rPr>
      </w:pP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Vincent Parisi</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Matthew White</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Interstate Gas Supply, Inc.</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6100 Emerald Parkway</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Dublin, OH  43016</w:t>
      </w:r>
    </w:p>
    <w:p w:rsidR="00F92465" w:rsidRPr="005159F1" w:rsidRDefault="00F92465" w:rsidP="00F92465">
      <w:pPr>
        <w:pStyle w:val="BodyTextIndent"/>
        <w:ind w:firstLine="0"/>
        <w:jc w:val="left"/>
        <w:rPr>
          <w:color w:val="000000" w:themeColor="text1"/>
          <w:sz w:val="22"/>
          <w:szCs w:val="22"/>
        </w:rPr>
      </w:pPr>
      <w:r w:rsidRPr="009135CB">
        <w:rPr>
          <w:sz w:val="22"/>
          <w:szCs w:val="22"/>
        </w:rPr>
        <w:t>vparisi@igsenergy.com</w:t>
      </w:r>
    </w:p>
    <w:p w:rsidR="00F92465" w:rsidRPr="005159F1" w:rsidRDefault="00F92465" w:rsidP="00F92465">
      <w:pPr>
        <w:pStyle w:val="BodyTextIndent"/>
        <w:ind w:firstLine="0"/>
        <w:jc w:val="left"/>
        <w:rPr>
          <w:color w:val="000000" w:themeColor="text1"/>
          <w:sz w:val="22"/>
          <w:szCs w:val="22"/>
        </w:rPr>
      </w:pPr>
      <w:r w:rsidRPr="009135CB">
        <w:rPr>
          <w:sz w:val="22"/>
          <w:szCs w:val="22"/>
        </w:rPr>
        <w:t>mswhite@igsenergy.com</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pStyle w:val="BodyTextIndent"/>
        <w:ind w:firstLine="0"/>
        <w:jc w:val="left"/>
        <w:rPr>
          <w:rFonts w:ascii="Arial Bold" w:hAnsi="Arial Bold"/>
          <w:b/>
          <w:smallCaps/>
          <w:color w:val="000000" w:themeColor="text1"/>
          <w:sz w:val="22"/>
          <w:szCs w:val="22"/>
        </w:rPr>
      </w:pPr>
      <w:r w:rsidRPr="005159F1">
        <w:rPr>
          <w:rFonts w:ascii="Arial Bold" w:hAnsi="Arial Bold"/>
          <w:b/>
          <w:smallCaps/>
          <w:color w:val="000000" w:themeColor="text1"/>
          <w:sz w:val="22"/>
          <w:szCs w:val="22"/>
        </w:rPr>
        <w:t>On Behalf of Interstate Gas Supply, Inc.</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br w:type="column"/>
      </w:r>
      <w:r w:rsidRPr="005159F1">
        <w:rPr>
          <w:color w:val="000000" w:themeColor="text1"/>
          <w:sz w:val="22"/>
          <w:szCs w:val="22"/>
        </w:rPr>
        <w:lastRenderedPageBreak/>
        <w:t>Steven T. Nourse</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American Electric Power Service Corporation</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1 Riverside Plaza, 29</w:t>
      </w:r>
      <w:r w:rsidRPr="005159F1">
        <w:rPr>
          <w:color w:val="000000" w:themeColor="text1"/>
          <w:sz w:val="22"/>
          <w:szCs w:val="22"/>
          <w:vertAlign w:val="superscript"/>
        </w:rPr>
        <w:t>th</w:t>
      </w:r>
      <w:r w:rsidRPr="005159F1">
        <w:rPr>
          <w:color w:val="000000" w:themeColor="text1"/>
          <w:sz w:val="22"/>
          <w:szCs w:val="22"/>
        </w:rPr>
        <w:t xml:space="preserve"> Floor</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Columbus, OH  43215</w:t>
      </w:r>
    </w:p>
    <w:p w:rsidR="00F92465" w:rsidRPr="005159F1" w:rsidRDefault="00F92465" w:rsidP="00F92465">
      <w:pPr>
        <w:pStyle w:val="BodyTextIndent"/>
        <w:ind w:firstLine="0"/>
        <w:jc w:val="left"/>
        <w:rPr>
          <w:color w:val="000000" w:themeColor="text1"/>
          <w:sz w:val="22"/>
          <w:szCs w:val="22"/>
        </w:rPr>
      </w:pPr>
      <w:r w:rsidRPr="009135CB">
        <w:rPr>
          <w:sz w:val="22"/>
          <w:szCs w:val="22"/>
        </w:rPr>
        <w:t>stnourse@aep.com</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pStyle w:val="BodyTextIndent"/>
        <w:ind w:firstLine="0"/>
        <w:jc w:val="left"/>
        <w:rPr>
          <w:rFonts w:ascii="Arial Bold" w:hAnsi="Arial Bold"/>
          <w:b/>
          <w:smallCaps/>
          <w:color w:val="000000" w:themeColor="text1"/>
          <w:sz w:val="22"/>
          <w:szCs w:val="22"/>
        </w:rPr>
      </w:pPr>
      <w:r w:rsidRPr="005159F1">
        <w:rPr>
          <w:rFonts w:ascii="Arial Bold" w:hAnsi="Arial Bold"/>
          <w:b/>
          <w:smallCaps/>
          <w:color w:val="000000" w:themeColor="text1"/>
          <w:sz w:val="22"/>
          <w:szCs w:val="22"/>
        </w:rPr>
        <w:t>On Behalf of Ohio Power Company</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Mark A. Hayden</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FirstEnergy Service Company</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76 South Main Street</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Akron, OH  44308</w:t>
      </w:r>
    </w:p>
    <w:p w:rsidR="00F92465" w:rsidRPr="005159F1" w:rsidRDefault="00F92465" w:rsidP="00F92465">
      <w:pPr>
        <w:pStyle w:val="BodyTextIndent"/>
        <w:ind w:firstLine="0"/>
        <w:jc w:val="left"/>
        <w:rPr>
          <w:color w:val="000000" w:themeColor="text1"/>
          <w:sz w:val="22"/>
          <w:szCs w:val="22"/>
        </w:rPr>
      </w:pPr>
      <w:r w:rsidRPr="009135CB">
        <w:rPr>
          <w:sz w:val="22"/>
          <w:szCs w:val="22"/>
        </w:rPr>
        <w:t>haydenm@firstenergycorp.com</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pStyle w:val="BodyTextIndent"/>
        <w:ind w:firstLine="0"/>
        <w:jc w:val="left"/>
        <w:rPr>
          <w:rFonts w:ascii="Arial Bold" w:hAnsi="Arial Bold"/>
          <w:b/>
          <w:smallCaps/>
          <w:color w:val="000000" w:themeColor="text1"/>
          <w:sz w:val="22"/>
          <w:szCs w:val="22"/>
        </w:rPr>
      </w:pPr>
      <w:r w:rsidRPr="005159F1">
        <w:rPr>
          <w:rFonts w:ascii="Arial Bold" w:hAnsi="Arial Bold"/>
          <w:b/>
          <w:smallCaps/>
          <w:color w:val="000000" w:themeColor="text1"/>
          <w:sz w:val="22"/>
          <w:szCs w:val="22"/>
        </w:rPr>
        <w:t>On Behalf of FirstEnergy Solutions Corp,</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tabs>
          <w:tab w:val="left" w:pos="2160"/>
          <w:tab w:val="left" w:pos="2280"/>
        </w:tabs>
        <w:rPr>
          <w:rFonts w:cs="Arial"/>
          <w:color w:val="000000" w:themeColor="text1"/>
          <w:sz w:val="22"/>
          <w:szCs w:val="22"/>
        </w:rPr>
      </w:pPr>
      <w:r w:rsidRPr="005159F1">
        <w:rPr>
          <w:rFonts w:cs="Arial"/>
          <w:color w:val="000000" w:themeColor="text1"/>
          <w:sz w:val="22"/>
          <w:szCs w:val="22"/>
        </w:rPr>
        <w:t>M. Howard Petricoff</w:t>
      </w:r>
    </w:p>
    <w:p w:rsidR="00F92465" w:rsidRPr="005159F1" w:rsidRDefault="00F92465" w:rsidP="00F92465">
      <w:pPr>
        <w:tabs>
          <w:tab w:val="left" w:pos="2160"/>
          <w:tab w:val="left" w:pos="2280"/>
        </w:tabs>
        <w:rPr>
          <w:rFonts w:cs="Arial"/>
          <w:color w:val="000000" w:themeColor="text1"/>
          <w:sz w:val="22"/>
          <w:szCs w:val="22"/>
        </w:rPr>
      </w:pPr>
      <w:r w:rsidRPr="005159F1">
        <w:rPr>
          <w:rFonts w:cs="Arial"/>
          <w:color w:val="000000" w:themeColor="text1"/>
          <w:sz w:val="22"/>
          <w:szCs w:val="22"/>
        </w:rPr>
        <w:t>Vorys, Sater, Seymour and Pease LLP</w:t>
      </w:r>
    </w:p>
    <w:p w:rsidR="00F92465" w:rsidRPr="005159F1" w:rsidRDefault="00F92465" w:rsidP="00F92465">
      <w:pPr>
        <w:tabs>
          <w:tab w:val="left" w:pos="2160"/>
          <w:tab w:val="left" w:pos="2280"/>
        </w:tabs>
        <w:rPr>
          <w:rFonts w:cs="Arial"/>
          <w:color w:val="000000" w:themeColor="text1"/>
          <w:sz w:val="22"/>
          <w:szCs w:val="22"/>
        </w:rPr>
      </w:pPr>
      <w:r w:rsidRPr="005159F1">
        <w:rPr>
          <w:rFonts w:cs="Arial"/>
          <w:color w:val="000000" w:themeColor="text1"/>
          <w:sz w:val="22"/>
          <w:szCs w:val="22"/>
        </w:rPr>
        <w:t>52 E. Gay Street</w:t>
      </w:r>
    </w:p>
    <w:p w:rsidR="00F92465" w:rsidRPr="005159F1" w:rsidRDefault="00F92465" w:rsidP="00F92465">
      <w:pPr>
        <w:tabs>
          <w:tab w:val="left" w:pos="2160"/>
          <w:tab w:val="left" w:pos="2280"/>
        </w:tabs>
        <w:rPr>
          <w:rFonts w:cs="Arial"/>
          <w:color w:val="000000" w:themeColor="text1"/>
          <w:sz w:val="22"/>
          <w:szCs w:val="22"/>
        </w:rPr>
      </w:pPr>
      <w:r w:rsidRPr="005159F1">
        <w:rPr>
          <w:rFonts w:cs="Arial"/>
          <w:color w:val="000000" w:themeColor="text1"/>
          <w:sz w:val="22"/>
          <w:szCs w:val="22"/>
        </w:rPr>
        <w:t>Columbus, OH  43215</w:t>
      </w:r>
    </w:p>
    <w:p w:rsidR="00F92465" w:rsidRPr="005159F1" w:rsidRDefault="00F92465" w:rsidP="00F92465">
      <w:pPr>
        <w:tabs>
          <w:tab w:val="left" w:pos="2160"/>
          <w:tab w:val="left" w:pos="2280"/>
        </w:tabs>
        <w:rPr>
          <w:rFonts w:cs="Arial"/>
          <w:color w:val="000000" w:themeColor="text1"/>
          <w:sz w:val="22"/>
          <w:szCs w:val="22"/>
        </w:rPr>
      </w:pPr>
      <w:r w:rsidRPr="009135CB">
        <w:rPr>
          <w:rFonts w:cs="Arial"/>
          <w:sz w:val="22"/>
          <w:szCs w:val="22"/>
        </w:rPr>
        <w:t>mhpetricoff@vorys.com</w:t>
      </w:r>
    </w:p>
    <w:p w:rsidR="00F92465" w:rsidRPr="005159F1" w:rsidRDefault="00F92465" w:rsidP="00F92465">
      <w:pPr>
        <w:tabs>
          <w:tab w:val="left" w:pos="2160"/>
          <w:tab w:val="left" w:pos="2280"/>
        </w:tabs>
        <w:rPr>
          <w:rFonts w:cs="Arial"/>
          <w:color w:val="000000" w:themeColor="text1"/>
          <w:sz w:val="22"/>
          <w:szCs w:val="22"/>
        </w:rPr>
      </w:pPr>
    </w:p>
    <w:p w:rsidR="00F92465" w:rsidRPr="005159F1" w:rsidRDefault="00F92465" w:rsidP="00F92465">
      <w:pPr>
        <w:tabs>
          <w:tab w:val="left" w:pos="2160"/>
          <w:tab w:val="left" w:pos="2280"/>
        </w:tabs>
        <w:rPr>
          <w:rFonts w:cs="Arial"/>
          <w:b/>
          <w:smallCaps/>
          <w:color w:val="000000" w:themeColor="text1"/>
          <w:sz w:val="22"/>
        </w:rPr>
      </w:pPr>
      <w:r w:rsidRPr="005159F1">
        <w:rPr>
          <w:rFonts w:cs="Arial"/>
          <w:b/>
          <w:smallCaps/>
          <w:color w:val="000000" w:themeColor="text1"/>
          <w:sz w:val="22"/>
        </w:rPr>
        <w:t>On Behalf of Retail Energy Supply Association</w:t>
      </w:r>
    </w:p>
    <w:p w:rsidR="00F92465" w:rsidRPr="005159F1" w:rsidRDefault="00F92465" w:rsidP="00F92465">
      <w:pPr>
        <w:pStyle w:val="BodyTextIndent"/>
        <w:ind w:firstLine="0"/>
        <w:jc w:val="left"/>
        <w:rPr>
          <w:color w:val="000000" w:themeColor="text1"/>
          <w:sz w:val="22"/>
          <w:szCs w:val="22"/>
        </w:rPr>
      </w:pP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br w:type="column"/>
      </w:r>
      <w:r w:rsidRPr="005159F1">
        <w:rPr>
          <w:color w:val="000000" w:themeColor="text1"/>
          <w:sz w:val="22"/>
          <w:szCs w:val="22"/>
        </w:rPr>
        <w:lastRenderedPageBreak/>
        <w:t>Werner Margard</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Steven Beeler</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Assistant Attorney General</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Public Utilities Section</w:t>
      </w:r>
    </w:p>
    <w:p w:rsidR="00F92465" w:rsidRPr="005159F1" w:rsidRDefault="00F92465" w:rsidP="00F92465">
      <w:pPr>
        <w:pStyle w:val="BodyTextIndent"/>
        <w:ind w:firstLine="0"/>
        <w:jc w:val="left"/>
        <w:rPr>
          <w:color w:val="000000" w:themeColor="text1"/>
          <w:sz w:val="22"/>
          <w:szCs w:val="22"/>
        </w:rPr>
      </w:pPr>
      <w:r w:rsidRPr="005159F1">
        <w:rPr>
          <w:color w:val="000000" w:themeColor="text1"/>
          <w:sz w:val="22"/>
          <w:szCs w:val="22"/>
        </w:rPr>
        <w:t>180 East Broad Street, 9</w:t>
      </w:r>
      <w:r w:rsidRPr="005159F1">
        <w:rPr>
          <w:color w:val="000000" w:themeColor="text1"/>
          <w:sz w:val="22"/>
          <w:szCs w:val="22"/>
          <w:vertAlign w:val="superscript"/>
        </w:rPr>
        <w:t>th</w:t>
      </w:r>
      <w:r w:rsidRPr="005159F1">
        <w:rPr>
          <w:color w:val="000000" w:themeColor="text1"/>
          <w:sz w:val="22"/>
          <w:szCs w:val="22"/>
        </w:rPr>
        <w:t xml:space="preserve"> Floor</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Columbus, OH  43215</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werner.margard@puc.state.oh.us</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steven.beeler@puc.state.oh.us</w:t>
      </w:r>
    </w:p>
    <w:p w:rsidR="00F92465" w:rsidRPr="005159F1" w:rsidRDefault="00F92465" w:rsidP="00F92465">
      <w:pPr>
        <w:rPr>
          <w:rFonts w:cs="Arial"/>
          <w:color w:val="000000" w:themeColor="text1"/>
          <w:sz w:val="22"/>
          <w:szCs w:val="22"/>
        </w:rPr>
      </w:pPr>
    </w:p>
    <w:p w:rsidR="00F92465" w:rsidRPr="005159F1" w:rsidRDefault="00F92465" w:rsidP="00F92465">
      <w:pPr>
        <w:rPr>
          <w:rFonts w:cs="Arial"/>
          <w:b/>
          <w:smallCaps/>
          <w:color w:val="000000" w:themeColor="text1"/>
          <w:sz w:val="22"/>
          <w:szCs w:val="22"/>
        </w:rPr>
      </w:pPr>
      <w:r w:rsidRPr="005159F1">
        <w:rPr>
          <w:rFonts w:cs="Arial"/>
          <w:b/>
          <w:smallCaps/>
          <w:color w:val="000000" w:themeColor="text1"/>
          <w:sz w:val="22"/>
          <w:szCs w:val="22"/>
        </w:rPr>
        <w:t>On behalf of the Public Utilities Commission of Ohio</w:t>
      </w:r>
    </w:p>
    <w:p w:rsidR="00F92465" w:rsidRPr="005159F1" w:rsidRDefault="00F92465" w:rsidP="00F92465">
      <w:pPr>
        <w:rPr>
          <w:rFonts w:cs="Arial"/>
          <w:color w:val="000000" w:themeColor="text1"/>
          <w:sz w:val="22"/>
          <w:szCs w:val="22"/>
        </w:rPr>
      </w:pP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Jonathan J. Tauber</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Sarah Parrot</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Attorney Examiner</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Public Utilities Commission of Ohio</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180 East Broad Street</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Columbus, OH  43215</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jonathan.tauber@puc.state.oh.us</w:t>
      </w:r>
    </w:p>
    <w:p w:rsidR="00F92465" w:rsidRPr="005159F1" w:rsidRDefault="00F92465" w:rsidP="00F92465">
      <w:pPr>
        <w:rPr>
          <w:rFonts w:cs="Arial"/>
          <w:color w:val="000000" w:themeColor="text1"/>
          <w:sz w:val="22"/>
          <w:szCs w:val="22"/>
        </w:rPr>
      </w:pPr>
      <w:r w:rsidRPr="005159F1">
        <w:rPr>
          <w:rFonts w:cs="Arial"/>
          <w:color w:val="000000" w:themeColor="text1"/>
          <w:sz w:val="22"/>
          <w:szCs w:val="22"/>
        </w:rPr>
        <w:t>sarah.parrot@puc.state.oh.us</w:t>
      </w:r>
    </w:p>
    <w:p w:rsidR="00F92465" w:rsidRPr="005159F1" w:rsidRDefault="00F92465" w:rsidP="00F92465">
      <w:pPr>
        <w:rPr>
          <w:rFonts w:cs="Arial"/>
          <w:color w:val="000000" w:themeColor="text1"/>
          <w:sz w:val="22"/>
          <w:szCs w:val="22"/>
        </w:rPr>
      </w:pPr>
    </w:p>
    <w:p w:rsidR="00F92465" w:rsidRPr="00013C0B" w:rsidRDefault="00F92465" w:rsidP="00F92465">
      <w:pPr>
        <w:rPr>
          <w:rFonts w:cs="Arial"/>
          <w:b/>
          <w:smallCaps/>
          <w:color w:val="000000" w:themeColor="text1"/>
          <w:sz w:val="22"/>
          <w:szCs w:val="22"/>
        </w:rPr>
      </w:pPr>
      <w:bookmarkStart w:id="5" w:name="_GoBack"/>
      <w:bookmarkEnd w:id="5"/>
      <w:r w:rsidRPr="00013C0B">
        <w:rPr>
          <w:rFonts w:cs="Arial"/>
          <w:b/>
          <w:smallCaps/>
          <w:color w:val="000000" w:themeColor="text1"/>
          <w:sz w:val="22"/>
          <w:szCs w:val="22"/>
        </w:rPr>
        <w:t>Attorney Examiner</w:t>
      </w:r>
    </w:p>
    <w:p w:rsidR="00F92465" w:rsidRPr="00013C0B" w:rsidRDefault="00F92465" w:rsidP="00F92465">
      <w:pPr>
        <w:rPr>
          <w:rFonts w:eastAsia="Times New Roman" w:cs="Arial"/>
          <w:b/>
          <w:smallCaps/>
          <w:color w:val="000000" w:themeColor="text1"/>
          <w:sz w:val="22"/>
          <w:szCs w:val="22"/>
        </w:rPr>
      </w:pPr>
    </w:p>
    <w:p w:rsidR="00F92465" w:rsidRPr="00013C0B" w:rsidRDefault="00F92465" w:rsidP="00F92465">
      <w:pPr>
        <w:rPr>
          <w:sz w:val="22"/>
          <w:szCs w:val="22"/>
        </w:rPr>
      </w:pPr>
    </w:p>
    <w:p w:rsidR="00B97AFE" w:rsidRPr="008F3ADC" w:rsidRDefault="00B97AFE" w:rsidP="00F92465">
      <w:pPr>
        <w:rPr>
          <w:rFonts w:eastAsia="Times New Roman" w:cs="Arial"/>
          <w:b/>
          <w:smallCaps/>
          <w:color w:val="000000" w:themeColor="text1"/>
        </w:rPr>
      </w:pPr>
    </w:p>
    <w:sectPr w:rsidR="00B97AFE" w:rsidRPr="008F3ADC" w:rsidSect="00013C0B">
      <w:type w:val="continuous"/>
      <w:pgSz w:w="12240" w:h="15840" w:code="1"/>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A6" w:rsidRDefault="00AA7BA6" w:rsidP="00CA02E6">
      <w:r>
        <w:separator/>
      </w:r>
    </w:p>
  </w:endnote>
  <w:endnote w:type="continuationSeparator" w:id="0">
    <w:p w:rsidR="00AA7BA6" w:rsidRDefault="00AA7BA6" w:rsidP="00CA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abon-Italic">
    <w:panose1 w:val="00000000000000000000"/>
    <w:charset w:val="00"/>
    <w:family w:val="auto"/>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7" w:rsidRDefault="00925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AC" w:rsidRPr="00154443" w:rsidRDefault="00925527">
    <w:pPr>
      <w:pStyle w:val="Footer"/>
    </w:pPr>
    <w:r w:rsidRPr="00925527">
      <w:rPr>
        <w:noProof/>
        <w:sz w:val="16"/>
      </w:rPr>
      <w:t>{C41478:3 }</w:t>
    </w:r>
    <w:r w:rsidR="00CF22AC">
      <w:rPr>
        <w:noProof/>
        <w:sz w:val="16"/>
      </w:rPr>
      <w:tab/>
    </w:r>
    <w:r w:rsidR="00CF22AC" w:rsidRPr="008A1B6E">
      <w:rPr>
        <w:noProof/>
        <w:sz w:val="22"/>
        <w:szCs w:val="22"/>
      </w:rPr>
      <w:fldChar w:fldCharType="begin"/>
    </w:r>
    <w:r w:rsidR="00CF22AC" w:rsidRPr="008A1B6E">
      <w:rPr>
        <w:noProof/>
        <w:sz w:val="22"/>
        <w:szCs w:val="22"/>
      </w:rPr>
      <w:instrText xml:space="preserve"> PAGE   \* MERGEFORMAT </w:instrText>
    </w:r>
    <w:r w:rsidR="00CF22AC" w:rsidRPr="008A1B6E">
      <w:rPr>
        <w:noProof/>
        <w:sz w:val="22"/>
        <w:szCs w:val="22"/>
      </w:rPr>
      <w:fldChar w:fldCharType="separate"/>
    </w:r>
    <w:r w:rsidR="008A6572">
      <w:rPr>
        <w:noProof/>
        <w:sz w:val="22"/>
        <w:szCs w:val="22"/>
      </w:rPr>
      <w:t>13</w:t>
    </w:r>
    <w:r w:rsidR="00CF22AC" w:rsidRPr="008A1B6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AC" w:rsidRPr="00154443" w:rsidRDefault="00925527">
    <w:pPr>
      <w:pStyle w:val="Footer"/>
    </w:pPr>
    <w:r w:rsidRPr="00925527">
      <w:rPr>
        <w:noProof/>
        <w:sz w:val="16"/>
      </w:rPr>
      <w:t>{C41478:3 }</w:t>
    </w:r>
    <w:r w:rsidR="000C183D">
      <w:rPr>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A6" w:rsidRPr="00141048" w:rsidRDefault="00925527" w:rsidP="00AA7BA6">
    <w:pPr>
      <w:tabs>
        <w:tab w:val="center" w:pos="4680"/>
      </w:tabs>
    </w:pPr>
    <w:r w:rsidRPr="00925527">
      <w:rPr>
        <w:noProof/>
        <w:sz w:val="16"/>
      </w:rPr>
      <w:t>{C41478:3 }</w:t>
    </w:r>
    <w:r w:rsidR="00AA7BA6">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A6" w:rsidRPr="00576EA9" w:rsidRDefault="00AA7BA6" w:rsidP="00AA7BA6">
    <w:pPr>
      <w:pStyle w:val="Footer"/>
    </w:pPr>
    <w:r w:rsidRPr="00F90F3D">
      <w:rPr>
        <w:noProof/>
        <w:sz w:val="16"/>
      </w:rPr>
      <w:t>{C41107:2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A6" w:rsidRDefault="00AA7BA6" w:rsidP="00CA02E6">
      <w:pPr>
        <w:rPr>
          <w:noProof/>
        </w:rPr>
      </w:pPr>
      <w:r>
        <w:rPr>
          <w:noProof/>
        </w:rPr>
        <w:separator/>
      </w:r>
    </w:p>
  </w:footnote>
  <w:footnote w:type="continuationSeparator" w:id="0">
    <w:p w:rsidR="00AA7BA6" w:rsidRDefault="00AA7BA6" w:rsidP="00CA02E6">
      <w:r>
        <w:continuationSeparator/>
      </w:r>
    </w:p>
  </w:footnote>
  <w:footnote w:id="1">
    <w:p w:rsidR="00AA7BA6" w:rsidRDefault="00AA7BA6" w:rsidP="00373D6D">
      <w:pPr>
        <w:pStyle w:val="FootnoteText"/>
        <w:spacing w:after="120"/>
        <w:jc w:val="both"/>
      </w:pPr>
      <w:r>
        <w:rPr>
          <w:rStyle w:val="FootnoteReference"/>
        </w:rPr>
        <w:footnoteRef/>
      </w:r>
      <w:r>
        <w:t xml:space="preserve"> </w:t>
      </w:r>
      <w:r w:rsidRPr="00CA02E6">
        <w:rPr>
          <w:i/>
        </w:rPr>
        <w:t>In the Matter of the Commission</w:t>
      </w:r>
      <w:r>
        <w:rPr>
          <w:i/>
        </w:rPr>
        <w:t>’</w:t>
      </w:r>
      <w:r w:rsidRPr="00CA02E6">
        <w:rPr>
          <w:i/>
        </w:rPr>
        <w:t>s Review of Customer Rate Impacts from Ohio Power Company</w:t>
      </w:r>
      <w:r>
        <w:rPr>
          <w:i/>
        </w:rPr>
        <w:t>’</w:t>
      </w:r>
      <w:r w:rsidRPr="00CA02E6">
        <w:rPr>
          <w:i/>
        </w:rPr>
        <w:t>s Transition to Market Based Rates</w:t>
      </w:r>
      <w:r>
        <w:t>, Case No. 13-1530-EL-UNC, Entry (June 27, 2013) (herein</w:t>
      </w:r>
      <w:r w:rsidR="001C5A25">
        <w:t>after</w:t>
      </w:r>
      <w:r>
        <w:t xml:space="preserve"> cited as the “</w:t>
      </w:r>
      <w:r w:rsidRPr="00A21E43">
        <w:rPr>
          <w:i/>
        </w:rPr>
        <w:t xml:space="preserve">Second Transition </w:t>
      </w:r>
      <w:r w:rsidRPr="00CA02E6">
        <w:rPr>
          <w:i/>
        </w:rPr>
        <w:t>Entry</w:t>
      </w:r>
      <w:r>
        <w:rPr>
          <w:i/>
        </w:rPr>
        <w:t>”</w:t>
      </w:r>
      <w:r>
        <w:t>).</w:t>
      </w:r>
    </w:p>
  </w:footnote>
  <w:footnote w:id="2">
    <w:p w:rsidR="00AA7BA6" w:rsidRDefault="00AA7BA6" w:rsidP="00373D6D">
      <w:pPr>
        <w:pStyle w:val="FootnoteText"/>
        <w:spacing w:after="120"/>
      </w:pPr>
      <w:r>
        <w:rPr>
          <w:rStyle w:val="FootnoteReference"/>
        </w:rPr>
        <w:footnoteRef/>
      </w:r>
      <w:r>
        <w:t xml:space="preserve"> Hereinafter cited as the “</w:t>
      </w:r>
      <w:r w:rsidRPr="0096150E">
        <w:rPr>
          <w:i/>
        </w:rPr>
        <w:t>ESP II Case</w:t>
      </w:r>
      <w:r w:rsidR="00463174">
        <w:rPr>
          <w:i/>
        </w:rPr>
        <w:t>.</w:t>
      </w:r>
      <w:r>
        <w:rPr>
          <w:i/>
        </w:rPr>
        <w:t>”</w:t>
      </w:r>
    </w:p>
  </w:footnote>
  <w:footnote w:id="3">
    <w:p w:rsidR="00AA7BA6" w:rsidRPr="00B97AFE" w:rsidRDefault="00AA7BA6" w:rsidP="00373D6D">
      <w:pPr>
        <w:pStyle w:val="FootnoteText"/>
        <w:spacing w:after="120"/>
      </w:pPr>
      <w:r>
        <w:rPr>
          <w:rStyle w:val="FootnoteReference"/>
        </w:rPr>
        <w:footnoteRef/>
      </w:r>
      <w:r>
        <w:t xml:space="preserve"> </w:t>
      </w:r>
      <w:r>
        <w:rPr>
          <w:i/>
        </w:rPr>
        <w:t>Second Transition Entry</w:t>
      </w:r>
      <w:r>
        <w:t xml:space="preserve"> at 1.  </w:t>
      </w:r>
    </w:p>
  </w:footnote>
  <w:footnote w:id="4">
    <w:p w:rsidR="00AA7BA6" w:rsidRPr="00766C5E" w:rsidRDefault="00AA7BA6" w:rsidP="00373D6D">
      <w:pPr>
        <w:pStyle w:val="FootnoteText"/>
        <w:spacing w:after="120"/>
        <w:jc w:val="both"/>
        <w:rPr>
          <w:rFonts w:cs="Arial"/>
        </w:rPr>
      </w:pPr>
      <w:r>
        <w:rPr>
          <w:rStyle w:val="FootnoteReference"/>
        </w:rPr>
        <w:footnoteRef/>
      </w:r>
      <w:r>
        <w:t xml:space="preserve"> </w:t>
      </w:r>
      <w:r w:rsidRPr="003D22CA">
        <w:rPr>
          <w:i/>
        </w:rPr>
        <w:t>ESP II Case</w:t>
      </w:r>
      <w:r>
        <w:rPr>
          <w:i/>
        </w:rPr>
        <w:t>,</w:t>
      </w:r>
      <w:r>
        <w:t xml:space="preserve"> Opinion and Order at 15-16 (Aug</w:t>
      </w:r>
      <w:r w:rsidR="001C5A25">
        <w:t>.</w:t>
      </w:r>
      <w:r>
        <w:t xml:space="preserve"> 8, 2012).</w:t>
      </w:r>
    </w:p>
  </w:footnote>
  <w:footnote w:id="5">
    <w:p w:rsidR="00AA7BA6" w:rsidRPr="00B97AFE" w:rsidRDefault="00AA7BA6" w:rsidP="00373D6D">
      <w:pPr>
        <w:autoSpaceDE w:val="0"/>
        <w:autoSpaceDN w:val="0"/>
        <w:adjustRightInd w:val="0"/>
        <w:spacing w:after="120"/>
        <w:jc w:val="both"/>
      </w:pPr>
      <w:r w:rsidRPr="00190671">
        <w:rPr>
          <w:rStyle w:val="FootnoteReference"/>
          <w:rFonts w:cs="Arial"/>
          <w:sz w:val="20"/>
          <w:szCs w:val="20"/>
        </w:rPr>
        <w:footnoteRef/>
      </w:r>
      <w:r w:rsidRPr="00190671">
        <w:rPr>
          <w:rFonts w:cs="Arial"/>
          <w:sz w:val="20"/>
          <w:szCs w:val="20"/>
        </w:rPr>
        <w:t xml:space="preserve"> </w:t>
      </w:r>
      <w:r w:rsidRPr="00190671">
        <w:rPr>
          <w:rFonts w:cs="Arial"/>
          <w:i/>
          <w:sz w:val="20"/>
          <w:szCs w:val="20"/>
        </w:rPr>
        <w:t xml:space="preserve">Second Transition Entry </w:t>
      </w:r>
      <w:r w:rsidRPr="00190671">
        <w:rPr>
          <w:rFonts w:cs="Arial"/>
          <w:sz w:val="20"/>
          <w:szCs w:val="20"/>
        </w:rPr>
        <w:t xml:space="preserve">at 1.  On July 26, 2013 and in response to a motion for extension of the deadlines for filing comments filed by the Commission’s Staff on the same day, the Attorney Examiner reset the dates for comments and reply comments to August 12, 2013 and September 3, 2013, respectively. </w:t>
      </w:r>
      <w:r w:rsidR="00766C5E" w:rsidRPr="00190671">
        <w:rPr>
          <w:rFonts w:cs="Arial"/>
          <w:sz w:val="20"/>
          <w:szCs w:val="20"/>
        </w:rPr>
        <w:t xml:space="preserve">On August 9, 2013, in response to </w:t>
      </w:r>
      <w:r w:rsidR="00766C5E">
        <w:rPr>
          <w:rFonts w:cs="Arial"/>
          <w:sz w:val="20"/>
          <w:szCs w:val="20"/>
        </w:rPr>
        <w:t xml:space="preserve">Ohio Power Company’s </w:t>
      </w:r>
      <w:r w:rsidR="00766C5E" w:rsidRPr="00190671">
        <w:rPr>
          <w:rFonts w:cs="Arial"/>
          <w:sz w:val="20"/>
          <w:szCs w:val="20"/>
        </w:rPr>
        <w:t>request for the extension of the reply comment</w:t>
      </w:r>
      <w:r w:rsidR="00766C5E">
        <w:rPr>
          <w:rFonts w:cs="Arial"/>
          <w:sz w:val="20"/>
          <w:szCs w:val="20"/>
        </w:rPr>
        <w:t xml:space="preserve"> </w:t>
      </w:r>
      <w:r w:rsidR="00766C5E" w:rsidRPr="00190671">
        <w:rPr>
          <w:rFonts w:cs="Arial"/>
          <w:sz w:val="20"/>
          <w:szCs w:val="20"/>
        </w:rPr>
        <w:t>cycle</w:t>
      </w:r>
      <w:r w:rsidR="00766C5E">
        <w:rPr>
          <w:rFonts w:cs="Arial"/>
          <w:sz w:val="20"/>
          <w:szCs w:val="20"/>
        </w:rPr>
        <w:t>, the deadline to file reply comments was extended to September 6, 2013.</w:t>
      </w:r>
    </w:p>
  </w:footnote>
  <w:footnote w:id="6">
    <w:p w:rsidR="00AA7BA6" w:rsidRDefault="00AA7BA6" w:rsidP="00373D6D">
      <w:pPr>
        <w:pStyle w:val="FootnoteText"/>
        <w:spacing w:after="120"/>
        <w:jc w:val="both"/>
      </w:pPr>
      <w:r>
        <w:rPr>
          <w:rStyle w:val="FootnoteReference"/>
        </w:rPr>
        <w:footnoteRef/>
      </w:r>
      <w:r>
        <w:t xml:space="preserve"> </w:t>
      </w:r>
      <w:r w:rsidRPr="00A21E43">
        <w:rPr>
          <w:i/>
        </w:rPr>
        <w:t>In the Matter of the Application of Ohio Power Company to Establish a Competitive Bidding Process for Procurement of Energy to Support Its Standard Service Offer</w:t>
      </w:r>
      <w:r>
        <w:t xml:space="preserve">, </w:t>
      </w:r>
      <w:r w:rsidRPr="00A21E43">
        <w:t>Case No. 12-3254-EL-UNC</w:t>
      </w:r>
      <w:r>
        <w:t xml:space="preserve"> (hereinafter referred to as the “</w:t>
      </w:r>
      <w:r w:rsidRPr="00023457">
        <w:rPr>
          <w:i/>
        </w:rPr>
        <w:t>Co</w:t>
      </w:r>
      <w:r>
        <w:rPr>
          <w:i/>
        </w:rPr>
        <w:t xml:space="preserve">ntested </w:t>
      </w:r>
      <w:r w:rsidRPr="00023457">
        <w:rPr>
          <w:i/>
        </w:rPr>
        <w:t>Bid Process Case</w:t>
      </w:r>
      <w:r>
        <w:rPr>
          <w:i/>
        </w:rPr>
        <w:t>”</w:t>
      </w:r>
      <w:r>
        <w:t>)</w:t>
      </w:r>
      <w:r w:rsidR="00463174">
        <w:t>.</w:t>
      </w:r>
      <w:r>
        <w:t xml:space="preserve">  This contested proce</w:t>
      </w:r>
      <w:r w:rsidR="001C5A25">
        <w:t>eding was initiated on December </w:t>
      </w:r>
      <w:r>
        <w:t xml:space="preserve">21, 2012 by </w:t>
      </w:r>
      <w:r w:rsidR="001C5A25">
        <w:t xml:space="preserve">Ohio Power Company’s </w:t>
      </w:r>
      <w:r>
        <w:t>application.</w:t>
      </w:r>
    </w:p>
  </w:footnote>
  <w:footnote w:id="7">
    <w:p w:rsidR="00AA7BA6" w:rsidRDefault="00AA7BA6" w:rsidP="00373D6D">
      <w:pPr>
        <w:pStyle w:val="FootnoteText"/>
        <w:spacing w:after="120"/>
        <w:jc w:val="both"/>
      </w:pPr>
      <w:r>
        <w:rPr>
          <w:rStyle w:val="FootnoteReference"/>
        </w:rPr>
        <w:footnoteRef/>
      </w:r>
      <w:r>
        <w:t xml:space="preserve"> </w:t>
      </w:r>
      <w:r>
        <w:rPr>
          <w:rFonts w:cs="Arial"/>
        </w:rPr>
        <w:t xml:space="preserve">As the Commission knows, it is the position of the Industrial Energy Users-Ohio (“IEU-Ohio”) that the unique and </w:t>
      </w:r>
      <w:r w:rsidRPr="00013C0B">
        <w:rPr>
          <w:rFonts w:cs="Arial"/>
          <w:i/>
        </w:rPr>
        <w:t>ultra vires</w:t>
      </w:r>
      <w:r>
        <w:rPr>
          <w:rFonts w:cs="Arial"/>
        </w:rPr>
        <w:t xml:space="preserve"> authorization of a second transition to market-based rates for Ohio Power Company, through the </w:t>
      </w:r>
      <w:r w:rsidRPr="00852FD1">
        <w:rPr>
          <w:rFonts w:cs="Arial"/>
          <w:i/>
        </w:rPr>
        <w:t>ESP II Case</w:t>
      </w:r>
      <w:r>
        <w:rPr>
          <w:rFonts w:cs="Arial"/>
        </w:rPr>
        <w:t xml:space="preserve">, was unreasonable and unlawful.  More specifically, the Commission authorized the imposition of above-market and non-bypassable generation-related charges on Ohio Power Company’s customers.  The above-market and non-bypassable charges make customers responsible for the business and financial risks of Ohio Power Company’s competitive generation business and erect economic barriers between customers and the lower electric bills that are otherwise available.  The rate increase consequences landed on customers served by competitive retail electric service (“CRES”) providers, as well as customers not obtaining such supply from a CRES provider and will, if not terminated by the Ohio Supreme Court, continue to negatively affect such customers well beyond the term of the </w:t>
      </w:r>
      <w:r w:rsidR="001C5A25">
        <w:rPr>
          <w:rFonts w:cs="Arial"/>
        </w:rPr>
        <w:t>electric security plan (“</w:t>
      </w:r>
      <w:r>
        <w:rPr>
          <w:rFonts w:cs="Arial"/>
        </w:rPr>
        <w:t>ESP</w:t>
      </w:r>
      <w:r w:rsidR="001C5A25">
        <w:rPr>
          <w:rFonts w:cs="Arial"/>
        </w:rPr>
        <w:t>”)</w:t>
      </w:r>
      <w:r>
        <w:rPr>
          <w:rFonts w:cs="Arial"/>
        </w:rPr>
        <w:t xml:space="preserve"> approved in the </w:t>
      </w:r>
      <w:r w:rsidRPr="00013C0B">
        <w:rPr>
          <w:rFonts w:cs="Arial"/>
          <w:i/>
        </w:rPr>
        <w:t>ESP II Case</w:t>
      </w:r>
      <w:r>
        <w:rPr>
          <w:rFonts w:cs="Arial"/>
        </w:rPr>
        <w:t xml:space="preserve">.  </w:t>
      </w:r>
      <w:r w:rsidRPr="00FB1069">
        <w:rPr>
          <w:rFonts w:cs="Arial"/>
        </w:rPr>
        <w:t xml:space="preserve">At the time of the decision in the </w:t>
      </w:r>
      <w:r w:rsidRPr="00FB1069">
        <w:rPr>
          <w:rFonts w:cs="Arial"/>
          <w:i/>
        </w:rPr>
        <w:t>ESP II Case</w:t>
      </w:r>
      <w:r w:rsidRPr="00FB1069">
        <w:rPr>
          <w:rFonts w:cs="Arial"/>
        </w:rPr>
        <w:t>, Ohio law said (and still says) that the transition to market for the generation function of Ohio Power Company’s business had to be complete by the end of 2005</w:t>
      </w:r>
      <w:r w:rsidR="001C5A25">
        <w:rPr>
          <w:rFonts w:cs="Arial"/>
        </w:rPr>
        <w:t>,</w:t>
      </w:r>
      <w:r w:rsidRPr="00FB1069">
        <w:rPr>
          <w:rFonts w:cs="Arial"/>
        </w:rPr>
        <w:t xml:space="preserve"> if not sooner</w:t>
      </w:r>
      <w:r w:rsidR="001C5A25">
        <w:rPr>
          <w:rFonts w:cs="Arial"/>
        </w:rPr>
        <w:t>,</w:t>
      </w:r>
      <w:r w:rsidRPr="00FB1069">
        <w:rPr>
          <w:rFonts w:cs="Arial"/>
        </w:rPr>
        <w:t xml:space="preserve"> and that Ohio Power Company’s generation business had to be fully on its own in the competitive market.  In other words, the Commission’s decision in the </w:t>
      </w:r>
      <w:r w:rsidRPr="00FB1069">
        <w:rPr>
          <w:rFonts w:cs="Arial"/>
          <w:i/>
        </w:rPr>
        <w:t>ESP II Case</w:t>
      </w:r>
      <w:r w:rsidRPr="00FB1069">
        <w:rPr>
          <w:rFonts w:cs="Arial"/>
        </w:rPr>
        <w:t xml:space="preserve"> ignored fundamental commands from the General Assembly.  And, as a consequence, Ohio Power Company’s shopping and non-shopping customers are paying a heavy price in the form of above-market and non-bypassable generation-related charges.</w:t>
      </w:r>
    </w:p>
  </w:footnote>
  <w:footnote w:id="8">
    <w:p w:rsidR="00AA7BA6" w:rsidRDefault="00AA7BA6" w:rsidP="00373D6D">
      <w:pPr>
        <w:pStyle w:val="FootnoteText"/>
        <w:spacing w:after="120"/>
        <w:jc w:val="both"/>
      </w:pPr>
      <w:r>
        <w:rPr>
          <w:rStyle w:val="FootnoteReference"/>
        </w:rPr>
        <w:footnoteRef/>
      </w:r>
      <w:r>
        <w:t xml:space="preserve"> </w:t>
      </w:r>
      <w:r>
        <w:rPr>
          <w:i/>
        </w:rPr>
        <w:t xml:space="preserve">ESP II </w:t>
      </w:r>
      <w:r w:rsidRPr="002B51DC">
        <w:rPr>
          <w:i/>
        </w:rPr>
        <w:t>Case</w:t>
      </w:r>
      <w:r>
        <w:t xml:space="preserve">, </w:t>
      </w:r>
      <w:r w:rsidRPr="00B97AFE">
        <w:t>Opinion</w:t>
      </w:r>
      <w:r>
        <w:t xml:space="preserve"> and Order at 39 (Aug</w:t>
      </w:r>
      <w:r w:rsidR="00766C5E">
        <w:t>.</w:t>
      </w:r>
      <w:r>
        <w:t xml:space="preserve"> 8, 2012).  Beginning at page 39, the Opinion and Order rejects proposals to slow the movement to competitive auctions because of the importance of customers being able to take advantage of market-based rates.  Nonetheless, the Commission put the responsibility for developing the CBP in the hands of Ohio Power Company.  Notwithstanding the “… importance of customers being able to take advantage of market-based </w:t>
      </w:r>
      <w:r w:rsidR="00766C5E">
        <w:t>price</w:t>
      </w:r>
      <w:r>
        <w:t xml:space="preserve">s …”, the numerous contested issues raised by Ohio Power Company’s application in the </w:t>
      </w:r>
      <w:r w:rsidRPr="00013C0B">
        <w:rPr>
          <w:i/>
        </w:rPr>
        <w:t xml:space="preserve">Contested Bid </w:t>
      </w:r>
      <w:r>
        <w:rPr>
          <w:i/>
        </w:rPr>
        <w:t xml:space="preserve">Process Case </w:t>
      </w:r>
      <w:r w:rsidRPr="00B400A2">
        <w:t xml:space="preserve">have not been resolved. </w:t>
      </w:r>
      <w:r>
        <w:t xml:space="preserve"> </w:t>
      </w:r>
      <w:r w:rsidRPr="00013C0B">
        <w:rPr>
          <w:i/>
        </w:rPr>
        <w:t>Id</w:t>
      </w:r>
      <w:r>
        <w:t xml:space="preserve">. </w:t>
      </w:r>
    </w:p>
  </w:footnote>
  <w:footnote w:id="9">
    <w:p w:rsidR="00AA7BA6" w:rsidRDefault="00AA7BA6" w:rsidP="00373D6D">
      <w:pPr>
        <w:pStyle w:val="FootnoteText"/>
        <w:spacing w:after="120"/>
      </w:pPr>
      <w:r>
        <w:rPr>
          <w:rStyle w:val="FootnoteReference"/>
        </w:rPr>
        <w:footnoteRef/>
      </w:r>
      <w:r>
        <w:t xml:space="preserve"> </w:t>
      </w:r>
      <w:r w:rsidR="00512A29" w:rsidRPr="00512A29">
        <w:rPr>
          <w:i/>
        </w:rPr>
        <w:t>Id</w:t>
      </w:r>
      <w:r w:rsidR="00512A29">
        <w:rPr>
          <w:i/>
        </w:rPr>
        <w:t xml:space="preserve">. </w:t>
      </w:r>
      <w:r>
        <w:t>at 42.</w:t>
      </w:r>
    </w:p>
  </w:footnote>
  <w:footnote w:id="10">
    <w:p w:rsidR="00AA7BA6" w:rsidRDefault="00AA7BA6" w:rsidP="00373D6D">
      <w:pPr>
        <w:pStyle w:val="FootnoteText"/>
        <w:spacing w:after="120"/>
        <w:jc w:val="both"/>
      </w:pPr>
      <w:r>
        <w:rPr>
          <w:rStyle w:val="FootnoteReference"/>
        </w:rPr>
        <w:footnoteRef/>
      </w:r>
      <w:r>
        <w:t xml:space="preserve"> </w:t>
      </w:r>
      <w:r>
        <w:rPr>
          <w:bCs/>
          <w:i/>
        </w:rPr>
        <w:t>In the Matter of the Application of Ohio Power Company to Update Its gridSMART Rider</w:t>
      </w:r>
      <w:r>
        <w:rPr>
          <w:bCs/>
        </w:rPr>
        <w:t>, Case No. 13</w:t>
      </w:r>
      <w:r>
        <w:rPr>
          <w:bCs/>
        </w:rPr>
        <w:noBreakHyphen/>
        <w:t>345</w:t>
      </w:r>
      <w:r>
        <w:rPr>
          <w:bCs/>
        </w:rPr>
        <w:noBreakHyphen/>
        <w:t>EL</w:t>
      </w:r>
      <w:r>
        <w:rPr>
          <w:bCs/>
        </w:rPr>
        <w:noBreakHyphen/>
        <w:t xml:space="preserve">RDR, Application at Attachment </w:t>
      </w:r>
      <w:r w:rsidR="00B00FE4">
        <w:rPr>
          <w:bCs/>
        </w:rPr>
        <w:t>4</w:t>
      </w:r>
      <w:r>
        <w:rPr>
          <w:bCs/>
        </w:rPr>
        <w:t xml:space="preserve"> (Feb. 2, 2013) (</w:t>
      </w:r>
      <w:r w:rsidR="00B00FE4">
        <w:rPr>
          <w:bCs/>
        </w:rPr>
        <w:t>the proposed gridSMART rates would increase by a factor of five in Case No. 13-345-EL-RDR alone).</w:t>
      </w:r>
    </w:p>
  </w:footnote>
  <w:footnote w:id="11">
    <w:p w:rsidR="00AA7BA6" w:rsidRDefault="00AA7BA6" w:rsidP="00373D6D">
      <w:pPr>
        <w:pStyle w:val="FootnoteText"/>
        <w:spacing w:after="120"/>
      </w:pPr>
      <w:r>
        <w:rPr>
          <w:rStyle w:val="FootnoteReference"/>
        </w:rPr>
        <w:footnoteRef/>
      </w:r>
      <w:r>
        <w:t xml:space="preserve"> </w:t>
      </w:r>
      <w:r>
        <w:rPr>
          <w:i/>
        </w:rPr>
        <w:t>ESP II Case</w:t>
      </w:r>
      <w:r>
        <w:t>,</w:t>
      </w:r>
      <w:r>
        <w:rPr>
          <w:i/>
        </w:rPr>
        <w:t xml:space="preserve"> </w:t>
      </w:r>
      <w:r>
        <w:t>Direct Testimony of Thomas Kirkpatrick at 8 (Mar. 30, 2012)</w:t>
      </w:r>
      <w:r w:rsidR="00C6736E">
        <w:t>.</w:t>
      </w:r>
    </w:p>
  </w:footnote>
  <w:footnote w:id="12">
    <w:p w:rsidR="00AA7BA6" w:rsidRDefault="00AA7BA6" w:rsidP="00373D6D">
      <w:pPr>
        <w:pStyle w:val="FootnoteText"/>
        <w:spacing w:after="120"/>
        <w:jc w:val="both"/>
      </w:pPr>
      <w:r>
        <w:rPr>
          <w:rStyle w:val="FootnoteReference"/>
        </w:rPr>
        <w:footnoteRef/>
      </w:r>
      <w:r>
        <w:t xml:space="preserve"> The Commission held that for purposes of the ESP v. MRO (market rate offer) test, the costs associated with the GRR amounted to $8 million; however, </w:t>
      </w:r>
      <w:r w:rsidR="001C5A25">
        <w:t>Ohio Power Company’s</w:t>
      </w:r>
      <w:r>
        <w:t xml:space="preserve"> actual projected revenue requirement for the GRR was roughly $357.2 million.  </w:t>
      </w:r>
      <w:r w:rsidR="00766C5E">
        <w:rPr>
          <w:i/>
        </w:rPr>
        <w:t>ESP II Case</w:t>
      </w:r>
      <w:r w:rsidR="00766C5E" w:rsidRPr="00190671">
        <w:t>, Opinion and Order</w:t>
      </w:r>
      <w:r>
        <w:t xml:space="preserve"> at 75</w:t>
      </w:r>
      <w:r w:rsidR="00723A11">
        <w:t xml:space="preserve"> (Aug. 8, 2012)</w:t>
      </w:r>
      <w:r>
        <w:t xml:space="preserve">; </w:t>
      </w:r>
      <w:r>
        <w:rPr>
          <w:i/>
        </w:rPr>
        <w:t>ESP II Case</w:t>
      </w:r>
      <w:r>
        <w:t xml:space="preserve">, Supplemental </w:t>
      </w:r>
      <w:r w:rsidR="00766C5E">
        <w:t xml:space="preserve">Commission-Ordered </w:t>
      </w:r>
      <w:r>
        <w:t>Testimony of Philip J. Nelson at Ex. PJN-5, page 2 (May 2, 2012).</w:t>
      </w:r>
    </w:p>
  </w:footnote>
  <w:footnote w:id="13">
    <w:p w:rsidR="00AA7BA6" w:rsidRDefault="00AA7BA6" w:rsidP="00373D6D">
      <w:pPr>
        <w:pStyle w:val="FootnoteText"/>
        <w:spacing w:after="120"/>
        <w:jc w:val="both"/>
      </w:pPr>
      <w:r>
        <w:rPr>
          <w:rStyle w:val="FootnoteReference"/>
        </w:rPr>
        <w:footnoteRef/>
      </w:r>
      <w:r>
        <w:t xml:space="preserve"> </w:t>
      </w:r>
      <w:r w:rsidRPr="009B0F59">
        <w:rPr>
          <w:i/>
        </w:rPr>
        <w:t>ESP II Case</w:t>
      </w:r>
      <w:r>
        <w:rPr>
          <w:i/>
        </w:rPr>
        <w:t>,</w:t>
      </w:r>
      <w:r>
        <w:t xml:space="preserve"> Opinion and Order at 75</w:t>
      </w:r>
      <w:r w:rsidR="001C5A25">
        <w:t xml:space="preserve"> (Aug. 8, 2012)</w:t>
      </w:r>
      <w:r>
        <w:t>.  The Commission found that the quantifiable costs associated with the RSR, for purposes of the ESP v. MRO test, was only $388 million; however, the true cost of the RSR is $508 million.</w:t>
      </w:r>
    </w:p>
  </w:footnote>
  <w:footnote w:id="14">
    <w:p w:rsidR="00AA7BA6" w:rsidRDefault="00AA7BA6" w:rsidP="00373D6D">
      <w:pPr>
        <w:pStyle w:val="FootnoteText"/>
        <w:spacing w:after="120"/>
        <w:rPr>
          <w:i/>
        </w:rPr>
      </w:pPr>
      <w:r>
        <w:rPr>
          <w:rStyle w:val="FootnoteReference"/>
        </w:rPr>
        <w:footnoteRef/>
      </w:r>
      <w:r>
        <w:rPr>
          <w:i/>
        </w:rPr>
        <w:t xml:space="preserve"> Id</w:t>
      </w:r>
      <w:r>
        <w:t>. at 76</w:t>
      </w:r>
      <w:r>
        <w:rPr>
          <w:i/>
        </w:rPr>
        <w:t>.</w:t>
      </w:r>
    </w:p>
  </w:footnote>
  <w:footnote w:id="15">
    <w:p w:rsidR="00AA7BA6" w:rsidRDefault="00AA7BA6" w:rsidP="00373D6D">
      <w:pPr>
        <w:pStyle w:val="FootnoteText"/>
        <w:spacing w:after="120"/>
        <w:jc w:val="both"/>
      </w:pPr>
      <w:r>
        <w:rPr>
          <w:rStyle w:val="FootnoteReference"/>
        </w:rPr>
        <w:footnoteRef/>
      </w:r>
      <w:r>
        <w:t xml:space="preserve"> </w:t>
      </w:r>
      <w:r w:rsidRPr="009E4C0D">
        <w:t>Mr. Kollen</w:t>
      </w:r>
      <w:r>
        <w:t xml:space="preserve">, an expert witness for the Office of </w:t>
      </w:r>
      <w:r w:rsidR="001C5A25">
        <w:t xml:space="preserve">the Ohio </w:t>
      </w:r>
      <w:r>
        <w:t>Consumers’ Counsel (“OCC”) and the Ohio Energy Group (“OEG</w:t>
      </w:r>
      <w:r w:rsidR="00766C5E">
        <w:t>”</w:t>
      </w:r>
      <w:r>
        <w:t xml:space="preserve">) in the </w:t>
      </w:r>
      <w:r w:rsidRPr="009E4C0D">
        <w:rPr>
          <w:i/>
        </w:rPr>
        <w:t>Contested Bid Process Case</w:t>
      </w:r>
      <w:r>
        <w:rPr>
          <w:i/>
        </w:rPr>
        <w:t>,</w:t>
      </w:r>
      <w:r w:rsidRPr="009E4C0D">
        <w:t xml:space="preserve"> estimated that </w:t>
      </w:r>
      <w:r w:rsidR="001C5A25">
        <w:t xml:space="preserve">Ohio Power Company’s </w:t>
      </w:r>
      <w:r>
        <w:t xml:space="preserve">version of the Commission-approved </w:t>
      </w:r>
      <w:r w:rsidRPr="009E4C0D">
        <w:t>energy-only auctions could increase non-shopping customers’ rates by as much as $211 million</w:t>
      </w:r>
      <w:r>
        <w:t>.</w:t>
      </w:r>
      <w:r w:rsidRPr="009E4C0D">
        <w:t xml:space="preserve">  </w:t>
      </w:r>
      <w:r>
        <w:t xml:space="preserve">Mr. Kollen’s $211 million harm included a projected $47 million increase associated with the 10% energy-only auction (on an annualized basis for the 12 months ending June 1, 2014) and $164 million for the 7 months ending December 2014.  </w:t>
      </w:r>
      <w:r w:rsidR="001C5A25">
        <w:rPr>
          <w:i/>
        </w:rPr>
        <w:t xml:space="preserve">Contested Bid Process </w:t>
      </w:r>
      <w:r w:rsidR="001C5A25" w:rsidRPr="00766C5E">
        <w:rPr>
          <w:i/>
        </w:rPr>
        <w:t>Case</w:t>
      </w:r>
      <w:r w:rsidR="001C5A25">
        <w:t xml:space="preserve">, </w:t>
      </w:r>
      <w:r w:rsidRPr="001C5A25">
        <w:t>OCC</w:t>
      </w:r>
      <w:r>
        <w:t xml:space="preserve">/OEG Joint Ex. 1 at 3-4.  Mr. Kollen acknowledged that the $47 million figure was an annualized number and the actual harm will be less than $47 million depending on when the 10% energy-only auction occurs.  </w:t>
      </w:r>
      <w:r>
        <w:rPr>
          <w:i/>
        </w:rPr>
        <w:t>Id.</w:t>
      </w:r>
      <w:r>
        <w:t xml:space="preserve"> at 4, n.1.</w:t>
      </w:r>
    </w:p>
  </w:footnote>
  <w:footnote w:id="16">
    <w:p w:rsidR="00AA7BA6" w:rsidRDefault="00AA7BA6" w:rsidP="00373D6D">
      <w:pPr>
        <w:pStyle w:val="FootnoteText"/>
        <w:spacing w:after="120"/>
        <w:jc w:val="both"/>
      </w:pPr>
      <w:r>
        <w:rPr>
          <w:rStyle w:val="FootnoteReference"/>
        </w:rPr>
        <w:footnoteRef/>
      </w:r>
      <w:r>
        <w:t xml:space="preserve"> </w:t>
      </w:r>
      <w:r w:rsidRPr="00023457">
        <w:rPr>
          <w:i/>
        </w:rPr>
        <w:t>In the Matter of the Commission</w:t>
      </w:r>
      <w:r>
        <w:rPr>
          <w:i/>
        </w:rPr>
        <w:t>’</w:t>
      </w:r>
      <w:r w:rsidRPr="00023457">
        <w:rPr>
          <w:i/>
        </w:rPr>
        <w:t>s Investigation of Ohio</w:t>
      </w:r>
      <w:r>
        <w:rPr>
          <w:i/>
        </w:rPr>
        <w:t>’</w:t>
      </w:r>
      <w:r w:rsidRPr="00023457">
        <w:rPr>
          <w:i/>
        </w:rPr>
        <w:t>s Retail Electric Service Market</w:t>
      </w:r>
      <w:r>
        <w:t>, Case No. 12</w:t>
      </w:r>
      <w:r>
        <w:noBreakHyphen/>
        <w:t>3151</w:t>
      </w:r>
      <w:r>
        <w:noBreakHyphen/>
        <w:t>EL</w:t>
      </w:r>
      <w:r>
        <w:noBreakHyphen/>
        <w:t>COI.</w:t>
      </w:r>
    </w:p>
  </w:footnote>
  <w:footnote w:id="17">
    <w:p w:rsidR="00766C5E" w:rsidRDefault="00AA7BA6" w:rsidP="00373D6D">
      <w:pPr>
        <w:pStyle w:val="FootnoteText"/>
        <w:spacing w:after="120"/>
        <w:jc w:val="both"/>
      </w:pPr>
      <w:r>
        <w:rPr>
          <w:rStyle w:val="FootnoteReference"/>
        </w:rPr>
        <w:footnoteRef/>
      </w:r>
      <w:r>
        <w:t xml:space="preserve"> </w:t>
      </w:r>
      <w:r>
        <w:rPr>
          <w:rFonts w:cs="Arial"/>
        </w:rPr>
        <w:t>The Commission’s present layered and disconnected case-by-case approach to resolving dynamically interrelated issues increases the risk of adverse rate and total bill impacts.</w:t>
      </w:r>
    </w:p>
  </w:footnote>
  <w:footnote w:id="18">
    <w:p w:rsidR="00766C5E" w:rsidRDefault="00766C5E" w:rsidP="00373D6D">
      <w:pPr>
        <w:pStyle w:val="FootnoteText"/>
        <w:spacing w:after="120"/>
        <w:jc w:val="both"/>
      </w:pPr>
      <w:r>
        <w:rPr>
          <w:rStyle w:val="FootnoteReference"/>
        </w:rPr>
        <w:footnoteRef/>
      </w:r>
      <w:r>
        <w:t xml:space="preserve"> </w:t>
      </w:r>
      <w:r w:rsidRPr="00190671">
        <w:rPr>
          <w:i/>
        </w:rPr>
        <w:t>In the Matter of the Fuel Adjustment Clauses for Ohio Power Company</w:t>
      </w:r>
      <w:r>
        <w:t>, Case No. 13</w:t>
      </w:r>
      <w:r>
        <w:noBreakHyphen/>
        <w:t>1892</w:t>
      </w:r>
      <w:r>
        <w:noBreakHyphen/>
        <w:t>EL</w:t>
      </w:r>
      <w:r>
        <w:noBreakHyphen/>
        <w:t>FAC, Application (Aug. 30, 2013).</w:t>
      </w:r>
    </w:p>
  </w:footnote>
  <w:footnote w:id="19">
    <w:p w:rsidR="00AA7BA6" w:rsidRPr="00130CFC" w:rsidRDefault="00AA7BA6" w:rsidP="00373D6D">
      <w:pPr>
        <w:pStyle w:val="FootnoteText"/>
        <w:spacing w:after="120"/>
        <w:jc w:val="both"/>
      </w:pPr>
      <w:r>
        <w:rPr>
          <w:rStyle w:val="FootnoteReference"/>
        </w:rPr>
        <w:footnoteRef/>
      </w:r>
      <w:r>
        <w:t xml:space="preserve"> </w:t>
      </w:r>
      <w:r w:rsidRPr="00130CFC">
        <w:rPr>
          <w:rFonts w:cs="Times New Roman"/>
          <w:i/>
        </w:rPr>
        <w:t>In the Matter of the Fuel Adjustment Clauses for Columbus Southern Power Company and Ohio Power Company</w:t>
      </w:r>
      <w:r w:rsidRPr="00130CFC">
        <w:rPr>
          <w:rFonts w:cs="Times New Roman"/>
        </w:rPr>
        <w:t xml:space="preserve">, Case Nos. 09-872-EL-FAC, </w:t>
      </w:r>
      <w:r w:rsidRPr="00130CFC">
        <w:rPr>
          <w:rFonts w:cs="Times New Roman"/>
          <w:i/>
        </w:rPr>
        <w:t>et al.</w:t>
      </w:r>
      <w:r w:rsidRPr="00130CFC">
        <w:rPr>
          <w:rFonts w:cs="Times New Roman"/>
        </w:rPr>
        <w:t>, Opinion and Order (Jan. 23, 2012)</w:t>
      </w:r>
      <w:r w:rsidR="001C5A25">
        <w:rPr>
          <w:rFonts w:cs="Times New Roman"/>
        </w:rPr>
        <w:t>.</w:t>
      </w:r>
    </w:p>
  </w:footnote>
  <w:footnote w:id="20">
    <w:p w:rsidR="00AA7BA6" w:rsidRDefault="00AA7BA6" w:rsidP="00373D6D">
      <w:pPr>
        <w:pStyle w:val="FootnoteText"/>
        <w:spacing w:after="120"/>
        <w:jc w:val="both"/>
      </w:pPr>
      <w:r>
        <w:rPr>
          <w:rStyle w:val="FootnoteReference"/>
        </w:rPr>
        <w:footnoteRef/>
      </w:r>
      <w:r>
        <w:t xml:space="preserve"> M</w:t>
      </w:r>
      <w:r w:rsidRPr="00FE3299">
        <w:t>any of the Commission’s Ohio Power Company-related rate increase decisions are being contested through appeals that are presently before the Ohio Supreme Court.</w:t>
      </w:r>
    </w:p>
  </w:footnote>
  <w:footnote w:id="21">
    <w:p w:rsidR="00B54A03" w:rsidRDefault="00AA7BA6" w:rsidP="00373D6D">
      <w:pPr>
        <w:pStyle w:val="FootnoteText"/>
        <w:spacing w:after="120"/>
        <w:jc w:val="both"/>
      </w:pPr>
      <w:r>
        <w:rPr>
          <w:rStyle w:val="FootnoteReference"/>
        </w:rPr>
        <w:footnoteRef/>
      </w:r>
      <w:r>
        <w:t xml:space="preserve"> The Commission’s press release is available via the Internet at </w:t>
      </w:r>
      <w:r w:rsidRPr="009135CB">
        <w:t>http://www.puco.ohio.gov/puco/index.cfm/media-room/media-releases/puco-adopts-modified-electric-security-plan-for-aep-ohio/</w:t>
      </w:r>
      <w:r>
        <w:t xml:space="preserve"> (last viewed </w:t>
      </w:r>
      <w:r w:rsidR="00766C5E">
        <w:t>Sept. 6</w:t>
      </w:r>
      <w:r>
        <w:t xml:space="preserve">, 2013). </w:t>
      </w:r>
    </w:p>
  </w:footnote>
  <w:footnote w:id="22">
    <w:p w:rsidR="00B54A03" w:rsidRDefault="00B54A03" w:rsidP="00373D6D">
      <w:pPr>
        <w:autoSpaceDE w:val="0"/>
        <w:autoSpaceDN w:val="0"/>
        <w:adjustRightInd w:val="0"/>
        <w:spacing w:after="120"/>
        <w:jc w:val="both"/>
      </w:pPr>
      <w:r>
        <w:rPr>
          <w:rStyle w:val="FootnoteReference"/>
        </w:rPr>
        <w:footnoteRef/>
      </w:r>
      <w:r>
        <w:t xml:space="preserve"> </w:t>
      </w:r>
      <w:r>
        <w:rPr>
          <w:rFonts w:ascii="Sabon-Italic" w:hAnsi="Sabon-Italic" w:cs="Sabon-Italic"/>
          <w:i/>
          <w:iCs/>
          <w:sz w:val="18"/>
          <w:szCs w:val="18"/>
        </w:rPr>
        <w:t xml:space="preserve">Ameren Energy Generating Company, </w:t>
      </w:r>
      <w:r>
        <w:rPr>
          <w:rFonts w:ascii="Sabon-Roman" w:hAnsi="Sabon-Roman" w:cs="Sabon-Roman"/>
          <w:sz w:val="18"/>
          <w:szCs w:val="18"/>
        </w:rPr>
        <w:t>108 FERC ¶61,081 (2004) (“</w:t>
      </w:r>
      <w:r>
        <w:rPr>
          <w:rFonts w:ascii="Sabon-Italic" w:hAnsi="Sabon-Italic" w:cs="Sabon-Italic"/>
          <w:i/>
          <w:iCs/>
          <w:sz w:val="18"/>
          <w:szCs w:val="18"/>
        </w:rPr>
        <w:t>Ameren Energy</w:t>
      </w:r>
      <w:r>
        <w:rPr>
          <w:rFonts w:ascii="Sabon-Roman" w:hAnsi="Sabon-Roman" w:cs="Sabon-Roman"/>
          <w:sz w:val="18"/>
          <w:szCs w:val="18"/>
        </w:rPr>
        <w:t xml:space="preserve">”); </w:t>
      </w:r>
      <w:r>
        <w:rPr>
          <w:rFonts w:ascii="Sabon-Italic" w:hAnsi="Sabon-Italic" w:cs="Sabon-Italic"/>
          <w:i/>
          <w:iCs/>
          <w:sz w:val="18"/>
          <w:szCs w:val="18"/>
        </w:rPr>
        <w:t xml:space="preserve">Allegheny Energy Supply Company, LLC, </w:t>
      </w:r>
      <w:r>
        <w:rPr>
          <w:rFonts w:ascii="Sabon-Roman" w:hAnsi="Sabon-Roman" w:cs="Sabon-Roman"/>
          <w:sz w:val="18"/>
          <w:szCs w:val="18"/>
        </w:rPr>
        <w:t>108 FERC ¶61,082 (2004) (“</w:t>
      </w:r>
      <w:r>
        <w:rPr>
          <w:rFonts w:ascii="Sabon-Italic" w:hAnsi="Sabon-Italic" w:cs="Sabon-Italic"/>
          <w:i/>
          <w:iCs/>
          <w:sz w:val="18"/>
          <w:szCs w:val="18"/>
        </w:rPr>
        <w:t>Allegheny</w:t>
      </w:r>
      <w:r>
        <w:rPr>
          <w:rFonts w:ascii="Sabon-Roman" w:hAnsi="Sabon-Roman" w:cs="Sabon-Roman"/>
          <w:sz w:val="18"/>
          <w:szCs w:val="18"/>
        </w:rPr>
        <w:t xml:space="preserve">”); </w:t>
      </w:r>
      <w:r w:rsidR="00A45791" w:rsidRPr="00190671">
        <w:rPr>
          <w:rFonts w:ascii="Sabon-Roman" w:hAnsi="Sabon-Roman" w:cs="Sabon-Roman"/>
          <w:i/>
          <w:sz w:val="18"/>
          <w:szCs w:val="18"/>
        </w:rPr>
        <w:t>Southern California Edison Company on behalf of Mountainview Power Company, L.L.C</w:t>
      </w:r>
      <w:r w:rsidR="00A45791" w:rsidRPr="00A45791">
        <w:rPr>
          <w:rFonts w:ascii="Sabon-Roman" w:hAnsi="Sabon-Roman" w:cs="Sabon-Roman"/>
          <w:sz w:val="18"/>
          <w:szCs w:val="18"/>
        </w:rPr>
        <w:t>., 106 FERC ¶61,183 (2004).</w:t>
      </w:r>
      <w:r w:rsidR="00A45791">
        <w:rPr>
          <w:rFonts w:ascii="Sabon-Roman" w:hAnsi="Sabon-Roman" w:cs="Sabon-Roman"/>
          <w:sz w:val="18"/>
          <w:szCs w:val="18"/>
        </w:rPr>
        <w:t xml:space="preserve">; </w:t>
      </w:r>
      <w:r>
        <w:rPr>
          <w:rFonts w:ascii="Sabon-Italic" w:hAnsi="Sabon-Italic" w:cs="Sabon-Italic"/>
          <w:i/>
          <w:iCs/>
          <w:sz w:val="18"/>
          <w:szCs w:val="18"/>
        </w:rPr>
        <w:t xml:space="preserve">Boston Edison Company re: Edgar Electric Energy Co., </w:t>
      </w:r>
      <w:r>
        <w:rPr>
          <w:rFonts w:ascii="Sabon-Roman" w:hAnsi="Sabon-Roman" w:cs="Sabon-Roman"/>
          <w:sz w:val="18"/>
          <w:szCs w:val="18"/>
        </w:rPr>
        <w:t>55 FERC ¶61,382 (1991) (“</w:t>
      </w:r>
      <w:r>
        <w:rPr>
          <w:rFonts w:ascii="Sabon-Italic" w:hAnsi="Sabon-Italic" w:cs="Sabon-Italic"/>
          <w:i/>
          <w:iCs/>
          <w:sz w:val="18"/>
          <w:szCs w:val="18"/>
        </w:rPr>
        <w:t>Edgar</w:t>
      </w:r>
      <w:r>
        <w:rPr>
          <w:rFonts w:ascii="Sabon-Roman" w:hAnsi="Sabon-Roman" w:cs="Sabon-Roman"/>
          <w:sz w:val="18"/>
          <w:szCs w:val="18"/>
        </w:rPr>
        <w:t>”)</w:t>
      </w:r>
      <w:r w:rsidR="00A45791">
        <w:rPr>
          <w:rFonts w:ascii="Sabon-Roman" w:hAnsi="Sabon-Roman" w:cs="Sabon-Roman"/>
          <w:sz w:val="18"/>
          <w:szCs w:val="18"/>
        </w:rPr>
        <w:t xml:space="preserve">.  </w:t>
      </w:r>
      <w:r w:rsidR="0015214F">
        <w:rPr>
          <w:rFonts w:ascii="Sabon-Roman" w:hAnsi="Sabon-Roman" w:cs="Sabon-Roman"/>
          <w:sz w:val="18"/>
          <w:szCs w:val="18"/>
        </w:rPr>
        <w:t xml:space="preserve">Under what is generally known as the </w:t>
      </w:r>
      <w:r w:rsidR="0015214F" w:rsidRPr="00190671">
        <w:rPr>
          <w:rFonts w:ascii="Sabon-Roman" w:hAnsi="Sabon-Roman" w:cs="Sabon-Roman"/>
          <w:i/>
          <w:sz w:val="18"/>
          <w:szCs w:val="18"/>
        </w:rPr>
        <w:t>Edgar Standards</w:t>
      </w:r>
      <w:r w:rsidR="0015214F">
        <w:rPr>
          <w:rFonts w:ascii="Sabon-Roman" w:hAnsi="Sabon-Roman" w:cs="Sabon-Roman"/>
          <w:sz w:val="18"/>
          <w:szCs w:val="18"/>
        </w:rPr>
        <w:t xml:space="preserve">, </w:t>
      </w:r>
      <w:r w:rsidR="00A45791" w:rsidRPr="00A45791">
        <w:rPr>
          <w:rFonts w:ascii="Sabon-Roman" w:hAnsi="Sabon-Roman" w:cs="Sabon-Roman"/>
          <w:sz w:val="18"/>
          <w:szCs w:val="18"/>
        </w:rPr>
        <w:t>FERC requires that all affiliate long-term</w:t>
      </w:r>
      <w:r w:rsidR="00A45791">
        <w:rPr>
          <w:rFonts w:ascii="Sabon-Roman" w:hAnsi="Sabon-Roman" w:cs="Sabon-Roman"/>
          <w:sz w:val="18"/>
          <w:szCs w:val="18"/>
        </w:rPr>
        <w:t xml:space="preserve"> </w:t>
      </w:r>
      <w:r w:rsidR="00A45791" w:rsidRPr="00A45791">
        <w:rPr>
          <w:rFonts w:ascii="Sabon-Roman" w:hAnsi="Sabon-Roman" w:cs="Sabon-Roman"/>
          <w:sz w:val="18"/>
          <w:szCs w:val="18"/>
        </w:rPr>
        <w:t>(one year or longer) power purchase agreements,</w:t>
      </w:r>
      <w:r w:rsidR="00A45791">
        <w:rPr>
          <w:rFonts w:ascii="Sabon-Roman" w:hAnsi="Sabon-Roman" w:cs="Sabon-Roman"/>
          <w:sz w:val="18"/>
          <w:szCs w:val="18"/>
        </w:rPr>
        <w:t xml:space="preserve"> </w:t>
      </w:r>
      <w:r w:rsidR="00A45791" w:rsidRPr="00A45791">
        <w:rPr>
          <w:rFonts w:ascii="Sabon-Roman" w:hAnsi="Sabon-Roman" w:cs="Sabon-Roman"/>
          <w:sz w:val="18"/>
          <w:szCs w:val="18"/>
        </w:rPr>
        <w:t>whether at cost or market, be shown to be reasonably</w:t>
      </w:r>
      <w:r w:rsidR="00A45791">
        <w:rPr>
          <w:rFonts w:ascii="Sabon-Roman" w:hAnsi="Sabon-Roman" w:cs="Sabon-Roman"/>
          <w:sz w:val="18"/>
          <w:szCs w:val="18"/>
        </w:rPr>
        <w:t xml:space="preserve"> </w:t>
      </w:r>
      <w:r w:rsidR="00A45791" w:rsidRPr="00A45791">
        <w:rPr>
          <w:rFonts w:ascii="Sabon-Roman" w:hAnsi="Sabon-Roman" w:cs="Sabon-Roman"/>
          <w:sz w:val="18"/>
          <w:szCs w:val="18"/>
        </w:rPr>
        <w:t>priced compared to alternatives in the</w:t>
      </w:r>
      <w:r w:rsidR="00A45791">
        <w:rPr>
          <w:rFonts w:ascii="Sabon-Roman" w:hAnsi="Sabon-Roman" w:cs="Sabon-Roman"/>
          <w:sz w:val="18"/>
          <w:szCs w:val="18"/>
        </w:rPr>
        <w:t xml:space="preserve"> </w:t>
      </w:r>
      <w:r w:rsidR="00A45791" w:rsidRPr="00A45791">
        <w:rPr>
          <w:rFonts w:ascii="Sabon-Roman" w:hAnsi="Sabon-Roman" w:cs="Sabon-Roman"/>
          <w:sz w:val="18"/>
          <w:szCs w:val="18"/>
        </w:rPr>
        <w:t xml:space="preserve">market. </w:t>
      </w:r>
      <w:r w:rsidR="0015214F">
        <w:rPr>
          <w:rFonts w:ascii="Sabon-Roman" w:hAnsi="Sabon-Roman" w:cs="Sabon-Roman"/>
          <w:sz w:val="18"/>
          <w:szCs w:val="18"/>
        </w:rPr>
        <w:t xml:space="preserve"> </w:t>
      </w:r>
    </w:p>
  </w:footnote>
  <w:footnote w:id="23">
    <w:p w:rsidR="00AA7BA6" w:rsidRDefault="00AA7BA6" w:rsidP="009D0DA8">
      <w:pPr>
        <w:pStyle w:val="FootnoteText"/>
        <w:spacing w:after="120"/>
        <w:jc w:val="both"/>
      </w:pPr>
      <w:r>
        <w:rPr>
          <w:rStyle w:val="FootnoteReference"/>
        </w:rPr>
        <w:footnoteRef/>
      </w:r>
      <w:r>
        <w:t xml:space="preserve"> </w:t>
      </w:r>
      <w:r w:rsidRPr="00CA02E6">
        <w:rPr>
          <w:i/>
        </w:rPr>
        <w:t>In the Matter of the Commission</w:t>
      </w:r>
      <w:r>
        <w:rPr>
          <w:i/>
        </w:rPr>
        <w:t>’</w:t>
      </w:r>
      <w:r w:rsidRPr="00CA02E6">
        <w:rPr>
          <w:i/>
        </w:rPr>
        <w:t>s Review of Customer Rate Impacts from Ohio Power Company</w:t>
      </w:r>
      <w:r>
        <w:rPr>
          <w:i/>
        </w:rPr>
        <w:t>’</w:t>
      </w:r>
      <w:r w:rsidRPr="00CA02E6">
        <w:rPr>
          <w:i/>
        </w:rPr>
        <w:t>s Transition to Market Based Rates</w:t>
      </w:r>
      <w:r>
        <w:t>, Case No. 13-1530-EL-UNC, AEP</w:t>
      </w:r>
      <w:r w:rsidR="001C5A25">
        <w:t xml:space="preserve"> </w:t>
      </w:r>
      <w:r>
        <w:t>Ohio Comments at 1-2 (Aug</w:t>
      </w:r>
      <w:r w:rsidR="00766C5E">
        <w:t>.</w:t>
      </w:r>
      <w:r>
        <w:t xml:space="preserve"> 12, 2013).</w:t>
      </w:r>
    </w:p>
  </w:footnote>
  <w:footnote w:id="24">
    <w:p w:rsidR="00CF22AC" w:rsidRDefault="00217944" w:rsidP="009D0DA8">
      <w:pPr>
        <w:pStyle w:val="FootnoteText"/>
        <w:spacing w:after="120"/>
        <w:jc w:val="both"/>
      </w:pPr>
      <w:r>
        <w:rPr>
          <w:rStyle w:val="FootnoteReference"/>
        </w:rPr>
        <w:footnoteRef/>
      </w:r>
      <w:r>
        <w:t xml:space="preserve"> </w:t>
      </w:r>
      <w:r w:rsidR="00766C5E">
        <w:t xml:space="preserve">FirstEnergy Solutions Corp. </w:t>
      </w:r>
      <w:r>
        <w:t>express</w:t>
      </w:r>
      <w:r w:rsidR="00766C5E">
        <w:t>es</w:t>
      </w:r>
      <w:r>
        <w:t xml:space="preserve"> a similar point of view:</w:t>
      </w:r>
      <w:r w:rsidR="00766C5E">
        <w:t xml:space="preserve"> </w:t>
      </w:r>
      <w:r>
        <w:t xml:space="preserve"> “</w:t>
      </w:r>
      <w:r w:rsidR="00CF22AC">
        <w:t>The Commission will have to rule on the proper approach to blending before parties can provide more precise comments on the appropriate rate design for AEP Ohio customers.”</w:t>
      </w:r>
      <w:r w:rsidR="00766C5E">
        <w:t xml:space="preserve">  Comments of FirstEnergy Solutions Corp. at 2 (Aug. 12, 2013).</w:t>
      </w:r>
    </w:p>
  </w:footnote>
  <w:footnote w:id="25">
    <w:p w:rsidR="001C5A25" w:rsidRDefault="00AA7BA6" w:rsidP="00373D6D">
      <w:pPr>
        <w:pStyle w:val="FootnoteText"/>
        <w:spacing w:after="120"/>
        <w:jc w:val="both"/>
      </w:pPr>
      <w:r>
        <w:rPr>
          <w:rStyle w:val="FootnoteReference"/>
        </w:rPr>
        <w:footnoteRef/>
      </w:r>
      <w:r>
        <w:t xml:space="preserve"> It is not clear why the Staff has asked the Commission to direct Ohio Power Company to provide information.  The Staff could have simply requested Ohio Power Company to provide such information in any number of Commission proceedings</w:t>
      </w:r>
      <w:r w:rsidR="001C5A25">
        <w:t>,</w:t>
      </w:r>
      <w:r>
        <w:t xml:space="preserve"> including this proceeding.  </w:t>
      </w:r>
    </w:p>
  </w:footnote>
  <w:footnote w:id="26">
    <w:p w:rsidR="00CF22AC" w:rsidRDefault="00CF22AC" w:rsidP="00373D6D">
      <w:pPr>
        <w:pStyle w:val="FootnoteText"/>
        <w:spacing w:after="120"/>
      </w:pPr>
      <w:r>
        <w:rPr>
          <w:rStyle w:val="FootnoteReference"/>
        </w:rPr>
        <w:footnoteRef/>
      </w:r>
      <w:r>
        <w:t xml:space="preserve"> Section 4928.40, Revised Code.</w:t>
      </w:r>
    </w:p>
  </w:footnote>
  <w:footnote w:id="27">
    <w:p w:rsidR="00CF22AC" w:rsidRDefault="00CF22AC" w:rsidP="00373D6D">
      <w:pPr>
        <w:pStyle w:val="FootnoteText"/>
        <w:spacing w:after="120"/>
      </w:pPr>
      <w:r>
        <w:rPr>
          <w:rStyle w:val="FootnoteReference"/>
        </w:rPr>
        <w:footnoteRef/>
      </w:r>
      <w:r>
        <w:t xml:space="preserve"> Section 4928.38, Revised Code.</w:t>
      </w:r>
    </w:p>
  </w:footnote>
  <w:footnote w:id="28">
    <w:p w:rsidR="00CF22AC" w:rsidRDefault="00CF22AC" w:rsidP="00373D6D">
      <w:pPr>
        <w:pStyle w:val="FootnoteText"/>
        <w:spacing w:after="120"/>
        <w:jc w:val="both"/>
      </w:pPr>
      <w:r>
        <w:rPr>
          <w:rStyle w:val="FootnoteReference"/>
        </w:rPr>
        <w:footnoteRef/>
      </w:r>
      <w:r>
        <w:t xml:space="preserve"> The consequences extend to customers obtaining electric service pursuant to reasonable arrangements.  For example, Ormet Corporation recently asserted that the base cost of electricity under </w:t>
      </w:r>
      <w:r>
        <w:rPr>
          <w:rFonts w:cs="Arial"/>
        </w:rPr>
        <w:t>Ohio Power Company</w:t>
      </w:r>
      <w:r>
        <w:t xml:space="preserve">’s GS-4 rate schedule (before the reasonable arrangement discounts) was $39.66 per megawatt-hour (“MWh”) in 2009 and that the base cost increased to an average of $57.99 per MWh in the first quarter of 2013, an increase of 46% over the 2009 base cost.  </w:t>
      </w:r>
      <w:r w:rsidRPr="00013C0B">
        <w:rPr>
          <w:i/>
        </w:rPr>
        <w:t>In Re Ormet Corporation, et al.</w:t>
      </w:r>
      <w:r>
        <w:rPr>
          <w:i/>
        </w:rPr>
        <w:t>,</w:t>
      </w:r>
      <w:r>
        <w:t xml:space="preserve"> Emergency Motion of Debtors for Entry of an Order Authorizing Debtors to Curtail Operations and Granting Related Relief at page 4, United States Bankruptcy Court for the District of Delaware, Case No. 13-10334 (MFW) (July 15, 2013).  But for the non-bypassable generation-related charges approved by the Commission in the </w:t>
      </w:r>
      <w:r w:rsidRPr="00013C0B">
        <w:rPr>
          <w:i/>
        </w:rPr>
        <w:t>ESP II Case</w:t>
      </w:r>
      <w:r>
        <w:t>, much of this significant increase would be avoidable by obtaining generation supply from a CRES provider or by Ormet acting as its own load serving entity.</w:t>
      </w:r>
    </w:p>
  </w:footnote>
  <w:footnote w:id="29">
    <w:p w:rsidR="00CF22AC" w:rsidRDefault="00CF22AC" w:rsidP="00373D6D">
      <w:pPr>
        <w:pStyle w:val="FootnoteText"/>
        <w:spacing w:after="120"/>
        <w:jc w:val="both"/>
      </w:pPr>
      <w:r>
        <w:rPr>
          <w:rStyle w:val="FootnoteReference"/>
        </w:rPr>
        <w:footnoteRef/>
      </w:r>
      <w:r>
        <w:t xml:space="preserve"> The Commission has not identified any legal authority that may allow the Commission to mitigate adverse rate impacts of Ohio Power Company’s second transition to market</w:t>
      </w:r>
      <w:r w:rsidR="001C5A25">
        <w:t>–</w:t>
      </w:r>
      <w:r>
        <w:t>based</w:t>
      </w:r>
      <w:r w:rsidR="001C5A25">
        <w:t xml:space="preserve"> </w:t>
      </w:r>
      <w:r>
        <w:t xml:space="preserve">rates.  Since a transition to market-based rates necessarily means that a competitive retail electric service is involved and the General Assembly has removed the Commission’s supervisory and regulatory authority over such service (except in very limited circumstances), questions about the Commission’s legal authority should not be taken lightly.  Section 4928.142(E), Revised Code, gives the Commission circumstance-specific authority to modify the proportionate blending of the competitive bid price and the prior default generation supply price to “… mitigate any effect of an abrupt or significant change …” in the SSO price.  Anything that the Commission might do pursuant to Section 4928.143, Revised Code, is subject to an </w:t>
      </w:r>
      <w:r w:rsidR="00723A11">
        <w:t xml:space="preserve">EDU’s </w:t>
      </w:r>
      <w:r>
        <w:t>rejection and the “benefit in the aggregate” test.  The authority provided in Section 4928.144, Revised Code, is limited to a rate or price established under Sections 4928.141 to 4928.143, Revised Code, and, if used, may increase the total burden imposed on customers.</w:t>
      </w:r>
    </w:p>
  </w:footnote>
  <w:footnote w:id="30">
    <w:p w:rsidR="00CF22AC" w:rsidRDefault="00CF22AC" w:rsidP="00373D6D">
      <w:pPr>
        <w:pStyle w:val="FootnoteText"/>
        <w:spacing w:after="120"/>
      </w:pPr>
      <w:r>
        <w:rPr>
          <w:rStyle w:val="FootnoteReference"/>
        </w:rPr>
        <w:footnoteRef/>
      </w:r>
      <w:r>
        <w:t xml:space="preserve"> </w:t>
      </w:r>
      <w:r w:rsidRPr="00013C0B">
        <w:rPr>
          <w:i/>
        </w:rPr>
        <w:t>Second Transition Entry</w:t>
      </w:r>
      <w:r>
        <w:t xml:space="preserve"> at 1.</w:t>
      </w:r>
    </w:p>
  </w:footnote>
  <w:footnote w:id="31">
    <w:p w:rsidR="00CF22AC" w:rsidRDefault="00CF22AC" w:rsidP="00373D6D">
      <w:pPr>
        <w:pStyle w:val="FootnoteText"/>
        <w:spacing w:after="120"/>
      </w:pPr>
      <w:r>
        <w:rPr>
          <w:rStyle w:val="FootnoteReference"/>
        </w:rPr>
        <w:footnoteRef/>
      </w:r>
      <w:r>
        <w:t xml:space="preserve"> </w:t>
      </w:r>
      <w:r w:rsidRPr="00013C0B">
        <w:rPr>
          <w:i/>
        </w:rPr>
        <w:t>Id</w:t>
      </w:r>
      <w:r>
        <w:t>.</w:t>
      </w:r>
    </w:p>
  </w:footnote>
  <w:footnote w:id="32">
    <w:p w:rsidR="00CF22AC" w:rsidRDefault="00CF22AC" w:rsidP="00373D6D">
      <w:pPr>
        <w:pStyle w:val="FootnoteText"/>
        <w:spacing w:after="120"/>
      </w:pPr>
      <w:r>
        <w:rPr>
          <w:rStyle w:val="FootnoteReference"/>
        </w:rPr>
        <w:footnoteRef/>
      </w:r>
      <w:r>
        <w:t xml:space="preserve"> Section 4928.06, Revised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7" w:rsidRDefault="00925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7" w:rsidRDefault="00925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7" w:rsidRDefault="009255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A6" w:rsidRDefault="00AA7BA6" w:rsidP="00AA7BA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A6" w:rsidRDefault="00AA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4A3"/>
    <w:multiLevelType w:val="hybridMultilevel"/>
    <w:tmpl w:val="2620F870"/>
    <w:lvl w:ilvl="0" w:tplc="D292C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B448C"/>
    <w:multiLevelType w:val="hybridMultilevel"/>
    <w:tmpl w:val="2782E94A"/>
    <w:name w:val="(Unnamed Numbering Scheme)"/>
    <w:lvl w:ilvl="0" w:tplc="6EA2CC6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C1A563A"/>
    <w:multiLevelType w:val="multilevel"/>
    <w:tmpl w:val="FE5EF206"/>
    <w:name w:val="IEU Basic--PUC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98"/>
    <w:rsid w:val="00013C0B"/>
    <w:rsid w:val="00023457"/>
    <w:rsid w:val="000668EE"/>
    <w:rsid w:val="00093281"/>
    <w:rsid w:val="000C183D"/>
    <w:rsid w:val="000D3313"/>
    <w:rsid w:val="000D40F4"/>
    <w:rsid w:val="000F08DD"/>
    <w:rsid w:val="000F1976"/>
    <w:rsid w:val="00130CFC"/>
    <w:rsid w:val="00137AB2"/>
    <w:rsid w:val="0015214F"/>
    <w:rsid w:val="00154443"/>
    <w:rsid w:val="00156163"/>
    <w:rsid w:val="00190671"/>
    <w:rsid w:val="0019355A"/>
    <w:rsid w:val="001B375A"/>
    <w:rsid w:val="001C01DD"/>
    <w:rsid w:val="001C5A25"/>
    <w:rsid w:val="001E448D"/>
    <w:rsid w:val="00205975"/>
    <w:rsid w:val="00217944"/>
    <w:rsid w:val="0022082D"/>
    <w:rsid w:val="00233108"/>
    <w:rsid w:val="0023497F"/>
    <w:rsid w:val="00242BDE"/>
    <w:rsid w:val="0025139B"/>
    <w:rsid w:val="002736CB"/>
    <w:rsid w:val="00273E52"/>
    <w:rsid w:val="00274E98"/>
    <w:rsid w:val="002A258F"/>
    <w:rsid w:val="002B0B32"/>
    <w:rsid w:val="002B51DC"/>
    <w:rsid w:val="002C2A22"/>
    <w:rsid w:val="003422F5"/>
    <w:rsid w:val="00350B0D"/>
    <w:rsid w:val="00373D6D"/>
    <w:rsid w:val="003B677B"/>
    <w:rsid w:val="003D22CA"/>
    <w:rsid w:val="003E1F72"/>
    <w:rsid w:val="00426065"/>
    <w:rsid w:val="0046033E"/>
    <w:rsid w:val="00463174"/>
    <w:rsid w:val="0047700F"/>
    <w:rsid w:val="004A3320"/>
    <w:rsid w:val="00511BCF"/>
    <w:rsid w:val="00512A29"/>
    <w:rsid w:val="00514515"/>
    <w:rsid w:val="005159F1"/>
    <w:rsid w:val="00540112"/>
    <w:rsid w:val="00544BB2"/>
    <w:rsid w:val="00577C90"/>
    <w:rsid w:val="005949D8"/>
    <w:rsid w:val="00597385"/>
    <w:rsid w:val="005D123E"/>
    <w:rsid w:val="006075DF"/>
    <w:rsid w:val="00616AAF"/>
    <w:rsid w:val="00654B5D"/>
    <w:rsid w:val="0068288B"/>
    <w:rsid w:val="00723A11"/>
    <w:rsid w:val="00742AE2"/>
    <w:rsid w:val="007536F3"/>
    <w:rsid w:val="00762A84"/>
    <w:rsid w:val="00766C5E"/>
    <w:rsid w:val="007854D4"/>
    <w:rsid w:val="00795BCF"/>
    <w:rsid w:val="007A2A19"/>
    <w:rsid w:val="007A4CBA"/>
    <w:rsid w:val="007E263D"/>
    <w:rsid w:val="007E4A7E"/>
    <w:rsid w:val="00804E85"/>
    <w:rsid w:val="00807B73"/>
    <w:rsid w:val="00814BC6"/>
    <w:rsid w:val="00852FD1"/>
    <w:rsid w:val="008858A4"/>
    <w:rsid w:val="008909AD"/>
    <w:rsid w:val="008A1B6E"/>
    <w:rsid w:val="008A6572"/>
    <w:rsid w:val="008B0FE8"/>
    <w:rsid w:val="008C0867"/>
    <w:rsid w:val="008E3BF4"/>
    <w:rsid w:val="008F3ADC"/>
    <w:rsid w:val="009135CB"/>
    <w:rsid w:val="00925527"/>
    <w:rsid w:val="00950DBF"/>
    <w:rsid w:val="0096150E"/>
    <w:rsid w:val="009B0F59"/>
    <w:rsid w:val="009B1E9B"/>
    <w:rsid w:val="009C175A"/>
    <w:rsid w:val="009C6283"/>
    <w:rsid w:val="009D0DA8"/>
    <w:rsid w:val="009D32D7"/>
    <w:rsid w:val="009E4C0D"/>
    <w:rsid w:val="009F59C3"/>
    <w:rsid w:val="00A039DC"/>
    <w:rsid w:val="00A11DC0"/>
    <w:rsid w:val="00A21A44"/>
    <w:rsid w:val="00A21E43"/>
    <w:rsid w:val="00A4219A"/>
    <w:rsid w:val="00A42663"/>
    <w:rsid w:val="00A42BD9"/>
    <w:rsid w:val="00A45791"/>
    <w:rsid w:val="00A87300"/>
    <w:rsid w:val="00A9205C"/>
    <w:rsid w:val="00AA30AC"/>
    <w:rsid w:val="00AA7BA6"/>
    <w:rsid w:val="00AB4E0F"/>
    <w:rsid w:val="00AD00A8"/>
    <w:rsid w:val="00AF5502"/>
    <w:rsid w:val="00B00FE4"/>
    <w:rsid w:val="00B06F89"/>
    <w:rsid w:val="00B400A2"/>
    <w:rsid w:val="00B54A03"/>
    <w:rsid w:val="00B6692C"/>
    <w:rsid w:val="00B7469C"/>
    <w:rsid w:val="00B97AFE"/>
    <w:rsid w:val="00BE42A9"/>
    <w:rsid w:val="00BE4338"/>
    <w:rsid w:val="00BE4C0E"/>
    <w:rsid w:val="00C0405A"/>
    <w:rsid w:val="00C04240"/>
    <w:rsid w:val="00C244AA"/>
    <w:rsid w:val="00C6736E"/>
    <w:rsid w:val="00C7754F"/>
    <w:rsid w:val="00C80453"/>
    <w:rsid w:val="00CA02E6"/>
    <w:rsid w:val="00CB733E"/>
    <w:rsid w:val="00CC50FB"/>
    <w:rsid w:val="00CE286C"/>
    <w:rsid w:val="00CF22AC"/>
    <w:rsid w:val="00CF33E7"/>
    <w:rsid w:val="00D20E7F"/>
    <w:rsid w:val="00D435D5"/>
    <w:rsid w:val="00D4517A"/>
    <w:rsid w:val="00D62492"/>
    <w:rsid w:val="00D64020"/>
    <w:rsid w:val="00D72668"/>
    <w:rsid w:val="00D73CFB"/>
    <w:rsid w:val="00D92220"/>
    <w:rsid w:val="00DD4FA8"/>
    <w:rsid w:val="00E16958"/>
    <w:rsid w:val="00EA3765"/>
    <w:rsid w:val="00EA5704"/>
    <w:rsid w:val="00EB6F1E"/>
    <w:rsid w:val="00F05DA0"/>
    <w:rsid w:val="00F34079"/>
    <w:rsid w:val="00F37E33"/>
    <w:rsid w:val="00F46E4A"/>
    <w:rsid w:val="00F64EBB"/>
    <w:rsid w:val="00F67C88"/>
    <w:rsid w:val="00F7087D"/>
    <w:rsid w:val="00F92465"/>
    <w:rsid w:val="00F952D8"/>
    <w:rsid w:val="00FB1069"/>
    <w:rsid w:val="00FD114E"/>
    <w:rsid w:val="00FD40FB"/>
    <w:rsid w:val="00FE3299"/>
    <w:rsid w:val="00FE4AC6"/>
    <w:rsid w:val="00FF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7C90"/>
    <w:pPr>
      <w:numPr>
        <w:numId w:val="3"/>
      </w:numPr>
      <w:tabs>
        <w:tab w:val="clear" w:pos="720"/>
      </w:tabs>
      <w:spacing w:before="24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D64020"/>
    <w:pPr>
      <w:numPr>
        <w:ilvl w:val="1"/>
        <w:numId w:val="3"/>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D64020"/>
    <w:pPr>
      <w:numPr>
        <w:ilvl w:val="2"/>
        <w:numId w:val="3"/>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D64020"/>
    <w:pPr>
      <w:numPr>
        <w:ilvl w:val="3"/>
        <w:numId w:val="3"/>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D64020"/>
    <w:pPr>
      <w:numPr>
        <w:ilvl w:val="4"/>
        <w:numId w:val="3"/>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D64020"/>
    <w:pPr>
      <w:numPr>
        <w:ilvl w:val="5"/>
        <w:numId w:val="3"/>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D64020"/>
    <w:pPr>
      <w:numPr>
        <w:ilvl w:val="6"/>
        <w:numId w:val="3"/>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D64020"/>
    <w:pPr>
      <w:numPr>
        <w:ilvl w:val="7"/>
        <w:numId w:val="3"/>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D64020"/>
    <w:pPr>
      <w:numPr>
        <w:ilvl w:val="8"/>
        <w:numId w:val="3"/>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A02E6"/>
    <w:rPr>
      <w:sz w:val="20"/>
      <w:szCs w:val="20"/>
    </w:rPr>
  </w:style>
  <w:style w:type="character" w:customStyle="1" w:styleId="FootnoteTextChar">
    <w:name w:val="Footnote Text Char"/>
    <w:basedOn w:val="DefaultParagraphFont"/>
    <w:link w:val="FootnoteText"/>
    <w:rsid w:val="00CA02E6"/>
    <w:rPr>
      <w:sz w:val="20"/>
      <w:szCs w:val="20"/>
    </w:rPr>
  </w:style>
  <w:style w:type="character" w:styleId="FootnoteReference">
    <w:name w:val="footnote reference"/>
    <w:basedOn w:val="DefaultParagraphFont"/>
    <w:uiPriority w:val="99"/>
    <w:semiHidden/>
    <w:unhideWhenUsed/>
    <w:rsid w:val="00CA02E6"/>
    <w:rPr>
      <w:vertAlign w:val="superscript"/>
    </w:rPr>
  </w:style>
  <w:style w:type="paragraph" w:styleId="Header">
    <w:name w:val="header"/>
    <w:basedOn w:val="Normal"/>
    <w:link w:val="HeaderChar"/>
    <w:uiPriority w:val="99"/>
    <w:unhideWhenUsed/>
    <w:rsid w:val="00154443"/>
    <w:pPr>
      <w:tabs>
        <w:tab w:val="center" w:pos="4680"/>
        <w:tab w:val="right" w:pos="9360"/>
      </w:tabs>
    </w:pPr>
  </w:style>
  <w:style w:type="character" w:customStyle="1" w:styleId="HeaderChar">
    <w:name w:val="Header Char"/>
    <w:basedOn w:val="DefaultParagraphFont"/>
    <w:link w:val="Header"/>
    <w:uiPriority w:val="99"/>
    <w:rsid w:val="00154443"/>
  </w:style>
  <w:style w:type="paragraph" w:styleId="Footer">
    <w:name w:val="footer"/>
    <w:basedOn w:val="Normal"/>
    <w:link w:val="FooterChar"/>
    <w:uiPriority w:val="99"/>
    <w:unhideWhenUsed/>
    <w:rsid w:val="00154443"/>
    <w:pPr>
      <w:tabs>
        <w:tab w:val="center" w:pos="4680"/>
        <w:tab w:val="right" w:pos="9360"/>
      </w:tabs>
    </w:pPr>
  </w:style>
  <w:style w:type="character" w:customStyle="1" w:styleId="FooterChar">
    <w:name w:val="Footer Char"/>
    <w:basedOn w:val="DefaultParagraphFont"/>
    <w:link w:val="Footer"/>
    <w:uiPriority w:val="99"/>
    <w:rsid w:val="00154443"/>
  </w:style>
  <w:style w:type="paragraph" w:styleId="BalloonText">
    <w:name w:val="Balloon Text"/>
    <w:basedOn w:val="Normal"/>
    <w:link w:val="BalloonTextChar"/>
    <w:uiPriority w:val="99"/>
    <w:semiHidden/>
    <w:unhideWhenUsed/>
    <w:rsid w:val="00B97AFE"/>
    <w:rPr>
      <w:rFonts w:ascii="Tahoma" w:hAnsi="Tahoma" w:cs="Tahoma"/>
      <w:sz w:val="16"/>
      <w:szCs w:val="16"/>
    </w:rPr>
  </w:style>
  <w:style w:type="character" w:customStyle="1" w:styleId="BalloonTextChar">
    <w:name w:val="Balloon Text Char"/>
    <w:basedOn w:val="DefaultParagraphFont"/>
    <w:link w:val="BalloonText"/>
    <w:uiPriority w:val="99"/>
    <w:semiHidden/>
    <w:rsid w:val="00B97AFE"/>
    <w:rPr>
      <w:rFonts w:ascii="Tahoma" w:hAnsi="Tahoma" w:cs="Tahoma"/>
      <w:sz w:val="16"/>
      <w:szCs w:val="16"/>
    </w:rPr>
  </w:style>
  <w:style w:type="character" w:styleId="CommentReference">
    <w:name w:val="annotation reference"/>
    <w:basedOn w:val="DefaultParagraphFont"/>
    <w:uiPriority w:val="99"/>
    <w:semiHidden/>
    <w:unhideWhenUsed/>
    <w:rsid w:val="00B97AFE"/>
    <w:rPr>
      <w:sz w:val="16"/>
      <w:szCs w:val="16"/>
    </w:rPr>
  </w:style>
  <w:style w:type="paragraph" w:styleId="CommentText">
    <w:name w:val="annotation text"/>
    <w:basedOn w:val="Normal"/>
    <w:link w:val="CommentTextChar"/>
    <w:uiPriority w:val="99"/>
    <w:semiHidden/>
    <w:unhideWhenUsed/>
    <w:rsid w:val="00B97AFE"/>
    <w:rPr>
      <w:sz w:val="20"/>
      <w:szCs w:val="20"/>
    </w:rPr>
  </w:style>
  <w:style w:type="character" w:customStyle="1" w:styleId="CommentTextChar">
    <w:name w:val="Comment Text Char"/>
    <w:basedOn w:val="DefaultParagraphFont"/>
    <w:link w:val="CommentText"/>
    <w:uiPriority w:val="99"/>
    <w:semiHidden/>
    <w:rsid w:val="00B97AFE"/>
    <w:rPr>
      <w:sz w:val="20"/>
      <w:szCs w:val="20"/>
    </w:rPr>
  </w:style>
  <w:style w:type="paragraph" w:styleId="CommentSubject">
    <w:name w:val="annotation subject"/>
    <w:basedOn w:val="CommentText"/>
    <w:next w:val="CommentText"/>
    <w:link w:val="CommentSubjectChar"/>
    <w:uiPriority w:val="99"/>
    <w:semiHidden/>
    <w:unhideWhenUsed/>
    <w:rsid w:val="00B97AFE"/>
    <w:rPr>
      <w:b/>
      <w:bCs/>
    </w:rPr>
  </w:style>
  <w:style w:type="character" w:customStyle="1" w:styleId="CommentSubjectChar">
    <w:name w:val="Comment Subject Char"/>
    <w:basedOn w:val="CommentTextChar"/>
    <w:link w:val="CommentSubject"/>
    <w:uiPriority w:val="99"/>
    <w:semiHidden/>
    <w:rsid w:val="00B97AFE"/>
    <w:rPr>
      <w:b/>
      <w:bCs/>
      <w:sz w:val="20"/>
      <w:szCs w:val="20"/>
    </w:rPr>
  </w:style>
  <w:style w:type="paragraph" w:styleId="BodyTextIndent">
    <w:name w:val="Body Text Indent"/>
    <w:basedOn w:val="Normal"/>
    <w:link w:val="BodyTextIndentChar"/>
    <w:semiHidden/>
    <w:unhideWhenUsed/>
    <w:rsid w:val="00B97AFE"/>
    <w:pPr>
      <w:ind w:firstLine="720"/>
      <w:jc w:val="both"/>
    </w:pPr>
    <w:rPr>
      <w:rFonts w:eastAsia="Times New Roman" w:cs="Arial"/>
    </w:rPr>
  </w:style>
  <w:style w:type="character" w:customStyle="1" w:styleId="BodyTextIndentChar">
    <w:name w:val="Body Text Indent Char"/>
    <w:basedOn w:val="DefaultParagraphFont"/>
    <w:link w:val="BodyTextIndent"/>
    <w:semiHidden/>
    <w:rsid w:val="00B97AFE"/>
    <w:rPr>
      <w:rFonts w:eastAsia="Times New Roman" w:cs="Arial"/>
    </w:rPr>
  </w:style>
  <w:style w:type="paragraph" w:styleId="ListParagraph">
    <w:name w:val="List Paragraph"/>
    <w:basedOn w:val="Normal"/>
    <w:uiPriority w:val="34"/>
    <w:qFormat/>
    <w:rsid w:val="00BE42A9"/>
    <w:pPr>
      <w:ind w:left="720"/>
      <w:contextualSpacing/>
    </w:pPr>
  </w:style>
  <w:style w:type="character" w:customStyle="1" w:styleId="Heading1Char">
    <w:name w:val="Heading 1 Char"/>
    <w:basedOn w:val="DefaultParagraphFont"/>
    <w:link w:val="Heading1"/>
    <w:uiPriority w:val="9"/>
    <w:rsid w:val="00577C90"/>
    <w:rPr>
      <w:rFonts w:eastAsiaTheme="majorEastAsia" w:cs="Arial"/>
      <w:b/>
      <w:bCs/>
      <w:caps/>
      <w:szCs w:val="28"/>
      <w:u w:val="single"/>
    </w:rPr>
  </w:style>
  <w:style w:type="character" w:customStyle="1" w:styleId="Heading2Char">
    <w:name w:val="Heading 2 Char"/>
    <w:basedOn w:val="DefaultParagraphFont"/>
    <w:link w:val="Heading2"/>
    <w:uiPriority w:val="9"/>
    <w:rsid w:val="00D64020"/>
    <w:rPr>
      <w:rFonts w:eastAsiaTheme="majorEastAsia" w:cs="Arial"/>
      <w:b/>
      <w:bCs/>
      <w:szCs w:val="26"/>
    </w:rPr>
  </w:style>
  <w:style w:type="character" w:customStyle="1" w:styleId="Heading3Char">
    <w:name w:val="Heading 3 Char"/>
    <w:basedOn w:val="DefaultParagraphFont"/>
    <w:link w:val="Heading3"/>
    <w:uiPriority w:val="9"/>
    <w:semiHidden/>
    <w:rsid w:val="00D64020"/>
    <w:rPr>
      <w:rFonts w:eastAsiaTheme="majorEastAsia" w:cs="Arial"/>
      <w:b/>
      <w:bCs/>
    </w:rPr>
  </w:style>
  <w:style w:type="character" w:customStyle="1" w:styleId="Heading4Char">
    <w:name w:val="Heading 4 Char"/>
    <w:basedOn w:val="DefaultParagraphFont"/>
    <w:link w:val="Heading4"/>
    <w:uiPriority w:val="9"/>
    <w:semiHidden/>
    <w:rsid w:val="00D64020"/>
    <w:rPr>
      <w:rFonts w:eastAsiaTheme="majorEastAsia" w:cs="Arial"/>
      <w:b/>
      <w:bCs/>
      <w:i/>
      <w:iCs/>
    </w:rPr>
  </w:style>
  <w:style w:type="character" w:customStyle="1" w:styleId="Heading5Char">
    <w:name w:val="Heading 5 Char"/>
    <w:basedOn w:val="DefaultParagraphFont"/>
    <w:link w:val="Heading5"/>
    <w:uiPriority w:val="9"/>
    <w:semiHidden/>
    <w:rsid w:val="00D64020"/>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D64020"/>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D64020"/>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D64020"/>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D64020"/>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013C0B"/>
    <w:rPr>
      <w:color w:val="0000FF" w:themeColor="hyperlink"/>
      <w:u w:val="single"/>
    </w:rPr>
  </w:style>
  <w:style w:type="paragraph" w:customStyle="1" w:styleId="table">
    <w:name w:val="table"/>
    <w:basedOn w:val="Normal"/>
    <w:link w:val="tableChar"/>
    <w:qFormat/>
    <w:rsid w:val="00577C90"/>
    <w:pPr>
      <w:tabs>
        <w:tab w:val="decimal" w:pos="4680"/>
        <w:tab w:val="decimal" w:pos="6480"/>
        <w:tab w:val="decimal" w:pos="8460"/>
      </w:tabs>
      <w:autoSpaceDE w:val="0"/>
      <w:autoSpaceDN w:val="0"/>
      <w:adjustRightInd w:val="0"/>
      <w:ind w:firstLine="360"/>
      <w:jc w:val="both"/>
    </w:pPr>
    <w:rPr>
      <w:rFonts w:cs="Arial"/>
    </w:rPr>
  </w:style>
  <w:style w:type="paragraph" w:customStyle="1" w:styleId="tablehead">
    <w:name w:val="tablehead"/>
    <w:basedOn w:val="Normal"/>
    <w:link w:val="tableheadChar"/>
    <w:qFormat/>
    <w:rsid w:val="00577C90"/>
    <w:pPr>
      <w:tabs>
        <w:tab w:val="center" w:pos="5040"/>
        <w:tab w:val="center" w:pos="6840"/>
        <w:tab w:val="center" w:pos="8370"/>
      </w:tabs>
      <w:autoSpaceDE w:val="0"/>
      <w:autoSpaceDN w:val="0"/>
      <w:adjustRightInd w:val="0"/>
      <w:ind w:firstLine="360"/>
      <w:jc w:val="both"/>
    </w:pPr>
    <w:rPr>
      <w:rFonts w:cs="Arial"/>
      <w:b/>
      <w:u w:val="single"/>
    </w:rPr>
  </w:style>
  <w:style w:type="character" w:customStyle="1" w:styleId="tableChar">
    <w:name w:val="table Char"/>
    <w:basedOn w:val="DefaultParagraphFont"/>
    <w:link w:val="table"/>
    <w:rsid w:val="00577C90"/>
    <w:rPr>
      <w:rFonts w:cs="Arial"/>
    </w:rPr>
  </w:style>
  <w:style w:type="paragraph" w:styleId="BodyText">
    <w:name w:val="Body Text"/>
    <w:basedOn w:val="Normal"/>
    <w:link w:val="BodyTextChar"/>
    <w:uiPriority w:val="99"/>
    <w:semiHidden/>
    <w:unhideWhenUsed/>
    <w:rsid w:val="000C183D"/>
    <w:pPr>
      <w:spacing w:after="120"/>
    </w:pPr>
  </w:style>
  <w:style w:type="character" w:customStyle="1" w:styleId="tableheadChar">
    <w:name w:val="tablehead Char"/>
    <w:basedOn w:val="DefaultParagraphFont"/>
    <w:link w:val="tablehead"/>
    <w:rsid w:val="00577C90"/>
    <w:rPr>
      <w:rFonts w:cs="Arial"/>
      <w:b/>
      <w:u w:val="single"/>
    </w:rPr>
  </w:style>
  <w:style w:type="character" w:customStyle="1" w:styleId="BodyTextChar">
    <w:name w:val="Body Text Char"/>
    <w:basedOn w:val="DefaultParagraphFont"/>
    <w:link w:val="BodyText"/>
    <w:uiPriority w:val="99"/>
    <w:semiHidden/>
    <w:rsid w:val="000C183D"/>
  </w:style>
  <w:style w:type="paragraph" w:styleId="BodyText3">
    <w:name w:val="Body Text 3"/>
    <w:basedOn w:val="Normal"/>
    <w:link w:val="BodyText3Char"/>
    <w:uiPriority w:val="99"/>
    <w:semiHidden/>
    <w:unhideWhenUsed/>
    <w:rsid w:val="000C183D"/>
    <w:pPr>
      <w:spacing w:after="120"/>
    </w:pPr>
    <w:rPr>
      <w:sz w:val="16"/>
      <w:szCs w:val="16"/>
    </w:rPr>
  </w:style>
  <w:style w:type="character" w:customStyle="1" w:styleId="BodyText3Char">
    <w:name w:val="Body Text 3 Char"/>
    <w:basedOn w:val="DefaultParagraphFont"/>
    <w:link w:val="BodyText3"/>
    <w:uiPriority w:val="99"/>
    <w:semiHidden/>
    <w:rsid w:val="000C183D"/>
    <w:rPr>
      <w:sz w:val="16"/>
      <w:szCs w:val="16"/>
    </w:rPr>
  </w:style>
  <w:style w:type="paragraph" w:styleId="Title">
    <w:name w:val="Title"/>
    <w:basedOn w:val="Normal"/>
    <w:link w:val="TitleChar"/>
    <w:qFormat/>
    <w:rsid w:val="000C183D"/>
    <w:pPr>
      <w:spacing w:after="240" w:line="480" w:lineRule="auto"/>
      <w:jc w:val="center"/>
    </w:pPr>
    <w:rPr>
      <w:rFonts w:eastAsiaTheme="majorEastAsia" w:cstheme="majorBidi"/>
      <w:sz w:val="23"/>
      <w:szCs w:val="52"/>
    </w:rPr>
  </w:style>
  <w:style w:type="character" w:customStyle="1" w:styleId="TitleChar">
    <w:name w:val="Title Char"/>
    <w:basedOn w:val="DefaultParagraphFont"/>
    <w:link w:val="Title"/>
    <w:rsid w:val="000C183D"/>
    <w:rPr>
      <w:rFonts w:eastAsiaTheme="majorEastAsia" w:cstheme="majorBidi"/>
      <w:sz w:val="23"/>
      <w:szCs w:val="52"/>
    </w:rPr>
  </w:style>
  <w:style w:type="paragraph" w:styleId="TOCHeading">
    <w:name w:val="TOC Heading"/>
    <w:basedOn w:val="Heading1"/>
    <w:next w:val="Normal"/>
    <w:uiPriority w:val="39"/>
    <w:semiHidden/>
    <w:unhideWhenUsed/>
    <w:qFormat/>
    <w:rsid w:val="000C183D"/>
    <w:pPr>
      <w:keepNext/>
      <w:keepLines/>
      <w:numPr>
        <w:numId w:val="0"/>
      </w:numPr>
      <w:spacing w:before="480" w:after="0" w:line="276" w:lineRule="auto"/>
      <w:jc w:val="left"/>
      <w:outlineLvl w:val="9"/>
    </w:pPr>
    <w:rPr>
      <w:rFonts w:asciiTheme="majorHAnsi" w:hAnsiTheme="majorHAnsi" w:cstheme="majorBidi"/>
      <w:caps w:val="0"/>
      <w:color w:val="365F91" w:themeColor="accent1" w:themeShade="BF"/>
      <w:sz w:val="28"/>
      <w:u w:val="none"/>
      <w:lang w:eastAsia="ja-JP"/>
    </w:rPr>
  </w:style>
  <w:style w:type="paragraph" w:styleId="TOC1">
    <w:name w:val="toc 1"/>
    <w:basedOn w:val="Normal"/>
    <w:next w:val="Normal"/>
    <w:autoRedefine/>
    <w:uiPriority w:val="39"/>
    <w:unhideWhenUsed/>
    <w:rsid w:val="000C183D"/>
    <w:pPr>
      <w:tabs>
        <w:tab w:val="right" w:leader="dot" w:pos="9180"/>
      </w:tabs>
      <w:spacing w:after="100"/>
      <w:ind w:left="720" w:hanging="720"/>
    </w:pPr>
  </w:style>
  <w:style w:type="paragraph" w:styleId="TOC2">
    <w:name w:val="toc 2"/>
    <w:basedOn w:val="Normal"/>
    <w:next w:val="Normal"/>
    <w:autoRedefine/>
    <w:uiPriority w:val="39"/>
    <w:unhideWhenUsed/>
    <w:rsid w:val="000C183D"/>
    <w:pPr>
      <w:tabs>
        <w:tab w:val="right" w:leader="dot" w:pos="9180"/>
      </w:tabs>
      <w:spacing w:after="10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7C90"/>
    <w:pPr>
      <w:numPr>
        <w:numId w:val="3"/>
      </w:numPr>
      <w:tabs>
        <w:tab w:val="clear" w:pos="720"/>
      </w:tabs>
      <w:spacing w:before="240"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D64020"/>
    <w:pPr>
      <w:numPr>
        <w:ilvl w:val="1"/>
        <w:numId w:val="3"/>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D64020"/>
    <w:pPr>
      <w:numPr>
        <w:ilvl w:val="2"/>
        <w:numId w:val="3"/>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D64020"/>
    <w:pPr>
      <w:numPr>
        <w:ilvl w:val="3"/>
        <w:numId w:val="3"/>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D64020"/>
    <w:pPr>
      <w:numPr>
        <w:ilvl w:val="4"/>
        <w:numId w:val="3"/>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D64020"/>
    <w:pPr>
      <w:numPr>
        <w:ilvl w:val="5"/>
        <w:numId w:val="3"/>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D64020"/>
    <w:pPr>
      <w:numPr>
        <w:ilvl w:val="6"/>
        <w:numId w:val="3"/>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D64020"/>
    <w:pPr>
      <w:numPr>
        <w:ilvl w:val="7"/>
        <w:numId w:val="3"/>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D64020"/>
    <w:pPr>
      <w:numPr>
        <w:ilvl w:val="8"/>
        <w:numId w:val="3"/>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A02E6"/>
    <w:rPr>
      <w:sz w:val="20"/>
      <w:szCs w:val="20"/>
    </w:rPr>
  </w:style>
  <w:style w:type="character" w:customStyle="1" w:styleId="FootnoteTextChar">
    <w:name w:val="Footnote Text Char"/>
    <w:basedOn w:val="DefaultParagraphFont"/>
    <w:link w:val="FootnoteText"/>
    <w:rsid w:val="00CA02E6"/>
    <w:rPr>
      <w:sz w:val="20"/>
      <w:szCs w:val="20"/>
    </w:rPr>
  </w:style>
  <w:style w:type="character" w:styleId="FootnoteReference">
    <w:name w:val="footnote reference"/>
    <w:basedOn w:val="DefaultParagraphFont"/>
    <w:uiPriority w:val="99"/>
    <w:semiHidden/>
    <w:unhideWhenUsed/>
    <w:rsid w:val="00CA02E6"/>
    <w:rPr>
      <w:vertAlign w:val="superscript"/>
    </w:rPr>
  </w:style>
  <w:style w:type="paragraph" w:styleId="Header">
    <w:name w:val="header"/>
    <w:basedOn w:val="Normal"/>
    <w:link w:val="HeaderChar"/>
    <w:uiPriority w:val="99"/>
    <w:unhideWhenUsed/>
    <w:rsid w:val="00154443"/>
    <w:pPr>
      <w:tabs>
        <w:tab w:val="center" w:pos="4680"/>
        <w:tab w:val="right" w:pos="9360"/>
      </w:tabs>
    </w:pPr>
  </w:style>
  <w:style w:type="character" w:customStyle="1" w:styleId="HeaderChar">
    <w:name w:val="Header Char"/>
    <w:basedOn w:val="DefaultParagraphFont"/>
    <w:link w:val="Header"/>
    <w:uiPriority w:val="99"/>
    <w:rsid w:val="00154443"/>
  </w:style>
  <w:style w:type="paragraph" w:styleId="Footer">
    <w:name w:val="footer"/>
    <w:basedOn w:val="Normal"/>
    <w:link w:val="FooterChar"/>
    <w:uiPriority w:val="99"/>
    <w:unhideWhenUsed/>
    <w:rsid w:val="00154443"/>
    <w:pPr>
      <w:tabs>
        <w:tab w:val="center" w:pos="4680"/>
        <w:tab w:val="right" w:pos="9360"/>
      </w:tabs>
    </w:pPr>
  </w:style>
  <w:style w:type="character" w:customStyle="1" w:styleId="FooterChar">
    <w:name w:val="Footer Char"/>
    <w:basedOn w:val="DefaultParagraphFont"/>
    <w:link w:val="Footer"/>
    <w:uiPriority w:val="99"/>
    <w:rsid w:val="00154443"/>
  </w:style>
  <w:style w:type="paragraph" w:styleId="BalloonText">
    <w:name w:val="Balloon Text"/>
    <w:basedOn w:val="Normal"/>
    <w:link w:val="BalloonTextChar"/>
    <w:uiPriority w:val="99"/>
    <w:semiHidden/>
    <w:unhideWhenUsed/>
    <w:rsid w:val="00B97AFE"/>
    <w:rPr>
      <w:rFonts w:ascii="Tahoma" w:hAnsi="Tahoma" w:cs="Tahoma"/>
      <w:sz w:val="16"/>
      <w:szCs w:val="16"/>
    </w:rPr>
  </w:style>
  <w:style w:type="character" w:customStyle="1" w:styleId="BalloonTextChar">
    <w:name w:val="Balloon Text Char"/>
    <w:basedOn w:val="DefaultParagraphFont"/>
    <w:link w:val="BalloonText"/>
    <w:uiPriority w:val="99"/>
    <w:semiHidden/>
    <w:rsid w:val="00B97AFE"/>
    <w:rPr>
      <w:rFonts w:ascii="Tahoma" w:hAnsi="Tahoma" w:cs="Tahoma"/>
      <w:sz w:val="16"/>
      <w:szCs w:val="16"/>
    </w:rPr>
  </w:style>
  <w:style w:type="character" w:styleId="CommentReference">
    <w:name w:val="annotation reference"/>
    <w:basedOn w:val="DefaultParagraphFont"/>
    <w:uiPriority w:val="99"/>
    <w:semiHidden/>
    <w:unhideWhenUsed/>
    <w:rsid w:val="00B97AFE"/>
    <w:rPr>
      <w:sz w:val="16"/>
      <w:szCs w:val="16"/>
    </w:rPr>
  </w:style>
  <w:style w:type="paragraph" w:styleId="CommentText">
    <w:name w:val="annotation text"/>
    <w:basedOn w:val="Normal"/>
    <w:link w:val="CommentTextChar"/>
    <w:uiPriority w:val="99"/>
    <w:semiHidden/>
    <w:unhideWhenUsed/>
    <w:rsid w:val="00B97AFE"/>
    <w:rPr>
      <w:sz w:val="20"/>
      <w:szCs w:val="20"/>
    </w:rPr>
  </w:style>
  <w:style w:type="character" w:customStyle="1" w:styleId="CommentTextChar">
    <w:name w:val="Comment Text Char"/>
    <w:basedOn w:val="DefaultParagraphFont"/>
    <w:link w:val="CommentText"/>
    <w:uiPriority w:val="99"/>
    <w:semiHidden/>
    <w:rsid w:val="00B97AFE"/>
    <w:rPr>
      <w:sz w:val="20"/>
      <w:szCs w:val="20"/>
    </w:rPr>
  </w:style>
  <w:style w:type="paragraph" w:styleId="CommentSubject">
    <w:name w:val="annotation subject"/>
    <w:basedOn w:val="CommentText"/>
    <w:next w:val="CommentText"/>
    <w:link w:val="CommentSubjectChar"/>
    <w:uiPriority w:val="99"/>
    <w:semiHidden/>
    <w:unhideWhenUsed/>
    <w:rsid w:val="00B97AFE"/>
    <w:rPr>
      <w:b/>
      <w:bCs/>
    </w:rPr>
  </w:style>
  <w:style w:type="character" w:customStyle="1" w:styleId="CommentSubjectChar">
    <w:name w:val="Comment Subject Char"/>
    <w:basedOn w:val="CommentTextChar"/>
    <w:link w:val="CommentSubject"/>
    <w:uiPriority w:val="99"/>
    <w:semiHidden/>
    <w:rsid w:val="00B97AFE"/>
    <w:rPr>
      <w:b/>
      <w:bCs/>
      <w:sz w:val="20"/>
      <w:szCs w:val="20"/>
    </w:rPr>
  </w:style>
  <w:style w:type="paragraph" w:styleId="BodyTextIndent">
    <w:name w:val="Body Text Indent"/>
    <w:basedOn w:val="Normal"/>
    <w:link w:val="BodyTextIndentChar"/>
    <w:semiHidden/>
    <w:unhideWhenUsed/>
    <w:rsid w:val="00B97AFE"/>
    <w:pPr>
      <w:ind w:firstLine="720"/>
      <w:jc w:val="both"/>
    </w:pPr>
    <w:rPr>
      <w:rFonts w:eastAsia="Times New Roman" w:cs="Arial"/>
    </w:rPr>
  </w:style>
  <w:style w:type="character" w:customStyle="1" w:styleId="BodyTextIndentChar">
    <w:name w:val="Body Text Indent Char"/>
    <w:basedOn w:val="DefaultParagraphFont"/>
    <w:link w:val="BodyTextIndent"/>
    <w:semiHidden/>
    <w:rsid w:val="00B97AFE"/>
    <w:rPr>
      <w:rFonts w:eastAsia="Times New Roman" w:cs="Arial"/>
    </w:rPr>
  </w:style>
  <w:style w:type="paragraph" w:styleId="ListParagraph">
    <w:name w:val="List Paragraph"/>
    <w:basedOn w:val="Normal"/>
    <w:uiPriority w:val="34"/>
    <w:qFormat/>
    <w:rsid w:val="00BE42A9"/>
    <w:pPr>
      <w:ind w:left="720"/>
      <w:contextualSpacing/>
    </w:pPr>
  </w:style>
  <w:style w:type="character" w:customStyle="1" w:styleId="Heading1Char">
    <w:name w:val="Heading 1 Char"/>
    <w:basedOn w:val="DefaultParagraphFont"/>
    <w:link w:val="Heading1"/>
    <w:uiPriority w:val="9"/>
    <w:rsid w:val="00577C90"/>
    <w:rPr>
      <w:rFonts w:eastAsiaTheme="majorEastAsia" w:cs="Arial"/>
      <w:b/>
      <w:bCs/>
      <w:caps/>
      <w:szCs w:val="28"/>
      <w:u w:val="single"/>
    </w:rPr>
  </w:style>
  <w:style w:type="character" w:customStyle="1" w:styleId="Heading2Char">
    <w:name w:val="Heading 2 Char"/>
    <w:basedOn w:val="DefaultParagraphFont"/>
    <w:link w:val="Heading2"/>
    <w:uiPriority w:val="9"/>
    <w:rsid w:val="00D64020"/>
    <w:rPr>
      <w:rFonts w:eastAsiaTheme="majorEastAsia" w:cs="Arial"/>
      <w:b/>
      <w:bCs/>
      <w:szCs w:val="26"/>
    </w:rPr>
  </w:style>
  <w:style w:type="character" w:customStyle="1" w:styleId="Heading3Char">
    <w:name w:val="Heading 3 Char"/>
    <w:basedOn w:val="DefaultParagraphFont"/>
    <w:link w:val="Heading3"/>
    <w:uiPriority w:val="9"/>
    <w:semiHidden/>
    <w:rsid w:val="00D64020"/>
    <w:rPr>
      <w:rFonts w:eastAsiaTheme="majorEastAsia" w:cs="Arial"/>
      <w:b/>
      <w:bCs/>
    </w:rPr>
  </w:style>
  <w:style w:type="character" w:customStyle="1" w:styleId="Heading4Char">
    <w:name w:val="Heading 4 Char"/>
    <w:basedOn w:val="DefaultParagraphFont"/>
    <w:link w:val="Heading4"/>
    <w:uiPriority w:val="9"/>
    <w:semiHidden/>
    <w:rsid w:val="00D64020"/>
    <w:rPr>
      <w:rFonts w:eastAsiaTheme="majorEastAsia" w:cs="Arial"/>
      <w:b/>
      <w:bCs/>
      <w:i/>
      <w:iCs/>
    </w:rPr>
  </w:style>
  <w:style w:type="character" w:customStyle="1" w:styleId="Heading5Char">
    <w:name w:val="Heading 5 Char"/>
    <w:basedOn w:val="DefaultParagraphFont"/>
    <w:link w:val="Heading5"/>
    <w:uiPriority w:val="9"/>
    <w:semiHidden/>
    <w:rsid w:val="00D64020"/>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D64020"/>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D64020"/>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D64020"/>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D64020"/>
    <w:rPr>
      <w:rFonts w:asciiTheme="majorHAnsi" w:eastAsiaTheme="majorEastAsia" w:hAnsiTheme="majorHAnsi" w:cs="Arial"/>
      <w:iCs/>
      <w:color w:val="404040" w:themeColor="text1" w:themeTint="BF"/>
      <w:szCs w:val="20"/>
    </w:rPr>
  </w:style>
  <w:style w:type="character" w:styleId="Hyperlink">
    <w:name w:val="Hyperlink"/>
    <w:basedOn w:val="DefaultParagraphFont"/>
    <w:uiPriority w:val="99"/>
    <w:unhideWhenUsed/>
    <w:rsid w:val="00013C0B"/>
    <w:rPr>
      <w:color w:val="0000FF" w:themeColor="hyperlink"/>
      <w:u w:val="single"/>
    </w:rPr>
  </w:style>
  <w:style w:type="paragraph" w:customStyle="1" w:styleId="table">
    <w:name w:val="table"/>
    <w:basedOn w:val="Normal"/>
    <w:link w:val="tableChar"/>
    <w:qFormat/>
    <w:rsid w:val="00577C90"/>
    <w:pPr>
      <w:tabs>
        <w:tab w:val="decimal" w:pos="4680"/>
        <w:tab w:val="decimal" w:pos="6480"/>
        <w:tab w:val="decimal" w:pos="8460"/>
      </w:tabs>
      <w:autoSpaceDE w:val="0"/>
      <w:autoSpaceDN w:val="0"/>
      <w:adjustRightInd w:val="0"/>
      <w:ind w:firstLine="360"/>
      <w:jc w:val="both"/>
    </w:pPr>
    <w:rPr>
      <w:rFonts w:cs="Arial"/>
    </w:rPr>
  </w:style>
  <w:style w:type="paragraph" w:customStyle="1" w:styleId="tablehead">
    <w:name w:val="tablehead"/>
    <w:basedOn w:val="Normal"/>
    <w:link w:val="tableheadChar"/>
    <w:qFormat/>
    <w:rsid w:val="00577C90"/>
    <w:pPr>
      <w:tabs>
        <w:tab w:val="center" w:pos="5040"/>
        <w:tab w:val="center" w:pos="6840"/>
        <w:tab w:val="center" w:pos="8370"/>
      </w:tabs>
      <w:autoSpaceDE w:val="0"/>
      <w:autoSpaceDN w:val="0"/>
      <w:adjustRightInd w:val="0"/>
      <w:ind w:firstLine="360"/>
      <w:jc w:val="both"/>
    </w:pPr>
    <w:rPr>
      <w:rFonts w:cs="Arial"/>
      <w:b/>
      <w:u w:val="single"/>
    </w:rPr>
  </w:style>
  <w:style w:type="character" w:customStyle="1" w:styleId="tableChar">
    <w:name w:val="table Char"/>
    <w:basedOn w:val="DefaultParagraphFont"/>
    <w:link w:val="table"/>
    <w:rsid w:val="00577C90"/>
    <w:rPr>
      <w:rFonts w:cs="Arial"/>
    </w:rPr>
  </w:style>
  <w:style w:type="paragraph" w:styleId="BodyText">
    <w:name w:val="Body Text"/>
    <w:basedOn w:val="Normal"/>
    <w:link w:val="BodyTextChar"/>
    <w:uiPriority w:val="99"/>
    <w:semiHidden/>
    <w:unhideWhenUsed/>
    <w:rsid w:val="000C183D"/>
    <w:pPr>
      <w:spacing w:after="120"/>
    </w:pPr>
  </w:style>
  <w:style w:type="character" w:customStyle="1" w:styleId="tableheadChar">
    <w:name w:val="tablehead Char"/>
    <w:basedOn w:val="DefaultParagraphFont"/>
    <w:link w:val="tablehead"/>
    <w:rsid w:val="00577C90"/>
    <w:rPr>
      <w:rFonts w:cs="Arial"/>
      <w:b/>
      <w:u w:val="single"/>
    </w:rPr>
  </w:style>
  <w:style w:type="character" w:customStyle="1" w:styleId="BodyTextChar">
    <w:name w:val="Body Text Char"/>
    <w:basedOn w:val="DefaultParagraphFont"/>
    <w:link w:val="BodyText"/>
    <w:uiPriority w:val="99"/>
    <w:semiHidden/>
    <w:rsid w:val="000C183D"/>
  </w:style>
  <w:style w:type="paragraph" w:styleId="BodyText3">
    <w:name w:val="Body Text 3"/>
    <w:basedOn w:val="Normal"/>
    <w:link w:val="BodyText3Char"/>
    <w:uiPriority w:val="99"/>
    <w:semiHidden/>
    <w:unhideWhenUsed/>
    <w:rsid w:val="000C183D"/>
    <w:pPr>
      <w:spacing w:after="120"/>
    </w:pPr>
    <w:rPr>
      <w:sz w:val="16"/>
      <w:szCs w:val="16"/>
    </w:rPr>
  </w:style>
  <w:style w:type="character" w:customStyle="1" w:styleId="BodyText3Char">
    <w:name w:val="Body Text 3 Char"/>
    <w:basedOn w:val="DefaultParagraphFont"/>
    <w:link w:val="BodyText3"/>
    <w:uiPriority w:val="99"/>
    <w:semiHidden/>
    <w:rsid w:val="000C183D"/>
    <w:rPr>
      <w:sz w:val="16"/>
      <w:szCs w:val="16"/>
    </w:rPr>
  </w:style>
  <w:style w:type="paragraph" w:styleId="Title">
    <w:name w:val="Title"/>
    <w:basedOn w:val="Normal"/>
    <w:link w:val="TitleChar"/>
    <w:qFormat/>
    <w:rsid w:val="000C183D"/>
    <w:pPr>
      <w:spacing w:after="240" w:line="480" w:lineRule="auto"/>
      <w:jc w:val="center"/>
    </w:pPr>
    <w:rPr>
      <w:rFonts w:eastAsiaTheme="majorEastAsia" w:cstheme="majorBidi"/>
      <w:sz w:val="23"/>
      <w:szCs w:val="52"/>
    </w:rPr>
  </w:style>
  <w:style w:type="character" w:customStyle="1" w:styleId="TitleChar">
    <w:name w:val="Title Char"/>
    <w:basedOn w:val="DefaultParagraphFont"/>
    <w:link w:val="Title"/>
    <w:rsid w:val="000C183D"/>
    <w:rPr>
      <w:rFonts w:eastAsiaTheme="majorEastAsia" w:cstheme="majorBidi"/>
      <w:sz w:val="23"/>
      <w:szCs w:val="52"/>
    </w:rPr>
  </w:style>
  <w:style w:type="paragraph" w:styleId="TOCHeading">
    <w:name w:val="TOC Heading"/>
    <w:basedOn w:val="Heading1"/>
    <w:next w:val="Normal"/>
    <w:uiPriority w:val="39"/>
    <w:semiHidden/>
    <w:unhideWhenUsed/>
    <w:qFormat/>
    <w:rsid w:val="000C183D"/>
    <w:pPr>
      <w:keepNext/>
      <w:keepLines/>
      <w:numPr>
        <w:numId w:val="0"/>
      </w:numPr>
      <w:spacing w:before="480" w:after="0" w:line="276" w:lineRule="auto"/>
      <w:jc w:val="left"/>
      <w:outlineLvl w:val="9"/>
    </w:pPr>
    <w:rPr>
      <w:rFonts w:asciiTheme="majorHAnsi" w:hAnsiTheme="majorHAnsi" w:cstheme="majorBidi"/>
      <w:caps w:val="0"/>
      <w:color w:val="365F91" w:themeColor="accent1" w:themeShade="BF"/>
      <w:sz w:val="28"/>
      <w:u w:val="none"/>
      <w:lang w:eastAsia="ja-JP"/>
    </w:rPr>
  </w:style>
  <w:style w:type="paragraph" w:styleId="TOC1">
    <w:name w:val="toc 1"/>
    <w:basedOn w:val="Normal"/>
    <w:next w:val="Normal"/>
    <w:autoRedefine/>
    <w:uiPriority w:val="39"/>
    <w:unhideWhenUsed/>
    <w:rsid w:val="000C183D"/>
    <w:pPr>
      <w:tabs>
        <w:tab w:val="right" w:leader="dot" w:pos="9180"/>
      </w:tabs>
      <w:spacing w:after="100"/>
      <w:ind w:left="720" w:hanging="720"/>
    </w:pPr>
  </w:style>
  <w:style w:type="paragraph" w:styleId="TOC2">
    <w:name w:val="toc 2"/>
    <w:basedOn w:val="Normal"/>
    <w:next w:val="Normal"/>
    <w:autoRedefine/>
    <w:uiPriority w:val="39"/>
    <w:unhideWhenUsed/>
    <w:rsid w:val="000C183D"/>
    <w:pPr>
      <w:tabs>
        <w:tab w:val="right" w:leader="dot" w:pos="9180"/>
      </w:tabs>
      <w:spacing w:after="10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3198</Words>
  <Characters>17735</Characters>
  <Application>Microsoft Office Word</Application>
  <DocSecurity>0</DocSecurity>
  <PresentationFormat/>
  <Lines>448</Lines>
  <Paragraphs>163</Paragraphs>
  <ScaleCrop>false</ScaleCrop>
  <HeadingPairs>
    <vt:vector size="2" baseType="variant">
      <vt:variant>
        <vt:lpstr>Title</vt:lpstr>
      </vt:variant>
      <vt:variant>
        <vt:i4>1</vt:i4>
      </vt:variant>
    </vt:vector>
  </HeadingPairs>
  <TitlesOfParts>
    <vt:vector size="1" baseType="lpstr">
      <vt:lpstr>Draft Reply Comments on Second Transiton to Market - 13-1530 (C41478-3).DOCX</vt:lpstr>
    </vt:vector>
  </TitlesOfParts>
  <LinksUpToDate>false</LinksUpToDate>
  <CharactersWithSpaces>20844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Reply Comments on Second Transiton to Market - 13-1530 (C41478-3).DOCX</dc:title>
  <dc:subject>C41478:3 /font=8</dc:subject>
  <dc:creator/>
  <cp:lastModifiedBy/>
  <cp:revision>1</cp:revision>
  <cp:lastPrinted>2013-08-12T13:57:00Z</cp:lastPrinted>
  <dcterms:created xsi:type="dcterms:W3CDTF">2013-09-06T17:35:00Z</dcterms:created>
  <dcterms:modified xsi:type="dcterms:W3CDTF">2013-09-06T17:35:00Z</dcterms:modified>
</cp:coreProperties>
</file>