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F0" w:rsidRPr="00145FEA" w:rsidRDefault="00BE4FF0" w:rsidP="00BE4FF0">
      <w:pPr>
        <w:pStyle w:val="HTMLPreformatted"/>
        <w:jc w:val="center"/>
        <w:rPr>
          <w:rFonts w:ascii="Times New Roman" w:hAnsi="Times New Roman" w:cs="Times New Roman"/>
          <w:b/>
          <w:bCs/>
          <w:sz w:val="24"/>
          <w:szCs w:val="24"/>
        </w:rPr>
      </w:pPr>
      <w:bookmarkStart w:id="0" w:name="_GoBack"/>
      <w:bookmarkEnd w:id="0"/>
      <w:r w:rsidRPr="00145FEA">
        <w:rPr>
          <w:rFonts w:ascii="Times New Roman" w:hAnsi="Times New Roman" w:cs="Times New Roman"/>
          <w:b/>
          <w:bCs/>
          <w:sz w:val="24"/>
          <w:szCs w:val="24"/>
        </w:rPr>
        <w:t>BEFORE</w:t>
      </w:r>
    </w:p>
    <w:p w:rsidR="00BE4FF0" w:rsidRPr="00145FEA" w:rsidRDefault="00BE4FF0" w:rsidP="00BE4FF0">
      <w:pPr>
        <w:pStyle w:val="HTMLPreformatted"/>
        <w:jc w:val="center"/>
        <w:rPr>
          <w:rFonts w:ascii="Times New Roman" w:hAnsi="Times New Roman" w:cs="Times New Roman"/>
          <w:sz w:val="24"/>
          <w:szCs w:val="24"/>
        </w:rPr>
      </w:pPr>
      <w:r w:rsidRPr="00145FEA">
        <w:rPr>
          <w:rFonts w:ascii="Times New Roman" w:hAnsi="Times New Roman" w:cs="Times New Roman"/>
          <w:b/>
          <w:bCs/>
          <w:sz w:val="24"/>
          <w:szCs w:val="24"/>
        </w:rPr>
        <w:t>THE PUBLIC UTILITIES COMMISSION OF OHIO</w:t>
      </w:r>
    </w:p>
    <w:p w:rsidR="00BE4FF0" w:rsidRDefault="00BE4FF0" w:rsidP="00BE4FF0">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BE4FF0" w:rsidRPr="0066675A" w:rsidTr="00EF60BC">
        <w:trPr>
          <w:trHeight w:val="807"/>
        </w:trPr>
        <w:tc>
          <w:tcPr>
            <w:tcW w:w="4332" w:type="dxa"/>
            <w:shd w:val="clear" w:color="auto" w:fill="auto"/>
          </w:tcPr>
          <w:p w:rsidR="00BE4FF0" w:rsidRPr="00845F78" w:rsidRDefault="00BE4FF0" w:rsidP="00EF60BC">
            <w:pPr>
              <w:autoSpaceDE w:val="0"/>
              <w:autoSpaceDN w:val="0"/>
              <w:adjustRightInd w:val="0"/>
            </w:pPr>
            <w:r w:rsidRPr="00845F78">
              <w:t xml:space="preserve">In the Matter of the Application of </w:t>
            </w:r>
          </w:p>
          <w:p w:rsidR="00BE4FF0" w:rsidRPr="00845F78" w:rsidRDefault="00BE4FF0" w:rsidP="00EF60BC">
            <w:pPr>
              <w:autoSpaceDE w:val="0"/>
              <w:autoSpaceDN w:val="0"/>
              <w:adjustRightInd w:val="0"/>
            </w:pPr>
            <w:r w:rsidRPr="00845F78">
              <w:t>the Dayton Power and Light Company for</w:t>
            </w:r>
          </w:p>
          <w:p w:rsidR="00BE4FF0" w:rsidRPr="00845F78" w:rsidRDefault="00BE4FF0" w:rsidP="00EF60BC">
            <w:pPr>
              <w:autoSpaceDE w:val="0"/>
              <w:autoSpaceDN w:val="0"/>
              <w:adjustRightInd w:val="0"/>
            </w:pPr>
            <w:r w:rsidRPr="00845F78">
              <w:t>Approval of its Electric Security Plan</w:t>
            </w:r>
          </w:p>
          <w:p w:rsidR="00BE4FF0" w:rsidRPr="00845F78" w:rsidRDefault="00BE4FF0" w:rsidP="00EF60BC">
            <w:pPr>
              <w:autoSpaceDE w:val="0"/>
              <w:autoSpaceDN w:val="0"/>
              <w:adjustRightInd w:val="0"/>
            </w:pPr>
          </w:p>
          <w:p w:rsidR="00BE4FF0" w:rsidRPr="00845F78" w:rsidRDefault="00BE4FF0" w:rsidP="00EF60BC">
            <w:pPr>
              <w:autoSpaceDE w:val="0"/>
              <w:autoSpaceDN w:val="0"/>
              <w:adjustRightInd w:val="0"/>
            </w:pPr>
            <w:r w:rsidRPr="00845F78">
              <w:t>In the Matter of the Application of the Dayton Power and Light Company for Approval of Revised Tariffs</w:t>
            </w:r>
          </w:p>
          <w:p w:rsidR="00BE4FF0" w:rsidRPr="00845F78" w:rsidRDefault="00BE4FF0" w:rsidP="00EF60BC">
            <w:pPr>
              <w:autoSpaceDE w:val="0"/>
              <w:autoSpaceDN w:val="0"/>
              <w:adjustRightInd w:val="0"/>
            </w:pPr>
          </w:p>
          <w:p w:rsidR="00BE4FF0" w:rsidRPr="00845F78" w:rsidRDefault="00BE4FF0" w:rsidP="00EF60BC">
            <w:pPr>
              <w:autoSpaceDE w:val="0"/>
              <w:autoSpaceDN w:val="0"/>
              <w:adjustRightInd w:val="0"/>
            </w:pPr>
            <w:r w:rsidRPr="00845F78">
              <w:t>In the Matter of the Application of the Dayton Power and Light Company for Approval of Certain Accounting Authority Pursuant to Ohio Rev. Code § 4905.13</w:t>
            </w:r>
          </w:p>
          <w:p w:rsidR="00BE4FF0" w:rsidRPr="00845F78" w:rsidRDefault="00BE4FF0" w:rsidP="00EF60BC">
            <w:pPr>
              <w:pStyle w:val="HTMLPreformatted"/>
              <w:rPr>
                <w:rFonts w:ascii="Times New Roman" w:hAnsi="Times New Roman" w:cs="Times New Roman"/>
                <w:sz w:val="24"/>
                <w:szCs w:val="24"/>
              </w:rPr>
            </w:pPr>
          </w:p>
        </w:tc>
        <w:tc>
          <w:tcPr>
            <w:tcW w:w="360" w:type="dxa"/>
            <w:shd w:val="clear" w:color="auto" w:fill="auto"/>
          </w:tcPr>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tc>
        <w:tc>
          <w:tcPr>
            <w:tcW w:w="4400" w:type="dxa"/>
            <w:shd w:val="clear" w:color="auto" w:fill="auto"/>
          </w:tcPr>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Case No. 16-0395-EL-SSO</w:t>
            </w: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Case No. 16-0396-EL-ATA</w:t>
            </w: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r w:rsidRPr="00845F78">
              <w:rPr>
                <w:rFonts w:ascii="Times New Roman" w:hAnsi="Times New Roman" w:cs="Times New Roman"/>
                <w:sz w:val="24"/>
                <w:szCs w:val="24"/>
              </w:rPr>
              <w:t>Case No. 16-0397-EL-AAM</w:t>
            </w:r>
          </w:p>
          <w:p w:rsidR="00BE4FF0" w:rsidRPr="00845F78" w:rsidRDefault="00BE4FF0" w:rsidP="00EF60BC">
            <w:pPr>
              <w:pStyle w:val="HTMLPreformatted"/>
              <w:rPr>
                <w:rFonts w:ascii="Times New Roman" w:hAnsi="Times New Roman" w:cs="Times New Roman"/>
                <w:sz w:val="24"/>
                <w:szCs w:val="24"/>
              </w:rPr>
            </w:pPr>
          </w:p>
          <w:p w:rsidR="00BE4FF0" w:rsidRPr="00845F78" w:rsidRDefault="00BE4FF0" w:rsidP="00EF60BC">
            <w:pPr>
              <w:pStyle w:val="HTMLPreformatted"/>
              <w:rPr>
                <w:rFonts w:ascii="Times New Roman" w:hAnsi="Times New Roman" w:cs="Times New Roman"/>
                <w:sz w:val="24"/>
                <w:szCs w:val="24"/>
              </w:rPr>
            </w:pPr>
          </w:p>
        </w:tc>
      </w:tr>
    </w:tbl>
    <w:p w:rsidR="00C92722" w:rsidRPr="0066675A" w:rsidRDefault="00C92722" w:rsidP="00BE4FF0">
      <w:pPr>
        <w:pStyle w:val="HTMLPreformatted"/>
        <w:rPr>
          <w:rFonts w:ascii="Times New Roman" w:hAnsi="Times New Roman" w:cs="Times New Roman"/>
          <w:sz w:val="24"/>
          <w:szCs w:val="24"/>
        </w:rPr>
      </w:pPr>
    </w:p>
    <w:p w:rsidR="00BE4FF0" w:rsidRPr="008408B9" w:rsidRDefault="00BE4FF0" w:rsidP="00BE4FF0">
      <w:pPr>
        <w:pBdr>
          <w:top w:val="single" w:sz="12" w:space="1" w:color="auto"/>
        </w:pBdr>
        <w:tabs>
          <w:tab w:val="left" w:pos="-720"/>
        </w:tabs>
        <w:suppressAutoHyphens/>
        <w:jc w:val="center"/>
        <w:rPr>
          <w:b/>
          <w:spacing w:val="-3"/>
        </w:rPr>
      </w:pPr>
    </w:p>
    <w:p w:rsidR="00C92722" w:rsidRDefault="00BE4FF0" w:rsidP="00C92722">
      <w:pPr>
        <w:jc w:val="center"/>
        <w:rPr>
          <w:b/>
          <w:szCs w:val="20"/>
        </w:rPr>
      </w:pPr>
      <w:r>
        <w:rPr>
          <w:b/>
          <w:szCs w:val="20"/>
        </w:rPr>
        <w:t xml:space="preserve">MEMORANDUM CONTRA THE DAYTON POWER &amp; LIGHT COMPANY’S </w:t>
      </w:r>
      <w:r w:rsidR="00C92722">
        <w:rPr>
          <w:b/>
          <w:szCs w:val="20"/>
        </w:rPr>
        <w:t>MOTION TO IMPLEMENT THE SSR-E EXTENSION RIDER</w:t>
      </w:r>
    </w:p>
    <w:p w:rsidR="00C92722" w:rsidRDefault="00C92722" w:rsidP="00C92722">
      <w:pPr>
        <w:jc w:val="center"/>
        <w:rPr>
          <w:b/>
          <w:szCs w:val="20"/>
        </w:rPr>
      </w:pPr>
      <w:r>
        <w:rPr>
          <w:b/>
          <w:szCs w:val="20"/>
        </w:rPr>
        <w:t>BY</w:t>
      </w:r>
    </w:p>
    <w:p w:rsidR="00C92722" w:rsidRDefault="00C92722" w:rsidP="00C92722">
      <w:pPr>
        <w:pBdr>
          <w:bottom w:val="single" w:sz="12" w:space="1" w:color="auto"/>
        </w:pBdr>
        <w:jc w:val="center"/>
        <w:rPr>
          <w:b/>
          <w:szCs w:val="20"/>
        </w:rPr>
      </w:pPr>
      <w:r>
        <w:rPr>
          <w:b/>
          <w:szCs w:val="20"/>
        </w:rPr>
        <w:t>THE OFFICE OF THE OHIO CONSUMERS’ COUNSEL</w:t>
      </w:r>
    </w:p>
    <w:p w:rsidR="00C92722" w:rsidRDefault="00C92722" w:rsidP="00C92722">
      <w:pPr>
        <w:pBdr>
          <w:bottom w:val="single" w:sz="12" w:space="1" w:color="auto"/>
        </w:pBdr>
        <w:jc w:val="center"/>
        <w:rPr>
          <w:b/>
          <w:szCs w:val="20"/>
        </w:rPr>
      </w:pPr>
    </w:p>
    <w:p w:rsidR="00C92722" w:rsidRPr="008408B9" w:rsidRDefault="00C92722" w:rsidP="00C92722">
      <w:pPr>
        <w:jc w:val="center"/>
        <w:rPr>
          <w:b/>
          <w:spacing w:val="-3"/>
        </w:rPr>
      </w:pP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r>
        <w:rPr>
          <w:b/>
          <w:spacing w:val="-3"/>
        </w:rPr>
        <w:softHyphen/>
      </w:r>
    </w:p>
    <w:p w:rsidR="00BE4FF0" w:rsidRPr="008408B9" w:rsidRDefault="00BE4FF0" w:rsidP="00BE4FF0">
      <w:pPr>
        <w:tabs>
          <w:tab w:val="left" w:pos="-720"/>
        </w:tabs>
        <w:suppressAutoHyphens/>
        <w:jc w:val="both"/>
        <w:rPr>
          <w:bCs/>
          <w:spacing w:val="-3"/>
        </w:rPr>
      </w:pPr>
    </w:p>
    <w:p w:rsidR="00BE4FF0" w:rsidRDefault="00BE4FF0">
      <w:pPr>
        <w:spacing w:after="200" w:line="276" w:lineRule="auto"/>
        <w:rPr>
          <w:rFonts w:eastAsia="Courier New"/>
          <w:b/>
          <w:bCs/>
        </w:rPr>
      </w:pPr>
    </w:p>
    <w:p w:rsidR="000467AF" w:rsidRDefault="000467AF" w:rsidP="000467AF">
      <w:pPr>
        <w:pStyle w:val="Footer"/>
        <w:tabs>
          <w:tab w:val="clear" w:pos="8640"/>
          <w:tab w:val="left" w:pos="4320"/>
        </w:tabs>
        <w:spacing w:before="240"/>
      </w:pPr>
      <w:r>
        <w:tab/>
      </w:r>
    </w:p>
    <w:p w:rsidR="000467AF" w:rsidRDefault="000467AF" w:rsidP="000467AF">
      <w:pPr>
        <w:pStyle w:val="Footer"/>
        <w:tabs>
          <w:tab w:val="clear" w:pos="8640"/>
          <w:tab w:val="left" w:pos="4320"/>
        </w:tabs>
      </w:pPr>
      <w:r>
        <w:tab/>
        <w:t xml:space="preserve">BRUCE J. WESTON </w:t>
      </w:r>
      <w:r w:rsidRPr="00BB4E82">
        <w:t>(0016973)</w:t>
      </w:r>
    </w:p>
    <w:p w:rsidR="000467AF" w:rsidRDefault="000467AF" w:rsidP="000467AF">
      <w:pPr>
        <w:tabs>
          <w:tab w:val="left" w:pos="4320"/>
        </w:tabs>
      </w:pPr>
      <w:r>
        <w:tab/>
        <w:t>OHIO CONSUMERS’ COUNSEL</w:t>
      </w:r>
    </w:p>
    <w:p w:rsidR="000467AF" w:rsidRPr="00BB4E82" w:rsidRDefault="000467AF" w:rsidP="000467AF">
      <w:pPr>
        <w:tabs>
          <w:tab w:val="left" w:pos="4320"/>
        </w:tabs>
      </w:pPr>
      <w:r>
        <w:tab/>
      </w:r>
    </w:p>
    <w:p w:rsidR="000467AF" w:rsidRDefault="000467AF" w:rsidP="000467AF">
      <w:pPr>
        <w:tabs>
          <w:tab w:val="left" w:pos="4320"/>
        </w:tabs>
      </w:pPr>
      <w:r>
        <w:tab/>
        <w:t>William J. Michael (</w:t>
      </w:r>
      <w:r w:rsidRPr="00BB4E82">
        <w:t>0070921)</w:t>
      </w:r>
    </w:p>
    <w:p w:rsidR="000467AF" w:rsidRDefault="000467AF" w:rsidP="000467AF">
      <w:pPr>
        <w:tabs>
          <w:tab w:val="left" w:pos="4320"/>
        </w:tabs>
      </w:pPr>
      <w:r>
        <w:tab/>
        <w:t>Counsel of Record</w:t>
      </w:r>
    </w:p>
    <w:p w:rsidR="000467AF" w:rsidRDefault="000467AF" w:rsidP="000467AF">
      <w:pPr>
        <w:tabs>
          <w:tab w:val="left" w:pos="4320"/>
        </w:tabs>
      </w:pPr>
      <w:r>
        <w:tab/>
        <w:t xml:space="preserve">Kevin F. Moore </w:t>
      </w:r>
      <w:r w:rsidRPr="00F10CC5">
        <w:t>(0089228)</w:t>
      </w:r>
    </w:p>
    <w:p w:rsidR="000467AF" w:rsidRDefault="000467AF" w:rsidP="000467AF">
      <w:pPr>
        <w:tabs>
          <w:tab w:val="left" w:pos="4320"/>
        </w:tabs>
      </w:pPr>
      <w:r>
        <w:tab/>
        <w:t>Assistant Consumers’ Counsel</w:t>
      </w:r>
    </w:p>
    <w:p w:rsidR="000467AF" w:rsidRDefault="000467AF" w:rsidP="000467AF">
      <w:pPr>
        <w:ind w:left="4320"/>
      </w:pPr>
      <w:r>
        <w:tab/>
      </w:r>
    </w:p>
    <w:p w:rsidR="000467AF" w:rsidRPr="000467AF" w:rsidRDefault="000467AF" w:rsidP="000467AF">
      <w:pPr>
        <w:ind w:left="4320"/>
        <w:rPr>
          <w:b/>
        </w:rPr>
      </w:pPr>
      <w:r w:rsidRPr="000467AF">
        <w:rPr>
          <w:b/>
        </w:rPr>
        <w:t>Office of the Ohio Consumers’ Counsel</w:t>
      </w:r>
    </w:p>
    <w:p w:rsidR="000467AF" w:rsidRPr="000467AF" w:rsidRDefault="000467AF" w:rsidP="000467AF">
      <w:pPr>
        <w:ind w:left="4320"/>
      </w:pPr>
      <w:r w:rsidRPr="000467AF">
        <w:t>10 West Broad Street, Suite 1800</w:t>
      </w:r>
    </w:p>
    <w:p w:rsidR="000467AF" w:rsidRPr="000467AF" w:rsidRDefault="000467AF" w:rsidP="000467AF">
      <w:pPr>
        <w:ind w:left="4320"/>
      </w:pPr>
      <w:r w:rsidRPr="000467AF">
        <w:t>Columbus, Ohio 43215-3485</w:t>
      </w:r>
    </w:p>
    <w:p w:rsidR="000467AF" w:rsidRDefault="000467AF" w:rsidP="000467AF">
      <w:pPr>
        <w:autoSpaceDE w:val="0"/>
        <w:autoSpaceDN w:val="0"/>
        <w:adjustRightInd w:val="0"/>
        <w:ind w:left="3600" w:firstLine="720"/>
      </w:pPr>
      <w:r>
        <w:t>Telephone: 614-466-1291 (Michael Direct)</w:t>
      </w:r>
    </w:p>
    <w:p w:rsidR="000467AF" w:rsidRDefault="000467AF" w:rsidP="000467AF">
      <w:pPr>
        <w:autoSpaceDE w:val="0"/>
        <w:autoSpaceDN w:val="0"/>
        <w:adjustRightInd w:val="0"/>
        <w:ind w:left="3600" w:firstLine="720"/>
      </w:pPr>
      <w:r>
        <w:t>Telephone: 614-387-2965 (Moore Direct)</w:t>
      </w:r>
    </w:p>
    <w:p w:rsidR="000467AF" w:rsidRPr="00E352AE" w:rsidRDefault="00491BD7" w:rsidP="000467AF">
      <w:pPr>
        <w:autoSpaceDE w:val="0"/>
        <w:autoSpaceDN w:val="0"/>
        <w:adjustRightInd w:val="0"/>
        <w:ind w:left="3600" w:firstLine="720"/>
      </w:pPr>
      <w:hyperlink r:id="rId8" w:history="1">
        <w:r w:rsidR="000467AF" w:rsidRPr="00E352AE">
          <w:rPr>
            <w:rStyle w:val="Hyperlink"/>
            <w:u w:val="none"/>
          </w:rPr>
          <w:t>William.michael@occ.ohio.gov</w:t>
        </w:r>
      </w:hyperlink>
    </w:p>
    <w:p w:rsidR="000467AF" w:rsidRPr="00BB4E82" w:rsidRDefault="000467AF" w:rsidP="000467AF">
      <w:pPr>
        <w:autoSpaceDE w:val="0"/>
        <w:autoSpaceDN w:val="0"/>
        <w:adjustRightInd w:val="0"/>
        <w:ind w:left="3600" w:firstLine="720"/>
      </w:pPr>
      <w:r w:rsidRPr="00BB4E82">
        <w:t>(will accept service via email)</w:t>
      </w:r>
    </w:p>
    <w:p w:rsidR="000467AF" w:rsidRPr="00E352AE" w:rsidRDefault="00491BD7" w:rsidP="000467AF">
      <w:pPr>
        <w:ind w:left="4320"/>
      </w:pPr>
      <w:hyperlink r:id="rId9" w:history="1">
        <w:r w:rsidR="000467AF" w:rsidRPr="00E352AE">
          <w:rPr>
            <w:rStyle w:val="Hyperlink"/>
            <w:u w:val="none"/>
          </w:rPr>
          <w:t>Kevin.moore@occ.ohio.gov</w:t>
        </w:r>
      </w:hyperlink>
    </w:p>
    <w:p w:rsidR="000467AF" w:rsidRPr="00BB4E82" w:rsidRDefault="000467AF" w:rsidP="000467AF">
      <w:pPr>
        <w:ind w:left="3600" w:firstLine="720"/>
      </w:pPr>
      <w:r w:rsidRPr="00BB4E82">
        <w:t>(will accept service via email)</w:t>
      </w:r>
    </w:p>
    <w:p w:rsidR="000467AF" w:rsidRDefault="000467AF" w:rsidP="000467AF">
      <w:pPr>
        <w:autoSpaceDE w:val="0"/>
        <w:autoSpaceDN w:val="0"/>
        <w:adjustRightInd w:val="0"/>
        <w:ind w:left="3600" w:firstLine="720"/>
      </w:pPr>
    </w:p>
    <w:p w:rsidR="000467AF" w:rsidRDefault="000467AF">
      <w:pPr>
        <w:spacing w:after="200" w:line="276" w:lineRule="auto"/>
        <w:rPr>
          <w:rFonts w:eastAsia="Courier New"/>
          <w:b/>
          <w:bCs/>
        </w:rPr>
        <w:sectPr w:rsidR="000467A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2"/>
          <w:cols w:space="720"/>
          <w:titlePg/>
          <w:docGrid w:linePitch="360"/>
        </w:sectPr>
      </w:pPr>
    </w:p>
    <w:p w:rsidR="00BE4FF0" w:rsidRDefault="000467AF" w:rsidP="000467AF">
      <w:pPr>
        <w:spacing w:after="200" w:line="276" w:lineRule="auto"/>
        <w:jc w:val="center"/>
        <w:rPr>
          <w:rFonts w:eastAsia="Courier New"/>
          <w:b/>
          <w:bCs/>
        </w:rPr>
      </w:pPr>
      <w:r>
        <w:rPr>
          <w:rFonts w:eastAsia="Courier New"/>
          <w:b/>
          <w:bCs/>
        </w:rPr>
        <w:lastRenderedPageBreak/>
        <w:t>TABLE OF CONTENTS</w:t>
      </w:r>
    </w:p>
    <w:p w:rsidR="000467AF" w:rsidRDefault="000467AF" w:rsidP="000467AF">
      <w:pPr>
        <w:spacing w:after="200" w:line="276" w:lineRule="auto"/>
        <w:jc w:val="center"/>
        <w:rPr>
          <w:rFonts w:eastAsia="Courier New"/>
          <w:b/>
          <w:bCs/>
        </w:rPr>
      </w:pPr>
      <w:r>
        <w:rPr>
          <w:rFonts w:eastAsia="Courier New"/>
          <w:b/>
          <w:bCs/>
        </w:rPr>
        <w:tab/>
      </w:r>
      <w:r>
        <w:rPr>
          <w:rFonts w:eastAsia="Courier New"/>
          <w:b/>
          <w:bCs/>
        </w:rPr>
        <w:tab/>
      </w:r>
      <w:r>
        <w:rPr>
          <w:rFonts w:eastAsia="Courier New"/>
          <w:b/>
          <w:bCs/>
        </w:rPr>
        <w:tab/>
      </w:r>
      <w:r>
        <w:rPr>
          <w:rFonts w:eastAsia="Courier New"/>
          <w:b/>
          <w:bCs/>
        </w:rPr>
        <w:tab/>
      </w:r>
      <w:r>
        <w:rPr>
          <w:rFonts w:eastAsia="Courier New"/>
          <w:b/>
          <w:bCs/>
        </w:rPr>
        <w:tab/>
      </w:r>
      <w:r>
        <w:rPr>
          <w:rFonts w:eastAsia="Courier New"/>
          <w:b/>
          <w:bCs/>
        </w:rPr>
        <w:tab/>
      </w:r>
      <w:r>
        <w:rPr>
          <w:rFonts w:eastAsia="Courier New"/>
          <w:b/>
          <w:bCs/>
        </w:rPr>
        <w:tab/>
      </w:r>
      <w:r>
        <w:rPr>
          <w:rFonts w:eastAsia="Courier New"/>
          <w:b/>
          <w:bCs/>
        </w:rPr>
        <w:tab/>
      </w:r>
      <w:r>
        <w:rPr>
          <w:rFonts w:eastAsia="Courier New"/>
          <w:b/>
          <w:bCs/>
        </w:rPr>
        <w:tab/>
      </w:r>
      <w:r w:rsidR="001A762C">
        <w:rPr>
          <w:rFonts w:eastAsia="Courier New"/>
          <w:b/>
          <w:bCs/>
        </w:rPr>
        <w:tab/>
      </w:r>
      <w:r w:rsidR="001A762C">
        <w:rPr>
          <w:rFonts w:eastAsia="Courier New"/>
          <w:b/>
          <w:bCs/>
        </w:rPr>
        <w:tab/>
      </w:r>
      <w:r>
        <w:rPr>
          <w:rFonts w:eastAsia="Courier New"/>
          <w:b/>
          <w:bCs/>
        </w:rPr>
        <w:t>PAGE</w:t>
      </w:r>
    </w:p>
    <w:p w:rsidR="00131377" w:rsidRDefault="00FF2C29">
      <w:pPr>
        <w:pStyle w:val="TOC1"/>
        <w:rPr>
          <w:rFonts w:asciiTheme="minorHAnsi" w:eastAsiaTheme="minorEastAsia" w:hAnsiTheme="minorHAnsi" w:cstheme="minorBidi"/>
          <w:noProof/>
          <w:sz w:val="22"/>
          <w:szCs w:val="22"/>
        </w:rPr>
      </w:pPr>
      <w:r>
        <w:rPr>
          <w:rFonts w:eastAsia="Courier New"/>
          <w:b/>
          <w:bCs/>
        </w:rPr>
        <w:fldChar w:fldCharType="begin"/>
      </w:r>
      <w:r w:rsidR="000467AF">
        <w:rPr>
          <w:rFonts w:eastAsia="Courier New"/>
          <w:b/>
          <w:bCs/>
        </w:rPr>
        <w:instrText xml:space="preserve"> TOC \o "1-2" \h \z \u </w:instrText>
      </w:r>
      <w:r>
        <w:rPr>
          <w:rFonts w:eastAsia="Courier New"/>
          <w:b/>
          <w:bCs/>
        </w:rPr>
        <w:fldChar w:fldCharType="separate"/>
      </w:r>
      <w:hyperlink w:anchor="_Toc449712051" w:history="1">
        <w:r w:rsidR="00131377" w:rsidRPr="00643C8D">
          <w:rPr>
            <w:rStyle w:val="Hyperlink"/>
            <w:noProof/>
          </w:rPr>
          <w:t>I.</w:t>
        </w:r>
        <w:r w:rsidR="00131377">
          <w:rPr>
            <w:rFonts w:asciiTheme="minorHAnsi" w:eastAsiaTheme="minorEastAsia" w:hAnsiTheme="minorHAnsi" w:cstheme="minorBidi"/>
            <w:noProof/>
            <w:sz w:val="22"/>
            <w:szCs w:val="22"/>
          </w:rPr>
          <w:tab/>
        </w:r>
        <w:r w:rsidR="00131377" w:rsidRPr="00643C8D">
          <w:rPr>
            <w:rStyle w:val="Hyperlink"/>
            <w:noProof/>
          </w:rPr>
          <w:t>INTRODUCTION</w:t>
        </w:r>
        <w:r w:rsidR="00131377">
          <w:rPr>
            <w:noProof/>
            <w:webHidden/>
          </w:rPr>
          <w:tab/>
        </w:r>
        <w:r w:rsidR="00131377">
          <w:rPr>
            <w:noProof/>
            <w:webHidden/>
          </w:rPr>
          <w:fldChar w:fldCharType="begin"/>
        </w:r>
        <w:r w:rsidR="00131377">
          <w:rPr>
            <w:noProof/>
            <w:webHidden/>
          </w:rPr>
          <w:instrText xml:space="preserve"> PAGEREF _Toc449712051 \h </w:instrText>
        </w:r>
        <w:r w:rsidR="00131377">
          <w:rPr>
            <w:noProof/>
            <w:webHidden/>
          </w:rPr>
        </w:r>
        <w:r w:rsidR="00131377">
          <w:rPr>
            <w:noProof/>
            <w:webHidden/>
          </w:rPr>
          <w:fldChar w:fldCharType="separate"/>
        </w:r>
        <w:r w:rsidR="00990D83">
          <w:rPr>
            <w:noProof/>
            <w:webHidden/>
          </w:rPr>
          <w:t>2</w:t>
        </w:r>
        <w:r w:rsidR="00131377">
          <w:rPr>
            <w:noProof/>
            <w:webHidden/>
          </w:rPr>
          <w:fldChar w:fldCharType="end"/>
        </w:r>
      </w:hyperlink>
    </w:p>
    <w:p w:rsidR="00131377" w:rsidRDefault="00491BD7">
      <w:pPr>
        <w:pStyle w:val="TOC1"/>
        <w:rPr>
          <w:rFonts w:asciiTheme="minorHAnsi" w:eastAsiaTheme="minorEastAsia" w:hAnsiTheme="minorHAnsi" w:cstheme="minorBidi"/>
          <w:noProof/>
          <w:sz w:val="22"/>
          <w:szCs w:val="22"/>
        </w:rPr>
      </w:pPr>
      <w:hyperlink w:anchor="_Toc449712052" w:history="1">
        <w:r w:rsidR="00131377" w:rsidRPr="00643C8D">
          <w:rPr>
            <w:rStyle w:val="Hyperlink"/>
            <w:noProof/>
          </w:rPr>
          <w:t>II.</w:t>
        </w:r>
        <w:r w:rsidR="00131377">
          <w:rPr>
            <w:rFonts w:asciiTheme="minorHAnsi" w:eastAsiaTheme="minorEastAsia" w:hAnsiTheme="minorHAnsi" w:cstheme="minorBidi"/>
            <w:noProof/>
            <w:sz w:val="22"/>
            <w:szCs w:val="22"/>
          </w:rPr>
          <w:tab/>
        </w:r>
        <w:r w:rsidR="00131377" w:rsidRPr="00643C8D">
          <w:rPr>
            <w:rStyle w:val="Hyperlink"/>
            <w:noProof/>
          </w:rPr>
          <w:t>RECOMMENDATIONS</w:t>
        </w:r>
        <w:r w:rsidR="00131377">
          <w:rPr>
            <w:noProof/>
            <w:webHidden/>
          </w:rPr>
          <w:tab/>
        </w:r>
        <w:r w:rsidR="00131377">
          <w:rPr>
            <w:noProof/>
            <w:webHidden/>
          </w:rPr>
          <w:fldChar w:fldCharType="begin"/>
        </w:r>
        <w:r w:rsidR="00131377">
          <w:rPr>
            <w:noProof/>
            <w:webHidden/>
          </w:rPr>
          <w:instrText xml:space="preserve"> PAGEREF _Toc449712052 \h </w:instrText>
        </w:r>
        <w:r w:rsidR="00131377">
          <w:rPr>
            <w:noProof/>
            <w:webHidden/>
          </w:rPr>
        </w:r>
        <w:r w:rsidR="00131377">
          <w:rPr>
            <w:noProof/>
            <w:webHidden/>
          </w:rPr>
          <w:fldChar w:fldCharType="separate"/>
        </w:r>
        <w:r w:rsidR="00990D83">
          <w:rPr>
            <w:noProof/>
            <w:webHidden/>
          </w:rPr>
          <w:t>4</w:t>
        </w:r>
        <w:r w:rsidR="00131377">
          <w:rPr>
            <w:noProof/>
            <w:webHidden/>
          </w:rPr>
          <w:fldChar w:fldCharType="end"/>
        </w:r>
      </w:hyperlink>
    </w:p>
    <w:p w:rsidR="00131377" w:rsidRDefault="00491BD7">
      <w:pPr>
        <w:pStyle w:val="TOC2"/>
        <w:tabs>
          <w:tab w:val="left" w:pos="1440"/>
        </w:tabs>
        <w:rPr>
          <w:rFonts w:asciiTheme="minorHAnsi" w:eastAsiaTheme="minorEastAsia" w:hAnsiTheme="minorHAnsi" w:cstheme="minorBidi"/>
          <w:noProof/>
          <w:sz w:val="22"/>
          <w:szCs w:val="22"/>
        </w:rPr>
      </w:pPr>
      <w:hyperlink w:anchor="_Toc449712053" w:history="1">
        <w:r w:rsidR="00131377" w:rsidRPr="00643C8D">
          <w:rPr>
            <w:rStyle w:val="Hyperlink"/>
            <w:noProof/>
          </w:rPr>
          <w:t>A.</w:t>
        </w:r>
        <w:r w:rsidR="00131377">
          <w:rPr>
            <w:rFonts w:asciiTheme="minorHAnsi" w:eastAsiaTheme="minorEastAsia" w:hAnsiTheme="minorHAnsi" w:cstheme="minorBidi"/>
            <w:noProof/>
            <w:sz w:val="22"/>
            <w:szCs w:val="22"/>
          </w:rPr>
          <w:tab/>
        </w:r>
        <w:r w:rsidR="00131377" w:rsidRPr="00643C8D">
          <w:rPr>
            <w:rStyle w:val="Hyperlink"/>
            <w:noProof/>
          </w:rPr>
          <w:t>DP&amp;L’s motion should be rejected as a matter of law based on recent Ohio Supreme Court precedent.</w:t>
        </w:r>
        <w:r w:rsidR="00131377">
          <w:rPr>
            <w:noProof/>
            <w:webHidden/>
          </w:rPr>
          <w:tab/>
        </w:r>
        <w:r w:rsidR="00131377">
          <w:rPr>
            <w:noProof/>
            <w:webHidden/>
          </w:rPr>
          <w:fldChar w:fldCharType="begin"/>
        </w:r>
        <w:r w:rsidR="00131377">
          <w:rPr>
            <w:noProof/>
            <w:webHidden/>
          </w:rPr>
          <w:instrText xml:space="preserve"> PAGEREF _Toc449712053 \h </w:instrText>
        </w:r>
        <w:r w:rsidR="00131377">
          <w:rPr>
            <w:noProof/>
            <w:webHidden/>
          </w:rPr>
        </w:r>
        <w:r w:rsidR="00131377">
          <w:rPr>
            <w:noProof/>
            <w:webHidden/>
          </w:rPr>
          <w:fldChar w:fldCharType="separate"/>
        </w:r>
        <w:r w:rsidR="00990D83">
          <w:rPr>
            <w:noProof/>
            <w:webHidden/>
          </w:rPr>
          <w:t>4</w:t>
        </w:r>
        <w:r w:rsidR="00131377">
          <w:rPr>
            <w:noProof/>
            <w:webHidden/>
          </w:rPr>
          <w:fldChar w:fldCharType="end"/>
        </w:r>
      </w:hyperlink>
    </w:p>
    <w:p w:rsidR="00131377" w:rsidRDefault="00491BD7">
      <w:pPr>
        <w:pStyle w:val="TOC2"/>
        <w:tabs>
          <w:tab w:val="left" w:pos="1440"/>
        </w:tabs>
        <w:rPr>
          <w:rFonts w:asciiTheme="minorHAnsi" w:eastAsiaTheme="minorEastAsia" w:hAnsiTheme="minorHAnsi" w:cstheme="minorBidi"/>
          <w:noProof/>
          <w:sz w:val="22"/>
          <w:szCs w:val="22"/>
        </w:rPr>
      </w:pPr>
      <w:hyperlink w:anchor="_Toc449712054" w:history="1">
        <w:r w:rsidR="00131377" w:rsidRPr="00643C8D">
          <w:rPr>
            <w:rStyle w:val="Hyperlink"/>
            <w:noProof/>
          </w:rPr>
          <w:t>B.</w:t>
        </w:r>
        <w:r w:rsidR="00131377">
          <w:rPr>
            <w:rFonts w:asciiTheme="minorHAnsi" w:eastAsiaTheme="minorEastAsia" w:hAnsiTheme="minorHAnsi" w:cstheme="minorBidi"/>
            <w:noProof/>
            <w:sz w:val="22"/>
            <w:szCs w:val="22"/>
          </w:rPr>
          <w:tab/>
        </w:r>
        <w:r w:rsidR="00131377" w:rsidRPr="00643C8D">
          <w:rPr>
            <w:rStyle w:val="Hyperlink"/>
            <w:noProof/>
          </w:rPr>
          <w:t xml:space="preserve">DP&amp;L’s motion should be rejected because it is procedurally </w:t>
        </w:r>
        <w:r w:rsidR="00131377">
          <w:rPr>
            <w:rStyle w:val="Hyperlink"/>
            <w:noProof/>
          </w:rPr>
          <w:br/>
        </w:r>
        <w:r w:rsidR="00131377" w:rsidRPr="00643C8D">
          <w:rPr>
            <w:rStyle w:val="Hyperlink"/>
            <w:noProof/>
          </w:rPr>
          <w:t>improper and is based on unsworn, uncross-examined, inadmissible testimony.</w:t>
        </w:r>
        <w:r w:rsidR="00131377">
          <w:rPr>
            <w:noProof/>
            <w:webHidden/>
          </w:rPr>
          <w:tab/>
        </w:r>
        <w:r w:rsidR="00131377">
          <w:rPr>
            <w:noProof/>
            <w:webHidden/>
          </w:rPr>
          <w:fldChar w:fldCharType="begin"/>
        </w:r>
        <w:r w:rsidR="00131377">
          <w:rPr>
            <w:noProof/>
            <w:webHidden/>
          </w:rPr>
          <w:instrText xml:space="preserve"> PAGEREF _Toc449712054 \h </w:instrText>
        </w:r>
        <w:r w:rsidR="00131377">
          <w:rPr>
            <w:noProof/>
            <w:webHidden/>
          </w:rPr>
        </w:r>
        <w:r w:rsidR="00131377">
          <w:rPr>
            <w:noProof/>
            <w:webHidden/>
          </w:rPr>
          <w:fldChar w:fldCharType="separate"/>
        </w:r>
        <w:r w:rsidR="00990D83">
          <w:rPr>
            <w:noProof/>
            <w:webHidden/>
          </w:rPr>
          <w:t>6</w:t>
        </w:r>
        <w:r w:rsidR="00131377">
          <w:rPr>
            <w:noProof/>
            <w:webHidden/>
          </w:rPr>
          <w:fldChar w:fldCharType="end"/>
        </w:r>
      </w:hyperlink>
    </w:p>
    <w:p w:rsidR="00131377" w:rsidRDefault="00491BD7">
      <w:pPr>
        <w:pStyle w:val="TOC2"/>
        <w:tabs>
          <w:tab w:val="left" w:pos="1440"/>
        </w:tabs>
        <w:rPr>
          <w:rFonts w:asciiTheme="minorHAnsi" w:eastAsiaTheme="minorEastAsia" w:hAnsiTheme="minorHAnsi" w:cstheme="minorBidi"/>
          <w:noProof/>
          <w:sz w:val="22"/>
          <w:szCs w:val="22"/>
        </w:rPr>
      </w:pPr>
      <w:hyperlink w:anchor="_Toc449712055" w:history="1">
        <w:r w:rsidR="00131377" w:rsidRPr="00643C8D">
          <w:rPr>
            <w:rStyle w:val="Hyperlink"/>
            <w:noProof/>
          </w:rPr>
          <w:t xml:space="preserve">C. </w:t>
        </w:r>
        <w:r w:rsidR="00131377">
          <w:rPr>
            <w:rFonts w:asciiTheme="minorHAnsi" w:eastAsiaTheme="minorEastAsia" w:hAnsiTheme="minorHAnsi" w:cstheme="minorBidi"/>
            <w:noProof/>
            <w:sz w:val="22"/>
            <w:szCs w:val="22"/>
          </w:rPr>
          <w:tab/>
        </w:r>
        <w:r w:rsidR="00131377" w:rsidRPr="00643C8D">
          <w:rPr>
            <w:rStyle w:val="Hyperlink"/>
            <w:noProof/>
          </w:rPr>
          <w:t xml:space="preserve">DP&amp;L has not shown that additional revenues need to be collected </w:t>
        </w:r>
        <w:r w:rsidR="00131377">
          <w:rPr>
            <w:rStyle w:val="Hyperlink"/>
            <w:noProof/>
          </w:rPr>
          <w:br/>
        </w:r>
        <w:r w:rsidR="00131377" w:rsidRPr="00643C8D">
          <w:rPr>
            <w:rStyle w:val="Hyperlink"/>
            <w:noProof/>
          </w:rPr>
          <w:t>from customers so that it can maintain its financial integrity.</w:t>
        </w:r>
        <w:r w:rsidR="00131377">
          <w:rPr>
            <w:noProof/>
            <w:webHidden/>
          </w:rPr>
          <w:tab/>
        </w:r>
        <w:r w:rsidR="00131377">
          <w:rPr>
            <w:noProof/>
            <w:webHidden/>
          </w:rPr>
          <w:fldChar w:fldCharType="begin"/>
        </w:r>
        <w:r w:rsidR="00131377">
          <w:rPr>
            <w:noProof/>
            <w:webHidden/>
          </w:rPr>
          <w:instrText xml:space="preserve"> PAGEREF _Toc449712055 \h </w:instrText>
        </w:r>
        <w:r w:rsidR="00131377">
          <w:rPr>
            <w:noProof/>
            <w:webHidden/>
          </w:rPr>
        </w:r>
        <w:r w:rsidR="00131377">
          <w:rPr>
            <w:noProof/>
            <w:webHidden/>
          </w:rPr>
          <w:fldChar w:fldCharType="separate"/>
        </w:r>
        <w:r w:rsidR="00990D83">
          <w:rPr>
            <w:noProof/>
            <w:webHidden/>
          </w:rPr>
          <w:t>7</w:t>
        </w:r>
        <w:r w:rsidR="00131377">
          <w:rPr>
            <w:noProof/>
            <w:webHidden/>
          </w:rPr>
          <w:fldChar w:fldCharType="end"/>
        </w:r>
      </w:hyperlink>
    </w:p>
    <w:p w:rsidR="00131377" w:rsidRDefault="00491BD7">
      <w:pPr>
        <w:pStyle w:val="TOC2"/>
        <w:tabs>
          <w:tab w:val="left" w:pos="1440"/>
        </w:tabs>
        <w:rPr>
          <w:rFonts w:asciiTheme="minorHAnsi" w:eastAsiaTheme="minorEastAsia" w:hAnsiTheme="minorHAnsi" w:cstheme="minorBidi"/>
          <w:noProof/>
          <w:sz w:val="22"/>
          <w:szCs w:val="22"/>
        </w:rPr>
      </w:pPr>
      <w:hyperlink w:anchor="_Toc449712056" w:history="1">
        <w:r w:rsidR="00131377" w:rsidRPr="00643C8D">
          <w:rPr>
            <w:rStyle w:val="Hyperlink"/>
            <w:noProof/>
          </w:rPr>
          <w:t xml:space="preserve">D. </w:t>
        </w:r>
        <w:r w:rsidR="00131377">
          <w:rPr>
            <w:rFonts w:asciiTheme="minorHAnsi" w:eastAsiaTheme="minorEastAsia" w:hAnsiTheme="minorHAnsi" w:cstheme="minorBidi"/>
            <w:noProof/>
            <w:sz w:val="22"/>
            <w:szCs w:val="22"/>
          </w:rPr>
          <w:tab/>
        </w:r>
        <w:r w:rsidR="00131377" w:rsidRPr="00643C8D">
          <w:rPr>
            <w:rStyle w:val="Hyperlink"/>
            <w:noProof/>
          </w:rPr>
          <w:t xml:space="preserve">DP&amp;L has not satisfied the second condition of fully exhausting </w:t>
        </w:r>
        <w:r w:rsidR="00131377">
          <w:rPr>
            <w:rStyle w:val="Hyperlink"/>
            <w:noProof/>
          </w:rPr>
          <w:br/>
        </w:r>
        <w:r w:rsidR="00131377" w:rsidRPr="00643C8D">
          <w:rPr>
            <w:rStyle w:val="Hyperlink"/>
            <w:noProof/>
          </w:rPr>
          <w:t xml:space="preserve">other opportunities for rate relief before charging consumers for the </w:t>
        </w:r>
        <w:r w:rsidR="00131377">
          <w:rPr>
            <w:rStyle w:val="Hyperlink"/>
            <w:noProof/>
          </w:rPr>
          <w:br/>
        </w:r>
        <w:r w:rsidR="00131377" w:rsidRPr="00643C8D">
          <w:rPr>
            <w:rStyle w:val="Hyperlink"/>
            <w:noProof/>
          </w:rPr>
          <w:t>SSR-E.</w:t>
        </w:r>
        <w:r w:rsidR="00131377">
          <w:rPr>
            <w:noProof/>
            <w:webHidden/>
          </w:rPr>
          <w:tab/>
        </w:r>
        <w:r w:rsidR="00131377">
          <w:rPr>
            <w:noProof/>
            <w:webHidden/>
          </w:rPr>
          <w:fldChar w:fldCharType="begin"/>
        </w:r>
        <w:r w:rsidR="00131377">
          <w:rPr>
            <w:noProof/>
            <w:webHidden/>
          </w:rPr>
          <w:instrText xml:space="preserve"> PAGEREF _Toc449712056 \h </w:instrText>
        </w:r>
        <w:r w:rsidR="00131377">
          <w:rPr>
            <w:noProof/>
            <w:webHidden/>
          </w:rPr>
        </w:r>
        <w:r w:rsidR="00131377">
          <w:rPr>
            <w:noProof/>
            <w:webHidden/>
          </w:rPr>
          <w:fldChar w:fldCharType="separate"/>
        </w:r>
        <w:r w:rsidR="00990D83">
          <w:rPr>
            <w:noProof/>
            <w:webHidden/>
          </w:rPr>
          <w:t>13</w:t>
        </w:r>
        <w:r w:rsidR="00131377">
          <w:rPr>
            <w:noProof/>
            <w:webHidden/>
          </w:rPr>
          <w:fldChar w:fldCharType="end"/>
        </w:r>
      </w:hyperlink>
    </w:p>
    <w:p w:rsidR="00131377" w:rsidRDefault="00491BD7">
      <w:pPr>
        <w:pStyle w:val="TOC2"/>
        <w:tabs>
          <w:tab w:val="left" w:pos="1440"/>
        </w:tabs>
        <w:rPr>
          <w:rFonts w:asciiTheme="minorHAnsi" w:eastAsiaTheme="minorEastAsia" w:hAnsiTheme="minorHAnsi" w:cstheme="minorBidi"/>
          <w:noProof/>
          <w:sz w:val="22"/>
          <w:szCs w:val="22"/>
        </w:rPr>
      </w:pPr>
      <w:hyperlink w:anchor="_Toc449712057" w:history="1">
        <w:r w:rsidR="00131377" w:rsidRPr="00643C8D">
          <w:rPr>
            <w:rStyle w:val="Hyperlink"/>
            <w:noProof/>
          </w:rPr>
          <w:t xml:space="preserve">E. </w:t>
        </w:r>
        <w:r w:rsidR="00131377">
          <w:rPr>
            <w:rFonts w:asciiTheme="minorHAnsi" w:eastAsiaTheme="minorEastAsia" w:hAnsiTheme="minorHAnsi" w:cstheme="minorBidi"/>
            <w:noProof/>
            <w:sz w:val="22"/>
            <w:szCs w:val="22"/>
          </w:rPr>
          <w:tab/>
        </w:r>
        <w:r w:rsidR="00131377" w:rsidRPr="00643C8D">
          <w:rPr>
            <w:rStyle w:val="Hyperlink"/>
            <w:noProof/>
          </w:rPr>
          <w:t>DP&amp;L has not satisfied the fourth condition precedent to file an application to modernize its electric distribution system for consumers.</w:t>
        </w:r>
        <w:r w:rsidR="00131377">
          <w:rPr>
            <w:noProof/>
            <w:webHidden/>
          </w:rPr>
          <w:tab/>
        </w:r>
        <w:r w:rsidR="00131377">
          <w:rPr>
            <w:noProof/>
            <w:webHidden/>
          </w:rPr>
          <w:fldChar w:fldCharType="begin"/>
        </w:r>
        <w:r w:rsidR="00131377">
          <w:rPr>
            <w:noProof/>
            <w:webHidden/>
          </w:rPr>
          <w:instrText xml:space="preserve"> PAGEREF _Toc449712057 \h </w:instrText>
        </w:r>
        <w:r w:rsidR="00131377">
          <w:rPr>
            <w:noProof/>
            <w:webHidden/>
          </w:rPr>
        </w:r>
        <w:r w:rsidR="00131377">
          <w:rPr>
            <w:noProof/>
            <w:webHidden/>
          </w:rPr>
          <w:fldChar w:fldCharType="separate"/>
        </w:r>
        <w:r w:rsidR="00990D83">
          <w:rPr>
            <w:noProof/>
            <w:webHidden/>
          </w:rPr>
          <w:t>15</w:t>
        </w:r>
        <w:r w:rsidR="00131377">
          <w:rPr>
            <w:noProof/>
            <w:webHidden/>
          </w:rPr>
          <w:fldChar w:fldCharType="end"/>
        </w:r>
      </w:hyperlink>
    </w:p>
    <w:p w:rsidR="00131377" w:rsidRDefault="00491BD7">
      <w:pPr>
        <w:pStyle w:val="TOC2"/>
        <w:tabs>
          <w:tab w:val="left" w:pos="1440"/>
        </w:tabs>
        <w:rPr>
          <w:rFonts w:asciiTheme="minorHAnsi" w:eastAsiaTheme="minorEastAsia" w:hAnsiTheme="minorHAnsi" w:cstheme="minorBidi"/>
          <w:noProof/>
          <w:sz w:val="22"/>
          <w:szCs w:val="22"/>
        </w:rPr>
      </w:pPr>
      <w:hyperlink w:anchor="_Toc449712058" w:history="1">
        <w:r w:rsidR="00131377" w:rsidRPr="00643C8D">
          <w:rPr>
            <w:rStyle w:val="Hyperlink"/>
            <w:noProof/>
          </w:rPr>
          <w:t xml:space="preserve">F. </w:t>
        </w:r>
        <w:r w:rsidR="00131377">
          <w:rPr>
            <w:rFonts w:asciiTheme="minorHAnsi" w:eastAsiaTheme="minorEastAsia" w:hAnsiTheme="minorHAnsi" w:cstheme="minorBidi"/>
            <w:noProof/>
            <w:sz w:val="22"/>
            <w:szCs w:val="22"/>
          </w:rPr>
          <w:tab/>
        </w:r>
        <w:r w:rsidR="00131377" w:rsidRPr="00643C8D">
          <w:rPr>
            <w:rStyle w:val="Hyperlink"/>
            <w:noProof/>
          </w:rPr>
          <w:t>DP&amp;L has not satisfied the fifth condition precedent to modernize its billing system for consumers.</w:t>
        </w:r>
        <w:r w:rsidR="00131377">
          <w:rPr>
            <w:noProof/>
            <w:webHidden/>
          </w:rPr>
          <w:tab/>
        </w:r>
        <w:r w:rsidR="00131377">
          <w:rPr>
            <w:noProof/>
            <w:webHidden/>
          </w:rPr>
          <w:fldChar w:fldCharType="begin"/>
        </w:r>
        <w:r w:rsidR="00131377">
          <w:rPr>
            <w:noProof/>
            <w:webHidden/>
          </w:rPr>
          <w:instrText xml:space="preserve"> PAGEREF _Toc449712058 \h </w:instrText>
        </w:r>
        <w:r w:rsidR="00131377">
          <w:rPr>
            <w:noProof/>
            <w:webHidden/>
          </w:rPr>
        </w:r>
        <w:r w:rsidR="00131377">
          <w:rPr>
            <w:noProof/>
            <w:webHidden/>
          </w:rPr>
          <w:fldChar w:fldCharType="separate"/>
        </w:r>
        <w:r w:rsidR="00990D83">
          <w:rPr>
            <w:noProof/>
            <w:webHidden/>
          </w:rPr>
          <w:t>15</w:t>
        </w:r>
        <w:r w:rsidR="00131377">
          <w:rPr>
            <w:noProof/>
            <w:webHidden/>
          </w:rPr>
          <w:fldChar w:fldCharType="end"/>
        </w:r>
      </w:hyperlink>
    </w:p>
    <w:p w:rsidR="00131377" w:rsidRDefault="00491BD7">
      <w:pPr>
        <w:pStyle w:val="TOC2"/>
        <w:tabs>
          <w:tab w:val="left" w:pos="1440"/>
        </w:tabs>
        <w:rPr>
          <w:rFonts w:asciiTheme="minorHAnsi" w:eastAsiaTheme="minorEastAsia" w:hAnsiTheme="minorHAnsi" w:cstheme="minorBidi"/>
          <w:noProof/>
          <w:sz w:val="22"/>
          <w:szCs w:val="22"/>
        </w:rPr>
      </w:pPr>
      <w:hyperlink w:anchor="_Toc449712059" w:history="1">
        <w:r w:rsidR="00131377" w:rsidRPr="00643C8D">
          <w:rPr>
            <w:rStyle w:val="Hyperlink"/>
            <w:noProof/>
          </w:rPr>
          <w:t xml:space="preserve">G. </w:t>
        </w:r>
        <w:r w:rsidR="00131377">
          <w:rPr>
            <w:rFonts w:asciiTheme="minorHAnsi" w:eastAsiaTheme="minorEastAsia" w:hAnsiTheme="minorHAnsi" w:cstheme="minorBidi"/>
            <w:noProof/>
            <w:sz w:val="22"/>
            <w:szCs w:val="22"/>
          </w:rPr>
          <w:tab/>
        </w:r>
        <w:r w:rsidR="00131377" w:rsidRPr="00643C8D">
          <w:rPr>
            <w:rStyle w:val="Hyperlink"/>
            <w:noProof/>
          </w:rPr>
          <w:t>Substantial compliance with the PUCO’s conditions precedent is not sufficient for PUCO approval.</w:t>
        </w:r>
        <w:r w:rsidR="00131377">
          <w:rPr>
            <w:noProof/>
            <w:webHidden/>
          </w:rPr>
          <w:tab/>
        </w:r>
        <w:r w:rsidR="00131377">
          <w:rPr>
            <w:noProof/>
            <w:webHidden/>
          </w:rPr>
          <w:fldChar w:fldCharType="begin"/>
        </w:r>
        <w:r w:rsidR="00131377">
          <w:rPr>
            <w:noProof/>
            <w:webHidden/>
          </w:rPr>
          <w:instrText xml:space="preserve"> PAGEREF _Toc449712059 \h </w:instrText>
        </w:r>
        <w:r w:rsidR="00131377">
          <w:rPr>
            <w:noProof/>
            <w:webHidden/>
          </w:rPr>
        </w:r>
        <w:r w:rsidR="00131377">
          <w:rPr>
            <w:noProof/>
            <w:webHidden/>
          </w:rPr>
          <w:fldChar w:fldCharType="separate"/>
        </w:r>
        <w:r w:rsidR="00990D83">
          <w:rPr>
            <w:noProof/>
            <w:webHidden/>
          </w:rPr>
          <w:t>16</w:t>
        </w:r>
        <w:r w:rsidR="00131377">
          <w:rPr>
            <w:noProof/>
            <w:webHidden/>
          </w:rPr>
          <w:fldChar w:fldCharType="end"/>
        </w:r>
      </w:hyperlink>
    </w:p>
    <w:p w:rsidR="00131377" w:rsidRDefault="00491BD7">
      <w:pPr>
        <w:pStyle w:val="TOC1"/>
        <w:rPr>
          <w:rFonts w:asciiTheme="minorHAnsi" w:eastAsiaTheme="minorEastAsia" w:hAnsiTheme="minorHAnsi" w:cstheme="minorBidi"/>
          <w:noProof/>
          <w:sz w:val="22"/>
          <w:szCs w:val="22"/>
        </w:rPr>
      </w:pPr>
      <w:hyperlink w:anchor="_Toc449712060" w:history="1">
        <w:r w:rsidR="00131377" w:rsidRPr="00643C8D">
          <w:rPr>
            <w:rStyle w:val="Hyperlink"/>
            <w:noProof/>
          </w:rPr>
          <w:t>III.</w:t>
        </w:r>
        <w:r w:rsidR="00131377">
          <w:rPr>
            <w:rFonts w:asciiTheme="minorHAnsi" w:eastAsiaTheme="minorEastAsia" w:hAnsiTheme="minorHAnsi" w:cstheme="minorBidi"/>
            <w:noProof/>
            <w:sz w:val="22"/>
            <w:szCs w:val="22"/>
          </w:rPr>
          <w:tab/>
        </w:r>
        <w:r w:rsidR="00131377" w:rsidRPr="00643C8D">
          <w:rPr>
            <w:rStyle w:val="Hyperlink"/>
            <w:noProof/>
          </w:rPr>
          <w:t>CONCLUSION</w:t>
        </w:r>
        <w:r w:rsidR="00131377">
          <w:rPr>
            <w:noProof/>
            <w:webHidden/>
          </w:rPr>
          <w:tab/>
        </w:r>
        <w:r w:rsidR="00131377">
          <w:rPr>
            <w:noProof/>
            <w:webHidden/>
          </w:rPr>
          <w:fldChar w:fldCharType="begin"/>
        </w:r>
        <w:r w:rsidR="00131377">
          <w:rPr>
            <w:noProof/>
            <w:webHidden/>
          </w:rPr>
          <w:instrText xml:space="preserve"> PAGEREF _Toc449712060 \h </w:instrText>
        </w:r>
        <w:r w:rsidR="00131377">
          <w:rPr>
            <w:noProof/>
            <w:webHidden/>
          </w:rPr>
        </w:r>
        <w:r w:rsidR="00131377">
          <w:rPr>
            <w:noProof/>
            <w:webHidden/>
          </w:rPr>
          <w:fldChar w:fldCharType="separate"/>
        </w:r>
        <w:r w:rsidR="00990D83">
          <w:rPr>
            <w:noProof/>
            <w:webHidden/>
          </w:rPr>
          <w:t>20</w:t>
        </w:r>
        <w:r w:rsidR="00131377">
          <w:rPr>
            <w:noProof/>
            <w:webHidden/>
          </w:rPr>
          <w:fldChar w:fldCharType="end"/>
        </w:r>
      </w:hyperlink>
    </w:p>
    <w:p w:rsidR="000467AF" w:rsidRDefault="00FF2C29" w:rsidP="000467AF">
      <w:pPr>
        <w:spacing w:after="200" w:line="276" w:lineRule="auto"/>
        <w:jc w:val="center"/>
        <w:rPr>
          <w:rFonts w:eastAsia="Courier New"/>
          <w:b/>
          <w:bCs/>
        </w:rPr>
        <w:sectPr w:rsidR="000467AF" w:rsidSect="007829BC">
          <w:headerReference w:type="first" r:id="rId16"/>
          <w:footerReference w:type="first" r:id="rId17"/>
          <w:pgSz w:w="12240" w:h="15840"/>
          <w:pgMar w:top="1440" w:right="1800" w:bottom="1440" w:left="1800" w:header="720" w:footer="720" w:gutter="0"/>
          <w:pgNumType w:fmt="lowerRoman" w:start="1"/>
          <w:cols w:space="720"/>
          <w:titlePg/>
          <w:docGrid w:linePitch="360"/>
        </w:sectPr>
      </w:pPr>
      <w:r>
        <w:rPr>
          <w:rFonts w:eastAsia="Courier New"/>
          <w:b/>
          <w:bCs/>
        </w:rPr>
        <w:fldChar w:fldCharType="end"/>
      </w:r>
    </w:p>
    <w:p w:rsidR="004D306D" w:rsidRPr="00145FEA" w:rsidRDefault="004D306D" w:rsidP="004D306D">
      <w:pPr>
        <w:pStyle w:val="HTMLPreformatted"/>
        <w:jc w:val="center"/>
        <w:rPr>
          <w:rFonts w:ascii="Times New Roman" w:hAnsi="Times New Roman" w:cs="Times New Roman"/>
          <w:b/>
          <w:bCs/>
          <w:sz w:val="24"/>
          <w:szCs w:val="24"/>
        </w:rPr>
      </w:pPr>
      <w:r w:rsidRPr="00145FEA">
        <w:rPr>
          <w:rFonts w:ascii="Times New Roman" w:hAnsi="Times New Roman" w:cs="Times New Roman"/>
          <w:b/>
          <w:bCs/>
          <w:sz w:val="24"/>
          <w:szCs w:val="24"/>
        </w:rPr>
        <w:lastRenderedPageBreak/>
        <w:t>BEFORE</w:t>
      </w:r>
    </w:p>
    <w:p w:rsidR="004D306D" w:rsidRPr="00145FEA" w:rsidRDefault="004D306D" w:rsidP="004D306D">
      <w:pPr>
        <w:pStyle w:val="HTMLPreformatted"/>
        <w:jc w:val="center"/>
        <w:rPr>
          <w:rFonts w:ascii="Times New Roman" w:hAnsi="Times New Roman" w:cs="Times New Roman"/>
          <w:sz w:val="24"/>
          <w:szCs w:val="24"/>
        </w:rPr>
      </w:pPr>
      <w:r w:rsidRPr="00145FEA">
        <w:rPr>
          <w:rFonts w:ascii="Times New Roman" w:hAnsi="Times New Roman" w:cs="Times New Roman"/>
          <w:b/>
          <w:bCs/>
          <w:sz w:val="24"/>
          <w:szCs w:val="24"/>
        </w:rPr>
        <w:t>THE PUBLIC UTILITIES COMMISSION OF OHIO</w:t>
      </w:r>
    </w:p>
    <w:p w:rsidR="004D306D" w:rsidRDefault="004D306D" w:rsidP="004D306D">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192DDF" w:rsidRPr="0066675A" w:rsidTr="00645D47">
        <w:trPr>
          <w:trHeight w:val="807"/>
        </w:trPr>
        <w:tc>
          <w:tcPr>
            <w:tcW w:w="4332" w:type="dxa"/>
            <w:shd w:val="clear" w:color="auto" w:fill="auto"/>
          </w:tcPr>
          <w:p w:rsidR="00192DDF" w:rsidRPr="00845F78" w:rsidRDefault="00192DDF" w:rsidP="00322BEB">
            <w:pPr>
              <w:autoSpaceDE w:val="0"/>
              <w:autoSpaceDN w:val="0"/>
              <w:adjustRightInd w:val="0"/>
            </w:pPr>
            <w:r w:rsidRPr="00845F78">
              <w:t xml:space="preserve">In the Matter of the Application of </w:t>
            </w:r>
          </w:p>
          <w:p w:rsidR="00192DDF" w:rsidRPr="00845F78" w:rsidRDefault="00192DDF" w:rsidP="00322BEB">
            <w:pPr>
              <w:autoSpaceDE w:val="0"/>
              <w:autoSpaceDN w:val="0"/>
              <w:adjustRightInd w:val="0"/>
            </w:pPr>
            <w:r w:rsidRPr="00845F78">
              <w:t>the Dayton Power and Light Company for</w:t>
            </w:r>
          </w:p>
          <w:p w:rsidR="00192DDF" w:rsidRPr="00845F78" w:rsidRDefault="00192DDF" w:rsidP="00322BEB">
            <w:pPr>
              <w:autoSpaceDE w:val="0"/>
              <w:autoSpaceDN w:val="0"/>
              <w:adjustRightInd w:val="0"/>
            </w:pPr>
            <w:r w:rsidRPr="00845F78">
              <w:t>Approval of its Electric Security Plan</w:t>
            </w:r>
          </w:p>
          <w:p w:rsidR="00192DDF" w:rsidRPr="00845F78" w:rsidRDefault="00192DDF" w:rsidP="00322BEB">
            <w:pPr>
              <w:autoSpaceDE w:val="0"/>
              <w:autoSpaceDN w:val="0"/>
              <w:adjustRightInd w:val="0"/>
            </w:pPr>
          </w:p>
          <w:p w:rsidR="00192DDF" w:rsidRPr="00845F78" w:rsidRDefault="00192DDF" w:rsidP="00322BEB">
            <w:pPr>
              <w:autoSpaceDE w:val="0"/>
              <w:autoSpaceDN w:val="0"/>
              <w:adjustRightInd w:val="0"/>
            </w:pPr>
            <w:r w:rsidRPr="00845F78">
              <w:t>In the Matter of the Application of the Dayton Power and Light Company for Approval of Revised Tariffs</w:t>
            </w:r>
          </w:p>
          <w:p w:rsidR="00192DDF" w:rsidRPr="00845F78" w:rsidRDefault="00192DDF" w:rsidP="00322BEB">
            <w:pPr>
              <w:autoSpaceDE w:val="0"/>
              <w:autoSpaceDN w:val="0"/>
              <w:adjustRightInd w:val="0"/>
            </w:pPr>
          </w:p>
          <w:p w:rsidR="00192DDF" w:rsidRPr="00845F78" w:rsidRDefault="00192DDF" w:rsidP="00322BEB">
            <w:pPr>
              <w:autoSpaceDE w:val="0"/>
              <w:autoSpaceDN w:val="0"/>
              <w:adjustRightInd w:val="0"/>
            </w:pPr>
            <w:r w:rsidRPr="00845F78">
              <w:t>In the Matter of the Application of the Dayton Power and Light Company for Approval of Certain Accounting Authority Pursuant to Ohio Rev. Code § 4905.13</w:t>
            </w:r>
          </w:p>
          <w:p w:rsidR="00192DDF" w:rsidRPr="00845F78" w:rsidRDefault="00192DDF" w:rsidP="00322BEB">
            <w:pPr>
              <w:pStyle w:val="HTMLPreformatted"/>
              <w:rPr>
                <w:rFonts w:ascii="Times New Roman" w:hAnsi="Times New Roman" w:cs="Times New Roman"/>
                <w:sz w:val="24"/>
                <w:szCs w:val="24"/>
              </w:rPr>
            </w:pPr>
          </w:p>
        </w:tc>
        <w:tc>
          <w:tcPr>
            <w:tcW w:w="360" w:type="dxa"/>
            <w:shd w:val="clear" w:color="auto" w:fill="auto"/>
          </w:tcPr>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w:t>
            </w:r>
          </w:p>
        </w:tc>
        <w:tc>
          <w:tcPr>
            <w:tcW w:w="4400" w:type="dxa"/>
            <w:shd w:val="clear" w:color="auto" w:fill="auto"/>
          </w:tcPr>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Case No. 16-0395-EL-SSO</w:t>
            </w: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Case No. 16-0396-EL-ATA</w:t>
            </w: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r w:rsidRPr="00845F78">
              <w:rPr>
                <w:rFonts w:ascii="Times New Roman" w:hAnsi="Times New Roman" w:cs="Times New Roman"/>
                <w:sz w:val="24"/>
                <w:szCs w:val="24"/>
              </w:rPr>
              <w:t>Case No. 16-0397-EL-AAM</w:t>
            </w:r>
          </w:p>
          <w:p w:rsidR="00192DDF" w:rsidRPr="00845F78" w:rsidRDefault="00192DDF" w:rsidP="00322BEB">
            <w:pPr>
              <w:pStyle w:val="HTMLPreformatted"/>
              <w:rPr>
                <w:rFonts w:ascii="Times New Roman" w:hAnsi="Times New Roman" w:cs="Times New Roman"/>
                <w:sz w:val="24"/>
                <w:szCs w:val="24"/>
              </w:rPr>
            </w:pPr>
          </w:p>
          <w:p w:rsidR="00192DDF" w:rsidRPr="00845F78" w:rsidRDefault="00192DDF" w:rsidP="00322BEB">
            <w:pPr>
              <w:pStyle w:val="HTMLPreformatted"/>
              <w:rPr>
                <w:rFonts w:ascii="Times New Roman" w:hAnsi="Times New Roman" w:cs="Times New Roman"/>
                <w:sz w:val="24"/>
                <w:szCs w:val="24"/>
              </w:rPr>
            </w:pPr>
          </w:p>
        </w:tc>
      </w:tr>
    </w:tbl>
    <w:p w:rsidR="00801BD2" w:rsidRPr="0066675A" w:rsidRDefault="00801BD2" w:rsidP="00801BD2">
      <w:pPr>
        <w:pStyle w:val="HTMLPreformatted"/>
        <w:rPr>
          <w:rFonts w:ascii="Times New Roman" w:hAnsi="Times New Roman" w:cs="Times New Roman"/>
          <w:sz w:val="24"/>
          <w:szCs w:val="24"/>
        </w:rPr>
      </w:pPr>
    </w:p>
    <w:p w:rsidR="004D306D" w:rsidRPr="008408B9" w:rsidRDefault="004D306D" w:rsidP="004D306D">
      <w:pPr>
        <w:pBdr>
          <w:top w:val="single" w:sz="12" w:space="1" w:color="auto"/>
        </w:pBdr>
        <w:tabs>
          <w:tab w:val="left" w:pos="-720"/>
        </w:tabs>
        <w:suppressAutoHyphens/>
        <w:jc w:val="center"/>
        <w:rPr>
          <w:b/>
          <w:spacing w:val="-3"/>
        </w:rPr>
      </w:pPr>
    </w:p>
    <w:p w:rsidR="009073C3" w:rsidRDefault="00DE33CD" w:rsidP="00192DDF">
      <w:pPr>
        <w:jc w:val="center"/>
        <w:rPr>
          <w:b/>
          <w:szCs w:val="20"/>
        </w:rPr>
      </w:pPr>
      <w:r>
        <w:rPr>
          <w:b/>
          <w:szCs w:val="20"/>
        </w:rPr>
        <w:t>MEMORANDUM CONTRA</w:t>
      </w:r>
      <w:r w:rsidR="001F0800">
        <w:rPr>
          <w:b/>
          <w:szCs w:val="20"/>
        </w:rPr>
        <w:t xml:space="preserve"> </w:t>
      </w:r>
      <w:r w:rsidR="005C043A">
        <w:rPr>
          <w:b/>
          <w:szCs w:val="20"/>
        </w:rPr>
        <w:t xml:space="preserve">THE </w:t>
      </w:r>
      <w:r w:rsidR="00192DDF">
        <w:rPr>
          <w:b/>
          <w:szCs w:val="20"/>
        </w:rPr>
        <w:t>DAYTON POWER &amp; LIGHT</w:t>
      </w:r>
      <w:r w:rsidR="005C043A">
        <w:rPr>
          <w:b/>
          <w:szCs w:val="20"/>
        </w:rPr>
        <w:t xml:space="preserve"> COMPANY</w:t>
      </w:r>
      <w:r w:rsidR="001F0800">
        <w:rPr>
          <w:b/>
          <w:szCs w:val="20"/>
        </w:rPr>
        <w:t xml:space="preserve">’S </w:t>
      </w:r>
      <w:r w:rsidR="00EF60BC">
        <w:rPr>
          <w:b/>
          <w:szCs w:val="20"/>
        </w:rPr>
        <w:t xml:space="preserve">MOTION TO </w:t>
      </w:r>
      <w:r w:rsidR="00C92722">
        <w:rPr>
          <w:b/>
          <w:szCs w:val="20"/>
        </w:rPr>
        <w:t>IMPLEMENT THE SSR-E EXTENSION RIDER</w:t>
      </w:r>
    </w:p>
    <w:p w:rsidR="004D306D" w:rsidRDefault="004D306D" w:rsidP="00192DDF">
      <w:pPr>
        <w:jc w:val="center"/>
        <w:rPr>
          <w:b/>
          <w:szCs w:val="20"/>
        </w:rPr>
      </w:pPr>
      <w:r>
        <w:rPr>
          <w:b/>
          <w:szCs w:val="20"/>
        </w:rPr>
        <w:t>BY</w:t>
      </w:r>
    </w:p>
    <w:p w:rsidR="004D306D" w:rsidRDefault="004D306D" w:rsidP="004D306D">
      <w:pPr>
        <w:jc w:val="center"/>
        <w:rPr>
          <w:b/>
          <w:szCs w:val="20"/>
        </w:rPr>
      </w:pPr>
      <w:r>
        <w:rPr>
          <w:b/>
          <w:szCs w:val="20"/>
        </w:rPr>
        <w:t>THE OFFICE OF THE OHIO CONSUMERS’ COUNSEL</w:t>
      </w:r>
    </w:p>
    <w:p w:rsidR="004D306D" w:rsidRPr="008408B9" w:rsidRDefault="004D306D" w:rsidP="004D306D">
      <w:pPr>
        <w:pBdr>
          <w:bottom w:val="single" w:sz="12" w:space="1" w:color="auto"/>
        </w:pBdr>
        <w:tabs>
          <w:tab w:val="left" w:pos="-720"/>
        </w:tabs>
        <w:suppressAutoHyphens/>
        <w:jc w:val="center"/>
        <w:rPr>
          <w:b/>
          <w:spacing w:val="-3"/>
        </w:rPr>
      </w:pPr>
    </w:p>
    <w:p w:rsidR="004D306D" w:rsidRPr="008408B9" w:rsidRDefault="004D306D" w:rsidP="004D306D">
      <w:pPr>
        <w:tabs>
          <w:tab w:val="left" w:pos="-720"/>
        </w:tabs>
        <w:suppressAutoHyphens/>
        <w:jc w:val="both"/>
        <w:rPr>
          <w:bCs/>
          <w:spacing w:val="-3"/>
        </w:rPr>
      </w:pPr>
    </w:p>
    <w:p w:rsidR="001C5FC9" w:rsidRDefault="007A2576" w:rsidP="0089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Cs w:val="20"/>
        </w:rPr>
      </w:pPr>
      <w:r>
        <w:rPr>
          <w:szCs w:val="20"/>
        </w:rPr>
        <w:t xml:space="preserve">Since 2014, </w:t>
      </w:r>
      <w:r w:rsidR="003050AC">
        <w:rPr>
          <w:szCs w:val="20"/>
        </w:rPr>
        <w:t>The Dayton Power and Light Company (“</w:t>
      </w:r>
      <w:r>
        <w:rPr>
          <w:szCs w:val="20"/>
        </w:rPr>
        <w:t>DP&amp;L</w:t>
      </w:r>
      <w:r w:rsidR="003050AC">
        <w:rPr>
          <w:szCs w:val="20"/>
        </w:rPr>
        <w:t>”)</w:t>
      </w:r>
      <w:r>
        <w:rPr>
          <w:szCs w:val="20"/>
        </w:rPr>
        <w:t xml:space="preserve"> has collected </w:t>
      </w:r>
      <w:r w:rsidR="001F3E1A">
        <w:rPr>
          <w:szCs w:val="20"/>
        </w:rPr>
        <w:t xml:space="preserve">approximately </w:t>
      </w:r>
      <w:r>
        <w:rPr>
          <w:szCs w:val="20"/>
        </w:rPr>
        <w:t>$2</w:t>
      </w:r>
      <w:r w:rsidR="003050AC">
        <w:rPr>
          <w:szCs w:val="20"/>
        </w:rPr>
        <w:t>48</w:t>
      </w:r>
      <w:r>
        <w:rPr>
          <w:szCs w:val="20"/>
        </w:rPr>
        <w:t xml:space="preserve"> million from </w:t>
      </w:r>
      <w:r w:rsidR="00F57712">
        <w:rPr>
          <w:szCs w:val="20"/>
        </w:rPr>
        <w:t xml:space="preserve">its customers </w:t>
      </w:r>
      <w:r w:rsidR="006E59AB">
        <w:rPr>
          <w:szCs w:val="20"/>
        </w:rPr>
        <w:t xml:space="preserve">under its Service Stability Rider (“SSR”) </w:t>
      </w:r>
      <w:r w:rsidR="00F57712">
        <w:rPr>
          <w:szCs w:val="20"/>
        </w:rPr>
        <w:t xml:space="preserve">to subsidize </w:t>
      </w:r>
      <w:r w:rsidR="001C5FC9">
        <w:rPr>
          <w:szCs w:val="20"/>
        </w:rPr>
        <w:t xml:space="preserve">losses </w:t>
      </w:r>
      <w:r w:rsidR="001F3E1A">
        <w:rPr>
          <w:szCs w:val="20"/>
        </w:rPr>
        <w:t xml:space="preserve">from </w:t>
      </w:r>
      <w:r>
        <w:rPr>
          <w:szCs w:val="20"/>
        </w:rPr>
        <w:t xml:space="preserve">its </w:t>
      </w:r>
      <w:r w:rsidR="001F3E1A">
        <w:rPr>
          <w:szCs w:val="20"/>
        </w:rPr>
        <w:t>uneconomic</w:t>
      </w:r>
      <w:r w:rsidR="00F57712">
        <w:rPr>
          <w:szCs w:val="20"/>
        </w:rPr>
        <w:t>,</w:t>
      </w:r>
      <w:r w:rsidR="001F3E1A">
        <w:rPr>
          <w:szCs w:val="20"/>
        </w:rPr>
        <w:t xml:space="preserve"> </w:t>
      </w:r>
      <w:r>
        <w:rPr>
          <w:szCs w:val="20"/>
        </w:rPr>
        <w:t>unregulated power plants.</w:t>
      </w:r>
      <w:r w:rsidR="00F57712">
        <w:rPr>
          <w:rStyle w:val="FootnoteReference"/>
          <w:szCs w:val="20"/>
        </w:rPr>
        <w:footnoteReference w:id="1"/>
      </w:r>
      <w:r>
        <w:rPr>
          <w:szCs w:val="20"/>
        </w:rPr>
        <w:t xml:space="preserve">  </w:t>
      </w:r>
      <w:r w:rsidR="009073C3">
        <w:rPr>
          <w:szCs w:val="20"/>
        </w:rPr>
        <w:t>That</w:t>
      </w:r>
      <w:r w:rsidR="001F3E1A">
        <w:rPr>
          <w:szCs w:val="20"/>
        </w:rPr>
        <w:t xml:space="preserve"> huge </w:t>
      </w:r>
      <w:r w:rsidR="004F4A61">
        <w:rPr>
          <w:szCs w:val="20"/>
        </w:rPr>
        <w:t xml:space="preserve">customer-funded </w:t>
      </w:r>
      <w:r w:rsidR="001F3E1A">
        <w:rPr>
          <w:szCs w:val="20"/>
        </w:rPr>
        <w:t xml:space="preserve">subsidy is apparently not </w:t>
      </w:r>
      <w:r w:rsidR="00F57712">
        <w:rPr>
          <w:szCs w:val="20"/>
        </w:rPr>
        <w:t>enough.  DP&amp;L is back</w:t>
      </w:r>
      <w:r w:rsidR="006E59AB">
        <w:rPr>
          <w:szCs w:val="20"/>
        </w:rPr>
        <w:t xml:space="preserve"> </w:t>
      </w:r>
      <w:r w:rsidR="00FB701C">
        <w:rPr>
          <w:szCs w:val="20"/>
        </w:rPr>
        <w:t>seeking a S</w:t>
      </w:r>
      <w:r w:rsidR="006E59AB">
        <w:rPr>
          <w:szCs w:val="20"/>
        </w:rPr>
        <w:t>ervice Stability Rider Extension (“SSR-E”)</w:t>
      </w:r>
      <w:r w:rsidR="00F57712">
        <w:rPr>
          <w:szCs w:val="20"/>
        </w:rPr>
        <w:t xml:space="preserve">.  </w:t>
      </w:r>
      <w:r w:rsidR="00C92722">
        <w:rPr>
          <w:szCs w:val="20"/>
        </w:rPr>
        <w:t>DP&amp;L</w:t>
      </w:r>
      <w:r w:rsidR="00F57712">
        <w:rPr>
          <w:szCs w:val="20"/>
        </w:rPr>
        <w:t xml:space="preserve"> </w:t>
      </w:r>
      <w:r w:rsidR="001F3E1A">
        <w:rPr>
          <w:szCs w:val="20"/>
        </w:rPr>
        <w:t>seeks</w:t>
      </w:r>
      <w:r w:rsidR="00F57712">
        <w:rPr>
          <w:szCs w:val="20"/>
        </w:rPr>
        <w:t xml:space="preserve"> </w:t>
      </w:r>
      <w:r w:rsidR="001F3E1A">
        <w:rPr>
          <w:szCs w:val="20"/>
        </w:rPr>
        <w:t xml:space="preserve">to </w:t>
      </w:r>
      <w:r w:rsidR="00F57712">
        <w:rPr>
          <w:szCs w:val="20"/>
        </w:rPr>
        <w:t>take</w:t>
      </w:r>
      <w:r w:rsidR="001F3E1A">
        <w:rPr>
          <w:szCs w:val="20"/>
        </w:rPr>
        <w:t xml:space="preserve"> even more money from its customers to </w:t>
      </w:r>
      <w:r w:rsidR="004F4A61">
        <w:rPr>
          <w:szCs w:val="20"/>
        </w:rPr>
        <w:t xml:space="preserve">cover its </w:t>
      </w:r>
      <w:r w:rsidR="001F3E1A">
        <w:rPr>
          <w:szCs w:val="20"/>
        </w:rPr>
        <w:t xml:space="preserve">generation </w:t>
      </w:r>
      <w:r w:rsidR="004F4A61">
        <w:rPr>
          <w:szCs w:val="20"/>
        </w:rPr>
        <w:t xml:space="preserve">losses (lower profits) </w:t>
      </w:r>
      <w:r w:rsidR="00F57712">
        <w:rPr>
          <w:szCs w:val="20"/>
        </w:rPr>
        <w:t xml:space="preserve">due to competition.  </w:t>
      </w:r>
      <w:r w:rsidR="00BC2907">
        <w:rPr>
          <w:szCs w:val="20"/>
        </w:rPr>
        <w:t xml:space="preserve">The </w:t>
      </w:r>
      <w:r w:rsidR="006E59AB">
        <w:rPr>
          <w:szCs w:val="20"/>
        </w:rPr>
        <w:t>Public Utilities Commission of Ohio (“</w:t>
      </w:r>
      <w:r w:rsidR="00BC2907">
        <w:rPr>
          <w:szCs w:val="20"/>
        </w:rPr>
        <w:t>PUCO</w:t>
      </w:r>
      <w:r w:rsidR="006E59AB">
        <w:rPr>
          <w:szCs w:val="20"/>
        </w:rPr>
        <w:t>”)</w:t>
      </w:r>
      <w:r w:rsidR="00BC2907">
        <w:rPr>
          <w:szCs w:val="20"/>
        </w:rPr>
        <w:t xml:space="preserve"> should just say no.</w:t>
      </w:r>
      <w:r w:rsidR="006E59AB" w:rsidRPr="006E59AB">
        <w:rPr>
          <w:szCs w:val="20"/>
        </w:rPr>
        <w:t xml:space="preserve"> </w:t>
      </w:r>
      <w:r w:rsidR="00C92722">
        <w:rPr>
          <w:szCs w:val="20"/>
        </w:rPr>
        <w:t>T</w:t>
      </w:r>
      <w:r w:rsidR="006E59AB">
        <w:rPr>
          <w:szCs w:val="20"/>
        </w:rPr>
        <w:t xml:space="preserve">he Ohio Supreme Court held </w:t>
      </w:r>
      <w:r w:rsidR="00C92722">
        <w:rPr>
          <w:szCs w:val="20"/>
        </w:rPr>
        <w:t xml:space="preserve">just recently </w:t>
      </w:r>
      <w:r w:rsidR="006E59AB">
        <w:rPr>
          <w:szCs w:val="20"/>
        </w:rPr>
        <w:t>that the PUCO erred when it approved a</w:t>
      </w:r>
      <w:r w:rsidR="00C92722">
        <w:rPr>
          <w:szCs w:val="20"/>
        </w:rPr>
        <w:t xml:space="preserve"> </w:t>
      </w:r>
      <w:r w:rsidR="006E59AB">
        <w:rPr>
          <w:szCs w:val="20"/>
        </w:rPr>
        <w:t>similar rider for AEP Ohio, where AEP Ohio’s justifications for the rider were the same asserted by DP&amp;L here.</w:t>
      </w:r>
      <w:r w:rsidR="006E59AB">
        <w:rPr>
          <w:rStyle w:val="FootnoteReference"/>
          <w:szCs w:val="20"/>
        </w:rPr>
        <w:footnoteReference w:id="2"/>
      </w:r>
      <w:r w:rsidR="006E59AB">
        <w:rPr>
          <w:szCs w:val="20"/>
        </w:rPr>
        <w:t xml:space="preserve"> </w:t>
      </w:r>
      <w:r w:rsidR="00BC2907">
        <w:rPr>
          <w:szCs w:val="20"/>
        </w:rPr>
        <w:t xml:space="preserve">  </w:t>
      </w:r>
    </w:p>
    <w:p w:rsidR="004821DF" w:rsidRDefault="001C5FC9" w:rsidP="0048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Cs w:val="20"/>
        </w:rPr>
      </w:pPr>
      <w:r>
        <w:rPr>
          <w:szCs w:val="20"/>
        </w:rPr>
        <w:lastRenderedPageBreak/>
        <w:t xml:space="preserve"> </w:t>
      </w:r>
      <w:r w:rsidR="00F57712">
        <w:rPr>
          <w:szCs w:val="20"/>
        </w:rPr>
        <w:t>DP&amp;L</w:t>
      </w:r>
      <w:r w:rsidR="001F3E1A">
        <w:rPr>
          <w:szCs w:val="20"/>
        </w:rPr>
        <w:t xml:space="preserve"> seeks to </w:t>
      </w:r>
      <w:r w:rsidR="00997339">
        <w:rPr>
          <w:szCs w:val="20"/>
        </w:rPr>
        <w:t xml:space="preserve">charge consumers </w:t>
      </w:r>
      <w:r w:rsidR="008928D5">
        <w:rPr>
          <w:szCs w:val="20"/>
        </w:rPr>
        <w:t>through a</w:t>
      </w:r>
      <w:r w:rsidR="00BE75E9">
        <w:rPr>
          <w:szCs w:val="20"/>
        </w:rPr>
        <w:t xml:space="preserve"> so-called</w:t>
      </w:r>
      <w:r w:rsidR="008928D5">
        <w:rPr>
          <w:szCs w:val="20"/>
        </w:rPr>
        <w:t xml:space="preserve"> SSR-E </w:t>
      </w:r>
      <w:r w:rsidR="00A52793">
        <w:rPr>
          <w:szCs w:val="20"/>
        </w:rPr>
        <w:t xml:space="preserve">up to </w:t>
      </w:r>
      <w:r w:rsidR="00997339">
        <w:rPr>
          <w:szCs w:val="20"/>
        </w:rPr>
        <w:t xml:space="preserve">$45.8 million </w:t>
      </w:r>
      <w:r w:rsidR="00F57712">
        <w:rPr>
          <w:szCs w:val="20"/>
        </w:rPr>
        <w:t>to</w:t>
      </w:r>
      <w:r w:rsidR="008928D5">
        <w:rPr>
          <w:szCs w:val="20"/>
        </w:rPr>
        <w:t xml:space="preserve"> further subsidize its uneconomic </w:t>
      </w:r>
      <w:r w:rsidR="00EF60BC">
        <w:rPr>
          <w:szCs w:val="20"/>
        </w:rPr>
        <w:t>power plants</w:t>
      </w:r>
      <w:r w:rsidR="00F57712">
        <w:rPr>
          <w:szCs w:val="20"/>
        </w:rPr>
        <w:t xml:space="preserve">.  </w:t>
      </w:r>
      <w:r w:rsidR="00D37D8D">
        <w:rPr>
          <w:szCs w:val="20"/>
        </w:rPr>
        <w:t xml:space="preserve">It does so with a motion that is woefully deficient, from both a procedural and an evidentiary perspective.  Further, </w:t>
      </w:r>
      <w:r w:rsidR="008928D5">
        <w:rPr>
          <w:szCs w:val="20"/>
        </w:rPr>
        <w:t>DP&amp;L</w:t>
      </w:r>
      <w:r w:rsidR="009073C3">
        <w:rPr>
          <w:szCs w:val="20"/>
        </w:rPr>
        <w:t>’</w:t>
      </w:r>
      <w:r w:rsidR="001F3E1A">
        <w:rPr>
          <w:szCs w:val="20"/>
        </w:rPr>
        <w:t xml:space="preserve">s request does not even meet the </w:t>
      </w:r>
      <w:r w:rsidR="005E57FC">
        <w:rPr>
          <w:szCs w:val="20"/>
        </w:rPr>
        <w:t xml:space="preserve">minimal </w:t>
      </w:r>
      <w:r w:rsidR="008928D5">
        <w:rPr>
          <w:szCs w:val="20"/>
        </w:rPr>
        <w:t>requirements established by the PUCO</w:t>
      </w:r>
      <w:r w:rsidR="00BE75E9">
        <w:rPr>
          <w:szCs w:val="20"/>
        </w:rPr>
        <w:t xml:space="preserve"> for </w:t>
      </w:r>
      <w:r w:rsidR="004F4A61">
        <w:rPr>
          <w:szCs w:val="20"/>
        </w:rPr>
        <w:t xml:space="preserve">imposing the </w:t>
      </w:r>
      <w:r w:rsidR="005E57FC">
        <w:rPr>
          <w:szCs w:val="20"/>
        </w:rPr>
        <w:t xml:space="preserve">SSR-E </w:t>
      </w:r>
      <w:r w:rsidR="004F4A61">
        <w:rPr>
          <w:szCs w:val="20"/>
        </w:rPr>
        <w:t xml:space="preserve">charge on customers. </w:t>
      </w:r>
      <w:r w:rsidR="008928D5">
        <w:rPr>
          <w:szCs w:val="20"/>
        </w:rPr>
        <w:t xml:space="preserve"> O</w:t>
      </w:r>
      <w:r w:rsidR="005F265A">
        <w:rPr>
          <w:szCs w:val="20"/>
        </w:rPr>
        <w:t xml:space="preserve">n behalf of the </w:t>
      </w:r>
      <w:r w:rsidR="005C043A">
        <w:rPr>
          <w:szCs w:val="20"/>
        </w:rPr>
        <w:t>approximately 456,000</w:t>
      </w:r>
      <w:r w:rsidR="005F265A">
        <w:rPr>
          <w:szCs w:val="20"/>
        </w:rPr>
        <w:t xml:space="preserve"> residential customers of DP&amp;L,</w:t>
      </w:r>
      <w:r w:rsidR="007D4835">
        <w:rPr>
          <w:szCs w:val="20"/>
        </w:rPr>
        <w:t xml:space="preserve"> </w:t>
      </w:r>
      <w:r w:rsidR="008928D5">
        <w:rPr>
          <w:szCs w:val="20"/>
        </w:rPr>
        <w:t>the Office of the Ohio Consumers’ Counsel</w:t>
      </w:r>
      <w:r w:rsidR="00BE75E9">
        <w:rPr>
          <w:szCs w:val="20"/>
        </w:rPr>
        <w:t xml:space="preserve"> (“OCC”)</w:t>
      </w:r>
      <w:r w:rsidR="008928D5">
        <w:rPr>
          <w:szCs w:val="20"/>
        </w:rPr>
        <w:t xml:space="preserve"> recommends </w:t>
      </w:r>
      <w:r w:rsidR="00BE75E9">
        <w:rPr>
          <w:szCs w:val="20"/>
        </w:rPr>
        <w:t>that the PUCO deny</w:t>
      </w:r>
      <w:r w:rsidR="008928D5">
        <w:rPr>
          <w:szCs w:val="20"/>
        </w:rPr>
        <w:t xml:space="preserve"> DP&amp;L</w:t>
      </w:r>
      <w:r w:rsidR="009073C3">
        <w:rPr>
          <w:szCs w:val="20"/>
        </w:rPr>
        <w:t>’</w:t>
      </w:r>
      <w:r w:rsidR="004F4A61">
        <w:rPr>
          <w:szCs w:val="20"/>
        </w:rPr>
        <w:t xml:space="preserve">s request.  </w:t>
      </w:r>
      <w:bookmarkStart w:id="1" w:name="_Toc401221843"/>
      <w:bookmarkStart w:id="2" w:name="_Toc401221851"/>
    </w:p>
    <w:p w:rsidR="006B35BE" w:rsidRDefault="004D306D" w:rsidP="00736FA0">
      <w:pPr>
        <w:pStyle w:val="Heading1"/>
      </w:pPr>
      <w:bookmarkStart w:id="3" w:name="_Toc449712051"/>
      <w:r w:rsidRPr="00736FA0">
        <w:t>INTRODUCTION</w:t>
      </w:r>
      <w:bookmarkEnd w:id="1"/>
      <w:bookmarkEnd w:id="3"/>
    </w:p>
    <w:p w:rsidR="00BC2907" w:rsidRDefault="00C4753A" w:rsidP="00EC3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contextualSpacing/>
      </w:pPr>
      <w:r>
        <w:t>On September 4, 2013</w:t>
      </w:r>
      <w:r w:rsidR="005C043A">
        <w:t>,</w:t>
      </w:r>
      <w:r>
        <w:t xml:space="preserve"> the PUCO approved </w:t>
      </w:r>
      <w:r w:rsidR="004B11EF">
        <w:t>DP&amp;L’s</w:t>
      </w:r>
      <w:r>
        <w:t xml:space="preserve"> second</w:t>
      </w:r>
      <w:r w:rsidR="00E879DD">
        <w:t xml:space="preserve"> Electric Security Plan (“ESP”)</w:t>
      </w:r>
      <w:r>
        <w:t>.</w:t>
      </w:r>
      <w:r w:rsidR="009A57FF">
        <w:rPr>
          <w:rStyle w:val="FootnoteReference"/>
        </w:rPr>
        <w:footnoteReference w:id="3"/>
      </w:r>
      <w:r>
        <w:t xml:space="preserve"> </w:t>
      </w:r>
      <w:r w:rsidR="00BE75E9">
        <w:t>The</w:t>
      </w:r>
      <w:r>
        <w:t xml:space="preserve"> PUCO </w:t>
      </w:r>
      <w:r w:rsidR="009A57FF">
        <w:t xml:space="preserve">authorized DP&amp;L to charge customers </w:t>
      </w:r>
      <w:r w:rsidR="00A52793">
        <w:t>to subsidize its uneconomic operations</w:t>
      </w:r>
      <w:r w:rsidR="00BE75E9">
        <w:t xml:space="preserve"> </w:t>
      </w:r>
      <w:r w:rsidR="00C10883">
        <w:t xml:space="preserve">through </w:t>
      </w:r>
      <w:r w:rsidR="00BE75E9">
        <w:t>a Service Stability Rider</w:t>
      </w:r>
      <w:r>
        <w:t xml:space="preserve"> </w:t>
      </w:r>
      <w:r w:rsidR="00BE75E9">
        <w:t xml:space="preserve">(“SSR”) </w:t>
      </w:r>
      <w:r w:rsidR="009A57FF">
        <w:t>until</w:t>
      </w:r>
      <w:r>
        <w:t xml:space="preserve"> December 31, 2016.</w:t>
      </w:r>
      <w:r>
        <w:rPr>
          <w:rStyle w:val="FootnoteReference"/>
        </w:rPr>
        <w:footnoteReference w:id="4"/>
      </w:r>
      <w:r>
        <w:t xml:space="preserve"> </w:t>
      </w:r>
      <w:r w:rsidR="00BE75E9">
        <w:t xml:space="preserve"> To account for the possibility that DP&amp;L could not overcome its financial difficulties </w:t>
      </w:r>
      <w:r w:rsidR="004F4A61">
        <w:t xml:space="preserve">once the </w:t>
      </w:r>
      <w:r w:rsidR="00E1047E">
        <w:t xml:space="preserve">initial </w:t>
      </w:r>
      <w:r w:rsidR="004F4A61">
        <w:t>customer-funded subsidy ended,</w:t>
      </w:r>
      <w:r w:rsidR="00BE75E9">
        <w:t xml:space="preserve"> t</w:t>
      </w:r>
      <w:r>
        <w:t>he PUCO</w:t>
      </w:r>
      <w:r w:rsidR="004F4A61">
        <w:t xml:space="preserve"> </w:t>
      </w:r>
      <w:r w:rsidR="00F57712">
        <w:t>said that</w:t>
      </w:r>
      <w:r w:rsidR="004F4A61">
        <w:t xml:space="preserve"> DP&amp;L </w:t>
      </w:r>
      <w:r w:rsidR="00F57712">
        <w:t>could</w:t>
      </w:r>
      <w:r w:rsidR="004F4A61">
        <w:t xml:space="preserve"> seek additional customer-funded subsidies in the form of a charge called the </w:t>
      </w:r>
      <w:r>
        <w:t>SSR-E</w:t>
      </w:r>
      <w:r w:rsidR="00BE75E9">
        <w:t xml:space="preserve">.  </w:t>
      </w:r>
    </w:p>
    <w:p w:rsidR="00BC2907" w:rsidRDefault="00BE75E9" w:rsidP="00EC3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contextualSpacing/>
      </w:pPr>
      <w:r>
        <w:t>Initially set at zero, the SSR-E</w:t>
      </w:r>
      <w:r w:rsidR="00D01DDB">
        <w:t xml:space="preserve"> </w:t>
      </w:r>
      <w:r w:rsidR="001C5FC9">
        <w:t xml:space="preserve">would </w:t>
      </w:r>
      <w:r>
        <w:t>allow DP&amp;L to charge customers yet more money</w:t>
      </w:r>
      <w:r w:rsidR="00AC1BA0">
        <w:t xml:space="preserve"> </w:t>
      </w:r>
      <w:r w:rsidR="001C5FC9">
        <w:t>to offset the declining capacity and lower wholesale prices and the increased customer shopping that has caused DP&amp;L to be less profitable.</w:t>
      </w:r>
      <w:r w:rsidR="00E6314C">
        <w:rPr>
          <w:rStyle w:val="FootnoteReference"/>
        </w:rPr>
        <w:footnoteReference w:id="5"/>
      </w:r>
      <w:r w:rsidR="001C5FC9">
        <w:t xml:space="preserve">  In other words, the need for the SSR-E </w:t>
      </w:r>
      <w:r w:rsidR="00BC2907">
        <w:t xml:space="preserve">(and the underlying SSR) </w:t>
      </w:r>
      <w:r w:rsidR="009073C3">
        <w:t>is driven by DP&amp;L’</w:t>
      </w:r>
      <w:r w:rsidR="001C5FC9">
        <w:t>s intent to cou</w:t>
      </w:r>
      <w:r w:rsidR="00BC2907">
        <w:t>nter</w:t>
      </w:r>
      <w:r w:rsidR="001C5FC9">
        <w:t xml:space="preserve"> the competitive </w:t>
      </w:r>
      <w:r w:rsidR="00BC2907">
        <w:t>forces of the elec</w:t>
      </w:r>
      <w:r w:rsidR="001C5FC9">
        <w:t>tric generation ma</w:t>
      </w:r>
      <w:r w:rsidR="00BC2907">
        <w:t>r</w:t>
      </w:r>
      <w:r w:rsidR="00F57712">
        <w:t>ket through regulatory “</w:t>
      </w:r>
      <w:r w:rsidR="001C5FC9">
        <w:t>relief.</w:t>
      </w:r>
      <w:r w:rsidR="00F57712">
        <w:t>”</w:t>
      </w:r>
      <w:r w:rsidR="00BC2907">
        <w:t xml:space="preserve">  </w:t>
      </w:r>
      <w:r w:rsidR="00EC441B">
        <w:rPr>
          <w:szCs w:val="20"/>
        </w:rPr>
        <w:t xml:space="preserve">And it intends to do so </w:t>
      </w:r>
      <w:r w:rsidR="009C6083">
        <w:rPr>
          <w:szCs w:val="20"/>
        </w:rPr>
        <w:t>on consumers’ backs</w:t>
      </w:r>
      <w:r w:rsidR="009073C3">
        <w:rPr>
          <w:szCs w:val="20"/>
        </w:rPr>
        <w:t xml:space="preserve"> by charging them more money</w:t>
      </w:r>
      <w:r w:rsidR="009C6083">
        <w:rPr>
          <w:szCs w:val="20"/>
        </w:rPr>
        <w:t>.</w:t>
      </w:r>
      <w:r w:rsidR="00BC2907">
        <w:rPr>
          <w:szCs w:val="20"/>
        </w:rPr>
        <w:t xml:space="preserve"> </w:t>
      </w:r>
      <w:r w:rsidR="00BC2907">
        <w:t xml:space="preserve"> </w:t>
      </w:r>
    </w:p>
    <w:p w:rsidR="0012488E" w:rsidRDefault="008817F4" w:rsidP="0012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contextualSpacing/>
      </w:pPr>
      <w:r>
        <w:t>In the DP&amp;L ESP II Order, t</w:t>
      </w:r>
      <w:r w:rsidR="009C6083">
        <w:t>he</w:t>
      </w:r>
      <w:r w:rsidR="00BC2907">
        <w:t xml:space="preserve"> PUCO established specific conditions that DP&amp;L </w:t>
      </w:r>
      <w:r w:rsidR="009C6083">
        <w:t>must meet</w:t>
      </w:r>
      <w:r w:rsidR="00BC2907">
        <w:t xml:space="preserve"> in order to seek additional subsidies from customers under the </w:t>
      </w:r>
      <w:r w:rsidR="009C6083">
        <w:t xml:space="preserve">SSR-E.  </w:t>
      </w:r>
      <w:r>
        <w:t>Yet DP&amp;L has filed a motion in this unrelated docket seeking authority to charge customers “unless and until the Reliable Electricity Rider (“RER”) is authorized and implemented.”</w:t>
      </w:r>
      <w:r>
        <w:rPr>
          <w:rStyle w:val="FootnoteReference"/>
        </w:rPr>
        <w:footnoteReference w:id="6"/>
      </w:r>
      <w:r>
        <w:t xml:space="preserve">  The motion is “supported” by testimony that is not sworn, subject to cross-examination, or admissible.  </w:t>
      </w:r>
      <w:r w:rsidR="0012488E">
        <w:t xml:space="preserve">Make no mistake:  DP&amp;L wants to charge customers $45.8 million more based on a procedurally deficient motion based on unsworn, uncross-examined, inadmissible testimony </w:t>
      </w:r>
      <w:r w:rsidR="0012488E">
        <w:rPr>
          <w:i/>
        </w:rPr>
        <w:t xml:space="preserve">before </w:t>
      </w:r>
      <w:r w:rsidR="0012488E">
        <w:t>a hearing on (and regardless of the decision in) its current ESP application.  “The Commission should grant DP&amp;L’s motion for approval of the SSR-E, unless and until the RER is approved in this case.”</w:t>
      </w:r>
      <w:r w:rsidR="0012488E">
        <w:rPr>
          <w:rStyle w:val="FootnoteReference"/>
        </w:rPr>
        <w:footnoteReference w:id="7"/>
      </w:r>
      <w:r w:rsidR="001D1B7F">
        <w:t xml:space="preserve">  The PUCO should reject DP&amp;L’s efforts to make an end-run around the procedural and evidentiary rules. </w:t>
      </w:r>
    </w:p>
    <w:p w:rsidR="001B7085" w:rsidRDefault="008817F4" w:rsidP="00124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contextualSpacing/>
      </w:pPr>
      <w:r>
        <w:t xml:space="preserve">Further, </w:t>
      </w:r>
      <w:r w:rsidR="00BC2907">
        <w:t>DP&amp;L has not met the</w:t>
      </w:r>
      <w:r>
        <w:t xml:space="preserve"> conditions precedent established in DP&amp;L ESP II Order</w:t>
      </w:r>
      <w:r w:rsidR="0012488E">
        <w:t xml:space="preserve">.  </w:t>
      </w:r>
      <w:r w:rsidR="00676FDA">
        <w:t xml:space="preserve">The </w:t>
      </w:r>
      <w:r w:rsidR="0032239D">
        <w:t>five</w:t>
      </w:r>
      <w:r w:rsidR="00676FDA">
        <w:t xml:space="preserve"> </w:t>
      </w:r>
      <w:r w:rsidR="00662FF5">
        <w:t>conditions precedent to</w:t>
      </w:r>
      <w:r w:rsidR="00676FDA">
        <w:t xml:space="preserve"> </w:t>
      </w:r>
      <w:r w:rsidR="001B7085">
        <w:t xml:space="preserve">DP&amp;L </w:t>
      </w:r>
      <w:r w:rsidR="00A52793">
        <w:t>charging customers under the</w:t>
      </w:r>
      <w:r w:rsidR="001B7085">
        <w:t xml:space="preserve"> </w:t>
      </w:r>
      <w:r w:rsidR="00676FDA">
        <w:t xml:space="preserve">SSR-E </w:t>
      </w:r>
      <w:r w:rsidR="001B7085">
        <w:t>are:</w:t>
      </w:r>
    </w:p>
    <w:p w:rsidR="001B7085" w:rsidRDefault="001B7085" w:rsidP="00DC4DEC">
      <w:pPr>
        <w:pStyle w:val="ListParagraph"/>
        <w:numPr>
          <w:ilvl w:val="0"/>
          <w:numId w:val="3"/>
        </w:numPr>
        <w:spacing w:line="240" w:lineRule="auto"/>
        <w:ind w:left="2160" w:right="720" w:hanging="720"/>
      </w:pPr>
      <w:r>
        <w:t>show that the SSR-E is necessary to maintain the financial integrity of the utility;</w:t>
      </w:r>
    </w:p>
    <w:p w:rsidR="001B7085" w:rsidRDefault="001B7085" w:rsidP="00DC4DEC">
      <w:pPr>
        <w:pStyle w:val="ListParagraph"/>
        <w:numPr>
          <w:ilvl w:val="0"/>
          <w:numId w:val="3"/>
        </w:numPr>
        <w:spacing w:line="240" w:lineRule="auto"/>
        <w:ind w:left="2160" w:right="720" w:hanging="720"/>
      </w:pPr>
      <w:r>
        <w:t>file an application for a distribution rate case no later than July 1, 2014;</w:t>
      </w:r>
    </w:p>
    <w:p w:rsidR="001B7085" w:rsidRDefault="001B7085" w:rsidP="00DC4DEC">
      <w:pPr>
        <w:pStyle w:val="ListParagraph"/>
        <w:numPr>
          <w:ilvl w:val="0"/>
          <w:numId w:val="3"/>
        </w:numPr>
        <w:spacing w:line="240" w:lineRule="auto"/>
        <w:ind w:left="2160" w:right="720" w:hanging="720"/>
      </w:pPr>
      <w:r>
        <w:t>file an application to divest its generation assets by December 31, 2013;</w:t>
      </w:r>
    </w:p>
    <w:p w:rsidR="001B7085" w:rsidRDefault="001B7085" w:rsidP="00DC4DEC">
      <w:pPr>
        <w:pStyle w:val="ListParagraph"/>
        <w:numPr>
          <w:ilvl w:val="0"/>
          <w:numId w:val="3"/>
        </w:numPr>
        <w:spacing w:line="240" w:lineRule="auto"/>
        <w:ind w:left="2160" w:right="720" w:hanging="720"/>
      </w:pPr>
      <w:r>
        <w:t>file an application to modernize its electric distribution infrastructure through implementation of a smart grid plan and advanced metering infrastructure (“AMI”) by July 2, 2014; and</w:t>
      </w:r>
    </w:p>
    <w:p w:rsidR="001B7085" w:rsidRDefault="001B7085" w:rsidP="00DC4DEC">
      <w:pPr>
        <w:pStyle w:val="ListParagraph"/>
        <w:numPr>
          <w:ilvl w:val="0"/>
          <w:numId w:val="3"/>
        </w:numPr>
        <w:spacing w:line="240" w:lineRule="auto"/>
        <w:ind w:left="2160" w:right="720" w:hanging="720"/>
      </w:pPr>
      <w:r>
        <w:t>file with the PUCO a billing system modernization plan approved by PUCO Staff by December 31, 2014, that includes, at a minimum, rate-ready billing, percentage off price-to-compare (“PTC”) pricing and the ability to support AMI.</w:t>
      </w:r>
      <w:r>
        <w:rPr>
          <w:rStyle w:val="FootnoteReference"/>
        </w:rPr>
        <w:footnoteReference w:id="8"/>
      </w:r>
    </w:p>
    <w:p w:rsidR="00803CF7" w:rsidRDefault="001B7085" w:rsidP="001D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contextualSpacing/>
      </w:pPr>
      <w:r>
        <w:t>Allowing</w:t>
      </w:r>
      <w:r w:rsidR="0032239D">
        <w:t xml:space="preserve"> DP&amp;L to </w:t>
      </w:r>
      <w:r w:rsidR="001D302B">
        <w:t>charge customers an additional $45</w:t>
      </w:r>
      <w:r w:rsidR="009C6083">
        <w:t>.8</w:t>
      </w:r>
      <w:r w:rsidR="001D302B">
        <w:t xml:space="preserve"> millio</w:t>
      </w:r>
      <w:r w:rsidR="009C6083">
        <w:t xml:space="preserve">n when it failed to meet these </w:t>
      </w:r>
      <w:r w:rsidR="00A52793">
        <w:t>conditions</w:t>
      </w:r>
      <w:r w:rsidR="002466F9">
        <w:t xml:space="preserve"> would set a dangerous </w:t>
      </w:r>
      <w:r w:rsidR="0032239D">
        <w:t>legal precedent</w:t>
      </w:r>
      <w:r>
        <w:t>.</w:t>
      </w:r>
      <w:r w:rsidR="002466F9">
        <w:t xml:space="preserve"> </w:t>
      </w:r>
      <w:r>
        <w:t xml:space="preserve">  It would </w:t>
      </w:r>
      <w:r w:rsidR="002466F9">
        <w:t>open the door to wide-spread defiance of PUCO Orders</w:t>
      </w:r>
      <w:r w:rsidR="003C323C">
        <w:t xml:space="preserve"> to the detriment of consumers</w:t>
      </w:r>
      <w:r w:rsidR="0032239D">
        <w:t>.</w:t>
      </w:r>
      <w:r w:rsidR="001D302B">
        <w:t xml:space="preserve">  It is nothing less than a</w:t>
      </w:r>
      <w:r w:rsidR="00BC50F3">
        <w:t>n unlawful</w:t>
      </w:r>
      <w:r w:rsidR="001D302B">
        <w:t xml:space="preserve"> collateral attack on the PUCO's </w:t>
      </w:r>
      <w:r w:rsidR="00BC50F3">
        <w:t xml:space="preserve">DP&amp;L ESP II </w:t>
      </w:r>
      <w:r w:rsidR="001D302B">
        <w:t>Order.</w:t>
      </w:r>
      <w:r w:rsidR="00BC50F3">
        <w:rPr>
          <w:rStyle w:val="FootnoteReference"/>
        </w:rPr>
        <w:footnoteReference w:id="9"/>
      </w:r>
      <w:r w:rsidR="001D302B">
        <w:t xml:space="preserve">  </w:t>
      </w:r>
    </w:p>
    <w:p w:rsidR="008B6EC8" w:rsidRPr="006E4D7A" w:rsidRDefault="00C423CC" w:rsidP="00F9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color w:val="000000"/>
        </w:rPr>
      </w:pPr>
      <w:r>
        <w:rPr>
          <w:color w:val="000000"/>
        </w:rPr>
        <w:tab/>
      </w:r>
      <w:r w:rsidR="004D306D">
        <w:rPr>
          <w:color w:val="000000"/>
        </w:rPr>
        <w:t>For the</w:t>
      </w:r>
      <w:r w:rsidR="00662FF5">
        <w:rPr>
          <w:color w:val="000000"/>
        </w:rPr>
        <w:t>se</w:t>
      </w:r>
      <w:r w:rsidR="004D306D">
        <w:rPr>
          <w:color w:val="000000"/>
        </w:rPr>
        <w:t xml:space="preserve"> reasons</w:t>
      </w:r>
      <w:r w:rsidR="00662FF5">
        <w:rPr>
          <w:color w:val="000000"/>
        </w:rPr>
        <w:t>, as</w:t>
      </w:r>
      <w:r w:rsidR="004D306D">
        <w:rPr>
          <w:color w:val="000000"/>
        </w:rPr>
        <w:t xml:space="preserve"> explained more fully below, the </w:t>
      </w:r>
      <w:r w:rsidR="00662FF5">
        <w:t>PUCO</w:t>
      </w:r>
      <w:r w:rsidR="004D306D" w:rsidRPr="00CD25F2">
        <w:rPr>
          <w:color w:val="000000"/>
        </w:rPr>
        <w:t xml:space="preserve"> </w:t>
      </w:r>
      <w:r w:rsidR="004D306D">
        <w:rPr>
          <w:color w:val="000000"/>
        </w:rPr>
        <w:t xml:space="preserve">should </w:t>
      </w:r>
      <w:r w:rsidR="00FB5D6D">
        <w:rPr>
          <w:color w:val="000000"/>
        </w:rPr>
        <w:t xml:space="preserve">deny </w:t>
      </w:r>
      <w:r w:rsidR="00676FDA">
        <w:rPr>
          <w:color w:val="000000"/>
        </w:rPr>
        <w:t>DP&amp;L’s</w:t>
      </w:r>
      <w:r w:rsidR="00FB5D6D">
        <w:rPr>
          <w:color w:val="000000"/>
        </w:rPr>
        <w:t xml:space="preserve"> </w:t>
      </w:r>
      <w:r w:rsidR="000738B1">
        <w:rPr>
          <w:color w:val="000000"/>
        </w:rPr>
        <w:t>m</w:t>
      </w:r>
      <w:r w:rsidR="004D306D">
        <w:rPr>
          <w:color w:val="000000"/>
        </w:rPr>
        <w:t>otion</w:t>
      </w:r>
      <w:r w:rsidR="00FB5D6D">
        <w:rPr>
          <w:color w:val="000000"/>
        </w:rPr>
        <w:t>.</w:t>
      </w:r>
    </w:p>
    <w:p w:rsidR="0032239D" w:rsidRDefault="009D040B" w:rsidP="00736FA0">
      <w:pPr>
        <w:pStyle w:val="Heading1"/>
      </w:pPr>
      <w:bookmarkStart w:id="4" w:name="_Toc449712052"/>
      <w:r>
        <w:t>RECOMMENDATION</w:t>
      </w:r>
      <w:r w:rsidR="00DD6DD2">
        <w:t>S</w:t>
      </w:r>
      <w:bookmarkEnd w:id="2"/>
      <w:bookmarkEnd w:id="4"/>
    </w:p>
    <w:p w:rsidR="0098649F" w:rsidRPr="0098649F" w:rsidRDefault="00736FA0" w:rsidP="00736FA0">
      <w:pPr>
        <w:pStyle w:val="Heading2"/>
      </w:pPr>
      <w:bookmarkStart w:id="5" w:name="_Toc449712053"/>
      <w:r>
        <w:t>A.</w:t>
      </w:r>
      <w:r>
        <w:tab/>
      </w:r>
      <w:r w:rsidR="00C92722" w:rsidRPr="0098649F">
        <w:t>DP&amp;L’s motion should be rejected as a matter of law based on recent Ohio</w:t>
      </w:r>
      <w:r w:rsidR="0098649F">
        <w:t xml:space="preserve"> Supreme Court precedent</w:t>
      </w:r>
      <w:r w:rsidR="00172738">
        <w:t>.</w:t>
      </w:r>
      <w:bookmarkEnd w:id="5"/>
      <w:r w:rsidR="00C92722" w:rsidRPr="0098649F">
        <w:t xml:space="preserve"> </w:t>
      </w:r>
      <w:r w:rsidR="0098649F" w:rsidRPr="0098649F">
        <w:t xml:space="preserve">    </w:t>
      </w:r>
    </w:p>
    <w:p w:rsidR="00C92722" w:rsidRDefault="00736FA0" w:rsidP="00736FA0">
      <w:pPr>
        <w:ind w:left="720"/>
        <w:rPr>
          <w:b/>
        </w:rPr>
      </w:pPr>
      <w:r>
        <w:rPr>
          <w:b/>
        </w:rPr>
        <w:t xml:space="preserve">         </w:t>
      </w:r>
    </w:p>
    <w:p w:rsidR="0098649F" w:rsidRDefault="0098649F" w:rsidP="00172738">
      <w:pPr>
        <w:spacing w:line="480" w:lineRule="auto"/>
        <w:ind w:firstLine="720"/>
      </w:pPr>
      <w:r>
        <w:t xml:space="preserve">The PUCO cannot grant DP&amp;L’s motion based on the Ohio Supreme Court’s decision in </w:t>
      </w:r>
      <w:r>
        <w:rPr>
          <w:i/>
        </w:rPr>
        <w:t>In re Application of Columbus Southern Power Co</w:t>
      </w:r>
      <w:r w:rsidRPr="0098649F">
        <w:t>.</w:t>
      </w:r>
      <w:r w:rsidRPr="0098649F">
        <w:rPr>
          <w:rStyle w:val="FootnoteReference"/>
        </w:rPr>
        <w:footnoteReference w:id="10"/>
      </w:r>
      <w:r>
        <w:t xml:space="preserve">  There, the Supreme Court </w:t>
      </w:r>
      <w:r w:rsidR="00D72C7D">
        <w:t>reviewed various PUCO findings in AEP Ohio’s ESP II case – including the finding regarding AEP Ohio’s Retail Stability Rider (“RSR”).  RSR was a nonbypassable rider designed to maintain AEP Ohio’s financial integrity and ensure customer certainty regarding retail electric service.</w:t>
      </w:r>
      <w:r w:rsidR="00D72C7D">
        <w:rPr>
          <w:rStyle w:val="FootnoteReference"/>
        </w:rPr>
        <w:footnoteReference w:id="11"/>
      </w:r>
      <w:r w:rsidR="00D72C7D">
        <w:t xml:space="preserve">  The Court </w:t>
      </w:r>
      <w:r>
        <w:t xml:space="preserve">pointed out that R.C. 4928.38 bars “the receipt of transition revenues </w:t>
      </w:r>
      <w:r>
        <w:rPr>
          <w:i/>
        </w:rPr>
        <w:t xml:space="preserve">or any equivalent revenues </w:t>
      </w:r>
      <w:r>
        <w:t>by any electric utility” after 2010.</w:t>
      </w:r>
      <w:r>
        <w:rPr>
          <w:rStyle w:val="FootnoteReference"/>
        </w:rPr>
        <w:footnoteReference w:id="12"/>
      </w:r>
      <w:r>
        <w:t xml:space="preserve">  Based on that statutory bar</w:t>
      </w:r>
      <w:r w:rsidR="004048A3">
        <w:t xml:space="preserve"> to collecting transition revenues</w:t>
      </w:r>
      <w:r>
        <w:t xml:space="preserve">, the Court held that the PUCO erred in approving </w:t>
      </w:r>
      <w:r w:rsidR="00D72C7D">
        <w:t xml:space="preserve">RSR because it allowed AEP Ohio to collect transition or equivalent revenues.  </w:t>
      </w:r>
      <w:r w:rsidR="004048A3">
        <w:t xml:space="preserve">In doing so, the Court rejected the two reasons the PUCO offered to support its belief that </w:t>
      </w:r>
      <w:r w:rsidR="00D72C7D">
        <w:t>RSR was legal</w:t>
      </w:r>
      <w:r w:rsidR="004048A3">
        <w:t xml:space="preserve">:  1) AEP Ohio did not expressly seek </w:t>
      </w:r>
      <w:r w:rsidR="00FB701C">
        <w:t>“</w:t>
      </w:r>
      <w:r w:rsidR="004048A3">
        <w:t>transition revenues</w:t>
      </w:r>
      <w:r w:rsidR="00FB701C">
        <w:t>”</w:t>
      </w:r>
      <w:r w:rsidR="004048A3">
        <w:t>, and 2) anything above PJM auction capacity prices cannot be labeled as transition costs.</w:t>
      </w:r>
      <w:r w:rsidR="004048A3">
        <w:rPr>
          <w:rStyle w:val="FootnoteReference"/>
        </w:rPr>
        <w:footnoteReference w:id="13"/>
      </w:r>
      <w:r w:rsidR="004048A3">
        <w:t xml:space="preserve"> </w:t>
      </w:r>
    </w:p>
    <w:p w:rsidR="0043120A" w:rsidRDefault="0043120A" w:rsidP="00172738">
      <w:pPr>
        <w:spacing w:line="480" w:lineRule="auto"/>
        <w:ind w:firstLine="720"/>
      </w:pPr>
      <w:r>
        <w:t>The SSR and SSR-E are nonbypassable and are designed to maintain DP&amp;L’s financial integrity and ensure customer certainty regarding retail electric service.</w:t>
      </w:r>
      <w:r>
        <w:rPr>
          <w:rStyle w:val="FootnoteReference"/>
        </w:rPr>
        <w:footnoteReference w:id="14"/>
      </w:r>
      <w:r>
        <w:t xml:space="preserve">  Like it did in AEP Ohio’s RSR case, the PUCO rejected arguments </w:t>
      </w:r>
      <w:r w:rsidR="00D72C7D">
        <w:t>that SSR (and SSR-E) allowed DP&amp;L to collect transition revenues because DP&amp;L did not expressly seek transition revenues.</w:t>
      </w:r>
      <w:r w:rsidR="00D72C7D">
        <w:rPr>
          <w:rStyle w:val="FootnoteReference"/>
        </w:rPr>
        <w:footnoteReference w:id="15"/>
      </w:r>
      <w:r w:rsidR="00D72C7D">
        <w:t xml:space="preserve">  </w:t>
      </w:r>
      <w:r w:rsidR="00172738">
        <w:t xml:space="preserve">Were there any doubt that what DP&amp;L is proposing here is exactly what the Ohio Supreme Court invalidated in </w:t>
      </w:r>
      <w:r w:rsidR="00172738">
        <w:rPr>
          <w:i/>
        </w:rPr>
        <w:t>In re Application of Columbus Southern Power Co</w:t>
      </w:r>
      <w:r w:rsidR="00172738">
        <w:t>.</w:t>
      </w:r>
      <w:r w:rsidR="00D72C7D">
        <w:t xml:space="preserve">, </w:t>
      </w:r>
      <w:r w:rsidR="00172738">
        <w:t xml:space="preserve">it must be put to rest by the PUCO’s own </w:t>
      </w:r>
      <w:r w:rsidR="00172738" w:rsidRPr="00E03971">
        <w:t>DP&amp;L ESP II Order</w:t>
      </w:r>
      <w:r w:rsidR="00172738">
        <w:t xml:space="preserve">.  There the </w:t>
      </w:r>
      <w:r w:rsidR="00D72C7D">
        <w:t xml:space="preserve">PUCO found that its decision approving SSR (and SSR-E) was consistent with </w:t>
      </w:r>
      <w:r w:rsidR="00172738">
        <w:t xml:space="preserve">the </w:t>
      </w:r>
      <w:r w:rsidR="00D72C7D">
        <w:t>decision “in the AEP ESP II Case, in which [it] determined that AEP Ohio’s proposed RSR did not allow for the collection of inappropriate transition revenues or stranded costs.”</w:t>
      </w:r>
      <w:r w:rsidR="00D72C7D">
        <w:rPr>
          <w:rStyle w:val="FootnoteReference"/>
        </w:rPr>
        <w:footnoteReference w:id="16"/>
      </w:r>
      <w:r w:rsidR="00D72C7D">
        <w:t xml:space="preserve"> </w:t>
      </w:r>
    </w:p>
    <w:p w:rsidR="00172738" w:rsidRPr="0098649F" w:rsidRDefault="00172738" w:rsidP="00172738">
      <w:pPr>
        <w:spacing w:line="480" w:lineRule="auto"/>
        <w:ind w:firstLine="720"/>
      </w:pPr>
      <w:r>
        <w:t xml:space="preserve">The PUCO should deny DP&amp;L’s motion on the authority of </w:t>
      </w:r>
      <w:r>
        <w:rPr>
          <w:i/>
        </w:rPr>
        <w:t>In re Application of Columbus Southern Power Co</w:t>
      </w:r>
      <w:r>
        <w:t>.</w:t>
      </w:r>
      <w:r>
        <w:rPr>
          <w:rStyle w:val="FootnoteReference"/>
        </w:rPr>
        <w:footnoteReference w:id="17"/>
      </w:r>
      <w:r>
        <w:t xml:space="preserve"> </w:t>
      </w:r>
    </w:p>
    <w:p w:rsidR="00C92722" w:rsidRPr="00C92722" w:rsidRDefault="00C92722" w:rsidP="00C92722"/>
    <w:p w:rsidR="00833CB6" w:rsidRPr="004821DF" w:rsidRDefault="00C92722" w:rsidP="00736FA0">
      <w:pPr>
        <w:pStyle w:val="Heading2"/>
      </w:pPr>
      <w:bookmarkStart w:id="6" w:name="_Toc449712054"/>
      <w:r>
        <w:t>B.</w:t>
      </w:r>
      <w:r w:rsidR="004821DF" w:rsidRPr="00695E73">
        <w:tab/>
      </w:r>
      <w:r w:rsidR="00833CB6" w:rsidRPr="00695E73">
        <w:t>DP&amp;L’s motion should be rejected because it is procedurally improper and is based on unsworn, uncross-examined, inadmissible testimony.</w:t>
      </w:r>
      <w:bookmarkEnd w:id="6"/>
    </w:p>
    <w:p w:rsidR="00D57331" w:rsidRDefault="00833CB6" w:rsidP="001713CE">
      <w:pPr>
        <w:spacing w:line="480" w:lineRule="auto"/>
        <w:ind w:firstLine="720"/>
      </w:pPr>
      <w:r>
        <w:t>The SSR was approved in DP&amp;L’s ESP II case</w:t>
      </w:r>
      <w:r w:rsidR="00982FBB">
        <w:t xml:space="preserve"> – still an open docket</w:t>
      </w:r>
      <w:r>
        <w:t>.</w:t>
      </w:r>
      <w:r w:rsidR="00837BEA">
        <w:rPr>
          <w:rStyle w:val="FootnoteReference"/>
        </w:rPr>
        <w:footnoteReference w:id="18"/>
      </w:r>
      <w:r>
        <w:t xml:space="preserve">  The SSR-E, and the conditions precedent to charging customers under it, was established in DP&amp;L’s ESP II case.</w:t>
      </w:r>
      <w:r w:rsidR="00837BEA">
        <w:rPr>
          <w:rStyle w:val="FootnoteReference"/>
        </w:rPr>
        <w:footnoteReference w:id="19"/>
      </w:r>
      <w:r w:rsidR="00837BEA">
        <w:t xml:space="preserve">  So charging customers under the SSR-E has no place in </w:t>
      </w:r>
      <w:r w:rsidR="00982FBB">
        <w:t xml:space="preserve">this </w:t>
      </w:r>
      <w:r w:rsidR="00837BEA">
        <w:t xml:space="preserve">newly filed, </w:t>
      </w:r>
      <w:r w:rsidR="001713CE">
        <w:t>unrelated, pending ESP (</w:t>
      </w:r>
      <w:r w:rsidR="00837BEA">
        <w:t>DP&amp;L’s third</w:t>
      </w:r>
      <w:r w:rsidR="001713CE">
        <w:t>)</w:t>
      </w:r>
      <w:r w:rsidR="00837BEA">
        <w:t>.</w:t>
      </w:r>
      <w:r w:rsidR="00837BEA">
        <w:rPr>
          <w:rStyle w:val="FootnoteReference"/>
        </w:rPr>
        <w:footnoteReference w:id="20"/>
      </w:r>
      <w:r w:rsidR="00837BEA">
        <w:t xml:space="preserve">  The matter should not be considered in this docket.</w:t>
      </w:r>
    </w:p>
    <w:p w:rsidR="00C8608A" w:rsidRDefault="00D57331" w:rsidP="00725004">
      <w:pPr>
        <w:spacing w:line="480" w:lineRule="auto"/>
        <w:ind w:firstLine="720"/>
      </w:pPr>
      <w:r>
        <w:t>Further, DP&amp;L wants the PUCO to approve $45.8 million in charges based on testimony that is unsworn.  The testimony has not been and, according to DP&amp;L, will not be, subject to cross-examination.  The testimony is obviously out-of-hearing statements offered to prove the truth of the matters asserted.</w:t>
      </w:r>
      <w:r>
        <w:rPr>
          <w:rStyle w:val="FootnoteReference"/>
        </w:rPr>
        <w:footnoteReference w:id="21"/>
      </w:r>
      <w:r>
        <w:t xml:space="preserve">  Not to worry, according to DP&amp;L.  “The Commission should grant DP&amp;L’s motion for approval of the SSR-E, unless and until the RER is approved in this case.”</w:t>
      </w:r>
      <w:r>
        <w:rPr>
          <w:rStyle w:val="FootnoteReference"/>
        </w:rPr>
        <w:footnoteReference w:id="22"/>
      </w:r>
      <w:r w:rsidR="00725004">
        <w:t xml:space="preserve">  </w:t>
      </w:r>
      <w:r w:rsidR="00C8608A">
        <w:t>The</w:t>
      </w:r>
      <w:r>
        <w:t xml:space="preserve"> PUCO </w:t>
      </w:r>
      <w:r w:rsidR="00C8608A">
        <w:t>should not</w:t>
      </w:r>
      <w:r>
        <w:t xml:space="preserve"> completely disregard evidentiary rules or matters of fundamental fairness, such as allowing parties to cross-examine witnesses, as DP&amp;L is inviting it to do here.</w:t>
      </w:r>
      <w:r>
        <w:rPr>
          <w:rStyle w:val="FootnoteReference"/>
        </w:rPr>
        <w:footnoteReference w:id="23"/>
      </w:r>
      <w:r w:rsidR="00C8608A">
        <w:t xml:space="preserve">  Nor should it allow</w:t>
      </w:r>
      <w:r w:rsidR="00725004">
        <w:t xml:space="preserve"> DP&amp;L’s attempted “end-run” </w:t>
      </w:r>
      <w:r w:rsidR="00C8608A">
        <w:t>around</w:t>
      </w:r>
      <w:r w:rsidR="00725004">
        <w:t xml:space="preserve"> the Ohio Administrative Code.</w:t>
      </w:r>
      <w:r w:rsidR="00725004">
        <w:rPr>
          <w:rStyle w:val="FootnoteReference"/>
        </w:rPr>
        <w:footnoteReference w:id="24"/>
      </w:r>
      <w:r w:rsidR="00C8608A">
        <w:t xml:space="preserve">  </w:t>
      </w:r>
    </w:p>
    <w:p w:rsidR="00833CB6" w:rsidRDefault="00C8608A" w:rsidP="004821DF">
      <w:pPr>
        <w:spacing w:line="480" w:lineRule="auto"/>
        <w:ind w:firstLine="720"/>
      </w:pPr>
      <w:r>
        <w:t>DP&amp;L’s motion should be rejected.</w:t>
      </w:r>
      <w:r w:rsidR="00D57331">
        <w:t xml:space="preserve"> </w:t>
      </w:r>
      <w:r w:rsidR="00833CB6">
        <w:t xml:space="preserve"> </w:t>
      </w:r>
    </w:p>
    <w:p w:rsidR="00E879DD" w:rsidRDefault="0098649F" w:rsidP="00736FA0">
      <w:pPr>
        <w:pStyle w:val="Heading2"/>
      </w:pPr>
      <w:bookmarkStart w:id="7" w:name="_Toc449712055"/>
      <w:r>
        <w:t>C</w:t>
      </w:r>
      <w:r w:rsidR="004821DF">
        <w:t xml:space="preserve">. </w:t>
      </w:r>
      <w:r w:rsidR="004821DF">
        <w:tab/>
      </w:r>
      <w:r w:rsidR="00E879DD">
        <w:t xml:space="preserve">DP&amp;L </w:t>
      </w:r>
      <w:r w:rsidR="00B050F2">
        <w:t>has</w:t>
      </w:r>
      <w:r w:rsidR="00290E9F">
        <w:t xml:space="preserve"> not</w:t>
      </w:r>
      <w:r w:rsidR="00E879DD">
        <w:t xml:space="preserve"> </w:t>
      </w:r>
      <w:r w:rsidR="007236CF">
        <w:t>shown that additional revenues need to be collected from customers so that it can maintain its financial integrity</w:t>
      </w:r>
      <w:r w:rsidR="00BC50F3">
        <w:t>.</w:t>
      </w:r>
      <w:bookmarkEnd w:id="7"/>
      <w:r w:rsidR="007236CF">
        <w:t xml:space="preserve"> </w:t>
      </w:r>
    </w:p>
    <w:p w:rsidR="009610B2" w:rsidRDefault="00833D05" w:rsidP="00A62C61">
      <w:pPr>
        <w:spacing w:line="480" w:lineRule="auto"/>
        <w:ind w:firstLine="720"/>
        <w:rPr>
          <w:color w:val="FF0000"/>
        </w:rPr>
      </w:pPr>
      <w:r>
        <w:t xml:space="preserve">The PUCO explicitly stated that when considering whether the SSR-E is necessary to maintain </w:t>
      </w:r>
      <w:r w:rsidR="00D01DDB">
        <w:t>DP&amp;L’s</w:t>
      </w:r>
      <w:r>
        <w:t xml:space="preserve"> financial integrity, </w:t>
      </w:r>
      <w:r w:rsidR="00BC50F3">
        <w:t>it</w:t>
      </w:r>
      <w:r w:rsidR="00350D3B">
        <w:t xml:space="preserve"> </w:t>
      </w:r>
      <w:r>
        <w:t>w</w:t>
      </w:r>
      <w:r w:rsidR="00B050F2">
        <w:t>i</w:t>
      </w:r>
      <w:r>
        <w:t>ll consider any dividends paid</w:t>
      </w:r>
      <w:r w:rsidR="00D01DDB">
        <w:t xml:space="preserve"> by DP&amp;L</w:t>
      </w:r>
      <w:r>
        <w:t xml:space="preserve"> to parent companies,</w:t>
      </w:r>
      <w:r w:rsidR="00FA256E">
        <w:t xml:space="preserve"> such as DPL, Inc.,</w:t>
      </w:r>
      <w:r>
        <w:t xml:space="preserve"> </w:t>
      </w:r>
      <w:r w:rsidR="00D01DDB">
        <w:t xml:space="preserve">and </w:t>
      </w:r>
      <w:r w:rsidR="00BC50F3">
        <w:t>“</w:t>
      </w:r>
      <w:r>
        <w:t>all other relevant financial information</w:t>
      </w:r>
      <w:r w:rsidR="00BC50F3">
        <w:t xml:space="preserve">,” </w:t>
      </w:r>
      <w:r>
        <w:t>including O</w:t>
      </w:r>
      <w:r w:rsidR="003203D9">
        <w:t>peration and Maintenance expense</w:t>
      </w:r>
      <w:r>
        <w:t xml:space="preserve"> savings and capital expenditure reductions.</w:t>
      </w:r>
      <w:r w:rsidR="00350D3B">
        <w:rPr>
          <w:rStyle w:val="FootnoteReference"/>
        </w:rPr>
        <w:footnoteReference w:id="25"/>
      </w:r>
      <w:r w:rsidR="00567373">
        <w:t xml:space="preserve">  </w:t>
      </w:r>
      <w:r w:rsidR="00BC50F3">
        <w:t>The</w:t>
      </w:r>
      <w:r w:rsidR="009610B2">
        <w:t xml:space="preserve"> PUCO appeared to be responding to intervenor arguments that dividends should not be paid out of the stability revenues and DP&amp;L should undertake expense and capital expenditure reductions before turning to customers to bail </w:t>
      </w:r>
      <w:r w:rsidR="0020341E">
        <w:t>it</w:t>
      </w:r>
      <w:r w:rsidR="009610B2">
        <w:t xml:space="preserve"> out.</w:t>
      </w:r>
      <w:r w:rsidR="00490478" w:rsidRPr="00490478">
        <w:rPr>
          <w:rStyle w:val="FootnoteReference"/>
        </w:rPr>
        <w:t xml:space="preserve"> </w:t>
      </w:r>
      <w:r w:rsidR="00490478">
        <w:rPr>
          <w:rStyle w:val="FootnoteReference"/>
        </w:rPr>
        <w:footnoteReference w:id="26"/>
      </w:r>
      <w:r w:rsidR="009610B2">
        <w:t xml:space="preserve">  </w:t>
      </w:r>
      <w:r w:rsidR="00567373">
        <w:t xml:space="preserve">DP&amp;L has failed to </w:t>
      </w:r>
      <w:r w:rsidR="009610B2">
        <w:t xml:space="preserve">show that </w:t>
      </w:r>
      <w:r w:rsidR="00F94B8A">
        <w:t xml:space="preserve">additional revenues are needed </w:t>
      </w:r>
      <w:r w:rsidR="00490478">
        <w:t xml:space="preserve">(for its operations) </w:t>
      </w:r>
      <w:r w:rsidR="009610B2">
        <w:t>to maintain its financial integrity</w:t>
      </w:r>
      <w:r w:rsidR="009610B2" w:rsidRPr="00F57712">
        <w:rPr>
          <w:color w:val="FF0000"/>
        </w:rPr>
        <w:t xml:space="preserve">.  </w:t>
      </w:r>
    </w:p>
    <w:p w:rsidR="00E04269" w:rsidRDefault="00350D3B" w:rsidP="00A62C61">
      <w:pPr>
        <w:spacing w:line="480" w:lineRule="auto"/>
        <w:ind w:firstLine="720"/>
      </w:pPr>
      <w:r w:rsidRPr="00490478">
        <w:t xml:space="preserve">DP&amp;L bases its claims for additional revenue </w:t>
      </w:r>
      <w:r w:rsidR="00490478">
        <w:t xml:space="preserve">largely </w:t>
      </w:r>
      <w:r w:rsidR="00D01DDB" w:rsidRPr="00490478">
        <w:t xml:space="preserve">on the testimony of </w:t>
      </w:r>
      <w:r w:rsidR="00490478" w:rsidRPr="00490478">
        <w:t>Witness Malinak</w:t>
      </w:r>
      <w:r w:rsidR="00833D05">
        <w:t>.</w:t>
      </w:r>
      <w:r w:rsidR="00256BD7">
        <w:t xml:space="preserve"> </w:t>
      </w:r>
      <w:r w:rsidR="00D01DDB">
        <w:t xml:space="preserve"> But</w:t>
      </w:r>
      <w:r w:rsidR="00256BD7">
        <w:t xml:space="preserve"> </w:t>
      </w:r>
      <w:r w:rsidR="00B050F2">
        <w:t xml:space="preserve">DP&amp;L Witness </w:t>
      </w:r>
      <w:r w:rsidR="00256BD7">
        <w:t xml:space="preserve">Malinak’s testimony </w:t>
      </w:r>
      <w:r w:rsidR="00AE33F7">
        <w:t xml:space="preserve">misses the mark.  It focuses only on </w:t>
      </w:r>
      <w:r w:rsidR="009073C3">
        <w:t>a portion of DP&amp;L’</w:t>
      </w:r>
      <w:r w:rsidR="00490478">
        <w:t xml:space="preserve">s finances – the </w:t>
      </w:r>
      <w:r w:rsidR="00256BD7">
        <w:t xml:space="preserve">financial and projected financial conditions </w:t>
      </w:r>
      <w:r w:rsidR="00256BD7" w:rsidRPr="00D01DDB">
        <w:t>of the coal-fired generation assets</w:t>
      </w:r>
      <w:r w:rsidR="00AE33F7">
        <w:t>,</w:t>
      </w:r>
      <w:r w:rsidR="00256BD7" w:rsidRPr="00D01DDB">
        <w:t xml:space="preserve"> </w:t>
      </w:r>
      <w:r w:rsidR="00490478">
        <w:t xml:space="preserve">which </w:t>
      </w:r>
      <w:r w:rsidR="00AE33F7">
        <w:t>are to be divested soon.  It fails to consider the transmission and distribution operations of DP&amp;L.</w:t>
      </w:r>
      <w:r w:rsidR="00AE33F7">
        <w:rPr>
          <w:rStyle w:val="FootnoteReference"/>
        </w:rPr>
        <w:footnoteReference w:id="27"/>
      </w:r>
      <w:r w:rsidR="00AE33F7">
        <w:t xml:space="preserve">  </w:t>
      </w:r>
      <w:r w:rsidR="00264C4F">
        <w:t>A</w:t>
      </w:r>
      <w:r w:rsidR="00AE33F7">
        <w:t xml:space="preserve">nd it looks at </w:t>
      </w:r>
      <w:r w:rsidR="00B050F2" w:rsidRPr="00D01DDB">
        <w:t>DPL, Inc.</w:t>
      </w:r>
      <w:r w:rsidR="009073C3">
        <w:t>’</w:t>
      </w:r>
      <w:r w:rsidR="00AE33F7">
        <w:t xml:space="preserve">s </w:t>
      </w:r>
      <w:r w:rsidR="0020341E">
        <w:t xml:space="preserve">(as opposed to DP&amp;L's) </w:t>
      </w:r>
      <w:r w:rsidR="00AE33F7">
        <w:t>financial needs</w:t>
      </w:r>
      <w:r w:rsidR="00490478">
        <w:t>,</w:t>
      </w:r>
      <w:r w:rsidR="00AE33F7">
        <w:t xml:space="preserve"> which are </w:t>
      </w:r>
      <w:r>
        <w:t xml:space="preserve">not </w:t>
      </w:r>
      <w:r w:rsidR="00AE33F7">
        <w:t xml:space="preserve">relevant to any discussion of the SSR-E.  </w:t>
      </w:r>
      <w:r w:rsidR="00B050F2">
        <w:t xml:space="preserve">DP&amp;L Witness </w:t>
      </w:r>
      <w:r w:rsidR="0020341E">
        <w:t>Malinak’s direct pre-</w:t>
      </w:r>
      <w:r w:rsidR="00256BD7">
        <w:t xml:space="preserve">filed testimony has no specific information regarding the financial condition </w:t>
      </w:r>
      <w:r w:rsidR="00D01DDB">
        <w:t xml:space="preserve">of </w:t>
      </w:r>
      <w:r w:rsidR="0020341E">
        <w:t>DP&amp;L's</w:t>
      </w:r>
      <w:r w:rsidR="00D01DDB">
        <w:t xml:space="preserve"> regulated </w:t>
      </w:r>
      <w:r w:rsidR="00264C4F">
        <w:t xml:space="preserve">transmission </w:t>
      </w:r>
      <w:r w:rsidR="00E04269">
        <w:t xml:space="preserve">and distribution </w:t>
      </w:r>
      <w:r w:rsidR="00AE33F7">
        <w:t>activities</w:t>
      </w:r>
      <w:r w:rsidR="00256BD7">
        <w:t xml:space="preserve">. </w:t>
      </w:r>
      <w:r w:rsidR="00D01DDB">
        <w:t xml:space="preserve"> </w:t>
      </w:r>
    </w:p>
    <w:p w:rsidR="00050E6B" w:rsidRDefault="00D01DDB" w:rsidP="00A62C61">
      <w:pPr>
        <w:spacing w:line="480" w:lineRule="auto"/>
        <w:ind w:firstLine="720"/>
      </w:pPr>
      <w:r>
        <w:t>Further</w:t>
      </w:r>
      <w:r w:rsidR="00AC277A">
        <w:t xml:space="preserve">, </w:t>
      </w:r>
      <w:r w:rsidR="00B050F2">
        <w:t xml:space="preserve">DP&amp;L Witness </w:t>
      </w:r>
      <w:r w:rsidR="00256BD7">
        <w:t xml:space="preserve">Malinak’s testimony also </w:t>
      </w:r>
      <w:r w:rsidR="00E04269">
        <w:t>presents no</w:t>
      </w:r>
      <w:r w:rsidR="00256BD7">
        <w:t xml:space="preserve"> information regarding the financial condition of DP&amp;L </w:t>
      </w:r>
      <w:r w:rsidR="00256BD7" w:rsidRPr="00F57712">
        <w:rPr>
          <w:i/>
        </w:rPr>
        <w:t xml:space="preserve">after the conclusion of </w:t>
      </w:r>
      <w:r w:rsidR="00AC277A" w:rsidRPr="00F57712">
        <w:rPr>
          <w:i/>
        </w:rPr>
        <w:t>the</w:t>
      </w:r>
      <w:r w:rsidR="00256BD7" w:rsidRPr="00F57712">
        <w:rPr>
          <w:i/>
        </w:rPr>
        <w:t xml:space="preserve"> distribution rate case</w:t>
      </w:r>
      <w:r w:rsidR="00AC277A" w:rsidRPr="00F57712">
        <w:rPr>
          <w:i/>
        </w:rPr>
        <w:t>.</w:t>
      </w:r>
      <w:r w:rsidR="00AC277A">
        <w:t xml:space="preserve"> </w:t>
      </w:r>
      <w:r w:rsidR="00264C4F">
        <w:t>Yet</w:t>
      </w:r>
      <w:r w:rsidR="00490478">
        <w:t xml:space="preserve"> that is the very information </w:t>
      </w:r>
      <w:r w:rsidR="00264C4F">
        <w:t xml:space="preserve">the PUCO insisted upon seeing </w:t>
      </w:r>
      <w:r w:rsidR="00490478">
        <w:t>before</w:t>
      </w:r>
      <w:r w:rsidR="00264C4F">
        <w:t xml:space="preserve"> </w:t>
      </w:r>
      <w:r w:rsidR="00490478">
        <w:t>it would consider</w:t>
      </w:r>
      <w:r w:rsidR="00264C4F">
        <w:t xml:space="preserve"> the SSR-E.  Th</w:t>
      </w:r>
      <w:r w:rsidR="00350D3B">
        <w:t xml:space="preserve">at </w:t>
      </w:r>
      <w:r w:rsidR="00490478">
        <w:t>is</w:t>
      </w:r>
      <w:r w:rsidR="00350D3B">
        <w:t xml:space="preserve"> the reason the </w:t>
      </w:r>
      <w:r w:rsidR="00490478">
        <w:t>PUCO</w:t>
      </w:r>
      <w:r w:rsidR="00264C4F">
        <w:t xml:space="preserve"> required the rate case filing well in advance of any filing for SSR-E.  </w:t>
      </w:r>
    </w:p>
    <w:p w:rsidR="00833D05" w:rsidRDefault="00490478" w:rsidP="00A62C61">
      <w:pPr>
        <w:spacing w:line="480" w:lineRule="auto"/>
        <w:ind w:firstLine="720"/>
      </w:pPr>
      <w:r>
        <w:t>The PUCO</w:t>
      </w:r>
      <w:r w:rsidR="00264C4F">
        <w:t xml:space="preserve"> </w:t>
      </w:r>
      <w:r>
        <w:t>said</w:t>
      </w:r>
      <w:r w:rsidR="00264C4F">
        <w:t xml:space="preserve"> that DP&amp;L must file its application for a distributi</w:t>
      </w:r>
      <w:r>
        <w:t>on rate case by July 1, 2014.  “</w:t>
      </w:r>
      <w:r w:rsidR="00264C4F">
        <w:t xml:space="preserve">The commission will then consider the </w:t>
      </w:r>
      <w:r w:rsidR="004A49E3">
        <w:t>impact of any adjustment in rates resulting from the distribution rate case in determining the amount of the SSR-E.  The Commission believes that conducting a distribution rate case before authorizing the SSR-E will provide the Commission and parties with the increased certainty nec</w:t>
      </w:r>
      <w:r w:rsidR="009073C3">
        <w:t>essary to evaluate whether DP&amp;L’</w:t>
      </w:r>
      <w:r w:rsidR="004A49E3">
        <w:t xml:space="preserve">s financial integrity is at risk and </w:t>
      </w:r>
      <w:r>
        <w:t>whether the SSR-E is necessary.”</w:t>
      </w:r>
      <w:r w:rsidR="004A49E3">
        <w:rPr>
          <w:rStyle w:val="FootnoteReference"/>
        </w:rPr>
        <w:footnoteReference w:id="28"/>
      </w:r>
      <w:r w:rsidR="00264C4F">
        <w:t xml:space="preserve"> </w:t>
      </w:r>
      <w:r w:rsidR="004A49E3">
        <w:t>But a</w:t>
      </w:r>
      <w:r w:rsidR="00AC277A">
        <w:t xml:space="preserve">s discussed below, </w:t>
      </w:r>
      <w:r>
        <w:t>DP&amp;L’s</w:t>
      </w:r>
      <w:r w:rsidR="004A49E3">
        <w:t xml:space="preserve"> </w:t>
      </w:r>
      <w:r>
        <w:t>late</w:t>
      </w:r>
      <w:r w:rsidR="004A49E3">
        <w:t xml:space="preserve"> distribution </w:t>
      </w:r>
      <w:r>
        <w:t xml:space="preserve">rate </w:t>
      </w:r>
      <w:r w:rsidR="004A49E3">
        <w:t xml:space="preserve">case filing </w:t>
      </w:r>
      <w:r w:rsidR="00AC277A">
        <w:t>makes</w:t>
      </w:r>
      <w:r w:rsidR="00256BD7">
        <w:t xml:space="preserve"> it impossible </w:t>
      </w:r>
      <w:r w:rsidR="00AC277A">
        <w:t xml:space="preserve">for the PUCO </w:t>
      </w:r>
      <w:r w:rsidR="00256BD7">
        <w:t xml:space="preserve">to </w:t>
      </w:r>
      <w:r w:rsidR="00567373">
        <w:t>determine</w:t>
      </w:r>
      <w:r w:rsidR="00256BD7">
        <w:t xml:space="preserve"> </w:t>
      </w:r>
      <w:r w:rsidR="004A49E3">
        <w:t>t</w:t>
      </w:r>
      <w:r w:rsidR="009073C3">
        <w:t xml:space="preserve">he impact of any PUCO approved </w:t>
      </w:r>
      <w:r w:rsidR="004A49E3">
        <w:t xml:space="preserve">rate adjustments from the distribution filing on </w:t>
      </w:r>
      <w:r w:rsidR="00256BD7">
        <w:t>DP&amp;L’s financial condition</w:t>
      </w:r>
      <w:r w:rsidR="004A49E3">
        <w:t>.</w:t>
      </w:r>
      <w:r w:rsidR="008650EE">
        <w:t xml:space="preserve"> </w:t>
      </w:r>
    </w:p>
    <w:p w:rsidR="00F94B8A" w:rsidRDefault="004A49E3" w:rsidP="00A62C61">
      <w:pPr>
        <w:spacing w:line="480" w:lineRule="auto"/>
        <w:ind w:firstLine="720"/>
      </w:pPr>
      <w:r>
        <w:t>Apart from any improvement in DP&amp;</w:t>
      </w:r>
      <w:r w:rsidR="009073C3">
        <w:t>L’</w:t>
      </w:r>
      <w:r>
        <w:t xml:space="preserve">s financial position that may result </w:t>
      </w:r>
      <w:r w:rsidR="00490478">
        <w:t>from</w:t>
      </w:r>
      <w:r>
        <w:t xml:space="preserve"> DP&amp;L's late filed distribution </w:t>
      </w:r>
      <w:r w:rsidR="00490478">
        <w:t xml:space="preserve">rate </w:t>
      </w:r>
      <w:r>
        <w:t xml:space="preserve">case, </w:t>
      </w:r>
      <w:r w:rsidR="00AC277A">
        <w:t>DP&amp;L’s</w:t>
      </w:r>
      <w:r w:rsidR="00256BD7">
        <w:t xml:space="preserve"> </w:t>
      </w:r>
      <w:r>
        <w:t xml:space="preserve">past </w:t>
      </w:r>
      <w:r w:rsidR="00256BD7">
        <w:t>financial condition has been strong</w:t>
      </w:r>
      <w:r w:rsidR="006A6946">
        <w:t xml:space="preserve">. </w:t>
      </w:r>
      <w:r w:rsidR="00AC277A">
        <w:t>Table 1 shows</w:t>
      </w:r>
      <w:r w:rsidR="006A6946">
        <w:t>, among other things,</w:t>
      </w:r>
      <w:r w:rsidR="00AC277A">
        <w:t xml:space="preserve"> DP&amp;L’s</w:t>
      </w:r>
      <w:r w:rsidR="00256BD7">
        <w:t xml:space="preserve"> dividend payments, return on </w:t>
      </w:r>
      <w:r w:rsidR="00E03971">
        <w:t>equity</w:t>
      </w:r>
      <w:r w:rsidR="00256BD7">
        <w:t xml:space="preserve"> and net income </w:t>
      </w:r>
      <w:r w:rsidR="00AC277A">
        <w:t>for 2011 through 2015</w:t>
      </w:r>
      <w:r w:rsidR="00256BD7">
        <w:t>.</w:t>
      </w:r>
      <w:r w:rsidR="00B4520F">
        <w:rPr>
          <w:rStyle w:val="FootnoteReference"/>
        </w:rPr>
        <w:footnoteReference w:id="29"/>
      </w:r>
    </w:p>
    <w:p w:rsidR="00F94B8A" w:rsidRDefault="00F94B8A">
      <w:pPr>
        <w:spacing w:after="200" w:line="276" w:lineRule="auto"/>
      </w:pPr>
      <w:r>
        <w:br w:type="page"/>
      </w:r>
    </w:p>
    <w:tbl>
      <w:tblPr>
        <w:tblW w:w="9068" w:type="dxa"/>
        <w:tblInd w:w="-342" w:type="dxa"/>
        <w:tblLayout w:type="fixed"/>
        <w:tblCellMar>
          <w:left w:w="0" w:type="dxa"/>
          <w:right w:w="0" w:type="dxa"/>
        </w:tblCellMar>
        <w:tblLook w:val="04A0" w:firstRow="1" w:lastRow="0" w:firstColumn="1" w:lastColumn="0" w:noHBand="0" w:noVBand="1"/>
      </w:tblPr>
      <w:tblGrid>
        <w:gridCol w:w="720"/>
        <w:gridCol w:w="1170"/>
        <w:gridCol w:w="1592"/>
        <w:gridCol w:w="1288"/>
        <w:gridCol w:w="1080"/>
        <w:gridCol w:w="1170"/>
        <w:gridCol w:w="1125"/>
        <w:gridCol w:w="45"/>
        <w:gridCol w:w="878"/>
      </w:tblGrid>
      <w:tr w:rsidR="003C6DCC" w:rsidTr="00A80C67">
        <w:trPr>
          <w:trHeight w:val="430"/>
        </w:trPr>
        <w:tc>
          <w:tcPr>
            <w:tcW w:w="9068" w:type="dxa"/>
            <w:gridSpan w:val="9"/>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3C6DCC" w:rsidRPr="00DA48AE" w:rsidRDefault="00AC277A" w:rsidP="00AC277A">
            <w:pPr>
              <w:pStyle w:val="ListParagraph"/>
              <w:ind w:left="0"/>
              <w:contextualSpacing/>
              <w:jc w:val="center"/>
              <w:rPr>
                <w:u w:val="single"/>
              </w:rPr>
            </w:pPr>
            <w:r w:rsidRPr="00DA48AE">
              <w:rPr>
                <w:sz w:val="22"/>
                <w:u w:val="single"/>
              </w:rPr>
              <w:t>Table</w:t>
            </w:r>
            <w:r w:rsidR="003C6DCC" w:rsidRPr="00DA48AE">
              <w:rPr>
                <w:sz w:val="22"/>
                <w:u w:val="single"/>
              </w:rPr>
              <w:t xml:space="preserve"> 1: DP&amp;L Financial Condition 2011-2015</w:t>
            </w:r>
          </w:p>
        </w:tc>
      </w:tr>
      <w:tr w:rsidR="00256BD7" w:rsidTr="00E95A3E">
        <w:trPr>
          <w:trHeight w:val="1780"/>
        </w:trPr>
        <w:tc>
          <w:tcPr>
            <w:tcW w:w="72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hideMark/>
          </w:tcPr>
          <w:p w:rsidR="00256BD7" w:rsidRPr="00DA48AE" w:rsidRDefault="00256BD7" w:rsidP="00E95A3E">
            <w:pPr>
              <w:pStyle w:val="ListParagraph"/>
              <w:ind w:left="0"/>
              <w:contextualSpacing/>
              <w:jc w:val="center"/>
            </w:pPr>
            <w:r w:rsidRPr="00DA48AE">
              <w:rPr>
                <w:sz w:val="22"/>
              </w:rPr>
              <w:t>Year</w:t>
            </w:r>
          </w:p>
        </w:tc>
        <w:tc>
          <w:tcPr>
            <w:tcW w:w="117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hideMark/>
          </w:tcPr>
          <w:p w:rsidR="00256BD7" w:rsidRPr="00DA48AE" w:rsidRDefault="00256BD7" w:rsidP="00E95A3E">
            <w:pPr>
              <w:pStyle w:val="ListParagraph"/>
              <w:ind w:left="0"/>
              <w:contextualSpacing/>
              <w:jc w:val="center"/>
            </w:pPr>
            <w:r w:rsidRPr="00DA48AE">
              <w:rPr>
                <w:sz w:val="22"/>
              </w:rPr>
              <w:t>Common Stock Dividends</w:t>
            </w:r>
          </w:p>
        </w:tc>
        <w:tc>
          <w:tcPr>
            <w:tcW w:w="1592"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hideMark/>
          </w:tcPr>
          <w:p w:rsidR="00256BD7" w:rsidRPr="00DA48AE" w:rsidRDefault="00256BD7" w:rsidP="00E95A3E">
            <w:pPr>
              <w:pStyle w:val="ListParagraph"/>
              <w:ind w:left="0"/>
              <w:contextualSpacing/>
              <w:jc w:val="center"/>
            </w:pPr>
            <w:r w:rsidRPr="00DA48AE">
              <w:rPr>
                <w:sz w:val="22"/>
              </w:rPr>
              <w:t>Net Income Attributable to Common Stock Shareholder</w:t>
            </w:r>
          </w:p>
        </w:tc>
        <w:tc>
          <w:tcPr>
            <w:tcW w:w="1288"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hideMark/>
          </w:tcPr>
          <w:p w:rsidR="00256BD7" w:rsidRPr="00DA48AE" w:rsidRDefault="00256BD7" w:rsidP="00E95A3E">
            <w:pPr>
              <w:pStyle w:val="ListParagraph"/>
              <w:ind w:left="0"/>
              <w:contextualSpacing/>
              <w:jc w:val="center"/>
            </w:pPr>
            <w:r w:rsidRPr="00DA48AE">
              <w:rPr>
                <w:sz w:val="22"/>
              </w:rPr>
              <w:t>Common Shareholders’ Equity</w:t>
            </w:r>
          </w:p>
        </w:tc>
        <w:tc>
          <w:tcPr>
            <w:tcW w:w="10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hideMark/>
          </w:tcPr>
          <w:p w:rsidR="00256BD7" w:rsidRPr="00DA48AE" w:rsidRDefault="00256BD7" w:rsidP="00E95A3E">
            <w:pPr>
              <w:pStyle w:val="ListParagraph"/>
              <w:ind w:left="0"/>
              <w:contextualSpacing/>
              <w:jc w:val="center"/>
            </w:pPr>
            <w:r w:rsidRPr="00DA48AE">
              <w:rPr>
                <w:sz w:val="22"/>
              </w:rPr>
              <w:t>Return on Equity</w:t>
            </w:r>
          </w:p>
        </w:tc>
        <w:tc>
          <w:tcPr>
            <w:tcW w:w="117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hideMark/>
          </w:tcPr>
          <w:p w:rsidR="00256BD7" w:rsidRPr="00DA48AE" w:rsidRDefault="00256BD7" w:rsidP="00E95A3E">
            <w:pPr>
              <w:pStyle w:val="ListParagraph"/>
              <w:ind w:left="0"/>
              <w:contextualSpacing/>
              <w:jc w:val="center"/>
            </w:pPr>
            <w:r w:rsidRPr="00DA48AE">
              <w:rPr>
                <w:sz w:val="22"/>
              </w:rPr>
              <w:t>Long-term Debts Exclude Current Maturity</w:t>
            </w:r>
          </w:p>
        </w:tc>
        <w:tc>
          <w:tcPr>
            <w:tcW w:w="1125"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hideMark/>
          </w:tcPr>
          <w:p w:rsidR="00256BD7" w:rsidRPr="00DA48AE" w:rsidRDefault="00256BD7" w:rsidP="00E95A3E">
            <w:pPr>
              <w:pStyle w:val="ListParagraph"/>
              <w:ind w:left="0"/>
              <w:contextualSpacing/>
              <w:jc w:val="center"/>
            </w:pPr>
            <w:r w:rsidRPr="00DA48AE">
              <w:rPr>
                <w:sz w:val="22"/>
              </w:rPr>
              <w:t>Operating Income</w:t>
            </w:r>
          </w:p>
        </w:tc>
        <w:tc>
          <w:tcPr>
            <w:tcW w:w="923" w:type="dxa"/>
            <w:gridSpan w:val="2"/>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vAlign w:val="center"/>
            <w:hideMark/>
          </w:tcPr>
          <w:p w:rsidR="00256BD7" w:rsidRPr="00DA48AE" w:rsidRDefault="00256BD7" w:rsidP="00E95A3E">
            <w:pPr>
              <w:pStyle w:val="ListParagraph"/>
              <w:ind w:left="0"/>
              <w:contextualSpacing/>
              <w:jc w:val="center"/>
            </w:pPr>
          </w:p>
          <w:p w:rsidR="00256BD7" w:rsidRPr="00DA48AE" w:rsidRDefault="00256BD7" w:rsidP="00E95A3E">
            <w:pPr>
              <w:pStyle w:val="ListParagraph"/>
              <w:ind w:left="0"/>
              <w:contextualSpacing/>
              <w:jc w:val="center"/>
            </w:pPr>
            <w:r w:rsidRPr="00DA48AE">
              <w:rPr>
                <w:sz w:val="22"/>
              </w:rPr>
              <w:t>Capital Expenditure</w:t>
            </w:r>
          </w:p>
        </w:tc>
      </w:tr>
      <w:tr w:rsidR="00256BD7" w:rsidTr="00DA48AE">
        <w:tc>
          <w:tcPr>
            <w:tcW w:w="72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2015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50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105.5</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1,212.7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8.70</w:t>
            </w:r>
            <w:r w:rsidR="00490478">
              <w:rPr>
                <w:sz w:val="22"/>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318</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177.8</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127</w:t>
            </w:r>
          </w:p>
        </w:tc>
      </w:tr>
      <w:tr w:rsidR="00256BD7" w:rsidTr="00DA48AE">
        <w:tc>
          <w:tcPr>
            <w:tcW w:w="72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2014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159</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114.1</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1,143.4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9.98</w:t>
            </w:r>
            <w:r w:rsidR="00490478">
              <w:rPr>
                <w:sz w:val="22"/>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877</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188.8</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114.2</w:t>
            </w:r>
          </w:p>
        </w:tc>
      </w:tr>
      <w:tr w:rsidR="00256BD7" w:rsidTr="00DA48AE">
        <w:tc>
          <w:tcPr>
            <w:tcW w:w="72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2013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190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82.7</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1,204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6.87</w:t>
            </w:r>
            <w:r w:rsidR="00490478">
              <w:rPr>
                <w:sz w:val="22"/>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876.9</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139.9</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122.1</w:t>
            </w:r>
          </w:p>
        </w:tc>
      </w:tr>
      <w:tr w:rsidR="00256BD7" w:rsidTr="00DA48AE">
        <w:tc>
          <w:tcPr>
            <w:tcW w:w="72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2012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145</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90.3</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1,299.1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6.95</w:t>
            </w:r>
            <w:r w:rsidR="00490478">
              <w:rPr>
                <w:sz w:val="22"/>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332.7</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185</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n/a</w:t>
            </w:r>
          </w:p>
        </w:tc>
      </w:tr>
      <w:tr w:rsidR="00256BD7" w:rsidTr="00DA48AE">
        <w:tc>
          <w:tcPr>
            <w:tcW w:w="72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2011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220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192.3</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1,357.9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14.16</w:t>
            </w:r>
            <w:r w:rsidR="00490478">
              <w:rPr>
                <w:sz w:val="22"/>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903</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DA48AE" w:rsidP="003C6DCC">
            <w:pPr>
              <w:pStyle w:val="ListParagraph"/>
              <w:ind w:left="0"/>
              <w:jc w:val="center"/>
            </w:pPr>
            <w:r w:rsidRPr="00DA48AE">
              <w:rPr>
                <w:sz w:val="22"/>
              </w:rPr>
              <w:t>$</w:t>
            </w:r>
            <w:r w:rsidR="00256BD7" w:rsidRPr="00DA48AE">
              <w:rPr>
                <w:sz w:val="22"/>
              </w:rPr>
              <w:t>319.9</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256BD7" w:rsidRPr="00DA48AE" w:rsidRDefault="00256BD7" w:rsidP="003C6DCC">
            <w:pPr>
              <w:pStyle w:val="ListParagraph"/>
              <w:ind w:left="0"/>
              <w:jc w:val="center"/>
            </w:pPr>
            <w:r w:rsidRPr="00DA48AE">
              <w:rPr>
                <w:sz w:val="22"/>
              </w:rPr>
              <w:t>n/a</w:t>
            </w:r>
          </w:p>
        </w:tc>
      </w:tr>
    </w:tbl>
    <w:p w:rsidR="00256BD7" w:rsidRPr="0040600B" w:rsidRDefault="001F67F6" w:rsidP="00114A44">
      <w:pPr>
        <w:spacing w:line="480" w:lineRule="auto"/>
        <w:ind w:left="5040"/>
        <w:rPr>
          <w:sz w:val="20"/>
          <w:szCs w:val="20"/>
        </w:rPr>
      </w:pPr>
      <w:r>
        <w:rPr>
          <w:sz w:val="20"/>
          <w:szCs w:val="20"/>
        </w:rPr>
        <w:t xml:space="preserve">         </w:t>
      </w:r>
      <w:r w:rsidR="00DA48AE">
        <w:rPr>
          <w:sz w:val="20"/>
          <w:szCs w:val="20"/>
        </w:rPr>
        <w:tab/>
      </w:r>
      <w:r w:rsidR="00DA48AE">
        <w:rPr>
          <w:sz w:val="20"/>
          <w:szCs w:val="20"/>
        </w:rPr>
        <w:tab/>
      </w:r>
      <w:r>
        <w:rPr>
          <w:sz w:val="20"/>
          <w:szCs w:val="20"/>
        </w:rPr>
        <w:t xml:space="preserve"> </w:t>
      </w:r>
      <w:r w:rsidR="0040600B" w:rsidRPr="0040600B">
        <w:rPr>
          <w:sz w:val="20"/>
          <w:szCs w:val="20"/>
        </w:rPr>
        <w:t>*</w:t>
      </w:r>
      <w:r w:rsidR="00A01BFD">
        <w:rPr>
          <w:sz w:val="20"/>
          <w:szCs w:val="20"/>
        </w:rPr>
        <w:t>$</w:t>
      </w:r>
      <w:r w:rsidR="0040600B" w:rsidRPr="0040600B">
        <w:rPr>
          <w:sz w:val="20"/>
          <w:szCs w:val="20"/>
        </w:rPr>
        <w:t xml:space="preserve"> in millions of dollars.</w:t>
      </w:r>
    </w:p>
    <w:p w:rsidR="001033EA" w:rsidRDefault="009073C3" w:rsidP="00BE4FF0">
      <w:pPr>
        <w:spacing w:line="480" w:lineRule="auto"/>
        <w:ind w:firstLine="720"/>
      </w:pPr>
      <w:r>
        <w:t>The strength of DP&amp;L’</w:t>
      </w:r>
      <w:r w:rsidR="004A49E3">
        <w:t xml:space="preserve">s finances </w:t>
      </w:r>
      <w:r w:rsidR="00256141">
        <w:t>has not hindered</w:t>
      </w:r>
      <w:r w:rsidR="00350D3B">
        <w:t xml:space="preserve"> the significant, yearly dividend payments that DP&amp;L has made to its parent, DP&amp;L Inc.  </w:t>
      </w:r>
      <w:r w:rsidR="00833D05">
        <w:t>DP&amp;L</w:t>
      </w:r>
      <w:r w:rsidR="00091B4A">
        <w:t xml:space="preserve"> admits</w:t>
      </w:r>
      <w:r w:rsidR="00833D05">
        <w:t xml:space="preserve"> that </w:t>
      </w:r>
      <w:r w:rsidR="00AC277A">
        <w:t xml:space="preserve">it </w:t>
      </w:r>
      <w:r w:rsidR="00833D05">
        <w:t>has made or will make dividend payments tot</w:t>
      </w:r>
      <w:r w:rsidR="00091B4A">
        <w:t>aling $75 million to DP&amp;L, Inc.</w:t>
      </w:r>
      <w:r w:rsidR="00AC277A">
        <w:t xml:space="preserve"> in 2015 and 2016.</w:t>
      </w:r>
      <w:r w:rsidR="00091B4A">
        <w:rPr>
          <w:rStyle w:val="FootnoteReference"/>
        </w:rPr>
        <w:footnoteReference w:id="30"/>
      </w:r>
      <w:r w:rsidR="00833D05">
        <w:t xml:space="preserve"> </w:t>
      </w:r>
      <w:r w:rsidR="001369FE">
        <w:t xml:space="preserve"> </w:t>
      </w:r>
      <w:r w:rsidR="002F18CF">
        <w:t>It also</w:t>
      </w:r>
      <w:r w:rsidR="00833D05">
        <w:t xml:space="preserve"> expects to receive equity contribut</w:t>
      </w:r>
      <w:r w:rsidR="00FA256E">
        <w:t>ions from DP</w:t>
      </w:r>
      <w:r w:rsidR="00833D05">
        <w:t>L, Inc. totaling $213 million in 2017 and 2018.</w:t>
      </w:r>
      <w:r w:rsidR="00833D05">
        <w:rPr>
          <w:rStyle w:val="FootnoteReference"/>
        </w:rPr>
        <w:footnoteReference w:id="31"/>
      </w:r>
      <w:r w:rsidR="00833D05">
        <w:t xml:space="preserve"> </w:t>
      </w:r>
      <w:r w:rsidR="001369FE">
        <w:t xml:space="preserve"> </w:t>
      </w:r>
      <w:r w:rsidR="00FA256E">
        <w:t>DP&amp;</w:t>
      </w:r>
      <w:r w:rsidR="00430F12">
        <w:t xml:space="preserve">L </w:t>
      </w:r>
      <w:r w:rsidR="00567373">
        <w:t xml:space="preserve">conveniently does </w:t>
      </w:r>
      <w:r w:rsidR="00567373" w:rsidRPr="00567373">
        <w:rPr>
          <w:i/>
        </w:rPr>
        <w:t>not</w:t>
      </w:r>
      <w:r w:rsidR="00430F12">
        <w:t xml:space="preserve"> disclose </w:t>
      </w:r>
      <w:r w:rsidR="00567373">
        <w:t>that (</w:t>
      </w:r>
      <w:r w:rsidR="00B4520F">
        <w:t xml:space="preserve">as shown in </w:t>
      </w:r>
      <w:r w:rsidR="00AC277A">
        <w:t>Table</w:t>
      </w:r>
      <w:r w:rsidR="00B4520F">
        <w:t xml:space="preserve"> 1</w:t>
      </w:r>
      <w:r w:rsidR="00567373">
        <w:t>)</w:t>
      </w:r>
      <w:r w:rsidR="00B4520F">
        <w:t xml:space="preserve"> </w:t>
      </w:r>
      <w:r w:rsidR="00AC277A">
        <w:t xml:space="preserve">it has </w:t>
      </w:r>
      <w:r w:rsidR="002F0131">
        <w:t>paid out $714 million in dividends to its parent, DPL, Inc.</w:t>
      </w:r>
      <w:r w:rsidR="00256141">
        <w:t>,</w:t>
      </w:r>
      <w:r w:rsidR="002F0131">
        <w:t xml:space="preserve"> </w:t>
      </w:r>
      <w:r w:rsidR="00E4101E">
        <w:t>from 2011 to 2014</w:t>
      </w:r>
      <w:r w:rsidR="00B4520F">
        <w:t>.</w:t>
      </w:r>
      <w:r w:rsidR="00530B5F">
        <w:t xml:space="preserve"> </w:t>
      </w:r>
      <w:r w:rsidR="001369FE">
        <w:t xml:space="preserve"> </w:t>
      </w:r>
      <w:r w:rsidR="00530B5F" w:rsidRPr="00E008DF">
        <w:t>This fact</w:t>
      </w:r>
      <w:r w:rsidR="00567373">
        <w:t xml:space="preserve"> alone – but certainly </w:t>
      </w:r>
      <w:r w:rsidR="00530B5F" w:rsidRPr="00E008DF">
        <w:t xml:space="preserve">coupled with the additional information in </w:t>
      </w:r>
      <w:r w:rsidR="00AC277A" w:rsidRPr="00E008DF">
        <w:t>Table</w:t>
      </w:r>
      <w:r w:rsidR="00567373">
        <w:t xml:space="preserve"> 1 – </w:t>
      </w:r>
      <w:r w:rsidR="00530B5F" w:rsidRPr="00E008DF">
        <w:t>demonstrates that DP&amp;L does not have a financial need for the SSR-E.</w:t>
      </w:r>
    </w:p>
    <w:p w:rsidR="009E1CA8" w:rsidRDefault="00AC277A" w:rsidP="00A62C61">
      <w:pPr>
        <w:spacing w:line="480" w:lineRule="auto"/>
        <w:ind w:firstLine="720"/>
      </w:pPr>
      <w:r>
        <w:t>DP&amp;L’s</w:t>
      </w:r>
      <w:r w:rsidR="00530B5F">
        <w:t xml:space="preserve"> bond ratings</w:t>
      </w:r>
      <w:r>
        <w:t xml:space="preserve"> (shown in Table 2)</w:t>
      </w:r>
      <w:r w:rsidR="00A80C67">
        <w:t xml:space="preserve"> </w:t>
      </w:r>
      <w:r w:rsidR="00530B5F">
        <w:t>have</w:t>
      </w:r>
      <w:r w:rsidR="002F18CF">
        <w:t xml:space="preserve"> also</w:t>
      </w:r>
      <w:r w:rsidR="00530B5F">
        <w:t xml:space="preserve"> been stable in recent years</w:t>
      </w:r>
      <w:r w:rsidR="001369FE">
        <w:t>.</w:t>
      </w:r>
      <w:r w:rsidR="00FB51CA">
        <w:t xml:space="preserve"> </w:t>
      </w:r>
      <w:r w:rsidR="00350D3B">
        <w:t xml:space="preserve">This is another reason that additional revenues need not be collected from customers under </w:t>
      </w:r>
      <w:r w:rsidR="00256141">
        <w:t>the</w:t>
      </w:r>
      <w:r w:rsidR="00350D3B">
        <w:t xml:space="preserve"> SSR-E.  </w:t>
      </w:r>
      <w:r w:rsidR="007A5EA3">
        <w:t xml:space="preserve">DP&amp;L is financially stable with </w:t>
      </w:r>
      <w:r w:rsidR="001369FE">
        <w:t xml:space="preserve">no </w:t>
      </w:r>
      <w:r w:rsidR="007A5EA3">
        <w:t>need for an SSR-E</w:t>
      </w:r>
      <w:r w:rsidR="00530B5F">
        <w:t>.</w:t>
      </w:r>
      <w:r w:rsidR="00FB51CA">
        <w:rPr>
          <w:rStyle w:val="FootnoteReference"/>
        </w:rPr>
        <w:footnoteReference w:id="32"/>
      </w:r>
      <w:r w:rsidR="00530B5F">
        <w:t xml:space="preserve"> </w:t>
      </w:r>
    </w:p>
    <w:tbl>
      <w:tblPr>
        <w:tblW w:w="0" w:type="auto"/>
        <w:tblInd w:w="108" w:type="dxa"/>
        <w:tblCellMar>
          <w:left w:w="0" w:type="dxa"/>
          <w:right w:w="0" w:type="dxa"/>
        </w:tblCellMar>
        <w:tblLook w:val="04A0" w:firstRow="1" w:lastRow="0" w:firstColumn="1" w:lastColumn="0" w:noHBand="0" w:noVBand="1"/>
      </w:tblPr>
      <w:tblGrid>
        <w:gridCol w:w="2340"/>
        <w:gridCol w:w="1712"/>
        <w:gridCol w:w="1528"/>
        <w:gridCol w:w="1980"/>
      </w:tblGrid>
      <w:tr w:rsidR="003C6DCC" w:rsidTr="00407B4A">
        <w:trPr>
          <w:trHeight w:val="322"/>
        </w:trPr>
        <w:tc>
          <w:tcPr>
            <w:tcW w:w="756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vAlign w:val="center"/>
          </w:tcPr>
          <w:p w:rsidR="003C6DCC" w:rsidRPr="00DA48AE" w:rsidRDefault="00E26DF0" w:rsidP="00E26DF0">
            <w:pPr>
              <w:pStyle w:val="ListParagraph"/>
              <w:ind w:left="0"/>
              <w:jc w:val="center"/>
              <w:rPr>
                <w:u w:val="single"/>
              </w:rPr>
            </w:pPr>
            <w:r w:rsidRPr="00DA48AE">
              <w:rPr>
                <w:sz w:val="22"/>
                <w:u w:val="single"/>
              </w:rPr>
              <w:t>Table</w:t>
            </w:r>
            <w:r w:rsidR="003C6DCC" w:rsidRPr="00DA48AE">
              <w:rPr>
                <w:sz w:val="22"/>
                <w:u w:val="single"/>
              </w:rPr>
              <w:t xml:space="preserve"> 2: DP&amp;L Bond Rating</w:t>
            </w:r>
          </w:p>
        </w:tc>
      </w:tr>
      <w:tr w:rsidR="00530B5F" w:rsidTr="00407B4A">
        <w:tc>
          <w:tcPr>
            <w:tcW w:w="234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hideMark/>
          </w:tcPr>
          <w:p w:rsidR="00530B5F" w:rsidRPr="00DA48AE" w:rsidRDefault="00530B5F" w:rsidP="00530B5F">
            <w:pPr>
              <w:pStyle w:val="ListParagraph"/>
              <w:ind w:left="0"/>
              <w:jc w:val="center"/>
              <w:rPr>
                <w:u w:val="single"/>
              </w:rPr>
            </w:pPr>
            <w:r w:rsidRPr="00DA48AE">
              <w:rPr>
                <w:sz w:val="22"/>
                <w:u w:val="single"/>
              </w:rPr>
              <w:t>Rating Agency</w:t>
            </w:r>
          </w:p>
        </w:tc>
        <w:tc>
          <w:tcPr>
            <w:tcW w:w="1712"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hideMark/>
          </w:tcPr>
          <w:p w:rsidR="00530B5F" w:rsidRPr="00DA48AE" w:rsidRDefault="00530B5F" w:rsidP="00530B5F">
            <w:pPr>
              <w:pStyle w:val="ListParagraph"/>
              <w:ind w:left="0"/>
              <w:jc w:val="center"/>
              <w:rPr>
                <w:u w:val="single"/>
              </w:rPr>
            </w:pPr>
            <w:r w:rsidRPr="00DA48AE">
              <w:rPr>
                <w:sz w:val="22"/>
                <w:u w:val="single"/>
              </w:rPr>
              <w:t>Bond Rating</w:t>
            </w:r>
          </w:p>
        </w:tc>
        <w:tc>
          <w:tcPr>
            <w:tcW w:w="1528"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hideMark/>
          </w:tcPr>
          <w:p w:rsidR="00530B5F" w:rsidRPr="00DA48AE" w:rsidRDefault="00530B5F" w:rsidP="00530B5F">
            <w:pPr>
              <w:pStyle w:val="ListParagraph"/>
              <w:ind w:left="0"/>
              <w:jc w:val="center"/>
              <w:rPr>
                <w:u w:val="single"/>
              </w:rPr>
            </w:pPr>
            <w:r w:rsidRPr="00DA48AE">
              <w:rPr>
                <w:sz w:val="22"/>
                <w:u w:val="single"/>
              </w:rPr>
              <w:t>Outlook</w:t>
            </w:r>
          </w:p>
        </w:tc>
        <w:tc>
          <w:tcPr>
            <w:tcW w:w="19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hideMark/>
          </w:tcPr>
          <w:p w:rsidR="00530B5F" w:rsidRPr="00DA48AE" w:rsidRDefault="00530B5F" w:rsidP="00530B5F">
            <w:pPr>
              <w:pStyle w:val="ListParagraph"/>
              <w:ind w:left="0"/>
              <w:jc w:val="center"/>
              <w:rPr>
                <w:u w:val="single"/>
              </w:rPr>
            </w:pPr>
            <w:r w:rsidRPr="00DA48AE">
              <w:rPr>
                <w:sz w:val="22"/>
                <w:u w:val="single"/>
              </w:rPr>
              <w:t>Effective date</w:t>
            </w:r>
          </w:p>
        </w:tc>
      </w:tr>
      <w:tr w:rsidR="00530B5F" w:rsidTr="00407B4A">
        <w:tc>
          <w:tcPr>
            <w:tcW w:w="234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Fitch Ratings</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BB+</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Stable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September 2014</w:t>
            </w:r>
          </w:p>
        </w:tc>
      </w:tr>
      <w:tr w:rsidR="00530B5F" w:rsidTr="00407B4A">
        <w:tc>
          <w:tcPr>
            <w:tcW w:w="234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Moody’s</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Baa3</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Stable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October 2015</w:t>
            </w:r>
          </w:p>
        </w:tc>
      </w:tr>
      <w:tr w:rsidR="00530B5F" w:rsidTr="00407B4A">
        <w:trPr>
          <w:trHeight w:val="484"/>
        </w:trPr>
        <w:tc>
          <w:tcPr>
            <w:tcW w:w="2340"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Standard &amp; Poor’s</w:t>
            </w:r>
          </w:p>
        </w:tc>
        <w:tc>
          <w:tcPr>
            <w:tcW w:w="1712"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BB</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Stable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30B5F" w:rsidRPr="00DA48AE" w:rsidRDefault="00530B5F" w:rsidP="00530B5F">
            <w:pPr>
              <w:pStyle w:val="ListParagraph"/>
              <w:ind w:left="0"/>
              <w:jc w:val="center"/>
            </w:pPr>
            <w:r w:rsidRPr="00DA48AE">
              <w:rPr>
                <w:sz w:val="22"/>
              </w:rPr>
              <w:t>May 2014</w:t>
            </w:r>
          </w:p>
        </w:tc>
      </w:tr>
    </w:tbl>
    <w:p w:rsidR="005A4F45" w:rsidRDefault="005A4F45" w:rsidP="003C6DCC">
      <w:pPr>
        <w:spacing w:line="480" w:lineRule="auto"/>
        <w:ind w:firstLine="720"/>
      </w:pPr>
    </w:p>
    <w:p w:rsidR="00AE33F7" w:rsidRDefault="003C6DCC" w:rsidP="0023703F">
      <w:pPr>
        <w:spacing w:line="480" w:lineRule="auto"/>
      </w:pPr>
      <w:r w:rsidRPr="003C6DCC">
        <w:t xml:space="preserve">DP&amp;L has not demonstrated that its financial condition will </w:t>
      </w:r>
      <w:r w:rsidR="00E26DF0">
        <w:t>be negatively impacted</w:t>
      </w:r>
      <w:r w:rsidRPr="003C6DCC">
        <w:t xml:space="preserve"> in the near future. </w:t>
      </w:r>
      <w:r w:rsidR="001369FE">
        <w:t xml:space="preserve"> </w:t>
      </w:r>
      <w:r w:rsidR="00E26DF0">
        <w:t>This is consistent with t</w:t>
      </w:r>
      <w:r w:rsidRPr="003C6DCC">
        <w:t>he rating agencies</w:t>
      </w:r>
      <w:r w:rsidR="0023703F">
        <w:t xml:space="preserve">’ bond ratings, which </w:t>
      </w:r>
      <w:r w:rsidRPr="003C6DCC">
        <w:t xml:space="preserve">do not </w:t>
      </w:r>
      <w:r w:rsidR="0023703F">
        <w:t>indicate</w:t>
      </w:r>
      <w:r w:rsidRPr="003C6DCC">
        <w:t xml:space="preserve"> any change to DP&amp;L’s debt serviceability</w:t>
      </w:r>
      <w:r>
        <w:t xml:space="preserve">. </w:t>
      </w:r>
      <w:r w:rsidR="001369FE">
        <w:t xml:space="preserve"> </w:t>
      </w:r>
    </w:p>
    <w:p w:rsidR="003C6DCC" w:rsidRDefault="001369FE" w:rsidP="004821DF">
      <w:pPr>
        <w:spacing w:line="480" w:lineRule="auto"/>
        <w:ind w:firstLine="720"/>
      </w:pPr>
      <w:r>
        <w:t>Additionally,</w:t>
      </w:r>
      <w:r w:rsidR="003C6DCC" w:rsidRPr="003C6DCC">
        <w:t xml:space="preserve"> the financial condition of DP&amp;L could be enhanced </w:t>
      </w:r>
      <w:r w:rsidR="00E26DF0">
        <w:t>at</w:t>
      </w:r>
      <w:r w:rsidR="003C6DCC" w:rsidRPr="003C6DCC">
        <w:t xml:space="preserve"> the conclusion of its pending base distribution rate case.</w:t>
      </w:r>
      <w:r w:rsidR="003C6DCC">
        <w:rPr>
          <w:rStyle w:val="FootnoteReference"/>
        </w:rPr>
        <w:footnoteReference w:id="33"/>
      </w:r>
      <w:r w:rsidR="00B87805">
        <w:t> </w:t>
      </w:r>
      <w:r>
        <w:t xml:space="preserve"> </w:t>
      </w:r>
      <w:r w:rsidR="003C6DCC" w:rsidRPr="003C6DCC">
        <w:t>The new base distribution rates are likely to be implement</w:t>
      </w:r>
      <w:r w:rsidR="00B87805">
        <w:t>ed</w:t>
      </w:r>
      <w:r w:rsidR="003C6DCC" w:rsidRPr="003C6DCC">
        <w:t xml:space="preserve"> in early 2017</w:t>
      </w:r>
      <w:r w:rsidR="00E26DF0">
        <w:t xml:space="preserve"> – p</w:t>
      </w:r>
      <w:r w:rsidR="00A80C67">
        <w:t>recisely when DP&amp;L requests the</w:t>
      </w:r>
      <w:r w:rsidR="00E26DF0">
        <w:t xml:space="preserve"> </w:t>
      </w:r>
      <w:r>
        <w:t xml:space="preserve">authority to charge under the </w:t>
      </w:r>
      <w:r w:rsidR="00E26DF0">
        <w:t>SSR-E</w:t>
      </w:r>
      <w:r w:rsidR="003C6DCC" w:rsidRPr="003C6DCC">
        <w:t>.</w:t>
      </w:r>
      <w:r w:rsidR="00350D3B">
        <w:t xml:space="preserve">  This is the very reason that the PUCO required DP&amp;L to file its application for a rate increase by July 1, 2014. </w:t>
      </w:r>
      <w:r w:rsidR="00D57B42">
        <w:t>Such a filing would have enabled the PUCO to assess whether additional SSR-E revenues are needed on top of any distribution revenues derived from the utilities' distribution rate case.  By not time</w:t>
      </w:r>
      <w:r w:rsidR="00256141">
        <w:t xml:space="preserve">ly filing a distribution case, </w:t>
      </w:r>
      <w:r w:rsidR="00D57B42">
        <w:t xml:space="preserve">DP&amp;L </w:t>
      </w:r>
      <w:r w:rsidR="00256141">
        <w:t>has deprived</w:t>
      </w:r>
      <w:r w:rsidR="00D57B42">
        <w:t xml:space="preserve"> the PUCO and intervenors of the clear and reliable data necessary to analyze DP&amp;L's financial integrity.  And that is the </w:t>
      </w:r>
      <w:r w:rsidR="00256141">
        <w:t>data that the PUCO found would “</w:t>
      </w:r>
      <w:r w:rsidR="00D57B42">
        <w:t xml:space="preserve">provide the Commission and parties with the increased certainty necessary to evaluate </w:t>
      </w:r>
      <w:r w:rsidR="00050E6B">
        <w:t>whether DP&amp;L's financial inte</w:t>
      </w:r>
      <w:r w:rsidR="00D57B42">
        <w:t xml:space="preserve">grity is at risk and </w:t>
      </w:r>
      <w:r w:rsidR="00256141">
        <w:t>whether the SSR-E is necessary.”</w:t>
      </w:r>
      <w:r w:rsidR="00D57B42">
        <w:rPr>
          <w:rStyle w:val="FootnoteReference"/>
        </w:rPr>
        <w:footnoteReference w:id="34"/>
      </w:r>
    </w:p>
    <w:p w:rsidR="00C00586" w:rsidRDefault="003203D9" w:rsidP="003C6DCC">
      <w:pPr>
        <w:spacing w:line="480" w:lineRule="auto"/>
        <w:ind w:firstLine="720"/>
      </w:pPr>
      <w:r>
        <w:t xml:space="preserve">DP&amp;L has </w:t>
      </w:r>
      <w:r w:rsidR="001369FE">
        <w:t xml:space="preserve">also </w:t>
      </w:r>
      <w:r>
        <w:t xml:space="preserve">failed to demonstrate that it has undertaken O&amp;M expense savings. </w:t>
      </w:r>
      <w:r w:rsidR="00D57B42">
        <w:t xml:space="preserve">OCC and others had argued </w:t>
      </w:r>
      <w:r w:rsidR="00C00586">
        <w:t xml:space="preserve">in DP&amp;L's ESP proceeding </w:t>
      </w:r>
      <w:r w:rsidR="00D57B42">
        <w:t xml:space="preserve">that DP&amp;L should be required to undertake O&amp;M savings and reduce capital expenditures before turning to customers </w:t>
      </w:r>
      <w:r w:rsidR="00C00586">
        <w:t>for more money.</w:t>
      </w:r>
      <w:r w:rsidR="00C00586">
        <w:rPr>
          <w:rStyle w:val="FootnoteReference"/>
        </w:rPr>
        <w:footnoteReference w:id="35"/>
      </w:r>
      <w:r w:rsidR="00C00586">
        <w:t xml:space="preserve">  At that time, DP&amp;L had identified potential O&amp;M savings for the years 2014 through 2016. The potential O&amp;M sa</w:t>
      </w:r>
      <w:r w:rsidR="0083149A">
        <w:t>vings were used to reduce the SS</w:t>
      </w:r>
      <w:r w:rsidR="00C00586">
        <w:t>R granted to DP&amp;L.</w:t>
      </w:r>
      <w:r w:rsidR="00C00586">
        <w:rPr>
          <w:rStyle w:val="FootnoteReference"/>
        </w:rPr>
        <w:footnoteReference w:id="36"/>
      </w:r>
      <w:r w:rsidR="00C00586">
        <w:t xml:space="preserve">  </w:t>
      </w:r>
    </w:p>
    <w:p w:rsidR="003203D9" w:rsidRDefault="00256141" w:rsidP="003C6DCC">
      <w:pPr>
        <w:spacing w:line="480" w:lineRule="auto"/>
        <w:ind w:firstLine="720"/>
      </w:pPr>
      <w:r>
        <w:t xml:space="preserve">But now </w:t>
      </w:r>
      <w:r w:rsidR="00C00586">
        <w:t xml:space="preserve">the savings assumed in 2016 appear to have disappeared.  Instead, the savings DP&amp;L identified </w:t>
      </w:r>
      <w:r>
        <w:t xml:space="preserve">in </w:t>
      </w:r>
      <w:r w:rsidR="00C00586">
        <w:t xml:space="preserve">its ESP proceeding are relegated to being </w:t>
      </w:r>
      <w:r w:rsidR="003203D9">
        <w:t>“assumed O&amp;M cost savings items that have not yet been identified.”</w:t>
      </w:r>
      <w:r w:rsidR="003203D9">
        <w:rPr>
          <w:rStyle w:val="FootnoteReference"/>
        </w:rPr>
        <w:footnoteReference w:id="37"/>
      </w:r>
      <w:r w:rsidR="000413AF">
        <w:t xml:space="preserve"> </w:t>
      </w:r>
      <w:r w:rsidR="001369FE">
        <w:t xml:space="preserve"> In other words</w:t>
      </w:r>
      <w:r w:rsidR="00680684">
        <w:t xml:space="preserve">, </w:t>
      </w:r>
      <w:r w:rsidR="0023703F">
        <w:t>a</w:t>
      </w:r>
      <w:r w:rsidR="00680684">
        <w:t xml:space="preserve">ny O&amp;M expenses </w:t>
      </w:r>
      <w:r>
        <w:t>DP&amp;L</w:t>
      </w:r>
      <w:r w:rsidR="00680684">
        <w:t xml:space="preserve"> claims it will save </w:t>
      </w:r>
      <w:r w:rsidR="00C00586">
        <w:t xml:space="preserve">in 2016 and beyond are </w:t>
      </w:r>
      <w:r w:rsidR="00567373">
        <w:t xml:space="preserve">“assumed” and </w:t>
      </w:r>
      <w:r w:rsidR="00680684">
        <w:t>“unidentified.</w:t>
      </w:r>
      <w:r w:rsidR="001369FE">
        <w:t>”</w:t>
      </w:r>
      <w:r w:rsidR="00C00586">
        <w:t xml:space="preserve">  DP&amp;L appears to have abandoned the savings it identified in its ESP.  This is convenient for DP&amp;L because it allows </w:t>
      </w:r>
      <w:r>
        <w:t>it</w:t>
      </w:r>
      <w:r w:rsidR="00C00586">
        <w:t xml:space="preserve"> </w:t>
      </w:r>
      <w:r w:rsidR="00E03971">
        <w:t>to ask</w:t>
      </w:r>
      <w:r w:rsidR="00C00586">
        <w:t xml:space="preserve"> for more money from customers now.  </w:t>
      </w:r>
      <w:r w:rsidR="00680684">
        <w:t xml:space="preserve"> DP&amp;L should be required to produce verifiable facts and figures demonstrating cost savings measures before it is granted authority to charge consumers $45.8 million for a rider designed to “ensure DP&amp;L’s financial integrity.”</w:t>
      </w:r>
      <w:r w:rsidR="00680684">
        <w:rPr>
          <w:rStyle w:val="FootnoteReference"/>
        </w:rPr>
        <w:footnoteReference w:id="38"/>
      </w:r>
    </w:p>
    <w:p w:rsidR="00833D05" w:rsidRPr="00E879DD" w:rsidRDefault="001033EA" w:rsidP="00A62C61">
      <w:pPr>
        <w:spacing w:line="480" w:lineRule="auto"/>
        <w:ind w:firstLine="720"/>
      </w:pPr>
      <w:r>
        <w:t>DP&amp;L</w:t>
      </w:r>
      <w:r w:rsidR="00EA74C0">
        <w:t xml:space="preserve"> claims poverty – that</w:t>
      </w:r>
      <w:r w:rsidR="00EF60BC">
        <w:t xml:space="preserve"> it needs the SSR-E to maintain its financial integrity.  DP&amp;L has made</w:t>
      </w:r>
      <w:r w:rsidR="00EA74C0">
        <w:t xml:space="preserve"> similar arguments in the past, </w:t>
      </w:r>
      <w:r w:rsidR="00EF60BC">
        <w:t>while earning phenomenal returns of 20% or more in 7 of the 10 years from 2001 to 2010.</w:t>
      </w:r>
      <w:r w:rsidR="00EF60BC">
        <w:rPr>
          <w:rStyle w:val="FootnoteReference"/>
        </w:rPr>
        <w:footnoteReference w:id="39"/>
      </w:r>
      <w:r w:rsidR="00EF60BC">
        <w:t xml:space="preserve">  The real poverty i</w:t>
      </w:r>
      <w:r w:rsidR="00EA74C0">
        <w:t xml:space="preserve">s in DP&amp;L's service territory.  </w:t>
      </w:r>
      <w:r w:rsidR="00EF60BC">
        <w:t xml:space="preserve">The poverty rate in Dayton, Ohio is </w:t>
      </w:r>
      <w:r w:rsidR="00EA74C0">
        <w:t>35.3</w:t>
      </w:r>
      <w:r w:rsidR="00EF60BC">
        <w:t>%.</w:t>
      </w:r>
      <w:r w:rsidR="00EA74C0">
        <w:rPr>
          <w:rStyle w:val="FootnoteReference"/>
        </w:rPr>
        <w:footnoteReference w:id="40"/>
      </w:r>
      <w:r w:rsidR="00EF60BC">
        <w:t xml:space="preserve">  The electric disconnection rate for customers in Dayton, Ohio is </w:t>
      </w:r>
      <w:r w:rsidR="00982C2A">
        <w:t>6.7</w:t>
      </w:r>
      <w:r w:rsidR="00F94B8A">
        <w:t xml:space="preserve">%. </w:t>
      </w:r>
      <w:r w:rsidR="00982C2A">
        <w:rPr>
          <w:rStyle w:val="FootnoteReference"/>
        </w:rPr>
        <w:footnoteReference w:id="41"/>
      </w:r>
      <w:r w:rsidR="003050AC">
        <w:t xml:space="preserve">  DP&amp;L should be required to tighten its own belt before the PUCO authorizes it to collect more money from its customers.</w:t>
      </w:r>
      <w:r w:rsidR="004821DF">
        <w:t xml:space="preserve"> </w:t>
      </w:r>
      <w:r w:rsidR="00BC2907">
        <w:t>D</w:t>
      </w:r>
      <w:r w:rsidR="00EF60BC">
        <w:t xml:space="preserve">P&amp;L's </w:t>
      </w:r>
      <w:r>
        <w:t>motion should be denied.</w:t>
      </w:r>
    </w:p>
    <w:p w:rsidR="00E879DD" w:rsidRDefault="0098649F" w:rsidP="00736FA0">
      <w:pPr>
        <w:pStyle w:val="Heading2"/>
      </w:pPr>
      <w:bookmarkStart w:id="8" w:name="_Toc449712056"/>
      <w:r>
        <w:t>D</w:t>
      </w:r>
      <w:r w:rsidR="004821DF">
        <w:t xml:space="preserve">. </w:t>
      </w:r>
      <w:r w:rsidR="004821DF">
        <w:tab/>
      </w:r>
      <w:r w:rsidR="00E879DD">
        <w:t>DP&amp;</w:t>
      </w:r>
      <w:r w:rsidR="00A2630A">
        <w:t>L</w:t>
      </w:r>
      <w:r w:rsidR="00A2630A" w:rsidDel="00A2630A">
        <w:t xml:space="preserve"> </w:t>
      </w:r>
      <w:r w:rsidR="00A2630A">
        <w:t>h</w:t>
      </w:r>
      <w:r w:rsidR="00A80C67">
        <w:t>as not satisfied</w:t>
      </w:r>
      <w:r w:rsidR="00E879DD">
        <w:t xml:space="preserve"> the </w:t>
      </w:r>
      <w:r w:rsidR="0032239D">
        <w:t>second</w:t>
      </w:r>
      <w:r w:rsidR="00541BEE">
        <w:t xml:space="preserve"> </w:t>
      </w:r>
      <w:r w:rsidR="00223007">
        <w:t xml:space="preserve">condition </w:t>
      </w:r>
      <w:r w:rsidR="00C633F1">
        <w:t>of fully exhausting other opportunities</w:t>
      </w:r>
      <w:r w:rsidR="00A2630A">
        <w:t xml:space="preserve"> </w:t>
      </w:r>
      <w:r w:rsidR="00C633F1">
        <w:t>for rate relief before charging consumers for the SSR-E</w:t>
      </w:r>
      <w:r w:rsidR="00541BEE">
        <w:t>.</w:t>
      </w:r>
      <w:bookmarkEnd w:id="8"/>
    </w:p>
    <w:p w:rsidR="0009438F" w:rsidRDefault="0094606C" w:rsidP="007B7066">
      <w:pPr>
        <w:spacing w:line="480" w:lineRule="auto"/>
        <w:ind w:firstLine="720"/>
      </w:pPr>
      <w:r>
        <w:t>A</w:t>
      </w:r>
      <w:r w:rsidR="007B7066">
        <w:t xml:space="preserve">s a condition </w:t>
      </w:r>
      <w:r w:rsidR="00567373">
        <w:t>precedent to</w:t>
      </w:r>
      <w:r w:rsidR="007B7066">
        <w:t xml:space="preserve"> implementing the SSR-E, DP&amp;L </w:t>
      </w:r>
      <w:r w:rsidR="00223007">
        <w:t>“</w:t>
      </w:r>
      <w:r w:rsidR="007B7066" w:rsidRPr="00EA7167">
        <w:rPr>
          <w:i/>
        </w:rPr>
        <w:t>must</w:t>
      </w:r>
      <w:r w:rsidR="007B7066">
        <w:t xml:space="preserve"> file an application for a distribution rate case</w:t>
      </w:r>
      <w:r w:rsidR="00223007">
        <w:t xml:space="preserve"> . . . </w:t>
      </w:r>
      <w:r w:rsidR="007B7066">
        <w:t>no later than July 1, 2014.</w:t>
      </w:r>
      <w:r w:rsidR="00223007">
        <w:t>”</w:t>
      </w:r>
      <w:r w:rsidR="007B7066">
        <w:rPr>
          <w:rStyle w:val="FootnoteReference"/>
        </w:rPr>
        <w:footnoteReference w:id="42"/>
      </w:r>
      <w:r w:rsidR="00451F72">
        <w:t xml:space="preserve"> </w:t>
      </w:r>
      <w:r w:rsidR="007B7066">
        <w:t xml:space="preserve">As DP&amp;L concedes, DP&amp;L filed a distribution rate case on November 30, 2015 – 518 days after the </w:t>
      </w:r>
      <w:r w:rsidR="00223007">
        <w:t xml:space="preserve">PUCO’s mandatory </w:t>
      </w:r>
      <w:r w:rsidR="007B7066">
        <w:t>deadline</w:t>
      </w:r>
      <w:r w:rsidR="00AB6A05">
        <w:t>.</w:t>
      </w:r>
      <w:r w:rsidR="007236CF">
        <w:rPr>
          <w:rStyle w:val="FootnoteReference"/>
        </w:rPr>
        <w:footnoteReference w:id="43"/>
      </w:r>
      <w:r w:rsidR="00AB6A05">
        <w:t xml:space="preserve">  </w:t>
      </w:r>
      <w:r w:rsidR="007B7066">
        <w:t>DP&amp;L provides no explanation for</w:t>
      </w:r>
      <w:r w:rsidR="00A2630A">
        <w:t xml:space="preserve"> why it did not file.</w:t>
      </w:r>
      <w:r w:rsidR="00DA43D3">
        <w:t xml:space="preserve"> </w:t>
      </w:r>
      <w:r w:rsidR="00AB6A05">
        <w:t>DP&amp;L’s failure to file</w:t>
      </w:r>
      <w:r w:rsidR="00DA43D3">
        <w:t>, alone, is more than sufficient grounds for the PUCO to deny DP&amp;L’s motion.</w:t>
      </w:r>
      <w:r w:rsidR="007236CF">
        <w:t xml:space="preserve">  </w:t>
      </w:r>
    </w:p>
    <w:p w:rsidR="0080628A" w:rsidRDefault="0009438F" w:rsidP="007B7066">
      <w:pPr>
        <w:spacing w:line="480" w:lineRule="auto"/>
        <w:ind w:firstLine="720"/>
      </w:pPr>
      <w:r>
        <w:t>What DP&amp;L does attempt to explain is why the PUCO</w:t>
      </w:r>
      <w:r w:rsidR="00A2630A">
        <w:t xml:space="preserve"> should excuse it from complying with the PUCO Order.</w:t>
      </w:r>
      <w:r>
        <w:t xml:space="preserve"> DP&amp;L falls far short of the mark. </w:t>
      </w:r>
      <w:r w:rsidR="00AF54E5">
        <w:t>T</w:t>
      </w:r>
      <w:r>
        <w:t xml:space="preserve">he PUCO specified </w:t>
      </w:r>
      <w:r w:rsidR="00AF54E5">
        <w:t>the second</w:t>
      </w:r>
      <w:r>
        <w:t xml:space="preserve"> condition </w:t>
      </w:r>
      <w:r w:rsidR="00451F72">
        <w:t xml:space="preserve">because </w:t>
      </w:r>
      <w:r w:rsidR="00AF54E5">
        <w:t xml:space="preserve">it </w:t>
      </w:r>
      <w:r>
        <w:t>believes</w:t>
      </w:r>
      <w:r w:rsidR="00451F72">
        <w:t xml:space="preserve"> DP&amp;L should exhaust </w:t>
      </w:r>
      <w:r w:rsidR="00AF54E5">
        <w:t>all</w:t>
      </w:r>
      <w:r w:rsidR="00451F72">
        <w:t xml:space="preserve"> opportunities for rate relief</w:t>
      </w:r>
      <w:r w:rsidR="00AF54E5">
        <w:t>,</w:t>
      </w:r>
      <w:r w:rsidR="00451F72">
        <w:t xml:space="preserve"> in order to ensure its financial integrity</w:t>
      </w:r>
      <w:r w:rsidR="00AF54E5">
        <w:t xml:space="preserve">, before seeking </w:t>
      </w:r>
      <w:r w:rsidR="00E04269">
        <w:t xml:space="preserve">a customer bail out </w:t>
      </w:r>
      <w:r w:rsidR="003D52A8">
        <w:t>under</w:t>
      </w:r>
      <w:r w:rsidR="00AF54E5">
        <w:t xml:space="preserve"> the SSR-E</w:t>
      </w:r>
      <w:r w:rsidR="00451F72">
        <w:t>.</w:t>
      </w:r>
      <w:r w:rsidR="00451F72">
        <w:rPr>
          <w:rStyle w:val="FootnoteReference"/>
        </w:rPr>
        <w:footnoteReference w:id="44"/>
      </w:r>
      <w:r w:rsidR="00451F72">
        <w:t xml:space="preserve"> </w:t>
      </w:r>
      <w:r w:rsidR="00AF54E5">
        <w:t xml:space="preserve">Accordingly, the </w:t>
      </w:r>
      <w:r w:rsidR="00451F72">
        <w:t xml:space="preserve">PUCO </w:t>
      </w:r>
      <w:r w:rsidR="00DA43D3">
        <w:t>stated</w:t>
      </w:r>
      <w:r>
        <w:t xml:space="preserve"> that conducting a distribution rate case </w:t>
      </w:r>
      <w:r w:rsidRPr="00EA7167">
        <w:rPr>
          <w:i/>
        </w:rPr>
        <w:t>before</w:t>
      </w:r>
      <w:r>
        <w:t xml:space="preserve"> authorizing the SSR-E will provide the PUCO and parties the opportu</w:t>
      </w:r>
      <w:r w:rsidR="00451F72">
        <w:t>nity to</w:t>
      </w:r>
      <w:r>
        <w:t xml:space="preserve"> evaluate whether DP&amp;L’s financial integrity is at risk and, thus, whether </w:t>
      </w:r>
      <w:r w:rsidR="00E75529">
        <w:t xml:space="preserve">customers should be charged under </w:t>
      </w:r>
      <w:r>
        <w:t>the SSR-E .</w:t>
      </w:r>
      <w:r>
        <w:rPr>
          <w:rStyle w:val="FootnoteReference"/>
        </w:rPr>
        <w:footnoteReference w:id="45"/>
      </w:r>
      <w:r w:rsidR="00451F72">
        <w:t xml:space="preserve"> </w:t>
      </w:r>
      <w:r w:rsidR="00DA43D3">
        <w:t xml:space="preserve">Astonishingly, </w:t>
      </w:r>
      <w:r w:rsidR="00451F72">
        <w:t>DP&amp;L</w:t>
      </w:r>
      <w:r w:rsidR="00AF54E5">
        <w:t xml:space="preserve"> claims that the PUCO and all other parties should be able to make</w:t>
      </w:r>
      <w:r w:rsidR="00D464BF">
        <w:t xml:space="preserve"> such a</w:t>
      </w:r>
      <w:r w:rsidR="00AF54E5">
        <w:t xml:space="preserve"> </w:t>
      </w:r>
      <w:r w:rsidR="00D464BF">
        <w:t>calculation</w:t>
      </w:r>
      <w:r w:rsidR="00AF54E5">
        <w:t xml:space="preserve"> during the pendency of its distribution rate case by </w:t>
      </w:r>
      <w:r w:rsidR="00DA43D3">
        <w:t>reading</w:t>
      </w:r>
      <w:r w:rsidR="00AF54E5">
        <w:t xml:space="preserve"> its pre</w:t>
      </w:r>
      <w:r w:rsidR="0080628A">
        <w:t>-</w:t>
      </w:r>
      <w:r w:rsidR="00AF54E5">
        <w:t>filed direct testimony and</w:t>
      </w:r>
      <w:r w:rsidR="00451F72">
        <w:t xml:space="preserve"> any other </w:t>
      </w:r>
      <w:r w:rsidR="00AF54E5">
        <w:t xml:space="preserve">information that parties happen to request through the </w:t>
      </w:r>
      <w:r w:rsidR="0080628A">
        <w:t xml:space="preserve">ongoing </w:t>
      </w:r>
      <w:r w:rsidR="00AF54E5">
        <w:t>discovery process.</w:t>
      </w:r>
      <w:r w:rsidR="00AB6A05">
        <w:rPr>
          <w:rStyle w:val="FootnoteReference"/>
        </w:rPr>
        <w:footnoteReference w:id="46"/>
      </w:r>
      <w:r w:rsidR="00AF54E5">
        <w:t xml:space="preserve"> </w:t>
      </w:r>
      <w:r w:rsidR="00AB6A05">
        <w:t xml:space="preserve"> </w:t>
      </w:r>
      <w:r w:rsidR="00050E6B">
        <w:t xml:space="preserve">DP&amp;L </w:t>
      </w:r>
      <w:r w:rsidR="00AB6A05">
        <w:t xml:space="preserve">apparently </w:t>
      </w:r>
      <w:r w:rsidR="00050E6B">
        <w:t xml:space="preserve">assumes that the PUCO and all parties agree that every dollar it is requesting in its application is justified.  </w:t>
      </w:r>
    </w:p>
    <w:p w:rsidR="00AB6A05" w:rsidRDefault="00AB6A05" w:rsidP="001E356F">
      <w:pPr>
        <w:spacing w:line="480" w:lineRule="auto"/>
        <w:ind w:firstLine="720"/>
      </w:pPr>
      <w:r>
        <w:t>DP&amp;L’</w:t>
      </w:r>
      <w:r w:rsidR="00050E6B">
        <w:t xml:space="preserve">s failure to file a timely distribution rate case is fatal to its </w:t>
      </w:r>
      <w:r w:rsidR="003050AC">
        <w:t>request for consumer-funded financial assistance</w:t>
      </w:r>
      <w:r>
        <w:t xml:space="preserve">.  </w:t>
      </w:r>
      <w:r w:rsidR="0080628A">
        <w:t>The PUCO ordered DP&amp;L to file its</w:t>
      </w:r>
      <w:r w:rsidR="0080628A" w:rsidRPr="00DA43D3">
        <w:t xml:space="preserve"> </w:t>
      </w:r>
      <w:r w:rsidR="0080628A">
        <w:t>distribution rate case application by July 1, 2014</w:t>
      </w:r>
      <w:r w:rsidR="0023703F">
        <w:t>.  This was required</w:t>
      </w:r>
      <w:r w:rsidR="0080628A">
        <w:t xml:space="preserve"> so that the PUCO and parties would have “increased certainty necessary to evaluate whether DP&amp;L’s financial integrity is at risk and whether the SSR-E is necessary.”</w:t>
      </w:r>
      <w:r w:rsidR="0080628A">
        <w:rPr>
          <w:rStyle w:val="FootnoteReference"/>
        </w:rPr>
        <w:footnoteReference w:id="47"/>
      </w:r>
      <w:r w:rsidR="0080628A">
        <w:t xml:space="preserve"> </w:t>
      </w:r>
      <w:r w:rsidR="002033DB">
        <w:t>T</w:t>
      </w:r>
      <w:r w:rsidR="0080628A">
        <w:t xml:space="preserve">he PUCO explicitly stated that </w:t>
      </w:r>
      <w:r w:rsidR="002033DB">
        <w:t>the purpose of</w:t>
      </w:r>
      <w:r w:rsidR="0080628A">
        <w:t xml:space="preserve"> this condition </w:t>
      </w:r>
      <w:r w:rsidR="002033DB">
        <w:t xml:space="preserve">was </w:t>
      </w:r>
      <w:r w:rsidR="0080628A">
        <w:t>so it could “consider the impact of any adjustment in rate resulting from the distribution rate case in determining the amount of the SSR-E.”</w:t>
      </w:r>
      <w:r w:rsidR="0080628A">
        <w:rPr>
          <w:rStyle w:val="FootnoteReference"/>
        </w:rPr>
        <w:footnoteReference w:id="48"/>
      </w:r>
      <w:r w:rsidR="0080628A">
        <w:t xml:space="preserve"> DP&amp;L’s </w:t>
      </w:r>
      <w:r w:rsidR="003050AC">
        <w:t>518-day-overdue</w:t>
      </w:r>
      <w:r w:rsidR="0080628A">
        <w:t xml:space="preserve"> filing has denied the PUCO, and all other parties, this opportunity. </w:t>
      </w:r>
      <w:r w:rsidR="00FB2F8E">
        <w:t xml:space="preserve">Relying on </w:t>
      </w:r>
      <w:r w:rsidR="0080628A">
        <w:t xml:space="preserve">DP&amp;L’s pre-filed direct testimony </w:t>
      </w:r>
      <w:r w:rsidR="00FB2F8E">
        <w:t>and facts gathered in still-ongoing discovery are no remedy</w:t>
      </w:r>
      <w:r w:rsidR="003D52A8">
        <w:t>.</w:t>
      </w:r>
      <w:r w:rsidR="00FB2F8E">
        <w:t xml:space="preserve"> </w:t>
      </w:r>
      <w:r>
        <w:t>DP&amp;L’</w:t>
      </w:r>
      <w:r w:rsidR="00050E6B">
        <w:t>s filing o</w:t>
      </w:r>
      <w:r>
        <w:t>n its face does not provide “</w:t>
      </w:r>
      <w:r w:rsidR="0080628A">
        <w:t>increased certainty necessary to evaluate whether DP&amp;L’s financial integrity is at risk and whether the SSR-E is necessary.”</w:t>
      </w:r>
      <w:r w:rsidR="0080628A">
        <w:rPr>
          <w:rStyle w:val="FootnoteReference"/>
        </w:rPr>
        <w:footnoteReference w:id="49"/>
      </w:r>
      <w:r w:rsidR="00050E6B">
        <w:t xml:space="preserve">  </w:t>
      </w:r>
    </w:p>
    <w:p w:rsidR="007B7066" w:rsidRPr="00E879DD" w:rsidRDefault="007B7066" w:rsidP="001E356F">
      <w:pPr>
        <w:spacing w:line="480" w:lineRule="auto"/>
        <w:ind w:firstLine="720"/>
      </w:pPr>
      <w:r>
        <w:t>DP&amp;L failed to file an application for a distribution rate case by July 1, 2014</w:t>
      </w:r>
      <w:r w:rsidR="00FB2F8E">
        <w:t>, instead choosing to file such an</w:t>
      </w:r>
      <w:r>
        <w:t xml:space="preserve"> application 518 days </w:t>
      </w:r>
      <w:r w:rsidR="0023703F">
        <w:t>after</w:t>
      </w:r>
      <w:r>
        <w:t xml:space="preserve"> the </w:t>
      </w:r>
      <w:r w:rsidR="00FB2F8E">
        <w:t xml:space="preserve">PUCO’s mandatory </w:t>
      </w:r>
      <w:r>
        <w:t>deadline.</w:t>
      </w:r>
      <w:r w:rsidR="00D949C4">
        <w:t xml:space="preserve"> This error makes it impossible for the PUCO to adequately evaluate DP&amp;L’s request</w:t>
      </w:r>
      <w:r w:rsidR="003D52A8">
        <w:t>.  There can therefore be but one conclusion:</w:t>
      </w:r>
      <w:r w:rsidR="00FB2F8E">
        <w:t xml:space="preserve"> </w:t>
      </w:r>
      <w:r>
        <w:t>DP&amp;L has failed to satisfy the</w:t>
      </w:r>
      <w:r w:rsidR="00FB2F8E">
        <w:t xml:space="preserve"> PUCO’s</w:t>
      </w:r>
      <w:r>
        <w:t xml:space="preserve"> second condition </w:t>
      </w:r>
      <w:r w:rsidR="00FB2F8E">
        <w:t>precedent to</w:t>
      </w:r>
      <w:r>
        <w:t xml:space="preserve"> </w:t>
      </w:r>
      <w:r w:rsidR="003D52A8">
        <w:t xml:space="preserve">charge under </w:t>
      </w:r>
      <w:r w:rsidR="00FB2F8E">
        <w:t>the</w:t>
      </w:r>
      <w:r w:rsidR="00D949C4">
        <w:t xml:space="preserve"> SSR-E. </w:t>
      </w:r>
      <w:r>
        <w:t xml:space="preserve">DP&amp;L’s motion should be denied. </w:t>
      </w:r>
    </w:p>
    <w:p w:rsidR="00E879DD" w:rsidRDefault="0098649F" w:rsidP="00736FA0">
      <w:pPr>
        <w:pStyle w:val="Heading2"/>
      </w:pPr>
      <w:bookmarkStart w:id="9" w:name="_Toc449712057"/>
      <w:r>
        <w:t>E</w:t>
      </w:r>
      <w:r w:rsidR="004821DF">
        <w:t xml:space="preserve">. </w:t>
      </w:r>
      <w:r w:rsidR="004821DF">
        <w:tab/>
      </w:r>
      <w:r w:rsidR="00A80C67">
        <w:t>DP&amp;L has not</w:t>
      </w:r>
      <w:r w:rsidR="00E879DD">
        <w:t xml:space="preserve"> </w:t>
      </w:r>
      <w:r w:rsidR="00A80C67">
        <w:t>satisfied</w:t>
      </w:r>
      <w:r w:rsidR="00E879DD">
        <w:t xml:space="preserve"> the </w:t>
      </w:r>
      <w:r w:rsidR="0032239D">
        <w:t>fourth</w:t>
      </w:r>
      <w:r w:rsidR="00541BEE">
        <w:t xml:space="preserve"> </w:t>
      </w:r>
      <w:r w:rsidR="005D4911">
        <w:t>condition precedent</w:t>
      </w:r>
      <w:r w:rsidR="00D84302">
        <w:t xml:space="preserve"> to file an application to modernize its electric distribution system for </w:t>
      </w:r>
      <w:r w:rsidR="00C633F1">
        <w:t>consumers</w:t>
      </w:r>
      <w:r w:rsidR="00541BEE">
        <w:t>.</w:t>
      </w:r>
      <w:bookmarkEnd w:id="9"/>
    </w:p>
    <w:p w:rsidR="002527B4" w:rsidRDefault="0023703F" w:rsidP="008F22B2">
      <w:pPr>
        <w:spacing w:line="480" w:lineRule="auto"/>
        <w:ind w:firstLine="720"/>
      </w:pPr>
      <w:r>
        <w:t xml:space="preserve">A condition precedent to DP&amp;L charging under the SSR-E is filing </w:t>
      </w:r>
      <w:r w:rsidR="008F22B2">
        <w:t>an application</w:t>
      </w:r>
      <w:r w:rsidR="006A4286">
        <w:t xml:space="preserve"> </w:t>
      </w:r>
      <w:r w:rsidR="00A80C67">
        <w:t>by</w:t>
      </w:r>
      <w:r w:rsidR="008F22B2">
        <w:t xml:space="preserve"> </w:t>
      </w:r>
      <w:r w:rsidR="003D52A8">
        <w:t xml:space="preserve">July 2, 2014 </w:t>
      </w:r>
      <w:r w:rsidR="00230B81">
        <w:t>to modernize its electric distribution infrastructure through</w:t>
      </w:r>
      <w:r w:rsidR="008F22B2">
        <w:t xml:space="preserve"> implementation </w:t>
      </w:r>
      <w:r w:rsidR="00A80C67">
        <w:t>a</w:t>
      </w:r>
      <w:r w:rsidR="008F22B2">
        <w:t>nd deployment of smart grid technologi</w:t>
      </w:r>
      <w:r w:rsidR="00A75BFA">
        <w:t xml:space="preserve">es and </w:t>
      </w:r>
      <w:r w:rsidR="008F22B2">
        <w:t>AMI.</w:t>
      </w:r>
      <w:r w:rsidR="008F22B2">
        <w:rPr>
          <w:rStyle w:val="FootnoteReference"/>
        </w:rPr>
        <w:footnoteReference w:id="50"/>
      </w:r>
      <w:r>
        <w:t xml:space="preserve">  DP&amp;L failed to do this.  Its motion should therefore be denied.</w:t>
      </w:r>
      <w:r w:rsidR="008F22B2">
        <w:t xml:space="preserve"> </w:t>
      </w:r>
    </w:p>
    <w:p w:rsidR="002C062F" w:rsidRDefault="0098649F" w:rsidP="00736FA0">
      <w:pPr>
        <w:pStyle w:val="Heading2"/>
      </w:pPr>
      <w:bookmarkStart w:id="10" w:name="_Toc449712058"/>
      <w:r>
        <w:t>F</w:t>
      </w:r>
      <w:r w:rsidR="004821DF">
        <w:t xml:space="preserve">. </w:t>
      </w:r>
      <w:r w:rsidR="004821DF">
        <w:tab/>
      </w:r>
      <w:r w:rsidR="002C062F">
        <w:t xml:space="preserve">DP&amp;L </w:t>
      </w:r>
      <w:r w:rsidR="00322BEB">
        <w:t>has</w:t>
      </w:r>
      <w:r w:rsidR="002C062F">
        <w:t xml:space="preserve"> not satisf</w:t>
      </w:r>
      <w:r w:rsidR="00322BEB">
        <w:t>ied</w:t>
      </w:r>
      <w:r w:rsidR="002C062F">
        <w:t xml:space="preserve"> the fifth condition</w:t>
      </w:r>
      <w:r w:rsidR="00322BEB">
        <w:t xml:space="preserve"> precedent</w:t>
      </w:r>
      <w:r w:rsidR="00C633F1">
        <w:t xml:space="preserve"> to modernize its billing system for consumers</w:t>
      </w:r>
      <w:r w:rsidR="00541BEE">
        <w:t>.</w:t>
      </w:r>
      <w:bookmarkEnd w:id="10"/>
    </w:p>
    <w:p w:rsidR="002C062F" w:rsidRDefault="0023703F" w:rsidP="002C062F">
      <w:pPr>
        <w:spacing w:line="480" w:lineRule="auto"/>
        <w:ind w:firstLine="720"/>
      </w:pPr>
      <w:r>
        <w:t>As a condition precedent to charging consumers under the SSR-E, t</w:t>
      </w:r>
      <w:r w:rsidR="002C062F">
        <w:t xml:space="preserve">he PUCO </w:t>
      </w:r>
      <w:r w:rsidR="005B1B53">
        <w:t>ordered</w:t>
      </w:r>
      <w:r w:rsidR="002C062F">
        <w:t xml:space="preserve"> that DP&amp;L </w:t>
      </w:r>
      <w:r w:rsidR="005B1B53">
        <w:t>“</w:t>
      </w:r>
      <w:r w:rsidR="002C062F">
        <w:t>must establish and begin implementation of a plan to modernize its billing system.</w:t>
      </w:r>
      <w:r w:rsidR="005B1B53">
        <w:t>”</w:t>
      </w:r>
      <w:r w:rsidR="005B1B53">
        <w:rPr>
          <w:rStyle w:val="FootnoteReference"/>
        </w:rPr>
        <w:footnoteReference w:id="51"/>
      </w:r>
      <w:r w:rsidR="002C062F">
        <w:t xml:space="preserve"> </w:t>
      </w:r>
      <w:r w:rsidR="005B1B53">
        <w:t>The PUCO ordered that, “at a minimum</w:t>
      </w:r>
      <w:r w:rsidR="003D52A8">
        <w:t>[,] . . .</w:t>
      </w:r>
      <w:r w:rsidR="00E03971">
        <w:t xml:space="preserve"> </w:t>
      </w:r>
      <w:r w:rsidR="002C062F">
        <w:t>the billing system modernization should include rate-ready billing, percentage off price-to-compare (PTC) pricing, and the ability to support AMI.</w:t>
      </w:r>
      <w:r w:rsidR="005B1B53">
        <w:t>”</w:t>
      </w:r>
      <w:r w:rsidR="005B1B53">
        <w:rPr>
          <w:rStyle w:val="FootnoteReference"/>
        </w:rPr>
        <w:footnoteReference w:id="52"/>
      </w:r>
      <w:r w:rsidR="002C062F">
        <w:t xml:space="preserve"> </w:t>
      </w:r>
      <w:r w:rsidR="005B1B53">
        <w:t>DP&amp;L was to file “with the Commission a billing system modernization plan approved by Staff by December 31, 2014</w:t>
      </w:r>
      <w:r w:rsidR="003D52A8">
        <w:t>[.]</w:t>
      </w:r>
      <w:r w:rsidR="005B1B53">
        <w:t>”</w:t>
      </w:r>
      <w:r w:rsidR="005B1B53">
        <w:rPr>
          <w:rStyle w:val="FootnoteReference"/>
        </w:rPr>
        <w:footnoteReference w:id="53"/>
      </w:r>
    </w:p>
    <w:p w:rsidR="002C062F" w:rsidRPr="002C062F" w:rsidRDefault="002C062F" w:rsidP="002C062F">
      <w:pPr>
        <w:spacing w:line="480" w:lineRule="auto"/>
        <w:ind w:firstLine="720"/>
      </w:pPr>
      <w:r>
        <w:t xml:space="preserve">In its </w:t>
      </w:r>
      <w:r w:rsidR="005B1B53">
        <w:t xml:space="preserve">instant </w:t>
      </w:r>
      <w:r>
        <w:t xml:space="preserve">motion DP&amp;L states that its billing system can perform rate-ready billing and percentage off PTC pricing. DP&amp;L does not state that its billing system has the ability to support AMI as the PUCO required. In fact, as stated </w:t>
      </w:r>
      <w:r w:rsidR="00023DA7">
        <w:t>above</w:t>
      </w:r>
      <w:r>
        <w:t>, DP&amp;L freely admits that it is still “considering” whether it will even implement AMI at all.</w:t>
      </w:r>
      <w:r>
        <w:rPr>
          <w:rStyle w:val="FootnoteReference"/>
        </w:rPr>
        <w:footnoteReference w:id="54"/>
      </w:r>
      <w:r w:rsidR="00C62D2F">
        <w:t xml:space="preserve"> Therefore, DP&amp;L is, again, not in </w:t>
      </w:r>
      <w:r>
        <w:t>compliance with the PUCO directives</w:t>
      </w:r>
      <w:r w:rsidR="00C62D2F">
        <w:t>.  I</w:t>
      </w:r>
      <w:r>
        <w:t>ts motion should be denied.</w:t>
      </w:r>
    </w:p>
    <w:p w:rsidR="003F6765" w:rsidRPr="001E356F" w:rsidRDefault="0098649F" w:rsidP="00736FA0">
      <w:pPr>
        <w:pStyle w:val="Heading2"/>
      </w:pPr>
      <w:bookmarkStart w:id="11" w:name="_Toc449712059"/>
      <w:r>
        <w:t>G</w:t>
      </w:r>
      <w:r w:rsidR="004821DF">
        <w:t xml:space="preserve">. </w:t>
      </w:r>
      <w:r w:rsidR="004821DF">
        <w:tab/>
      </w:r>
      <w:r w:rsidR="00E879DD">
        <w:t xml:space="preserve">Substantial </w:t>
      </w:r>
      <w:r w:rsidR="00C000E6">
        <w:t>c</w:t>
      </w:r>
      <w:r w:rsidR="00E879DD">
        <w:t xml:space="preserve">ompliance </w:t>
      </w:r>
      <w:r w:rsidR="001E356F">
        <w:t>with the PUCO’s conditions precedent is not sufficient for PUCO approval</w:t>
      </w:r>
      <w:r w:rsidR="00D644A1">
        <w:t>.</w:t>
      </w:r>
      <w:bookmarkEnd w:id="11"/>
    </w:p>
    <w:p w:rsidR="00CE4B26" w:rsidRPr="007E3A61" w:rsidRDefault="00CE4B26" w:rsidP="00CE4B26">
      <w:pPr>
        <w:spacing w:line="480" w:lineRule="auto"/>
        <w:ind w:firstLine="720"/>
      </w:pPr>
      <w:r w:rsidRPr="007E3A61">
        <w:t>Admitting that it has not complied with the conditions precedent in the DP&amp;L ESP II Order, DP&amp;L asserts that “substantial compliance” is sufficient to comply with PUCO orders.</w:t>
      </w:r>
      <w:r w:rsidRPr="007E3A61">
        <w:rPr>
          <w:vertAlign w:val="superscript"/>
        </w:rPr>
        <w:footnoteReference w:id="55"/>
      </w:r>
      <w:r w:rsidRPr="007E3A61">
        <w:t xml:space="preserve"> </w:t>
      </w:r>
      <w:r w:rsidR="00050E6B">
        <w:t>DP&amp;L cites four cases in support of its theory.  But n</w:t>
      </w:r>
      <w:r w:rsidRPr="007E3A61">
        <w:t xml:space="preserve">one of the four cases have facts that are close to those at issue here. </w:t>
      </w:r>
      <w:r w:rsidR="003D52A8">
        <w:t>Instead, the</w:t>
      </w:r>
      <w:r w:rsidRPr="007E3A61">
        <w:t xml:space="preserve"> </w:t>
      </w:r>
      <w:r w:rsidR="00C000E6">
        <w:t>cases confirm</w:t>
      </w:r>
      <w:r w:rsidRPr="007E3A61">
        <w:t xml:space="preserve"> that DP&amp;L has not complied or substantially complied with the DP&amp;L ESP II Order. </w:t>
      </w:r>
    </w:p>
    <w:p w:rsidR="00CE4B26" w:rsidRPr="007E3A61" w:rsidRDefault="00CE4B26" w:rsidP="00CE4B26">
      <w:pPr>
        <w:spacing w:line="480" w:lineRule="auto"/>
        <w:ind w:firstLine="720"/>
      </w:pPr>
      <w:r w:rsidRPr="007E3A61">
        <w:t>In the Duke AMRP case,</w:t>
      </w:r>
      <w:r w:rsidRPr="007E3A61">
        <w:rPr>
          <w:rStyle w:val="FootnoteReference"/>
        </w:rPr>
        <w:footnoteReference w:id="56"/>
      </w:r>
      <w:r w:rsidRPr="007E3A61">
        <w:t xml:space="preserve"> the PUCO analyzed whether Duke was in compliance with the requirements of an approved stipulation in order to adjust its Accelerated Main Replacement Program Rider.  The stipulation required Duke to make a pre-filing notice to relevant parties “by November of each year” and to subsequently file an “application and an update of year-end actual data by the following February 28 of each year.”</w:t>
      </w:r>
      <w:r w:rsidRPr="007E3A61">
        <w:rPr>
          <w:rStyle w:val="FootnoteReference"/>
        </w:rPr>
        <w:footnoteReference w:id="57"/>
      </w:r>
      <w:r w:rsidRPr="007E3A61">
        <w:t xml:space="preserve">  </w:t>
      </w:r>
    </w:p>
    <w:p w:rsidR="00CE4B26" w:rsidRPr="007E3A61" w:rsidRDefault="00CE4B26" w:rsidP="00CE4B26">
      <w:pPr>
        <w:autoSpaceDE w:val="0"/>
        <w:autoSpaceDN w:val="0"/>
        <w:adjustRightInd w:val="0"/>
        <w:spacing w:line="480" w:lineRule="auto"/>
        <w:ind w:firstLine="720"/>
      </w:pPr>
      <w:r w:rsidRPr="007E3A61">
        <w:t xml:space="preserve">Duke made its pre-filing notice on November 27, 2009, and filed its application on February 26, 2010.  </w:t>
      </w:r>
      <w:r w:rsidR="003D52A8">
        <w:t>But</w:t>
      </w:r>
      <w:r w:rsidRPr="007E3A61">
        <w:t xml:space="preserve"> in a later, unopposed motion seeking a finding that its notice was in compliance with the stipulation, Duke explained that the notice it mailed to some of the relevant parties had a “clerical error that caused some of the information in the first two sections [of a three section letter] to be incorrect.”</w:t>
      </w:r>
      <w:r w:rsidRPr="007E3A61">
        <w:rPr>
          <w:rStyle w:val="FootnoteReference"/>
        </w:rPr>
        <w:footnoteReference w:id="58"/>
      </w:r>
      <w:r w:rsidRPr="007E3A61">
        <w:t xml:space="preserve">  Duke promptly mailed a corrected notice on December 11, 2009.</w:t>
      </w:r>
      <w:r w:rsidRPr="007E3A61">
        <w:rPr>
          <w:rStyle w:val="FootnoteReference"/>
        </w:rPr>
        <w:footnoteReference w:id="59"/>
      </w:r>
      <w:r w:rsidRPr="007E3A61">
        <w:t xml:space="preserve">  The PUCO granted Duke’s motion because: (1) Duke’s motion was unopposed; (2) Duke made a “timely correction of the clerical error upon discovery”; and (3) “the length of time between the correction of the error and the filing of the application [February 26, 2010]” was still sufficient notice to the relevant parties.</w:t>
      </w:r>
      <w:r w:rsidRPr="007E3A61">
        <w:rPr>
          <w:rStyle w:val="FootnoteReference"/>
        </w:rPr>
        <w:footnoteReference w:id="60"/>
      </w:r>
      <w:r w:rsidRPr="007E3A61">
        <w:t xml:space="preserve"> </w:t>
      </w:r>
    </w:p>
    <w:p w:rsidR="00CE4B26" w:rsidRDefault="004763A8" w:rsidP="00F94B8A">
      <w:pPr>
        <w:autoSpaceDE w:val="0"/>
        <w:autoSpaceDN w:val="0"/>
        <w:adjustRightInd w:val="0"/>
        <w:spacing w:line="480" w:lineRule="auto"/>
        <w:ind w:firstLine="720"/>
      </w:pPr>
      <w:r>
        <w:t xml:space="preserve">The </w:t>
      </w:r>
      <w:r w:rsidRPr="004763A8">
        <w:t>Duke AMRP</w:t>
      </w:r>
      <w:r>
        <w:t xml:space="preserve"> case </w:t>
      </w:r>
      <w:r w:rsidR="009970F6">
        <w:t xml:space="preserve">is plainly inapposite here.  </w:t>
      </w:r>
      <w:r w:rsidR="00CE4B26">
        <w:t>First,</w:t>
      </w:r>
      <w:r w:rsidR="00492A07">
        <w:t xml:space="preserve"> Duke’s mistake in the AMRP case was a </w:t>
      </w:r>
      <w:r>
        <w:t>trivial</w:t>
      </w:r>
      <w:r w:rsidR="00492A07">
        <w:t xml:space="preserve"> clerical error concerning provisions of a </w:t>
      </w:r>
      <w:r w:rsidR="009970F6">
        <w:t xml:space="preserve">stipulation </w:t>
      </w:r>
      <w:r w:rsidR="00492A07">
        <w:t xml:space="preserve">that had little or no impact on the outcome of the proceeding. DP&amp;L’s mistakes here are not irrelevant clerical oversights. They are fatal errors </w:t>
      </w:r>
      <w:r w:rsidR="009970F6">
        <w:t xml:space="preserve">that </w:t>
      </w:r>
      <w:r w:rsidR="00492A07">
        <w:t>go to the heart of the PUCO’</w:t>
      </w:r>
      <w:r>
        <w:t xml:space="preserve">s determination on this motion. </w:t>
      </w:r>
      <w:r w:rsidR="00492A07">
        <w:t>Second,</w:t>
      </w:r>
      <w:r w:rsidR="00CE4B26">
        <w:t xml:space="preserve"> DP&amp;L’s motion to implement the SSR-E is opposed.  </w:t>
      </w:r>
      <w:r w:rsidR="00492A07">
        <w:t>Third</w:t>
      </w:r>
      <w:r w:rsidR="00CE4B26">
        <w:t>, in not satisfying the PUCO’s five conditions precedent, DP&amp;L has made no “corrections</w:t>
      </w:r>
      <w:r w:rsidR="009970F6">
        <w:t>,</w:t>
      </w:r>
      <w:r w:rsidR="00CE4B26">
        <w:t>” let alone timely ones,</w:t>
      </w:r>
      <w:r w:rsidR="00492A07">
        <w:t xml:space="preserve"> to correct </w:t>
      </w:r>
      <w:r w:rsidR="00C000E6">
        <w:t>its noncompliance</w:t>
      </w:r>
      <w:r w:rsidR="00492A07">
        <w:t>. Fourth</w:t>
      </w:r>
      <w:r w:rsidR="00CE4B26">
        <w:t>, because it has taken no corrective actions, DP&amp;L has deprived the PUCO and parties of extremely pertinent information</w:t>
      </w:r>
      <w:r w:rsidR="00050E6B">
        <w:t xml:space="preserve"> that is crucial to determinin</w:t>
      </w:r>
      <w:r w:rsidR="00C000E6">
        <w:t>g whether DP&amp;L’s financial inte</w:t>
      </w:r>
      <w:r w:rsidR="00050E6B">
        <w:t>grity is at risk and wh</w:t>
      </w:r>
      <w:r w:rsidR="00EA74C0">
        <w:t xml:space="preserve">ether the SSR-E is necessary.  </w:t>
      </w:r>
      <w:r w:rsidR="00CE4B26">
        <w:t xml:space="preserve">It is </w:t>
      </w:r>
      <w:r w:rsidR="00050E6B">
        <w:t>i</w:t>
      </w:r>
      <w:r w:rsidR="00CE4B26">
        <w:t xml:space="preserve">mpossible for DP&amp;L to comply with these requirements now. </w:t>
      </w:r>
    </w:p>
    <w:p w:rsidR="00EA7167" w:rsidRDefault="00CE4B26" w:rsidP="00CE4B26">
      <w:pPr>
        <w:spacing w:line="480" w:lineRule="auto"/>
        <w:ind w:firstLine="720"/>
      </w:pPr>
      <w:r>
        <w:t>DP&amp;L cites to two cases involving</w:t>
      </w:r>
      <w:r w:rsidRPr="00E50254">
        <w:t xml:space="preserve"> audits of National Gas &amp; Oil Corporation’s</w:t>
      </w:r>
      <w:r w:rsidRPr="00E50254">
        <w:rPr>
          <w:rStyle w:val="FootnoteReference"/>
        </w:rPr>
        <w:footnoteReference w:id="61"/>
      </w:r>
      <w:r w:rsidRPr="00E50254">
        <w:t xml:space="preserve"> (“National”) and Eastern Natural Gas Company’s</w:t>
      </w:r>
      <w:r w:rsidRPr="00E50254">
        <w:rPr>
          <w:rStyle w:val="FootnoteReference"/>
        </w:rPr>
        <w:footnoteReference w:id="62"/>
      </w:r>
      <w:r w:rsidRPr="00E50254">
        <w:t xml:space="preserve"> (“Eastern”) purchase gas adjustment clauses and related matters.  In these cases, the auditors found that National and Eastern acted reasonably and prudently in purchasing their gas.</w:t>
      </w:r>
      <w:r w:rsidRPr="00E50254">
        <w:rPr>
          <w:rStyle w:val="FootnoteReference"/>
        </w:rPr>
        <w:footnoteReference w:id="63"/>
      </w:r>
      <w:r w:rsidRPr="00E50254">
        <w:t xml:space="preserve"> In </w:t>
      </w:r>
      <w:r w:rsidRPr="00E50254">
        <w:rPr>
          <w:i/>
        </w:rPr>
        <w:t>National</w:t>
      </w:r>
      <w:r w:rsidRPr="00E50254">
        <w:t>, the auditor made recommendations that National “agreed to institute this recommendation as a part of the stipulation.”</w:t>
      </w:r>
      <w:r w:rsidRPr="00E50254">
        <w:rPr>
          <w:rStyle w:val="FootnoteReference"/>
        </w:rPr>
        <w:footnoteReference w:id="64"/>
      </w:r>
      <w:r w:rsidRPr="00E50254">
        <w:t xml:space="preserve"> The PUCO requested that in National’s next management/performance audit GCR proceeding, the auditor review Nati</w:t>
      </w:r>
      <w:r>
        <w:t xml:space="preserve">onal’s commitments </w:t>
      </w:r>
      <w:r w:rsidRPr="00E50254">
        <w:t>“[i]n order to confirm that National complied with the recommendations and the stipulation.”</w:t>
      </w:r>
      <w:r w:rsidRPr="00E50254">
        <w:rPr>
          <w:rStyle w:val="FootnoteReference"/>
        </w:rPr>
        <w:footnoteReference w:id="65"/>
      </w:r>
      <w:r w:rsidRPr="00E50254">
        <w:t xml:space="preserve"> </w:t>
      </w:r>
    </w:p>
    <w:p w:rsidR="00CE4B26" w:rsidRPr="00E50254" w:rsidRDefault="00CE4B26" w:rsidP="00CE4B26">
      <w:pPr>
        <w:spacing w:line="480" w:lineRule="auto"/>
        <w:ind w:firstLine="720"/>
      </w:pPr>
      <w:r w:rsidRPr="00E50254">
        <w:t xml:space="preserve">Here, </w:t>
      </w:r>
      <w:r>
        <w:t xml:space="preserve">instead of an audit, </w:t>
      </w:r>
      <w:r w:rsidRPr="00E50254">
        <w:t xml:space="preserve">the PUCO ordered DP&amp;L to file an application </w:t>
      </w:r>
      <w:r w:rsidR="004717B7">
        <w:t>to</w:t>
      </w:r>
      <w:r w:rsidRPr="00E50254">
        <w:t xml:space="preserve"> implement</w:t>
      </w:r>
      <w:r w:rsidR="004717B7">
        <w:t xml:space="preserve"> </w:t>
      </w:r>
      <w:r w:rsidRPr="00E50254">
        <w:t xml:space="preserve">SSR-E </w:t>
      </w:r>
      <w:r w:rsidR="00C000E6">
        <w:t xml:space="preserve">(and a distribution rate case, before that) </w:t>
      </w:r>
      <w:r w:rsidRPr="00E50254">
        <w:t>so that the PUCO itself could examine whether DP&amp;L had complied with the conditions in the DP&amp;L ESP II Order</w:t>
      </w:r>
      <w:r>
        <w:t xml:space="preserve">. </w:t>
      </w:r>
      <w:r w:rsidR="009970F6">
        <w:t xml:space="preserve">DP&amp;L must comply with the conditions.  Then – and </w:t>
      </w:r>
      <w:r w:rsidR="009970F6" w:rsidRPr="00A52793">
        <w:rPr>
          <w:i/>
        </w:rPr>
        <w:t>only</w:t>
      </w:r>
      <w:r w:rsidR="009970F6">
        <w:t xml:space="preserve"> then –</w:t>
      </w:r>
      <w:r>
        <w:t xml:space="preserve"> will DP&amp;L be in substantial compliance with the ESP II Order. </w:t>
      </w:r>
      <w:r w:rsidRPr="00E50254">
        <w:t xml:space="preserve">DP&amp;L is </w:t>
      </w:r>
      <w:r>
        <w:t xml:space="preserve">lightyears away from </w:t>
      </w:r>
      <w:r w:rsidRPr="00E50254">
        <w:t xml:space="preserve">complying with the PUCO’s requirements.   </w:t>
      </w:r>
    </w:p>
    <w:p w:rsidR="00CE4B26" w:rsidRPr="00CD72C9" w:rsidRDefault="00CE4B26" w:rsidP="00CE4B26">
      <w:pPr>
        <w:autoSpaceDE w:val="0"/>
        <w:autoSpaceDN w:val="0"/>
        <w:adjustRightInd w:val="0"/>
        <w:spacing w:line="480" w:lineRule="auto"/>
        <w:ind w:firstLine="720"/>
      </w:pPr>
      <w:r w:rsidRPr="00E50254">
        <w:t xml:space="preserve">In </w:t>
      </w:r>
      <w:r w:rsidRPr="00E50254">
        <w:rPr>
          <w:i/>
        </w:rPr>
        <w:t>Eastern</w:t>
      </w:r>
      <w:r w:rsidRPr="00E50254">
        <w:t xml:space="preserve">, the PUCO held that </w:t>
      </w:r>
      <w:r w:rsidRPr="00E50254">
        <w:rPr>
          <w:i/>
        </w:rPr>
        <w:t>“[w]ith the implementation of the recommendations</w:t>
      </w:r>
      <w:r w:rsidRPr="00E50254">
        <w:t xml:space="preserve"> </w:t>
      </w:r>
      <w:r w:rsidRPr="00CD72C9">
        <w:rPr>
          <w:i/>
        </w:rPr>
        <w:t>contained in this Opinion and Order</w:t>
      </w:r>
      <w:r w:rsidRPr="00CD72C9">
        <w:t>, Eastern will have substantially complied” with the relevant orders.</w:t>
      </w:r>
      <w:r w:rsidRPr="00CD72C9">
        <w:rPr>
          <w:rStyle w:val="FootnoteReference"/>
        </w:rPr>
        <w:footnoteReference w:id="66"/>
      </w:r>
      <w:r w:rsidRPr="00CD72C9">
        <w:t xml:space="preserve"> Eastern was not in substantial compliance until it implemented the recommendations spelled out in the PUCO’s Opinion and Order</w:t>
      </w:r>
      <w:r w:rsidR="004763A8">
        <w:t xml:space="preserve">. </w:t>
      </w:r>
      <w:r w:rsidRPr="00CD72C9">
        <w:t xml:space="preserve">There is no difference here: DP&amp;L is not in compliance or substantial compliance with the PUCO’s ESP II Order </w:t>
      </w:r>
      <w:r w:rsidR="009970F6">
        <w:t>regarding charging under</w:t>
      </w:r>
      <w:r w:rsidRPr="00CD72C9">
        <w:t xml:space="preserve"> the SSR-E until it demonstrates that it has satisfied the five conditions precedent noted in that Order.</w:t>
      </w:r>
      <w:r w:rsidRPr="00CD72C9">
        <w:rPr>
          <w:rStyle w:val="FootnoteReference"/>
        </w:rPr>
        <w:footnoteReference w:id="67"/>
      </w:r>
      <w:r w:rsidRPr="00CD72C9">
        <w:t xml:space="preserve"> </w:t>
      </w:r>
      <w:r w:rsidR="009970F6">
        <w:t>It has not done so, and cannot do so</w:t>
      </w:r>
      <w:r w:rsidRPr="00CD72C9">
        <w:t xml:space="preserve">.  </w:t>
      </w:r>
    </w:p>
    <w:p w:rsidR="00CE4B26" w:rsidRPr="00CD72C9" w:rsidRDefault="00492A07" w:rsidP="00CE4B26">
      <w:pPr>
        <w:spacing w:line="480" w:lineRule="auto"/>
        <w:ind w:firstLine="720"/>
      </w:pPr>
      <w:r>
        <w:t>DP&amp;L cites to a case from 1986,</w:t>
      </w:r>
      <w:r w:rsidR="00CE4B26" w:rsidRPr="00CD72C9">
        <w:t xml:space="preserve"> </w:t>
      </w:r>
      <w:r w:rsidR="00CE4B26" w:rsidRPr="00CD72C9">
        <w:rPr>
          <w:i/>
        </w:rPr>
        <w:t>CCTC</w:t>
      </w:r>
      <w:r w:rsidR="00CE4B26" w:rsidRPr="00CD72C9">
        <w:t>,</w:t>
      </w:r>
      <w:r w:rsidR="00CE4B26" w:rsidRPr="00CD72C9">
        <w:rPr>
          <w:rStyle w:val="FootnoteReference"/>
        </w:rPr>
        <w:footnoteReference w:id="68"/>
      </w:r>
      <w:r>
        <w:t xml:space="preserve"> in which</w:t>
      </w:r>
      <w:r w:rsidR="00CE4B26" w:rsidRPr="00CD72C9">
        <w:t xml:space="preserve"> </w:t>
      </w:r>
      <w:r>
        <w:t>the PUCO authorized</w:t>
      </w:r>
      <w:r w:rsidR="00CE4B26" w:rsidRPr="00CD72C9">
        <w:t xml:space="preserve"> the </w:t>
      </w:r>
      <w:r>
        <w:t>Columbus Cellular Telephone Company (“</w:t>
      </w:r>
      <w:r w:rsidR="00CE4B26" w:rsidRPr="00CD72C9">
        <w:t>CCTC</w:t>
      </w:r>
      <w:r>
        <w:t>”)</w:t>
      </w:r>
      <w:r w:rsidR="00CE4B26" w:rsidRPr="00CD72C9">
        <w:t xml:space="preserve"> to furnish cellular mobile telephone service to the Columbus Metropolitan Area. The grant of authority was contingent on CCTC filing its interconnection agreement with landline telephone companies </w:t>
      </w:r>
      <w:r w:rsidR="009970F6">
        <w:t>at</w:t>
      </w:r>
      <w:r w:rsidR="009970F6" w:rsidRPr="00CD72C9">
        <w:t xml:space="preserve"> </w:t>
      </w:r>
      <w:r w:rsidR="00CE4B26" w:rsidRPr="00CD72C9">
        <w:t>the PUCO and receiving PUCO approval before commencing its operations.</w:t>
      </w:r>
      <w:r w:rsidR="00CE4B26" w:rsidRPr="00CD72C9">
        <w:rPr>
          <w:rStyle w:val="FootnoteReference"/>
        </w:rPr>
        <w:footnoteReference w:id="69"/>
      </w:r>
      <w:r w:rsidR="00CE4B26" w:rsidRPr="00CD72C9">
        <w:t xml:space="preserve">  </w:t>
      </w:r>
    </w:p>
    <w:p w:rsidR="00CE4B26" w:rsidRPr="00CD72C9" w:rsidRDefault="00CE4B26" w:rsidP="00CE4B26">
      <w:pPr>
        <w:spacing w:line="480" w:lineRule="auto"/>
        <w:ind w:firstLine="720"/>
      </w:pPr>
      <w:r w:rsidRPr="00CD72C9">
        <w:t xml:space="preserve">CCTC filed </w:t>
      </w:r>
      <w:r w:rsidR="004763A8">
        <w:t>the</w:t>
      </w:r>
      <w:r w:rsidRPr="00CD72C9">
        <w:t xml:space="preserve"> agreement on July 10, 1986, asking that the PUCO approve it with an effective date of July 11, 1986.</w:t>
      </w:r>
      <w:r w:rsidRPr="00CD72C9">
        <w:rPr>
          <w:rStyle w:val="FootnoteReference"/>
        </w:rPr>
        <w:footnoteReference w:id="70"/>
      </w:r>
      <w:r w:rsidRPr="00CD72C9">
        <w:t xml:space="preserve">  CCTC explained that negotiating the </w:t>
      </w:r>
      <w:r w:rsidR="004763A8">
        <w:t>agreement</w:t>
      </w:r>
      <w:r w:rsidRPr="00CD72C9">
        <w:t xml:space="preserve"> took longer than expected because it could not reach an agreement for Type 2 interconnection and had to reach agreement for only Type 1 interconnection.</w:t>
      </w:r>
      <w:r w:rsidRPr="00CD72C9">
        <w:rPr>
          <w:rStyle w:val="FootnoteReference"/>
        </w:rPr>
        <w:footnoteReference w:id="71"/>
      </w:r>
      <w:r w:rsidRPr="00CD72C9">
        <w:t xml:space="preserve"> Further, CCTC incorporated all of the relevant contract provisions that the PUCO required.</w:t>
      </w:r>
      <w:r w:rsidRPr="00CD72C9">
        <w:rPr>
          <w:rStyle w:val="FootnoteReference"/>
        </w:rPr>
        <w:footnoteReference w:id="72"/>
      </w:r>
      <w:r w:rsidRPr="00CD72C9">
        <w:t xml:space="preserve"> The PUCO approved </w:t>
      </w:r>
      <w:r w:rsidR="004763A8">
        <w:t xml:space="preserve">the </w:t>
      </w:r>
      <w:r w:rsidRPr="00CD72C9">
        <w:t xml:space="preserve">agreement (effective July 11, 1986) because CCTC was in “substantial compliance” with the PUCO requirement that CCTC file </w:t>
      </w:r>
      <w:r w:rsidR="004763A8">
        <w:t>the</w:t>
      </w:r>
      <w:r w:rsidRPr="00CD72C9">
        <w:t xml:space="preserve"> agreement before commencing service and CCTC acted in good faith.</w:t>
      </w:r>
      <w:r w:rsidRPr="00CD72C9">
        <w:rPr>
          <w:rStyle w:val="FootnoteReference"/>
        </w:rPr>
        <w:footnoteReference w:id="73"/>
      </w:r>
    </w:p>
    <w:p w:rsidR="00CE4B26" w:rsidRDefault="00CE4B26" w:rsidP="00CE4B26">
      <w:pPr>
        <w:autoSpaceDE w:val="0"/>
        <w:autoSpaceDN w:val="0"/>
        <w:adjustRightInd w:val="0"/>
        <w:spacing w:line="480" w:lineRule="auto"/>
        <w:ind w:firstLine="720"/>
      </w:pPr>
      <w:r w:rsidRPr="00CD72C9">
        <w:t>Here, DP&amp;L has not implemented the requirements spelled out by the PUCO in the DP&amp;L ESP II Order. DP&amp;L has not provided</w:t>
      </w:r>
      <w:r w:rsidR="00DF6E6A">
        <w:t xml:space="preserve"> any explanation for its </w:t>
      </w:r>
      <w:r w:rsidRPr="00CD72C9">
        <w:t>comp</w:t>
      </w:r>
      <w:r w:rsidR="00DF6E6A">
        <w:t>lete inaction on numerous</w:t>
      </w:r>
      <w:r w:rsidRPr="00CD72C9">
        <w:t xml:space="preserve"> requirements</w:t>
      </w:r>
      <w:r w:rsidR="00DF6E6A">
        <w:t xml:space="preserve"> or how this inaction constitutes good faith. </w:t>
      </w:r>
      <w:r w:rsidRPr="00CD72C9">
        <w:t xml:space="preserve">No matter what </w:t>
      </w:r>
      <w:r w:rsidR="00DF6E6A">
        <w:t>arguments DP&amp;L produces in its</w:t>
      </w:r>
      <w:r w:rsidRPr="00CD72C9">
        <w:t xml:space="preserve"> </w:t>
      </w:r>
      <w:r w:rsidR="00DF6E6A">
        <w:t>R</w:t>
      </w:r>
      <w:r w:rsidRPr="00CD72C9">
        <w:t xml:space="preserve">eply, it cannot overcome its complete abdication </w:t>
      </w:r>
      <w:r w:rsidR="00DF6E6A">
        <w:t>of the DP&amp;L ESP II Order</w:t>
      </w:r>
      <w:r w:rsidRPr="00CD72C9">
        <w:t xml:space="preserve"> </w:t>
      </w:r>
      <w:r w:rsidR="00DF6E6A">
        <w:t>conditions</w:t>
      </w:r>
      <w:r w:rsidRPr="00CD72C9">
        <w:t xml:space="preserve">.  </w:t>
      </w:r>
      <w:r w:rsidR="00DF6E6A">
        <w:t>The reality is</w:t>
      </w:r>
      <w:r w:rsidR="009970F6">
        <w:t xml:space="preserve"> that</w:t>
      </w:r>
      <w:r w:rsidR="009970F6" w:rsidRPr="00CD72C9">
        <w:t xml:space="preserve"> </w:t>
      </w:r>
      <w:r w:rsidRPr="00CD72C9">
        <w:t>DP&amp;L has not come close to actually complying with the PUCO’s five mand</w:t>
      </w:r>
      <w:r w:rsidR="00DF6E6A">
        <w:t>atory conditions to implement</w:t>
      </w:r>
      <w:r w:rsidRPr="00CD72C9">
        <w:t xml:space="preserve"> the SSR-E. DP&amp;L’s motion must be denied. </w:t>
      </w:r>
    </w:p>
    <w:p w:rsidR="00BE4FF0" w:rsidRPr="00CD72C9" w:rsidRDefault="00BE4FF0" w:rsidP="00BE4FF0">
      <w:pPr>
        <w:autoSpaceDE w:val="0"/>
        <w:autoSpaceDN w:val="0"/>
        <w:adjustRightInd w:val="0"/>
        <w:ind w:firstLine="720"/>
      </w:pPr>
    </w:p>
    <w:p w:rsidR="004D306D" w:rsidRDefault="004D306D" w:rsidP="00736FA0">
      <w:pPr>
        <w:pStyle w:val="Heading1"/>
      </w:pPr>
      <w:bookmarkStart w:id="12" w:name="_Toc449712060"/>
      <w:r w:rsidRPr="00570CA8">
        <w:t>CONCLUSION</w:t>
      </w:r>
      <w:bookmarkEnd w:id="12"/>
    </w:p>
    <w:p w:rsidR="004D306D" w:rsidRPr="00570CA8" w:rsidRDefault="00CE4B26" w:rsidP="00CE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contextualSpacing/>
      </w:pPr>
      <w:r>
        <w:t xml:space="preserve">The PUCO should protect Ohio consumers and the public interest from </w:t>
      </w:r>
      <w:r w:rsidR="009970F6">
        <w:t xml:space="preserve">DP&amp;L’s </w:t>
      </w:r>
      <w:r>
        <w:t>unwarranted charge</w:t>
      </w:r>
      <w:r w:rsidR="004763A8">
        <w:t>s</w:t>
      </w:r>
      <w:r>
        <w:t xml:space="preserve">. </w:t>
      </w:r>
      <w:r w:rsidR="00172738">
        <w:t xml:space="preserve">The Ohio Supreme Court did so regarding AEP Ohio’s RSR and, based on that authority, the PUCO is compelled to do so here.  </w:t>
      </w:r>
      <w:r>
        <w:t>DP&amp;L</w:t>
      </w:r>
      <w:r w:rsidR="00C8608A">
        <w:t>’s</w:t>
      </w:r>
      <w:r>
        <w:t xml:space="preserve"> </w:t>
      </w:r>
      <w:r w:rsidR="00C8608A">
        <w:t xml:space="preserve">motion is woefully deficient, both procedurally and as an evidentiary matter.  DP&amp;L </w:t>
      </w:r>
      <w:r>
        <w:t xml:space="preserve">has failed to comply with the conditions identified by the PUCO for </w:t>
      </w:r>
      <w:r w:rsidR="009970F6">
        <w:t xml:space="preserve">charging consumers under SSR-E.  </w:t>
      </w:r>
      <w:r w:rsidR="00A52793">
        <w:t xml:space="preserve">DP&amp;L </w:t>
      </w:r>
      <w:r>
        <w:t xml:space="preserve">has </w:t>
      </w:r>
      <w:r w:rsidR="00A52793">
        <w:t xml:space="preserve">even failed to show </w:t>
      </w:r>
      <w:r w:rsidR="00EA7167">
        <w:t xml:space="preserve">(because it cannot show) </w:t>
      </w:r>
      <w:r w:rsidR="00A52793">
        <w:t xml:space="preserve">the </w:t>
      </w:r>
      <w:r w:rsidR="00A52793" w:rsidRPr="00A52793">
        <w:rPr>
          <w:i/>
        </w:rPr>
        <w:t>need</w:t>
      </w:r>
      <w:r w:rsidR="00EA7167">
        <w:t xml:space="preserve"> to charge consumers.  </w:t>
      </w:r>
      <w:r>
        <w:t xml:space="preserve">The PUCO should stand by its DP&amp;L ESP II Order and deny </w:t>
      </w:r>
      <w:r w:rsidR="00E879DD">
        <w:t>DP&amp;L’s</w:t>
      </w:r>
      <w:r w:rsidR="004D306D">
        <w:t xml:space="preserve"> </w:t>
      </w:r>
      <w:r w:rsidR="00AA3B52">
        <w:t>Motion</w:t>
      </w:r>
      <w:r w:rsidR="00754646">
        <w:t xml:space="preserve">. </w:t>
      </w:r>
    </w:p>
    <w:p w:rsidR="008877D8" w:rsidRDefault="008877D8" w:rsidP="00200DC1"/>
    <w:p w:rsidR="008877D8" w:rsidRDefault="008877D8">
      <w:pPr>
        <w:spacing w:after="200" w:line="276" w:lineRule="auto"/>
      </w:pPr>
      <w:r>
        <w:br w:type="page"/>
      </w:r>
    </w:p>
    <w:p w:rsidR="007829BC" w:rsidRPr="007829BC" w:rsidRDefault="007829BC" w:rsidP="007829BC">
      <w:pPr>
        <w:pStyle w:val="BodyTextIndent3"/>
        <w:widowControl w:val="0"/>
        <w:ind w:left="3600" w:right="-672"/>
        <w:rPr>
          <w:rFonts w:ascii="Times New Roman" w:hAnsi="Times New Roman" w:cs="Times New Roman"/>
        </w:rPr>
      </w:pPr>
      <w:r w:rsidRPr="007829BC">
        <w:rPr>
          <w:rFonts w:ascii="Times New Roman" w:hAnsi="Times New Roman" w:cs="Times New Roman"/>
        </w:rPr>
        <w:t>Respectfully submitted,</w:t>
      </w:r>
    </w:p>
    <w:p w:rsidR="007829BC" w:rsidRPr="007829BC" w:rsidRDefault="007829BC" w:rsidP="007829BC">
      <w:pPr>
        <w:pStyle w:val="Footer"/>
        <w:tabs>
          <w:tab w:val="left" w:pos="4320"/>
        </w:tabs>
        <w:spacing w:before="240"/>
      </w:pPr>
      <w:r w:rsidRPr="007829BC">
        <w:tab/>
        <w:t>BRUCE J. WESTON (0016973)</w:t>
      </w:r>
    </w:p>
    <w:p w:rsidR="007829BC" w:rsidRPr="007829BC" w:rsidRDefault="007829BC" w:rsidP="007829BC">
      <w:pPr>
        <w:tabs>
          <w:tab w:val="left" w:pos="4320"/>
        </w:tabs>
      </w:pPr>
      <w:r w:rsidRPr="007829BC">
        <w:tab/>
        <w:t>OHIO CONSUMERS’ COUNSEL</w:t>
      </w:r>
    </w:p>
    <w:p w:rsidR="007829BC" w:rsidRPr="007829BC" w:rsidRDefault="007829BC" w:rsidP="007829BC">
      <w:pPr>
        <w:tabs>
          <w:tab w:val="left" w:pos="4320"/>
        </w:tabs>
      </w:pPr>
      <w:r w:rsidRPr="007829BC">
        <w:tab/>
      </w:r>
    </w:p>
    <w:p w:rsidR="007829BC" w:rsidRPr="007829BC" w:rsidRDefault="007829BC" w:rsidP="007829BC">
      <w:pPr>
        <w:tabs>
          <w:tab w:val="left" w:pos="4320"/>
        </w:tabs>
      </w:pPr>
      <w:r w:rsidRPr="007829BC">
        <w:tab/>
      </w:r>
      <w:r w:rsidRPr="007829BC">
        <w:rPr>
          <w:i/>
          <w:u w:val="single"/>
        </w:rPr>
        <w:t xml:space="preserve">/s/ William J. Michael         </w:t>
      </w:r>
      <w:r w:rsidRPr="007829BC">
        <w:rPr>
          <w:i/>
          <w:u w:val="single"/>
        </w:rPr>
        <w:tab/>
      </w:r>
    </w:p>
    <w:p w:rsidR="007829BC" w:rsidRPr="007829BC" w:rsidRDefault="007829BC" w:rsidP="007829BC">
      <w:pPr>
        <w:tabs>
          <w:tab w:val="left" w:pos="4320"/>
        </w:tabs>
      </w:pPr>
      <w:r w:rsidRPr="007829BC">
        <w:tab/>
        <w:t>William J. Michael (0070921)</w:t>
      </w:r>
    </w:p>
    <w:p w:rsidR="007829BC" w:rsidRPr="007829BC" w:rsidRDefault="007829BC" w:rsidP="007829BC">
      <w:pPr>
        <w:tabs>
          <w:tab w:val="left" w:pos="4320"/>
        </w:tabs>
      </w:pPr>
      <w:r w:rsidRPr="007829BC">
        <w:tab/>
        <w:t>Counsel of Record</w:t>
      </w:r>
    </w:p>
    <w:p w:rsidR="007829BC" w:rsidRPr="007829BC" w:rsidRDefault="007829BC" w:rsidP="007829BC">
      <w:pPr>
        <w:tabs>
          <w:tab w:val="left" w:pos="4320"/>
        </w:tabs>
      </w:pPr>
      <w:r w:rsidRPr="007829BC">
        <w:tab/>
        <w:t>Kevin F. Moore (0089228)</w:t>
      </w:r>
    </w:p>
    <w:p w:rsidR="007829BC" w:rsidRPr="007829BC" w:rsidRDefault="007829BC" w:rsidP="007829BC">
      <w:pPr>
        <w:tabs>
          <w:tab w:val="left" w:pos="4320"/>
        </w:tabs>
      </w:pPr>
      <w:r w:rsidRPr="007829BC">
        <w:tab/>
        <w:t>Assistant Consumers’ Counsel</w:t>
      </w:r>
    </w:p>
    <w:p w:rsidR="007829BC" w:rsidRPr="007829BC" w:rsidRDefault="007829BC" w:rsidP="007829BC">
      <w:pPr>
        <w:ind w:left="4320"/>
      </w:pPr>
    </w:p>
    <w:p w:rsidR="007829BC" w:rsidRPr="007829BC" w:rsidRDefault="007829BC" w:rsidP="007829BC">
      <w:pPr>
        <w:ind w:left="4320"/>
        <w:rPr>
          <w:b/>
        </w:rPr>
      </w:pPr>
      <w:r w:rsidRPr="007829BC">
        <w:rPr>
          <w:b/>
        </w:rPr>
        <w:t>Office of the Ohio Consumers’ Counsel</w:t>
      </w:r>
    </w:p>
    <w:p w:rsidR="007829BC" w:rsidRPr="007829BC" w:rsidRDefault="007829BC" w:rsidP="007829BC">
      <w:pPr>
        <w:ind w:left="4320"/>
      </w:pPr>
      <w:r w:rsidRPr="007829BC">
        <w:t>10 West Broad Street, Suite 1800</w:t>
      </w:r>
    </w:p>
    <w:p w:rsidR="007829BC" w:rsidRPr="007829BC" w:rsidRDefault="007829BC" w:rsidP="007829BC">
      <w:pPr>
        <w:ind w:left="4320"/>
      </w:pPr>
      <w:r w:rsidRPr="007829BC">
        <w:t>Columbus, Ohio 43215-3485</w:t>
      </w:r>
    </w:p>
    <w:p w:rsidR="007829BC" w:rsidRPr="007829BC" w:rsidRDefault="007829BC" w:rsidP="007829BC">
      <w:pPr>
        <w:autoSpaceDE w:val="0"/>
        <w:autoSpaceDN w:val="0"/>
        <w:adjustRightInd w:val="0"/>
        <w:ind w:left="3600" w:firstLine="720"/>
      </w:pPr>
      <w:r w:rsidRPr="007829BC">
        <w:t>Telephone: 614-466-1291 (Michael Direct)</w:t>
      </w:r>
    </w:p>
    <w:p w:rsidR="007829BC" w:rsidRPr="007829BC" w:rsidRDefault="007829BC" w:rsidP="007829BC">
      <w:pPr>
        <w:autoSpaceDE w:val="0"/>
        <w:autoSpaceDN w:val="0"/>
        <w:adjustRightInd w:val="0"/>
        <w:ind w:left="3600" w:firstLine="720"/>
      </w:pPr>
      <w:r w:rsidRPr="007829BC">
        <w:t>Telephone: 614-387-2965 (Moore Direct)</w:t>
      </w:r>
    </w:p>
    <w:p w:rsidR="007829BC" w:rsidRPr="007829BC" w:rsidRDefault="00491BD7" w:rsidP="007829BC">
      <w:pPr>
        <w:autoSpaceDE w:val="0"/>
        <w:autoSpaceDN w:val="0"/>
        <w:adjustRightInd w:val="0"/>
        <w:ind w:left="3600" w:firstLine="720"/>
      </w:pPr>
      <w:hyperlink r:id="rId18" w:history="1">
        <w:r w:rsidR="007829BC" w:rsidRPr="007829BC">
          <w:rPr>
            <w:rStyle w:val="Hyperlink"/>
          </w:rPr>
          <w:t>William.michael@occ.ohio.gov</w:t>
        </w:r>
      </w:hyperlink>
    </w:p>
    <w:p w:rsidR="007829BC" w:rsidRPr="007829BC" w:rsidRDefault="007829BC" w:rsidP="007829BC">
      <w:pPr>
        <w:autoSpaceDE w:val="0"/>
        <w:autoSpaceDN w:val="0"/>
        <w:adjustRightInd w:val="0"/>
        <w:ind w:left="3600" w:firstLine="720"/>
      </w:pPr>
      <w:r w:rsidRPr="007829BC">
        <w:t>(will accept service via email)</w:t>
      </w:r>
    </w:p>
    <w:p w:rsidR="007829BC" w:rsidRPr="007829BC" w:rsidRDefault="00491BD7" w:rsidP="007829BC">
      <w:pPr>
        <w:ind w:left="4320"/>
      </w:pPr>
      <w:hyperlink r:id="rId19" w:history="1">
        <w:r w:rsidR="007829BC" w:rsidRPr="007829BC">
          <w:rPr>
            <w:rStyle w:val="Hyperlink"/>
          </w:rPr>
          <w:t>Kevin.moore@occ.ohio.gov</w:t>
        </w:r>
      </w:hyperlink>
    </w:p>
    <w:p w:rsidR="007829BC" w:rsidRPr="007829BC" w:rsidRDefault="007829BC" w:rsidP="007829BC">
      <w:pPr>
        <w:ind w:left="3600" w:firstLine="720"/>
      </w:pPr>
      <w:r w:rsidRPr="007829BC">
        <w:t>(will accept service via email)</w:t>
      </w:r>
    </w:p>
    <w:p w:rsidR="007829BC" w:rsidRDefault="007829BC" w:rsidP="007829BC">
      <w:pPr>
        <w:autoSpaceDE w:val="0"/>
        <w:autoSpaceDN w:val="0"/>
        <w:adjustRightInd w:val="0"/>
        <w:ind w:left="3600" w:firstLine="720"/>
      </w:pPr>
    </w:p>
    <w:p w:rsidR="007829BC" w:rsidRDefault="008877D8" w:rsidP="00200DC1">
      <w:r>
        <w:tab/>
      </w:r>
      <w:r>
        <w:tab/>
      </w:r>
      <w:r>
        <w:tab/>
      </w:r>
      <w:r>
        <w:tab/>
      </w:r>
      <w:r>
        <w:tab/>
      </w:r>
      <w:r>
        <w:tab/>
      </w:r>
    </w:p>
    <w:p w:rsidR="00801BD2" w:rsidRPr="0066675A" w:rsidRDefault="00801BD2" w:rsidP="00801BD2">
      <w:pPr>
        <w:autoSpaceDE w:val="0"/>
        <w:autoSpaceDN w:val="0"/>
        <w:adjustRightInd w:val="0"/>
        <w:ind w:left="4320"/>
      </w:pPr>
    </w:p>
    <w:p w:rsidR="00192DDF" w:rsidRDefault="00192DDF" w:rsidP="004D306D">
      <w:pPr>
        <w:spacing w:after="200" w:line="276" w:lineRule="auto"/>
        <w:jc w:val="center"/>
        <w:rPr>
          <w:i/>
          <w:u w:val="single"/>
        </w:rPr>
      </w:pPr>
    </w:p>
    <w:p w:rsidR="00192DDF" w:rsidRDefault="00192DDF" w:rsidP="004D306D">
      <w:pPr>
        <w:spacing w:after="200" w:line="276" w:lineRule="auto"/>
        <w:jc w:val="center"/>
        <w:rPr>
          <w:i/>
          <w:u w:val="single"/>
        </w:rPr>
      </w:pPr>
    </w:p>
    <w:p w:rsidR="00192DDF" w:rsidRDefault="00192DDF" w:rsidP="004D306D">
      <w:pPr>
        <w:spacing w:after="200" w:line="276" w:lineRule="auto"/>
        <w:jc w:val="center"/>
        <w:rPr>
          <w:i/>
          <w:u w:val="single"/>
        </w:rPr>
      </w:pPr>
    </w:p>
    <w:p w:rsidR="00192DDF" w:rsidRDefault="00192DDF" w:rsidP="004D306D">
      <w:pPr>
        <w:spacing w:after="200" w:line="276" w:lineRule="auto"/>
        <w:jc w:val="center"/>
        <w:rPr>
          <w:i/>
          <w:u w:val="single"/>
        </w:rPr>
      </w:pPr>
    </w:p>
    <w:p w:rsidR="00192DDF" w:rsidRDefault="00192DDF" w:rsidP="004D306D">
      <w:pPr>
        <w:spacing w:after="200" w:line="276" w:lineRule="auto"/>
        <w:jc w:val="center"/>
        <w:rPr>
          <w:i/>
          <w:u w:val="single"/>
        </w:rPr>
      </w:pPr>
    </w:p>
    <w:p w:rsidR="00192DDF" w:rsidRDefault="00192DDF" w:rsidP="004D306D">
      <w:pPr>
        <w:spacing w:after="200" w:line="276" w:lineRule="auto"/>
        <w:jc w:val="center"/>
        <w:rPr>
          <w:i/>
          <w:u w:val="single"/>
        </w:rPr>
      </w:pPr>
    </w:p>
    <w:p w:rsidR="00192DDF" w:rsidRDefault="00192DDF" w:rsidP="004D306D">
      <w:pPr>
        <w:spacing w:after="200" w:line="276" w:lineRule="auto"/>
        <w:jc w:val="center"/>
        <w:rPr>
          <w:i/>
          <w:u w:val="single"/>
        </w:rPr>
      </w:pPr>
    </w:p>
    <w:p w:rsidR="00192DDF" w:rsidRDefault="00192DDF" w:rsidP="004D306D">
      <w:pPr>
        <w:spacing w:after="200" w:line="276" w:lineRule="auto"/>
        <w:jc w:val="center"/>
        <w:rPr>
          <w:i/>
          <w:u w:val="single"/>
        </w:rPr>
      </w:pPr>
    </w:p>
    <w:p w:rsidR="00192DDF" w:rsidRDefault="00192DDF" w:rsidP="004D306D">
      <w:pPr>
        <w:spacing w:after="200" w:line="276" w:lineRule="auto"/>
        <w:jc w:val="center"/>
        <w:rPr>
          <w:i/>
          <w:u w:val="single"/>
        </w:rPr>
      </w:pPr>
    </w:p>
    <w:p w:rsidR="004821DF" w:rsidRDefault="004821DF" w:rsidP="004D306D">
      <w:pPr>
        <w:spacing w:after="200" w:line="276" w:lineRule="auto"/>
        <w:jc w:val="center"/>
        <w:rPr>
          <w:b/>
          <w:bCs/>
          <w:u w:val="single"/>
        </w:rPr>
        <w:sectPr w:rsidR="004821DF" w:rsidSect="00131377">
          <w:footerReference w:type="default" r:id="rId20"/>
          <w:headerReference w:type="first" r:id="rId21"/>
          <w:footerReference w:type="first" r:id="rId22"/>
          <w:pgSz w:w="12240" w:h="15840"/>
          <w:pgMar w:top="1440" w:right="1800" w:bottom="1440" w:left="1800" w:header="720" w:footer="720" w:gutter="0"/>
          <w:pgNumType w:start="1"/>
          <w:cols w:space="720"/>
          <w:titlePg/>
          <w:docGrid w:linePitch="360"/>
        </w:sectPr>
      </w:pPr>
    </w:p>
    <w:p w:rsidR="004D306D" w:rsidRPr="00FE51BB" w:rsidRDefault="004D306D" w:rsidP="004D306D">
      <w:pPr>
        <w:spacing w:after="200" w:line="276" w:lineRule="auto"/>
        <w:jc w:val="center"/>
        <w:rPr>
          <w:b/>
          <w:u w:val="single"/>
        </w:rPr>
      </w:pPr>
      <w:r w:rsidRPr="008408B9">
        <w:rPr>
          <w:b/>
          <w:bCs/>
          <w:u w:val="single"/>
        </w:rPr>
        <w:t>CERTIFICATE OF SERVICE</w:t>
      </w:r>
    </w:p>
    <w:p w:rsidR="004D306D" w:rsidRPr="008408B9" w:rsidRDefault="004D306D" w:rsidP="004D306D">
      <w:pPr>
        <w:suppressAutoHyphens/>
        <w:spacing w:line="480" w:lineRule="auto"/>
        <w:ind w:firstLine="720"/>
      </w:pPr>
      <w:r w:rsidRPr="008408B9">
        <w:t xml:space="preserve">It is hereby certified that a true copy of the foregoing </w:t>
      </w:r>
      <w:r w:rsidR="00192DDF">
        <w:t>Memorandum Contra Dayton Power &amp; Light</w:t>
      </w:r>
      <w:r w:rsidR="00200DC1">
        <w:t xml:space="preserve">’s Motion to </w:t>
      </w:r>
      <w:r w:rsidR="00192DDF">
        <w:t>I</w:t>
      </w:r>
      <w:r w:rsidR="00FA09F4">
        <w:t>mplement the SSR Extension</w:t>
      </w:r>
      <w:r w:rsidRPr="001B73A3">
        <w:t xml:space="preserve"> </w:t>
      </w:r>
      <w:r w:rsidRPr="008408B9">
        <w:t xml:space="preserve">was served upon the persons listed below </w:t>
      </w:r>
      <w:r>
        <w:t xml:space="preserve">via electronic transmission </w:t>
      </w:r>
      <w:r w:rsidRPr="008408B9">
        <w:t>this</w:t>
      </w:r>
      <w:r w:rsidR="00473F2C">
        <w:t xml:space="preserve"> </w:t>
      </w:r>
      <w:r w:rsidR="00B61836">
        <w:t>29</w:t>
      </w:r>
      <w:r w:rsidR="00B61836" w:rsidRPr="00B61836">
        <w:rPr>
          <w:vertAlign w:val="superscript"/>
        </w:rPr>
        <w:t>th</w:t>
      </w:r>
      <w:r w:rsidR="00B61836">
        <w:t xml:space="preserve"> </w:t>
      </w:r>
      <w:r w:rsidRPr="008408B9">
        <w:t xml:space="preserve">day of </w:t>
      </w:r>
      <w:r w:rsidR="00192DDF">
        <w:t>April</w:t>
      </w:r>
      <w:r w:rsidR="0044217C">
        <w:t>, 2016</w:t>
      </w:r>
      <w:r>
        <w:t>.</w:t>
      </w:r>
    </w:p>
    <w:p w:rsidR="004D306D" w:rsidRPr="008408B9" w:rsidRDefault="004D306D" w:rsidP="004D306D">
      <w:pPr>
        <w:pStyle w:val="EndnoteText"/>
        <w:widowControl/>
        <w:tabs>
          <w:tab w:val="left" w:pos="-720"/>
        </w:tabs>
        <w:suppressAutoHyphens/>
        <w:rPr>
          <w:rFonts w:ascii="Times New Roman" w:hAnsi="Times New Roman"/>
          <w:snapToGrid/>
          <w:spacing w:val="-3"/>
          <w:szCs w:val="24"/>
        </w:rPr>
      </w:pPr>
    </w:p>
    <w:p w:rsidR="00200DC1" w:rsidRDefault="004D306D" w:rsidP="00FE50D8">
      <w:pPr>
        <w:pStyle w:val="EndnoteText"/>
        <w:widowControl/>
        <w:contextualSpacing/>
        <w:rPr>
          <w:rFonts w:ascii="Times New Roman" w:hAnsi="Times New Roman"/>
          <w:i/>
          <w:snapToGrid/>
          <w:szCs w:val="24"/>
          <w:u w:val="single"/>
        </w:rPr>
      </w:pP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00192DDF">
        <w:rPr>
          <w:rFonts w:ascii="Times New Roman" w:hAnsi="Times New Roman"/>
          <w:i/>
          <w:snapToGrid/>
          <w:szCs w:val="24"/>
          <w:u w:val="single"/>
        </w:rPr>
        <w:t>/s/</w:t>
      </w:r>
      <w:r w:rsidR="007829BC">
        <w:rPr>
          <w:rFonts w:ascii="Times New Roman" w:hAnsi="Times New Roman"/>
          <w:i/>
          <w:snapToGrid/>
          <w:szCs w:val="24"/>
          <w:u w:val="single"/>
        </w:rPr>
        <w:t>William Michael</w:t>
      </w:r>
    </w:p>
    <w:p w:rsidR="00192DDF" w:rsidRDefault="00200DC1" w:rsidP="00192DDF">
      <w:pPr>
        <w:pStyle w:val="EndnoteText"/>
        <w:widowControl/>
        <w:contextualSpacing/>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007829BC">
        <w:rPr>
          <w:rFonts w:ascii="Times New Roman" w:hAnsi="Times New Roman"/>
          <w:snapToGrid/>
          <w:szCs w:val="24"/>
        </w:rPr>
        <w:t>William Michael</w:t>
      </w:r>
    </w:p>
    <w:p w:rsidR="004D306D" w:rsidRPr="008408B9" w:rsidRDefault="00192DDF" w:rsidP="00192DDF">
      <w:pPr>
        <w:pStyle w:val="EndnoteText"/>
        <w:widowControl/>
        <w:contextualSpacing/>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Assistant Consumers’ Counsel</w:t>
      </w:r>
      <w:r w:rsidR="006F0F94">
        <w:rPr>
          <w:rFonts w:ascii="Times New Roman" w:hAnsi="Times New Roman"/>
          <w:snapToGrid/>
          <w:szCs w:val="24"/>
        </w:rPr>
        <w:tab/>
      </w:r>
      <w:r w:rsidR="006F0F94">
        <w:rPr>
          <w:rFonts w:ascii="Times New Roman" w:hAnsi="Times New Roman"/>
          <w:snapToGrid/>
          <w:szCs w:val="24"/>
        </w:rPr>
        <w:tab/>
      </w:r>
    </w:p>
    <w:p w:rsidR="00895F87" w:rsidRDefault="00895F87" w:rsidP="004821DF">
      <w:pPr>
        <w:rPr>
          <w:b/>
          <w:bCs/>
          <w:u w:val="single"/>
        </w:rPr>
      </w:pPr>
    </w:p>
    <w:p w:rsidR="004821DF" w:rsidRDefault="004821DF" w:rsidP="004821DF">
      <w:pPr>
        <w:jc w:val="center"/>
        <w:rPr>
          <w:bCs/>
          <w:u w:val="single"/>
        </w:rPr>
      </w:pPr>
      <w:r w:rsidRPr="004821DF">
        <w:rPr>
          <w:bCs/>
          <w:u w:val="single"/>
        </w:rPr>
        <w:t>SERVICE LIST</w:t>
      </w:r>
    </w:p>
    <w:p w:rsidR="004821DF" w:rsidRDefault="004821DF" w:rsidP="004821DF">
      <w:pPr>
        <w:jc w:val="center"/>
        <w:rPr>
          <w:bCs/>
          <w:u w:val="single"/>
        </w:rPr>
      </w:pPr>
    </w:p>
    <w:tbl>
      <w:tblPr>
        <w:tblStyle w:val="TableGrid"/>
        <w:tblW w:w="0" w:type="auto"/>
        <w:tblLook w:val="04A0" w:firstRow="1" w:lastRow="0" w:firstColumn="1" w:lastColumn="0" w:noHBand="0" w:noVBand="1"/>
      </w:tblPr>
      <w:tblGrid>
        <w:gridCol w:w="4428"/>
        <w:gridCol w:w="4428"/>
      </w:tblGrid>
      <w:tr w:rsidR="004821DF" w:rsidTr="004821DF">
        <w:tc>
          <w:tcPr>
            <w:tcW w:w="4428" w:type="dxa"/>
          </w:tcPr>
          <w:p w:rsidR="00EC441B" w:rsidRPr="009339F9" w:rsidRDefault="00491BD7" w:rsidP="00EC441B">
            <w:pPr>
              <w:autoSpaceDE w:val="0"/>
              <w:autoSpaceDN w:val="0"/>
              <w:adjustRightInd w:val="0"/>
              <w:rPr>
                <w:color w:val="0000FF"/>
              </w:rPr>
            </w:pPr>
            <w:hyperlink r:id="rId23" w:history="1">
              <w:r w:rsidR="00EC441B" w:rsidRPr="00922715">
                <w:rPr>
                  <w:rStyle w:val="Hyperlink"/>
                </w:rPr>
                <w:t>dboehm@bkllawfirm.com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24" w:history="1">
              <w:r w:rsidR="00EC441B" w:rsidRPr="00922715">
                <w:rPr>
                  <w:rStyle w:val="Hyperlink"/>
                </w:rPr>
                <w:t>mkurtz@bkllawfirm.com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25" w:history="1">
              <w:r w:rsidR="00EC441B" w:rsidRPr="00922715">
                <w:rPr>
                  <w:rStyle w:val="Hyperlink"/>
                </w:rPr>
                <w:t>jkylercohn@bkllawfirm.com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26" w:history="1">
              <w:r w:rsidR="00EC441B" w:rsidRPr="00922715">
                <w:rPr>
                  <w:rStyle w:val="Hyperlink"/>
                </w:rPr>
                <w:t>fdarr@mwncmh.com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27" w:history="1">
              <w:r w:rsidR="00EC441B" w:rsidRPr="00922715">
                <w:rPr>
                  <w:rStyle w:val="Hyperlink"/>
                </w:rPr>
                <w:t>mpritchard@mwncmh.com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28" w:history="1">
              <w:r w:rsidR="00EC441B" w:rsidRPr="00922715">
                <w:rPr>
                  <w:rStyle w:val="Hyperlink"/>
                </w:rPr>
                <w:t>mjsettineri@vorys.com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29" w:history="1">
              <w:r w:rsidR="00EC441B" w:rsidRPr="00922715">
                <w:rPr>
                  <w:rStyle w:val="Hyperlink"/>
                </w:rPr>
                <w:t>smhoward@vorys.com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30" w:history="1">
              <w:r w:rsidR="00EC441B" w:rsidRPr="00922715">
                <w:rPr>
                  <w:rStyle w:val="Hyperlink"/>
                </w:rPr>
                <w:t>glpetrucci@vorys.com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31" w:history="1">
              <w:r w:rsidR="00EC441B" w:rsidRPr="009339F9">
                <w:rPr>
                  <w:rStyle w:val="Hyperlink"/>
                </w:rPr>
                <w:t>ibatikov@vorys.com</w:t>
              </w:r>
            </w:hyperlink>
          </w:p>
          <w:p w:rsidR="00EC441B" w:rsidRPr="009339F9" w:rsidRDefault="00491BD7" w:rsidP="00EC441B">
            <w:pPr>
              <w:autoSpaceDE w:val="0"/>
              <w:autoSpaceDN w:val="0"/>
              <w:adjustRightInd w:val="0"/>
              <w:rPr>
                <w:rFonts w:eastAsiaTheme="minorHAnsi"/>
                <w:color w:val="0000FF"/>
              </w:rPr>
            </w:pPr>
            <w:hyperlink r:id="rId32" w:history="1">
              <w:r w:rsidR="00EC441B" w:rsidRPr="009339F9">
                <w:rPr>
                  <w:rStyle w:val="Hyperlink"/>
                  <w:rFonts w:eastAsiaTheme="minorHAnsi"/>
                </w:rPr>
                <w:t>tdougherty@theOEC.org</w:t>
              </w:r>
            </w:hyperlink>
          </w:p>
          <w:p w:rsidR="00EC441B" w:rsidRPr="009339F9" w:rsidRDefault="00491BD7" w:rsidP="00EC441B">
            <w:pPr>
              <w:autoSpaceDE w:val="0"/>
              <w:autoSpaceDN w:val="0"/>
              <w:adjustRightInd w:val="0"/>
              <w:rPr>
                <w:rFonts w:eastAsiaTheme="minorHAnsi"/>
                <w:color w:val="0000FF"/>
              </w:rPr>
            </w:pPr>
            <w:hyperlink r:id="rId33" w:history="1">
              <w:r w:rsidR="00EC441B" w:rsidRPr="009339F9">
                <w:rPr>
                  <w:rStyle w:val="Hyperlink"/>
                  <w:rFonts w:eastAsiaTheme="minorHAnsi"/>
                </w:rPr>
                <w:t>cmooney@ohiopartners.org</w:t>
              </w:r>
            </w:hyperlink>
          </w:p>
          <w:p w:rsidR="00EC441B" w:rsidRPr="009339F9" w:rsidRDefault="00491BD7" w:rsidP="00EC441B">
            <w:pPr>
              <w:autoSpaceDE w:val="0"/>
              <w:autoSpaceDN w:val="0"/>
              <w:adjustRightInd w:val="0"/>
              <w:rPr>
                <w:rFonts w:eastAsiaTheme="minorHAnsi"/>
              </w:rPr>
            </w:pPr>
            <w:hyperlink r:id="rId34" w:history="1">
              <w:r w:rsidR="00EC441B" w:rsidRPr="009339F9">
                <w:rPr>
                  <w:rStyle w:val="Hyperlink"/>
                  <w:rFonts w:eastAsiaTheme="minorHAnsi"/>
                </w:rPr>
                <w:t>joliker@igsenergy.com</w:t>
              </w:r>
            </w:hyperlink>
          </w:p>
          <w:p w:rsidR="00EC441B" w:rsidRPr="009339F9" w:rsidRDefault="00491BD7" w:rsidP="00EC441B">
            <w:pPr>
              <w:autoSpaceDE w:val="0"/>
              <w:autoSpaceDN w:val="0"/>
              <w:adjustRightInd w:val="0"/>
              <w:rPr>
                <w:rFonts w:eastAsiaTheme="minorHAnsi"/>
              </w:rPr>
            </w:pPr>
            <w:hyperlink r:id="rId35" w:history="1">
              <w:r w:rsidR="00EC441B" w:rsidRPr="009339F9">
                <w:rPr>
                  <w:rStyle w:val="Hyperlink"/>
                  <w:rFonts w:eastAsiaTheme="minorHAnsi"/>
                </w:rPr>
                <w:t>Bojko@carpenterlipps.com</w:t>
              </w:r>
            </w:hyperlink>
          </w:p>
          <w:p w:rsidR="00EC441B" w:rsidRPr="009339F9" w:rsidRDefault="00491BD7" w:rsidP="00EC441B">
            <w:pPr>
              <w:autoSpaceDE w:val="0"/>
              <w:autoSpaceDN w:val="0"/>
              <w:adjustRightInd w:val="0"/>
              <w:rPr>
                <w:rFonts w:eastAsiaTheme="minorHAnsi"/>
              </w:rPr>
            </w:pPr>
            <w:hyperlink r:id="rId36" w:history="1">
              <w:r w:rsidR="00EC441B" w:rsidRPr="009339F9">
                <w:rPr>
                  <w:rStyle w:val="Hyperlink"/>
                  <w:rFonts w:eastAsiaTheme="minorHAnsi"/>
                </w:rPr>
                <w:t>Ghiloni@carpenterlipps.com</w:t>
              </w:r>
            </w:hyperlink>
          </w:p>
          <w:p w:rsidR="004821DF" w:rsidRDefault="004821DF" w:rsidP="004821DF">
            <w:pPr>
              <w:rPr>
                <w:bCs/>
              </w:rPr>
            </w:pPr>
          </w:p>
          <w:p w:rsidR="00EC441B" w:rsidRDefault="00EC441B" w:rsidP="004821DF">
            <w:pPr>
              <w:rPr>
                <w:bCs/>
              </w:rPr>
            </w:pPr>
            <w:r>
              <w:rPr>
                <w:bCs/>
              </w:rPr>
              <w:t>Attorney Examiners:</w:t>
            </w:r>
          </w:p>
          <w:p w:rsidR="00EC441B" w:rsidRPr="009339F9" w:rsidRDefault="00491BD7" w:rsidP="00EC441B">
            <w:pPr>
              <w:autoSpaceDE w:val="0"/>
              <w:autoSpaceDN w:val="0"/>
              <w:adjustRightInd w:val="0"/>
              <w:rPr>
                <w:color w:val="0000FF"/>
              </w:rPr>
            </w:pPr>
            <w:hyperlink r:id="rId37" w:history="1">
              <w:r w:rsidR="00EC441B" w:rsidRPr="009339F9">
                <w:rPr>
                  <w:rStyle w:val="Hyperlink"/>
                </w:rPr>
                <w:t>william.wright@puc.state.oh.us</w:t>
              </w:r>
            </w:hyperlink>
            <w:r w:rsidR="00EC441B" w:rsidRPr="009339F9">
              <w:t xml:space="preserve"> </w:t>
            </w:r>
          </w:p>
          <w:p w:rsidR="00EC441B" w:rsidRPr="004821DF" w:rsidRDefault="00491BD7" w:rsidP="004821DF">
            <w:pPr>
              <w:rPr>
                <w:bCs/>
              </w:rPr>
            </w:pPr>
            <w:hyperlink r:id="rId38" w:history="1">
              <w:r w:rsidR="00EC441B" w:rsidRPr="00922715">
                <w:rPr>
                  <w:rStyle w:val="Hyperlink"/>
                  <w:bCs/>
                </w:rPr>
                <w:t>gregory.price@puc.state.oh.us</w:t>
              </w:r>
            </w:hyperlink>
            <w:r w:rsidR="00EC441B">
              <w:rPr>
                <w:bCs/>
              </w:rPr>
              <w:t xml:space="preserve"> </w:t>
            </w:r>
          </w:p>
        </w:tc>
        <w:tc>
          <w:tcPr>
            <w:tcW w:w="4428" w:type="dxa"/>
          </w:tcPr>
          <w:p w:rsidR="00EC441B" w:rsidRPr="009339F9" w:rsidRDefault="00491BD7" w:rsidP="00EC441B">
            <w:pPr>
              <w:autoSpaceDE w:val="0"/>
              <w:autoSpaceDN w:val="0"/>
              <w:adjustRightInd w:val="0"/>
              <w:rPr>
                <w:color w:val="0000FF"/>
              </w:rPr>
            </w:pPr>
            <w:hyperlink r:id="rId39" w:history="1">
              <w:r w:rsidR="00EC441B" w:rsidRPr="00922715">
                <w:rPr>
                  <w:rStyle w:val="Hyperlink"/>
                </w:rPr>
                <w:t>michael.schuler@aes.com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40" w:history="1">
              <w:r w:rsidR="00EC441B" w:rsidRPr="00922715">
                <w:rPr>
                  <w:rStyle w:val="Hyperlink"/>
                </w:rPr>
                <w:t>cfaruki@ficlaw.com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41" w:history="1">
              <w:r w:rsidR="00EC441B" w:rsidRPr="00922715">
                <w:rPr>
                  <w:rStyle w:val="Hyperlink"/>
                </w:rPr>
                <w:t>djireland@ficlaw.com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42" w:history="1">
              <w:r w:rsidR="00EC441B" w:rsidRPr="00922715">
                <w:rPr>
                  <w:rStyle w:val="Hyperlink"/>
                </w:rPr>
                <w:t>jsharkey@ficlaw.com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43" w:history="1">
              <w:r w:rsidR="00EC441B" w:rsidRPr="00922715">
                <w:rPr>
                  <w:rStyle w:val="Hyperlink"/>
                </w:rPr>
                <w:t>mfleisher@elpc.org</w:t>
              </w:r>
            </w:hyperlink>
            <w:r w:rsidR="00EC441B">
              <w:rPr>
                <w:color w:val="0000FF"/>
              </w:rPr>
              <w:t xml:space="preserve"> </w:t>
            </w:r>
          </w:p>
          <w:p w:rsidR="00EC441B" w:rsidRPr="009339F9" w:rsidRDefault="00491BD7" w:rsidP="00EC441B">
            <w:pPr>
              <w:autoSpaceDE w:val="0"/>
              <w:autoSpaceDN w:val="0"/>
              <w:adjustRightInd w:val="0"/>
              <w:rPr>
                <w:color w:val="0000FF"/>
              </w:rPr>
            </w:pPr>
            <w:hyperlink r:id="rId44" w:history="1">
              <w:r w:rsidR="00EC441B" w:rsidRPr="00922715">
                <w:rPr>
                  <w:rStyle w:val="Hyperlink"/>
                </w:rPr>
                <w:t>jeffrey.mayes@monitoringanalytics.com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45" w:history="1">
              <w:r w:rsidR="00EC441B" w:rsidRPr="00922715">
                <w:rPr>
                  <w:rStyle w:val="Hyperlink"/>
                </w:rPr>
                <w:t>evelyn.robinson@pjm.com</w:t>
              </w:r>
            </w:hyperlink>
            <w:r w:rsidR="00EC441B">
              <w:rPr>
                <w:color w:val="0000FF"/>
              </w:rPr>
              <w:t xml:space="preserve"> </w:t>
            </w:r>
          </w:p>
          <w:p w:rsidR="00EC441B" w:rsidRPr="009339F9" w:rsidRDefault="00491BD7" w:rsidP="00EC441B">
            <w:pPr>
              <w:autoSpaceDE w:val="0"/>
              <w:autoSpaceDN w:val="0"/>
              <w:adjustRightInd w:val="0"/>
              <w:rPr>
                <w:color w:val="0000FF"/>
              </w:rPr>
            </w:pPr>
            <w:hyperlink r:id="rId46" w:history="1">
              <w:r w:rsidR="00EC441B" w:rsidRPr="009339F9">
                <w:rPr>
                  <w:rStyle w:val="Hyperlink"/>
                </w:rPr>
                <w:t>schmidt@sppgrp.com</w:t>
              </w:r>
            </w:hyperlink>
          </w:p>
          <w:p w:rsidR="00EC441B" w:rsidRPr="009339F9" w:rsidRDefault="00491BD7" w:rsidP="00EC441B">
            <w:pPr>
              <w:autoSpaceDE w:val="0"/>
              <w:autoSpaceDN w:val="0"/>
              <w:adjustRightInd w:val="0"/>
              <w:rPr>
                <w:rFonts w:eastAsiaTheme="minorHAnsi"/>
              </w:rPr>
            </w:pPr>
            <w:hyperlink r:id="rId47" w:history="1">
              <w:r w:rsidR="00EC441B" w:rsidRPr="009339F9">
                <w:rPr>
                  <w:rStyle w:val="Hyperlink"/>
                  <w:rFonts w:eastAsiaTheme="minorHAnsi"/>
                </w:rPr>
                <w:t>rsahli@columbus.rr.com</w:t>
              </w:r>
            </w:hyperlink>
          </w:p>
          <w:p w:rsidR="00EC441B" w:rsidRPr="009339F9" w:rsidRDefault="00491BD7" w:rsidP="00EC441B">
            <w:pPr>
              <w:autoSpaceDE w:val="0"/>
              <w:autoSpaceDN w:val="0"/>
              <w:adjustRightInd w:val="0"/>
              <w:rPr>
                <w:rFonts w:eastAsiaTheme="minorHAnsi"/>
              </w:rPr>
            </w:pPr>
            <w:hyperlink r:id="rId48" w:history="1">
              <w:r w:rsidR="00EC441B" w:rsidRPr="009339F9">
                <w:rPr>
                  <w:rStyle w:val="Hyperlink"/>
                  <w:rFonts w:eastAsiaTheme="minorHAnsi"/>
                </w:rPr>
                <w:t>gpoulos@enernoc.com</w:t>
              </w:r>
            </w:hyperlink>
          </w:p>
          <w:p w:rsidR="00EC441B" w:rsidRPr="009339F9" w:rsidRDefault="00491BD7" w:rsidP="00EC441B">
            <w:pPr>
              <w:autoSpaceDE w:val="0"/>
              <w:autoSpaceDN w:val="0"/>
              <w:adjustRightInd w:val="0"/>
              <w:rPr>
                <w:rFonts w:eastAsiaTheme="minorHAnsi"/>
              </w:rPr>
            </w:pPr>
            <w:hyperlink r:id="rId49" w:history="1">
              <w:r w:rsidR="00EC441B" w:rsidRPr="009339F9">
                <w:rPr>
                  <w:rStyle w:val="Hyperlink"/>
                  <w:rFonts w:eastAsiaTheme="minorHAnsi"/>
                </w:rPr>
                <w:t>sechler@carpenterlipps.com</w:t>
              </w:r>
            </w:hyperlink>
          </w:p>
          <w:p w:rsidR="00EC441B" w:rsidRPr="009339F9" w:rsidRDefault="00491BD7" w:rsidP="00EC441B">
            <w:pPr>
              <w:autoSpaceDE w:val="0"/>
              <w:autoSpaceDN w:val="0"/>
              <w:adjustRightInd w:val="0"/>
              <w:rPr>
                <w:rFonts w:eastAsiaTheme="minorHAnsi"/>
              </w:rPr>
            </w:pPr>
            <w:hyperlink r:id="rId50" w:history="1">
              <w:r w:rsidR="00EC441B" w:rsidRPr="009339F9">
                <w:rPr>
                  <w:rStyle w:val="Hyperlink"/>
                  <w:rFonts w:eastAsiaTheme="minorHAnsi"/>
                </w:rPr>
                <w:t>mdortch@kravitzllc.com</w:t>
              </w:r>
            </w:hyperlink>
          </w:p>
          <w:p w:rsidR="00EC441B" w:rsidRDefault="00491BD7" w:rsidP="00EC441B">
            <w:pPr>
              <w:autoSpaceDE w:val="0"/>
              <w:autoSpaceDN w:val="0"/>
              <w:adjustRightInd w:val="0"/>
              <w:rPr>
                <w:rStyle w:val="Hyperlink"/>
                <w:rFonts w:eastAsiaTheme="minorHAnsi"/>
              </w:rPr>
            </w:pPr>
            <w:hyperlink r:id="rId51" w:history="1">
              <w:r w:rsidR="00EC441B" w:rsidRPr="009339F9">
                <w:rPr>
                  <w:rStyle w:val="Hyperlink"/>
                  <w:rFonts w:eastAsiaTheme="minorHAnsi"/>
                </w:rPr>
                <w:t>ORourke@carpenterlipps.com</w:t>
              </w:r>
            </w:hyperlink>
          </w:p>
          <w:p w:rsidR="00EC441B" w:rsidRDefault="00491BD7" w:rsidP="00EC441B">
            <w:pPr>
              <w:autoSpaceDE w:val="0"/>
              <w:autoSpaceDN w:val="0"/>
              <w:adjustRightInd w:val="0"/>
              <w:rPr>
                <w:rFonts w:eastAsiaTheme="minorHAnsi"/>
              </w:rPr>
            </w:pPr>
            <w:hyperlink r:id="rId52" w:history="1">
              <w:r w:rsidR="00EC441B" w:rsidRPr="005A4474">
                <w:rPr>
                  <w:rStyle w:val="Hyperlink"/>
                  <w:rFonts w:eastAsiaTheme="minorHAnsi"/>
                </w:rPr>
                <w:t>rick.sites@ohiohospitals.org</w:t>
              </w:r>
            </w:hyperlink>
          </w:p>
          <w:p w:rsidR="004821DF" w:rsidRDefault="00491BD7" w:rsidP="00EC441B">
            <w:pPr>
              <w:autoSpaceDE w:val="0"/>
              <w:autoSpaceDN w:val="0"/>
              <w:adjustRightInd w:val="0"/>
              <w:rPr>
                <w:rStyle w:val="Hyperlink"/>
                <w:rFonts w:eastAsiaTheme="minorHAnsi"/>
              </w:rPr>
            </w:pPr>
            <w:hyperlink r:id="rId53" w:history="1">
              <w:r w:rsidR="00EC441B" w:rsidRPr="005A4474">
                <w:rPr>
                  <w:rStyle w:val="Hyperlink"/>
                  <w:rFonts w:eastAsiaTheme="minorHAnsi"/>
                </w:rPr>
                <w:t>tobrien@bricker.com</w:t>
              </w:r>
            </w:hyperlink>
          </w:p>
          <w:p w:rsidR="00EC441B" w:rsidRDefault="00EC441B" w:rsidP="00EC441B">
            <w:pPr>
              <w:autoSpaceDE w:val="0"/>
              <w:autoSpaceDN w:val="0"/>
              <w:adjustRightInd w:val="0"/>
              <w:rPr>
                <w:rStyle w:val="Hyperlink"/>
                <w:rFonts w:eastAsiaTheme="minorHAnsi"/>
              </w:rPr>
            </w:pPr>
          </w:p>
          <w:p w:rsidR="00EC441B" w:rsidRPr="004821DF" w:rsidRDefault="00EC441B" w:rsidP="00EC441B">
            <w:pPr>
              <w:autoSpaceDE w:val="0"/>
              <w:autoSpaceDN w:val="0"/>
              <w:adjustRightInd w:val="0"/>
              <w:rPr>
                <w:rFonts w:eastAsiaTheme="minorHAnsi"/>
              </w:rPr>
            </w:pPr>
          </w:p>
        </w:tc>
      </w:tr>
    </w:tbl>
    <w:p w:rsidR="004821DF" w:rsidRPr="004821DF" w:rsidRDefault="004821DF" w:rsidP="004821DF">
      <w:pPr>
        <w:jc w:val="center"/>
        <w:rPr>
          <w:bCs/>
          <w:u w:val="single"/>
        </w:rPr>
      </w:pPr>
    </w:p>
    <w:sectPr w:rsidR="004821DF" w:rsidRPr="004821DF" w:rsidSect="00FF2C29">
      <w:footerReference w:type="first" r:id="rId54"/>
      <w:pgSz w:w="12240" w:h="15840"/>
      <w:pgMar w:top="1440" w:right="1800" w:bottom="1440" w:left="180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A3" w:rsidRDefault="004028A3" w:rsidP="004D306D">
      <w:r>
        <w:separator/>
      </w:r>
    </w:p>
  </w:endnote>
  <w:endnote w:type="continuationSeparator" w:id="0">
    <w:p w:rsidR="004028A3" w:rsidRDefault="004028A3" w:rsidP="004D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83" w:rsidRDefault="00990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51310"/>
      <w:docPartObj>
        <w:docPartGallery w:val="Page Numbers (Bottom of Page)"/>
        <w:docPartUnique/>
      </w:docPartObj>
    </w:sdtPr>
    <w:sdtEndPr>
      <w:rPr>
        <w:noProof/>
      </w:rPr>
    </w:sdtEndPr>
    <w:sdtContent>
      <w:p w:rsidR="00C92722" w:rsidRDefault="00C9272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92722" w:rsidRDefault="00C92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22" w:rsidRDefault="00C92722">
    <w:pPr>
      <w:pStyle w:val="Footer"/>
      <w:jc w:val="center"/>
    </w:pPr>
  </w:p>
  <w:p w:rsidR="00C92722" w:rsidRDefault="00C927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26161"/>
      <w:docPartObj>
        <w:docPartGallery w:val="Page Numbers (Bottom of Page)"/>
        <w:docPartUnique/>
      </w:docPartObj>
    </w:sdtPr>
    <w:sdtEndPr>
      <w:rPr>
        <w:noProof/>
      </w:rPr>
    </w:sdtEndPr>
    <w:sdtContent>
      <w:p w:rsidR="00C92722" w:rsidRDefault="00C92722">
        <w:pPr>
          <w:pStyle w:val="Footer"/>
          <w:jc w:val="center"/>
        </w:pPr>
        <w:r>
          <w:fldChar w:fldCharType="begin"/>
        </w:r>
        <w:r>
          <w:instrText xml:space="preserve"> PAGE   \* MERGEFORMAT </w:instrText>
        </w:r>
        <w:r>
          <w:fldChar w:fldCharType="separate"/>
        </w:r>
        <w:r w:rsidR="00491BD7">
          <w:rPr>
            <w:noProof/>
          </w:rPr>
          <w:t>i</w:t>
        </w:r>
        <w:r>
          <w:rPr>
            <w:noProof/>
          </w:rPr>
          <w:fldChar w:fldCharType="end"/>
        </w:r>
      </w:p>
    </w:sdtContent>
  </w:sdt>
  <w:p w:rsidR="00C92722" w:rsidRDefault="00C927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43868"/>
      <w:docPartObj>
        <w:docPartGallery w:val="Page Numbers (Bottom of Page)"/>
        <w:docPartUnique/>
      </w:docPartObj>
    </w:sdtPr>
    <w:sdtEndPr>
      <w:rPr>
        <w:noProof/>
      </w:rPr>
    </w:sdtEndPr>
    <w:sdtContent>
      <w:p w:rsidR="00C92722" w:rsidRDefault="00C92722">
        <w:pPr>
          <w:pStyle w:val="Footer"/>
          <w:jc w:val="center"/>
        </w:pPr>
        <w:r>
          <w:fldChar w:fldCharType="begin"/>
        </w:r>
        <w:r>
          <w:instrText xml:space="preserve"> PAGE   \* MERGEFORMAT </w:instrText>
        </w:r>
        <w:r>
          <w:fldChar w:fldCharType="separate"/>
        </w:r>
        <w:r w:rsidR="00990D83">
          <w:rPr>
            <w:noProof/>
          </w:rPr>
          <w:t>21</w:t>
        </w:r>
        <w:r>
          <w:rPr>
            <w:noProof/>
          </w:rPr>
          <w:fldChar w:fldCharType="end"/>
        </w:r>
      </w:p>
    </w:sdtContent>
  </w:sdt>
  <w:p w:rsidR="00C92722" w:rsidRDefault="00C927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33951"/>
      <w:docPartObj>
        <w:docPartGallery w:val="Page Numbers (Bottom of Page)"/>
        <w:docPartUnique/>
      </w:docPartObj>
    </w:sdtPr>
    <w:sdtEndPr>
      <w:rPr>
        <w:noProof/>
      </w:rPr>
    </w:sdtEndPr>
    <w:sdtContent>
      <w:p w:rsidR="00C92722" w:rsidRDefault="00C92722">
        <w:pPr>
          <w:pStyle w:val="Footer"/>
          <w:jc w:val="center"/>
        </w:pPr>
        <w:r>
          <w:fldChar w:fldCharType="begin"/>
        </w:r>
        <w:r>
          <w:instrText xml:space="preserve"> PAGE   \* MERGEFORMAT </w:instrText>
        </w:r>
        <w:r>
          <w:fldChar w:fldCharType="separate"/>
        </w:r>
        <w:r w:rsidR="00491BD7">
          <w:rPr>
            <w:noProof/>
          </w:rPr>
          <w:t>1</w:t>
        </w:r>
        <w:r>
          <w:rPr>
            <w:noProof/>
          </w:rPr>
          <w:fldChar w:fldCharType="end"/>
        </w:r>
      </w:p>
    </w:sdtContent>
  </w:sdt>
  <w:p w:rsidR="00C92722" w:rsidRDefault="00C9272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22" w:rsidRDefault="00C92722">
    <w:pPr>
      <w:pStyle w:val="Footer"/>
      <w:jc w:val="center"/>
    </w:pPr>
  </w:p>
  <w:p w:rsidR="00C92722" w:rsidRDefault="00C92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A3" w:rsidRDefault="004028A3" w:rsidP="004D306D">
      <w:r>
        <w:separator/>
      </w:r>
    </w:p>
  </w:footnote>
  <w:footnote w:type="continuationSeparator" w:id="0">
    <w:p w:rsidR="004028A3" w:rsidRDefault="004028A3" w:rsidP="004D306D">
      <w:r>
        <w:continuationSeparator/>
      </w:r>
    </w:p>
  </w:footnote>
  <w:footnote w:id="1">
    <w:p w:rsidR="00C92722" w:rsidRPr="00736FA0" w:rsidRDefault="00C92722" w:rsidP="00736FA0">
      <w:pPr>
        <w:pStyle w:val="FootnoteText"/>
        <w:spacing w:after="120"/>
      </w:pPr>
      <w:r w:rsidRPr="00736FA0">
        <w:rPr>
          <w:rStyle w:val="FootnoteReference"/>
        </w:rPr>
        <w:footnoteRef/>
      </w:r>
      <w:r w:rsidRPr="00736FA0">
        <w:t xml:space="preserve"> OCC and others appealed the PUCO's unlawful decision authorizing $330 million of Service Stability Rider collections.  </w:t>
      </w:r>
      <w:r w:rsidRPr="00736FA0">
        <w:rPr>
          <w:i/>
        </w:rPr>
        <w:t>In re: DP&amp;L</w:t>
      </w:r>
      <w:r w:rsidRPr="00736FA0">
        <w:t xml:space="preserve">, S.Ct. No. 14-1505.  The case is pending.  </w:t>
      </w:r>
    </w:p>
  </w:footnote>
  <w:footnote w:id="2">
    <w:p w:rsidR="00C92722" w:rsidRPr="00736FA0" w:rsidRDefault="00C92722" w:rsidP="00736FA0">
      <w:pPr>
        <w:pStyle w:val="FootnoteText"/>
        <w:spacing w:after="120"/>
      </w:pPr>
      <w:r w:rsidRPr="00736FA0">
        <w:rPr>
          <w:rStyle w:val="FootnoteReference"/>
        </w:rPr>
        <w:footnoteRef/>
      </w:r>
      <w:r w:rsidRPr="00736FA0">
        <w:t xml:space="preserve"> See </w:t>
      </w:r>
      <w:r w:rsidRPr="00736FA0">
        <w:rPr>
          <w:i/>
        </w:rPr>
        <w:t>In re Application of Columbus Southern Power Co.</w:t>
      </w:r>
      <w:r w:rsidRPr="00736FA0">
        <w:t>, 2016 Ohio 1608 (2016).</w:t>
      </w:r>
    </w:p>
  </w:footnote>
  <w:footnote w:id="3">
    <w:p w:rsidR="00C92722" w:rsidRPr="00736FA0" w:rsidRDefault="00C92722" w:rsidP="00736FA0">
      <w:pPr>
        <w:pStyle w:val="FootnoteText"/>
        <w:spacing w:after="120"/>
      </w:pPr>
      <w:r w:rsidRPr="00736FA0">
        <w:rPr>
          <w:rStyle w:val="FootnoteReference"/>
        </w:rPr>
        <w:footnoteRef/>
      </w:r>
      <w:r w:rsidRPr="00736FA0">
        <w:t xml:space="preserve"> See </w:t>
      </w:r>
      <w:r w:rsidRPr="00736FA0">
        <w:rPr>
          <w:i/>
        </w:rPr>
        <w:t xml:space="preserve">In the Matter of the Application of The Dayton Power and Light Company for Approval of its Electric Security Plan, </w:t>
      </w:r>
      <w:r w:rsidRPr="00736FA0">
        <w:t>Opinion and Order, Case No. 12-426-EL-SSO (Sept. 4, 2013) (“DP&amp;L ESP II Order”).</w:t>
      </w:r>
    </w:p>
  </w:footnote>
  <w:footnote w:id="4">
    <w:p w:rsidR="00C92722" w:rsidRPr="00736FA0" w:rsidRDefault="00C92722" w:rsidP="00736FA0">
      <w:pPr>
        <w:pStyle w:val="FootnoteText"/>
        <w:spacing w:after="120"/>
      </w:pPr>
      <w:r w:rsidRPr="00736FA0">
        <w:rPr>
          <w:rStyle w:val="FootnoteReference"/>
        </w:rPr>
        <w:footnoteRef/>
      </w:r>
      <w:r w:rsidRPr="00736FA0">
        <w:t xml:space="preserve"> DP&amp;L ESP II Order at 26; Entry Nunc Pro Tunc at 2, Case No. 12-426-EL-SSO (Sept. 6, 2013).  OCC and others appealed the PUCO Orders.  See </w:t>
      </w:r>
      <w:r w:rsidRPr="00736FA0">
        <w:rPr>
          <w:i/>
        </w:rPr>
        <w:t>In re: DP&amp;L</w:t>
      </w:r>
      <w:r w:rsidRPr="00736FA0">
        <w:t>, S.Ct. 2014-5015.</w:t>
      </w:r>
    </w:p>
  </w:footnote>
  <w:footnote w:id="5">
    <w:p w:rsidR="00C92722" w:rsidRPr="00736FA0" w:rsidRDefault="00C92722" w:rsidP="00736FA0">
      <w:pPr>
        <w:pStyle w:val="FootnoteText"/>
        <w:spacing w:after="120"/>
      </w:pPr>
      <w:r w:rsidRPr="00736FA0">
        <w:rPr>
          <w:rStyle w:val="FootnoteReference"/>
        </w:rPr>
        <w:footnoteRef/>
      </w:r>
      <w:r w:rsidRPr="00736FA0">
        <w:t xml:space="preserve"> DP&amp;L ESP II Order at 17.</w:t>
      </w:r>
    </w:p>
  </w:footnote>
  <w:footnote w:id="6">
    <w:p w:rsidR="00C92722" w:rsidRPr="00736FA0" w:rsidRDefault="00C92722" w:rsidP="00736FA0">
      <w:pPr>
        <w:pStyle w:val="FootnoteText"/>
        <w:spacing w:after="120"/>
      </w:pPr>
      <w:r w:rsidRPr="00736FA0">
        <w:rPr>
          <w:rStyle w:val="FootnoteReference"/>
        </w:rPr>
        <w:footnoteRef/>
      </w:r>
      <w:r w:rsidRPr="00736FA0">
        <w:t xml:space="preserve"> See DP&amp;L Motion to Implement the SSR Extension Rider at 1.</w:t>
      </w:r>
    </w:p>
  </w:footnote>
  <w:footnote w:id="7">
    <w:p w:rsidR="00C92722" w:rsidRPr="00736FA0" w:rsidRDefault="00C92722" w:rsidP="00736FA0">
      <w:pPr>
        <w:pStyle w:val="FootnoteText"/>
        <w:spacing w:after="120"/>
      </w:pPr>
      <w:r w:rsidRPr="00736FA0">
        <w:rPr>
          <w:rStyle w:val="FootnoteReference"/>
        </w:rPr>
        <w:footnoteRef/>
      </w:r>
      <w:r w:rsidRPr="00736FA0">
        <w:t xml:space="preserve"> DP&amp;L Memorandum in Support of Motion to Implement SSR-E at 6.</w:t>
      </w:r>
    </w:p>
  </w:footnote>
  <w:footnote w:id="8">
    <w:p w:rsidR="00C92722" w:rsidRPr="00736FA0" w:rsidRDefault="00C92722" w:rsidP="00736FA0">
      <w:pPr>
        <w:pStyle w:val="FootnoteText"/>
        <w:spacing w:after="120"/>
      </w:pPr>
      <w:r w:rsidRPr="00736FA0">
        <w:rPr>
          <w:rStyle w:val="FootnoteReference"/>
        </w:rPr>
        <w:footnoteRef/>
      </w:r>
      <w:r w:rsidRPr="00736FA0">
        <w:t xml:space="preserve"> DP&amp;L ESP II Order</w:t>
      </w:r>
      <w:r w:rsidRPr="00736FA0">
        <w:rPr>
          <w:i/>
        </w:rPr>
        <w:t xml:space="preserve"> </w:t>
      </w:r>
      <w:r w:rsidRPr="00736FA0">
        <w:t>at 27-28, Case No. 12-426-EL-SSO (Sept. 4, 2013).</w:t>
      </w:r>
    </w:p>
  </w:footnote>
  <w:footnote w:id="9">
    <w:p w:rsidR="00C92722" w:rsidRPr="00736FA0" w:rsidRDefault="00C92722" w:rsidP="00736FA0">
      <w:pPr>
        <w:pStyle w:val="FootnoteText"/>
        <w:spacing w:after="120"/>
      </w:pPr>
      <w:r w:rsidRPr="00736FA0">
        <w:rPr>
          <w:rStyle w:val="FootnoteReference"/>
        </w:rPr>
        <w:footnoteRef/>
      </w:r>
      <w:r w:rsidRPr="00736FA0">
        <w:t xml:space="preserve"> See, e.g., </w:t>
      </w:r>
      <w:r w:rsidRPr="00736FA0">
        <w:rPr>
          <w:i/>
        </w:rPr>
        <w:t>In the Matter of the Commission’s Review of Customer Rate Impacts from Ohio Power Company’s Transition to Market Based Rates</w:t>
      </w:r>
      <w:r w:rsidRPr="00736FA0">
        <w:t>, Finding and Order, Case No. 13-1530-EL-UNC (March 19, 2014) (rejecting argument that was a collateral attack on previous PUCO order).</w:t>
      </w:r>
    </w:p>
  </w:footnote>
  <w:footnote w:id="10">
    <w:p w:rsidR="0098649F" w:rsidRPr="00736FA0" w:rsidRDefault="0098649F" w:rsidP="00736FA0">
      <w:pPr>
        <w:pStyle w:val="FootnoteText"/>
        <w:spacing w:after="120"/>
      </w:pPr>
      <w:r w:rsidRPr="00736FA0">
        <w:rPr>
          <w:rStyle w:val="FootnoteReference"/>
        </w:rPr>
        <w:footnoteRef/>
      </w:r>
      <w:r w:rsidRPr="00736FA0">
        <w:t xml:space="preserve"> 2016 Ohio 1608 (2016).</w:t>
      </w:r>
    </w:p>
  </w:footnote>
  <w:footnote w:id="11">
    <w:p w:rsidR="00D72C7D" w:rsidRPr="00736FA0" w:rsidRDefault="00D72C7D" w:rsidP="00736FA0">
      <w:pPr>
        <w:pStyle w:val="FootnoteText"/>
        <w:spacing w:after="120"/>
      </w:pPr>
      <w:r w:rsidRPr="00736FA0">
        <w:rPr>
          <w:rStyle w:val="FootnoteReference"/>
        </w:rPr>
        <w:footnoteRef/>
      </w:r>
      <w:r w:rsidRPr="00736FA0">
        <w:t xml:space="preserve"> See, e.g., id. at P. 8.</w:t>
      </w:r>
    </w:p>
  </w:footnote>
  <w:footnote w:id="12">
    <w:p w:rsidR="0098649F" w:rsidRPr="00736FA0" w:rsidRDefault="0098649F" w:rsidP="00736FA0">
      <w:pPr>
        <w:pStyle w:val="FootnoteText"/>
        <w:spacing w:after="120"/>
      </w:pPr>
      <w:r w:rsidRPr="00736FA0">
        <w:rPr>
          <w:rStyle w:val="FootnoteReference"/>
        </w:rPr>
        <w:footnoteRef/>
      </w:r>
      <w:r w:rsidRPr="00736FA0">
        <w:t xml:space="preserve"> Id. at P. 21 (italics in original). </w:t>
      </w:r>
    </w:p>
  </w:footnote>
  <w:footnote w:id="13">
    <w:p w:rsidR="004048A3" w:rsidRPr="00736FA0" w:rsidRDefault="004048A3" w:rsidP="00736FA0">
      <w:pPr>
        <w:pStyle w:val="FootnoteText"/>
        <w:spacing w:after="120"/>
      </w:pPr>
      <w:r w:rsidRPr="00736FA0">
        <w:rPr>
          <w:rStyle w:val="FootnoteReference"/>
        </w:rPr>
        <w:footnoteRef/>
      </w:r>
      <w:r w:rsidRPr="00736FA0">
        <w:t xml:space="preserve"> See id. at PP. </w:t>
      </w:r>
      <w:r w:rsidR="0043120A" w:rsidRPr="00736FA0">
        <w:t>20-37.</w:t>
      </w:r>
    </w:p>
  </w:footnote>
  <w:footnote w:id="14">
    <w:p w:rsidR="0043120A" w:rsidRPr="00736FA0" w:rsidRDefault="0043120A" w:rsidP="00736FA0">
      <w:pPr>
        <w:pStyle w:val="FootnoteText"/>
        <w:spacing w:after="120"/>
      </w:pPr>
      <w:r w:rsidRPr="00736FA0">
        <w:rPr>
          <w:rStyle w:val="FootnoteReference"/>
        </w:rPr>
        <w:footnoteRef/>
      </w:r>
      <w:r w:rsidRPr="00736FA0">
        <w:t xml:space="preserve"> See DP&amp;L Memorandum in Support of Motion to Implement SSR-E at 2; DP&amp;L ESP II Order at 17-22.</w:t>
      </w:r>
    </w:p>
  </w:footnote>
  <w:footnote w:id="15">
    <w:p w:rsidR="00D72C7D" w:rsidRPr="00736FA0" w:rsidRDefault="00D72C7D" w:rsidP="00736FA0">
      <w:pPr>
        <w:pStyle w:val="FootnoteText"/>
        <w:spacing w:after="120"/>
      </w:pPr>
      <w:r w:rsidRPr="00736FA0">
        <w:rPr>
          <w:rStyle w:val="FootnoteReference"/>
        </w:rPr>
        <w:footnoteRef/>
      </w:r>
      <w:r w:rsidRPr="00736FA0">
        <w:t xml:space="preserve"> DP&amp;L ESP II Order at 22.</w:t>
      </w:r>
    </w:p>
  </w:footnote>
  <w:footnote w:id="16">
    <w:p w:rsidR="00D72C7D" w:rsidRPr="00736FA0" w:rsidRDefault="00D72C7D" w:rsidP="00736FA0">
      <w:pPr>
        <w:pStyle w:val="FootnoteText"/>
        <w:spacing w:after="120"/>
      </w:pPr>
      <w:r w:rsidRPr="00736FA0">
        <w:rPr>
          <w:rStyle w:val="FootnoteReference"/>
        </w:rPr>
        <w:footnoteRef/>
      </w:r>
      <w:r w:rsidRPr="00736FA0">
        <w:t xml:space="preserve"> Id.  Also, Staff itself testified that the PUCO had granted “similar charges” (charges similar to SSR and SSR-E) to other utilities, citing to AEP</w:t>
      </w:r>
      <w:r w:rsidR="00172738" w:rsidRPr="00736FA0">
        <w:t xml:space="preserve"> Ohio’s ESP II Case.  See id. at 20-21.</w:t>
      </w:r>
      <w:r w:rsidRPr="00736FA0">
        <w:t xml:space="preserve">  </w:t>
      </w:r>
    </w:p>
  </w:footnote>
  <w:footnote w:id="17">
    <w:p w:rsidR="00172738" w:rsidRPr="00736FA0" w:rsidRDefault="00172738" w:rsidP="00736FA0">
      <w:pPr>
        <w:pStyle w:val="FootnoteText"/>
        <w:spacing w:after="120"/>
      </w:pPr>
      <w:r w:rsidRPr="00736FA0">
        <w:rPr>
          <w:rStyle w:val="FootnoteReference"/>
        </w:rPr>
        <w:footnoteRef/>
      </w:r>
      <w:r w:rsidRPr="00736FA0">
        <w:t xml:space="preserve"> The PUCO should also order DP&amp;L to stop collecting under SSR at least until a decision in </w:t>
      </w:r>
      <w:r w:rsidRPr="00736FA0">
        <w:rPr>
          <w:i/>
        </w:rPr>
        <w:t>In re: DP&amp;L</w:t>
      </w:r>
      <w:r w:rsidRPr="00736FA0">
        <w:t>, S.Ct. No. 14-1505.</w:t>
      </w:r>
    </w:p>
  </w:footnote>
  <w:footnote w:id="18">
    <w:p w:rsidR="00C92722" w:rsidRPr="00736FA0" w:rsidRDefault="00C92722" w:rsidP="00736FA0">
      <w:pPr>
        <w:pStyle w:val="FootnoteText"/>
        <w:spacing w:after="120"/>
      </w:pPr>
      <w:r w:rsidRPr="00736FA0">
        <w:rPr>
          <w:rStyle w:val="FootnoteReference"/>
        </w:rPr>
        <w:footnoteRef/>
      </w:r>
      <w:r w:rsidRPr="00736FA0">
        <w:t xml:space="preserve"> Case No. 12-426-EL-SSO.</w:t>
      </w:r>
    </w:p>
  </w:footnote>
  <w:footnote w:id="19">
    <w:p w:rsidR="00C92722" w:rsidRPr="00736FA0" w:rsidRDefault="00C92722" w:rsidP="00736FA0">
      <w:pPr>
        <w:pStyle w:val="FootnoteText"/>
        <w:spacing w:after="120"/>
      </w:pPr>
      <w:r w:rsidRPr="00736FA0">
        <w:rPr>
          <w:rStyle w:val="FootnoteReference"/>
        </w:rPr>
        <w:footnoteRef/>
      </w:r>
      <w:r w:rsidRPr="00736FA0">
        <w:t xml:space="preserve"> Id.</w:t>
      </w:r>
    </w:p>
  </w:footnote>
  <w:footnote w:id="20">
    <w:p w:rsidR="00C92722" w:rsidRPr="00736FA0" w:rsidRDefault="00C92722" w:rsidP="00736FA0">
      <w:pPr>
        <w:pStyle w:val="FootnoteText"/>
        <w:spacing w:after="120"/>
      </w:pPr>
      <w:r w:rsidRPr="00736FA0">
        <w:rPr>
          <w:rStyle w:val="FootnoteReference"/>
        </w:rPr>
        <w:footnoteRef/>
      </w:r>
      <w:r w:rsidRPr="00736FA0">
        <w:t xml:space="preserve"> Case No. 16-0395-EL-SSO.</w:t>
      </w:r>
    </w:p>
  </w:footnote>
  <w:footnote w:id="21">
    <w:p w:rsidR="00C92722" w:rsidRPr="00736FA0" w:rsidRDefault="00C92722" w:rsidP="00736FA0">
      <w:pPr>
        <w:pStyle w:val="FootnoteText"/>
        <w:spacing w:after="120"/>
      </w:pPr>
      <w:r w:rsidRPr="00736FA0">
        <w:rPr>
          <w:rStyle w:val="FootnoteReference"/>
        </w:rPr>
        <w:footnoteRef/>
      </w:r>
      <w:r w:rsidRPr="00736FA0">
        <w:t xml:space="preserve"> See Oh. R. Ev. 802.</w:t>
      </w:r>
    </w:p>
  </w:footnote>
  <w:footnote w:id="22">
    <w:p w:rsidR="00C92722" w:rsidRPr="00736FA0" w:rsidRDefault="00C92722" w:rsidP="00736FA0">
      <w:pPr>
        <w:pStyle w:val="FootnoteText"/>
        <w:spacing w:after="120"/>
      </w:pPr>
      <w:r w:rsidRPr="00736FA0">
        <w:rPr>
          <w:rStyle w:val="FootnoteReference"/>
        </w:rPr>
        <w:footnoteRef/>
      </w:r>
      <w:r w:rsidRPr="00736FA0">
        <w:t xml:space="preserve"> DP&amp;L Memorandum in Support of Motion to Implement SSR-E at 6.</w:t>
      </w:r>
    </w:p>
  </w:footnote>
  <w:footnote w:id="23">
    <w:p w:rsidR="00C92722" w:rsidRPr="00736FA0" w:rsidRDefault="00C92722" w:rsidP="00736FA0">
      <w:pPr>
        <w:pStyle w:val="FootnoteText"/>
        <w:spacing w:after="120"/>
      </w:pPr>
      <w:r w:rsidRPr="00736FA0">
        <w:rPr>
          <w:rStyle w:val="FootnoteReference"/>
        </w:rPr>
        <w:footnoteRef/>
      </w:r>
      <w:r w:rsidRPr="00736FA0">
        <w:t xml:space="preserve"> See, e.g., </w:t>
      </w:r>
      <w:r w:rsidRPr="00736FA0">
        <w:rPr>
          <w:i/>
        </w:rPr>
        <w:t>In the Matter of the Application of General Telephone Company of Ohio for Authority to Increase and Adjust its Rates and Charges and to Change Regulations and Practices Affecting the Same</w:t>
      </w:r>
      <w:r w:rsidRPr="00736FA0">
        <w:t xml:space="preserve">, Case No. 84-1026-TP-AIR, Entry (June 28, 1985) (denying admission into evidence exhibit that was hearsay and not subject to cross-examination); </w:t>
      </w:r>
      <w:r w:rsidRPr="00736FA0">
        <w:rPr>
          <w:i/>
        </w:rPr>
        <w:t>In the Matter of the Complaint of Gabriela Kaplan v. The Cleveland Electric Illuminating Company</w:t>
      </w:r>
      <w:r w:rsidRPr="00736FA0">
        <w:t xml:space="preserve">, Case No. 96-663-EL-CSS, Opinion and Order (June 19, 1997) (exhibit excluded as hearsay where not subject to cross-examination); </w:t>
      </w:r>
      <w:r w:rsidRPr="00736FA0">
        <w:rPr>
          <w:i/>
        </w:rPr>
        <w:t>In the Matter of the Petition of Dale R. Sharkey, et al. v. The Ohio Bell Telephone Co.</w:t>
      </w:r>
      <w:r w:rsidRPr="00736FA0">
        <w:t xml:space="preserve">, Case No. 87-118-TP-PEX, Entry on Rehearing (May 24, 1998) (finding that Attorney Examiner properly excluded statements where declarants were not present at hearing or subject to cross-examination; “[t]he statements clearly constitute hearsay”).  Importantly, asserted “safeguards” present in PUCO proceedings against improper weighing of evidence – a hearing, cross-examination of those pre-filing testimony, PUCO expertise – are not present with DP&amp;L’s motion.  See, e.g., </w:t>
      </w:r>
      <w:r w:rsidRPr="00736FA0">
        <w:rPr>
          <w:i/>
        </w:rPr>
        <w:t>In the Matter of the Complaint of Pro Se Commercial Properties v. The Cleveland Electric Illuminating Company</w:t>
      </w:r>
      <w:r w:rsidRPr="00736FA0">
        <w:t xml:space="preserve">, Case No. 07-1306-EL-CSS, Entry on Rehearing (November 5, 2008) (explaining that concerns with hearsay are not as apparent at PUCO proceedings given hearing, cross-examination, and PUCO expertise); </w:t>
      </w:r>
      <w:r w:rsidRPr="00736FA0">
        <w:rPr>
          <w:i/>
        </w:rPr>
        <w:t>In the Matter of the Application of Columbus Southern Power Company and Ohio Power Company for Authority to Establish a Standard Service Offer Pursuant to Section 4928.143, Revised Code, in the Form of an Electric Security Plan</w:t>
      </w:r>
      <w:r w:rsidRPr="00736FA0">
        <w:t xml:space="preserve">, Case No. 11-346-EL-SSO, Opinion and Order (August 8, 2012) (denying motion to strike hearsay only because the hearsay concerned subject matters and information subjected to extensive cross-examination during hearing).  There will be no hearing and there will be no cross-examination of those pre-filing testimony.  And though the PUCO has expertise, it cannot be meaningfully or effectively applied without the benefit of a hearing and cross-examination to the factual matters raised in DP&amp;L’s motion and testimony. </w:t>
      </w:r>
    </w:p>
  </w:footnote>
  <w:footnote w:id="24">
    <w:p w:rsidR="00C92722" w:rsidRPr="00736FA0" w:rsidRDefault="00C92722" w:rsidP="00736FA0">
      <w:pPr>
        <w:pStyle w:val="FootnoteText"/>
        <w:spacing w:after="120"/>
      </w:pPr>
      <w:r w:rsidRPr="00736FA0">
        <w:rPr>
          <w:rStyle w:val="FootnoteReference"/>
        </w:rPr>
        <w:footnoteRef/>
      </w:r>
      <w:r w:rsidRPr="00736FA0">
        <w:t xml:space="preserve"> See, e.g., O.A.C. 4901-1-29 (requiring that expert testimony be filed before offered, affirming that simply filing testimony is insufficient and that cross-examination is contemplated).</w:t>
      </w:r>
    </w:p>
  </w:footnote>
  <w:footnote w:id="25">
    <w:p w:rsidR="00C92722" w:rsidRPr="00736FA0" w:rsidRDefault="00C92722" w:rsidP="00736FA0">
      <w:pPr>
        <w:pStyle w:val="FootnoteText"/>
        <w:spacing w:after="120"/>
      </w:pPr>
      <w:r w:rsidRPr="00736FA0">
        <w:rPr>
          <w:rStyle w:val="FootnoteReference"/>
        </w:rPr>
        <w:footnoteRef/>
      </w:r>
      <w:r w:rsidRPr="00736FA0">
        <w:t xml:space="preserve"> DP&amp;L ESP II Order at 27.  </w:t>
      </w:r>
    </w:p>
  </w:footnote>
  <w:footnote w:id="26">
    <w:p w:rsidR="00C92722" w:rsidRPr="00736FA0" w:rsidRDefault="00C92722" w:rsidP="00736FA0">
      <w:pPr>
        <w:pStyle w:val="FootnoteText"/>
        <w:spacing w:after="120"/>
      </w:pPr>
      <w:r w:rsidRPr="00736FA0">
        <w:rPr>
          <w:rStyle w:val="FootnoteReference"/>
        </w:rPr>
        <w:footnoteRef/>
      </w:r>
      <w:r w:rsidRPr="00736FA0">
        <w:t xml:space="preserve"> Id. at 22, 24.  </w:t>
      </w:r>
    </w:p>
  </w:footnote>
  <w:footnote w:id="27">
    <w:p w:rsidR="00C92722" w:rsidRPr="00736FA0" w:rsidRDefault="00C92722" w:rsidP="00736FA0">
      <w:pPr>
        <w:pStyle w:val="FootnoteText"/>
        <w:spacing w:after="120"/>
      </w:pPr>
      <w:r w:rsidRPr="00736FA0">
        <w:rPr>
          <w:rStyle w:val="FootnoteReference"/>
        </w:rPr>
        <w:footnoteRef/>
      </w:r>
      <w:r w:rsidRPr="00736FA0">
        <w:t xml:space="preserve"> See DP&amp;L ESP III, Direct Testimony of R. Jeffrey Malinak at 1, Case No. 16-395-EL-SSO (“I analyze the financial condition and integrity of both the coal-fired generating assets that would be covered under the Reliable Electricity Rider (“RER”) and DPL, Inc. (also “Company”) the parent company of The Dayton Power &amp; Light Company (“DP&amp;L”).”).</w:t>
      </w:r>
    </w:p>
  </w:footnote>
  <w:footnote w:id="28">
    <w:p w:rsidR="00C92722" w:rsidRPr="00736FA0" w:rsidRDefault="00C92722" w:rsidP="00736FA0">
      <w:pPr>
        <w:pStyle w:val="FootnoteText"/>
        <w:spacing w:after="120"/>
      </w:pPr>
      <w:r w:rsidRPr="00736FA0">
        <w:rPr>
          <w:rStyle w:val="FootnoteReference"/>
        </w:rPr>
        <w:footnoteRef/>
      </w:r>
      <w:r w:rsidRPr="00736FA0">
        <w:t xml:space="preserve"> DP&amp;L ESP II Order at 27.  </w:t>
      </w:r>
    </w:p>
  </w:footnote>
  <w:footnote w:id="29">
    <w:p w:rsidR="00C92722" w:rsidRPr="00736FA0" w:rsidRDefault="00C92722" w:rsidP="00736FA0">
      <w:pPr>
        <w:spacing w:after="120"/>
        <w:rPr>
          <w:color w:val="1F497D"/>
          <w:sz w:val="20"/>
          <w:szCs w:val="20"/>
        </w:rPr>
      </w:pPr>
      <w:r w:rsidRPr="00736FA0">
        <w:rPr>
          <w:rStyle w:val="FootnoteReference"/>
          <w:sz w:val="20"/>
          <w:szCs w:val="20"/>
        </w:rPr>
        <w:footnoteRef/>
      </w:r>
      <w:r w:rsidRPr="00736FA0">
        <w:rPr>
          <w:sz w:val="20"/>
          <w:szCs w:val="20"/>
        </w:rPr>
        <w:t xml:space="preserve"> 2015 DPL Inc. &amp; DP&amp;L U.S. SEC Form 10-K at 38, 133 accessible at http://www.sec.gov/Archives/edgar/data/27430/000078725016000035/dpl10k12312015q4.htm, and 2011-2014 DP&amp;L FERC Form 1 at 121 accessible at </w:t>
      </w:r>
      <w:hyperlink r:id="rId1" w:history="1">
        <w:r w:rsidRPr="00736FA0">
          <w:rPr>
            <w:rStyle w:val="Hyperlink"/>
            <w:sz w:val="20"/>
            <w:szCs w:val="20"/>
          </w:rPr>
          <w:t>http://www.puco.ohio.gov/emplibrary/files/docketing/AnnualReports/2013/Electric%20Distribution%20&amp;%20Transmission%20Companies%5CDayton%20Power%20and%20Light%20Company%202013%20FERC%201%20SUPP.pdf</w:t>
        </w:r>
      </w:hyperlink>
      <w:r w:rsidRPr="00736FA0">
        <w:rPr>
          <w:color w:val="1F497D"/>
          <w:sz w:val="20"/>
          <w:szCs w:val="20"/>
        </w:rPr>
        <w:t xml:space="preserve">; </w:t>
      </w:r>
      <w:r w:rsidRPr="00736FA0">
        <w:rPr>
          <w:sz w:val="20"/>
          <w:szCs w:val="20"/>
        </w:rPr>
        <w:t xml:space="preserve">see also </w:t>
      </w:r>
      <w:r w:rsidRPr="00736FA0">
        <w:rPr>
          <w:i/>
          <w:iCs/>
          <w:sz w:val="20"/>
          <w:szCs w:val="20"/>
        </w:rPr>
        <w:t>In the Matter of the Continuation of the Rate, Freeze and Extension of the Market, Development Period for the Monongahela Power Company</w:t>
      </w:r>
      <w:r w:rsidRPr="00736FA0">
        <w:rPr>
          <w:sz w:val="20"/>
          <w:szCs w:val="20"/>
        </w:rPr>
        <w:t>, Tr. VI at 120-121, Case No. 04-880-EL-UNC, (October 12, 2004) (taking administrative notice of Allegheny Energy’s 2003 U.S. SEC Form 10-K).</w:t>
      </w:r>
      <w:r w:rsidRPr="00736FA0">
        <w:rPr>
          <w:color w:val="1F497D"/>
          <w:sz w:val="20"/>
          <w:szCs w:val="20"/>
        </w:rPr>
        <w:t xml:space="preserve"> </w:t>
      </w:r>
    </w:p>
  </w:footnote>
  <w:footnote w:id="30">
    <w:p w:rsidR="00C92722" w:rsidRPr="00736FA0" w:rsidRDefault="00C92722" w:rsidP="00736FA0">
      <w:pPr>
        <w:pStyle w:val="FootnoteText"/>
        <w:spacing w:after="120"/>
      </w:pPr>
      <w:r w:rsidRPr="00736FA0">
        <w:rPr>
          <w:rStyle w:val="FootnoteReference"/>
        </w:rPr>
        <w:footnoteRef/>
      </w:r>
      <w:r w:rsidRPr="00736FA0">
        <w:t xml:space="preserve"> See DP&amp;L Memorandum in Support of Motion to Implement SSR-E at 5 (DP&amp;L states that these dividend payments were or will be used to meet debt obligations and retire debt at DPL, Inc.).</w:t>
      </w:r>
    </w:p>
  </w:footnote>
  <w:footnote w:id="31">
    <w:p w:rsidR="00C92722" w:rsidRPr="00736FA0" w:rsidRDefault="00C92722" w:rsidP="00736FA0">
      <w:pPr>
        <w:pStyle w:val="FootnoteText"/>
        <w:spacing w:after="120"/>
      </w:pPr>
      <w:r w:rsidRPr="00736FA0">
        <w:rPr>
          <w:rStyle w:val="FootnoteReference"/>
        </w:rPr>
        <w:footnoteRef/>
      </w:r>
      <w:r w:rsidRPr="00736FA0">
        <w:t xml:space="preserve"> See DP&amp;L Memorandum in Support of Motion to Implement SSR-E at 5 (DP&amp;L states that these monies will allow DP&amp;L to achieve a 50/50 debt-to-equity ratio as ordered by the PUCO).</w:t>
      </w:r>
    </w:p>
  </w:footnote>
  <w:footnote w:id="32">
    <w:p w:rsidR="00C92722" w:rsidRPr="00736FA0" w:rsidRDefault="00C92722" w:rsidP="00736FA0">
      <w:pPr>
        <w:pStyle w:val="FootnoteText"/>
        <w:spacing w:after="120"/>
      </w:pPr>
      <w:r w:rsidRPr="00736FA0">
        <w:rPr>
          <w:rStyle w:val="FootnoteReference"/>
        </w:rPr>
        <w:footnoteRef/>
      </w:r>
      <w:r w:rsidRPr="00736FA0">
        <w:t xml:space="preserve"> Fiscal Year 2015 DPL Inc. and DP&amp;L U.S. SEC Form 10-K at 58 accessible at </w:t>
      </w:r>
      <w:hyperlink r:id="rId2" w:history="1">
        <w:r w:rsidRPr="00736FA0">
          <w:rPr>
            <w:rStyle w:val="Hyperlink"/>
          </w:rPr>
          <w:t>http://www.sec.gov/Archives/edgar/data/27430/000078725016000035/dpl10k12312015q4.htm</w:t>
        </w:r>
      </w:hyperlink>
      <w:r w:rsidRPr="00736FA0">
        <w:t xml:space="preserve">; see also </w:t>
      </w:r>
      <w:r w:rsidRPr="00736FA0">
        <w:rPr>
          <w:i/>
          <w:iCs/>
        </w:rPr>
        <w:t>In the Matter of the Continuation of the Rate</w:t>
      </w:r>
      <w:r w:rsidRPr="00736FA0">
        <w:rPr>
          <w:iCs/>
        </w:rPr>
        <w:t>, supra fn. 11.</w:t>
      </w:r>
    </w:p>
  </w:footnote>
  <w:footnote w:id="33">
    <w:p w:rsidR="00C92722" w:rsidRPr="00736FA0" w:rsidRDefault="00C92722" w:rsidP="00736FA0">
      <w:pPr>
        <w:pStyle w:val="FootnoteText"/>
        <w:spacing w:after="120"/>
      </w:pPr>
      <w:r w:rsidRPr="00736FA0">
        <w:rPr>
          <w:rStyle w:val="FootnoteReference"/>
        </w:rPr>
        <w:footnoteRef/>
      </w:r>
      <w:r w:rsidRPr="00736FA0">
        <w:t xml:space="preserve"> </w:t>
      </w:r>
      <w:r w:rsidRPr="00736FA0">
        <w:rPr>
          <w:i/>
        </w:rPr>
        <w:t>In the Matter of the Application of the Dayton Power and Light Company for an Increase in Electric Distribution Rates,</w:t>
      </w:r>
      <w:r w:rsidRPr="00736FA0">
        <w:t xml:space="preserve"> PUCO Case No. 15-1830-EL-AIR et al.  </w:t>
      </w:r>
    </w:p>
  </w:footnote>
  <w:footnote w:id="34">
    <w:p w:rsidR="00C92722" w:rsidRPr="00736FA0" w:rsidRDefault="00C92722" w:rsidP="00736FA0">
      <w:pPr>
        <w:pStyle w:val="FootnoteText"/>
        <w:spacing w:after="120"/>
      </w:pPr>
      <w:r w:rsidRPr="00736FA0">
        <w:rPr>
          <w:rStyle w:val="FootnoteReference"/>
        </w:rPr>
        <w:footnoteRef/>
      </w:r>
      <w:r w:rsidRPr="00736FA0">
        <w:t xml:space="preserve"> DP&amp;L ESP II Order at 27.  </w:t>
      </w:r>
    </w:p>
  </w:footnote>
  <w:footnote w:id="35">
    <w:p w:rsidR="00C92722" w:rsidRPr="00736FA0" w:rsidRDefault="00C92722" w:rsidP="00736FA0">
      <w:pPr>
        <w:pStyle w:val="FootnoteText"/>
        <w:spacing w:after="120"/>
      </w:pPr>
      <w:r w:rsidRPr="00736FA0">
        <w:rPr>
          <w:rStyle w:val="FootnoteReference"/>
        </w:rPr>
        <w:footnoteRef/>
      </w:r>
      <w:r w:rsidRPr="00736FA0">
        <w:t xml:space="preserve"> Id. at 22-23.  </w:t>
      </w:r>
    </w:p>
  </w:footnote>
  <w:footnote w:id="36">
    <w:p w:rsidR="00C92722" w:rsidRPr="00736FA0" w:rsidRDefault="00C92722" w:rsidP="00736FA0">
      <w:pPr>
        <w:pStyle w:val="FootnoteText"/>
        <w:spacing w:after="120"/>
      </w:pPr>
      <w:r w:rsidRPr="00736FA0">
        <w:rPr>
          <w:rStyle w:val="FootnoteReference"/>
        </w:rPr>
        <w:footnoteRef/>
      </w:r>
      <w:r w:rsidRPr="00736FA0">
        <w:t xml:space="preserve"> DP&amp;L ESP II Order at 25.  </w:t>
      </w:r>
    </w:p>
  </w:footnote>
  <w:footnote w:id="37">
    <w:p w:rsidR="00C92722" w:rsidRPr="00736FA0" w:rsidRDefault="00C92722" w:rsidP="00736FA0">
      <w:pPr>
        <w:pStyle w:val="FootnoteText"/>
        <w:spacing w:after="120"/>
      </w:pPr>
      <w:r w:rsidRPr="00736FA0">
        <w:rPr>
          <w:rStyle w:val="FootnoteReference"/>
        </w:rPr>
        <w:footnoteRef/>
      </w:r>
      <w:r w:rsidRPr="00736FA0">
        <w:t xml:space="preserve"> DP&amp;L Motion to Implement SSR-E, Ex. 2 at 4.</w:t>
      </w:r>
    </w:p>
  </w:footnote>
  <w:footnote w:id="38">
    <w:p w:rsidR="00C92722" w:rsidRPr="00736FA0" w:rsidRDefault="00C92722" w:rsidP="00736FA0">
      <w:pPr>
        <w:pStyle w:val="FootnoteText"/>
        <w:spacing w:after="120"/>
      </w:pPr>
      <w:r w:rsidRPr="00736FA0">
        <w:rPr>
          <w:rStyle w:val="FootnoteReference"/>
        </w:rPr>
        <w:footnoteRef/>
      </w:r>
      <w:r w:rsidRPr="00736FA0">
        <w:t xml:space="preserve"> DP&amp;L Memorandum in Support of Motion to Implement SSR-E at 2.</w:t>
      </w:r>
    </w:p>
  </w:footnote>
  <w:footnote w:id="39">
    <w:p w:rsidR="00C92722" w:rsidRPr="00736FA0" w:rsidRDefault="00C92722" w:rsidP="00736FA0">
      <w:pPr>
        <w:pStyle w:val="FootnoteText"/>
        <w:spacing w:after="120"/>
      </w:pPr>
      <w:r w:rsidRPr="00736FA0">
        <w:rPr>
          <w:rStyle w:val="FootnoteReference"/>
        </w:rPr>
        <w:footnoteRef/>
      </w:r>
      <w:r w:rsidRPr="00736FA0">
        <w:t xml:space="preserve"> See Case No. 12-426-EL-SSO, Direct Testimony of IEU Witness Joseph G. Bowser at Exh. JGB-4. </w:t>
      </w:r>
    </w:p>
  </w:footnote>
  <w:footnote w:id="40">
    <w:p w:rsidR="00C92722" w:rsidRPr="00736FA0" w:rsidRDefault="00C92722" w:rsidP="00736FA0">
      <w:pPr>
        <w:pStyle w:val="FootnoteText"/>
        <w:spacing w:after="120"/>
      </w:pPr>
      <w:r w:rsidRPr="00736FA0">
        <w:rPr>
          <w:rStyle w:val="FootnoteReference"/>
        </w:rPr>
        <w:footnoteRef/>
      </w:r>
      <w:r w:rsidRPr="00736FA0">
        <w:t xml:space="preserve"> The Ohio Poverty Report (February 2016)</w:t>
      </w:r>
      <w:r w:rsidRPr="00736FA0">
        <w:rPr>
          <w:iCs/>
        </w:rPr>
        <w:t>.</w:t>
      </w:r>
    </w:p>
  </w:footnote>
  <w:footnote w:id="41">
    <w:p w:rsidR="00C92722" w:rsidRPr="00736FA0" w:rsidRDefault="00C92722" w:rsidP="00736FA0">
      <w:pPr>
        <w:pStyle w:val="FootnoteText"/>
        <w:spacing w:after="120"/>
      </w:pPr>
      <w:r w:rsidRPr="00736FA0">
        <w:rPr>
          <w:rStyle w:val="FootnoteReference"/>
        </w:rPr>
        <w:footnoteRef/>
      </w:r>
      <w:r w:rsidRPr="00736FA0">
        <w:t xml:space="preserve"> See Case No. 15-0882-GE-UNC, Report (June 30, 2015).</w:t>
      </w:r>
    </w:p>
  </w:footnote>
  <w:footnote w:id="42">
    <w:p w:rsidR="00C92722" w:rsidRPr="00736FA0" w:rsidRDefault="00C92722" w:rsidP="00736FA0">
      <w:pPr>
        <w:pStyle w:val="FootnoteText"/>
        <w:spacing w:after="120"/>
      </w:pPr>
      <w:r w:rsidRPr="00736FA0">
        <w:rPr>
          <w:rStyle w:val="FootnoteReference"/>
        </w:rPr>
        <w:footnoteRef/>
      </w:r>
      <w:r w:rsidRPr="00736FA0">
        <w:t xml:space="preserve"> DP&amp;L ESP II Order at 27 (emphasis added).</w:t>
      </w:r>
    </w:p>
  </w:footnote>
  <w:footnote w:id="43">
    <w:p w:rsidR="00C92722" w:rsidRPr="00736FA0" w:rsidRDefault="00C92722" w:rsidP="00736FA0">
      <w:pPr>
        <w:pStyle w:val="FootnoteText"/>
        <w:spacing w:after="120"/>
      </w:pPr>
      <w:r w:rsidRPr="00736FA0">
        <w:rPr>
          <w:rStyle w:val="FootnoteReference"/>
        </w:rPr>
        <w:footnoteRef/>
      </w:r>
      <w:r w:rsidRPr="00736FA0">
        <w:t xml:space="preserve"> In DP&amp;L's brief filed at the Ohio Supreme Court it complained that it “needs to do an extraordinary amount of work to prepare a distribution rate case for filing,” and “that work is time consuming.” S.Ct. 2014-5015 DP&amp;L Merit Brief at 44-45 (Jan. 20, 2015).  It also complained that the PUCO's Order required it “to do a substantial amount of work on other matters” and it “would have been impossible for DP&amp;L to file a distribution rate case by July 1, 2014.” Id. </w:t>
      </w:r>
    </w:p>
  </w:footnote>
  <w:footnote w:id="44">
    <w:p w:rsidR="00C92722" w:rsidRPr="00736FA0" w:rsidRDefault="00C92722" w:rsidP="00736FA0">
      <w:pPr>
        <w:pStyle w:val="FootnoteText"/>
        <w:spacing w:after="120"/>
      </w:pPr>
      <w:r w:rsidRPr="00736FA0">
        <w:rPr>
          <w:rStyle w:val="FootnoteReference"/>
        </w:rPr>
        <w:footnoteRef/>
      </w:r>
      <w:r w:rsidRPr="00736FA0">
        <w:t xml:space="preserve"> See DP&amp;L Motion to Implement SSR-E, Ex. 2 at 4. </w:t>
      </w:r>
    </w:p>
  </w:footnote>
  <w:footnote w:id="45">
    <w:p w:rsidR="00C92722" w:rsidRPr="00736FA0" w:rsidRDefault="00C92722" w:rsidP="00736FA0">
      <w:pPr>
        <w:pStyle w:val="FootnoteText"/>
        <w:spacing w:after="120"/>
      </w:pPr>
      <w:r w:rsidRPr="00736FA0">
        <w:rPr>
          <w:rStyle w:val="FootnoteReference"/>
        </w:rPr>
        <w:footnoteRef/>
      </w:r>
      <w:r w:rsidRPr="00736FA0">
        <w:t xml:space="preserve"> See DP&amp;L Motion to Implement SSR-E, Ex. 2 at 4. </w:t>
      </w:r>
    </w:p>
  </w:footnote>
  <w:footnote w:id="46">
    <w:p w:rsidR="00C92722" w:rsidRPr="00736FA0" w:rsidRDefault="00C92722" w:rsidP="00736FA0">
      <w:pPr>
        <w:pStyle w:val="FootnoteText"/>
        <w:spacing w:after="120"/>
      </w:pPr>
      <w:r w:rsidRPr="00736FA0">
        <w:rPr>
          <w:rStyle w:val="FootnoteReference"/>
        </w:rPr>
        <w:footnoteRef/>
      </w:r>
      <w:r w:rsidRPr="00736FA0">
        <w:t xml:space="preserve"> See id.</w:t>
      </w:r>
    </w:p>
  </w:footnote>
  <w:footnote w:id="47">
    <w:p w:rsidR="00C92722" w:rsidRPr="00736FA0" w:rsidRDefault="00C92722" w:rsidP="00736FA0">
      <w:pPr>
        <w:pStyle w:val="FootnoteText"/>
        <w:spacing w:after="120"/>
      </w:pPr>
      <w:r w:rsidRPr="00736FA0">
        <w:rPr>
          <w:rStyle w:val="FootnoteReference"/>
        </w:rPr>
        <w:footnoteRef/>
      </w:r>
      <w:r w:rsidRPr="00736FA0">
        <w:t xml:space="preserve"> DP&amp;L ESP II Order at 27.</w:t>
      </w:r>
    </w:p>
  </w:footnote>
  <w:footnote w:id="48">
    <w:p w:rsidR="00C92722" w:rsidRPr="00736FA0" w:rsidRDefault="00C92722" w:rsidP="00736FA0">
      <w:pPr>
        <w:pStyle w:val="FootnoteText"/>
        <w:spacing w:after="120"/>
      </w:pPr>
      <w:r w:rsidRPr="00736FA0">
        <w:rPr>
          <w:rStyle w:val="FootnoteReference"/>
        </w:rPr>
        <w:footnoteRef/>
      </w:r>
      <w:r w:rsidRPr="00736FA0">
        <w:t xml:space="preserve"> DP&amp;L ESP II Order at 27.</w:t>
      </w:r>
    </w:p>
  </w:footnote>
  <w:footnote w:id="49">
    <w:p w:rsidR="00C92722" w:rsidRPr="00736FA0" w:rsidRDefault="00C92722" w:rsidP="00736FA0">
      <w:pPr>
        <w:pStyle w:val="FootnoteText"/>
        <w:spacing w:after="120"/>
      </w:pPr>
      <w:r w:rsidRPr="00736FA0">
        <w:rPr>
          <w:rStyle w:val="FootnoteReference"/>
        </w:rPr>
        <w:footnoteRef/>
      </w:r>
      <w:r w:rsidRPr="00736FA0">
        <w:t xml:space="preserve"> DP&amp;L ESP II Order at 27.</w:t>
      </w:r>
    </w:p>
  </w:footnote>
  <w:footnote w:id="50">
    <w:p w:rsidR="00C92722" w:rsidRPr="00736FA0" w:rsidRDefault="00C92722" w:rsidP="00736FA0">
      <w:pPr>
        <w:pStyle w:val="FootnoteText"/>
        <w:spacing w:after="120"/>
      </w:pPr>
      <w:r w:rsidRPr="00736FA0">
        <w:rPr>
          <w:rStyle w:val="FootnoteReference"/>
        </w:rPr>
        <w:footnoteRef/>
      </w:r>
      <w:r w:rsidRPr="00736FA0">
        <w:t xml:space="preserve"> DP&amp;L ESP II Order at 28.</w:t>
      </w:r>
    </w:p>
  </w:footnote>
  <w:footnote w:id="51">
    <w:p w:rsidR="00C92722" w:rsidRPr="00736FA0" w:rsidRDefault="00C92722" w:rsidP="00736FA0">
      <w:pPr>
        <w:pStyle w:val="FootnoteText"/>
        <w:spacing w:after="120"/>
      </w:pPr>
      <w:r w:rsidRPr="00736FA0">
        <w:rPr>
          <w:rStyle w:val="FootnoteReference"/>
        </w:rPr>
        <w:footnoteRef/>
      </w:r>
      <w:r w:rsidRPr="00736FA0">
        <w:t xml:space="preserve"> DP&amp;L ESP II Order at 28.</w:t>
      </w:r>
    </w:p>
  </w:footnote>
  <w:footnote w:id="52">
    <w:p w:rsidR="00C92722" w:rsidRPr="00736FA0" w:rsidRDefault="00C92722" w:rsidP="00736FA0">
      <w:pPr>
        <w:pStyle w:val="FootnoteText"/>
        <w:spacing w:after="120"/>
      </w:pPr>
      <w:r w:rsidRPr="00736FA0">
        <w:rPr>
          <w:rStyle w:val="FootnoteReference"/>
        </w:rPr>
        <w:footnoteRef/>
      </w:r>
      <w:r w:rsidRPr="00736FA0">
        <w:t xml:space="preserve"> DP&amp;L ESP II Order at 28.</w:t>
      </w:r>
    </w:p>
  </w:footnote>
  <w:footnote w:id="53">
    <w:p w:rsidR="00C92722" w:rsidRPr="00736FA0" w:rsidRDefault="00C92722" w:rsidP="00736FA0">
      <w:pPr>
        <w:pStyle w:val="FootnoteText"/>
        <w:spacing w:after="120"/>
      </w:pPr>
      <w:r w:rsidRPr="00736FA0">
        <w:rPr>
          <w:rStyle w:val="FootnoteReference"/>
        </w:rPr>
        <w:footnoteRef/>
      </w:r>
      <w:r w:rsidRPr="00736FA0">
        <w:t xml:space="preserve"> DP&amp;L ESP II Order at 28.</w:t>
      </w:r>
    </w:p>
  </w:footnote>
  <w:footnote w:id="54">
    <w:p w:rsidR="00C92722" w:rsidRPr="00736FA0" w:rsidRDefault="00C92722" w:rsidP="00736FA0">
      <w:pPr>
        <w:pStyle w:val="FootnoteText"/>
        <w:spacing w:after="120"/>
      </w:pPr>
      <w:r w:rsidRPr="00736FA0">
        <w:rPr>
          <w:rStyle w:val="FootnoteReference"/>
        </w:rPr>
        <w:footnoteRef/>
      </w:r>
      <w:r w:rsidRPr="00736FA0">
        <w:t xml:space="preserve"> DP&amp;L Memorandum in Support of Motion to Implement SSR-E at 6.</w:t>
      </w:r>
    </w:p>
  </w:footnote>
  <w:footnote w:id="55">
    <w:p w:rsidR="00C92722" w:rsidRPr="00736FA0" w:rsidRDefault="00C92722" w:rsidP="00736FA0">
      <w:pPr>
        <w:pStyle w:val="FootnoteText"/>
        <w:spacing w:after="120"/>
      </w:pPr>
      <w:r w:rsidRPr="00736FA0">
        <w:rPr>
          <w:rStyle w:val="FootnoteReference"/>
        </w:rPr>
        <w:footnoteRef/>
      </w:r>
      <w:r w:rsidRPr="00736FA0">
        <w:t xml:space="preserve"> DP&amp;L Memorandum in Support of Motion to Implement SSR-E at 3-6.</w:t>
      </w:r>
    </w:p>
  </w:footnote>
  <w:footnote w:id="56">
    <w:p w:rsidR="00C92722" w:rsidRPr="00736FA0" w:rsidRDefault="00C92722" w:rsidP="00736FA0">
      <w:pPr>
        <w:pStyle w:val="FootnoteText"/>
        <w:spacing w:after="120"/>
      </w:pPr>
      <w:r w:rsidRPr="00736FA0">
        <w:rPr>
          <w:rStyle w:val="FootnoteReference"/>
        </w:rPr>
        <w:footnoteRef/>
      </w:r>
      <w:r w:rsidRPr="00736FA0">
        <w:t xml:space="preserve"> </w:t>
      </w:r>
      <w:r w:rsidRPr="00736FA0">
        <w:rPr>
          <w:i/>
        </w:rPr>
        <w:t>In the Matter of the Application of Duke Energy Ohio, Inc. for an Adjustment to Rider AMRP Rates, et al</w:t>
      </w:r>
      <w:r w:rsidRPr="00736FA0">
        <w:t>., Case No. 09-1849-GA-RDR (“March 5, 2010 Entry”) (“Duke AMRP”).</w:t>
      </w:r>
    </w:p>
  </w:footnote>
  <w:footnote w:id="57">
    <w:p w:rsidR="00C92722" w:rsidRPr="00736FA0" w:rsidRDefault="00C92722" w:rsidP="00736FA0">
      <w:pPr>
        <w:pStyle w:val="FootnoteText"/>
        <w:spacing w:after="120"/>
      </w:pPr>
      <w:r w:rsidRPr="00736FA0">
        <w:rPr>
          <w:rStyle w:val="FootnoteReference"/>
        </w:rPr>
        <w:footnoteRef/>
      </w:r>
      <w:r w:rsidRPr="00736FA0">
        <w:t xml:space="preserve"> March 5, 2010 Entry at 1. </w:t>
      </w:r>
    </w:p>
  </w:footnote>
  <w:footnote w:id="58">
    <w:p w:rsidR="00C92722" w:rsidRPr="00736FA0" w:rsidRDefault="00C92722" w:rsidP="00736FA0">
      <w:pPr>
        <w:pStyle w:val="FootnoteText"/>
        <w:spacing w:after="120"/>
      </w:pPr>
      <w:r w:rsidRPr="00736FA0">
        <w:rPr>
          <w:rStyle w:val="FootnoteReference"/>
        </w:rPr>
        <w:footnoteRef/>
      </w:r>
      <w:r w:rsidRPr="00736FA0">
        <w:t xml:space="preserve"> March 5, 2010 Entry at 2.</w:t>
      </w:r>
    </w:p>
  </w:footnote>
  <w:footnote w:id="59">
    <w:p w:rsidR="00C92722" w:rsidRPr="00736FA0" w:rsidRDefault="00C92722" w:rsidP="00736FA0">
      <w:pPr>
        <w:pStyle w:val="FootnoteText"/>
        <w:spacing w:after="120"/>
      </w:pPr>
      <w:r w:rsidRPr="00736FA0">
        <w:rPr>
          <w:rStyle w:val="FootnoteReference"/>
        </w:rPr>
        <w:footnoteRef/>
      </w:r>
      <w:r w:rsidRPr="00736FA0">
        <w:t xml:space="preserve"> March 5, 2010 Entry at 2.</w:t>
      </w:r>
    </w:p>
  </w:footnote>
  <w:footnote w:id="60">
    <w:p w:rsidR="00C92722" w:rsidRPr="00736FA0" w:rsidRDefault="00C92722" w:rsidP="00736FA0">
      <w:pPr>
        <w:pStyle w:val="FootnoteText"/>
        <w:spacing w:after="120"/>
      </w:pPr>
      <w:r w:rsidRPr="00736FA0">
        <w:rPr>
          <w:rStyle w:val="FootnoteReference"/>
        </w:rPr>
        <w:footnoteRef/>
      </w:r>
      <w:r w:rsidRPr="00736FA0">
        <w:t xml:space="preserve"> March 5, 2010 Entry at 2.</w:t>
      </w:r>
    </w:p>
  </w:footnote>
  <w:footnote w:id="61">
    <w:p w:rsidR="00C92722" w:rsidRPr="00736FA0" w:rsidRDefault="00C92722" w:rsidP="00736FA0">
      <w:pPr>
        <w:pStyle w:val="FootnoteText"/>
        <w:spacing w:after="120"/>
      </w:pPr>
      <w:r w:rsidRPr="00736FA0">
        <w:rPr>
          <w:rStyle w:val="FootnoteReference"/>
        </w:rPr>
        <w:footnoteRef/>
      </w:r>
      <w:r w:rsidRPr="00736FA0">
        <w:t xml:space="preserve"> </w:t>
      </w:r>
      <w:r w:rsidRPr="00736FA0">
        <w:rPr>
          <w:i/>
        </w:rPr>
        <w:t>In the Matter of the Regulation of the Purchased Gas Adjustment Clause Contained within the Rate Schedules of National Gas &amp; Oil Corporation and Related Matters</w:t>
      </w:r>
      <w:r w:rsidRPr="00736FA0">
        <w:t>, Pub. Util. Comm. 90-16-GA-GCR, 1991 Ohio PUC LEXIS 129 (“Jan. 31, 1991 Opinion and Order”).</w:t>
      </w:r>
    </w:p>
  </w:footnote>
  <w:footnote w:id="62">
    <w:p w:rsidR="00C92722" w:rsidRPr="00736FA0" w:rsidRDefault="00C92722" w:rsidP="00736FA0">
      <w:pPr>
        <w:pStyle w:val="FootnoteText"/>
        <w:spacing w:after="120"/>
      </w:pPr>
      <w:r w:rsidRPr="00736FA0">
        <w:rPr>
          <w:rStyle w:val="FootnoteReference"/>
        </w:rPr>
        <w:footnoteRef/>
      </w:r>
      <w:r w:rsidRPr="00736FA0">
        <w:t xml:space="preserve"> </w:t>
      </w:r>
      <w:r w:rsidRPr="00736FA0">
        <w:rPr>
          <w:i/>
        </w:rPr>
        <w:t>In the Matter of the Regulation of the Purchased Gas Adjustment Clause Contained within the Rate Schedules of E. Natural Gas Co. and Related Matters</w:t>
      </w:r>
      <w:r w:rsidRPr="00736FA0">
        <w:t>, Pub. Util. Comm. 89-29-GA-GCR, 1990 Ohio PUC LEXIS 504 (“May 17, 1990 Opinion and Order”).</w:t>
      </w:r>
    </w:p>
  </w:footnote>
  <w:footnote w:id="63">
    <w:p w:rsidR="00C92722" w:rsidRPr="00736FA0" w:rsidRDefault="00C92722" w:rsidP="00736FA0">
      <w:pPr>
        <w:pStyle w:val="FootnoteText"/>
        <w:spacing w:after="120"/>
      </w:pPr>
      <w:r w:rsidRPr="00736FA0">
        <w:rPr>
          <w:rStyle w:val="FootnoteReference"/>
        </w:rPr>
        <w:footnoteRef/>
      </w:r>
      <w:r w:rsidRPr="00736FA0">
        <w:t xml:space="preserve"> Indeed, the only error found in Eastern’s audit was a $69.00 error in one recording in Eastern’s book cost of gas. May 17, 1990 Opinion and Order at *4-5.</w:t>
      </w:r>
    </w:p>
  </w:footnote>
  <w:footnote w:id="64">
    <w:p w:rsidR="00C92722" w:rsidRPr="00736FA0" w:rsidRDefault="00C92722" w:rsidP="00736FA0">
      <w:pPr>
        <w:pStyle w:val="FootnoteText"/>
        <w:spacing w:after="120"/>
      </w:pPr>
      <w:r w:rsidRPr="00736FA0">
        <w:rPr>
          <w:rStyle w:val="FootnoteReference"/>
        </w:rPr>
        <w:footnoteRef/>
      </w:r>
      <w:r w:rsidRPr="00736FA0">
        <w:t xml:space="preserve"> Jan. 31, 1991 Opinion and Order at *34.</w:t>
      </w:r>
    </w:p>
  </w:footnote>
  <w:footnote w:id="65">
    <w:p w:rsidR="00C92722" w:rsidRPr="00736FA0" w:rsidRDefault="00C92722" w:rsidP="00736FA0">
      <w:pPr>
        <w:pStyle w:val="FootnoteText"/>
        <w:spacing w:after="120"/>
      </w:pPr>
      <w:r w:rsidRPr="00736FA0">
        <w:rPr>
          <w:rStyle w:val="FootnoteReference"/>
        </w:rPr>
        <w:footnoteRef/>
      </w:r>
      <w:r w:rsidRPr="00736FA0">
        <w:t xml:space="preserve"> Jan. 31, 1991 Opinion and Order at *34.</w:t>
      </w:r>
    </w:p>
  </w:footnote>
  <w:footnote w:id="66">
    <w:p w:rsidR="00C92722" w:rsidRPr="00736FA0" w:rsidRDefault="00C92722" w:rsidP="00736FA0">
      <w:pPr>
        <w:pStyle w:val="FootnoteText"/>
        <w:spacing w:after="120"/>
      </w:pPr>
      <w:r w:rsidRPr="00736FA0">
        <w:rPr>
          <w:rStyle w:val="FootnoteReference"/>
        </w:rPr>
        <w:footnoteRef/>
      </w:r>
      <w:r w:rsidRPr="00736FA0">
        <w:t xml:space="preserve"> May 17, 1990 Opinion and Order at *7 (emphasis added).</w:t>
      </w:r>
    </w:p>
  </w:footnote>
  <w:footnote w:id="67">
    <w:p w:rsidR="00C92722" w:rsidRPr="00736FA0" w:rsidRDefault="00C92722" w:rsidP="00736FA0">
      <w:pPr>
        <w:pStyle w:val="FootnoteText"/>
        <w:spacing w:after="120"/>
      </w:pPr>
      <w:r w:rsidRPr="00736FA0">
        <w:rPr>
          <w:rStyle w:val="FootnoteReference"/>
        </w:rPr>
        <w:footnoteRef/>
      </w:r>
      <w:r w:rsidRPr="00736FA0">
        <w:t xml:space="preserve"> Sept. 4, 2013 Opinion and Order at *5-6.</w:t>
      </w:r>
    </w:p>
  </w:footnote>
  <w:footnote w:id="68">
    <w:p w:rsidR="00C92722" w:rsidRPr="00736FA0" w:rsidRDefault="00C92722" w:rsidP="00736FA0">
      <w:pPr>
        <w:pStyle w:val="FootnoteText"/>
        <w:spacing w:after="120"/>
      </w:pPr>
      <w:r w:rsidRPr="00736FA0">
        <w:rPr>
          <w:rStyle w:val="FootnoteReference"/>
        </w:rPr>
        <w:footnoteRef/>
      </w:r>
      <w:r w:rsidRPr="00736FA0">
        <w:t xml:space="preserve"> </w:t>
      </w:r>
      <w:r w:rsidRPr="00736FA0">
        <w:rPr>
          <w:i/>
        </w:rPr>
        <w:t xml:space="preserve">In the Matter of the Application of the Columbus Cellular Telephone Company for a Certificate of Public Convenience and Necessity to Provide Cellular Telecommunication Services in the Columbus Metropolitan Statistical Area and Vicinity, Case No. </w:t>
      </w:r>
      <w:r w:rsidRPr="00736FA0">
        <w:t>85-797 RC-ACE, 1986 Ohio PUC LEXIS 763, Opinion and Order (“July 22, 1986 Opinion and Order”).</w:t>
      </w:r>
    </w:p>
  </w:footnote>
  <w:footnote w:id="69">
    <w:p w:rsidR="00C92722" w:rsidRPr="00736FA0" w:rsidRDefault="00C92722" w:rsidP="00736FA0">
      <w:pPr>
        <w:pStyle w:val="FootnoteText"/>
        <w:spacing w:after="120"/>
      </w:pPr>
      <w:r w:rsidRPr="00736FA0">
        <w:rPr>
          <w:rStyle w:val="FootnoteReference"/>
        </w:rPr>
        <w:footnoteRef/>
      </w:r>
      <w:r w:rsidRPr="00736FA0">
        <w:t xml:space="preserve"> July 22, 1986 Order at *1.</w:t>
      </w:r>
    </w:p>
  </w:footnote>
  <w:footnote w:id="70">
    <w:p w:rsidR="00C92722" w:rsidRPr="00736FA0" w:rsidRDefault="00C92722" w:rsidP="00736FA0">
      <w:pPr>
        <w:pStyle w:val="FootnoteText"/>
        <w:spacing w:after="120"/>
      </w:pPr>
      <w:r w:rsidRPr="00736FA0">
        <w:rPr>
          <w:rStyle w:val="FootnoteReference"/>
        </w:rPr>
        <w:footnoteRef/>
      </w:r>
      <w:r w:rsidRPr="00736FA0">
        <w:t xml:space="preserve"> July 22, 1986 Order at *1.</w:t>
      </w:r>
    </w:p>
  </w:footnote>
  <w:footnote w:id="71">
    <w:p w:rsidR="00C92722" w:rsidRPr="00736FA0" w:rsidRDefault="00C92722" w:rsidP="00736FA0">
      <w:pPr>
        <w:pStyle w:val="FootnoteText"/>
        <w:spacing w:after="120"/>
      </w:pPr>
      <w:r w:rsidRPr="00736FA0">
        <w:rPr>
          <w:rStyle w:val="FootnoteReference"/>
        </w:rPr>
        <w:footnoteRef/>
      </w:r>
      <w:r w:rsidRPr="00736FA0">
        <w:t xml:space="preserve"> July 22, 1986 Order at *1 - *2.</w:t>
      </w:r>
    </w:p>
  </w:footnote>
  <w:footnote w:id="72">
    <w:p w:rsidR="00C92722" w:rsidRPr="00736FA0" w:rsidRDefault="00C92722" w:rsidP="00736FA0">
      <w:pPr>
        <w:pStyle w:val="FootnoteText"/>
        <w:spacing w:after="120"/>
      </w:pPr>
      <w:r w:rsidRPr="00736FA0">
        <w:rPr>
          <w:rStyle w:val="FootnoteReference"/>
        </w:rPr>
        <w:footnoteRef/>
      </w:r>
      <w:r w:rsidRPr="00736FA0">
        <w:t xml:space="preserve"> July 22, 1986 Order at *2.</w:t>
      </w:r>
    </w:p>
  </w:footnote>
  <w:footnote w:id="73">
    <w:p w:rsidR="00C92722" w:rsidRPr="00736FA0" w:rsidRDefault="00C92722" w:rsidP="00736FA0">
      <w:pPr>
        <w:pStyle w:val="FootnoteText"/>
        <w:spacing w:after="120"/>
      </w:pPr>
      <w:r w:rsidRPr="00736FA0">
        <w:rPr>
          <w:rStyle w:val="FootnoteReference"/>
        </w:rPr>
        <w:footnoteRef/>
      </w:r>
      <w:r w:rsidRPr="00736FA0">
        <w:t xml:space="preserve"> July 22, 1986 Opinion and Order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83" w:rsidRDefault="00990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83" w:rsidRDefault="00990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83" w:rsidRDefault="00990D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22" w:rsidRDefault="00C927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22" w:rsidRDefault="00C92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22E5D"/>
    <w:multiLevelType w:val="hybridMultilevel"/>
    <w:tmpl w:val="9DEAB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9597822"/>
    <w:multiLevelType w:val="multilevel"/>
    <w:tmpl w:val="3AD21796"/>
    <w:name w:val="zzmpINTEROG1||INTEROG1|2|3|1|3|2|0||1|0|0||3|0|0||1|0|0||1|0|0||1|0|0||1|0|0||0|0|0||0|0|0||"/>
    <w:lvl w:ilvl="0">
      <w:start w:val="1"/>
      <w:numFmt w:val="decimal"/>
      <w:pStyle w:val="INTEROG1L1"/>
      <w:suff w:val="nothing"/>
      <w:lvlText w:val="INTERROGATORY NO. %1:"/>
      <w:lvlJc w:val="left"/>
      <w:pPr>
        <w:tabs>
          <w:tab w:val="num" w:pos="288"/>
        </w:tabs>
        <w:ind w:left="0" w:firstLine="0"/>
      </w:pPr>
      <w:rPr>
        <w:rFonts w:ascii="Times New Roman" w:hAnsi="Times New Roman" w:cs="Times New Roman"/>
        <w:b/>
        <w:i w:val="0"/>
        <w:caps/>
        <w:smallCaps w:val="0"/>
        <w:sz w:val="24"/>
        <w:u w:val="single"/>
      </w:rPr>
    </w:lvl>
    <w:lvl w:ilvl="1">
      <w:start w:val="1"/>
      <w:numFmt w:val="lowerLetter"/>
      <w:pStyle w:val="INTEROG1L2"/>
      <w:lvlText w:val="%2."/>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2">
      <w:start w:val="1"/>
      <w:numFmt w:val="none"/>
      <w:lvlRestart w:val="0"/>
      <w:pStyle w:val="INTEROG1L3"/>
      <w:suff w:val="nothing"/>
      <w:lvlText w:val="RESPONSE:"/>
      <w:lvlJc w:val="left"/>
      <w:pPr>
        <w:tabs>
          <w:tab w:val="num" w:pos="720"/>
        </w:tabs>
        <w:ind w:left="0" w:firstLine="0"/>
      </w:pPr>
      <w:rPr>
        <w:rFonts w:ascii="Times New Roman" w:hAnsi="Times New Roman" w:cs="Times New Roman"/>
        <w:b/>
        <w:i w:val="0"/>
        <w:caps/>
        <w:smallCaps w:val="0"/>
        <w:sz w:val="24"/>
        <w:u w:val="single"/>
      </w:rPr>
    </w:lvl>
    <w:lvl w:ilvl="3">
      <w:start w:val="1"/>
      <w:numFmt w:val="decimal"/>
      <w:pStyle w:val="INTEROG1L4"/>
      <w:lvlText w:val="%4."/>
      <w:lvlJc w:val="left"/>
      <w:pPr>
        <w:tabs>
          <w:tab w:val="num" w:pos="1440"/>
        </w:tabs>
        <w:ind w:left="0" w:firstLine="720"/>
      </w:pPr>
      <w:rPr>
        <w:rFonts w:ascii="Times New Roman" w:hAnsi="Times New Roman" w:cs="Times New Roman"/>
        <w:b w:val="0"/>
        <w:i w:val="0"/>
        <w:caps w:val="0"/>
        <w:strike w:val="0"/>
        <w:dstrike w:val="0"/>
        <w:sz w:val="24"/>
        <w:u w:val="none"/>
        <w:effect w:val="none"/>
      </w:rPr>
    </w:lvl>
    <w:lvl w:ilvl="4">
      <w:start w:val="1"/>
      <w:numFmt w:val="lowerRoman"/>
      <w:pStyle w:val="INTEROG1L5"/>
      <w:lvlText w:val="(%5)"/>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5">
      <w:start w:val="1"/>
      <w:numFmt w:val="bullet"/>
      <w:lvlRestart w:val="0"/>
      <w:pStyle w:val="INTEROG1L6"/>
      <w:lvlText w:val="·"/>
      <w:lvlJc w:val="left"/>
      <w:pPr>
        <w:tabs>
          <w:tab w:val="num" w:pos="2160"/>
        </w:tabs>
        <w:ind w:left="2160" w:hanging="720"/>
      </w:pPr>
      <w:rPr>
        <w:rFonts w:ascii="Symbol" w:hAnsi="Symbol" w:hint="default"/>
        <w:b w:val="0"/>
        <w:i w:val="0"/>
        <w:caps w:val="0"/>
        <w:strike w:val="0"/>
        <w:dstrike w:val="0"/>
        <w:u w:val="none"/>
        <w:effect w:val="none"/>
      </w:rPr>
    </w:lvl>
    <w:lvl w:ilvl="6">
      <w:start w:val="1"/>
      <w:numFmt w:val="decimal"/>
      <w:pStyle w:val="INTEROG1L7"/>
      <w:lvlText w:val="%7."/>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7">
      <w:start w:val="1"/>
      <w:numFmt w:val="none"/>
      <w:lvlRestart w:val="0"/>
      <w:pStyle w:val="INTEROG1L8"/>
      <w:suff w:val="nothing"/>
      <w:lvlText w:val=""/>
      <w:lvlJc w:val="left"/>
      <w:pPr>
        <w:tabs>
          <w:tab w:val="num" w:pos="720"/>
        </w:tabs>
        <w:ind w:left="0" w:firstLine="0"/>
      </w:pPr>
      <w:rPr>
        <w:rFonts w:ascii="Times New Roman" w:hAnsi="Times New Roman" w:cs="Times New Roman"/>
        <w:b w:val="0"/>
        <w:i w:val="0"/>
        <w:caps w:val="0"/>
        <w:strike w:val="0"/>
        <w:dstrike w:val="0"/>
        <w:sz w:val="24"/>
        <w:u w:val="none"/>
        <w:effect w:val="none"/>
      </w:rPr>
    </w:lvl>
    <w:lvl w:ilvl="8">
      <w:start w:val="1"/>
      <w:numFmt w:val="none"/>
      <w:lvlRestart w:val="0"/>
      <w:pStyle w:val="INTEROG1L9"/>
      <w:suff w:val="nothing"/>
      <w:lvlText w:val=""/>
      <w:lvlJc w:val="left"/>
      <w:pPr>
        <w:tabs>
          <w:tab w:val="num" w:pos="720"/>
        </w:tabs>
        <w:ind w:left="0" w:firstLine="0"/>
      </w:pPr>
      <w:rPr>
        <w:rFonts w:ascii="Times New Roman" w:hAnsi="Times New Roman" w:cs="Times New Roman"/>
        <w:b w:val="0"/>
        <w:i w:val="0"/>
        <w:caps w:val="0"/>
        <w:strike w:val="0"/>
        <w:dstrike w:val="0"/>
        <w:sz w:val="24"/>
        <w:u w:val="none"/>
        <w:effect w:val="none"/>
      </w:rPr>
    </w:lvl>
  </w:abstractNum>
  <w:abstractNum w:abstractNumId="2">
    <w:nsid w:val="5EC4471E"/>
    <w:multiLevelType w:val="hybridMultilevel"/>
    <w:tmpl w:val="EDB02EBC"/>
    <w:lvl w:ilvl="0" w:tplc="42A89820">
      <w:start w:val="1"/>
      <w:numFmt w:val="upperRoman"/>
      <w:pStyle w:val="Heading1"/>
      <w:lvlText w:val="%1."/>
      <w:lvlJc w:val="left"/>
      <w:pPr>
        <w:ind w:left="720" w:hanging="360"/>
      </w:pPr>
      <w:rPr>
        <w:rFonts w:hint="default"/>
      </w:rPr>
    </w:lvl>
    <w:lvl w:ilvl="1" w:tplc="DE1C8634">
      <w:start w:val="1"/>
      <w:numFmt w:val="upperLetter"/>
      <w:lvlText w:val="%2."/>
      <w:lvlJc w:val="left"/>
      <w:pPr>
        <w:ind w:left="1080" w:hanging="360"/>
      </w:pPr>
      <w:rPr>
        <w:i w:val="0"/>
      </w:rPr>
    </w:lvl>
    <w:lvl w:ilvl="2" w:tplc="0409000F">
      <w:start w:val="1"/>
      <w:numFmt w:val="decimal"/>
      <w:lvlText w:val="%3."/>
      <w:lvlJc w:val="left"/>
      <w:pPr>
        <w:ind w:left="2160" w:hanging="180"/>
      </w:pPr>
      <w:rPr>
        <w:rFonts w:hint="default"/>
      </w:rPr>
    </w:lvl>
    <w:lvl w:ilvl="3" w:tplc="B446821C">
      <w:start w:val="1"/>
      <w:numFmt w:val="decimal"/>
      <w:lvlText w:val="%4."/>
      <w:lvlJc w:val="left"/>
      <w:pPr>
        <w:ind w:left="2070" w:hanging="360"/>
      </w:pPr>
      <w:rPr>
        <w:b/>
      </w:rPr>
    </w:lvl>
    <w:lvl w:ilvl="4" w:tplc="0D028392">
      <w:start w:val="1"/>
      <w:numFmt w:val="lowerLetter"/>
      <w:lvlText w:val="%5."/>
      <w:lvlJc w:val="left"/>
      <w:pPr>
        <w:ind w:left="315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4D306D"/>
    <w:rsid w:val="00001754"/>
    <w:rsid w:val="00002BE2"/>
    <w:rsid w:val="00003A9C"/>
    <w:rsid w:val="0000502D"/>
    <w:rsid w:val="00012FB1"/>
    <w:rsid w:val="00013814"/>
    <w:rsid w:val="00013DF3"/>
    <w:rsid w:val="00013E59"/>
    <w:rsid w:val="000144A3"/>
    <w:rsid w:val="00015239"/>
    <w:rsid w:val="0001566C"/>
    <w:rsid w:val="00016BC2"/>
    <w:rsid w:val="000172EA"/>
    <w:rsid w:val="00017EFE"/>
    <w:rsid w:val="000202E6"/>
    <w:rsid w:val="00020637"/>
    <w:rsid w:val="00020E7E"/>
    <w:rsid w:val="000221EC"/>
    <w:rsid w:val="00022A90"/>
    <w:rsid w:val="00023D8B"/>
    <w:rsid w:val="00023DA7"/>
    <w:rsid w:val="00025B2E"/>
    <w:rsid w:val="000264F9"/>
    <w:rsid w:val="00027B73"/>
    <w:rsid w:val="0003135E"/>
    <w:rsid w:val="000324EE"/>
    <w:rsid w:val="00033ADB"/>
    <w:rsid w:val="000342FD"/>
    <w:rsid w:val="00034365"/>
    <w:rsid w:val="0003492B"/>
    <w:rsid w:val="000413AF"/>
    <w:rsid w:val="00044274"/>
    <w:rsid w:val="000449A1"/>
    <w:rsid w:val="00045584"/>
    <w:rsid w:val="000467AF"/>
    <w:rsid w:val="00047ECB"/>
    <w:rsid w:val="00050E6B"/>
    <w:rsid w:val="00050F99"/>
    <w:rsid w:val="00051B27"/>
    <w:rsid w:val="00052CAB"/>
    <w:rsid w:val="00053464"/>
    <w:rsid w:val="000539BF"/>
    <w:rsid w:val="000565CC"/>
    <w:rsid w:val="00062555"/>
    <w:rsid w:val="00062DE4"/>
    <w:rsid w:val="00067C0F"/>
    <w:rsid w:val="000711B1"/>
    <w:rsid w:val="0007299C"/>
    <w:rsid w:val="00072CEF"/>
    <w:rsid w:val="000732A6"/>
    <w:rsid w:val="000738B1"/>
    <w:rsid w:val="00081077"/>
    <w:rsid w:val="0008195C"/>
    <w:rsid w:val="00083DD3"/>
    <w:rsid w:val="00084529"/>
    <w:rsid w:val="00085F1D"/>
    <w:rsid w:val="000877B2"/>
    <w:rsid w:val="00091B4A"/>
    <w:rsid w:val="0009438F"/>
    <w:rsid w:val="0009602E"/>
    <w:rsid w:val="00096444"/>
    <w:rsid w:val="00097645"/>
    <w:rsid w:val="000A0A20"/>
    <w:rsid w:val="000A0BDA"/>
    <w:rsid w:val="000A309C"/>
    <w:rsid w:val="000A438F"/>
    <w:rsid w:val="000A59B1"/>
    <w:rsid w:val="000B03EA"/>
    <w:rsid w:val="000B0747"/>
    <w:rsid w:val="000B11D0"/>
    <w:rsid w:val="000B2044"/>
    <w:rsid w:val="000B2845"/>
    <w:rsid w:val="000B294B"/>
    <w:rsid w:val="000B31F7"/>
    <w:rsid w:val="000B4F8C"/>
    <w:rsid w:val="000C377B"/>
    <w:rsid w:val="000C49B8"/>
    <w:rsid w:val="000C769D"/>
    <w:rsid w:val="000D142B"/>
    <w:rsid w:val="000D180B"/>
    <w:rsid w:val="000D4900"/>
    <w:rsid w:val="000D55CB"/>
    <w:rsid w:val="000E662E"/>
    <w:rsid w:val="000E715D"/>
    <w:rsid w:val="000E7176"/>
    <w:rsid w:val="000F0885"/>
    <w:rsid w:val="000F1656"/>
    <w:rsid w:val="000F1A40"/>
    <w:rsid w:val="00100AD5"/>
    <w:rsid w:val="001023B7"/>
    <w:rsid w:val="001033EA"/>
    <w:rsid w:val="00103937"/>
    <w:rsid w:val="0010425A"/>
    <w:rsid w:val="00106222"/>
    <w:rsid w:val="001111ED"/>
    <w:rsid w:val="001118BB"/>
    <w:rsid w:val="001120F4"/>
    <w:rsid w:val="00113006"/>
    <w:rsid w:val="00114A44"/>
    <w:rsid w:val="00115B51"/>
    <w:rsid w:val="00117173"/>
    <w:rsid w:val="0012488E"/>
    <w:rsid w:val="00125807"/>
    <w:rsid w:val="001271F7"/>
    <w:rsid w:val="001304B9"/>
    <w:rsid w:val="00130B7A"/>
    <w:rsid w:val="0013134B"/>
    <w:rsid w:val="00131377"/>
    <w:rsid w:val="00132A15"/>
    <w:rsid w:val="001369FE"/>
    <w:rsid w:val="001422EB"/>
    <w:rsid w:val="0014798D"/>
    <w:rsid w:val="00151D8D"/>
    <w:rsid w:val="00151E73"/>
    <w:rsid w:val="001547EE"/>
    <w:rsid w:val="001610B9"/>
    <w:rsid w:val="001713CE"/>
    <w:rsid w:val="0017150F"/>
    <w:rsid w:val="00172462"/>
    <w:rsid w:val="00172738"/>
    <w:rsid w:val="00172833"/>
    <w:rsid w:val="001735FB"/>
    <w:rsid w:val="00176ABE"/>
    <w:rsid w:val="00180712"/>
    <w:rsid w:val="0018100F"/>
    <w:rsid w:val="001918B3"/>
    <w:rsid w:val="00191BBC"/>
    <w:rsid w:val="00192DDF"/>
    <w:rsid w:val="00194C00"/>
    <w:rsid w:val="001A04AD"/>
    <w:rsid w:val="001A7335"/>
    <w:rsid w:val="001A75F6"/>
    <w:rsid w:val="001A762C"/>
    <w:rsid w:val="001B16B3"/>
    <w:rsid w:val="001B2366"/>
    <w:rsid w:val="001B4AEB"/>
    <w:rsid w:val="001B523E"/>
    <w:rsid w:val="001B7085"/>
    <w:rsid w:val="001B73A3"/>
    <w:rsid w:val="001C1429"/>
    <w:rsid w:val="001C1EEA"/>
    <w:rsid w:val="001C4123"/>
    <w:rsid w:val="001C5FC9"/>
    <w:rsid w:val="001C64CF"/>
    <w:rsid w:val="001C7EAA"/>
    <w:rsid w:val="001D1B7F"/>
    <w:rsid w:val="001D1F2A"/>
    <w:rsid w:val="001D302B"/>
    <w:rsid w:val="001D4D28"/>
    <w:rsid w:val="001D7839"/>
    <w:rsid w:val="001E356F"/>
    <w:rsid w:val="001E3B4A"/>
    <w:rsid w:val="001E580E"/>
    <w:rsid w:val="001E5C90"/>
    <w:rsid w:val="001E6D6F"/>
    <w:rsid w:val="001E7453"/>
    <w:rsid w:val="001F0800"/>
    <w:rsid w:val="001F1E68"/>
    <w:rsid w:val="001F2B67"/>
    <w:rsid w:val="001F3E1A"/>
    <w:rsid w:val="001F4247"/>
    <w:rsid w:val="001F6460"/>
    <w:rsid w:val="001F67F6"/>
    <w:rsid w:val="00200DC1"/>
    <w:rsid w:val="00200E40"/>
    <w:rsid w:val="00202575"/>
    <w:rsid w:val="002033DB"/>
    <w:rsid w:val="0020341E"/>
    <w:rsid w:val="0020565A"/>
    <w:rsid w:val="00205E6B"/>
    <w:rsid w:val="00206331"/>
    <w:rsid w:val="00207559"/>
    <w:rsid w:val="0020770C"/>
    <w:rsid w:val="00210883"/>
    <w:rsid w:val="00210D1A"/>
    <w:rsid w:val="00213F27"/>
    <w:rsid w:val="00215382"/>
    <w:rsid w:val="00216A2B"/>
    <w:rsid w:val="00220E36"/>
    <w:rsid w:val="0022217B"/>
    <w:rsid w:val="00223007"/>
    <w:rsid w:val="0022737F"/>
    <w:rsid w:val="00230B81"/>
    <w:rsid w:val="00231568"/>
    <w:rsid w:val="00232A2A"/>
    <w:rsid w:val="002332CA"/>
    <w:rsid w:val="002353BD"/>
    <w:rsid w:val="0023678C"/>
    <w:rsid w:val="0023703F"/>
    <w:rsid w:val="00241F10"/>
    <w:rsid w:val="0024256D"/>
    <w:rsid w:val="00243C19"/>
    <w:rsid w:val="0024468E"/>
    <w:rsid w:val="002447D6"/>
    <w:rsid w:val="002466F9"/>
    <w:rsid w:val="00250D3B"/>
    <w:rsid w:val="002527B4"/>
    <w:rsid w:val="00255C6C"/>
    <w:rsid w:val="00256141"/>
    <w:rsid w:val="00256BD7"/>
    <w:rsid w:val="00260A38"/>
    <w:rsid w:val="002615E9"/>
    <w:rsid w:val="002641F9"/>
    <w:rsid w:val="00264C4F"/>
    <w:rsid w:val="002652EF"/>
    <w:rsid w:val="002653AF"/>
    <w:rsid w:val="00266907"/>
    <w:rsid w:val="00266B59"/>
    <w:rsid w:val="00266D32"/>
    <w:rsid w:val="00270628"/>
    <w:rsid w:val="0027195F"/>
    <w:rsid w:val="0027389E"/>
    <w:rsid w:val="0027545D"/>
    <w:rsid w:val="00276AD6"/>
    <w:rsid w:val="00276BEA"/>
    <w:rsid w:val="00277918"/>
    <w:rsid w:val="002810CB"/>
    <w:rsid w:val="0028381A"/>
    <w:rsid w:val="00284986"/>
    <w:rsid w:val="002858F4"/>
    <w:rsid w:val="00286799"/>
    <w:rsid w:val="0028750D"/>
    <w:rsid w:val="00290DD8"/>
    <w:rsid w:val="00290E9F"/>
    <w:rsid w:val="002A1146"/>
    <w:rsid w:val="002A1541"/>
    <w:rsid w:val="002A2D61"/>
    <w:rsid w:val="002A7587"/>
    <w:rsid w:val="002B0CCF"/>
    <w:rsid w:val="002C062F"/>
    <w:rsid w:val="002C0E28"/>
    <w:rsid w:val="002C1567"/>
    <w:rsid w:val="002C283B"/>
    <w:rsid w:val="002C2B39"/>
    <w:rsid w:val="002C33A2"/>
    <w:rsid w:val="002C68FF"/>
    <w:rsid w:val="002C7129"/>
    <w:rsid w:val="002D0103"/>
    <w:rsid w:val="002D1308"/>
    <w:rsid w:val="002D1A65"/>
    <w:rsid w:val="002E2763"/>
    <w:rsid w:val="002E5774"/>
    <w:rsid w:val="002E693C"/>
    <w:rsid w:val="002F0131"/>
    <w:rsid w:val="002F18CF"/>
    <w:rsid w:val="002F2B1E"/>
    <w:rsid w:val="002F32DF"/>
    <w:rsid w:val="002F4819"/>
    <w:rsid w:val="002F4C33"/>
    <w:rsid w:val="002F4FD8"/>
    <w:rsid w:val="002F7A6A"/>
    <w:rsid w:val="003009B4"/>
    <w:rsid w:val="003023C5"/>
    <w:rsid w:val="00302593"/>
    <w:rsid w:val="003050AC"/>
    <w:rsid w:val="00305B96"/>
    <w:rsid w:val="00310727"/>
    <w:rsid w:val="003116A0"/>
    <w:rsid w:val="00313256"/>
    <w:rsid w:val="00317EFA"/>
    <w:rsid w:val="003203D9"/>
    <w:rsid w:val="0032239D"/>
    <w:rsid w:val="00322524"/>
    <w:rsid w:val="00322BEB"/>
    <w:rsid w:val="0032371B"/>
    <w:rsid w:val="00323D92"/>
    <w:rsid w:val="003240E2"/>
    <w:rsid w:val="00324807"/>
    <w:rsid w:val="00326341"/>
    <w:rsid w:val="00333605"/>
    <w:rsid w:val="00333CD1"/>
    <w:rsid w:val="00334573"/>
    <w:rsid w:val="0033670D"/>
    <w:rsid w:val="003402B0"/>
    <w:rsid w:val="0034032D"/>
    <w:rsid w:val="003469F6"/>
    <w:rsid w:val="00350965"/>
    <w:rsid w:val="00350D3B"/>
    <w:rsid w:val="00351EBA"/>
    <w:rsid w:val="00352738"/>
    <w:rsid w:val="003536CB"/>
    <w:rsid w:val="003560C4"/>
    <w:rsid w:val="003565D6"/>
    <w:rsid w:val="00360965"/>
    <w:rsid w:val="00361C4E"/>
    <w:rsid w:val="003627EE"/>
    <w:rsid w:val="003638CE"/>
    <w:rsid w:val="0036621C"/>
    <w:rsid w:val="00366C59"/>
    <w:rsid w:val="00371645"/>
    <w:rsid w:val="00371FD1"/>
    <w:rsid w:val="00373CD5"/>
    <w:rsid w:val="003752B2"/>
    <w:rsid w:val="00376CE5"/>
    <w:rsid w:val="0038051E"/>
    <w:rsid w:val="003824CD"/>
    <w:rsid w:val="00385762"/>
    <w:rsid w:val="00386DD1"/>
    <w:rsid w:val="00387191"/>
    <w:rsid w:val="003875B2"/>
    <w:rsid w:val="003875CB"/>
    <w:rsid w:val="00387D3D"/>
    <w:rsid w:val="003957B2"/>
    <w:rsid w:val="0039621B"/>
    <w:rsid w:val="00397AA4"/>
    <w:rsid w:val="003A17B5"/>
    <w:rsid w:val="003A4254"/>
    <w:rsid w:val="003A490B"/>
    <w:rsid w:val="003A4C73"/>
    <w:rsid w:val="003A555D"/>
    <w:rsid w:val="003A6EA3"/>
    <w:rsid w:val="003A6F07"/>
    <w:rsid w:val="003A7975"/>
    <w:rsid w:val="003A7981"/>
    <w:rsid w:val="003B0D4B"/>
    <w:rsid w:val="003B1ABC"/>
    <w:rsid w:val="003B303F"/>
    <w:rsid w:val="003B47FC"/>
    <w:rsid w:val="003B4881"/>
    <w:rsid w:val="003B5DCE"/>
    <w:rsid w:val="003B69EE"/>
    <w:rsid w:val="003C0251"/>
    <w:rsid w:val="003C066D"/>
    <w:rsid w:val="003C0D74"/>
    <w:rsid w:val="003C18F3"/>
    <w:rsid w:val="003C323C"/>
    <w:rsid w:val="003C544A"/>
    <w:rsid w:val="003C5477"/>
    <w:rsid w:val="003C5AAC"/>
    <w:rsid w:val="003C6DCC"/>
    <w:rsid w:val="003D52A8"/>
    <w:rsid w:val="003D6581"/>
    <w:rsid w:val="003D7399"/>
    <w:rsid w:val="003D759D"/>
    <w:rsid w:val="003D7830"/>
    <w:rsid w:val="003E3AA1"/>
    <w:rsid w:val="003E4598"/>
    <w:rsid w:val="003E7FEE"/>
    <w:rsid w:val="003F2295"/>
    <w:rsid w:val="003F3589"/>
    <w:rsid w:val="003F6301"/>
    <w:rsid w:val="003F6765"/>
    <w:rsid w:val="003F77C3"/>
    <w:rsid w:val="004028A3"/>
    <w:rsid w:val="00402A21"/>
    <w:rsid w:val="00402D30"/>
    <w:rsid w:val="004033F0"/>
    <w:rsid w:val="004048A3"/>
    <w:rsid w:val="0040600B"/>
    <w:rsid w:val="00407B4A"/>
    <w:rsid w:val="004128F6"/>
    <w:rsid w:val="00412C0B"/>
    <w:rsid w:val="004150C1"/>
    <w:rsid w:val="0042370D"/>
    <w:rsid w:val="004241A1"/>
    <w:rsid w:val="00424831"/>
    <w:rsid w:val="00424A34"/>
    <w:rsid w:val="0042780D"/>
    <w:rsid w:val="00427C82"/>
    <w:rsid w:val="00430F12"/>
    <w:rsid w:val="0043120A"/>
    <w:rsid w:val="00435E6D"/>
    <w:rsid w:val="0044217C"/>
    <w:rsid w:val="004422F9"/>
    <w:rsid w:val="00442691"/>
    <w:rsid w:val="00443DFF"/>
    <w:rsid w:val="00447A43"/>
    <w:rsid w:val="00451F72"/>
    <w:rsid w:val="0045311C"/>
    <w:rsid w:val="00453211"/>
    <w:rsid w:val="00457ECD"/>
    <w:rsid w:val="0046221F"/>
    <w:rsid w:val="00464FA4"/>
    <w:rsid w:val="004705CA"/>
    <w:rsid w:val="004717B7"/>
    <w:rsid w:val="0047392B"/>
    <w:rsid w:val="00473B40"/>
    <w:rsid w:val="00473F2C"/>
    <w:rsid w:val="0047564B"/>
    <w:rsid w:val="004763A8"/>
    <w:rsid w:val="004821D2"/>
    <w:rsid w:val="004821DF"/>
    <w:rsid w:val="00486EBF"/>
    <w:rsid w:val="00487784"/>
    <w:rsid w:val="00487D4D"/>
    <w:rsid w:val="00490329"/>
    <w:rsid w:val="00490478"/>
    <w:rsid w:val="00491BD7"/>
    <w:rsid w:val="00492A07"/>
    <w:rsid w:val="0049384D"/>
    <w:rsid w:val="00494439"/>
    <w:rsid w:val="00494B4B"/>
    <w:rsid w:val="004960F0"/>
    <w:rsid w:val="004976D4"/>
    <w:rsid w:val="004A0F2F"/>
    <w:rsid w:val="004A13F3"/>
    <w:rsid w:val="004A3F81"/>
    <w:rsid w:val="004A49E3"/>
    <w:rsid w:val="004A7F4A"/>
    <w:rsid w:val="004B0014"/>
    <w:rsid w:val="004B0A3A"/>
    <w:rsid w:val="004B11EF"/>
    <w:rsid w:val="004B4CE0"/>
    <w:rsid w:val="004B519F"/>
    <w:rsid w:val="004B5C06"/>
    <w:rsid w:val="004C0409"/>
    <w:rsid w:val="004C1FEA"/>
    <w:rsid w:val="004C2CDA"/>
    <w:rsid w:val="004D1059"/>
    <w:rsid w:val="004D1620"/>
    <w:rsid w:val="004D261C"/>
    <w:rsid w:val="004D306D"/>
    <w:rsid w:val="004D540C"/>
    <w:rsid w:val="004E0E97"/>
    <w:rsid w:val="004E1133"/>
    <w:rsid w:val="004E258F"/>
    <w:rsid w:val="004E28FB"/>
    <w:rsid w:val="004E2B87"/>
    <w:rsid w:val="004E2CE4"/>
    <w:rsid w:val="004E47B5"/>
    <w:rsid w:val="004E5986"/>
    <w:rsid w:val="004F0F5A"/>
    <w:rsid w:val="004F24B5"/>
    <w:rsid w:val="004F4A61"/>
    <w:rsid w:val="005046FE"/>
    <w:rsid w:val="00512913"/>
    <w:rsid w:val="00515DE5"/>
    <w:rsid w:val="00517251"/>
    <w:rsid w:val="005203B4"/>
    <w:rsid w:val="00522E1A"/>
    <w:rsid w:val="005237B0"/>
    <w:rsid w:val="005250DA"/>
    <w:rsid w:val="005261E1"/>
    <w:rsid w:val="005308F7"/>
    <w:rsid w:val="00530B5F"/>
    <w:rsid w:val="00531B61"/>
    <w:rsid w:val="00532100"/>
    <w:rsid w:val="00534D69"/>
    <w:rsid w:val="00541BEE"/>
    <w:rsid w:val="0054403A"/>
    <w:rsid w:val="00545BAD"/>
    <w:rsid w:val="00551474"/>
    <w:rsid w:val="00553785"/>
    <w:rsid w:val="005618D5"/>
    <w:rsid w:val="00567373"/>
    <w:rsid w:val="00570373"/>
    <w:rsid w:val="00571852"/>
    <w:rsid w:val="005738E0"/>
    <w:rsid w:val="00582689"/>
    <w:rsid w:val="00582EB6"/>
    <w:rsid w:val="00583591"/>
    <w:rsid w:val="00584C74"/>
    <w:rsid w:val="005850E1"/>
    <w:rsid w:val="00587F74"/>
    <w:rsid w:val="005928A5"/>
    <w:rsid w:val="00592ECA"/>
    <w:rsid w:val="005937A7"/>
    <w:rsid w:val="00594239"/>
    <w:rsid w:val="005965CF"/>
    <w:rsid w:val="0059697A"/>
    <w:rsid w:val="005A33DC"/>
    <w:rsid w:val="005A4F45"/>
    <w:rsid w:val="005A5B3C"/>
    <w:rsid w:val="005A677C"/>
    <w:rsid w:val="005B151C"/>
    <w:rsid w:val="005B1B53"/>
    <w:rsid w:val="005B4062"/>
    <w:rsid w:val="005B449F"/>
    <w:rsid w:val="005B4D66"/>
    <w:rsid w:val="005C043A"/>
    <w:rsid w:val="005C086A"/>
    <w:rsid w:val="005C1F83"/>
    <w:rsid w:val="005C28B8"/>
    <w:rsid w:val="005C3AFA"/>
    <w:rsid w:val="005C485E"/>
    <w:rsid w:val="005C76B3"/>
    <w:rsid w:val="005D072A"/>
    <w:rsid w:val="005D0ED2"/>
    <w:rsid w:val="005D1890"/>
    <w:rsid w:val="005D3B20"/>
    <w:rsid w:val="005D4911"/>
    <w:rsid w:val="005D4984"/>
    <w:rsid w:val="005D4BA0"/>
    <w:rsid w:val="005E0117"/>
    <w:rsid w:val="005E0AD9"/>
    <w:rsid w:val="005E1C98"/>
    <w:rsid w:val="005E5243"/>
    <w:rsid w:val="005E54F9"/>
    <w:rsid w:val="005E57FC"/>
    <w:rsid w:val="005E73D2"/>
    <w:rsid w:val="005E7431"/>
    <w:rsid w:val="005F11FC"/>
    <w:rsid w:val="005F17BA"/>
    <w:rsid w:val="005F265A"/>
    <w:rsid w:val="005F7014"/>
    <w:rsid w:val="005F70A3"/>
    <w:rsid w:val="006065A4"/>
    <w:rsid w:val="0060675E"/>
    <w:rsid w:val="0061066E"/>
    <w:rsid w:val="00611079"/>
    <w:rsid w:val="00612028"/>
    <w:rsid w:val="00624232"/>
    <w:rsid w:val="00625A8C"/>
    <w:rsid w:val="0062656E"/>
    <w:rsid w:val="006274ED"/>
    <w:rsid w:val="006303AB"/>
    <w:rsid w:val="006311D5"/>
    <w:rsid w:val="00631318"/>
    <w:rsid w:val="0063246F"/>
    <w:rsid w:val="00634CA5"/>
    <w:rsid w:val="00634FA9"/>
    <w:rsid w:val="00635170"/>
    <w:rsid w:val="00636AC1"/>
    <w:rsid w:val="00640937"/>
    <w:rsid w:val="006419E5"/>
    <w:rsid w:val="00643F6D"/>
    <w:rsid w:val="0064419D"/>
    <w:rsid w:val="00644D94"/>
    <w:rsid w:val="00644F54"/>
    <w:rsid w:val="00645D47"/>
    <w:rsid w:val="0065165C"/>
    <w:rsid w:val="00653FD6"/>
    <w:rsid w:val="0066275C"/>
    <w:rsid w:val="00662B2C"/>
    <w:rsid w:val="00662FF5"/>
    <w:rsid w:val="0066366C"/>
    <w:rsid w:val="00666A33"/>
    <w:rsid w:val="00666CEC"/>
    <w:rsid w:val="00666E77"/>
    <w:rsid w:val="00670CF3"/>
    <w:rsid w:val="006719B0"/>
    <w:rsid w:val="006724E4"/>
    <w:rsid w:val="00673CFB"/>
    <w:rsid w:val="00673FA3"/>
    <w:rsid w:val="0067649C"/>
    <w:rsid w:val="00676FDA"/>
    <w:rsid w:val="00677483"/>
    <w:rsid w:val="006774F8"/>
    <w:rsid w:val="00680053"/>
    <w:rsid w:val="00680684"/>
    <w:rsid w:val="006806C4"/>
    <w:rsid w:val="00681DAE"/>
    <w:rsid w:val="00682B5E"/>
    <w:rsid w:val="006838B4"/>
    <w:rsid w:val="006846D9"/>
    <w:rsid w:val="00690ADE"/>
    <w:rsid w:val="00695E73"/>
    <w:rsid w:val="006979CE"/>
    <w:rsid w:val="006A139C"/>
    <w:rsid w:val="006A32C5"/>
    <w:rsid w:val="006A4286"/>
    <w:rsid w:val="006A5B3B"/>
    <w:rsid w:val="006A6946"/>
    <w:rsid w:val="006A739D"/>
    <w:rsid w:val="006B1541"/>
    <w:rsid w:val="006B24B1"/>
    <w:rsid w:val="006B35BE"/>
    <w:rsid w:val="006B3B48"/>
    <w:rsid w:val="006B3E88"/>
    <w:rsid w:val="006B55EB"/>
    <w:rsid w:val="006B5A0F"/>
    <w:rsid w:val="006C28ED"/>
    <w:rsid w:val="006C70D3"/>
    <w:rsid w:val="006C7478"/>
    <w:rsid w:val="006C7C91"/>
    <w:rsid w:val="006D12E4"/>
    <w:rsid w:val="006D4B70"/>
    <w:rsid w:val="006D4C09"/>
    <w:rsid w:val="006E2C5E"/>
    <w:rsid w:val="006E3187"/>
    <w:rsid w:val="006E35BD"/>
    <w:rsid w:val="006E3E8C"/>
    <w:rsid w:val="006E5812"/>
    <w:rsid w:val="006E59AB"/>
    <w:rsid w:val="006F0F94"/>
    <w:rsid w:val="006F1359"/>
    <w:rsid w:val="006F7B4D"/>
    <w:rsid w:val="00700995"/>
    <w:rsid w:val="00711F72"/>
    <w:rsid w:val="00713E36"/>
    <w:rsid w:val="00715DFA"/>
    <w:rsid w:val="0072226B"/>
    <w:rsid w:val="0072326C"/>
    <w:rsid w:val="007236CF"/>
    <w:rsid w:val="00724671"/>
    <w:rsid w:val="00724AFF"/>
    <w:rsid w:val="00724D28"/>
    <w:rsid w:val="00725004"/>
    <w:rsid w:val="0072610F"/>
    <w:rsid w:val="00726D40"/>
    <w:rsid w:val="00727A05"/>
    <w:rsid w:val="007305CA"/>
    <w:rsid w:val="00730A44"/>
    <w:rsid w:val="00735FBD"/>
    <w:rsid w:val="00736FA0"/>
    <w:rsid w:val="007438C6"/>
    <w:rsid w:val="00746655"/>
    <w:rsid w:val="00746E90"/>
    <w:rsid w:val="00750A9A"/>
    <w:rsid w:val="007515C1"/>
    <w:rsid w:val="007533F9"/>
    <w:rsid w:val="00754646"/>
    <w:rsid w:val="007547E8"/>
    <w:rsid w:val="0075500A"/>
    <w:rsid w:val="00755369"/>
    <w:rsid w:val="0075613A"/>
    <w:rsid w:val="0075764A"/>
    <w:rsid w:val="007653D5"/>
    <w:rsid w:val="00767175"/>
    <w:rsid w:val="0077484A"/>
    <w:rsid w:val="00780B27"/>
    <w:rsid w:val="007829BC"/>
    <w:rsid w:val="00783D82"/>
    <w:rsid w:val="00785AB7"/>
    <w:rsid w:val="00786856"/>
    <w:rsid w:val="00786945"/>
    <w:rsid w:val="007929AC"/>
    <w:rsid w:val="007929AE"/>
    <w:rsid w:val="00792C06"/>
    <w:rsid w:val="00792E24"/>
    <w:rsid w:val="00793227"/>
    <w:rsid w:val="00793BCE"/>
    <w:rsid w:val="007946EB"/>
    <w:rsid w:val="007959A1"/>
    <w:rsid w:val="0079635A"/>
    <w:rsid w:val="00796529"/>
    <w:rsid w:val="00797DA3"/>
    <w:rsid w:val="007A0205"/>
    <w:rsid w:val="007A133E"/>
    <w:rsid w:val="007A1BBD"/>
    <w:rsid w:val="007A2576"/>
    <w:rsid w:val="007A25F5"/>
    <w:rsid w:val="007A3A04"/>
    <w:rsid w:val="007A53A8"/>
    <w:rsid w:val="007A5966"/>
    <w:rsid w:val="007A5EA3"/>
    <w:rsid w:val="007A6F7A"/>
    <w:rsid w:val="007B000D"/>
    <w:rsid w:val="007B6282"/>
    <w:rsid w:val="007B7066"/>
    <w:rsid w:val="007C1F50"/>
    <w:rsid w:val="007C45B3"/>
    <w:rsid w:val="007C5807"/>
    <w:rsid w:val="007C5E19"/>
    <w:rsid w:val="007C6075"/>
    <w:rsid w:val="007D4835"/>
    <w:rsid w:val="007D569D"/>
    <w:rsid w:val="007E468E"/>
    <w:rsid w:val="007E567E"/>
    <w:rsid w:val="007F16FA"/>
    <w:rsid w:val="007F66F5"/>
    <w:rsid w:val="00801BD2"/>
    <w:rsid w:val="00802008"/>
    <w:rsid w:val="00803CF7"/>
    <w:rsid w:val="0080579C"/>
    <w:rsid w:val="0080628A"/>
    <w:rsid w:val="00807FBB"/>
    <w:rsid w:val="0081077E"/>
    <w:rsid w:val="00810867"/>
    <w:rsid w:val="00811727"/>
    <w:rsid w:val="00812BE1"/>
    <w:rsid w:val="008163F7"/>
    <w:rsid w:val="0081653C"/>
    <w:rsid w:val="008216F6"/>
    <w:rsid w:val="008224D9"/>
    <w:rsid w:val="00825ED1"/>
    <w:rsid w:val="0083086A"/>
    <w:rsid w:val="0083149A"/>
    <w:rsid w:val="00832917"/>
    <w:rsid w:val="00833CB6"/>
    <w:rsid w:val="00833D05"/>
    <w:rsid w:val="008345DC"/>
    <w:rsid w:val="00837BEA"/>
    <w:rsid w:val="008412F1"/>
    <w:rsid w:val="00841AAE"/>
    <w:rsid w:val="00844F22"/>
    <w:rsid w:val="00845C96"/>
    <w:rsid w:val="008464D9"/>
    <w:rsid w:val="008534B5"/>
    <w:rsid w:val="00855F42"/>
    <w:rsid w:val="008569BC"/>
    <w:rsid w:val="00857EA2"/>
    <w:rsid w:val="00860C3A"/>
    <w:rsid w:val="00862A7F"/>
    <w:rsid w:val="008647DE"/>
    <w:rsid w:val="00864D44"/>
    <w:rsid w:val="008650EE"/>
    <w:rsid w:val="00866717"/>
    <w:rsid w:val="008703C7"/>
    <w:rsid w:val="008703E8"/>
    <w:rsid w:val="00870A59"/>
    <w:rsid w:val="008750AA"/>
    <w:rsid w:val="008753FE"/>
    <w:rsid w:val="00876DFA"/>
    <w:rsid w:val="008774B2"/>
    <w:rsid w:val="008803A2"/>
    <w:rsid w:val="008817F4"/>
    <w:rsid w:val="00881BE5"/>
    <w:rsid w:val="00882E02"/>
    <w:rsid w:val="00884FB1"/>
    <w:rsid w:val="0088595A"/>
    <w:rsid w:val="008876CA"/>
    <w:rsid w:val="008877D8"/>
    <w:rsid w:val="00891FD8"/>
    <w:rsid w:val="008928D5"/>
    <w:rsid w:val="0089414B"/>
    <w:rsid w:val="00895D7A"/>
    <w:rsid w:val="00895F87"/>
    <w:rsid w:val="008A75C3"/>
    <w:rsid w:val="008B6EC8"/>
    <w:rsid w:val="008C144F"/>
    <w:rsid w:val="008C6309"/>
    <w:rsid w:val="008D22B4"/>
    <w:rsid w:val="008D709C"/>
    <w:rsid w:val="008D74E8"/>
    <w:rsid w:val="008D7D8C"/>
    <w:rsid w:val="008E01D1"/>
    <w:rsid w:val="008E0723"/>
    <w:rsid w:val="008E076A"/>
    <w:rsid w:val="008E0CD2"/>
    <w:rsid w:val="008E2577"/>
    <w:rsid w:val="008E25D0"/>
    <w:rsid w:val="008E4525"/>
    <w:rsid w:val="008E49AD"/>
    <w:rsid w:val="008F025C"/>
    <w:rsid w:val="008F22B2"/>
    <w:rsid w:val="0090059A"/>
    <w:rsid w:val="00900857"/>
    <w:rsid w:val="00904895"/>
    <w:rsid w:val="00904C3C"/>
    <w:rsid w:val="009051E4"/>
    <w:rsid w:val="009073C3"/>
    <w:rsid w:val="009101AE"/>
    <w:rsid w:val="009104E6"/>
    <w:rsid w:val="00910746"/>
    <w:rsid w:val="009114B2"/>
    <w:rsid w:val="00912D09"/>
    <w:rsid w:val="00922F89"/>
    <w:rsid w:val="00927241"/>
    <w:rsid w:val="00927A36"/>
    <w:rsid w:val="00930E30"/>
    <w:rsid w:val="00931E9F"/>
    <w:rsid w:val="00934AAA"/>
    <w:rsid w:val="00936D86"/>
    <w:rsid w:val="009370DB"/>
    <w:rsid w:val="00944822"/>
    <w:rsid w:val="00945123"/>
    <w:rsid w:val="0094606C"/>
    <w:rsid w:val="009460E2"/>
    <w:rsid w:val="009472EC"/>
    <w:rsid w:val="00947552"/>
    <w:rsid w:val="009610B2"/>
    <w:rsid w:val="00962C3A"/>
    <w:rsid w:val="00962C43"/>
    <w:rsid w:val="00964BC8"/>
    <w:rsid w:val="00965436"/>
    <w:rsid w:val="009666C8"/>
    <w:rsid w:val="00966D50"/>
    <w:rsid w:val="00967C9C"/>
    <w:rsid w:val="00971E1D"/>
    <w:rsid w:val="0097213C"/>
    <w:rsid w:val="00972965"/>
    <w:rsid w:val="009733FB"/>
    <w:rsid w:val="00973416"/>
    <w:rsid w:val="009749AB"/>
    <w:rsid w:val="00974B08"/>
    <w:rsid w:val="00980553"/>
    <w:rsid w:val="00980C0C"/>
    <w:rsid w:val="00982C2A"/>
    <w:rsid w:val="00982FBB"/>
    <w:rsid w:val="009851C3"/>
    <w:rsid w:val="00985C1B"/>
    <w:rsid w:val="009861DF"/>
    <w:rsid w:val="0098649F"/>
    <w:rsid w:val="00987817"/>
    <w:rsid w:val="00990D83"/>
    <w:rsid w:val="00994663"/>
    <w:rsid w:val="00994DC4"/>
    <w:rsid w:val="009951FE"/>
    <w:rsid w:val="009951FF"/>
    <w:rsid w:val="00996EED"/>
    <w:rsid w:val="009970F6"/>
    <w:rsid w:val="00997339"/>
    <w:rsid w:val="009A285E"/>
    <w:rsid w:val="009A57FF"/>
    <w:rsid w:val="009A607D"/>
    <w:rsid w:val="009A6A12"/>
    <w:rsid w:val="009B1CC5"/>
    <w:rsid w:val="009B3517"/>
    <w:rsid w:val="009B702B"/>
    <w:rsid w:val="009B7CB1"/>
    <w:rsid w:val="009C2718"/>
    <w:rsid w:val="009C40C0"/>
    <w:rsid w:val="009C6083"/>
    <w:rsid w:val="009C6600"/>
    <w:rsid w:val="009C7AE5"/>
    <w:rsid w:val="009D040B"/>
    <w:rsid w:val="009D0896"/>
    <w:rsid w:val="009D09A2"/>
    <w:rsid w:val="009D3545"/>
    <w:rsid w:val="009D3B5B"/>
    <w:rsid w:val="009D677E"/>
    <w:rsid w:val="009E102E"/>
    <w:rsid w:val="009E1CA8"/>
    <w:rsid w:val="009F0C43"/>
    <w:rsid w:val="009F2DE5"/>
    <w:rsid w:val="009F69DC"/>
    <w:rsid w:val="009F6C06"/>
    <w:rsid w:val="00A01BFD"/>
    <w:rsid w:val="00A04C15"/>
    <w:rsid w:val="00A06BEA"/>
    <w:rsid w:val="00A0739C"/>
    <w:rsid w:val="00A07958"/>
    <w:rsid w:val="00A115E0"/>
    <w:rsid w:val="00A11718"/>
    <w:rsid w:val="00A11F02"/>
    <w:rsid w:val="00A138A9"/>
    <w:rsid w:val="00A13C1B"/>
    <w:rsid w:val="00A1598A"/>
    <w:rsid w:val="00A16618"/>
    <w:rsid w:val="00A16D37"/>
    <w:rsid w:val="00A21347"/>
    <w:rsid w:val="00A2303D"/>
    <w:rsid w:val="00A247C7"/>
    <w:rsid w:val="00A2630A"/>
    <w:rsid w:val="00A317EF"/>
    <w:rsid w:val="00A35D73"/>
    <w:rsid w:val="00A41AEB"/>
    <w:rsid w:val="00A41B1E"/>
    <w:rsid w:val="00A45652"/>
    <w:rsid w:val="00A5008E"/>
    <w:rsid w:val="00A5117B"/>
    <w:rsid w:val="00A514F3"/>
    <w:rsid w:val="00A52793"/>
    <w:rsid w:val="00A53290"/>
    <w:rsid w:val="00A543F1"/>
    <w:rsid w:val="00A5573D"/>
    <w:rsid w:val="00A56CE3"/>
    <w:rsid w:val="00A60A52"/>
    <w:rsid w:val="00A61BEF"/>
    <w:rsid w:val="00A6221F"/>
    <w:rsid w:val="00A62C61"/>
    <w:rsid w:val="00A63B07"/>
    <w:rsid w:val="00A75BFA"/>
    <w:rsid w:val="00A77401"/>
    <w:rsid w:val="00A80C67"/>
    <w:rsid w:val="00A82AED"/>
    <w:rsid w:val="00A83816"/>
    <w:rsid w:val="00A83A7B"/>
    <w:rsid w:val="00A85A79"/>
    <w:rsid w:val="00A867AA"/>
    <w:rsid w:val="00A8793F"/>
    <w:rsid w:val="00A90DC1"/>
    <w:rsid w:val="00A92B21"/>
    <w:rsid w:val="00A93657"/>
    <w:rsid w:val="00A93B39"/>
    <w:rsid w:val="00A9670B"/>
    <w:rsid w:val="00A97570"/>
    <w:rsid w:val="00A9780E"/>
    <w:rsid w:val="00A97F54"/>
    <w:rsid w:val="00AA0E81"/>
    <w:rsid w:val="00AA3B52"/>
    <w:rsid w:val="00AA5CF5"/>
    <w:rsid w:val="00AB2CE2"/>
    <w:rsid w:val="00AB621B"/>
    <w:rsid w:val="00AB6A05"/>
    <w:rsid w:val="00AC1BA0"/>
    <w:rsid w:val="00AC277A"/>
    <w:rsid w:val="00AC2ED3"/>
    <w:rsid w:val="00AC4D12"/>
    <w:rsid w:val="00AC70DC"/>
    <w:rsid w:val="00AC7CC4"/>
    <w:rsid w:val="00AD2029"/>
    <w:rsid w:val="00AD2223"/>
    <w:rsid w:val="00AD22B7"/>
    <w:rsid w:val="00AD3282"/>
    <w:rsid w:val="00AD3A51"/>
    <w:rsid w:val="00AD6E55"/>
    <w:rsid w:val="00AD7230"/>
    <w:rsid w:val="00AD7ACA"/>
    <w:rsid w:val="00AD7D44"/>
    <w:rsid w:val="00AE0D39"/>
    <w:rsid w:val="00AE33F7"/>
    <w:rsid w:val="00AE3FB2"/>
    <w:rsid w:val="00AE4397"/>
    <w:rsid w:val="00AF1E0D"/>
    <w:rsid w:val="00AF2118"/>
    <w:rsid w:val="00AF216B"/>
    <w:rsid w:val="00AF256C"/>
    <w:rsid w:val="00AF548D"/>
    <w:rsid w:val="00AF54E5"/>
    <w:rsid w:val="00B0091A"/>
    <w:rsid w:val="00B0154E"/>
    <w:rsid w:val="00B01583"/>
    <w:rsid w:val="00B050F2"/>
    <w:rsid w:val="00B0514E"/>
    <w:rsid w:val="00B0662D"/>
    <w:rsid w:val="00B13E7C"/>
    <w:rsid w:val="00B15B50"/>
    <w:rsid w:val="00B16295"/>
    <w:rsid w:val="00B203CA"/>
    <w:rsid w:val="00B22D80"/>
    <w:rsid w:val="00B25FE8"/>
    <w:rsid w:val="00B3335B"/>
    <w:rsid w:val="00B4520F"/>
    <w:rsid w:val="00B45879"/>
    <w:rsid w:val="00B45FF0"/>
    <w:rsid w:val="00B46E39"/>
    <w:rsid w:val="00B552ED"/>
    <w:rsid w:val="00B56364"/>
    <w:rsid w:val="00B57381"/>
    <w:rsid w:val="00B6088F"/>
    <w:rsid w:val="00B61836"/>
    <w:rsid w:val="00B71363"/>
    <w:rsid w:val="00B73B02"/>
    <w:rsid w:val="00B750B4"/>
    <w:rsid w:val="00B77FF7"/>
    <w:rsid w:val="00B82478"/>
    <w:rsid w:val="00B824B7"/>
    <w:rsid w:val="00B8251B"/>
    <w:rsid w:val="00B829F9"/>
    <w:rsid w:val="00B87805"/>
    <w:rsid w:val="00B956C4"/>
    <w:rsid w:val="00B97C4F"/>
    <w:rsid w:val="00B97D24"/>
    <w:rsid w:val="00BA193A"/>
    <w:rsid w:val="00BA738D"/>
    <w:rsid w:val="00BB0257"/>
    <w:rsid w:val="00BB1280"/>
    <w:rsid w:val="00BB19BB"/>
    <w:rsid w:val="00BB1BD4"/>
    <w:rsid w:val="00BB1EF3"/>
    <w:rsid w:val="00BB3A69"/>
    <w:rsid w:val="00BB3CEB"/>
    <w:rsid w:val="00BB4081"/>
    <w:rsid w:val="00BC19F4"/>
    <w:rsid w:val="00BC2907"/>
    <w:rsid w:val="00BC335F"/>
    <w:rsid w:val="00BC3484"/>
    <w:rsid w:val="00BC50F3"/>
    <w:rsid w:val="00BD0CEE"/>
    <w:rsid w:val="00BD6C3E"/>
    <w:rsid w:val="00BD7339"/>
    <w:rsid w:val="00BE1C89"/>
    <w:rsid w:val="00BE4BD7"/>
    <w:rsid w:val="00BE4DAE"/>
    <w:rsid w:val="00BE4FF0"/>
    <w:rsid w:val="00BE6C80"/>
    <w:rsid w:val="00BE75E9"/>
    <w:rsid w:val="00BF0825"/>
    <w:rsid w:val="00BF3088"/>
    <w:rsid w:val="00BF3CF2"/>
    <w:rsid w:val="00BF5971"/>
    <w:rsid w:val="00BF6695"/>
    <w:rsid w:val="00C000E6"/>
    <w:rsid w:val="00C001C5"/>
    <w:rsid w:val="00C00586"/>
    <w:rsid w:val="00C0537F"/>
    <w:rsid w:val="00C06FBC"/>
    <w:rsid w:val="00C10795"/>
    <w:rsid w:val="00C10883"/>
    <w:rsid w:val="00C1318D"/>
    <w:rsid w:val="00C1494C"/>
    <w:rsid w:val="00C17717"/>
    <w:rsid w:val="00C21916"/>
    <w:rsid w:val="00C224E0"/>
    <w:rsid w:val="00C22D63"/>
    <w:rsid w:val="00C24F6E"/>
    <w:rsid w:val="00C260D7"/>
    <w:rsid w:val="00C2654E"/>
    <w:rsid w:val="00C265ED"/>
    <w:rsid w:val="00C26873"/>
    <w:rsid w:val="00C343CB"/>
    <w:rsid w:val="00C35468"/>
    <w:rsid w:val="00C35724"/>
    <w:rsid w:val="00C36595"/>
    <w:rsid w:val="00C423CC"/>
    <w:rsid w:val="00C434CC"/>
    <w:rsid w:val="00C4753A"/>
    <w:rsid w:val="00C47766"/>
    <w:rsid w:val="00C51B7B"/>
    <w:rsid w:val="00C520A9"/>
    <w:rsid w:val="00C54B74"/>
    <w:rsid w:val="00C54EF4"/>
    <w:rsid w:val="00C559F2"/>
    <w:rsid w:val="00C60BA6"/>
    <w:rsid w:val="00C62C5B"/>
    <w:rsid w:val="00C62D2F"/>
    <w:rsid w:val="00C633F1"/>
    <w:rsid w:val="00C642C1"/>
    <w:rsid w:val="00C64CFE"/>
    <w:rsid w:val="00C70F7A"/>
    <w:rsid w:val="00C743BC"/>
    <w:rsid w:val="00C75490"/>
    <w:rsid w:val="00C76AB6"/>
    <w:rsid w:val="00C76DE4"/>
    <w:rsid w:val="00C848F5"/>
    <w:rsid w:val="00C8608A"/>
    <w:rsid w:val="00C91622"/>
    <w:rsid w:val="00C92578"/>
    <w:rsid w:val="00C92722"/>
    <w:rsid w:val="00CA33F8"/>
    <w:rsid w:val="00CA57D8"/>
    <w:rsid w:val="00CA6CCF"/>
    <w:rsid w:val="00CB4608"/>
    <w:rsid w:val="00CB5BB3"/>
    <w:rsid w:val="00CB63E3"/>
    <w:rsid w:val="00CC6888"/>
    <w:rsid w:val="00CC6999"/>
    <w:rsid w:val="00CD2EA9"/>
    <w:rsid w:val="00CD431F"/>
    <w:rsid w:val="00CD53D2"/>
    <w:rsid w:val="00CD7414"/>
    <w:rsid w:val="00CE4B26"/>
    <w:rsid w:val="00CE5638"/>
    <w:rsid w:val="00CE58DB"/>
    <w:rsid w:val="00CE5DF1"/>
    <w:rsid w:val="00CF67E3"/>
    <w:rsid w:val="00CF71CD"/>
    <w:rsid w:val="00D01894"/>
    <w:rsid w:val="00D01DDB"/>
    <w:rsid w:val="00D04363"/>
    <w:rsid w:val="00D067D2"/>
    <w:rsid w:val="00D170A2"/>
    <w:rsid w:val="00D219BD"/>
    <w:rsid w:val="00D24291"/>
    <w:rsid w:val="00D25881"/>
    <w:rsid w:val="00D25F48"/>
    <w:rsid w:val="00D30259"/>
    <w:rsid w:val="00D30E2F"/>
    <w:rsid w:val="00D30E4A"/>
    <w:rsid w:val="00D33320"/>
    <w:rsid w:val="00D33F6A"/>
    <w:rsid w:val="00D35B09"/>
    <w:rsid w:val="00D37D8D"/>
    <w:rsid w:val="00D42602"/>
    <w:rsid w:val="00D4278B"/>
    <w:rsid w:val="00D464BF"/>
    <w:rsid w:val="00D479B2"/>
    <w:rsid w:val="00D52FB7"/>
    <w:rsid w:val="00D54FC5"/>
    <w:rsid w:val="00D57331"/>
    <w:rsid w:val="00D57B42"/>
    <w:rsid w:val="00D644A1"/>
    <w:rsid w:val="00D645BD"/>
    <w:rsid w:val="00D6571D"/>
    <w:rsid w:val="00D67FDB"/>
    <w:rsid w:val="00D70755"/>
    <w:rsid w:val="00D725E3"/>
    <w:rsid w:val="00D72C7D"/>
    <w:rsid w:val="00D73FDE"/>
    <w:rsid w:val="00D8107B"/>
    <w:rsid w:val="00D8253D"/>
    <w:rsid w:val="00D82FF7"/>
    <w:rsid w:val="00D84302"/>
    <w:rsid w:val="00D848CC"/>
    <w:rsid w:val="00D87514"/>
    <w:rsid w:val="00D91D51"/>
    <w:rsid w:val="00D9233D"/>
    <w:rsid w:val="00D949C4"/>
    <w:rsid w:val="00D94D78"/>
    <w:rsid w:val="00D9592E"/>
    <w:rsid w:val="00DA1BF2"/>
    <w:rsid w:val="00DA34EF"/>
    <w:rsid w:val="00DA38BB"/>
    <w:rsid w:val="00DA43D3"/>
    <w:rsid w:val="00DA48AE"/>
    <w:rsid w:val="00DA49C7"/>
    <w:rsid w:val="00DA5BB6"/>
    <w:rsid w:val="00DB1445"/>
    <w:rsid w:val="00DB1A6F"/>
    <w:rsid w:val="00DB1DA3"/>
    <w:rsid w:val="00DB3732"/>
    <w:rsid w:val="00DB5CF3"/>
    <w:rsid w:val="00DB7796"/>
    <w:rsid w:val="00DC0646"/>
    <w:rsid w:val="00DC2039"/>
    <w:rsid w:val="00DC4DEC"/>
    <w:rsid w:val="00DC55CE"/>
    <w:rsid w:val="00DC56CE"/>
    <w:rsid w:val="00DC5B0E"/>
    <w:rsid w:val="00DD02B0"/>
    <w:rsid w:val="00DD58F0"/>
    <w:rsid w:val="00DD6DD2"/>
    <w:rsid w:val="00DD777D"/>
    <w:rsid w:val="00DE03B0"/>
    <w:rsid w:val="00DE2FC1"/>
    <w:rsid w:val="00DE3066"/>
    <w:rsid w:val="00DE33CD"/>
    <w:rsid w:val="00DE5730"/>
    <w:rsid w:val="00DE59E7"/>
    <w:rsid w:val="00DE7477"/>
    <w:rsid w:val="00DE7E97"/>
    <w:rsid w:val="00DF02DD"/>
    <w:rsid w:val="00DF3211"/>
    <w:rsid w:val="00DF3C57"/>
    <w:rsid w:val="00DF4E7F"/>
    <w:rsid w:val="00DF5E8B"/>
    <w:rsid w:val="00DF5FD1"/>
    <w:rsid w:val="00DF6710"/>
    <w:rsid w:val="00DF6E6A"/>
    <w:rsid w:val="00E008DF"/>
    <w:rsid w:val="00E01136"/>
    <w:rsid w:val="00E016D5"/>
    <w:rsid w:val="00E02C1A"/>
    <w:rsid w:val="00E038C9"/>
    <w:rsid w:val="00E03971"/>
    <w:rsid w:val="00E04269"/>
    <w:rsid w:val="00E1047E"/>
    <w:rsid w:val="00E11F8D"/>
    <w:rsid w:val="00E171CC"/>
    <w:rsid w:val="00E20A3B"/>
    <w:rsid w:val="00E20B04"/>
    <w:rsid w:val="00E212E6"/>
    <w:rsid w:val="00E26DF0"/>
    <w:rsid w:val="00E27988"/>
    <w:rsid w:val="00E31388"/>
    <w:rsid w:val="00E31736"/>
    <w:rsid w:val="00E33844"/>
    <w:rsid w:val="00E4101E"/>
    <w:rsid w:val="00E42A90"/>
    <w:rsid w:val="00E42EAC"/>
    <w:rsid w:val="00E4481F"/>
    <w:rsid w:val="00E44927"/>
    <w:rsid w:val="00E55915"/>
    <w:rsid w:val="00E575F4"/>
    <w:rsid w:val="00E62005"/>
    <w:rsid w:val="00E6314C"/>
    <w:rsid w:val="00E64C4D"/>
    <w:rsid w:val="00E67016"/>
    <w:rsid w:val="00E75529"/>
    <w:rsid w:val="00E76059"/>
    <w:rsid w:val="00E80980"/>
    <w:rsid w:val="00E841BB"/>
    <w:rsid w:val="00E879DD"/>
    <w:rsid w:val="00E91180"/>
    <w:rsid w:val="00E929DB"/>
    <w:rsid w:val="00E92AA8"/>
    <w:rsid w:val="00E93160"/>
    <w:rsid w:val="00E95881"/>
    <w:rsid w:val="00E95A3E"/>
    <w:rsid w:val="00EA1394"/>
    <w:rsid w:val="00EA2F8F"/>
    <w:rsid w:val="00EA4441"/>
    <w:rsid w:val="00EA7167"/>
    <w:rsid w:val="00EA74C0"/>
    <w:rsid w:val="00EB381D"/>
    <w:rsid w:val="00EB7AEA"/>
    <w:rsid w:val="00EB7B18"/>
    <w:rsid w:val="00EC22AA"/>
    <w:rsid w:val="00EC3D18"/>
    <w:rsid w:val="00EC441B"/>
    <w:rsid w:val="00EC761F"/>
    <w:rsid w:val="00EC7F19"/>
    <w:rsid w:val="00ED1C91"/>
    <w:rsid w:val="00ED2B5E"/>
    <w:rsid w:val="00EE0604"/>
    <w:rsid w:val="00EE3F43"/>
    <w:rsid w:val="00EE4AF4"/>
    <w:rsid w:val="00EE5D55"/>
    <w:rsid w:val="00EF1307"/>
    <w:rsid w:val="00EF1321"/>
    <w:rsid w:val="00EF60BC"/>
    <w:rsid w:val="00F02672"/>
    <w:rsid w:val="00F0353E"/>
    <w:rsid w:val="00F0457D"/>
    <w:rsid w:val="00F10BAE"/>
    <w:rsid w:val="00F11033"/>
    <w:rsid w:val="00F11C84"/>
    <w:rsid w:val="00F124DA"/>
    <w:rsid w:val="00F135DB"/>
    <w:rsid w:val="00F17DB3"/>
    <w:rsid w:val="00F20504"/>
    <w:rsid w:val="00F22E88"/>
    <w:rsid w:val="00F239E3"/>
    <w:rsid w:val="00F23B3F"/>
    <w:rsid w:val="00F23FAB"/>
    <w:rsid w:val="00F2412F"/>
    <w:rsid w:val="00F25B3A"/>
    <w:rsid w:val="00F26607"/>
    <w:rsid w:val="00F340D6"/>
    <w:rsid w:val="00F40F2C"/>
    <w:rsid w:val="00F4106A"/>
    <w:rsid w:val="00F43665"/>
    <w:rsid w:val="00F44488"/>
    <w:rsid w:val="00F4559D"/>
    <w:rsid w:val="00F46579"/>
    <w:rsid w:val="00F467BF"/>
    <w:rsid w:val="00F546FD"/>
    <w:rsid w:val="00F55CE1"/>
    <w:rsid w:val="00F567E5"/>
    <w:rsid w:val="00F57712"/>
    <w:rsid w:val="00F63742"/>
    <w:rsid w:val="00F637CA"/>
    <w:rsid w:val="00F64BD9"/>
    <w:rsid w:val="00F654F0"/>
    <w:rsid w:val="00F6606D"/>
    <w:rsid w:val="00F66E54"/>
    <w:rsid w:val="00F72346"/>
    <w:rsid w:val="00F8127F"/>
    <w:rsid w:val="00F82437"/>
    <w:rsid w:val="00F82CAA"/>
    <w:rsid w:val="00F853C3"/>
    <w:rsid w:val="00F872E7"/>
    <w:rsid w:val="00F878E0"/>
    <w:rsid w:val="00F90E00"/>
    <w:rsid w:val="00F917F8"/>
    <w:rsid w:val="00F92EDA"/>
    <w:rsid w:val="00F94B8A"/>
    <w:rsid w:val="00F95850"/>
    <w:rsid w:val="00FA0453"/>
    <w:rsid w:val="00FA09F4"/>
    <w:rsid w:val="00FA0AA8"/>
    <w:rsid w:val="00FA1216"/>
    <w:rsid w:val="00FA127A"/>
    <w:rsid w:val="00FA256E"/>
    <w:rsid w:val="00FA5062"/>
    <w:rsid w:val="00FA5BDE"/>
    <w:rsid w:val="00FA7052"/>
    <w:rsid w:val="00FB0B4F"/>
    <w:rsid w:val="00FB21B6"/>
    <w:rsid w:val="00FB2272"/>
    <w:rsid w:val="00FB2F8E"/>
    <w:rsid w:val="00FB3D9F"/>
    <w:rsid w:val="00FB51CA"/>
    <w:rsid w:val="00FB5C34"/>
    <w:rsid w:val="00FB5D6D"/>
    <w:rsid w:val="00FB5D83"/>
    <w:rsid w:val="00FB701C"/>
    <w:rsid w:val="00FC0B92"/>
    <w:rsid w:val="00FC6DA4"/>
    <w:rsid w:val="00FC7618"/>
    <w:rsid w:val="00FD3431"/>
    <w:rsid w:val="00FD3B78"/>
    <w:rsid w:val="00FE2A21"/>
    <w:rsid w:val="00FE47B5"/>
    <w:rsid w:val="00FE50D8"/>
    <w:rsid w:val="00FE5167"/>
    <w:rsid w:val="00FE6A48"/>
    <w:rsid w:val="00FF2C29"/>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736FA0"/>
    <w:pPr>
      <w:keepNext/>
      <w:numPr>
        <w:numId w:val="2"/>
      </w:numPr>
      <w:spacing w:after="240"/>
      <w:ind w:hanging="720"/>
      <w:outlineLvl w:val="0"/>
    </w:pPr>
    <w:rPr>
      <w:rFonts w:ascii="Times New Roman Bold" w:hAnsi="Times New Roman Bold" w:cs="Arial"/>
      <w:b/>
      <w:bCs/>
      <w:caps/>
      <w:kern w:val="32"/>
      <w:szCs w:val="32"/>
    </w:rPr>
  </w:style>
  <w:style w:type="paragraph" w:styleId="Heading2">
    <w:name w:val="heading 2"/>
    <w:basedOn w:val="Normal"/>
    <w:next w:val="Normal"/>
    <w:link w:val="Heading2Char"/>
    <w:autoRedefine/>
    <w:qFormat/>
    <w:rsid w:val="00736FA0"/>
    <w:pPr>
      <w:keepNext/>
      <w:spacing w:after="240"/>
      <w:ind w:left="1440" w:hanging="720"/>
      <w:contextualSpacing/>
      <w:outlineLvl w:val="1"/>
    </w:pPr>
    <w:rPr>
      <w:rFonts w:ascii="Times New Roman Bold" w:hAnsi="Times New Roman Bold" w:cs="Arial"/>
      <w:bCs/>
      <w:iCs/>
      <w:szCs w:val="28"/>
    </w:rPr>
  </w:style>
  <w:style w:type="paragraph" w:styleId="Heading3">
    <w:name w:val="heading 3"/>
    <w:basedOn w:val="Normal"/>
    <w:next w:val="Normal"/>
    <w:link w:val="Heading3Char"/>
    <w:autoRedefine/>
    <w:qFormat/>
    <w:rsid w:val="00736FA0"/>
    <w:pPr>
      <w:keepNext/>
      <w:tabs>
        <w:tab w:val="center" w:pos="4680"/>
      </w:tabs>
      <w:suppressAutoHyphens/>
      <w:spacing w:after="240"/>
      <w:ind w:left="2160" w:hanging="720"/>
      <w:outlineLvl w:val="2"/>
    </w:pPr>
    <w:rPr>
      <w:rFonts w:ascii="Times New Roman Bold" w:hAnsi="Times New Roman Bold" w:cs="Arial"/>
      <w:b/>
      <w:spacing w:val="-3"/>
    </w:rPr>
  </w:style>
  <w:style w:type="paragraph" w:styleId="Heading4">
    <w:name w:val="heading 4"/>
    <w:basedOn w:val="Normal"/>
    <w:next w:val="Normal"/>
    <w:link w:val="Heading4Char"/>
    <w:autoRedefine/>
    <w:qFormat/>
    <w:rsid w:val="00736FA0"/>
    <w:pPr>
      <w:keepNext/>
      <w:tabs>
        <w:tab w:val="center" w:pos="4680"/>
      </w:tabs>
      <w:suppressAutoHyphens/>
      <w:spacing w:after="240"/>
      <w:ind w:left="2880" w:hanging="720"/>
      <w:outlineLvl w:val="3"/>
    </w:pPr>
    <w:rPr>
      <w:rFonts w:cs="Arial"/>
      <w:b/>
      <w:bCs/>
      <w:spacing w:val="-3"/>
    </w:rPr>
  </w:style>
  <w:style w:type="paragraph" w:styleId="Heading7">
    <w:name w:val="heading 7"/>
    <w:basedOn w:val="Normal"/>
    <w:next w:val="Normal"/>
    <w:link w:val="Heading7Char"/>
    <w:qFormat/>
    <w:rsid w:val="004D306D"/>
    <w:pPr>
      <w:keepNext/>
      <w:tabs>
        <w:tab w:val="left" w:pos="-720"/>
      </w:tabs>
      <w:suppressAutoHyphens/>
      <w:jc w:val="center"/>
      <w:outlineLvl w:val="6"/>
    </w:pPr>
    <w:rPr>
      <w:rFonts w:ascii="Arial" w:hAnsi="Arial" w:cs="Arial"/>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FA0"/>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rsid w:val="00736FA0"/>
    <w:rPr>
      <w:rFonts w:ascii="Times New Roman Bold" w:eastAsia="Times New Roman" w:hAnsi="Times New Roman Bold" w:cs="Arial"/>
      <w:bCs/>
      <w:iCs/>
      <w:sz w:val="24"/>
      <w:szCs w:val="28"/>
    </w:rPr>
  </w:style>
  <w:style w:type="character" w:customStyle="1" w:styleId="Heading3Char">
    <w:name w:val="Heading 3 Char"/>
    <w:basedOn w:val="DefaultParagraphFont"/>
    <w:link w:val="Heading3"/>
    <w:rsid w:val="00736FA0"/>
    <w:rPr>
      <w:rFonts w:ascii="Times New Roman Bold" w:eastAsia="Times New Roman" w:hAnsi="Times New Roman Bold" w:cs="Arial"/>
      <w:b/>
      <w:spacing w:val="-3"/>
      <w:sz w:val="24"/>
      <w:szCs w:val="24"/>
    </w:rPr>
  </w:style>
  <w:style w:type="character" w:customStyle="1" w:styleId="Heading4Char">
    <w:name w:val="Heading 4 Char"/>
    <w:basedOn w:val="DefaultParagraphFont"/>
    <w:link w:val="Heading4"/>
    <w:rsid w:val="00736FA0"/>
    <w:rPr>
      <w:rFonts w:ascii="Times New Roman" w:eastAsia="Times New Roman" w:hAnsi="Times New Roman" w:cs="Arial"/>
      <w:b/>
      <w:bCs/>
      <w:spacing w:val="-3"/>
      <w:sz w:val="24"/>
      <w:szCs w:val="24"/>
    </w:rPr>
  </w:style>
  <w:style w:type="character" w:customStyle="1" w:styleId="Heading7Char">
    <w:name w:val="Heading 7 Char"/>
    <w:basedOn w:val="DefaultParagraphFont"/>
    <w:link w:val="Heading7"/>
    <w:rsid w:val="004D306D"/>
    <w:rPr>
      <w:rFonts w:ascii="Arial" w:eastAsia="Times New Roman" w:hAnsi="Arial" w:cs="Arial"/>
      <w:b/>
      <w:spacing w:val="-3"/>
      <w:sz w:val="28"/>
      <w:szCs w:val="24"/>
      <w:u w:val="single"/>
    </w:rPr>
  </w:style>
  <w:style w:type="paragraph" w:styleId="BalloonText">
    <w:name w:val="Balloon Text"/>
    <w:basedOn w:val="Normal"/>
    <w:link w:val="BalloonTextChar"/>
    <w:semiHidden/>
    <w:rsid w:val="004D306D"/>
    <w:rPr>
      <w:rFonts w:ascii="Tahoma" w:hAnsi="Tahoma" w:cs="Tahoma"/>
      <w:sz w:val="16"/>
      <w:szCs w:val="16"/>
    </w:rPr>
  </w:style>
  <w:style w:type="character" w:customStyle="1" w:styleId="BalloonTextChar">
    <w:name w:val="Balloon Text Char"/>
    <w:basedOn w:val="DefaultParagraphFont"/>
    <w:link w:val="BalloonText"/>
    <w:semiHidden/>
    <w:rsid w:val="004D306D"/>
    <w:rPr>
      <w:rFonts w:ascii="Tahoma" w:eastAsia="Times New Roman" w:hAnsi="Tahoma" w:cs="Tahoma"/>
      <w:sz w:val="16"/>
      <w:szCs w:val="16"/>
    </w:rPr>
  </w:style>
  <w:style w:type="character" w:styleId="CommentReference">
    <w:name w:val="annotation reference"/>
    <w:semiHidden/>
    <w:rsid w:val="004D306D"/>
    <w:rPr>
      <w:sz w:val="16"/>
      <w:szCs w:val="16"/>
    </w:rPr>
  </w:style>
  <w:style w:type="paragraph" w:styleId="CommentText">
    <w:name w:val="annotation text"/>
    <w:basedOn w:val="Normal"/>
    <w:link w:val="CommentTextChar"/>
    <w:semiHidden/>
    <w:rsid w:val="004D306D"/>
    <w:rPr>
      <w:sz w:val="20"/>
      <w:szCs w:val="20"/>
    </w:rPr>
  </w:style>
  <w:style w:type="character" w:customStyle="1" w:styleId="CommentTextChar">
    <w:name w:val="Comment Text Char"/>
    <w:basedOn w:val="DefaultParagraphFont"/>
    <w:link w:val="CommentText"/>
    <w:semiHidden/>
    <w:rsid w:val="004D3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306D"/>
    <w:rPr>
      <w:b/>
      <w:bCs/>
    </w:rPr>
  </w:style>
  <w:style w:type="character" w:customStyle="1" w:styleId="CommentSubjectChar">
    <w:name w:val="Comment Subject Char"/>
    <w:basedOn w:val="CommentTextChar"/>
    <w:link w:val="CommentSubject"/>
    <w:semiHidden/>
    <w:rsid w:val="004D306D"/>
    <w:rPr>
      <w:rFonts w:ascii="Times New Roman" w:eastAsia="Times New Roman" w:hAnsi="Times New Roman" w:cs="Times New Roman"/>
      <w:b/>
      <w:bCs/>
      <w:sz w:val="20"/>
      <w:szCs w:val="20"/>
    </w:rPr>
  </w:style>
  <w:style w:type="character" w:styleId="Hyperlink">
    <w:name w:val="Hyperlink"/>
    <w:uiPriority w:val="99"/>
    <w:rsid w:val="004D306D"/>
    <w:rPr>
      <w:color w:val="0000FF"/>
      <w:u w:val="single"/>
    </w:rPr>
  </w:style>
  <w:style w:type="paragraph" w:styleId="BodyText">
    <w:name w:val="Body Text"/>
    <w:basedOn w:val="Normal"/>
    <w:link w:val="BodyTextChar"/>
    <w:rsid w:val="004D306D"/>
    <w:pPr>
      <w:tabs>
        <w:tab w:val="left" w:pos="-720"/>
      </w:tabs>
      <w:suppressAutoHyphens/>
      <w:spacing w:line="480" w:lineRule="auto"/>
      <w:jc w:val="both"/>
    </w:pPr>
    <w:rPr>
      <w:snapToGrid w:val="0"/>
      <w:spacing w:val="-3"/>
      <w:szCs w:val="20"/>
    </w:rPr>
  </w:style>
  <w:style w:type="character" w:customStyle="1" w:styleId="BodyTextChar">
    <w:name w:val="Body Text Char"/>
    <w:basedOn w:val="DefaultParagraphFont"/>
    <w:link w:val="BodyText"/>
    <w:rsid w:val="004D306D"/>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4D306D"/>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4D306D"/>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4D306D"/>
    <w:pPr>
      <w:tabs>
        <w:tab w:val="left" w:pos="-1440"/>
        <w:tab w:val="left" w:pos="-720"/>
      </w:tabs>
      <w:suppressAutoHyphens/>
      <w:spacing w:before="120" w:line="480" w:lineRule="auto"/>
      <w:ind w:left="1440" w:hanging="7"/>
      <w:jc w:val="both"/>
    </w:pPr>
    <w:rPr>
      <w:rFonts w:ascii="Arial" w:hAnsi="Arial" w:cs="Arial"/>
      <w:spacing w:val="-3"/>
    </w:rPr>
  </w:style>
  <w:style w:type="character" w:customStyle="1" w:styleId="BodyTextIndent2Char">
    <w:name w:val="Body Text Indent 2 Char"/>
    <w:basedOn w:val="DefaultParagraphFont"/>
    <w:link w:val="BodyTextIndent2"/>
    <w:rsid w:val="004D306D"/>
    <w:rPr>
      <w:rFonts w:ascii="Arial" w:eastAsia="Times New Roman" w:hAnsi="Arial" w:cs="Arial"/>
      <w:spacing w:val="-3"/>
      <w:sz w:val="24"/>
      <w:szCs w:val="24"/>
    </w:rPr>
  </w:style>
  <w:style w:type="paragraph" w:styleId="BodyTextIndent3">
    <w:name w:val="Body Text Indent 3"/>
    <w:basedOn w:val="Normal"/>
    <w:link w:val="BodyTextIndent3Char"/>
    <w:rsid w:val="004D306D"/>
    <w:pPr>
      <w:tabs>
        <w:tab w:val="left" w:pos="-720"/>
      </w:tabs>
      <w:suppressAutoHyphens/>
      <w:spacing w:line="480" w:lineRule="auto"/>
      <w:ind w:firstLine="720"/>
      <w:jc w:val="both"/>
    </w:pPr>
    <w:rPr>
      <w:rFonts w:ascii="Arial" w:hAnsi="Arial" w:cs="Arial"/>
      <w:spacing w:val="-3"/>
    </w:rPr>
  </w:style>
  <w:style w:type="character" w:customStyle="1" w:styleId="BodyTextIndent3Char">
    <w:name w:val="Body Text Indent 3 Char"/>
    <w:basedOn w:val="DefaultParagraphFont"/>
    <w:link w:val="BodyTextIndent3"/>
    <w:rsid w:val="004D306D"/>
    <w:rPr>
      <w:rFonts w:ascii="Arial" w:eastAsia="Times New Roman" w:hAnsi="Arial" w:cs="Arial"/>
      <w:spacing w:val="-3"/>
      <w:sz w:val="24"/>
      <w:szCs w:val="24"/>
    </w:rPr>
  </w:style>
  <w:style w:type="paragraph" w:styleId="HTMLPreformatted">
    <w:name w:val="HTML Preformatted"/>
    <w:basedOn w:val="Normal"/>
    <w:link w:val="HTMLPreformattedChar"/>
    <w:rsid w:val="004D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306D"/>
    <w:rPr>
      <w:rFonts w:ascii="Courier New" w:eastAsia="Courier New" w:hAnsi="Courier New" w:cs="Courier New"/>
      <w:sz w:val="20"/>
      <w:szCs w:val="20"/>
    </w:rPr>
  </w:style>
  <w:style w:type="table" w:styleId="TableGrid">
    <w:name w:val="Table Grid"/>
    <w:basedOn w:val="TableNormal"/>
    <w:rsid w:val="004D3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306D"/>
    <w:pPr>
      <w:spacing w:after="120" w:line="480" w:lineRule="auto"/>
    </w:pPr>
  </w:style>
  <w:style w:type="character" w:customStyle="1" w:styleId="BodyText2Char">
    <w:name w:val="Body Text 2 Char"/>
    <w:basedOn w:val="DefaultParagraphFont"/>
    <w:link w:val="BodyText2"/>
    <w:rsid w:val="004D306D"/>
    <w:rPr>
      <w:rFonts w:ascii="Times New Roman" w:eastAsia="Times New Roman" w:hAnsi="Times New Roman" w:cs="Times New Roman"/>
      <w:sz w:val="24"/>
      <w:szCs w:val="24"/>
    </w:rPr>
  </w:style>
  <w:style w:type="paragraph" w:styleId="BodyTextIndent">
    <w:name w:val="Body Text Indent"/>
    <w:basedOn w:val="Normal"/>
    <w:link w:val="BodyTextIndentChar"/>
    <w:rsid w:val="004D306D"/>
    <w:pPr>
      <w:spacing w:after="120"/>
      <w:ind w:left="360"/>
    </w:pPr>
  </w:style>
  <w:style w:type="character" w:customStyle="1" w:styleId="BodyTextIndentChar">
    <w:name w:val="Body Text Indent Char"/>
    <w:basedOn w:val="DefaultParagraphFont"/>
    <w:link w:val="BodyTextIndent"/>
    <w:rsid w:val="004D306D"/>
    <w:rPr>
      <w:rFonts w:ascii="Times New Roman" w:eastAsia="Times New Roman" w:hAnsi="Times New Roman" w:cs="Times New Roman"/>
      <w:sz w:val="24"/>
      <w:szCs w:val="24"/>
    </w:rPr>
  </w:style>
  <w:style w:type="paragraph" w:styleId="Header">
    <w:name w:val="header"/>
    <w:basedOn w:val="Normal"/>
    <w:link w:val="HeaderChar"/>
    <w:uiPriority w:val="99"/>
    <w:rsid w:val="004D306D"/>
    <w:pPr>
      <w:tabs>
        <w:tab w:val="center" w:pos="4320"/>
        <w:tab w:val="right" w:pos="8640"/>
      </w:tabs>
    </w:pPr>
  </w:style>
  <w:style w:type="character" w:customStyle="1" w:styleId="HeaderChar">
    <w:name w:val="Header Char"/>
    <w:basedOn w:val="DefaultParagraphFont"/>
    <w:link w:val="Header"/>
    <w:uiPriority w:val="99"/>
    <w:rsid w:val="004D306D"/>
    <w:rPr>
      <w:rFonts w:ascii="Times New Roman" w:eastAsia="Times New Roman" w:hAnsi="Times New Roman" w:cs="Times New Roman"/>
      <w:sz w:val="24"/>
      <w:szCs w:val="24"/>
    </w:rPr>
  </w:style>
  <w:style w:type="paragraph" w:styleId="Footer">
    <w:name w:val="footer"/>
    <w:aliases w:val="Char1"/>
    <w:basedOn w:val="Normal"/>
    <w:link w:val="FooterChar"/>
    <w:uiPriority w:val="99"/>
    <w:rsid w:val="004D306D"/>
    <w:pPr>
      <w:tabs>
        <w:tab w:val="center" w:pos="4320"/>
        <w:tab w:val="right" w:pos="8640"/>
      </w:tabs>
    </w:pPr>
  </w:style>
  <w:style w:type="character" w:customStyle="1" w:styleId="FooterChar">
    <w:name w:val="Footer Char"/>
    <w:aliases w:val="Char1 Char"/>
    <w:basedOn w:val="DefaultParagraphFont"/>
    <w:link w:val="Footer"/>
    <w:uiPriority w:val="99"/>
    <w:rsid w:val="004D306D"/>
    <w:rPr>
      <w:rFonts w:ascii="Times New Roman" w:eastAsia="Times New Roman" w:hAnsi="Times New Roman" w:cs="Times New Roman"/>
      <w:sz w:val="24"/>
      <w:szCs w:val="24"/>
    </w:rPr>
  </w:style>
  <w:style w:type="character" w:styleId="PageNumber">
    <w:name w:val="page number"/>
    <w:basedOn w:val="DefaultParagraphFont"/>
    <w:rsid w:val="004D306D"/>
  </w:style>
  <w:style w:type="paragraph" w:styleId="Title">
    <w:name w:val="Title"/>
    <w:basedOn w:val="Normal"/>
    <w:link w:val="TitleChar"/>
    <w:qFormat/>
    <w:rsid w:val="004D306D"/>
    <w:pPr>
      <w:jc w:val="center"/>
    </w:pPr>
    <w:rPr>
      <w:b/>
      <w:szCs w:val="20"/>
    </w:rPr>
  </w:style>
  <w:style w:type="character" w:customStyle="1" w:styleId="TitleChar">
    <w:name w:val="Title Char"/>
    <w:basedOn w:val="DefaultParagraphFont"/>
    <w:link w:val="Title"/>
    <w:rsid w:val="004D306D"/>
    <w:rPr>
      <w:rFonts w:ascii="Times New Roman" w:eastAsia="Times New Roman" w:hAnsi="Times New Roman" w:cs="Times New Roman"/>
      <w:b/>
      <w:sz w:val="24"/>
      <w:szCs w:val="20"/>
    </w:rPr>
  </w:style>
  <w:style w:type="paragraph" w:styleId="PlainText">
    <w:name w:val="Plain Text"/>
    <w:basedOn w:val="Normal"/>
    <w:link w:val="PlainTextChar"/>
    <w:rsid w:val="004D306D"/>
    <w:rPr>
      <w:rFonts w:ascii="Courier New" w:hAnsi="Courier New"/>
      <w:sz w:val="20"/>
      <w:szCs w:val="20"/>
    </w:rPr>
  </w:style>
  <w:style w:type="character" w:customStyle="1" w:styleId="PlainTextChar">
    <w:name w:val="Plain Text Char"/>
    <w:basedOn w:val="DefaultParagraphFont"/>
    <w:link w:val="PlainText"/>
    <w:rsid w:val="004D306D"/>
    <w:rPr>
      <w:rFonts w:ascii="Courier New" w:eastAsia="Times New Roman" w:hAnsi="Courier New" w:cs="Times New Roman"/>
      <w:sz w:val="20"/>
      <w:szCs w:val="20"/>
    </w:rPr>
  </w:style>
  <w:style w:type="paragraph" w:styleId="ListParagraph">
    <w:name w:val="List Paragraph"/>
    <w:basedOn w:val="Normal"/>
    <w:uiPriority w:val="34"/>
    <w:qFormat/>
    <w:rsid w:val="004D306D"/>
    <w:pPr>
      <w:spacing w:after="120" w:line="276" w:lineRule="auto"/>
      <w:ind w:left="720"/>
    </w:pPr>
    <w:rPr>
      <w:szCs w:val="22"/>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uiPriority w:val="99"/>
    <w:rsid w:val="004D306D"/>
    <w:rPr>
      <w:sz w:val="20"/>
      <w:szCs w:val="20"/>
    </w:rPr>
  </w:style>
  <w:style w:type="character" w:customStyle="1" w:styleId="FootnoteTextChar">
    <w:name w:val="Footnote Text Char"/>
    <w:basedOn w:val="DefaultParagraphFont"/>
    <w:uiPriority w:val="99"/>
    <w:rsid w:val="004D306D"/>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
    <w:uiPriority w:val="99"/>
    <w:rsid w:val="004D306D"/>
    <w:rPr>
      <w:vertAlign w:val="superscript"/>
    </w:rPr>
  </w:style>
  <w:style w:type="paragraph" w:customStyle="1" w:styleId="INTEROG1L1">
    <w:name w:val="INTEROG1_L1"/>
    <w:basedOn w:val="Normal"/>
    <w:next w:val="BodyText"/>
    <w:rsid w:val="004D306D"/>
    <w:pPr>
      <w:keepNext/>
      <w:numPr>
        <w:numId w:val="1"/>
      </w:numPr>
      <w:spacing w:line="480" w:lineRule="auto"/>
      <w:outlineLvl w:val="0"/>
    </w:pPr>
    <w:rPr>
      <w:szCs w:val="20"/>
    </w:rPr>
  </w:style>
  <w:style w:type="paragraph" w:customStyle="1" w:styleId="INTEROG1L2">
    <w:name w:val="INTEROG1_L2"/>
    <w:basedOn w:val="Normal"/>
    <w:next w:val="BodyText"/>
    <w:rsid w:val="004D306D"/>
    <w:pPr>
      <w:numPr>
        <w:ilvl w:val="1"/>
        <w:numId w:val="1"/>
      </w:numPr>
      <w:spacing w:line="480" w:lineRule="auto"/>
      <w:outlineLvl w:val="1"/>
    </w:pPr>
    <w:rPr>
      <w:szCs w:val="20"/>
    </w:rPr>
  </w:style>
  <w:style w:type="paragraph" w:customStyle="1" w:styleId="INTEROG1L3">
    <w:name w:val="INTEROG1_L3"/>
    <w:basedOn w:val="Normal"/>
    <w:next w:val="BodyText"/>
    <w:rsid w:val="004D306D"/>
    <w:pPr>
      <w:numPr>
        <w:ilvl w:val="2"/>
        <w:numId w:val="1"/>
      </w:numPr>
      <w:spacing w:line="1800" w:lineRule="auto"/>
      <w:outlineLvl w:val="2"/>
    </w:pPr>
    <w:rPr>
      <w:szCs w:val="20"/>
    </w:rPr>
  </w:style>
  <w:style w:type="paragraph" w:customStyle="1" w:styleId="INTEROG1L4">
    <w:name w:val="INTEROG1_L4"/>
    <w:basedOn w:val="Normal"/>
    <w:next w:val="BodyText"/>
    <w:rsid w:val="004D306D"/>
    <w:pPr>
      <w:numPr>
        <w:ilvl w:val="3"/>
        <w:numId w:val="1"/>
      </w:numPr>
      <w:spacing w:after="240" w:line="480" w:lineRule="auto"/>
      <w:outlineLvl w:val="3"/>
    </w:pPr>
    <w:rPr>
      <w:szCs w:val="20"/>
    </w:rPr>
  </w:style>
  <w:style w:type="paragraph" w:customStyle="1" w:styleId="INTEROG1L5">
    <w:name w:val="INTEROG1_L5"/>
    <w:basedOn w:val="Normal"/>
    <w:next w:val="BodyText"/>
    <w:rsid w:val="004D306D"/>
    <w:pPr>
      <w:numPr>
        <w:ilvl w:val="4"/>
        <w:numId w:val="1"/>
      </w:numPr>
      <w:spacing w:after="240"/>
      <w:outlineLvl w:val="4"/>
    </w:pPr>
    <w:rPr>
      <w:szCs w:val="20"/>
    </w:rPr>
  </w:style>
  <w:style w:type="paragraph" w:customStyle="1" w:styleId="INTEROG1L6">
    <w:name w:val="INTEROG1_L6"/>
    <w:basedOn w:val="INTEROG1L5"/>
    <w:next w:val="BodyText"/>
    <w:rsid w:val="004D306D"/>
    <w:pPr>
      <w:numPr>
        <w:ilvl w:val="5"/>
      </w:numPr>
      <w:outlineLvl w:val="5"/>
    </w:pPr>
  </w:style>
  <w:style w:type="paragraph" w:customStyle="1" w:styleId="INTEROG1L7">
    <w:name w:val="INTEROG1_L7"/>
    <w:basedOn w:val="INTEROG1L6"/>
    <w:next w:val="BodyText"/>
    <w:rsid w:val="004D306D"/>
    <w:pPr>
      <w:numPr>
        <w:ilvl w:val="6"/>
      </w:numPr>
      <w:outlineLvl w:val="6"/>
    </w:pPr>
  </w:style>
  <w:style w:type="paragraph" w:customStyle="1" w:styleId="INTEROG1L8">
    <w:name w:val="INTEROG1_L8"/>
    <w:basedOn w:val="INTEROG1L7"/>
    <w:next w:val="BodyText"/>
    <w:rsid w:val="004D306D"/>
    <w:pPr>
      <w:numPr>
        <w:ilvl w:val="7"/>
      </w:numPr>
      <w:outlineLvl w:val="7"/>
    </w:pPr>
  </w:style>
  <w:style w:type="paragraph" w:customStyle="1" w:styleId="INTEROG1L9">
    <w:name w:val="INTEROG1_L9"/>
    <w:basedOn w:val="INTEROG1L8"/>
    <w:next w:val="BodyText"/>
    <w:rsid w:val="004D306D"/>
    <w:pPr>
      <w:numPr>
        <w:ilvl w:val="8"/>
      </w:numPr>
      <w:outlineLvl w:val="8"/>
    </w:p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locked/>
    <w:rsid w:val="004D306D"/>
    <w:rPr>
      <w:rFonts w:ascii="Times New Roman" w:eastAsia="Times New Roman" w:hAnsi="Times New Roman" w:cs="Times New Roman"/>
      <w:sz w:val="20"/>
      <w:szCs w:val="20"/>
    </w:rPr>
  </w:style>
  <w:style w:type="paragraph" w:styleId="TOC1">
    <w:name w:val="toc 1"/>
    <w:basedOn w:val="Normal"/>
    <w:next w:val="Normal"/>
    <w:autoRedefine/>
    <w:uiPriority w:val="39"/>
    <w:unhideWhenUsed/>
    <w:qFormat/>
    <w:rsid w:val="004D306D"/>
    <w:pPr>
      <w:tabs>
        <w:tab w:val="decimal" w:leader="dot" w:pos="8640"/>
      </w:tabs>
      <w:spacing w:after="240"/>
      <w:ind w:left="720" w:hanging="720"/>
    </w:pPr>
    <w:rPr>
      <w:rFonts w:eastAsia="Calibri"/>
    </w:rPr>
  </w:style>
  <w:style w:type="paragraph" w:styleId="TOC2">
    <w:name w:val="toc 2"/>
    <w:basedOn w:val="Normal"/>
    <w:next w:val="Normal"/>
    <w:autoRedefine/>
    <w:uiPriority w:val="39"/>
    <w:unhideWhenUsed/>
    <w:qFormat/>
    <w:rsid w:val="004D306D"/>
    <w:pPr>
      <w:tabs>
        <w:tab w:val="decimal" w:leader="dot" w:pos="8640"/>
      </w:tabs>
      <w:spacing w:after="240"/>
      <w:ind w:left="1440" w:hanging="720"/>
    </w:pPr>
    <w:rPr>
      <w:rFonts w:eastAsia="Calibri"/>
    </w:rPr>
  </w:style>
  <w:style w:type="paragraph" w:styleId="TOC3">
    <w:name w:val="toc 3"/>
    <w:basedOn w:val="Normal"/>
    <w:next w:val="Normal"/>
    <w:autoRedefine/>
    <w:uiPriority w:val="39"/>
    <w:unhideWhenUsed/>
    <w:qFormat/>
    <w:rsid w:val="004D306D"/>
    <w:pPr>
      <w:tabs>
        <w:tab w:val="decimal" w:leader="dot" w:pos="8640"/>
      </w:tabs>
      <w:spacing w:after="240"/>
      <w:ind w:left="2160" w:hanging="720"/>
    </w:pPr>
    <w:rPr>
      <w:rFonts w:eastAsia="Calibri"/>
    </w:rPr>
  </w:style>
  <w:style w:type="character" w:customStyle="1" w:styleId="apple-converted-space">
    <w:name w:val="apple-converted-space"/>
    <w:basedOn w:val="DefaultParagraphFont"/>
    <w:rsid w:val="003C0251"/>
  </w:style>
  <w:style w:type="paragraph" w:styleId="NormalWeb">
    <w:name w:val="Normal (Web)"/>
    <w:basedOn w:val="Normal"/>
    <w:uiPriority w:val="99"/>
    <w:unhideWhenUsed/>
    <w:rsid w:val="007B000D"/>
    <w:pPr>
      <w:spacing w:before="100" w:beforeAutospacing="1" w:after="100" w:afterAutospacing="1"/>
    </w:pPr>
  </w:style>
  <w:style w:type="paragraph" w:customStyle="1" w:styleId="CharCharCharCharCharCharCharCharCharChar">
    <w:name w:val="Char Char Char Char Char Char Char Char Char Char"/>
    <w:basedOn w:val="Normal"/>
    <w:rsid w:val="00643F6D"/>
    <w:pPr>
      <w:tabs>
        <w:tab w:val="left" w:pos="540"/>
        <w:tab w:val="left" w:pos="1260"/>
        <w:tab w:val="left" w:pos="1800"/>
      </w:tabs>
      <w:spacing w:before="240" w:after="160" w:line="240" w:lineRule="exact"/>
    </w:pPr>
    <w:rPr>
      <w:rFonts w:ascii="Verdana" w:hAnsi="Verdan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736FA0"/>
    <w:pPr>
      <w:keepNext/>
      <w:numPr>
        <w:numId w:val="2"/>
      </w:numPr>
      <w:spacing w:after="240"/>
      <w:ind w:hanging="720"/>
      <w:outlineLvl w:val="0"/>
    </w:pPr>
    <w:rPr>
      <w:rFonts w:ascii="Times New Roman Bold" w:hAnsi="Times New Roman Bold" w:cs="Arial"/>
      <w:b/>
      <w:bCs/>
      <w:caps/>
      <w:kern w:val="32"/>
      <w:szCs w:val="32"/>
    </w:rPr>
  </w:style>
  <w:style w:type="paragraph" w:styleId="Heading2">
    <w:name w:val="heading 2"/>
    <w:basedOn w:val="Normal"/>
    <w:next w:val="Normal"/>
    <w:link w:val="Heading2Char"/>
    <w:autoRedefine/>
    <w:qFormat/>
    <w:rsid w:val="00736FA0"/>
    <w:pPr>
      <w:keepNext/>
      <w:spacing w:after="240"/>
      <w:ind w:left="1440" w:hanging="720"/>
      <w:contextualSpacing/>
      <w:outlineLvl w:val="1"/>
    </w:pPr>
    <w:rPr>
      <w:rFonts w:ascii="Times New Roman Bold" w:hAnsi="Times New Roman Bold" w:cs="Arial"/>
      <w:bCs/>
      <w:iCs/>
      <w:szCs w:val="28"/>
    </w:rPr>
  </w:style>
  <w:style w:type="paragraph" w:styleId="Heading3">
    <w:name w:val="heading 3"/>
    <w:basedOn w:val="Normal"/>
    <w:next w:val="Normal"/>
    <w:link w:val="Heading3Char"/>
    <w:autoRedefine/>
    <w:qFormat/>
    <w:rsid w:val="00736FA0"/>
    <w:pPr>
      <w:keepNext/>
      <w:tabs>
        <w:tab w:val="center" w:pos="4680"/>
      </w:tabs>
      <w:suppressAutoHyphens/>
      <w:spacing w:after="240"/>
      <w:ind w:left="2160" w:hanging="720"/>
      <w:outlineLvl w:val="2"/>
    </w:pPr>
    <w:rPr>
      <w:rFonts w:ascii="Times New Roman Bold" w:hAnsi="Times New Roman Bold" w:cs="Arial"/>
      <w:b/>
      <w:spacing w:val="-3"/>
    </w:rPr>
  </w:style>
  <w:style w:type="paragraph" w:styleId="Heading4">
    <w:name w:val="heading 4"/>
    <w:basedOn w:val="Normal"/>
    <w:next w:val="Normal"/>
    <w:link w:val="Heading4Char"/>
    <w:autoRedefine/>
    <w:qFormat/>
    <w:rsid w:val="00736FA0"/>
    <w:pPr>
      <w:keepNext/>
      <w:tabs>
        <w:tab w:val="center" w:pos="4680"/>
      </w:tabs>
      <w:suppressAutoHyphens/>
      <w:spacing w:after="240"/>
      <w:ind w:left="2880" w:hanging="720"/>
      <w:outlineLvl w:val="3"/>
    </w:pPr>
    <w:rPr>
      <w:rFonts w:cs="Arial"/>
      <w:b/>
      <w:bCs/>
      <w:spacing w:val="-3"/>
    </w:rPr>
  </w:style>
  <w:style w:type="paragraph" w:styleId="Heading7">
    <w:name w:val="heading 7"/>
    <w:basedOn w:val="Normal"/>
    <w:next w:val="Normal"/>
    <w:link w:val="Heading7Char"/>
    <w:qFormat/>
    <w:rsid w:val="004D306D"/>
    <w:pPr>
      <w:keepNext/>
      <w:tabs>
        <w:tab w:val="left" w:pos="-720"/>
      </w:tabs>
      <w:suppressAutoHyphens/>
      <w:jc w:val="center"/>
      <w:outlineLvl w:val="6"/>
    </w:pPr>
    <w:rPr>
      <w:rFonts w:ascii="Arial" w:hAnsi="Arial" w:cs="Arial"/>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FA0"/>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rsid w:val="00736FA0"/>
    <w:rPr>
      <w:rFonts w:ascii="Times New Roman Bold" w:eastAsia="Times New Roman" w:hAnsi="Times New Roman Bold" w:cs="Arial"/>
      <w:bCs/>
      <w:iCs/>
      <w:sz w:val="24"/>
      <w:szCs w:val="28"/>
    </w:rPr>
  </w:style>
  <w:style w:type="character" w:customStyle="1" w:styleId="Heading3Char">
    <w:name w:val="Heading 3 Char"/>
    <w:basedOn w:val="DefaultParagraphFont"/>
    <w:link w:val="Heading3"/>
    <w:rsid w:val="00736FA0"/>
    <w:rPr>
      <w:rFonts w:ascii="Times New Roman Bold" w:eastAsia="Times New Roman" w:hAnsi="Times New Roman Bold" w:cs="Arial"/>
      <w:b/>
      <w:spacing w:val="-3"/>
      <w:sz w:val="24"/>
      <w:szCs w:val="24"/>
    </w:rPr>
  </w:style>
  <w:style w:type="character" w:customStyle="1" w:styleId="Heading4Char">
    <w:name w:val="Heading 4 Char"/>
    <w:basedOn w:val="DefaultParagraphFont"/>
    <w:link w:val="Heading4"/>
    <w:rsid w:val="00736FA0"/>
    <w:rPr>
      <w:rFonts w:ascii="Times New Roman" w:eastAsia="Times New Roman" w:hAnsi="Times New Roman" w:cs="Arial"/>
      <w:b/>
      <w:bCs/>
      <w:spacing w:val="-3"/>
      <w:sz w:val="24"/>
      <w:szCs w:val="24"/>
    </w:rPr>
  </w:style>
  <w:style w:type="character" w:customStyle="1" w:styleId="Heading7Char">
    <w:name w:val="Heading 7 Char"/>
    <w:basedOn w:val="DefaultParagraphFont"/>
    <w:link w:val="Heading7"/>
    <w:rsid w:val="004D306D"/>
    <w:rPr>
      <w:rFonts w:ascii="Arial" w:eastAsia="Times New Roman" w:hAnsi="Arial" w:cs="Arial"/>
      <w:b/>
      <w:spacing w:val="-3"/>
      <w:sz w:val="28"/>
      <w:szCs w:val="24"/>
      <w:u w:val="single"/>
    </w:rPr>
  </w:style>
  <w:style w:type="paragraph" w:styleId="BalloonText">
    <w:name w:val="Balloon Text"/>
    <w:basedOn w:val="Normal"/>
    <w:link w:val="BalloonTextChar"/>
    <w:semiHidden/>
    <w:rsid w:val="004D306D"/>
    <w:rPr>
      <w:rFonts w:ascii="Tahoma" w:hAnsi="Tahoma" w:cs="Tahoma"/>
      <w:sz w:val="16"/>
      <w:szCs w:val="16"/>
    </w:rPr>
  </w:style>
  <w:style w:type="character" w:customStyle="1" w:styleId="BalloonTextChar">
    <w:name w:val="Balloon Text Char"/>
    <w:basedOn w:val="DefaultParagraphFont"/>
    <w:link w:val="BalloonText"/>
    <w:semiHidden/>
    <w:rsid w:val="004D306D"/>
    <w:rPr>
      <w:rFonts w:ascii="Tahoma" w:eastAsia="Times New Roman" w:hAnsi="Tahoma" w:cs="Tahoma"/>
      <w:sz w:val="16"/>
      <w:szCs w:val="16"/>
    </w:rPr>
  </w:style>
  <w:style w:type="character" w:styleId="CommentReference">
    <w:name w:val="annotation reference"/>
    <w:semiHidden/>
    <w:rsid w:val="004D306D"/>
    <w:rPr>
      <w:sz w:val="16"/>
      <w:szCs w:val="16"/>
    </w:rPr>
  </w:style>
  <w:style w:type="paragraph" w:styleId="CommentText">
    <w:name w:val="annotation text"/>
    <w:basedOn w:val="Normal"/>
    <w:link w:val="CommentTextChar"/>
    <w:semiHidden/>
    <w:rsid w:val="004D306D"/>
    <w:rPr>
      <w:sz w:val="20"/>
      <w:szCs w:val="20"/>
    </w:rPr>
  </w:style>
  <w:style w:type="character" w:customStyle="1" w:styleId="CommentTextChar">
    <w:name w:val="Comment Text Char"/>
    <w:basedOn w:val="DefaultParagraphFont"/>
    <w:link w:val="CommentText"/>
    <w:semiHidden/>
    <w:rsid w:val="004D3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306D"/>
    <w:rPr>
      <w:b/>
      <w:bCs/>
    </w:rPr>
  </w:style>
  <w:style w:type="character" w:customStyle="1" w:styleId="CommentSubjectChar">
    <w:name w:val="Comment Subject Char"/>
    <w:basedOn w:val="CommentTextChar"/>
    <w:link w:val="CommentSubject"/>
    <w:semiHidden/>
    <w:rsid w:val="004D306D"/>
    <w:rPr>
      <w:rFonts w:ascii="Times New Roman" w:eastAsia="Times New Roman" w:hAnsi="Times New Roman" w:cs="Times New Roman"/>
      <w:b/>
      <w:bCs/>
      <w:sz w:val="20"/>
      <w:szCs w:val="20"/>
    </w:rPr>
  </w:style>
  <w:style w:type="character" w:styleId="Hyperlink">
    <w:name w:val="Hyperlink"/>
    <w:uiPriority w:val="99"/>
    <w:rsid w:val="004D306D"/>
    <w:rPr>
      <w:color w:val="0000FF"/>
      <w:u w:val="single"/>
    </w:rPr>
  </w:style>
  <w:style w:type="paragraph" w:styleId="BodyText">
    <w:name w:val="Body Text"/>
    <w:basedOn w:val="Normal"/>
    <w:link w:val="BodyTextChar"/>
    <w:rsid w:val="004D306D"/>
    <w:pPr>
      <w:tabs>
        <w:tab w:val="left" w:pos="-720"/>
      </w:tabs>
      <w:suppressAutoHyphens/>
      <w:spacing w:line="480" w:lineRule="auto"/>
      <w:jc w:val="both"/>
    </w:pPr>
    <w:rPr>
      <w:snapToGrid w:val="0"/>
      <w:spacing w:val="-3"/>
      <w:szCs w:val="20"/>
    </w:rPr>
  </w:style>
  <w:style w:type="character" w:customStyle="1" w:styleId="BodyTextChar">
    <w:name w:val="Body Text Char"/>
    <w:basedOn w:val="DefaultParagraphFont"/>
    <w:link w:val="BodyText"/>
    <w:rsid w:val="004D306D"/>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4D306D"/>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4D306D"/>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4D306D"/>
    <w:pPr>
      <w:tabs>
        <w:tab w:val="left" w:pos="-1440"/>
        <w:tab w:val="left" w:pos="-720"/>
      </w:tabs>
      <w:suppressAutoHyphens/>
      <w:spacing w:before="120" w:line="480" w:lineRule="auto"/>
      <w:ind w:left="1440" w:hanging="7"/>
      <w:jc w:val="both"/>
    </w:pPr>
    <w:rPr>
      <w:rFonts w:ascii="Arial" w:hAnsi="Arial" w:cs="Arial"/>
      <w:spacing w:val="-3"/>
    </w:rPr>
  </w:style>
  <w:style w:type="character" w:customStyle="1" w:styleId="BodyTextIndent2Char">
    <w:name w:val="Body Text Indent 2 Char"/>
    <w:basedOn w:val="DefaultParagraphFont"/>
    <w:link w:val="BodyTextIndent2"/>
    <w:rsid w:val="004D306D"/>
    <w:rPr>
      <w:rFonts w:ascii="Arial" w:eastAsia="Times New Roman" w:hAnsi="Arial" w:cs="Arial"/>
      <w:spacing w:val="-3"/>
      <w:sz w:val="24"/>
      <w:szCs w:val="24"/>
    </w:rPr>
  </w:style>
  <w:style w:type="paragraph" w:styleId="BodyTextIndent3">
    <w:name w:val="Body Text Indent 3"/>
    <w:basedOn w:val="Normal"/>
    <w:link w:val="BodyTextIndent3Char"/>
    <w:rsid w:val="004D306D"/>
    <w:pPr>
      <w:tabs>
        <w:tab w:val="left" w:pos="-720"/>
      </w:tabs>
      <w:suppressAutoHyphens/>
      <w:spacing w:line="480" w:lineRule="auto"/>
      <w:ind w:firstLine="720"/>
      <w:jc w:val="both"/>
    </w:pPr>
    <w:rPr>
      <w:rFonts w:ascii="Arial" w:hAnsi="Arial" w:cs="Arial"/>
      <w:spacing w:val="-3"/>
    </w:rPr>
  </w:style>
  <w:style w:type="character" w:customStyle="1" w:styleId="BodyTextIndent3Char">
    <w:name w:val="Body Text Indent 3 Char"/>
    <w:basedOn w:val="DefaultParagraphFont"/>
    <w:link w:val="BodyTextIndent3"/>
    <w:rsid w:val="004D306D"/>
    <w:rPr>
      <w:rFonts w:ascii="Arial" w:eastAsia="Times New Roman" w:hAnsi="Arial" w:cs="Arial"/>
      <w:spacing w:val="-3"/>
      <w:sz w:val="24"/>
      <w:szCs w:val="24"/>
    </w:rPr>
  </w:style>
  <w:style w:type="paragraph" w:styleId="HTMLPreformatted">
    <w:name w:val="HTML Preformatted"/>
    <w:basedOn w:val="Normal"/>
    <w:link w:val="HTMLPreformattedChar"/>
    <w:rsid w:val="004D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306D"/>
    <w:rPr>
      <w:rFonts w:ascii="Courier New" w:eastAsia="Courier New" w:hAnsi="Courier New" w:cs="Courier New"/>
      <w:sz w:val="20"/>
      <w:szCs w:val="20"/>
    </w:rPr>
  </w:style>
  <w:style w:type="table" w:styleId="TableGrid">
    <w:name w:val="Table Grid"/>
    <w:basedOn w:val="TableNormal"/>
    <w:rsid w:val="004D3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306D"/>
    <w:pPr>
      <w:spacing w:after="120" w:line="480" w:lineRule="auto"/>
    </w:pPr>
  </w:style>
  <w:style w:type="character" w:customStyle="1" w:styleId="BodyText2Char">
    <w:name w:val="Body Text 2 Char"/>
    <w:basedOn w:val="DefaultParagraphFont"/>
    <w:link w:val="BodyText2"/>
    <w:rsid w:val="004D306D"/>
    <w:rPr>
      <w:rFonts w:ascii="Times New Roman" w:eastAsia="Times New Roman" w:hAnsi="Times New Roman" w:cs="Times New Roman"/>
      <w:sz w:val="24"/>
      <w:szCs w:val="24"/>
    </w:rPr>
  </w:style>
  <w:style w:type="paragraph" w:styleId="BodyTextIndent">
    <w:name w:val="Body Text Indent"/>
    <w:basedOn w:val="Normal"/>
    <w:link w:val="BodyTextIndentChar"/>
    <w:rsid w:val="004D306D"/>
    <w:pPr>
      <w:spacing w:after="120"/>
      <w:ind w:left="360"/>
    </w:pPr>
  </w:style>
  <w:style w:type="character" w:customStyle="1" w:styleId="BodyTextIndentChar">
    <w:name w:val="Body Text Indent Char"/>
    <w:basedOn w:val="DefaultParagraphFont"/>
    <w:link w:val="BodyTextIndent"/>
    <w:rsid w:val="004D306D"/>
    <w:rPr>
      <w:rFonts w:ascii="Times New Roman" w:eastAsia="Times New Roman" w:hAnsi="Times New Roman" w:cs="Times New Roman"/>
      <w:sz w:val="24"/>
      <w:szCs w:val="24"/>
    </w:rPr>
  </w:style>
  <w:style w:type="paragraph" w:styleId="Header">
    <w:name w:val="header"/>
    <w:basedOn w:val="Normal"/>
    <w:link w:val="HeaderChar"/>
    <w:uiPriority w:val="99"/>
    <w:rsid w:val="004D306D"/>
    <w:pPr>
      <w:tabs>
        <w:tab w:val="center" w:pos="4320"/>
        <w:tab w:val="right" w:pos="8640"/>
      </w:tabs>
    </w:pPr>
  </w:style>
  <w:style w:type="character" w:customStyle="1" w:styleId="HeaderChar">
    <w:name w:val="Header Char"/>
    <w:basedOn w:val="DefaultParagraphFont"/>
    <w:link w:val="Header"/>
    <w:uiPriority w:val="99"/>
    <w:rsid w:val="004D306D"/>
    <w:rPr>
      <w:rFonts w:ascii="Times New Roman" w:eastAsia="Times New Roman" w:hAnsi="Times New Roman" w:cs="Times New Roman"/>
      <w:sz w:val="24"/>
      <w:szCs w:val="24"/>
    </w:rPr>
  </w:style>
  <w:style w:type="paragraph" w:styleId="Footer">
    <w:name w:val="footer"/>
    <w:aliases w:val="Char1"/>
    <w:basedOn w:val="Normal"/>
    <w:link w:val="FooterChar"/>
    <w:uiPriority w:val="99"/>
    <w:rsid w:val="004D306D"/>
    <w:pPr>
      <w:tabs>
        <w:tab w:val="center" w:pos="4320"/>
        <w:tab w:val="right" w:pos="8640"/>
      </w:tabs>
    </w:pPr>
  </w:style>
  <w:style w:type="character" w:customStyle="1" w:styleId="FooterChar">
    <w:name w:val="Footer Char"/>
    <w:aliases w:val="Char1 Char"/>
    <w:basedOn w:val="DefaultParagraphFont"/>
    <w:link w:val="Footer"/>
    <w:uiPriority w:val="99"/>
    <w:rsid w:val="004D306D"/>
    <w:rPr>
      <w:rFonts w:ascii="Times New Roman" w:eastAsia="Times New Roman" w:hAnsi="Times New Roman" w:cs="Times New Roman"/>
      <w:sz w:val="24"/>
      <w:szCs w:val="24"/>
    </w:rPr>
  </w:style>
  <w:style w:type="character" w:styleId="PageNumber">
    <w:name w:val="page number"/>
    <w:basedOn w:val="DefaultParagraphFont"/>
    <w:rsid w:val="004D306D"/>
  </w:style>
  <w:style w:type="paragraph" w:styleId="Title">
    <w:name w:val="Title"/>
    <w:basedOn w:val="Normal"/>
    <w:link w:val="TitleChar"/>
    <w:qFormat/>
    <w:rsid w:val="004D306D"/>
    <w:pPr>
      <w:jc w:val="center"/>
    </w:pPr>
    <w:rPr>
      <w:b/>
      <w:szCs w:val="20"/>
    </w:rPr>
  </w:style>
  <w:style w:type="character" w:customStyle="1" w:styleId="TitleChar">
    <w:name w:val="Title Char"/>
    <w:basedOn w:val="DefaultParagraphFont"/>
    <w:link w:val="Title"/>
    <w:rsid w:val="004D306D"/>
    <w:rPr>
      <w:rFonts w:ascii="Times New Roman" w:eastAsia="Times New Roman" w:hAnsi="Times New Roman" w:cs="Times New Roman"/>
      <w:b/>
      <w:sz w:val="24"/>
      <w:szCs w:val="20"/>
    </w:rPr>
  </w:style>
  <w:style w:type="paragraph" w:styleId="PlainText">
    <w:name w:val="Plain Text"/>
    <w:basedOn w:val="Normal"/>
    <w:link w:val="PlainTextChar"/>
    <w:rsid w:val="004D306D"/>
    <w:rPr>
      <w:rFonts w:ascii="Courier New" w:hAnsi="Courier New"/>
      <w:sz w:val="20"/>
      <w:szCs w:val="20"/>
    </w:rPr>
  </w:style>
  <w:style w:type="character" w:customStyle="1" w:styleId="PlainTextChar">
    <w:name w:val="Plain Text Char"/>
    <w:basedOn w:val="DefaultParagraphFont"/>
    <w:link w:val="PlainText"/>
    <w:rsid w:val="004D306D"/>
    <w:rPr>
      <w:rFonts w:ascii="Courier New" w:eastAsia="Times New Roman" w:hAnsi="Courier New" w:cs="Times New Roman"/>
      <w:sz w:val="20"/>
      <w:szCs w:val="20"/>
    </w:rPr>
  </w:style>
  <w:style w:type="paragraph" w:styleId="ListParagraph">
    <w:name w:val="List Paragraph"/>
    <w:basedOn w:val="Normal"/>
    <w:uiPriority w:val="34"/>
    <w:qFormat/>
    <w:rsid w:val="004D306D"/>
    <w:pPr>
      <w:spacing w:after="120" w:line="276" w:lineRule="auto"/>
      <w:ind w:left="720"/>
    </w:pPr>
    <w:rPr>
      <w:szCs w:val="22"/>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uiPriority w:val="99"/>
    <w:rsid w:val="004D306D"/>
    <w:rPr>
      <w:sz w:val="20"/>
      <w:szCs w:val="20"/>
    </w:rPr>
  </w:style>
  <w:style w:type="character" w:customStyle="1" w:styleId="FootnoteTextChar">
    <w:name w:val="Footnote Text Char"/>
    <w:basedOn w:val="DefaultParagraphFont"/>
    <w:uiPriority w:val="99"/>
    <w:rsid w:val="004D306D"/>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
    <w:uiPriority w:val="99"/>
    <w:rsid w:val="004D306D"/>
    <w:rPr>
      <w:vertAlign w:val="superscript"/>
    </w:rPr>
  </w:style>
  <w:style w:type="paragraph" w:customStyle="1" w:styleId="INTEROG1L1">
    <w:name w:val="INTEROG1_L1"/>
    <w:basedOn w:val="Normal"/>
    <w:next w:val="BodyText"/>
    <w:rsid w:val="004D306D"/>
    <w:pPr>
      <w:keepNext/>
      <w:numPr>
        <w:numId w:val="1"/>
      </w:numPr>
      <w:spacing w:line="480" w:lineRule="auto"/>
      <w:outlineLvl w:val="0"/>
    </w:pPr>
    <w:rPr>
      <w:szCs w:val="20"/>
    </w:rPr>
  </w:style>
  <w:style w:type="paragraph" w:customStyle="1" w:styleId="INTEROG1L2">
    <w:name w:val="INTEROG1_L2"/>
    <w:basedOn w:val="Normal"/>
    <w:next w:val="BodyText"/>
    <w:rsid w:val="004D306D"/>
    <w:pPr>
      <w:numPr>
        <w:ilvl w:val="1"/>
        <w:numId w:val="1"/>
      </w:numPr>
      <w:spacing w:line="480" w:lineRule="auto"/>
      <w:outlineLvl w:val="1"/>
    </w:pPr>
    <w:rPr>
      <w:szCs w:val="20"/>
    </w:rPr>
  </w:style>
  <w:style w:type="paragraph" w:customStyle="1" w:styleId="INTEROG1L3">
    <w:name w:val="INTEROG1_L3"/>
    <w:basedOn w:val="Normal"/>
    <w:next w:val="BodyText"/>
    <w:rsid w:val="004D306D"/>
    <w:pPr>
      <w:numPr>
        <w:ilvl w:val="2"/>
        <w:numId w:val="1"/>
      </w:numPr>
      <w:spacing w:line="1800" w:lineRule="auto"/>
      <w:outlineLvl w:val="2"/>
    </w:pPr>
    <w:rPr>
      <w:szCs w:val="20"/>
    </w:rPr>
  </w:style>
  <w:style w:type="paragraph" w:customStyle="1" w:styleId="INTEROG1L4">
    <w:name w:val="INTEROG1_L4"/>
    <w:basedOn w:val="Normal"/>
    <w:next w:val="BodyText"/>
    <w:rsid w:val="004D306D"/>
    <w:pPr>
      <w:numPr>
        <w:ilvl w:val="3"/>
        <w:numId w:val="1"/>
      </w:numPr>
      <w:spacing w:after="240" w:line="480" w:lineRule="auto"/>
      <w:outlineLvl w:val="3"/>
    </w:pPr>
    <w:rPr>
      <w:szCs w:val="20"/>
    </w:rPr>
  </w:style>
  <w:style w:type="paragraph" w:customStyle="1" w:styleId="INTEROG1L5">
    <w:name w:val="INTEROG1_L5"/>
    <w:basedOn w:val="Normal"/>
    <w:next w:val="BodyText"/>
    <w:rsid w:val="004D306D"/>
    <w:pPr>
      <w:numPr>
        <w:ilvl w:val="4"/>
        <w:numId w:val="1"/>
      </w:numPr>
      <w:spacing w:after="240"/>
      <w:outlineLvl w:val="4"/>
    </w:pPr>
    <w:rPr>
      <w:szCs w:val="20"/>
    </w:rPr>
  </w:style>
  <w:style w:type="paragraph" w:customStyle="1" w:styleId="INTEROG1L6">
    <w:name w:val="INTEROG1_L6"/>
    <w:basedOn w:val="INTEROG1L5"/>
    <w:next w:val="BodyText"/>
    <w:rsid w:val="004D306D"/>
    <w:pPr>
      <w:numPr>
        <w:ilvl w:val="5"/>
      </w:numPr>
      <w:outlineLvl w:val="5"/>
    </w:pPr>
  </w:style>
  <w:style w:type="paragraph" w:customStyle="1" w:styleId="INTEROG1L7">
    <w:name w:val="INTEROG1_L7"/>
    <w:basedOn w:val="INTEROG1L6"/>
    <w:next w:val="BodyText"/>
    <w:rsid w:val="004D306D"/>
    <w:pPr>
      <w:numPr>
        <w:ilvl w:val="6"/>
      </w:numPr>
      <w:outlineLvl w:val="6"/>
    </w:pPr>
  </w:style>
  <w:style w:type="paragraph" w:customStyle="1" w:styleId="INTEROG1L8">
    <w:name w:val="INTEROG1_L8"/>
    <w:basedOn w:val="INTEROG1L7"/>
    <w:next w:val="BodyText"/>
    <w:rsid w:val="004D306D"/>
    <w:pPr>
      <w:numPr>
        <w:ilvl w:val="7"/>
      </w:numPr>
      <w:outlineLvl w:val="7"/>
    </w:pPr>
  </w:style>
  <w:style w:type="paragraph" w:customStyle="1" w:styleId="INTEROG1L9">
    <w:name w:val="INTEROG1_L9"/>
    <w:basedOn w:val="INTEROG1L8"/>
    <w:next w:val="BodyText"/>
    <w:rsid w:val="004D306D"/>
    <w:pPr>
      <w:numPr>
        <w:ilvl w:val="8"/>
      </w:numPr>
      <w:outlineLvl w:val="8"/>
    </w:p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locked/>
    <w:rsid w:val="004D306D"/>
    <w:rPr>
      <w:rFonts w:ascii="Times New Roman" w:eastAsia="Times New Roman" w:hAnsi="Times New Roman" w:cs="Times New Roman"/>
      <w:sz w:val="20"/>
      <w:szCs w:val="20"/>
    </w:rPr>
  </w:style>
  <w:style w:type="paragraph" w:styleId="TOC1">
    <w:name w:val="toc 1"/>
    <w:basedOn w:val="Normal"/>
    <w:next w:val="Normal"/>
    <w:autoRedefine/>
    <w:uiPriority w:val="39"/>
    <w:unhideWhenUsed/>
    <w:qFormat/>
    <w:rsid w:val="004D306D"/>
    <w:pPr>
      <w:tabs>
        <w:tab w:val="decimal" w:leader="dot" w:pos="8640"/>
      </w:tabs>
      <w:spacing w:after="240"/>
      <w:ind w:left="720" w:hanging="720"/>
    </w:pPr>
    <w:rPr>
      <w:rFonts w:eastAsia="Calibri"/>
    </w:rPr>
  </w:style>
  <w:style w:type="paragraph" w:styleId="TOC2">
    <w:name w:val="toc 2"/>
    <w:basedOn w:val="Normal"/>
    <w:next w:val="Normal"/>
    <w:autoRedefine/>
    <w:uiPriority w:val="39"/>
    <w:unhideWhenUsed/>
    <w:qFormat/>
    <w:rsid w:val="004D306D"/>
    <w:pPr>
      <w:tabs>
        <w:tab w:val="decimal" w:leader="dot" w:pos="8640"/>
      </w:tabs>
      <w:spacing w:after="240"/>
      <w:ind w:left="1440" w:hanging="720"/>
    </w:pPr>
    <w:rPr>
      <w:rFonts w:eastAsia="Calibri"/>
    </w:rPr>
  </w:style>
  <w:style w:type="paragraph" w:styleId="TOC3">
    <w:name w:val="toc 3"/>
    <w:basedOn w:val="Normal"/>
    <w:next w:val="Normal"/>
    <w:autoRedefine/>
    <w:uiPriority w:val="39"/>
    <w:unhideWhenUsed/>
    <w:qFormat/>
    <w:rsid w:val="004D306D"/>
    <w:pPr>
      <w:tabs>
        <w:tab w:val="decimal" w:leader="dot" w:pos="8640"/>
      </w:tabs>
      <w:spacing w:after="240"/>
      <w:ind w:left="2160" w:hanging="720"/>
    </w:pPr>
    <w:rPr>
      <w:rFonts w:eastAsia="Calibri"/>
    </w:rPr>
  </w:style>
  <w:style w:type="character" w:customStyle="1" w:styleId="apple-converted-space">
    <w:name w:val="apple-converted-space"/>
    <w:basedOn w:val="DefaultParagraphFont"/>
    <w:rsid w:val="003C0251"/>
  </w:style>
  <w:style w:type="paragraph" w:styleId="NormalWeb">
    <w:name w:val="Normal (Web)"/>
    <w:basedOn w:val="Normal"/>
    <w:uiPriority w:val="99"/>
    <w:unhideWhenUsed/>
    <w:rsid w:val="007B000D"/>
    <w:pPr>
      <w:spacing w:before="100" w:beforeAutospacing="1" w:after="100" w:afterAutospacing="1"/>
    </w:pPr>
  </w:style>
  <w:style w:type="paragraph" w:customStyle="1" w:styleId="CharCharCharCharCharCharCharCharCharChar">
    <w:name w:val="Char Char Char Char Char Char Char Char Char Char"/>
    <w:basedOn w:val="Normal"/>
    <w:rsid w:val="00643F6D"/>
    <w:pPr>
      <w:tabs>
        <w:tab w:val="left" w:pos="540"/>
        <w:tab w:val="left" w:pos="1260"/>
        <w:tab w:val="left" w:pos="1800"/>
      </w:tabs>
      <w:spacing w:before="240" w:after="160" w:line="240" w:lineRule="exact"/>
    </w:pPr>
    <w:rPr>
      <w:rFonts w:ascii="Verdana" w:hAnsi="Verdan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579">
      <w:bodyDiv w:val="1"/>
      <w:marLeft w:val="0"/>
      <w:marRight w:val="0"/>
      <w:marTop w:val="0"/>
      <w:marBottom w:val="0"/>
      <w:divBdr>
        <w:top w:val="none" w:sz="0" w:space="0" w:color="auto"/>
        <w:left w:val="none" w:sz="0" w:space="0" w:color="auto"/>
        <w:bottom w:val="none" w:sz="0" w:space="0" w:color="auto"/>
        <w:right w:val="none" w:sz="0" w:space="0" w:color="auto"/>
      </w:divBdr>
    </w:div>
    <w:div w:id="155387738">
      <w:bodyDiv w:val="1"/>
      <w:marLeft w:val="0"/>
      <w:marRight w:val="0"/>
      <w:marTop w:val="0"/>
      <w:marBottom w:val="0"/>
      <w:divBdr>
        <w:top w:val="none" w:sz="0" w:space="0" w:color="auto"/>
        <w:left w:val="none" w:sz="0" w:space="0" w:color="auto"/>
        <w:bottom w:val="none" w:sz="0" w:space="0" w:color="auto"/>
        <w:right w:val="none" w:sz="0" w:space="0" w:color="auto"/>
      </w:divBdr>
    </w:div>
    <w:div w:id="218059225">
      <w:bodyDiv w:val="1"/>
      <w:marLeft w:val="0"/>
      <w:marRight w:val="0"/>
      <w:marTop w:val="0"/>
      <w:marBottom w:val="0"/>
      <w:divBdr>
        <w:top w:val="none" w:sz="0" w:space="0" w:color="auto"/>
        <w:left w:val="none" w:sz="0" w:space="0" w:color="auto"/>
        <w:bottom w:val="none" w:sz="0" w:space="0" w:color="auto"/>
        <w:right w:val="none" w:sz="0" w:space="0" w:color="auto"/>
      </w:divBdr>
    </w:div>
    <w:div w:id="237639783">
      <w:bodyDiv w:val="1"/>
      <w:marLeft w:val="0"/>
      <w:marRight w:val="0"/>
      <w:marTop w:val="0"/>
      <w:marBottom w:val="0"/>
      <w:divBdr>
        <w:top w:val="none" w:sz="0" w:space="0" w:color="auto"/>
        <w:left w:val="none" w:sz="0" w:space="0" w:color="auto"/>
        <w:bottom w:val="none" w:sz="0" w:space="0" w:color="auto"/>
        <w:right w:val="none" w:sz="0" w:space="0" w:color="auto"/>
      </w:divBdr>
    </w:div>
    <w:div w:id="528642614">
      <w:bodyDiv w:val="1"/>
      <w:marLeft w:val="0"/>
      <w:marRight w:val="0"/>
      <w:marTop w:val="0"/>
      <w:marBottom w:val="0"/>
      <w:divBdr>
        <w:top w:val="none" w:sz="0" w:space="0" w:color="auto"/>
        <w:left w:val="none" w:sz="0" w:space="0" w:color="auto"/>
        <w:bottom w:val="none" w:sz="0" w:space="0" w:color="auto"/>
        <w:right w:val="none" w:sz="0" w:space="0" w:color="auto"/>
      </w:divBdr>
    </w:div>
    <w:div w:id="720132346">
      <w:bodyDiv w:val="1"/>
      <w:marLeft w:val="0"/>
      <w:marRight w:val="0"/>
      <w:marTop w:val="0"/>
      <w:marBottom w:val="0"/>
      <w:divBdr>
        <w:top w:val="none" w:sz="0" w:space="0" w:color="auto"/>
        <w:left w:val="none" w:sz="0" w:space="0" w:color="auto"/>
        <w:bottom w:val="none" w:sz="0" w:space="0" w:color="auto"/>
        <w:right w:val="none" w:sz="0" w:space="0" w:color="auto"/>
      </w:divBdr>
    </w:div>
    <w:div w:id="952976496">
      <w:bodyDiv w:val="1"/>
      <w:marLeft w:val="0"/>
      <w:marRight w:val="0"/>
      <w:marTop w:val="0"/>
      <w:marBottom w:val="0"/>
      <w:divBdr>
        <w:top w:val="none" w:sz="0" w:space="0" w:color="auto"/>
        <w:left w:val="none" w:sz="0" w:space="0" w:color="auto"/>
        <w:bottom w:val="none" w:sz="0" w:space="0" w:color="auto"/>
        <w:right w:val="none" w:sz="0" w:space="0" w:color="auto"/>
      </w:divBdr>
    </w:div>
    <w:div w:id="974943271">
      <w:bodyDiv w:val="1"/>
      <w:marLeft w:val="0"/>
      <w:marRight w:val="0"/>
      <w:marTop w:val="0"/>
      <w:marBottom w:val="0"/>
      <w:divBdr>
        <w:top w:val="none" w:sz="0" w:space="0" w:color="auto"/>
        <w:left w:val="none" w:sz="0" w:space="0" w:color="auto"/>
        <w:bottom w:val="none" w:sz="0" w:space="0" w:color="auto"/>
        <w:right w:val="none" w:sz="0" w:space="0" w:color="auto"/>
      </w:divBdr>
    </w:div>
    <w:div w:id="994183085">
      <w:bodyDiv w:val="1"/>
      <w:marLeft w:val="0"/>
      <w:marRight w:val="0"/>
      <w:marTop w:val="0"/>
      <w:marBottom w:val="0"/>
      <w:divBdr>
        <w:top w:val="none" w:sz="0" w:space="0" w:color="auto"/>
        <w:left w:val="none" w:sz="0" w:space="0" w:color="auto"/>
        <w:bottom w:val="none" w:sz="0" w:space="0" w:color="auto"/>
        <w:right w:val="none" w:sz="0" w:space="0" w:color="auto"/>
      </w:divBdr>
    </w:div>
    <w:div w:id="1105730938">
      <w:bodyDiv w:val="1"/>
      <w:marLeft w:val="0"/>
      <w:marRight w:val="0"/>
      <w:marTop w:val="0"/>
      <w:marBottom w:val="0"/>
      <w:divBdr>
        <w:top w:val="none" w:sz="0" w:space="0" w:color="auto"/>
        <w:left w:val="none" w:sz="0" w:space="0" w:color="auto"/>
        <w:bottom w:val="none" w:sz="0" w:space="0" w:color="auto"/>
        <w:right w:val="none" w:sz="0" w:space="0" w:color="auto"/>
      </w:divBdr>
    </w:div>
    <w:div w:id="1289972723">
      <w:bodyDiv w:val="1"/>
      <w:marLeft w:val="0"/>
      <w:marRight w:val="0"/>
      <w:marTop w:val="0"/>
      <w:marBottom w:val="0"/>
      <w:divBdr>
        <w:top w:val="none" w:sz="0" w:space="0" w:color="auto"/>
        <w:left w:val="none" w:sz="0" w:space="0" w:color="auto"/>
        <w:bottom w:val="none" w:sz="0" w:space="0" w:color="auto"/>
        <w:right w:val="none" w:sz="0" w:space="0" w:color="auto"/>
      </w:divBdr>
    </w:div>
    <w:div w:id="1393121792">
      <w:bodyDiv w:val="1"/>
      <w:marLeft w:val="0"/>
      <w:marRight w:val="0"/>
      <w:marTop w:val="0"/>
      <w:marBottom w:val="0"/>
      <w:divBdr>
        <w:top w:val="none" w:sz="0" w:space="0" w:color="auto"/>
        <w:left w:val="none" w:sz="0" w:space="0" w:color="auto"/>
        <w:bottom w:val="none" w:sz="0" w:space="0" w:color="auto"/>
        <w:right w:val="none" w:sz="0" w:space="0" w:color="auto"/>
      </w:divBdr>
    </w:div>
    <w:div w:id="1458060961">
      <w:bodyDiv w:val="1"/>
      <w:marLeft w:val="0"/>
      <w:marRight w:val="0"/>
      <w:marTop w:val="0"/>
      <w:marBottom w:val="0"/>
      <w:divBdr>
        <w:top w:val="none" w:sz="0" w:space="0" w:color="auto"/>
        <w:left w:val="none" w:sz="0" w:space="0" w:color="auto"/>
        <w:bottom w:val="none" w:sz="0" w:space="0" w:color="auto"/>
        <w:right w:val="none" w:sz="0" w:space="0" w:color="auto"/>
      </w:divBdr>
    </w:div>
    <w:div w:id="16937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William.michael@occ.ohio.gov" TargetMode="External"/><Relationship Id="rId26" Type="http://schemas.openxmlformats.org/officeDocument/2006/relationships/hyperlink" Target="mailto:fdarr@mwncmh.com" TargetMode="External"/><Relationship Id="rId39" Type="http://schemas.openxmlformats.org/officeDocument/2006/relationships/hyperlink" Target="mailto:michael.schuler@aes.com" TargetMode="External"/><Relationship Id="rId21" Type="http://schemas.openxmlformats.org/officeDocument/2006/relationships/header" Target="header5.xml"/><Relationship Id="rId34" Type="http://schemas.openxmlformats.org/officeDocument/2006/relationships/hyperlink" Target="mailto:joliker@igsenergy.com" TargetMode="External"/><Relationship Id="rId42" Type="http://schemas.openxmlformats.org/officeDocument/2006/relationships/hyperlink" Target="mailto:jsharkey@ficlaw.com" TargetMode="External"/><Relationship Id="rId47" Type="http://schemas.openxmlformats.org/officeDocument/2006/relationships/hyperlink" Target="mailto:rsahli@columbus.rr.com" TargetMode="External"/><Relationship Id="rId50" Type="http://schemas.openxmlformats.org/officeDocument/2006/relationships/hyperlink" Target="mailto:mdortch@kravitzllc.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jkylercohn@bkllawfirm.com" TargetMode="External"/><Relationship Id="rId33" Type="http://schemas.openxmlformats.org/officeDocument/2006/relationships/hyperlink" Target="mailto:cmooney@ohiopartners.org" TargetMode="External"/><Relationship Id="rId38" Type="http://schemas.openxmlformats.org/officeDocument/2006/relationships/hyperlink" Target="mailto:gregory.price@puc.state.oh.us" TargetMode="External"/><Relationship Id="rId46" Type="http://schemas.openxmlformats.org/officeDocument/2006/relationships/hyperlink" Target="mailto:schmidt@sppgrp.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mailto:smhoward@vorys.com" TargetMode="External"/><Relationship Id="rId41" Type="http://schemas.openxmlformats.org/officeDocument/2006/relationships/hyperlink" Target="mailto:djireland@ficlaw.com" TargetMode="External"/><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kurtz@bkllawfirm.com" TargetMode="External"/><Relationship Id="rId32" Type="http://schemas.openxmlformats.org/officeDocument/2006/relationships/hyperlink" Target="mailto:tdougherty@theOEC.org" TargetMode="External"/><Relationship Id="rId37" Type="http://schemas.openxmlformats.org/officeDocument/2006/relationships/hyperlink" Target="mailto:william.wright@puc.state.oh.us" TargetMode="External"/><Relationship Id="rId40" Type="http://schemas.openxmlformats.org/officeDocument/2006/relationships/hyperlink" Target="mailto:cfaruki@ficlaw.com" TargetMode="External"/><Relationship Id="rId45" Type="http://schemas.openxmlformats.org/officeDocument/2006/relationships/hyperlink" Target="mailto:evelyn.robinson@pjm.com" TargetMode="External"/><Relationship Id="rId53" Type="http://schemas.openxmlformats.org/officeDocument/2006/relationships/hyperlink" Target="mailto:tobrien@bricker.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boehm@bkllawfirm.com" TargetMode="External"/><Relationship Id="rId28" Type="http://schemas.openxmlformats.org/officeDocument/2006/relationships/hyperlink" Target="mailto:mjsettineri@vorys.com" TargetMode="External"/><Relationship Id="rId36" Type="http://schemas.openxmlformats.org/officeDocument/2006/relationships/hyperlink" Target="mailto:Ghiloni@carpenterlipps.com" TargetMode="External"/><Relationship Id="rId49" Type="http://schemas.openxmlformats.org/officeDocument/2006/relationships/hyperlink" Target="mailto:sechler@carpenterlipps.com" TargetMode="External"/><Relationship Id="rId10" Type="http://schemas.openxmlformats.org/officeDocument/2006/relationships/header" Target="header1.xml"/><Relationship Id="rId19" Type="http://schemas.openxmlformats.org/officeDocument/2006/relationships/hyperlink" Target="mailto:Kevin.moore@occ.ohio.gov" TargetMode="External"/><Relationship Id="rId31" Type="http://schemas.openxmlformats.org/officeDocument/2006/relationships/hyperlink" Target="mailto:ibatikov@vorys.com" TargetMode="External"/><Relationship Id="rId44" Type="http://schemas.openxmlformats.org/officeDocument/2006/relationships/hyperlink" Target="mailto:jeffrey.mayes@monitoringanalytics.com" TargetMode="External"/><Relationship Id="rId52" Type="http://schemas.openxmlformats.org/officeDocument/2006/relationships/hyperlink" Target="mailto:rick.sites@ohiohospitals.org" TargetMode="External"/><Relationship Id="rId4" Type="http://schemas.openxmlformats.org/officeDocument/2006/relationships/settings" Target="settings.xml"/><Relationship Id="rId9" Type="http://schemas.openxmlformats.org/officeDocument/2006/relationships/hyperlink" Target="mailto:Kevin.moore@occ.ohio.gov"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mailto:mpritchard@mwncmh.com" TargetMode="External"/><Relationship Id="rId30" Type="http://schemas.openxmlformats.org/officeDocument/2006/relationships/hyperlink" Target="mailto:glpetrucci@vorys.com" TargetMode="External"/><Relationship Id="rId35" Type="http://schemas.openxmlformats.org/officeDocument/2006/relationships/hyperlink" Target="mailto:Bojko@carpenterlipps.com" TargetMode="External"/><Relationship Id="rId43" Type="http://schemas.openxmlformats.org/officeDocument/2006/relationships/hyperlink" Target="mailto:mfleisher@elpc.org" TargetMode="External"/><Relationship Id="rId48" Type="http://schemas.openxmlformats.org/officeDocument/2006/relationships/hyperlink" Target="mailto:gpoulos@enernoc.com" TargetMode="External"/><Relationship Id="rId56" Type="http://schemas.openxmlformats.org/officeDocument/2006/relationships/theme" Target="theme/theme1.xml"/><Relationship Id="rId8" Type="http://schemas.openxmlformats.org/officeDocument/2006/relationships/hyperlink" Target="mailto:William.michael@occ.ohio.gov" TargetMode="External"/><Relationship Id="rId51" Type="http://schemas.openxmlformats.org/officeDocument/2006/relationships/hyperlink" Target="mailto:ORourke@carpenterlipps.com"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sec.gov/Archives/edgar/data/27430/000078725016000035/dpl10k12312015q4.htm" TargetMode="External"/><Relationship Id="rId1" Type="http://schemas.openxmlformats.org/officeDocument/2006/relationships/hyperlink" Target="http://www.puco.ohio.gov/emplibrary/files/docketing/AnnualReports/2013/Electric%20Distribution%20&amp;%20Transmission%20Companies%5CDayton%20Power%20and%20Light%20Company%202013%20FERC%201%20SU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4726</Words>
  <Characters>25523</Characters>
  <Application>Microsoft Office Word</Application>
  <DocSecurity>0</DocSecurity>
  <Lines>649</Lines>
  <Paragraphs>254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30278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2015-04-30T20:52:00Z</cp:lastPrinted>
  <dcterms:created xsi:type="dcterms:W3CDTF">2016-04-29T20:52:00Z</dcterms:created>
  <dcterms:modified xsi:type="dcterms:W3CDTF">2016-04-29T20:52:00Z</dcterms:modified>
  <cp:category> </cp:category>
  <cp:contentStatus> </cp:contentStatus>
</cp:coreProperties>
</file>