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17" w:rsidRDefault="008C296D">
      <w:pPr>
        <w:jc w:val="center"/>
        <w:rPr>
          <w:b/>
          <w:bCs/>
          <w:i/>
          <w:iCs/>
          <w:sz w:val="24"/>
          <w:szCs w:val="24"/>
        </w:rPr>
      </w:pPr>
      <w:bookmarkStart w:id="0" w:name="_GoBack"/>
      <w:bookmarkEnd w:id="0"/>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i/>
          <w:iCs/>
          <w:sz w:val="24"/>
          <w:szCs w:val="24"/>
        </w:rPr>
        <w:t>OCC EXHIBIT NO.__________</w:t>
      </w:r>
    </w:p>
    <w:p w:rsidR="00A86E17" w:rsidRDefault="00A86E17">
      <w:pPr>
        <w:jc w:val="center"/>
        <w:rPr>
          <w:b/>
          <w:bCs/>
          <w:sz w:val="24"/>
          <w:szCs w:val="24"/>
        </w:rPr>
      </w:pPr>
    </w:p>
    <w:p w:rsidR="00A86E17" w:rsidRDefault="00A86E17">
      <w:pPr>
        <w:jc w:val="center"/>
        <w:rPr>
          <w:b/>
          <w:bCs/>
          <w:sz w:val="24"/>
          <w:szCs w:val="24"/>
        </w:rPr>
      </w:pPr>
    </w:p>
    <w:p w:rsidR="00A86E17" w:rsidRDefault="00A86E17">
      <w:pPr>
        <w:jc w:val="center"/>
        <w:rPr>
          <w:b/>
          <w:bCs/>
          <w:sz w:val="24"/>
          <w:szCs w:val="24"/>
        </w:rPr>
      </w:pPr>
    </w:p>
    <w:p w:rsidR="00A86E17" w:rsidRDefault="008C296D">
      <w:pPr>
        <w:jc w:val="center"/>
        <w:rPr>
          <w:b/>
          <w:bCs/>
          <w:sz w:val="24"/>
          <w:szCs w:val="24"/>
        </w:rPr>
      </w:pPr>
      <w:r>
        <w:rPr>
          <w:b/>
          <w:bCs/>
          <w:sz w:val="24"/>
          <w:szCs w:val="24"/>
        </w:rPr>
        <w:t>BEFORE</w:t>
      </w:r>
    </w:p>
    <w:p w:rsidR="00A86E17" w:rsidRDefault="008C296D">
      <w:pPr>
        <w:jc w:val="center"/>
        <w:rPr>
          <w:b/>
          <w:bCs/>
          <w:sz w:val="24"/>
          <w:szCs w:val="24"/>
        </w:rPr>
      </w:pPr>
      <w:r>
        <w:rPr>
          <w:b/>
          <w:bCs/>
          <w:sz w:val="24"/>
          <w:szCs w:val="24"/>
        </w:rPr>
        <w:t>THE PUBLIC UTILITIES COMMISSION OF OHIO</w:t>
      </w:r>
    </w:p>
    <w:p w:rsidR="00A86E17" w:rsidRDefault="00A86E17">
      <w:pPr>
        <w:jc w:val="center"/>
        <w:rPr>
          <w:b/>
          <w:bCs/>
          <w:sz w:val="24"/>
          <w:szCs w:val="24"/>
        </w:rPr>
      </w:pPr>
    </w:p>
    <w:p w:rsidR="00A86E17" w:rsidRDefault="00A86E17">
      <w:pPr>
        <w:jc w:val="right"/>
        <w:rPr>
          <w:b/>
          <w:bCs/>
          <w:sz w:val="24"/>
          <w:szCs w:val="24"/>
        </w:rPr>
      </w:pPr>
    </w:p>
    <w:p w:rsidR="00A86E17" w:rsidRDefault="008C296D">
      <w:pPr>
        <w:pStyle w:val="Title"/>
        <w:tabs>
          <w:tab w:val="left" w:pos="4320"/>
        </w:tabs>
        <w:jc w:val="left"/>
        <w:rPr>
          <w:b w:val="0"/>
          <w:bCs w:val="0"/>
        </w:rPr>
      </w:pPr>
      <w:r>
        <w:rPr>
          <w:b w:val="0"/>
          <w:bCs w:val="0"/>
        </w:rPr>
        <w:t>In the Matter of the Application of Aqua</w:t>
      </w:r>
      <w:r>
        <w:rPr>
          <w:b w:val="0"/>
          <w:bCs w:val="0"/>
        </w:rPr>
        <w:tab/>
        <w:t>)</w:t>
      </w:r>
    </w:p>
    <w:p w:rsidR="00A86E17" w:rsidRDefault="008C296D">
      <w:pPr>
        <w:pStyle w:val="Title"/>
        <w:tabs>
          <w:tab w:val="left" w:pos="4320"/>
        </w:tabs>
        <w:jc w:val="left"/>
        <w:rPr>
          <w:b w:val="0"/>
          <w:bCs w:val="0"/>
        </w:rPr>
      </w:pPr>
      <w:r>
        <w:rPr>
          <w:b w:val="0"/>
          <w:bCs w:val="0"/>
        </w:rPr>
        <w:t>Ohio, Inc. to Increase Its Rates for Water</w:t>
      </w:r>
      <w:r>
        <w:rPr>
          <w:b w:val="0"/>
          <w:bCs w:val="0"/>
        </w:rPr>
        <w:tab/>
        <w:t>)     Case No. 13-2124-WW-AIR</w:t>
      </w:r>
    </w:p>
    <w:p w:rsidR="00A86E17" w:rsidRDefault="008C296D">
      <w:pPr>
        <w:pStyle w:val="Title"/>
        <w:tabs>
          <w:tab w:val="left" w:pos="4320"/>
        </w:tabs>
        <w:jc w:val="left"/>
        <w:rPr>
          <w:b w:val="0"/>
          <w:bCs w:val="0"/>
        </w:rPr>
      </w:pPr>
      <w:r>
        <w:rPr>
          <w:b w:val="0"/>
          <w:bCs w:val="0"/>
        </w:rPr>
        <w:t>Service.</w:t>
      </w:r>
      <w:r>
        <w:rPr>
          <w:b w:val="0"/>
          <w:bCs w:val="0"/>
        </w:rPr>
        <w:tab/>
        <w:t>)</w:t>
      </w:r>
    </w:p>
    <w:p w:rsidR="00A86E17" w:rsidRDefault="00A86E17">
      <w:pPr>
        <w:pStyle w:val="PlainText"/>
        <w:jc w:val="both"/>
        <w:rPr>
          <w:rFonts w:ascii="Times New Roman" w:hAnsi="Times New Roman" w:cs="Times New Roman"/>
          <w:sz w:val="24"/>
          <w:szCs w:val="24"/>
        </w:rPr>
      </w:pPr>
    </w:p>
    <w:p w:rsidR="00A86E17" w:rsidRDefault="00A86E17">
      <w:pPr>
        <w:pStyle w:val="PlainText"/>
        <w:jc w:val="center"/>
        <w:rPr>
          <w:rFonts w:ascii="Times New Roman" w:hAnsi="Times New Roman" w:cs="Times New Roman"/>
          <w:b/>
          <w:bCs/>
          <w:sz w:val="24"/>
          <w:szCs w:val="24"/>
        </w:rPr>
      </w:pPr>
    </w:p>
    <w:p w:rsidR="00A86E17" w:rsidRDefault="00A86E17">
      <w:pPr>
        <w:pStyle w:val="PlainText"/>
        <w:jc w:val="center"/>
        <w:rPr>
          <w:rFonts w:ascii="Times New Roman" w:hAnsi="Times New Roman" w:cs="Times New Roman"/>
          <w:b/>
          <w:bCs/>
          <w:sz w:val="24"/>
          <w:szCs w:val="24"/>
        </w:rPr>
      </w:pPr>
    </w:p>
    <w:p w:rsidR="00A86E17" w:rsidRDefault="00A86E17">
      <w:pPr>
        <w:pStyle w:val="PlainText"/>
        <w:jc w:val="center"/>
        <w:rPr>
          <w:rFonts w:ascii="Times New Roman" w:hAnsi="Times New Roman" w:cs="Times New Roman"/>
          <w:b/>
          <w:bCs/>
          <w:sz w:val="24"/>
          <w:szCs w:val="24"/>
        </w:rPr>
      </w:pPr>
    </w:p>
    <w:p w:rsidR="00A86E17" w:rsidRDefault="00A86E17">
      <w:pPr>
        <w:pStyle w:val="PlainText"/>
        <w:jc w:val="center"/>
        <w:rPr>
          <w:rFonts w:ascii="Times New Roman" w:hAnsi="Times New Roman" w:cs="Times New Roman"/>
          <w:b/>
          <w:bCs/>
          <w:sz w:val="24"/>
          <w:szCs w:val="24"/>
        </w:rPr>
      </w:pPr>
    </w:p>
    <w:p w:rsidR="007377EF" w:rsidRDefault="008C296D" w:rsidP="007377EF">
      <w:pPr>
        <w:pStyle w:val="List2"/>
        <w:ind w:left="540" w:hanging="540"/>
        <w:jc w:val="center"/>
        <w:rPr>
          <w:b/>
          <w:bCs/>
        </w:rPr>
      </w:pPr>
      <w:r>
        <w:rPr>
          <w:b/>
          <w:bCs/>
        </w:rPr>
        <w:t>TESTIMONY</w:t>
      </w:r>
      <w:r w:rsidR="007377EF">
        <w:rPr>
          <w:b/>
          <w:bCs/>
        </w:rPr>
        <w:t xml:space="preserve"> IN OPPOSITION TO THE STIPULATION AND RECOMMENDATION</w:t>
      </w:r>
    </w:p>
    <w:p w:rsidR="00A86E17" w:rsidRDefault="008C296D">
      <w:pPr>
        <w:pStyle w:val="PlainText"/>
        <w:jc w:val="center"/>
        <w:rPr>
          <w:rFonts w:ascii="Times New Roman" w:hAnsi="Times New Roman" w:cs="Times New Roman"/>
          <w:b/>
          <w:bCs/>
          <w:sz w:val="24"/>
          <w:szCs w:val="24"/>
        </w:rPr>
      </w:pPr>
      <w:r>
        <w:rPr>
          <w:rFonts w:ascii="Times New Roman" w:hAnsi="Times New Roman" w:cs="Times New Roman"/>
          <w:b/>
          <w:bCs/>
          <w:sz w:val="24"/>
          <w:szCs w:val="24"/>
        </w:rPr>
        <w:t>OF</w:t>
      </w:r>
    </w:p>
    <w:p w:rsidR="00A86E17" w:rsidRDefault="008C296D">
      <w:pPr>
        <w:pStyle w:val="List2"/>
        <w:ind w:left="540" w:hanging="540"/>
        <w:jc w:val="center"/>
        <w:rPr>
          <w:b/>
          <w:bCs/>
        </w:rPr>
      </w:pPr>
      <w:r>
        <w:rPr>
          <w:b/>
          <w:bCs/>
        </w:rPr>
        <w:t>STEVEN B. HINES</w:t>
      </w:r>
    </w:p>
    <w:p w:rsidR="00A86E17" w:rsidRDefault="00A86E17">
      <w:pPr>
        <w:pStyle w:val="List2"/>
        <w:ind w:left="540" w:hanging="540"/>
        <w:jc w:val="center"/>
      </w:pPr>
    </w:p>
    <w:p w:rsidR="00A86E17" w:rsidRDefault="00A86E17">
      <w:pPr>
        <w:pStyle w:val="List2"/>
        <w:ind w:left="540" w:hanging="540"/>
        <w:jc w:val="center"/>
      </w:pPr>
    </w:p>
    <w:p w:rsidR="00A86E17" w:rsidRDefault="008C296D">
      <w:pPr>
        <w:jc w:val="center"/>
        <w:rPr>
          <w:b/>
          <w:bCs/>
          <w:sz w:val="24"/>
          <w:szCs w:val="24"/>
        </w:rPr>
      </w:pPr>
      <w:r>
        <w:rPr>
          <w:b/>
          <w:bCs/>
          <w:sz w:val="24"/>
          <w:szCs w:val="24"/>
        </w:rPr>
        <w:t>On Behalf of</w:t>
      </w:r>
    </w:p>
    <w:p w:rsidR="00A86E17" w:rsidRDefault="008C296D">
      <w:pPr>
        <w:jc w:val="center"/>
        <w:rPr>
          <w:b/>
          <w:bCs/>
          <w:sz w:val="24"/>
          <w:szCs w:val="24"/>
        </w:rPr>
      </w:pPr>
      <w:r>
        <w:rPr>
          <w:b/>
          <w:bCs/>
          <w:sz w:val="24"/>
          <w:szCs w:val="24"/>
        </w:rPr>
        <w:t>The Office of the Ohio Consumers' Counsel</w:t>
      </w:r>
    </w:p>
    <w:p w:rsidR="00A86E17" w:rsidRDefault="008C296D">
      <w:pPr>
        <w:jc w:val="center"/>
        <w:rPr>
          <w:i/>
          <w:iCs/>
          <w:sz w:val="24"/>
          <w:szCs w:val="24"/>
        </w:rPr>
      </w:pPr>
      <w:r>
        <w:rPr>
          <w:i/>
          <w:iCs/>
          <w:sz w:val="24"/>
          <w:szCs w:val="24"/>
        </w:rPr>
        <w:t>10 West Broad Street, Suite 1800</w:t>
      </w:r>
    </w:p>
    <w:p w:rsidR="00A86E17" w:rsidRDefault="008C296D">
      <w:pPr>
        <w:jc w:val="center"/>
        <w:rPr>
          <w:i/>
          <w:iCs/>
          <w:sz w:val="24"/>
          <w:szCs w:val="24"/>
        </w:rPr>
      </w:pPr>
      <w:r>
        <w:rPr>
          <w:i/>
          <w:iCs/>
          <w:sz w:val="24"/>
          <w:szCs w:val="24"/>
        </w:rPr>
        <w:t>Columbus, Ohio 43215-3485</w:t>
      </w:r>
    </w:p>
    <w:p w:rsidR="00A86E17" w:rsidRDefault="00A86E17">
      <w:pPr>
        <w:jc w:val="center"/>
        <w:rPr>
          <w:i/>
          <w:iCs/>
          <w:sz w:val="24"/>
          <w:szCs w:val="24"/>
        </w:rPr>
      </w:pPr>
    </w:p>
    <w:p w:rsidR="00A86E17" w:rsidRDefault="00A86E17">
      <w:pPr>
        <w:jc w:val="center"/>
        <w:rPr>
          <w:i/>
          <w:iCs/>
          <w:sz w:val="24"/>
          <w:szCs w:val="24"/>
        </w:rPr>
      </w:pPr>
    </w:p>
    <w:p w:rsidR="00A86E17" w:rsidRDefault="008C296D">
      <w:pPr>
        <w:pStyle w:val="BodyText"/>
        <w:jc w:val="center"/>
        <w:rPr>
          <w:b/>
          <w:bCs/>
          <w:sz w:val="24"/>
          <w:szCs w:val="24"/>
        </w:rPr>
        <w:sectPr w:rsidR="00A86E1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272"/>
        </w:sectPr>
      </w:pPr>
      <w:r>
        <w:rPr>
          <w:b/>
          <w:bCs/>
          <w:sz w:val="24"/>
          <w:szCs w:val="24"/>
        </w:rPr>
        <w:t>August 4, 2014</w:t>
      </w:r>
    </w:p>
    <w:p w:rsidR="00A86E17" w:rsidRDefault="008C296D">
      <w:pPr>
        <w:ind w:left="360" w:hanging="360"/>
        <w:jc w:val="center"/>
        <w:rPr>
          <w:sz w:val="24"/>
          <w:szCs w:val="24"/>
        </w:rPr>
      </w:pPr>
      <w:r>
        <w:rPr>
          <w:b/>
          <w:bCs/>
          <w:sz w:val="24"/>
          <w:szCs w:val="24"/>
          <w:u w:val="single"/>
        </w:rPr>
        <w:lastRenderedPageBreak/>
        <w:t>TABLE OF CONTENTS</w:t>
      </w:r>
    </w:p>
    <w:p w:rsidR="00A86E17" w:rsidRDefault="00A86E17">
      <w:pPr>
        <w:tabs>
          <w:tab w:val="right" w:pos="360"/>
          <w:tab w:val="left" w:pos="900"/>
          <w:tab w:val="left" w:pos="1260"/>
          <w:tab w:val="left" w:pos="1620"/>
          <w:tab w:val="decimal" w:pos="9000"/>
        </w:tabs>
        <w:rPr>
          <w:sz w:val="24"/>
          <w:szCs w:val="24"/>
        </w:rPr>
      </w:pPr>
    </w:p>
    <w:p w:rsidR="00A86E17" w:rsidRDefault="00F3169E" w:rsidP="00F3169E">
      <w:pPr>
        <w:tabs>
          <w:tab w:val="center" w:pos="8640"/>
        </w:tabs>
        <w:rPr>
          <w:b/>
          <w:bCs/>
          <w:sz w:val="24"/>
          <w:szCs w:val="24"/>
        </w:rPr>
      </w:pPr>
      <w:r>
        <w:rPr>
          <w:sz w:val="24"/>
          <w:szCs w:val="24"/>
        </w:rPr>
        <w:t xml:space="preserve">                                                                                                                                    </w:t>
      </w:r>
      <w:r w:rsidR="008C296D">
        <w:rPr>
          <w:b/>
          <w:bCs/>
          <w:sz w:val="24"/>
          <w:szCs w:val="24"/>
        </w:rPr>
        <w:t>PAGE</w:t>
      </w:r>
    </w:p>
    <w:p w:rsidR="00F3169E" w:rsidRDefault="00F3169E" w:rsidP="00F3169E">
      <w:pPr>
        <w:tabs>
          <w:tab w:val="center" w:pos="8640"/>
        </w:tabs>
        <w:rPr>
          <w:b/>
          <w:bCs/>
          <w:sz w:val="24"/>
          <w:szCs w:val="24"/>
        </w:rPr>
      </w:pPr>
    </w:p>
    <w:p w:rsidR="00597573" w:rsidRDefault="00F3169E">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94905851" w:history="1">
        <w:r w:rsidR="00597573" w:rsidRPr="00FF3099">
          <w:rPr>
            <w:rStyle w:val="Hyperlink"/>
            <w:noProof/>
          </w:rPr>
          <w:t>I.</w:t>
        </w:r>
        <w:r w:rsidR="00597573">
          <w:rPr>
            <w:rFonts w:asciiTheme="minorHAnsi" w:eastAsiaTheme="minorEastAsia" w:hAnsiTheme="minorHAnsi" w:cstheme="minorBidi"/>
            <w:noProof/>
            <w:sz w:val="22"/>
            <w:szCs w:val="22"/>
          </w:rPr>
          <w:tab/>
        </w:r>
        <w:r w:rsidR="00597573" w:rsidRPr="00FF3099">
          <w:rPr>
            <w:rStyle w:val="Hyperlink"/>
            <w:noProof/>
          </w:rPr>
          <w:t>INTRODUCTION</w:t>
        </w:r>
        <w:r w:rsidR="00597573">
          <w:rPr>
            <w:noProof/>
            <w:webHidden/>
          </w:rPr>
          <w:tab/>
        </w:r>
        <w:r w:rsidR="00597573">
          <w:rPr>
            <w:noProof/>
            <w:webHidden/>
          </w:rPr>
          <w:fldChar w:fldCharType="begin"/>
        </w:r>
        <w:r w:rsidR="00597573">
          <w:rPr>
            <w:noProof/>
            <w:webHidden/>
          </w:rPr>
          <w:instrText xml:space="preserve"> PAGEREF _Toc394905851 \h </w:instrText>
        </w:r>
        <w:r w:rsidR="00597573">
          <w:rPr>
            <w:noProof/>
            <w:webHidden/>
          </w:rPr>
        </w:r>
        <w:r w:rsidR="00597573">
          <w:rPr>
            <w:noProof/>
            <w:webHidden/>
          </w:rPr>
          <w:fldChar w:fldCharType="separate"/>
        </w:r>
        <w:r w:rsidR="00981633">
          <w:rPr>
            <w:noProof/>
            <w:webHidden/>
          </w:rPr>
          <w:t>1</w:t>
        </w:r>
        <w:r w:rsidR="00597573">
          <w:rPr>
            <w:noProof/>
            <w:webHidden/>
          </w:rPr>
          <w:fldChar w:fldCharType="end"/>
        </w:r>
      </w:hyperlink>
    </w:p>
    <w:p w:rsidR="00597573" w:rsidRDefault="00803B58">
      <w:pPr>
        <w:pStyle w:val="TOC1"/>
        <w:rPr>
          <w:rFonts w:asciiTheme="minorHAnsi" w:eastAsiaTheme="minorEastAsia" w:hAnsiTheme="minorHAnsi" w:cstheme="minorBidi"/>
          <w:noProof/>
          <w:sz w:val="22"/>
          <w:szCs w:val="22"/>
        </w:rPr>
      </w:pPr>
      <w:hyperlink w:anchor="_Toc394905852" w:history="1">
        <w:r w:rsidR="00597573" w:rsidRPr="00FF3099">
          <w:rPr>
            <w:rStyle w:val="Hyperlink"/>
            <w:noProof/>
          </w:rPr>
          <w:t>II.</w:t>
        </w:r>
        <w:r w:rsidR="00597573">
          <w:rPr>
            <w:rFonts w:asciiTheme="minorHAnsi" w:eastAsiaTheme="minorEastAsia" w:hAnsiTheme="minorHAnsi" w:cstheme="minorBidi"/>
            <w:noProof/>
            <w:sz w:val="22"/>
            <w:szCs w:val="22"/>
          </w:rPr>
          <w:tab/>
        </w:r>
        <w:r w:rsidR="00597573" w:rsidRPr="00FF3099">
          <w:rPr>
            <w:rStyle w:val="Hyperlink"/>
            <w:noProof/>
          </w:rPr>
          <w:t>EVALUATION OF THE STIPULATION WITH RESPECT TO THE THREE-PRONG TEST USED BY THE PUCO.</w:t>
        </w:r>
        <w:r w:rsidR="00597573">
          <w:rPr>
            <w:noProof/>
            <w:webHidden/>
          </w:rPr>
          <w:tab/>
        </w:r>
        <w:r w:rsidR="00597573">
          <w:rPr>
            <w:noProof/>
            <w:webHidden/>
          </w:rPr>
          <w:fldChar w:fldCharType="begin"/>
        </w:r>
        <w:r w:rsidR="00597573">
          <w:rPr>
            <w:noProof/>
            <w:webHidden/>
          </w:rPr>
          <w:instrText xml:space="preserve"> PAGEREF _Toc394905852 \h </w:instrText>
        </w:r>
        <w:r w:rsidR="00597573">
          <w:rPr>
            <w:noProof/>
            <w:webHidden/>
          </w:rPr>
        </w:r>
        <w:r w:rsidR="00597573">
          <w:rPr>
            <w:noProof/>
            <w:webHidden/>
          </w:rPr>
          <w:fldChar w:fldCharType="separate"/>
        </w:r>
        <w:r w:rsidR="00981633">
          <w:rPr>
            <w:noProof/>
            <w:webHidden/>
          </w:rPr>
          <w:t>2</w:t>
        </w:r>
        <w:r w:rsidR="00597573">
          <w:rPr>
            <w:noProof/>
            <w:webHidden/>
          </w:rPr>
          <w:fldChar w:fldCharType="end"/>
        </w:r>
      </w:hyperlink>
    </w:p>
    <w:p w:rsidR="00597573" w:rsidRDefault="00803B58">
      <w:pPr>
        <w:pStyle w:val="TOC1"/>
        <w:rPr>
          <w:rFonts w:asciiTheme="minorHAnsi" w:eastAsiaTheme="minorEastAsia" w:hAnsiTheme="minorHAnsi" w:cstheme="minorBidi"/>
          <w:noProof/>
          <w:sz w:val="22"/>
          <w:szCs w:val="22"/>
        </w:rPr>
      </w:pPr>
      <w:hyperlink w:anchor="_Toc394905853" w:history="1">
        <w:r w:rsidR="00597573" w:rsidRPr="00FF3099">
          <w:rPr>
            <w:rStyle w:val="Hyperlink"/>
            <w:noProof/>
          </w:rPr>
          <w:t>III.</w:t>
        </w:r>
        <w:r w:rsidR="00597573">
          <w:rPr>
            <w:rFonts w:asciiTheme="minorHAnsi" w:eastAsiaTheme="minorEastAsia" w:hAnsiTheme="minorHAnsi" w:cstheme="minorBidi"/>
            <w:noProof/>
            <w:sz w:val="22"/>
            <w:szCs w:val="22"/>
          </w:rPr>
          <w:tab/>
        </w:r>
        <w:r w:rsidR="00597573" w:rsidRPr="00FF3099">
          <w:rPr>
            <w:rStyle w:val="Hyperlink"/>
            <w:noProof/>
          </w:rPr>
          <w:t>CONCLUSION</w:t>
        </w:r>
        <w:r w:rsidR="00597573">
          <w:rPr>
            <w:noProof/>
            <w:webHidden/>
          </w:rPr>
          <w:tab/>
        </w:r>
        <w:r w:rsidR="00597573">
          <w:rPr>
            <w:noProof/>
            <w:webHidden/>
          </w:rPr>
          <w:fldChar w:fldCharType="begin"/>
        </w:r>
        <w:r w:rsidR="00597573">
          <w:rPr>
            <w:noProof/>
            <w:webHidden/>
          </w:rPr>
          <w:instrText xml:space="preserve"> PAGEREF _Toc394905853 \h </w:instrText>
        </w:r>
        <w:r w:rsidR="00597573">
          <w:rPr>
            <w:noProof/>
            <w:webHidden/>
          </w:rPr>
        </w:r>
        <w:r w:rsidR="00597573">
          <w:rPr>
            <w:noProof/>
            <w:webHidden/>
          </w:rPr>
          <w:fldChar w:fldCharType="separate"/>
        </w:r>
        <w:r w:rsidR="00981633">
          <w:rPr>
            <w:noProof/>
            <w:webHidden/>
          </w:rPr>
          <w:t>17</w:t>
        </w:r>
        <w:r w:rsidR="00597573">
          <w:rPr>
            <w:noProof/>
            <w:webHidden/>
          </w:rPr>
          <w:fldChar w:fldCharType="end"/>
        </w:r>
      </w:hyperlink>
    </w:p>
    <w:p w:rsidR="00A86E17" w:rsidRDefault="00F3169E">
      <w:pPr>
        <w:tabs>
          <w:tab w:val="left" w:pos="720"/>
          <w:tab w:val="left" w:pos="1440"/>
          <w:tab w:val="left" w:pos="2160"/>
          <w:tab w:val="center" w:pos="7920"/>
          <w:tab w:val="decimal" w:leader="dot" w:pos="8640"/>
        </w:tabs>
        <w:ind w:left="630" w:hanging="630"/>
        <w:rPr>
          <w:sz w:val="24"/>
          <w:szCs w:val="24"/>
        </w:rPr>
      </w:pPr>
      <w:r>
        <w:rPr>
          <w:sz w:val="24"/>
          <w:szCs w:val="24"/>
        </w:rPr>
        <w:fldChar w:fldCharType="end"/>
      </w:r>
    </w:p>
    <w:p w:rsidR="00A86E17" w:rsidRDefault="008C296D">
      <w:pPr>
        <w:jc w:val="center"/>
        <w:rPr>
          <w:b/>
          <w:sz w:val="24"/>
          <w:szCs w:val="24"/>
          <w:u w:val="single"/>
        </w:rPr>
      </w:pPr>
      <w:r>
        <w:rPr>
          <w:b/>
          <w:sz w:val="24"/>
          <w:szCs w:val="24"/>
          <w:u w:val="single"/>
        </w:rPr>
        <w:t>SCHEDULES</w:t>
      </w:r>
    </w:p>
    <w:p w:rsidR="00A86E17" w:rsidRDefault="00A86E17">
      <w:pPr>
        <w:jc w:val="center"/>
        <w:rPr>
          <w:b/>
          <w:sz w:val="24"/>
          <w:szCs w:val="24"/>
          <w:u w:val="single"/>
        </w:rPr>
      </w:pPr>
    </w:p>
    <w:p w:rsidR="00A86E17" w:rsidRDefault="008C296D">
      <w:pPr>
        <w:ind w:left="1440" w:hanging="1440"/>
        <w:rPr>
          <w:sz w:val="24"/>
          <w:szCs w:val="24"/>
        </w:rPr>
      </w:pPr>
      <w:r>
        <w:rPr>
          <w:sz w:val="24"/>
          <w:szCs w:val="24"/>
        </w:rPr>
        <w:t>SBH-1</w:t>
      </w:r>
      <w:r>
        <w:rPr>
          <w:sz w:val="24"/>
          <w:szCs w:val="24"/>
        </w:rPr>
        <w:tab/>
        <w:t>Change in Net Plant Allocation Factor</w:t>
      </w:r>
    </w:p>
    <w:p w:rsidR="00A86E17" w:rsidRDefault="008C296D">
      <w:pPr>
        <w:ind w:left="1440" w:hanging="1440"/>
        <w:rPr>
          <w:sz w:val="24"/>
          <w:szCs w:val="24"/>
        </w:rPr>
      </w:pPr>
      <w:r>
        <w:rPr>
          <w:sz w:val="24"/>
          <w:szCs w:val="24"/>
        </w:rPr>
        <w:t>SBH-2</w:t>
      </w:r>
      <w:r>
        <w:rPr>
          <w:sz w:val="24"/>
          <w:szCs w:val="24"/>
        </w:rPr>
        <w:tab/>
        <w:t>Rate Base Adjustments related to Change in Net Plant Allocation Factor</w:t>
      </w:r>
    </w:p>
    <w:p w:rsidR="00A86E17" w:rsidRDefault="008C296D">
      <w:pPr>
        <w:ind w:left="1440" w:hanging="1440"/>
        <w:rPr>
          <w:sz w:val="24"/>
          <w:szCs w:val="24"/>
        </w:rPr>
      </w:pPr>
      <w:r>
        <w:rPr>
          <w:sz w:val="24"/>
          <w:szCs w:val="24"/>
        </w:rPr>
        <w:t>SBH-3</w:t>
      </w:r>
      <w:r>
        <w:rPr>
          <w:sz w:val="24"/>
          <w:szCs w:val="24"/>
        </w:rPr>
        <w:tab/>
        <w:t>Depreciation Expense Adjustment for Change in Net Plant Allocation Factor</w:t>
      </w:r>
    </w:p>
    <w:p w:rsidR="00A86E17" w:rsidRDefault="008C296D">
      <w:pPr>
        <w:ind w:left="1440" w:hanging="1440"/>
        <w:rPr>
          <w:sz w:val="24"/>
          <w:szCs w:val="24"/>
        </w:rPr>
      </w:pPr>
      <w:r>
        <w:rPr>
          <w:sz w:val="24"/>
          <w:szCs w:val="24"/>
        </w:rPr>
        <w:t>SBH-4</w:t>
      </w:r>
      <w:r>
        <w:rPr>
          <w:sz w:val="24"/>
          <w:szCs w:val="24"/>
        </w:rPr>
        <w:tab/>
        <w:t>Property Tax Expense Adjustment for Change in Net Plant Allocation Factor</w:t>
      </w:r>
    </w:p>
    <w:p w:rsidR="00A86E17" w:rsidRDefault="008C296D">
      <w:pPr>
        <w:ind w:left="1440" w:hanging="1440"/>
        <w:rPr>
          <w:sz w:val="24"/>
          <w:szCs w:val="24"/>
        </w:rPr>
      </w:pPr>
      <w:r>
        <w:rPr>
          <w:sz w:val="24"/>
          <w:szCs w:val="24"/>
        </w:rPr>
        <w:t>SBH-5</w:t>
      </w:r>
      <w:r>
        <w:rPr>
          <w:sz w:val="24"/>
          <w:szCs w:val="24"/>
        </w:rPr>
        <w:tab/>
        <w:t>Rate Case Expense Adjustment</w:t>
      </w:r>
    </w:p>
    <w:p w:rsidR="00A86E17" w:rsidRDefault="008C296D">
      <w:pPr>
        <w:ind w:left="1440" w:hanging="1440"/>
        <w:rPr>
          <w:sz w:val="24"/>
          <w:szCs w:val="24"/>
        </w:rPr>
      </w:pPr>
      <w:r>
        <w:rPr>
          <w:sz w:val="24"/>
          <w:szCs w:val="24"/>
        </w:rPr>
        <w:t>SBH-6</w:t>
      </w:r>
      <w:r>
        <w:rPr>
          <w:sz w:val="24"/>
          <w:szCs w:val="24"/>
        </w:rPr>
        <w:tab/>
        <w:t>Signing Bonus Adjustment</w:t>
      </w:r>
    </w:p>
    <w:p w:rsidR="00A86E17" w:rsidRDefault="008C296D">
      <w:pPr>
        <w:ind w:left="1440" w:hanging="1440"/>
        <w:rPr>
          <w:sz w:val="24"/>
          <w:szCs w:val="24"/>
        </w:rPr>
      </w:pPr>
      <w:r>
        <w:rPr>
          <w:sz w:val="24"/>
          <w:szCs w:val="24"/>
        </w:rPr>
        <w:t>SBH-7</w:t>
      </w:r>
      <w:r>
        <w:rPr>
          <w:sz w:val="24"/>
          <w:szCs w:val="24"/>
        </w:rPr>
        <w:tab/>
        <w:t>FICA Tax Adjustment for Elimination of Signing Bonuses</w:t>
      </w:r>
    </w:p>
    <w:p w:rsidR="00A86E17" w:rsidRDefault="008C296D">
      <w:pPr>
        <w:ind w:left="1440" w:hanging="1440"/>
        <w:rPr>
          <w:sz w:val="24"/>
          <w:szCs w:val="24"/>
        </w:rPr>
      </w:pPr>
      <w:r>
        <w:rPr>
          <w:sz w:val="24"/>
          <w:szCs w:val="24"/>
        </w:rPr>
        <w:t>SBH-8</w:t>
      </w:r>
      <w:r>
        <w:rPr>
          <w:sz w:val="24"/>
          <w:szCs w:val="24"/>
        </w:rPr>
        <w:tab/>
        <w:t>Account 923-2 Sundry Cost Adjustment</w:t>
      </w:r>
    </w:p>
    <w:p w:rsidR="00A86E17" w:rsidRDefault="008C296D">
      <w:pPr>
        <w:ind w:left="1440" w:hanging="1440"/>
        <w:rPr>
          <w:sz w:val="24"/>
          <w:szCs w:val="24"/>
        </w:rPr>
      </w:pPr>
      <w:r>
        <w:rPr>
          <w:sz w:val="24"/>
          <w:szCs w:val="24"/>
        </w:rPr>
        <w:t>SBH-9</w:t>
      </w:r>
      <w:r>
        <w:rPr>
          <w:sz w:val="24"/>
          <w:szCs w:val="24"/>
        </w:rPr>
        <w:tab/>
      </w:r>
      <w:r w:rsidR="009041AA">
        <w:rPr>
          <w:sz w:val="24"/>
          <w:szCs w:val="24"/>
        </w:rPr>
        <w:t>Effect of Switching to Bills-Rendered Billing</w:t>
      </w:r>
    </w:p>
    <w:p w:rsidR="00A86E17" w:rsidRDefault="008C296D">
      <w:pPr>
        <w:ind w:left="1440" w:hanging="1440"/>
        <w:rPr>
          <w:sz w:val="24"/>
          <w:szCs w:val="24"/>
        </w:rPr>
      </w:pPr>
      <w:r>
        <w:rPr>
          <w:sz w:val="24"/>
          <w:szCs w:val="24"/>
        </w:rPr>
        <w:t>SBH-10</w:t>
      </w:r>
      <w:r>
        <w:rPr>
          <w:sz w:val="24"/>
          <w:szCs w:val="24"/>
        </w:rPr>
        <w:tab/>
      </w:r>
      <w:r w:rsidR="009041AA">
        <w:rPr>
          <w:sz w:val="24"/>
          <w:szCs w:val="24"/>
        </w:rPr>
        <w:t>Federal Income Tax Adjustment</w:t>
      </w:r>
    </w:p>
    <w:p w:rsidR="00A86E17" w:rsidRDefault="008C296D">
      <w:pPr>
        <w:ind w:left="1440" w:hanging="1440"/>
        <w:rPr>
          <w:sz w:val="24"/>
          <w:szCs w:val="24"/>
        </w:rPr>
      </w:pPr>
      <w:r>
        <w:rPr>
          <w:sz w:val="24"/>
          <w:szCs w:val="24"/>
        </w:rPr>
        <w:t>SBH-11</w:t>
      </w:r>
      <w:r>
        <w:rPr>
          <w:sz w:val="24"/>
          <w:szCs w:val="24"/>
        </w:rPr>
        <w:tab/>
      </w:r>
      <w:r w:rsidR="009041AA">
        <w:rPr>
          <w:sz w:val="24"/>
          <w:szCs w:val="24"/>
        </w:rPr>
        <w:t>Supporting Schedule for Federal Income Tax Adjustment</w:t>
      </w:r>
    </w:p>
    <w:p w:rsidR="00A86E17" w:rsidRDefault="008C296D">
      <w:pPr>
        <w:ind w:left="1440" w:hanging="1440"/>
        <w:rPr>
          <w:sz w:val="24"/>
          <w:szCs w:val="24"/>
        </w:rPr>
      </w:pPr>
      <w:r>
        <w:rPr>
          <w:sz w:val="24"/>
          <w:szCs w:val="24"/>
        </w:rPr>
        <w:t>SBH-12</w:t>
      </w:r>
      <w:r>
        <w:rPr>
          <w:sz w:val="24"/>
          <w:szCs w:val="24"/>
        </w:rPr>
        <w:tab/>
      </w:r>
      <w:r w:rsidR="009041AA">
        <w:rPr>
          <w:sz w:val="24"/>
          <w:szCs w:val="24"/>
        </w:rPr>
        <w:t>OCC Adjusted Rate Base and Operating Income</w:t>
      </w:r>
    </w:p>
    <w:p w:rsidR="00A86E17" w:rsidRDefault="008C296D">
      <w:pPr>
        <w:ind w:left="1440" w:hanging="1440"/>
        <w:rPr>
          <w:sz w:val="24"/>
          <w:szCs w:val="24"/>
        </w:rPr>
      </w:pPr>
      <w:r>
        <w:rPr>
          <w:sz w:val="24"/>
          <w:szCs w:val="24"/>
        </w:rPr>
        <w:t>SBH-13</w:t>
      </w:r>
      <w:r>
        <w:rPr>
          <w:sz w:val="24"/>
          <w:szCs w:val="24"/>
        </w:rPr>
        <w:tab/>
      </w:r>
      <w:r w:rsidR="009041AA">
        <w:rPr>
          <w:sz w:val="24"/>
          <w:szCs w:val="24"/>
        </w:rPr>
        <w:t>OCC Revenue Requirements</w:t>
      </w:r>
    </w:p>
    <w:p w:rsidR="00A86E17" w:rsidRDefault="008C296D">
      <w:pPr>
        <w:ind w:left="1440" w:hanging="1440"/>
        <w:rPr>
          <w:sz w:val="24"/>
          <w:szCs w:val="24"/>
        </w:rPr>
      </w:pPr>
      <w:r>
        <w:rPr>
          <w:sz w:val="24"/>
          <w:szCs w:val="24"/>
        </w:rPr>
        <w:tab/>
      </w:r>
    </w:p>
    <w:p w:rsidR="00A86E17" w:rsidRDefault="00A86E17">
      <w:pPr>
        <w:ind w:left="1440" w:hanging="1440"/>
        <w:rPr>
          <w:sz w:val="24"/>
          <w:szCs w:val="24"/>
        </w:rPr>
      </w:pPr>
    </w:p>
    <w:p w:rsidR="00A86E17" w:rsidRDefault="00A86E17">
      <w:pPr>
        <w:ind w:left="1440" w:hanging="1440"/>
        <w:rPr>
          <w:sz w:val="24"/>
          <w:szCs w:val="24"/>
        </w:rPr>
      </w:pPr>
    </w:p>
    <w:p w:rsidR="00A86E17" w:rsidRDefault="00A86E17">
      <w:pPr>
        <w:ind w:left="1440" w:hanging="1440"/>
        <w:rPr>
          <w:sz w:val="24"/>
          <w:szCs w:val="24"/>
        </w:rPr>
      </w:pPr>
    </w:p>
    <w:p w:rsidR="00A86E17" w:rsidRDefault="008C296D">
      <w:pPr>
        <w:ind w:left="1440" w:hanging="1440"/>
        <w:jc w:val="center"/>
        <w:rPr>
          <w:b/>
          <w:bCs/>
          <w:sz w:val="24"/>
          <w:szCs w:val="24"/>
          <w:u w:val="single"/>
        </w:rPr>
      </w:pPr>
      <w:r>
        <w:rPr>
          <w:b/>
          <w:bCs/>
          <w:sz w:val="24"/>
          <w:szCs w:val="24"/>
          <w:u w:val="single"/>
        </w:rPr>
        <w:t>ATTACHMENTS</w:t>
      </w:r>
    </w:p>
    <w:p w:rsidR="00A86E17" w:rsidRDefault="00A86E17">
      <w:pPr>
        <w:ind w:left="1440" w:hanging="1440"/>
        <w:jc w:val="center"/>
        <w:rPr>
          <w:b/>
          <w:bCs/>
          <w:sz w:val="24"/>
          <w:szCs w:val="24"/>
          <w:u w:val="single"/>
        </w:rPr>
      </w:pPr>
    </w:p>
    <w:p w:rsidR="00A86E17" w:rsidRDefault="00A86E17">
      <w:pPr>
        <w:ind w:left="1440" w:hanging="1440"/>
        <w:rPr>
          <w:sz w:val="24"/>
          <w:szCs w:val="24"/>
        </w:rPr>
      </w:pPr>
    </w:p>
    <w:p w:rsidR="00A86E17" w:rsidRDefault="008C296D">
      <w:pPr>
        <w:ind w:left="1440" w:hanging="1440"/>
        <w:rPr>
          <w:sz w:val="24"/>
          <w:szCs w:val="24"/>
        </w:rPr>
      </w:pPr>
      <w:r>
        <w:rPr>
          <w:sz w:val="24"/>
          <w:szCs w:val="24"/>
        </w:rPr>
        <w:t>SBH-A</w:t>
      </w:r>
      <w:r>
        <w:rPr>
          <w:sz w:val="24"/>
          <w:szCs w:val="24"/>
        </w:rPr>
        <w:tab/>
        <w:t>Aqua Response to OCC Interrogatory No. 4</w:t>
      </w:r>
    </w:p>
    <w:p w:rsidR="00A86E17" w:rsidRDefault="008C296D">
      <w:pPr>
        <w:ind w:left="1440" w:hanging="1440"/>
        <w:rPr>
          <w:sz w:val="24"/>
          <w:szCs w:val="24"/>
        </w:rPr>
      </w:pPr>
      <w:r>
        <w:rPr>
          <w:sz w:val="24"/>
          <w:szCs w:val="24"/>
        </w:rPr>
        <w:t>SBH-B</w:t>
      </w:r>
      <w:r>
        <w:rPr>
          <w:sz w:val="24"/>
          <w:szCs w:val="24"/>
        </w:rPr>
        <w:tab/>
      </w:r>
      <w:r w:rsidR="009041AA">
        <w:rPr>
          <w:sz w:val="24"/>
          <w:szCs w:val="24"/>
        </w:rPr>
        <w:t>Aqua Application Workpaper WPB-7.1</w:t>
      </w:r>
    </w:p>
    <w:p w:rsidR="00A86E17" w:rsidRDefault="008C296D">
      <w:pPr>
        <w:ind w:left="1440" w:hanging="1440"/>
        <w:rPr>
          <w:sz w:val="24"/>
          <w:szCs w:val="24"/>
        </w:rPr>
      </w:pPr>
      <w:r>
        <w:rPr>
          <w:sz w:val="24"/>
          <w:szCs w:val="24"/>
        </w:rPr>
        <w:t>SBH-C</w:t>
      </w:r>
      <w:r>
        <w:rPr>
          <w:sz w:val="24"/>
          <w:szCs w:val="24"/>
        </w:rPr>
        <w:tab/>
      </w:r>
      <w:r w:rsidR="009041AA">
        <w:rPr>
          <w:sz w:val="24"/>
          <w:szCs w:val="24"/>
        </w:rPr>
        <w:t>Staff Workpaper for Staff Schedule C-3.4, Wages Annualized</w:t>
      </w:r>
    </w:p>
    <w:p w:rsidR="00A86E17" w:rsidRDefault="008C296D">
      <w:pPr>
        <w:ind w:left="1440" w:hanging="1440"/>
        <w:rPr>
          <w:sz w:val="24"/>
          <w:szCs w:val="24"/>
        </w:rPr>
      </w:pPr>
      <w:r>
        <w:rPr>
          <w:sz w:val="24"/>
          <w:szCs w:val="24"/>
        </w:rPr>
        <w:t>SBH-D</w:t>
      </w:r>
      <w:r>
        <w:rPr>
          <w:sz w:val="24"/>
          <w:szCs w:val="24"/>
        </w:rPr>
        <w:tab/>
      </w:r>
      <w:r w:rsidR="009041AA">
        <w:rPr>
          <w:sz w:val="24"/>
          <w:szCs w:val="24"/>
        </w:rPr>
        <w:t>Aqua Response to OCC Interrogatory No. 8</w:t>
      </w:r>
    </w:p>
    <w:p w:rsidR="00A86E17" w:rsidRDefault="008C296D">
      <w:pPr>
        <w:ind w:left="1440" w:hanging="1440"/>
        <w:rPr>
          <w:sz w:val="24"/>
          <w:szCs w:val="24"/>
        </w:rPr>
      </w:pPr>
      <w:r>
        <w:rPr>
          <w:sz w:val="24"/>
          <w:szCs w:val="24"/>
        </w:rPr>
        <w:t>SBH-E</w:t>
      </w:r>
      <w:r>
        <w:rPr>
          <w:sz w:val="24"/>
          <w:szCs w:val="24"/>
        </w:rPr>
        <w:tab/>
      </w:r>
      <w:r w:rsidR="009041AA">
        <w:rPr>
          <w:sz w:val="24"/>
          <w:szCs w:val="24"/>
        </w:rPr>
        <w:t>Aqua Response to OCC Request to Produce No. 18</w:t>
      </w:r>
    </w:p>
    <w:p w:rsidR="00A86E17" w:rsidRDefault="008C296D">
      <w:pPr>
        <w:ind w:left="1440" w:hanging="1440"/>
        <w:rPr>
          <w:sz w:val="24"/>
          <w:szCs w:val="24"/>
        </w:rPr>
      </w:pPr>
      <w:r>
        <w:rPr>
          <w:sz w:val="24"/>
          <w:szCs w:val="24"/>
        </w:rPr>
        <w:t>SBH-F</w:t>
      </w:r>
      <w:r>
        <w:rPr>
          <w:sz w:val="24"/>
          <w:szCs w:val="24"/>
        </w:rPr>
        <w:tab/>
      </w:r>
      <w:r w:rsidR="009041AA">
        <w:rPr>
          <w:sz w:val="24"/>
          <w:szCs w:val="24"/>
        </w:rPr>
        <w:t>Aqua Workpaper WPC-2.1b</w:t>
      </w:r>
    </w:p>
    <w:p w:rsidR="00A86E17" w:rsidRDefault="008C296D">
      <w:pPr>
        <w:ind w:left="1440" w:hanging="1440"/>
        <w:rPr>
          <w:sz w:val="24"/>
          <w:szCs w:val="24"/>
        </w:rPr>
      </w:pPr>
      <w:r>
        <w:rPr>
          <w:sz w:val="24"/>
          <w:szCs w:val="24"/>
        </w:rPr>
        <w:t>SBH-G</w:t>
      </w:r>
      <w:r>
        <w:rPr>
          <w:sz w:val="24"/>
          <w:szCs w:val="24"/>
        </w:rPr>
        <w:tab/>
      </w:r>
      <w:r w:rsidR="009041AA">
        <w:rPr>
          <w:sz w:val="24"/>
          <w:szCs w:val="24"/>
        </w:rPr>
        <w:t>Aqua Response to OCC Request to Produce No. 31</w:t>
      </w:r>
    </w:p>
    <w:p w:rsidR="00A86E17" w:rsidRDefault="008C296D">
      <w:pPr>
        <w:ind w:left="1440" w:hanging="1440"/>
        <w:rPr>
          <w:sz w:val="24"/>
          <w:szCs w:val="24"/>
        </w:rPr>
      </w:pPr>
      <w:r>
        <w:rPr>
          <w:sz w:val="24"/>
          <w:szCs w:val="24"/>
        </w:rPr>
        <w:t>SBH-H</w:t>
      </w:r>
      <w:r>
        <w:rPr>
          <w:sz w:val="24"/>
          <w:szCs w:val="24"/>
        </w:rPr>
        <w:tab/>
      </w:r>
      <w:r w:rsidR="009041AA">
        <w:rPr>
          <w:sz w:val="24"/>
          <w:szCs w:val="24"/>
        </w:rPr>
        <w:t>Aqua Response to Staff Data Request No. 8</w:t>
      </w:r>
    </w:p>
    <w:p w:rsidR="00A86E17" w:rsidRDefault="008C296D">
      <w:pPr>
        <w:ind w:left="1440" w:hanging="1440"/>
        <w:rPr>
          <w:sz w:val="24"/>
          <w:szCs w:val="24"/>
        </w:rPr>
      </w:pPr>
      <w:r>
        <w:rPr>
          <w:sz w:val="24"/>
          <w:szCs w:val="24"/>
        </w:rPr>
        <w:tab/>
      </w:r>
    </w:p>
    <w:p w:rsidR="00A86E17" w:rsidRDefault="00A86E17">
      <w:pPr>
        <w:ind w:left="1440" w:hanging="1440"/>
        <w:rPr>
          <w:b/>
          <w:bCs/>
          <w:sz w:val="24"/>
          <w:szCs w:val="24"/>
        </w:rPr>
      </w:pPr>
    </w:p>
    <w:p w:rsidR="00A86E17" w:rsidRDefault="00A86E17">
      <w:pPr>
        <w:rPr>
          <w:b/>
          <w:bCs/>
          <w:sz w:val="24"/>
          <w:szCs w:val="24"/>
        </w:rPr>
        <w:sectPr w:rsidR="00A86E17">
          <w:headerReference w:type="default" r:id="rId14"/>
          <w:footerReference w:type="default" r:id="rId15"/>
          <w:headerReference w:type="first" r:id="rId16"/>
          <w:footerReference w:type="first" r:id="rId17"/>
          <w:pgSz w:w="12240" w:h="15840" w:code="1"/>
          <w:pgMar w:top="1440" w:right="1800" w:bottom="1440" w:left="1800" w:header="720" w:footer="720" w:gutter="0"/>
          <w:pgNumType w:fmt="lowerRoman" w:start="1"/>
          <w:cols w:space="720"/>
          <w:titlePg/>
          <w:docGrid w:linePitch="272"/>
        </w:sectPr>
      </w:pPr>
    </w:p>
    <w:p w:rsidR="00A86E17" w:rsidRDefault="008C296D">
      <w:pPr>
        <w:pStyle w:val="Heading1"/>
      </w:pPr>
      <w:bookmarkStart w:id="1" w:name="_Toc394598906"/>
      <w:bookmarkStart w:id="2" w:name="_Toc394658046"/>
      <w:bookmarkStart w:id="3" w:name="_Toc394905851"/>
      <w:r>
        <w:t>I.</w:t>
      </w:r>
      <w:r>
        <w:tab/>
        <w:t>INTRODUCTION</w:t>
      </w:r>
      <w:bookmarkEnd w:id="1"/>
      <w:bookmarkEnd w:id="2"/>
      <w:bookmarkEnd w:id="3"/>
    </w:p>
    <w:p w:rsidR="00A86E17" w:rsidRDefault="00A86E17">
      <w:pPr>
        <w:pStyle w:val="BodyTextIndent2"/>
        <w:tabs>
          <w:tab w:val="left" w:pos="1872"/>
          <w:tab w:val="left" w:pos="6768"/>
        </w:tabs>
      </w:pPr>
    </w:p>
    <w:p w:rsidR="00A86E17" w:rsidRDefault="008C296D">
      <w:pPr>
        <w:pStyle w:val="BodyTextIndent2"/>
        <w:tabs>
          <w:tab w:val="left" w:pos="1872"/>
          <w:tab w:val="left" w:pos="6768"/>
        </w:tabs>
      </w:pPr>
      <w:r>
        <w:t>Q1.</w:t>
      </w:r>
      <w:r>
        <w:tab/>
        <w:t>PLEASE STATE YOUR NAME, BUSINESS ADDRESS AND POSITION.</w:t>
      </w:r>
    </w:p>
    <w:p w:rsidR="00A86E17" w:rsidRDefault="008C296D">
      <w:pPr>
        <w:tabs>
          <w:tab w:val="left" w:pos="1872"/>
          <w:tab w:val="left" w:pos="6768"/>
        </w:tabs>
        <w:spacing w:line="480" w:lineRule="auto"/>
        <w:ind w:left="720" w:hanging="720"/>
        <w:rPr>
          <w:sz w:val="24"/>
          <w:szCs w:val="24"/>
        </w:rPr>
      </w:pPr>
      <w:r>
        <w:rPr>
          <w:b/>
          <w:bCs/>
          <w:i/>
          <w:iCs/>
          <w:sz w:val="24"/>
          <w:szCs w:val="24"/>
        </w:rPr>
        <w:t>A1.</w:t>
      </w:r>
      <w:r>
        <w:rPr>
          <w:sz w:val="24"/>
          <w:szCs w:val="24"/>
        </w:rPr>
        <w:tab/>
        <w:t>My name is Steven B. Hines.  My business address is 10 West Broad Street, Suite 1800, Columbus, Ohio 43215-3485.  I am employed by the Office of the Ohio Consumers’ Counsel (“OCC” or “Consumers’ Counsel”) as a Principal Regulatory Analyst.</w:t>
      </w:r>
    </w:p>
    <w:p w:rsidR="00A86E17" w:rsidRDefault="00A86E17">
      <w:pPr>
        <w:tabs>
          <w:tab w:val="left" w:pos="1872"/>
          <w:tab w:val="left" w:pos="6768"/>
        </w:tabs>
        <w:spacing w:line="480" w:lineRule="auto"/>
        <w:ind w:left="1440" w:hanging="720"/>
        <w:rPr>
          <w:sz w:val="24"/>
          <w:szCs w:val="24"/>
        </w:rPr>
      </w:pPr>
    </w:p>
    <w:p w:rsidR="00A86E17" w:rsidRDefault="008C296D">
      <w:pPr>
        <w:tabs>
          <w:tab w:val="left" w:pos="1872"/>
          <w:tab w:val="left" w:pos="6768"/>
        </w:tabs>
        <w:spacing w:line="480" w:lineRule="auto"/>
        <w:ind w:left="720" w:hanging="720"/>
        <w:rPr>
          <w:b/>
          <w:bCs/>
          <w:i/>
          <w:iCs/>
          <w:sz w:val="24"/>
          <w:szCs w:val="24"/>
        </w:rPr>
      </w:pPr>
      <w:r>
        <w:rPr>
          <w:b/>
          <w:bCs/>
          <w:i/>
          <w:iCs/>
          <w:sz w:val="24"/>
          <w:szCs w:val="24"/>
        </w:rPr>
        <w:t>Q2.</w:t>
      </w:r>
      <w:r>
        <w:rPr>
          <w:b/>
          <w:bCs/>
          <w:i/>
          <w:iCs/>
          <w:sz w:val="24"/>
          <w:szCs w:val="24"/>
        </w:rPr>
        <w:tab/>
        <w:t>ARE YOU THE SAME STEVEN HINES WHO PREVIOUSLY FILED DIRECT TESTIMONY IN THIS PROCEEDING?</w:t>
      </w:r>
    </w:p>
    <w:p w:rsidR="00A86E17" w:rsidRDefault="008C296D">
      <w:pPr>
        <w:tabs>
          <w:tab w:val="left" w:pos="1872"/>
          <w:tab w:val="left" w:pos="6768"/>
        </w:tabs>
        <w:spacing w:line="480" w:lineRule="auto"/>
        <w:ind w:left="720" w:hanging="720"/>
        <w:rPr>
          <w:sz w:val="24"/>
          <w:szCs w:val="24"/>
        </w:rPr>
      </w:pPr>
      <w:r>
        <w:rPr>
          <w:b/>
          <w:bCs/>
          <w:i/>
          <w:iCs/>
          <w:sz w:val="24"/>
          <w:szCs w:val="24"/>
        </w:rPr>
        <w:t>A2.</w:t>
      </w:r>
      <w:r>
        <w:rPr>
          <w:sz w:val="24"/>
          <w:szCs w:val="24"/>
        </w:rPr>
        <w:tab/>
        <w:t>Yes.</w:t>
      </w:r>
    </w:p>
    <w:p w:rsidR="00A86E17" w:rsidRDefault="00A86E17">
      <w:pPr>
        <w:tabs>
          <w:tab w:val="left" w:pos="1872"/>
          <w:tab w:val="left" w:pos="6768"/>
        </w:tabs>
        <w:spacing w:line="480" w:lineRule="auto"/>
        <w:ind w:left="1440" w:hanging="720"/>
        <w:rPr>
          <w:sz w:val="24"/>
          <w:szCs w:val="24"/>
        </w:rPr>
      </w:pPr>
    </w:p>
    <w:p w:rsidR="00A86E17" w:rsidRDefault="008C296D">
      <w:pPr>
        <w:pStyle w:val="BodyTextIndent2"/>
      </w:pPr>
      <w:r>
        <w:t>Q3.</w:t>
      </w:r>
      <w:r>
        <w:tab/>
        <w:t>WHAT IS THE PURPOSE OF YOUR TESTIMONY IN THIS PROCEEDING?</w:t>
      </w:r>
    </w:p>
    <w:p w:rsidR="00A86E17" w:rsidRDefault="008C296D">
      <w:pPr>
        <w:pStyle w:val="ANSWER"/>
        <w:ind w:left="720"/>
      </w:pPr>
      <w:r>
        <w:rPr>
          <w:b/>
          <w:bCs/>
          <w:i/>
          <w:iCs/>
        </w:rPr>
        <w:t>A3.</w:t>
      </w:r>
      <w:r>
        <w:tab/>
        <w:t>My testimony, in addition to other OCC witness testimony, explains the reasons why the Public Utilities Commission of Ohio (“PUCO”) should reject the Stipulation and Recommendation</w:t>
      </w:r>
      <w:r w:rsidR="006E76E4">
        <w:t xml:space="preserve"> (“Stipulation” or “Settlement”)</w:t>
      </w:r>
      <w:r>
        <w:t xml:space="preserve"> filed in this proceeding on July 21, 2014.  The proposed </w:t>
      </w:r>
      <w:r w:rsidR="006E76E4">
        <w:t>S</w:t>
      </w:r>
      <w:r>
        <w:t>ettlement will result in unjust and unreasonable charges collected from the residential customers of Aqua Ohio, Inc. (“Aqua</w:t>
      </w:r>
      <w:r w:rsidR="00D13C2A">
        <w:t xml:space="preserve"> Ohio</w:t>
      </w:r>
      <w:r>
        <w:t>” or “</w:t>
      </w:r>
      <w:r w:rsidR="00D13C2A">
        <w:t xml:space="preserve">the </w:t>
      </w:r>
      <w:r>
        <w:t xml:space="preserve">Utility”).  </w:t>
      </w:r>
      <w:r w:rsidR="00D13C2A">
        <w:t>As a result, t</w:t>
      </w:r>
      <w:r>
        <w:t>he proposed Stipulation does not represent a fair and reasonable compromise, does not benefit the customers, is not in the public interest, and violates important regulatory principles and practices.  T</w:t>
      </w:r>
      <w:r w:rsidR="00D13C2A">
        <w:t>herefore, t</w:t>
      </w:r>
      <w:r>
        <w:t>he proposed Stipulation should not be approved.</w:t>
      </w:r>
    </w:p>
    <w:p w:rsidR="00A86E17" w:rsidRPr="00EC3336" w:rsidRDefault="008C296D" w:rsidP="00F3169E">
      <w:pPr>
        <w:pStyle w:val="Heading1"/>
        <w:ind w:left="720" w:hanging="720"/>
      </w:pPr>
      <w:bookmarkStart w:id="4" w:name="_Toc394658047"/>
      <w:bookmarkStart w:id="5" w:name="_Toc394905852"/>
      <w:r w:rsidRPr="00EC3336">
        <w:t>II.</w:t>
      </w:r>
      <w:r w:rsidRPr="00EC3336">
        <w:tab/>
        <w:t xml:space="preserve">EVALUATION OF THE STIPULATION WITH RESPECT TO THE THREE-PRONG TEST USED BY THE </w:t>
      </w:r>
      <w:r w:rsidR="00D13C2A" w:rsidRPr="00EC3336">
        <w:t>PUCO</w:t>
      </w:r>
      <w:r w:rsidRPr="00EC3336">
        <w:t>.</w:t>
      </w:r>
      <w:bookmarkEnd w:id="4"/>
      <w:bookmarkEnd w:id="5"/>
    </w:p>
    <w:p w:rsidR="00A86E17" w:rsidRDefault="00A86E17">
      <w:pPr>
        <w:pStyle w:val="ANSWER"/>
        <w:ind w:left="720"/>
        <w:rPr>
          <w:b/>
        </w:rPr>
      </w:pPr>
    </w:p>
    <w:p w:rsidR="00A86E17" w:rsidRDefault="008C296D">
      <w:pPr>
        <w:pStyle w:val="ANSWER"/>
        <w:ind w:left="720"/>
        <w:rPr>
          <w:b/>
          <w:bCs/>
          <w:i/>
          <w:iCs/>
        </w:rPr>
      </w:pPr>
      <w:r>
        <w:rPr>
          <w:b/>
          <w:bCs/>
          <w:i/>
          <w:iCs/>
        </w:rPr>
        <w:t>Q4.</w:t>
      </w:r>
      <w:r>
        <w:rPr>
          <w:b/>
          <w:bCs/>
          <w:i/>
          <w:iCs/>
        </w:rPr>
        <w:tab/>
        <w:t xml:space="preserve">WHAT CRITERIA DOES THE </w:t>
      </w:r>
      <w:r w:rsidR="00D13C2A">
        <w:rPr>
          <w:b/>
          <w:bCs/>
          <w:i/>
          <w:iCs/>
        </w:rPr>
        <w:t xml:space="preserve">PUCO </w:t>
      </w:r>
      <w:r>
        <w:rPr>
          <w:b/>
          <w:bCs/>
          <w:i/>
          <w:iCs/>
        </w:rPr>
        <w:t xml:space="preserve">USUALLY RELY UPON FOR CONSIDERING WHETHER TO ADOPT </w:t>
      </w:r>
      <w:r w:rsidR="00A63976">
        <w:rPr>
          <w:b/>
          <w:bCs/>
          <w:i/>
          <w:iCs/>
        </w:rPr>
        <w:t xml:space="preserve">A </w:t>
      </w:r>
      <w:r>
        <w:rPr>
          <w:b/>
          <w:bCs/>
          <w:i/>
          <w:iCs/>
        </w:rPr>
        <w:t>STIPULATION?</w:t>
      </w:r>
    </w:p>
    <w:p w:rsidR="00A86E17" w:rsidRDefault="008C296D">
      <w:pPr>
        <w:pStyle w:val="ANSWER"/>
        <w:ind w:left="720"/>
      </w:pPr>
      <w:r>
        <w:rPr>
          <w:b/>
          <w:bCs/>
          <w:i/>
          <w:iCs/>
        </w:rPr>
        <w:t>A4.</w:t>
      </w:r>
      <w:r>
        <w:tab/>
        <w:t xml:space="preserve">It is my understanding that the </w:t>
      </w:r>
      <w:r w:rsidR="00D13C2A">
        <w:t xml:space="preserve">PUCO </w:t>
      </w:r>
      <w:r>
        <w:t>will adopt a Stipulation only if it meets all three of the criteria below.  The PUCO must analyze the Stipulation and decide the following:</w:t>
      </w:r>
    </w:p>
    <w:p w:rsidR="00A86E17" w:rsidRDefault="008C296D">
      <w:pPr>
        <w:pStyle w:val="ANSWER"/>
        <w:numPr>
          <w:ilvl w:val="0"/>
          <w:numId w:val="35"/>
        </w:numPr>
        <w:ind w:right="720" w:hanging="720"/>
      </w:pPr>
      <w:r>
        <w:t>Is the settlement a product of serious bargaining among capable, knowledgeable parties representing diverse interests?</w:t>
      </w:r>
    </w:p>
    <w:p w:rsidR="00A86E17" w:rsidRDefault="008C296D">
      <w:pPr>
        <w:pStyle w:val="ANSWER"/>
        <w:numPr>
          <w:ilvl w:val="0"/>
          <w:numId w:val="35"/>
        </w:numPr>
        <w:ind w:right="720" w:hanging="720"/>
      </w:pPr>
      <w:r>
        <w:t>Does the settlement, as a package, benefit customers and the public interest?</w:t>
      </w:r>
    </w:p>
    <w:p w:rsidR="00A86E17" w:rsidRDefault="008C296D">
      <w:pPr>
        <w:pStyle w:val="ANSWER"/>
        <w:numPr>
          <w:ilvl w:val="0"/>
          <w:numId w:val="35"/>
        </w:numPr>
        <w:ind w:right="720" w:hanging="720"/>
      </w:pPr>
      <w:r>
        <w:t>Does the settlement package violate any important regulatory principle or practice?</w:t>
      </w:r>
    </w:p>
    <w:p w:rsidR="00A86E17" w:rsidRDefault="00A86E17">
      <w:pPr>
        <w:pStyle w:val="ANSWER"/>
        <w:ind w:left="720"/>
        <w:rPr>
          <w:b/>
          <w:bCs/>
          <w:i/>
          <w:iCs/>
        </w:rPr>
      </w:pPr>
    </w:p>
    <w:p w:rsidR="00A86E17" w:rsidRDefault="008C296D">
      <w:pPr>
        <w:tabs>
          <w:tab w:val="left" w:pos="1872"/>
          <w:tab w:val="left" w:pos="6768"/>
        </w:tabs>
        <w:spacing w:line="480" w:lineRule="auto"/>
        <w:ind w:left="720" w:hanging="720"/>
        <w:rPr>
          <w:b/>
          <w:bCs/>
          <w:i/>
          <w:iCs/>
          <w:sz w:val="24"/>
          <w:szCs w:val="24"/>
        </w:rPr>
      </w:pPr>
      <w:r>
        <w:rPr>
          <w:b/>
          <w:bCs/>
          <w:i/>
          <w:iCs/>
          <w:sz w:val="24"/>
          <w:szCs w:val="24"/>
        </w:rPr>
        <w:t>Q5.</w:t>
      </w:r>
      <w:r>
        <w:rPr>
          <w:b/>
          <w:bCs/>
          <w:i/>
          <w:iCs/>
          <w:sz w:val="24"/>
          <w:szCs w:val="24"/>
        </w:rPr>
        <w:tab/>
      </w:r>
      <w:r w:rsidR="00A63976">
        <w:rPr>
          <w:b/>
          <w:bCs/>
          <w:i/>
          <w:iCs/>
          <w:sz w:val="24"/>
          <w:szCs w:val="24"/>
        </w:rPr>
        <w:t xml:space="preserve">DOES THE STIPULATION </w:t>
      </w:r>
      <w:r w:rsidR="0018150F">
        <w:rPr>
          <w:b/>
          <w:bCs/>
          <w:i/>
          <w:iCs/>
          <w:sz w:val="24"/>
          <w:szCs w:val="24"/>
        </w:rPr>
        <w:t xml:space="preserve">FILED IN THIS PROCEEDING </w:t>
      </w:r>
      <w:r w:rsidR="00A63976">
        <w:rPr>
          <w:b/>
          <w:bCs/>
          <w:i/>
          <w:iCs/>
          <w:sz w:val="24"/>
          <w:szCs w:val="24"/>
        </w:rPr>
        <w:t>MEET THOSE CRITERIA</w:t>
      </w:r>
      <w:r>
        <w:rPr>
          <w:b/>
          <w:bCs/>
          <w:i/>
          <w:iCs/>
          <w:sz w:val="24"/>
          <w:szCs w:val="24"/>
        </w:rPr>
        <w:t>?</w:t>
      </w:r>
    </w:p>
    <w:p w:rsidR="00A86E17" w:rsidRPr="00F3169E" w:rsidRDefault="008C296D" w:rsidP="00F3169E">
      <w:pPr>
        <w:pStyle w:val="ANSWER"/>
        <w:ind w:left="720"/>
        <w:rPr>
          <w:bCs/>
          <w:iCs/>
        </w:rPr>
      </w:pPr>
      <w:r>
        <w:rPr>
          <w:b/>
          <w:bCs/>
          <w:i/>
          <w:iCs/>
        </w:rPr>
        <w:t>A5.</w:t>
      </w:r>
      <w:r>
        <w:rPr>
          <w:b/>
          <w:bCs/>
          <w:i/>
          <w:iCs/>
        </w:rPr>
        <w:tab/>
      </w:r>
      <w:r w:rsidR="00A63976" w:rsidRPr="0018150F">
        <w:rPr>
          <w:bCs/>
          <w:iCs/>
        </w:rPr>
        <w:t>No.</w:t>
      </w:r>
      <w:r w:rsidR="00A63976">
        <w:rPr>
          <w:b/>
          <w:bCs/>
          <w:i/>
          <w:iCs/>
        </w:rPr>
        <w:t xml:space="preserve"> </w:t>
      </w:r>
      <w:r>
        <w:rPr>
          <w:bCs/>
          <w:iCs/>
        </w:rPr>
        <w:t xml:space="preserve">The Stipulation </w:t>
      </w:r>
      <w:r w:rsidR="00D13C2A">
        <w:rPr>
          <w:bCs/>
          <w:iCs/>
        </w:rPr>
        <w:t xml:space="preserve">fails to meet </w:t>
      </w:r>
      <w:r w:rsidR="00A63976">
        <w:rPr>
          <w:bCs/>
          <w:iCs/>
        </w:rPr>
        <w:t xml:space="preserve">any of the </w:t>
      </w:r>
      <w:r>
        <w:rPr>
          <w:bCs/>
          <w:iCs/>
        </w:rPr>
        <w:t xml:space="preserve">three criteria considered by the </w:t>
      </w:r>
      <w:r w:rsidR="00D13C2A">
        <w:rPr>
          <w:bCs/>
          <w:iCs/>
        </w:rPr>
        <w:t xml:space="preserve">PUCO </w:t>
      </w:r>
      <w:r>
        <w:rPr>
          <w:bCs/>
          <w:iCs/>
        </w:rPr>
        <w:t xml:space="preserve">when evaluating a stipulation, and </w:t>
      </w:r>
      <w:r w:rsidR="00D13C2A">
        <w:rPr>
          <w:bCs/>
          <w:iCs/>
        </w:rPr>
        <w:t xml:space="preserve">should </w:t>
      </w:r>
      <w:r>
        <w:rPr>
          <w:bCs/>
          <w:iCs/>
        </w:rPr>
        <w:t xml:space="preserve">therefore be rejected.  I address each of the </w:t>
      </w:r>
      <w:r w:rsidR="00D13C2A">
        <w:rPr>
          <w:bCs/>
          <w:iCs/>
        </w:rPr>
        <w:t xml:space="preserve">three </w:t>
      </w:r>
      <w:r w:rsidR="0018150F">
        <w:rPr>
          <w:bCs/>
          <w:iCs/>
        </w:rPr>
        <w:t>criteria</w:t>
      </w:r>
      <w:r w:rsidR="007541D1">
        <w:rPr>
          <w:bCs/>
          <w:iCs/>
        </w:rPr>
        <w:t xml:space="preserve"> </w:t>
      </w:r>
      <w:r>
        <w:rPr>
          <w:bCs/>
          <w:iCs/>
        </w:rPr>
        <w:t>individually.</w:t>
      </w:r>
    </w:p>
    <w:p w:rsidR="00A86E17" w:rsidRDefault="008C296D">
      <w:pPr>
        <w:spacing w:line="480" w:lineRule="auto"/>
        <w:ind w:left="720" w:hanging="720"/>
        <w:rPr>
          <w:b/>
          <w:bCs/>
          <w:i/>
          <w:iCs/>
          <w:sz w:val="24"/>
          <w:szCs w:val="24"/>
        </w:rPr>
      </w:pPr>
      <w:r>
        <w:rPr>
          <w:b/>
          <w:bCs/>
          <w:i/>
          <w:iCs/>
          <w:sz w:val="24"/>
          <w:szCs w:val="24"/>
        </w:rPr>
        <w:t>Q6.</w:t>
      </w:r>
      <w:r>
        <w:rPr>
          <w:b/>
          <w:bCs/>
          <w:i/>
          <w:iCs/>
          <w:sz w:val="24"/>
          <w:szCs w:val="24"/>
        </w:rPr>
        <w:tab/>
        <w:t>REGARDING THE FIRST CRITERION, IN YOUR OPINION WAS THE STIPULATION A PRODUCT OF SERIOUS NEGOTIATION AMONG ALL PARTIES REPRESENTING DIVERSE INTERESTS?</w:t>
      </w:r>
    </w:p>
    <w:p w:rsidR="00A86E17" w:rsidRDefault="008C296D">
      <w:pPr>
        <w:spacing w:line="480" w:lineRule="auto"/>
        <w:ind w:left="720" w:hanging="720"/>
        <w:rPr>
          <w:sz w:val="24"/>
          <w:szCs w:val="24"/>
        </w:rPr>
      </w:pPr>
      <w:r>
        <w:rPr>
          <w:b/>
          <w:bCs/>
          <w:i/>
          <w:iCs/>
          <w:sz w:val="24"/>
          <w:szCs w:val="24"/>
        </w:rPr>
        <w:t>A6.</w:t>
      </w:r>
      <w:r>
        <w:rPr>
          <w:sz w:val="24"/>
          <w:szCs w:val="24"/>
        </w:rPr>
        <w:tab/>
        <w:t>No.  The Stipulation was signed by Aqua, the PUCO Staff and the cities of Marion and Tiffin</w:t>
      </w:r>
      <w:r w:rsidR="00D13C2A">
        <w:rPr>
          <w:sz w:val="24"/>
          <w:szCs w:val="24"/>
        </w:rPr>
        <w:t xml:space="preserve"> (collectively referred to as “Signatory Parties”)</w:t>
      </w:r>
      <w:r>
        <w:rPr>
          <w:sz w:val="24"/>
          <w:szCs w:val="24"/>
        </w:rPr>
        <w:t xml:space="preserve">.  Although Marion and Tiffin were representing approximately 16,000 and 7,000 residential customers respectively, a large portion of Aqua’s residential customers are not represented by the </w:t>
      </w:r>
      <w:r w:rsidR="00D13C2A">
        <w:rPr>
          <w:sz w:val="24"/>
          <w:szCs w:val="24"/>
        </w:rPr>
        <w:t xml:space="preserve">Signatory Parties to the </w:t>
      </w:r>
      <w:r>
        <w:rPr>
          <w:sz w:val="24"/>
          <w:szCs w:val="24"/>
        </w:rPr>
        <w:t xml:space="preserve">Stipulation.  </w:t>
      </w:r>
      <w:r w:rsidR="006E76E4">
        <w:rPr>
          <w:sz w:val="24"/>
          <w:szCs w:val="24"/>
        </w:rPr>
        <w:t>Specifically, t</w:t>
      </w:r>
      <w:r>
        <w:rPr>
          <w:sz w:val="24"/>
          <w:szCs w:val="24"/>
        </w:rPr>
        <w:t>here are approximately 28,500 residential customers in the Lake Division, 1,400 residential customers in the Masury Division</w:t>
      </w:r>
      <w:r w:rsidR="0040258A">
        <w:rPr>
          <w:sz w:val="24"/>
          <w:szCs w:val="24"/>
        </w:rPr>
        <w:t>,</w:t>
      </w:r>
      <w:r>
        <w:rPr>
          <w:sz w:val="24"/>
          <w:szCs w:val="24"/>
        </w:rPr>
        <w:t xml:space="preserve"> and 24,600 residential customers in the former Ohio American </w:t>
      </w:r>
      <w:r w:rsidR="0040258A">
        <w:rPr>
          <w:sz w:val="24"/>
          <w:szCs w:val="24"/>
        </w:rPr>
        <w:t xml:space="preserve">Water </w:t>
      </w:r>
      <w:r>
        <w:rPr>
          <w:sz w:val="24"/>
          <w:szCs w:val="24"/>
        </w:rPr>
        <w:t xml:space="preserve">Division that are not represented by any </w:t>
      </w:r>
      <w:r w:rsidR="0040258A">
        <w:rPr>
          <w:sz w:val="24"/>
          <w:szCs w:val="24"/>
        </w:rPr>
        <w:t xml:space="preserve">of </w:t>
      </w:r>
      <w:r>
        <w:rPr>
          <w:sz w:val="24"/>
          <w:szCs w:val="24"/>
        </w:rPr>
        <w:t xml:space="preserve">the </w:t>
      </w:r>
      <w:r w:rsidR="0040258A">
        <w:rPr>
          <w:sz w:val="24"/>
          <w:szCs w:val="24"/>
        </w:rPr>
        <w:t>Signatory Parties</w:t>
      </w:r>
      <w:r>
        <w:rPr>
          <w:sz w:val="24"/>
          <w:szCs w:val="24"/>
        </w:rPr>
        <w:t xml:space="preserve"> (See Attachment SBH-A).  </w:t>
      </w:r>
      <w:r w:rsidR="0040258A">
        <w:rPr>
          <w:sz w:val="24"/>
          <w:szCs w:val="24"/>
        </w:rPr>
        <w:t>Thus</w:t>
      </w:r>
      <w:r>
        <w:rPr>
          <w:sz w:val="24"/>
          <w:szCs w:val="24"/>
        </w:rPr>
        <w:t>, about 70% of Aqua’s residential customers</w:t>
      </w:r>
      <w:r w:rsidR="0040258A">
        <w:rPr>
          <w:sz w:val="24"/>
          <w:szCs w:val="24"/>
        </w:rPr>
        <w:t>’ interests</w:t>
      </w:r>
      <w:r>
        <w:rPr>
          <w:sz w:val="24"/>
          <w:szCs w:val="24"/>
        </w:rPr>
        <w:t xml:space="preserve"> are not represented </w:t>
      </w:r>
      <w:r w:rsidR="0040258A">
        <w:rPr>
          <w:sz w:val="24"/>
          <w:szCs w:val="24"/>
        </w:rPr>
        <w:t>by the Signatory Parties</w:t>
      </w:r>
      <w:r>
        <w:rPr>
          <w:sz w:val="24"/>
          <w:szCs w:val="24"/>
        </w:rPr>
        <w:t>.</w:t>
      </w:r>
      <w:r>
        <w:rPr>
          <w:rStyle w:val="FootnoteReference"/>
          <w:sz w:val="24"/>
          <w:szCs w:val="24"/>
        </w:rPr>
        <w:footnoteReference w:id="1"/>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Q7.</w:t>
      </w:r>
      <w:r>
        <w:rPr>
          <w:sz w:val="24"/>
          <w:szCs w:val="24"/>
        </w:rPr>
        <w:tab/>
      </w:r>
      <w:r>
        <w:rPr>
          <w:b/>
          <w:i/>
          <w:sz w:val="24"/>
          <w:szCs w:val="24"/>
        </w:rPr>
        <w:t>REGARDING THE SECOND STIPULATION CRITERION, DOES THE SETTLEMENT</w:t>
      </w:r>
      <w:r w:rsidR="0040258A">
        <w:rPr>
          <w:b/>
          <w:i/>
          <w:sz w:val="24"/>
          <w:szCs w:val="24"/>
        </w:rPr>
        <w:t>,</w:t>
      </w:r>
      <w:r>
        <w:rPr>
          <w:b/>
          <w:i/>
          <w:sz w:val="24"/>
          <w:szCs w:val="24"/>
        </w:rPr>
        <w:t xml:space="preserve"> AS A PACKAGE</w:t>
      </w:r>
      <w:r w:rsidR="0040258A">
        <w:rPr>
          <w:b/>
          <w:i/>
          <w:sz w:val="24"/>
          <w:szCs w:val="24"/>
        </w:rPr>
        <w:t>,</w:t>
      </w:r>
      <w:r>
        <w:rPr>
          <w:b/>
          <w:i/>
          <w:sz w:val="24"/>
          <w:szCs w:val="24"/>
        </w:rPr>
        <w:t xml:space="preserve"> BENEFIT CUSTOMERS AND THE PUBLIC INTEREST?</w:t>
      </w:r>
    </w:p>
    <w:p w:rsidR="00F3169E" w:rsidRDefault="008C296D" w:rsidP="00F3169E">
      <w:pPr>
        <w:spacing w:line="480" w:lineRule="auto"/>
        <w:ind w:left="720" w:hanging="720"/>
        <w:rPr>
          <w:bCs/>
          <w:iCs/>
          <w:sz w:val="24"/>
          <w:szCs w:val="24"/>
        </w:rPr>
      </w:pPr>
      <w:r w:rsidRPr="00801A5A">
        <w:rPr>
          <w:b/>
          <w:bCs/>
          <w:i/>
          <w:iCs/>
          <w:sz w:val="24"/>
          <w:szCs w:val="24"/>
        </w:rPr>
        <w:t>A7.</w:t>
      </w:r>
      <w:r w:rsidRPr="00801A5A">
        <w:rPr>
          <w:b/>
          <w:bCs/>
          <w:i/>
          <w:iCs/>
          <w:sz w:val="24"/>
          <w:szCs w:val="24"/>
        </w:rPr>
        <w:tab/>
      </w:r>
      <w:r w:rsidRPr="00801A5A">
        <w:rPr>
          <w:bCs/>
          <w:iCs/>
          <w:sz w:val="24"/>
          <w:szCs w:val="24"/>
        </w:rPr>
        <w:t xml:space="preserve">No, the Stipulation violates the second criteria in several respects.  </w:t>
      </w:r>
      <w:r w:rsidR="0040258A" w:rsidRPr="00801A5A">
        <w:rPr>
          <w:bCs/>
          <w:iCs/>
          <w:sz w:val="24"/>
          <w:szCs w:val="24"/>
        </w:rPr>
        <w:t xml:space="preserve">Below, </w:t>
      </w:r>
      <w:r w:rsidRPr="00801A5A">
        <w:rPr>
          <w:bCs/>
          <w:iCs/>
          <w:sz w:val="24"/>
          <w:szCs w:val="24"/>
        </w:rPr>
        <w:t xml:space="preserve">I will </w:t>
      </w:r>
      <w:r w:rsidR="0040258A" w:rsidRPr="00801A5A">
        <w:rPr>
          <w:bCs/>
          <w:iCs/>
          <w:sz w:val="24"/>
          <w:szCs w:val="24"/>
        </w:rPr>
        <w:t xml:space="preserve">individually </w:t>
      </w:r>
      <w:r w:rsidRPr="00801A5A">
        <w:rPr>
          <w:bCs/>
          <w:iCs/>
          <w:sz w:val="24"/>
          <w:szCs w:val="24"/>
        </w:rPr>
        <w:t xml:space="preserve">set forth </w:t>
      </w:r>
      <w:r w:rsidR="0040258A" w:rsidRPr="00801A5A">
        <w:rPr>
          <w:bCs/>
          <w:iCs/>
          <w:sz w:val="24"/>
          <w:szCs w:val="24"/>
        </w:rPr>
        <w:t>each specific reason supporting this answer</w:t>
      </w:r>
      <w:r w:rsidRPr="00801A5A">
        <w:rPr>
          <w:bCs/>
          <w:iCs/>
          <w:sz w:val="24"/>
          <w:szCs w:val="24"/>
        </w:rPr>
        <w:t>.</w:t>
      </w:r>
      <w:r w:rsidR="00F3169E">
        <w:rPr>
          <w:bCs/>
          <w:iCs/>
          <w:sz w:val="24"/>
          <w:szCs w:val="24"/>
        </w:rPr>
        <w:br w:type="page"/>
      </w:r>
    </w:p>
    <w:p w:rsidR="00A86E17" w:rsidRPr="00801A5A" w:rsidRDefault="008C296D">
      <w:pPr>
        <w:spacing w:line="480" w:lineRule="auto"/>
        <w:ind w:left="720" w:hanging="720"/>
        <w:rPr>
          <w:b/>
          <w:bCs/>
          <w:i/>
          <w:iCs/>
          <w:sz w:val="24"/>
          <w:szCs w:val="24"/>
        </w:rPr>
      </w:pPr>
      <w:r w:rsidRPr="00801A5A">
        <w:rPr>
          <w:b/>
          <w:bCs/>
          <w:i/>
          <w:iCs/>
          <w:sz w:val="24"/>
          <w:szCs w:val="24"/>
        </w:rPr>
        <w:t>Q8.</w:t>
      </w:r>
      <w:r w:rsidRPr="00801A5A">
        <w:rPr>
          <w:b/>
          <w:bCs/>
          <w:i/>
          <w:iCs/>
          <w:sz w:val="24"/>
          <w:szCs w:val="24"/>
        </w:rPr>
        <w:tab/>
        <w:t>WHAT IS THE FIRST ISSUE YOU ADDRESS WITH REGARD TO THE SECOND CRITERIA?</w:t>
      </w:r>
    </w:p>
    <w:p w:rsidR="00A86E17" w:rsidRDefault="008C296D">
      <w:pPr>
        <w:spacing w:line="480" w:lineRule="auto"/>
        <w:ind w:left="720" w:hanging="720"/>
        <w:rPr>
          <w:sz w:val="24"/>
          <w:szCs w:val="24"/>
        </w:rPr>
      </w:pPr>
      <w:r w:rsidRPr="00801A5A">
        <w:rPr>
          <w:b/>
          <w:bCs/>
          <w:i/>
          <w:iCs/>
          <w:sz w:val="24"/>
          <w:szCs w:val="24"/>
        </w:rPr>
        <w:t>A8.</w:t>
      </w:r>
      <w:r w:rsidRPr="00801A5A">
        <w:rPr>
          <w:sz w:val="24"/>
          <w:szCs w:val="24"/>
        </w:rPr>
        <w:tab/>
        <w:t xml:space="preserve">The first issue I address is the plant allocation factor used to </w:t>
      </w:r>
      <w:r w:rsidR="006E76E4">
        <w:rPr>
          <w:sz w:val="24"/>
          <w:szCs w:val="24"/>
        </w:rPr>
        <w:t>assign</w:t>
      </w:r>
      <w:r w:rsidR="006E76E4" w:rsidRPr="00801A5A" w:rsidDel="006E76E4">
        <w:rPr>
          <w:sz w:val="24"/>
          <w:szCs w:val="24"/>
        </w:rPr>
        <w:t xml:space="preserve"> </w:t>
      </w:r>
      <w:r w:rsidRPr="00801A5A">
        <w:rPr>
          <w:bCs/>
          <w:sz w:val="24"/>
          <w:szCs w:val="24"/>
        </w:rPr>
        <w:t>Service Center Plant costs to the Aqua Divisions</w:t>
      </w:r>
      <w:r w:rsidR="00221C48">
        <w:rPr>
          <w:bCs/>
          <w:sz w:val="24"/>
          <w:szCs w:val="24"/>
        </w:rPr>
        <w:t xml:space="preserve"> in Ohio</w:t>
      </w:r>
      <w:r w:rsidRPr="00801A5A">
        <w:rPr>
          <w:bCs/>
          <w:sz w:val="24"/>
          <w:szCs w:val="24"/>
        </w:rPr>
        <w:t>.</w:t>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Q9.</w:t>
      </w:r>
      <w:r>
        <w:rPr>
          <w:sz w:val="24"/>
          <w:szCs w:val="24"/>
        </w:rPr>
        <w:tab/>
      </w:r>
      <w:r>
        <w:rPr>
          <w:b/>
          <w:i/>
          <w:sz w:val="24"/>
          <w:szCs w:val="24"/>
        </w:rPr>
        <w:t>WHAT SERVICE CENTER PLANT ALLOCATOR IS USED IN THE STIPULATION?</w:t>
      </w:r>
    </w:p>
    <w:p w:rsidR="00A86E17" w:rsidRDefault="008C296D">
      <w:pPr>
        <w:spacing w:line="480" w:lineRule="auto"/>
        <w:ind w:left="720" w:hanging="720"/>
        <w:rPr>
          <w:sz w:val="24"/>
          <w:szCs w:val="24"/>
        </w:rPr>
      </w:pPr>
      <w:r>
        <w:rPr>
          <w:b/>
          <w:bCs/>
          <w:i/>
          <w:iCs/>
          <w:sz w:val="24"/>
          <w:szCs w:val="24"/>
        </w:rPr>
        <w:t>A9.</w:t>
      </w:r>
      <w:r>
        <w:rPr>
          <w:sz w:val="24"/>
          <w:szCs w:val="24"/>
        </w:rPr>
        <w:tab/>
      </w:r>
      <w:r>
        <w:rPr>
          <w:bCs/>
          <w:sz w:val="24"/>
          <w:szCs w:val="24"/>
        </w:rPr>
        <w:t xml:space="preserve">The Stipulation is using a plant allocator of 63.00% to allocate Service Center Plant costs </w:t>
      </w:r>
      <w:r w:rsidR="0056556D">
        <w:rPr>
          <w:bCs/>
          <w:sz w:val="24"/>
          <w:szCs w:val="24"/>
        </w:rPr>
        <w:t>at issue in this case among</w:t>
      </w:r>
      <w:r>
        <w:rPr>
          <w:bCs/>
          <w:sz w:val="24"/>
          <w:szCs w:val="24"/>
        </w:rPr>
        <w:t xml:space="preserve"> the Aqua Divisions </w:t>
      </w:r>
      <w:r w:rsidR="0056556D">
        <w:rPr>
          <w:bCs/>
          <w:sz w:val="24"/>
          <w:szCs w:val="24"/>
        </w:rPr>
        <w:t>in Ohio</w:t>
      </w:r>
      <w:r>
        <w:rPr>
          <w:bCs/>
          <w:sz w:val="24"/>
          <w:szCs w:val="24"/>
        </w:rPr>
        <w:t>.</w:t>
      </w:r>
      <w:r>
        <w:rPr>
          <w:rStyle w:val="FootnoteReference"/>
          <w:bCs/>
          <w:sz w:val="24"/>
          <w:szCs w:val="24"/>
        </w:rPr>
        <w:footnoteReference w:id="2"/>
      </w:r>
    </w:p>
    <w:p w:rsidR="00A86E17" w:rsidRDefault="00A86E17">
      <w:pPr>
        <w:spacing w:line="480" w:lineRule="auto"/>
        <w:ind w:left="1440" w:right="720" w:hanging="1440"/>
        <w:rPr>
          <w:sz w:val="24"/>
          <w:szCs w:val="24"/>
        </w:rPr>
      </w:pPr>
    </w:p>
    <w:p w:rsidR="00A86E17" w:rsidRDefault="008C296D">
      <w:pPr>
        <w:spacing w:line="480" w:lineRule="auto"/>
        <w:ind w:left="720" w:hanging="720"/>
        <w:rPr>
          <w:b/>
          <w:bCs/>
          <w:i/>
          <w:iCs/>
          <w:sz w:val="24"/>
          <w:szCs w:val="24"/>
        </w:rPr>
      </w:pPr>
      <w:r>
        <w:rPr>
          <w:b/>
          <w:bCs/>
          <w:i/>
          <w:iCs/>
          <w:sz w:val="24"/>
          <w:szCs w:val="24"/>
        </w:rPr>
        <w:t>Q10.</w:t>
      </w:r>
      <w:r>
        <w:rPr>
          <w:b/>
          <w:bCs/>
          <w:i/>
          <w:iCs/>
          <w:sz w:val="24"/>
          <w:szCs w:val="24"/>
        </w:rPr>
        <w:tab/>
        <w:t>HOW WAS THIS ALLOCATION FACTOR DETERMINED?</w:t>
      </w:r>
    </w:p>
    <w:p w:rsidR="00F3169E" w:rsidRDefault="008C296D" w:rsidP="00F3169E">
      <w:pPr>
        <w:spacing w:line="480" w:lineRule="auto"/>
        <w:ind w:left="720" w:hanging="720"/>
        <w:rPr>
          <w:bCs/>
          <w:iCs/>
          <w:sz w:val="24"/>
          <w:szCs w:val="24"/>
        </w:rPr>
      </w:pPr>
      <w:r>
        <w:rPr>
          <w:b/>
          <w:bCs/>
          <w:i/>
          <w:iCs/>
          <w:sz w:val="24"/>
          <w:szCs w:val="24"/>
        </w:rPr>
        <w:t>A10.</w:t>
      </w:r>
      <w:r>
        <w:rPr>
          <w:sz w:val="24"/>
          <w:szCs w:val="24"/>
        </w:rPr>
        <w:tab/>
      </w:r>
      <w:r>
        <w:rPr>
          <w:bCs/>
          <w:iCs/>
          <w:sz w:val="24"/>
          <w:szCs w:val="24"/>
        </w:rPr>
        <w:t xml:space="preserve">According to Application Workpaper WPB-7.1, the amount of Utility Plant in Service, Depreciation Reserve, Construction Work In Progress, Customers’ Advances for Construction, Related Facilities, Contributions in Aid of Construction, and Deferred Accounts for the Total Company and the Rate Area are summed </w:t>
      </w:r>
      <w:r w:rsidR="002C215C">
        <w:rPr>
          <w:bCs/>
          <w:iCs/>
          <w:sz w:val="24"/>
          <w:szCs w:val="24"/>
        </w:rPr>
        <w:t xml:space="preserve">individually </w:t>
      </w:r>
      <w:r>
        <w:rPr>
          <w:bCs/>
          <w:iCs/>
          <w:sz w:val="24"/>
          <w:szCs w:val="24"/>
        </w:rPr>
        <w:t>and then divided by each other to arrive at the Service Center Plant Allocation Factor.</w:t>
      </w:r>
      <w:r>
        <w:rPr>
          <w:rStyle w:val="FootnoteReference"/>
          <w:bCs/>
          <w:iCs/>
          <w:sz w:val="24"/>
          <w:szCs w:val="24"/>
        </w:rPr>
        <w:footnoteReference w:id="3"/>
      </w:r>
      <w:r w:rsidR="00F3169E">
        <w:rPr>
          <w:bCs/>
          <w:iCs/>
          <w:sz w:val="24"/>
          <w:szCs w:val="24"/>
        </w:rPr>
        <w:br w:type="page"/>
      </w:r>
    </w:p>
    <w:p w:rsidR="00A86E17" w:rsidRDefault="008C296D">
      <w:pPr>
        <w:spacing w:line="480" w:lineRule="auto"/>
        <w:ind w:left="720" w:hanging="720"/>
        <w:rPr>
          <w:b/>
          <w:bCs/>
          <w:i/>
          <w:iCs/>
          <w:sz w:val="24"/>
          <w:szCs w:val="24"/>
        </w:rPr>
      </w:pPr>
      <w:r>
        <w:rPr>
          <w:b/>
          <w:bCs/>
          <w:i/>
          <w:iCs/>
          <w:sz w:val="24"/>
          <w:szCs w:val="24"/>
        </w:rPr>
        <w:t>Q11.</w:t>
      </w:r>
      <w:r>
        <w:rPr>
          <w:b/>
          <w:bCs/>
          <w:i/>
          <w:iCs/>
          <w:sz w:val="24"/>
          <w:szCs w:val="24"/>
        </w:rPr>
        <w:tab/>
        <w:t>SHOULD THE 63% ALLOCATION FACTOR BE USED TO ALLOCATE SERVICE CENTER RATE BASE TO THE AQUA DIVISIONS AT ISSUE IN THIS CASE?</w:t>
      </w:r>
    </w:p>
    <w:p w:rsidR="00A86E17" w:rsidRDefault="008C296D">
      <w:pPr>
        <w:spacing w:line="480" w:lineRule="auto"/>
        <w:ind w:left="720" w:hanging="720"/>
        <w:rPr>
          <w:bCs/>
          <w:iCs/>
          <w:sz w:val="24"/>
          <w:szCs w:val="24"/>
        </w:rPr>
      </w:pPr>
      <w:r>
        <w:rPr>
          <w:b/>
          <w:bCs/>
          <w:i/>
          <w:iCs/>
          <w:sz w:val="24"/>
          <w:szCs w:val="24"/>
        </w:rPr>
        <w:t>A11.</w:t>
      </w:r>
      <w:r>
        <w:rPr>
          <w:b/>
          <w:bCs/>
          <w:i/>
          <w:iCs/>
          <w:sz w:val="24"/>
          <w:szCs w:val="24"/>
        </w:rPr>
        <w:tab/>
      </w:r>
      <w:r>
        <w:rPr>
          <w:sz w:val="24"/>
          <w:szCs w:val="24"/>
        </w:rPr>
        <w:t xml:space="preserve">No.  </w:t>
      </w:r>
      <w:r w:rsidR="002C5A17">
        <w:rPr>
          <w:sz w:val="24"/>
          <w:szCs w:val="24"/>
        </w:rPr>
        <w:t>In the calculation of the</w:t>
      </w:r>
      <w:r>
        <w:rPr>
          <w:sz w:val="24"/>
          <w:szCs w:val="24"/>
        </w:rPr>
        <w:t xml:space="preserve"> 63.00% plant allocation factor </w:t>
      </w:r>
      <w:r w:rsidR="0040258A">
        <w:rPr>
          <w:sz w:val="24"/>
          <w:szCs w:val="24"/>
        </w:rPr>
        <w:t xml:space="preserve">set forth in </w:t>
      </w:r>
      <w:r>
        <w:rPr>
          <w:sz w:val="24"/>
          <w:szCs w:val="24"/>
        </w:rPr>
        <w:t>Application Workpaper WPB-7.1</w:t>
      </w:r>
      <w:r w:rsidR="002C5A17">
        <w:rPr>
          <w:sz w:val="24"/>
          <w:szCs w:val="24"/>
        </w:rPr>
        <w:t>,</w:t>
      </w:r>
      <w:r>
        <w:rPr>
          <w:sz w:val="24"/>
          <w:szCs w:val="24"/>
        </w:rPr>
        <w:t xml:space="preserve"> the entire amount for the Deferred Accounts in </w:t>
      </w:r>
      <w:r w:rsidR="002C5A17">
        <w:rPr>
          <w:sz w:val="24"/>
          <w:szCs w:val="24"/>
        </w:rPr>
        <w:t>is not included</w:t>
      </w:r>
      <w:r>
        <w:rPr>
          <w:sz w:val="24"/>
          <w:szCs w:val="24"/>
        </w:rPr>
        <w:t xml:space="preserve">.  According to Application Schedule B-6, the total of Deferred Accounts carried forward to Application Schedule B-1 is </w:t>
      </w:r>
      <w:r w:rsidR="002C5A17">
        <w:rPr>
          <w:sz w:val="24"/>
          <w:szCs w:val="24"/>
        </w:rPr>
        <w:t>$</w:t>
      </w:r>
      <w:r>
        <w:rPr>
          <w:sz w:val="24"/>
          <w:szCs w:val="24"/>
        </w:rPr>
        <w:t xml:space="preserve">(10,009,497.00) and not </w:t>
      </w:r>
      <w:r w:rsidR="002C5A17">
        <w:rPr>
          <w:sz w:val="24"/>
          <w:szCs w:val="24"/>
        </w:rPr>
        <w:t>$</w:t>
      </w:r>
      <w:r>
        <w:rPr>
          <w:sz w:val="24"/>
          <w:szCs w:val="24"/>
        </w:rPr>
        <w:t>(7,821,296.42).  Recalculating Application Workpaper WPB-7.1 would yield a plant allocation factor 62.04%.</w:t>
      </w:r>
      <w:r w:rsidR="0040258A">
        <w:rPr>
          <w:rStyle w:val="FootnoteReference"/>
          <w:sz w:val="24"/>
          <w:szCs w:val="24"/>
        </w:rPr>
        <w:footnoteReference w:id="4"/>
      </w:r>
    </w:p>
    <w:p w:rsidR="00A86E17" w:rsidRDefault="00A86E17">
      <w:pPr>
        <w:spacing w:line="480" w:lineRule="auto"/>
        <w:rPr>
          <w:sz w:val="24"/>
          <w:szCs w:val="24"/>
        </w:rPr>
      </w:pPr>
    </w:p>
    <w:p w:rsidR="00A86E17" w:rsidRDefault="008C296D">
      <w:pPr>
        <w:spacing w:line="480" w:lineRule="auto"/>
        <w:ind w:left="720" w:hanging="720"/>
        <w:rPr>
          <w:b/>
          <w:bCs/>
          <w:i/>
          <w:iCs/>
          <w:sz w:val="24"/>
          <w:szCs w:val="24"/>
        </w:rPr>
      </w:pPr>
      <w:r>
        <w:rPr>
          <w:b/>
          <w:bCs/>
          <w:i/>
          <w:iCs/>
          <w:sz w:val="24"/>
          <w:szCs w:val="24"/>
        </w:rPr>
        <w:t>Q12.</w:t>
      </w:r>
      <w:r>
        <w:rPr>
          <w:sz w:val="24"/>
          <w:szCs w:val="24"/>
        </w:rPr>
        <w:tab/>
      </w:r>
      <w:r>
        <w:rPr>
          <w:b/>
          <w:bCs/>
          <w:i/>
          <w:iCs/>
          <w:sz w:val="24"/>
          <w:szCs w:val="24"/>
        </w:rPr>
        <w:t>WHAT IS THE EFFECT OF THIS CHANGE IN ALLOCATION FACTOR ON THE PLANT, DEPRECIATION RESERVE, OTHER RATE BASE ITEMS AND DEPRECIATION EXPENSE PROPOSED IN THE STIPULATION?</w:t>
      </w:r>
    </w:p>
    <w:p w:rsidR="00A86E17" w:rsidRDefault="008C296D">
      <w:pPr>
        <w:spacing w:line="480" w:lineRule="auto"/>
        <w:ind w:left="720" w:hanging="720"/>
        <w:rPr>
          <w:sz w:val="24"/>
          <w:szCs w:val="24"/>
        </w:rPr>
      </w:pPr>
      <w:r>
        <w:rPr>
          <w:b/>
          <w:bCs/>
          <w:i/>
          <w:iCs/>
          <w:sz w:val="24"/>
          <w:szCs w:val="24"/>
        </w:rPr>
        <w:t>A12.</w:t>
      </w:r>
      <w:r>
        <w:rPr>
          <w:sz w:val="24"/>
          <w:szCs w:val="24"/>
        </w:rPr>
        <w:tab/>
      </w:r>
      <w:r>
        <w:rPr>
          <w:bCs/>
          <w:iCs/>
          <w:sz w:val="24"/>
          <w:szCs w:val="24"/>
        </w:rPr>
        <w:t xml:space="preserve">Using a plant allocation factor of 62.04% would result in </w:t>
      </w:r>
      <w:r w:rsidR="00AE561C">
        <w:rPr>
          <w:bCs/>
          <w:iCs/>
          <w:sz w:val="24"/>
          <w:szCs w:val="24"/>
        </w:rPr>
        <w:t xml:space="preserve">the following </w:t>
      </w:r>
      <w:r>
        <w:rPr>
          <w:bCs/>
          <w:iCs/>
          <w:sz w:val="24"/>
          <w:szCs w:val="24"/>
        </w:rPr>
        <w:t>adjustment</w:t>
      </w:r>
      <w:r w:rsidR="00AE561C">
        <w:rPr>
          <w:bCs/>
          <w:iCs/>
          <w:sz w:val="24"/>
          <w:szCs w:val="24"/>
        </w:rPr>
        <w:t>s:</w:t>
      </w:r>
      <w:r>
        <w:rPr>
          <w:bCs/>
          <w:iCs/>
          <w:sz w:val="24"/>
          <w:szCs w:val="24"/>
        </w:rPr>
        <w:t xml:space="preserve"> the </w:t>
      </w:r>
      <w:r w:rsidR="002C5A17">
        <w:rPr>
          <w:bCs/>
          <w:iCs/>
          <w:sz w:val="24"/>
          <w:szCs w:val="24"/>
        </w:rPr>
        <w:t>s</w:t>
      </w:r>
      <w:r>
        <w:rPr>
          <w:bCs/>
          <w:iCs/>
          <w:sz w:val="24"/>
          <w:szCs w:val="24"/>
        </w:rPr>
        <w:t xml:space="preserve">tipulated </w:t>
      </w:r>
      <w:r w:rsidR="006E76E4">
        <w:rPr>
          <w:bCs/>
          <w:iCs/>
          <w:sz w:val="24"/>
          <w:szCs w:val="24"/>
        </w:rPr>
        <w:t>G</w:t>
      </w:r>
      <w:r>
        <w:rPr>
          <w:bCs/>
          <w:iCs/>
          <w:sz w:val="24"/>
          <w:szCs w:val="24"/>
        </w:rPr>
        <w:t xml:space="preserve">ross Plant </w:t>
      </w:r>
      <w:r w:rsidR="00AE561C">
        <w:rPr>
          <w:bCs/>
          <w:iCs/>
          <w:sz w:val="24"/>
          <w:szCs w:val="24"/>
        </w:rPr>
        <w:t xml:space="preserve">would decrease </w:t>
      </w:r>
      <w:r>
        <w:rPr>
          <w:bCs/>
          <w:iCs/>
          <w:sz w:val="24"/>
          <w:szCs w:val="24"/>
        </w:rPr>
        <w:t xml:space="preserve">from $10,766,843 to $10,587,448; </w:t>
      </w:r>
      <w:r w:rsidR="00AE561C">
        <w:rPr>
          <w:bCs/>
          <w:iCs/>
          <w:sz w:val="24"/>
          <w:szCs w:val="24"/>
        </w:rPr>
        <w:t xml:space="preserve">the </w:t>
      </w:r>
      <w:r w:rsidR="008455F9">
        <w:rPr>
          <w:bCs/>
          <w:iCs/>
          <w:sz w:val="24"/>
          <w:szCs w:val="24"/>
        </w:rPr>
        <w:t>s</w:t>
      </w:r>
      <w:r>
        <w:rPr>
          <w:bCs/>
          <w:iCs/>
          <w:sz w:val="24"/>
          <w:szCs w:val="24"/>
        </w:rPr>
        <w:t xml:space="preserve">tipulated Depreciation Reserve </w:t>
      </w:r>
      <w:r w:rsidR="00AE561C">
        <w:rPr>
          <w:bCs/>
          <w:iCs/>
          <w:sz w:val="24"/>
          <w:szCs w:val="24"/>
        </w:rPr>
        <w:t xml:space="preserve">would decrease </w:t>
      </w:r>
      <w:r>
        <w:rPr>
          <w:bCs/>
          <w:iCs/>
          <w:sz w:val="24"/>
          <w:szCs w:val="24"/>
        </w:rPr>
        <w:t xml:space="preserve">from $3,871,212 to $3,799,332; </w:t>
      </w:r>
      <w:r w:rsidR="00AE561C">
        <w:rPr>
          <w:bCs/>
          <w:iCs/>
          <w:sz w:val="24"/>
          <w:szCs w:val="24"/>
        </w:rPr>
        <w:t xml:space="preserve">the </w:t>
      </w:r>
      <w:r w:rsidR="008455F9">
        <w:rPr>
          <w:bCs/>
          <w:iCs/>
          <w:sz w:val="24"/>
          <w:szCs w:val="24"/>
        </w:rPr>
        <w:t>s</w:t>
      </w:r>
      <w:r>
        <w:rPr>
          <w:bCs/>
          <w:iCs/>
          <w:sz w:val="24"/>
          <w:szCs w:val="24"/>
        </w:rPr>
        <w:t xml:space="preserve">tipulated Other Rate Base Items </w:t>
      </w:r>
      <w:r w:rsidR="00AE561C">
        <w:rPr>
          <w:bCs/>
          <w:iCs/>
          <w:sz w:val="24"/>
          <w:szCs w:val="24"/>
        </w:rPr>
        <w:t xml:space="preserve">would decrease </w:t>
      </w:r>
      <w:r>
        <w:rPr>
          <w:bCs/>
          <w:iCs/>
          <w:sz w:val="24"/>
          <w:szCs w:val="24"/>
        </w:rPr>
        <w:t xml:space="preserve">from $480,184 to $472,867 (See Schedule SBH-2); and </w:t>
      </w:r>
      <w:r w:rsidR="00AE561C">
        <w:rPr>
          <w:bCs/>
          <w:iCs/>
          <w:sz w:val="24"/>
          <w:szCs w:val="24"/>
        </w:rPr>
        <w:t xml:space="preserve">the </w:t>
      </w:r>
      <w:r w:rsidR="008455F9">
        <w:rPr>
          <w:bCs/>
          <w:iCs/>
          <w:sz w:val="24"/>
          <w:szCs w:val="24"/>
        </w:rPr>
        <w:t>s</w:t>
      </w:r>
      <w:r>
        <w:rPr>
          <w:bCs/>
          <w:iCs/>
          <w:sz w:val="24"/>
          <w:szCs w:val="24"/>
        </w:rPr>
        <w:t xml:space="preserve">tipulated Depreciation Expense </w:t>
      </w:r>
      <w:r w:rsidR="00AE561C">
        <w:rPr>
          <w:bCs/>
          <w:iCs/>
          <w:sz w:val="24"/>
          <w:szCs w:val="24"/>
        </w:rPr>
        <w:t xml:space="preserve">would decrease </w:t>
      </w:r>
      <w:r>
        <w:rPr>
          <w:bCs/>
          <w:iCs/>
          <w:sz w:val="24"/>
          <w:szCs w:val="24"/>
        </w:rPr>
        <w:t>from $969,184 to $952,555.</w:t>
      </w:r>
      <w:r w:rsidR="00AE561C">
        <w:rPr>
          <w:rStyle w:val="FootnoteReference"/>
          <w:bCs/>
          <w:iCs/>
          <w:sz w:val="24"/>
          <w:szCs w:val="24"/>
        </w:rPr>
        <w:footnoteReference w:id="5"/>
      </w:r>
      <w:r>
        <w:rPr>
          <w:bCs/>
          <w:iCs/>
          <w:sz w:val="24"/>
          <w:szCs w:val="24"/>
        </w:rPr>
        <w:t xml:space="preserve">  I have also made an adjustment to reduce Property Tax Expense by $6,512.</w:t>
      </w:r>
      <w:r w:rsidR="00A73DFB">
        <w:rPr>
          <w:rStyle w:val="FootnoteReference"/>
          <w:bCs/>
          <w:iCs/>
          <w:sz w:val="24"/>
          <w:szCs w:val="24"/>
        </w:rPr>
        <w:footnoteReference w:id="6"/>
      </w:r>
    </w:p>
    <w:p w:rsidR="00A86E17" w:rsidRDefault="008C296D">
      <w:pPr>
        <w:spacing w:line="480" w:lineRule="auto"/>
        <w:ind w:left="720" w:hanging="720"/>
        <w:rPr>
          <w:b/>
          <w:i/>
          <w:sz w:val="24"/>
          <w:szCs w:val="24"/>
        </w:rPr>
      </w:pPr>
      <w:r>
        <w:rPr>
          <w:b/>
          <w:bCs/>
          <w:i/>
          <w:iCs/>
          <w:sz w:val="24"/>
          <w:szCs w:val="24"/>
        </w:rPr>
        <w:t>Q13.</w:t>
      </w:r>
      <w:r>
        <w:rPr>
          <w:sz w:val="24"/>
          <w:szCs w:val="24"/>
        </w:rPr>
        <w:tab/>
      </w:r>
      <w:r>
        <w:rPr>
          <w:b/>
          <w:i/>
          <w:sz w:val="24"/>
          <w:szCs w:val="24"/>
        </w:rPr>
        <w:t>WHY DOES THE PLANT ALLOCATION FACTOR PROPOSED IN THE STIPULATION NOT BENEFIT CUSTOMERS AND IS NOT IN THE PUBLIC INTEREST?</w:t>
      </w:r>
    </w:p>
    <w:p w:rsidR="00A86E17" w:rsidRDefault="008C296D">
      <w:pPr>
        <w:spacing w:line="480" w:lineRule="auto"/>
        <w:ind w:left="720" w:hanging="720"/>
        <w:rPr>
          <w:sz w:val="24"/>
          <w:szCs w:val="24"/>
        </w:rPr>
      </w:pPr>
      <w:r>
        <w:rPr>
          <w:b/>
          <w:i/>
          <w:sz w:val="24"/>
          <w:szCs w:val="24"/>
        </w:rPr>
        <w:t>A13.</w:t>
      </w:r>
      <w:r>
        <w:rPr>
          <w:b/>
          <w:i/>
          <w:sz w:val="24"/>
          <w:szCs w:val="24"/>
        </w:rPr>
        <w:tab/>
      </w:r>
      <w:r>
        <w:rPr>
          <w:sz w:val="24"/>
          <w:szCs w:val="24"/>
        </w:rPr>
        <w:t>In calculating the plant allocation factor, the Stipulation neglect</w:t>
      </w:r>
      <w:r w:rsidR="00A73DFB">
        <w:rPr>
          <w:sz w:val="24"/>
          <w:szCs w:val="24"/>
        </w:rPr>
        <w:t>s</w:t>
      </w:r>
      <w:r>
        <w:rPr>
          <w:sz w:val="24"/>
          <w:szCs w:val="24"/>
        </w:rPr>
        <w:t xml:space="preserve"> to include the amounts in all of the Deferred Accounts.  Hence, the 63.00% plant allocation factor used in the Stipulation fails to reduce rate base by an additional $100,198</w:t>
      </w:r>
      <w:r>
        <w:rPr>
          <w:rStyle w:val="FootnoteReference"/>
          <w:sz w:val="24"/>
          <w:szCs w:val="24"/>
        </w:rPr>
        <w:footnoteReference w:id="7"/>
      </w:r>
      <w:r>
        <w:rPr>
          <w:sz w:val="24"/>
          <w:szCs w:val="24"/>
        </w:rPr>
        <w:t xml:space="preserve"> and fails to reduce expenses by an additional $23,141</w:t>
      </w:r>
      <w:r w:rsidR="00E95EC8">
        <w:rPr>
          <w:sz w:val="24"/>
          <w:szCs w:val="24"/>
        </w:rPr>
        <w:t>.</w:t>
      </w:r>
      <w:r>
        <w:rPr>
          <w:rStyle w:val="FootnoteReference"/>
          <w:sz w:val="24"/>
          <w:szCs w:val="24"/>
        </w:rPr>
        <w:footnoteReference w:id="8"/>
      </w:r>
      <w:r>
        <w:rPr>
          <w:sz w:val="24"/>
          <w:szCs w:val="24"/>
        </w:rPr>
        <w:t xml:space="preserve">  </w:t>
      </w:r>
      <w:r w:rsidR="00E95EC8">
        <w:rPr>
          <w:sz w:val="24"/>
          <w:szCs w:val="24"/>
        </w:rPr>
        <w:t xml:space="preserve">This </w:t>
      </w:r>
      <w:r w:rsidR="006E76E4">
        <w:rPr>
          <w:sz w:val="24"/>
          <w:szCs w:val="24"/>
        </w:rPr>
        <w:t xml:space="preserve">error </w:t>
      </w:r>
      <w:r w:rsidR="00E95EC8">
        <w:rPr>
          <w:sz w:val="24"/>
          <w:szCs w:val="24"/>
        </w:rPr>
        <w:t xml:space="preserve">results in higher rates; </w:t>
      </w:r>
      <w:r>
        <w:rPr>
          <w:sz w:val="24"/>
          <w:szCs w:val="24"/>
        </w:rPr>
        <w:t>therefore</w:t>
      </w:r>
      <w:r w:rsidR="00E95EC8">
        <w:rPr>
          <w:sz w:val="24"/>
          <w:szCs w:val="24"/>
        </w:rPr>
        <w:t>, it</w:t>
      </w:r>
      <w:r>
        <w:rPr>
          <w:sz w:val="24"/>
          <w:szCs w:val="24"/>
        </w:rPr>
        <w:t xml:space="preserve"> does not benefit customers and is not in the public interest.</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Q14.</w:t>
      </w:r>
      <w:r>
        <w:rPr>
          <w:sz w:val="24"/>
          <w:szCs w:val="24"/>
        </w:rPr>
        <w:tab/>
      </w:r>
      <w:r>
        <w:rPr>
          <w:b/>
          <w:bCs/>
          <w:i/>
          <w:iCs/>
          <w:sz w:val="24"/>
          <w:szCs w:val="24"/>
        </w:rPr>
        <w:t>WHAT IS THE SECOND ISSUE YOU ADDRESS WITH REGARD TO THE SECOND CRITERIA?</w:t>
      </w:r>
    </w:p>
    <w:p w:rsidR="00A86E17" w:rsidRDefault="008C296D">
      <w:pPr>
        <w:spacing w:line="480" w:lineRule="auto"/>
        <w:ind w:left="720" w:hanging="720"/>
        <w:rPr>
          <w:sz w:val="24"/>
          <w:szCs w:val="24"/>
        </w:rPr>
      </w:pPr>
      <w:r w:rsidRPr="00801A5A">
        <w:rPr>
          <w:b/>
          <w:i/>
          <w:sz w:val="24"/>
          <w:szCs w:val="24"/>
        </w:rPr>
        <w:t>A14.</w:t>
      </w:r>
      <w:r w:rsidRPr="00801A5A">
        <w:rPr>
          <w:b/>
          <w:i/>
          <w:sz w:val="24"/>
          <w:szCs w:val="24"/>
        </w:rPr>
        <w:tab/>
      </w:r>
      <w:r w:rsidRPr="00801A5A">
        <w:rPr>
          <w:sz w:val="24"/>
          <w:szCs w:val="24"/>
        </w:rPr>
        <w:t>The second issue I address is the amount of rate case expense included in Stipulation Joint Exhibit 2.0.</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Q15.</w:t>
      </w:r>
      <w:r>
        <w:rPr>
          <w:sz w:val="24"/>
          <w:szCs w:val="24"/>
        </w:rPr>
        <w:tab/>
      </w:r>
      <w:r>
        <w:rPr>
          <w:b/>
          <w:i/>
          <w:sz w:val="24"/>
          <w:szCs w:val="24"/>
        </w:rPr>
        <w:t xml:space="preserve">DOES </w:t>
      </w:r>
      <w:r w:rsidR="0018150F">
        <w:rPr>
          <w:b/>
          <w:i/>
          <w:sz w:val="24"/>
          <w:szCs w:val="24"/>
        </w:rPr>
        <w:t xml:space="preserve">THE STIPULATION INCLUDE </w:t>
      </w:r>
      <w:r>
        <w:rPr>
          <w:b/>
          <w:i/>
          <w:sz w:val="24"/>
          <w:szCs w:val="24"/>
        </w:rPr>
        <w:t>RATE CASE EXPENSE?</w:t>
      </w:r>
    </w:p>
    <w:p w:rsidR="00F3169E" w:rsidRDefault="008C296D" w:rsidP="00F3169E">
      <w:pPr>
        <w:spacing w:line="480" w:lineRule="auto"/>
        <w:ind w:left="720" w:hanging="720"/>
        <w:rPr>
          <w:bCs/>
          <w:iCs/>
          <w:sz w:val="24"/>
          <w:szCs w:val="24"/>
        </w:rPr>
      </w:pPr>
      <w:r>
        <w:rPr>
          <w:b/>
          <w:i/>
          <w:sz w:val="24"/>
          <w:szCs w:val="24"/>
        </w:rPr>
        <w:t>A15.</w:t>
      </w:r>
      <w:r>
        <w:rPr>
          <w:b/>
          <w:i/>
          <w:sz w:val="24"/>
          <w:szCs w:val="24"/>
        </w:rPr>
        <w:tab/>
      </w:r>
      <w:r>
        <w:rPr>
          <w:bCs/>
          <w:iCs/>
          <w:sz w:val="24"/>
          <w:szCs w:val="24"/>
        </w:rPr>
        <w:t>Yes.  On Stipulation Schedule C-3.6 there is an estimated current rate case expense of $350,000</w:t>
      </w:r>
      <w:r w:rsidR="00E95EC8">
        <w:rPr>
          <w:bCs/>
          <w:iCs/>
          <w:sz w:val="24"/>
          <w:szCs w:val="24"/>
        </w:rPr>
        <w:t>.  When that amount is</w:t>
      </w:r>
      <w:r>
        <w:rPr>
          <w:bCs/>
          <w:iCs/>
          <w:sz w:val="24"/>
          <w:szCs w:val="24"/>
        </w:rPr>
        <w:t xml:space="preserve"> amortized over a period of three years, </w:t>
      </w:r>
      <w:r w:rsidR="00E95EC8">
        <w:rPr>
          <w:bCs/>
          <w:iCs/>
          <w:sz w:val="24"/>
          <w:szCs w:val="24"/>
        </w:rPr>
        <w:t xml:space="preserve">it </w:t>
      </w:r>
      <w:r>
        <w:rPr>
          <w:bCs/>
          <w:iCs/>
          <w:sz w:val="24"/>
          <w:szCs w:val="24"/>
        </w:rPr>
        <w:t>results in an estimated annual rate case expense of $116,667.</w:t>
      </w:r>
      <w:r w:rsidR="00F3169E">
        <w:rPr>
          <w:bCs/>
          <w:iCs/>
          <w:sz w:val="24"/>
          <w:szCs w:val="24"/>
        </w:rPr>
        <w:br w:type="page"/>
      </w:r>
    </w:p>
    <w:p w:rsidR="00A86E17" w:rsidRDefault="008C296D">
      <w:pPr>
        <w:spacing w:line="480" w:lineRule="auto"/>
        <w:ind w:left="720" w:hanging="720"/>
        <w:rPr>
          <w:b/>
          <w:bCs/>
          <w:i/>
          <w:iCs/>
          <w:sz w:val="24"/>
          <w:szCs w:val="24"/>
        </w:rPr>
      </w:pPr>
      <w:r>
        <w:rPr>
          <w:b/>
          <w:i/>
          <w:sz w:val="24"/>
          <w:szCs w:val="24"/>
        </w:rPr>
        <w:t>Q16.</w:t>
      </w:r>
      <w:r>
        <w:rPr>
          <w:sz w:val="24"/>
          <w:szCs w:val="24"/>
        </w:rPr>
        <w:tab/>
      </w:r>
      <w:r>
        <w:rPr>
          <w:b/>
          <w:i/>
          <w:sz w:val="24"/>
          <w:szCs w:val="24"/>
        </w:rPr>
        <w:t>DO YOU AGREE WITH THIS ADJUSTMENT?</w:t>
      </w:r>
    </w:p>
    <w:p w:rsidR="00A86E17" w:rsidRDefault="008C296D">
      <w:pPr>
        <w:spacing w:line="480" w:lineRule="auto"/>
        <w:ind w:left="720" w:hanging="720"/>
        <w:rPr>
          <w:b/>
          <w:bCs/>
          <w:i/>
          <w:iCs/>
          <w:sz w:val="24"/>
          <w:szCs w:val="24"/>
        </w:rPr>
      </w:pPr>
      <w:r>
        <w:rPr>
          <w:b/>
          <w:bCs/>
          <w:i/>
          <w:iCs/>
          <w:sz w:val="24"/>
          <w:szCs w:val="24"/>
        </w:rPr>
        <w:t>A16.</w:t>
      </w:r>
      <w:r>
        <w:rPr>
          <w:b/>
          <w:bCs/>
          <w:i/>
          <w:iCs/>
          <w:sz w:val="24"/>
          <w:szCs w:val="24"/>
        </w:rPr>
        <w:tab/>
      </w:r>
      <w:r>
        <w:rPr>
          <w:bCs/>
          <w:iCs/>
          <w:sz w:val="24"/>
          <w:szCs w:val="24"/>
        </w:rPr>
        <w:t xml:space="preserve">No.  Although I agree with the amortization of the rate case expense over three years, I do not agree with the level of rate case expense that should be amortized.  Only half of the rate case expense estimate of $350,000 should be included because customers should not have to pay for the entire cost of a rate case that </w:t>
      </w:r>
      <w:r w:rsidR="006E76E4">
        <w:rPr>
          <w:bCs/>
          <w:iCs/>
          <w:sz w:val="24"/>
          <w:szCs w:val="24"/>
        </w:rPr>
        <w:t xml:space="preserve">disproportionately </w:t>
      </w:r>
      <w:r>
        <w:rPr>
          <w:bCs/>
          <w:iCs/>
          <w:sz w:val="24"/>
          <w:szCs w:val="24"/>
        </w:rPr>
        <w:t>benefit</w:t>
      </w:r>
      <w:r w:rsidR="006E76E4">
        <w:rPr>
          <w:bCs/>
          <w:iCs/>
          <w:sz w:val="24"/>
          <w:szCs w:val="24"/>
        </w:rPr>
        <w:t>s</w:t>
      </w:r>
      <w:r>
        <w:rPr>
          <w:bCs/>
          <w:iCs/>
          <w:sz w:val="24"/>
          <w:szCs w:val="24"/>
        </w:rPr>
        <w:t xml:space="preserve"> the Utility and its shareholders </w:t>
      </w:r>
      <w:r w:rsidR="006E76E4">
        <w:rPr>
          <w:bCs/>
          <w:iCs/>
          <w:sz w:val="24"/>
          <w:szCs w:val="24"/>
        </w:rPr>
        <w:t xml:space="preserve">over </w:t>
      </w:r>
      <w:r>
        <w:rPr>
          <w:bCs/>
          <w:iCs/>
          <w:sz w:val="24"/>
          <w:szCs w:val="24"/>
        </w:rPr>
        <w:t xml:space="preserve">customers </w:t>
      </w:r>
      <w:r w:rsidR="006E76E4">
        <w:rPr>
          <w:bCs/>
          <w:iCs/>
          <w:sz w:val="24"/>
          <w:szCs w:val="24"/>
        </w:rPr>
        <w:t>billed the increased charges</w:t>
      </w:r>
      <w:r>
        <w:rPr>
          <w:bCs/>
          <w:iCs/>
          <w:sz w:val="24"/>
          <w:szCs w:val="24"/>
        </w:rPr>
        <w:t>.</w:t>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Q17.</w:t>
      </w:r>
      <w:r>
        <w:rPr>
          <w:sz w:val="24"/>
          <w:szCs w:val="24"/>
        </w:rPr>
        <w:tab/>
      </w:r>
      <w:r>
        <w:rPr>
          <w:b/>
          <w:i/>
          <w:caps/>
          <w:sz w:val="24"/>
          <w:szCs w:val="24"/>
        </w:rPr>
        <w:t>WHAT ADJUSTMENT TO RATE CASE EXPENSE ARE YOU PROPOSING?</w:t>
      </w:r>
    </w:p>
    <w:p w:rsidR="00A86E17" w:rsidRDefault="008C296D">
      <w:pPr>
        <w:spacing w:line="480" w:lineRule="auto"/>
        <w:ind w:left="720" w:hanging="720"/>
        <w:rPr>
          <w:sz w:val="24"/>
          <w:szCs w:val="24"/>
        </w:rPr>
      </w:pPr>
      <w:r>
        <w:rPr>
          <w:b/>
          <w:bCs/>
          <w:i/>
          <w:iCs/>
          <w:sz w:val="24"/>
          <w:szCs w:val="24"/>
        </w:rPr>
        <w:t>A17.</w:t>
      </w:r>
      <w:r>
        <w:rPr>
          <w:b/>
          <w:bCs/>
          <w:i/>
          <w:iCs/>
          <w:sz w:val="24"/>
          <w:szCs w:val="24"/>
        </w:rPr>
        <w:tab/>
      </w:r>
      <w:r>
        <w:rPr>
          <w:bCs/>
          <w:sz w:val="24"/>
          <w:szCs w:val="24"/>
        </w:rPr>
        <w:t xml:space="preserve">I propose that $175,000 be excluded from the rate case expense of $350,000 as it was currently estimated at the time the Stipulation was filed at the PUCO.  This would result in an incremental adjustment of </w:t>
      </w:r>
      <w:r w:rsidR="00A27E72">
        <w:rPr>
          <w:bCs/>
          <w:sz w:val="24"/>
          <w:szCs w:val="24"/>
        </w:rPr>
        <w:t>$</w:t>
      </w:r>
      <w:r>
        <w:rPr>
          <w:bCs/>
          <w:sz w:val="24"/>
          <w:szCs w:val="24"/>
        </w:rPr>
        <w:t xml:space="preserve">(58,333) from Stipulation Schedule C-3.6.  My adjustment is shown on Schedule SBH-5.  If </w:t>
      </w:r>
      <w:r w:rsidR="00E95EC8">
        <w:rPr>
          <w:bCs/>
          <w:sz w:val="24"/>
          <w:szCs w:val="24"/>
        </w:rPr>
        <w:t xml:space="preserve">Aqua submits </w:t>
      </w:r>
      <w:r>
        <w:rPr>
          <w:bCs/>
          <w:sz w:val="24"/>
          <w:szCs w:val="24"/>
        </w:rPr>
        <w:t xml:space="preserve">a final rate case expense amount to the </w:t>
      </w:r>
      <w:r w:rsidR="00E95EC8">
        <w:rPr>
          <w:bCs/>
          <w:sz w:val="24"/>
          <w:szCs w:val="24"/>
        </w:rPr>
        <w:t xml:space="preserve">PUCO </w:t>
      </w:r>
      <w:r>
        <w:rPr>
          <w:bCs/>
          <w:sz w:val="24"/>
          <w:szCs w:val="24"/>
        </w:rPr>
        <w:t>for inclusion in the Revenue Requirement, it too should be accorded the same treatment that I am proposing.</w:t>
      </w:r>
    </w:p>
    <w:p w:rsidR="00A86E17" w:rsidRDefault="00A86E17">
      <w:pPr>
        <w:spacing w:line="480" w:lineRule="auto"/>
        <w:rPr>
          <w:sz w:val="24"/>
          <w:szCs w:val="24"/>
        </w:rPr>
      </w:pPr>
    </w:p>
    <w:p w:rsidR="00A86E17" w:rsidRDefault="008C296D">
      <w:pPr>
        <w:spacing w:line="480" w:lineRule="auto"/>
        <w:ind w:left="720" w:hanging="720"/>
        <w:rPr>
          <w:b/>
          <w:i/>
          <w:sz w:val="24"/>
          <w:szCs w:val="24"/>
        </w:rPr>
      </w:pPr>
      <w:r>
        <w:rPr>
          <w:b/>
          <w:bCs/>
          <w:i/>
          <w:iCs/>
          <w:sz w:val="24"/>
          <w:szCs w:val="24"/>
        </w:rPr>
        <w:t>Q18.</w:t>
      </w:r>
      <w:r>
        <w:rPr>
          <w:sz w:val="24"/>
          <w:szCs w:val="24"/>
        </w:rPr>
        <w:tab/>
      </w:r>
      <w:r>
        <w:rPr>
          <w:b/>
          <w:i/>
          <w:sz w:val="24"/>
          <w:szCs w:val="24"/>
        </w:rPr>
        <w:t>WHY DOES THE AMOUNT OF RATE CASE EXPENSE PROPOSED IN THE STIPULATION NOT BENEFIT CUSTOMERS AND IS NOT IN THE PUBLIC INTEREST?</w:t>
      </w:r>
    </w:p>
    <w:p w:rsidR="00A86E17" w:rsidRDefault="008C296D">
      <w:pPr>
        <w:spacing w:line="480" w:lineRule="auto"/>
        <w:ind w:left="720" w:hanging="720"/>
        <w:rPr>
          <w:bCs/>
          <w:sz w:val="24"/>
          <w:szCs w:val="24"/>
        </w:rPr>
      </w:pPr>
      <w:r>
        <w:rPr>
          <w:b/>
          <w:bCs/>
          <w:i/>
          <w:iCs/>
          <w:sz w:val="24"/>
          <w:szCs w:val="24"/>
        </w:rPr>
        <w:t>A18.</w:t>
      </w:r>
      <w:r>
        <w:rPr>
          <w:b/>
          <w:bCs/>
          <w:sz w:val="24"/>
          <w:szCs w:val="24"/>
        </w:rPr>
        <w:tab/>
      </w:r>
      <w:r>
        <w:rPr>
          <w:bCs/>
          <w:sz w:val="24"/>
          <w:szCs w:val="24"/>
        </w:rPr>
        <w:t xml:space="preserve">The amount of rate case expense included in the Stipulation does not recognize the fact that the Utility and its shareholders also benefit from this expenditure.  </w:t>
      </w:r>
      <w:r w:rsidR="00E95EC8">
        <w:rPr>
          <w:bCs/>
          <w:sz w:val="24"/>
          <w:szCs w:val="24"/>
        </w:rPr>
        <w:t>It would not benefit customers to pay more than their fair portion of rate case expense.  A</w:t>
      </w:r>
      <w:r>
        <w:rPr>
          <w:bCs/>
          <w:sz w:val="24"/>
          <w:szCs w:val="24"/>
        </w:rPr>
        <w:t>s a reasonable compromise, customers should only pay for half of rate case expense</w:t>
      </w:r>
      <w:r w:rsidR="003F4D55">
        <w:rPr>
          <w:bCs/>
          <w:sz w:val="24"/>
          <w:szCs w:val="24"/>
        </w:rPr>
        <w:t>,</w:t>
      </w:r>
      <w:r>
        <w:rPr>
          <w:bCs/>
          <w:sz w:val="24"/>
          <w:szCs w:val="24"/>
        </w:rPr>
        <w:t xml:space="preserve"> which would be $175,000 or $58,333 amortized over three years.</w:t>
      </w:r>
      <w:r w:rsidR="00E95EC8">
        <w:rPr>
          <w:bCs/>
          <w:sz w:val="24"/>
          <w:szCs w:val="24"/>
        </w:rPr>
        <w:t xml:space="preserve">  </w:t>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Q19.</w:t>
      </w:r>
      <w:r>
        <w:rPr>
          <w:b/>
          <w:bCs/>
          <w:i/>
          <w:iCs/>
          <w:sz w:val="24"/>
          <w:szCs w:val="24"/>
        </w:rPr>
        <w:tab/>
        <w:t>WHAT IS THE THIRD ISSUE YOU ADDRESS WITH REGARD TO THE SECOND CRITERIA?</w:t>
      </w:r>
    </w:p>
    <w:p w:rsidR="00A86E17" w:rsidRDefault="008C296D">
      <w:pPr>
        <w:spacing w:line="480" w:lineRule="auto"/>
        <w:ind w:left="720" w:hanging="720"/>
        <w:rPr>
          <w:sz w:val="24"/>
          <w:szCs w:val="24"/>
        </w:rPr>
      </w:pPr>
      <w:r w:rsidRPr="00801A5A">
        <w:rPr>
          <w:b/>
          <w:bCs/>
          <w:i/>
          <w:iCs/>
          <w:sz w:val="24"/>
          <w:szCs w:val="24"/>
        </w:rPr>
        <w:t>A19.</w:t>
      </w:r>
      <w:r w:rsidRPr="00801A5A">
        <w:rPr>
          <w:b/>
          <w:bCs/>
          <w:i/>
          <w:iCs/>
          <w:sz w:val="24"/>
          <w:szCs w:val="24"/>
        </w:rPr>
        <w:tab/>
      </w:r>
      <w:r w:rsidRPr="00801A5A">
        <w:rPr>
          <w:sz w:val="24"/>
          <w:szCs w:val="24"/>
        </w:rPr>
        <w:t>The third issue I address concerns the signing bonuses that are included in Stipulation Joint Exhibit 2.0.</w:t>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Q20.</w:t>
      </w:r>
      <w:r>
        <w:rPr>
          <w:b/>
          <w:bCs/>
          <w:i/>
          <w:iCs/>
          <w:sz w:val="24"/>
          <w:szCs w:val="24"/>
        </w:rPr>
        <w:tab/>
        <w:t>DID THE UTILITY INCLUDE SIGNING BONUSES IN ITS CALCULATION OF WAGE ANNUALIZATION ON SCHEDULE C-3.4 OF THE APPLICATION?</w:t>
      </w:r>
    </w:p>
    <w:p w:rsidR="00A86E17" w:rsidRDefault="008C296D">
      <w:pPr>
        <w:spacing w:line="480" w:lineRule="auto"/>
        <w:ind w:left="720" w:hanging="720"/>
        <w:rPr>
          <w:bCs/>
          <w:iCs/>
          <w:sz w:val="24"/>
          <w:szCs w:val="24"/>
        </w:rPr>
      </w:pPr>
      <w:r>
        <w:rPr>
          <w:b/>
          <w:bCs/>
          <w:i/>
          <w:iCs/>
          <w:sz w:val="24"/>
          <w:szCs w:val="24"/>
        </w:rPr>
        <w:t>A20.</w:t>
      </w:r>
      <w:r>
        <w:rPr>
          <w:b/>
          <w:bCs/>
          <w:i/>
          <w:iCs/>
          <w:sz w:val="24"/>
          <w:szCs w:val="24"/>
        </w:rPr>
        <w:tab/>
      </w:r>
      <w:r>
        <w:rPr>
          <w:bCs/>
          <w:iCs/>
          <w:sz w:val="24"/>
          <w:szCs w:val="24"/>
        </w:rPr>
        <w:t xml:space="preserve">Yes.  On Application Schedule WPC-3.4b, Aqua included </w:t>
      </w:r>
      <w:r w:rsidR="003F4D55">
        <w:rPr>
          <w:bCs/>
          <w:iCs/>
          <w:sz w:val="24"/>
          <w:szCs w:val="24"/>
        </w:rPr>
        <w:t xml:space="preserve">signing bonuses totaling </w:t>
      </w:r>
      <w:r>
        <w:rPr>
          <w:bCs/>
          <w:iCs/>
          <w:sz w:val="24"/>
          <w:szCs w:val="24"/>
        </w:rPr>
        <w:t>$10,500 in the calculation of its Wage Annualization.</w:t>
      </w:r>
    </w:p>
    <w:p w:rsidR="00A86E17" w:rsidRDefault="00A86E17">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Q21.</w:t>
      </w:r>
      <w:r>
        <w:rPr>
          <w:b/>
          <w:bCs/>
          <w:i/>
          <w:iCs/>
          <w:sz w:val="24"/>
          <w:szCs w:val="24"/>
        </w:rPr>
        <w:tab/>
        <w:t>DID THE PUCO STAFF INCLUDE THESE SIGNING BONUSES IN ITS CALCULATION OF WAGES ANNUALIZED ON SCHEDULE C-3.4 OF THE STAFF REPORT?</w:t>
      </w:r>
    </w:p>
    <w:p w:rsidR="00F3169E" w:rsidRDefault="008C296D" w:rsidP="00F3169E">
      <w:pPr>
        <w:spacing w:line="480" w:lineRule="auto"/>
        <w:ind w:left="720" w:hanging="720"/>
        <w:rPr>
          <w:bCs/>
          <w:iCs/>
          <w:sz w:val="24"/>
          <w:szCs w:val="24"/>
        </w:rPr>
      </w:pPr>
      <w:r>
        <w:rPr>
          <w:b/>
          <w:bCs/>
          <w:i/>
          <w:iCs/>
          <w:sz w:val="24"/>
          <w:szCs w:val="24"/>
        </w:rPr>
        <w:t>A21.</w:t>
      </w:r>
      <w:r>
        <w:rPr>
          <w:b/>
          <w:bCs/>
          <w:i/>
          <w:iCs/>
          <w:sz w:val="24"/>
          <w:szCs w:val="24"/>
        </w:rPr>
        <w:tab/>
      </w:r>
      <w:r>
        <w:rPr>
          <w:bCs/>
          <w:iCs/>
          <w:sz w:val="24"/>
          <w:szCs w:val="24"/>
        </w:rPr>
        <w:t>In my review of the PUCO Staff Workpapers, the PUCO Staff did include $10,500 of signing bonuses related to Union Employees.</w:t>
      </w:r>
      <w:r>
        <w:rPr>
          <w:rStyle w:val="FootnoteReference"/>
          <w:bCs/>
          <w:iCs/>
          <w:sz w:val="24"/>
          <w:szCs w:val="24"/>
        </w:rPr>
        <w:footnoteReference w:id="9"/>
      </w:r>
      <w:r w:rsidR="00F3169E">
        <w:rPr>
          <w:bCs/>
          <w:iCs/>
          <w:sz w:val="24"/>
          <w:szCs w:val="24"/>
        </w:rPr>
        <w:br w:type="page"/>
      </w:r>
    </w:p>
    <w:p w:rsidR="00A86E17" w:rsidRDefault="008C296D">
      <w:pPr>
        <w:spacing w:line="480" w:lineRule="auto"/>
        <w:ind w:left="720" w:hanging="720"/>
        <w:rPr>
          <w:b/>
          <w:bCs/>
          <w:i/>
          <w:iCs/>
          <w:sz w:val="24"/>
          <w:szCs w:val="24"/>
        </w:rPr>
      </w:pPr>
      <w:r>
        <w:rPr>
          <w:b/>
          <w:bCs/>
          <w:i/>
          <w:iCs/>
          <w:sz w:val="24"/>
          <w:szCs w:val="24"/>
        </w:rPr>
        <w:t>Q22.</w:t>
      </w:r>
      <w:r>
        <w:rPr>
          <w:b/>
          <w:bCs/>
          <w:i/>
          <w:iCs/>
          <w:sz w:val="24"/>
          <w:szCs w:val="24"/>
        </w:rPr>
        <w:tab/>
        <w:t>WAS THERE AN ADJUSTMENT TO REMOVE SIGNING BONUSES FROM THE SCHEDULES FOUND IN STIPULATION JOINT EXHIBIT 2.0?</w:t>
      </w:r>
    </w:p>
    <w:p w:rsidR="00A86E17" w:rsidRDefault="008C296D">
      <w:pPr>
        <w:spacing w:line="480" w:lineRule="auto"/>
        <w:ind w:left="720" w:hanging="720"/>
        <w:rPr>
          <w:bCs/>
          <w:iCs/>
          <w:sz w:val="24"/>
          <w:szCs w:val="24"/>
        </w:rPr>
      </w:pPr>
      <w:r>
        <w:rPr>
          <w:b/>
          <w:bCs/>
          <w:i/>
          <w:iCs/>
          <w:sz w:val="24"/>
          <w:szCs w:val="24"/>
        </w:rPr>
        <w:t>A22.</w:t>
      </w:r>
      <w:r>
        <w:rPr>
          <w:b/>
          <w:bCs/>
          <w:i/>
          <w:iCs/>
          <w:sz w:val="24"/>
          <w:szCs w:val="24"/>
        </w:rPr>
        <w:tab/>
      </w:r>
      <w:r>
        <w:rPr>
          <w:bCs/>
          <w:iCs/>
          <w:sz w:val="24"/>
          <w:szCs w:val="24"/>
        </w:rPr>
        <w:t>No.  There was no such adjustment to remove signing bonuses from the calculation of Wages Annualized.</w:t>
      </w:r>
    </w:p>
    <w:p w:rsidR="00A86E17" w:rsidRDefault="00A86E17">
      <w:pPr>
        <w:spacing w:line="480" w:lineRule="auto"/>
        <w:ind w:left="720" w:hanging="720"/>
        <w:rPr>
          <w:bCs/>
          <w:iCs/>
          <w:sz w:val="24"/>
          <w:szCs w:val="24"/>
        </w:rPr>
      </w:pPr>
    </w:p>
    <w:p w:rsidR="00A86E17" w:rsidRDefault="008C296D">
      <w:pPr>
        <w:spacing w:line="480" w:lineRule="auto"/>
        <w:ind w:left="720" w:hanging="720"/>
        <w:rPr>
          <w:b/>
          <w:bCs/>
          <w:i/>
          <w:iCs/>
          <w:sz w:val="24"/>
          <w:szCs w:val="24"/>
        </w:rPr>
      </w:pPr>
      <w:r>
        <w:rPr>
          <w:b/>
          <w:bCs/>
          <w:i/>
          <w:iCs/>
          <w:sz w:val="24"/>
          <w:szCs w:val="24"/>
        </w:rPr>
        <w:t>Q23.</w:t>
      </w:r>
      <w:r>
        <w:rPr>
          <w:bCs/>
          <w:iCs/>
          <w:sz w:val="24"/>
          <w:szCs w:val="24"/>
        </w:rPr>
        <w:tab/>
      </w:r>
      <w:r>
        <w:rPr>
          <w:b/>
          <w:bCs/>
          <w:i/>
          <w:iCs/>
          <w:sz w:val="24"/>
          <w:szCs w:val="24"/>
        </w:rPr>
        <w:t>DO YOU AGREE WITH THE INCLUSION OF THESE SIGNING BONUSES IN THE CALCULATION OF WAGES?</w:t>
      </w:r>
    </w:p>
    <w:p w:rsidR="00A86E17" w:rsidRDefault="008C296D">
      <w:pPr>
        <w:spacing w:line="480" w:lineRule="auto"/>
        <w:ind w:left="720" w:hanging="720"/>
        <w:rPr>
          <w:bCs/>
          <w:iCs/>
          <w:sz w:val="24"/>
          <w:szCs w:val="24"/>
        </w:rPr>
      </w:pPr>
      <w:r>
        <w:rPr>
          <w:b/>
          <w:bCs/>
          <w:i/>
          <w:iCs/>
          <w:sz w:val="24"/>
          <w:szCs w:val="24"/>
        </w:rPr>
        <w:t>A23.</w:t>
      </w:r>
      <w:r>
        <w:rPr>
          <w:b/>
          <w:bCs/>
          <w:i/>
          <w:iCs/>
          <w:sz w:val="24"/>
          <w:szCs w:val="24"/>
        </w:rPr>
        <w:tab/>
      </w:r>
      <w:r>
        <w:rPr>
          <w:bCs/>
          <w:iCs/>
          <w:sz w:val="24"/>
          <w:szCs w:val="24"/>
        </w:rPr>
        <w:t>No.  The signing bonus was offered by Aqua in the context of labor negotiations to provide an incentive for acceptance of a negotiated union contract.</w:t>
      </w:r>
      <w:r>
        <w:rPr>
          <w:rStyle w:val="FootnoteReference"/>
          <w:bCs/>
          <w:iCs/>
          <w:sz w:val="24"/>
          <w:szCs w:val="24"/>
        </w:rPr>
        <w:footnoteReference w:id="10"/>
      </w:r>
      <w:r>
        <w:rPr>
          <w:bCs/>
          <w:iCs/>
          <w:sz w:val="24"/>
          <w:szCs w:val="24"/>
        </w:rPr>
        <w:t xml:space="preserve">  This bonus has nothing to do with the improvement of customer service or the percentage of the wage increase</w:t>
      </w:r>
      <w:r w:rsidR="002F7282">
        <w:rPr>
          <w:bCs/>
          <w:iCs/>
          <w:sz w:val="24"/>
          <w:szCs w:val="24"/>
        </w:rPr>
        <w:t xml:space="preserve"> agreed to in the contract</w:t>
      </w:r>
      <w:r>
        <w:rPr>
          <w:bCs/>
          <w:iCs/>
          <w:sz w:val="24"/>
          <w:szCs w:val="24"/>
        </w:rPr>
        <w:t>.</w:t>
      </w:r>
      <w:r>
        <w:rPr>
          <w:rStyle w:val="FootnoteReference"/>
          <w:bCs/>
          <w:iCs/>
          <w:sz w:val="24"/>
          <w:szCs w:val="24"/>
        </w:rPr>
        <w:footnoteReference w:id="11"/>
      </w:r>
      <w:r>
        <w:rPr>
          <w:bCs/>
          <w:iCs/>
          <w:sz w:val="24"/>
          <w:szCs w:val="24"/>
        </w:rPr>
        <w:t xml:space="preserve">  In addition, even if </w:t>
      </w:r>
      <w:r w:rsidR="00AE23AD">
        <w:rPr>
          <w:bCs/>
          <w:iCs/>
          <w:sz w:val="24"/>
          <w:szCs w:val="24"/>
        </w:rPr>
        <w:t xml:space="preserve">an </w:t>
      </w:r>
      <w:r>
        <w:rPr>
          <w:bCs/>
          <w:iCs/>
          <w:sz w:val="24"/>
          <w:szCs w:val="24"/>
        </w:rPr>
        <w:t xml:space="preserve">employee were to do no work during the year, </w:t>
      </w:r>
      <w:r w:rsidR="007541D1">
        <w:rPr>
          <w:bCs/>
          <w:iCs/>
          <w:sz w:val="24"/>
          <w:szCs w:val="24"/>
        </w:rPr>
        <w:t xml:space="preserve">then </w:t>
      </w:r>
      <w:r w:rsidR="00AE23AD">
        <w:rPr>
          <w:bCs/>
          <w:iCs/>
          <w:sz w:val="24"/>
          <w:szCs w:val="24"/>
        </w:rPr>
        <w:t xml:space="preserve">he/she </w:t>
      </w:r>
      <w:r>
        <w:rPr>
          <w:bCs/>
          <w:iCs/>
          <w:sz w:val="24"/>
          <w:szCs w:val="24"/>
        </w:rPr>
        <w:t>would still receive the $500</w:t>
      </w:r>
      <w:r w:rsidR="00AE23AD">
        <w:rPr>
          <w:bCs/>
          <w:iCs/>
          <w:sz w:val="24"/>
          <w:szCs w:val="24"/>
        </w:rPr>
        <w:t xml:space="preserve"> signing bonus</w:t>
      </w:r>
      <w:r>
        <w:rPr>
          <w:bCs/>
          <w:iCs/>
          <w:sz w:val="24"/>
          <w:szCs w:val="24"/>
        </w:rPr>
        <w:t>.</w:t>
      </w:r>
      <w:r w:rsidR="002F7282" w:rsidRPr="002F7282">
        <w:t xml:space="preserve"> </w:t>
      </w:r>
      <w:r w:rsidR="002F7282">
        <w:t>Hence, t</w:t>
      </w:r>
      <w:r w:rsidR="002F7282" w:rsidRPr="002F7282">
        <w:rPr>
          <w:bCs/>
          <w:iCs/>
          <w:sz w:val="24"/>
          <w:szCs w:val="24"/>
        </w:rPr>
        <w:t>he</w:t>
      </w:r>
      <w:r w:rsidR="002F7282">
        <w:rPr>
          <w:bCs/>
          <w:iCs/>
          <w:sz w:val="24"/>
          <w:szCs w:val="24"/>
        </w:rPr>
        <w:t>se</w:t>
      </w:r>
      <w:r w:rsidR="002F7282" w:rsidRPr="002F7282">
        <w:rPr>
          <w:bCs/>
          <w:iCs/>
          <w:sz w:val="24"/>
          <w:szCs w:val="24"/>
        </w:rPr>
        <w:t xml:space="preserve"> bonus</w:t>
      </w:r>
      <w:r w:rsidR="002F7282">
        <w:rPr>
          <w:bCs/>
          <w:iCs/>
          <w:sz w:val="24"/>
          <w:szCs w:val="24"/>
        </w:rPr>
        <w:t>es</w:t>
      </w:r>
      <w:r w:rsidR="002F7282" w:rsidRPr="002F7282">
        <w:rPr>
          <w:bCs/>
          <w:iCs/>
          <w:sz w:val="24"/>
          <w:szCs w:val="24"/>
        </w:rPr>
        <w:t xml:space="preserve">, </w:t>
      </w:r>
      <w:r w:rsidR="002F7282">
        <w:rPr>
          <w:bCs/>
          <w:iCs/>
          <w:sz w:val="24"/>
          <w:szCs w:val="24"/>
        </w:rPr>
        <w:t xml:space="preserve">which were </w:t>
      </w:r>
      <w:r w:rsidR="002F7282" w:rsidRPr="002F7282">
        <w:rPr>
          <w:bCs/>
          <w:iCs/>
          <w:sz w:val="24"/>
          <w:szCs w:val="24"/>
        </w:rPr>
        <w:t>used as an enticement for employees to agree to a labor contract package, has resulted in no quantifiable increase in labor productivity to the benefit of consumers.</w:t>
      </w:r>
    </w:p>
    <w:p w:rsidR="00A86E17" w:rsidRDefault="00A86E17">
      <w:pPr>
        <w:spacing w:line="480" w:lineRule="auto"/>
        <w:ind w:left="720" w:hanging="720"/>
        <w:rPr>
          <w:bCs/>
          <w:iCs/>
          <w:sz w:val="24"/>
          <w:szCs w:val="24"/>
        </w:rPr>
      </w:pPr>
    </w:p>
    <w:p w:rsidR="00A86E17" w:rsidRDefault="008C296D">
      <w:pPr>
        <w:spacing w:line="480" w:lineRule="auto"/>
        <w:ind w:left="720" w:hanging="720"/>
        <w:rPr>
          <w:b/>
          <w:i/>
          <w:sz w:val="24"/>
          <w:szCs w:val="24"/>
        </w:rPr>
      </w:pPr>
      <w:r>
        <w:rPr>
          <w:b/>
          <w:i/>
          <w:sz w:val="24"/>
          <w:szCs w:val="24"/>
        </w:rPr>
        <w:t>Q24.</w:t>
      </w:r>
      <w:r>
        <w:rPr>
          <w:b/>
          <w:i/>
          <w:sz w:val="24"/>
          <w:szCs w:val="24"/>
        </w:rPr>
        <w:tab/>
      </w:r>
      <w:r>
        <w:rPr>
          <w:b/>
          <w:bCs/>
          <w:i/>
          <w:iCs/>
          <w:sz w:val="24"/>
          <w:szCs w:val="24"/>
        </w:rPr>
        <w:t>DID YOU MAKE AN ADJUSTMENT TO EXCLUDE THE SIGNING BONUSES FROM STIPULATION JOINT EXHIBIT 2.0?</w:t>
      </w:r>
    </w:p>
    <w:p w:rsidR="00A86E17" w:rsidRDefault="008C296D">
      <w:pPr>
        <w:spacing w:line="480" w:lineRule="auto"/>
        <w:ind w:left="720" w:hanging="720"/>
        <w:rPr>
          <w:sz w:val="24"/>
          <w:szCs w:val="24"/>
        </w:rPr>
      </w:pPr>
      <w:r>
        <w:rPr>
          <w:b/>
          <w:i/>
          <w:sz w:val="24"/>
          <w:szCs w:val="24"/>
        </w:rPr>
        <w:t>A24.</w:t>
      </w:r>
      <w:r>
        <w:rPr>
          <w:b/>
          <w:i/>
          <w:sz w:val="24"/>
          <w:szCs w:val="24"/>
        </w:rPr>
        <w:tab/>
      </w:r>
      <w:r>
        <w:rPr>
          <w:bCs/>
          <w:iCs/>
          <w:sz w:val="24"/>
          <w:szCs w:val="24"/>
        </w:rPr>
        <w:t xml:space="preserve">Yes.  My adjustment to exclude the signing bonuses of $10,500 from the calculation of wages is shown on Schedule SBH-6.  After the O&amp;M Allocation Percentage of 88.60% is applied, the adjustment would be </w:t>
      </w:r>
      <w:r w:rsidR="008455F9">
        <w:rPr>
          <w:bCs/>
          <w:iCs/>
          <w:sz w:val="24"/>
          <w:szCs w:val="24"/>
        </w:rPr>
        <w:t>$</w:t>
      </w:r>
      <w:r>
        <w:rPr>
          <w:bCs/>
          <w:iCs/>
          <w:sz w:val="24"/>
          <w:szCs w:val="24"/>
        </w:rPr>
        <w:t xml:space="preserve">(9,303).  I have also prepared an adjustment of </w:t>
      </w:r>
      <w:r w:rsidR="008455F9">
        <w:rPr>
          <w:bCs/>
          <w:iCs/>
          <w:sz w:val="24"/>
          <w:szCs w:val="24"/>
        </w:rPr>
        <w:t>$</w:t>
      </w:r>
      <w:r>
        <w:rPr>
          <w:bCs/>
          <w:iCs/>
          <w:sz w:val="24"/>
          <w:szCs w:val="24"/>
        </w:rPr>
        <w:t>(712) on Schedule SBH-7 that reflects the reduction in FICA Taxes associated with my elimination of the $9,303 in Signing Bonuses.</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Q25.</w:t>
      </w:r>
      <w:r>
        <w:rPr>
          <w:b/>
          <w:i/>
          <w:sz w:val="24"/>
          <w:szCs w:val="24"/>
        </w:rPr>
        <w:tab/>
        <w:t>WHY DO THE SIGNING BONUSES INCLUDED IN THE STIPULATION NOT BENEFIT CUSTOMERS AND IS NOT IN THE PUBLIC INTEREST?</w:t>
      </w:r>
    </w:p>
    <w:p w:rsidR="00A86E17" w:rsidRDefault="008C296D">
      <w:pPr>
        <w:spacing w:line="480" w:lineRule="auto"/>
        <w:ind w:left="720" w:hanging="720"/>
        <w:rPr>
          <w:sz w:val="24"/>
          <w:szCs w:val="24"/>
        </w:rPr>
      </w:pPr>
      <w:r>
        <w:rPr>
          <w:b/>
          <w:i/>
          <w:sz w:val="24"/>
          <w:szCs w:val="24"/>
        </w:rPr>
        <w:t>A25.</w:t>
      </w:r>
      <w:r>
        <w:rPr>
          <w:b/>
          <w:i/>
          <w:sz w:val="24"/>
          <w:szCs w:val="24"/>
        </w:rPr>
        <w:tab/>
      </w:r>
      <w:r>
        <w:rPr>
          <w:sz w:val="24"/>
          <w:szCs w:val="24"/>
        </w:rPr>
        <w:t xml:space="preserve">The signing bonuses are not a part of the hourly labor rate in the labor contract and were simply an incentive for the union to agree to sign the contract.  Even if there was no work performed during the year, each employee in the union would still get a bonus of $500.  </w:t>
      </w:r>
      <w:r w:rsidR="007377EF">
        <w:rPr>
          <w:sz w:val="24"/>
          <w:szCs w:val="24"/>
        </w:rPr>
        <w:t xml:space="preserve">It does not benefit </w:t>
      </w:r>
      <w:r>
        <w:rPr>
          <w:sz w:val="24"/>
          <w:szCs w:val="24"/>
        </w:rPr>
        <w:t>customers to pay for $10,500 in signing bonuses that could be used toward reducing their rates</w:t>
      </w:r>
      <w:r w:rsidR="007541D1">
        <w:rPr>
          <w:sz w:val="24"/>
          <w:szCs w:val="24"/>
        </w:rPr>
        <w:t xml:space="preserve"> for water service</w:t>
      </w:r>
      <w:r>
        <w:rPr>
          <w:sz w:val="24"/>
          <w:szCs w:val="24"/>
        </w:rPr>
        <w:t>.</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Q26.</w:t>
      </w:r>
      <w:r>
        <w:rPr>
          <w:b/>
          <w:i/>
          <w:sz w:val="24"/>
          <w:szCs w:val="24"/>
        </w:rPr>
        <w:tab/>
      </w:r>
      <w:r>
        <w:rPr>
          <w:b/>
          <w:bCs/>
          <w:i/>
          <w:iCs/>
          <w:sz w:val="24"/>
          <w:szCs w:val="24"/>
        </w:rPr>
        <w:t>WHAT IS THE FOURTH ISSUE YOU ADDRESS WITH REGARD TO THE SECOND CRITERIA?</w:t>
      </w:r>
    </w:p>
    <w:p w:rsidR="00A86E17" w:rsidRDefault="008C296D">
      <w:pPr>
        <w:spacing w:line="480" w:lineRule="auto"/>
        <w:ind w:left="720" w:hanging="720"/>
        <w:rPr>
          <w:sz w:val="24"/>
          <w:szCs w:val="24"/>
        </w:rPr>
      </w:pPr>
      <w:r w:rsidRPr="00801A5A">
        <w:rPr>
          <w:b/>
          <w:i/>
          <w:sz w:val="24"/>
          <w:szCs w:val="24"/>
        </w:rPr>
        <w:t>A26.</w:t>
      </w:r>
      <w:r w:rsidRPr="00801A5A">
        <w:rPr>
          <w:b/>
          <w:i/>
          <w:sz w:val="24"/>
          <w:szCs w:val="24"/>
        </w:rPr>
        <w:tab/>
      </w:r>
      <w:r w:rsidRPr="00801A5A">
        <w:rPr>
          <w:sz w:val="24"/>
          <w:szCs w:val="24"/>
        </w:rPr>
        <w:t xml:space="preserve">The fourth issue I address is the inclusion in Stipulation Joint Exhibit 2.0 of certain sundry costs that were incurred by the Corporate Office </w:t>
      </w:r>
      <w:r w:rsidRPr="00801A5A">
        <w:rPr>
          <w:bCs/>
          <w:iCs/>
          <w:sz w:val="24"/>
          <w:szCs w:val="24"/>
        </w:rPr>
        <w:t>(or “Service Center”)</w:t>
      </w:r>
      <w:r w:rsidRPr="00801A5A">
        <w:rPr>
          <w:sz w:val="24"/>
          <w:szCs w:val="24"/>
        </w:rPr>
        <w:t>.</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Q27.</w:t>
      </w:r>
      <w:r>
        <w:rPr>
          <w:b/>
          <w:i/>
          <w:sz w:val="24"/>
          <w:szCs w:val="24"/>
        </w:rPr>
        <w:tab/>
      </w:r>
      <w:r>
        <w:rPr>
          <w:b/>
          <w:bCs/>
          <w:i/>
          <w:iCs/>
          <w:sz w:val="24"/>
          <w:szCs w:val="24"/>
        </w:rPr>
        <w:t>DID AQUA INCLUDE IN ITS APPLICATION ANY SUNDRY COSTS IN ACCOUNT 923-2, MANAGEMENT SUPERVISION FEES AND EXPENSES?</w:t>
      </w:r>
    </w:p>
    <w:p w:rsidR="00A86E17" w:rsidRDefault="008C296D">
      <w:pPr>
        <w:spacing w:line="480" w:lineRule="auto"/>
        <w:ind w:left="720" w:hanging="720"/>
        <w:rPr>
          <w:sz w:val="24"/>
          <w:szCs w:val="24"/>
        </w:rPr>
      </w:pPr>
      <w:r>
        <w:rPr>
          <w:b/>
          <w:i/>
          <w:sz w:val="24"/>
          <w:szCs w:val="24"/>
        </w:rPr>
        <w:t>A27.</w:t>
      </w:r>
      <w:r>
        <w:rPr>
          <w:b/>
          <w:i/>
          <w:sz w:val="24"/>
          <w:szCs w:val="24"/>
        </w:rPr>
        <w:tab/>
      </w:r>
      <w:r>
        <w:rPr>
          <w:bCs/>
          <w:iCs/>
          <w:sz w:val="24"/>
          <w:szCs w:val="24"/>
        </w:rPr>
        <w:t xml:space="preserve">Yes.  </w:t>
      </w:r>
      <w:r w:rsidR="007377EF">
        <w:rPr>
          <w:bCs/>
          <w:iCs/>
          <w:sz w:val="24"/>
          <w:szCs w:val="24"/>
        </w:rPr>
        <w:t xml:space="preserve">As set forth on Workpaper WPC-2.1b, </w:t>
      </w:r>
      <w:r>
        <w:rPr>
          <w:bCs/>
          <w:iCs/>
          <w:sz w:val="24"/>
          <w:szCs w:val="24"/>
        </w:rPr>
        <w:t>Aqua included these types of costs in the total test year amount of $4,114,247 in its Application for Corporate Office (or “Service Center”) Account No. 923-2, Management Supervision Fees and Expenses.</w:t>
      </w:r>
      <w:r>
        <w:rPr>
          <w:rStyle w:val="FootnoteReference"/>
          <w:bCs/>
          <w:iCs/>
          <w:sz w:val="24"/>
          <w:szCs w:val="24"/>
        </w:rPr>
        <w:footnoteReference w:id="12"/>
      </w:r>
    </w:p>
    <w:p w:rsidR="00A86E17" w:rsidRDefault="00A86E17">
      <w:pPr>
        <w:spacing w:line="480" w:lineRule="auto"/>
        <w:ind w:left="720" w:hanging="720"/>
        <w:rPr>
          <w:b/>
          <w:i/>
          <w:sz w:val="24"/>
          <w:szCs w:val="24"/>
        </w:rPr>
      </w:pPr>
    </w:p>
    <w:p w:rsidR="00A86E17" w:rsidRDefault="008C296D">
      <w:pPr>
        <w:spacing w:line="480" w:lineRule="auto"/>
        <w:ind w:left="720" w:hanging="720"/>
        <w:rPr>
          <w:b/>
          <w:bCs/>
          <w:i/>
          <w:iCs/>
          <w:sz w:val="24"/>
          <w:szCs w:val="24"/>
        </w:rPr>
      </w:pPr>
      <w:r>
        <w:rPr>
          <w:b/>
          <w:i/>
          <w:sz w:val="24"/>
          <w:szCs w:val="24"/>
        </w:rPr>
        <w:t>Q28.</w:t>
      </w:r>
      <w:r>
        <w:rPr>
          <w:sz w:val="24"/>
          <w:szCs w:val="24"/>
        </w:rPr>
        <w:tab/>
      </w:r>
      <w:r>
        <w:rPr>
          <w:b/>
          <w:bCs/>
          <w:i/>
          <w:iCs/>
          <w:sz w:val="24"/>
          <w:szCs w:val="24"/>
        </w:rPr>
        <w:t>DID THE PUCO STAFF EXCLUDE ANY SUNDRY COSTS IN ACCOUNT 923-2, MANAGEMENT SUPERVISION FEES AND EXPENSES AT THE SERVICE CENTER LEVEL?</w:t>
      </w:r>
    </w:p>
    <w:p w:rsidR="00A86E17" w:rsidRDefault="008C296D">
      <w:pPr>
        <w:spacing w:line="480" w:lineRule="auto"/>
        <w:ind w:left="720" w:hanging="720"/>
        <w:rPr>
          <w:bCs/>
          <w:iCs/>
          <w:sz w:val="24"/>
          <w:szCs w:val="24"/>
        </w:rPr>
      </w:pPr>
      <w:r>
        <w:rPr>
          <w:b/>
          <w:bCs/>
          <w:i/>
          <w:iCs/>
          <w:sz w:val="24"/>
          <w:szCs w:val="24"/>
        </w:rPr>
        <w:t>A28.</w:t>
      </w:r>
      <w:r>
        <w:rPr>
          <w:b/>
          <w:bCs/>
          <w:i/>
          <w:iCs/>
          <w:sz w:val="24"/>
          <w:szCs w:val="24"/>
        </w:rPr>
        <w:tab/>
      </w:r>
      <w:r>
        <w:rPr>
          <w:bCs/>
          <w:iCs/>
          <w:sz w:val="24"/>
          <w:szCs w:val="24"/>
        </w:rPr>
        <w:t>No.  It does not appear that the PUCO Staff made any adjustments to Service Center Account No. 923-2 in the Staff Report.</w:t>
      </w:r>
    </w:p>
    <w:p w:rsidR="00A86E17" w:rsidRDefault="00A86E17">
      <w:pPr>
        <w:spacing w:line="480" w:lineRule="auto"/>
        <w:ind w:left="720" w:hanging="720"/>
        <w:rPr>
          <w:b/>
          <w:bCs/>
          <w:iCs/>
          <w:sz w:val="24"/>
          <w:szCs w:val="24"/>
        </w:rPr>
      </w:pPr>
    </w:p>
    <w:p w:rsidR="00A86E17" w:rsidRDefault="008C296D">
      <w:pPr>
        <w:spacing w:line="480" w:lineRule="auto"/>
        <w:ind w:left="720" w:hanging="720"/>
        <w:rPr>
          <w:b/>
          <w:bCs/>
          <w:i/>
          <w:iCs/>
          <w:sz w:val="24"/>
          <w:szCs w:val="24"/>
        </w:rPr>
      </w:pPr>
      <w:r>
        <w:rPr>
          <w:b/>
          <w:bCs/>
          <w:i/>
          <w:iCs/>
          <w:sz w:val="24"/>
          <w:szCs w:val="24"/>
        </w:rPr>
        <w:t>Q29.</w:t>
      </w:r>
      <w:r>
        <w:rPr>
          <w:b/>
          <w:bCs/>
          <w:i/>
          <w:iCs/>
          <w:sz w:val="24"/>
          <w:szCs w:val="24"/>
        </w:rPr>
        <w:tab/>
        <w:t>WAS THERE AN ADJUSTMENT TO REMOVE SUNDRY COSTS INCURRED AT THE SERVICE CENTER FROM THE SCHEDULES FOUND IN STIPULATION JOINT EXHIBIT 2.0?</w:t>
      </w:r>
    </w:p>
    <w:p w:rsidR="00F3169E" w:rsidRDefault="008C296D" w:rsidP="00F3169E">
      <w:pPr>
        <w:spacing w:line="480" w:lineRule="auto"/>
        <w:ind w:left="720" w:hanging="720"/>
        <w:rPr>
          <w:sz w:val="24"/>
          <w:szCs w:val="24"/>
        </w:rPr>
      </w:pPr>
      <w:r>
        <w:rPr>
          <w:b/>
          <w:bCs/>
          <w:i/>
          <w:iCs/>
          <w:sz w:val="24"/>
          <w:szCs w:val="24"/>
        </w:rPr>
        <w:t>A29.</w:t>
      </w:r>
      <w:r>
        <w:rPr>
          <w:b/>
          <w:bCs/>
          <w:i/>
          <w:iCs/>
          <w:sz w:val="24"/>
          <w:szCs w:val="24"/>
        </w:rPr>
        <w:tab/>
      </w:r>
      <w:r>
        <w:rPr>
          <w:bCs/>
          <w:iCs/>
          <w:sz w:val="24"/>
          <w:szCs w:val="24"/>
        </w:rPr>
        <w:t xml:space="preserve">Yes, in part.  On Schedule C-3.20 of the Stipulation, the parties </w:t>
      </w:r>
      <w:r w:rsidR="00B233FD">
        <w:rPr>
          <w:bCs/>
          <w:iCs/>
          <w:sz w:val="24"/>
          <w:szCs w:val="24"/>
        </w:rPr>
        <w:t>exclud</w:t>
      </w:r>
      <w:r>
        <w:rPr>
          <w:bCs/>
          <w:iCs/>
          <w:sz w:val="24"/>
          <w:szCs w:val="24"/>
        </w:rPr>
        <w:t>ed $1,394 worth of sundry costs addressed in my Direct Testimony filed on June 24, 2014.</w:t>
      </w:r>
      <w:r>
        <w:rPr>
          <w:rStyle w:val="FootnoteReference"/>
          <w:bCs/>
          <w:iCs/>
          <w:sz w:val="24"/>
          <w:szCs w:val="24"/>
        </w:rPr>
        <w:footnoteReference w:id="13"/>
      </w:r>
      <w:r>
        <w:rPr>
          <w:bCs/>
          <w:iCs/>
          <w:sz w:val="24"/>
          <w:szCs w:val="24"/>
        </w:rPr>
        <w:t xml:space="preserve">  These sundry costs related to </w:t>
      </w:r>
      <w:r w:rsidR="00F94424">
        <w:rPr>
          <w:sz w:val="24"/>
          <w:szCs w:val="24"/>
        </w:rPr>
        <w:t>e</w:t>
      </w:r>
      <w:r>
        <w:rPr>
          <w:sz w:val="24"/>
          <w:szCs w:val="24"/>
        </w:rPr>
        <w:t xml:space="preserve">xpensive </w:t>
      </w:r>
      <w:r w:rsidR="00B233FD">
        <w:rPr>
          <w:sz w:val="24"/>
          <w:szCs w:val="24"/>
        </w:rPr>
        <w:t>m</w:t>
      </w:r>
      <w:r>
        <w:rPr>
          <w:sz w:val="24"/>
          <w:szCs w:val="24"/>
        </w:rPr>
        <w:t xml:space="preserve">eals, </w:t>
      </w:r>
      <w:r w:rsidR="00B233FD">
        <w:rPr>
          <w:sz w:val="24"/>
          <w:szCs w:val="24"/>
        </w:rPr>
        <w:t>c</w:t>
      </w:r>
      <w:r>
        <w:rPr>
          <w:sz w:val="24"/>
          <w:szCs w:val="24"/>
        </w:rPr>
        <w:t xml:space="preserve">atering, </w:t>
      </w:r>
      <w:r w:rsidR="00B233FD">
        <w:rPr>
          <w:sz w:val="24"/>
          <w:szCs w:val="24"/>
        </w:rPr>
        <w:t>c</w:t>
      </w:r>
      <w:r>
        <w:rPr>
          <w:sz w:val="24"/>
          <w:szCs w:val="24"/>
        </w:rPr>
        <w:t xml:space="preserve">ountry </w:t>
      </w:r>
      <w:r w:rsidR="00B233FD">
        <w:rPr>
          <w:sz w:val="24"/>
          <w:szCs w:val="24"/>
        </w:rPr>
        <w:t>c</w:t>
      </w:r>
      <w:r>
        <w:rPr>
          <w:sz w:val="24"/>
          <w:szCs w:val="24"/>
        </w:rPr>
        <w:t xml:space="preserve">lubs, </w:t>
      </w:r>
      <w:r w:rsidR="00B233FD">
        <w:rPr>
          <w:sz w:val="24"/>
          <w:szCs w:val="24"/>
        </w:rPr>
        <w:t>c</w:t>
      </w:r>
      <w:r>
        <w:rPr>
          <w:sz w:val="24"/>
          <w:szCs w:val="24"/>
        </w:rPr>
        <w:t xml:space="preserve">asinos, </w:t>
      </w:r>
      <w:r w:rsidR="00B233FD">
        <w:rPr>
          <w:sz w:val="24"/>
          <w:szCs w:val="24"/>
        </w:rPr>
        <w:t>b</w:t>
      </w:r>
      <w:r>
        <w:rPr>
          <w:sz w:val="24"/>
          <w:szCs w:val="24"/>
        </w:rPr>
        <w:t xml:space="preserve">ar </w:t>
      </w:r>
      <w:r w:rsidR="00B233FD">
        <w:rPr>
          <w:sz w:val="24"/>
          <w:szCs w:val="24"/>
        </w:rPr>
        <w:t>a</w:t>
      </w:r>
      <w:r>
        <w:rPr>
          <w:sz w:val="24"/>
          <w:szCs w:val="24"/>
        </w:rPr>
        <w:t>ssociations</w:t>
      </w:r>
      <w:r w:rsidR="00F94424">
        <w:rPr>
          <w:sz w:val="24"/>
          <w:szCs w:val="24"/>
        </w:rPr>
        <w:t>,</w:t>
      </w:r>
      <w:r>
        <w:rPr>
          <w:sz w:val="24"/>
          <w:szCs w:val="24"/>
        </w:rPr>
        <w:t xml:space="preserve"> and </w:t>
      </w:r>
      <w:r w:rsidR="00B233FD">
        <w:rPr>
          <w:sz w:val="24"/>
          <w:szCs w:val="24"/>
        </w:rPr>
        <w:t>a</w:t>
      </w:r>
      <w:r>
        <w:rPr>
          <w:sz w:val="24"/>
          <w:szCs w:val="24"/>
        </w:rPr>
        <w:t xml:space="preserve">lumni </w:t>
      </w:r>
      <w:r w:rsidR="00B233FD">
        <w:rPr>
          <w:sz w:val="24"/>
          <w:szCs w:val="24"/>
        </w:rPr>
        <w:t>a</w:t>
      </w:r>
      <w:r>
        <w:rPr>
          <w:sz w:val="24"/>
          <w:szCs w:val="24"/>
        </w:rPr>
        <w:t>ffairs that were incurred at the Service Center.</w:t>
      </w:r>
      <w:r w:rsidR="00F3169E">
        <w:rPr>
          <w:sz w:val="24"/>
          <w:szCs w:val="24"/>
        </w:rPr>
        <w:br w:type="page"/>
      </w:r>
    </w:p>
    <w:p w:rsidR="00A86E17" w:rsidRDefault="008C296D">
      <w:pPr>
        <w:spacing w:line="480" w:lineRule="auto"/>
        <w:ind w:left="720" w:hanging="720"/>
        <w:rPr>
          <w:b/>
          <w:bCs/>
          <w:i/>
          <w:iCs/>
          <w:sz w:val="24"/>
          <w:szCs w:val="24"/>
        </w:rPr>
      </w:pPr>
      <w:r>
        <w:rPr>
          <w:b/>
          <w:bCs/>
          <w:i/>
          <w:iCs/>
          <w:sz w:val="24"/>
          <w:szCs w:val="24"/>
        </w:rPr>
        <w:t>Q30.</w:t>
      </w:r>
      <w:r>
        <w:rPr>
          <w:b/>
          <w:bCs/>
          <w:i/>
          <w:iCs/>
          <w:sz w:val="24"/>
          <w:szCs w:val="24"/>
        </w:rPr>
        <w:tab/>
        <w:t>SHOULD AN ADDITIONAL ADJUSTMENT BE MADE TO EXCLUDE CERTAIN EXPENSES WITHIN SERVICE CENTER ACCOUNT NO. 923-2?</w:t>
      </w:r>
    </w:p>
    <w:p w:rsidR="00A86E17" w:rsidRDefault="008C296D">
      <w:pPr>
        <w:spacing w:line="480" w:lineRule="auto"/>
        <w:ind w:left="720" w:hanging="720"/>
        <w:rPr>
          <w:bCs/>
          <w:iCs/>
          <w:sz w:val="24"/>
          <w:szCs w:val="24"/>
        </w:rPr>
      </w:pPr>
      <w:r>
        <w:rPr>
          <w:b/>
          <w:bCs/>
          <w:i/>
          <w:iCs/>
          <w:sz w:val="24"/>
          <w:szCs w:val="24"/>
        </w:rPr>
        <w:t>A30.</w:t>
      </w:r>
      <w:r>
        <w:rPr>
          <w:b/>
          <w:bCs/>
          <w:i/>
          <w:iCs/>
          <w:sz w:val="24"/>
          <w:szCs w:val="24"/>
        </w:rPr>
        <w:tab/>
      </w:r>
      <w:r>
        <w:rPr>
          <w:bCs/>
          <w:iCs/>
          <w:sz w:val="24"/>
          <w:szCs w:val="24"/>
        </w:rPr>
        <w:t xml:space="preserve">Yes.  After reviewing the actual sundry costs incurred during April – June 2013 of the test year, I also determined that an adjustment should be made to exclude costs related to </w:t>
      </w:r>
      <w:r>
        <w:rPr>
          <w:sz w:val="24"/>
          <w:szCs w:val="24"/>
        </w:rPr>
        <w:t>Board of Directors (“BOD”) Restricted Stock.</w:t>
      </w:r>
      <w:r>
        <w:rPr>
          <w:rStyle w:val="FootnoteReference"/>
          <w:sz w:val="24"/>
          <w:szCs w:val="24"/>
        </w:rPr>
        <w:footnoteReference w:id="14"/>
      </w:r>
    </w:p>
    <w:p w:rsidR="00A86E17" w:rsidRDefault="00A86E17">
      <w:pPr>
        <w:spacing w:line="480" w:lineRule="auto"/>
        <w:ind w:left="720" w:hanging="720"/>
        <w:rPr>
          <w:b/>
          <w:bCs/>
          <w:i/>
          <w:iCs/>
          <w:sz w:val="24"/>
          <w:szCs w:val="24"/>
        </w:rPr>
      </w:pPr>
    </w:p>
    <w:p w:rsidR="00A86E17" w:rsidRDefault="008C296D">
      <w:pPr>
        <w:spacing w:line="480" w:lineRule="auto"/>
        <w:ind w:left="720" w:hanging="720"/>
        <w:rPr>
          <w:b/>
          <w:bCs/>
          <w:i/>
          <w:iCs/>
          <w:sz w:val="24"/>
          <w:szCs w:val="24"/>
        </w:rPr>
      </w:pPr>
      <w:r>
        <w:rPr>
          <w:b/>
          <w:bCs/>
          <w:i/>
          <w:iCs/>
          <w:sz w:val="24"/>
          <w:szCs w:val="24"/>
        </w:rPr>
        <w:t>Q31.</w:t>
      </w:r>
      <w:r>
        <w:rPr>
          <w:b/>
          <w:bCs/>
          <w:i/>
          <w:iCs/>
          <w:sz w:val="24"/>
          <w:szCs w:val="24"/>
        </w:rPr>
        <w:tab/>
        <w:t>WHY DO YOU RECOMMEND THAT BOARD OF DIRECTORS RESTRICTED STOCK SHOULD BE EXCLUDED FROM THE CALCULATION OF THE RATES THAT AQUA CHARGES ITS CUSTOMERS FOR WATER SERVICE?</w:t>
      </w:r>
    </w:p>
    <w:p w:rsidR="00A86E17" w:rsidRDefault="008C296D">
      <w:pPr>
        <w:spacing w:line="480" w:lineRule="auto"/>
        <w:ind w:left="720" w:hanging="720"/>
        <w:rPr>
          <w:bCs/>
          <w:iCs/>
          <w:sz w:val="24"/>
          <w:szCs w:val="24"/>
        </w:rPr>
      </w:pPr>
      <w:r>
        <w:rPr>
          <w:b/>
          <w:bCs/>
          <w:i/>
          <w:iCs/>
          <w:sz w:val="24"/>
          <w:szCs w:val="24"/>
        </w:rPr>
        <w:t>A31.</w:t>
      </w:r>
      <w:r>
        <w:rPr>
          <w:b/>
          <w:bCs/>
          <w:i/>
          <w:iCs/>
          <w:sz w:val="24"/>
          <w:szCs w:val="24"/>
        </w:rPr>
        <w:tab/>
      </w:r>
      <w:r>
        <w:rPr>
          <w:sz w:val="24"/>
          <w:szCs w:val="24"/>
        </w:rPr>
        <w:t>This is an expense being allocated from the Service Center that does not provide a direct and primary benefit to customers of the Utility.</w:t>
      </w:r>
    </w:p>
    <w:p w:rsidR="00A86E17" w:rsidRDefault="00A86E17">
      <w:pPr>
        <w:spacing w:line="480" w:lineRule="auto"/>
        <w:ind w:left="720" w:hanging="720"/>
        <w:rPr>
          <w:bCs/>
          <w:iCs/>
          <w:sz w:val="24"/>
          <w:szCs w:val="24"/>
        </w:rPr>
      </w:pPr>
    </w:p>
    <w:p w:rsidR="00A86E17" w:rsidRDefault="008C296D">
      <w:pPr>
        <w:spacing w:line="480" w:lineRule="auto"/>
        <w:ind w:left="720" w:hanging="720"/>
        <w:rPr>
          <w:b/>
          <w:bCs/>
          <w:i/>
          <w:iCs/>
          <w:sz w:val="24"/>
          <w:szCs w:val="24"/>
        </w:rPr>
      </w:pPr>
      <w:r>
        <w:rPr>
          <w:b/>
          <w:bCs/>
          <w:i/>
          <w:iCs/>
          <w:sz w:val="24"/>
          <w:szCs w:val="24"/>
        </w:rPr>
        <w:t>Q32.</w:t>
      </w:r>
      <w:r>
        <w:rPr>
          <w:b/>
          <w:bCs/>
          <w:i/>
          <w:iCs/>
          <w:sz w:val="24"/>
          <w:szCs w:val="24"/>
        </w:rPr>
        <w:tab/>
        <w:t>WHAT DO YOU RECOMMEND WITH REGARD TO THE AMOUNT OF THE EXCLUSION FOR THESE COSTS THAT YOU HAVE IDENTIFIED?</w:t>
      </w:r>
    </w:p>
    <w:p w:rsidR="00F3169E" w:rsidRDefault="008C296D" w:rsidP="00F3169E">
      <w:pPr>
        <w:spacing w:line="480" w:lineRule="auto"/>
        <w:ind w:left="720" w:hanging="720"/>
        <w:rPr>
          <w:bCs/>
          <w:iCs/>
          <w:sz w:val="24"/>
          <w:szCs w:val="24"/>
        </w:rPr>
      </w:pPr>
      <w:r>
        <w:rPr>
          <w:b/>
          <w:bCs/>
          <w:i/>
          <w:iCs/>
          <w:sz w:val="24"/>
          <w:szCs w:val="24"/>
        </w:rPr>
        <w:t>A32.</w:t>
      </w:r>
      <w:r>
        <w:rPr>
          <w:b/>
          <w:bCs/>
          <w:i/>
          <w:iCs/>
          <w:sz w:val="24"/>
          <w:szCs w:val="24"/>
        </w:rPr>
        <w:tab/>
      </w:r>
      <w:r>
        <w:rPr>
          <w:bCs/>
          <w:iCs/>
          <w:sz w:val="24"/>
          <w:szCs w:val="24"/>
        </w:rPr>
        <w:t>After allocation to the Divisions at issue in this case,</w:t>
      </w:r>
      <w:r>
        <w:rPr>
          <w:rStyle w:val="FootnoteReference"/>
          <w:bCs/>
          <w:iCs/>
          <w:sz w:val="24"/>
          <w:szCs w:val="24"/>
        </w:rPr>
        <w:footnoteReference w:id="15"/>
      </w:r>
      <w:r>
        <w:rPr>
          <w:bCs/>
          <w:iCs/>
          <w:sz w:val="24"/>
          <w:szCs w:val="24"/>
        </w:rPr>
        <w:t xml:space="preserve"> I recommend that $39,455 be excluded from consideration in this case.  My adjustment is set forth on Schedule SBH-8.</w:t>
      </w:r>
      <w:r w:rsidR="00F3169E">
        <w:rPr>
          <w:bCs/>
          <w:iCs/>
          <w:sz w:val="24"/>
          <w:szCs w:val="24"/>
        </w:rPr>
        <w:br w:type="page"/>
      </w:r>
    </w:p>
    <w:p w:rsidR="00A86E17" w:rsidRDefault="008C296D">
      <w:pPr>
        <w:spacing w:line="480" w:lineRule="auto"/>
        <w:ind w:left="720" w:hanging="720"/>
        <w:rPr>
          <w:b/>
          <w:bCs/>
          <w:i/>
          <w:iCs/>
          <w:sz w:val="24"/>
          <w:szCs w:val="24"/>
        </w:rPr>
      </w:pPr>
      <w:r>
        <w:rPr>
          <w:b/>
          <w:bCs/>
          <w:i/>
          <w:iCs/>
          <w:sz w:val="24"/>
          <w:szCs w:val="24"/>
        </w:rPr>
        <w:t>Q33.</w:t>
      </w:r>
      <w:r>
        <w:rPr>
          <w:b/>
          <w:bCs/>
          <w:i/>
          <w:iCs/>
          <w:sz w:val="24"/>
          <w:szCs w:val="24"/>
        </w:rPr>
        <w:tab/>
        <w:t>WHAT IS THE FIFTH ISSUE YOU ADDRESS WITH REGARD TO THE SECOND CRITERIA?</w:t>
      </w:r>
    </w:p>
    <w:p w:rsidR="00A86E17" w:rsidRDefault="008C296D">
      <w:pPr>
        <w:spacing w:line="480" w:lineRule="auto"/>
        <w:ind w:left="720" w:hanging="720"/>
        <w:rPr>
          <w:bCs/>
          <w:iCs/>
          <w:sz w:val="24"/>
          <w:szCs w:val="24"/>
        </w:rPr>
      </w:pPr>
      <w:r w:rsidRPr="00801A5A">
        <w:rPr>
          <w:b/>
          <w:bCs/>
          <w:i/>
          <w:iCs/>
          <w:sz w:val="24"/>
          <w:szCs w:val="24"/>
        </w:rPr>
        <w:t>A33.</w:t>
      </w:r>
      <w:r w:rsidRPr="00801A5A">
        <w:rPr>
          <w:b/>
          <w:bCs/>
          <w:i/>
          <w:iCs/>
          <w:sz w:val="24"/>
          <w:szCs w:val="24"/>
        </w:rPr>
        <w:tab/>
      </w:r>
      <w:r w:rsidRPr="00801A5A">
        <w:rPr>
          <w:sz w:val="24"/>
          <w:szCs w:val="24"/>
        </w:rPr>
        <w:t>The fifth issue I address is the application of the rates to be determined in this on a bills-rendered basis instead of a service-rendered basis.</w:t>
      </w:r>
    </w:p>
    <w:p w:rsidR="00A86E17" w:rsidRDefault="00A86E17">
      <w:pPr>
        <w:spacing w:line="480" w:lineRule="auto"/>
        <w:ind w:left="720" w:hanging="720"/>
        <w:rPr>
          <w:bCs/>
          <w:iCs/>
          <w:sz w:val="24"/>
          <w:szCs w:val="24"/>
        </w:rPr>
      </w:pPr>
    </w:p>
    <w:p w:rsidR="00A86E17" w:rsidRDefault="008C296D">
      <w:pPr>
        <w:spacing w:line="480" w:lineRule="auto"/>
        <w:ind w:left="720" w:hanging="720"/>
        <w:rPr>
          <w:b/>
          <w:bCs/>
          <w:i/>
          <w:iCs/>
          <w:sz w:val="24"/>
          <w:szCs w:val="24"/>
        </w:rPr>
      </w:pPr>
      <w:r>
        <w:rPr>
          <w:b/>
          <w:bCs/>
          <w:i/>
          <w:iCs/>
          <w:sz w:val="24"/>
          <w:szCs w:val="24"/>
        </w:rPr>
        <w:t>Q34.</w:t>
      </w:r>
      <w:r>
        <w:rPr>
          <w:b/>
          <w:bCs/>
          <w:i/>
          <w:iCs/>
          <w:sz w:val="24"/>
          <w:szCs w:val="24"/>
        </w:rPr>
        <w:tab/>
        <w:t>WHAT METHOD OF BILLING RATES DOES THE UTILITY CURRENTLY USE?</w:t>
      </w:r>
    </w:p>
    <w:p w:rsidR="00A86E17" w:rsidRDefault="008C296D">
      <w:pPr>
        <w:spacing w:line="480" w:lineRule="auto"/>
        <w:ind w:left="720" w:hanging="720"/>
        <w:rPr>
          <w:bCs/>
          <w:iCs/>
          <w:sz w:val="24"/>
          <w:szCs w:val="24"/>
        </w:rPr>
      </w:pPr>
      <w:r>
        <w:rPr>
          <w:b/>
          <w:bCs/>
          <w:i/>
          <w:iCs/>
          <w:sz w:val="24"/>
          <w:szCs w:val="24"/>
        </w:rPr>
        <w:t>A34.</w:t>
      </w:r>
      <w:r>
        <w:rPr>
          <w:b/>
          <w:bCs/>
          <w:i/>
          <w:iCs/>
          <w:sz w:val="24"/>
          <w:szCs w:val="24"/>
        </w:rPr>
        <w:tab/>
      </w:r>
      <w:r>
        <w:rPr>
          <w:bCs/>
          <w:iCs/>
          <w:sz w:val="24"/>
          <w:szCs w:val="24"/>
        </w:rPr>
        <w:t>Aqua currently applies its rates on a service-rendered basis, which means that all water delivered to the customer on and after the effective date of the rate change is billed at the new rate.  In other words, under a service-rendered billing method, the water rates in effect at the time of service are the rates that are applied to customers’ bills.</w:t>
      </w:r>
    </w:p>
    <w:p w:rsidR="00A86E17" w:rsidRDefault="00A86E17">
      <w:pPr>
        <w:spacing w:line="480" w:lineRule="auto"/>
        <w:ind w:left="720" w:hanging="720"/>
        <w:rPr>
          <w:b/>
          <w:bCs/>
          <w:i/>
          <w:iCs/>
          <w:sz w:val="24"/>
          <w:szCs w:val="24"/>
        </w:rPr>
      </w:pPr>
    </w:p>
    <w:p w:rsidR="00A86E17" w:rsidRDefault="008C296D">
      <w:pPr>
        <w:spacing w:line="480" w:lineRule="auto"/>
        <w:ind w:left="720" w:hanging="720"/>
        <w:rPr>
          <w:b/>
          <w:bCs/>
          <w:i/>
          <w:iCs/>
          <w:sz w:val="24"/>
          <w:szCs w:val="24"/>
        </w:rPr>
      </w:pPr>
      <w:r>
        <w:rPr>
          <w:b/>
          <w:bCs/>
          <w:i/>
          <w:iCs/>
          <w:sz w:val="24"/>
          <w:szCs w:val="24"/>
        </w:rPr>
        <w:t>Q35.</w:t>
      </w:r>
      <w:r>
        <w:rPr>
          <w:b/>
          <w:bCs/>
          <w:i/>
          <w:iCs/>
          <w:sz w:val="24"/>
          <w:szCs w:val="24"/>
        </w:rPr>
        <w:tab/>
        <w:t>WHAT METHOD OF BILLING RATES DOES THE STIPULATION PROPOSE?</w:t>
      </w:r>
    </w:p>
    <w:p w:rsidR="00F3169E" w:rsidRDefault="008C296D" w:rsidP="00F3169E">
      <w:pPr>
        <w:spacing w:line="480" w:lineRule="auto"/>
        <w:ind w:left="720" w:hanging="720"/>
        <w:rPr>
          <w:bCs/>
          <w:iCs/>
          <w:sz w:val="24"/>
          <w:szCs w:val="24"/>
        </w:rPr>
      </w:pPr>
      <w:r>
        <w:rPr>
          <w:b/>
          <w:bCs/>
          <w:i/>
          <w:iCs/>
          <w:sz w:val="24"/>
          <w:szCs w:val="24"/>
        </w:rPr>
        <w:t>A35.</w:t>
      </w:r>
      <w:r>
        <w:rPr>
          <w:b/>
          <w:bCs/>
          <w:i/>
          <w:iCs/>
          <w:sz w:val="24"/>
          <w:szCs w:val="24"/>
        </w:rPr>
        <w:tab/>
      </w:r>
      <w:r>
        <w:rPr>
          <w:bCs/>
          <w:iCs/>
          <w:sz w:val="24"/>
          <w:szCs w:val="24"/>
        </w:rPr>
        <w:t>The Stipulation proposes that the tariffed rates will go into effect on a bills-rendered basis immediately after the PUCO approves the Stipulation.</w:t>
      </w:r>
      <w:r>
        <w:rPr>
          <w:rStyle w:val="FootnoteReference"/>
          <w:bCs/>
          <w:iCs/>
          <w:sz w:val="24"/>
          <w:szCs w:val="24"/>
        </w:rPr>
        <w:footnoteReference w:id="16"/>
      </w:r>
      <w:r>
        <w:rPr>
          <w:bCs/>
          <w:iCs/>
          <w:sz w:val="24"/>
          <w:szCs w:val="24"/>
        </w:rPr>
        <w:t xml:space="preserve">  In other words, under bills-rendered billing, the water rates in effect at the time the bill is rendered are applied to its customers’ bills.</w:t>
      </w:r>
      <w:r w:rsidR="00F3169E">
        <w:rPr>
          <w:bCs/>
          <w:iCs/>
          <w:sz w:val="24"/>
          <w:szCs w:val="24"/>
        </w:rPr>
        <w:br w:type="page"/>
      </w:r>
    </w:p>
    <w:p w:rsidR="00A86E17" w:rsidRDefault="008C296D">
      <w:pPr>
        <w:spacing w:line="480" w:lineRule="auto"/>
        <w:ind w:left="720" w:hanging="720"/>
        <w:rPr>
          <w:b/>
          <w:bCs/>
          <w:i/>
          <w:iCs/>
          <w:sz w:val="24"/>
          <w:szCs w:val="24"/>
        </w:rPr>
      </w:pPr>
      <w:r>
        <w:rPr>
          <w:b/>
          <w:bCs/>
          <w:i/>
          <w:iCs/>
          <w:sz w:val="24"/>
          <w:szCs w:val="24"/>
        </w:rPr>
        <w:t>Q36.</w:t>
      </w:r>
      <w:r>
        <w:rPr>
          <w:b/>
          <w:bCs/>
          <w:i/>
          <w:iCs/>
          <w:sz w:val="24"/>
          <w:szCs w:val="24"/>
        </w:rPr>
        <w:tab/>
        <w:t>WHY DOES THE SWITCH FROM SERVICE-RENDERED BILLING TO BILLS-RENDERED BILLING NOT BENEFIT CUSTOMERS IN THIS CASE?</w:t>
      </w:r>
    </w:p>
    <w:p w:rsidR="00A86E17" w:rsidRDefault="008C296D">
      <w:pPr>
        <w:spacing w:line="480" w:lineRule="auto"/>
        <w:ind w:left="720" w:hanging="720"/>
        <w:rPr>
          <w:bCs/>
          <w:iCs/>
          <w:sz w:val="24"/>
          <w:szCs w:val="24"/>
        </w:rPr>
      </w:pPr>
      <w:r>
        <w:rPr>
          <w:b/>
          <w:bCs/>
          <w:i/>
          <w:iCs/>
          <w:sz w:val="24"/>
          <w:szCs w:val="24"/>
        </w:rPr>
        <w:t>A36.</w:t>
      </w:r>
      <w:r>
        <w:rPr>
          <w:b/>
          <w:bCs/>
          <w:i/>
          <w:iCs/>
          <w:sz w:val="24"/>
          <w:szCs w:val="24"/>
        </w:rPr>
        <w:tab/>
      </w:r>
      <w:r>
        <w:rPr>
          <w:bCs/>
          <w:iCs/>
          <w:sz w:val="24"/>
          <w:szCs w:val="24"/>
        </w:rPr>
        <w:t>If there is a switch to bills-rendered billing, Aqua will be able to apply</w:t>
      </w:r>
      <w:r w:rsidR="00F94424">
        <w:rPr>
          <w:bCs/>
          <w:iCs/>
          <w:sz w:val="24"/>
          <w:szCs w:val="24"/>
        </w:rPr>
        <w:t xml:space="preserve"> retroactively</w:t>
      </w:r>
      <w:r>
        <w:rPr>
          <w:bCs/>
          <w:iCs/>
          <w:sz w:val="24"/>
          <w:szCs w:val="24"/>
        </w:rPr>
        <w:t xml:space="preserve"> the new rates to customer water usage that occurred at least 15 days before the PUCO approves the Stipulation.  This would allow </w:t>
      </w:r>
      <w:r w:rsidR="00F94424">
        <w:rPr>
          <w:bCs/>
          <w:iCs/>
          <w:sz w:val="24"/>
          <w:szCs w:val="24"/>
        </w:rPr>
        <w:t xml:space="preserve">Aqua </w:t>
      </w:r>
      <w:r>
        <w:rPr>
          <w:bCs/>
          <w:iCs/>
          <w:sz w:val="24"/>
          <w:szCs w:val="24"/>
        </w:rPr>
        <w:t>to collect approximately $159,000 of the rate increase from customers</w:t>
      </w:r>
      <w:r w:rsidR="00F94424">
        <w:rPr>
          <w:bCs/>
          <w:iCs/>
          <w:sz w:val="24"/>
          <w:szCs w:val="24"/>
        </w:rPr>
        <w:t xml:space="preserve"> prematurely</w:t>
      </w:r>
      <w:r>
        <w:rPr>
          <w:bCs/>
          <w:iCs/>
          <w:sz w:val="24"/>
          <w:szCs w:val="24"/>
        </w:rPr>
        <w:t>.</w:t>
      </w:r>
      <w:r>
        <w:rPr>
          <w:rStyle w:val="FootnoteReference"/>
          <w:bCs/>
          <w:iCs/>
          <w:sz w:val="24"/>
          <w:szCs w:val="24"/>
        </w:rPr>
        <w:footnoteReference w:id="17"/>
      </w:r>
    </w:p>
    <w:p w:rsidR="007131BF" w:rsidRDefault="007131BF">
      <w:pPr>
        <w:spacing w:line="480" w:lineRule="auto"/>
        <w:ind w:left="720" w:hanging="720"/>
        <w:rPr>
          <w:bCs/>
          <w:iCs/>
          <w:sz w:val="24"/>
          <w:szCs w:val="24"/>
        </w:rPr>
      </w:pPr>
    </w:p>
    <w:p w:rsidR="007131BF" w:rsidRDefault="007131BF" w:rsidP="007131BF">
      <w:pPr>
        <w:spacing w:line="480" w:lineRule="auto"/>
        <w:ind w:left="720" w:hanging="720"/>
        <w:rPr>
          <w:b/>
          <w:bCs/>
          <w:i/>
          <w:iCs/>
          <w:sz w:val="24"/>
          <w:szCs w:val="24"/>
        </w:rPr>
      </w:pPr>
      <w:r>
        <w:rPr>
          <w:b/>
          <w:bCs/>
          <w:i/>
          <w:iCs/>
          <w:sz w:val="24"/>
          <w:szCs w:val="24"/>
        </w:rPr>
        <w:t>Q37.</w:t>
      </w:r>
      <w:r>
        <w:rPr>
          <w:bCs/>
          <w:iCs/>
          <w:sz w:val="24"/>
          <w:szCs w:val="24"/>
        </w:rPr>
        <w:tab/>
      </w:r>
      <w:r>
        <w:rPr>
          <w:b/>
          <w:bCs/>
          <w:i/>
          <w:iCs/>
          <w:sz w:val="24"/>
          <w:szCs w:val="24"/>
        </w:rPr>
        <w:t>HOW DOES THE STIPULATION ADDRESS THE UTILITY’S FEDERAL INCOME TAX EXPENSE?</w:t>
      </w:r>
    </w:p>
    <w:p w:rsidR="007131BF" w:rsidRPr="007131BF" w:rsidRDefault="007131BF" w:rsidP="007131BF">
      <w:pPr>
        <w:spacing w:line="480" w:lineRule="auto"/>
        <w:ind w:left="720" w:hanging="720"/>
        <w:rPr>
          <w:bCs/>
          <w:iCs/>
          <w:sz w:val="24"/>
          <w:szCs w:val="24"/>
        </w:rPr>
      </w:pPr>
      <w:r w:rsidRPr="007131BF">
        <w:rPr>
          <w:b/>
          <w:bCs/>
          <w:i/>
          <w:iCs/>
          <w:sz w:val="24"/>
          <w:szCs w:val="24"/>
        </w:rPr>
        <w:t>A37.</w:t>
      </w:r>
      <w:r w:rsidRPr="007131BF">
        <w:rPr>
          <w:b/>
          <w:bCs/>
          <w:i/>
          <w:iCs/>
          <w:sz w:val="24"/>
          <w:szCs w:val="24"/>
        </w:rPr>
        <w:tab/>
      </w:r>
      <w:r w:rsidRPr="007131BF">
        <w:rPr>
          <w:bCs/>
          <w:iCs/>
          <w:sz w:val="24"/>
          <w:szCs w:val="24"/>
        </w:rPr>
        <w:t xml:space="preserve">As described in the Testimony of Michael J. Majoros, the </w:t>
      </w:r>
      <w:r w:rsidRPr="007131BF">
        <w:rPr>
          <w:bCs/>
          <w:sz w:val="24"/>
          <w:szCs w:val="24"/>
        </w:rPr>
        <w:t>Stipulation includes $</w:t>
      </w:r>
      <w:r w:rsidRPr="007131BF">
        <w:rPr>
          <w:sz w:val="24"/>
          <w:szCs w:val="24"/>
        </w:rPr>
        <w:t>4,202,711 of federal income taxes included in the rates that Aqua would be permitted to annually charge customers during the time period that the rates from this case are in effect</w:t>
      </w:r>
      <w:r>
        <w:rPr>
          <w:sz w:val="24"/>
          <w:szCs w:val="24"/>
        </w:rPr>
        <w:t>.</w:t>
      </w:r>
      <w:r>
        <w:rPr>
          <w:rStyle w:val="FootnoteReference"/>
          <w:sz w:val="24"/>
          <w:szCs w:val="24"/>
        </w:rPr>
        <w:footnoteReference w:id="18"/>
      </w:r>
    </w:p>
    <w:p w:rsidR="007131BF" w:rsidRDefault="007131BF">
      <w:pPr>
        <w:spacing w:line="480" w:lineRule="auto"/>
        <w:ind w:left="720" w:hanging="720"/>
        <w:rPr>
          <w:sz w:val="24"/>
          <w:szCs w:val="24"/>
        </w:rPr>
      </w:pPr>
    </w:p>
    <w:p w:rsidR="00A86E17" w:rsidRDefault="008C296D">
      <w:pPr>
        <w:spacing w:line="480" w:lineRule="auto"/>
        <w:ind w:left="720" w:hanging="720"/>
        <w:rPr>
          <w:b/>
          <w:bCs/>
          <w:i/>
          <w:iCs/>
          <w:sz w:val="24"/>
          <w:szCs w:val="24"/>
        </w:rPr>
      </w:pPr>
      <w:r>
        <w:rPr>
          <w:b/>
          <w:bCs/>
          <w:i/>
          <w:iCs/>
          <w:sz w:val="24"/>
          <w:szCs w:val="24"/>
        </w:rPr>
        <w:t>Q3</w:t>
      </w:r>
      <w:r w:rsidR="007131BF">
        <w:rPr>
          <w:b/>
          <w:bCs/>
          <w:i/>
          <w:iCs/>
          <w:sz w:val="24"/>
          <w:szCs w:val="24"/>
        </w:rPr>
        <w:t>8</w:t>
      </w:r>
      <w:r>
        <w:rPr>
          <w:b/>
          <w:bCs/>
          <w:i/>
          <w:iCs/>
          <w:sz w:val="24"/>
          <w:szCs w:val="24"/>
        </w:rPr>
        <w:t>.</w:t>
      </w:r>
      <w:r>
        <w:rPr>
          <w:bCs/>
          <w:iCs/>
          <w:sz w:val="24"/>
          <w:szCs w:val="24"/>
        </w:rPr>
        <w:tab/>
      </w:r>
      <w:r w:rsidR="007131BF">
        <w:rPr>
          <w:b/>
          <w:bCs/>
          <w:i/>
          <w:iCs/>
          <w:sz w:val="24"/>
          <w:szCs w:val="24"/>
        </w:rPr>
        <w:t>DO YOU HAVE A</w:t>
      </w:r>
      <w:r>
        <w:rPr>
          <w:b/>
          <w:bCs/>
          <w:i/>
          <w:iCs/>
          <w:sz w:val="24"/>
          <w:szCs w:val="24"/>
        </w:rPr>
        <w:t xml:space="preserve"> RECOMMENDATION WITH </w:t>
      </w:r>
      <w:r w:rsidR="007131BF">
        <w:rPr>
          <w:b/>
          <w:bCs/>
          <w:i/>
          <w:iCs/>
          <w:sz w:val="24"/>
          <w:szCs w:val="24"/>
        </w:rPr>
        <w:t xml:space="preserve">RESPECT </w:t>
      </w:r>
      <w:r>
        <w:rPr>
          <w:b/>
          <w:bCs/>
          <w:i/>
          <w:iCs/>
          <w:sz w:val="24"/>
          <w:szCs w:val="24"/>
        </w:rPr>
        <w:t xml:space="preserve">TO </w:t>
      </w:r>
      <w:r w:rsidR="007131BF">
        <w:rPr>
          <w:b/>
          <w:bCs/>
          <w:i/>
          <w:iCs/>
          <w:sz w:val="24"/>
          <w:szCs w:val="24"/>
        </w:rPr>
        <w:t>HOW THE FEDERAL INCOME TAX EXPENSE WAS</w:t>
      </w:r>
      <w:r>
        <w:rPr>
          <w:b/>
          <w:bCs/>
          <w:i/>
          <w:iCs/>
          <w:sz w:val="24"/>
          <w:szCs w:val="24"/>
        </w:rPr>
        <w:t xml:space="preserve"> CALCULAT</w:t>
      </w:r>
      <w:r w:rsidR="007131BF">
        <w:rPr>
          <w:b/>
          <w:bCs/>
          <w:i/>
          <w:iCs/>
          <w:sz w:val="24"/>
          <w:szCs w:val="24"/>
        </w:rPr>
        <w:t>ED</w:t>
      </w:r>
      <w:r>
        <w:rPr>
          <w:b/>
          <w:bCs/>
          <w:i/>
          <w:iCs/>
          <w:sz w:val="24"/>
          <w:szCs w:val="24"/>
        </w:rPr>
        <w:t xml:space="preserve"> IN THE STIPULATION?</w:t>
      </w:r>
    </w:p>
    <w:p w:rsidR="00A86E17" w:rsidRDefault="008C296D">
      <w:pPr>
        <w:spacing w:line="480" w:lineRule="auto"/>
        <w:ind w:left="720" w:hanging="720"/>
        <w:rPr>
          <w:bCs/>
          <w:iCs/>
          <w:sz w:val="24"/>
          <w:szCs w:val="24"/>
        </w:rPr>
      </w:pPr>
      <w:r>
        <w:rPr>
          <w:b/>
          <w:bCs/>
          <w:i/>
          <w:iCs/>
          <w:sz w:val="24"/>
          <w:szCs w:val="24"/>
        </w:rPr>
        <w:t>A3</w:t>
      </w:r>
      <w:r w:rsidR="007131BF">
        <w:rPr>
          <w:b/>
          <w:bCs/>
          <w:i/>
          <w:iCs/>
          <w:sz w:val="24"/>
          <w:szCs w:val="24"/>
        </w:rPr>
        <w:t>8</w:t>
      </w:r>
      <w:r>
        <w:rPr>
          <w:b/>
          <w:bCs/>
          <w:i/>
          <w:iCs/>
          <w:sz w:val="24"/>
          <w:szCs w:val="24"/>
        </w:rPr>
        <w:t>.</w:t>
      </w:r>
      <w:r>
        <w:rPr>
          <w:b/>
          <w:bCs/>
          <w:i/>
          <w:iCs/>
          <w:sz w:val="24"/>
          <w:szCs w:val="24"/>
        </w:rPr>
        <w:tab/>
      </w:r>
      <w:r w:rsidR="007131BF">
        <w:rPr>
          <w:bCs/>
          <w:iCs/>
          <w:sz w:val="24"/>
          <w:szCs w:val="24"/>
        </w:rPr>
        <w:t xml:space="preserve">Yes.  </w:t>
      </w:r>
      <w:r>
        <w:rPr>
          <w:bCs/>
          <w:iCs/>
          <w:sz w:val="24"/>
          <w:szCs w:val="24"/>
        </w:rPr>
        <w:t>I have incorporated into my testimony a schedule containing a Federal Income Tax expense adjustment that is based upon the recommendations made in the testimony of OCC witness Michael J. Majoros.  This adjustment is shown on Schedule SBH-10 with Schedule SBH-11 being the supporting schedule.</w:t>
      </w:r>
    </w:p>
    <w:p w:rsidR="00A86E17" w:rsidRDefault="00A86E17">
      <w:pPr>
        <w:spacing w:line="480" w:lineRule="auto"/>
        <w:rPr>
          <w:sz w:val="24"/>
          <w:szCs w:val="24"/>
        </w:rPr>
      </w:pPr>
    </w:p>
    <w:p w:rsidR="00A86E17" w:rsidRDefault="008C296D">
      <w:pPr>
        <w:spacing w:line="480" w:lineRule="auto"/>
        <w:ind w:left="720" w:hanging="720"/>
        <w:rPr>
          <w:b/>
          <w:i/>
          <w:sz w:val="24"/>
          <w:szCs w:val="24"/>
        </w:rPr>
      </w:pPr>
      <w:r>
        <w:rPr>
          <w:b/>
          <w:i/>
          <w:sz w:val="24"/>
          <w:szCs w:val="24"/>
        </w:rPr>
        <w:t>Q3</w:t>
      </w:r>
      <w:r w:rsidR="007131BF">
        <w:rPr>
          <w:b/>
          <w:i/>
          <w:sz w:val="24"/>
          <w:szCs w:val="24"/>
        </w:rPr>
        <w:t>9</w:t>
      </w:r>
      <w:r>
        <w:rPr>
          <w:b/>
          <w:i/>
          <w:sz w:val="24"/>
          <w:szCs w:val="24"/>
        </w:rPr>
        <w:t>.</w:t>
      </w:r>
      <w:r>
        <w:rPr>
          <w:b/>
          <w:i/>
          <w:sz w:val="24"/>
          <w:szCs w:val="24"/>
        </w:rPr>
        <w:tab/>
      </w:r>
      <w:r>
        <w:rPr>
          <w:b/>
          <w:bCs/>
          <w:i/>
          <w:iCs/>
          <w:sz w:val="24"/>
          <w:szCs w:val="24"/>
        </w:rPr>
        <w:t>DID YOU PREPARE A SCHEDULE THAT SUMMARIZES THE ADJUSTMENTS YOU HAVE MADE TO RATE BASE AND OPERATING INCOME?</w:t>
      </w:r>
    </w:p>
    <w:p w:rsidR="00A86E17" w:rsidRDefault="008C296D">
      <w:pPr>
        <w:spacing w:line="480" w:lineRule="auto"/>
        <w:ind w:left="720" w:hanging="720"/>
        <w:rPr>
          <w:sz w:val="24"/>
          <w:szCs w:val="24"/>
        </w:rPr>
      </w:pPr>
      <w:r>
        <w:rPr>
          <w:b/>
          <w:i/>
          <w:sz w:val="24"/>
          <w:szCs w:val="24"/>
        </w:rPr>
        <w:t>A3</w:t>
      </w:r>
      <w:r w:rsidR="007131BF">
        <w:rPr>
          <w:b/>
          <w:i/>
          <w:sz w:val="24"/>
          <w:szCs w:val="24"/>
        </w:rPr>
        <w:t>9</w:t>
      </w:r>
      <w:r>
        <w:rPr>
          <w:b/>
          <w:i/>
          <w:sz w:val="24"/>
          <w:szCs w:val="24"/>
        </w:rPr>
        <w:t>.</w:t>
      </w:r>
      <w:r>
        <w:rPr>
          <w:b/>
          <w:i/>
          <w:sz w:val="24"/>
          <w:szCs w:val="24"/>
        </w:rPr>
        <w:tab/>
      </w:r>
      <w:r>
        <w:rPr>
          <w:sz w:val="24"/>
          <w:szCs w:val="24"/>
        </w:rPr>
        <w:t xml:space="preserve">Yes.  Schedule SBH- 12 summarizes </w:t>
      </w:r>
      <w:r w:rsidR="00F94424">
        <w:rPr>
          <w:sz w:val="24"/>
          <w:szCs w:val="24"/>
        </w:rPr>
        <w:t xml:space="preserve">both </w:t>
      </w:r>
      <w:r>
        <w:rPr>
          <w:sz w:val="24"/>
          <w:szCs w:val="24"/>
        </w:rPr>
        <w:t xml:space="preserve">my recommended adjustments and the </w:t>
      </w:r>
      <w:r w:rsidR="00F94424">
        <w:rPr>
          <w:sz w:val="24"/>
          <w:szCs w:val="24"/>
        </w:rPr>
        <w:t xml:space="preserve">proposed </w:t>
      </w:r>
      <w:r>
        <w:rPr>
          <w:sz w:val="24"/>
          <w:szCs w:val="24"/>
        </w:rPr>
        <w:t xml:space="preserve">adjustments </w:t>
      </w:r>
      <w:r w:rsidR="00C470CC">
        <w:rPr>
          <w:sz w:val="24"/>
          <w:szCs w:val="24"/>
        </w:rPr>
        <w:t>advocated</w:t>
      </w:r>
      <w:r w:rsidR="00F94424">
        <w:rPr>
          <w:sz w:val="24"/>
          <w:szCs w:val="24"/>
        </w:rPr>
        <w:t xml:space="preserve"> </w:t>
      </w:r>
      <w:r>
        <w:rPr>
          <w:sz w:val="24"/>
          <w:szCs w:val="24"/>
        </w:rPr>
        <w:t>by OCC witness Michael Majoros to rate base and operating income.</w:t>
      </w:r>
    </w:p>
    <w:p w:rsidR="00A86E17" w:rsidRDefault="00A86E17">
      <w:pPr>
        <w:spacing w:line="480" w:lineRule="auto"/>
        <w:ind w:left="720" w:hanging="720"/>
        <w:rPr>
          <w:sz w:val="24"/>
          <w:szCs w:val="24"/>
        </w:rPr>
      </w:pPr>
    </w:p>
    <w:p w:rsidR="00A86E17" w:rsidRDefault="008C296D">
      <w:pPr>
        <w:spacing w:line="480" w:lineRule="auto"/>
        <w:ind w:left="720" w:hanging="720"/>
        <w:rPr>
          <w:b/>
          <w:i/>
          <w:sz w:val="24"/>
          <w:szCs w:val="24"/>
        </w:rPr>
      </w:pPr>
      <w:r>
        <w:rPr>
          <w:b/>
          <w:i/>
          <w:sz w:val="24"/>
          <w:szCs w:val="24"/>
        </w:rPr>
        <w:t>Q</w:t>
      </w:r>
      <w:r w:rsidR="007131BF">
        <w:rPr>
          <w:b/>
          <w:i/>
          <w:sz w:val="24"/>
          <w:szCs w:val="24"/>
        </w:rPr>
        <w:t>40</w:t>
      </w:r>
      <w:r>
        <w:rPr>
          <w:b/>
          <w:i/>
          <w:sz w:val="24"/>
          <w:szCs w:val="24"/>
        </w:rPr>
        <w:t>.</w:t>
      </w:r>
      <w:r>
        <w:rPr>
          <w:b/>
          <w:i/>
          <w:sz w:val="24"/>
          <w:szCs w:val="24"/>
        </w:rPr>
        <w:tab/>
      </w:r>
      <w:r>
        <w:rPr>
          <w:b/>
          <w:bCs/>
          <w:i/>
          <w:iCs/>
          <w:sz w:val="24"/>
          <w:szCs w:val="24"/>
        </w:rPr>
        <w:t>DID YOU PREPARE A SCHEDULE THAT SHOWS YOUR RECOMMENDED REVENUE REQUIREMENTS WHEN YOUR ADJUSTMENTS ARE CONSIDERED?</w:t>
      </w:r>
    </w:p>
    <w:p w:rsidR="00A86E17" w:rsidRDefault="008C296D">
      <w:pPr>
        <w:spacing w:line="480" w:lineRule="auto"/>
        <w:ind w:left="720" w:hanging="720"/>
        <w:rPr>
          <w:sz w:val="24"/>
          <w:szCs w:val="24"/>
        </w:rPr>
      </w:pPr>
      <w:r>
        <w:rPr>
          <w:b/>
          <w:i/>
          <w:sz w:val="24"/>
          <w:szCs w:val="24"/>
        </w:rPr>
        <w:t>A</w:t>
      </w:r>
      <w:r w:rsidR="007131BF">
        <w:rPr>
          <w:b/>
          <w:i/>
          <w:sz w:val="24"/>
          <w:szCs w:val="24"/>
        </w:rPr>
        <w:t>40</w:t>
      </w:r>
      <w:r>
        <w:rPr>
          <w:b/>
          <w:i/>
          <w:sz w:val="24"/>
          <w:szCs w:val="24"/>
        </w:rPr>
        <w:t>.</w:t>
      </w:r>
      <w:r>
        <w:rPr>
          <w:b/>
          <w:i/>
          <w:sz w:val="24"/>
          <w:szCs w:val="24"/>
        </w:rPr>
        <w:tab/>
      </w:r>
      <w:r>
        <w:rPr>
          <w:sz w:val="24"/>
          <w:szCs w:val="24"/>
        </w:rPr>
        <w:t xml:space="preserve">Yes.  Taking into consideration the additional adjustments to rate base and operating income over and above what </w:t>
      </w:r>
      <w:r w:rsidR="007131BF">
        <w:rPr>
          <w:sz w:val="24"/>
          <w:szCs w:val="24"/>
        </w:rPr>
        <w:t xml:space="preserve">is set forth in </w:t>
      </w:r>
      <w:r>
        <w:rPr>
          <w:sz w:val="24"/>
          <w:szCs w:val="24"/>
        </w:rPr>
        <w:t xml:space="preserve">the Stipulation (see Exhibit SBH-12), and using the rate of return of 7.20% recommended by OCC witness Daniel Duann and the Federal Income Tax adjustment </w:t>
      </w:r>
      <w:r w:rsidR="00F94424">
        <w:rPr>
          <w:sz w:val="24"/>
          <w:szCs w:val="24"/>
        </w:rPr>
        <w:t xml:space="preserve">advocated </w:t>
      </w:r>
      <w:r>
        <w:rPr>
          <w:sz w:val="24"/>
          <w:szCs w:val="24"/>
        </w:rPr>
        <w:t xml:space="preserve">by OCC witness Michael Majoros, I have developed a revenue requirement of approximately $58,813,286.  The calculation of this revenue requirement is shown on Schedule SBH-13.  </w:t>
      </w:r>
      <w:r w:rsidR="005D4B02">
        <w:rPr>
          <w:sz w:val="24"/>
          <w:szCs w:val="24"/>
        </w:rPr>
        <w:t>Based on this analysis</w:t>
      </w:r>
      <w:r>
        <w:rPr>
          <w:sz w:val="24"/>
          <w:szCs w:val="24"/>
        </w:rPr>
        <w:t xml:space="preserve"> I recommend a revenue increase of $2,163,585 or 3.82%.  The Stipulation</w:t>
      </w:r>
      <w:r w:rsidR="007131BF">
        <w:rPr>
          <w:sz w:val="24"/>
          <w:szCs w:val="24"/>
        </w:rPr>
        <w:t>, however,</w:t>
      </w:r>
      <w:r>
        <w:rPr>
          <w:sz w:val="24"/>
          <w:szCs w:val="24"/>
        </w:rPr>
        <w:t xml:space="preserve"> recommends a revenue increase of $3,820,000 or 6.74%.  Thus, given the greater amount of the rate increase </w:t>
      </w:r>
      <w:r w:rsidR="005D4B02">
        <w:rPr>
          <w:sz w:val="24"/>
          <w:szCs w:val="24"/>
        </w:rPr>
        <w:t xml:space="preserve">identified in the Stipulation, </w:t>
      </w:r>
      <w:r>
        <w:rPr>
          <w:sz w:val="24"/>
          <w:szCs w:val="24"/>
        </w:rPr>
        <w:t>it does not benefit customers and is not in the public interest.</w:t>
      </w:r>
    </w:p>
    <w:p w:rsidR="00A86E17" w:rsidRDefault="008C296D">
      <w:pPr>
        <w:spacing w:line="480" w:lineRule="auto"/>
        <w:ind w:left="720" w:hanging="720"/>
        <w:rPr>
          <w:b/>
          <w:i/>
          <w:sz w:val="24"/>
          <w:szCs w:val="24"/>
        </w:rPr>
      </w:pPr>
      <w:r>
        <w:rPr>
          <w:b/>
          <w:i/>
          <w:sz w:val="24"/>
          <w:szCs w:val="24"/>
        </w:rPr>
        <w:t>Q4</w:t>
      </w:r>
      <w:r w:rsidR="007131BF">
        <w:rPr>
          <w:b/>
          <w:i/>
          <w:sz w:val="24"/>
          <w:szCs w:val="24"/>
        </w:rPr>
        <w:t>1</w:t>
      </w:r>
      <w:r>
        <w:rPr>
          <w:b/>
          <w:i/>
          <w:sz w:val="24"/>
          <w:szCs w:val="24"/>
        </w:rPr>
        <w:t>.</w:t>
      </w:r>
      <w:r>
        <w:rPr>
          <w:b/>
          <w:i/>
          <w:sz w:val="24"/>
          <w:szCs w:val="24"/>
        </w:rPr>
        <w:tab/>
        <w:t>REGARDING THE THIRD STIPULATION CRITERION, DOES THE SETTLEMENT</w:t>
      </w:r>
      <w:r w:rsidR="00801A5A">
        <w:rPr>
          <w:b/>
          <w:i/>
          <w:sz w:val="24"/>
          <w:szCs w:val="24"/>
        </w:rPr>
        <w:t>,</w:t>
      </w:r>
      <w:r>
        <w:rPr>
          <w:b/>
          <w:i/>
          <w:sz w:val="24"/>
          <w:szCs w:val="24"/>
        </w:rPr>
        <w:t xml:space="preserve"> AS A PACKAGE</w:t>
      </w:r>
      <w:r w:rsidR="00801A5A">
        <w:rPr>
          <w:b/>
          <w:i/>
          <w:sz w:val="24"/>
          <w:szCs w:val="24"/>
        </w:rPr>
        <w:t>,</w:t>
      </w:r>
      <w:r>
        <w:rPr>
          <w:b/>
          <w:i/>
          <w:sz w:val="24"/>
          <w:szCs w:val="24"/>
        </w:rPr>
        <w:t xml:space="preserve"> VIOLATE ANY IMPORTANT REGULATORY PRINCIPLE OR PRACTICE?</w:t>
      </w:r>
    </w:p>
    <w:p w:rsidR="00A86E17" w:rsidRDefault="008C296D">
      <w:pPr>
        <w:spacing w:line="480" w:lineRule="auto"/>
        <w:ind w:left="720" w:hanging="720"/>
        <w:rPr>
          <w:sz w:val="24"/>
          <w:szCs w:val="24"/>
        </w:rPr>
      </w:pPr>
      <w:r>
        <w:rPr>
          <w:b/>
          <w:i/>
          <w:sz w:val="24"/>
          <w:szCs w:val="24"/>
        </w:rPr>
        <w:t>A4</w:t>
      </w:r>
      <w:r w:rsidR="007131BF">
        <w:rPr>
          <w:b/>
          <w:i/>
          <w:sz w:val="24"/>
          <w:szCs w:val="24"/>
        </w:rPr>
        <w:t>1</w:t>
      </w:r>
      <w:r>
        <w:rPr>
          <w:b/>
          <w:i/>
          <w:sz w:val="24"/>
          <w:szCs w:val="24"/>
        </w:rPr>
        <w:t>.</w:t>
      </w:r>
      <w:r>
        <w:rPr>
          <w:b/>
          <w:i/>
          <w:sz w:val="24"/>
          <w:szCs w:val="24"/>
        </w:rPr>
        <w:tab/>
      </w:r>
      <w:r>
        <w:rPr>
          <w:sz w:val="24"/>
          <w:szCs w:val="24"/>
        </w:rPr>
        <w:t xml:space="preserve">Yes, </w:t>
      </w:r>
      <w:r>
        <w:rPr>
          <w:bCs/>
          <w:iCs/>
          <w:sz w:val="24"/>
          <w:szCs w:val="24"/>
        </w:rPr>
        <w:t>the Stipulation violates the third criteria in several respects.  I will elaborate further below.</w:t>
      </w:r>
    </w:p>
    <w:p w:rsidR="00A86E17" w:rsidRDefault="00A86E17">
      <w:pPr>
        <w:spacing w:line="480" w:lineRule="auto"/>
        <w:rPr>
          <w:sz w:val="24"/>
          <w:szCs w:val="24"/>
        </w:rPr>
      </w:pPr>
    </w:p>
    <w:p w:rsidR="00A86E17" w:rsidRDefault="008C296D">
      <w:pPr>
        <w:spacing w:line="480" w:lineRule="auto"/>
        <w:ind w:left="720" w:hanging="720"/>
        <w:rPr>
          <w:b/>
          <w:i/>
          <w:sz w:val="24"/>
          <w:szCs w:val="24"/>
        </w:rPr>
      </w:pPr>
      <w:r>
        <w:rPr>
          <w:b/>
          <w:i/>
          <w:sz w:val="24"/>
          <w:szCs w:val="24"/>
        </w:rPr>
        <w:t>Q4</w:t>
      </w:r>
      <w:r w:rsidR="007131BF">
        <w:rPr>
          <w:b/>
          <w:i/>
          <w:sz w:val="24"/>
          <w:szCs w:val="24"/>
        </w:rPr>
        <w:t>2</w:t>
      </w:r>
      <w:r>
        <w:rPr>
          <w:b/>
          <w:i/>
          <w:sz w:val="24"/>
          <w:szCs w:val="24"/>
        </w:rPr>
        <w:t>.</w:t>
      </w:r>
      <w:r>
        <w:rPr>
          <w:b/>
          <w:i/>
          <w:sz w:val="24"/>
          <w:szCs w:val="24"/>
        </w:rPr>
        <w:tab/>
        <w:t>CONCERNING YOUR FIRST, SECOND AND THIRD ISSUES SET FORTH ABOVE, HOW DOES THE STIPULATION VIOLATE IMPORTANT REGULATORY PRINCIPLES OR PRACTICES?</w:t>
      </w:r>
    </w:p>
    <w:p w:rsidR="00A86E17" w:rsidRDefault="008C296D">
      <w:pPr>
        <w:spacing w:line="480" w:lineRule="auto"/>
        <w:ind w:left="720" w:hanging="720"/>
        <w:rPr>
          <w:sz w:val="24"/>
          <w:szCs w:val="24"/>
        </w:rPr>
      </w:pPr>
      <w:r>
        <w:rPr>
          <w:b/>
          <w:i/>
          <w:sz w:val="24"/>
          <w:szCs w:val="24"/>
        </w:rPr>
        <w:t>A4</w:t>
      </w:r>
      <w:r w:rsidR="007131BF">
        <w:rPr>
          <w:b/>
          <w:i/>
          <w:sz w:val="24"/>
          <w:szCs w:val="24"/>
        </w:rPr>
        <w:t>2</w:t>
      </w:r>
      <w:r>
        <w:rPr>
          <w:b/>
          <w:i/>
          <w:sz w:val="24"/>
          <w:szCs w:val="24"/>
        </w:rPr>
        <w:t>.</w:t>
      </w:r>
      <w:r>
        <w:rPr>
          <w:b/>
          <w:i/>
          <w:sz w:val="24"/>
          <w:szCs w:val="24"/>
        </w:rPr>
        <w:tab/>
      </w:r>
      <w:r>
        <w:rPr>
          <w:sz w:val="24"/>
          <w:szCs w:val="24"/>
        </w:rPr>
        <w:t>These costs, that are included in the tariffed rates proposed in Stipulation Joint Exhibit 3.0, are not just and reasonable</w:t>
      </w:r>
      <w:r w:rsidR="007131BF">
        <w:rPr>
          <w:sz w:val="24"/>
          <w:szCs w:val="24"/>
        </w:rPr>
        <w:t xml:space="preserve"> as required by the Ohio Revised Code</w:t>
      </w:r>
      <w:r>
        <w:rPr>
          <w:sz w:val="24"/>
          <w:szCs w:val="24"/>
        </w:rPr>
        <w:t>.</w:t>
      </w:r>
      <w:r>
        <w:rPr>
          <w:rStyle w:val="FootnoteReference"/>
          <w:sz w:val="24"/>
          <w:szCs w:val="24"/>
        </w:rPr>
        <w:footnoteReference w:id="19"/>
      </w:r>
    </w:p>
    <w:p w:rsidR="00A86E17" w:rsidRDefault="00A86E17">
      <w:pPr>
        <w:spacing w:line="480" w:lineRule="auto"/>
        <w:ind w:left="720" w:hanging="720"/>
        <w:rPr>
          <w:sz w:val="24"/>
          <w:szCs w:val="24"/>
        </w:rPr>
      </w:pPr>
    </w:p>
    <w:p w:rsidR="00A86E17" w:rsidRDefault="008C296D">
      <w:pPr>
        <w:spacing w:line="480" w:lineRule="auto"/>
        <w:ind w:left="720" w:hanging="720"/>
        <w:rPr>
          <w:sz w:val="24"/>
          <w:szCs w:val="24"/>
        </w:rPr>
      </w:pPr>
      <w:r>
        <w:rPr>
          <w:b/>
          <w:i/>
          <w:sz w:val="24"/>
          <w:szCs w:val="24"/>
        </w:rPr>
        <w:t>Q4</w:t>
      </w:r>
      <w:r w:rsidR="007131BF">
        <w:rPr>
          <w:b/>
          <w:i/>
          <w:sz w:val="24"/>
          <w:szCs w:val="24"/>
        </w:rPr>
        <w:t>3</w:t>
      </w:r>
      <w:r>
        <w:rPr>
          <w:b/>
          <w:i/>
          <w:sz w:val="24"/>
          <w:szCs w:val="24"/>
        </w:rPr>
        <w:t>.</w:t>
      </w:r>
      <w:r>
        <w:rPr>
          <w:b/>
          <w:i/>
          <w:sz w:val="24"/>
          <w:szCs w:val="24"/>
        </w:rPr>
        <w:tab/>
        <w:t>CONCERNING YOUR FOURTH ISSUE SET FORTH ABOVE, HOW DOES THE STIPULATION VIOLATE IMPORTANT REGULATORY PRINCIPLES OR PRACTICES?</w:t>
      </w:r>
    </w:p>
    <w:p w:rsidR="00F3169E" w:rsidRDefault="008C296D" w:rsidP="00F3169E">
      <w:pPr>
        <w:spacing w:line="480" w:lineRule="auto"/>
        <w:ind w:left="720" w:hanging="720"/>
        <w:rPr>
          <w:sz w:val="24"/>
          <w:szCs w:val="24"/>
        </w:rPr>
      </w:pPr>
      <w:r>
        <w:rPr>
          <w:b/>
          <w:i/>
          <w:sz w:val="24"/>
          <w:szCs w:val="24"/>
        </w:rPr>
        <w:t>A4</w:t>
      </w:r>
      <w:r w:rsidR="007131BF">
        <w:rPr>
          <w:b/>
          <w:i/>
          <w:sz w:val="24"/>
          <w:szCs w:val="24"/>
        </w:rPr>
        <w:t>3</w:t>
      </w:r>
      <w:r>
        <w:rPr>
          <w:b/>
          <w:i/>
          <w:sz w:val="24"/>
          <w:szCs w:val="24"/>
        </w:rPr>
        <w:t>.</w:t>
      </w:r>
      <w:r>
        <w:rPr>
          <w:b/>
          <w:i/>
          <w:sz w:val="24"/>
          <w:szCs w:val="24"/>
        </w:rPr>
        <w:tab/>
      </w:r>
      <w:r>
        <w:rPr>
          <w:sz w:val="24"/>
          <w:szCs w:val="24"/>
        </w:rPr>
        <w:t>The Corporate Office expense for the Board of Directors restricted stock does not provide a direct and primary benefit to customers.</w:t>
      </w:r>
      <w:r>
        <w:rPr>
          <w:rStyle w:val="FootnoteReference"/>
          <w:sz w:val="24"/>
          <w:szCs w:val="24"/>
        </w:rPr>
        <w:footnoteReference w:id="20"/>
      </w:r>
      <w:r w:rsidR="00F3169E">
        <w:rPr>
          <w:sz w:val="24"/>
          <w:szCs w:val="24"/>
        </w:rPr>
        <w:br w:type="page"/>
      </w:r>
    </w:p>
    <w:p w:rsidR="00A86E17" w:rsidRDefault="008C296D">
      <w:pPr>
        <w:spacing w:line="480" w:lineRule="auto"/>
        <w:ind w:left="720" w:hanging="720"/>
        <w:rPr>
          <w:b/>
          <w:bCs/>
          <w:i/>
          <w:iCs/>
          <w:sz w:val="24"/>
          <w:szCs w:val="24"/>
        </w:rPr>
      </w:pPr>
      <w:r>
        <w:rPr>
          <w:b/>
          <w:bCs/>
          <w:i/>
          <w:iCs/>
          <w:sz w:val="24"/>
          <w:szCs w:val="24"/>
        </w:rPr>
        <w:t>Q4</w:t>
      </w:r>
      <w:r w:rsidR="007131BF">
        <w:rPr>
          <w:b/>
          <w:bCs/>
          <w:i/>
          <w:iCs/>
          <w:sz w:val="24"/>
          <w:szCs w:val="24"/>
        </w:rPr>
        <w:t>4</w:t>
      </w:r>
      <w:r>
        <w:rPr>
          <w:b/>
          <w:bCs/>
          <w:i/>
          <w:iCs/>
          <w:sz w:val="24"/>
          <w:szCs w:val="24"/>
        </w:rPr>
        <w:t>.</w:t>
      </w:r>
      <w:r>
        <w:rPr>
          <w:sz w:val="24"/>
          <w:szCs w:val="24"/>
        </w:rPr>
        <w:tab/>
      </w:r>
      <w:r>
        <w:rPr>
          <w:b/>
          <w:i/>
          <w:sz w:val="24"/>
          <w:szCs w:val="24"/>
        </w:rPr>
        <w:t>CONCERNING YOUR FIFTH ISSUE SET FORTH ABOVE, HOW DOES THE STIPULATION VIOLATE IMPORTANT REGULATORY PRINCIPLES OR PRACTICES?</w:t>
      </w:r>
    </w:p>
    <w:p w:rsidR="00A86E17" w:rsidRPr="00C63864" w:rsidRDefault="008C296D">
      <w:pPr>
        <w:spacing w:line="480" w:lineRule="auto"/>
        <w:ind w:left="720" w:hanging="720"/>
        <w:rPr>
          <w:sz w:val="24"/>
          <w:szCs w:val="24"/>
        </w:rPr>
      </w:pPr>
      <w:r w:rsidRPr="00C63864">
        <w:rPr>
          <w:b/>
          <w:bCs/>
          <w:i/>
          <w:iCs/>
          <w:sz w:val="24"/>
          <w:szCs w:val="24"/>
        </w:rPr>
        <w:t>A4</w:t>
      </w:r>
      <w:r w:rsidR="007131BF" w:rsidRPr="00C63864">
        <w:rPr>
          <w:b/>
          <w:bCs/>
          <w:i/>
          <w:iCs/>
          <w:sz w:val="24"/>
          <w:szCs w:val="24"/>
        </w:rPr>
        <w:t>4</w:t>
      </w:r>
      <w:r w:rsidRPr="00C63864">
        <w:rPr>
          <w:b/>
          <w:bCs/>
          <w:i/>
          <w:iCs/>
          <w:sz w:val="24"/>
          <w:szCs w:val="24"/>
        </w:rPr>
        <w:t>.</w:t>
      </w:r>
      <w:r w:rsidRPr="00C63864">
        <w:rPr>
          <w:b/>
          <w:bCs/>
          <w:i/>
          <w:iCs/>
          <w:sz w:val="24"/>
          <w:szCs w:val="24"/>
        </w:rPr>
        <w:tab/>
      </w:r>
      <w:r w:rsidRPr="00C63864">
        <w:rPr>
          <w:bCs/>
          <w:iCs/>
          <w:sz w:val="24"/>
          <w:szCs w:val="24"/>
        </w:rPr>
        <w:t>The shift from service-rendered billing to bills-rendered billing results in the retroactive billing of rates in this case</w:t>
      </w:r>
      <w:r w:rsidR="007131BF" w:rsidRPr="00C63864">
        <w:rPr>
          <w:bCs/>
          <w:iCs/>
          <w:sz w:val="24"/>
          <w:szCs w:val="24"/>
        </w:rPr>
        <w:t xml:space="preserve">, which violates the principles set forth in </w:t>
      </w:r>
      <w:r w:rsidR="0018150F">
        <w:rPr>
          <w:bCs/>
          <w:i/>
          <w:color w:val="333333"/>
          <w:sz w:val="24"/>
          <w:szCs w:val="24"/>
        </w:rPr>
        <w:t>Lucas County Commissione</w:t>
      </w:r>
      <w:r w:rsidR="00C63864" w:rsidRPr="00C63864">
        <w:rPr>
          <w:bCs/>
          <w:i/>
          <w:color w:val="333333"/>
          <w:sz w:val="24"/>
          <w:szCs w:val="24"/>
        </w:rPr>
        <w:t>rs v. PUC</w:t>
      </w:r>
      <w:r w:rsidR="0018150F">
        <w:rPr>
          <w:bCs/>
          <w:i/>
          <w:color w:val="333333"/>
          <w:sz w:val="24"/>
          <w:szCs w:val="24"/>
        </w:rPr>
        <w:t>O</w:t>
      </w:r>
      <w:r w:rsidRPr="00C63864">
        <w:rPr>
          <w:bCs/>
          <w:iCs/>
          <w:sz w:val="24"/>
          <w:szCs w:val="24"/>
        </w:rPr>
        <w:t>.</w:t>
      </w:r>
      <w:r w:rsidRPr="00C63864">
        <w:rPr>
          <w:rStyle w:val="FootnoteReference"/>
          <w:bCs/>
          <w:iCs/>
          <w:sz w:val="24"/>
          <w:szCs w:val="24"/>
        </w:rPr>
        <w:footnoteReference w:id="21"/>
      </w:r>
    </w:p>
    <w:p w:rsidR="00A86E17" w:rsidRDefault="00A86E17">
      <w:pPr>
        <w:spacing w:line="480" w:lineRule="auto"/>
        <w:ind w:left="720" w:hanging="720"/>
        <w:rPr>
          <w:sz w:val="24"/>
          <w:szCs w:val="24"/>
        </w:rPr>
      </w:pPr>
    </w:p>
    <w:p w:rsidR="00A86E17" w:rsidRDefault="002526F1">
      <w:pPr>
        <w:pStyle w:val="Heading1"/>
      </w:pPr>
      <w:bookmarkStart w:id="6" w:name="_Toc394598907"/>
      <w:bookmarkStart w:id="7" w:name="_Toc394658048"/>
      <w:bookmarkStart w:id="8" w:name="_Toc394905853"/>
      <w:r>
        <w:t>II</w:t>
      </w:r>
      <w:r w:rsidR="008C296D">
        <w:t>I.</w:t>
      </w:r>
      <w:r w:rsidR="008C296D">
        <w:tab/>
        <w:t>CONCLUSION</w:t>
      </w:r>
      <w:bookmarkEnd w:id="6"/>
      <w:bookmarkEnd w:id="7"/>
      <w:bookmarkEnd w:id="8"/>
    </w:p>
    <w:p w:rsidR="00A86E17" w:rsidRDefault="00A86E17">
      <w:pPr>
        <w:spacing w:line="480" w:lineRule="auto"/>
        <w:ind w:left="720" w:hanging="720"/>
        <w:rPr>
          <w:b/>
          <w:bCs/>
          <w:sz w:val="24"/>
          <w:szCs w:val="24"/>
        </w:rPr>
      </w:pPr>
    </w:p>
    <w:p w:rsidR="00A86E17" w:rsidRDefault="008C296D">
      <w:pPr>
        <w:spacing w:line="480" w:lineRule="auto"/>
        <w:ind w:left="720" w:hanging="720"/>
        <w:rPr>
          <w:b/>
          <w:bCs/>
          <w:i/>
          <w:iCs/>
          <w:sz w:val="24"/>
          <w:szCs w:val="24"/>
        </w:rPr>
      </w:pPr>
      <w:r>
        <w:rPr>
          <w:b/>
          <w:bCs/>
          <w:i/>
          <w:iCs/>
          <w:sz w:val="24"/>
          <w:szCs w:val="24"/>
        </w:rPr>
        <w:t>Q45.</w:t>
      </w:r>
      <w:r>
        <w:rPr>
          <w:b/>
          <w:bCs/>
          <w:i/>
          <w:iCs/>
          <w:sz w:val="24"/>
          <w:szCs w:val="24"/>
        </w:rPr>
        <w:tab/>
        <w:t>DOES THIS CONCLUDE YOUR TESTIMONY AT THIS TIME?</w:t>
      </w:r>
    </w:p>
    <w:p w:rsidR="00A86E17" w:rsidRDefault="008C296D">
      <w:pPr>
        <w:pStyle w:val="BodyTextIndent3"/>
        <w:ind w:left="720" w:hanging="720"/>
      </w:pPr>
      <w:r>
        <w:rPr>
          <w:b/>
          <w:bCs/>
          <w:i/>
          <w:iCs/>
        </w:rPr>
        <w:t>A45.</w:t>
      </w:r>
      <w:r>
        <w:rPr>
          <w:b/>
          <w:bCs/>
          <w:i/>
          <w:iCs/>
        </w:rPr>
        <w:tab/>
      </w:r>
      <w:r>
        <w:t xml:space="preserve">Yes.  </w:t>
      </w:r>
    </w:p>
    <w:p w:rsidR="00A86E17" w:rsidRDefault="00A86E17">
      <w:pPr>
        <w:pStyle w:val="BodyTextIndent3"/>
        <w:ind w:left="1440" w:hanging="720"/>
        <w:sectPr w:rsidR="00A86E17">
          <w:headerReference w:type="default" r:id="rId18"/>
          <w:footerReference w:type="default" r:id="rId19"/>
          <w:pgSz w:w="12240" w:h="15840" w:code="1"/>
          <w:pgMar w:top="1440" w:right="1800" w:bottom="1440" w:left="1800" w:header="720" w:footer="720" w:gutter="0"/>
          <w:lnNumType w:countBy="1"/>
          <w:pgNumType w:start="1"/>
          <w:cols w:space="720"/>
          <w:docGrid w:linePitch="272"/>
        </w:sectPr>
      </w:pPr>
    </w:p>
    <w:p w:rsidR="00A86E17" w:rsidRDefault="008C296D">
      <w:pPr>
        <w:jc w:val="center"/>
        <w:rPr>
          <w:b/>
          <w:bCs/>
          <w:sz w:val="24"/>
          <w:szCs w:val="24"/>
          <w:u w:val="single"/>
        </w:rPr>
      </w:pPr>
      <w:bookmarkStart w:id="9" w:name="_Toc249780403"/>
      <w:bookmarkStart w:id="10" w:name="_Toc249782129"/>
      <w:r>
        <w:rPr>
          <w:b/>
          <w:bCs/>
          <w:sz w:val="24"/>
          <w:szCs w:val="24"/>
          <w:u w:val="single"/>
        </w:rPr>
        <w:t>CERTIFICATE OF SERVICE</w:t>
      </w:r>
    </w:p>
    <w:p w:rsidR="00A86E17" w:rsidRDefault="00A86E17">
      <w:pPr>
        <w:jc w:val="center"/>
        <w:rPr>
          <w:b/>
          <w:bCs/>
          <w:sz w:val="24"/>
          <w:szCs w:val="24"/>
          <w:u w:val="single"/>
        </w:rPr>
      </w:pPr>
    </w:p>
    <w:p w:rsidR="00A86E17" w:rsidRDefault="008C296D">
      <w:pPr>
        <w:spacing w:line="480" w:lineRule="atLeast"/>
        <w:rPr>
          <w:sz w:val="24"/>
          <w:szCs w:val="24"/>
        </w:rPr>
      </w:pPr>
      <w:r>
        <w:rPr>
          <w:sz w:val="24"/>
          <w:szCs w:val="24"/>
        </w:rPr>
        <w:tab/>
        <w:t xml:space="preserve">I hereby certify that a copy of </w:t>
      </w:r>
      <w:r>
        <w:rPr>
          <w:i/>
          <w:iCs/>
          <w:sz w:val="24"/>
          <w:szCs w:val="24"/>
        </w:rPr>
        <w:t xml:space="preserve">Testimony </w:t>
      </w:r>
      <w:r>
        <w:rPr>
          <w:i/>
          <w:sz w:val="24"/>
          <w:szCs w:val="24"/>
        </w:rPr>
        <w:t xml:space="preserve">in Opposition to the Stipulation </w:t>
      </w:r>
      <w:r>
        <w:rPr>
          <w:i/>
          <w:iCs/>
          <w:sz w:val="24"/>
          <w:szCs w:val="24"/>
        </w:rPr>
        <w:t xml:space="preserve">of Steven B. Hines on Behalf of the Office of the Ohio Consumers’ Counsel </w:t>
      </w:r>
      <w:r>
        <w:rPr>
          <w:sz w:val="24"/>
          <w:szCs w:val="24"/>
        </w:rPr>
        <w:t>was provided to the persons listed below via electronic transmission this 4th day of August, 2014.</w:t>
      </w:r>
    </w:p>
    <w:p w:rsidR="00A86E17" w:rsidRDefault="00A86E17">
      <w:pPr>
        <w:spacing w:line="480" w:lineRule="atLeast"/>
        <w:rPr>
          <w:sz w:val="24"/>
          <w:szCs w:val="24"/>
        </w:rPr>
      </w:pPr>
    </w:p>
    <w:p w:rsidR="00A86E17" w:rsidRDefault="00A86E17">
      <w:pPr>
        <w:spacing w:line="480" w:lineRule="atLeast"/>
        <w:rPr>
          <w:sz w:val="24"/>
          <w:szCs w:val="24"/>
        </w:rPr>
      </w:pPr>
    </w:p>
    <w:p w:rsidR="00A86E17" w:rsidRDefault="008C296D">
      <w:pPr>
        <w:pStyle w:val="EndnoteText"/>
        <w:widowControl/>
        <w:tabs>
          <w:tab w:val="left" w:pos="4680"/>
        </w:tabs>
        <w:rPr>
          <w:rFonts w:ascii="Times New Roman" w:hAnsi="Times New Roman"/>
        </w:rPr>
      </w:pPr>
      <w:r>
        <w:rPr>
          <w:rFonts w:ascii="Times New Roman" w:hAnsi="Times New Roman"/>
          <w:i/>
        </w:rPr>
        <w:tab/>
      </w:r>
      <w:r>
        <w:rPr>
          <w:rFonts w:ascii="Times New Roman" w:hAnsi="Times New Roman"/>
          <w:i/>
          <w:u w:val="single"/>
        </w:rPr>
        <w:t>/s/ Melissa R. Yost</w:t>
      </w:r>
      <w:r>
        <w:rPr>
          <w:rFonts w:ascii="Times New Roman" w:hAnsi="Times New Roman"/>
        </w:rPr>
        <w:t>___________</w:t>
      </w:r>
    </w:p>
    <w:p w:rsidR="00A86E17" w:rsidRDefault="008C296D">
      <w:pPr>
        <w:pStyle w:val="EndnoteText"/>
        <w:widowControl/>
        <w:tabs>
          <w:tab w:val="left" w:pos="4680"/>
        </w:tabs>
        <w:rPr>
          <w:rFonts w:ascii="Times New Roman" w:hAnsi="Times New Roman"/>
        </w:rPr>
      </w:pPr>
      <w:r>
        <w:rPr>
          <w:rFonts w:ascii="Times New Roman" w:hAnsi="Times New Roman"/>
        </w:rPr>
        <w:tab/>
        <w:t>Melissa R. Yost</w:t>
      </w:r>
    </w:p>
    <w:p w:rsidR="00A86E17" w:rsidRDefault="008C296D">
      <w:pPr>
        <w:pStyle w:val="EndnoteText"/>
        <w:widowControl/>
        <w:tabs>
          <w:tab w:val="left" w:pos="4680"/>
        </w:tabs>
        <w:rPr>
          <w:rFonts w:ascii="Times New Roman" w:hAnsi="Times New Roman"/>
        </w:rPr>
      </w:pPr>
      <w:r>
        <w:rPr>
          <w:rFonts w:ascii="Times New Roman" w:hAnsi="Times New Roman"/>
        </w:rPr>
        <w:tab/>
        <w:t>Deputy Consumers’ Counsel</w:t>
      </w:r>
    </w:p>
    <w:p w:rsidR="00A86E17" w:rsidRDefault="00A86E17">
      <w:pPr>
        <w:tabs>
          <w:tab w:val="left" w:pos="4320"/>
        </w:tabs>
        <w:rPr>
          <w:sz w:val="24"/>
          <w:szCs w:val="24"/>
        </w:rPr>
      </w:pPr>
    </w:p>
    <w:p w:rsidR="00A86E17" w:rsidRDefault="00A86E17">
      <w:pPr>
        <w:tabs>
          <w:tab w:val="left" w:pos="4320"/>
        </w:tabs>
        <w:jc w:val="center"/>
        <w:rPr>
          <w:b/>
          <w:bCs/>
          <w:sz w:val="24"/>
          <w:szCs w:val="24"/>
          <w:u w:val="single"/>
        </w:rPr>
      </w:pPr>
    </w:p>
    <w:p w:rsidR="00A86E17" w:rsidRDefault="00A86E17">
      <w:pPr>
        <w:tabs>
          <w:tab w:val="left" w:pos="4320"/>
        </w:tabs>
        <w:jc w:val="center"/>
        <w:rPr>
          <w:b/>
          <w:bCs/>
          <w:sz w:val="24"/>
          <w:szCs w:val="24"/>
          <w:u w:val="single"/>
        </w:rPr>
      </w:pPr>
    </w:p>
    <w:p w:rsidR="00A86E17" w:rsidRDefault="00A86E17">
      <w:pPr>
        <w:tabs>
          <w:tab w:val="left" w:pos="4320"/>
        </w:tabs>
        <w:jc w:val="center"/>
        <w:rPr>
          <w:b/>
          <w:bCs/>
          <w:sz w:val="24"/>
          <w:szCs w:val="24"/>
          <w:u w:val="single"/>
        </w:rPr>
      </w:pPr>
    </w:p>
    <w:bookmarkEnd w:id="9"/>
    <w:bookmarkEnd w:id="10"/>
    <w:p w:rsidR="00A86E17" w:rsidRDefault="008C296D">
      <w:pPr>
        <w:tabs>
          <w:tab w:val="left" w:pos="4320"/>
        </w:tabs>
        <w:jc w:val="center"/>
        <w:rPr>
          <w:b/>
          <w:sz w:val="24"/>
          <w:szCs w:val="24"/>
          <w:u w:val="single"/>
        </w:rPr>
      </w:pPr>
      <w:r>
        <w:rPr>
          <w:b/>
          <w:sz w:val="24"/>
          <w:szCs w:val="24"/>
          <w:u w:val="single"/>
        </w:rPr>
        <w:t>SERVICE LIST</w:t>
      </w:r>
    </w:p>
    <w:p w:rsidR="00A86E17" w:rsidRDefault="00A86E17">
      <w:pPr>
        <w:tabs>
          <w:tab w:val="left" w:pos="4320"/>
        </w:tabs>
        <w:jc w:val="center"/>
        <w:rPr>
          <w:b/>
          <w:sz w:val="24"/>
          <w:szCs w:val="24"/>
          <w:u w:val="single"/>
        </w:rPr>
      </w:pPr>
    </w:p>
    <w:p w:rsidR="00A86E17" w:rsidRDefault="00A86E17">
      <w:pPr>
        <w:jc w:val="both"/>
        <w:rPr>
          <w:b/>
          <w:bCs/>
          <w:sz w:val="24"/>
          <w:szCs w:val="24"/>
        </w:rPr>
      </w:pPr>
    </w:p>
    <w:tbl>
      <w:tblPr>
        <w:tblW w:w="0" w:type="auto"/>
        <w:jc w:val="center"/>
        <w:tblLook w:val="01E0" w:firstRow="1" w:lastRow="1" w:firstColumn="1" w:lastColumn="1" w:noHBand="0" w:noVBand="0"/>
      </w:tblPr>
      <w:tblGrid>
        <w:gridCol w:w="4428"/>
        <w:gridCol w:w="4428"/>
      </w:tblGrid>
      <w:tr w:rsidR="00A86E17">
        <w:trPr>
          <w:jc w:val="center"/>
        </w:trPr>
        <w:tc>
          <w:tcPr>
            <w:tcW w:w="4428" w:type="dxa"/>
          </w:tcPr>
          <w:p w:rsidR="00A86E17" w:rsidRDefault="00803B58">
            <w:pPr>
              <w:autoSpaceDE w:val="0"/>
              <w:autoSpaceDN w:val="0"/>
              <w:adjustRightInd w:val="0"/>
              <w:rPr>
                <w:bCs/>
                <w:sz w:val="24"/>
                <w:szCs w:val="24"/>
              </w:rPr>
            </w:pPr>
            <w:hyperlink r:id="rId20" w:history="1">
              <w:r w:rsidR="008C296D">
                <w:rPr>
                  <w:rStyle w:val="Hyperlink"/>
                  <w:sz w:val="24"/>
                  <w:szCs w:val="24"/>
                </w:rPr>
                <w:t>Devin.parram@puc.state.oh.us</w:t>
              </w:r>
            </w:hyperlink>
          </w:p>
          <w:p w:rsidR="00A86E17" w:rsidRDefault="00803B58">
            <w:pPr>
              <w:autoSpaceDE w:val="0"/>
              <w:autoSpaceDN w:val="0"/>
              <w:adjustRightInd w:val="0"/>
              <w:rPr>
                <w:bCs/>
                <w:sz w:val="24"/>
                <w:szCs w:val="24"/>
              </w:rPr>
            </w:pPr>
            <w:hyperlink r:id="rId21" w:history="1">
              <w:r w:rsidR="008C296D">
                <w:rPr>
                  <w:rStyle w:val="Hyperlink"/>
                  <w:sz w:val="24"/>
                  <w:szCs w:val="24"/>
                </w:rPr>
                <w:t>Ryan.orourke@puc.state.oh.us</w:t>
              </w:r>
            </w:hyperlink>
          </w:p>
          <w:p w:rsidR="00A86E17" w:rsidRDefault="00803B58">
            <w:pPr>
              <w:autoSpaceDE w:val="0"/>
              <w:autoSpaceDN w:val="0"/>
              <w:adjustRightInd w:val="0"/>
              <w:rPr>
                <w:bCs/>
                <w:sz w:val="24"/>
                <w:szCs w:val="24"/>
              </w:rPr>
            </w:pPr>
            <w:hyperlink r:id="rId22" w:history="1">
              <w:r w:rsidR="008C296D">
                <w:rPr>
                  <w:rStyle w:val="Hyperlink"/>
                  <w:sz w:val="24"/>
                  <w:szCs w:val="24"/>
                </w:rPr>
                <w:t>sam@mwncmh.com</w:t>
              </w:r>
            </w:hyperlink>
          </w:p>
          <w:p w:rsidR="00A86E17" w:rsidRDefault="00803B58">
            <w:pPr>
              <w:autoSpaceDE w:val="0"/>
              <w:autoSpaceDN w:val="0"/>
              <w:adjustRightInd w:val="0"/>
              <w:rPr>
                <w:bCs/>
                <w:sz w:val="24"/>
                <w:szCs w:val="24"/>
              </w:rPr>
            </w:pPr>
            <w:hyperlink r:id="rId23" w:history="1">
              <w:r w:rsidR="008C296D">
                <w:rPr>
                  <w:rStyle w:val="Hyperlink"/>
                  <w:sz w:val="24"/>
                  <w:szCs w:val="24"/>
                </w:rPr>
                <w:t>fdarr@mwncmh.com</w:t>
              </w:r>
            </w:hyperlink>
          </w:p>
          <w:p w:rsidR="00A86E17" w:rsidRDefault="00803B58">
            <w:pPr>
              <w:autoSpaceDE w:val="0"/>
              <w:autoSpaceDN w:val="0"/>
              <w:adjustRightInd w:val="0"/>
              <w:rPr>
                <w:bCs/>
                <w:sz w:val="24"/>
                <w:szCs w:val="24"/>
              </w:rPr>
            </w:pPr>
            <w:hyperlink r:id="rId24" w:history="1">
              <w:r w:rsidR="008C296D">
                <w:rPr>
                  <w:rStyle w:val="Hyperlink"/>
                  <w:sz w:val="24"/>
                  <w:szCs w:val="24"/>
                </w:rPr>
                <w:t>mpritchard@mwncmh.com</w:t>
              </w:r>
            </w:hyperlink>
          </w:p>
          <w:p w:rsidR="00A86E17" w:rsidRDefault="00A86E17">
            <w:pPr>
              <w:autoSpaceDE w:val="0"/>
              <w:autoSpaceDN w:val="0"/>
              <w:adjustRightInd w:val="0"/>
              <w:rPr>
                <w:bCs/>
                <w:sz w:val="24"/>
                <w:szCs w:val="24"/>
              </w:rPr>
            </w:pPr>
          </w:p>
          <w:p w:rsidR="00A86E17" w:rsidRDefault="00A86E17">
            <w:pPr>
              <w:autoSpaceDE w:val="0"/>
              <w:autoSpaceDN w:val="0"/>
              <w:adjustRightInd w:val="0"/>
              <w:rPr>
                <w:bCs/>
                <w:sz w:val="24"/>
                <w:szCs w:val="24"/>
              </w:rPr>
            </w:pPr>
          </w:p>
          <w:p w:rsidR="00A86E17" w:rsidRDefault="008C296D">
            <w:pPr>
              <w:autoSpaceDE w:val="0"/>
              <w:autoSpaceDN w:val="0"/>
              <w:adjustRightInd w:val="0"/>
              <w:rPr>
                <w:bCs/>
                <w:sz w:val="24"/>
                <w:szCs w:val="24"/>
              </w:rPr>
            </w:pPr>
            <w:r>
              <w:rPr>
                <w:bCs/>
                <w:sz w:val="24"/>
                <w:szCs w:val="24"/>
              </w:rPr>
              <w:t>Attorney Examiners:</w:t>
            </w:r>
          </w:p>
          <w:p w:rsidR="00A86E17" w:rsidRDefault="00A86E17">
            <w:pPr>
              <w:autoSpaceDE w:val="0"/>
              <w:autoSpaceDN w:val="0"/>
              <w:adjustRightInd w:val="0"/>
              <w:rPr>
                <w:bCs/>
                <w:sz w:val="24"/>
                <w:szCs w:val="24"/>
              </w:rPr>
            </w:pPr>
          </w:p>
          <w:p w:rsidR="00A86E17" w:rsidRDefault="00803B58">
            <w:pPr>
              <w:autoSpaceDE w:val="0"/>
              <w:autoSpaceDN w:val="0"/>
              <w:adjustRightInd w:val="0"/>
              <w:rPr>
                <w:bCs/>
                <w:sz w:val="24"/>
                <w:szCs w:val="24"/>
              </w:rPr>
            </w:pPr>
            <w:hyperlink r:id="rId25" w:history="1">
              <w:r w:rsidR="008C296D">
                <w:rPr>
                  <w:rStyle w:val="Hyperlink"/>
                  <w:sz w:val="24"/>
                  <w:szCs w:val="24"/>
                </w:rPr>
                <w:t>Jay.agranoff@puc.state.oh.us</w:t>
              </w:r>
            </w:hyperlink>
          </w:p>
          <w:p w:rsidR="00A86E17" w:rsidRDefault="00803B58">
            <w:pPr>
              <w:autoSpaceDE w:val="0"/>
              <w:autoSpaceDN w:val="0"/>
              <w:adjustRightInd w:val="0"/>
              <w:rPr>
                <w:bCs/>
                <w:sz w:val="24"/>
                <w:szCs w:val="24"/>
              </w:rPr>
            </w:pPr>
            <w:hyperlink r:id="rId26" w:history="1">
              <w:r w:rsidR="008C296D">
                <w:rPr>
                  <w:rStyle w:val="Hyperlink"/>
                  <w:sz w:val="24"/>
                  <w:szCs w:val="24"/>
                </w:rPr>
                <w:t>James.lynn@puc.state.oh.us</w:t>
              </w:r>
            </w:hyperlink>
          </w:p>
        </w:tc>
        <w:tc>
          <w:tcPr>
            <w:tcW w:w="4428" w:type="dxa"/>
          </w:tcPr>
          <w:p w:rsidR="00A86E17" w:rsidRDefault="00803B58">
            <w:pPr>
              <w:autoSpaceDE w:val="0"/>
              <w:autoSpaceDN w:val="0"/>
              <w:adjustRightInd w:val="0"/>
              <w:rPr>
                <w:sz w:val="24"/>
                <w:szCs w:val="24"/>
              </w:rPr>
            </w:pPr>
            <w:hyperlink r:id="rId27" w:history="1">
              <w:r w:rsidR="008C296D">
                <w:rPr>
                  <w:rStyle w:val="Hyperlink"/>
                  <w:sz w:val="24"/>
                  <w:szCs w:val="24"/>
                </w:rPr>
                <w:t>whitt@whitt-sturtevant.com</w:t>
              </w:r>
            </w:hyperlink>
          </w:p>
          <w:p w:rsidR="00A86E17" w:rsidRDefault="00803B58">
            <w:pPr>
              <w:autoSpaceDE w:val="0"/>
              <w:autoSpaceDN w:val="0"/>
              <w:adjustRightInd w:val="0"/>
              <w:rPr>
                <w:sz w:val="24"/>
                <w:szCs w:val="24"/>
              </w:rPr>
            </w:pPr>
            <w:hyperlink r:id="rId28" w:history="1">
              <w:r w:rsidR="008C296D">
                <w:rPr>
                  <w:rStyle w:val="Hyperlink"/>
                  <w:sz w:val="24"/>
                  <w:szCs w:val="24"/>
                </w:rPr>
                <w:t>campbell@whitt-sturtevant.com</w:t>
              </w:r>
            </w:hyperlink>
          </w:p>
          <w:p w:rsidR="00A86E17" w:rsidRDefault="00803B58">
            <w:pPr>
              <w:autoSpaceDE w:val="0"/>
              <w:autoSpaceDN w:val="0"/>
              <w:adjustRightInd w:val="0"/>
              <w:rPr>
                <w:sz w:val="24"/>
                <w:szCs w:val="24"/>
              </w:rPr>
            </w:pPr>
            <w:hyperlink r:id="rId29" w:history="1">
              <w:r w:rsidR="008C296D">
                <w:rPr>
                  <w:rStyle w:val="Hyperlink"/>
                  <w:sz w:val="24"/>
                  <w:szCs w:val="24"/>
                </w:rPr>
                <w:t>williams@whitt-sturtevant.com</w:t>
              </w:r>
            </w:hyperlink>
          </w:p>
          <w:p w:rsidR="00A86E17" w:rsidRDefault="00803B58">
            <w:pPr>
              <w:autoSpaceDE w:val="0"/>
              <w:autoSpaceDN w:val="0"/>
              <w:adjustRightInd w:val="0"/>
              <w:rPr>
                <w:sz w:val="24"/>
                <w:szCs w:val="24"/>
              </w:rPr>
            </w:pPr>
            <w:hyperlink r:id="rId30" w:history="1">
              <w:r w:rsidR="008C296D">
                <w:rPr>
                  <w:rStyle w:val="Hyperlink"/>
                  <w:sz w:val="24"/>
                  <w:szCs w:val="24"/>
                </w:rPr>
                <w:t>brent@supancehoward.com</w:t>
              </w:r>
            </w:hyperlink>
          </w:p>
          <w:p w:rsidR="00A86E17" w:rsidRDefault="00803B58">
            <w:pPr>
              <w:autoSpaceDE w:val="0"/>
              <w:autoSpaceDN w:val="0"/>
              <w:adjustRightInd w:val="0"/>
              <w:rPr>
                <w:sz w:val="24"/>
                <w:szCs w:val="24"/>
              </w:rPr>
            </w:pPr>
            <w:hyperlink r:id="rId31" w:history="1">
              <w:r w:rsidR="008C296D">
                <w:rPr>
                  <w:rStyle w:val="Hyperlink"/>
                  <w:sz w:val="24"/>
                  <w:szCs w:val="24"/>
                </w:rPr>
                <w:t>law@marionohio.org</w:t>
              </w:r>
            </w:hyperlink>
          </w:p>
          <w:p w:rsidR="00A86E17" w:rsidRDefault="00A86E17">
            <w:pPr>
              <w:autoSpaceDE w:val="0"/>
              <w:autoSpaceDN w:val="0"/>
              <w:adjustRightInd w:val="0"/>
              <w:rPr>
                <w:sz w:val="24"/>
                <w:szCs w:val="24"/>
              </w:rPr>
            </w:pPr>
          </w:p>
          <w:p w:rsidR="00A86E17" w:rsidRDefault="00A86E17">
            <w:pPr>
              <w:jc w:val="both"/>
              <w:rPr>
                <w:bCs/>
                <w:sz w:val="24"/>
                <w:szCs w:val="24"/>
              </w:rPr>
            </w:pPr>
          </w:p>
        </w:tc>
      </w:tr>
    </w:tbl>
    <w:p w:rsidR="00A86E17" w:rsidRDefault="00A86E17">
      <w:pPr>
        <w:rPr>
          <w:sz w:val="24"/>
          <w:szCs w:val="24"/>
        </w:rPr>
      </w:pPr>
    </w:p>
    <w:sectPr w:rsidR="00A86E17">
      <w:headerReference w:type="default" r:id="rId32"/>
      <w:footerReference w:type="default" r:id="rId33"/>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E7" w:rsidRDefault="002134E7">
      <w:r>
        <w:separator/>
      </w:r>
    </w:p>
  </w:endnote>
  <w:endnote w:type="continuationSeparator" w:id="0">
    <w:p w:rsidR="002134E7" w:rsidRDefault="002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33" w:rsidRDefault="00981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33" w:rsidRDefault="00981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33" w:rsidRDefault="009816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Footer"/>
      <w:tabs>
        <w:tab w:val="center" w:pos="4500"/>
      </w:tabs>
      <w:jc w:val="center"/>
    </w:pPr>
    <w:r>
      <w:rPr>
        <w:rStyle w:val="PageNumber"/>
      </w:rPr>
      <w:fldChar w:fldCharType="begin"/>
    </w:r>
    <w:r>
      <w:rPr>
        <w:rStyle w:val="PageNumber"/>
      </w:rPr>
      <w:instrText xml:space="preserve"> PAGE </w:instrText>
    </w:r>
    <w:r>
      <w:rPr>
        <w:rStyle w:val="PageNumber"/>
      </w:rPr>
      <w:fldChar w:fldCharType="separate"/>
    </w:r>
    <w:r w:rsidR="00F3169E">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633">
      <w:rPr>
        <w:rStyle w:val="PageNumber"/>
        <w:noProof/>
      </w:rPr>
      <w:t>i</w:t>
    </w:r>
    <w:r>
      <w:rPr>
        <w:rStyle w:val="PageNumber"/>
      </w:rPr>
      <w:fldChar w:fldCharType="end"/>
    </w:r>
  </w:p>
  <w:p w:rsidR="008C296D" w:rsidRDefault="008C29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Footer"/>
      <w:tabs>
        <w:tab w:val="center" w:pos="4500"/>
      </w:tabs>
      <w:jc w:val="center"/>
    </w:pPr>
    <w:r>
      <w:rPr>
        <w:rStyle w:val="PageNumber"/>
      </w:rPr>
      <w:fldChar w:fldCharType="begin"/>
    </w:r>
    <w:r>
      <w:rPr>
        <w:rStyle w:val="PageNumber"/>
      </w:rPr>
      <w:instrText xml:space="preserve"> PAGE </w:instrText>
    </w:r>
    <w:r>
      <w:rPr>
        <w:rStyle w:val="PageNumber"/>
      </w:rPr>
      <w:fldChar w:fldCharType="separate"/>
    </w:r>
    <w:r w:rsidR="00981633">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Footer"/>
      <w:framePr w:wrap="auto"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E7" w:rsidRDefault="002134E7">
      <w:r>
        <w:separator/>
      </w:r>
    </w:p>
  </w:footnote>
  <w:footnote w:type="continuationSeparator" w:id="0">
    <w:p w:rsidR="002134E7" w:rsidRDefault="002134E7">
      <w:r>
        <w:continuationSeparator/>
      </w:r>
    </w:p>
  </w:footnote>
  <w:footnote w:id="1">
    <w:p w:rsidR="008C296D" w:rsidRDefault="008C296D">
      <w:pPr>
        <w:pStyle w:val="FootnoteText"/>
        <w:spacing w:after="120"/>
      </w:pPr>
      <w:r>
        <w:rPr>
          <w:rStyle w:val="FootnoteReference"/>
        </w:rPr>
        <w:footnoteRef/>
      </w:r>
      <w:r>
        <w:t xml:space="preserve"> (54,500 + 23,000)/54,500 = 70.32%.</w:t>
      </w:r>
    </w:p>
  </w:footnote>
  <w:footnote w:id="2">
    <w:p w:rsidR="008C296D" w:rsidRDefault="008C296D">
      <w:pPr>
        <w:pStyle w:val="FootnoteText"/>
        <w:spacing w:after="120"/>
      </w:pPr>
      <w:r>
        <w:rPr>
          <w:rStyle w:val="FootnoteReference"/>
        </w:rPr>
        <w:footnoteRef/>
      </w:r>
      <w:r>
        <w:t xml:space="preserve"> Stipulation and Recommendation, Joint Exhibit 2.0, Schedule B-2.1, pages 13-15 (July 21, 2014).</w:t>
      </w:r>
    </w:p>
  </w:footnote>
  <w:footnote w:id="3">
    <w:p w:rsidR="008C296D" w:rsidRDefault="008C296D">
      <w:pPr>
        <w:pStyle w:val="FootnoteText"/>
        <w:spacing w:after="120"/>
      </w:pPr>
      <w:r>
        <w:rPr>
          <w:rStyle w:val="FootnoteReference"/>
        </w:rPr>
        <w:footnoteRef/>
      </w:r>
      <w:r>
        <w:t xml:space="preserve"> Application, at Workpaper WPB-7.1; See also, Attachment SBH-</w:t>
      </w:r>
      <w:r w:rsidR="008455F9">
        <w:t>B</w:t>
      </w:r>
      <w:r>
        <w:t>.</w:t>
      </w:r>
    </w:p>
  </w:footnote>
  <w:footnote w:id="4">
    <w:p w:rsidR="008C296D" w:rsidRPr="0040258A" w:rsidRDefault="008C296D" w:rsidP="0040258A">
      <w:pPr>
        <w:pStyle w:val="FootnoteText"/>
        <w:spacing w:after="120"/>
      </w:pPr>
      <w:r w:rsidRPr="0040258A">
        <w:rPr>
          <w:rStyle w:val="FootnoteReference"/>
        </w:rPr>
        <w:footnoteRef/>
      </w:r>
      <w:r w:rsidRPr="0040258A">
        <w:t xml:space="preserve"> See, Schedule SBH-1.</w:t>
      </w:r>
    </w:p>
  </w:footnote>
  <w:footnote w:id="5">
    <w:p w:rsidR="008C296D" w:rsidRPr="00AE561C" w:rsidRDefault="008C296D" w:rsidP="00AE561C">
      <w:pPr>
        <w:pStyle w:val="FootnoteText"/>
        <w:spacing w:after="120"/>
      </w:pPr>
      <w:r w:rsidRPr="00AE561C">
        <w:rPr>
          <w:rStyle w:val="FootnoteReference"/>
        </w:rPr>
        <w:footnoteRef/>
      </w:r>
      <w:r w:rsidRPr="00AE561C">
        <w:t xml:space="preserve"> </w:t>
      </w:r>
      <w:r w:rsidRPr="00AE561C">
        <w:rPr>
          <w:bCs/>
          <w:iCs/>
        </w:rPr>
        <w:t>See, Schedule SBH-3.</w:t>
      </w:r>
    </w:p>
  </w:footnote>
  <w:footnote w:id="6">
    <w:p w:rsidR="008C296D" w:rsidRPr="00A73DFB" w:rsidRDefault="008C296D" w:rsidP="00A73DFB">
      <w:pPr>
        <w:pStyle w:val="FootnoteText"/>
        <w:spacing w:after="120"/>
      </w:pPr>
      <w:r w:rsidRPr="00A73DFB">
        <w:rPr>
          <w:rStyle w:val="FootnoteReference"/>
        </w:rPr>
        <w:footnoteRef/>
      </w:r>
      <w:r w:rsidRPr="00A73DFB">
        <w:t xml:space="preserve"> </w:t>
      </w:r>
      <w:r w:rsidRPr="00A73DFB">
        <w:rPr>
          <w:bCs/>
          <w:iCs/>
        </w:rPr>
        <w:t>See, Schedule SBH-4.</w:t>
      </w:r>
    </w:p>
  </w:footnote>
  <w:footnote w:id="7">
    <w:p w:rsidR="008C296D" w:rsidRDefault="008C296D">
      <w:pPr>
        <w:pStyle w:val="FootnoteText"/>
        <w:spacing w:after="120"/>
      </w:pPr>
      <w:r>
        <w:rPr>
          <w:rStyle w:val="FootnoteReference"/>
        </w:rPr>
        <w:footnoteRef/>
      </w:r>
      <w:r>
        <w:t xml:space="preserve"> Schedule SBH-2, $179,395 - $71,880 - $7,317.</w:t>
      </w:r>
    </w:p>
  </w:footnote>
  <w:footnote w:id="8">
    <w:p w:rsidR="008C296D" w:rsidRDefault="008C296D">
      <w:pPr>
        <w:pStyle w:val="FootnoteText"/>
        <w:spacing w:after="120"/>
      </w:pPr>
      <w:r>
        <w:rPr>
          <w:rStyle w:val="FootnoteReference"/>
        </w:rPr>
        <w:footnoteRef/>
      </w:r>
      <w:r>
        <w:t xml:space="preserve"> Schedule SBH-3, Depreciation Expense of $(16,629); Schedule SBH-4, Property Tax of $(6,512).</w:t>
      </w:r>
    </w:p>
  </w:footnote>
  <w:footnote w:id="9">
    <w:p w:rsidR="008C296D" w:rsidRDefault="008C296D">
      <w:pPr>
        <w:pStyle w:val="FootnoteText"/>
        <w:spacing w:after="120"/>
      </w:pPr>
      <w:r>
        <w:rPr>
          <w:rStyle w:val="FootnoteReference"/>
        </w:rPr>
        <w:footnoteRef/>
      </w:r>
      <w:r>
        <w:t xml:space="preserve"> Staff Report, Staff Workpapers for Staff Schedule C-3.4, Wages Annualized (See Attachment SBH-</w:t>
      </w:r>
      <w:r w:rsidR="00813958">
        <w:t>C</w:t>
      </w:r>
      <w:r>
        <w:t>).</w:t>
      </w:r>
    </w:p>
  </w:footnote>
  <w:footnote w:id="10">
    <w:p w:rsidR="008C296D" w:rsidRDefault="008C296D">
      <w:pPr>
        <w:pStyle w:val="FootnoteText"/>
        <w:spacing w:after="120"/>
      </w:pPr>
      <w:r>
        <w:rPr>
          <w:rStyle w:val="FootnoteReference"/>
        </w:rPr>
        <w:footnoteRef/>
      </w:r>
      <w:r>
        <w:t xml:space="preserve"> Aqua response to OCC Interrogatory No. 8 (See Attachment SBH-</w:t>
      </w:r>
      <w:r w:rsidR="00813958">
        <w:t>D</w:t>
      </w:r>
      <w:r>
        <w:t>).</w:t>
      </w:r>
    </w:p>
  </w:footnote>
  <w:footnote w:id="11">
    <w:p w:rsidR="008C296D" w:rsidRDefault="008C296D">
      <w:pPr>
        <w:pStyle w:val="FootnoteText"/>
        <w:spacing w:after="120"/>
      </w:pPr>
      <w:r>
        <w:rPr>
          <w:rStyle w:val="FootnoteReference"/>
        </w:rPr>
        <w:footnoteRef/>
      </w:r>
      <w:r>
        <w:t xml:space="preserve"> Aqua response to OCC Request to Produce No. 18 (See Attachment SBH-</w:t>
      </w:r>
      <w:r w:rsidR="00813958">
        <w:t>E</w:t>
      </w:r>
      <w:r>
        <w:t>).</w:t>
      </w:r>
    </w:p>
  </w:footnote>
  <w:footnote w:id="12">
    <w:p w:rsidR="008C296D" w:rsidRDefault="008C296D">
      <w:pPr>
        <w:pStyle w:val="FootnoteText"/>
        <w:spacing w:after="120"/>
      </w:pPr>
      <w:r>
        <w:rPr>
          <w:rStyle w:val="FootnoteReference"/>
        </w:rPr>
        <w:footnoteRef/>
      </w:r>
      <w:r>
        <w:t xml:space="preserve"> See Attachment SBH-</w:t>
      </w:r>
      <w:r w:rsidR="00B233FD">
        <w:t>F</w:t>
      </w:r>
      <w:r>
        <w:t>.</w:t>
      </w:r>
    </w:p>
  </w:footnote>
  <w:footnote w:id="13">
    <w:p w:rsidR="008C296D" w:rsidRDefault="008C296D">
      <w:pPr>
        <w:pStyle w:val="FootnoteText"/>
        <w:spacing w:after="120"/>
      </w:pPr>
      <w:r>
        <w:rPr>
          <w:rStyle w:val="FootnoteReference"/>
        </w:rPr>
        <w:footnoteRef/>
      </w:r>
      <w:r>
        <w:t xml:space="preserve"> Direct Testimony of Steven B. Hines, pages 14-15 and Schedule SBH-12 (June 24, 2014).</w:t>
      </w:r>
    </w:p>
  </w:footnote>
  <w:footnote w:id="14">
    <w:p w:rsidR="008C296D" w:rsidRDefault="008C296D">
      <w:pPr>
        <w:pStyle w:val="FootnoteText"/>
        <w:spacing w:after="120"/>
      </w:pPr>
      <w:r>
        <w:rPr>
          <w:rStyle w:val="FootnoteReference"/>
        </w:rPr>
        <w:footnoteRef/>
      </w:r>
      <w:r>
        <w:t xml:space="preserve"> Aqua response to OCC Request to Produce No. 31 (See Attachment SBH-</w:t>
      </w:r>
      <w:r w:rsidR="000B0AC1">
        <w:t>G</w:t>
      </w:r>
      <w:r>
        <w:t>).</w:t>
      </w:r>
    </w:p>
  </w:footnote>
  <w:footnote w:id="15">
    <w:p w:rsidR="008C296D" w:rsidRDefault="008C296D">
      <w:pPr>
        <w:pStyle w:val="FootnoteText"/>
        <w:spacing w:after="120"/>
      </w:pPr>
      <w:r>
        <w:rPr>
          <w:rStyle w:val="FootnoteReference"/>
        </w:rPr>
        <w:footnoteRef/>
      </w:r>
      <w:r>
        <w:t xml:space="preserve"> Aqua response to Staff Data Request No. 8 (See Attachment SBH-</w:t>
      </w:r>
      <w:r w:rsidR="008635E0">
        <w:t>H</w:t>
      </w:r>
      <w:r>
        <w:t>).</w:t>
      </w:r>
    </w:p>
  </w:footnote>
  <w:footnote w:id="16">
    <w:p w:rsidR="008C296D" w:rsidRDefault="008C296D">
      <w:pPr>
        <w:pStyle w:val="FootnoteText"/>
        <w:spacing w:after="120"/>
      </w:pPr>
      <w:r>
        <w:rPr>
          <w:rStyle w:val="FootnoteReference"/>
        </w:rPr>
        <w:footnoteRef/>
      </w:r>
      <w:r>
        <w:t xml:space="preserve"> Stipulation and Recommendation, Case No. 13-2124-WW-AIR at 3 (July 21, 2014).</w:t>
      </w:r>
    </w:p>
  </w:footnote>
  <w:footnote w:id="17">
    <w:p w:rsidR="008C296D" w:rsidRDefault="008C296D">
      <w:pPr>
        <w:pStyle w:val="FootnoteText"/>
        <w:spacing w:after="120"/>
      </w:pPr>
      <w:r>
        <w:rPr>
          <w:rStyle w:val="FootnoteReference"/>
        </w:rPr>
        <w:footnoteRef/>
      </w:r>
      <w:r>
        <w:t xml:space="preserve"> See Schedule SBH-9.</w:t>
      </w:r>
    </w:p>
  </w:footnote>
  <w:footnote w:id="18">
    <w:p w:rsidR="007131BF" w:rsidRDefault="007131BF">
      <w:pPr>
        <w:pStyle w:val="FootnoteText"/>
      </w:pPr>
      <w:r>
        <w:rPr>
          <w:rStyle w:val="FootnoteReference"/>
        </w:rPr>
        <w:footnoteRef/>
      </w:r>
      <w:r>
        <w:t xml:space="preserve"> See, Stipulation and Recommendation, Schedule C4, page 2of 2, line 22, Column (F); see also, Testimony of Michael J. Majoros in Opposition to the Stipulation and Recommendation, at p. 3 (August 4, 2014).</w:t>
      </w:r>
    </w:p>
  </w:footnote>
  <w:footnote w:id="19">
    <w:p w:rsidR="008C296D" w:rsidRDefault="008C296D">
      <w:pPr>
        <w:pStyle w:val="FootnoteText"/>
        <w:spacing w:after="120"/>
      </w:pPr>
      <w:r>
        <w:rPr>
          <w:rStyle w:val="FootnoteReference"/>
        </w:rPr>
        <w:footnoteRef/>
      </w:r>
      <w:r w:rsidR="002526F1">
        <w:t xml:space="preserve"> </w:t>
      </w:r>
      <w:r>
        <w:t>R</w:t>
      </w:r>
      <w:r w:rsidR="002526F1">
        <w:t>.</w:t>
      </w:r>
      <w:r>
        <w:t>C</w:t>
      </w:r>
      <w:r w:rsidR="002526F1">
        <w:t xml:space="preserve">. </w:t>
      </w:r>
      <w:r>
        <w:t>4905</w:t>
      </w:r>
      <w:r w:rsidR="00F3169E">
        <w:t>.</w:t>
      </w:r>
      <w:r>
        <w:t>22.</w:t>
      </w:r>
    </w:p>
  </w:footnote>
  <w:footnote w:id="20">
    <w:p w:rsidR="008C296D" w:rsidRDefault="008C296D">
      <w:pPr>
        <w:pStyle w:val="FootnoteText"/>
        <w:spacing w:after="120"/>
      </w:pPr>
      <w:r>
        <w:rPr>
          <w:rStyle w:val="FootnoteReference"/>
        </w:rPr>
        <w:footnoteRef/>
      </w:r>
      <w:r>
        <w:t xml:space="preserve"> </w:t>
      </w:r>
      <w:r w:rsidR="005171DF" w:rsidRPr="005171DF">
        <w:rPr>
          <w:i/>
        </w:rPr>
        <w:t>Cleveland v. Pub</w:t>
      </w:r>
      <w:r w:rsidR="005171DF">
        <w:rPr>
          <w:i/>
        </w:rPr>
        <w:t>.</w:t>
      </w:r>
      <w:r w:rsidR="005171DF" w:rsidRPr="0018150F">
        <w:rPr>
          <w:i/>
        </w:rPr>
        <w:t xml:space="preserve"> Utilities Com</w:t>
      </w:r>
      <w:r w:rsidR="005171DF">
        <w:rPr>
          <w:i/>
        </w:rPr>
        <w:t>m</w:t>
      </w:r>
      <w:r w:rsidR="005171DF" w:rsidRPr="0018150F">
        <w:rPr>
          <w:i/>
        </w:rPr>
        <w:t>.</w:t>
      </w:r>
      <w:r w:rsidR="005171DF" w:rsidRPr="005171DF">
        <w:t>, 63 Ohio St. 2d 62</w:t>
      </w:r>
      <w:r w:rsidR="005171DF">
        <w:t xml:space="preserve">, </w:t>
      </w:r>
      <w:r w:rsidR="005171DF" w:rsidRPr="005171DF">
        <w:t xml:space="preserve">406 N.E.2d 1370 </w:t>
      </w:r>
      <w:r w:rsidR="005171DF">
        <w:t xml:space="preserve">(1980); </w:t>
      </w:r>
      <w:r w:rsidR="005171DF">
        <w:rPr>
          <w:i/>
        </w:rPr>
        <w:t xml:space="preserve">see also </w:t>
      </w:r>
      <w:r w:rsidR="005171DF" w:rsidRPr="005171DF">
        <w:rPr>
          <w:i/>
        </w:rPr>
        <w:t>Office</w:t>
      </w:r>
      <w:r w:rsidR="005171DF">
        <w:rPr>
          <w:i/>
        </w:rPr>
        <w:t xml:space="preserve"> of Consumers' Counsel v. Pub.</w:t>
      </w:r>
      <w:r w:rsidR="005171DF" w:rsidRPr="005171DF">
        <w:rPr>
          <w:i/>
        </w:rPr>
        <w:t xml:space="preserve"> Utilities Com</w:t>
      </w:r>
      <w:r w:rsidR="005171DF">
        <w:rPr>
          <w:i/>
        </w:rPr>
        <w:t>m</w:t>
      </w:r>
      <w:r w:rsidR="005171DF" w:rsidRPr="005171DF">
        <w:rPr>
          <w:i/>
        </w:rPr>
        <w:t>.</w:t>
      </w:r>
      <w:r w:rsidR="005171DF" w:rsidRPr="0018150F">
        <w:t>, 67 Ohio St. 2d 153</w:t>
      </w:r>
      <w:r w:rsidR="005171DF">
        <w:t xml:space="preserve">, </w:t>
      </w:r>
      <w:r w:rsidR="005171DF" w:rsidRPr="005171DF">
        <w:t>423 N.E.2d 820</w:t>
      </w:r>
      <w:r w:rsidR="005171DF">
        <w:t xml:space="preserve"> (1981) (Justice Brown dissenting).</w:t>
      </w:r>
      <w:r w:rsidR="005171DF" w:rsidRPr="0018150F">
        <w:t xml:space="preserve"> </w:t>
      </w:r>
    </w:p>
  </w:footnote>
  <w:footnote w:id="21">
    <w:p w:rsidR="008C296D" w:rsidRPr="00C63864" w:rsidRDefault="008C296D">
      <w:pPr>
        <w:pStyle w:val="FootnoteText"/>
        <w:spacing w:after="120"/>
      </w:pPr>
      <w:r w:rsidRPr="00C63864">
        <w:rPr>
          <w:rStyle w:val="FootnoteReference"/>
        </w:rPr>
        <w:footnoteRef/>
      </w:r>
      <w:r w:rsidRPr="00C63864">
        <w:t xml:space="preserve"> </w:t>
      </w:r>
      <w:r w:rsidR="00C63864" w:rsidRPr="00C63864">
        <w:rPr>
          <w:bCs/>
          <w:i/>
          <w:color w:val="333333"/>
        </w:rPr>
        <w:t>Lucas County Comm'rs v. PUC</w:t>
      </w:r>
      <w:r w:rsidR="00C63864" w:rsidRPr="00C63864">
        <w:rPr>
          <w:bCs/>
          <w:color w:val="333333"/>
        </w:rPr>
        <w:t>, 80 Ohio St. 3d 344, 348, 686 N.E.2d 501, (1997)</w:t>
      </w:r>
      <w:r w:rsidR="00C63864" w:rsidRPr="00C63864">
        <w:t xml:space="preserve">; see also, </w:t>
      </w:r>
      <w:r w:rsidR="00C63864" w:rsidRPr="00C63864">
        <w:rPr>
          <w:bCs/>
          <w:i/>
          <w:color w:val="333333"/>
        </w:rPr>
        <w:t>Keco Industries, Inc. v. Cincinnati &amp; Suburban Bell Tel. Co.</w:t>
      </w:r>
      <w:r w:rsidR="00C63864" w:rsidRPr="00C63864">
        <w:rPr>
          <w:bCs/>
          <w:color w:val="333333"/>
        </w:rPr>
        <w:t>, 166 Ohio St. 254, 141 N.E.2d 465 (1957).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33" w:rsidRDefault="00981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Header"/>
      <w:jc w:val="center"/>
      <w:rPr>
        <w:i/>
        <w:iCs/>
      </w:rPr>
    </w:pPr>
    <w:r>
      <w:rPr>
        <w:i/>
        <w:iCs/>
      </w:rPr>
      <w:t>Direct Testimony of Steven B. Hines</w:t>
    </w:r>
  </w:p>
  <w:p w:rsidR="008C296D" w:rsidRDefault="008C296D">
    <w:pPr>
      <w:pStyle w:val="Header"/>
      <w:jc w:val="center"/>
      <w:rPr>
        <w:i/>
        <w:iCs/>
      </w:rPr>
    </w:pPr>
    <w:r>
      <w:rPr>
        <w:i/>
        <w:iCs/>
      </w:rPr>
      <w:t>On Behalf of the Office of the Ohio Consumers’ Counsel</w:t>
    </w:r>
  </w:p>
  <w:p w:rsidR="008C296D" w:rsidRDefault="008C296D">
    <w:pPr>
      <w:pStyle w:val="Header"/>
      <w:jc w:val="center"/>
    </w:pPr>
    <w:r>
      <w:rPr>
        <w:i/>
        <w:iCs/>
      </w:rPr>
      <w:t>PUCO Case No. 07-1112-WS-AIR</w:t>
    </w:r>
  </w:p>
  <w:p w:rsidR="008C296D" w:rsidRDefault="008C2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33" w:rsidRDefault="00981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Header"/>
      <w:tabs>
        <w:tab w:val="left" w:pos="6937"/>
      </w:tabs>
      <w:jc w:val="center"/>
      <w:rPr>
        <w:b/>
        <w:i/>
        <w:iCs/>
      </w:rPr>
    </w:pPr>
    <w:r>
      <w:rPr>
        <w:i/>
        <w:iCs/>
      </w:rPr>
      <w:t>Testimony In Opposition to The Stipulation of Steven B. Hines</w:t>
    </w:r>
  </w:p>
  <w:p w:rsidR="008C296D" w:rsidRDefault="008C296D">
    <w:pPr>
      <w:pStyle w:val="Header"/>
      <w:jc w:val="center"/>
      <w:rPr>
        <w:i/>
        <w:iCs/>
      </w:rPr>
    </w:pPr>
    <w:r>
      <w:rPr>
        <w:i/>
        <w:iCs/>
      </w:rPr>
      <w:t>On Behalf of the Office of the Ohio Consumers’ Counsel</w:t>
    </w:r>
  </w:p>
  <w:p w:rsidR="008C296D" w:rsidRDefault="008C296D">
    <w:pPr>
      <w:pStyle w:val="Header"/>
      <w:jc w:val="center"/>
      <w:rPr>
        <w:i/>
        <w:iCs/>
      </w:rPr>
    </w:pPr>
    <w:r>
      <w:rPr>
        <w:i/>
        <w:iCs/>
      </w:rPr>
      <w:t>PUCO Case No. 13-2124-WW-AIR</w:t>
    </w:r>
  </w:p>
  <w:p w:rsidR="008C296D" w:rsidRDefault="008C29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6D" w:rsidRDefault="008C2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AC"/>
    <w:multiLevelType w:val="multilevel"/>
    <w:tmpl w:val="2B4C5186"/>
    <w:lvl w:ilvl="0">
      <w:start w:val="5"/>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2B192E"/>
    <w:multiLevelType w:val="hybridMultilevel"/>
    <w:tmpl w:val="75F6E1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7D562E"/>
    <w:multiLevelType w:val="hybridMultilevel"/>
    <w:tmpl w:val="86724612"/>
    <w:lvl w:ilvl="0" w:tplc="95DC8608">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B33D35"/>
    <w:multiLevelType w:val="hybridMultilevel"/>
    <w:tmpl w:val="2B4C5186"/>
    <w:lvl w:ilvl="0" w:tplc="EC308DAA">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5E061A7"/>
    <w:multiLevelType w:val="hybridMultilevel"/>
    <w:tmpl w:val="0BCE60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DC264BE"/>
    <w:multiLevelType w:val="hybridMultilevel"/>
    <w:tmpl w:val="A7FE6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nsid w:val="227A5858"/>
    <w:multiLevelType w:val="hybridMultilevel"/>
    <w:tmpl w:val="ADFC2D84"/>
    <w:lvl w:ilvl="0" w:tplc="71703944">
      <w:start w:val="17"/>
      <w:numFmt w:val="upperLetter"/>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E932FF"/>
    <w:multiLevelType w:val="hybridMultilevel"/>
    <w:tmpl w:val="D100942E"/>
    <w:lvl w:ilvl="0" w:tplc="26A62184">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72B439A"/>
    <w:multiLevelType w:val="hybridMultilevel"/>
    <w:tmpl w:val="A170D52A"/>
    <w:lvl w:ilvl="0" w:tplc="49C8E9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A94D66"/>
    <w:multiLevelType w:val="hybridMultilevel"/>
    <w:tmpl w:val="C518CC6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D5F4DB1"/>
    <w:multiLevelType w:val="multilevel"/>
    <w:tmpl w:val="9AE85280"/>
    <w:lvl w:ilvl="0">
      <w:start w:val="17"/>
      <w:numFmt w:val="upperLetter"/>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8C4389"/>
    <w:multiLevelType w:val="hybridMultilevel"/>
    <w:tmpl w:val="5252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C311F"/>
    <w:multiLevelType w:val="hybridMultilevel"/>
    <w:tmpl w:val="5380A56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341378A1"/>
    <w:multiLevelType w:val="hybridMultilevel"/>
    <w:tmpl w:val="8444A6E8"/>
    <w:lvl w:ilvl="0" w:tplc="0B4CE1A8">
      <w:start w:val="4"/>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8612DA8"/>
    <w:multiLevelType w:val="hybridMultilevel"/>
    <w:tmpl w:val="9AE85280"/>
    <w:lvl w:ilvl="0" w:tplc="7E82C0A0">
      <w:start w:val="17"/>
      <w:numFmt w:val="upperLetter"/>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E725454"/>
    <w:multiLevelType w:val="multilevel"/>
    <w:tmpl w:val="6B3A1BC4"/>
    <w:lvl w:ilvl="0">
      <w:start w:val="8"/>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E7B350A"/>
    <w:multiLevelType w:val="hybridMultilevel"/>
    <w:tmpl w:val="E99470AA"/>
    <w:lvl w:ilvl="0" w:tplc="9FE0C43A">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33E598E"/>
    <w:multiLevelType w:val="hybridMultilevel"/>
    <w:tmpl w:val="C510A1CC"/>
    <w:lvl w:ilvl="0" w:tplc="EC308DAA">
      <w:start w:val="5"/>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43CD6170"/>
    <w:multiLevelType w:val="hybridMultilevel"/>
    <w:tmpl w:val="99BEB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410E48"/>
    <w:multiLevelType w:val="hybridMultilevel"/>
    <w:tmpl w:val="307C5DC6"/>
    <w:lvl w:ilvl="0" w:tplc="9FE0C43A">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E66D12"/>
    <w:multiLevelType w:val="hybridMultilevel"/>
    <w:tmpl w:val="EFE25880"/>
    <w:lvl w:ilvl="0" w:tplc="EA8235A8">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511389A"/>
    <w:multiLevelType w:val="multilevel"/>
    <w:tmpl w:val="6B3A1BC4"/>
    <w:lvl w:ilvl="0">
      <w:start w:val="8"/>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53A6127"/>
    <w:multiLevelType w:val="hybridMultilevel"/>
    <w:tmpl w:val="6442B9D6"/>
    <w:lvl w:ilvl="0" w:tplc="CFFEEDA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3">
    <w:nsid w:val="5FF20536"/>
    <w:multiLevelType w:val="hybridMultilevel"/>
    <w:tmpl w:val="04F6911E"/>
    <w:lvl w:ilvl="0" w:tplc="EC308DAA">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40E3D16"/>
    <w:multiLevelType w:val="hybridMultilevel"/>
    <w:tmpl w:val="6B3A1BC4"/>
    <w:lvl w:ilvl="0" w:tplc="67D85E84">
      <w:start w:val="8"/>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4237192"/>
    <w:multiLevelType w:val="hybridMultilevel"/>
    <w:tmpl w:val="FECA3840"/>
    <w:lvl w:ilvl="0" w:tplc="189C9538">
      <w:start w:val="1"/>
      <w:numFmt w:val="decimal"/>
      <w:lvlText w:val="%1."/>
      <w:lvlJc w:val="left"/>
      <w:pPr>
        <w:tabs>
          <w:tab w:val="num" w:pos="2460"/>
        </w:tabs>
        <w:ind w:left="2460" w:hanging="10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6BA3110A"/>
    <w:multiLevelType w:val="hybridMultilevel"/>
    <w:tmpl w:val="5EDA693A"/>
    <w:lvl w:ilvl="0" w:tplc="04090015">
      <w:start w:val="1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D617EFD"/>
    <w:multiLevelType w:val="hybridMultilevel"/>
    <w:tmpl w:val="C9265DD2"/>
    <w:lvl w:ilvl="0" w:tplc="3A9019A2">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2447013"/>
    <w:multiLevelType w:val="hybridMultilevel"/>
    <w:tmpl w:val="C39498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66D7400"/>
    <w:multiLevelType w:val="hybridMultilevel"/>
    <w:tmpl w:val="EECEFC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995197B"/>
    <w:multiLevelType w:val="hybridMultilevel"/>
    <w:tmpl w:val="6D6C479C"/>
    <w:lvl w:ilvl="0" w:tplc="9FE0C43A">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E4B5739"/>
    <w:multiLevelType w:val="hybridMultilevel"/>
    <w:tmpl w:val="F9D87A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E7C3F8F"/>
    <w:multiLevelType w:val="hybridMultilevel"/>
    <w:tmpl w:val="F90A9B26"/>
    <w:lvl w:ilvl="0" w:tplc="ACFCB7A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EDC1957"/>
    <w:multiLevelType w:val="hybridMultilevel"/>
    <w:tmpl w:val="1BF62082"/>
    <w:lvl w:ilvl="0" w:tplc="5C58F0E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29"/>
  </w:num>
  <w:num w:numId="4">
    <w:abstractNumId w:val="28"/>
  </w:num>
  <w:num w:numId="5">
    <w:abstractNumId w:val="2"/>
  </w:num>
  <w:num w:numId="6">
    <w:abstractNumId w:val="26"/>
  </w:num>
  <w:num w:numId="7">
    <w:abstractNumId w:val="33"/>
  </w:num>
  <w:num w:numId="8">
    <w:abstractNumId w:val="22"/>
  </w:num>
  <w:num w:numId="9">
    <w:abstractNumId w:val="12"/>
  </w:num>
  <w:num w:numId="10">
    <w:abstractNumId w:val="20"/>
  </w:num>
  <w:num w:numId="11">
    <w:abstractNumId w:val="3"/>
  </w:num>
  <w:num w:numId="12">
    <w:abstractNumId w:val="17"/>
  </w:num>
  <w:num w:numId="13">
    <w:abstractNumId w:val="23"/>
  </w:num>
  <w:num w:numId="14">
    <w:abstractNumId w:val="24"/>
  </w:num>
  <w:num w:numId="15">
    <w:abstractNumId w:val="25"/>
  </w:num>
  <w:num w:numId="16">
    <w:abstractNumId w:val="0"/>
  </w:num>
  <w:num w:numId="17">
    <w:abstractNumId w:val="7"/>
  </w:num>
  <w:num w:numId="18">
    <w:abstractNumId w:val="21"/>
  </w:num>
  <w:num w:numId="19">
    <w:abstractNumId w:val="15"/>
  </w:num>
  <w:num w:numId="20">
    <w:abstractNumId w:val="30"/>
  </w:num>
  <w:num w:numId="21">
    <w:abstractNumId w:val="16"/>
  </w:num>
  <w:num w:numId="22">
    <w:abstractNumId w:val="19"/>
  </w:num>
  <w:num w:numId="23">
    <w:abstractNumId w:val="27"/>
  </w:num>
  <w:num w:numId="24">
    <w:abstractNumId w:val="13"/>
  </w:num>
  <w:num w:numId="25">
    <w:abstractNumId w:val="14"/>
  </w:num>
  <w:num w:numId="26">
    <w:abstractNumId w:val="31"/>
  </w:num>
  <w:num w:numId="27">
    <w:abstractNumId w:val="6"/>
  </w:num>
  <w:num w:numId="28">
    <w:abstractNumId w:val="10"/>
  </w:num>
  <w:num w:numId="29">
    <w:abstractNumId w:val="32"/>
  </w:num>
  <w:num w:numId="30">
    <w:abstractNumId w:val="8"/>
  </w:num>
  <w:num w:numId="31">
    <w:abstractNumId w:val="1"/>
  </w:num>
  <w:num w:numId="32">
    <w:abstractNumId w:val="9"/>
  </w:num>
  <w:num w:numId="33">
    <w:abstractNumId w:val="32"/>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7"/>
    <w:rsid w:val="00030991"/>
    <w:rsid w:val="000B0AC1"/>
    <w:rsid w:val="0018150F"/>
    <w:rsid w:val="001B46D9"/>
    <w:rsid w:val="001B6E4D"/>
    <w:rsid w:val="002134E7"/>
    <w:rsid w:val="00221C48"/>
    <w:rsid w:val="002526F1"/>
    <w:rsid w:val="002C215C"/>
    <w:rsid w:val="002C5A17"/>
    <w:rsid w:val="002D38DF"/>
    <w:rsid w:val="002F7282"/>
    <w:rsid w:val="003F4D55"/>
    <w:rsid w:val="0040258A"/>
    <w:rsid w:val="00412050"/>
    <w:rsid w:val="00435EA1"/>
    <w:rsid w:val="004602AD"/>
    <w:rsid w:val="004F6EA5"/>
    <w:rsid w:val="005171DF"/>
    <w:rsid w:val="0056556D"/>
    <w:rsid w:val="00597573"/>
    <w:rsid w:val="005D4B02"/>
    <w:rsid w:val="006E76E4"/>
    <w:rsid w:val="007131BF"/>
    <w:rsid w:val="007377EF"/>
    <w:rsid w:val="007541D1"/>
    <w:rsid w:val="00801A5A"/>
    <w:rsid w:val="00803B58"/>
    <w:rsid w:val="00813958"/>
    <w:rsid w:val="008455F9"/>
    <w:rsid w:val="008635E0"/>
    <w:rsid w:val="008C296D"/>
    <w:rsid w:val="009041AA"/>
    <w:rsid w:val="00947E92"/>
    <w:rsid w:val="00981633"/>
    <w:rsid w:val="009D0E6F"/>
    <w:rsid w:val="00A27E72"/>
    <w:rsid w:val="00A63976"/>
    <w:rsid w:val="00A73DFB"/>
    <w:rsid w:val="00A86E17"/>
    <w:rsid w:val="00AC25CB"/>
    <w:rsid w:val="00AE23AD"/>
    <w:rsid w:val="00AE561C"/>
    <w:rsid w:val="00B17E31"/>
    <w:rsid w:val="00B21146"/>
    <w:rsid w:val="00B233FD"/>
    <w:rsid w:val="00B32B4B"/>
    <w:rsid w:val="00B516C0"/>
    <w:rsid w:val="00B60B5C"/>
    <w:rsid w:val="00BC5A01"/>
    <w:rsid w:val="00C470CC"/>
    <w:rsid w:val="00C63864"/>
    <w:rsid w:val="00D13C2A"/>
    <w:rsid w:val="00D83179"/>
    <w:rsid w:val="00DD1BC0"/>
    <w:rsid w:val="00E759F1"/>
    <w:rsid w:val="00E95EC8"/>
    <w:rsid w:val="00EC3336"/>
    <w:rsid w:val="00F3169E"/>
    <w:rsid w:val="00F9442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Pr>
      <w:lang w:bidi="ar-SA"/>
    </w:rPr>
  </w:style>
  <w:style w:type="paragraph" w:styleId="Heading1">
    <w:name w:val="heading 1"/>
    <w:basedOn w:val="Normal"/>
    <w:next w:val="Normal"/>
    <w:link w:val="Heading1Char"/>
    <w:uiPriority w:val="99"/>
    <w:qFormat/>
    <w:pPr>
      <w:keepNext/>
      <w:tabs>
        <w:tab w:val="left" w:pos="720"/>
      </w:tabs>
      <w:spacing w:line="480" w:lineRule="auto"/>
      <w:outlineLvl w:val="0"/>
    </w:pPr>
    <w:rPr>
      <w:b/>
      <w:bCs/>
      <w:sz w:val="24"/>
      <w:szCs w:val="24"/>
    </w:rPr>
  </w:style>
  <w:style w:type="paragraph" w:styleId="Heading2">
    <w:name w:val="heading 2"/>
    <w:basedOn w:val="Normal"/>
    <w:next w:val="Normal"/>
    <w:link w:val="Heading2Char"/>
    <w:uiPriority w:val="99"/>
    <w:qFormat/>
    <w:pPr>
      <w:keepNext/>
      <w:tabs>
        <w:tab w:val="decimal" w:pos="360"/>
        <w:tab w:val="left" w:pos="720"/>
      </w:tabs>
      <w:ind w:left="1260" w:hanging="1350"/>
      <w:jc w:val="center"/>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sz w:val="24"/>
      <w:szCs w:val="24"/>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spacing w:line="480" w:lineRule="auto"/>
      <w:ind w:left="720"/>
      <w:outlineLvl w:val="4"/>
    </w:pPr>
    <w:rPr>
      <w:b/>
      <w:bCs/>
      <w:sz w:val="24"/>
      <w:szCs w:val="24"/>
    </w:rPr>
  </w:style>
  <w:style w:type="paragraph" w:styleId="Heading6">
    <w:name w:val="heading 6"/>
    <w:basedOn w:val="Normal"/>
    <w:next w:val="Normal"/>
    <w:link w:val="Heading6Char"/>
    <w:uiPriority w:val="99"/>
    <w:qFormat/>
    <w:pPr>
      <w:keepNext/>
      <w:spacing w:line="480" w:lineRule="auto"/>
      <w:ind w:left="1440" w:hanging="720"/>
      <w:outlineLvl w:val="5"/>
    </w:pPr>
    <w:rPr>
      <w:b/>
      <w:bCs/>
      <w:sz w:val="24"/>
      <w:szCs w:val="24"/>
    </w:rPr>
  </w:style>
  <w:style w:type="paragraph" w:styleId="Heading7">
    <w:name w:val="heading 7"/>
    <w:basedOn w:val="Normal"/>
    <w:next w:val="Normal"/>
    <w:link w:val="Heading7Char"/>
    <w:uiPriority w:val="99"/>
    <w:qFormat/>
    <w:pPr>
      <w:keepNext/>
      <w:spacing w:line="480" w:lineRule="auto"/>
      <w:ind w:left="720"/>
      <w:outlineLvl w:val="6"/>
    </w:pPr>
    <w:rPr>
      <w:sz w:val="24"/>
      <w:szCs w:val="24"/>
    </w:rPr>
  </w:style>
  <w:style w:type="paragraph" w:styleId="Heading8">
    <w:name w:val="heading 8"/>
    <w:basedOn w:val="Normal"/>
    <w:next w:val="Normal"/>
    <w:link w:val="Heading8Char"/>
    <w:uiPriority w:val="99"/>
    <w:qFormat/>
    <w:pPr>
      <w:keepNext/>
      <w:spacing w:line="480" w:lineRule="auto"/>
      <w:ind w:left="720"/>
      <w:outlineLvl w:val="7"/>
    </w:pPr>
    <w:rPr>
      <w:b/>
      <w:bCs/>
      <w:i/>
      <w:iCs/>
      <w:sz w:val="24"/>
      <w:szCs w:val="24"/>
    </w:rPr>
  </w:style>
  <w:style w:type="paragraph" w:styleId="Heading9">
    <w:name w:val="heading 9"/>
    <w:basedOn w:val="Normal"/>
    <w:next w:val="Normal"/>
    <w:link w:val="Heading9Char"/>
    <w:uiPriority w:val="99"/>
    <w:qFormat/>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bCs/>
      <w:sz w:val="24"/>
      <w:szCs w:val="24"/>
      <w:lang w:bidi="ar-SA"/>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character" w:customStyle="1" w:styleId="Heading6Char">
    <w:name w:val="Heading 6 Char"/>
    <w:link w:val="Heading6"/>
    <w:uiPriority w:val="99"/>
    <w:semiHidden/>
    <w:locked/>
    <w:rPr>
      <w:rFonts w:ascii="Calibri" w:hAnsi="Calibri" w:cs="Calibri"/>
      <w:b/>
      <w:bCs/>
    </w:rPr>
  </w:style>
  <w:style w:type="character" w:customStyle="1" w:styleId="Heading7Char">
    <w:name w:val="Heading 7 Char"/>
    <w:link w:val="Heading7"/>
    <w:uiPriority w:val="99"/>
    <w:semiHidden/>
    <w:locked/>
    <w:rPr>
      <w:rFonts w:ascii="Calibri" w:hAnsi="Calibri" w:cs="Calibri"/>
      <w:sz w:val="24"/>
      <w:szCs w:val="24"/>
    </w:rPr>
  </w:style>
  <w:style w:type="character" w:customStyle="1" w:styleId="Heading8Char">
    <w:name w:val="Heading 8 Char"/>
    <w:link w:val="Heading8"/>
    <w:uiPriority w:val="99"/>
    <w:semiHidden/>
    <w:locked/>
    <w:rPr>
      <w:rFonts w:ascii="Calibri" w:hAnsi="Calibri" w:cs="Calibri"/>
      <w:i/>
      <w:iCs/>
      <w:sz w:val="24"/>
      <w:szCs w:val="24"/>
    </w:rPr>
  </w:style>
  <w:style w:type="character" w:customStyle="1" w:styleId="Heading9Char">
    <w:name w:val="Heading 9 Char"/>
    <w:link w:val="Heading9"/>
    <w:uiPriority w:val="99"/>
    <w:semiHidden/>
    <w:locked/>
    <w:rPr>
      <w:rFonts w:ascii="Cambria" w:hAnsi="Cambria" w:cs="Cambria"/>
    </w:rPr>
  </w:style>
  <w:style w:type="character" w:customStyle="1" w:styleId="CharChar19">
    <w:name w:val="Char Char19"/>
    <w:uiPriority w:val="99"/>
    <w:locked/>
    <w:rPr>
      <w:rFonts w:ascii="Cambria" w:hAnsi="Cambria" w:cs="Cambria"/>
      <w:b/>
      <w:bCs/>
      <w:kern w:val="32"/>
      <w:sz w:val="32"/>
      <w:szCs w:val="32"/>
    </w:rPr>
  </w:style>
  <w:style w:type="character" w:customStyle="1" w:styleId="CharChar18">
    <w:name w:val="Char Char18"/>
    <w:uiPriority w:val="99"/>
    <w:semiHidden/>
    <w:locked/>
    <w:rPr>
      <w:rFonts w:ascii="Cambria" w:hAnsi="Cambria" w:cs="Cambria"/>
      <w:b/>
      <w:bCs/>
      <w:i/>
      <w:iCs/>
      <w:sz w:val="28"/>
      <w:szCs w:val="28"/>
    </w:rPr>
  </w:style>
  <w:style w:type="character" w:customStyle="1" w:styleId="CharChar17">
    <w:name w:val="Char Char17"/>
    <w:uiPriority w:val="99"/>
    <w:semiHidden/>
    <w:locked/>
    <w:rPr>
      <w:rFonts w:ascii="Cambria" w:hAnsi="Cambria" w:cs="Cambria"/>
      <w:b/>
      <w:bCs/>
      <w:sz w:val="26"/>
      <w:szCs w:val="26"/>
    </w:rPr>
  </w:style>
  <w:style w:type="character" w:customStyle="1" w:styleId="CharChar16">
    <w:name w:val="Char Char16"/>
    <w:uiPriority w:val="99"/>
    <w:semiHidden/>
    <w:locked/>
    <w:rPr>
      <w:rFonts w:ascii="Calibri" w:hAnsi="Calibri" w:cs="Calibri"/>
      <w:b/>
      <w:bCs/>
      <w:sz w:val="28"/>
      <w:szCs w:val="28"/>
    </w:rPr>
  </w:style>
  <w:style w:type="character" w:customStyle="1" w:styleId="CharChar15">
    <w:name w:val="Char Char15"/>
    <w:uiPriority w:val="99"/>
    <w:semiHidden/>
    <w:locked/>
    <w:rPr>
      <w:rFonts w:ascii="Calibri" w:hAnsi="Calibri" w:cs="Calibri"/>
      <w:b/>
      <w:bCs/>
      <w:i/>
      <w:iCs/>
      <w:sz w:val="26"/>
      <w:szCs w:val="26"/>
    </w:rPr>
  </w:style>
  <w:style w:type="character" w:customStyle="1" w:styleId="CharChar14">
    <w:name w:val="Char Char14"/>
    <w:uiPriority w:val="99"/>
    <w:semiHidden/>
    <w:locked/>
    <w:rPr>
      <w:rFonts w:ascii="Calibri" w:hAnsi="Calibri" w:cs="Calibri"/>
      <w:b/>
      <w:bCs/>
    </w:rPr>
  </w:style>
  <w:style w:type="character" w:customStyle="1" w:styleId="CharChar13">
    <w:name w:val="Char Char13"/>
    <w:uiPriority w:val="99"/>
    <w:semiHidden/>
    <w:locked/>
    <w:rPr>
      <w:rFonts w:ascii="Calibri" w:hAnsi="Calibri" w:cs="Calibri"/>
      <w:sz w:val="24"/>
      <w:szCs w:val="24"/>
    </w:rPr>
  </w:style>
  <w:style w:type="character" w:customStyle="1" w:styleId="CharChar12">
    <w:name w:val="Char Char12"/>
    <w:uiPriority w:val="99"/>
    <w:semiHidden/>
    <w:locked/>
    <w:rPr>
      <w:rFonts w:ascii="Calibri" w:hAnsi="Calibri" w:cs="Calibri"/>
      <w:i/>
      <w:iCs/>
      <w:sz w:val="24"/>
      <w:szCs w:val="24"/>
    </w:rPr>
  </w:style>
  <w:style w:type="character" w:customStyle="1" w:styleId="CharChar11">
    <w:name w:val="Char Char11"/>
    <w:uiPriority w:val="99"/>
    <w:semiHidden/>
    <w:locked/>
    <w:rPr>
      <w:rFonts w:ascii="Cambria" w:hAnsi="Cambria" w:cs="Cambri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character" w:customStyle="1" w:styleId="CharChar10">
    <w:name w:val="Char Char10"/>
    <w:uiPriority w:val="99"/>
    <w:semiHidden/>
    <w:locked/>
    <w:rPr>
      <w:sz w:val="2"/>
      <w:szCs w:val="2"/>
    </w:rPr>
  </w:style>
  <w:style w:type="paragraph" w:styleId="BodyTextIndent2">
    <w:name w:val="Body Text Indent 2"/>
    <w:basedOn w:val="Normal"/>
    <w:link w:val="BodyTextIndent2Char"/>
    <w:uiPriority w:val="99"/>
    <w:pPr>
      <w:spacing w:line="480" w:lineRule="auto"/>
      <w:ind w:left="720" w:hanging="720"/>
    </w:pPr>
    <w:rPr>
      <w:b/>
      <w:bCs/>
      <w:i/>
      <w:iCs/>
      <w:sz w:val="24"/>
      <w:szCs w:val="24"/>
    </w:rPr>
  </w:style>
  <w:style w:type="character" w:customStyle="1" w:styleId="BodyTextIndent2Char">
    <w:name w:val="Body Text Indent 2 Char"/>
    <w:link w:val="BodyTextIndent2"/>
    <w:uiPriority w:val="99"/>
    <w:semiHidden/>
    <w:locked/>
    <w:rPr>
      <w:sz w:val="20"/>
      <w:szCs w:val="20"/>
    </w:rPr>
  </w:style>
  <w:style w:type="character" w:customStyle="1" w:styleId="CharChar9">
    <w:name w:val="Char Char9"/>
    <w:uiPriority w:val="99"/>
    <w:semiHidden/>
    <w:locked/>
    <w:rPr>
      <w:sz w:val="20"/>
      <w:szCs w:val="20"/>
    </w:rPr>
  </w:style>
  <w:style w:type="paragraph" w:styleId="BodyTextIndent">
    <w:name w:val="Body Text Indent"/>
    <w:basedOn w:val="Normal"/>
    <w:link w:val="BodyTextIndentChar"/>
    <w:uiPriority w:val="99"/>
    <w:pPr>
      <w:spacing w:line="480" w:lineRule="auto"/>
      <w:ind w:left="720" w:hanging="720"/>
    </w:pPr>
    <w:rPr>
      <w:b/>
      <w:bCs/>
      <w:sz w:val="24"/>
      <w:szCs w:val="24"/>
    </w:rPr>
  </w:style>
  <w:style w:type="character" w:customStyle="1" w:styleId="BodyTextIndentChar">
    <w:name w:val="Body Text Indent Char"/>
    <w:link w:val="BodyTextIndent"/>
    <w:uiPriority w:val="99"/>
    <w:semiHidden/>
    <w:locked/>
    <w:rPr>
      <w:sz w:val="20"/>
      <w:szCs w:val="20"/>
    </w:rPr>
  </w:style>
  <w:style w:type="character" w:customStyle="1" w:styleId="CharChar8">
    <w:name w:val="Char Char8"/>
    <w:uiPriority w:val="99"/>
    <w:semiHidden/>
    <w:locked/>
    <w:rPr>
      <w:sz w:val="20"/>
      <w:szCs w:val="20"/>
    </w:rPr>
  </w:style>
  <w:style w:type="paragraph" w:styleId="BodyTextIndent3">
    <w:name w:val="Body Text Indent 3"/>
    <w:basedOn w:val="Normal"/>
    <w:link w:val="BodyTextIndent3Char"/>
    <w:uiPriority w:val="99"/>
    <w:pPr>
      <w:spacing w:line="480" w:lineRule="auto"/>
      <w:ind w:left="360"/>
    </w:pPr>
    <w:rPr>
      <w:sz w:val="24"/>
      <w:szCs w:val="24"/>
    </w:rPr>
  </w:style>
  <w:style w:type="character" w:customStyle="1" w:styleId="BodyTextIndent3Char">
    <w:name w:val="Body Text Indent 3 Char"/>
    <w:link w:val="BodyTextIndent3"/>
    <w:uiPriority w:val="99"/>
    <w:semiHidden/>
    <w:locked/>
    <w:rPr>
      <w:sz w:val="16"/>
      <w:szCs w:val="16"/>
    </w:rPr>
  </w:style>
  <w:style w:type="character" w:customStyle="1" w:styleId="CharChar7">
    <w:name w:val="Char Char7"/>
    <w:uiPriority w:val="99"/>
    <w:semiHidden/>
    <w:locked/>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CharChar6">
    <w:name w:val="Char Char6"/>
    <w:uiPriority w:val="99"/>
    <w:semiHidden/>
    <w:locked/>
    <w:rPr>
      <w:rFonts w:ascii="Courier New" w:hAnsi="Courier New" w:cs="Courier New"/>
      <w:sz w:val="20"/>
      <w:szCs w:val="20"/>
    </w:rPr>
  </w:style>
  <w:style w:type="paragraph" w:styleId="List2">
    <w:name w:val="List 2"/>
    <w:basedOn w:val="Normal"/>
    <w:uiPriority w:val="99"/>
    <w:pPr>
      <w:ind w:left="720" w:hanging="3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0"/>
      <w:szCs w:val="20"/>
    </w:rPr>
  </w:style>
  <w:style w:type="character" w:customStyle="1" w:styleId="CharChar5">
    <w:name w:val="Char Char5"/>
    <w:uiPriority w:val="99"/>
    <w:semiHidden/>
    <w:locked/>
    <w:rPr>
      <w:sz w:val="20"/>
      <w:szCs w:val="20"/>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0"/>
      <w:szCs w:val="20"/>
    </w:rPr>
  </w:style>
  <w:style w:type="character" w:customStyle="1" w:styleId="CharChar4">
    <w:name w:val="Char Char4"/>
    <w:uiPriority w:val="99"/>
    <w:semiHidden/>
    <w:locked/>
    <w:rPr>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link w:val="Title"/>
    <w:uiPriority w:val="99"/>
    <w:locked/>
    <w:rPr>
      <w:rFonts w:ascii="Cambria" w:hAnsi="Cambria" w:cs="Cambria"/>
      <w:b/>
      <w:bCs/>
      <w:kern w:val="28"/>
      <w:sz w:val="32"/>
      <w:szCs w:val="32"/>
    </w:rPr>
  </w:style>
  <w:style w:type="character" w:customStyle="1" w:styleId="CharChar3">
    <w:name w:val="Char Char3"/>
    <w:uiPriority w:val="99"/>
    <w:locked/>
    <w:rPr>
      <w:rFonts w:ascii="Cambria" w:hAnsi="Cambria" w:cs="Cambria"/>
      <w:b/>
      <w:bCs/>
      <w:kern w:val="28"/>
      <w:sz w:val="32"/>
      <w:szCs w:val="32"/>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sz w:val="20"/>
      <w:szCs w:val="20"/>
    </w:rPr>
  </w:style>
  <w:style w:type="character" w:customStyle="1" w:styleId="CharChar2">
    <w:name w:val="Char Char2"/>
    <w:uiPriority w:val="99"/>
    <w:semiHidden/>
    <w:locked/>
    <w:rPr>
      <w:sz w:val="20"/>
      <w:szCs w:val="20"/>
    </w:rPr>
  </w:style>
  <w:style w:type="paragraph" w:customStyle="1" w:styleId="ANSWER">
    <w:name w:val="ANSWER"/>
    <w:basedOn w:val="Normal"/>
    <w:uiPriority w:val="99"/>
    <w:pPr>
      <w:spacing w:line="480" w:lineRule="auto"/>
      <w:ind w:left="1008" w:hanging="720"/>
    </w:pPr>
    <w:rPr>
      <w:sz w:val="24"/>
      <w:szCs w:val="24"/>
    </w:rPr>
  </w:style>
  <w:style w:type="paragraph" w:styleId="TOC2">
    <w:name w:val="toc 2"/>
    <w:basedOn w:val="Normal"/>
    <w:next w:val="Normal"/>
    <w:autoRedefine/>
    <w:uiPriority w:val="99"/>
    <w:semiHidden/>
    <w:pPr>
      <w:tabs>
        <w:tab w:val="right" w:leader="dot" w:pos="8640"/>
      </w:tabs>
    </w:pPr>
    <w:rPr>
      <w:smallCaps/>
      <w:sz w:val="24"/>
      <w:szCs w:val="24"/>
    </w:rPr>
  </w:style>
  <w:style w:type="character" w:styleId="FootnoteReference">
    <w:name w:val="footnote reference"/>
    <w:uiPriority w:val="99"/>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sz w:val="20"/>
      <w:szCs w:val="20"/>
    </w:rPr>
  </w:style>
  <w:style w:type="character" w:customStyle="1" w:styleId="CharChar1">
    <w:name w:val="Char Char1"/>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customStyle="1" w:styleId="CharChar">
    <w:name w:val="Char Char"/>
    <w:uiPriority w:val="99"/>
    <w:semiHidden/>
    <w:locked/>
    <w:rPr>
      <w:b/>
      <w:bCs/>
      <w:sz w:val="20"/>
      <w:szCs w:val="20"/>
    </w:rPr>
  </w:style>
  <w:style w:type="paragraph" w:styleId="TOCHeading">
    <w:name w:val="TOC Heading"/>
    <w:basedOn w:val="Heading1"/>
    <w:next w:val="Normal"/>
    <w:uiPriority w:val="99"/>
    <w:qFormat/>
    <w:pPr>
      <w:keepLines/>
      <w:spacing w:before="480" w:line="276" w:lineRule="auto"/>
      <w:outlineLvl w:val="9"/>
    </w:pPr>
    <w:rPr>
      <w:rFonts w:ascii="Cambria" w:hAnsi="Cambria" w:cs="Cambria"/>
      <w:color w:val="365F91"/>
      <w:sz w:val="28"/>
      <w:szCs w:val="28"/>
    </w:rPr>
  </w:style>
  <w:style w:type="paragraph" w:styleId="TOC1">
    <w:name w:val="toc 1"/>
    <w:basedOn w:val="Normal"/>
    <w:next w:val="Normal"/>
    <w:autoRedefine/>
    <w:uiPriority w:val="39"/>
    <w:qFormat/>
    <w:rsid w:val="00F3169E"/>
    <w:pPr>
      <w:tabs>
        <w:tab w:val="left" w:pos="630"/>
        <w:tab w:val="right" w:leader="dot" w:pos="8640"/>
      </w:tabs>
      <w:spacing w:after="240"/>
      <w:ind w:left="634" w:hanging="634"/>
    </w:pPr>
    <w:rPr>
      <w:sz w:val="24"/>
      <w:szCs w:val="24"/>
    </w:rPr>
  </w:style>
  <w:style w:type="paragraph" w:styleId="TOC3">
    <w:name w:val="toc 3"/>
    <w:basedOn w:val="Normal"/>
    <w:next w:val="Normal"/>
    <w:autoRedefine/>
    <w:uiPriority w:val="99"/>
    <w:semiHidden/>
    <w:pPr>
      <w:spacing w:after="100" w:line="276" w:lineRule="auto"/>
      <w:ind w:left="440"/>
    </w:pPr>
    <w:rPr>
      <w:rFonts w:ascii="Calibri" w:hAnsi="Calibri" w:cs="Calibri"/>
      <w:sz w:val="22"/>
      <w:szCs w:val="22"/>
    </w:rPr>
  </w:style>
  <w:style w:type="paragraph" w:customStyle="1" w:styleId="StyleBodyTextIndentItalic">
    <w:name w:val="Style Body Text Indent + Italic"/>
    <w:basedOn w:val="BodyText"/>
    <w:uiPriority w:val="99"/>
    <w:pPr>
      <w:spacing w:after="0"/>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style>
  <w:style w:type="paragraph" w:styleId="Revision">
    <w:name w:val="Revision"/>
    <w:hidden/>
    <w:uiPriority w:val="99"/>
    <w:semiHidden/>
    <w:rPr>
      <w:lang w:bidi="ar-SA"/>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semiHidden/>
    <w:locked/>
    <w:pPr>
      <w:widowControl w:val="0"/>
      <w:snapToGrid w:val="0"/>
    </w:pPr>
    <w:rPr>
      <w:rFonts w:ascii="Courier New" w:eastAsia="PMingLiU" w:hAnsi="Courier New"/>
      <w:sz w:val="24"/>
      <w:szCs w:val="24"/>
    </w:rPr>
  </w:style>
  <w:style w:type="character" w:customStyle="1" w:styleId="EndnoteTextChar">
    <w:name w:val="Endnote Text Char"/>
    <w:basedOn w:val="DefaultParagraphFont"/>
    <w:link w:val="EndnoteText"/>
    <w:semiHidden/>
    <w:rPr>
      <w:rFonts w:ascii="Courier New" w:eastAsia="PMingLiU" w:hAnsi="Courier New"/>
      <w:sz w:val="24"/>
      <w:szCs w:val="24"/>
      <w:lang w:bidi="ar-SA"/>
    </w:rPr>
  </w:style>
  <w:style w:type="paragraph" w:styleId="NoSpacing">
    <w:name w:val="No Spacing"/>
    <w:uiPriority w:val="1"/>
    <w:qFormat/>
    <w:rsid w:val="00EC3336"/>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Pr>
      <w:lang w:bidi="ar-SA"/>
    </w:rPr>
  </w:style>
  <w:style w:type="paragraph" w:styleId="Heading1">
    <w:name w:val="heading 1"/>
    <w:basedOn w:val="Normal"/>
    <w:next w:val="Normal"/>
    <w:link w:val="Heading1Char"/>
    <w:uiPriority w:val="99"/>
    <w:qFormat/>
    <w:pPr>
      <w:keepNext/>
      <w:tabs>
        <w:tab w:val="left" w:pos="720"/>
      </w:tabs>
      <w:spacing w:line="480" w:lineRule="auto"/>
      <w:outlineLvl w:val="0"/>
    </w:pPr>
    <w:rPr>
      <w:b/>
      <w:bCs/>
      <w:sz w:val="24"/>
      <w:szCs w:val="24"/>
    </w:rPr>
  </w:style>
  <w:style w:type="paragraph" w:styleId="Heading2">
    <w:name w:val="heading 2"/>
    <w:basedOn w:val="Normal"/>
    <w:next w:val="Normal"/>
    <w:link w:val="Heading2Char"/>
    <w:uiPriority w:val="99"/>
    <w:qFormat/>
    <w:pPr>
      <w:keepNext/>
      <w:tabs>
        <w:tab w:val="decimal" w:pos="360"/>
        <w:tab w:val="left" w:pos="720"/>
      </w:tabs>
      <w:ind w:left="1260" w:hanging="1350"/>
      <w:jc w:val="center"/>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sz w:val="24"/>
      <w:szCs w:val="24"/>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spacing w:line="480" w:lineRule="auto"/>
      <w:ind w:left="720"/>
      <w:outlineLvl w:val="4"/>
    </w:pPr>
    <w:rPr>
      <w:b/>
      <w:bCs/>
      <w:sz w:val="24"/>
      <w:szCs w:val="24"/>
    </w:rPr>
  </w:style>
  <w:style w:type="paragraph" w:styleId="Heading6">
    <w:name w:val="heading 6"/>
    <w:basedOn w:val="Normal"/>
    <w:next w:val="Normal"/>
    <w:link w:val="Heading6Char"/>
    <w:uiPriority w:val="99"/>
    <w:qFormat/>
    <w:pPr>
      <w:keepNext/>
      <w:spacing w:line="480" w:lineRule="auto"/>
      <w:ind w:left="1440" w:hanging="720"/>
      <w:outlineLvl w:val="5"/>
    </w:pPr>
    <w:rPr>
      <w:b/>
      <w:bCs/>
      <w:sz w:val="24"/>
      <w:szCs w:val="24"/>
    </w:rPr>
  </w:style>
  <w:style w:type="paragraph" w:styleId="Heading7">
    <w:name w:val="heading 7"/>
    <w:basedOn w:val="Normal"/>
    <w:next w:val="Normal"/>
    <w:link w:val="Heading7Char"/>
    <w:uiPriority w:val="99"/>
    <w:qFormat/>
    <w:pPr>
      <w:keepNext/>
      <w:spacing w:line="480" w:lineRule="auto"/>
      <w:ind w:left="720"/>
      <w:outlineLvl w:val="6"/>
    </w:pPr>
    <w:rPr>
      <w:sz w:val="24"/>
      <w:szCs w:val="24"/>
    </w:rPr>
  </w:style>
  <w:style w:type="paragraph" w:styleId="Heading8">
    <w:name w:val="heading 8"/>
    <w:basedOn w:val="Normal"/>
    <w:next w:val="Normal"/>
    <w:link w:val="Heading8Char"/>
    <w:uiPriority w:val="99"/>
    <w:qFormat/>
    <w:pPr>
      <w:keepNext/>
      <w:spacing w:line="480" w:lineRule="auto"/>
      <w:ind w:left="720"/>
      <w:outlineLvl w:val="7"/>
    </w:pPr>
    <w:rPr>
      <w:b/>
      <w:bCs/>
      <w:i/>
      <w:iCs/>
      <w:sz w:val="24"/>
      <w:szCs w:val="24"/>
    </w:rPr>
  </w:style>
  <w:style w:type="paragraph" w:styleId="Heading9">
    <w:name w:val="heading 9"/>
    <w:basedOn w:val="Normal"/>
    <w:next w:val="Normal"/>
    <w:link w:val="Heading9Char"/>
    <w:uiPriority w:val="99"/>
    <w:qFormat/>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bCs/>
      <w:sz w:val="24"/>
      <w:szCs w:val="24"/>
      <w:lang w:bidi="ar-SA"/>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character" w:customStyle="1" w:styleId="Heading6Char">
    <w:name w:val="Heading 6 Char"/>
    <w:link w:val="Heading6"/>
    <w:uiPriority w:val="99"/>
    <w:semiHidden/>
    <w:locked/>
    <w:rPr>
      <w:rFonts w:ascii="Calibri" w:hAnsi="Calibri" w:cs="Calibri"/>
      <w:b/>
      <w:bCs/>
    </w:rPr>
  </w:style>
  <w:style w:type="character" w:customStyle="1" w:styleId="Heading7Char">
    <w:name w:val="Heading 7 Char"/>
    <w:link w:val="Heading7"/>
    <w:uiPriority w:val="99"/>
    <w:semiHidden/>
    <w:locked/>
    <w:rPr>
      <w:rFonts w:ascii="Calibri" w:hAnsi="Calibri" w:cs="Calibri"/>
      <w:sz w:val="24"/>
      <w:szCs w:val="24"/>
    </w:rPr>
  </w:style>
  <w:style w:type="character" w:customStyle="1" w:styleId="Heading8Char">
    <w:name w:val="Heading 8 Char"/>
    <w:link w:val="Heading8"/>
    <w:uiPriority w:val="99"/>
    <w:semiHidden/>
    <w:locked/>
    <w:rPr>
      <w:rFonts w:ascii="Calibri" w:hAnsi="Calibri" w:cs="Calibri"/>
      <w:i/>
      <w:iCs/>
      <w:sz w:val="24"/>
      <w:szCs w:val="24"/>
    </w:rPr>
  </w:style>
  <w:style w:type="character" w:customStyle="1" w:styleId="Heading9Char">
    <w:name w:val="Heading 9 Char"/>
    <w:link w:val="Heading9"/>
    <w:uiPriority w:val="99"/>
    <w:semiHidden/>
    <w:locked/>
    <w:rPr>
      <w:rFonts w:ascii="Cambria" w:hAnsi="Cambria" w:cs="Cambria"/>
    </w:rPr>
  </w:style>
  <w:style w:type="character" w:customStyle="1" w:styleId="CharChar19">
    <w:name w:val="Char Char19"/>
    <w:uiPriority w:val="99"/>
    <w:locked/>
    <w:rPr>
      <w:rFonts w:ascii="Cambria" w:hAnsi="Cambria" w:cs="Cambria"/>
      <w:b/>
      <w:bCs/>
      <w:kern w:val="32"/>
      <w:sz w:val="32"/>
      <w:szCs w:val="32"/>
    </w:rPr>
  </w:style>
  <w:style w:type="character" w:customStyle="1" w:styleId="CharChar18">
    <w:name w:val="Char Char18"/>
    <w:uiPriority w:val="99"/>
    <w:semiHidden/>
    <w:locked/>
    <w:rPr>
      <w:rFonts w:ascii="Cambria" w:hAnsi="Cambria" w:cs="Cambria"/>
      <w:b/>
      <w:bCs/>
      <w:i/>
      <w:iCs/>
      <w:sz w:val="28"/>
      <w:szCs w:val="28"/>
    </w:rPr>
  </w:style>
  <w:style w:type="character" w:customStyle="1" w:styleId="CharChar17">
    <w:name w:val="Char Char17"/>
    <w:uiPriority w:val="99"/>
    <w:semiHidden/>
    <w:locked/>
    <w:rPr>
      <w:rFonts w:ascii="Cambria" w:hAnsi="Cambria" w:cs="Cambria"/>
      <w:b/>
      <w:bCs/>
      <w:sz w:val="26"/>
      <w:szCs w:val="26"/>
    </w:rPr>
  </w:style>
  <w:style w:type="character" w:customStyle="1" w:styleId="CharChar16">
    <w:name w:val="Char Char16"/>
    <w:uiPriority w:val="99"/>
    <w:semiHidden/>
    <w:locked/>
    <w:rPr>
      <w:rFonts w:ascii="Calibri" w:hAnsi="Calibri" w:cs="Calibri"/>
      <w:b/>
      <w:bCs/>
      <w:sz w:val="28"/>
      <w:szCs w:val="28"/>
    </w:rPr>
  </w:style>
  <w:style w:type="character" w:customStyle="1" w:styleId="CharChar15">
    <w:name w:val="Char Char15"/>
    <w:uiPriority w:val="99"/>
    <w:semiHidden/>
    <w:locked/>
    <w:rPr>
      <w:rFonts w:ascii="Calibri" w:hAnsi="Calibri" w:cs="Calibri"/>
      <w:b/>
      <w:bCs/>
      <w:i/>
      <w:iCs/>
      <w:sz w:val="26"/>
      <w:szCs w:val="26"/>
    </w:rPr>
  </w:style>
  <w:style w:type="character" w:customStyle="1" w:styleId="CharChar14">
    <w:name w:val="Char Char14"/>
    <w:uiPriority w:val="99"/>
    <w:semiHidden/>
    <w:locked/>
    <w:rPr>
      <w:rFonts w:ascii="Calibri" w:hAnsi="Calibri" w:cs="Calibri"/>
      <w:b/>
      <w:bCs/>
    </w:rPr>
  </w:style>
  <w:style w:type="character" w:customStyle="1" w:styleId="CharChar13">
    <w:name w:val="Char Char13"/>
    <w:uiPriority w:val="99"/>
    <w:semiHidden/>
    <w:locked/>
    <w:rPr>
      <w:rFonts w:ascii="Calibri" w:hAnsi="Calibri" w:cs="Calibri"/>
      <w:sz w:val="24"/>
      <w:szCs w:val="24"/>
    </w:rPr>
  </w:style>
  <w:style w:type="character" w:customStyle="1" w:styleId="CharChar12">
    <w:name w:val="Char Char12"/>
    <w:uiPriority w:val="99"/>
    <w:semiHidden/>
    <w:locked/>
    <w:rPr>
      <w:rFonts w:ascii="Calibri" w:hAnsi="Calibri" w:cs="Calibri"/>
      <w:i/>
      <w:iCs/>
      <w:sz w:val="24"/>
      <w:szCs w:val="24"/>
    </w:rPr>
  </w:style>
  <w:style w:type="character" w:customStyle="1" w:styleId="CharChar11">
    <w:name w:val="Char Char11"/>
    <w:uiPriority w:val="99"/>
    <w:semiHidden/>
    <w:locked/>
    <w:rPr>
      <w:rFonts w:ascii="Cambria" w:hAnsi="Cambria" w:cs="Cambri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character" w:customStyle="1" w:styleId="CharChar10">
    <w:name w:val="Char Char10"/>
    <w:uiPriority w:val="99"/>
    <w:semiHidden/>
    <w:locked/>
    <w:rPr>
      <w:sz w:val="2"/>
      <w:szCs w:val="2"/>
    </w:rPr>
  </w:style>
  <w:style w:type="paragraph" w:styleId="BodyTextIndent2">
    <w:name w:val="Body Text Indent 2"/>
    <w:basedOn w:val="Normal"/>
    <w:link w:val="BodyTextIndent2Char"/>
    <w:uiPriority w:val="99"/>
    <w:pPr>
      <w:spacing w:line="480" w:lineRule="auto"/>
      <w:ind w:left="720" w:hanging="720"/>
    </w:pPr>
    <w:rPr>
      <w:b/>
      <w:bCs/>
      <w:i/>
      <w:iCs/>
      <w:sz w:val="24"/>
      <w:szCs w:val="24"/>
    </w:rPr>
  </w:style>
  <w:style w:type="character" w:customStyle="1" w:styleId="BodyTextIndent2Char">
    <w:name w:val="Body Text Indent 2 Char"/>
    <w:link w:val="BodyTextIndent2"/>
    <w:uiPriority w:val="99"/>
    <w:semiHidden/>
    <w:locked/>
    <w:rPr>
      <w:sz w:val="20"/>
      <w:szCs w:val="20"/>
    </w:rPr>
  </w:style>
  <w:style w:type="character" w:customStyle="1" w:styleId="CharChar9">
    <w:name w:val="Char Char9"/>
    <w:uiPriority w:val="99"/>
    <w:semiHidden/>
    <w:locked/>
    <w:rPr>
      <w:sz w:val="20"/>
      <w:szCs w:val="20"/>
    </w:rPr>
  </w:style>
  <w:style w:type="paragraph" w:styleId="BodyTextIndent">
    <w:name w:val="Body Text Indent"/>
    <w:basedOn w:val="Normal"/>
    <w:link w:val="BodyTextIndentChar"/>
    <w:uiPriority w:val="99"/>
    <w:pPr>
      <w:spacing w:line="480" w:lineRule="auto"/>
      <w:ind w:left="720" w:hanging="720"/>
    </w:pPr>
    <w:rPr>
      <w:b/>
      <w:bCs/>
      <w:sz w:val="24"/>
      <w:szCs w:val="24"/>
    </w:rPr>
  </w:style>
  <w:style w:type="character" w:customStyle="1" w:styleId="BodyTextIndentChar">
    <w:name w:val="Body Text Indent Char"/>
    <w:link w:val="BodyTextIndent"/>
    <w:uiPriority w:val="99"/>
    <w:semiHidden/>
    <w:locked/>
    <w:rPr>
      <w:sz w:val="20"/>
      <w:szCs w:val="20"/>
    </w:rPr>
  </w:style>
  <w:style w:type="character" w:customStyle="1" w:styleId="CharChar8">
    <w:name w:val="Char Char8"/>
    <w:uiPriority w:val="99"/>
    <w:semiHidden/>
    <w:locked/>
    <w:rPr>
      <w:sz w:val="20"/>
      <w:szCs w:val="20"/>
    </w:rPr>
  </w:style>
  <w:style w:type="paragraph" w:styleId="BodyTextIndent3">
    <w:name w:val="Body Text Indent 3"/>
    <w:basedOn w:val="Normal"/>
    <w:link w:val="BodyTextIndent3Char"/>
    <w:uiPriority w:val="99"/>
    <w:pPr>
      <w:spacing w:line="480" w:lineRule="auto"/>
      <w:ind w:left="360"/>
    </w:pPr>
    <w:rPr>
      <w:sz w:val="24"/>
      <w:szCs w:val="24"/>
    </w:rPr>
  </w:style>
  <w:style w:type="character" w:customStyle="1" w:styleId="BodyTextIndent3Char">
    <w:name w:val="Body Text Indent 3 Char"/>
    <w:link w:val="BodyTextIndent3"/>
    <w:uiPriority w:val="99"/>
    <w:semiHidden/>
    <w:locked/>
    <w:rPr>
      <w:sz w:val="16"/>
      <w:szCs w:val="16"/>
    </w:rPr>
  </w:style>
  <w:style w:type="character" w:customStyle="1" w:styleId="CharChar7">
    <w:name w:val="Char Char7"/>
    <w:uiPriority w:val="99"/>
    <w:semiHidden/>
    <w:locked/>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CharChar6">
    <w:name w:val="Char Char6"/>
    <w:uiPriority w:val="99"/>
    <w:semiHidden/>
    <w:locked/>
    <w:rPr>
      <w:rFonts w:ascii="Courier New" w:hAnsi="Courier New" w:cs="Courier New"/>
      <w:sz w:val="20"/>
      <w:szCs w:val="20"/>
    </w:rPr>
  </w:style>
  <w:style w:type="paragraph" w:styleId="List2">
    <w:name w:val="List 2"/>
    <w:basedOn w:val="Normal"/>
    <w:uiPriority w:val="99"/>
    <w:pPr>
      <w:ind w:left="720" w:hanging="3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0"/>
      <w:szCs w:val="20"/>
    </w:rPr>
  </w:style>
  <w:style w:type="character" w:customStyle="1" w:styleId="CharChar5">
    <w:name w:val="Char Char5"/>
    <w:uiPriority w:val="99"/>
    <w:semiHidden/>
    <w:locked/>
    <w:rPr>
      <w:sz w:val="20"/>
      <w:szCs w:val="20"/>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0"/>
      <w:szCs w:val="20"/>
    </w:rPr>
  </w:style>
  <w:style w:type="character" w:customStyle="1" w:styleId="CharChar4">
    <w:name w:val="Char Char4"/>
    <w:uiPriority w:val="99"/>
    <w:semiHidden/>
    <w:locked/>
    <w:rPr>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link w:val="Title"/>
    <w:uiPriority w:val="99"/>
    <w:locked/>
    <w:rPr>
      <w:rFonts w:ascii="Cambria" w:hAnsi="Cambria" w:cs="Cambria"/>
      <w:b/>
      <w:bCs/>
      <w:kern w:val="28"/>
      <w:sz w:val="32"/>
      <w:szCs w:val="32"/>
    </w:rPr>
  </w:style>
  <w:style w:type="character" w:customStyle="1" w:styleId="CharChar3">
    <w:name w:val="Char Char3"/>
    <w:uiPriority w:val="99"/>
    <w:locked/>
    <w:rPr>
      <w:rFonts w:ascii="Cambria" w:hAnsi="Cambria" w:cs="Cambria"/>
      <w:b/>
      <w:bCs/>
      <w:kern w:val="28"/>
      <w:sz w:val="32"/>
      <w:szCs w:val="32"/>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sz w:val="20"/>
      <w:szCs w:val="20"/>
    </w:rPr>
  </w:style>
  <w:style w:type="character" w:customStyle="1" w:styleId="CharChar2">
    <w:name w:val="Char Char2"/>
    <w:uiPriority w:val="99"/>
    <w:semiHidden/>
    <w:locked/>
    <w:rPr>
      <w:sz w:val="20"/>
      <w:szCs w:val="20"/>
    </w:rPr>
  </w:style>
  <w:style w:type="paragraph" w:customStyle="1" w:styleId="ANSWER">
    <w:name w:val="ANSWER"/>
    <w:basedOn w:val="Normal"/>
    <w:uiPriority w:val="99"/>
    <w:pPr>
      <w:spacing w:line="480" w:lineRule="auto"/>
      <w:ind w:left="1008" w:hanging="720"/>
    </w:pPr>
    <w:rPr>
      <w:sz w:val="24"/>
      <w:szCs w:val="24"/>
    </w:rPr>
  </w:style>
  <w:style w:type="paragraph" w:styleId="TOC2">
    <w:name w:val="toc 2"/>
    <w:basedOn w:val="Normal"/>
    <w:next w:val="Normal"/>
    <w:autoRedefine/>
    <w:uiPriority w:val="99"/>
    <w:semiHidden/>
    <w:pPr>
      <w:tabs>
        <w:tab w:val="right" w:leader="dot" w:pos="8640"/>
      </w:tabs>
    </w:pPr>
    <w:rPr>
      <w:smallCaps/>
      <w:sz w:val="24"/>
      <w:szCs w:val="24"/>
    </w:rPr>
  </w:style>
  <w:style w:type="character" w:styleId="FootnoteReference">
    <w:name w:val="footnote reference"/>
    <w:uiPriority w:val="99"/>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sz w:val="20"/>
      <w:szCs w:val="20"/>
    </w:rPr>
  </w:style>
  <w:style w:type="character" w:customStyle="1" w:styleId="CharChar1">
    <w:name w:val="Char Char1"/>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customStyle="1" w:styleId="CharChar">
    <w:name w:val="Char Char"/>
    <w:uiPriority w:val="99"/>
    <w:semiHidden/>
    <w:locked/>
    <w:rPr>
      <w:b/>
      <w:bCs/>
      <w:sz w:val="20"/>
      <w:szCs w:val="20"/>
    </w:rPr>
  </w:style>
  <w:style w:type="paragraph" w:styleId="TOCHeading">
    <w:name w:val="TOC Heading"/>
    <w:basedOn w:val="Heading1"/>
    <w:next w:val="Normal"/>
    <w:uiPriority w:val="99"/>
    <w:qFormat/>
    <w:pPr>
      <w:keepLines/>
      <w:spacing w:before="480" w:line="276" w:lineRule="auto"/>
      <w:outlineLvl w:val="9"/>
    </w:pPr>
    <w:rPr>
      <w:rFonts w:ascii="Cambria" w:hAnsi="Cambria" w:cs="Cambria"/>
      <w:color w:val="365F91"/>
      <w:sz w:val="28"/>
      <w:szCs w:val="28"/>
    </w:rPr>
  </w:style>
  <w:style w:type="paragraph" w:styleId="TOC1">
    <w:name w:val="toc 1"/>
    <w:basedOn w:val="Normal"/>
    <w:next w:val="Normal"/>
    <w:autoRedefine/>
    <w:uiPriority w:val="39"/>
    <w:qFormat/>
    <w:rsid w:val="00F3169E"/>
    <w:pPr>
      <w:tabs>
        <w:tab w:val="left" w:pos="630"/>
        <w:tab w:val="right" w:leader="dot" w:pos="8640"/>
      </w:tabs>
      <w:spacing w:after="240"/>
      <w:ind w:left="634" w:hanging="634"/>
    </w:pPr>
    <w:rPr>
      <w:sz w:val="24"/>
      <w:szCs w:val="24"/>
    </w:rPr>
  </w:style>
  <w:style w:type="paragraph" w:styleId="TOC3">
    <w:name w:val="toc 3"/>
    <w:basedOn w:val="Normal"/>
    <w:next w:val="Normal"/>
    <w:autoRedefine/>
    <w:uiPriority w:val="99"/>
    <w:semiHidden/>
    <w:pPr>
      <w:spacing w:after="100" w:line="276" w:lineRule="auto"/>
      <w:ind w:left="440"/>
    </w:pPr>
    <w:rPr>
      <w:rFonts w:ascii="Calibri" w:hAnsi="Calibri" w:cs="Calibri"/>
      <w:sz w:val="22"/>
      <w:szCs w:val="22"/>
    </w:rPr>
  </w:style>
  <w:style w:type="paragraph" w:customStyle="1" w:styleId="StyleBodyTextIndentItalic">
    <w:name w:val="Style Body Text Indent + Italic"/>
    <w:basedOn w:val="BodyText"/>
    <w:uiPriority w:val="99"/>
    <w:pPr>
      <w:spacing w:after="0"/>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style>
  <w:style w:type="paragraph" w:styleId="Revision">
    <w:name w:val="Revision"/>
    <w:hidden/>
    <w:uiPriority w:val="99"/>
    <w:semiHidden/>
    <w:rPr>
      <w:lang w:bidi="ar-SA"/>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semiHidden/>
    <w:locked/>
    <w:pPr>
      <w:widowControl w:val="0"/>
      <w:snapToGrid w:val="0"/>
    </w:pPr>
    <w:rPr>
      <w:rFonts w:ascii="Courier New" w:eastAsia="PMingLiU" w:hAnsi="Courier New"/>
      <w:sz w:val="24"/>
      <w:szCs w:val="24"/>
    </w:rPr>
  </w:style>
  <w:style w:type="character" w:customStyle="1" w:styleId="EndnoteTextChar">
    <w:name w:val="Endnote Text Char"/>
    <w:basedOn w:val="DefaultParagraphFont"/>
    <w:link w:val="EndnoteText"/>
    <w:semiHidden/>
    <w:rPr>
      <w:rFonts w:ascii="Courier New" w:eastAsia="PMingLiU" w:hAnsi="Courier New"/>
      <w:sz w:val="24"/>
      <w:szCs w:val="24"/>
      <w:lang w:bidi="ar-SA"/>
    </w:rPr>
  </w:style>
  <w:style w:type="paragraph" w:styleId="NoSpacing">
    <w:name w:val="No Spacing"/>
    <w:uiPriority w:val="1"/>
    <w:qFormat/>
    <w:rsid w:val="00EC3336"/>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James.lynn@puc.state.oh.us" TargetMode="External"/><Relationship Id="rId3" Type="http://schemas.microsoft.com/office/2007/relationships/stylesWithEffects" Target="stylesWithEffects.xml"/><Relationship Id="rId21" Type="http://schemas.openxmlformats.org/officeDocument/2006/relationships/hyperlink" Target="mailto:Ryan.orourke@puc.state.oh.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Jay.agranoff@puc.state.oh.us"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Devin.parram@puc.state.oh.us" TargetMode="External"/><Relationship Id="rId29" Type="http://schemas.openxmlformats.org/officeDocument/2006/relationships/hyperlink" Target="mailto:williams@whitt-sturtevan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pritchard@mwncmh.com"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fdarr@mwncmh.com" TargetMode="External"/><Relationship Id="rId28" Type="http://schemas.openxmlformats.org/officeDocument/2006/relationships/hyperlink" Target="mailto:campbell@whitt-sturtevant.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law@marionohi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am@mwncmh.com" TargetMode="External"/><Relationship Id="rId27" Type="http://schemas.openxmlformats.org/officeDocument/2006/relationships/hyperlink" Target="mailto:whitt@whitt-sturtevant.com" TargetMode="External"/><Relationship Id="rId30" Type="http://schemas.openxmlformats.org/officeDocument/2006/relationships/hyperlink" Target="mailto:brent@supancehoward.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3132</Words>
  <Characters>16756</Characters>
  <Application>Microsoft Office Word</Application>
  <DocSecurity>0</DocSecurity>
  <Lines>438</Lines>
  <Paragraphs>157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19936</CharactersWithSpaces>
  <SharedDoc>false</SharedDoc>
  <HyperlinkBase> </HyperlinkBase>
  <HLinks>
    <vt:vector size="30" baseType="variant">
      <vt:variant>
        <vt:i4>1900597</vt:i4>
      </vt:variant>
      <vt:variant>
        <vt:i4>26</vt:i4>
      </vt:variant>
      <vt:variant>
        <vt:i4>0</vt:i4>
      </vt:variant>
      <vt:variant>
        <vt:i4>5</vt:i4>
      </vt:variant>
      <vt:variant>
        <vt:lpwstr/>
      </vt:variant>
      <vt:variant>
        <vt:lpwstr>_Toc318379919</vt:lpwstr>
      </vt:variant>
      <vt:variant>
        <vt:i4>1900597</vt:i4>
      </vt:variant>
      <vt:variant>
        <vt:i4>20</vt:i4>
      </vt:variant>
      <vt:variant>
        <vt:i4>0</vt:i4>
      </vt:variant>
      <vt:variant>
        <vt:i4>5</vt:i4>
      </vt:variant>
      <vt:variant>
        <vt:lpwstr/>
      </vt:variant>
      <vt:variant>
        <vt:lpwstr>_Toc318379918</vt:lpwstr>
      </vt:variant>
      <vt:variant>
        <vt:i4>1900597</vt:i4>
      </vt:variant>
      <vt:variant>
        <vt:i4>14</vt:i4>
      </vt:variant>
      <vt:variant>
        <vt:i4>0</vt:i4>
      </vt:variant>
      <vt:variant>
        <vt:i4>5</vt:i4>
      </vt:variant>
      <vt:variant>
        <vt:lpwstr/>
      </vt:variant>
      <vt:variant>
        <vt:lpwstr>_Toc318379917</vt:lpwstr>
      </vt:variant>
      <vt:variant>
        <vt:i4>1900597</vt:i4>
      </vt:variant>
      <vt:variant>
        <vt:i4>8</vt:i4>
      </vt:variant>
      <vt:variant>
        <vt:i4>0</vt:i4>
      </vt:variant>
      <vt:variant>
        <vt:i4>5</vt:i4>
      </vt:variant>
      <vt:variant>
        <vt:lpwstr/>
      </vt:variant>
      <vt:variant>
        <vt:lpwstr>_Toc318379916</vt:lpwstr>
      </vt:variant>
      <vt:variant>
        <vt:i4>1900597</vt:i4>
      </vt:variant>
      <vt:variant>
        <vt:i4>2</vt:i4>
      </vt:variant>
      <vt:variant>
        <vt:i4>0</vt:i4>
      </vt:variant>
      <vt:variant>
        <vt:i4>5</vt:i4>
      </vt:variant>
      <vt:variant>
        <vt:lpwstr/>
      </vt:variant>
      <vt:variant>
        <vt:lpwstr>_Toc318379915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2014-06-20T11:40:00Z</cp:lastPrinted>
  <dcterms:created xsi:type="dcterms:W3CDTF">2014-08-04T12:55:00Z</dcterms:created>
  <dcterms:modified xsi:type="dcterms:W3CDTF">2014-08-04T12:55:00Z</dcterms:modified>
  <cp:category> </cp:category>
  <cp:contentStatus> </cp:contentStatus>
</cp:coreProperties>
</file>