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1E2E2" w14:textId="77777777" w:rsidR="007057FC" w:rsidRPr="004F7151" w:rsidRDefault="007057FC" w:rsidP="007057FC">
      <w:pPr>
        <w:jc w:val="center"/>
        <w:rPr>
          <w:rFonts w:eastAsia="Times New Roman" w:cs="Arial"/>
          <w:b/>
          <w:smallCaps/>
          <w:sz w:val="32"/>
          <w:szCs w:val="32"/>
        </w:rPr>
      </w:pPr>
      <w:bookmarkStart w:id="0" w:name="OLE_LINK1"/>
      <w:bookmarkStart w:id="1" w:name="OLE_LINK2"/>
      <w:bookmarkStart w:id="2" w:name="_GoBack"/>
      <w:bookmarkEnd w:id="2"/>
      <w:r w:rsidRPr="004F7151">
        <w:rPr>
          <w:rFonts w:eastAsia="Times New Roman" w:cs="Arial"/>
          <w:b/>
          <w:smallCaps/>
          <w:sz w:val="32"/>
          <w:szCs w:val="32"/>
        </w:rPr>
        <w:t>Before</w:t>
      </w:r>
    </w:p>
    <w:p w14:paraId="5D4997DF" w14:textId="77777777" w:rsidR="007057FC" w:rsidRDefault="007057FC" w:rsidP="007057FC">
      <w:pPr>
        <w:jc w:val="center"/>
        <w:rPr>
          <w:rFonts w:eastAsia="Times New Roman" w:cs="Arial"/>
          <w:b/>
          <w:smallCaps/>
          <w:sz w:val="32"/>
          <w:szCs w:val="32"/>
        </w:rPr>
      </w:pPr>
      <w:r w:rsidRPr="004F7151">
        <w:rPr>
          <w:rFonts w:eastAsia="Times New Roman" w:cs="Arial"/>
          <w:b/>
          <w:smallCaps/>
          <w:sz w:val="32"/>
          <w:szCs w:val="32"/>
        </w:rPr>
        <w:t>The Public Utilities Commission of Ohio</w:t>
      </w:r>
    </w:p>
    <w:p w14:paraId="6B542073" w14:textId="77777777" w:rsidR="007057FC" w:rsidRPr="00A95790" w:rsidRDefault="007057FC" w:rsidP="007057FC">
      <w:pPr>
        <w:jc w:val="center"/>
        <w:rPr>
          <w:rFonts w:eastAsia="Times New Roman" w:cs="Arial"/>
          <w:b/>
          <w:smallCaps/>
          <w:szCs w:val="32"/>
        </w:rPr>
      </w:pPr>
    </w:p>
    <w:tbl>
      <w:tblPr>
        <w:tblW w:w="0" w:type="auto"/>
        <w:tblLook w:val="04A0" w:firstRow="1" w:lastRow="0" w:firstColumn="1" w:lastColumn="0" w:noHBand="0" w:noVBand="1"/>
      </w:tblPr>
      <w:tblGrid>
        <w:gridCol w:w="4230"/>
        <w:gridCol w:w="554"/>
        <w:gridCol w:w="4576"/>
      </w:tblGrid>
      <w:tr w:rsidR="007057FC" w:rsidRPr="004F7151" w14:paraId="1E1FE384" w14:textId="77777777" w:rsidTr="001F0BAD">
        <w:tc>
          <w:tcPr>
            <w:tcW w:w="4230" w:type="dxa"/>
            <w:hideMark/>
          </w:tcPr>
          <w:p w14:paraId="156DBED6" w14:textId="77777777" w:rsidR="007057FC" w:rsidRPr="00EB687D" w:rsidRDefault="007057FC" w:rsidP="001F0BAD">
            <w:pPr>
              <w:rPr>
                <w:rFonts w:eastAsia="Calibri" w:cs="Times New Roman"/>
              </w:rPr>
            </w:pPr>
            <w:r w:rsidRPr="00EB687D">
              <w:rPr>
                <w:rFonts w:eastAsia="Calibri" w:cs="Times New Roman"/>
              </w:rPr>
              <w:t>In the Matter of The Commission’s Investigation of the Financial Impact of the Tax Cuts and Jobs Act of 2017 on Regulated Ohio Utility Companies.</w:t>
            </w:r>
          </w:p>
        </w:tc>
        <w:tc>
          <w:tcPr>
            <w:tcW w:w="554" w:type="dxa"/>
            <w:hideMark/>
          </w:tcPr>
          <w:p w14:paraId="2E3ED051" w14:textId="77777777" w:rsidR="007057FC" w:rsidRPr="00EB687D" w:rsidRDefault="007057FC" w:rsidP="001F0BAD">
            <w:pPr>
              <w:rPr>
                <w:rFonts w:eastAsia="Calibri" w:cs="Times New Roman"/>
              </w:rPr>
            </w:pPr>
            <w:r w:rsidRPr="00EB687D">
              <w:rPr>
                <w:rFonts w:eastAsia="Calibri" w:cs="Times New Roman"/>
              </w:rPr>
              <w:t>)</w:t>
            </w:r>
          </w:p>
          <w:p w14:paraId="3ACA6C39" w14:textId="77777777" w:rsidR="007057FC" w:rsidRPr="00EB687D" w:rsidRDefault="007057FC" w:rsidP="001F0BAD">
            <w:pPr>
              <w:rPr>
                <w:rFonts w:eastAsia="Calibri" w:cs="Times New Roman"/>
              </w:rPr>
            </w:pPr>
            <w:r w:rsidRPr="00EB687D">
              <w:rPr>
                <w:rFonts w:eastAsia="Calibri" w:cs="Times New Roman"/>
              </w:rPr>
              <w:t>)</w:t>
            </w:r>
          </w:p>
          <w:p w14:paraId="02A69469" w14:textId="77777777" w:rsidR="007057FC" w:rsidRPr="00EB687D" w:rsidRDefault="007057FC" w:rsidP="001F0BAD">
            <w:pPr>
              <w:rPr>
                <w:rFonts w:eastAsia="Calibri" w:cs="Times New Roman"/>
              </w:rPr>
            </w:pPr>
            <w:r w:rsidRPr="00EB687D">
              <w:rPr>
                <w:rFonts w:eastAsia="Calibri" w:cs="Times New Roman"/>
              </w:rPr>
              <w:t>)</w:t>
            </w:r>
          </w:p>
          <w:p w14:paraId="4B98417B" w14:textId="77777777" w:rsidR="007057FC" w:rsidRPr="00EB687D" w:rsidRDefault="007057FC" w:rsidP="001F0BAD">
            <w:pPr>
              <w:rPr>
                <w:rFonts w:eastAsia="Calibri" w:cs="Times New Roman"/>
              </w:rPr>
            </w:pPr>
            <w:r w:rsidRPr="00EB687D">
              <w:rPr>
                <w:rFonts w:eastAsia="Calibri" w:cs="Times New Roman"/>
              </w:rPr>
              <w:t>)</w:t>
            </w:r>
          </w:p>
        </w:tc>
        <w:tc>
          <w:tcPr>
            <w:tcW w:w="4576" w:type="dxa"/>
          </w:tcPr>
          <w:p w14:paraId="2B14F483" w14:textId="77777777" w:rsidR="007057FC" w:rsidRPr="00EB687D" w:rsidRDefault="007057FC" w:rsidP="001F0BAD">
            <w:pPr>
              <w:rPr>
                <w:rFonts w:eastAsia="Calibri" w:cs="Times New Roman"/>
              </w:rPr>
            </w:pPr>
          </w:p>
          <w:p w14:paraId="5DF5147D" w14:textId="77777777" w:rsidR="007057FC" w:rsidRPr="00EB687D" w:rsidRDefault="007057FC" w:rsidP="001F0BAD">
            <w:pPr>
              <w:rPr>
                <w:rFonts w:eastAsia="Calibri" w:cs="Times New Roman"/>
              </w:rPr>
            </w:pPr>
            <w:r w:rsidRPr="00EB687D">
              <w:rPr>
                <w:rFonts w:eastAsia="Calibri" w:cs="Times New Roman"/>
              </w:rPr>
              <w:t>Case No. 18-0047-AU-COI</w:t>
            </w:r>
          </w:p>
        </w:tc>
      </w:tr>
    </w:tbl>
    <w:p w14:paraId="48680C34" w14:textId="77777777" w:rsidR="007057FC" w:rsidRPr="004F7151" w:rsidRDefault="007057FC" w:rsidP="007057FC">
      <w:pPr>
        <w:tabs>
          <w:tab w:val="left" w:pos="5040"/>
        </w:tabs>
        <w:jc w:val="both"/>
        <w:rPr>
          <w:rFonts w:eastAsia="Times New Roman" w:cs="Arial"/>
        </w:rPr>
      </w:pPr>
    </w:p>
    <w:p w14:paraId="5AA90B25" w14:textId="77777777" w:rsidR="007057FC" w:rsidRPr="00A95790" w:rsidRDefault="007057FC" w:rsidP="007057FC">
      <w:pPr>
        <w:keepNext/>
        <w:pBdr>
          <w:top w:val="single" w:sz="12" w:space="1" w:color="auto"/>
        </w:pBdr>
        <w:tabs>
          <w:tab w:val="left" w:pos="7320"/>
        </w:tabs>
        <w:jc w:val="center"/>
        <w:outlineLvl w:val="0"/>
        <w:rPr>
          <w:rFonts w:eastAsia="Times New Roman" w:cs="Arial"/>
          <w:b/>
          <w:smallCaps/>
          <w:szCs w:val="28"/>
        </w:rPr>
      </w:pPr>
    </w:p>
    <w:bookmarkEnd w:id="0"/>
    <w:bookmarkEnd w:id="1"/>
    <w:p w14:paraId="221D65A2" w14:textId="77777777" w:rsidR="007057FC" w:rsidRDefault="00495305" w:rsidP="007057FC">
      <w:pPr>
        <w:jc w:val="center"/>
        <w:rPr>
          <w:rFonts w:ascii="Arial Bold" w:hAnsi="Arial Bold"/>
          <w:b/>
          <w:smallCaps/>
          <w:sz w:val="32"/>
          <w:szCs w:val="32"/>
        </w:rPr>
      </w:pPr>
      <w:r>
        <w:rPr>
          <w:rFonts w:ascii="Arial Bold" w:hAnsi="Arial Bold"/>
          <w:b/>
          <w:smallCaps/>
          <w:sz w:val="32"/>
          <w:szCs w:val="32"/>
        </w:rPr>
        <w:t>Brief of Industrial Energy Users-Ohio</w:t>
      </w:r>
    </w:p>
    <w:p w14:paraId="5CD0AD80" w14:textId="77777777" w:rsidR="007057FC" w:rsidRPr="00F23BDE" w:rsidRDefault="007057FC" w:rsidP="007057FC">
      <w:pPr>
        <w:jc w:val="center"/>
        <w:rPr>
          <w:rFonts w:eastAsia="Times New Roman" w:cs="Arial"/>
          <w:b/>
          <w:smallCaps/>
          <w:szCs w:val="28"/>
          <w:u w:val="single"/>
        </w:rPr>
      </w:pPr>
    </w:p>
    <w:p w14:paraId="4C9CE370" w14:textId="77777777" w:rsidR="007057FC" w:rsidRPr="004F7151" w:rsidRDefault="007057FC" w:rsidP="007057FC">
      <w:pPr>
        <w:keepNext/>
        <w:pBdr>
          <w:top w:val="single" w:sz="12" w:space="1" w:color="auto"/>
        </w:pBdr>
        <w:tabs>
          <w:tab w:val="left" w:pos="7320"/>
        </w:tabs>
        <w:jc w:val="center"/>
        <w:outlineLvl w:val="0"/>
        <w:rPr>
          <w:rFonts w:ascii="Arial Bold" w:eastAsia="Times New Roman" w:hAnsi="Arial Bold" w:cs="Arial"/>
          <w:b/>
          <w:smallCaps/>
          <w:sz w:val="28"/>
          <w:szCs w:val="28"/>
        </w:rPr>
      </w:pPr>
    </w:p>
    <w:p w14:paraId="39CE14A8" w14:textId="77777777" w:rsidR="007057FC" w:rsidRPr="004F7151" w:rsidRDefault="007057FC" w:rsidP="007057FC">
      <w:pPr>
        <w:jc w:val="center"/>
        <w:rPr>
          <w:rFonts w:eastAsia="Times New Roman" w:cs="Arial"/>
          <w:b/>
          <w:smallCaps/>
          <w:sz w:val="28"/>
          <w:szCs w:val="28"/>
          <w:u w:val="single"/>
        </w:rPr>
      </w:pPr>
    </w:p>
    <w:p w14:paraId="31FB4A1F" w14:textId="77777777" w:rsidR="007057FC" w:rsidRPr="00EB687D" w:rsidRDefault="007057FC" w:rsidP="007057FC">
      <w:pPr>
        <w:tabs>
          <w:tab w:val="left" w:pos="720"/>
          <w:tab w:val="left" w:pos="4320"/>
          <w:tab w:val="right" w:pos="8640"/>
        </w:tabs>
        <w:ind w:left="4320"/>
        <w:rPr>
          <w:rFonts w:eastAsia="Calibri" w:cs="Arial"/>
        </w:rPr>
      </w:pPr>
    </w:p>
    <w:p w14:paraId="10575FFB" w14:textId="77777777" w:rsidR="007057FC" w:rsidRPr="00EB687D" w:rsidRDefault="007057FC" w:rsidP="007057FC">
      <w:pPr>
        <w:tabs>
          <w:tab w:val="left" w:pos="720"/>
          <w:tab w:val="left" w:pos="4320"/>
          <w:tab w:val="right" w:pos="8640"/>
        </w:tabs>
        <w:ind w:left="4320"/>
        <w:rPr>
          <w:rFonts w:eastAsia="Calibri" w:cs="Arial"/>
        </w:rPr>
      </w:pPr>
    </w:p>
    <w:p w14:paraId="0309D610" w14:textId="77777777" w:rsidR="007057FC" w:rsidRPr="00EB687D" w:rsidRDefault="007057FC" w:rsidP="007057FC">
      <w:pPr>
        <w:tabs>
          <w:tab w:val="left" w:pos="720"/>
          <w:tab w:val="left" w:pos="4320"/>
          <w:tab w:val="right" w:pos="8640"/>
        </w:tabs>
        <w:ind w:left="4320"/>
        <w:rPr>
          <w:rFonts w:eastAsia="Calibri" w:cs="Arial"/>
        </w:rPr>
      </w:pPr>
    </w:p>
    <w:p w14:paraId="2B65C7EE" w14:textId="77777777" w:rsidR="007057FC" w:rsidRPr="00EB687D" w:rsidRDefault="007057FC" w:rsidP="007057FC">
      <w:pPr>
        <w:tabs>
          <w:tab w:val="left" w:pos="720"/>
          <w:tab w:val="left" w:pos="4320"/>
          <w:tab w:val="right" w:pos="8640"/>
        </w:tabs>
        <w:ind w:left="4320"/>
        <w:rPr>
          <w:rFonts w:eastAsia="Calibri" w:cs="Arial"/>
        </w:rPr>
      </w:pPr>
    </w:p>
    <w:p w14:paraId="7AB3BE11" w14:textId="77777777" w:rsidR="007057FC" w:rsidRPr="00EB687D" w:rsidRDefault="007057FC" w:rsidP="007057FC">
      <w:pPr>
        <w:tabs>
          <w:tab w:val="left" w:pos="720"/>
          <w:tab w:val="left" w:pos="4320"/>
          <w:tab w:val="right" w:pos="8640"/>
        </w:tabs>
        <w:ind w:left="4320"/>
        <w:rPr>
          <w:rFonts w:eastAsia="Calibri" w:cs="Arial"/>
        </w:rPr>
      </w:pPr>
    </w:p>
    <w:p w14:paraId="5C8F8364" w14:textId="77777777" w:rsidR="007057FC" w:rsidRPr="00EB687D" w:rsidRDefault="007057FC" w:rsidP="007057FC">
      <w:pPr>
        <w:tabs>
          <w:tab w:val="left" w:pos="720"/>
          <w:tab w:val="left" w:pos="4320"/>
          <w:tab w:val="right" w:pos="8640"/>
        </w:tabs>
        <w:ind w:left="4320"/>
        <w:rPr>
          <w:rFonts w:eastAsia="Calibri" w:cs="Arial"/>
        </w:rPr>
      </w:pPr>
    </w:p>
    <w:p w14:paraId="08B07EDB" w14:textId="77777777" w:rsidR="007057FC" w:rsidRPr="00EB687D" w:rsidRDefault="007057FC" w:rsidP="007057FC">
      <w:pPr>
        <w:tabs>
          <w:tab w:val="left" w:pos="720"/>
          <w:tab w:val="left" w:pos="4320"/>
          <w:tab w:val="right" w:pos="8640"/>
        </w:tabs>
        <w:ind w:left="4320"/>
        <w:rPr>
          <w:rFonts w:eastAsia="Calibri" w:cs="Arial"/>
        </w:rPr>
      </w:pPr>
    </w:p>
    <w:p w14:paraId="75FF3DC5" w14:textId="77777777" w:rsidR="007057FC" w:rsidRPr="00EB687D" w:rsidRDefault="007057FC" w:rsidP="007057FC">
      <w:pPr>
        <w:tabs>
          <w:tab w:val="left" w:pos="720"/>
          <w:tab w:val="left" w:pos="4320"/>
          <w:tab w:val="right" w:pos="8640"/>
        </w:tabs>
        <w:ind w:left="4320"/>
        <w:rPr>
          <w:rFonts w:eastAsia="Calibri" w:cs="Arial"/>
        </w:rPr>
      </w:pPr>
    </w:p>
    <w:p w14:paraId="5BF1A0D5" w14:textId="77777777" w:rsidR="007057FC" w:rsidRPr="00EB687D" w:rsidRDefault="007057FC" w:rsidP="007057FC">
      <w:pPr>
        <w:tabs>
          <w:tab w:val="left" w:pos="720"/>
          <w:tab w:val="left" w:pos="4320"/>
          <w:tab w:val="right" w:pos="8640"/>
        </w:tabs>
        <w:ind w:left="4320"/>
        <w:rPr>
          <w:rFonts w:eastAsia="Calibri" w:cs="Arial"/>
        </w:rPr>
      </w:pPr>
    </w:p>
    <w:p w14:paraId="5FB3E55E" w14:textId="77777777" w:rsidR="007057FC" w:rsidRPr="00EB687D" w:rsidRDefault="007057FC" w:rsidP="007057FC">
      <w:pPr>
        <w:tabs>
          <w:tab w:val="left" w:pos="720"/>
          <w:tab w:val="left" w:pos="4320"/>
          <w:tab w:val="right" w:pos="8640"/>
        </w:tabs>
        <w:ind w:left="4320"/>
        <w:rPr>
          <w:rFonts w:eastAsia="Calibri" w:cs="Arial"/>
        </w:rPr>
      </w:pPr>
    </w:p>
    <w:p w14:paraId="137326C3" w14:textId="77777777" w:rsidR="007057FC" w:rsidRPr="00EB687D" w:rsidRDefault="007057FC" w:rsidP="007057FC">
      <w:pPr>
        <w:tabs>
          <w:tab w:val="left" w:pos="720"/>
          <w:tab w:val="left" w:pos="4320"/>
          <w:tab w:val="right" w:pos="8640"/>
        </w:tabs>
        <w:ind w:left="4320"/>
        <w:rPr>
          <w:rFonts w:eastAsia="Calibri" w:cs="Arial"/>
        </w:rPr>
      </w:pPr>
    </w:p>
    <w:p w14:paraId="43A2B1A0" w14:textId="77777777" w:rsidR="007057FC" w:rsidRPr="00EB687D" w:rsidRDefault="007057FC" w:rsidP="007057FC">
      <w:pPr>
        <w:tabs>
          <w:tab w:val="left" w:pos="720"/>
          <w:tab w:val="left" w:pos="4320"/>
          <w:tab w:val="right" w:pos="8640"/>
        </w:tabs>
        <w:ind w:left="4320"/>
        <w:rPr>
          <w:rFonts w:eastAsia="Calibri" w:cs="Arial"/>
        </w:rPr>
      </w:pPr>
    </w:p>
    <w:p w14:paraId="53851619" w14:textId="77777777" w:rsidR="007057FC" w:rsidRPr="00EB687D" w:rsidRDefault="007057FC" w:rsidP="007057FC">
      <w:pPr>
        <w:tabs>
          <w:tab w:val="left" w:pos="720"/>
          <w:tab w:val="left" w:pos="4320"/>
          <w:tab w:val="right" w:pos="8640"/>
        </w:tabs>
        <w:ind w:left="4320"/>
        <w:rPr>
          <w:rFonts w:eastAsia="Calibri" w:cs="Arial"/>
        </w:rPr>
      </w:pPr>
    </w:p>
    <w:p w14:paraId="33ADA828" w14:textId="77777777" w:rsidR="007057FC" w:rsidRPr="00EB687D" w:rsidRDefault="007057FC" w:rsidP="007057FC">
      <w:pPr>
        <w:tabs>
          <w:tab w:val="left" w:pos="720"/>
          <w:tab w:val="left" w:pos="4320"/>
          <w:tab w:val="right" w:pos="8640"/>
        </w:tabs>
        <w:ind w:left="4320"/>
        <w:rPr>
          <w:rFonts w:eastAsia="Calibri" w:cs="Arial"/>
        </w:rPr>
      </w:pPr>
    </w:p>
    <w:p w14:paraId="2818CFAA" w14:textId="77777777" w:rsidR="007057FC" w:rsidRPr="00EB687D" w:rsidRDefault="007057FC" w:rsidP="007057FC">
      <w:pPr>
        <w:tabs>
          <w:tab w:val="left" w:pos="720"/>
          <w:tab w:val="left" w:pos="4320"/>
          <w:tab w:val="right" w:pos="8640"/>
        </w:tabs>
        <w:ind w:left="4320"/>
        <w:rPr>
          <w:rFonts w:eastAsia="Calibri" w:cs="Arial"/>
        </w:rPr>
      </w:pPr>
    </w:p>
    <w:p w14:paraId="5AE36B06" w14:textId="77777777" w:rsidR="007057FC" w:rsidRDefault="007057FC" w:rsidP="007057FC">
      <w:pPr>
        <w:tabs>
          <w:tab w:val="left" w:pos="720"/>
          <w:tab w:val="left" w:pos="4320"/>
          <w:tab w:val="right" w:pos="8640"/>
        </w:tabs>
        <w:ind w:left="4320"/>
        <w:rPr>
          <w:rFonts w:eastAsia="Calibri" w:cs="Arial"/>
        </w:rPr>
      </w:pPr>
    </w:p>
    <w:p w14:paraId="2E3ACF2A" w14:textId="77777777" w:rsidR="00AB22BF" w:rsidRDefault="00AB22BF" w:rsidP="007057FC">
      <w:pPr>
        <w:tabs>
          <w:tab w:val="left" w:pos="720"/>
          <w:tab w:val="left" w:pos="4320"/>
          <w:tab w:val="right" w:pos="8640"/>
        </w:tabs>
        <w:ind w:left="4320"/>
        <w:rPr>
          <w:rFonts w:eastAsia="Calibri" w:cs="Arial"/>
        </w:rPr>
      </w:pPr>
    </w:p>
    <w:p w14:paraId="10C6F83E" w14:textId="77777777" w:rsidR="007057FC" w:rsidRPr="00EB687D" w:rsidRDefault="007057FC" w:rsidP="007057FC">
      <w:pPr>
        <w:tabs>
          <w:tab w:val="left" w:pos="720"/>
          <w:tab w:val="left" w:pos="4320"/>
          <w:tab w:val="right" w:pos="8640"/>
        </w:tabs>
        <w:ind w:left="4320"/>
        <w:rPr>
          <w:rFonts w:eastAsia="Calibri" w:cs="Arial"/>
        </w:rPr>
      </w:pPr>
    </w:p>
    <w:p w14:paraId="3C2E19F9" w14:textId="77777777" w:rsidR="00E0550C" w:rsidRPr="00530185" w:rsidRDefault="00E0550C" w:rsidP="00E0550C">
      <w:pPr>
        <w:tabs>
          <w:tab w:val="left" w:pos="5040"/>
        </w:tabs>
        <w:ind w:left="4320"/>
        <w:rPr>
          <w:rFonts w:cs="Arial"/>
        </w:rPr>
      </w:pPr>
      <w:r w:rsidRPr="00530185">
        <w:rPr>
          <w:rFonts w:cs="Arial"/>
          <w:b/>
        </w:rPr>
        <w:t xml:space="preserve">Frank P. </w:t>
      </w:r>
      <w:proofErr w:type="spellStart"/>
      <w:r w:rsidRPr="00530185">
        <w:rPr>
          <w:rFonts w:cs="Arial"/>
          <w:b/>
        </w:rPr>
        <w:t>Darr</w:t>
      </w:r>
      <w:proofErr w:type="spellEnd"/>
      <w:r w:rsidRPr="00530185">
        <w:rPr>
          <w:rFonts w:cs="Arial"/>
          <w:b/>
        </w:rPr>
        <w:t xml:space="preserve"> </w:t>
      </w:r>
      <w:r w:rsidRPr="00530185">
        <w:rPr>
          <w:rFonts w:cs="Arial"/>
        </w:rPr>
        <w:t>(Reg. No. 0025469)</w:t>
      </w:r>
    </w:p>
    <w:p w14:paraId="4FA728D1" w14:textId="77777777" w:rsidR="00E0550C" w:rsidRPr="00530185" w:rsidRDefault="00E0550C" w:rsidP="00E0550C">
      <w:pPr>
        <w:tabs>
          <w:tab w:val="left" w:pos="5040"/>
        </w:tabs>
        <w:ind w:left="4320"/>
        <w:rPr>
          <w:rFonts w:cs="Arial"/>
          <w:color w:val="000000"/>
        </w:rPr>
      </w:pPr>
      <w:r w:rsidRPr="00530185">
        <w:rPr>
          <w:rFonts w:cs="Arial"/>
          <w:b/>
        </w:rPr>
        <w:t xml:space="preserve"> </w:t>
      </w:r>
      <w:r w:rsidRPr="00530185">
        <w:rPr>
          <w:rFonts w:cs="Arial"/>
          <w:color w:val="000000"/>
        </w:rPr>
        <w:t xml:space="preserve"> (Counsel of Record)</w:t>
      </w:r>
    </w:p>
    <w:p w14:paraId="5AD5BF14" w14:textId="77777777" w:rsidR="00E0550C" w:rsidRPr="00530185" w:rsidRDefault="00E0550C" w:rsidP="00E0550C">
      <w:pPr>
        <w:tabs>
          <w:tab w:val="left" w:pos="5040"/>
        </w:tabs>
        <w:ind w:left="4320"/>
        <w:rPr>
          <w:rFonts w:cs="Arial"/>
          <w:color w:val="000000"/>
        </w:rPr>
      </w:pPr>
      <w:r w:rsidRPr="00530185">
        <w:rPr>
          <w:rFonts w:cs="Arial"/>
          <w:b/>
          <w:color w:val="000000"/>
        </w:rPr>
        <w:t xml:space="preserve">Matthew R. Pritchard </w:t>
      </w:r>
      <w:r w:rsidRPr="00530185">
        <w:rPr>
          <w:rFonts w:cs="Arial"/>
          <w:color w:val="000000"/>
        </w:rPr>
        <w:t>(Reg. No. 0088070)</w:t>
      </w:r>
    </w:p>
    <w:p w14:paraId="55104459" w14:textId="77777777" w:rsidR="00E0550C" w:rsidRPr="00530185" w:rsidRDefault="00E0550C" w:rsidP="00E0550C">
      <w:pPr>
        <w:tabs>
          <w:tab w:val="left" w:pos="5040"/>
        </w:tabs>
        <w:ind w:left="4320"/>
        <w:rPr>
          <w:rFonts w:cs="Arial"/>
          <w:color w:val="000000"/>
        </w:rPr>
      </w:pPr>
      <w:r w:rsidRPr="00530185">
        <w:rPr>
          <w:rFonts w:cs="Arial"/>
          <w:color w:val="000000"/>
        </w:rPr>
        <w:t xml:space="preserve">McNees Wallace &amp; </w:t>
      </w:r>
      <w:proofErr w:type="spellStart"/>
      <w:r w:rsidRPr="00530185">
        <w:rPr>
          <w:rFonts w:cs="Arial"/>
          <w:color w:val="000000"/>
        </w:rPr>
        <w:t>Nurick</w:t>
      </w:r>
      <w:proofErr w:type="spellEnd"/>
      <w:r w:rsidRPr="00530185">
        <w:rPr>
          <w:rFonts w:cs="Arial"/>
          <w:color w:val="000000"/>
        </w:rPr>
        <w:t xml:space="preserve"> </w:t>
      </w:r>
      <w:r w:rsidRPr="00530185">
        <w:rPr>
          <w:rFonts w:cs="Arial"/>
          <w:smallCaps/>
          <w:color w:val="000000"/>
        </w:rPr>
        <w:t>LLC</w:t>
      </w:r>
    </w:p>
    <w:p w14:paraId="6C1ADB41" w14:textId="77777777" w:rsidR="00E0550C" w:rsidRPr="00530185" w:rsidRDefault="00E0550C" w:rsidP="00E0550C">
      <w:pPr>
        <w:tabs>
          <w:tab w:val="left" w:pos="5040"/>
        </w:tabs>
        <w:ind w:left="4320"/>
        <w:rPr>
          <w:rFonts w:cs="Arial"/>
          <w:color w:val="000000"/>
        </w:rPr>
      </w:pPr>
      <w:r w:rsidRPr="00530185">
        <w:rPr>
          <w:rFonts w:cs="Arial"/>
          <w:color w:val="000000"/>
        </w:rPr>
        <w:t>21 East State Street, 17</w:t>
      </w:r>
      <w:r w:rsidRPr="00530185">
        <w:rPr>
          <w:rFonts w:cs="Arial"/>
          <w:color w:val="000000"/>
          <w:vertAlign w:val="superscript"/>
        </w:rPr>
        <w:t>th</w:t>
      </w:r>
      <w:r w:rsidRPr="00530185">
        <w:rPr>
          <w:rFonts w:cs="Arial"/>
          <w:color w:val="000000"/>
        </w:rPr>
        <w:t xml:space="preserve"> Floor</w:t>
      </w:r>
    </w:p>
    <w:p w14:paraId="5D5A2D0B" w14:textId="77777777" w:rsidR="00E0550C" w:rsidRPr="00530185" w:rsidRDefault="00E0550C" w:rsidP="00E0550C">
      <w:pPr>
        <w:tabs>
          <w:tab w:val="left" w:pos="5040"/>
        </w:tabs>
        <w:ind w:left="4320"/>
        <w:rPr>
          <w:rFonts w:cs="Arial"/>
          <w:color w:val="000000"/>
        </w:rPr>
      </w:pPr>
      <w:r w:rsidRPr="00530185">
        <w:rPr>
          <w:rFonts w:cs="Arial"/>
          <w:color w:val="000000"/>
        </w:rPr>
        <w:t>Columbus, OH  43215</w:t>
      </w:r>
    </w:p>
    <w:p w14:paraId="677EF681" w14:textId="77777777" w:rsidR="00E0550C" w:rsidRPr="00530185" w:rsidRDefault="00E0550C" w:rsidP="00E0550C">
      <w:pPr>
        <w:tabs>
          <w:tab w:val="left" w:pos="5040"/>
        </w:tabs>
        <w:ind w:left="4320"/>
        <w:rPr>
          <w:rFonts w:cs="Arial"/>
          <w:color w:val="000000"/>
        </w:rPr>
      </w:pPr>
      <w:r w:rsidRPr="00530185">
        <w:rPr>
          <w:rFonts w:cs="Arial"/>
          <w:color w:val="000000"/>
        </w:rPr>
        <w:t>Telephone:  (614) 469-8000</w:t>
      </w:r>
    </w:p>
    <w:p w14:paraId="0CC3A834" w14:textId="77777777" w:rsidR="00E0550C" w:rsidRPr="00530185" w:rsidRDefault="00E0550C" w:rsidP="00E0550C">
      <w:pPr>
        <w:tabs>
          <w:tab w:val="left" w:pos="5040"/>
        </w:tabs>
        <w:ind w:left="4320"/>
        <w:rPr>
          <w:rFonts w:cs="Arial"/>
          <w:color w:val="000000"/>
        </w:rPr>
      </w:pPr>
      <w:r w:rsidRPr="00530185">
        <w:rPr>
          <w:rFonts w:cs="Arial"/>
          <w:color w:val="000000"/>
        </w:rPr>
        <w:t>Facsimile:  (614) 469-4653</w:t>
      </w:r>
    </w:p>
    <w:p w14:paraId="4918979A" w14:textId="77777777" w:rsidR="00E0550C" w:rsidRPr="00530185" w:rsidRDefault="00E0550C" w:rsidP="00E0550C">
      <w:pPr>
        <w:tabs>
          <w:tab w:val="left" w:pos="5040"/>
        </w:tabs>
        <w:ind w:left="4320"/>
        <w:rPr>
          <w:rFonts w:cs="Arial"/>
          <w:color w:val="000000"/>
        </w:rPr>
      </w:pPr>
      <w:r w:rsidRPr="00530185">
        <w:rPr>
          <w:rFonts w:cs="Arial"/>
          <w:color w:val="000000"/>
        </w:rPr>
        <w:t>fdarr@mwncmh.com</w:t>
      </w:r>
    </w:p>
    <w:p w14:paraId="4F7CB813" w14:textId="77777777" w:rsidR="00E0550C" w:rsidRDefault="00E0550C" w:rsidP="00E0550C">
      <w:pPr>
        <w:tabs>
          <w:tab w:val="left" w:pos="5040"/>
        </w:tabs>
        <w:ind w:left="4320"/>
        <w:rPr>
          <w:rFonts w:cs="Arial"/>
        </w:rPr>
      </w:pPr>
      <w:r>
        <w:rPr>
          <w:rFonts w:cs="Arial"/>
        </w:rPr>
        <w:t xml:space="preserve">(willing to accept service </w:t>
      </w:r>
      <w:r w:rsidRPr="001C6846">
        <w:rPr>
          <w:rFonts w:cs="Arial"/>
          <w:i/>
        </w:rPr>
        <w:t>via</w:t>
      </w:r>
      <w:r>
        <w:rPr>
          <w:rFonts w:cs="Arial"/>
        </w:rPr>
        <w:t xml:space="preserve"> email)</w:t>
      </w:r>
    </w:p>
    <w:p w14:paraId="7EAE9587" w14:textId="77777777" w:rsidR="00E0550C" w:rsidRPr="00530185" w:rsidRDefault="00E0550C" w:rsidP="00E0550C">
      <w:pPr>
        <w:tabs>
          <w:tab w:val="left" w:pos="5040"/>
        </w:tabs>
        <w:ind w:left="4320"/>
        <w:rPr>
          <w:rFonts w:cs="Arial"/>
        </w:rPr>
      </w:pPr>
      <w:r w:rsidRPr="00530185">
        <w:rPr>
          <w:rFonts w:cs="Arial"/>
        </w:rPr>
        <w:t>mpritchard@mwncmh.com</w:t>
      </w:r>
    </w:p>
    <w:p w14:paraId="0AAB5A13" w14:textId="77777777" w:rsidR="00E0550C" w:rsidRDefault="00E0550C" w:rsidP="00E0550C">
      <w:pPr>
        <w:tabs>
          <w:tab w:val="left" w:pos="5040"/>
        </w:tabs>
        <w:ind w:left="4320"/>
        <w:rPr>
          <w:rFonts w:cs="Arial"/>
        </w:rPr>
      </w:pPr>
      <w:r>
        <w:rPr>
          <w:rFonts w:cs="Arial"/>
        </w:rPr>
        <w:t xml:space="preserve">(willing to accept service </w:t>
      </w:r>
      <w:r w:rsidRPr="001C6846">
        <w:rPr>
          <w:rFonts w:cs="Arial"/>
          <w:i/>
        </w:rPr>
        <w:t>via</w:t>
      </w:r>
      <w:r>
        <w:rPr>
          <w:rFonts w:cs="Arial"/>
        </w:rPr>
        <w:t xml:space="preserve"> email)</w:t>
      </w:r>
    </w:p>
    <w:p w14:paraId="6AAB5275" w14:textId="77777777" w:rsidR="007057FC" w:rsidRPr="00EB687D" w:rsidRDefault="007057FC" w:rsidP="007057FC">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14:paraId="49873E40" w14:textId="75CA9D95" w:rsidR="007057FC" w:rsidRPr="00EB687D" w:rsidRDefault="00FA6634" w:rsidP="007057FC">
      <w:pPr>
        <w:tabs>
          <w:tab w:val="left" w:pos="4230"/>
        </w:tabs>
        <w:rPr>
          <w:rFonts w:eastAsia="Calibri" w:cs="Arial"/>
          <w:b/>
          <w:smallCaps/>
        </w:rPr>
      </w:pPr>
      <w:r>
        <w:rPr>
          <w:rFonts w:eastAsia="Calibri" w:cs="Arial"/>
          <w:b/>
          <w:smallCaps/>
        </w:rPr>
        <w:t>August 13</w:t>
      </w:r>
      <w:r w:rsidR="007057FC" w:rsidRPr="00EB687D">
        <w:rPr>
          <w:rFonts w:eastAsia="Calibri" w:cs="Arial"/>
          <w:b/>
          <w:smallCaps/>
        </w:rPr>
        <w:t>, 2018</w:t>
      </w:r>
      <w:r w:rsidR="007057FC" w:rsidRPr="00EB687D">
        <w:rPr>
          <w:rFonts w:eastAsia="Calibri" w:cs="Arial"/>
          <w:b/>
          <w:smallCaps/>
        </w:rPr>
        <w:tab/>
      </w:r>
      <w:r w:rsidR="007057FC" w:rsidRPr="00EB687D">
        <w:rPr>
          <w:rFonts w:eastAsia="Calibri" w:cs="Arial"/>
          <w:b/>
          <w:smallCaps/>
        </w:rPr>
        <w:tab/>
      </w:r>
      <w:r w:rsidR="007057FC" w:rsidRPr="00EB687D">
        <w:rPr>
          <w:rFonts w:ascii="Arial Bold" w:hAnsi="Arial Bold" w:cs="Arial"/>
          <w:b/>
          <w:smallCaps/>
        </w:rPr>
        <w:t xml:space="preserve">Counsel </w:t>
      </w:r>
      <w:r w:rsidR="007057FC" w:rsidRPr="00EB687D">
        <w:rPr>
          <w:rFonts w:eastAsia="Calibri" w:cs="Arial"/>
          <w:b/>
          <w:smallCaps/>
        </w:rPr>
        <w:t>for Industrial Energy Users-Ohio</w:t>
      </w:r>
    </w:p>
    <w:p w14:paraId="646BFEBB" w14:textId="77777777" w:rsidR="007057FC" w:rsidRDefault="007057FC" w:rsidP="007057FC">
      <w:pPr>
        <w:rPr>
          <w:rFonts w:eastAsia="Calibri" w:cs="Arial"/>
          <w:b/>
          <w:smallCaps/>
        </w:rPr>
        <w:sectPr w:rsidR="007057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1E1831D7" w14:textId="77777777" w:rsidR="007057FC" w:rsidRPr="00A95790" w:rsidRDefault="007057FC" w:rsidP="007057FC">
      <w:pPr>
        <w:tabs>
          <w:tab w:val="left" w:pos="4320"/>
        </w:tabs>
        <w:jc w:val="center"/>
        <w:rPr>
          <w:rFonts w:eastAsia="Times New Roman" w:cs="Arial"/>
          <w:b/>
          <w:smallCaps/>
        </w:rPr>
      </w:pPr>
      <w:r w:rsidRPr="00A95790">
        <w:rPr>
          <w:rFonts w:eastAsia="Times New Roman" w:cs="Arial"/>
          <w:b/>
          <w:smallCaps/>
        </w:rPr>
        <w:lastRenderedPageBreak/>
        <w:t>Before</w:t>
      </w:r>
    </w:p>
    <w:p w14:paraId="213CB9C8" w14:textId="77777777" w:rsidR="007057FC" w:rsidRPr="004F7151" w:rsidRDefault="007057FC" w:rsidP="007057FC">
      <w:pPr>
        <w:jc w:val="center"/>
        <w:rPr>
          <w:rFonts w:eastAsia="Times New Roman" w:cs="Arial"/>
          <w:b/>
          <w:smallCaps/>
          <w:sz w:val="28"/>
        </w:rPr>
      </w:pPr>
      <w:r w:rsidRPr="00A95790">
        <w:rPr>
          <w:rFonts w:eastAsia="Times New Roman" w:cs="Arial"/>
          <w:b/>
          <w:smallCaps/>
        </w:rPr>
        <w:t>The Public Utilities Co</w:t>
      </w:r>
      <w:r w:rsidRPr="004F7151">
        <w:rPr>
          <w:rFonts w:eastAsia="Times New Roman" w:cs="Arial"/>
          <w:b/>
          <w:smallCaps/>
          <w:sz w:val="28"/>
        </w:rPr>
        <w:t xml:space="preserve">mmission of </w:t>
      </w:r>
      <w:smartTag w:uri="urn:schemas-microsoft-com:office:smarttags" w:element="State">
        <w:smartTag w:uri="urn:schemas-microsoft-com:office:smarttags" w:element="place">
          <w:r w:rsidRPr="004F7151">
            <w:rPr>
              <w:rFonts w:eastAsia="Times New Roman" w:cs="Arial"/>
              <w:b/>
              <w:smallCaps/>
              <w:sz w:val="28"/>
            </w:rPr>
            <w:t>Ohio</w:t>
          </w:r>
        </w:smartTag>
      </w:smartTag>
    </w:p>
    <w:p w14:paraId="31AFFBBC" w14:textId="77777777" w:rsidR="007057FC" w:rsidRPr="00A95790" w:rsidRDefault="007057FC" w:rsidP="007057FC">
      <w:pPr>
        <w:jc w:val="center"/>
        <w:rPr>
          <w:rFonts w:eastAsia="Calibri" w:cs="Arial"/>
        </w:rPr>
      </w:pPr>
    </w:p>
    <w:tbl>
      <w:tblPr>
        <w:tblW w:w="0" w:type="auto"/>
        <w:tblLook w:val="04A0" w:firstRow="1" w:lastRow="0" w:firstColumn="1" w:lastColumn="0" w:noHBand="0" w:noVBand="1"/>
      </w:tblPr>
      <w:tblGrid>
        <w:gridCol w:w="4230"/>
        <w:gridCol w:w="554"/>
        <w:gridCol w:w="4576"/>
      </w:tblGrid>
      <w:tr w:rsidR="007057FC" w:rsidRPr="004F7151" w14:paraId="45D95571" w14:textId="77777777" w:rsidTr="001F0BAD">
        <w:tc>
          <w:tcPr>
            <w:tcW w:w="4230" w:type="dxa"/>
            <w:hideMark/>
          </w:tcPr>
          <w:p w14:paraId="4759191D" w14:textId="77777777" w:rsidR="007057FC" w:rsidRPr="00EB687D" w:rsidRDefault="007057FC" w:rsidP="001F0BAD">
            <w:pPr>
              <w:rPr>
                <w:rFonts w:eastAsia="Calibri" w:cs="Times New Roman"/>
              </w:rPr>
            </w:pPr>
            <w:r w:rsidRPr="00EB687D">
              <w:rPr>
                <w:rFonts w:eastAsia="Calibri" w:cs="Times New Roman"/>
              </w:rPr>
              <w:t>In the Matter of The Commission’s Investigation of the Financial Impact of the Tax Cuts and Jobs Act of 2017 on Regulated Ohio Utility Companies.</w:t>
            </w:r>
          </w:p>
        </w:tc>
        <w:tc>
          <w:tcPr>
            <w:tcW w:w="554" w:type="dxa"/>
            <w:hideMark/>
          </w:tcPr>
          <w:p w14:paraId="402541C1" w14:textId="77777777" w:rsidR="007057FC" w:rsidRPr="00EB687D" w:rsidRDefault="007057FC" w:rsidP="001F0BAD">
            <w:pPr>
              <w:rPr>
                <w:rFonts w:eastAsia="Calibri" w:cs="Times New Roman"/>
              </w:rPr>
            </w:pPr>
            <w:r w:rsidRPr="00EB687D">
              <w:rPr>
                <w:rFonts w:eastAsia="Calibri" w:cs="Times New Roman"/>
              </w:rPr>
              <w:t>)</w:t>
            </w:r>
          </w:p>
          <w:p w14:paraId="7058693E" w14:textId="77777777" w:rsidR="007057FC" w:rsidRPr="00EB687D" w:rsidRDefault="007057FC" w:rsidP="001F0BAD">
            <w:pPr>
              <w:rPr>
                <w:rFonts w:eastAsia="Calibri" w:cs="Times New Roman"/>
              </w:rPr>
            </w:pPr>
            <w:r w:rsidRPr="00EB687D">
              <w:rPr>
                <w:rFonts w:eastAsia="Calibri" w:cs="Times New Roman"/>
              </w:rPr>
              <w:t>)</w:t>
            </w:r>
          </w:p>
          <w:p w14:paraId="0ACA7174" w14:textId="77777777" w:rsidR="007057FC" w:rsidRPr="00EB687D" w:rsidRDefault="007057FC" w:rsidP="001F0BAD">
            <w:pPr>
              <w:rPr>
                <w:rFonts w:eastAsia="Calibri" w:cs="Times New Roman"/>
              </w:rPr>
            </w:pPr>
            <w:r w:rsidRPr="00EB687D">
              <w:rPr>
                <w:rFonts w:eastAsia="Calibri" w:cs="Times New Roman"/>
              </w:rPr>
              <w:t>)</w:t>
            </w:r>
          </w:p>
          <w:p w14:paraId="136F216C" w14:textId="77777777" w:rsidR="007057FC" w:rsidRPr="00EB687D" w:rsidRDefault="007057FC" w:rsidP="001F0BAD">
            <w:pPr>
              <w:rPr>
                <w:rFonts w:eastAsia="Calibri" w:cs="Times New Roman"/>
              </w:rPr>
            </w:pPr>
            <w:r w:rsidRPr="00EB687D">
              <w:rPr>
                <w:rFonts w:eastAsia="Calibri" w:cs="Times New Roman"/>
              </w:rPr>
              <w:t>)</w:t>
            </w:r>
          </w:p>
        </w:tc>
        <w:tc>
          <w:tcPr>
            <w:tcW w:w="4576" w:type="dxa"/>
          </w:tcPr>
          <w:p w14:paraId="2961DB24" w14:textId="77777777" w:rsidR="007057FC" w:rsidRPr="00EB687D" w:rsidRDefault="007057FC" w:rsidP="001F0BAD">
            <w:pPr>
              <w:rPr>
                <w:rFonts w:eastAsia="Calibri" w:cs="Times New Roman"/>
              </w:rPr>
            </w:pPr>
          </w:p>
          <w:p w14:paraId="2A20C2AE" w14:textId="77777777" w:rsidR="007057FC" w:rsidRPr="00EB687D" w:rsidRDefault="007057FC" w:rsidP="001F0BAD">
            <w:pPr>
              <w:rPr>
                <w:rFonts w:eastAsia="Calibri" w:cs="Times New Roman"/>
              </w:rPr>
            </w:pPr>
            <w:r w:rsidRPr="00EB687D">
              <w:rPr>
                <w:rFonts w:eastAsia="Calibri" w:cs="Times New Roman"/>
              </w:rPr>
              <w:t>Case No. 18-0047-AU-COI</w:t>
            </w:r>
          </w:p>
        </w:tc>
      </w:tr>
    </w:tbl>
    <w:p w14:paraId="763BD95F" w14:textId="77777777" w:rsidR="0006192E" w:rsidRPr="00A95790" w:rsidRDefault="0006192E" w:rsidP="007057FC">
      <w:pPr>
        <w:jc w:val="center"/>
        <w:rPr>
          <w:rFonts w:eastAsia="Times New Roman" w:cs="Arial"/>
        </w:rPr>
      </w:pPr>
    </w:p>
    <w:p w14:paraId="17AADAC7" w14:textId="77777777" w:rsidR="007057FC" w:rsidRPr="001E5E22" w:rsidRDefault="007057FC" w:rsidP="007057FC">
      <w:pPr>
        <w:keepNext/>
        <w:pBdr>
          <w:top w:val="single" w:sz="12" w:space="1" w:color="auto"/>
        </w:pBdr>
        <w:tabs>
          <w:tab w:val="left" w:pos="7320"/>
        </w:tabs>
        <w:jc w:val="center"/>
        <w:outlineLvl w:val="0"/>
        <w:rPr>
          <w:rFonts w:eastAsia="Times New Roman" w:cs="Arial"/>
          <w:b/>
          <w:smallCaps/>
        </w:rPr>
      </w:pPr>
    </w:p>
    <w:p w14:paraId="1097C735" w14:textId="77777777" w:rsidR="00D03365" w:rsidRDefault="00D03365" w:rsidP="00D03365">
      <w:pPr>
        <w:jc w:val="center"/>
        <w:rPr>
          <w:rFonts w:ascii="Arial Bold" w:hAnsi="Arial Bold"/>
          <w:b/>
          <w:smallCaps/>
          <w:sz w:val="32"/>
          <w:szCs w:val="32"/>
        </w:rPr>
      </w:pPr>
      <w:r>
        <w:rPr>
          <w:rFonts w:ascii="Arial Bold" w:hAnsi="Arial Bold"/>
          <w:b/>
          <w:smallCaps/>
          <w:sz w:val="32"/>
          <w:szCs w:val="32"/>
        </w:rPr>
        <w:t>Brief of Industrial Energy Users-Ohio</w:t>
      </w:r>
    </w:p>
    <w:p w14:paraId="29C1F799" w14:textId="77777777" w:rsidR="00E0550C" w:rsidRPr="00A95790" w:rsidRDefault="00E0550C" w:rsidP="007057FC">
      <w:pPr>
        <w:pBdr>
          <w:bottom w:val="single" w:sz="12" w:space="1" w:color="auto"/>
        </w:pBdr>
        <w:jc w:val="center"/>
        <w:rPr>
          <w:rFonts w:eastAsia="Times New Roman" w:cs="Arial"/>
          <w:b/>
          <w:smallCaps/>
          <w:u w:val="single"/>
        </w:rPr>
      </w:pPr>
    </w:p>
    <w:p w14:paraId="11447D08" w14:textId="77777777" w:rsidR="007057FC" w:rsidRDefault="007057FC" w:rsidP="007057FC"/>
    <w:p w14:paraId="0B7D4439" w14:textId="77777777" w:rsidR="00581BA0" w:rsidRPr="00063708" w:rsidRDefault="00581BA0" w:rsidP="00063708">
      <w:pPr>
        <w:pStyle w:val="ListParagraph"/>
        <w:numPr>
          <w:ilvl w:val="0"/>
          <w:numId w:val="1"/>
        </w:numPr>
        <w:ind w:left="720"/>
        <w:jc w:val="both"/>
        <w:rPr>
          <w:rFonts w:ascii="Arial Bold" w:hAnsi="Arial Bold"/>
          <w:b/>
          <w:caps/>
        </w:rPr>
      </w:pPr>
      <w:r w:rsidRPr="00063708">
        <w:rPr>
          <w:rFonts w:ascii="Arial Bold" w:hAnsi="Arial Bold"/>
          <w:b/>
          <w:caps/>
        </w:rPr>
        <w:t>Introduction</w:t>
      </w:r>
    </w:p>
    <w:p w14:paraId="5FAEE78B" w14:textId="77777777" w:rsidR="00B01098" w:rsidRDefault="00B01098" w:rsidP="00EE04F0">
      <w:pPr>
        <w:pStyle w:val="ListParagraph"/>
        <w:ind w:left="1080"/>
        <w:jc w:val="both"/>
      </w:pPr>
    </w:p>
    <w:p w14:paraId="5E3531B9" w14:textId="43C9119C" w:rsidR="00D232DF" w:rsidRDefault="00E42903" w:rsidP="00271717">
      <w:pPr>
        <w:spacing w:line="480" w:lineRule="auto"/>
        <w:ind w:firstLine="720"/>
        <w:jc w:val="both"/>
      </w:pPr>
      <w:r>
        <w:rPr>
          <w:rFonts w:eastAsia="Calibri"/>
        </w:rPr>
        <w:t xml:space="preserve">On January 1, 2018, </w:t>
      </w:r>
      <w:r w:rsidR="00F3248C">
        <w:rPr>
          <w:rFonts w:eastAsia="Calibri"/>
        </w:rPr>
        <w:t xml:space="preserve">the </w:t>
      </w:r>
      <w:r w:rsidR="002D7683">
        <w:t>Tax Cuts and Jobs Act of 2017 (</w:t>
      </w:r>
      <w:r w:rsidR="003779AA">
        <w:t>“</w:t>
      </w:r>
      <w:r w:rsidR="002D7683">
        <w:t xml:space="preserve">TCJA”) reduced </w:t>
      </w:r>
      <w:r>
        <w:rPr>
          <w:rFonts w:eastAsia="Calibri"/>
        </w:rPr>
        <w:t xml:space="preserve">the federal corporate income tax rate to 21%.  Pub. L. 115-97, </w:t>
      </w:r>
      <w:r>
        <w:rPr>
          <w:rFonts w:eastAsia="Calibri" w:cs="Arial"/>
        </w:rPr>
        <w:t>§</w:t>
      </w:r>
      <w:r>
        <w:rPr>
          <w:rFonts w:eastAsia="Calibri"/>
        </w:rPr>
        <w:t xml:space="preserve"> 13001(a).  </w:t>
      </w:r>
      <w:r w:rsidR="00825DCB">
        <w:t>In response to the enactment of the TCJA</w:t>
      </w:r>
      <w:r w:rsidR="00E442A8">
        <w:t>, t</w:t>
      </w:r>
      <w:r w:rsidR="00D232DF">
        <w:t xml:space="preserve">he Public Utilities Commission of Ohio (“Commission”) opened this investigation on January 10, 2018 “to </w:t>
      </w:r>
      <w:r w:rsidR="007F0465">
        <w:t>consider</w:t>
      </w:r>
      <w:r w:rsidR="00D232DF">
        <w:t xml:space="preserve"> the impacts of the </w:t>
      </w:r>
      <w:r w:rsidR="006E2972">
        <w:t>[</w:t>
      </w:r>
      <w:r w:rsidR="00D232DF">
        <w:t>TCJA</w:t>
      </w:r>
      <w:r w:rsidR="006E2972">
        <w:t>]</w:t>
      </w:r>
      <w:r w:rsidR="00D232DF">
        <w:t xml:space="preserve"> and determine the appropriate course of action to pass benefits </w:t>
      </w:r>
      <w:r w:rsidR="007F0465">
        <w:t xml:space="preserve">resulting from the legislation </w:t>
      </w:r>
      <w:r w:rsidR="00D232DF">
        <w:t xml:space="preserve">on to ratepayers.”  Entry, </w:t>
      </w:r>
      <w:r w:rsidR="00D232DF" w:rsidRPr="00D232DF">
        <w:rPr>
          <w:rFonts w:cs="Arial"/>
        </w:rPr>
        <w:t>¶</w:t>
      </w:r>
      <w:r w:rsidR="00D232DF">
        <w:t xml:space="preserve"> </w:t>
      </w:r>
      <w:r w:rsidR="006E2972">
        <w:t>1</w:t>
      </w:r>
      <w:r w:rsidR="00640A11">
        <w:t xml:space="preserve"> </w:t>
      </w:r>
      <w:r w:rsidR="00D232DF">
        <w:t xml:space="preserve">(Jan. 10, 2018).  It also ordered all </w:t>
      </w:r>
      <w:r w:rsidR="00E442A8">
        <w:t xml:space="preserve">rate regulated </w:t>
      </w:r>
      <w:r w:rsidR="00D232DF">
        <w:t xml:space="preserve">utilities to establish a deferred liability to record the estimated reduction in federal income tax.  </w:t>
      </w:r>
      <w:r w:rsidR="00D232DF" w:rsidRPr="00D232DF">
        <w:rPr>
          <w:i/>
        </w:rPr>
        <w:t>Id.</w:t>
      </w:r>
      <w:r w:rsidR="00D232DF">
        <w:t>,</w:t>
      </w:r>
      <w:r w:rsidR="007F0465">
        <w:t xml:space="preserve"> </w:t>
      </w:r>
      <w:r w:rsidR="00D232DF" w:rsidRPr="00D232DF">
        <w:rPr>
          <w:rFonts w:cs="Arial"/>
        </w:rPr>
        <w:t>¶</w:t>
      </w:r>
      <w:r w:rsidR="007F0465">
        <w:t> </w:t>
      </w:r>
      <w:r w:rsidR="00D232DF">
        <w:t>7.</w:t>
      </w:r>
    </w:p>
    <w:p w14:paraId="39C179AC" w14:textId="615D63C3" w:rsidR="00D232DF" w:rsidRDefault="00D232DF" w:rsidP="00271717">
      <w:pPr>
        <w:spacing w:line="480" w:lineRule="auto"/>
        <w:ind w:firstLine="720"/>
        <w:jc w:val="both"/>
      </w:pPr>
      <w:r>
        <w:t xml:space="preserve">On </w:t>
      </w:r>
      <w:r w:rsidR="00E442A8">
        <w:t>February 9</w:t>
      </w:r>
      <w:r>
        <w:t>, 2018, the Electric Distribution Utilities</w:t>
      </w:r>
      <w:r w:rsidR="00E442A8">
        <w:t xml:space="preserve"> (“EDU”)</w:t>
      </w:r>
      <w:r>
        <w:t xml:space="preserve"> sought rehearing of the Commission’s order directing them and other rate-regulated utilities to establish a deferred liability. </w:t>
      </w:r>
      <w:r w:rsidR="00EF06AB">
        <w:t xml:space="preserve"> </w:t>
      </w:r>
      <w:r w:rsidR="00BB1469">
        <w:t>Joint Application for Rehearing of Ohio Power Company, Ohio Edison Company, The Dayton Power and Light Company, Duke Energy Ohio, Inc., The Cleveland Electric Illuminating Company, and The Toledo Edison Company (Feb. 9, 2018).</w:t>
      </w:r>
      <w:r>
        <w:t xml:space="preserve">  In an Entry on Rehearing, the Commission found that it had authority </w:t>
      </w:r>
      <w:r w:rsidR="00825DCB">
        <w:t>u</w:t>
      </w:r>
      <w:r w:rsidR="004A12CE">
        <w:t>nder R.C</w:t>
      </w:r>
      <w:r w:rsidR="003779AA">
        <w:t>. </w:t>
      </w:r>
      <w:r w:rsidR="004A12CE">
        <w:t xml:space="preserve">4905.13 </w:t>
      </w:r>
      <w:r>
        <w:t xml:space="preserve">to order rate regulated utilities to </w:t>
      </w:r>
      <w:r w:rsidR="006A43C3">
        <w:t>establish a deferred liability</w:t>
      </w:r>
      <w:r w:rsidR="009850E4">
        <w:t xml:space="preserve"> and </w:t>
      </w:r>
      <w:r w:rsidR="000525C7">
        <w:t xml:space="preserve">that it </w:t>
      </w:r>
      <w:r w:rsidR="000525C7">
        <w:rPr>
          <w:rFonts w:cs="Arial"/>
        </w:rPr>
        <w:t>intended to assure</w:t>
      </w:r>
      <w:r w:rsidR="000525C7" w:rsidRPr="00B446DC">
        <w:rPr>
          <w:rFonts w:cs="Arial"/>
        </w:rPr>
        <w:t xml:space="preserve"> that all tax impacts resulting from the TCJA will be returned to </w:t>
      </w:r>
      <w:r w:rsidR="000525C7" w:rsidRPr="00B446DC">
        <w:rPr>
          <w:rFonts w:cs="Arial"/>
        </w:rPr>
        <w:lastRenderedPageBreak/>
        <w:t>customers</w:t>
      </w:r>
      <w:r w:rsidR="009850E4">
        <w:rPr>
          <w:rFonts w:cs="Arial"/>
        </w:rPr>
        <w:t>.</w:t>
      </w:r>
      <w:r w:rsidR="000525C7" w:rsidRPr="00B446DC">
        <w:rPr>
          <w:rFonts w:cs="Arial"/>
        </w:rPr>
        <w:t xml:space="preserve"> </w:t>
      </w:r>
      <w:r w:rsidR="009850E4">
        <w:t xml:space="preserve">Second Entry on Rehearing </w:t>
      </w:r>
      <w:r w:rsidR="00B951FE">
        <w:rPr>
          <w:rFonts w:cs="Arial"/>
        </w:rPr>
        <w:t>¶</w:t>
      </w:r>
      <w:r w:rsidR="004E2D65">
        <w:rPr>
          <w:rFonts w:cs="Arial"/>
        </w:rPr>
        <w:t xml:space="preserve">¶ </w:t>
      </w:r>
      <w:r w:rsidR="00B951FE">
        <w:t xml:space="preserve">15 </w:t>
      </w:r>
      <w:r w:rsidR="004E2D65">
        <w:t xml:space="preserve">&amp; 29-30 </w:t>
      </w:r>
      <w:r w:rsidR="009850E4">
        <w:t xml:space="preserve">(Apr. 25, 2018).  </w:t>
      </w:r>
      <w:r w:rsidR="004A12CE">
        <w:t xml:space="preserve">However, the Commission </w:t>
      </w:r>
      <w:r w:rsidR="006A43C3">
        <w:t xml:space="preserve">also directed an attorney examiner to set for hearing the narrow question whether the utilities should be required to establish a deferred tax liability, effective January 1, 2018.  </w:t>
      </w:r>
      <w:r w:rsidR="004A12CE" w:rsidRPr="00685F2E">
        <w:rPr>
          <w:i/>
        </w:rPr>
        <w:t>Id.</w:t>
      </w:r>
      <w:r w:rsidR="006E3A26">
        <w:t xml:space="preserve">, </w:t>
      </w:r>
      <w:r w:rsidR="006E3A26">
        <w:rPr>
          <w:rFonts w:cs="Arial"/>
        </w:rPr>
        <w:t>¶</w:t>
      </w:r>
      <w:r w:rsidR="004A12CE">
        <w:t xml:space="preserve"> </w:t>
      </w:r>
      <w:r w:rsidR="006E3A26">
        <w:t>31</w:t>
      </w:r>
      <w:r w:rsidR="004A12CE">
        <w:t xml:space="preserve">.  </w:t>
      </w:r>
      <w:r w:rsidR="006A43C3">
        <w:t xml:space="preserve">The attorney examiners conducted the hearing on July 10, 2018.  </w:t>
      </w:r>
      <w:r w:rsidR="00E442A8">
        <w:t>Transcript</w:t>
      </w:r>
      <w:r w:rsidR="006A43C3">
        <w:t xml:space="preserve"> </w:t>
      </w:r>
      <w:r w:rsidR="00E442A8">
        <w:t xml:space="preserve">of Proceedings at 1 </w:t>
      </w:r>
      <w:r w:rsidR="006A43C3">
        <w:t xml:space="preserve">(July </w:t>
      </w:r>
      <w:r w:rsidR="00E442A8">
        <w:t>13</w:t>
      </w:r>
      <w:r w:rsidR="006A43C3">
        <w:t>, 2018)</w:t>
      </w:r>
      <w:r w:rsidR="00E442A8">
        <w:t>.</w:t>
      </w:r>
    </w:p>
    <w:p w14:paraId="170F1F3F" w14:textId="084D33E1" w:rsidR="00DA2854" w:rsidRDefault="00DA2854" w:rsidP="00DA2854">
      <w:pPr>
        <w:spacing w:line="480" w:lineRule="auto"/>
        <w:ind w:firstLine="720"/>
        <w:jc w:val="both"/>
      </w:pPr>
      <w:r>
        <w:t>As demonstrated at the hearing, r</w:t>
      </w:r>
      <w:r w:rsidRPr="00BA75E6">
        <w:t xml:space="preserve">ate regulated companies are directed under generally accepted accounting principles (“GAAP”) and </w:t>
      </w:r>
      <w:r>
        <w:t>the</w:t>
      </w:r>
      <w:r w:rsidRPr="00BA75E6">
        <w:t xml:space="preserve"> accounting guidance of the Federal Energy Regulatory Commission (“FERC”)</w:t>
      </w:r>
      <w:r>
        <w:t xml:space="preserve"> </w:t>
      </w:r>
      <w:r w:rsidRPr="00BA75E6">
        <w:t>to record deferred tax liabilities or assets for the estimated future tax effects attributable to temporary differences</w:t>
      </w:r>
      <w:r>
        <w:t xml:space="preserve"> </w:t>
      </w:r>
      <w:r w:rsidRPr="00BA75E6">
        <w:t>based on provisions of enacted law</w:t>
      </w:r>
      <w:r w:rsidRPr="007F0465">
        <w:t xml:space="preserve">.  </w:t>
      </w:r>
      <w:r w:rsidR="004E2D65" w:rsidRPr="007F0465">
        <w:t xml:space="preserve">Further, GAAP and the FERC guidance direct </w:t>
      </w:r>
      <w:r w:rsidR="004E2D65" w:rsidRPr="007F0465">
        <w:rPr>
          <w:rFonts w:cs="Arial"/>
        </w:rPr>
        <w:t>a rate regulated utility to book or recognize a deferred liability if there is a probability that the amount of the tax savings is to be returned to customers.</w:t>
      </w:r>
      <w:r w:rsidR="004E2D65">
        <w:rPr>
          <w:rFonts w:cs="Arial"/>
        </w:rPr>
        <w:t xml:space="preserve"> </w:t>
      </w:r>
      <w:r w:rsidR="004E2D65" w:rsidRPr="00BA75E6">
        <w:t xml:space="preserve"> </w:t>
      </w:r>
      <w:r w:rsidRPr="00BA75E6">
        <w:t xml:space="preserve">Based on the Commission’s directive that all tax benefits of the TCJA be returned to customers, these accounting principles </w:t>
      </w:r>
      <w:r w:rsidR="003F6249">
        <w:t xml:space="preserve">also apply </w:t>
      </w:r>
      <w:r w:rsidR="00716E14">
        <w:t>to</w:t>
      </w:r>
      <w:r w:rsidR="003F6249">
        <w:t xml:space="preserve"> </w:t>
      </w:r>
      <w:r w:rsidR="00356BD9">
        <w:t xml:space="preserve">tax savings of the utilities due to </w:t>
      </w:r>
      <w:r w:rsidR="006855DB">
        <w:t xml:space="preserve">the </w:t>
      </w:r>
      <w:r w:rsidR="00356BD9">
        <w:t>tax rate reduction</w:t>
      </w:r>
      <w:r w:rsidR="00625641" w:rsidRPr="00BA75E6">
        <w:t xml:space="preserve"> after January 1, 2018</w:t>
      </w:r>
      <w:r w:rsidR="00625641">
        <w:t xml:space="preserve"> and the return of</w:t>
      </w:r>
      <w:r w:rsidRPr="00BA75E6">
        <w:t xml:space="preserve"> amounts identified as excess accumulated deferred income taxes</w:t>
      </w:r>
      <w:r>
        <w:t xml:space="preserve"> (“ADIT”)</w:t>
      </w:r>
      <w:r w:rsidRPr="00BA75E6">
        <w:t xml:space="preserve">.  </w:t>
      </w:r>
      <w:r>
        <w:t>On the record in this case, therefore, the Commission’s order to all rate regulated utilities to establish a deferred liability to record the estimated reduction in federal income tax was</w:t>
      </w:r>
      <w:r w:rsidR="00356BD9">
        <w:t xml:space="preserve"> and remains</w:t>
      </w:r>
      <w:r>
        <w:t xml:space="preserve"> just and reasonable.</w:t>
      </w:r>
    </w:p>
    <w:p w14:paraId="4E6591CD" w14:textId="77777777" w:rsidR="004A12CE" w:rsidRPr="00B22A21" w:rsidRDefault="004A12CE" w:rsidP="0082359D">
      <w:pPr>
        <w:pStyle w:val="ListParagraph"/>
        <w:keepNext/>
        <w:numPr>
          <w:ilvl w:val="0"/>
          <w:numId w:val="1"/>
        </w:numPr>
        <w:spacing w:after="240"/>
        <w:ind w:left="720"/>
        <w:jc w:val="both"/>
        <w:rPr>
          <w:rFonts w:ascii="Arial Bold" w:hAnsi="Arial Bold"/>
          <w:b/>
          <w:caps/>
        </w:rPr>
      </w:pPr>
      <w:r w:rsidRPr="00B22A21">
        <w:rPr>
          <w:rFonts w:ascii="Arial Bold" w:hAnsi="Arial Bold"/>
          <w:b/>
          <w:caps/>
        </w:rPr>
        <w:t>Compliance with accounting requirements requires the booking of a deferred liability for amounts that will probably be returned to customers</w:t>
      </w:r>
    </w:p>
    <w:p w14:paraId="299748E7" w14:textId="77777777" w:rsidR="004A12CE" w:rsidRDefault="004A12CE" w:rsidP="0082359D">
      <w:pPr>
        <w:pStyle w:val="ListParagraph"/>
        <w:keepNext/>
        <w:ind w:left="1080"/>
        <w:jc w:val="both"/>
      </w:pPr>
    </w:p>
    <w:p w14:paraId="2BD4A12F" w14:textId="77777777" w:rsidR="00B538A1" w:rsidRPr="00B22A21" w:rsidRDefault="00B538A1" w:rsidP="0082359D">
      <w:pPr>
        <w:pStyle w:val="ListParagraph"/>
        <w:keepNext/>
        <w:numPr>
          <w:ilvl w:val="0"/>
          <w:numId w:val="2"/>
        </w:numPr>
        <w:spacing w:after="240"/>
        <w:ind w:hanging="720"/>
        <w:contextualSpacing w:val="0"/>
        <w:jc w:val="both"/>
        <w:rPr>
          <w:b/>
        </w:rPr>
      </w:pPr>
      <w:r w:rsidRPr="00B22A21">
        <w:rPr>
          <w:b/>
        </w:rPr>
        <w:t xml:space="preserve">Base rates and some riders </w:t>
      </w:r>
      <w:r w:rsidR="00047904" w:rsidRPr="00B22A21">
        <w:rPr>
          <w:b/>
        </w:rPr>
        <w:t>recover tax expense</w:t>
      </w:r>
    </w:p>
    <w:p w14:paraId="1987F369" w14:textId="6A182B9E" w:rsidR="00625641" w:rsidRDefault="00545509" w:rsidP="00271717">
      <w:pPr>
        <w:spacing w:line="480" w:lineRule="auto"/>
        <w:ind w:firstLine="720"/>
        <w:jc w:val="both"/>
        <w:rPr>
          <w:rFonts w:eastAsia="Calibri"/>
        </w:rPr>
      </w:pPr>
      <w:r>
        <w:t>The Commission’s order to establish a deferred liability to record the estimated reduction in federal income tax</w:t>
      </w:r>
      <w:r w:rsidRPr="00271717">
        <w:t xml:space="preserve"> </w:t>
      </w:r>
      <w:r>
        <w:t xml:space="preserve">is premised on the recovery of tax expense in rates and riders.  </w:t>
      </w:r>
    </w:p>
    <w:p w14:paraId="64B0121D" w14:textId="21FE3F9B" w:rsidR="00F75F58" w:rsidRDefault="0073548D" w:rsidP="00271717">
      <w:pPr>
        <w:spacing w:line="480" w:lineRule="auto"/>
        <w:ind w:firstLine="720"/>
        <w:jc w:val="both"/>
        <w:rPr>
          <w:rFonts w:eastAsia="Calibri"/>
        </w:rPr>
      </w:pPr>
      <w:r>
        <w:rPr>
          <w:rFonts w:eastAsia="Calibri"/>
        </w:rPr>
        <w:lastRenderedPageBreak/>
        <w:t xml:space="preserve">In the determination of </w:t>
      </w:r>
      <w:r w:rsidR="00545509">
        <w:rPr>
          <w:rFonts w:eastAsia="Calibri"/>
        </w:rPr>
        <w:t xml:space="preserve">base </w:t>
      </w:r>
      <w:r w:rsidR="009167A3">
        <w:rPr>
          <w:rFonts w:eastAsia="Calibri"/>
        </w:rPr>
        <w:t>rates</w:t>
      </w:r>
      <w:r w:rsidR="00545509" w:rsidRPr="00545509">
        <w:rPr>
          <w:rFonts w:eastAsia="Calibri"/>
        </w:rPr>
        <w:t xml:space="preserve"> </w:t>
      </w:r>
      <w:r w:rsidR="00545509">
        <w:rPr>
          <w:rFonts w:eastAsia="Calibri"/>
        </w:rPr>
        <w:t>under Revised Code Chapter 4909</w:t>
      </w:r>
      <w:r>
        <w:rPr>
          <w:rFonts w:eastAsia="Calibri"/>
        </w:rPr>
        <w:t xml:space="preserve">, </w:t>
      </w:r>
      <w:r w:rsidR="009167A3">
        <w:rPr>
          <w:rFonts w:eastAsia="Calibri"/>
        </w:rPr>
        <w:t xml:space="preserve">the Commission is required to determine the cost of the </w:t>
      </w:r>
      <w:r w:rsidR="00B25C4E">
        <w:rPr>
          <w:rFonts w:eastAsia="Calibri"/>
        </w:rPr>
        <w:t>utility</w:t>
      </w:r>
      <w:r w:rsidR="009167A3">
        <w:rPr>
          <w:rFonts w:eastAsia="Calibri"/>
        </w:rPr>
        <w:t xml:space="preserve"> in rendering utility service for a test period</w:t>
      </w:r>
      <w:r w:rsidR="00047904">
        <w:rPr>
          <w:rFonts w:eastAsia="Calibri"/>
        </w:rPr>
        <w:t xml:space="preserve">.  </w:t>
      </w:r>
      <w:r w:rsidR="00825DCB">
        <w:rPr>
          <w:rFonts w:eastAsia="Calibri"/>
        </w:rPr>
        <w:t>R.C. 4909.15(A)</w:t>
      </w:r>
      <w:r w:rsidR="00631D91">
        <w:rPr>
          <w:rFonts w:eastAsia="Calibri"/>
        </w:rPr>
        <w:t xml:space="preserve">.  </w:t>
      </w:r>
      <w:r w:rsidR="00825DCB">
        <w:rPr>
          <w:rFonts w:eastAsia="Calibri"/>
        </w:rPr>
        <w:t>In the Standard Filing Requirements used to define a rate application for rate regulated utilities, tax costs are included for ratemaking purposes in both an expense schedule and in the Gross Revenue Conversion Factor</w:t>
      </w:r>
      <w:r w:rsidR="00356BD9">
        <w:rPr>
          <w:rFonts w:eastAsia="Calibri"/>
        </w:rPr>
        <w:t xml:space="preserve"> (“GRCF”)</w:t>
      </w:r>
      <w:r w:rsidR="00825DCB">
        <w:rPr>
          <w:rFonts w:eastAsia="Calibri"/>
        </w:rPr>
        <w:t>.  Rule</w:t>
      </w:r>
      <w:r w:rsidR="00256239">
        <w:rPr>
          <w:rFonts w:eastAsia="Calibri"/>
        </w:rPr>
        <w:t> </w:t>
      </w:r>
      <w:r w:rsidR="00825DCB">
        <w:rPr>
          <w:rFonts w:eastAsia="Calibri"/>
        </w:rPr>
        <w:t>4901-7-1, Appendix A</w:t>
      </w:r>
      <w:r w:rsidR="00F00ED5">
        <w:rPr>
          <w:rFonts w:eastAsia="Calibri"/>
        </w:rPr>
        <w:t xml:space="preserve"> (Schedules C-4 and A-2</w:t>
      </w:r>
      <w:r w:rsidR="00ED71D3">
        <w:rPr>
          <w:rFonts w:eastAsia="Calibri"/>
        </w:rPr>
        <w:t>, respectively</w:t>
      </w:r>
      <w:r w:rsidR="00F00ED5">
        <w:rPr>
          <w:rFonts w:eastAsia="Calibri"/>
        </w:rPr>
        <w:t>)</w:t>
      </w:r>
      <w:r w:rsidR="00825DCB">
        <w:rPr>
          <w:rFonts w:eastAsia="Calibri"/>
        </w:rPr>
        <w:t>.</w:t>
      </w:r>
    </w:p>
    <w:p w14:paraId="51B3DE3E" w14:textId="77777777" w:rsidR="000E09B0" w:rsidRPr="00F00ED5" w:rsidRDefault="00F75F58" w:rsidP="00271717">
      <w:pPr>
        <w:spacing w:line="480" w:lineRule="auto"/>
        <w:ind w:firstLine="720"/>
        <w:jc w:val="both"/>
        <w:rPr>
          <w:rFonts w:eastAsia="Calibri"/>
        </w:rPr>
      </w:pPr>
      <w:r w:rsidRPr="00271717">
        <w:t>Additionally</w:t>
      </w:r>
      <w:r>
        <w:rPr>
          <w:rFonts w:eastAsia="Calibri"/>
        </w:rPr>
        <w:t xml:space="preserve">, the Commission has engaged in single-issue ratemaking for both gas and electric utilities.  Costs of providing utility service recovered through these riders </w:t>
      </w:r>
      <w:r w:rsidR="00B538A1">
        <w:rPr>
          <w:rFonts w:eastAsia="Calibri"/>
        </w:rPr>
        <w:t xml:space="preserve">may include the </w:t>
      </w:r>
      <w:r w:rsidR="004A12CE">
        <w:rPr>
          <w:rFonts w:eastAsia="Calibri"/>
        </w:rPr>
        <w:t>recovery</w:t>
      </w:r>
      <w:r w:rsidR="00B538A1">
        <w:rPr>
          <w:rFonts w:eastAsia="Calibri"/>
        </w:rPr>
        <w:t xml:space="preserve"> of federal income tax.  </w:t>
      </w:r>
      <w:r w:rsidR="00B538A1" w:rsidRPr="00934811">
        <w:rPr>
          <w:rFonts w:eastAsia="Calibri"/>
          <w:i/>
        </w:rPr>
        <w:t xml:space="preserve">See, e.g., </w:t>
      </w:r>
      <w:r w:rsidR="00B30355" w:rsidRPr="00934811">
        <w:rPr>
          <w:rFonts w:eastAsia="Calibri"/>
          <w:i/>
        </w:rPr>
        <w:t>In the Matter of the Distribution Rider for Ohio Power Company</w:t>
      </w:r>
      <w:r w:rsidR="00B30355">
        <w:rPr>
          <w:rFonts w:eastAsia="Calibri"/>
        </w:rPr>
        <w:t>, Case No. 14-1696-EL-RDR, Update Filing at 3</w:t>
      </w:r>
      <w:r w:rsidR="00A6036D">
        <w:rPr>
          <w:rFonts w:eastAsia="Calibri"/>
        </w:rPr>
        <w:t xml:space="preserve"> (May 18, 2018)</w:t>
      </w:r>
      <w:r w:rsidR="00B538A1">
        <w:rPr>
          <w:rFonts w:eastAsia="Calibri"/>
        </w:rPr>
        <w:t>.</w:t>
      </w:r>
    </w:p>
    <w:p w14:paraId="4DF94AD4" w14:textId="321FD4F4" w:rsidR="00834685" w:rsidRDefault="006F0816" w:rsidP="00EE04F0">
      <w:pPr>
        <w:spacing w:line="480" w:lineRule="auto"/>
        <w:ind w:firstLine="720"/>
        <w:jc w:val="both"/>
      </w:pPr>
      <w:r>
        <w:rPr>
          <w:rFonts w:eastAsia="Calibri"/>
        </w:rPr>
        <w:t xml:space="preserve">A complication in the ratemaking process arises due to timing differences </w:t>
      </w:r>
      <w:r w:rsidR="00B26DC8">
        <w:rPr>
          <w:rFonts w:eastAsia="Calibri"/>
        </w:rPr>
        <w:t>for the recognition of income tax expense</w:t>
      </w:r>
      <w:r>
        <w:rPr>
          <w:rFonts w:eastAsia="Calibri"/>
        </w:rPr>
        <w:t xml:space="preserve">.  </w:t>
      </w:r>
      <w:r>
        <w:t xml:space="preserve">A common example of the creation of </w:t>
      </w:r>
      <w:r w:rsidR="00B26DC8">
        <w:t xml:space="preserve">a </w:t>
      </w:r>
      <w:r>
        <w:t>timing difference is the treatment of depreciation expense and its effect on tax expense.  For</w:t>
      </w:r>
      <w:r w:rsidR="00834685">
        <w:t xml:space="preserve"> federal income tax purposes, a public utility may have assets that are eligible to utilize accelerated depreciation.  For ratemaking, however, the public utility uses straight-line depreciation.  As a result, the tax return depreciation expense allowed </w:t>
      </w:r>
      <w:r w:rsidR="006855DB">
        <w:t xml:space="preserve">for a new asset </w:t>
      </w:r>
      <w:r w:rsidR="00834685">
        <w:t xml:space="preserve">may initially be significantly higher than the ratemaking depreciation allowed.  Over time, </w:t>
      </w:r>
      <w:r w:rsidR="000E4131">
        <w:t xml:space="preserve">the relationship of the two will reverse, and </w:t>
      </w:r>
      <w:r w:rsidR="00834685">
        <w:t xml:space="preserve">the ratemaking depreciation expense for the asset will become greater than the tax return depreciation expense.  </w:t>
      </w:r>
      <w:r w:rsidR="00D56519">
        <w:t xml:space="preserve">To recognize the </w:t>
      </w:r>
      <w:r w:rsidR="00716E14">
        <w:t xml:space="preserve">timing </w:t>
      </w:r>
      <w:r w:rsidR="00D56519">
        <w:t xml:space="preserve">difference, </w:t>
      </w:r>
      <w:r w:rsidR="00716E14">
        <w:t>the rate regulated utility is directed by GAAP and FERC guidance to book</w:t>
      </w:r>
      <w:r w:rsidR="00834685">
        <w:t xml:space="preserve"> ADIT liabilities, which are later reversed as the ratemaking depreciation expense exceeds the tax return depreciation expense for the asset.  </w:t>
      </w:r>
      <w:r w:rsidR="00716E14" w:rsidRPr="00F12E1C">
        <w:rPr>
          <w:i/>
        </w:rPr>
        <w:t>See</w:t>
      </w:r>
      <w:r w:rsidR="00716E14">
        <w:t xml:space="preserve"> discussion below.  </w:t>
      </w:r>
      <w:r w:rsidR="00ED71D3">
        <w:t xml:space="preserve">The </w:t>
      </w:r>
      <w:r w:rsidR="00ED71D3">
        <w:lastRenderedPageBreak/>
        <w:t xml:space="preserve">ADIT is recognized as customer contribution to </w:t>
      </w:r>
      <w:r w:rsidR="00436975">
        <w:t>assets</w:t>
      </w:r>
      <w:r w:rsidR="00065CA8">
        <w:t xml:space="preserve"> (essentially a source of cost-free capital)</w:t>
      </w:r>
      <w:r w:rsidR="00436975">
        <w:t>, reducing rate base, and is amortized through an adjustment to tax expense.</w:t>
      </w:r>
    </w:p>
    <w:p w14:paraId="6FB88533" w14:textId="2D645A9A" w:rsidR="00B64D33" w:rsidRPr="00B22A21" w:rsidRDefault="00B64D33" w:rsidP="00B22A21">
      <w:pPr>
        <w:pStyle w:val="ListParagraph"/>
        <w:numPr>
          <w:ilvl w:val="0"/>
          <w:numId w:val="2"/>
        </w:numPr>
        <w:ind w:hanging="720"/>
        <w:jc w:val="both"/>
        <w:rPr>
          <w:b/>
        </w:rPr>
      </w:pPr>
      <w:r w:rsidRPr="00B22A21">
        <w:rPr>
          <w:b/>
        </w:rPr>
        <w:t>The change in the federal income tax rate and the Commission’s January 10, 2018 Entry require public utilities</w:t>
      </w:r>
      <w:r w:rsidR="00E419F5">
        <w:rPr>
          <w:b/>
        </w:rPr>
        <w:t xml:space="preserve"> to</w:t>
      </w:r>
      <w:r w:rsidRPr="00B22A21">
        <w:rPr>
          <w:b/>
        </w:rPr>
        <w:t xml:space="preserve"> </w:t>
      </w:r>
      <w:r w:rsidR="00D56519">
        <w:rPr>
          <w:b/>
        </w:rPr>
        <w:t xml:space="preserve">adjust current deferred </w:t>
      </w:r>
      <w:r w:rsidR="003F6249">
        <w:rPr>
          <w:b/>
        </w:rPr>
        <w:t xml:space="preserve">tax </w:t>
      </w:r>
      <w:r w:rsidR="00D56519">
        <w:rPr>
          <w:b/>
        </w:rPr>
        <w:t xml:space="preserve">liabilities and assets and </w:t>
      </w:r>
      <w:r w:rsidRPr="00B22A21">
        <w:rPr>
          <w:b/>
        </w:rPr>
        <w:t xml:space="preserve">to book a deferred liability </w:t>
      </w:r>
      <w:r w:rsidR="004E2D65">
        <w:rPr>
          <w:b/>
        </w:rPr>
        <w:t>for tax savings probably to be returned to customers</w:t>
      </w:r>
    </w:p>
    <w:p w14:paraId="14DADBBC" w14:textId="77777777" w:rsidR="000E09B0" w:rsidRDefault="000E09B0" w:rsidP="00EE04F0">
      <w:pPr>
        <w:pStyle w:val="ListParagraph"/>
        <w:ind w:left="1440"/>
        <w:jc w:val="both"/>
      </w:pPr>
    </w:p>
    <w:p w14:paraId="2B2C657C" w14:textId="6D13BC4C" w:rsidR="00745D39" w:rsidRDefault="007F7428" w:rsidP="00271717">
      <w:pPr>
        <w:spacing w:line="480" w:lineRule="auto"/>
        <w:ind w:firstLine="720"/>
        <w:jc w:val="both"/>
        <w:rPr>
          <w:rFonts w:eastAsia="Calibri"/>
        </w:rPr>
      </w:pPr>
      <w:r w:rsidRPr="00271717">
        <w:t>The</w:t>
      </w:r>
      <w:r>
        <w:rPr>
          <w:rFonts w:eastAsia="Calibri"/>
        </w:rPr>
        <w:t xml:space="preserve"> </w:t>
      </w:r>
      <w:r w:rsidR="000E4131">
        <w:rPr>
          <w:rFonts w:eastAsia="Calibri"/>
        </w:rPr>
        <w:t xml:space="preserve">federal corporate </w:t>
      </w:r>
      <w:r>
        <w:rPr>
          <w:rFonts w:eastAsia="Calibri"/>
        </w:rPr>
        <w:t>tax reduction</w:t>
      </w:r>
      <w:r w:rsidR="000E4131">
        <w:rPr>
          <w:rFonts w:eastAsia="Calibri"/>
        </w:rPr>
        <w:t xml:space="preserve"> effective on January 1, 2018 </w:t>
      </w:r>
      <w:r>
        <w:rPr>
          <w:rFonts w:eastAsia="Calibri"/>
        </w:rPr>
        <w:t>resulted in a material change in the tax cost</w:t>
      </w:r>
      <w:r w:rsidR="000E4131">
        <w:rPr>
          <w:rFonts w:eastAsia="Calibri"/>
        </w:rPr>
        <w:t xml:space="preserve"> of rate regulated </w:t>
      </w:r>
      <w:r w:rsidR="00A36339">
        <w:rPr>
          <w:rFonts w:eastAsia="Calibri"/>
        </w:rPr>
        <w:t>utilities</w:t>
      </w:r>
      <w:r>
        <w:rPr>
          <w:rFonts w:eastAsia="Calibri"/>
        </w:rPr>
        <w:t xml:space="preserve">.  </w:t>
      </w:r>
      <w:r w:rsidRPr="00041850">
        <w:rPr>
          <w:rFonts w:eastAsia="Calibri"/>
        </w:rPr>
        <w:t>Staff Ex. 1 at 5-6</w:t>
      </w:r>
      <w:r>
        <w:rPr>
          <w:rFonts w:eastAsia="Calibri"/>
        </w:rPr>
        <w:t xml:space="preserve"> (changing the rate from 35% to 21% represents a reduction of 40%</w:t>
      </w:r>
      <w:r w:rsidR="00187F69">
        <w:rPr>
          <w:rFonts w:eastAsia="Calibri"/>
        </w:rPr>
        <w:t>)</w:t>
      </w:r>
      <w:r w:rsidRPr="00041850">
        <w:rPr>
          <w:rFonts w:eastAsia="Calibri"/>
        </w:rPr>
        <w:t xml:space="preserve">.  </w:t>
      </w:r>
      <w:r w:rsidR="00E42903" w:rsidRPr="00271717">
        <w:t>Because</w:t>
      </w:r>
      <w:r w:rsidR="00E42903">
        <w:rPr>
          <w:rFonts w:eastAsia="Calibri"/>
        </w:rPr>
        <w:t xml:space="preserve"> </w:t>
      </w:r>
      <w:r w:rsidR="00745D39" w:rsidRPr="00745D39">
        <w:rPr>
          <w:rFonts w:eastAsia="Calibri"/>
        </w:rPr>
        <w:t xml:space="preserve">the </w:t>
      </w:r>
      <w:r w:rsidR="00745D39">
        <w:rPr>
          <w:rFonts w:eastAsia="Calibri"/>
        </w:rPr>
        <w:t>federal corporate income tax rate</w:t>
      </w:r>
      <w:r w:rsidR="00745D39" w:rsidRPr="00745D39">
        <w:rPr>
          <w:rFonts w:eastAsia="Calibri"/>
        </w:rPr>
        <w:t xml:space="preserve"> </w:t>
      </w:r>
      <w:r w:rsidR="00745D39">
        <w:rPr>
          <w:rFonts w:eastAsia="Calibri"/>
        </w:rPr>
        <w:t>was reduced to</w:t>
      </w:r>
      <w:r w:rsidR="00745D39" w:rsidRPr="00745D39">
        <w:rPr>
          <w:rFonts w:eastAsia="Calibri"/>
        </w:rPr>
        <w:t xml:space="preserve"> 21</w:t>
      </w:r>
      <w:r w:rsidR="00745D39">
        <w:rPr>
          <w:rFonts w:eastAsia="Calibri"/>
        </w:rPr>
        <w:t>%</w:t>
      </w:r>
      <w:r w:rsidR="00E42903">
        <w:rPr>
          <w:rFonts w:eastAsia="Calibri"/>
        </w:rPr>
        <w:t>,</w:t>
      </w:r>
      <w:r w:rsidR="00745D39" w:rsidRPr="00745D39">
        <w:rPr>
          <w:rFonts w:eastAsia="Calibri"/>
        </w:rPr>
        <w:t xml:space="preserve"> </w:t>
      </w:r>
      <w:r w:rsidR="00E42903">
        <w:rPr>
          <w:rFonts w:eastAsia="Calibri"/>
        </w:rPr>
        <w:t>the tax cost recovered in rates is overstated</w:t>
      </w:r>
      <w:r w:rsidR="00043997">
        <w:rPr>
          <w:rFonts w:eastAsia="Calibri"/>
        </w:rPr>
        <w:t>,</w:t>
      </w:r>
      <w:r w:rsidR="00E42903">
        <w:rPr>
          <w:rFonts w:eastAsia="Calibri"/>
        </w:rPr>
        <w:t xml:space="preserve"> and</w:t>
      </w:r>
      <w:r w:rsidR="00043997">
        <w:rPr>
          <w:rFonts w:eastAsia="Calibri"/>
        </w:rPr>
        <w:t xml:space="preserve"> t</w:t>
      </w:r>
      <w:r w:rsidR="00745D39" w:rsidRPr="00745D39">
        <w:rPr>
          <w:rFonts w:eastAsia="Calibri"/>
        </w:rPr>
        <w:t xml:space="preserve">he </w:t>
      </w:r>
      <w:r w:rsidR="00855F7B">
        <w:rPr>
          <w:rFonts w:eastAsia="Calibri"/>
        </w:rPr>
        <w:t xml:space="preserve">ADIT </w:t>
      </w:r>
      <w:r w:rsidR="00745D39" w:rsidRPr="00745D39">
        <w:rPr>
          <w:rFonts w:eastAsia="Calibri"/>
        </w:rPr>
        <w:t>liabilities and assets</w:t>
      </w:r>
      <w:r>
        <w:rPr>
          <w:rFonts w:eastAsia="Calibri"/>
        </w:rPr>
        <w:t xml:space="preserve"> must be reduced to reflect the new tax rate</w:t>
      </w:r>
      <w:r w:rsidR="00745D39" w:rsidRPr="00745D39">
        <w:rPr>
          <w:rFonts w:eastAsia="Calibri"/>
        </w:rPr>
        <w:t xml:space="preserve">.  </w:t>
      </w:r>
      <w:r w:rsidR="00745D39">
        <w:rPr>
          <w:rFonts w:eastAsia="Calibri"/>
        </w:rPr>
        <w:t>T</w:t>
      </w:r>
      <w:r w:rsidR="00745D39" w:rsidRPr="00745D39">
        <w:rPr>
          <w:rFonts w:eastAsia="Calibri"/>
        </w:rPr>
        <w:t xml:space="preserve">he reduction in the tax rate </w:t>
      </w:r>
      <w:r>
        <w:rPr>
          <w:rFonts w:eastAsia="Calibri"/>
        </w:rPr>
        <w:t xml:space="preserve">also </w:t>
      </w:r>
      <w:r w:rsidR="00745D39" w:rsidRPr="00745D39">
        <w:rPr>
          <w:rFonts w:eastAsia="Calibri"/>
        </w:rPr>
        <w:t xml:space="preserve">results in “excess deferred income taxes” as the ADIT liabilities and assets that were established at a 35% tax rate </w:t>
      </w:r>
      <w:r>
        <w:rPr>
          <w:rFonts w:eastAsia="Calibri"/>
        </w:rPr>
        <w:t>are</w:t>
      </w:r>
      <w:r w:rsidR="00745D39" w:rsidRPr="00745D39">
        <w:rPr>
          <w:rFonts w:eastAsia="Calibri"/>
        </w:rPr>
        <w:t xml:space="preserve"> reduced to reflect the fact that the ADIT balances must be </w:t>
      </w:r>
      <w:r w:rsidR="000E09B0">
        <w:rPr>
          <w:rFonts w:eastAsia="Calibri"/>
        </w:rPr>
        <w:t>restated</w:t>
      </w:r>
      <w:r w:rsidR="00745D39" w:rsidRPr="00745D39">
        <w:rPr>
          <w:rFonts w:eastAsia="Calibri"/>
        </w:rPr>
        <w:t xml:space="preserve"> based on the 21% tax rate.  </w:t>
      </w:r>
      <w:r w:rsidR="00745D39" w:rsidRPr="000D74F3">
        <w:rPr>
          <w:rFonts w:eastAsia="Calibri"/>
        </w:rPr>
        <w:t>IEU-Ohio Ex. 1 at 4.</w:t>
      </w:r>
      <w:r w:rsidR="00745D39">
        <w:rPr>
          <w:rFonts w:eastAsia="Calibri"/>
        </w:rPr>
        <w:t xml:space="preserve">  </w:t>
      </w:r>
    </w:p>
    <w:p w14:paraId="231E69E5" w14:textId="214F3047" w:rsidR="00B64D33" w:rsidRPr="00210B3A" w:rsidRDefault="00210B3A" w:rsidP="00210B3A">
      <w:pPr>
        <w:spacing w:line="480" w:lineRule="auto"/>
        <w:ind w:firstLine="720"/>
        <w:jc w:val="both"/>
        <w:rPr>
          <w:rFonts w:eastAsia="Calibri"/>
        </w:rPr>
      </w:pPr>
      <w:r>
        <w:t xml:space="preserve">Each of the </w:t>
      </w:r>
      <w:r w:rsidR="005F290F">
        <w:t xml:space="preserve">material </w:t>
      </w:r>
      <w:r>
        <w:t xml:space="preserve">changes caused by the tax rate reduction has a potential effect on rates.  The embedded tax cost and reduction in the </w:t>
      </w:r>
      <w:r w:rsidR="007B1AA4">
        <w:t xml:space="preserve">GRCF </w:t>
      </w:r>
      <w:r>
        <w:t>would</w:t>
      </w:r>
      <w:r w:rsidR="004E2D65">
        <w:t>, directionally,</w:t>
      </w:r>
      <w:r w:rsidR="001061AE">
        <w:t xml:space="preserve"> </w:t>
      </w:r>
      <w:r>
        <w:t xml:space="preserve">reduce the revenue requirement, all else being equal.  </w:t>
      </w:r>
      <w:r w:rsidR="007C791E" w:rsidRPr="007C791E">
        <w:t>OCC Ex. 1 at 5.</w:t>
      </w:r>
      <w:r>
        <w:t xml:space="preserve">  Further, t</w:t>
      </w:r>
      <w:r w:rsidR="00B64D33">
        <w:t>o amortize the excess deferred income tax amount, the Commission may direct the public utility to identify the excess amount and then amortize it over some period.</w:t>
      </w:r>
      <w:r w:rsidR="00436975">
        <w:rPr>
          <w:rStyle w:val="FootnoteReference"/>
        </w:rPr>
        <w:footnoteReference w:id="1"/>
      </w:r>
      <w:r w:rsidR="00B64D33">
        <w:t xml:space="preserve">  Additionally, the Commission </w:t>
      </w:r>
      <w:r w:rsidR="00B64D33" w:rsidRPr="00DD458B">
        <w:t xml:space="preserve">may adjust the public utility’s rate base to account for the change in the deferred tax liability.  OEG Ex. 1 at 8-9; </w:t>
      </w:r>
      <w:r w:rsidR="00B64D33" w:rsidRPr="00DD458B">
        <w:rPr>
          <w:i/>
        </w:rPr>
        <w:t>see, also</w:t>
      </w:r>
      <w:r w:rsidR="00B64D33" w:rsidRPr="00DD458B">
        <w:t>, IEU-Ohio Comments at 3 (Feb. 15, 2018).</w:t>
      </w:r>
    </w:p>
    <w:p w14:paraId="58374BD1" w14:textId="14BFF82D" w:rsidR="00ED0CAD" w:rsidRDefault="00ED0CAD" w:rsidP="00271717">
      <w:pPr>
        <w:spacing w:line="480" w:lineRule="auto"/>
        <w:ind w:firstLine="720"/>
        <w:jc w:val="both"/>
      </w:pPr>
      <w:r>
        <w:lastRenderedPageBreak/>
        <w:t xml:space="preserve">GAAP and </w:t>
      </w:r>
      <w:r w:rsidR="00E02615">
        <w:t xml:space="preserve">the </w:t>
      </w:r>
      <w:r>
        <w:t>FERC guidance direct rate regulated utilities to address the tax change by recording changes in deferred liabilities and assets.</w:t>
      </w:r>
      <w:r w:rsidR="004E2D65">
        <w:t xml:space="preserve">  </w:t>
      </w:r>
      <w:r w:rsidR="009E68B2" w:rsidRPr="007F0465">
        <w:t xml:space="preserve">Further, GAAP and the FERC guidance direct </w:t>
      </w:r>
      <w:r w:rsidR="009E68B2" w:rsidRPr="007F0465">
        <w:rPr>
          <w:rFonts w:cs="Arial"/>
        </w:rPr>
        <w:t>a rate regulated utility to book or recognize a deferred liability if there is a probability that the amount of the tax savings is to be returned to customers.</w:t>
      </w:r>
      <w:r w:rsidR="009E68B2">
        <w:rPr>
          <w:rFonts w:cs="Arial"/>
        </w:rPr>
        <w:t xml:space="preserve"> </w:t>
      </w:r>
      <w:r w:rsidR="009E68B2" w:rsidRPr="00BA75E6">
        <w:t xml:space="preserve"> </w:t>
      </w:r>
    </w:p>
    <w:p w14:paraId="60D13C53" w14:textId="2B9AC21B" w:rsidR="008B4BAC" w:rsidRDefault="008B4BAC" w:rsidP="00271717">
      <w:pPr>
        <w:spacing w:line="480" w:lineRule="auto"/>
        <w:ind w:firstLine="720"/>
        <w:jc w:val="both"/>
        <w:rPr>
          <w:rFonts w:cs="Arial"/>
        </w:rPr>
      </w:pPr>
      <w:r w:rsidRPr="00271717">
        <w:t>Under</w:t>
      </w:r>
      <w:r>
        <w:rPr>
          <w:rFonts w:cs="Arial"/>
        </w:rPr>
        <w:t xml:space="preserve"> GAAP, </w:t>
      </w:r>
      <w:r w:rsidR="00436975">
        <w:rPr>
          <w:rFonts w:cs="Arial"/>
        </w:rPr>
        <w:t xml:space="preserve">rate regulated utilities </w:t>
      </w:r>
      <w:r>
        <w:rPr>
          <w:rFonts w:cs="Arial"/>
        </w:rPr>
        <w:t xml:space="preserve">are required to record deferred tax liabilities or assets for the estimated future tax effects attributable to temporary differences, and the measurement of current and deferred tax liabilities and assets is based on provisions of the enacted law.  </w:t>
      </w:r>
      <w:r w:rsidR="00B84C8F">
        <w:rPr>
          <w:rFonts w:cs="Arial"/>
        </w:rPr>
        <w:t xml:space="preserve">IEU-Ohio Ex. 1 at 5.  </w:t>
      </w:r>
      <w:r w:rsidR="002A50F3">
        <w:rPr>
          <w:rFonts w:cs="Arial"/>
        </w:rPr>
        <w:t>GAAP</w:t>
      </w:r>
      <w:r>
        <w:rPr>
          <w:rFonts w:cs="Arial"/>
        </w:rPr>
        <w:t xml:space="preserve"> also requires that deferred tax liabilities and assets be adjusted for the effect of an enacted change in tax laws or rates</w:t>
      </w:r>
      <w:r w:rsidR="005A7B57" w:rsidRPr="005A7B57">
        <w:rPr>
          <w:rFonts w:cs="Arial"/>
        </w:rPr>
        <w:t xml:space="preserve"> </w:t>
      </w:r>
      <w:r w:rsidR="005A7B57">
        <w:rPr>
          <w:rFonts w:cs="Arial"/>
        </w:rPr>
        <w:t>in the period of enactment</w:t>
      </w:r>
      <w:r>
        <w:rPr>
          <w:rFonts w:cs="Arial"/>
        </w:rPr>
        <w:t xml:space="preserve">.  </w:t>
      </w:r>
      <w:r w:rsidRPr="00685F2E">
        <w:rPr>
          <w:rFonts w:cs="Arial"/>
          <w:i/>
        </w:rPr>
        <w:t>Id.</w:t>
      </w:r>
      <w:r w:rsidR="00B01ABC">
        <w:rPr>
          <w:rFonts w:cs="Arial"/>
        </w:rPr>
        <w:t>, citing Accounting Standards Codification (“ASC”) 980-Regulated Operations, 740-Income Taxes (formerly FAS 109 – Accounting for Income Taxes)</w:t>
      </w:r>
      <w:r>
        <w:rPr>
          <w:rFonts w:cs="Arial"/>
        </w:rPr>
        <w:t>.</w:t>
      </w:r>
      <w:r w:rsidR="006E5FED">
        <w:rPr>
          <w:rFonts w:cs="Arial"/>
        </w:rPr>
        <w:t xml:space="preserve">  GAAP further provides that </w:t>
      </w:r>
      <w:r w:rsidR="00897B27">
        <w:rPr>
          <w:rFonts w:cs="Arial"/>
        </w:rPr>
        <w:t>a</w:t>
      </w:r>
      <w:r w:rsidR="006E5FED">
        <w:rPr>
          <w:rFonts w:cs="Arial"/>
        </w:rPr>
        <w:t xml:space="preserve"> rate regulated utility book or recognize a deferred liability if there is a p</w:t>
      </w:r>
      <w:r w:rsidR="00897B27">
        <w:rPr>
          <w:rFonts w:cs="Arial"/>
        </w:rPr>
        <w:t>roba</w:t>
      </w:r>
      <w:r w:rsidR="006E5FED">
        <w:rPr>
          <w:rFonts w:cs="Arial"/>
        </w:rPr>
        <w:t>bility that the amount of the tax savings is to be returned to customers.  Tr. at 32-33.</w:t>
      </w:r>
    </w:p>
    <w:p w14:paraId="56041697" w14:textId="4676B8F8" w:rsidR="008B4BAC" w:rsidRDefault="008B4BAC" w:rsidP="00B22A21">
      <w:pPr>
        <w:spacing w:line="480" w:lineRule="auto"/>
        <w:ind w:firstLine="720"/>
        <w:jc w:val="both"/>
        <w:rPr>
          <w:rFonts w:cs="Arial"/>
        </w:rPr>
      </w:pPr>
      <w:r>
        <w:rPr>
          <w:rFonts w:cs="Arial"/>
        </w:rPr>
        <w:t xml:space="preserve">FERC </w:t>
      </w:r>
      <w:r w:rsidR="00210B3A">
        <w:rPr>
          <w:rFonts w:cs="Arial"/>
        </w:rPr>
        <w:t xml:space="preserve">provides </w:t>
      </w:r>
      <w:r>
        <w:rPr>
          <w:rFonts w:cs="Arial"/>
        </w:rPr>
        <w:t>guidanc</w:t>
      </w:r>
      <w:r w:rsidR="00050C0A">
        <w:rPr>
          <w:rFonts w:cs="Arial"/>
        </w:rPr>
        <w:t xml:space="preserve">e </w:t>
      </w:r>
      <w:r w:rsidR="00201941">
        <w:rPr>
          <w:rFonts w:cs="Arial"/>
        </w:rPr>
        <w:t>like that found in GAAP</w:t>
      </w:r>
      <w:r w:rsidR="00B84C8F">
        <w:rPr>
          <w:rFonts w:cs="Arial"/>
        </w:rPr>
        <w:t xml:space="preserve">. </w:t>
      </w:r>
      <w:r w:rsidR="00050C0A">
        <w:rPr>
          <w:rFonts w:cs="Arial"/>
        </w:rPr>
        <w:t xml:space="preserve"> </w:t>
      </w:r>
      <w:r w:rsidR="00B84C8F">
        <w:rPr>
          <w:rFonts w:cs="Arial"/>
        </w:rPr>
        <w:t>A</w:t>
      </w:r>
      <w:r w:rsidR="005A7B57">
        <w:rPr>
          <w:rFonts w:cs="Arial"/>
        </w:rPr>
        <w:t xml:space="preserve"> public utility</w:t>
      </w:r>
      <w:r>
        <w:rPr>
          <w:rFonts w:cs="Arial"/>
        </w:rPr>
        <w:t xml:space="preserve"> </w:t>
      </w:r>
      <w:r w:rsidR="005A7B57">
        <w:rPr>
          <w:rFonts w:cs="Arial"/>
        </w:rPr>
        <w:t>“</w:t>
      </w:r>
      <w:r>
        <w:rPr>
          <w:rFonts w:cs="Arial"/>
        </w:rPr>
        <w:t xml:space="preserve">shall adjust its deferred tax liabilities and assets for the effect of the change in tax law or rates in the period that the change is enacted.  The adjustment shall be recorded in the proper deferred tax balance </w:t>
      </w:r>
      <w:r w:rsidRPr="000D74F3">
        <w:rPr>
          <w:rFonts w:cs="Arial"/>
        </w:rPr>
        <w:t>sheet accounts.</w:t>
      </w:r>
      <w:r w:rsidR="005A7B57" w:rsidRPr="000D74F3">
        <w:rPr>
          <w:rFonts w:cs="Arial"/>
        </w:rPr>
        <w:t xml:space="preserve">” </w:t>
      </w:r>
      <w:r w:rsidR="006E5FED" w:rsidRPr="000D74F3">
        <w:rPr>
          <w:rFonts w:cs="Arial"/>
        </w:rPr>
        <w:t xml:space="preserve"> IEU-Ohio Ex. 1 at 5.</w:t>
      </w:r>
      <w:r w:rsidR="00AD507F">
        <w:rPr>
          <w:rStyle w:val="FootnoteReference"/>
          <w:rFonts w:cs="Arial"/>
        </w:rPr>
        <w:footnoteReference w:id="2"/>
      </w:r>
      <w:r w:rsidR="006E5FED" w:rsidRPr="000D74F3">
        <w:rPr>
          <w:rFonts w:cs="Arial"/>
        </w:rPr>
        <w:t xml:space="preserve">  </w:t>
      </w:r>
      <w:r w:rsidR="005A7B57" w:rsidRPr="000D74F3">
        <w:rPr>
          <w:rFonts w:cs="Arial"/>
        </w:rPr>
        <w:t>The</w:t>
      </w:r>
      <w:r w:rsidR="005A7B57">
        <w:rPr>
          <w:rFonts w:cs="Arial"/>
        </w:rPr>
        <w:t xml:space="preserve"> guidance further provides:</w:t>
      </w:r>
      <w:r>
        <w:rPr>
          <w:rFonts w:cs="Arial"/>
        </w:rPr>
        <w:t xml:space="preserve"> </w:t>
      </w:r>
      <w:r w:rsidR="005A7B57">
        <w:rPr>
          <w:rFonts w:cs="Arial"/>
        </w:rPr>
        <w:t>“</w:t>
      </w:r>
      <w:r>
        <w:rPr>
          <w:rFonts w:cs="Arial"/>
        </w:rPr>
        <w:t xml:space="preserve">If as a result of action by a regulator it is probable that the future increase or decrease in taxes payable due to the change in tax law or rates will be recovered from or returned to customers through future rates, an asset or liability shall be recognized in </w:t>
      </w:r>
      <w:r>
        <w:rPr>
          <w:rFonts w:cs="Arial"/>
        </w:rPr>
        <w:lastRenderedPageBreak/>
        <w:t xml:space="preserve">Account 182.3, Other Regulatory Assets, or Account 254, Other Regulatory Liabilities, as appropriate, for the probable </w:t>
      </w:r>
      <w:r w:rsidR="00897B27">
        <w:rPr>
          <w:rFonts w:cs="Arial"/>
        </w:rPr>
        <w:t xml:space="preserve">increase </w:t>
      </w:r>
      <w:r>
        <w:rPr>
          <w:rFonts w:cs="Arial"/>
        </w:rPr>
        <w:t xml:space="preserve">or reduction in future </w:t>
      </w:r>
      <w:r w:rsidRPr="000D74F3">
        <w:rPr>
          <w:rFonts w:cs="Arial"/>
        </w:rPr>
        <w:t xml:space="preserve">revenue.”  </w:t>
      </w:r>
      <w:r w:rsidRPr="000D74F3">
        <w:rPr>
          <w:rFonts w:cs="Arial"/>
          <w:i/>
        </w:rPr>
        <w:t>Id.</w:t>
      </w:r>
    </w:p>
    <w:p w14:paraId="75E381E8" w14:textId="53A2E154" w:rsidR="00461ED8" w:rsidRDefault="002A50F3" w:rsidP="00B22A21">
      <w:pPr>
        <w:spacing w:line="480" w:lineRule="auto"/>
        <w:ind w:firstLine="720"/>
        <w:jc w:val="both"/>
        <w:rPr>
          <w:rFonts w:cs="Arial"/>
        </w:rPr>
      </w:pPr>
      <w:r w:rsidRPr="00271717">
        <w:t>Following</w:t>
      </w:r>
      <w:r w:rsidR="00043997">
        <w:rPr>
          <w:rFonts w:cs="Arial"/>
        </w:rPr>
        <w:t xml:space="preserve"> accounting standards, </w:t>
      </w:r>
      <w:r w:rsidR="00BB0167">
        <w:rPr>
          <w:rFonts w:cs="Arial"/>
        </w:rPr>
        <w:t>Ohio Power Company (“Ohio Power”) and Duke Energy Ohio, Inc. (“Duke”)</w:t>
      </w:r>
      <w:r w:rsidR="008B4BAC">
        <w:rPr>
          <w:rFonts w:cs="Arial"/>
        </w:rPr>
        <w:t xml:space="preserve"> adjusted their </w:t>
      </w:r>
      <w:r w:rsidR="00BB0167">
        <w:rPr>
          <w:rFonts w:cs="Arial"/>
        </w:rPr>
        <w:t xml:space="preserve">accumulated </w:t>
      </w:r>
      <w:r w:rsidR="008B4BAC">
        <w:rPr>
          <w:rFonts w:cs="Arial"/>
        </w:rPr>
        <w:t xml:space="preserve">deferred </w:t>
      </w:r>
      <w:r w:rsidR="00BB0167">
        <w:rPr>
          <w:rFonts w:cs="Arial"/>
        </w:rPr>
        <w:t xml:space="preserve">income </w:t>
      </w:r>
      <w:r w:rsidR="008B4BAC">
        <w:rPr>
          <w:rFonts w:cs="Arial"/>
        </w:rPr>
        <w:t>tax liabilities for the effect of the tax rate change</w:t>
      </w:r>
      <w:r w:rsidR="005A7B57">
        <w:rPr>
          <w:rFonts w:cs="Arial"/>
        </w:rPr>
        <w:t xml:space="preserve"> at the end of 2017</w:t>
      </w:r>
      <w:r w:rsidR="008B4BAC">
        <w:rPr>
          <w:rFonts w:cs="Arial"/>
        </w:rPr>
        <w:t xml:space="preserve">.  </w:t>
      </w:r>
      <w:r w:rsidR="008B4BAC" w:rsidRPr="008B4BAC">
        <w:rPr>
          <w:rFonts w:cs="Arial"/>
        </w:rPr>
        <w:t>Ohio Power recorded a regulatory liability of $665.7 million in FERC Account 254–Regulatory Liabilities.</w:t>
      </w:r>
      <w:r w:rsidR="008B4BAC">
        <w:rPr>
          <w:rFonts w:cs="Arial"/>
        </w:rPr>
        <w:t xml:space="preserve">  </w:t>
      </w:r>
      <w:r w:rsidR="008B4BAC" w:rsidRPr="008B4BAC">
        <w:rPr>
          <w:rFonts w:cs="Arial"/>
        </w:rPr>
        <w:t>Duke recorded a net regulatory liability of $</w:t>
      </w:r>
      <w:r w:rsidR="008836BB" w:rsidRPr="008836BB">
        <w:rPr>
          <w:rFonts w:cs="Arial"/>
        </w:rPr>
        <w:t>446.9</w:t>
      </w:r>
      <w:r w:rsidR="008B4BAC" w:rsidRPr="008B4BAC">
        <w:rPr>
          <w:rFonts w:cs="Arial"/>
        </w:rPr>
        <w:t xml:space="preserve"> </w:t>
      </w:r>
      <w:r w:rsidR="008B4BAC" w:rsidRPr="000D74F3">
        <w:rPr>
          <w:rFonts w:cs="Arial"/>
        </w:rPr>
        <w:t>million</w:t>
      </w:r>
      <w:r w:rsidR="008836BB" w:rsidRPr="000D74F3">
        <w:rPr>
          <w:rFonts w:cs="Arial"/>
        </w:rPr>
        <w:t xml:space="preserve">.  </w:t>
      </w:r>
      <w:r w:rsidR="008B4BAC" w:rsidRPr="000D74F3">
        <w:rPr>
          <w:rFonts w:cs="Arial"/>
          <w:i/>
        </w:rPr>
        <w:t>Id.</w:t>
      </w:r>
      <w:r w:rsidR="008B4BAC" w:rsidRPr="000D74F3">
        <w:rPr>
          <w:rFonts w:cs="Arial"/>
        </w:rPr>
        <w:t xml:space="preserve"> at 6.</w:t>
      </w:r>
      <w:r w:rsidR="00BB0167" w:rsidRPr="000D74F3">
        <w:rPr>
          <w:rFonts w:cs="Arial"/>
        </w:rPr>
        <w:t xml:space="preserve">  Both companies</w:t>
      </w:r>
      <w:r w:rsidR="00BB0167">
        <w:rPr>
          <w:rFonts w:cs="Arial"/>
        </w:rPr>
        <w:t xml:space="preserve"> </w:t>
      </w:r>
      <w:r>
        <w:rPr>
          <w:rFonts w:cs="Arial"/>
        </w:rPr>
        <w:t>stated in federal filings</w:t>
      </w:r>
      <w:r w:rsidR="00BB0167">
        <w:rPr>
          <w:rFonts w:cs="Arial"/>
        </w:rPr>
        <w:t xml:space="preserve"> that they did so to comply with GAAP because they expected that the amounts they identified would be returned to </w:t>
      </w:r>
      <w:r w:rsidR="00BB0167" w:rsidRPr="000D74F3">
        <w:rPr>
          <w:rFonts w:cs="Arial"/>
        </w:rPr>
        <w:t xml:space="preserve">customers.  </w:t>
      </w:r>
      <w:r w:rsidR="00BB0167" w:rsidRPr="000D74F3">
        <w:rPr>
          <w:rFonts w:cs="Arial"/>
          <w:i/>
        </w:rPr>
        <w:t>Id.</w:t>
      </w:r>
      <w:r w:rsidR="00BB0167" w:rsidRPr="000D74F3">
        <w:rPr>
          <w:rFonts w:cs="Arial"/>
        </w:rPr>
        <w:t xml:space="preserve"> at 6-7.</w:t>
      </w:r>
      <w:r w:rsidR="00461ED8">
        <w:rPr>
          <w:rFonts w:cs="Arial"/>
        </w:rPr>
        <w:t xml:space="preserve">  </w:t>
      </w:r>
    </w:p>
    <w:p w14:paraId="582C9B42" w14:textId="77777777" w:rsidR="00B446DC" w:rsidRDefault="00B446DC" w:rsidP="00B22A21">
      <w:pPr>
        <w:pStyle w:val="ListParagraph"/>
        <w:numPr>
          <w:ilvl w:val="0"/>
          <w:numId w:val="2"/>
        </w:numPr>
        <w:ind w:hanging="720"/>
        <w:jc w:val="both"/>
        <w:rPr>
          <w:b/>
        </w:rPr>
      </w:pPr>
      <w:r w:rsidRPr="00B22A21">
        <w:rPr>
          <w:b/>
        </w:rPr>
        <w:t>The Commission</w:t>
      </w:r>
      <w:r w:rsidR="008953F6">
        <w:rPr>
          <w:b/>
        </w:rPr>
        <w:t>’s</w:t>
      </w:r>
      <w:r w:rsidRPr="00B22A21">
        <w:rPr>
          <w:b/>
        </w:rPr>
        <w:t xml:space="preserve"> order </w:t>
      </w:r>
      <w:r w:rsidR="005A7B57">
        <w:rPr>
          <w:b/>
        </w:rPr>
        <w:t>that</w:t>
      </w:r>
      <w:r w:rsidRPr="00B22A21">
        <w:rPr>
          <w:b/>
        </w:rPr>
        <w:t xml:space="preserve"> rate regulated utilities </w:t>
      </w:r>
      <w:r w:rsidR="005A7B57">
        <w:rPr>
          <w:b/>
        </w:rPr>
        <w:t>record</w:t>
      </w:r>
      <w:r w:rsidRPr="00B22A21">
        <w:rPr>
          <w:b/>
        </w:rPr>
        <w:t xml:space="preserve"> a </w:t>
      </w:r>
      <w:r w:rsidR="005A7B57">
        <w:rPr>
          <w:b/>
        </w:rPr>
        <w:t>deferred</w:t>
      </w:r>
      <w:r w:rsidRPr="00B22A21">
        <w:rPr>
          <w:b/>
        </w:rPr>
        <w:t xml:space="preserve"> liability is just and reasonable</w:t>
      </w:r>
    </w:p>
    <w:p w14:paraId="424D0FE3" w14:textId="77777777" w:rsidR="005A7B57" w:rsidRPr="00B22A21" w:rsidRDefault="005A7B57" w:rsidP="00E941B3">
      <w:pPr>
        <w:pStyle w:val="ListParagraph"/>
        <w:ind w:left="1440"/>
        <w:jc w:val="both"/>
        <w:rPr>
          <w:b/>
        </w:rPr>
      </w:pPr>
    </w:p>
    <w:p w14:paraId="1461AE1B" w14:textId="23A089FA" w:rsidR="00201941" w:rsidRDefault="00050C0A" w:rsidP="00201941">
      <w:pPr>
        <w:spacing w:line="480" w:lineRule="auto"/>
        <w:ind w:firstLine="720"/>
        <w:jc w:val="both"/>
        <w:rPr>
          <w:rFonts w:cs="Arial"/>
        </w:rPr>
      </w:pPr>
      <w:r>
        <w:t>The changes implemented by Ohio Power, Duke, and other utilities to comply with GAAP</w:t>
      </w:r>
      <w:r w:rsidR="009E68B2">
        <w:t xml:space="preserve"> at the end of 2017</w:t>
      </w:r>
      <w:r>
        <w:t xml:space="preserve">, however, do not address the tax savings beginning January 1, 2018.  </w:t>
      </w:r>
      <w:r w:rsidR="00201941">
        <w:rPr>
          <w:rFonts w:cs="Arial"/>
        </w:rPr>
        <w:t xml:space="preserve">Although Ohio Power and Duke testified that they had complied with the Commission’s order to book a deferred liability for the period beginning January 1, 2018, Tr. </w:t>
      </w:r>
      <w:r w:rsidR="00201941" w:rsidRPr="000D74F3">
        <w:rPr>
          <w:rFonts w:cs="Arial"/>
        </w:rPr>
        <w:t>at 14-15</w:t>
      </w:r>
      <w:r w:rsidR="00201941" w:rsidRPr="00B564F0">
        <w:rPr>
          <w:rFonts w:cs="Arial"/>
        </w:rPr>
        <w:t>; Duke Ex. 1 at 4-5, both</w:t>
      </w:r>
      <w:r w:rsidR="00201941">
        <w:rPr>
          <w:rFonts w:cs="Arial"/>
        </w:rPr>
        <w:t xml:space="preserve"> complain that they should not be required to do so.  Their complaints, however, do not provide a reasoned or reasonable basis for reversing the Commission’s order directing them </w:t>
      </w:r>
      <w:r w:rsidR="00201941">
        <w:t>to establish a deferred liability to record the estimated reduction in federal income tax.</w:t>
      </w:r>
    </w:p>
    <w:p w14:paraId="21675A4C" w14:textId="432D2956" w:rsidR="00171142" w:rsidRDefault="00B446DC" w:rsidP="00B22A21">
      <w:pPr>
        <w:spacing w:line="480" w:lineRule="auto"/>
        <w:ind w:firstLine="720"/>
        <w:jc w:val="both"/>
        <w:rPr>
          <w:rFonts w:cs="Arial"/>
        </w:rPr>
      </w:pPr>
      <w:r>
        <w:rPr>
          <w:rFonts w:cs="Arial"/>
        </w:rPr>
        <w:t>An</w:t>
      </w:r>
      <w:r w:rsidRPr="00B446DC">
        <w:rPr>
          <w:rFonts w:cs="Arial"/>
        </w:rPr>
        <w:t xml:space="preserve"> accounting adjustment to recognize a deferred liability is justified in those instances when it is probable that the </w:t>
      </w:r>
      <w:r w:rsidRPr="00D65330">
        <w:rPr>
          <w:rFonts w:cs="Arial"/>
        </w:rPr>
        <w:t xml:space="preserve">regulatory body will adjust rates to account for amounts that may be returned to customers.  </w:t>
      </w:r>
      <w:r w:rsidR="00074D45" w:rsidRPr="00D65330">
        <w:rPr>
          <w:rFonts w:cs="Arial"/>
        </w:rPr>
        <w:t>IEU-Ohio Ex. 1 at 5.</w:t>
      </w:r>
      <w:r w:rsidR="00276180">
        <w:rPr>
          <w:rStyle w:val="FootnoteReference"/>
          <w:rFonts w:cs="Arial"/>
        </w:rPr>
        <w:footnoteReference w:id="3"/>
      </w:r>
      <w:r w:rsidR="00074D45" w:rsidRPr="00D65330">
        <w:rPr>
          <w:rFonts w:cs="Arial"/>
        </w:rPr>
        <w:t xml:space="preserve">  </w:t>
      </w:r>
      <w:r w:rsidR="00155399">
        <w:rPr>
          <w:rFonts w:cs="Arial"/>
        </w:rPr>
        <w:t xml:space="preserve">The Commission’s </w:t>
      </w:r>
      <w:r w:rsidR="00155399">
        <w:rPr>
          <w:rFonts w:cs="Arial"/>
        </w:rPr>
        <w:lastRenderedPageBreak/>
        <w:t>orders in this case demonstrate that it intends to adjust rates to return the reduction in tax cost</w:t>
      </w:r>
      <w:r w:rsidR="00CB66B6">
        <w:rPr>
          <w:rFonts w:cs="Arial"/>
        </w:rPr>
        <w:t xml:space="preserve">, including any savings attributable to the period beginning January 1, 2018, </w:t>
      </w:r>
      <w:r w:rsidR="00155399">
        <w:rPr>
          <w:rFonts w:cs="Arial"/>
        </w:rPr>
        <w:t xml:space="preserve">to customers.  </w:t>
      </w:r>
      <w:r w:rsidR="00155399" w:rsidRPr="008953F6">
        <w:rPr>
          <w:rFonts w:cs="Arial"/>
          <w:i/>
        </w:rPr>
        <w:t>See</w:t>
      </w:r>
      <w:r w:rsidR="00155399">
        <w:rPr>
          <w:rFonts w:cs="Arial"/>
        </w:rPr>
        <w:t xml:space="preserve"> Second Entry on Rehearing </w:t>
      </w:r>
      <w:r w:rsidR="006E3A26">
        <w:rPr>
          <w:rFonts w:cs="Arial"/>
        </w:rPr>
        <w:t>¶ 15</w:t>
      </w:r>
      <w:r w:rsidR="00155399">
        <w:rPr>
          <w:rFonts w:cs="Arial"/>
        </w:rPr>
        <w:t xml:space="preserve"> (“the Commission </w:t>
      </w:r>
      <w:r w:rsidRPr="00B446DC">
        <w:rPr>
          <w:rFonts w:cs="Arial"/>
        </w:rPr>
        <w:t>intends that all tax impacts resulting from the TCJA will be returned to customers, whether through this proceeding or through a case-by-case determination for each affected utility.”</w:t>
      </w:r>
      <w:r w:rsidR="00155399">
        <w:rPr>
          <w:rFonts w:cs="Arial"/>
        </w:rPr>
        <w:t>).</w:t>
      </w:r>
      <w:r w:rsidRPr="00B446DC">
        <w:rPr>
          <w:rFonts w:cs="Arial"/>
        </w:rPr>
        <w:t xml:space="preserve">  Based on the premise that federal income tax impacts </w:t>
      </w:r>
      <w:r w:rsidR="00770B65">
        <w:rPr>
          <w:rFonts w:cs="Arial"/>
        </w:rPr>
        <w:t>will</w:t>
      </w:r>
      <w:r w:rsidRPr="00B446DC">
        <w:rPr>
          <w:rFonts w:cs="Arial"/>
        </w:rPr>
        <w:t xml:space="preserve"> be returned to customers, the deferral should be established and will permit tracking of amounts </w:t>
      </w:r>
      <w:r w:rsidR="00770B65">
        <w:rPr>
          <w:rFonts w:cs="Arial"/>
        </w:rPr>
        <w:t>that may be returned to customers</w:t>
      </w:r>
      <w:r w:rsidRPr="00B446DC">
        <w:rPr>
          <w:rFonts w:cs="Arial"/>
        </w:rPr>
        <w:t xml:space="preserve">. </w:t>
      </w:r>
      <w:r>
        <w:rPr>
          <w:rFonts w:cs="Arial"/>
        </w:rPr>
        <w:t xml:space="preserve"> </w:t>
      </w:r>
      <w:r w:rsidRPr="00041850">
        <w:rPr>
          <w:rFonts w:cs="Arial"/>
          <w:shd w:val="clear" w:color="auto" w:fill="FFFFFF" w:themeFill="background1"/>
        </w:rPr>
        <w:t>IEU-Ohio Ex. 1 at 9-10</w:t>
      </w:r>
      <w:r w:rsidRPr="00041850">
        <w:rPr>
          <w:rFonts w:cs="Arial"/>
        </w:rPr>
        <w:t>; Tr</w:t>
      </w:r>
      <w:r>
        <w:rPr>
          <w:rFonts w:cs="Arial"/>
        </w:rPr>
        <w:t>. at 141.</w:t>
      </w:r>
      <w:r w:rsidR="00540A1B">
        <w:rPr>
          <w:rStyle w:val="FootnoteReference"/>
          <w:rFonts w:cs="Arial"/>
        </w:rPr>
        <w:footnoteReference w:id="4"/>
      </w:r>
    </w:p>
    <w:p w14:paraId="14FFDF7E" w14:textId="36979E1C" w:rsidR="00B446DC" w:rsidRDefault="00461ED8" w:rsidP="00B22A21">
      <w:pPr>
        <w:spacing w:line="480" w:lineRule="auto"/>
        <w:ind w:firstLine="720"/>
        <w:jc w:val="both"/>
        <w:rPr>
          <w:rFonts w:cs="Arial"/>
        </w:rPr>
      </w:pPr>
      <w:r>
        <w:rPr>
          <w:rFonts w:cs="Arial"/>
        </w:rPr>
        <w:t xml:space="preserve">To </w:t>
      </w:r>
      <w:r w:rsidRPr="00271717">
        <w:t>avoid</w:t>
      </w:r>
      <w:r>
        <w:rPr>
          <w:rFonts w:cs="Arial"/>
        </w:rPr>
        <w:t xml:space="preserve"> the effect of the accounting standards that would otherwise direct them to </w:t>
      </w:r>
      <w:r w:rsidR="003454FB">
        <w:rPr>
          <w:rFonts w:cs="Arial"/>
        </w:rPr>
        <w:t>book</w:t>
      </w:r>
      <w:r>
        <w:rPr>
          <w:rFonts w:cs="Arial"/>
        </w:rPr>
        <w:t xml:space="preserve"> the deferred liability, </w:t>
      </w:r>
      <w:r w:rsidR="00155399">
        <w:rPr>
          <w:rFonts w:cs="Arial"/>
        </w:rPr>
        <w:t xml:space="preserve">however, </w:t>
      </w:r>
      <w:r w:rsidR="00074D45">
        <w:rPr>
          <w:rFonts w:cs="Arial"/>
        </w:rPr>
        <w:t>Ohio Power and Duke</w:t>
      </w:r>
      <w:r>
        <w:rPr>
          <w:rFonts w:cs="Arial"/>
        </w:rPr>
        <w:t xml:space="preserve"> seek to redirect the Commission’s attention to spurious matter</w:t>
      </w:r>
      <w:r w:rsidR="00102A71">
        <w:rPr>
          <w:rFonts w:cs="Arial"/>
        </w:rPr>
        <w:t>s</w:t>
      </w:r>
      <w:r>
        <w:rPr>
          <w:rFonts w:cs="Arial"/>
        </w:rPr>
        <w:t>.</w:t>
      </w:r>
    </w:p>
    <w:p w14:paraId="372D9BFF" w14:textId="3313DCBC" w:rsidR="00C76B64" w:rsidRDefault="00C76B64" w:rsidP="00B22A21">
      <w:pPr>
        <w:spacing w:line="480" w:lineRule="auto"/>
        <w:ind w:firstLine="720"/>
        <w:jc w:val="both"/>
        <w:rPr>
          <w:rFonts w:cs="Arial"/>
        </w:rPr>
      </w:pPr>
      <w:r w:rsidRPr="00271717">
        <w:t>Ohio</w:t>
      </w:r>
      <w:r>
        <w:rPr>
          <w:rFonts w:cs="Arial"/>
        </w:rPr>
        <w:t xml:space="preserve"> Power claims that it should not have to </w:t>
      </w:r>
      <w:r w:rsidR="00897B27">
        <w:rPr>
          <w:rFonts w:cs="Arial"/>
        </w:rPr>
        <w:t>record the deferred liability</w:t>
      </w:r>
      <w:r>
        <w:rPr>
          <w:rFonts w:cs="Arial"/>
        </w:rPr>
        <w:t xml:space="preserve"> unless it is earning more than its permitted return on </w:t>
      </w:r>
      <w:r w:rsidRPr="00DD458B">
        <w:rPr>
          <w:rFonts w:cs="Arial"/>
        </w:rPr>
        <w:t xml:space="preserve">investment.  </w:t>
      </w:r>
      <w:r w:rsidR="006D52C4" w:rsidRPr="00DD458B">
        <w:rPr>
          <w:rFonts w:cs="Arial"/>
        </w:rPr>
        <w:t xml:space="preserve">Ohio Power Ex. 1 at 4.  </w:t>
      </w:r>
      <w:r w:rsidR="00102A71">
        <w:rPr>
          <w:rFonts w:cs="Arial"/>
        </w:rPr>
        <w:t xml:space="preserve">The </w:t>
      </w:r>
      <w:r w:rsidR="0037359C">
        <w:rPr>
          <w:rFonts w:cs="Arial"/>
        </w:rPr>
        <w:t>Commission</w:t>
      </w:r>
      <w:r w:rsidR="00506D1E">
        <w:rPr>
          <w:rFonts w:cs="Arial"/>
        </w:rPr>
        <w:t>, however,</w:t>
      </w:r>
      <w:r w:rsidR="00102A71">
        <w:rPr>
          <w:rFonts w:cs="Arial"/>
        </w:rPr>
        <w:t xml:space="preserve"> has already stated that Ohio Power will be directed to return to </w:t>
      </w:r>
      <w:r w:rsidR="00102A71">
        <w:rPr>
          <w:rFonts w:cs="Arial"/>
        </w:rPr>
        <w:lastRenderedPageBreak/>
        <w:t xml:space="preserve">customers the benefits </w:t>
      </w:r>
      <w:r w:rsidR="0037359C">
        <w:rPr>
          <w:rFonts w:cs="Arial"/>
        </w:rPr>
        <w:t>of</w:t>
      </w:r>
      <w:r w:rsidR="00102A71">
        <w:rPr>
          <w:rFonts w:cs="Arial"/>
        </w:rPr>
        <w:t xml:space="preserve"> the tax reduction.  </w:t>
      </w:r>
      <w:r w:rsidR="00506D1E">
        <w:rPr>
          <w:rFonts w:cs="Arial"/>
        </w:rPr>
        <w:t>How and when the benefits will be returned to customers</w:t>
      </w:r>
      <w:r w:rsidR="00102A71">
        <w:rPr>
          <w:rFonts w:cs="Arial"/>
        </w:rPr>
        <w:t xml:space="preserve"> will be addressed </w:t>
      </w:r>
      <w:r w:rsidR="00506D1E">
        <w:rPr>
          <w:rFonts w:cs="Arial"/>
        </w:rPr>
        <w:t xml:space="preserve">either later </w:t>
      </w:r>
      <w:r w:rsidR="00102A71">
        <w:rPr>
          <w:rFonts w:cs="Arial"/>
        </w:rPr>
        <w:t xml:space="preserve">in </w:t>
      </w:r>
      <w:r w:rsidR="00506D1E">
        <w:rPr>
          <w:rFonts w:cs="Arial"/>
        </w:rPr>
        <w:t xml:space="preserve">this case or </w:t>
      </w:r>
      <w:r w:rsidR="00102A71">
        <w:rPr>
          <w:rFonts w:cs="Arial"/>
        </w:rPr>
        <w:t xml:space="preserve">a separate matter. </w:t>
      </w:r>
      <w:r w:rsidR="00EE7986">
        <w:rPr>
          <w:rFonts w:cs="Arial"/>
        </w:rPr>
        <w:t xml:space="preserve"> </w:t>
      </w:r>
      <w:r w:rsidR="0037359C">
        <w:rPr>
          <w:rFonts w:cs="Arial"/>
          <w:i/>
        </w:rPr>
        <w:t>See, e.g., I</w:t>
      </w:r>
      <w:r w:rsidR="00EE7986" w:rsidRPr="00F4146A">
        <w:rPr>
          <w:rFonts w:cs="Arial"/>
          <w:i/>
        </w:rPr>
        <w:t>n the Matter of the Ohio Power Company’s Implementation of the Tax Cuts and Jobs Act of 2017</w:t>
      </w:r>
      <w:r w:rsidR="00EE7986">
        <w:rPr>
          <w:rFonts w:cs="Arial"/>
        </w:rPr>
        <w:t>, Case No. 18-1007-EL-UNC</w:t>
      </w:r>
      <w:r w:rsidR="00350DD6">
        <w:rPr>
          <w:rFonts w:cs="Arial"/>
        </w:rPr>
        <w:t xml:space="preserve">, Motion for a Procedural Schedule and Request for Expedited Ruling (June 8, 2018).  </w:t>
      </w:r>
      <w:r w:rsidR="00506D1E">
        <w:rPr>
          <w:rFonts w:cs="Arial"/>
        </w:rPr>
        <w:t xml:space="preserve">The point of the order to book a deferral of the estimated savings is </w:t>
      </w:r>
      <w:r w:rsidR="00FA5E25">
        <w:rPr>
          <w:rFonts w:cs="Arial"/>
        </w:rPr>
        <w:t>“to permit tracking of amounts so that the Commission can have the needed information for addressing each company’s situation for its TCJA related rate adjustments and the amounts to be returned to customers.</w:t>
      </w:r>
      <w:r w:rsidR="00086827">
        <w:rPr>
          <w:rFonts w:cs="Arial"/>
        </w:rPr>
        <w:t>”</w:t>
      </w:r>
      <w:r w:rsidR="00FA5E25">
        <w:rPr>
          <w:rFonts w:cs="Arial"/>
        </w:rPr>
        <w:t xml:space="preserve">  IEU-Ohio Ex. 1 at 10. </w:t>
      </w:r>
      <w:r w:rsidR="00506D1E">
        <w:rPr>
          <w:rFonts w:cs="Arial"/>
        </w:rPr>
        <w:t xml:space="preserve"> </w:t>
      </w:r>
      <w:r w:rsidR="00A375C4">
        <w:rPr>
          <w:rFonts w:cs="Arial"/>
        </w:rPr>
        <w:t xml:space="preserve">In the meantime, the recognition of </w:t>
      </w:r>
      <w:r w:rsidR="00897B27">
        <w:rPr>
          <w:rFonts w:cs="Arial"/>
        </w:rPr>
        <w:t>the</w:t>
      </w:r>
      <w:r w:rsidR="00A375C4">
        <w:rPr>
          <w:rFonts w:cs="Arial"/>
        </w:rPr>
        <w:t xml:space="preserve"> deferral has no effect</w:t>
      </w:r>
      <w:r w:rsidR="003454FB">
        <w:rPr>
          <w:rFonts w:cs="Arial"/>
        </w:rPr>
        <w:t xml:space="preserve"> on rates</w:t>
      </w:r>
      <w:r w:rsidR="00A375C4">
        <w:rPr>
          <w:rFonts w:cs="Arial"/>
        </w:rPr>
        <w:t xml:space="preserve">.  </w:t>
      </w:r>
      <w:r w:rsidR="00A375C4">
        <w:t>Tr. at 93</w:t>
      </w:r>
      <w:r w:rsidR="00155399">
        <w:t>,</w:t>
      </w:r>
      <w:r w:rsidR="00A375C4">
        <w:t xml:space="preserve"> </w:t>
      </w:r>
      <w:r w:rsidR="004F1BA5">
        <w:t>112</w:t>
      </w:r>
      <w:r w:rsidR="00155399">
        <w:t>,</w:t>
      </w:r>
      <w:r w:rsidR="00A375C4">
        <w:t xml:space="preserve"> and 134.  </w:t>
      </w:r>
      <w:r w:rsidR="006D52C4">
        <w:t>Accordingly, t</w:t>
      </w:r>
      <w:r w:rsidR="00CB4ADD">
        <w:rPr>
          <w:rFonts w:cs="Arial"/>
        </w:rPr>
        <w:t xml:space="preserve">he Commission should reject Ohio Power’s attempt to insert questions about </w:t>
      </w:r>
      <w:r w:rsidR="009B2140">
        <w:rPr>
          <w:rFonts w:cs="Arial"/>
        </w:rPr>
        <w:t>earnings</w:t>
      </w:r>
      <w:r w:rsidR="00CB4ADD">
        <w:rPr>
          <w:rFonts w:cs="Arial"/>
        </w:rPr>
        <w:t xml:space="preserve"> </w:t>
      </w:r>
      <w:r w:rsidR="009B2140">
        <w:rPr>
          <w:rFonts w:cs="Arial"/>
        </w:rPr>
        <w:t xml:space="preserve">into a decision regarding the tracking </w:t>
      </w:r>
      <w:r w:rsidR="00E02615">
        <w:rPr>
          <w:rFonts w:cs="Arial"/>
        </w:rPr>
        <w:t xml:space="preserve">of </w:t>
      </w:r>
      <w:r w:rsidR="009B2140">
        <w:rPr>
          <w:rFonts w:cs="Arial"/>
        </w:rPr>
        <w:t xml:space="preserve">the tax savings </w:t>
      </w:r>
      <w:r w:rsidR="00CB4ADD">
        <w:rPr>
          <w:rFonts w:cs="Arial"/>
        </w:rPr>
        <w:t>as they are not relevant.</w:t>
      </w:r>
    </w:p>
    <w:p w14:paraId="6BC65A74" w14:textId="14EFED86" w:rsidR="00B40F0D" w:rsidRDefault="00D6539E" w:rsidP="00B22A21">
      <w:pPr>
        <w:spacing w:line="480" w:lineRule="auto"/>
        <w:ind w:firstLine="720"/>
        <w:jc w:val="both"/>
      </w:pPr>
      <w:r w:rsidRPr="00271717">
        <w:t>Taking</w:t>
      </w:r>
      <w:r>
        <w:rPr>
          <w:rFonts w:cs="Arial"/>
        </w:rPr>
        <w:t xml:space="preserve"> a different route</w:t>
      </w:r>
      <w:r w:rsidR="009904A0">
        <w:rPr>
          <w:rFonts w:cs="Arial"/>
        </w:rPr>
        <w:t>, Duke</w:t>
      </w:r>
      <w:r w:rsidR="009904A0" w:rsidRPr="009904A0">
        <w:t xml:space="preserve"> </w:t>
      </w:r>
      <w:r w:rsidR="009904A0">
        <w:t>claims that the Commission should “allow due process to occur”</w:t>
      </w:r>
      <w:r w:rsidR="009904A0">
        <w:rPr>
          <w:rStyle w:val="FootnoteReference"/>
        </w:rPr>
        <w:footnoteReference w:id="5"/>
      </w:r>
      <w:r w:rsidR="007F4FBB">
        <w:t xml:space="preserve"> before ordering it to book a deferred liability</w:t>
      </w:r>
      <w:r>
        <w:rPr>
          <w:rFonts w:cs="Arial"/>
        </w:rPr>
        <w:t xml:space="preserve"> </w:t>
      </w:r>
      <w:r w:rsidR="009904A0">
        <w:rPr>
          <w:rFonts w:cs="Arial"/>
        </w:rPr>
        <w:t xml:space="preserve">and </w:t>
      </w:r>
      <w:r w:rsidR="00B40F0D">
        <w:rPr>
          <w:rFonts w:cs="Arial"/>
        </w:rPr>
        <w:t xml:space="preserve">asserts that the Commission </w:t>
      </w:r>
      <w:r w:rsidR="008C306C">
        <w:rPr>
          <w:rFonts w:cs="Arial"/>
        </w:rPr>
        <w:t>should</w:t>
      </w:r>
      <w:r w:rsidR="00B40F0D">
        <w:t xml:space="preserve"> </w:t>
      </w:r>
      <w:r w:rsidR="00101FE0">
        <w:t>apply</w:t>
      </w:r>
      <w:r w:rsidR="00B40F0D">
        <w:t xml:space="preserve"> a five </w:t>
      </w:r>
      <w:r w:rsidR="0094039D">
        <w:t xml:space="preserve">factor </w:t>
      </w:r>
      <w:r w:rsidR="00B40F0D">
        <w:t>test that the Commission has used to address the merits of utility requests for authority to book deferred assets.</w:t>
      </w:r>
      <w:r w:rsidR="00605BF9">
        <w:t xml:space="preserve"> </w:t>
      </w:r>
      <w:r w:rsidR="00605BF9" w:rsidRPr="00B564F0">
        <w:rPr>
          <w:shd w:val="clear" w:color="auto" w:fill="FFFFFF" w:themeFill="background1"/>
        </w:rPr>
        <w:t xml:space="preserve">Duke Ex. 1 at </w:t>
      </w:r>
      <w:r w:rsidR="00B564F0" w:rsidRPr="00B564F0">
        <w:rPr>
          <w:shd w:val="clear" w:color="auto" w:fill="FFFFFF" w:themeFill="background1"/>
        </w:rPr>
        <w:t>8-</w:t>
      </w:r>
      <w:r w:rsidR="008C306C" w:rsidRPr="00B564F0">
        <w:rPr>
          <w:shd w:val="clear" w:color="auto" w:fill="FFFFFF" w:themeFill="background1"/>
        </w:rPr>
        <w:t>9</w:t>
      </w:r>
      <w:r w:rsidR="009904A0">
        <w:rPr>
          <w:shd w:val="clear" w:color="auto" w:fill="FFFFFF" w:themeFill="background1"/>
        </w:rPr>
        <w:t xml:space="preserve"> &amp; 14</w:t>
      </w:r>
      <w:r w:rsidR="008C306C" w:rsidRPr="00B564F0">
        <w:rPr>
          <w:shd w:val="clear" w:color="auto" w:fill="FFFFFF" w:themeFill="background1"/>
        </w:rPr>
        <w:t>.</w:t>
      </w:r>
      <w:r w:rsidR="00B40F0D" w:rsidRPr="00B564F0">
        <w:rPr>
          <w:shd w:val="clear" w:color="auto" w:fill="FFFFFF" w:themeFill="background1"/>
        </w:rPr>
        <w:t xml:space="preserve">  </w:t>
      </w:r>
      <w:r w:rsidR="009904A0" w:rsidRPr="00B564F0">
        <w:rPr>
          <w:shd w:val="clear" w:color="auto" w:fill="FFFFFF" w:themeFill="background1"/>
        </w:rPr>
        <w:t>Although</w:t>
      </w:r>
      <w:r w:rsidR="009904A0">
        <w:t xml:space="preserve"> Duke does not draw a conclusion on whether it should be ordered to establish a deferred liability, it l</w:t>
      </w:r>
      <w:r w:rsidR="00054691">
        <w:t xml:space="preserve">oosely </w:t>
      </w:r>
      <w:r w:rsidR="007F4FBB">
        <w:t>applies</w:t>
      </w:r>
      <w:r w:rsidR="00E02615">
        <w:t xml:space="preserve"> </w:t>
      </w:r>
      <w:r w:rsidR="00054691">
        <w:t>the five factors</w:t>
      </w:r>
      <w:r w:rsidR="00657453">
        <w:rPr>
          <w:rStyle w:val="FootnoteReference"/>
        </w:rPr>
        <w:footnoteReference w:id="6"/>
      </w:r>
      <w:r w:rsidR="00054691">
        <w:t xml:space="preserve"> </w:t>
      </w:r>
      <w:r w:rsidR="009904A0">
        <w:t xml:space="preserve">and </w:t>
      </w:r>
      <w:r w:rsidR="006E5724">
        <w:t xml:space="preserve">states </w:t>
      </w:r>
      <w:r w:rsidR="00101FE0">
        <w:t xml:space="preserve">that the Commission </w:t>
      </w:r>
      <w:r w:rsidR="009904A0">
        <w:lastRenderedPageBreak/>
        <w:t>should</w:t>
      </w:r>
      <w:r w:rsidR="00101FE0">
        <w:t xml:space="preserve"> consider whether the amounts to be deferred are material</w:t>
      </w:r>
      <w:r w:rsidR="00054691">
        <w:t xml:space="preserve"> or affected the financial integrity of Duke</w:t>
      </w:r>
      <w:r w:rsidR="00101FE0">
        <w:t xml:space="preserve"> and suggest</w:t>
      </w:r>
      <w:r w:rsidR="009904A0">
        <w:t>s</w:t>
      </w:r>
      <w:r w:rsidR="00101FE0">
        <w:t xml:space="preserve"> that </w:t>
      </w:r>
      <w:r w:rsidR="00054691">
        <w:t xml:space="preserve">the Commission’s order (rather than the tax change) </w:t>
      </w:r>
      <w:r w:rsidR="009904A0">
        <w:t xml:space="preserve">was </w:t>
      </w:r>
      <w:r w:rsidR="00054691">
        <w:t>within the Commission’s control</w:t>
      </w:r>
      <w:r w:rsidR="00155399">
        <w:t>.  Additionally, it state</w:t>
      </w:r>
      <w:r w:rsidR="00C24F54">
        <w:t>s</w:t>
      </w:r>
      <w:r w:rsidR="00155399">
        <w:t xml:space="preserve"> that the tax reduction </w:t>
      </w:r>
      <w:r w:rsidR="00054691">
        <w:t xml:space="preserve">could be considered typical.  </w:t>
      </w:r>
      <w:r w:rsidR="00054691" w:rsidRPr="00DD458B">
        <w:rPr>
          <w:i/>
        </w:rPr>
        <w:t>Id.</w:t>
      </w:r>
      <w:r w:rsidR="00054691" w:rsidRPr="00DD458B">
        <w:t xml:space="preserve"> at 9-12.</w:t>
      </w:r>
    </w:p>
    <w:p w14:paraId="338905A8" w14:textId="5DB3C3D4" w:rsidR="00B446DC" w:rsidRDefault="0018266A" w:rsidP="00B22A21">
      <w:pPr>
        <w:spacing w:line="480" w:lineRule="auto"/>
        <w:ind w:firstLine="720"/>
        <w:jc w:val="both"/>
      </w:pPr>
      <w:r w:rsidRPr="00271717">
        <w:t>Duke’s</w:t>
      </w:r>
      <w:r>
        <w:t xml:space="preserve"> argument</w:t>
      </w:r>
      <w:r w:rsidR="006C0A7F">
        <w:t xml:space="preserve">, however, </w:t>
      </w:r>
      <w:r w:rsidR="006D52C4">
        <w:t xml:space="preserve">is not consistent with </w:t>
      </w:r>
      <w:r w:rsidR="00F43C29">
        <w:t xml:space="preserve">the </w:t>
      </w:r>
      <w:r w:rsidR="006D52C4">
        <w:t>accounting standards it acknowledges or the multipart test it says applies</w:t>
      </w:r>
      <w:r w:rsidR="006C0A7F">
        <w:t>.</w:t>
      </w:r>
      <w:r w:rsidR="006D52C4">
        <w:rPr>
          <w:rStyle w:val="FootnoteReference"/>
        </w:rPr>
        <w:footnoteReference w:id="7"/>
      </w:r>
      <w:r w:rsidR="006C0A7F">
        <w:t xml:space="preserve">  </w:t>
      </w:r>
      <w:r w:rsidR="006D52C4">
        <w:t>Since Duke maintains its books</w:t>
      </w:r>
      <w:r w:rsidR="0094039D">
        <w:t xml:space="preserve"> </w:t>
      </w:r>
      <w:r w:rsidR="006D52C4">
        <w:t xml:space="preserve">in compliance with GAAP </w:t>
      </w:r>
      <w:r w:rsidR="006E0CEE">
        <w:t xml:space="preserve">and those standards require Duke to track a deferred liability for amounts that </w:t>
      </w:r>
      <w:r w:rsidR="00074D45">
        <w:t>will</w:t>
      </w:r>
      <w:r w:rsidR="006E0CEE">
        <w:t xml:space="preserve"> probably be returned to customers, the Commission’s decision to order Duke to track the tax savings </w:t>
      </w:r>
      <w:r w:rsidR="007F4FBB">
        <w:t xml:space="preserve">directs </w:t>
      </w:r>
      <w:r w:rsidR="00B55EAC">
        <w:t xml:space="preserve">what </w:t>
      </w:r>
      <w:r w:rsidR="007F4FBB">
        <w:t xml:space="preserve">Duke </w:t>
      </w:r>
      <w:r w:rsidR="00B55EAC">
        <w:t>already should be doing.</w:t>
      </w:r>
      <w:r w:rsidR="006E0CEE">
        <w:t xml:space="preserve">  Even if the Commission goes down Duke’s suggested path and applies the multifactor test</w:t>
      </w:r>
      <w:r w:rsidR="00B40F0D">
        <w:t xml:space="preserve">, </w:t>
      </w:r>
      <w:r w:rsidR="00B55EAC">
        <w:t xml:space="preserve">however, </w:t>
      </w:r>
      <w:r w:rsidR="00054691">
        <w:t xml:space="preserve">the </w:t>
      </w:r>
      <w:r w:rsidR="00CB4ADD">
        <w:t>Commission’s order directing the utilities to book a deferred liability</w:t>
      </w:r>
      <w:r w:rsidR="00054691">
        <w:t xml:space="preserve"> “meets the criteria of the test”</w:t>
      </w:r>
      <w:r w:rsidR="000525C7">
        <w:t xml:space="preserve"> when properly applied</w:t>
      </w:r>
      <w:r w:rsidR="000525C7" w:rsidRPr="00041850">
        <w:t>.</w:t>
      </w:r>
      <w:r w:rsidR="00054691" w:rsidRPr="00041850">
        <w:t xml:space="preserve">  Staff Ex. 1 at 5</w:t>
      </w:r>
      <w:r w:rsidR="006E0CEE" w:rsidRPr="00041850">
        <w:t>-7</w:t>
      </w:r>
      <w:r w:rsidR="004F7172">
        <w:t xml:space="preserve"> and note 6 above</w:t>
      </w:r>
      <w:r w:rsidR="00054691" w:rsidRPr="00041850">
        <w:t xml:space="preserve">.  </w:t>
      </w:r>
      <w:r w:rsidR="00C3229F">
        <w:t xml:space="preserve">At this point, </w:t>
      </w:r>
      <w:r w:rsidR="00B45037" w:rsidRPr="00041850">
        <w:t>Duke</w:t>
      </w:r>
      <w:r w:rsidR="00B45037">
        <w:t xml:space="preserve"> has had it</w:t>
      </w:r>
      <w:r w:rsidR="003454FB">
        <w:t>s</w:t>
      </w:r>
      <w:r w:rsidR="00B45037">
        <w:t xml:space="preserve"> opportunity to </w:t>
      </w:r>
      <w:r w:rsidR="00877275">
        <w:t>“</w:t>
      </w:r>
      <w:r w:rsidR="00B45037">
        <w:t>allow due process to occur</w:t>
      </w:r>
      <w:r w:rsidR="00877275">
        <w:t>”</w:t>
      </w:r>
      <w:r w:rsidR="00B45037">
        <w:t xml:space="preserve"> and failed to demonstrate that the Commission</w:t>
      </w:r>
      <w:r w:rsidR="00877275">
        <w:t>’s order is unlawful or unreasonable.</w:t>
      </w:r>
      <w:r w:rsidR="00B45037">
        <w:t xml:space="preserve"> </w:t>
      </w:r>
    </w:p>
    <w:p w14:paraId="2AAADF11" w14:textId="77777777" w:rsidR="004D40CF" w:rsidRPr="00B22A21" w:rsidRDefault="004D40CF" w:rsidP="00B22A21">
      <w:pPr>
        <w:pStyle w:val="ListParagraph"/>
        <w:numPr>
          <w:ilvl w:val="0"/>
          <w:numId w:val="1"/>
        </w:numPr>
        <w:spacing w:after="240"/>
        <w:ind w:left="720"/>
        <w:jc w:val="both"/>
        <w:rPr>
          <w:rFonts w:ascii="Arial Bold" w:hAnsi="Arial Bold"/>
          <w:b/>
          <w:caps/>
        </w:rPr>
      </w:pPr>
      <w:r w:rsidRPr="00B22A21">
        <w:rPr>
          <w:rFonts w:ascii="Arial Bold" w:hAnsi="Arial Bold"/>
          <w:b/>
          <w:caps/>
        </w:rPr>
        <w:t>Conclusion</w:t>
      </w:r>
    </w:p>
    <w:p w14:paraId="783C4B44" w14:textId="24E18D34" w:rsidR="009B59B6" w:rsidRDefault="00757FA7" w:rsidP="00B22A21">
      <w:pPr>
        <w:spacing w:line="480" w:lineRule="auto"/>
        <w:ind w:firstLine="720"/>
        <w:jc w:val="both"/>
      </w:pPr>
      <w:r>
        <w:rPr>
          <w:rFonts w:cs="Arial"/>
        </w:rPr>
        <w:t>The</w:t>
      </w:r>
      <w:r w:rsidR="004D40CF">
        <w:rPr>
          <w:rFonts w:cs="Arial"/>
        </w:rPr>
        <w:t xml:space="preserve"> </w:t>
      </w:r>
      <w:r w:rsidR="004D40CF" w:rsidRPr="00271717">
        <w:t>Commission</w:t>
      </w:r>
      <w:r w:rsidR="004D40CF">
        <w:rPr>
          <w:rFonts w:cs="Arial"/>
        </w:rPr>
        <w:t xml:space="preserve"> stated that the benefits of the federal income tax reduction </w:t>
      </w:r>
      <w:r>
        <w:rPr>
          <w:rFonts w:cs="Arial"/>
        </w:rPr>
        <w:t>will</w:t>
      </w:r>
      <w:r w:rsidR="004D40CF">
        <w:rPr>
          <w:rFonts w:cs="Arial"/>
        </w:rPr>
        <w:t xml:space="preserve"> </w:t>
      </w:r>
      <w:r w:rsidR="00E43BB0">
        <w:rPr>
          <w:rFonts w:cs="Arial"/>
        </w:rPr>
        <w:t xml:space="preserve">be returned </w:t>
      </w:r>
      <w:r w:rsidR="004D40CF">
        <w:rPr>
          <w:rFonts w:cs="Arial"/>
        </w:rPr>
        <w:t xml:space="preserve">to customers.  </w:t>
      </w:r>
      <w:r w:rsidR="00B45037">
        <w:rPr>
          <w:rFonts w:cs="Arial"/>
        </w:rPr>
        <w:t>B</w:t>
      </w:r>
      <w:r>
        <w:rPr>
          <w:rFonts w:cs="Arial"/>
        </w:rPr>
        <w:t xml:space="preserve">ased on the Commission’s </w:t>
      </w:r>
      <w:r w:rsidR="00B45037">
        <w:rPr>
          <w:rFonts w:cs="Arial"/>
        </w:rPr>
        <w:t>statement</w:t>
      </w:r>
      <w:r w:rsidR="004D40CF" w:rsidRPr="00B446DC">
        <w:rPr>
          <w:rFonts w:cs="Arial"/>
        </w:rPr>
        <w:t xml:space="preserve">, </w:t>
      </w:r>
      <w:r>
        <w:t xml:space="preserve">GAAP and FERC accounting directives require the recognition of a deferred liability.  </w:t>
      </w:r>
      <w:r w:rsidR="00E43BB0">
        <w:t>Because the Commission’s order is consistent with these accounting directives</w:t>
      </w:r>
      <w:r w:rsidR="00C3229F">
        <w:t xml:space="preserve"> and neither Ohio Power nor Duke offers a reasonable or reasoned basis to depart from these directives</w:t>
      </w:r>
      <w:r>
        <w:t xml:space="preserve">, </w:t>
      </w:r>
      <w:r w:rsidR="00C3229F">
        <w:lastRenderedPageBreak/>
        <w:t>the Commission should find that its</w:t>
      </w:r>
      <w:r w:rsidR="00E43BB0">
        <w:t xml:space="preserve"> order</w:t>
      </w:r>
      <w:r w:rsidR="00C3229F">
        <w:t xml:space="preserve"> directing rate regulated utilities to book a deferred liability for the tax savings</w:t>
      </w:r>
      <w:r w:rsidR="00E43BB0">
        <w:t xml:space="preserve"> </w:t>
      </w:r>
      <w:r>
        <w:t>is just and reasonable.</w:t>
      </w:r>
    </w:p>
    <w:p w14:paraId="3C206378" w14:textId="77777777" w:rsidR="00E0550C" w:rsidRDefault="00E0550C" w:rsidP="00E0550C">
      <w:pPr>
        <w:tabs>
          <w:tab w:val="right" w:pos="8640"/>
        </w:tabs>
        <w:ind w:left="4320"/>
        <w:rPr>
          <w:rFonts w:cs="Arial"/>
        </w:rPr>
      </w:pPr>
      <w:r w:rsidRPr="00EB687D">
        <w:rPr>
          <w:rFonts w:cs="Arial"/>
        </w:rPr>
        <w:t>Respectfully submitted,</w:t>
      </w:r>
    </w:p>
    <w:p w14:paraId="4194BE7F" w14:textId="77777777" w:rsidR="00E0550C" w:rsidRPr="00EB687D" w:rsidRDefault="00E0550C" w:rsidP="00E0550C">
      <w:pPr>
        <w:tabs>
          <w:tab w:val="right" w:pos="8640"/>
        </w:tabs>
        <w:ind w:left="4320"/>
        <w:rPr>
          <w:rFonts w:cs="Arial"/>
        </w:rPr>
      </w:pPr>
    </w:p>
    <w:p w14:paraId="025CE80E" w14:textId="77777777" w:rsidR="00E0550C" w:rsidRPr="00EB687D" w:rsidRDefault="00E0550C" w:rsidP="00E0550C">
      <w:pPr>
        <w:tabs>
          <w:tab w:val="right" w:pos="8640"/>
        </w:tabs>
        <w:ind w:left="4320"/>
        <w:rPr>
          <w:rFonts w:cs="Arial"/>
          <w:i/>
        </w:rPr>
      </w:pPr>
      <w:r w:rsidRPr="00EB687D">
        <w:rPr>
          <w:rFonts w:cs="Arial"/>
          <w:i/>
          <w:u w:val="single"/>
        </w:rPr>
        <w:t xml:space="preserve">/s/ </w:t>
      </w:r>
      <w:r>
        <w:rPr>
          <w:rFonts w:cs="Arial"/>
          <w:i/>
          <w:u w:val="single"/>
        </w:rPr>
        <w:t xml:space="preserve">Frank P. </w:t>
      </w:r>
      <w:proofErr w:type="spellStart"/>
      <w:r>
        <w:rPr>
          <w:rFonts w:cs="Arial"/>
          <w:i/>
          <w:u w:val="single"/>
        </w:rPr>
        <w:t>Darr</w:t>
      </w:r>
      <w:proofErr w:type="spellEnd"/>
      <w:r w:rsidRPr="00EB687D">
        <w:rPr>
          <w:rFonts w:cs="Arial"/>
          <w:i/>
          <w:u w:val="single"/>
        </w:rPr>
        <w:tab/>
      </w:r>
    </w:p>
    <w:p w14:paraId="413F135D" w14:textId="77777777" w:rsidR="00E0550C" w:rsidRPr="00530185" w:rsidRDefault="00E0550C" w:rsidP="00E0550C">
      <w:pPr>
        <w:tabs>
          <w:tab w:val="left" w:pos="5040"/>
        </w:tabs>
        <w:ind w:left="4320"/>
        <w:rPr>
          <w:rFonts w:cs="Arial"/>
        </w:rPr>
      </w:pPr>
      <w:r w:rsidRPr="00530185">
        <w:rPr>
          <w:rFonts w:cs="Arial"/>
          <w:b/>
        </w:rPr>
        <w:t xml:space="preserve">Frank P. </w:t>
      </w:r>
      <w:proofErr w:type="spellStart"/>
      <w:r w:rsidRPr="00530185">
        <w:rPr>
          <w:rFonts w:cs="Arial"/>
          <w:b/>
        </w:rPr>
        <w:t>Darr</w:t>
      </w:r>
      <w:proofErr w:type="spellEnd"/>
      <w:r w:rsidRPr="00530185">
        <w:rPr>
          <w:rFonts w:cs="Arial"/>
          <w:b/>
        </w:rPr>
        <w:t xml:space="preserve"> </w:t>
      </w:r>
      <w:r w:rsidRPr="00530185">
        <w:rPr>
          <w:rFonts w:cs="Arial"/>
        </w:rPr>
        <w:t>(Reg. No. 0025469)</w:t>
      </w:r>
    </w:p>
    <w:p w14:paraId="2BD6AC0F" w14:textId="77777777" w:rsidR="00E0550C" w:rsidRPr="00530185" w:rsidRDefault="00E0550C" w:rsidP="00E0550C">
      <w:pPr>
        <w:tabs>
          <w:tab w:val="left" w:pos="5040"/>
        </w:tabs>
        <w:ind w:left="4320"/>
        <w:rPr>
          <w:rFonts w:cs="Arial"/>
          <w:color w:val="000000"/>
        </w:rPr>
      </w:pPr>
      <w:r w:rsidRPr="00530185">
        <w:rPr>
          <w:rFonts w:cs="Arial"/>
          <w:b/>
        </w:rPr>
        <w:t xml:space="preserve"> </w:t>
      </w:r>
      <w:r w:rsidRPr="00530185">
        <w:rPr>
          <w:rFonts w:cs="Arial"/>
          <w:color w:val="000000"/>
        </w:rPr>
        <w:t xml:space="preserve"> (Counsel of Record)</w:t>
      </w:r>
    </w:p>
    <w:p w14:paraId="65937AB0" w14:textId="77777777" w:rsidR="00E0550C" w:rsidRPr="00530185" w:rsidRDefault="00E0550C" w:rsidP="00E0550C">
      <w:pPr>
        <w:tabs>
          <w:tab w:val="left" w:pos="5040"/>
        </w:tabs>
        <w:ind w:left="4320"/>
        <w:rPr>
          <w:rFonts w:cs="Arial"/>
          <w:color w:val="000000"/>
        </w:rPr>
      </w:pPr>
      <w:r w:rsidRPr="00530185">
        <w:rPr>
          <w:rFonts w:cs="Arial"/>
          <w:b/>
          <w:color w:val="000000"/>
        </w:rPr>
        <w:t xml:space="preserve">Matthew R. Pritchard </w:t>
      </w:r>
      <w:r w:rsidRPr="00530185">
        <w:rPr>
          <w:rFonts w:cs="Arial"/>
          <w:color w:val="000000"/>
        </w:rPr>
        <w:t>(Reg. No. 0088070)</w:t>
      </w:r>
    </w:p>
    <w:p w14:paraId="65D69777" w14:textId="77777777" w:rsidR="00E0550C" w:rsidRPr="00530185" w:rsidRDefault="00E0550C" w:rsidP="00E0550C">
      <w:pPr>
        <w:tabs>
          <w:tab w:val="left" w:pos="5040"/>
        </w:tabs>
        <w:ind w:left="4320"/>
        <w:rPr>
          <w:rFonts w:cs="Arial"/>
          <w:color w:val="000000"/>
        </w:rPr>
      </w:pPr>
      <w:r w:rsidRPr="00530185">
        <w:rPr>
          <w:rFonts w:cs="Arial"/>
          <w:color w:val="000000"/>
        </w:rPr>
        <w:t xml:space="preserve">McNees Wallace &amp; </w:t>
      </w:r>
      <w:proofErr w:type="spellStart"/>
      <w:r w:rsidRPr="00530185">
        <w:rPr>
          <w:rFonts w:cs="Arial"/>
          <w:color w:val="000000"/>
        </w:rPr>
        <w:t>Nurick</w:t>
      </w:r>
      <w:proofErr w:type="spellEnd"/>
      <w:r w:rsidRPr="00530185">
        <w:rPr>
          <w:rFonts w:cs="Arial"/>
          <w:color w:val="000000"/>
        </w:rPr>
        <w:t xml:space="preserve"> </w:t>
      </w:r>
      <w:r w:rsidRPr="00530185">
        <w:rPr>
          <w:rFonts w:cs="Arial"/>
          <w:smallCaps/>
          <w:color w:val="000000"/>
        </w:rPr>
        <w:t>LLC</w:t>
      </w:r>
    </w:p>
    <w:p w14:paraId="747D8EC9" w14:textId="77777777" w:rsidR="00E0550C" w:rsidRPr="00530185" w:rsidRDefault="00E0550C" w:rsidP="00E0550C">
      <w:pPr>
        <w:tabs>
          <w:tab w:val="left" w:pos="5040"/>
        </w:tabs>
        <w:ind w:left="4320"/>
        <w:rPr>
          <w:rFonts w:cs="Arial"/>
          <w:color w:val="000000"/>
        </w:rPr>
      </w:pPr>
      <w:r w:rsidRPr="00530185">
        <w:rPr>
          <w:rFonts w:cs="Arial"/>
          <w:color w:val="000000"/>
        </w:rPr>
        <w:t>21 East State Street, 17</w:t>
      </w:r>
      <w:r w:rsidRPr="00530185">
        <w:rPr>
          <w:rFonts w:cs="Arial"/>
          <w:color w:val="000000"/>
          <w:vertAlign w:val="superscript"/>
        </w:rPr>
        <w:t>th</w:t>
      </w:r>
      <w:r w:rsidRPr="00530185">
        <w:rPr>
          <w:rFonts w:cs="Arial"/>
          <w:color w:val="000000"/>
        </w:rPr>
        <w:t xml:space="preserve"> Floor</w:t>
      </w:r>
    </w:p>
    <w:p w14:paraId="0FDBBE11" w14:textId="77777777" w:rsidR="00E0550C" w:rsidRPr="00530185" w:rsidRDefault="00E0550C" w:rsidP="00E0550C">
      <w:pPr>
        <w:tabs>
          <w:tab w:val="left" w:pos="5040"/>
        </w:tabs>
        <w:ind w:left="4320"/>
        <w:rPr>
          <w:rFonts w:cs="Arial"/>
          <w:color w:val="000000"/>
        </w:rPr>
      </w:pPr>
      <w:r w:rsidRPr="00530185">
        <w:rPr>
          <w:rFonts w:cs="Arial"/>
          <w:color w:val="000000"/>
        </w:rPr>
        <w:t>Columbus, OH  43215</w:t>
      </w:r>
    </w:p>
    <w:p w14:paraId="7C174E31" w14:textId="77777777" w:rsidR="00E0550C" w:rsidRPr="00530185" w:rsidRDefault="00E0550C" w:rsidP="00E0550C">
      <w:pPr>
        <w:tabs>
          <w:tab w:val="left" w:pos="5040"/>
        </w:tabs>
        <w:ind w:left="4320"/>
        <w:rPr>
          <w:rFonts w:cs="Arial"/>
          <w:color w:val="000000"/>
        </w:rPr>
      </w:pPr>
      <w:r w:rsidRPr="00530185">
        <w:rPr>
          <w:rFonts w:cs="Arial"/>
          <w:color w:val="000000"/>
        </w:rPr>
        <w:t>fdarr@mwncmh.com</w:t>
      </w:r>
    </w:p>
    <w:p w14:paraId="251F9A99" w14:textId="77777777" w:rsidR="00E0550C" w:rsidRPr="00530185" w:rsidRDefault="00E0550C" w:rsidP="00E0550C">
      <w:pPr>
        <w:tabs>
          <w:tab w:val="left" w:pos="5040"/>
        </w:tabs>
        <w:ind w:left="4320"/>
        <w:rPr>
          <w:rFonts w:cs="Arial"/>
        </w:rPr>
      </w:pPr>
      <w:r w:rsidRPr="00530185">
        <w:rPr>
          <w:rFonts w:cs="Arial"/>
        </w:rPr>
        <w:t>mpritchard@mwncmh.com</w:t>
      </w:r>
    </w:p>
    <w:p w14:paraId="487AAF88" w14:textId="77777777" w:rsidR="00E0550C" w:rsidRDefault="00E0550C" w:rsidP="00E0550C">
      <w:pPr>
        <w:ind w:left="4320"/>
        <w:rPr>
          <w:rFonts w:ascii="Arial Bold" w:hAnsi="Arial Bold" w:cs="Arial"/>
          <w:b/>
          <w:smallCaps/>
        </w:rPr>
      </w:pPr>
    </w:p>
    <w:p w14:paraId="25ACC6FB" w14:textId="77777777" w:rsidR="00E0550C" w:rsidRDefault="00E0550C" w:rsidP="00E0550C">
      <w:pPr>
        <w:ind w:left="4320"/>
        <w:rPr>
          <w:rFonts w:ascii="Arial Bold" w:hAnsi="Arial Bold" w:cs="Arial"/>
          <w:b/>
          <w:smallCaps/>
        </w:rPr>
        <w:sectPr w:rsidR="00E0550C" w:rsidSect="002A7AD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r w:rsidRPr="00EB687D">
        <w:rPr>
          <w:rFonts w:ascii="Arial Bold" w:hAnsi="Arial Bold" w:cs="Arial"/>
          <w:b/>
          <w:smallCaps/>
        </w:rPr>
        <w:t>Counsel for Industrial Energy Users-Ohio</w:t>
      </w:r>
    </w:p>
    <w:p w14:paraId="705A451A" w14:textId="77777777" w:rsidR="00E0550C" w:rsidRDefault="00E0550C" w:rsidP="00E0550C">
      <w:pPr>
        <w:spacing w:line="480" w:lineRule="auto"/>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14:paraId="5219DFF2" w14:textId="6C7BE555" w:rsidR="00E0550C" w:rsidRPr="00A36EC4" w:rsidRDefault="00E0550C" w:rsidP="00E0550C">
      <w:pPr>
        <w:spacing w:line="480" w:lineRule="auto"/>
        <w:ind w:firstLine="720"/>
        <w:jc w:val="both"/>
        <w:rPr>
          <w:rFonts w:ascii="Arial Bold" w:hAnsi="Arial Bold"/>
          <w:b/>
          <w:smallCaps/>
        </w:rPr>
      </w:pPr>
      <w:r w:rsidRPr="00A36EC4">
        <w:rPr>
          <w:rFonts w:eastAsia="Times New Roman" w:cs="Arial"/>
        </w:rPr>
        <w:t xml:space="preserve">In accordance with Rule 4901-1-05, Ohio Administrative Code, the PUCO’s e-filing system will electronically serve notice of the filing of the </w:t>
      </w:r>
      <w:r w:rsidR="00EE7A96">
        <w:rPr>
          <w:i/>
        </w:rPr>
        <w:t>Brief of  Industrial Energy Users-Ohio</w:t>
      </w:r>
      <w:r w:rsidRPr="00A36EC4">
        <w:rPr>
          <w:rFonts w:cs="Arial"/>
          <w:i/>
          <w:color w:val="000000"/>
        </w:rPr>
        <w:t xml:space="preserve"> </w:t>
      </w:r>
      <w:r w:rsidRPr="00A36EC4">
        <w:rPr>
          <w:rFonts w:eastAsia="Times New Roman" w:cs="Arial"/>
        </w:rPr>
        <w:t xml:space="preserve">upon the following parties identified below to be served by the e-file system.  In addition, I hereby certify that a service copy was sent by, or on behalf of, the undersigned counsel for IEU-Ohio, to the following identified parties of record this </w:t>
      </w:r>
      <w:r w:rsidR="00EE7A96">
        <w:rPr>
          <w:rFonts w:eastAsia="Times New Roman" w:cs="Arial"/>
        </w:rPr>
        <w:t>13th</w:t>
      </w:r>
      <w:r w:rsidRPr="00A36EC4">
        <w:rPr>
          <w:rFonts w:eastAsia="Times New Roman" w:cs="Arial"/>
        </w:rPr>
        <w:t xml:space="preserve"> day of </w:t>
      </w:r>
      <w:r w:rsidR="00EE7A96">
        <w:rPr>
          <w:rFonts w:eastAsia="Times New Roman" w:cs="Arial"/>
        </w:rPr>
        <w:t>August</w:t>
      </w:r>
      <w:r w:rsidRPr="00A36EC4">
        <w:rPr>
          <w:rFonts w:eastAsia="Times New Roman" w:cs="Arial"/>
        </w:rPr>
        <w:t xml:space="preserve"> 2018, </w:t>
      </w:r>
      <w:r w:rsidRPr="00A36EC4">
        <w:rPr>
          <w:rFonts w:eastAsia="Times New Roman" w:cs="Arial"/>
          <w:i/>
        </w:rPr>
        <w:t>via</w:t>
      </w:r>
      <w:r w:rsidRPr="00A36EC4">
        <w:rPr>
          <w:rFonts w:eastAsia="Times New Roman" w:cs="Arial"/>
        </w:rPr>
        <w:t xml:space="preserve"> email.</w:t>
      </w:r>
    </w:p>
    <w:p w14:paraId="45B1172A" w14:textId="77777777" w:rsidR="00E0550C" w:rsidRPr="00A36EC4" w:rsidRDefault="00E0550C" w:rsidP="00E0550C">
      <w:pPr>
        <w:tabs>
          <w:tab w:val="left" w:pos="-1440"/>
          <w:tab w:val="left" w:pos="-720"/>
          <w:tab w:val="left" w:pos="5040"/>
          <w:tab w:val="center" w:pos="7200"/>
          <w:tab w:val="right" w:pos="9360"/>
        </w:tabs>
        <w:ind w:firstLine="5040"/>
        <w:jc w:val="both"/>
        <w:rPr>
          <w:rFonts w:cs="Arial"/>
          <w:i/>
          <w:u w:val="single"/>
        </w:rPr>
      </w:pPr>
      <w:r w:rsidRPr="00A36EC4">
        <w:rPr>
          <w:rFonts w:cs="Arial"/>
          <w:i/>
          <w:u w:val="single"/>
        </w:rPr>
        <w:t xml:space="preserve">/s/ </w:t>
      </w:r>
      <w:r>
        <w:rPr>
          <w:rFonts w:cs="Arial"/>
          <w:i/>
          <w:u w:val="single"/>
        </w:rPr>
        <w:t xml:space="preserve">Frank P. </w:t>
      </w:r>
      <w:proofErr w:type="spellStart"/>
      <w:r>
        <w:rPr>
          <w:rFonts w:cs="Arial"/>
          <w:i/>
          <w:u w:val="single"/>
        </w:rPr>
        <w:t>Darr</w:t>
      </w:r>
      <w:proofErr w:type="spellEnd"/>
      <w:r>
        <w:rPr>
          <w:rFonts w:cs="Arial"/>
          <w:i/>
          <w:u w:val="single"/>
        </w:rPr>
        <w:tab/>
      </w:r>
      <w:r w:rsidRPr="00A36EC4">
        <w:rPr>
          <w:rFonts w:cs="Arial"/>
          <w:i/>
          <w:u w:val="single"/>
        </w:rPr>
        <w:tab/>
      </w:r>
    </w:p>
    <w:p w14:paraId="35D26E57" w14:textId="77777777" w:rsidR="00E0550C" w:rsidRDefault="00E0550C" w:rsidP="00E0550C">
      <w:pPr>
        <w:spacing w:line="480" w:lineRule="auto"/>
        <w:rPr>
          <w:rFonts w:cs="Arial"/>
        </w:rPr>
        <w:sectPr w:rsidR="00E0550C" w:rsidSect="00EB687D">
          <w:pgSz w:w="12240" w:h="15840"/>
          <w:pgMar w:top="1440" w:right="1440" w:bottom="1440" w:left="1440" w:header="720" w:footer="720" w:gutter="0"/>
          <w:pgNumType w:start="1"/>
          <w:cols w:space="720"/>
          <w:titlePg/>
          <w:docGrid w:linePitch="360"/>
        </w:sectPr>
      </w:pPr>
      <w:r w:rsidRPr="00A36EC4">
        <w:rPr>
          <w:rFonts w:cs="Arial"/>
        </w:rPr>
        <w:tab/>
      </w:r>
      <w:r w:rsidRPr="00A36EC4">
        <w:rPr>
          <w:rFonts w:cs="Arial"/>
        </w:rPr>
        <w:tab/>
      </w:r>
      <w:r w:rsidRPr="00A36EC4">
        <w:rPr>
          <w:rFonts w:cs="Arial"/>
        </w:rPr>
        <w:tab/>
      </w:r>
      <w:r w:rsidRPr="00A36EC4">
        <w:rPr>
          <w:rFonts w:cs="Arial"/>
        </w:rPr>
        <w:tab/>
      </w:r>
      <w:r w:rsidRPr="00A36EC4">
        <w:rPr>
          <w:rFonts w:cs="Arial"/>
        </w:rPr>
        <w:tab/>
      </w:r>
      <w:r w:rsidRPr="00A36EC4">
        <w:rPr>
          <w:rFonts w:cs="Arial"/>
        </w:rPr>
        <w:tab/>
      </w:r>
      <w:r w:rsidRPr="00A36EC4">
        <w:rPr>
          <w:rFonts w:cs="Arial"/>
        </w:rPr>
        <w:tab/>
      </w:r>
      <w:r w:rsidRPr="00A36EC4">
        <w:rPr>
          <w:rFonts w:cs="Arial"/>
        </w:rPr>
        <w:tab/>
      </w:r>
      <w:r w:rsidRPr="00A36EC4">
        <w:rPr>
          <w:rFonts w:cs="Arial"/>
        </w:rPr>
        <w:tab/>
      </w:r>
      <w:r>
        <w:rPr>
          <w:rFonts w:cs="Arial"/>
        </w:rPr>
        <w:t xml:space="preserve">Frank P. </w:t>
      </w:r>
      <w:proofErr w:type="spellStart"/>
      <w:r>
        <w:rPr>
          <w:rFonts w:cs="Arial"/>
        </w:rPr>
        <w:t>Darr</w:t>
      </w:r>
      <w:proofErr w:type="spellEnd"/>
    </w:p>
    <w:p w14:paraId="64DFCF67" w14:textId="77777777" w:rsidR="00E0550C" w:rsidRPr="004F480D" w:rsidRDefault="00E0550C" w:rsidP="00E0550C">
      <w:pPr>
        <w:rPr>
          <w:rFonts w:eastAsia="Calibri" w:cs="Arial"/>
          <w:b/>
          <w:smallCaps/>
          <w:sz w:val="20"/>
          <w:szCs w:val="20"/>
        </w:rPr>
      </w:pPr>
      <w:r w:rsidRPr="004F480D">
        <w:rPr>
          <w:rFonts w:eastAsia="Calibri" w:cs="Arial"/>
          <w:b/>
          <w:smallCaps/>
          <w:sz w:val="20"/>
          <w:szCs w:val="20"/>
          <w:u w:val="single"/>
        </w:rPr>
        <w:t>Parties listed on E-file System</w:t>
      </w:r>
      <w:r w:rsidRPr="004F480D">
        <w:rPr>
          <w:rFonts w:eastAsia="Calibri" w:cs="Arial"/>
          <w:b/>
          <w:smallCaps/>
          <w:sz w:val="20"/>
          <w:szCs w:val="20"/>
        </w:rPr>
        <w:t>:</w:t>
      </w:r>
    </w:p>
    <w:p w14:paraId="79248D6A" w14:textId="77777777" w:rsidR="00E0550C" w:rsidRDefault="00E0550C" w:rsidP="00E0550C">
      <w:pPr>
        <w:rPr>
          <w:rFonts w:eastAsia="Calibri" w:cs="Arial"/>
          <w:sz w:val="20"/>
          <w:szCs w:val="20"/>
        </w:rPr>
      </w:pPr>
    </w:p>
    <w:p w14:paraId="0A520409" w14:textId="77777777" w:rsidR="00E0550C" w:rsidRPr="009D18AB" w:rsidRDefault="00E0550C" w:rsidP="00E0550C">
      <w:pPr>
        <w:rPr>
          <w:rFonts w:eastAsia="Calibri" w:cs="Arial"/>
          <w:sz w:val="20"/>
          <w:szCs w:val="20"/>
        </w:rPr>
      </w:pPr>
      <w:r w:rsidRPr="009D18AB">
        <w:rPr>
          <w:rFonts w:eastAsia="Calibri" w:cs="Arial"/>
          <w:sz w:val="20"/>
          <w:szCs w:val="20"/>
        </w:rPr>
        <w:t>Rebekah Glover</w:t>
      </w:r>
    </w:p>
    <w:p w14:paraId="07718FBC" w14:textId="77777777" w:rsidR="00E0550C" w:rsidRPr="009D18AB" w:rsidRDefault="00E0550C" w:rsidP="00E0550C">
      <w:pPr>
        <w:rPr>
          <w:rFonts w:eastAsia="Calibri" w:cs="Arial"/>
          <w:sz w:val="20"/>
          <w:szCs w:val="20"/>
        </w:rPr>
      </w:pPr>
      <w:r w:rsidRPr="009D18AB">
        <w:rPr>
          <w:rFonts w:eastAsia="Calibri" w:cs="Arial"/>
          <w:sz w:val="20"/>
          <w:szCs w:val="20"/>
        </w:rPr>
        <w:t>Brian Dressel</w:t>
      </w:r>
    </w:p>
    <w:p w14:paraId="2AA3D732" w14:textId="77777777" w:rsidR="00E0550C" w:rsidRPr="009D18AB" w:rsidRDefault="00E0550C" w:rsidP="00E0550C">
      <w:pPr>
        <w:rPr>
          <w:rFonts w:eastAsia="Calibri" w:cs="Arial"/>
          <w:sz w:val="20"/>
          <w:szCs w:val="20"/>
        </w:rPr>
      </w:pPr>
      <w:r w:rsidRPr="009D18AB">
        <w:rPr>
          <w:rFonts w:eastAsia="Calibri" w:cs="Arial"/>
          <w:sz w:val="20"/>
          <w:szCs w:val="20"/>
        </w:rPr>
        <w:t>Cheryl McDonald</w:t>
      </w:r>
    </w:p>
    <w:p w14:paraId="6A835FF8" w14:textId="77777777" w:rsidR="00E0550C" w:rsidRPr="009D18AB" w:rsidRDefault="00E0550C" w:rsidP="00E0550C">
      <w:pPr>
        <w:rPr>
          <w:rFonts w:eastAsia="Calibri" w:cs="Arial"/>
          <w:sz w:val="20"/>
          <w:szCs w:val="20"/>
        </w:rPr>
      </w:pPr>
      <w:r w:rsidRPr="009D18AB">
        <w:rPr>
          <w:rFonts w:eastAsia="Calibri" w:cs="Arial"/>
          <w:sz w:val="20"/>
          <w:szCs w:val="20"/>
        </w:rPr>
        <w:t>Thomas Hays</w:t>
      </w:r>
    </w:p>
    <w:p w14:paraId="4D059FE2" w14:textId="77777777" w:rsidR="00E0550C" w:rsidRPr="009D18AB" w:rsidRDefault="00E0550C" w:rsidP="00E0550C">
      <w:pPr>
        <w:rPr>
          <w:rFonts w:eastAsia="Calibri" w:cs="Arial"/>
          <w:sz w:val="20"/>
          <w:szCs w:val="20"/>
        </w:rPr>
      </w:pPr>
      <w:r w:rsidRPr="009D18AB">
        <w:rPr>
          <w:rFonts w:eastAsia="Calibri" w:cs="Arial"/>
          <w:sz w:val="20"/>
          <w:szCs w:val="20"/>
        </w:rPr>
        <w:t>Colleen Mooney</w:t>
      </w:r>
    </w:p>
    <w:p w14:paraId="6BD3856E" w14:textId="77777777" w:rsidR="00E0550C" w:rsidRPr="009D18AB" w:rsidRDefault="00E0550C" w:rsidP="00E0550C">
      <w:pPr>
        <w:rPr>
          <w:rFonts w:eastAsia="Calibri" w:cs="Arial"/>
          <w:sz w:val="20"/>
          <w:szCs w:val="20"/>
        </w:rPr>
      </w:pPr>
      <w:r w:rsidRPr="009D18AB">
        <w:rPr>
          <w:rFonts w:eastAsia="Calibri" w:cs="Arial"/>
          <w:sz w:val="20"/>
          <w:szCs w:val="20"/>
        </w:rPr>
        <w:t xml:space="preserve">Teresa </w:t>
      </w:r>
      <w:proofErr w:type="spellStart"/>
      <w:r w:rsidRPr="009D18AB">
        <w:rPr>
          <w:rFonts w:eastAsia="Calibri" w:cs="Arial"/>
          <w:sz w:val="20"/>
          <w:szCs w:val="20"/>
        </w:rPr>
        <w:t>Orahood</w:t>
      </w:r>
      <w:proofErr w:type="spellEnd"/>
    </w:p>
    <w:p w14:paraId="2CB2AF1E" w14:textId="77777777" w:rsidR="00E0550C" w:rsidRPr="009D18AB" w:rsidRDefault="00E0550C" w:rsidP="00E0550C">
      <w:pPr>
        <w:rPr>
          <w:rFonts w:eastAsia="Calibri" w:cs="Arial"/>
          <w:sz w:val="20"/>
          <w:szCs w:val="20"/>
        </w:rPr>
      </w:pPr>
      <w:r w:rsidRPr="009D18AB">
        <w:rPr>
          <w:rFonts w:eastAsia="Calibri" w:cs="Arial"/>
          <w:sz w:val="20"/>
          <w:szCs w:val="20"/>
        </w:rPr>
        <w:t>Christen Blend</w:t>
      </w:r>
    </w:p>
    <w:p w14:paraId="5DF4E9F0" w14:textId="77777777" w:rsidR="00E0550C" w:rsidRPr="009D18AB" w:rsidRDefault="00E0550C" w:rsidP="00E0550C">
      <w:pPr>
        <w:rPr>
          <w:rFonts w:eastAsia="Calibri" w:cs="Arial"/>
          <w:sz w:val="20"/>
          <w:szCs w:val="20"/>
        </w:rPr>
      </w:pPr>
      <w:r w:rsidRPr="009D18AB">
        <w:rPr>
          <w:rFonts w:eastAsia="Calibri" w:cs="Arial"/>
          <w:sz w:val="20"/>
          <w:szCs w:val="20"/>
        </w:rPr>
        <w:t xml:space="preserve">Scott </w:t>
      </w:r>
      <w:proofErr w:type="spellStart"/>
      <w:r w:rsidRPr="009D18AB">
        <w:rPr>
          <w:rFonts w:eastAsia="Calibri" w:cs="Arial"/>
          <w:sz w:val="20"/>
          <w:szCs w:val="20"/>
        </w:rPr>
        <w:t>Elisar</w:t>
      </w:r>
      <w:proofErr w:type="spellEnd"/>
    </w:p>
    <w:p w14:paraId="17BF8670" w14:textId="77777777" w:rsidR="00E0550C" w:rsidRPr="009D18AB" w:rsidRDefault="00E0550C" w:rsidP="00E0550C">
      <w:pPr>
        <w:rPr>
          <w:rFonts w:eastAsia="Calibri" w:cs="Arial"/>
          <w:sz w:val="20"/>
          <w:szCs w:val="20"/>
        </w:rPr>
      </w:pPr>
      <w:r w:rsidRPr="009D18AB">
        <w:rPr>
          <w:rFonts w:eastAsia="Calibri" w:cs="Arial"/>
          <w:sz w:val="20"/>
          <w:szCs w:val="20"/>
        </w:rPr>
        <w:t xml:space="preserve">Frank </w:t>
      </w:r>
      <w:proofErr w:type="spellStart"/>
      <w:r w:rsidRPr="009D18AB">
        <w:rPr>
          <w:rFonts w:eastAsia="Calibri" w:cs="Arial"/>
          <w:sz w:val="20"/>
          <w:szCs w:val="20"/>
        </w:rPr>
        <w:t>Darr</w:t>
      </w:r>
      <w:proofErr w:type="spellEnd"/>
    </w:p>
    <w:p w14:paraId="29953FE5" w14:textId="77777777" w:rsidR="00E0550C" w:rsidRPr="009D18AB" w:rsidRDefault="00E0550C" w:rsidP="00E0550C">
      <w:pPr>
        <w:rPr>
          <w:rFonts w:eastAsia="Calibri" w:cs="Arial"/>
          <w:sz w:val="20"/>
          <w:szCs w:val="20"/>
        </w:rPr>
      </w:pPr>
      <w:r w:rsidRPr="009D18AB">
        <w:rPr>
          <w:rFonts w:eastAsia="Calibri" w:cs="Arial"/>
          <w:sz w:val="20"/>
          <w:szCs w:val="20"/>
        </w:rPr>
        <w:t xml:space="preserve">Miranda </w:t>
      </w:r>
      <w:proofErr w:type="spellStart"/>
      <w:r w:rsidRPr="009D18AB">
        <w:rPr>
          <w:rFonts w:eastAsia="Calibri" w:cs="Arial"/>
          <w:sz w:val="20"/>
          <w:szCs w:val="20"/>
        </w:rPr>
        <w:t>Leppla</w:t>
      </w:r>
      <w:proofErr w:type="spellEnd"/>
    </w:p>
    <w:p w14:paraId="5DC0F96C" w14:textId="77777777" w:rsidR="00E0550C" w:rsidRPr="009D18AB" w:rsidRDefault="00E0550C" w:rsidP="00E0550C">
      <w:pPr>
        <w:rPr>
          <w:rFonts w:eastAsia="Calibri" w:cs="Arial"/>
          <w:sz w:val="20"/>
          <w:szCs w:val="20"/>
        </w:rPr>
      </w:pPr>
      <w:r w:rsidRPr="009D18AB">
        <w:rPr>
          <w:rFonts w:eastAsia="Calibri" w:cs="Arial"/>
          <w:sz w:val="20"/>
          <w:szCs w:val="20"/>
        </w:rPr>
        <w:t>Jamie Williams</w:t>
      </w:r>
    </w:p>
    <w:p w14:paraId="4F2D9E24" w14:textId="77777777" w:rsidR="00E0550C" w:rsidRPr="009D18AB" w:rsidRDefault="00E0550C" w:rsidP="00E0550C">
      <w:pPr>
        <w:rPr>
          <w:rFonts w:eastAsia="Calibri" w:cs="Arial"/>
          <w:sz w:val="20"/>
          <w:szCs w:val="20"/>
        </w:rPr>
      </w:pPr>
      <w:r w:rsidRPr="009D18AB">
        <w:rPr>
          <w:rFonts w:eastAsia="Calibri" w:cs="Arial"/>
          <w:sz w:val="20"/>
          <w:szCs w:val="20"/>
        </w:rPr>
        <w:t xml:space="preserve">Kimberly </w:t>
      </w:r>
      <w:proofErr w:type="spellStart"/>
      <w:r w:rsidRPr="009D18AB">
        <w:rPr>
          <w:rFonts w:eastAsia="Calibri" w:cs="Arial"/>
          <w:sz w:val="20"/>
          <w:szCs w:val="20"/>
        </w:rPr>
        <w:t>Bojko</w:t>
      </w:r>
      <w:proofErr w:type="spellEnd"/>
    </w:p>
    <w:p w14:paraId="2418B93A" w14:textId="77777777" w:rsidR="00E0550C" w:rsidRPr="009D18AB" w:rsidRDefault="00E0550C" w:rsidP="00E0550C">
      <w:pPr>
        <w:rPr>
          <w:rFonts w:eastAsia="Calibri" w:cs="Arial"/>
          <w:sz w:val="20"/>
          <w:szCs w:val="20"/>
        </w:rPr>
      </w:pPr>
      <w:r w:rsidRPr="009D18AB">
        <w:rPr>
          <w:rFonts w:eastAsia="Calibri" w:cs="Arial"/>
          <w:sz w:val="20"/>
          <w:szCs w:val="20"/>
        </w:rPr>
        <w:t>Mary Fischer</w:t>
      </w:r>
    </w:p>
    <w:p w14:paraId="638699FE" w14:textId="77777777" w:rsidR="00E0550C" w:rsidRPr="009D18AB" w:rsidRDefault="00E0550C" w:rsidP="00E0550C">
      <w:pPr>
        <w:rPr>
          <w:rFonts w:eastAsia="Calibri" w:cs="Arial"/>
          <w:sz w:val="20"/>
          <w:szCs w:val="20"/>
        </w:rPr>
      </w:pPr>
      <w:r w:rsidRPr="009D18AB">
        <w:rPr>
          <w:rFonts w:eastAsia="Calibri" w:cs="Arial"/>
          <w:sz w:val="20"/>
          <w:szCs w:val="20"/>
        </w:rPr>
        <w:t xml:space="preserve">Joseph </w:t>
      </w:r>
      <w:proofErr w:type="spellStart"/>
      <w:r w:rsidRPr="009D18AB">
        <w:rPr>
          <w:rFonts w:eastAsia="Calibri" w:cs="Arial"/>
          <w:sz w:val="20"/>
          <w:szCs w:val="20"/>
        </w:rPr>
        <w:t>Oliker</w:t>
      </w:r>
      <w:proofErr w:type="spellEnd"/>
    </w:p>
    <w:p w14:paraId="3DCEA0C1" w14:textId="77777777" w:rsidR="00E0550C" w:rsidRPr="009D18AB" w:rsidRDefault="00E0550C" w:rsidP="00E0550C">
      <w:pPr>
        <w:rPr>
          <w:rFonts w:eastAsia="Calibri" w:cs="Arial"/>
          <w:sz w:val="20"/>
          <w:szCs w:val="20"/>
        </w:rPr>
      </w:pPr>
      <w:r w:rsidRPr="009D18AB">
        <w:rPr>
          <w:rFonts w:eastAsia="Calibri" w:cs="Arial"/>
          <w:sz w:val="20"/>
          <w:szCs w:val="20"/>
        </w:rPr>
        <w:t>Dane Stinson</w:t>
      </w:r>
    </w:p>
    <w:p w14:paraId="3AF9F324" w14:textId="77777777" w:rsidR="00E0550C" w:rsidRPr="009D18AB" w:rsidRDefault="00E0550C" w:rsidP="00E0550C">
      <w:pPr>
        <w:rPr>
          <w:rFonts w:eastAsia="Calibri" w:cs="Arial"/>
          <w:sz w:val="20"/>
          <w:szCs w:val="20"/>
        </w:rPr>
      </w:pPr>
      <w:r w:rsidRPr="009D18AB">
        <w:rPr>
          <w:rFonts w:eastAsia="Calibri" w:cs="Arial"/>
          <w:sz w:val="20"/>
          <w:szCs w:val="20"/>
        </w:rPr>
        <w:t>Michael Kurtz</w:t>
      </w:r>
    </w:p>
    <w:p w14:paraId="21F17C8E" w14:textId="77777777" w:rsidR="00E0550C" w:rsidRPr="009D18AB" w:rsidRDefault="00E0550C" w:rsidP="00E0550C">
      <w:pPr>
        <w:rPr>
          <w:rFonts w:eastAsia="Calibri" w:cs="Arial"/>
          <w:sz w:val="20"/>
          <w:szCs w:val="20"/>
        </w:rPr>
      </w:pPr>
      <w:r w:rsidRPr="009D18AB">
        <w:rPr>
          <w:rFonts w:eastAsia="Calibri" w:cs="Arial"/>
          <w:sz w:val="20"/>
          <w:szCs w:val="20"/>
        </w:rPr>
        <w:t xml:space="preserve">Steven </w:t>
      </w:r>
      <w:proofErr w:type="spellStart"/>
      <w:r w:rsidRPr="009D18AB">
        <w:rPr>
          <w:rFonts w:eastAsia="Calibri" w:cs="Arial"/>
          <w:sz w:val="20"/>
          <w:szCs w:val="20"/>
        </w:rPr>
        <w:t>Nourse</w:t>
      </w:r>
      <w:proofErr w:type="spellEnd"/>
    </w:p>
    <w:p w14:paraId="48440A35" w14:textId="77777777" w:rsidR="00E0550C" w:rsidRPr="009D18AB" w:rsidRDefault="00E0550C" w:rsidP="00E0550C">
      <w:pPr>
        <w:rPr>
          <w:rFonts w:eastAsia="Calibri" w:cs="Arial"/>
          <w:sz w:val="20"/>
          <w:szCs w:val="20"/>
        </w:rPr>
      </w:pPr>
      <w:r w:rsidRPr="009D18AB">
        <w:rPr>
          <w:rFonts w:eastAsia="Calibri" w:cs="Arial"/>
          <w:sz w:val="20"/>
          <w:szCs w:val="20"/>
        </w:rPr>
        <w:t xml:space="preserve">Tyler </w:t>
      </w:r>
      <w:proofErr w:type="spellStart"/>
      <w:r w:rsidRPr="009D18AB">
        <w:rPr>
          <w:rFonts w:eastAsia="Calibri" w:cs="Arial"/>
          <w:sz w:val="20"/>
          <w:szCs w:val="20"/>
        </w:rPr>
        <w:t>Teuscher</w:t>
      </w:r>
      <w:proofErr w:type="spellEnd"/>
    </w:p>
    <w:p w14:paraId="75487D0D" w14:textId="77777777" w:rsidR="00E0550C" w:rsidRPr="009D18AB" w:rsidRDefault="00E0550C" w:rsidP="00E0550C">
      <w:pPr>
        <w:rPr>
          <w:rFonts w:eastAsia="Calibri" w:cs="Arial"/>
          <w:sz w:val="20"/>
          <w:szCs w:val="20"/>
        </w:rPr>
      </w:pPr>
      <w:proofErr w:type="spellStart"/>
      <w:r w:rsidRPr="009D18AB">
        <w:rPr>
          <w:rFonts w:eastAsia="Calibri" w:cs="Arial"/>
          <w:sz w:val="20"/>
          <w:szCs w:val="20"/>
        </w:rPr>
        <w:t>Carys</w:t>
      </w:r>
      <w:proofErr w:type="spellEnd"/>
      <w:r w:rsidRPr="009D18AB">
        <w:rPr>
          <w:rFonts w:eastAsia="Calibri" w:cs="Arial"/>
          <w:sz w:val="20"/>
          <w:szCs w:val="20"/>
        </w:rPr>
        <w:t xml:space="preserve"> </w:t>
      </w:r>
      <w:proofErr w:type="spellStart"/>
      <w:r w:rsidRPr="009D18AB">
        <w:rPr>
          <w:rFonts w:eastAsia="Calibri" w:cs="Arial"/>
          <w:sz w:val="20"/>
          <w:szCs w:val="20"/>
        </w:rPr>
        <w:t>Cochern</w:t>
      </w:r>
      <w:proofErr w:type="spellEnd"/>
    </w:p>
    <w:p w14:paraId="78F247D7" w14:textId="77777777" w:rsidR="00E0550C" w:rsidRPr="009D18AB" w:rsidRDefault="00E0550C" w:rsidP="00E0550C">
      <w:pPr>
        <w:ind w:right="720"/>
        <w:rPr>
          <w:rFonts w:eastAsia="Calibri" w:cs="Arial"/>
          <w:sz w:val="20"/>
          <w:szCs w:val="20"/>
        </w:rPr>
      </w:pPr>
      <w:r w:rsidRPr="009D18AB">
        <w:rPr>
          <w:rFonts w:eastAsia="Calibri" w:cs="Arial"/>
          <w:sz w:val="20"/>
          <w:szCs w:val="20"/>
        </w:rPr>
        <w:t>Carrie Dunn Lucco</w:t>
      </w:r>
    </w:p>
    <w:p w14:paraId="01BB0782" w14:textId="77777777" w:rsidR="00E0550C" w:rsidRPr="004F480D" w:rsidRDefault="00E0550C" w:rsidP="00E0550C">
      <w:pPr>
        <w:ind w:right="720"/>
        <w:rPr>
          <w:rFonts w:eastAsia="Calibri" w:cs="Arial"/>
          <w:sz w:val="20"/>
          <w:szCs w:val="20"/>
        </w:rPr>
      </w:pPr>
      <w:r w:rsidRPr="009D18AB">
        <w:rPr>
          <w:rFonts w:eastAsia="Calibri" w:cs="Arial"/>
          <w:sz w:val="20"/>
          <w:szCs w:val="20"/>
        </w:rPr>
        <w:t>Christopher Healey</w:t>
      </w:r>
    </w:p>
    <w:p w14:paraId="7F1BB833" w14:textId="77777777" w:rsidR="00E0550C" w:rsidRDefault="00E0550C" w:rsidP="00E0550C">
      <w:pPr>
        <w:ind w:right="720"/>
        <w:rPr>
          <w:rFonts w:eastAsia="Calibri" w:cs="Arial"/>
          <w:b/>
          <w:sz w:val="20"/>
          <w:szCs w:val="20"/>
        </w:rPr>
      </w:pPr>
    </w:p>
    <w:p w14:paraId="657682A6" w14:textId="77777777" w:rsidR="00E0550C" w:rsidRDefault="00E0550C" w:rsidP="00E0550C">
      <w:pPr>
        <w:ind w:right="720"/>
        <w:rPr>
          <w:rFonts w:eastAsia="Calibri" w:cs="Arial"/>
          <w:b/>
          <w:sz w:val="20"/>
          <w:szCs w:val="20"/>
        </w:rPr>
      </w:pPr>
    </w:p>
    <w:p w14:paraId="0E7F1078" w14:textId="77777777" w:rsidR="00E0550C" w:rsidRDefault="00E0550C" w:rsidP="00E0550C">
      <w:pPr>
        <w:ind w:right="720"/>
        <w:rPr>
          <w:rFonts w:eastAsia="Calibri" w:cs="Arial"/>
          <w:b/>
          <w:sz w:val="20"/>
          <w:szCs w:val="20"/>
        </w:rPr>
      </w:pPr>
    </w:p>
    <w:p w14:paraId="3BA7903B" w14:textId="77777777" w:rsidR="00E0550C" w:rsidRDefault="00E0550C" w:rsidP="00E0550C">
      <w:pPr>
        <w:ind w:right="720"/>
        <w:rPr>
          <w:rFonts w:eastAsia="Calibri" w:cs="Arial"/>
          <w:b/>
          <w:sz w:val="20"/>
          <w:szCs w:val="20"/>
        </w:rPr>
      </w:pPr>
    </w:p>
    <w:p w14:paraId="2654E999" w14:textId="77777777" w:rsidR="00E0550C" w:rsidRDefault="00E0550C" w:rsidP="00E0550C">
      <w:pPr>
        <w:ind w:right="720"/>
        <w:rPr>
          <w:rFonts w:eastAsia="Calibri" w:cs="Arial"/>
          <w:b/>
          <w:sz w:val="20"/>
          <w:szCs w:val="20"/>
        </w:rPr>
      </w:pPr>
    </w:p>
    <w:p w14:paraId="229254F8" w14:textId="77777777" w:rsidR="00E0550C" w:rsidRDefault="00E0550C" w:rsidP="00E0550C">
      <w:pPr>
        <w:ind w:right="720"/>
        <w:rPr>
          <w:rFonts w:eastAsia="Calibri" w:cs="Arial"/>
          <w:b/>
          <w:sz w:val="20"/>
          <w:szCs w:val="20"/>
        </w:rPr>
      </w:pPr>
    </w:p>
    <w:p w14:paraId="62D28562" w14:textId="77777777" w:rsidR="00E0550C" w:rsidRDefault="00E0550C" w:rsidP="00E0550C">
      <w:pPr>
        <w:ind w:right="720"/>
        <w:rPr>
          <w:rFonts w:eastAsia="Calibri" w:cs="Arial"/>
          <w:b/>
          <w:sz w:val="20"/>
          <w:szCs w:val="20"/>
        </w:rPr>
      </w:pPr>
    </w:p>
    <w:p w14:paraId="4153F1E5" w14:textId="77777777" w:rsidR="00E0550C" w:rsidRDefault="00E0550C" w:rsidP="00E0550C">
      <w:pPr>
        <w:ind w:right="720"/>
        <w:rPr>
          <w:rFonts w:eastAsia="Calibri" w:cs="Arial"/>
          <w:b/>
          <w:sz w:val="20"/>
          <w:szCs w:val="20"/>
        </w:rPr>
      </w:pPr>
    </w:p>
    <w:p w14:paraId="4C73AA3E" w14:textId="77777777" w:rsidR="00E0550C" w:rsidRDefault="00E0550C" w:rsidP="00E0550C">
      <w:pPr>
        <w:ind w:right="720"/>
        <w:rPr>
          <w:rFonts w:eastAsia="Calibri" w:cs="Arial"/>
          <w:b/>
          <w:sz w:val="20"/>
          <w:szCs w:val="20"/>
        </w:rPr>
      </w:pPr>
    </w:p>
    <w:p w14:paraId="0C56F461" w14:textId="77777777" w:rsidR="00E0550C" w:rsidRDefault="00E0550C" w:rsidP="00E0550C">
      <w:pPr>
        <w:ind w:right="720"/>
        <w:rPr>
          <w:rFonts w:eastAsia="Calibri" w:cs="Arial"/>
          <w:b/>
          <w:sz w:val="20"/>
          <w:szCs w:val="20"/>
        </w:rPr>
      </w:pPr>
    </w:p>
    <w:p w14:paraId="7EE9D745" w14:textId="77777777" w:rsidR="00E0550C" w:rsidRDefault="00E0550C" w:rsidP="00E0550C">
      <w:pPr>
        <w:ind w:right="720"/>
        <w:rPr>
          <w:rFonts w:eastAsia="Calibri" w:cs="Arial"/>
          <w:b/>
          <w:sz w:val="20"/>
          <w:szCs w:val="20"/>
        </w:rPr>
      </w:pPr>
    </w:p>
    <w:p w14:paraId="6BF46E72" w14:textId="77777777" w:rsidR="00E0550C" w:rsidRPr="004F480D" w:rsidRDefault="00E0550C" w:rsidP="00E0550C">
      <w:pPr>
        <w:ind w:right="720"/>
        <w:rPr>
          <w:rFonts w:eastAsia="Calibri" w:cs="Arial"/>
          <w:b/>
          <w:sz w:val="20"/>
          <w:szCs w:val="20"/>
        </w:rPr>
      </w:pPr>
    </w:p>
    <w:p w14:paraId="1B3DF956" w14:textId="77777777" w:rsidR="00E0550C" w:rsidRPr="004F480D" w:rsidRDefault="00E0550C" w:rsidP="00E0550C">
      <w:pPr>
        <w:rPr>
          <w:rFonts w:eastAsia="Calibri" w:cs="Arial"/>
          <w:b/>
          <w:sz w:val="20"/>
          <w:szCs w:val="20"/>
        </w:rPr>
      </w:pPr>
      <w:r w:rsidRPr="004F480D">
        <w:rPr>
          <w:rFonts w:eastAsia="Calibri" w:cs="Arial"/>
          <w:b/>
          <w:sz w:val="20"/>
          <w:szCs w:val="20"/>
          <w:u w:val="single"/>
        </w:rPr>
        <w:t>P</w:t>
      </w:r>
      <w:r w:rsidRPr="004F480D">
        <w:rPr>
          <w:rFonts w:eastAsia="Calibri" w:cs="Arial"/>
          <w:b/>
          <w:smallCaps/>
          <w:sz w:val="20"/>
          <w:szCs w:val="20"/>
          <w:u w:val="single"/>
        </w:rPr>
        <w:t>arties served by E-mail</w:t>
      </w:r>
      <w:r w:rsidRPr="004F480D">
        <w:rPr>
          <w:rFonts w:eastAsia="Calibri" w:cs="Arial"/>
          <w:b/>
          <w:sz w:val="20"/>
          <w:szCs w:val="20"/>
        </w:rPr>
        <w:t>:</w:t>
      </w:r>
    </w:p>
    <w:p w14:paraId="33931DB4" w14:textId="77777777" w:rsidR="00E0550C" w:rsidRDefault="00E0550C" w:rsidP="00E0550C">
      <w:pPr>
        <w:rPr>
          <w:rFonts w:eastAsia="Calibri" w:cs="Arial"/>
          <w:b/>
          <w:sz w:val="20"/>
          <w:szCs w:val="20"/>
        </w:rPr>
      </w:pPr>
    </w:p>
    <w:p w14:paraId="2DE7447B" w14:textId="77777777" w:rsidR="00E0550C" w:rsidRDefault="00E0550C" w:rsidP="00E0550C">
      <w:pPr>
        <w:rPr>
          <w:rFonts w:eastAsia="Calibri" w:cs="Arial"/>
          <w:sz w:val="20"/>
          <w:szCs w:val="20"/>
        </w:rPr>
      </w:pPr>
      <w:r>
        <w:rPr>
          <w:rFonts w:eastAsia="Calibri" w:cs="Arial"/>
          <w:sz w:val="20"/>
          <w:szCs w:val="20"/>
        </w:rPr>
        <w:t>BRUCE WESTON (0016973)</w:t>
      </w:r>
    </w:p>
    <w:p w14:paraId="1C3ADE1B" w14:textId="77777777" w:rsidR="00E0550C" w:rsidRDefault="00E0550C" w:rsidP="00E0550C">
      <w:pPr>
        <w:rPr>
          <w:rFonts w:eastAsia="Calibri" w:cs="Arial"/>
          <w:sz w:val="20"/>
          <w:szCs w:val="20"/>
        </w:rPr>
      </w:pPr>
      <w:r>
        <w:rPr>
          <w:rFonts w:eastAsia="Calibri" w:cs="Arial"/>
          <w:sz w:val="20"/>
          <w:szCs w:val="20"/>
        </w:rPr>
        <w:t>OHIO CONSUMERS’ COUNSEL</w:t>
      </w:r>
    </w:p>
    <w:p w14:paraId="196766DC" w14:textId="77777777" w:rsidR="00E0550C" w:rsidRDefault="00E0550C" w:rsidP="00E0550C">
      <w:pPr>
        <w:rPr>
          <w:rFonts w:eastAsia="Calibri" w:cs="Arial"/>
          <w:sz w:val="20"/>
          <w:szCs w:val="20"/>
        </w:rPr>
      </w:pPr>
    </w:p>
    <w:p w14:paraId="2EE1D07A" w14:textId="77777777" w:rsidR="00E0550C" w:rsidRDefault="00E0550C" w:rsidP="00E0550C">
      <w:pPr>
        <w:rPr>
          <w:rFonts w:eastAsia="Calibri" w:cs="Arial"/>
          <w:sz w:val="20"/>
          <w:szCs w:val="20"/>
        </w:rPr>
      </w:pPr>
      <w:r w:rsidRPr="002D64C0">
        <w:rPr>
          <w:rFonts w:eastAsia="Calibri" w:cs="Arial"/>
          <w:b/>
          <w:sz w:val="20"/>
          <w:szCs w:val="20"/>
        </w:rPr>
        <w:t>Christopher Healey</w:t>
      </w:r>
      <w:r>
        <w:rPr>
          <w:rFonts w:eastAsia="Calibri" w:cs="Arial"/>
          <w:sz w:val="20"/>
          <w:szCs w:val="20"/>
        </w:rPr>
        <w:t xml:space="preserve"> (0086027)</w:t>
      </w:r>
    </w:p>
    <w:p w14:paraId="2807A7E5" w14:textId="77777777" w:rsidR="00E0550C" w:rsidRDefault="00E0550C" w:rsidP="00E0550C">
      <w:pPr>
        <w:rPr>
          <w:rFonts w:eastAsia="Calibri" w:cs="Arial"/>
          <w:sz w:val="20"/>
          <w:szCs w:val="20"/>
        </w:rPr>
      </w:pPr>
      <w:r>
        <w:rPr>
          <w:rFonts w:eastAsia="Calibri" w:cs="Arial"/>
          <w:sz w:val="20"/>
          <w:szCs w:val="20"/>
        </w:rPr>
        <w:t>   (Counsel of Record)</w:t>
      </w:r>
    </w:p>
    <w:p w14:paraId="48C0D249" w14:textId="77777777" w:rsidR="00E0550C" w:rsidRDefault="00E0550C" w:rsidP="00E0550C">
      <w:pPr>
        <w:rPr>
          <w:rFonts w:eastAsia="Calibri" w:cs="Arial"/>
          <w:sz w:val="20"/>
          <w:szCs w:val="20"/>
        </w:rPr>
      </w:pPr>
      <w:r w:rsidRPr="00BD6499">
        <w:rPr>
          <w:rFonts w:eastAsia="Calibri" w:cs="Arial"/>
          <w:b/>
          <w:sz w:val="20"/>
          <w:szCs w:val="20"/>
        </w:rPr>
        <w:t xml:space="preserve">Zachary E. </w:t>
      </w:r>
      <w:proofErr w:type="spellStart"/>
      <w:r w:rsidRPr="00BD6499">
        <w:rPr>
          <w:rFonts w:eastAsia="Calibri" w:cs="Arial"/>
          <w:b/>
          <w:sz w:val="20"/>
          <w:szCs w:val="20"/>
        </w:rPr>
        <w:t>Woltz</w:t>
      </w:r>
      <w:proofErr w:type="spellEnd"/>
      <w:r>
        <w:rPr>
          <w:rFonts w:eastAsia="Calibri" w:cs="Arial"/>
          <w:sz w:val="20"/>
          <w:szCs w:val="20"/>
        </w:rPr>
        <w:t xml:space="preserve"> (0096669)</w:t>
      </w:r>
    </w:p>
    <w:p w14:paraId="2850090C" w14:textId="77777777" w:rsidR="00E0550C" w:rsidRDefault="00E0550C" w:rsidP="00E0550C">
      <w:pPr>
        <w:rPr>
          <w:rFonts w:eastAsia="Calibri" w:cs="Arial"/>
          <w:sz w:val="20"/>
          <w:szCs w:val="20"/>
        </w:rPr>
      </w:pPr>
      <w:r w:rsidRPr="00BD6499">
        <w:rPr>
          <w:rFonts w:eastAsia="Calibri" w:cs="Arial"/>
          <w:b/>
          <w:sz w:val="20"/>
          <w:szCs w:val="20"/>
        </w:rPr>
        <w:t>Bryce McKenney</w:t>
      </w:r>
      <w:r>
        <w:rPr>
          <w:rFonts w:eastAsia="Calibri" w:cs="Arial"/>
          <w:sz w:val="20"/>
          <w:szCs w:val="20"/>
        </w:rPr>
        <w:t xml:space="preserve"> (0088203)</w:t>
      </w:r>
    </w:p>
    <w:p w14:paraId="2177D2A0" w14:textId="77777777" w:rsidR="00E0550C" w:rsidRDefault="00E0550C" w:rsidP="00E0550C">
      <w:pPr>
        <w:rPr>
          <w:rFonts w:eastAsia="Calibri" w:cs="Arial"/>
          <w:sz w:val="20"/>
          <w:szCs w:val="20"/>
        </w:rPr>
      </w:pPr>
      <w:r w:rsidRPr="00FC0A37">
        <w:rPr>
          <w:rFonts w:eastAsia="Calibri" w:cs="Arial"/>
          <w:b/>
          <w:sz w:val="20"/>
          <w:szCs w:val="20"/>
        </w:rPr>
        <w:t xml:space="preserve">Amy </w:t>
      </w:r>
      <w:proofErr w:type="spellStart"/>
      <w:r w:rsidRPr="00FC0A37">
        <w:rPr>
          <w:rFonts w:eastAsia="Calibri" w:cs="Arial"/>
          <w:b/>
          <w:sz w:val="20"/>
          <w:szCs w:val="20"/>
        </w:rPr>
        <w:t>Botschner</w:t>
      </w:r>
      <w:proofErr w:type="spellEnd"/>
      <w:r w:rsidRPr="00FC0A37">
        <w:rPr>
          <w:rFonts w:eastAsia="Calibri" w:cs="Arial"/>
          <w:b/>
          <w:sz w:val="20"/>
          <w:szCs w:val="20"/>
        </w:rPr>
        <w:t>-O’Brien</w:t>
      </w:r>
      <w:r>
        <w:rPr>
          <w:rFonts w:eastAsia="Calibri" w:cs="Arial"/>
          <w:sz w:val="20"/>
          <w:szCs w:val="20"/>
        </w:rPr>
        <w:t xml:space="preserve"> (0074423)</w:t>
      </w:r>
    </w:p>
    <w:p w14:paraId="0CD7FF9F" w14:textId="77777777" w:rsidR="00E0550C" w:rsidRDefault="00E0550C" w:rsidP="00E0550C">
      <w:pPr>
        <w:rPr>
          <w:rFonts w:eastAsia="Calibri" w:cs="Arial"/>
          <w:sz w:val="20"/>
          <w:szCs w:val="20"/>
        </w:rPr>
      </w:pPr>
      <w:r>
        <w:rPr>
          <w:rFonts w:eastAsia="Calibri" w:cs="Arial"/>
          <w:sz w:val="20"/>
          <w:szCs w:val="20"/>
        </w:rPr>
        <w:t>65 E. State Street, Suite 700</w:t>
      </w:r>
    </w:p>
    <w:p w14:paraId="557632C7" w14:textId="77777777" w:rsidR="00E0550C" w:rsidRDefault="00E0550C" w:rsidP="00E0550C">
      <w:pPr>
        <w:rPr>
          <w:rFonts w:eastAsia="Calibri" w:cs="Arial"/>
          <w:sz w:val="20"/>
          <w:szCs w:val="20"/>
        </w:rPr>
      </w:pPr>
      <w:r>
        <w:rPr>
          <w:rFonts w:eastAsia="Calibri" w:cs="Arial"/>
          <w:sz w:val="20"/>
          <w:szCs w:val="20"/>
        </w:rPr>
        <w:t>Columbus, OH 43215</w:t>
      </w:r>
    </w:p>
    <w:p w14:paraId="3286E917" w14:textId="77777777" w:rsidR="00E0550C" w:rsidRDefault="00E0550C" w:rsidP="00E0550C">
      <w:pPr>
        <w:rPr>
          <w:rFonts w:eastAsia="Calibri" w:cs="Arial"/>
          <w:sz w:val="20"/>
          <w:szCs w:val="20"/>
        </w:rPr>
      </w:pPr>
      <w:r>
        <w:rPr>
          <w:rFonts w:eastAsia="Calibri" w:cs="Arial"/>
          <w:sz w:val="20"/>
          <w:szCs w:val="20"/>
        </w:rPr>
        <w:t>c</w:t>
      </w:r>
      <w:r w:rsidRPr="002D64C0">
        <w:rPr>
          <w:rFonts w:eastAsia="Calibri" w:cs="Arial"/>
          <w:sz w:val="20"/>
          <w:szCs w:val="20"/>
        </w:rPr>
        <w:t>hristopher.healey@occ.ohio.gov</w:t>
      </w:r>
    </w:p>
    <w:p w14:paraId="7CA8E74D" w14:textId="77777777" w:rsidR="00E0550C" w:rsidRDefault="00E0550C" w:rsidP="00E0550C">
      <w:pPr>
        <w:rPr>
          <w:rFonts w:eastAsia="Calibri" w:cs="Arial"/>
          <w:sz w:val="20"/>
          <w:szCs w:val="20"/>
        </w:rPr>
      </w:pPr>
      <w:r>
        <w:rPr>
          <w:rFonts w:eastAsia="Calibri" w:cs="Arial"/>
          <w:sz w:val="20"/>
          <w:szCs w:val="20"/>
        </w:rPr>
        <w:t>z</w:t>
      </w:r>
      <w:r w:rsidRPr="006D545B">
        <w:rPr>
          <w:rFonts w:eastAsia="Calibri" w:cs="Arial"/>
          <w:sz w:val="20"/>
          <w:szCs w:val="20"/>
        </w:rPr>
        <w:t>achary.woltz@occ.ohio.gov</w:t>
      </w:r>
    </w:p>
    <w:p w14:paraId="76BE6DE7" w14:textId="77777777" w:rsidR="00E0550C" w:rsidRDefault="00E0550C" w:rsidP="00E0550C">
      <w:pPr>
        <w:rPr>
          <w:rFonts w:eastAsia="Calibri" w:cs="Arial"/>
          <w:sz w:val="20"/>
          <w:szCs w:val="20"/>
        </w:rPr>
      </w:pPr>
      <w:r w:rsidRPr="00FC0A37">
        <w:rPr>
          <w:rFonts w:eastAsia="Calibri" w:cs="Arial"/>
          <w:sz w:val="20"/>
          <w:szCs w:val="20"/>
        </w:rPr>
        <w:t>bryce.mckenney@occ.ohio.gov</w:t>
      </w:r>
    </w:p>
    <w:p w14:paraId="028B3DB8" w14:textId="77777777" w:rsidR="00E0550C" w:rsidRDefault="00E0550C" w:rsidP="00E0550C">
      <w:pPr>
        <w:rPr>
          <w:rFonts w:eastAsia="Calibri" w:cs="Arial"/>
          <w:sz w:val="20"/>
          <w:szCs w:val="20"/>
        </w:rPr>
      </w:pPr>
      <w:r>
        <w:rPr>
          <w:rFonts w:eastAsia="Calibri" w:cs="Arial"/>
          <w:sz w:val="20"/>
          <w:szCs w:val="20"/>
        </w:rPr>
        <w:t>amy.botschner.obrien@occ.ohio.gov</w:t>
      </w:r>
    </w:p>
    <w:p w14:paraId="32CB66A1" w14:textId="77777777" w:rsidR="00E0550C" w:rsidRDefault="00E0550C" w:rsidP="00E0550C">
      <w:pPr>
        <w:rPr>
          <w:rFonts w:eastAsia="Calibri" w:cs="Arial"/>
          <w:sz w:val="20"/>
          <w:szCs w:val="20"/>
        </w:rPr>
      </w:pPr>
    </w:p>
    <w:p w14:paraId="402CFD77" w14:textId="77777777" w:rsidR="00E0550C" w:rsidRPr="002D64C0" w:rsidRDefault="00E0550C" w:rsidP="00E0550C">
      <w:pPr>
        <w:rPr>
          <w:rFonts w:ascii="Arial Bold" w:eastAsia="Calibri" w:hAnsi="Arial Bold" w:cs="Arial"/>
          <w:b/>
          <w:smallCaps/>
          <w:sz w:val="20"/>
          <w:szCs w:val="20"/>
        </w:rPr>
      </w:pPr>
      <w:r w:rsidRPr="002D64C0">
        <w:rPr>
          <w:rFonts w:ascii="Arial Bold" w:eastAsia="Calibri" w:hAnsi="Arial Bold" w:cs="Arial"/>
          <w:b/>
          <w:smallCaps/>
          <w:sz w:val="20"/>
          <w:szCs w:val="20"/>
        </w:rPr>
        <w:t>Office of the Ohio Consumers’ Counsel</w:t>
      </w:r>
    </w:p>
    <w:p w14:paraId="190499F2" w14:textId="77777777" w:rsidR="00E0550C" w:rsidRPr="004F480D" w:rsidRDefault="00E0550C" w:rsidP="00E0550C">
      <w:pPr>
        <w:rPr>
          <w:rFonts w:eastAsia="Calibri" w:cs="Arial"/>
          <w:b/>
          <w:sz w:val="20"/>
          <w:szCs w:val="20"/>
        </w:rPr>
      </w:pPr>
    </w:p>
    <w:p w14:paraId="609298FA" w14:textId="77777777" w:rsidR="00E0550C" w:rsidRPr="004F480D" w:rsidRDefault="00E0550C" w:rsidP="00E0550C">
      <w:pPr>
        <w:rPr>
          <w:rFonts w:eastAsia="Calibri" w:cs="Arial"/>
          <w:sz w:val="20"/>
          <w:szCs w:val="20"/>
        </w:rPr>
      </w:pPr>
      <w:r w:rsidRPr="004F480D">
        <w:rPr>
          <w:rFonts w:eastAsia="Calibri" w:cs="Arial"/>
          <w:b/>
          <w:sz w:val="20"/>
          <w:szCs w:val="20"/>
        </w:rPr>
        <w:t xml:space="preserve">Steven T. </w:t>
      </w:r>
      <w:proofErr w:type="spellStart"/>
      <w:r w:rsidRPr="004F480D">
        <w:rPr>
          <w:rFonts w:eastAsia="Calibri" w:cs="Arial"/>
          <w:b/>
          <w:sz w:val="20"/>
          <w:szCs w:val="20"/>
        </w:rPr>
        <w:t>Nourse</w:t>
      </w:r>
      <w:proofErr w:type="spellEnd"/>
      <w:r w:rsidRPr="004F480D">
        <w:rPr>
          <w:rFonts w:eastAsia="Calibri" w:cs="Arial"/>
          <w:sz w:val="20"/>
          <w:szCs w:val="20"/>
        </w:rPr>
        <w:t xml:space="preserve"> (0046705)</w:t>
      </w:r>
    </w:p>
    <w:p w14:paraId="73039445" w14:textId="77777777" w:rsidR="00E0550C" w:rsidRPr="004F480D" w:rsidRDefault="00E0550C" w:rsidP="00E0550C">
      <w:pPr>
        <w:rPr>
          <w:rFonts w:eastAsia="Calibri" w:cs="Arial"/>
          <w:sz w:val="20"/>
          <w:szCs w:val="20"/>
        </w:rPr>
      </w:pPr>
      <w:r w:rsidRPr="004F480D">
        <w:rPr>
          <w:rFonts w:eastAsia="Calibri" w:cs="Arial"/>
          <w:sz w:val="20"/>
          <w:szCs w:val="20"/>
        </w:rPr>
        <w:t xml:space="preserve">   (Counsel of Record)</w:t>
      </w:r>
    </w:p>
    <w:p w14:paraId="6B5C1905" w14:textId="77777777" w:rsidR="00E0550C" w:rsidRPr="004F480D" w:rsidRDefault="00E0550C" w:rsidP="00E0550C">
      <w:pPr>
        <w:rPr>
          <w:rFonts w:eastAsia="Calibri" w:cs="Arial"/>
          <w:sz w:val="20"/>
          <w:szCs w:val="20"/>
        </w:rPr>
      </w:pPr>
      <w:r w:rsidRPr="004F480D">
        <w:rPr>
          <w:rFonts w:eastAsia="Calibri" w:cs="Arial"/>
          <w:b/>
          <w:sz w:val="20"/>
          <w:szCs w:val="20"/>
        </w:rPr>
        <w:t>Christen M. Blend</w:t>
      </w:r>
      <w:r w:rsidRPr="004F480D">
        <w:rPr>
          <w:rFonts w:eastAsia="Calibri" w:cs="Arial"/>
          <w:sz w:val="20"/>
          <w:szCs w:val="20"/>
        </w:rPr>
        <w:t xml:space="preserve"> (0086881)</w:t>
      </w:r>
    </w:p>
    <w:p w14:paraId="4738BBB1" w14:textId="77777777" w:rsidR="00E0550C" w:rsidRPr="004F480D" w:rsidRDefault="00E0550C" w:rsidP="00E0550C">
      <w:pPr>
        <w:rPr>
          <w:rFonts w:eastAsia="Calibri" w:cs="Arial"/>
          <w:smallCaps/>
          <w:sz w:val="20"/>
          <w:szCs w:val="20"/>
        </w:rPr>
      </w:pPr>
      <w:r w:rsidRPr="004F480D">
        <w:rPr>
          <w:rFonts w:eastAsia="Calibri" w:cs="Arial"/>
          <w:smallCaps/>
          <w:sz w:val="20"/>
          <w:szCs w:val="20"/>
        </w:rPr>
        <w:t xml:space="preserve">American Electric Power Service </w:t>
      </w:r>
      <w:r w:rsidRPr="004F480D">
        <w:rPr>
          <w:rFonts w:eastAsia="Calibri" w:cs="Arial"/>
          <w:smallCaps/>
          <w:sz w:val="20"/>
          <w:szCs w:val="20"/>
        </w:rPr>
        <w:br/>
        <w:t>Corporation</w:t>
      </w:r>
    </w:p>
    <w:p w14:paraId="66855E46" w14:textId="77777777" w:rsidR="00E0550C" w:rsidRPr="004F480D" w:rsidRDefault="00E0550C" w:rsidP="00E0550C">
      <w:pPr>
        <w:rPr>
          <w:rFonts w:eastAsia="Calibri" w:cs="Arial"/>
          <w:sz w:val="20"/>
          <w:szCs w:val="20"/>
        </w:rPr>
      </w:pPr>
      <w:r w:rsidRPr="004F480D">
        <w:rPr>
          <w:rFonts w:eastAsia="Calibri" w:cs="Arial"/>
          <w:sz w:val="20"/>
          <w:szCs w:val="20"/>
        </w:rPr>
        <w:t>1 Riverside Plaza, 29</w:t>
      </w:r>
      <w:r w:rsidRPr="004F480D">
        <w:rPr>
          <w:rFonts w:eastAsia="Calibri" w:cs="Arial"/>
          <w:sz w:val="20"/>
          <w:szCs w:val="20"/>
          <w:vertAlign w:val="superscript"/>
        </w:rPr>
        <w:t>th</w:t>
      </w:r>
      <w:r w:rsidRPr="004F480D">
        <w:rPr>
          <w:rFonts w:eastAsia="Calibri" w:cs="Arial"/>
          <w:sz w:val="20"/>
          <w:szCs w:val="20"/>
        </w:rPr>
        <w:t xml:space="preserve"> Floor</w:t>
      </w:r>
    </w:p>
    <w:p w14:paraId="257E8FA1" w14:textId="77777777" w:rsidR="00E0550C" w:rsidRPr="004F480D" w:rsidRDefault="00E0550C" w:rsidP="00E0550C">
      <w:pPr>
        <w:rPr>
          <w:rFonts w:eastAsia="Calibri" w:cs="Arial"/>
          <w:sz w:val="20"/>
          <w:szCs w:val="20"/>
        </w:rPr>
      </w:pPr>
      <w:r w:rsidRPr="004F480D">
        <w:rPr>
          <w:rFonts w:eastAsia="Calibri" w:cs="Arial"/>
          <w:sz w:val="20"/>
          <w:szCs w:val="20"/>
        </w:rPr>
        <w:t>Columbus, OH 43215</w:t>
      </w:r>
    </w:p>
    <w:p w14:paraId="0358D20F" w14:textId="77777777" w:rsidR="00E0550C" w:rsidRPr="004F480D" w:rsidRDefault="00E0550C" w:rsidP="00E0550C">
      <w:pPr>
        <w:rPr>
          <w:rFonts w:eastAsia="Calibri" w:cs="Arial"/>
          <w:sz w:val="20"/>
          <w:szCs w:val="20"/>
        </w:rPr>
      </w:pPr>
      <w:r w:rsidRPr="004F480D">
        <w:rPr>
          <w:rFonts w:eastAsia="Calibri" w:cs="Arial"/>
          <w:sz w:val="20"/>
          <w:szCs w:val="20"/>
        </w:rPr>
        <w:t>stnourse@aep.com</w:t>
      </w:r>
    </w:p>
    <w:p w14:paraId="017F3044" w14:textId="77777777" w:rsidR="00E0550C" w:rsidRPr="004F480D" w:rsidRDefault="00E0550C" w:rsidP="00E0550C">
      <w:pPr>
        <w:rPr>
          <w:rFonts w:eastAsia="Calibri" w:cs="Arial"/>
          <w:sz w:val="20"/>
          <w:szCs w:val="20"/>
        </w:rPr>
      </w:pPr>
      <w:r w:rsidRPr="004F480D">
        <w:rPr>
          <w:rFonts w:eastAsia="Calibri" w:cs="Arial"/>
          <w:sz w:val="20"/>
          <w:szCs w:val="20"/>
        </w:rPr>
        <w:t>cmblend@aep.com</w:t>
      </w:r>
    </w:p>
    <w:p w14:paraId="076B57A1" w14:textId="77777777" w:rsidR="00E0550C" w:rsidRPr="004F480D" w:rsidRDefault="00E0550C" w:rsidP="00E0550C">
      <w:pPr>
        <w:rPr>
          <w:rFonts w:eastAsia="Calibri" w:cs="Arial"/>
          <w:sz w:val="20"/>
          <w:szCs w:val="20"/>
        </w:rPr>
      </w:pPr>
    </w:p>
    <w:p w14:paraId="3C0D746F" w14:textId="77777777" w:rsidR="00E0550C" w:rsidRPr="004F480D" w:rsidRDefault="00E0550C" w:rsidP="00E0550C">
      <w:pPr>
        <w:rPr>
          <w:rFonts w:eastAsia="Calibri" w:cs="Arial"/>
          <w:b/>
          <w:smallCaps/>
          <w:sz w:val="20"/>
          <w:szCs w:val="20"/>
        </w:rPr>
      </w:pPr>
      <w:r w:rsidRPr="004F480D">
        <w:rPr>
          <w:rFonts w:eastAsia="Calibri" w:cs="Arial"/>
          <w:b/>
          <w:smallCaps/>
          <w:sz w:val="20"/>
          <w:szCs w:val="20"/>
        </w:rPr>
        <w:t>Counsel for Ohio Power Company</w:t>
      </w:r>
    </w:p>
    <w:p w14:paraId="6B38AD76" w14:textId="77777777" w:rsidR="00E0550C" w:rsidRDefault="00E0550C" w:rsidP="00E0550C">
      <w:pPr>
        <w:rPr>
          <w:rFonts w:eastAsia="Calibri" w:cs="Arial"/>
          <w:sz w:val="20"/>
          <w:szCs w:val="20"/>
        </w:rPr>
      </w:pPr>
    </w:p>
    <w:p w14:paraId="78637602" w14:textId="77777777" w:rsidR="00E0550C" w:rsidRDefault="00E0550C" w:rsidP="00E0550C">
      <w:pPr>
        <w:rPr>
          <w:rFonts w:eastAsia="Calibri" w:cs="Arial"/>
          <w:sz w:val="20"/>
          <w:szCs w:val="20"/>
        </w:rPr>
      </w:pPr>
    </w:p>
    <w:p w14:paraId="1AB32B88" w14:textId="77777777" w:rsidR="00E0550C" w:rsidRDefault="00E0550C" w:rsidP="00E0550C">
      <w:pPr>
        <w:rPr>
          <w:rFonts w:eastAsia="Calibri" w:cs="Arial"/>
          <w:sz w:val="20"/>
          <w:szCs w:val="20"/>
        </w:rPr>
      </w:pPr>
    </w:p>
    <w:p w14:paraId="6699BD2C" w14:textId="77777777" w:rsidR="00E0550C" w:rsidRDefault="00E0550C" w:rsidP="00E0550C">
      <w:pPr>
        <w:rPr>
          <w:rFonts w:eastAsia="Calibri" w:cs="Arial"/>
          <w:sz w:val="20"/>
          <w:szCs w:val="20"/>
        </w:rPr>
      </w:pPr>
    </w:p>
    <w:p w14:paraId="32FB26BD" w14:textId="77777777" w:rsidR="00E0550C" w:rsidRDefault="00E0550C" w:rsidP="00E0550C">
      <w:pPr>
        <w:rPr>
          <w:rFonts w:eastAsia="Calibri" w:cs="Arial"/>
          <w:sz w:val="20"/>
          <w:szCs w:val="20"/>
        </w:rPr>
      </w:pPr>
    </w:p>
    <w:p w14:paraId="6809EDC2" w14:textId="77777777" w:rsidR="00E0550C" w:rsidRPr="004F480D" w:rsidRDefault="00E0550C" w:rsidP="00E0550C">
      <w:pPr>
        <w:rPr>
          <w:rFonts w:eastAsia="Calibri" w:cs="Arial"/>
          <w:sz w:val="20"/>
          <w:szCs w:val="20"/>
        </w:rPr>
      </w:pPr>
      <w:r w:rsidRPr="004F480D">
        <w:rPr>
          <w:rFonts w:eastAsia="Calibri" w:cs="Arial"/>
          <w:b/>
          <w:sz w:val="20"/>
          <w:szCs w:val="20"/>
        </w:rPr>
        <w:lastRenderedPageBreak/>
        <w:t xml:space="preserve">Rocco O. </w:t>
      </w:r>
      <w:proofErr w:type="spellStart"/>
      <w:r w:rsidRPr="004F480D">
        <w:rPr>
          <w:rFonts w:eastAsia="Calibri" w:cs="Arial"/>
          <w:b/>
          <w:sz w:val="20"/>
          <w:szCs w:val="20"/>
        </w:rPr>
        <w:t>D’Ascenzo</w:t>
      </w:r>
      <w:proofErr w:type="spellEnd"/>
      <w:r w:rsidRPr="004F480D">
        <w:rPr>
          <w:rFonts w:eastAsia="Calibri" w:cs="Arial"/>
          <w:sz w:val="20"/>
          <w:szCs w:val="20"/>
        </w:rPr>
        <w:t xml:space="preserve"> (0077651)</w:t>
      </w:r>
    </w:p>
    <w:p w14:paraId="5FF32828" w14:textId="77777777" w:rsidR="00E0550C" w:rsidRPr="004F480D" w:rsidRDefault="00E0550C" w:rsidP="00E0550C">
      <w:pPr>
        <w:rPr>
          <w:rFonts w:eastAsia="Calibri" w:cs="Arial"/>
          <w:sz w:val="20"/>
          <w:szCs w:val="20"/>
        </w:rPr>
      </w:pPr>
      <w:r w:rsidRPr="004F480D">
        <w:rPr>
          <w:rFonts w:eastAsia="Calibri" w:cs="Arial"/>
          <w:sz w:val="20"/>
          <w:szCs w:val="20"/>
        </w:rPr>
        <w:t xml:space="preserve">   (Counsel of Record)</w:t>
      </w:r>
    </w:p>
    <w:p w14:paraId="0E5869F7" w14:textId="77777777" w:rsidR="00E0550C" w:rsidRPr="004F480D" w:rsidRDefault="00E0550C" w:rsidP="00E0550C">
      <w:pPr>
        <w:rPr>
          <w:rFonts w:eastAsia="Calibri" w:cs="Arial"/>
          <w:sz w:val="20"/>
          <w:szCs w:val="20"/>
        </w:rPr>
      </w:pPr>
      <w:r w:rsidRPr="004F480D">
        <w:rPr>
          <w:rFonts w:eastAsia="Calibri" w:cs="Arial"/>
          <w:b/>
          <w:sz w:val="20"/>
          <w:szCs w:val="20"/>
        </w:rPr>
        <w:t>Jeanne W. Kingery</w:t>
      </w:r>
      <w:r w:rsidRPr="004F480D">
        <w:rPr>
          <w:rFonts w:eastAsia="Calibri" w:cs="Arial"/>
          <w:sz w:val="20"/>
          <w:szCs w:val="20"/>
        </w:rPr>
        <w:t xml:space="preserve"> (0012172)</w:t>
      </w:r>
    </w:p>
    <w:p w14:paraId="70E5DDA1" w14:textId="77777777" w:rsidR="00E0550C" w:rsidRPr="004F480D" w:rsidRDefault="00E0550C" w:rsidP="00E0550C">
      <w:pPr>
        <w:rPr>
          <w:rFonts w:eastAsia="Calibri" w:cs="Arial"/>
          <w:smallCaps/>
          <w:sz w:val="20"/>
          <w:szCs w:val="20"/>
        </w:rPr>
      </w:pPr>
      <w:r w:rsidRPr="004F480D">
        <w:rPr>
          <w:rFonts w:eastAsia="Calibri" w:cs="Arial"/>
          <w:smallCaps/>
          <w:sz w:val="20"/>
          <w:szCs w:val="20"/>
        </w:rPr>
        <w:t>Duke Energy Business Services LLC</w:t>
      </w:r>
    </w:p>
    <w:p w14:paraId="3D744C78" w14:textId="77777777" w:rsidR="00E0550C" w:rsidRPr="004F480D" w:rsidRDefault="00E0550C" w:rsidP="00E0550C">
      <w:pPr>
        <w:rPr>
          <w:rFonts w:eastAsia="Calibri" w:cs="Arial"/>
          <w:sz w:val="20"/>
          <w:szCs w:val="20"/>
        </w:rPr>
      </w:pPr>
      <w:r w:rsidRPr="004F480D">
        <w:rPr>
          <w:rFonts w:eastAsia="Calibri" w:cs="Arial"/>
          <w:sz w:val="20"/>
          <w:szCs w:val="20"/>
        </w:rPr>
        <w:t>139 East Fourth Street</w:t>
      </w:r>
    </w:p>
    <w:p w14:paraId="31A66F7C" w14:textId="77777777" w:rsidR="00E0550C" w:rsidRPr="004F480D" w:rsidRDefault="00E0550C" w:rsidP="00E0550C">
      <w:pPr>
        <w:rPr>
          <w:rFonts w:eastAsia="Calibri" w:cs="Arial"/>
          <w:sz w:val="20"/>
          <w:szCs w:val="20"/>
        </w:rPr>
      </w:pPr>
      <w:r w:rsidRPr="004F480D">
        <w:rPr>
          <w:rFonts w:eastAsia="Calibri" w:cs="Arial"/>
          <w:sz w:val="20"/>
          <w:szCs w:val="20"/>
        </w:rPr>
        <w:t>1303-Main</w:t>
      </w:r>
    </w:p>
    <w:p w14:paraId="590FC45B" w14:textId="77777777" w:rsidR="00E0550C" w:rsidRPr="004F480D" w:rsidRDefault="00E0550C" w:rsidP="00E0550C">
      <w:pPr>
        <w:rPr>
          <w:rFonts w:eastAsia="Calibri" w:cs="Arial"/>
          <w:sz w:val="20"/>
          <w:szCs w:val="20"/>
        </w:rPr>
      </w:pPr>
      <w:r w:rsidRPr="004F480D">
        <w:rPr>
          <w:rFonts w:eastAsia="Calibri" w:cs="Arial"/>
          <w:sz w:val="20"/>
          <w:szCs w:val="20"/>
        </w:rPr>
        <w:t>Cincinnati, OH 45202</w:t>
      </w:r>
    </w:p>
    <w:p w14:paraId="4CECCEDE" w14:textId="77777777" w:rsidR="00E0550C" w:rsidRPr="004F480D" w:rsidRDefault="00E0550C" w:rsidP="00E0550C">
      <w:pPr>
        <w:rPr>
          <w:rFonts w:eastAsia="Calibri" w:cs="Arial"/>
          <w:sz w:val="20"/>
          <w:szCs w:val="20"/>
        </w:rPr>
      </w:pPr>
      <w:r w:rsidRPr="004F480D">
        <w:rPr>
          <w:rFonts w:eastAsia="Calibri" w:cs="Arial"/>
          <w:sz w:val="20"/>
          <w:szCs w:val="20"/>
        </w:rPr>
        <w:t>rocco.dascenzo@duke-energy.com</w:t>
      </w:r>
    </w:p>
    <w:p w14:paraId="33C9057F" w14:textId="77777777" w:rsidR="00E0550C" w:rsidRPr="004F480D" w:rsidRDefault="00E0550C" w:rsidP="00E0550C">
      <w:pPr>
        <w:rPr>
          <w:rFonts w:eastAsia="Calibri" w:cs="Arial"/>
          <w:sz w:val="20"/>
          <w:szCs w:val="20"/>
        </w:rPr>
      </w:pPr>
      <w:r w:rsidRPr="004F480D">
        <w:rPr>
          <w:rFonts w:eastAsia="Calibri" w:cs="Arial"/>
          <w:sz w:val="20"/>
          <w:szCs w:val="20"/>
        </w:rPr>
        <w:t>jeanne.kingery@duke-energy.com</w:t>
      </w:r>
    </w:p>
    <w:p w14:paraId="41E4B3BA" w14:textId="77777777" w:rsidR="00E0550C" w:rsidRPr="004F480D" w:rsidRDefault="00E0550C" w:rsidP="00E0550C">
      <w:pPr>
        <w:rPr>
          <w:rFonts w:eastAsia="Calibri" w:cs="Arial"/>
          <w:sz w:val="20"/>
          <w:szCs w:val="20"/>
        </w:rPr>
      </w:pPr>
    </w:p>
    <w:p w14:paraId="7DCFB132" w14:textId="77777777" w:rsidR="00E0550C" w:rsidRPr="004F480D" w:rsidRDefault="00E0550C" w:rsidP="00E0550C">
      <w:pPr>
        <w:rPr>
          <w:rFonts w:eastAsia="Calibri" w:cs="Arial"/>
          <w:b/>
          <w:smallCaps/>
          <w:sz w:val="20"/>
          <w:szCs w:val="20"/>
        </w:rPr>
      </w:pPr>
      <w:r w:rsidRPr="004F480D">
        <w:rPr>
          <w:rFonts w:eastAsia="Calibri" w:cs="Arial"/>
          <w:b/>
          <w:smallCaps/>
          <w:sz w:val="20"/>
          <w:szCs w:val="20"/>
        </w:rPr>
        <w:t>Counsel for Duke Energy Ohio, Inc.</w:t>
      </w:r>
    </w:p>
    <w:p w14:paraId="23CDC812" w14:textId="77777777" w:rsidR="00E0550C" w:rsidRDefault="00E0550C" w:rsidP="00E0550C">
      <w:pPr>
        <w:ind w:right="720"/>
        <w:rPr>
          <w:rFonts w:eastAsia="Calibri" w:cs="Arial"/>
          <w:b/>
          <w:smallCaps/>
          <w:sz w:val="20"/>
          <w:szCs w:val="20"/>
        </w:rPr>
      </w:pPr>
    </w:p>
    <w:p w14:paraId="28812C96" w14:textId="77777777" w:rsidR="00E0550C" w:rsidRPr="004F480D" w:rsidRDefault="00E0550C" w:rsidP="00E0550C">
      <w:pPr>
        <w:ind w:right="180"/>
        <w:rPr>
          <w:rFonts w:eastAsia="Calibri" w:cs="Times New Roman"/>
          <w:sz w:val="20"/>
          <w:szCs w:val="20"/>
        </w:rPr>
      </w:pPr>
      <w:r w:rsidRPr="004F480D">
        <w:rPr>
          <w:rFonts w:eastAsia="Calibri" w:cs="Times New Roman"/>
          <w:b/>
          <w:sz w:val="20"/>
          <w:szCs w:val="20"/>
        </w:rPr>
        <w:t>Carrie M. Dunn-Lucco</w:t>
      </w:r>
      <w:r w:rsidRPr="004F480D">
        <w:rPr>
          <w:rFonts w:eastAsia="Calibri" w:cs="Times New Roman"/>
          <w:sz w:val="20"/>
          <w:szCs w:val="20"/>
        </w:rPr>
        <w:t xml:space="preserve"> (0076952)</w:t>
      </w:r>
    </w:p>
    <w:p w14:paraId="7E984C5B" w14:textId="77777777" w:rsidR="00E0550C" w:rsidRPr="004F480D" w:rsidRDefault="00E0550C" w:rsidP="00E0550C">
      <w:pPr>
        <w:ind w:right="720"/>
        <w:rPr>
          <w:rFonts w:eastAsia="Calibri" w:cs="Times New Roman"/>
          <w:sz w:val="20"/>
          <w:szCs w:val="20"/>
        </w:rPr>
      </w:pPr>
      <w:r w:rsidRPr="004F480D">
        <w:rPr>
          <w:rFonts w:eastAsia="Calibri" w:cs="Times New Roman"/>
          <w:sz w:val="20"/>
          <w:szCs w:val="20"/>
        </w:rPr>
        <w:t xml:space="preserve">   (Counsel of Record)</w:t>
      </w:r>
    </w:p>
    <w:p w14:paraId="33B64568" w14:textId="77777777" w:rsidR="00E0550C" w:rsidRPr="004F480D" w:rsidRDefault="00E0550C" w:rsidP="00E0550C">
      <w:pPr>
        <w:ind w:right="720"/>
        <w:rPr>
          <w:rFonts w:eastAsia="Calibri" w:cs="Arial"/>
          <w:smallCaps/>
          <w:sz w:val="20"/>
          <w:szCs w:val="20"/>
        </w:rPr>
      </w:pPr>
      <w:r w:rsidRPr="004F480D">
        <w:rPr>
          <w:rFonts w:eastAsia="Calibri" w:cs="Arial"/>
          <w:smallCaps/>
          <w:sz w:val="20"/>
          <w:szCs w:val="20"/>
        </w:rPr>
        <w:t>FirstEnergy Service Company</w:t>
      </w:r>
    </w:p>
    <w:p w14:paraId="7291747B" w14:textId="77777777" w:rsidR="00E0550C" w:rsidRPr="004F480D" w:rsidRDefault="00E0550C" w:rsidP="00E0550C">
      <w:pPr>
        <w:ind w:right="720"/>
        <w:rPr>
          <w:rFonts w:eastAsia="Calibri" w:cs="Arial"/>
          <w:sz w:val="20"/>
          <w:szCs w:val="20"/>
        </w:rPr>
      </w:pPr>
      <w:r w:rsidRPr="004F480D">
        <w:rPr>
          <w:rFonts w:eastAsia="Calibri" w:cs="Arial"/>
          <w:sz w:val="20"/>
          <w:szCs w:val="20"/>
        </w:rPr>
        <w:t>76 S. Main Street</w:t>
      </w:r>
    </w:p>
    <w:p w14:paraId="512E7A62" w14:textId="77777777" w:rsidR="00E0550C" w:rsidRPr="004F480D" w:rsidRDefault="00E0550C" w:rsidP="00E0550C">
      <w:pPr>
        <w:ind w:right="720"/>
        <w:rPr>
          <w:rFonts w:eastAsia="Calibri" w:cs="Arial"/>
          <w:sz w:val="20"/>
          <w:szCs w:val="20"/>
        </w:rPr>
      </w:pPr>
      <w:r w:rsidRPr="004F480D">
        <w:rPr>
          <w:rFonts w:eastAsia="Calibri" w:cs="Arial"/>
          <w:sz w:val="20"/>
          <w:szCs w:val="20"/>
        </w:rPr>
        <w:t>Akron, OH 44308</w:t>
      </w:r>
    </w:p>
    <w:p w14:paraId="7F19EA6C" w14:textId="77777777" w:rsidR="00E0550C" w:rsidRPr="004F480D" w:rsidRDefault="00E0550C" w:rsidP="00E0550C">
      <w:pPr>
        <w:ind w:right="720"/>
        <w:rPr>
          <w:rFonts w:eastAsia="Calibri" w:cs="Arial"/>
          <w:sz w:val="20"/>
          <w:szCs w:val="20"/>
        </w:rPr>
      </w:pPr>
      <w:r w:rsidRPr="004F480D">
        <w:rPr>
          <w:rFonts w:eastAsia="Calibri" w:cs="Arial"/>
          <w:sz w:val="20"/>
          <w:szCs w:val="20"/>
        </w:rPr>
        <w:t>cdunn@firstenergycorp.com</w:t>
      </w:r>
    </w:p>
    <w:p w14:paraId="204335DC" w14:textId="77777777" w:rsidR="00E0550C" w:rsidRPr="004F480D" w:rsidRDefault="00E0550C" w:rsidP="00E0550C">
      <w:pPr>
        <w:ind w:right="720"/>
        <w:rPr>
          <w:rFonts w:eastAsia="Calibri" w:cs="Arial"/>
          <w:sz w:val="20"/>
          <w:szCs w:val="20"/>
        </w:rPr>
      </w:pPr>
    </w:p>
    <w:p w14:paraId="4D75FFE1" w14:textId="77777777" w:rsidR="00E0550C" w:rsidRPr="004F480D" w:rsidRDefault="00E0550C" w:rsidP="00E0550C">
      <w:pPr>
        <w:ind w:right="-90"/>
        <w:rPr>
          <w:rFonts w:eastAsia="Calibri" w:cs="Arial"/>
          <w:b/>
          <w:smallCaps/>
          <w:sz w:val="20"/>
          <w:szCs w:val="20"/>
        </w:rPr>
      </w:pPr>
      <w:r w:rsidRPr="004F480D">
        <w:rPr>
          <w:rFonts w:eastAsia="Calibri" w:cs="Arial"/>
          <w:b/>
          <w:smallCaps/>
          <w:sz w:val="20"/>
          <w:szCs w:val="20"/>
        </w:rPr>
        <w:t xml:space="preserve">Counsel for Ohio Edison Company, </w:t>
      </w:r>
      <w:r w:rsidRPr="004F480D">
        <w:rPr>
          <w:rFonts w:eastAsia="Calibri" w:cs="Arial"/>
          <w:b/>
          <w:smallCaps/>
          <w:sz w:val="20"/>
          <w:szCs w:val="20"/>
        </w:rPr>
        <w:br/>
        <w:t>The Cleveland Electric Illuminating Company, and the Toledo Edison Company</w:t>
      </w:r>
    </w:p>
    <w:p w14:paraId="42E6351A" w14:textId="77777777" w:rsidR="00E0550C" w:rsidRPr="004F480D" w:rsidRDefault="00E0550C" w:rsidP="00E0550C">
      <w:pPr>
        <w:ind w:right="720"/>
        <w:rPr>
          <w:rFonts w:eastAsia="Calibri" w:cs="Arial"/>
          <w:sz w:val="20"/>
          <w:szCs w:val="20"/>
        </w:rPr>
      </w:pPr>
    </w:p>
    <w:p w14:paraId="14900289" w14:textId="77777777" w:rsidR="00E0550C" w:rsidRPr="004F480D" w:rsidRDefault="00E0550C" w:rsidP="00E0550C">
      <w:pPr>
        <w:ind w:right="720"/>
        <w:rPr>
          <w:rFonts w:eastAsia="Calibri" w:cs="Arial"/>
          <w:sz w:val="20"/>
          <w:szCs w:val="20"/>
        </w:rPr>
      </w:pPr>
      <w:r w:rsidRPr="004F480D">
        <w:rPr>
          <w:rFonts w:eastAsia="Calibri" w:cs="Arial"/>
          <w:b/>
          <w:sz w:val="20"/>
          <w:szCs w:val="20"/>
        </w:rPr>
        <w:t>Michael J. Schuler</w:t>
      </w:r>
      <w:r w:rsidRPr="004F480D">
        <w:rPr>
          <w:rFonts w:eastAsia="Calibri" w:cs="Arial"/>
          <w:sz w:val="20"/>
          <w:szCs w:val="20"/>
        </w:rPr>
        <w:t xml:space="preserve"> (0082390)</w:t>
      </w:r>
    </w:p>
    <w:p w14:paraId="73BDFE4F" w14:textId="77777777" w:rsidR="00E0550C" w:rsidRPr="004F480D" w:rsidRDefault="00E0550C" w:rsidP="00E0550C">
      <w:pPr>
        <w:ind w:right="720"/>
        <w:rPr>
          <w:rFonts w:eastAsia="Calibri" w:cs="Arial"/>
          <w:sz w:val="20"/>
          <w:szCs w:val="20"/>
        </w:rPr>
      </w:pPr>
      <w:r w:rsidRPr="004F480D">
        <w:rPr>
          <w:rFonts w:eastAsia="Calibri" w:cs="Arial"/>
          <w:sz w:val="20"/>
          <w:szCs w:val="20"/>
        </w:rPr>
        <w:t xml:space="preserve">   (Counsel of Record)</w:t>
      </w:r>
    </w:p>
    <w:p w14:paraId="5AD213E9" w14:textId="77777777" w:rsidR="00E0550C" w:rsidRPr="004F480D" w:rsidRDefault="00E0550C" w:rsidP="00E0550C">
      <w:pPr>
        <w:ind w:right="720"/>
        <w:rPr>
          <w:rFonts w:eastAsia="Calibri" w:cs="Arial"/>
          <w:smallCaps/>
          <w:sz w:val="20"/>
          <w:szCs w:val="20"/>
        </w:rPr>
      </w:pPr>
      <w:r w:rsidRPr="004F480D">
        <w:rPr>
          <w:rFonts w:eastAsia="Calibri" w:cs="Arial"/>
          <w:smallCaps/>
          <w:sz w:val="20"/>
          <w:szCs w:val="20"/>
        </w:rPr>
        <w:t>The Dayton Power and Light Company</w:t>
      </w:r>
    </w:p>
    <w:p w14:paraId="4852AB2F" w14:textId="77777777" w:rsidR="00E0550C" w:rsidRPr="004F480D" w:rsidRDefault="00E0550C" w:rsidP="00E0550C">
      <w:pPr>
        <w:ind w:right="720"/>
        <w:rPr>
          <w:rFonts w:eastAsia="Calibri" w:cs="Arial"/>
          <w:sz w:val="20"/>
          <w:szCs w:val="20"/>
        </w:rPr>
      </w:pPr>
      <w:r w:rsidRPr="004F480D">
        <w:rPr>
          <w:rFonts w:eastAsia="Calibri" w:cs="Arial"/>
          <w:sz w:val="20"/>
          <w:szCs w:val="20"/>
        </w:rPr>
        <w:t>1065 Woodman Drive</w:t>
      </w:r>
    </w:p>
    <w:p w14:paraId="267E063D" w14:textId="77777777" w:rsidR="00E0550C" w:rsidRPr="004F480D" w:rsidRDefault="00E0550C" w:rsidP="00E0550C">
      <w:pPr>
        <w:ind w:right="720"/>
        <w:rPr>
          <w:rFonts w:eastAsia="Calibri" w:cs="Arial"/>
          <w:sz w:val="20"/>
          <w:szCs w:val="20"/>
        </w:rPr>
      </w:pPr>
      <w:r w:rsidRPr="004F480D">
        <w:rPr>
          <w:rFonts w:eastAsia="Calibri" w:cs="Arial"/>
          <w:sz w:val="20"/>
          <w:szCs w:val="20"/>
        </w:rPr>
        <w:t>Dayton, OH 45432</w:t>
      </w:r>
    </w:p>
    <w:p w14:paraId="4BC215AC" w14:textId="77777777" w:rsidR="00E0550C" w:rsidRPr="004F480D" w:rsidRDefault="00E0550C" w:rsidP="00E0550C">
      <w:pPr>
        <w:ind w:right="720"/>
        <w:rPr>
          <w:rFonts w:eastAsia="Calibri" w:cs="Arial"/>
          <w:sz w:val="20"/>
          <w:szCs w:val="20"/>
        </w:rPr>
      </w:pPr>
      <w:r w:rsidRPr="004F480D">
        <w:rPr>
          <w:rFonts w:eastAsia="Calibri" w:cs="Arial"/>
          <w:sz w:val="20"/>
          <w:szCs w:val="20"/>
        </w:rPr>
        <w:t>michael.schuler@aes.com</w:t>
      </w:r>
    </w:p>
    <w:p w14:paraId="6FC63435" w14:textId="77777777" w:rsidR="00E0550C" w:rsidRPr="004F480D" w:rsidRDefault="00E0550C" w:rsidP="00E0550C">
      <w:pPr>
        <w:ind w:right="720"/>
        <w:rPr>
          <w:rFonts w:eastAsia="Calibri" w:cs="Arial"/>
          <w:sz w:val="20"/>
          <w:szCs w:val="20"/>
        </w:rPr>
      </w:pPr>
    </w:p>
    <w:p w14:paraId="21CDD575" w14:textId="77777777" w:rsidR="00E0550C" w:rsidRPr="004F480D" w:rsidRDefault="00E0550C" w:rsidP="00E0550C">
      <w:pPr>
        <w:ind w:right="720"/>
        <w:rPr>
          <w:rFonts w:eastAsia="Calibri" w:cs="Arial"/>
          <w:b/>
          <w:smallCaps/>
          <w:sz w:val="20"/>
          <w:szCs w:val="20"/>
        </w:rPr>
      </w:pPr>
      <w:r w:rsidRPr="004F480D">
        <w:rPr>
          <w:rFonts w:eastAsia="Calibri" w:cs="Arial"/>
          <w:b/>
          <w:smallCaps/>
          <w:sz w:val="20"/>
          <w:szCs w:val="20"/>
        </w:rPr>
        <w:t>Counsel for The Dayton Power and Light Company</w:t>
      </w:r>
    </w:p>
    <w:p w14:paraId="7082BB3F" w14:textId="77777777" w:rsidR="00E0550C" w:rsidRDefault="00E0550C" w:rsidP="00E0550C">
      <w:pPr>
        <w:ind w:right="720"/>
        <w:rPr>
          <w:rFonts w:eastAsia="Calibri" w:cs="Arial"/>
          <w:b/>
          <w:smallCaps/>
          <w:sz w:val="20"/>
          <w:szCs w:val="20"/>
        </w:rPr>
      </w:pPr>
    </w:p>
    <w:p w14:paraId="6256669B" w14:textId="77777777" w:rsidR="00E0550C" w:rsidRPr="004F480D" w:rsidRDefault="00E0550C" w:rsidP="00E0550C">
      <w:pPr>
        <w:tabs>
          <w:tab w:val="left" w:pos="2160"/>
          <w:tab w:val="left" w:pos="2280"/>
        </w:tabs>
        <w:rPr>
          <w:rFonts w:ascii="Arial Bold" w:eastAsia="Times New Roman" w:hAnsi="Arial Bold" w:cs="Arial"/>
          <w:b/>
          <w:sz w:val="20"/>
          <w:szCs w:val="20"/>
        </w:rPr>
      </w:pPr>
      <w:r w:rsidRPr="004F480D">
        <w:rPr>
          <w:rFonts w:ascii="Arial Bold" w:eastAsia="Times New Roman" w:hAnsi="Arial Bold" w:cs="Arial"/>
          <w:b/>
          <w:sz w:val="20"/>
          <w:szCs w:val="20"/>
        </w:rPr>
        <w:t xml:space="preserve">Michael S.J. </w:t>
      </w:r>
      <w:proofErr w:type="spellStart"/>
      <w:r w:rsidRPr="004F480D">
        <w:rPr>
          <w:rFonts w:ascii="Arial Bold" w:eastAsia="Times New Roman" w:hAnsi="Arial Bold" w:cs="Arial"/>
          <w:b/>
          <w:sz w:val="20"/>
          <w:szCs w:val="20"/>
        </w:rPr>
        <w:t>Lozich</w:t>
      </w:r>
      <w:proofErr w:type="spellEnd"/>
    </w:p>
    <w:p w14:paraId="27AB38ED" w14:textId="77777777" w:rsidR="00E0550C" w:rsidRPr="004F480D" w:rsidRDefault="00E0550C" w:rsidP="00E0550C">
      <w:pPr>
        <w:tabs>
          <w:tab w:val="left" w:pos="2160"/>
          <w:tab w:val="left" w:pos="2280"/>
        </w:tabs>
        <w:rPr>
          <w:rFonts w:eastAsia="Times New Roman" w:cs="Arial"/>
          <w:smallCaps/>
          <w:sz w:val="20"/>
          <w:szCs w:val="20"/>
        </w:rPr>
      </w:pPr>
      <w:proofErr w:type="spellStart"/>
      <w:r w:rsidRPr="004F480D">
        <w:rPr>
          <w:rFonts w:eastAsia="Times New Roman" w:cs="Arial"/>
          <w:smallCaps/>
          <w:sz w:val="20"/>
          <w:szCs w:val="20"/>
        </w:rPr>
        <w:t>Securus</w:t>
      </w:r>
      <w:proofErr w:type="spellEnd"/>
      <w:r w:rsidRPr="004F480D">
        <w:rPr>
          <w:rFonts w:eastAsia="Times New Roman" w:cs="Arial"/>
          <w:smallCaps/>
          <w:sz w:val="20"/>
          <w:szCs w:val="20"/>
        </w:rPr>
        <w:t xml:space="preserve"> technologies, Inc.</w:t>
      </w:r>
    </w:p>
    <w:p w14:paraId="6EB3B629"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4000 International Parkway</w:t>
      </w:r>
    </w:p>
    <w:p w14:paraId="7F602978"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Carrollton, TX 75007</w:t>
      </w:r>
    </w:p>
    <w:p w14:paraId="2723D40F" w14:textId="77777777" w:rsidR="00E0550C" w:rsidRDefault="00E0550C" w:rsidP="00E0550C">
      <w:pPr>
        <w:tabs>
          <w:tab w:val="left" w:pos="2160"/>
          <w:tab w:val="left" w:pos="2280"/>
        </w:tabs>
        <w:rPr>
          <w:rFonts w:eastAsia="Times New Roman" w:cs="Arial"/>
          <w:sz w:val="20"/>
          <w:szCs w:val="20"/>
        </w:rPr>
      </w:pPr>
      <w:r w:rsidRPr="00893EF3">
        <w:rPr>
          <w:rFonts w:eastAsia="Times New Roman" w:cs="Arial"/>
          <w:sz w:val="20"/>
          <w:szCs w:val="20"/>
        </w:rPr>
        <w:t>Mlozich@securustechologies.com</w:t>
      </w:r>
    </w:p>
    <w:p w14:paraId="248B19D8" w14:textId="77777777" w:rsidR="00E0550C" w:rsidRPr="004F480D" w:rsidRDefault="00E0550C" w:rsidP="00E0550C">
      <w:pPr>
        <w:tabs>
          <w:tab w:val="left" w:pos="2160"/>
          <w:tab w:val="left" w:pos="2280"/>
        </w:tabs>
        <w:rPr>
          <w:rFonts w:eastAsia="Times New Roman" w:cs="Arial"/>
          <w:sz w:val="20"/>
          <w:szCs w:val="20"/>
        </w:rPr>
      </w:pPr>
    </w:p>
    <w:p w14:paraId="076B3782" w14:textId="77777777" w:rsidR="00E0550C" w:rsidRPr="004F480D" w:rsidRDefault="00E0550C" w:rsidP="00E0550C">
      <w:pPr>
        <w:tabs>
          <w:tab w:val="left" w:pos="2160"/>
          <w:tab w:val="left" w:pos="2280"/>
        </w:tabs>
        <w:rPr>
          <w:rFonts w:ascii="Arial Bold" w:eastAsia="Times New Roman" w:hAnsi="Arial Bold" w:cs="Arial"/>
          <w:b/>
          <w:smallCaps/>
          <w:sz w:val="20"/>
          <w:szCs w:val="20"/>
        </w:rPr>
      </w:pPr>
      <w:r w:rsidRPr="004F480D">
        <w:rPr>
          <w:rFonts w:ascii="Arial Bold" w:eastAsia="Times New Roman" w:hAnsi="Arial Bold" w:cs="Arial"/>
          <w:b/>
          <w:smallCaps/>
          <w:sz w:val="20"/>
          <w:szCs w:val="20"/>
        </w:rPr>
        <w:t xml:space="preserve">Counsel for </w:t>
      </w:r>
      <w:proofErr w:type="spellStart"/>
      <w:r w:rsidRPr="004F480D">
        <w:rPr>
          <w:rFonts w:ascii="Arial Bold" w:eastAsia="Times New Roman" w:hAnsi="Arial Bold" w:cs="Arial"/>
          <w:b/>
          <w:smallCaps/>
          <w:sz w:val="20"/>
          <w:szCs w:val="20"/>
        </w:rPr>
        <w:t>Securus</w:t>
      </w:r>
      <w:proofErr w:type="spellEnd"/>
      <w:r w:rsidRPr="004F480D">
        <w:rPr>
          <w:rFonts w:ascii="Arial Bold" w:eastAsia="Times New Roman" w:hAnsi="Arial Bold" w:cs="Arial"/>
          <w:b/>
          <w:smallCaps/>
          <w:sz w:val="20"/>
          <w:szCs w:val="20"/>
        </w:rPr>
        <w:t xml:space="preserve"> Technologies, Inc.</w:t>
      </w:r>
    </w:p>
    <w:p w14:paraId="373D2701" w14:textId="77777777" w:rsidR="00E0550C" w:rsidRPr="004F480D" w:rsidRDefault="00E0550C" w:rsidP="00E0550C">
      <w:pPr>
        <w:tabs>
          <w:tab w:val="left" w:pos="2160"/>
          <w:tab w:val="left" w:pos="2280"/>
        </w:tabs>
        <w:rPr>
          <w:rFonts w:eastAsia="Times New Roman" w:cs="Arial"/>
          <w:b/>
          <w:smallCaps/>
          <w:sz w:val="20"/>
          <w:szCs w:val="20"/>
        </w:rPr>
      </w:pPr>
    </w:p>
    <w:p w14:paraId="400E34B8" w14:textId="77777777" w:rsidR="00E0550C" w:rsidRPr="004F480D" w:rsidRDefault="00E0550C" w:rsidP="00E0550C">
      <w:pPr>
        <w:tabs>
          <w:tab w:val="left" w:pos="2160"/>
          <w:tab w:val="left" w:pos="2280"/>
        </w:tabs>
        <w:rPr>
          <w:rFonts w:ascii="Arial Bold" w:eastAsia="Times New Roman" w:hAnsi="Arial Bold" w:cs="Arial"/>
          <w:b/>
          <w:sz w:val="20"/>
          <w:szCs w:val="20"/>
        </w:rPr>
      </w:pPr>
      <w:r w:rsidRPr="004F480D">
        <w:rPr>
          <w:rFonts w:ascii="Arial Bold" w:eastAsia="Times New Roman" w:hAnsi="Arial Bold" w:cs="Arial"/>
          <w:b/>
          <w:sz w:val="20"/>
          <w:szCs w:val="20"/>
        </w:rPr>
        <w:t>Marty K</w:t>
      </w:r>
      <w:r>
        <w:rPr>
          <w:rFonts w:ascii="Arial Bold" w:eastAsia="Times New Roman" w:hAnsi="Arial Bold" w:cs="Arial"/>
          <w:b/>
          <w:sz w:val="20"/>
          <w:szCs w:val="20"/>
        </w:rPr>
        <w:t>.</w:t>
      </w:r>
      <w:r w:rsidRPr="004F480D">
        <w:rPr>
          <w:rFonts w:ascii="Arial Bold" w:eastAsia="Times New Roman" w:hAnsi="Arial Bold" w:cs="Arial"/>
          <w:b/>
          <w:sz w:val="20"/>
          <w:szCs w:val="20"/>
        </w:rPr>
        <w:t xml:space="preserve"> Whelan</w:t>
      </w:r>
    </w:p>
    <w:p w14:paraId="7C094B22"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5640 Lancaster-Newark Road, NE</w:t>
      </w:r>
    </w:p>
    <w:p w14:paraId="0B9464D2"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Pleasantville, Ohio 43148</w:t>
      </w:r>
    </w:p>
    <w:p w14:paraId="56EC7D5E" w14:textId="77777777" w:rsidR="00E0550C" w:rsidRDefault="00E0550C" w:rsidP="00E0550C">
      <w:pPr>
        <w:rPr>
          <w:rFonts w:eastAsia="Calibri" w:cs="Arial"/>
          <w:sz w:val="20"/>
          <w:szCs w:val="20"/>
        </w:rPr>
      </w:pPr>
      <w:r w:rsidRPr="00BA2874">
        <w:rPr>
          <w:rFonts w:eastAsia="Calibri" w:cs="Arial"/>
          <w:sz w:val="20"/>
          <w:szCs w:val="20"/>
        </w:rPr>
        <w:t>mwhelan@egas.net</w:t>
      </w:r>
    </w:p>
    <w:p w14:paraId="49925803" w14:textId="77777777" w:rsidR="00E0550C" w:rsidRDefault="00E0550C" w:rsidP="00E0550C">
      <w:pPr>
        <w:rPr>
          <w:rFonts w:eastAsia="Calibri" w:cs="Arial"/>
          <w:sz w:val="20"/>
          <w:szCs w:val="20"/>
        </w:rPr>
      </w:pPr>
    </w:p>
    <w:p w14:paraId="0E475544" w14:textId="77777777" w:rsidR="00E0550C" w:rsidRPr="004F480D" w:rsidRDefault="00E0550C" w:rsidP="00E0550C">
      <w:pPr>
        <w:rPr>
          <w:rFonts w:ascii="Arial Bold" w:eastAsia="Calibri" w:hAnsi="Arial Bold" w:cs="Arial"/>
          <w:b/>
          <w:smallCaps/>
          <w:sz w:val="20"/>
          <w:szCs w:val="20"/>
        </w:rPr>
      </w:pPr>
      <w:r w:rsidRPr="004F480D">
        <w:rPr>
          <w:rFonts w:ascii="Arial Bold" w:eastAsia="Calibri" w:hAnsi="Arial Bold" w:cs="Arial"/>
          <w:b/>
          <w:smallCaps/>
          <w:sz w:val="20"/>
          <w:szCs w:val="20"/>
        </w:rPr>
        <w:t>On Behalf of Northeast Ohio Natural Gas Corporation, Orwell Natural Gas Company, Brainard Gas Corporation, and Spelman Pipeline Holdings, Inc.</w:t>
      </w:r>
    </w:p>
    <w:p w14:paraId="619ED3F0" w14:textId="77777777" w:rsidR="00E0550C" w:rsidRDefault="00E0550C" w:rsidP="00E0550C">
      <w:pPr>
        <w:rPr>
          <w:rFonts w:eastAsia="Calibri" w:cs="Arial"/>
          <w:sz w:val="20"/>
          <w:szCs w:val="20"/>
        </w:rPr>
      </w:pPr>
    </w:p>
    <w:p w14:paraId="25358DE8" w14:textId="77777777" w:rsidR="00E0550C" w:rsidRDefault="00E0550C" w:rsidP="00E0550C">
      <w:pPr>
        <w:rPr>
          <w:rFonts w:eastAsia="Calibri" w:cs="Arial"/>
          <w:sz w:val="20"/>
          <w:szCs w:val="20"/>
        </w:rPr>
      </w:pPr>
    </w:p>
    <w:p w14:paraId="1291D074" w14:textId="77777777" w:rsidR="00E0550C" w:rsidRDefault="00E0550C" w:rsidP="00E0550C">
      <w:pPr>
        <w:rPr>
          <w:rFonts w:eastAsia="Calibri" w:cs="Arial"/>
          <w:sz w:val="20"/>
          <w:szCs w:val="20"/>
        </w:rPr>
      </w:pPr>
    </w:p>
    <w:p w14:paraId="7EF6BD71" w14:textId="77777777" w:rsidR="00E0550C" w:rsidRDefault="00E0550C" w:rsidP="00E0550C">
      <w:pPr>
        <w:rPr>
          <w:rFonts w:eastAsia="Calibri" w:cs="Arial"/>
          <w:sz w:val="20"/>
          <w:szCs w:val="20"/>
        </w:rPr>
      </w:pPr>
    </w:p>
    <w:p w14:paraId="5ACE86F1" w14:textId="77777777" w:rsidR="00E0550C" w:rsidRDefault="00E0550C" w:rsidP="00E0550C">
      <w:pPr>
        <w:rPr>
          <w:rFonts w:eastAsia="Calibri" w:cs="Arial"/>
          <w:sz w:val="20"/>
          <w:szCs w:val="20"/>
        </w:rPr>
      </w:pPr>
    </w:p>
    <w:p w14:paraId="401BC529" w14:textId="77777777" w:rsidR="00E0550C" w:rsidRDefault="00E0550C" w:rsidP="00E0550C">
      <w:pPr>
        <w:rPr>
          <w:rFonts w:eastAsia="Calibri" w:cs="Arial"/>
          <w:sz w:val="20"/>
          <w:szCs w:val="20"/>
        </w:rPr>
      </w:pPr>
    </w:p>
    <w:p w14:paraId="0467882B" w14:textId="77777777" w:rsidR="00E0550C" w:rsidRDefault="00E0550C" w:rsidP="00E0550C">
      <w:pPr>
        <w:rPr>
          <w:rFonts w:eastAsia="Calibri" w:cs="Arial"/>
          <w:sz w:val="20"/>
          <w:szCs w:val="20"/>
        </w:rPr>
      </w:pPr>
      <w:r w:rsidRPr="00BA2874">
        <w:rPr>
          <w:rFonts w:eastAsia="Calibri" w:cs="Arial"/>
          <w:b/>
          <w:sz w:val="20"/>
          <w:szCs w:val="20"/>
        </w:rPr>
        <w:t xml:space="preserve">Stephen B. </w:t>
      </w:r>
      <w:proofErr w:type="spellStart"/>
      <w:r w:rsidRPr="00BA2874">
        <w:rPr>
          <w:rFonts w:eastAsia="Calibri" w:cs="Arial"/>
          <w:b/>
          <w:sz w:val="20"/>
          <w:szCs w:val="20"/>
        </w:rPr>
        <w:t>Seiple</w:t>
      </w:r>
      <w:proofErr w:type="spellEnd"/>
      <w:r>
        <w:rPr>
          <w:rFonts w:eastAsia="Calibri" w:cs="Arial"/>
          <w:sz w:val="20"/>
          <w:szCs w:val="20"/>
        </w:rPr>
        <w:t xml:space="preserve"> (0003809)</w:t>
      </w:r>
    </w:p>
    <w:p w14:paraId="12DF9E09" w14:textId="77777777" w:rsidR="00E0550C" w:rsidRDefault="00E0550C" w:rsidP="00E0550C">
      <w:pPr>
        <w:rPr>
          <w:rFonts w:eastAsia="Calibri" w:cs="Arial"/>
          <w:sz w:val="20"/>
          <w:szCs w:val="20"/>
        </w:rPr>
      </w:pPr>
      <w:r w:rsidRPr="00BA2874">
        <w:rPr>
          <w:rFonts w:eastAsia="Calibri" w:cs="Arial"/>
          <w:b/>
          <w:sz w:val="20"/>
          <w:szCs w:val="20"/>
        </w:rPr>
        <w:t>Joseph M. Clark</w:t>
      </w:r>
      <w:r>
        <w:rPr>
          <w:rFonts w:eastAsia="Calibri" w:cs="Arial"/>
          <w:sz w:val="20"/>
          <w:szCs w:val="20"/>
        </w:rPr>
        <w:t xml:space="preserve"> (0080711)</w:t>
      </w:r>
    </w:p>
    <w:p w14:paraId="27BE6C87" w14:textId="77777777" w:rsidR="00E0550C" w:rsidRPr="00BA2874" w:rsidRDefault="00E0550C" w:rsidP="00E0550C">
      <w:pPr>
        <w:rPr>
          <w:rFonts w:eastAsia="Calibri" w:cs="Arial"/>
          <w:smallCaps/>
          <w:sz w:val="20"/>
          <w:szCs w:val="20"/>
        </w:rPr>
      </w:pPr>
      <w:r w:rsidRPr="00BA2874">
        <w:rPr>
          <w:rFonts w:eastAsia="Calibri" w:cs="Arial"/>
          <w:smallCaps/>
          <w:sz w:val="20"/>
          <w:szCs w:val="20"/>
        </w:rPr>
        <w:t>Columbia Gas of Ohio, Inc.</w:t>
      </w:r>
    </w:p>
    <w:p w14:paraId="4F5645CB" w14:textId="77777777" w:rsidR="00E0550C" w:rsidRDefault="00E0550C" w:rsidP="00E0550C">
      <w:pPr>
        <w:rPr>
          <w:rFonts w:eastAsia="Calibri" w:cs="Arial"/>
          <w:sz w:val="20"/>
          <w:szCs w:val="20"/>
        </w:rPr>
      </w:pPr>
      <w:r>
        <w:rPr>
          <w:rFonts w:eastAsia="Calibri" w:cs="Arial"/>
          <w:sz w:val="20"/>
          <w:szCs w:val="20"/>
        </w:rPr>
        <w:t>290 W. Nationwide Blvd.</w:t>
      </w:r>
    </w:p>
    <w:p w14:paraId="3BC052EA" w14:textId="77777777" w:rsidR="00E0550C" w:rsidRDefault="00E0550C" w:rsidP="00E0550C">
      <w:pPr>
        <w:rPr>
          <w:rFonts w:eastAsia="Calibri" w:cs="Arial"/>
          <w:sz w:val="20"/>
          <w:szCs w:val="20"/>
        </w:rPr>
      </w:pPr>
      <w:r>
        <w:rPr>
          <w:rFonts w:eastAsia="Calibri" w:cs="Arial"/>
          <w:sz w:val="20"/>
          <w:szCs w:val="20"/>
        </w:rPr>
        <w:t>P.O. Box 117</w:t>
      </w:r>
    </w:p>
    <w:p w14:paraId="5C39B080" w14:textId="77777777" w:rsidR="00E0550C" w:rsidRDefault="00E0550C" w:rsidP="00E0550C">
      <w:pPr>
        <w:rPr>
          <w:rFonts w:eastAsia="Calibri" w:cs="Arial"/>
          <w:sz w:val="20"/>
          <w:szCs w:val="20"/>
        </w:rPr>
      </w:pPr>
      <w:r>
        <w:rPr>
          <w:rFonts w:eastAsia="Calibri" w:cs="Arial"/>
          <w:sz w:val="20"/>
          <w:szCs w:val="20"/>
        </w:rPr>
        <w:t>Columbus, OH 43216-0017</w:t>
      </w:r>
    </w:p>
    <w:p w14:paraId="2C350202" w14:textId="77777777" w:rsidR="00E0550C" w:rsidRDefault="00E0550C" w:rsidP="00E0550C">
      <w:pPr>
        <w:rPr>
          <w:rFonts w:eastAsia="Calibri" w:cs="Arial"/>
          <w:sz w:val="20"/>
          <w:szCs w:val="20"/>
        </w:rPr>
      </w:pPr>
      <w:r w:rsidRPr="00BA2874">
        <w:rPr>
          <w:rFonts w:eastAsia="Calibri" w:cs="Arial"/>
          <w:sz w:val="20"/>
          <w:szCs w:val="20"/>
        </w:rPr>
        <w:t>sseiple@nisource.com</w:t>
      </w:r>
    </w:p>
    <w:p w14:paraId="089AC299" w14:textId="77777777" w:rsidR="00E0550C" w:rsidRPr="004F480D" w:rsidRDefault="00E0550C" w:rsidP="00E0550C">
      <w:pPr>
        <w:rPr>
          <w:rFonts w:eastAsia="Calibri" w:cs="Arial"/>
          <w:sz w:val="20"/>
          <w:szCs w:val="20"/>
        </w:rPr>
      </w:pPr>
      <w:r>
        <w:rPr>
          <w:rFonts w:eastAsia="Calibri" w:cs="Arial"/>
          <w:sz w:val="20"/>
          <w:szCs w:val="20"/>
        </w:rPr>
        <w:t>josephclark@nisource.com</w:t>
      </w:r>
    </w:p>
    <w:p w14:paraId="34282014" w14:textId="77777777" w:rsidR="00E0550C" w:rsidRDefault="00E0550C" w:rsidP="00E0550C">
      <w:pPr>
        <w:rPr>
          <w:rFonts w:eastAsia="Calibri" w:cs="Arial"/>
          <w:sz w:val="20"/>
          <w:szCs w:val="20"/>
        </w:rPr>
      </w:pPr>
    </w:p>
    <w:p w14:paraId="02637776" w14:textId="77777777" w:rsidR="00E0550C" w:rsidRDefault="00E0550C" w:rsidP="00E0550C">
      <w:pPr>
        <w:rPr>
          <w:rFonts w:eastAsia="Calibri" w:cs="Arial"/>
          <w:b/>
          <w:smallCaps/>
          <w:sz w:val="20"/>
          <w:szCs w:val="20"/>
        </w:rPr>
      </w:pPr>
      <w:r w:rsidRPr="00BA2874">
        <w:rPr>
          <w:rFonts w:eastAsia="Calibri" w:cs="Arial"/>
          <w:b/>
          <w:smallCaps/>
          <w:sz w:val="20"/>
          <w:szCs w:val="20"/>
        </w:rPr>
        <w:t>Counsel for Columbia Gas of Ohio, Inc.</w:t>
      </w:r>
    </w:p>
    <w:p w14:paraId="3CEA9553" w14:textId="77777777" w:rsidR="00E0550C" w:rsidRDefault="00E0550C" w:rsidP="00E0550C">
      <w:pPr>
        <w:rPr>
          <w:rFonts w:eastAsia="Calibri" w:cs="Arial"/>
          <w:b/>
          <w:smallCaps/>
          <w:sz w:val="20"/>
          <w:szCs w:val="20"/>
        </w:rPr>
      </w:pPr>
    </w:p>
    <w:p w14:paraId="0E6F787C" w14:textId="77777777" w:rsidR="00E0550C" w:rsidRPr="001728C2" w:rsidRDefault="00E0550C" w:rsidP="00E0550C">
      <w:pPr>
        <w:rPr>
          <w:rFonts w:ascii="Arial Bold" w:eastAsia="Calibri" w:hAnsi="Arial Bold" w:cs="Arial"/>
          <w:b/>
          <w:sz w:val="20"/>
          <w:szCs w:val="20"/>
        </w:rPr>
      </w:pPr>
      <w:r w:rsidRPr="001728C2">
        <w:rPr>
          <w:rFonts w:ascii="Arial Bold" w:eastAsia="Calibri" w:hAnsi="Arial Bold" w:cs="Arial"/>
          <w:b/>
          <w:sz w:val="20"/>
          <w:szCs w:val="20"/>
        </w:rPr>
        <w:t>John Finnigan</w:t>
      </w:r>
    </w:p>
    <w:p w14:paraId="656DE3AB"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6735 Hidden Hills Drive</w:t>
      </w:r>
    </w:p>
    <w:p w14:paraId="43C400EC"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Cincinnati, Ohio 45230</w:t>
      </w:r>
    </w:p>
    <w:p w14:paraId="5164237E"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jfinnigan@edf.org</w:t>
      </w:r>
    </w:p>
    <w:p w14:paraId="09B276BD" w14:textId="77777777" w:rsidR="00E0550C" w:rsidRDefault="00E0550C" w:rsidP="00E0550C">
      <w:pPr>
        <w:rPr>
          <w:rFonts w:eastAsia="Calibri" w:cs="Arial"/>
          <w:b/>
          <w:smallCaps/>
          <w:sz w:val="20"/>
          <w:szCs w:val="20"/>
        </w:rPr>
      </w:pPr>
    </w:p>
    <w:p w14:paraId="1E81DB99" w14:textId="77777777" w:rsidR="00E0550C" w:rsidRDefault="00E0550C" w:rsidP="00E0550C">
      <w:pPr>
        <w:rPr>
          <w:rFonts w:eastAsia="Calibri" w:cs="Arial"/>
          <w:b/>
          <w:smallCaps/>
          <w:sz w:val="20"/>
          <w:szCs w:val="20"/>
        </w:rPr>
      </w:pPr>
      <w:r>
        <w:rPr>
          <w:rFonts w:eastAsia="Calibri" w:cs="Arial"/>
          <w:b/>
          <w:smallCaps/>
          <w:sz w:val="20"/>
          <w:szCs w:val="20"/>
        </w:rPr>
        <w:t>Counsel for Environmental defense Fund</w:t>
      </w:r>
    </w:p>
    <w:p w14:paraId="76D23320" w14:textId="77777777" w:rsidR="00E0550C" w:rsidRDefault="00E0550C" w:rsidP="00E0550C">
      <w:pPr>
        <w:rPr>
          <w:rFonts w:eastAsia="Calibri" w:cs="Arial"/>
          <w:b/>
          <w:smallCaps/>
          <w:sz w:val="20"/>
          <w:szCs w:val="20"/>
        </w:rPr>
      </w:pPr>
    </w:p>
    <w:p w14:paraId="79005BD1" w14:textId="77777777" w:rsidR="00E0550C" w:rsidRPr="001728C2" w:rsidRDefault="00E0550C" w:rsidP="00E0550C">
      <w:pPr>
        <w:rPr>
          <w:rFonts w:ascii="Arial Bold" w:eastAsia="Calibri" w:hAnsi="Arial Bold" w:cs="Arial"/>
          <w:b/>
          <w:sz w:val="20"/>
          <w:szCs w:val="20"/>
        </w:rPr>
      </w:pPr>
      <w:r w:rsidRPr="001728C2">
        <w:rPr>
          <w:rFonts w:ascii="Arial Bold" w:eastAsia="Calibri" w:hAnsi="Arial Bold" w:cs="Arial"/>
          <w:b/>
          <w:sz w:val="20"/>
          <w:szCs w:val="20"/>
        </w:rPr>
        <w:t>Madeline Fleisher</w:t>
      </w:r>
    </w:p>
    <w:p w14:paraId="1DCF513F"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21 W. Broad Street, 8</w:t>
      </w:r>
      <w:r w:rsidRPr="001728C2">
        <w:rPr>
          <w:rFonts w:ascii="Arial Bold" w:eastAsia="Calibri" w:hAnsi="Arial Bold" w:cs="Arial"/>
          <w:sz w:val="20"/>
          <w:szCs w:val="20"/>
          <w:vertAlign w:val="superscript"/>
        </w:rPr>
        <w:t>th</w:t>
      </w:r>
      <w:r w:rsidRPr="001728C2">
        <w:rPr>
          <w:rFonts w:ascii="Arial Bold" w:eastAsia="Calibri" w:hAnsi="Arial Bold" w:cs="Arial"/>
          <w:sz w:val="20"/>
          <w:szCs w:val="20"/>
        </w:rPr>
        <w:t xml:space="preserve"> Floor</w:t>
      </w:r>
    </w:p>
    <w:p w14:paraId="356C9C27"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Columbus, OH 43215</w:t>
      </w:r>
    </w:p>
    <w:p w14:paraId="22AF5BD6" w14:textId="77777777" w:rsidR="00E0550C" w:rsidRPr="001728C2" w:rsidRDefault="00E0550C" w:rsidP="00E0550C">
      <w:pPr>
        <w:rPr>
          <w:rFonts w:ascii="Arial Bold" w:eastAsia="Calibri" w:hAnsi="Arial Bold" w:cs="Arial"/>
          <w:sz w:val="20"/>
          <w:szCs w:val="20"/>
        </w:rPr>
      </w:pPr>
      <w:r w:rsidRPr="001728C2">
        <w:rPr>
          <w:rFonts w:ascii="Arial Bold" w:eastAsia="Calibri" w:hAnsi="Arial Bold" w:cs="Arial"/>
          <w:sz w:val="20"/>
          <w:szCs w:val="20"/>
        </w:rPr>
        <w:t>mfleisher@elpc.org</w:t>
      </w:r>
    </w:p>
    <w:p w14:paraId="3C62E826" w14:textId="77777777" w:rsidR="00E0550C" w:rsidRDefault="00E0550C" w:rsidP="00E0550C">
      <w:pPr>
        <w:rPr>
          <w:rFonts w:eastAsia="Calibri" w:cs="Arial"/>
          <w:b/>
          <w:smallCaps/>
          <w:sz w:val="20"/>
          <w:szCs w:val="20"/>
        </w:rPr>
      </w:pPr>
    </w:p>
    <w:p w14:paraId="3970D79E" w14:textId="77777777" w:rsidR="00E0550C" w:rsidRDefault="00E0550C" w:rsidP="00E0550C">
      <w:pPr>
        <w:rPr>
          <w:rFonts w:eastAsia="Calibri" w:cs="Arial"/>
          <w:b/>
          <w:smallCaps/>
          <w:sz w:val="20"/>
          <w:szCs w:val="20"/>
        </w:rPr>
      </w:pPr>
      <w:r>
        <w:rPr>
          <w:rFonts w:eastAsia="Calibri" w:cs="Arial"/>
          <w:b/>
          <w:smallCaps/>
          <w:sz w:val="20"/>
          <w:szCs w:val="20"/>
        </w:rPr>
        <w:t xml:space="preserve">Counsel for Environmental </w:t>
      </w:r>
      <w:r>
        <w:rPr>
          <w:rFonts w:eastAsia="Calibri" w:cs="Arial"/>
          <w:b/>
          <w:smallCaps/>
          <w:sz w:val="20"/>
          <w:szCs w:val="20"/>
        </w:rPr>
        <w:br/>
        <w:t>Law &amp; Policy Center</w:t>
      </w:r>
    </w:p>
    <w:p w14:paraId="390C8BC2" w14:textId="77777777" w:rsidR="00E0550C" w:rsidRDefault="00E0550C" w:rsidP="00E0550C">
      <w:pPr>
        <w:rPr>
          <w:rFonts w:eastAsia="Calibri" w:cs="Arial"/>
          <w:b/>
          <w:smallCaps/>
          <w:sz w:val="20"/>
          <w:szCs w:val="20"/>
        </w:rPr>
      </w:pPr>
    </w:p>
    <w:p w14:paraId="315A76A2" w14:textId="77777777" w:rsidR="00E0550C" w:rsidRPr="00BF44FF" w:rsidRDefault="00E0550C" w:rsidP="00E0550C">
      <w:pPr>
        <w:rPr>
          <w:rFonts w:eastAsia="Calibri" w:cs="Arial"/>
          <w:b/>
          <w:sz w:val="20"/>
          <w:szCs w:val="20"/>
        </w:rPr>
      </w:pPr>
      <w:r w:rsidRPr="00BF44FF">
        <w:rPr>
          <w:rFonts w:eastAsia="Calibri" w:cs="Arial"/>
          <w:b/>
          <w:sz w:val="20"/>
          <w:szCs w:val="20"/>
        </w:rPr>
        <w:t>Daniel Sawmiller</w:t>
      </w:r>
    </w:p>
    <w:p w14:paraId="7685E091" w14:textId="77777777" w:rsidR="00E0550C" w:rsidRPr="00BF44FF" w:rsidRDefault="00E0550C" w:rsidP="00E0550C">
      <w:pPr>
        <w:rPr>
          <w:rFonts w:eastAsia="Calibri" w:cs="Arial"/>
          <w:sz w:val="20"/>
          <w:szCs w:val="20"/>
        </w:rPr>
      </w:pPr>
      <w:r w:rsidRPr="00BF44FF">
        <w:rPr>
          <w:rFonts w:eastAsia="Calibri" w:cs="Arial"/>
          <w:sz w:val="20"/>
          <w:szCs w:val="20"/>
        </w:rPr>
        <w:t xml:space="preserve">2432 </w:t>
      </w:r>
      <w:proofErr w:type="spellStart"/>
      <w:r w:rsidRPr="00BF44FF">
        <w:rPr>
          <w:rFonts w:eastAsia="Calibri" w:cs="Arial"/>
          <w:sz w:val="20"/>
          <w:szCs w:val="20"/>
        </w:rPr>
        <w:t>Edgevale</w:t>
      </w:r>
      <w:proofErr w:type="spellEnd"/>
      <w:r w:rsidRPr="00BF44FF">
        <w:rPr>
          <w:rFonts w:eastAsia="Calibri" w:cs="Arial"/>
          <w:sz w:val="20"/>
          <w:szCs w:val="20"/>
        </w:rPr>
        <w:t xml:space="preserve"> Road</w:t>
      </w:r>
    </w:p>
    <w:p w14:paraId="090511F7" w14:textId="77777777" w:rsidR="00E0550C" w:rsidRPr="00BF44FF" w:rsidRDefault="00E0550C" w:rsidP="00E0550C">
      <w:pPr>
        <w:rPr>
          <w:rFonts w:eastAsia="Calibri" w:cs="Arial"/>
          <w:sz w:val="20"/>
          <w:szCs w:val="20"/>
        </w:rPr>
      </w:pPr>
      <w:r w:rsidRPr="00BF44FF">
        <w:rPr>
          <w:rFonts w:eastAsia="Calibri" w:cs="Arial"/>
          <w:sz w:val="20"/>
          <w:szCs w:val="20"/>
        </w:rPr>
        <w:t>Columbus, OH 43221</w:t>
      </w:r>
    </w:p>
    <w:p w14:paraId="228EEACD" w14:textId="77777777" w:rsidR="00E0550C" w:rsidRPr="00BF44FF" w:rsidRDefault="00E0550C" w:rsidP="00E0550C">
      <w:pPr>
        <w:rPr>
          <w:rFonts w:eastAsia="Calibri" w:cs="Arial"/>
          <w:sz w:val="20"/>
          <w:szCs w:val="20"/>
        </w:rPr>
      </w:pPr>
      <w:r w:rsidRPr="00BF44FF">
        <w:rPr>
          <w:rFonts w:eastAsia="Calibri" w:cs="Arial"/>
          <w:sz w:val="20"/>
          <w:szCs w:val="20"/>
        </w:rPr>
        <w:t>dsawmiller@nrdc.org</w:t>
      </w:r>
    </w:p>
    <w:p w14:paraId="5FD28B8B" w14:textId="77777777" w:rsidR="00E0550C" w:rsidRDefault="00E0550C" w:rsidP="00E0550C">
      <w:pPr>
        <w:rPr>
          <w:rFonts w:eastAsia="Calibri" w:cs="Arial"/>
          <w:b/>
          <w:smallCaps/>
          <w:sz w:val="20"/>
          <w:szCs w:val="20"/>
        </w:rPr>
      </w:pPr>
    </w:p>
    <w:p w14:paraId="2B4041DE" w14:textId="77777777" w:rsidR="00E0550C" w:rsidRDefault="00E0550C" w:rsidP="00E0550C">
      <w:pPr>
        <w:rPr>
          <w:rFonts w:eastAsia="Calibri" w:cs="Arial"/>
          <w:b/>
          <w:smallCaps/>
          <w:sz w:val="20"/>
          <w:szCs w:val="20"/>
        </w:rPr>
      </w:pPr>
      <w:r>
        <w:rPr>
          <w:rFonts w:eastAsia="Calibri" w:cs="Arial"/>
          <w:b/>
          <w:smallCaps/>
          <w:sz w:val="20"/>
          <w:szCs w:val="20"/>
        </w:rPr>
        <w:t>Ohio Energy Policy Director for Natural Resources Defense Council</w:t>
      </w:r>
    </w:p>
    <w:p w14:paraId="5B2BAA7A" w14:textId="77777777" w:rsidR="00E0550C" w:rsidRDefault="00E0550C" w:rsidP="00E0550C">
      <w:pPr>
        <w:rPr>
          <w:rFonts w:eastAsia="Calibri" w:cs="Arial"/>
          <w:b/>
          <w:smallCaps/>
          <w:sz w:val="20"/>
          <w:szCs w:val="20"/>
        </w:rPr>
      </w:pPr>
    </w:p>
    <w:p w14:paraId="3537F971" w14:textId="77777777" w:rsidR="00E0550C" w:rsidRPr="00BF44FF" w:rsidRDefault="00E0550C" w:rsidP="00E0550C">
      <w:pPr>
        <w:rPr>
          <w:rFonts w:ascii="Arial Bold" w:eastAsia="Calibri" w:hAnsi="Arial Bold" w:cs="Arial"/>
          <w:b/>
          <w:sz w:val="20"/>
          <w:szCs w:val="20"/>
        </w:rPr>
      </w:pPr>
      <w:r w:rsidRPr="00BF44FF">
        <w:rPr>
          <w:rFonts w:ascii="Arial Bold" w:eastAsia="Calibri" w:hAnsi="Arial Bold" w:cs="Arial"/>
          <w:b/>
          <w:sz w:val="20"/>
          <w:szCs w:val="20"/>
        </w:rPr>
        <w:t xml:space="preserve">Neil </w:t>
      </w:r>
      <w:r>
        <w:rPr>
          <w:rFonts w:ascii="Arial Bold" w:eastAsia="Calibri" w:hAnsi="Arial Bold" w:cs="Arial"/>
          <w:b/>
          <w:sz w:val="20"/>
          <w:szCs w:val="20"/>
        </w:rPr>
        <w:t>W</w:t>
      </w:r>
      <w:r w:rsidRPr="00BF44FF">
        <w:rPr>
          <w:rFonts w:ascii="Arial Bold" w:eastAsia="Calibri" w:hAnsi="Arial Bold" w:cs="Arial"/>
          <w:b/>
          <w:sz w:val="20"/>
          <w:szCs w:val="20"/>
        </w:rPr>
        <w:t>aggoner</w:t>
      </w:r>
    </w:p>
    <w:p w14:paraId="3F6925D7" w14:textId="77777777" w:rsidR="00E0550C" w:rsidRPr="00BF44FF" w:rsidRDefault="00E0550C" w:rsidP="00E0550C">
      <w:pPr>
        <w:rPr>
          <w:rFonts w:ascii="Arial Bold" w:eastAsia="Calibri" w:hAnsi="Arial Bold" w:cs="Arial"/>
          <w:sz w:val="20"/>
          <w:szCs w:val="20"/>
        </w:rPr>
      </w:pPr>
      <w:r w:rsidRPr="00BF44FF">
        <w:rPr>
          <w:rFonts w:ascii="Arial Bold" w:eastAsia="Calibri" w:hAnsi="Arial Bold" w:cs="Arial"/>
          <w:sz w:val="20"/>
          <w:szCs w:val="20"/>
        </w:rPr>
        <w:t>131 N. High Street, Suite 605</w:t>
      </w:r>
    </w:p>
    <w:p w14:paraId="3FDD6F04" w14:textId="77777777" w:rsidR="00E0550C" w:rsidRPr="00BF44FF" w:rsidRDefault="00E0550C" w:rsidP="00E0550C">
      <w:pPr>
        <w:rPr>
          <w:rFonts w:ascii="Arial Bold" w:eastAsia="Calibri" w:hAnsi="Arial Bold" w:cs="Arial"/>
          <w:sz w:val="20"/>
          <w:szCs w:val="20"/>
        </w:rPr>
      </w:pPr>
      <w:r w:rsidRPr="00BF44FF">
        <w:rPr>
          <w:rFonts w:ascii="Arial Bold" w:eastAsia="Calibri" w:hAnsi="Arial Bold" w:cs="Arial"/>
          <w:sz w:val="20"/>
          <w:szCs w:val="20"/>
        </w:rPr>
        <w:t>Columbus, OH 43215</w:t>
      </w:r>
    </w:p>
    <w:p w14:paraId="2CF8B1FD" w14:textId="77777777" w:rsidR="00E0550C" w:rsidRPr="00BF44FF" w:rsidRDefault="00E0550C" w:rsidP="00E0550C">
      <w:pPr>
        <w:rPr>
          <w:rFonts w:ascii="Arial Bold" w:eastAsia="Calibri" w:hAnsi="Arial Bold" w:cs="Arial"/>
          <w:sz w:val="20"/>
          <w:szCs w:val="20"/>
        </w:rPr>
      </w:pPr>
      <w:r w:rsidRPr="00BF44FF">
        <w:rPr>
          <w:rFonts w:ascii="Arial Bold" w:eastAsia="Calibri" w:hAnsi="Arial Bold" w:cs="Arial"/>
          <w:sz w:val="20"/>
          <w:szCs w:val="20"/>
        </w:rPr>
        <w:t>neil.waggoner@sierraclub.org</w:t>
      </w:r>
    </w:p>
    <w:p w14:paraId="5BD0FFF7" w14:textId="77777777" w:rsidR="00E0550C" w:rsidRDefault="00E0550C" w:rsidP="00E0550C">
      <w:pPr>
        <w:rPr>
          <w:rFonts w:eastAsia="Calibri" w:cs="Arial"/>
          <w:b/>
          <w:smallCaps/>
          <w:sz w:val="20"/>
          <w:szCs w:val="20"/>
        </w:rPr>
      </w:pPr>
    </w:p>
    <w:p w14:paraId="7BF88463" w14:textId="77777777" w:rsidR="00E0550C" w:rsidRDefault="00E0550C" w:rsidP="00E0550C">
      <w:pPr>
        <w:rPr>
          <w:rFonts w:eastAsia="Calibri" w:cs="Arial"/>
          <w:b/>
          <w:smallCaps/>
          <w:sz w:val="20"/>
          <w:szCs w:val="20"/>
        </w:rPr>
      </w:pPr>
      <w:r>
        <w:rPr>
          <w:rFonts w:eastAsia="Calibri" w:cs="Arial"/>
          <w:b/>
          <w:smallCaps/>
          <w:sz w:val="20"/>
          <w:szCs w:val="20"/>
        </w:rPr>
        <w:t>Ohio Beyond Coal Campaign Representative, Sierra Club</w:t>
      </w:r>
    </w:p>
    <w:p w14:paraId="07FBCC1E" w14:textId="77777777" w:rsidR="00E0550C" w:rsidRDefault="00E0550C" w:rsidP="00E0550C">
      <w:pPr>
        <w:rPr>
          <w:rFonts w:eastAsia="Calibri" w:cs="Arial"/>
          <w:b/>
          <w:smallCaps/>
          <w:sz w:val="20"/>
          <w:szCs w:val="20"/>
        </w:rPr>
      </w:pPr>
    </w:p>
    <w:p w14:paraId="61D26201" w14:textId="77777777" w:rsidR="00E0550C" w:rsidRPr="00640DF0" w:rsidRDefault="00E0550C" w:rsidP="00E0550C">
      <w:pPr>
        <w:rPr>
          <w:rFonts w:ascii="Arial Bold" w:eastAsia="Calibri" w:hAnsi="Arial Bold" w:cs="Arial"/>
          <w:b/>
          <w:sz w:val="20"/>
          <w:szCs w:val="20"/>
        </w:rPr>
      </w:pPr>
      <w:r w:rsidRPr="00640DF0">
        <w:rPr>
          <w:rFonts w:ascii="Arial Bold" w:eastAsia="Calibri" w:hAnsi="Arial Bold" w:cs="Arial"/>
          <w:b/>
          <w:sz w:val="20"/>
          <w:szCs w:val="20"/>
        </w:rPr>
        <w:t>Michael L. Kurtz</w:t>
      </w:r>
    </w:p>
    <w:p w14:paraId="5F06A8A9" w14:textId="77777777" w:rsidR="00E0550C" w:rsidRPr="00640DF0" w:rsidRDefault="00E0550C" w:rsidP="00E0550C">
      <w:pPr>
        <w:rPr>
          <w:rFonts w:ascii="Arial Bold" w:eastAsia="Calibri" w:hAnsi="Arial Bold" w:cs="Arial"/>
          <w:b/>
          <w:sz w:val="20"/>
          <w:szCs w:val="20"/>
        </w:rPr>
      </w:pPr>
      <w:r w:rsidRPr="00640DF0">
        <w:rPr>
          <w:rFonts w:ascii="Arial Bold" w:eastAsia="Calibri" w:hAnsi="Arial Bold" w:cs="Arial"/>
          <w:b/>
          <w:sz w:val="20"/>
          <w:szCs w:val="20"/>
        </w:rPr>
        <w:t>Kurt Boehm</w:t>
      </w:r>
    </w:p>
    <w:p w14:paraId="1D81559B" w14:textId="77777777" w:rsidR="00E0550C" w:rsidRPr="00640DF0" w:rsidRDefault="00E0550C" w:rsidP="00E0550C">
      <w:pPr>
        <w:rPr>
          <w:rFonts w:ascii="Arial Bold" w:eastAsia="Calibri" w:hAnsi="Arial Bold" w:cs="Arial"/>
          <w:b/>
          <w:sz w:val="20"/>
          <w:szCs w:val="20"/>
        </w:rPr>
      </w:pPr>
      <w:r w:rsidRPr="00640DF0">
        <w:rPr>
          <w:rFonts w:ascii="Arial Bold" w:eastAsia="Calibri" w:hAnsi="Arial Bold" w:cs="Arial"/>
          <w:b/>
          <w:sz w:val="20"/>
          <w:szCs w:val="20"/>
        </w:rPr>
        <w:t>Jody Kyler Cohn</w:t>
      </w:r>
    </w:p>
    <w:p w14:paraId="05BDD89B" w14:textId="77777777" w:rsidR="00E0550C" w:rsidRPr="00640DF0" w:rsidRDefault="00E0550C" w:rsidP="00E0550C">
      <w:pPr>
        <w:rPr>
          <w:rFonts w:eastAsia="Calibri" w:cs="Arial"/>
          <w:smallCaps/>
          <w:sz w:val="20"/>
          <w:szCs w:val="20"/>
        </w:rPr>
      </w:pPr>
      <w:r w:rsidRPr="00640DF0">
        <w:rPr>
          <w:rFonts w:eastAsia="Calibri" w:cs="Arial"/>
          <w:smallCaps/>
          <w:sz w:val="20"/>
          <w:szCs w:val="20"/>
        </w:rPr>
        <w:t>Boehm, Kurtz &amp; Lowry</w:t>
      </w:r>
    </w:p>
    <w:p w14:paraId="5F2B55C0" w14:textId="77777777" w:rsidR="00E0550C" w:rsidRPr="00640DF0" w:rsidRDefault="00E0550C" w:rsidP="00E0550C">
      <w:pPr>
        <w:rPr>
          <w:rFonts w:ascii="Arial Bold" w:eastAsia="Calibri" w:hAnsi="Arial Bold" w:cs="Arial"/>
          <w:sz w:val="20"/>
          <w:szCs w:val="20"/>
        </w:rPr>
      </w:pPr>
      <w:r w:rsidRPr="00640DF0">
        <w:rPr>
          <w:rFonts w:ascii="Arial Bold" w:eastAsia="Calibri" w:hAnsi="Arial Bold" w:cs="Arial"/>
          <w:sz w:val="20"/>
          <w:szCs w:val="20"/>
        </w:rPr>
        <w:t>36 East Seventh Street, Suite 1510</w:t>
      </w:r>
    </w:p>
    <w:p w14:paraId="1C857D5F" w14:textId="77777777" w:rsidR="00E0550C" w:rsidRPr="00640DF0" w:rsidRDefault="00E0550C" w:rsidP="00E0550C">
      <w:pPr>
        <w:rPr>
          <w:rFonts w:ascii="Arial Bold" w:eastAsia="Calibri" w:hAnsi="Arial Bold" w:cs="Arial"/>
          <w:sz w:val="20"/>
          <w:szCs w:val="20"/>
        </w:rPr>
      </w:pPr>
      <w:r w:rsidRPr="00640DF0">
        <w:rPr>
          <w:rFonts w:ascii="Arial Bold" w:eastAsia="Calibri" w:hAnsi="Arial Bold" w:cs="Arial"/>
          <w:sz w:val="20"/>
          <w:szCs w:val="20"/>
        </w:rPr>
        <w:t>Cincinnati, OH 45202</w:t>
      </w:r>
    </w:p>
    <w:p w14:paraId="48275817" w14:textId="77777777" w:rsidR="00E0550C" w:rsidRPr="00640DF0" w:rsidRDefault="00E0550C" w:rsidP="00E0550C">
      <w:pPr>
        <w:rPr>
          <w:rFonts w:ascii="Arial Bold" w:eastAsia="Calibri" w:hAnsi="Arial Bold" w:cs="Arial"/>
          <w:sz w:val="20"/>
          <w:szCs w:val="20"/>
        </w:rPr>
      </w:pPr>
      <w:r w:rsidRPr="00640DF0">
        <w:rPr>
          <w:rFonts w:ascii="Arial Bold" w:eastAsia="Calibri" w:hAnsi="Arial Bold" w:cs="Arial"/>
          <w:sz w:val="20"/>
          <w:szCs w:val="20"/>
        </w:rPr>
        <w:t>mkurtz@bkllawfirm.com</w:t>
      </w:r>
    </w:p>
    <w:p w14:paraId="286B3523" w14:textId="77777777" w:rsidR="00E0550C" w:rsidRPr="00640DF0" w:rsidRDefault="00E0550C" w:rsidP="00E0550C">
      <w:pPr>
        <w:rPr>
          <w:rFonts w:ascii="Arial Bold" w:eastAsia="Calibri" w:hAnsi="Arial Bold" w:cs="Arial"/>
          <w:sz w:val="20"/>
          <w:szCs w:val="20"/>
        </w:rPr>
      </w:pPr>
      <w:r w:rsidRPr="00640DF0">
        <w:rPr>
          <w:rFonts w:ascii="Arial Bold" w:eastAsia="Calibri" w:hAnsi="Arial Bold" w:cs="Arial"/>
          <w:sz w:val="20"/>
          <w:szCs w:val="20"/>
        </w:rPr>
        <w:t>kboehm@bkllawfirm.com</w:t>
      </w:r>
    </w:p>
    <w:p w14:paraId="33E23DD5" w14:textId="77777777" w:rsidR="00E0550C" w:rsidRPr="00640DF0" w:rsidRDefault="00E0550C" w:rsidP="00E0550C">
      <w:pPr>
        <w:rPr>
          <w:rFonts w:ascii="Arial Bold" w:eastAsia="Calibri" w:hAnsi="Arial Bold" w:cs="Arial"/>
          <w:sz w:val="20"/>
          <w:szCs w:val="20"/>
        </w:rPr>
      </w:pPr>
      <w:r w:rsidRPr="00640DF0">
        <w:rPr>
          <w:rFonts w:ascii="Arial Bold" w:eastAsia="Calibri" w:hAnsi="Arial Bold" w:cs="Arial"/>
          <w:sz w:val="20"/>
          <w:szCs w:val="20"/>
        </w:rPr>
        <w:t>jkylercohn@bkllawfirm.com</w:t>
      </w:r>
    </w:p>
    <w:p w14:paraId="096ADE1D" w14:textId="77777777" w:rsidR="00E0550C" w:rsidRDefault="00E0550C" w:rsidP="00E0550C">
      <w:pPr>
        <w:rPr>
          <w:rFonts w:eastAsia="Calibri" w:cs="Arial"/>
          <w:b/>
          <w:smallCaps/>
          <w:sz w:val="20"/>
          <w:szCs w:val="20"/>
        </w:rPr>
      </w:pPr>
    </w:p>
    <w:p w14:paraId="63D7A7D2" w14:textId="77777777" w:rsidR="00E0550C" w:rsidRPr="00BA2874" w:rsidRDefault="00E0550C" w:rsidP="00E0550C">
      <w:pPr>
        <w:rPr>
          <w:rFonts w:eastAsia="Calibri" w:cs="Arial"/>
          <w:b/>
          <w:smallCaps/>
          <w:sz w:val="20"/>
          <w:szCs w:val="20"/>
        </w:rPr>
      </w:pPr>
      <w:r>
        <w:rPr>
          <w:rFonts w:eastAsia="Calibri" w:cs="Arial"/>
          <w:b/>
          <w:smallCaps/>
          <w:sz w:val="20"/>
          <w:szCs w:val="20"/>
        </w:rPr>
        <w:t>Counsel for The Ohio Energy Group</w:t>
      </w:r>
    </w:p>
    <w:p w14:paraId="634E0059" w14:textId="77777777" w:rsidR="00E0550C" w:rsidRDefault="00E0550C" w:rsidP="00E0550C">
      <w:pPr>
        <w:rPr>
          <w:rFonts w:eastAsia="Calibri" w:cs="Arial"/>
          <w:sz w:val="20"/>
          <w:szCs w:val="20"/>
        </w:rPr>
      </w:pPr>
    </w:p>
    <w:p w14:paraId="42704719" w14:textId="77777777" w:rsidR="00E0550C" w:rsidRDefault="00E0550C" w:rsidP="00E0550C">
      <w:pPr>
        <w:rPr>
          <w:rFonts w:eastAsia="Calibri" w:cs="Arial"/>
          <w:sz w:val="20"/>
          <w:szCs w:val="20"/>
        </w:rPr>
      </w:pPr>
    </w:p>
    <w:p w14:paraId="68647215" w14:textId="77777777" w:rsidR="00E0550C" w:rsidRDefault="00E0550C" w:rsidP="00E0550C">
      <w:pPr>
        <w:rPr>
          <w:rFonts w:eastAsia="Calibri" w:cs="Arial"/>
          <w:sz w:val="20"/>
          <w:szCs w:val="20"/>
        </w:rPr>
      </w:pPr>
    </w:p>
    <w:p w14:paraId="70796DF6" w14:textId="77777777" w:rsidR="00E0550C" w:rsidRDefault="00E0550C" w:rsidP="00E0550C">
      <w:pPr>
        <w:rPr>
          <w:rFonts w:ascii="Arial Bold" w:eastAsia="Calibri" w:hAnsi="Arial Bold" w:cs="Arial"/>
          <w:sz w:val="20"/>
          <w:szCs w:val="20"/>
        </w:rPr>
      </w:pPr>
      <w:r w:rsidRPr="003F11B6">
        <w:rPr>
          <w:rFonts w:ascii="Arial Bold" w:eastAsia="Calibri" w:hAnsi="Arial Bold" w:cs="Arial"/>
          <w:b/>
          <w:sz w:val="20"/>
          <w:szCs w:val="20"/>
        </w:rPr>
        <w:lastRenderedPageBreak/>
        <w:t>Thomas R. Hays</w:t>
      </w:r>
      <w:r>
        <w:rPr>
          <w:rFonts w:ascii="Arial Bold" w:eastAsia="Calibri" w:hAnsi="Arial Bold" w:cs="Arial"/>
          <w:sz w:val="20"/>
          <w:szCs w:val="20"/>
        </w:rPr>
        <w:t xml:space="preserve"> (0054062)</w:t>
      </w:r>
    </w:p>
    <w:p w14:paraId="7D7C6A81" w14:textId="77777777" w:rsidR="00E0550C" w:rsidRPr="003F11B6" w:rsidRDefault="00E0550C" w:rsidP="00E0550C">
      <w:pPr>
        <w:rPr>
          <w:rFonts w:ascii="Arial Bold" w:eastAsia="Calibri" w:hAnsi="Arial Bold" w:cs="Arial"/>
          <w:smallCaps/>
          <w:sz w:val="20"/>
          <w:szCs w:val="20"/>
        </w:rPr>
      </w:pPr>
      <w:r w:rsidRPr="003F11B6">
        <w:rPr>
          <w:rFonts w:ascii="Arial Bold" w:eastAsia="Calibri" w:hAnsi="Arial Bold" w:cs="Arial"/>
          <w:smallCaps/>
          <w:sz w:val="20"/>
          <w:szCs w:val="20"/>
        </w:rPr>
        <w:t>Counsel for Lucas County and NOAC</w:t>
      </w:r>
    </w:p>
    <w:p w14:paraId="290EC5AF" w14:textId="77777777" w:rsidR="00E0550C" w:rsidRDefault="00E0550C" w:rsidP="00E0550C">
      <w:pPr>
        <w:rPr>
          <w:rFonts w:ascii="Arial Bold" w:eastAsia="Calibri" w:hAnsi="Arial Bold" w:cs="Arial"/>
          <w:sz w:val="20"/>
          <w:szCs w:val="20"/>
        </w:rPr>
      </w:pPr>
      <w:r>
        <w:rPr>
          <w:rFonts w:ascii="Arial Bold" w:eastAsia="Calibri" w:hAnsi="Arial Bold" w:cs="Arial"/>
          <w:sz w:val="20"/>
          <w:szCs w:val="20"/>
        </w:rPr>
        <w:t>8355 Island Lane</w:t>
      </w:r>
    </w:p>
    <w:p w14:paraId="36C296ED" w14:textId="77777777" w:rsidR="00E0550C" w:rsidRDefault="00E0550C" w:rsidP="00E0550C">
      <w:pPr>
        <w:rPr>
          <w:rFonts w:ascii="Arial Bold" w:eastAsia="Calibri" w:hAnsi="Arial Bold" w:cs="Arial"/>
          <w:sz w:val="20"/>
          <w:szCs w:val="20"/>
        </w:rPr>
      </w:pPr>
      <w:proofErr w:type="spellStart"/>
      <w:r>
        <w:rPr>
          <w:rFonts w:ascii="Arial Bold" w:eastAsia="Calibri" w:hAnsi="Arial Bold" w:cs="Arial"/>
          <w:sz w:val="20"/>
          <w:szCs w:val="20"/>
        </w:rPr>
        <w:t>Maineville</w:t>
      </w:r>
      <w:proofErr w:type="spellEnd"/>
      <w:r>
        <w:rPr>
          <w:rFonts w:ascii="Arial Bold" w:eastAsia="Calibri" w:hAnsi="Arial Bold" w:cs="Arial"/>
          <w:sz w:val="20"/>
          <w:szCs w:val="20"/>
        </w:rPr>
        <w:t>, OH 45039</w:t>
      </w:r>
    </w:p>
    <w:p w14:paraId="6224DF75" w14:textId="77777777" w:rsidR="00E0550C" w:rsidRDefault="00E0550C" w:rsidP="00E0550C">
      <w:pPr>
        <w:rPr>
          <w:rFonts w:ascii="Arial Bold" w:eastAsia="Calibri" w:hAnsi="Arial Bold" w:cs="Arial"/>
          <w:sz w:val="20"/>
          <w:szCs w:val="20"/>
        </w:rPr>
      </w:pPr>
      <w:r w:rsidRPr="003F11B6">
        <w:rPr>
          <w:rFonts w:ascii="Arial Bold" w:eastAsia="Calibri" w:hAnsi="Arial Bold" w:cs="Arial"/>
          <w:sz w:val="20"/>
          <w:szCs w:val="20"/>
        </w:rPr>
        <w:t>trhayslaw@gmail.com</w:t>
      </w:r>
    </w:p>
    <w:p w14:paraId="3B9D71C8" w14:textId="77777777" w:rsidR="00E0550C" w:rsidRDefault="00E0550C" w:rsidP="00E0550C">
      <w:pPr>
        <w:rPr>
          <w:rFonts w:ascii="Arial Bold" w:eastAsia="Calibri" w:hAnsi="Arial Bold" w:cs="Arial"/>
          <w:sz w:val="20"/>
          <w:szCs w:val="20"/>
        </w:rPr>
      </w:pPr>
    </w:p>
    <w:p w14:paraId="2222DD2D" w14:textId="77777777" w:rsidR="00E0550C" w:rsidRDefault="00E0550C" w:rsidP="00E0550C">
      <w:pPr>
        <w:rPr>
          <w:rFonts w:ascii="Arial Bold" w:eastAsia="Calibri" w:hAnsi="Arial Bold" w:cs="Arial"/>
          <w:sz w:val="20"/>
          <w:szCs w:val="20"/>
        </w:rPr>
      </w:pPr>
      <w:r w:rsidRPr="003F11B6">
        <w:rPr>
          <w:rFonts w:ascii="Arial Bold" w:eastAsia="Calibri" w:hAnsi="Arial Bold" w:cs="Arial"/>
          <w:b/>
          <w:sz w:val="20"/>
          <w:szCs w:val="20"/>
        </w:rPr>
        <w:t xml:space="preserve">Leslie </w:t>
      </w:r>
      <w:proofErr w:type="spellStart"/>
      <w:r w:rsidRPr="003F11B6">
        <w:rPr>
          <w:rFonts w:ascii="Arial Bold" w:eastAsia="Calibri" w:hAnsi="Arial Bold" w:cs="Arial"/>
          <w:b/>
          <w:sz w:val="20"/>
          <w:szCs w:val="20"/>
        </w:rPr>
        <w:t>Kovacik</w:t>
      </w:r>
      <w:proofErr w:type="spellEnd"/>
      <w:r>
        <w:rPr>
          <w:rFonts w:ascii="Arial Bold" w:eastAsia="Calibri" w:hAnsi="Arial Bold" w:cs="Arial"/>
          <w:sz w:val="20"/>
          <w:szCs w:val="20"/>
        </w:rPr>
        <w:t xml:space="preserve"> (0070157)</w:t>
      </w:r>
    </w:p>
    <w:p w14:paraId="2E8BC0D2" w14:textId="77777777" w:rsidR="00E0550C" w:rsidRPr="003F11B6" w:rsidRDefault="00E0550C" w:rsidP="00E0550C">
      <w:pPr>
        <w:rPr>
          <w:rFonts w:ascii="Arial Bold" w:eastAsia="Calibri" w:hAnsi="Arial Bold" w:cs="Arial"/>
          <w:smallCaps/>
          <w:sz w:val="20"/>
          <w:szCs w:val="20"/>
        </w:rPr>
      </w:pPr>
      <w:r w:rsidRPr="003F11B6">
        <w:rPr>
          <w:rFonts w:ascii="Arial Bold" w:eastAsia="Calibri" w:hAnsi="Arial Bold" w:cs="Arial"/>
          <w:smallCaps/>
          <w:sz w:val="20"/>
          <w:szCs w:val="20"/>
        </w:rPr>
        <w:t>Counsel for the City of Toledo and NOAC</w:t>
      </w:r>
    </w:p>
    <w:p w14:paraId="4270F7FA" w14:textId="77777777" w:rsidR="00E0550C" w:rsidRDefault="00E0550C" w:rsidP="00E0550C">
      <w:pPr>
        <w:rPr>
          <w:rFonts w:ascii="Arial Bold" w:eastAsia="Calibri" w:hAnsi="Arial Bold" w:cs="Arial"/>
          <w:sz w:val="20"/>
          <w:szCs w:val="20"/>
        </w:rPr>
      </w:pPr>
      <w:r>
        <w:rPr>
          <w:rFonts w:ascii="Arial Bold" w:eastAsia="Calibri" w:hAnsi="Arial Bold" w:cs="Arial"/>
          <w:sz w:val="20"/>
          <w:szCs w:val="20"/>
        </w:rPr>
        <w:t>420 Madison Avenue, Fourth Floor</w:t>
      </w:r>
    </w:p>
    <w:p w14:paraId="02E61ACD" w14:textId="77777777" w:rsidR="00E0550C" w:rsidRDefault="00E0550C" w:rsidP="00E0550C">
      <w:pPr>
        <w:rPr>
          <w:rFonts w:ascii="Arial Bold" w:eastAsia="Calibri" w:hAnsi="Arial Bold" w:cs="Arial"/>
          <w:sz w:val="20"/>
          <w:szCs w:val="20"/>
        </w:rPr>
      </w:pPr>
      <w:r>
        <w:rPr>
          <w:rFonts w:ascii="Arial Bold" w:eastAsia="Calibri" w:hAnsi="Arial Bold" w:cs="Arial"/>
          <w:sz w:val="20"/>
          <w:szCs w:val="20"/>
        </w:rPr>
        <w:t>Toledo, OH 43604</w:t>
      </w:r>
    </w:p>
    <w:p w14:paraId="509EC9F1" w14:textId="77777777" w:rsidR="00E0550C" w:rsidRPr="003F11B6" w:rsidRDefault="00E0550C" w:rsidP="00E0550C">
      <w:pPr>
        <w:rPr>
          <w:rFonts w:ascii="Arial Bold" w:eastAsia="Calibri" w:hAnsi="Arial Bold" w:cs="Arial"/>
          <w:sz w:val="20"/>
          <w:szCs w:val="20"/>
        </w:rPr>
      </w:pPr>
      <w:r>
        <w:rPr>
          <w:rFonts w:ascii="Arial Bold" w:eastAsia="Calibri" w:hAnsi="Arial Bold" w:cs="Arial"/>
          <w:sz w:val="20"/>
          <w:szCs w:val="20"/>
        </w:rPr>
        <w:t>leslie.kovacik@toledo.oh.gov</w:t>
      </w:r>
    </w:p>
    <w:p w14:paraId="76B6077B" w14:textId="77777777" w:rsidR="00E0550C" w:rsidRDefault="00E0550C" w:rsidP="00E0550C">
      <w:pPr>
        <w:rPr>
          <w:rFonts w:ascii="Arial Bold" w:eastAsia="Calibri" w:hAnsi="Arial Bold" w:cs="Arial"/>
          <w:b/>
          <w:smallCaps/>
          <w:sz w:val="20"/>
          <w:szCs w:val="20"/>
        </w:rPr>
      </w:pPr>
    </w:p>
    <w:p w14:paraId="4049DDDD" w14:textId="77777777" w:rsidR="00E0550C" w:rsidRPr="00640DF0" w:rsidRDefault="00E0550C" w:rsidP="00E0550C">
      <w:pPr>
        <w:rPr>
          <w:rFonts w:ascii="Arial Bold" w:eastAsia="Calibri" w:hAnsi="Arial Bold" w:cs="Arial"/>
          <w:b/>
          <w:smallCaps/>
          <w:sz w:val="20"/>
          <w:szCs w:val="20"/>
        </w:rPr>
      </w:pPr>
      <w:r>
        <w:rPr>
          <w:rFonts w:ascii="Arial Bold" w:eastAsia="Calibri" w:hAnsi="Arial Bold" w:cs="Arial"/>
          <w:b/>
          <w:smallCaps/>
          <w:sz w:val="20"/>
          <w:szCs w:val="20"/>
        </w:rPr>
        <w:t xml:space="preserve">Counsel for The Northwest Ohio Aggregation Coalition, The Lucas County Board of Commissions, Lake Township, Perrysburg Township, The City of Toledo, The City of Perrysburg, The City of Maumee, The City of Oregon, The City of Northwood, The City of </w:t>
      </w:r>
      <w:proofErr w:type="spellStart"/>
      <w:r>
        <w:rPr>
          <w:rFonts w:ascii="Arial Bold" w:eastAsia="Calibri" w:hAnsi="Arial Bold" w:cs="Arial"/>
          <w:b/>
          <w:smallCaps/>
          <w:sz w:val="20"/>
          <w:szCs w:val="20"/>
        </w:rPr>
        <w:t>Walterville</w:t>
      </w:r>
      <w:proofErr w:type="spellEnd"/>
      <w:r>
        <w:rPr>
          <w:rFonts w:ascii="Arial Bold" w:eastAsia="Calibri" w:hAnsi="Arial Bold" w:cs="Arial"/>
          <w:b/>
          <w:smallCaps/>
          <w:sz w:val="20"/>
          <w:szCs w:val="20"/>
        </w:rPr>
        <w:t>, The City of Sylvania, The City of Rossford, The Village of Delta, The Village of Ottawa Hills, The Village of Holland and The Village of Walbridge</w:t>
      </w:r>
    </w:p>
    <w:p w14:paraId="6CD13B94" w14:textId="77777777" w:rsidR="00E0550C" w:rsidRDefault="00E0550C" w:rsidP="00E0550C">
      <w:pPr>
        <w:rPr>
          <w:rFonts w:eastAsia="Calibri" w:cs="Arial"/>
          <w:sz w:val="20"/>
          <w:szCs w:val="20"/>
        </w:rPr>
      </w:pPr>
    </w:p>
    <w:p w14:paraId="31E783DE" w14:textId="77777777" w:rsidR="00E0550C" w:rsidRDefault="00E0550C" w:rsidP="00E0550C">
      <w:pPr>
        <w:rPr>
          <w:rFonts w:eastAsia="Calibri" w:cs="Arial"/>
          <w:sz w:val="20"/>
          <w:szCs w:val="20"/>
        </w:rPr>
      </w:pPr>
      <w:r w:rsidRPr="004050D7">
        <w:rPr>
          <w:rFonts w:eastAsia="Calibri" w:cs="Arial"/>
          <w:b/>
          <w:sz w:val="20"/>
          <w:szCs w:val="20"/>
        </w:rPr>
        <w:t xml:space="preserve">Kimberly W. </w:t>
      </w:r>
      <w:proofErr w:type="spellStart"/>
      <w:r w:rsidRPr="004050D7">
        <w:rPr>
          <w:rFonts w:eastAsia="Calibri" w:cs="Arial"/>
          <w:b/>
          <w:sz w:val="20"/>
          <w:szCs w:val="20"/>
        </w:rPr>
        <w:t>Bojko</w:t>
      </w:r>
      <w:proofErr w:type="spellEnd"/>
      <w:r>
        <w:rPr>
          <w:rFonts w:eastAsia="Calibri" w:cs="Arial"/>
          <w:sz w:val="20"/>
          <w:szCs w:val="20"/>
        </w:rPr>
        <w:t xml:space="preserve"> (0069402)</w:t>
      </w:r>
    </w:p>
    <w:p w14:paraId="19BAB318" w14:textId="77777777" w:rsidR="00E0550C" w:rsidRDefault="00E0550C" w:rsidP="00E0550C">
      <w:pPr>
        <w:rPr>
          <w:rFonts w:eastAsia="Calibri" w:cs="Arial"/>
          <w:sz w:val="20"/>
          <w:szCs w:val="20"/>
        </w:rPr>
      </w:pPr>
      <w:r w:rsidRPr="004050D7">
        <w:rPr>
          <w:rFonts w:eastAsia="Calibri" w:cs="Arial"/>
          <w:b/>
          <w:sz w:val="20"/>
          <w:szCs w:val="20"/>
        </w:rPr>
        <w:t>Brian W. Dressel</w:t>
      </w:r>
      <w:r>
        <w:rPr>
          <w:rFonts w:eastAsia="Calibri" w:cs="Arial"/>
          <w:sz w:val="20"/>
          <w:szCs w:val="20"/>
        </w:rPr>
        <w:t xml:space="preserve"> (0097163)</w:t>
      </w:r>
    </w:p>
    <w:p w14:paraId="2A755239" w14:textId="77777777" w:rsidR="00E0550C" w:rsidRPr="004050D7" w:rsidRDefault="00E0550C" w:rsidP="00E0550C">
      <w:pPr>
        <w:rPr>
          <w:rFonts w:eastAsia="Calibri" w:cs="Arial"/>
          <w:smallCaps/>
          <w:sz w:val="20"/>
          <w:szCs w:val="20"/>
        </w:rPr>
      </w:pPr>
      <w:r w:rsidRPr="004050D7">
        <w:rPr>
          <w:rFonts w:eastAsia="Calibri" w:cs="Arial"/>
          <w:smallCaps/>
          <w:sz w:val="20"/>
          <w:szCs w:val="20"/>
        </w:rPr>
        <w:t xml:space="preserve">Carpenter </w:t>
      </w:r>
      <w:proofErr w:type="spellStart"/>
      <w:r w:rsidRPr="004050D7">
        <w:rPr>
          <w:rFonts w:eastAsia="Calibri" w:cs="Arial"/>
          <w:smallCaps/>
          <w:sz w:val="20"/>
          <w:szCs w:val="20"/>
        </w:rPr>
        <w:t>Lipps</w:t>
      </w:r>
      <w:proofErr w:type="spellEnd"/>
      <w:r w:rsidRPr="004050D7">
        <w:rPr>
          <w:rFonts w:eastAsia="Calibri" w:cs="Arial"/>
          <w:smallCaps/>
          <w:sz w:val="20"/>
          <w:szCs w:val="20"/>
        </w:rPr>
        <w:t xml:space="preserve"> &amp; Leland LLP</w:t>
      </w:r>
    </w:p>
    <w:p w14:paraId="71E01884" w14:textId="77777777" w:rsidR="00E0550C" w:rsidRDefault="00E0550C" w:rsidP="00E0550C">
      <w:pPr>
        <w:rPr>
          <w:rFonts w:eastAsia="Calibri" w:cs="Arial"/>
          <w:sz w:val="20"/>
          <w:szCs w:val="20"/>
        </w:rPr>
      </w:pPr>
      <w:r>
        <w:rPr>
          <w:rFonts w:eastAsia="Calibri" w:cs="Arial"/>
          <w:sz w:val="20"/>
          <w:szCs w:val="20"/>
        </w:rPr>
        <w:t>280 North High Street, Suite 1300</w:t>
      </w:r>
    </w:p>
    <w:p w14:paraId="3D19688E" w14:textId="77777777" w:rsidR="00E0550C" w:rsidRDefault="00E0550C" w:rsidP="00E0550C">
      <w:pPr>
        <w:rPr>
          <w:rFonts w:eastAsia="Calibri" w:cs="Arial"/>
          <w:sz w:val="20"/>
          <w:szCs w:val="20"/>
        </w:rPr>
      </w:pPr>
      <w:r>
        <w:rPr>
          <w:rFonts w:eastAsia="Calibri" w:cs="Arial"/>
          <w:sz w:val="20"/>
          <w:szCs w:val="20"/>
        </w:rPr>
        <w:t>Columbus, OH 43215</w:t>
      </w:r>
    </w:p>
    <w:p w14:paraId="12CCD8F2" w14:textId="77777777" w:rsidR="00E0550C" w:rsidRDefault="00E0550C" w:rsidP="00E0550C">
      <w:pPr>
        <w:rPr>
          <w:rFonts w:eastAsia="Calibri" w:cs="Arial"/>
          <w:sz w:val="20"/>
          <w:szCs w:val="20"/>
        </w:rPr>
      </w:pPr>
      <w:r w:rsidRPr="004050D7">
        <w:rPr>
          <w:rFonts w:eastAsia="Calibri" w:cs="Arial"/>
          <w:sz w:val="20"/>
          <w:szCs w:val="20"/>
        </w:rPr>
        <w:t>bojko@carpenterlipps.com</w:t>
      </w:r>
    </w:p>
    <w:p w14:paraId="57AB68B8" w14:textId="77777777" w:rsidR="00E0550C" w:rsidRDefault="00E0550C" w:rsidP="00E0550C">
      <w:pPr>
        <w:rPr>
          <w:rFonts w:eastAsia="Calibri" w:cs="Arial"/>
          <w:sz w:val="20"/>
          <w:szCs w:val="20"/>
        </w:rPr>
      </w:pPr>
      <w:r w:rsidRPr="004050D7">
        <w:rPr>
          <w:rFonts w:eastAsia="Calibri" w:cs="Arial"/>
          <w:sz w:val="20"/>
          <w:szCs w:val="20"/>
        </w:rPr>
        <w:t>dressel@carpenterlipps.com</w:t>
      </w:r>
    </w:p>
    <w:p w14:paraId="65DD4C82" w14:textId="77777777" w:rsidR="00E0550C" w:rsidRDefault="00E0550C" w:rsidP="00E0550C">
      <w:pPr>
        <w:rPr>
          <w:rFonts w:eastAsia="Calibri" w:cs="Arial"/>
          <w:sz w:val="20"/>
          <w:szCs w:val="20"/>
        </w:rPr>
      </w:pPr>
    </w:p>
    <w:p w14:paraId="75CD061E" w14:textId="77777777" w:rsidR="00E0550C" w:rsidRDefault="00E0550C" w:rsidP="00E0550C">
      <w:pPr>
        <w:rPr>
          <w:rFonts w:ascii="Arial Bold" w:eastAsia="Calibri" w:hAnsi="Arial Bold" w:cs="Arial"/>
          <w:b/>
          <w:smallCaps/>
          <w:sz w:val="20"/>
          <w:szCs w:val="20"/>
        </w:rPr>
      </w:pPr>
      <w:r w:rsidRPr="004050D7">
        <w:rPr>
          <w:rFonts w:ascii="Arial Bold" w:eastAsia="Calibri" w:hAnsi="Arial Bold" w:cs="Arial"/>
          <w:b/>
          <w:smallCaps/>
          <w:sz w:val="20"/>
          <w:szCs w:val="20"/>
        </w:rPr>
        <w:t>Counsel for Ohio Manufacturers’ Association Energy Group</w:t>
      </w:r>
    </w:p>
    <w:p w14:paraId="5570A682" w14:textId="77777777" w:rsidR="00E0550C" w:rsidRDefault="00E0550C" w:rsidP="00E0550C">
      <w:pPr>
        <w:rPr>
          <w:rFonts w:ascii="Arial Bold" w:eastAsia="Calibri" w:hAnsi="Arial Bold" w:cs="Arial"/>
          <w:b/>
          <w:smallCaps/>
          <w:sz w:val="20"/>
          <w:szCs w:val="20"/>
        </w:rPr>
      </w:pPr>
    </w:p>
    <w:p w14:paraId="5DB09B92" w14:textId="77777777" w:rsidR="00E0550C" w:rsidRDefault="00E0550C" w:rsidP="00E0550C">
      <w:pPr>
        <w:rPr>
          <w:rFonts w:ascii="Arial Bold" w:eastAsia="Calibri" w:hAnsi="Arial Bold" w:cs="Arial"/>
          <w:b/>
          <w:smallCaps/>
          <w:sz w:val="20"/>
          <w:szCs w:val="20"/>
        </w:rPr>
      </w:pPr>
    </w:p>
    <w:p w14:paraId="5B4D21C7" w14:textId="77777777" w:rsidR="00E0550C" w:rsidRPr="004050D7" w:rsidRDefault="00E0550C" w:rsidP="00E0550C">
      <w:pPr>
        <w:rPr>
          <w:rFonts w:ascii="Arial Bold" w:eastAsia="Calibri" w:hAnsi="Arial Bold" w:cs="Arial"/>
          <w:b/>
          <w:sz w:val="20"/>
          <w:szCs w:val="20"/>
        </w:rPr>
      </w:pPr>
      <w:r w:rsidRPr="004050D7">
        <w:rPr>
          <w:rFonts w:ascii="Arial Bold" w:eastAsia="Calibri" w:hAnsi="Arial Bold" w:cs="Arial"/>
          <w:b/>
          <w:sz w:val="20"/>
          <w:szCs w:val="20"/>
        </w:rPr>
        <w:t>Angela Paul Whitfield</w:t>
      </w:r>
      <w:r w:rsidRPr="004050D7">
        <w:rPr>
          <w:rFonts w:ascii="Arial Bold" w:eastAsia="Calibri" w:hAnsi="Arial Bold" w:cs="Arial"/>
          <w:sz w:val="20"/>
          <w:szCs w:val="20"/>
        </w:rPr>
        <w:t xml:space="preserve"> (0068774)</w:t>
      </w:r>
    </w:p>
    <w:p w14:paraId="3915C528" w14:textId="77777777" w:rsidR="00E0550C" w:rsidRPr="004050D7" w:rsidRDefault="00E0550C" w:rsidP="00E0550C">
      <w:pPr>
        <w:rPr>
          <w:rFonts w:eastAsia="Calibri" w:cs="Arial"/>
          <w:smallCaps/>
          <w:sz w:val="20"/>
          <w:szCs w:val="20"/>
        </w:rPr>
      </w:pPr>
      <w:r w:rsidRPr="004050D7">
        <w:rPr>
          <w:rFonts w:eastAsia="Calibri" w:cs="Arial"/>
          <w:smallCaps/>
          <w:sz w:val="20"/>
          <w:szCs w:val="20"/>
        </w:rPr>
        <w:t xml:space="preserve">Carpenter </w:t>
      </w:r>
      <w:proofErr w:type="spellStart"/>
      <w:r w:rsidRPr="004050D7">
        <w:rPr>
          <w:rFonts w:eastAsia="Calibri" w:cs="Arial"/>
          <w:smallCaps/>
          <w:sz w:val="20"/>
          <w:szCs w:val="20"/>
        </w:rPr>
        <w:t>Lipps</w:t>
      </w:r>
      <w:proofErr w:type="spellEnd"/>
      <w:r w:rsidRPr="004050D7">
        <w:rPr>
          <w:rFonts w:eastAsia="Calibri" w:cs="Arial"/>
          <w:smallCaps/>
          <w:sz w:val="20"/>
          <w:szCs w:val="20"/>
        </w:rPr>
        <w:t xml:space="preserve"> &amp; Leland LLP</w:t>
      </w:r>
    </w:p>
    <w:p w14:paraId="13395EA9" w14:textId="77777777" w:rsidR="00E0550C" w:rsidRDefault="00E0550C" w:rsidP="00E0550C">
      <w:pPr>
        <w:rPr>
          <w:rFonts w:eastAsia="Calibri" w:cs="Arial"/>
          <w:sz w:val="20"/>
          <w:szCs w:val="20"/>
        </w:rPr>
      </w:pPr>
      <w:r>
        <w:rPr>
          <w:rFonts w:eastAsia="Calibri" w:cs="Arial"/>
          <w:sz w:val="20"/>
          <w:szCs w:val="20"/>
        </w:rPr>
        <w:t>280 North High Street, Suite 1300</w:t>
      </w:r>
    </w:p>
    <w:p w14:paraId="1AF125AE" w14:textId="77777777" w:rsidR="00E0550C" w:rsidRDefault="00E0550C" w:rsidP="00E0550C">
      <w:pPr>
        <w:rPr>
          <w:rFonts w:eastAsia="Calibri" w:cs="Arial"/>
          <w:sz w:val="20"/>
          <w:szCs w:val="20"/>
        </w:rPr>
      </w:pPr>
      <w:r>
        <w:rPr>
          <w:rFonts w:eastAsia="Calibri" w:cs="Arial"/>
          <w:sz w:val="20"/>
          <w:szCs w:val="20"/>
        </w:rPr>
        <w:t>Columbus, OH 43215</w:t>
      </w:r>
    </w:p>
    <w:p w14:paraId="303F451A" w14:textId="77777777" w:rsidR="00E0550C" w:rsidRDefault="00E0550C" w:rsidP="00E0550C">
      <w:pPr>
        <w:rPr>
          <w:rFonts w:eastAsia="Calibri" w:cs="Arial"/>
          <w:sz w:val="20"/>
          <w:szCs w:val="20"/>
        </w:rPr>
      </w:pPr>
      <w:r>
        <w:rPr>
          <w:rFonts w:eastAsia="Calibri" w:cs="Arial"/>
          <w:sz w:val="20"/>
          <w:szCs w:val="20"/>
        </w:rPr>
        <w:t>paul</w:t>
      </w:r>
      <w:r w:rsidRPr="004050D7">
        <w:rPr>
          <w:rFonts w:eastAsia="Calibri" w:cs="Arial"/>
          <w:sz w:val="20"/>
          <w:szCs w:val="20"/>
        </w:rPr>
        <w:t>@carpenterlipps.com</w:t>
      </w:r>
    </w:p>
    <w:p w14:paraId="064AB577" w14:textId="77777777" w:rsidR="00E0550C" w:rsidRPr="004050D7" w:rsidRDefault="00E0550C" w:rsidP="00E0550C">
      <w:pPr>
        <w:rPr>
          <w:rFonts w:ascii="Arial Bold" w:eastAsia="Calibri" w:hAnsi="Arial Bold" w:cs="Arial"/>
          <w:b/>
          <w:smallCaps/>
          <w:sz w:val="20"/>
          <w:szCs w:val="20"/>
        </w:rPr>
      </w:pPr>
    </w:p>
    <w:p w14:paraId="7B20407D" w14:textId="77777777" w:rsidR="00E0550C" w:rsidRPr="005A0A62" w:rsidRDefault="00E0550C" w:rsidP="00E0550C">
      <w:pPr>
        <w:rPr>
          <w:rFonts w:ascii="Arial Bold" w:eastAsia="Calibri" w:hAnsi="Arial Bold" w:cs="Arial"/>
          <w:b/>
          <w:smallCaps/>
          <w:sz w:val="20"/>
          <w:szCs w:val="20"/>
        </w:rPr>
      </w:pPr>
      <w:r w:rsidRPr="005A0A62">
        <w:rPr>
          <w:rFonts w:ascii="Arial Bold" w:eastAsia="Calibri" w:hAnsi="Arial Bold" w:cs="Arial"/>
          <w:b/>
          <w:smallCaps/>
          <w:sz w:val="20"/>
          <w:szCs w:val="20"/>
        </w:rPr>
        <w:t>Counsel for The Kroger Co.</w:t>
      </w:r>
    </w:p>
    <w:p w14:paraId="1F56E656" w14:textId="77777777" w:rsidR="00E0550C" w:rsidRDefault="00E0550C" w:rsidP="00E0550C">
      <w:pPr>
        <w:rPr>
          <w:rFonts w:eastAsia="Calibri" w:cs="Arial"/>
          <w:sz w:val="20"/>
          <w:szCs w:val="20"/>
        </w:rPr>
      </w:pPr>
    </w:p>
    <w:p w14:paraId="63CF2C82" w14:textId="77777777" w:rsidR="00E0550C" w:rsidRPr="00E417EA" w:rsidRDefault="00E0550C" w:rsidP="00E0550C">
      <w:pPr>
        <w:rPr>
          <w:rFonts w:eastAsia="Calibri" w:cs="Arial"/>
          <w:sz w:val="20"/>
          <w:szCs w:val="20"/>
        </w:rPr>
      </w:pPr>
      <w:r w:rsidRPr="00E417EA">
        <w:rPr>
          <w:rFonts w:eastAsia="Calibri" w:cs="Arial"/>
          <w:b/>
          <w:sz w:val="20"/>
          <w:szCs w:val="20"/>
        </w:rPr>
        <w:t>Gretchen L. Petrucci</w:t>
      </w:r>
      <w:r w:rsidRPr="00E417EA">
        <w:rPr>
          <w:rFonts w:eastAsia="Calibri" w:cs="Arial"/>
          <w:sz w:val="20"/>
          <w:szCs w:val="20"/>
        </w:rPr>
        <w:t xml:space="preserve"> (0046608)</w:t>
      </w:r>
    </w:p>
    <w:p w14:paraId="1DEB6B11" w14:textId="77777777" w:rsidR="00E0550C" w:rsidRPr="00E417EA" w:rsidRDefault="00E0550C" w:rsidP="00E0550C">
      <w:pPr>
        <w:rPr>
          <w:rFonts w:eastAsia="Calibri" w:cs="Arial"/>
          <w:smallCaps/>
          <w:sz w:val="20"/>
          <w:szCs w:val="20"/>
        </w:rPr>
      </w:pPr>
      <w:r w:rsidRPr="00E417EA">
        <w:rPr>
          <w:rFonts w:eastAsia="Calibri" w:cs="Arial"/>
          <w:smallCaps/>
          <w:sz w:val="20"/>
          <w:szCs w:val="20"/>
        </w:rPr>
        <w:t>VORYS, SATER, SEYMOUR AND PEASE LLP</w:t>
      </w:r>
    </w:p>
    <w:p w14:paraId="6B773DF8" w14:textId="77777777" w:rsidR="00E0550C" w:rsidRPr="00E417EA" w:rsidRDefault="00E0550C" w:rsidP="00E0550C">
      <w:pPr>
        <w:rPr>
          <w:rFonts w:eastAsia="Calibri" w:cs="Arial"/>
          <w:sz w:val="20"/>
          <w:szCs w:val="20"/>
        </w:rPr>
      </w:pPr>
      <w:r w:rsidRPr="00E417EA">
        <w:rPr>
          <w:rFonts w:eastAsia="Calibri" w:cs="Arial"/>
          <w:sz w:val="20"/>
          <w:szCs w:val="20"/>
        </w:rPr>
        <w:t>52 East Gay Street</w:t>
      </w:r>
    </w:p>
    <w:p w14:paraId="58914848" w14:textId="77777777" w:rsidR="00E0550C" w:rsidRPr="00E417EA" w:rsidRDefault="00E0550C" w:rsidP="00E0550C">
      <w:pPr>
        <w:rPr>
          <w:rFonts w:eastAsia="Calibri" w:cs="Arial"/>
          <w:sz w:val="20"/>
          <w:szCs w:val="20"/>
        </w:rPr>
      </w:pPr>
      <w:r w:rsidRPr="00E417EA">
        <w:rPr>
          <w:rFonts w:eastAsia="Calibri" w:cs="Arial"/>
          <w:sz w:val="20"/>
          <w:szCs w:val="20"/>
        </w:rPr>
        <w:t>P.O. Box 1008</w:t>
      </w:r>
    </w:p>
    <w:p w14:paraId="588ECF4A" w14:textId="77777777" w:rsidR="00E0550C" w:rsidRPr="00E417EA" w:rsidRDefault="00E0550C" w:rsidP="00E0550C">
      <w:pPr>
        <w:rPr>
          <w:rFonts w:eastAsia="Calibri" w:cs="Arial"/>
          <w:sz w:val="20"/>
          <w:szCs w:val="20"/>
        </w:rPr>
      </w:pPr>
      <w:r w:rsidRPr="00E417EA">
        <w:rPr>
          <w:rFonts w:eastAsia="Calibri" w:cs="Arial"/>
          <w:sz w:val="20"/>
          <w:szCs w:val="20"/>
        </w:rPr>
        <w:t>Columbus, Ohio 43216-1008</w:t>
      </w:r>
    </w:p>
    <w:p w14:paraId="79B3419D" w14:textId="77777777" w:rsidR="00E0550C" w:rsidRPr="00E417EA" w:rsidRDefault="00E0550C" w:rsidP="00E0550C">
      <w:pPr>
        <w:rPr>
          <w:rFonts w:eastAsia="Calibri" w:cs="Arial"/>
          <w:sz w:val="20"/>
          <w:szCs w:val="20"/>
        </w:rPr>
      </w:pPr>
      <w:r w:rsidRPr="00E417EA">
        <w:rPr>
          <w:rFonts w:eastAsia="Calibri" w:cs="Arial"/>
          <w:sz w:val="20"/>
          <w:szCs w:val="20"/>
        </w:rPr>
        <w:t>Tel. (614) 464-5407</w:t>
      </w:r>
    </w:p>
    <w:p w14:paraId="6CE92E47" w14:textId="77777777" w:rsidR="00E0550C" w:rsidRDefault="00E0550C" w:rsidP="00E0550C">
      <w:pPr>
        <w:rPr>
          <w:rFonts w:eastAsia="Calibri" w:cs="Arial"/>
          <w:sz w:val="20"/>
          <w:szCs w:val="20"/>
        </w:rPr>
      </w:pPr>
      <w:r w:rsidRPr="00E0550C">
        <w:rPr>
          <w:rFonts w:eastAsia="Calibri" w:cs="Arial"/>
          <w:sz w:val="20"/>
          <w:szCs w:val="20"/>
        </w:rPr>
        <w:t>glpetrucci@vorys.com</w:t>
      </w:r>
    </w:p>
    <w:p w14:paraId="48A13894" w14:textId="77777777" w:rsidR="00E0550C" w:rsidRPr="00E417EA" w:rsidRDefault="00E0550C" w:rsidP="00E0550C">
      <w:pPr>
        <w:rPr>
          <w:rFonts w:eastAsia="Calibri" w:cs="Arial"/>
          <w:sz w:val="20"/>
          <w:szCs w:val="20"/>
        </w:rPr>
      </w:pPr>
    </w:p>
    <w:p w14:paraId="6C04570F" w14:textId="77777777" w:rsidR="00E0550C" w:rsidRPr="00E417EA" w:rsidRDefault="00E0550C" w:rsidP="00E0550C">
      <w:pPr>
        <w:rPr>
          <w:rFonts w:ascii="Arial Bold" w:eastAsia="Calibri" w:hAnsi="Arial Bold" w:cs="Arial"/>
          <w:b/>
          <w:iCs/>
          <w:smallCaps/>
          <w:sz w:val="20"/>
          <w:szCs w:val="20"/>
        </w:rPr>
      </w:pPr>
      <w:r w:rsidRPr="00E417EA">
        <w:rPr>
          <w:rFonts w:ascii="Arial Bold" w:eastAsia="Calibri" w:hAnsi="Arial Bold" w:cs="Arial"/>
          <w:b/>
          <w:iCs/>
          <w:smallCaps/>
          <w:sz w:val="20"/>
          <w:szCs w:val="20"/>
        </w:rPr>
        <w:t>Attorneys for the Ohio Cable Telecommunications Association</w:t>
      </w:r>
    </w:p>
    <w:p w14:paraId="7D8CDDB8" w14:textId="77777777" w:rsidR="00E0550C" w:rsidRDefault="00E0550C" w:rsidP="00E0550C">
      <w:pPr>
        <w:rPr>
          <w:rFonts w:eastAsia="Calibri" w:cs="Arial"/>
          <w:sz w:val="20"/>
          <w:szCs w:val="20"/>
        </w:rPr>
      </w:pPr>
    </w:p>
    <w:p w14:paraId="2022E50A" w14:textId="77777777" w:rsidR="00E0550C" w:rsidRDefault="00E0550C" w:rsidP="00E0550C">
      <w:pPr>
        <w:rPr>
          <w:rFonts w:eastAsia="Calibri" w:cs="Arial"/>
          <w:sz w:val="20"/>
          <w:szCs w:val="20"/>
        </w:rPr>
      </w:pPr>
    </w:p>
    <w:p w14:paraId="75B97A96" w14:textId="77777777" w:rsidR="00E0550C" w:rsidRPr="004F480D" w:rsidRDefault="00E0550C" w:rsidP="00E0550C">
      <w:pPr>
        <w:rPr>
          <w:rFonts w:eastAsia="Calibri" w:cs="Arial"/>
          <w:sz w:val="20"/>
          <w:szCs w:val="20"/>
        </w:rPr>
      </w:pPr>
    </w:p>
    <w:p w14:paraId="67A0B10B" w14:textId="77777777" w:rsidR="00E0550C" w:rsidRPr="004F480D" w:rsidRDefault="00E0550C" w:rsidP="00E0550C">
      <w:pPr>
        <w:rPr>
          <w:rFonts w:eastAsia="Times New Roman" w:cs="Arial"/>
          <w:b/>
          <w:sz w:val="20"/>
          <w:szCs w:val="20"/>
        </w:rPr>
      </w:pPr>
      <w:r w:rsidRPr="004F480D">
        <w:rPr>
          <w:rFonts w:eastAsia="Times New Roman" w:cs="Arial"/>
          <w:b/>
          <w:sz w:val="20"/>
          <w:szCs w:val="20"/>
        </w:rPr>
        <w:t>William Wright</w:t>
      </w:r>
    </w:p>
    <w:p w14:paraId="1AB4EA36" w14:textId="77777777" w:rsidR="00E0550C" w:rsidRPr="004F480D" w:rsidRDefault="00E0550C" w:rsidP="00E0550C">
      <w:pPr>
        <w:rPr>
          <w:rFonts w:eastAsia="Times New Roman" w:cs="Arial"/>
          <w:smallCaps/>
          <w:sz w:val="20"/>
          <w:szCs w:val="20"/>
        </w:rPr>
      </w:pPr>
      <w:r w:rsidRPr="004F480D">
        <w:rPr>
          <w:rFonts w:eastAsia="Times New Roman" w:cs="Arial"/>
          <w:smallCaps/>
          <w:sz w:val="20"/>
          <w:szCs w:val="20"/>
        </w:rPr>
        <w:t>Attorney General’s Office</w:t>
      </w:r>
    </w:p>
    <w:p w14:paraId="2989CCB8" w14:textId="77777777" w:rsidR="00E0550C" w:rsidRPr="004F480D" w:rsidRDefault="00E0550C" w:rsidP="00E0550C">
      <w:pPr>
        <w:rPr>
          <w:rFonts w:eastAsia="Times New Roman" w:cs="Arial"/>
          <w:sz w:val="20"/>
          <w:szCs w:val="20"/>
        </w:rPr>
      </w:pPr>
      <w:r w:rsidRPr="004F480D">
        <w:rPr>
          <w:rFonts w:eastAsia="Times New Roman" w:cs="Arial"/>
          <w:sz w:val="20"/>
          <w:szCs w:val="20"/>
        </w:rPr>
        <w:t>30 East Broad St., 16th Fl.</w:t>
      </w:r>
    </w:p>
    <w:p w14:paraId="267F840A" w14:textId="77777777" w:rsidR="00E0550C" w:rsidRPr="004F480D" w:rsidRDefault="00E0550C" w:rsidP="00E0550C">
      <w:pPr>
        <w:rPr>
          <w:rFonts w:eastAsia="Times New Roman" w:cs="Arial"/>
          <w:sz w:val="20"/>
          <w:szCs w:val="20"/>
        </w:rPr>
      </w:pPr>
      <w:r w:rsidRPr="004F480D">
        <w:rPr>
          <w:rFonts w:eastAsia="Times New Roman" w:cs="Arial"/>
          <w:sz w:val="20"/>
          <w:szCs w:val="20"/>
        </w:rPr>
        <w:t>Columbus, OH 43215</w:t>
      </w:r>
    </w:p>
    <w:p w14:paraId="04F93B45" w14:textId="77777777" w:rsidR="00E0550C" w:rsidRPr="004F480D" w:rsidRDefault="00E0550C" w:rsidP="00E0550C">
      <w:pPr>
        <w:rPr>
          <w:rFonts w:eastAsia="Times New Roman" w:cs="Arial"/>
          <w:sz w:val="20"/>
          <w:szCs w:val="20"/>
        </w:rPr>
      </w:pPr>
      <w:r w:rsidRPr="004F480D">
        <w:rPr>
          <w:rFonts w:eastAsia="Times New Roman" w:cs="Arial"/>
          <w:sz w:val="20"/>
          <w:szCs w:val="20"/>
        </w:rPr>
        <w:t>william.wright@ohioattorneygeneral.gov</w:t>
      </w:r>
    </w:p>
    <w:p w14:paraId="68636C0E" w14:textId="77777777" w:rsidR="00E0550C" w:rsidRPr="00A36EC4" w:rsidRDefault="00E0550C" w:rsidP="00E0550C">
      <w:pPr>
        <w:rPr>
          <w:rFonts w:eastAsia="Calibri" w:cs="Arial"/>
          <w:sz w:val="20"/>
          <w:szCs w:val="20"/>
        </w:rPr>
      </w:pPr>
    </w:p>
    <w:p w14:paraId="49353272" w14:textId="77777777" w:rsidR="00E0550C" w:rsidRPr="004F480D" w:rsidRDefault="00E0550C" w:rsidP="00E0550C">
      <w:pPr>
        <w:ind w:right="720"/>
        <w:rPr>
          <w:rFonts w:eastAsia="Calibri" w:cs="Arial"/>
          <w:b/>
          <w:sz w:val="20"/>
          <w:szCs w:val="20"/>
        </w:rPr>
      </w:pPr>
      <w:r w:rsidRPr="004F480D">
        <w:rPr>
          <w:rFonts w:eastAsia="Calibri" w:cs="Arial"/>
          <w:b/>
          <w:sz w:val="20"/>
          <w:szCs w:val="20"/>
        </w:rPr>
        <w:t>Megan Addison</w:t>
      </w:r>
    </w:p>
    <w:p w14:paraId="18DD25B2" w14:textId="77777777" w:rsidR="00E0550C" w:rsidRPr="004F480D" w:rsidRDefault="00E0550C" w:rsidP="00E0550C">
      <w:pPr>
        <w:tabs>
          <w:tab w:val="left" w:pos="2160"/>
          <w:tab w:val="left" w:pos="2280"/>
        </w:tabs>
        <w:rPr>
          <w:rFonts w:eastAsia="Times New Roman" w:cs="Arial"/>
          <w:smallCaps/>
          <w:sz w:val="20"/>
          <w:szCs w:val="20"/>
        </w:rPr>
      </w:pPr>
      <w:r w:rsidRPr="004F480D">
        <w:rPr>
          <w:rFonts w:eastAsia="Times New Roman" w:cs="Arial"/>
          <w:smallCaps/>
          <w:sz w:val="20"/>
          <w:szCs w:val="20"/>
        </w:rPr>
        <w:t>Public Utilities Commission of Ohio</w:t>
      </w:r>
    </w:p>
    <w:p w14:paraId="76FBCED0"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180 East Broad Street, 12</w:t>
      </w:r>
      <w:r w:rsidRPr="004F480D">
        <w:rPr>
          <w:rFonts w:eastAsia="Times New Roman" w:cs="Arial"/>
          <w:sz w:val="20"/>
          <w:szCs w:val="20"/>
          <w:vertAlign w:val="superscript"/>
        </w:rPr>
        <w:t>th</w:t>
      </w:r>
      <w:r w:rsidRPr="004F480D">
        <w:rPr>
          <w:rFonts w:eastAsia="Times New Roman" w:cs="Arial"/>
          <w:sz w:val="20"/>
          <w:szCs w:val="20"/>
        </w:rPr>
        <w:t xml:space="preserve"> Floor</w:t>
      </w:r>
    </w:p>
    <w:p w14:paraId="353A07C3" w14:textId="77777777" w:rsidR="00E0550C" w:rsidRPr="004F480D" w:rsidRDefault="00E0550C" w:rsidP="00E0550C">
      <w:pPr>
        <w:tabs>
          <w:tab w:val="left" w:pos="2160"/>
          <w:tab w:val="left" w:pos="2280"/>
        </w:tabs>
        <w:rPr>
          <w:rFonts w:eastAsia="Times New Roman" w:cs="Arial"/>
          <w:sz w:val="20"/>
          <w:szCs w:val="20"/>
        </w:rPr>
      </w:pPr>
      <w:r w:rsidRPr="004F480D">
        <w:rPr>
          <w:rFonts w:eastAsia="Times New Roman" w:cs="Arial"/>
          <w:sz w:val="20"/>
          <w:szCs w:val="20"/>
        </w:rPr>
        <w:t>Columbus, OH  43215</w:t>
      </w:r>
    </w:p>
    <w:p w14:paraId="0E48839B" w14:textId="77777777" w:rsidR="00E0550C" w:rsidRPr="004F480D" w:rsidRDefault="00E0550C" w:rsidP="00E0550C">
      <w:pPr>
        <w:tabs>
          <w:tab w:val="left" w:pos="2160"/>
          <w:tab w:val="left" w:pos="2280"/>
        </w:tabs>
        <w:rPr>
          <w:rFonts w:eastAsia="Times New Roman" w:cs="Arial"/>
          <w:color w:val="000000"/>
          <w:sz w:val="20"/>
          <w:szCs w:val="20"/>
        </w:rPr>
      </w:pPr>
      <w:r w:rsidRPr="004F480D">
        <w:rPr>
          <w:rFonts w:eastAsia="Times New Roman" w:cs="Arial"/>
          <w:color w:val="000000"/>
          <w:sz w:val="20"/>
          <w:szCs w:val="20"/>
        </w:rPr>
        <w:t>megan.addison@puco.ohio.gov</w:t>
      </w:r>
    </w:p>
    <w:p w14:paraId="0EED9AE4" w14:textId="77777777" w:rsidR="00E0550C" w:rsidRPr="004F480D" w:rsidRDefault="00E0550C" w:rsidP="00E0550C">
      <w:pPr>
        <w:tabs>
          <w:tab w:val="left" w:pos="2160"/>
          <w:tab w:val="left" w:pos="2280"/>
        </w:tabs>
        <w:rPr>
          <w:rFonts w:eastAsia="Times New Roman" w:cs="Arial"/>
          <w:b/>
          <w:smallCaps/>
          <w:sz w:val="20"/>
          <w:szCs w:val="20"/>
        </w:rPr>
      </w:pPr>
    </w:p>
    <w:p w14:paraId="4C5BDE8A" w14:textId="77777777" w:rsidR="00E0550C" w:rsidRPr="004F480D" w:rsidRDefault="00E0550C" w:rsidP="00E0550C">
      <w:pPr>
        <w:tabs>
          <w:tab w:val="left" w:pos="2160"/>
          <w:tab w:val="left" w:pos="2280"/>
        </w:tabs>
        <w:rPr>
          <w:rFonts w:eastAsia="Times New Roman" w:cs="Arial"/>
          <w:b/>
          <w:smallCaps/>
          <w:sz w:val="20"/>
          <w:szCs w:val="20"/>
        </w:rPr>
      </w:pPr>
      <w:r w:rsidRPr="004F480D">
        <w:rPr>
          <w:rFonts w:eastAsia="Times New Roman" w:cs="Arial"/>
          <w:b/>
          <w:smallCaps/>
          <w:sz w:val="20"/>
          <w:szCs w:val="20"/>
        </w:rPr>
        <w:t>Attorney Examiner</w:t>
      </w:r>
    </w:p>
    <w:p w14:paraId="7B75396F" w14:textId="77777777" w:rsidR="00E0550C" w:rsidRDefault="00E0550C" w:rsidP="00E0550C">
      <w:pPr>
        <w:pStyle w:val="BodyText3"/>
        <w:widowControl w:val="0"/>
        <w:jc w:val="both"/>
        <w:rPr>
          <w:b w:val="0"/>
        </w:rPr>
      </w:pPr>
    </w:p>
    <w:p w14:paraId="5B294757" w14:textId="77777777" w:rsidR="00E0550C" w:rsidRDefault="00E0550C" w:rsidP="00E0550C">
      <w:pPr>
        <w:pStyle w:val="BodyText3"/>
        <w:widowControl w:val="0"/>
        <w:jc w:val="both"/>
        <w:rPr>
          <w:b w:val="0"/>
        </w:rPr>
      </w:pPr>
    </w:p>
    <w:p w14:paraId="59A2C3B9" w14:textId="77777777" w:rsidR="00E0550C" w:rsidRDefault="00E0550C" w:rsidP="00E0550C">
      <w:pPr>
        <w:pStyle w:val="BodyText3"/>
        <w:widowControl w:val="0"/>
        <w:jc w:val="both"/>
        <w:rPr>
          <w:b w:val="0"/>
        </w:rPr>
        <w:sectPr w:rsidR="00E0550C" w:rsidSect="009D18AB">
          <w:type w:val="continuous"/>
          <w:pgSz w:w="12240" w:h="15840"/>
          <w:pgMar w:top="1440" w:right="1440" w:bottom="1440" w:left="1440" w:header="720" w:footer="720" w:gutter="0"/>
          <w:pgNumType w:start="1"/>
          <w:cols w:num="2" w:space="180"/>
          <w:titlePg/>
          <w:docGrid w:linePitch="360"/>
        </w:sectPr>
      </w:pPr>
    </w:p>
    <w:p w14:paraId="543B785B" w14:textId="77777777" w:rsidR="00757FA7" w:rsidRDefault="00757FA7" w:rsidP="00B22A21"/>
    <w:sectPr w:rsidR="00757FA7" w:rsidSect="003D0B35">
      <w:pgSz w:w="12240" w:h="15840"/>
      <w:pgMar w:top="1440" w:right="1440" w:bottom="1440" w:left="1440" w:header="720" w:footer="720" w:gutter="0"/>
      <w:pgNumType w:start="1"/>
      <w:cols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BB69E" w14:textId="77777777" w:rsidR="00724526" w:rsidRDefault="00724526" w:rsidP="00724526">
      <w:r>
        <w:separator/>
      </w:r>
    </w:p>
  </w:endnote>
  <w:endnote w:type="continuationSeparator" w:id="0">
    <w:p w14:paraId="24BA6AA9" w14:textId="77777777" w:rsidR="00724526" w:rsidRDefault="00724526" w:rsidP="0072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818B" w14:textId="77777777" w:rsidR="00B4733C" w:rsidRDefault="00B4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F32C" w14:textId="391143BB" w:rsidR="007057FC" w:rsidRPr="00EB687D" w:rsidRDefault="0005581A" w:rsidP="00EB687D">
    <w:pPr>
      <w:pStyle w:val="Footer"/>
    </w:pPr>
    <w:r w:rsidRPr="0005581A">
      <w:rPr>
        <w:noProof/>
        <w:sz w:val="16"/>
      </w:rPr>
      <w:t>C0112971:4</w:t>
    </w:r>
    <w:r w:rsidR="007057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73BA" w14:textId="77777777" w:rsidR="00B4733C" w:rsidRDefault="00B473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7281" w14:textId="77777777" w:rsidR="00724526" w:rsidRDefault="007245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2C72" w14:textId="11E33578" w:rsidR="002227D7" w:rsidRPr="002227D7" w:rsidRDefault="0005581A" w:rsidP="002227D7">
    <w:pPr>
      <w:pStyle w:val="Footer"/>
    </w:pPr>
    <w:r w:rsidRPr="0005581A">
      <w:rPr>
        <w:noProof/>
        <w:sz w:val="16"/>
      </w:rPr>
      <w:t>C0112971:4</w:t>
    </w:r>
    <w:r w:rsidR="002227D7">
      <w:tab/>
    </w:r>
    <w:sdt>
      <w:sdtPr>
        <w:id w:val="-1611743696"/>
        <w:docPartObj>
          <w:docPartGallery w:val="Page Numbers (Bottom of Page)"/>
          <w:docPartUnique/>
        </w:docPartObj>
      </w:sdtPr>
      <w:sdtEndPr>
        <w:rPr>
          <w:noProof/>
        </w:rPr>
      </w:sdtEndPr>
      <w:sdtContent>
        <w:r w:rsidR="002227D7" w:rsidRPr="002227D7">
          <w:fldChar w:fldCharType="begin"/>
        </w:r>
        <w:r w:rsidR="002227D7" w:rsidRPr="002227D7">
          <w:instrText xml:space="preserve"> PAGE   \* MERGEFORMAT </w:instrText>
        </w:r>
        <w:r w:rsidR="002227D7" w:rsidRPr="002227D7">
          <w:fldChar w:fldCharType="separate"/>
        </w:r>
        <w:r w:rsidR="006E5724">
          <w:rPr>
            <w:noProof/>
          </w:rPr>
          <w:t>9</w:t>
        </w:r>
        <w:r w:rsidR="002227D7" w:rsidRPr="002227D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4B79" w14:textId="5A6C54EA" w:rsidR="00724526" w:rsidRPr="00724526" w:rsidRDefault="0005581A" w:rsidP="00724526">
    <w:pPr>
      <w:pStyle w:val="Footer"/>
    </w:pPr>
    <w:r w:rsidRPr="0005581A">
      <w:rPr>
        <w:noProof/>
        <w:sz w:val="16"/>
      </w:rPr>
      <w:t>C0112971:4</w:t>
    </w:r>
    <w:r w:rsidR="0072452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DD0C" w14:textId="77777777" w:rsidR="00724526" w:rsidRDefault="00724526" w:rsidP="00724526">
      <w:pPr>
        <w:rPr>
          <w:noProof/>
        </w:rPr>
      </w:pPr>
      <w:r>
        <w:rPr>
          <w:noProof/>
        </w:rPr>
        <w:separator/>
      </w:r>
    </w:p>
  </w:footnote>
  <w:footnote w:type="continuationSeparator" w:id="0">
    <w:p w14:paraId="249A8D8B" w14:textId="77777777" w:rsidR="00724526" w:rsidRDefault="00724526" w:rsidP="00724526">
      <w:r>
        <w:continuationSeparator/>
      </w:r>
    </w:p>
  </w:footnote>
  <w:footnote w:id="1">
    <w:p w14:paraId="0D82B13B" w14:textId="6601D3CE" w:rsidR="00436975" w:rsidRDefault="00436975" w:rsidP="007F0465">
      <w:pPr>
        <w:pStyle w:val="FootnoteText"/>
        <w:spacing w:after="120"/>
        <w:jc w:val="both"/>
      </w:pPr>
      <w:r>
        <w:rPr>
          <w:rStyle w:val="FootnoteReference"/>
        </w:rPr>
        <w:footnoteRef/>
      </w:r>
      <w:r>
        <w:t xml:space="preserve"> The proper amortization period will depend on whether the excess is deemed “protected” or “unprotected.”</w:t>
      </w:r>
      <w:r w:rsidR="00BB0462">
        <w:t xml:space="preserve"> </w:t>
      </w:r>
      <w:r>
        <w:t xml:space="preserve"> </w:t>
      </w:r>
      <w:r w:rsidR="007C791E" w:rsidRPr="007C791E">
        <w:t>OCC Ex. 1 at 7.</w:t>
      </w:r>
    </w:p>
  </w:footnote>
  <w:footnote w:id="2">
    <w:p w14:paraId="0536728C" w14:textId="3389546A" w:rsidR="00AD507F" w:rsidRDefault="00AD507F" w:rsidP="00256239">
      <w:pPr>
        <w:pStyle w:val="FootnoteText"/>
        <w:jc w:val="both"/>
      </w:pPr>
      <w:r>
        <w:rPr>
          <w:rStyle w:val="FootnoteReference"/>
        </w:rPr>
        <w:footnoteRef/>
      </w:r>
      <w:r>
        <w:t xml:space="preserve"> The accounting guidance, AI93-5, is available at </w:t>
      </w:r>
      <w:r w:rsidRPr="00AD507F">
        <w:t>https://www.ferc.gov/enforcement/acct-matts/acct-guide.asp</w:t>
      </w:r>
      <w:r>
        <w:t>.</w:t>
      </w:r>
    </w:p>
  </w:footnote>
  <w:footnote w:id="3">
    <w:p w14:paraId="7939241F" w14:textId="34AC688C" w:rsidR="00276180" w:rsidRDefault="00276180" w:rsidP="007F0465">
      <w:pPr>
        <w:pStyle w:val="FootnoteText"/>
        <w:spacing w:after="120"/>
        <w:jc w:val="both"/>
      </w:pPr>
      <w:r>
        <w:rPr>
          <w:rStyle w:val="FootnoteReference"/>
        </w:rPr>
        <w:footnoteRef/>
      </w:r>
      <w:r>
        <w:t xml:space="preserve"> </w:t>
      </w:r>
      <w:r w:rsidRPr="00D65330">
        <w:rPr>
          <w:rFonts w:cs="Arial"/>
        </w:rPr>
        <w:t>Although</w:t>
      </w:r>
      <w:r>
        <w:rPr>
          <w:rFonts w:cs="Arial"/>
        </w:rPr>
        <w:t xml:space="preserve"> Ohio Power and Duke protest the Commission’s order, they agree with the premise that amounts that the rate regulated utilities may be required to return to customers should be booked as a deferred liability.  Witnesses for both recognized that GAAP directed that treatment.  Tr. at 32-33 and 70.  </w:t>
      </w:r>
    </w:p>
  </w:footnote>
  <w:footnote w:id="4">
    <w:p w14:paraId="69D5EC96" w14:textId="7F2F335D" w:rsidR="0085425B" w:rsidRDefault="00540A1B" w:rsidP="00EE04F0">
      <w:pPr>
        <w:spacing w:after="240"/>
        <w:jc w:val="both"/>
        <w:rPr>
          <w:rFonts w:cs="Arial"/>
        </w:rPr>
      </w:pPr>
      <w:r>
        <w:rPr>
          <w:rStyle w:val="FootnoteReference"/>
        </w:rPr>
        <w:footnoteRef/>
      </w:r>
      <w:r>
        <w:t xml:space="preserve"> </w:t>
      </w:r>
      <w:r w:rsidR="0085425B" w:rsidRPr="001D27B6">
        <w:rPr>
          <w:rFonts w:cs="Arial"/>
          <w:sz w:val="20"/>
          <w:szCs w:val="20"/>
        </w:rPr>
        <w:t xml:space="preserve">The Commission’s order to book a deferred liability for the tax reduction in this case, moreover, is consistent with orders issued by several other states.  </w:t>
      </w:r>
      <w:r w:rsidR="0085425B" w:rsidRPr="00C8328C">
        <w:rPr>
          <w:rFonts w:cs="Arial"/>
          <w:i/>
          <w:sz w:val="20"/>
          <w:szCs w:val="20"/>
        </w:rPr>
        <w:t>See, e.g.</w:t>
      </w:r>
      <w:r w:rsidR="0085425B" w:rsidRPr="001D27B6">
        <w:rPr>
          <w:rFonts w:cs="Arial"/>
          <w:sz w:val="20"/>
          <w:szCs w:val="20"/>
        </w:rPr>
        <w:t xml:space="preserve">, </w:t>
      </w:r>
      <w:r w:rsidR="0085425B" w:rsidRPr="00C352AE">
        <w:rPr>
          <w:rFonts w:cs="Arial"/>
          <w:i/>
          <w:sz w:val="20"/>
          <w:szCs w:val="20"/>
        </w:rPr>
        <w:t>Tax Cuts and Jobs Act—Metropolitan Edison Co.</w:t>
      </w:r>
      <w:r w:rsidR="0085425B" w:rsidRPr="001D27B6">
        <w:rPr>
          <w:rFonts w:cs="Arial"/>
          <w:sz w:val="20"/>
          <w:szCs w:val="20"/>
        </w:rPr>
        <w:t>, 2018 Pa</w:t>
      </w:r>
      <w:r w:rsidR="002A50F3">
        <w:rPr>
          <w:rFonts w:cs="Arial"/>
          <w:sz w:val="20"/>
          <w:szCs w:val="20"/>
        </w:rPr>
        <w:t>.</w:t>
      </w:r>
      <w:r w:rsidR="0085425B" w:rsidRPr="001D27B6">
        <w:rPr>
          <w:rFonts w:cs="Arial"/>
          <w:sz w:val="20"/>
          <w:szCs w:val="20"/>
        </w:rPr>
        <w:t xml:space="preserve"> PUC LEXIS 209 (June 14, 2018); </w:t>
      </w:r>
      <w:r w:rsidR="0085425B" w:rsidRPr="00C24F17">
        <w:rPr>
          <w:rFonts w:cs="Arial"/>
          <w:i/>
          <w:sz w:val="20"/>
          <w:szCs w:val="20"/>
        </w:rPr>
        <w:t>Kentucky Industrial Utility Customers v. Kentucky Utility Companies</w:t>
      </w:r>
      <w:r w:rsidR="0085425B" w:rsidRPr="001D27B6">
        <w:rPr>
          <w:rFonts w:cs="Arial"/>
          <w:sz w:val="20"/>
          <w:szCs w:val="20"/>
        </w:rPr>
        <w:t xml:space="preserve">, 2017 Ky. PUC LEXIS 1231 (Dec. 27, 2017); </w:t>
      </w:r>
      <w:r w:rsidR="0085425B" w:rsidRPr="00C352AE">
        <w:rPr>
          <w:rFonts w:cs="Arial"/>
          <w:i/>
          <w:sz w:val="20"/>
          <w:szCs w:val="20"/>
        </w:rPr>
        <w:t>Gulf Power Co.</w:t>
      </w:r>
      <w:r w:rsidR="0085425B" w:rsidRPr="001D27B6">
        <w:rPr>
          <w:rFonts w:cs="Arial"/>
          <w:sz w:val="20"/>
          <w:szCs w:val="20"/>
        </w:rPr>
        <w:t>, 343 P.U.R.4</w:t>
      </w:r>
      <w:r w:rsidR="0085425B" w:rsidRPr="001D27B6">
        <w:rPr>
          <w:rFonts w:cs="Arial"/>
          <w:sz w:val="20"/>
          <w:szCs w:val="20"/>
          <w:vertAlign w:val="superscript"/>
        </w:rPr>
        <w:t>th</w:t>
      </w:r>
      <w:r w:rsidR="0085425B" w:rsidRPr="001D27B6">
        <w:rPr>
          <w:rFonts w:cs="Arial"/>
          <w:sz w:val="20"/>
          <w:szCs w:val="20"/>
        </w:rPr>
        <w:t xml:space="preserve"> 302 (Fl. Pub. Serv. Comm’n 2018); </w:t>
      </w:r>
      <w:r w:rsidR="0085425B" w:rsidRPr="00C352AE">
        <w:rPr>
          <w:rFonts w:cs="Arial"/>
          <w:i/>
          <w:sz w:val="20"/>
          <w:szCs w:val="20"/>
        </w:rPr>
        <w:t xml:space="preserve">In the Matter of the Commission’s Consideration on its Own Motion of </w:t>
      </w:r>
      <w:r w:rsidR="0087009D" w:rsidRPr="00C352AE">
        <w:rPr>
          <w:rFonts w:cs="Arial"/>
          <w:i/>
          <w:sz w:val="20"/>
          <w:szCs w:val="20"/>
        </w:rPr>
        <w:t>the</w:t>
      </w:r>
      <w:r w:rsidR="0085425B" w:rsidRPr="00C352AE">
        <w:rPr>
          <w:rFonts w:cs="Arial"/>
          <w:i/>
          <w:sz w:val="20"/>
          <w:szCs w:val="20"/>
        </w:rPr>
        <w:t xml:space="preserve"> Effect of the Tax Cut and Jobs Act of 2017 on the Propriety of Rates Charged by Public Utilities and Telecommunications Companies Providing Service in Wyoming</w:t>
      </w:r>
      <w:r w:rsidR="0085425B" w:rsidRPr="001D27B6">
        <w:rPr>
          <w:rFonts w:cs="Arial"/>
          <w:sz w:val="20"/>
          <w:szCs w:val="20"/>
        </w:rPr>
        <w:t xml:space="preserve">, 2018 Wy. PUC LEXIS 23 (Jan. 23, 2018); </w:t>
      </w:r>
      <w:r w:rsidR="0085425B" w:rsidRPr="00C352AE">
        <w:rPr>
          <w:rFonts w:cs="Arial"/>
          <w:i/>
          <w:sz w:val="20"/>
          <w:szCs w:val="20"/>
        </w:rPr>
        <w:t>In the Matter of the Impact of the Federal Tax Cuts and Jobs Act of 2017 on Maryland Utility Rates</w:t>
      </w:r>
      <w:r w:rsidR="0085425B" w:rsidRPr="001D27B6">
        <w:rPr>
          <w:rFonts w:cs="Arial"/>
          <w:sz w:val="20"/>
          <w:szCs w:val="20"/>
        </w:rPr>
        <w:t xml:space="preserve">, 2018 Md. </w:t>
      </w:r>
      <w:r w:rsidR="00C352AE" w:rsidRPr="001D27B6">
        <w:rPr>
          <w:rFonts w:cs="Arial"/>
          <w:sz w:val="20"/>
          <w:szCs w:val="20"/>
        </w:rPr>
        <w:t>P</w:t>
      </w:r>
      <w:r w:rsidR="00C352AE">
        <w:rPr>
          <w:rFonts w:cs="Arial"/>
          <w:sz w:val="20"/>
          <w:szCs w:val="20"/>
        </w:rPr>
        <w:t>SC</w:t>
      </w:r>
      <w:r w:rsidR="00C352AE" w:rsidRPr="001D27B6">
        <w:rPr>
          <w:rFonts w:cs="Arial"/>
          <w:sz w:val="20"/>
          <w:szCs w:val="20"/>
        </w:rPr>
        <w:t xml:space="preserve"> </w:t>
      </w:r>
      <w:r w:rsidR="0085425B" w:rsidRPr="001D27B6">
        <w:rPr>
          <w:rFonts w:cs="Arial"/>
          <w:sz w:val="20"/>
          <w:szCs w:val="20"/>
        </w:rPr>
        <w:t xml:space="preserve">LEXIS 11 (Jan. 12, 2018); </w:t>
      </w:r>
      <w:r w:rsidR="0085425B" w:rsidRPr="00C352AE">
        <w:rPr>
          <w:rFonts w:cs="Arial"/>
          <w:i/>
          <w:sz w:val="20"/>
          <w:szCs w:val="20"/>
        </w:rPr>
        <w:t>In the Matter of the Public Utilities Commission Instituting a Proceeding to Investigate the Impacts of the Tax Cuts and Jobs Act of 2017</w:t>
      </w:r>
      <w:r w:rsidR="0085425B" w:rsidRPr="001D27B6">
        <w:rPr>
          <w:rFonts w:cs="Arial"/>
          <w:sz w:val="20"/>
          <w:szCs w:val="20"/>
        </w:rPr>
        <w:t>, 2018 Haw. PUC LEXIS 59, Opinion (Jan.</w:t>
      </w:r>
      <w:r w:rsidR="00517F84">
        <w:rPr>
          <w:rFonts w:cs="Arial"/>
          <w:sz w:val="20"/>
          <w:szCs w:val="20"/>
        </w:rPr>
        <w:t> </w:t>
      </w:r>
      <w:r w:rsidR="0085425B" w:rsidRPr="001D27B6">
        <w:rPr>
          <w:rFonts w:cs="Arial"/>
          <w:sz w:val="20"/>
          <w:szCs w:val="20"/>
        </w:rPr>
        <w:t xml:space="preserve">26, 2018); </w:t>
      </w:r>
      <w:r w:rsidR="0085425B" w:rsidRPr="00C352AE">
        <w:rPr>
          <w:rFonts w:cs="Arial"/>
          <w:i/>
          <w:sz w:val="20"/>
          <w:szCs w:val="20"/>
        </w:rPr>
        <w:t xml:space="preserve">In the Matter of the Effect on Utilities of </w:t>
      </w:r>
      <w:r w:rsidR="0087009D" w:rsidRPr="00C352AE">
        <w:rPr>
          <w:rFonts w:cs="Arial"/>
          <w:i/>
          <w:sz w:val="20"/>
          <w:szCs w:val="20"/>
        </w:rPr>
        <w:t>the</w:t>
      </w:r>
      <w:r w:rsidR="0085425B" w:rsidRPr="00C352AE">
        <w:rPr>
          <w:rFonts w:cs="Arial"/>
          <w:i/>
          <w:sz w:val="20"/>
          <w:szCs w:val="20"/>
        </w:rPr>
        <w:t xml:space="preserve"> 2017 Tax Cuts and Jobs Act</w:t>
      </w:r>
      <w:r w:rsidR="0085425B" w:rsidRPr="001D27B6">
        <w:rPr>
          <w:rFonts w:cs="Arial"/>
          <w:sz w:val="20"/>
          <w:szCs w:val="20"/>
        </w:rPr>
        <w:t>, 2018 W.</w:t>
      </w:r>
      <w:r w:rsidR="00C352AE">
        <w:rPr>
          <w:rFonts w:cs="Arial"/>
          <w:sz w:val="20"/>
          <w:szCs w:val="20"/>
        </w:rPr>
        <w:t> </w:t>
      </w:r>
      <w:r w:rsidR="0085425B" w:rsidRPr="001D27B6">
        <w:rPr>
          <w:rFonts w:cs="Arial"/>
          <w:sz w:val="20"/>
          <w:szCs w:val="20"/>
        </w:rPr>
        <w:t xml:space="preserve">Va. PUC LEXIS 120 (Jan. 26, 2018); </w:t>
      </w:r>
      <w:r w:rsidR="0085425B" w:rsidRPr="00C352AE">
        <w:rPr>
          <w:rFonts w:cs="Arial"/>
          <w:i/>
          <w:sz w:val="20"/>
          <w:szCs w:val="20"/>
        </w:rPr>
        <w:t>Proceeding to Investigate and Address the Effects of the Tax Cuts and Jobs Act of 2017 on the Rates of Texas Investor-owned Utility Companies</w:t>
      </w:r>
      <w:r w:rsidR="0085425B" w:rsidRPr="001D27B6">
        <w:rPr>
          <w:rFonts w:cs="Arial"/>
          <w:sz w:val="20"/>
          <w:szCs w:val="20"/>
        </w:rPr>
        <w:t>, 2018 T</w:t>
      </w:r>
      <w:r w:rsidR="00DE1B7F">
        <w:rPr>
          <w:rFonts w:cs="Arial"/>
          <w:sz w:val="20"/>
          <w:szCs w:val="20"/>
        </w:rPr>
        <w:t>e</w:t>
      </w:r>
      <w:r w:rsidR="0085425B" w:rsidRPr="001D27B6">
        <w:rPr>
          <w:rFonts w:cs="Arial"/>
          <w:sz w:val="20"/>
          <w:szCs w:val="20"/>
        </w:rPr>
        <w:t xml:space="preserve">x. PUC LEXIS 204 (Jan. 25, 2018); </w:t>
      </w:r>
      <w:r w:rsidR="0085425B" w:rsidRPr="00DE1B7F">
        <w:rPr>
          <w:rFonts w:cs="Arial"/>
          <w:i/>
          <w:sz w:val="20"/>
          <w:szCs w:val="20"/>
        </w:rPr>
        <w:t>Notice to Jurisdictional Utilities to Immediately Track and Record, as of January 1, 2018, the Impacts of the Tax Cuts and Jobs Act as a Regulatory Liability and Opening a Rulemaking Docket Regarding Same</w:t>
      </w:r>
      <w:r w:rsidR="0085425B" w:rsidRPr="001D27B6">
        <w:rPr>
          <w:rFonts w:cs="Arial"/>
          <w:sz w:val="20"/>
          <w:szCs w:val="20"/>
        </w:rPr>
        <w:t xml:space="preserve">, 2018 La. PUC LEXIS 25 (Feb. 21, 2018); </w:t>
      </w:r>
      <w:r w:rsidR="0085425B" w:rsidRPr="00DE1B7F">
        <w:rPr>
          <w:rFonts w:cs="Arial"/>
          <w:i/>
          <w:sz w:val="20"/>
          <w:szCs w:val="20"/>
        </w:rPr>
        <w:t xml:space="preserve">Investigation by the Department of Public Utilities, on its Own Motion into the Effect of </w:t>
      </w:r>
      <w:r w:rsidR="0087009D" w:rsidRPr="00DE1B7F">
        <w:rPr>
          <w:rFonts w:cs="Arial"/>
          <w:i/>
          <w:sz w:val="20"/>
          <w:szCs w:val="20"/>
        </w:rPr>
        <w:t>the</w:t>
      </w:r>
      <w:r w:rsidR="0085425B" w:rsidRPr="00DE1B7F">
        <w:rPr>
          <w:rFonts w:cs="Arial"/>
          <w:i/>
          <w:sz w:val="20"/>
          <w:szCs w:val="20"/>
        </w:rPr>
        <w:t xml:space="preserve"> Reduction in Federal Income Tax Rates on the Rates Charged by Electric, </w:t>
      </w:r>
      <w:r w:rsidR="00DE1B7F">
        <w:rPr>
          <w:rFonts w:cs="Arial"/>
          <w:i/>
          <w:sz w:val="20"/>
          <w:szCs w:val="20"/>
        </w:rPr>
        <w:t>G</w:t>
      </w:r>
      <w:r w:rsidR="0085425B" w:rsidRPr="00DE1B7F">
        <w:rPr>
          <w:rFonts w:cs="Arial"/>
          <w:i/>
          <w:sz w:val="20"/>
          <w:szCs w:val="20"/>
        </w:rPr>
        <w:t>as, and Water Companies</w:t>
      </w:r>
      <w:r w:rsidR="0085425B" w:rsidRPr="001D27B6">
        <w:rPr>
          <w:rFonts w:cs="Arial"/>
          <w:sz w:val="20"/>
          <w:szCs w:val="20"/>
        </w:rPr>
        <w:t>, 2018 Mass. PUC LEXIS 25 (Feb. 2, 2018).</w:t>
      </w:r>
      <w:r w:rsidR="0085425B">
        <w:rPr>
          <w:rFonts w:cs="Arial"/>
        </w:rPr>
        <w:t xml:space="preserve">  </w:t>
      </w:r>
    </w:p>
    <w:p w14:paraId="4EE2339F" w14:textId="77777777" w:rsidR="00540A1B" w:rsidRDefault="00540A1B" w:rsidP="00EE04F0">
      <w:pPr>
        <w:pStyle w:val="FootnoteText"/>
        <w:jc w:val="both"/>
      </w:pPr>
    </w:p>
  </w:footnote>
  <w:footnote w:id="5">
    <w:p w14:paraId="46E87C9C" w14:textId="77777777" w:rsidR="009904A0" w:rsidRDefault="009904A0" w:rsidP="000E3715">
      <w:pPr>
        <w:pStyle w:val="FootnoteText"/>
        <w:spacing w:after="120"/>
        <w:jc w:val="both"/>
      </w:pPr>
      <w:r>
        <w:rPr>
          <w:rStyle w:val="FootnoteReference"/>
        </w:rPr>
        <w:footnoteRef/>
      </w:r>
      <w:r>
        <w:t xml:space="preserve"> This invocation of due process ignores Duke’s right to rehearing and a review by both the Commission and the Supreme Court of Ohio.  R.C. 4903.10 to R.C. 4903.13.</w:t>
      </w:r>
    </w:p>
  </w:footnote>
  <w:footnote w:id="6">
    <w:p w14:paraId="56E341A3" w14:textId="7428C815" w:rsidR="00657453" w:rsidRDefault="00657453" w:rsidP="00B22A21">
      <w:pPr>
        <w:pStyle w:val="FootnoteText"/>
        <w:spacing w:after="120"/>
        <w:jc w:val="both"/>
      </w:pPr>
      <w:r>
        <w:rPr>
          <w:rStyle w:val="FootnoteReference"/>
        </w:rPr>
        <w:footnoteRef/>
      </w:r>
      <w:r>
        <w:t xml:space="preserve"> </w:t>
      </w:r>
      <w:r w:rsidR="00102A71">
        <w:t xml:space="preserve">To avoid the conclusion that the order directing the utility to track the tax savings is reasonable, </w:t>
      </w:r>
      <w:r w:rsidR="00B0253E">
        <w:t xml:space="preserve">Duke’s witness </w:t>
      </w:r>
      <w:r w:rsidR="00102A71">
        <w:t>both modifies the criteria and makes claims that are unsupported</w:t>
      </w:r>
      <w:r w:rsidR="00B0253E">
        <w:t xml:space="preserve">.  For example, he </w:t>
      </w:r>
      <w:r w:rsidR="00877275">
        <w:t xml:space="preserve">modifies the factor concerning the utility’s control over the tax change to focus on the Commission’s control of </w:t>
      </w:r>
      <w:r w:rsidR="006D792E">
        <w:t xml:space="preserve">an </w:t>
      </w:r>
      <w:r w:rsidR="00B0253E">
        <w:t>order to defer</w:t>
      </w:r>
      <w:r w:rsidR="00B0253E" w:rsidRPr="00B564F0">
        <w:t>.  Duke Energy Ohio Ex. 1 at 11.  Similarly</w:t>
      </w:r>
      <w:r w:rsidR="00B0253E">
        <w:t xml:space="preserve">, he states that the first tax rate reduction since 1986 may not be atypical since “it is entirely possible that the next election could bring some </w:t>
      </w:r>
      <w:r w:rsidR="00EE04F0">
        <w:t>additional</w:t>
      </w:r>
      <w:r w:rsidR="00B0253E">
        <w:t xml:space="preserve"> changes in the FIT </w:t>
      </w:r>
      <w:r w:rsidR="00B0253E" w:rsidRPr="00B564F0">
        <w:t xml:space="preserve">rates.”  </w:t>
      </w:r>
      <w:r w:rsidR="00B0253E" w:rsidRPr="00B564F0">
        <w:rPr>
          <w:i/>
        </w:rPr>
        <w:t>Id.</w:t>
      </w:r>
      <w:r w:rsidR="00B0253E">
        <w:t xml:space="preserve">  The witness apparently apprecia</w:t>
      </w:r>
      <w:r w:rsidR="006D792E">
        <w:t xml:space="preserve">tes that this </w:t>
      </w:r>
      <w:r w:rsidR="00877275">
        <w:t xml:space="preserve">claim </w:t>
      </w:r>
      <w:r w:rsidR="006D792E">
        <w:t xml:space="preserve">will be unproductive and concedes that it is “fair” to conclude that the </w:t>
      </w:r>
      <w:r w:rsidR="00B55EAC">
        <w:t xml:space="preserve">tax </w:t>
      </w:r>
      <w:r w:rsidR="006D792E">
        <w:t xml:space="preserve">rate reduction is </w:t>
      </w:r>
      <w:r w:rsidR="006D792E" w:rsidRPr="00B564F0">
        <w:t xml:space="preserve">atypical.  </w:t>
      </w:r>
      <w:r w:rsidR="006D792E" w:rsidRPr="00B564F0">
        <w:rPr>
          <w:i/>
        </w:rPr>
        <w:t>Id.</w:t>
      </w:r>
      <w:r w:rsidR="00B564F0">
        <w:rPr>
          <w:i/>
        </w:rPr>
        <w:t xml:space="preserve"> </w:t>
      </w:r>
      <w:r w:rsidR="006D792E" w:rsidRPr="00B564F0">
        <w:t xml:space="preserve"> </w:t>
      </w:r>
      <w:r w:rsidR="00FC36D1" w:rsidRPr="00B564F0">
        <w:t>Duke’s</w:t>
      </w:r>
      <w:r w:rsidR="00FC36D1">
        <w:t xml:space="preserve"> attempt to characterize the tax change as typical is also undermined by its application to reduce rates</w:t>
      </w:r>
      <w:r w:rsidR="009E68B2">
        <w:t>, which was filed after the hearing in this matter.  In that application, Duke alleged that</w:t>
      </w:r>
      <w:r w:rsidR="00FC36D1">
        <w:t xml:space="preserve"> the TCJA </w:t>
      </w:r>
      <w:r w:rsidR="009E68B2">
        <w:t xml:space="preserve">is </w:t>
      </w:r>
      <w:r w:rsidR="00FC36D1">
        <w:t xml:space="preserve">“the most significant revision to the Federal Tax Code within the last thirty years.”  </w:t>
      </w:r>
      <w:r w:rsidR="00FC36D1" w:rsidRPr="00E35763">
        <w:rPr>
          <w:i/>
        </w:rPr>
        <w:t>In the Matter of the Application of Duke Energy Ohio, Inc., for Implementation of the Tax Cuts and Jobs Act of 2017</w:t>
      </w:r>
      <w:r w:rsidR="00FC36D1">
        <w:t>, Case Nos. 18-1185-EL-UNC</w:t>
      </w:r>
      <w:r w:rsidR="00E31F07">
        <w:t>,</w:t>
      </w:r>
      <w:r w:rsidR="00E35763">
        <w:t xml:space="preserve"> </w:t>
      </w:r>
      <w:r w:rsidR="00E35763" w:rsidRPr="00E35763">
        <w:rPr>
          <w:i/>
        </w:rPr>
        <w:t>et al.</w:t>
      </w:r>
      <w:r w:rsidR="00FC36D1">
        <w:t>, Application at 2 (July 25,</w:t>
      </w:r>
      <w:r w:rsidR="00E35763">
        <w:t xml:space="preserve"> </w:t>
      </w:r>
      <w:r w:rsidR="00FC36D1">
        <w:t>2018).</w:t>
      </w:r>
    </w:p>
  </w:footnote>
  <w:footnote w:id="7">
    <w:p w14:paraId="6759F31D" w14:textId="77777777" w:rsidR="006D52C4" w:rsidRDefault="006D52C4" w:rsidP="00EE04F0">
      <w:pPr>
        <w:pStyle w:val="FootnoteText"/>
        <w:jc w:val="both"/>
      </w:pPr>
      <w:r>
        <w:rPr>
          <w:rStyle w:val="FootnoteReference"/>
        </w:rPr>
        <w:footnoteRef/>
      </w:r>
      <w:r>
        <w:t xml:space="preserve"> The Commission in this instance need not apply the multipart test since accounting requirements support the booking of the deferred liability.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4A49" w14:textId="77777777" w:rsidR="00B4733C" w:rsidRDefault="00B4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D7D" w14:textId="77777777" w:rsidR="00B4733C" w:rsidRDefault="00B47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D5A8" w14:textId="77777777" w:rsidR="00B4733C" w:rsidRDefault="00B473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235ED" w14:textId="77777777" w:rsidR="00724526" w:rsidRDefault="007245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3A6D" w14:textId="77777777" w:rsidR="00724526" w:rsidRDefault="007245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964D" w14:textId="77777777" w:rsidR="00724526" w:rsidRDefault="0072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93C67"/>
    <w:multiLevelType w:val="hybridMultilevel"/>
    <w:tmpl w:val="56A8D934"/>
    <w:lvl w:ilvl="0" w:tplc="6B96F20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77689"/>
    <w:multiLevelType w:val="hybridMultilevel"/>
    <w:tmpl w:val="C1A0CA14"/>
    <w:lvl w:ilvl="0" w:tplc="08202F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A0"/>
    <w:rsid w:val="00016FAB"/>
    <w:rsid w:val="00041850"/>
    <w:rsid w:val="00043997"/>
    <w:rsid w:val="00047904"/>
    <w:rsid w:val="00050C0A"/>
    <w:rsid w:val="000525C7"/>
    <w:rsid w:val="00054691"/>
    <w:rsid w:val="0005581A"/>
    <w:rsid w:val="0006192E"/>
    <w:rsid w:val="00063708"/>
    <w:rsid w:val="00065CA8"/>
    <w:rsid w:val="00074D45"/>
    <w:rsid w:val="00086827"/>
    <w:rsid w:val="000C63E1"/>
    <w:rsid w:val="000D0358"/>
    <w:rsid w:val="000D74F3"/>
    <w:rsid w:val="000E09B0"/>
    <w:rsid w:val="000E3715"/>
    <w:rsid w:val="000E4131"/>
    <w:rsid w:val="00101FE0"/>
    <w:rsid w:val="00102A71"/>
    <w:rsid w:val="00105A95"/>
    <w:rsid w:val="001061AE"/>
    <w:rsid w:val="00155399"/>
    <w:rsid w:val="0016115C"/>
    <w:rsid w:val="00171142"/>
    <w:rsid w:val="00172D96"/>
    <w:rsid w:val="0018266A"/>
    <w:rsid w:val="00187F69"/>
    <w:rsid w:val="001A6F3D"/>
    <w:rsid w:val="001D27B6"/>
    <w:rsid w:val="001D3364"/>
    <w:rsid w:val="001F52C6"/>
    <w:rsid w:val="00201941"/>
    <w:rsid w:val="00206FF1"/>
    <w:rsid w:val="00210B3A"/>
    <w:rsid w:val="00217E3F"/>
    <w:rsid w:val="002227D7"/>
    <w:rsid w:val="00256239"/>
    <w:rsid w:val="00271717"/>
    <w:rsid w:val="00276180"/>
    <w:rsid w:val="00285BA2"/>
    <w:rsid w:val="002A50F3"/>
    <w:rsid w:val="002A7AD4"/>
    <w:rsid w:val="002D7683"/>
    <w:rsid w:val="00305C52"/>
    <w:rsid w:val="003454FB"/>
    <w:rsid w:val="00350DD6"/>
    <w:rsid w:val="00356BD9"/>
    <w:rsid w:val="0037359C"/>
    <w:rsid w:val="00376A54"/>
    <w:rsid w:val="003779AA"/>
    <w:rsid w:val="00381F4C"/>
    <w:rsid w:val="003D1DF2"/>
    <w:rsid w:val="003F6249"/>
    <w:rsid w:val="00412E5B"/>
    <w:rsid w:val="00436975"/>
    <w:rsid w:val="00446B01"/>
    <w:rsid w:val="00450481"/>
    <w:rsid w:val="004506D0"/>
    <w:rsid w:val="00461ED8"/>
    <w:rsid w:val="004716A9"/>
    <w:rsid w:val="00482073"/>
    <w:rsid w:val="00487CBC"/>
    <w:rsid w:val="00495305"/>
    <w:rsid w:val="0049799B"/>
    <w:rsid w:val="004A12CE"/>
    <w:rsid w:val="004C0D36"/>
    <w:rsid w:val="004D40CF"/>
    <w:rsid w:val="004E2D65"/>
    <w:rsid w:val="004F1BA5"/>
    <w:rsid w:val="004F531B"/>
    <w:rsid w:val="004F7172"/>
    <w:rsid w:val="00506D1E"/>
    <w:rsid w:val="00517F84"/>
    <w:rsid w:val="00540A1B"/>
    <w:rsid w:val="00545509"/>
    <w:rsid w:val="00547DC4"/>
    <w:rsid w:val="00547FD8"/>
    <w:rsid w:val="00557F03"/>
    <w:rsid w:val="00563258"/>
    <w:rsid w:val="005660BF"/>
    <w:rsid w:val="00581BA0"/>
    <w:rsid w:val="005A5FE1"/>
    <w:rsid w:val="005A7B57"/>
    <w:rsid w:val="005D480D"/>
    <w:rsid w:val="005F290F"/>
    <w:rsid w:val="005F318A"/>
    <w:rsid w:val="005F51C9"/>
    <w:rsid w:val="00605BF9"/>
    <w:rsid w:val="00624E8D"/>
    <w:rsid w:val="00625641"/>
    <w:rsid w:val="00631D91"/>
    <w:rsid w:val="006349DF"/>
    <w:rsid w:val="00635281"/>
    <w:rsid w:val="00636FCC"/>
    <w:rsid w:val="00640A11"/>
    <w:rsid w:val="0064604B"/>
    <w:rsid w:val="006543E4"/>
    <w:rsid w:val="00657453"/>
    <w:rsid w:val="006855DB"/>
    <w:rsid w:val="00685F2E"/>
    <w:rsid w:val="006A43C3"/>
    <w:rsid w:val="006C003D"/>
    <w:rsid w:val="006C0A7F"/>
    <w:rsid w:val="006D52C4"/>
    <w:rsid w:val="006D792E"/>
    <w:rsid w:val="006E0CEE"/>
    <w:rsid w:val="006E2972"/>
    <w:rsid w:val="006E3A26"/>
    <w:rsid w:val="006E5724"/>
    <w:rsid w:val="006E5FED"/>
    <w:rsid w:val="006F0816"/>
    <w:rsid w:val="006F3E00"/>
    <w:rsid w:val="007057FC"/>
    <w:rsid w:val="00716E14"/>
    <w:rsid w:val="00724526"/>
    <w:rsid w:val="0073548D"/>
    <w:rsid w:val="00745D39"/>
    <w:rsid w:val="00755B36"/>
    <w:rsid w:val="00757FA7"/>
    <w:rsid w:val="00770B65"/>
    <w:rsid w:val="00773BA8"/>
    <w:rsid w:val="007937AD"/>
    <w:rsid w:val="007B1AA4"/>
    <w:rsid w:val="007C791E"/>
    <w:rsid w:val="007F0465"/>
    <w:rsid w:val="007F4FBB"/>
    <w:rsid w:val="007F7428"/>
    <w:rsid w:val="0082359D"/>
    <w:rsid w:val="00825DCB"/>
    <w:rsid w:val="00834685"/>
    <w:rsid w:val="008403DB"/>
    <w:rsid w:val="0085425B"/>
    <w:rsid w:val="00855F7B"/>
    <w:rsid w:val="0087009D"/>
    <w:rsid w:val="00870355"/>
    <w:rsid w:val="00877275"/>
    <w:rsid w:val="008836BB"/>
    <w:rsid w:val="008904BB"/>
    <w:rsid w:val="00890F66"/>
    <w:rsid w:val="008953F6"/>
    <w:rsid w:val="00897B27"/>
    <w:rsid w:val="008B4BAC"/>
    <w:rsid w:val="008C306C"/>
    <w:rsid w:val="008E3BF4"/>
    <w:rsid w:val="008E42F7"/>
    <w:rsid w:val="00912CF6"/>
    <w:rsid w:val="009167A3"/>
    <w:rsid w:val="0092246E"/>
    <w:rsid w:val="00934811"/>
    <w:rsid w:val="0094039D"/>
    <w:rsid w:val="0095294B"/>
    <w:rsid w:val="009850E4"/>
    <w:rsid w:val="009904A0"/>
    <w:rsid w:val="009B2140"/>
    <w:rsid w:val="009B59B6"/>
    <w:rsid w:val="009E68B2"/>
    <w:rsid w:val="00A031BA"/>
    <w:rsid w:val="00A07724"/>
    <w:rsid w:val="00A36339"/>
    <w:rsid w:val="00A375C4"/>
    <w:rsid w:val="00A46A4D"/>
    <w:rsid w:val="00A6036D"/>
    <w:rsid w:val="00AB22BF"/>
    <w:rsid w:val="00AD507F"/>
    <w:rsid w:val="00AF7F31"/>
    <w:rsid w:val="00B01098"/>
    <w:rsid w:val="00B01ABC"/>
    <w:rsid w:val="00B0253E"/>
    <w:rsid w:val="00B22A21"/>
    <w:rsid w:val="00B25C4E"/>
    <w:rsid w:val="00B26DC8"/>
    <w:rsid w:val="00B30355"/>
    <w:rsid w:val="00B30DD6"/>
    <w:rsid w:val="00B40F0D"/>
    <w:rsid w:val="00B43502"/>
    <w:rsid w:val="00B446DC"/>
    <w:rsid w:val="00B45037"/>
    <w:rsid w:val="00B4733C"/>
    <w:rsid w:val="00B538A1"/>
    <w:rsid w:val="00B55EAC"/>
    <w:rsid w:val="00B564F0"/>
    <w:rsid w:val="00B64D33"/>
    <w:rsid w:val="00B84C8F"/>
    <w:rsid w:val="00B951FE"/>
    <w:rsid w:val="00BA75E6"/>
    <w:rsid w:val="00BB0167"/>
    <w:rsid w:val="00BB0462"/>
    <w:rsid w:val="00BB1469"/>
    <w:rsid w:val="00BC05B4"/>
    <w:rsid w:val="00C0405A"/>
    <w:rsid w:val="00C175DD"/>
    <w:rsid w:val="00C178BA"/>
    <w:rsid w:val="00C17FE2"/>
    <w:rsid w:val="00C24F17"/>
    <w:rsid w:val="00C24F54"/>
    <w:rsid w:val="00C3229F"/>
    <w:rsid w:val="00C352AE"/>
    <w:rsid w:val="00C42BEF"/>
    <w:rsid w:val="00C5752F"/>
    <w:rsid w:val="00C75FAD"/>
    <w:rsid w:val="00C76B64"/>
    <w:rsid w:val="00C8328C"/>
    <w:rsid w:val="00C86E88"/>
    <w:rsid w:val="00CB4ADD"/>
    <w:rsid w:val="00CB66B6"/>
    <w:rsid w:val="00CD6724"/>
    <w:rsid w:val="00D03365"/>
    <w:rsid w:val="00D232DF"/>
    <w:rsid w:val="00D43FDA"/>
    <w:rsid w:val="00D55E8D"/>
    <w:rsid w:val="00D56519"/>
    <w:rsid w:val="00D65330"/>
    <w:rsid w:val="00D6539E"/>
    <w:rsid w:val="00DA2854"/>
    <w:rsid w:val="00DD09F2"/>
    <w:rsid w:val="00DD458B"/>
    <w:rsid w:val="00DE1B7F"/>
    <w:rsid w:val="00DE606C"/>
    <w:rsid w:val="00E02615"/>
    <w:rsid w:val="00E0550C"/>
    <w:rsid w:val="00E31F07"/>
    <w:rsid w:val="00E35763"/>
    <w:rsid w:val="00E419F5"/>
    <w:rsid w:val="00E42903"/>
    <w:rsid w:val="00E42CEA"/>
    <w:rsid w:val="00E43BB0"/>
    <w:rsid w:val="00E442A8"/>
    <w:rsid w:val="00E44E49"/>
    <w:rsid w:val="00E61503"/>
    <w:rsid w:val="00E71EAE"/>
    <w:rsid w:val="00E739D7"/>
    <w:rsid w:val="00E866E6"/>
    <w:rsid w:val="00E941B3"/>
    <w:rsid w:val="00EC0165"/>
    <w:rsid w:val="00ED0114"/>
    <w:rsid w:val="00ED0CAD"/>
    <w:rsid w:val="00ED71D3"/>
    <w:rsid w:val="00EE04F0"/>
    <w:rsid w:val="00EE7986"/>
    <w:rsid w:val="00EE7A96"/>
    <w:rsid w:val="00EF0607"/>
    <w:rsid w:val="00EF06AB"/>
    <w:rsid w:val="00F00ED5"/>
    <w:rsid w:val="00F12E1C"/>
    <w:rsid w:val="00F2777D"/>
    <w:rsid w:val="00F3248C"/>
    <w:rsid w:val="00F4146A"/>
    <w:rsid w:val="00F43C29"/>
    <w:rsid w:val="00F75ADA"/>
    <w:rsid w:val="00F75F58"/>
    <w:rsid w:val="00F85505"/>
    <w:rsid w:val="00FA5E25"/>
    <w:rsid w:val="00FA6634"/>
    <w:rsid w:val="00FB2225"/>
    <w:rsid w:val="00FC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4F968C8"/>
  <w15:chartTrackingRefBased/>
  <w15:docId w15:val="{0BF10F59-A197-45FA-95E6-2DE693F0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365"/>
  </w:style>
  <w:style w:type="paragraph" w:styleId="Heading1">
    <w:name w:val="heading 1"/>
    <w:basedOn w:val="Normal"/>
    <w:next w:val="Normal"/>
    <w:link w:val="Heading1Char"/>
    <w:uiPriority w:val="9"/>
    <w:qFormat/>
    <w:rsid w:val="00EF06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A0"/>
    <w:pPr>
      <w:ind w:left="720"/>
      <w:contextualSpacing/>
    </w:pPr>
  </w:style>
  <w:style w:type="paragraph" w:styleId="Header">
    <w:name w:val="header"/>
    <w:basedOn w:val="Normal"/>
    <w:link w:val="HeaderChar"/>
    <w:uiPriority w:val="99"/>
    <w:unhideWhenUsed/>
    <w:rsid w:val="00724526"/>
    <w:pPr>
      <w:tabs>
        <w:tab w:val="center" w:pos="4680"/>
        <w:tab w:val="right" w:pos="9360"/>
      </w:tabs>
    </w:pPr>
  </w:style>
  <w:style w:type="character" w:customStyle="1" w:styleId="HeaderChar">
    <w:name w:val="Header Char"/>
    <w:basedOn w:val="DefaultParagraphFont"/>
    <w:link w:val="Header"/>
    <w:uiPriority w:val="99"/>
    <w:rsid w:val="00724526"/>
  </w:style>
  <w:style w:type="paragraph" w:styleId="Footer">
    <w:name w:val="footer"/>
    <w:basedOn w:val="Normal"/>
    <w:link w:val="FooterChar"/>
    <w:uiPriority w:val="99"/>
    <w:unhideWhenUsed/>
    <w:rsid w:val="00724526"/>
    <w:pPr>
      <w:tabs>
        <w:tab w:val="center" w:pos="4680"/>
        <w:tab w:val="right" w:pos="9360"/>
      </w:tabs>
    </w:pPr>
  </w:style>
  <w:style w:type="character" w:customStyle="1" w:styleId="FooterChar">
    <w:name w:val="Footer Char"/>
    <w:basedOn w:val="DefaultParagraphFont"/>
    <w:link w:val="Footer"/>
    <w:uiPriority w:val="99"/>
    <w:rsid w:val="00724526"/>
  </w:style>
  <w:style w:type="character" w:customStyle="1" w:styleId="Heading1Char">
    <w:name w:val="Heading 1 Char"/>
    <w:basedOn w:val="DefaultParagraphFont"/>
    <w:link w:val="Heading1"/>
    <w:uiPriority w:val="9"/>
    <w:rsid w:val="00EF0607"/>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657453"/>
    <w:rPr>
      <w:sz w:val="20"/>
      <w:szCs w:val="20"/>
    </w:rPr>
  </w:style>
  <w:style w:type="character" w:customStyle="1" w:styleId="FootnoteTextChar">
    <w:name w:val="Footnote Text Char"/>
    <w:basedOn w:val="DefaultParagraphFont"/>
    <w:link w:val="FootnoteText"/>
    <w:uiPriority w:val="99"/>
    <w:semiHidden/>
    <w:rsid w:val="00657453"/>
    <w:rPr>
      <w:sz w:val="20"/>
      <w:szCs w:val="20"/>
    </w:rPr>
  </w:style>
  <w:style w:type="character" w:styleId="FootnoteReference">
    <w:name w:val="footnote reference"/>
    <w:basedOn w:val="DefaultParagraphFont"/>
    <w:uiPriority w:val="99"/>
    <w:semiHidden/>
    <w:unhideWhenUsed/>
    <w:rsid w:val="00657453"/>
    <w:rPr>
      <w:vertAlign w:val="superscript"/>
    </w:rPr>
  </w:style>
  <w:style w:type="paragraph" w:styleId="BalloonText">
    <w:name w:val="Balloon Text"/>
    <w:basedOn w:val="Normal"/>
    <w:link w:val="BalloonTextChar"/>
    <w:uiPriority w:val="99"/>
    <w:semiHidden/>
    <w:unhideWhenUsed/>
    <w:rsid w:val="00BC0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B4"/>
    <w:rPr>
      <w:rFonts w:ascii="Segoe UI" w:hAnsi="Segoe UI" w:cs="Segoe UI"/>
      <w:sz w:val="18"/>
      <w:szCs w:val="18"/>
    </w:rPr>
  </w:style>
  <w:style w:type="paragraph" w:styleId="BodyText">
    <w:name w:val="Body Text"/>
    <w:basedOn w:val="Normal"/>
    <w:link w:val="BodyTextChar"/>
    <w:rsid w:val="007057FC"/>
    <w:pPr>
      <w:jc w:val="both"/>
    </w:pPr>
    <w:rPr>
      <w:rFonts w:eastAsia="Times New Roman" w:cs="Arial"/>
    </w:rPr>
  </w:style>
  <w:style w:type="character" w:customStyle="1" w:styleId="BodyTextChar">
    <w:name w:val="Body Text Char"/>
    <w:basedOn w:val="DefaultParagraphFont"/>
    <w:link w:val="BodyText"/>
    <w:rsid w:val="007057FC"/>
    <w:rPr>
      <w:rFonts w:eastAsia="Times New Roman" w:cs="Arial"/>
    </w:rPr>
  </w:style>
  <w:style w:type="paragraph" w:styleId="BodyText3">
    <w:name w:val="Body Text 3"/>
    <w:basedOn w:val="Normal"/>
    <w:link w:val="BodyText3Char"/>
    <w:rsid w:val="007057FC"/>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7057FC"/>
    <w:rPr>
      <w:rFonts w:ascii="Times New Roman" w:eastAsia="Times New Roman" w:hAnsi="Times New Roman" w:cs="Times New Roman"/>
      <w:b/>
      <w:szCs w:val="20"/>
    </w:rPr>
  </w:style>
  <w:style w:type="character" w:styleId="Hyperlink">
    <w:name w:val="Hyperlink"/>
    <w:basedOn w:val="DefaultParagraphFont"/>
    <w:uiPriority w:val="99"/>
    <w:unhideWhenUsed/>
    <w:rsid w:val="00E0550C"/>
    <w:rPr>
      <w:color w:val="0000FF" w:themeColor="hyperlink"/>
      <w:u w:val="single"/>
    </w:rPr>
  </w:style>
  <w:style w:type="character" w:styleId="CommentReference">
    <w:name w:val="annotation reference"/>
    <w:basedOn w:val="DefaultParagraphFont"/>
    <w:uiPriority w:val="99"/>
    <w:semiHidden/>
    <w:unhideWhenUsed/>
    <w:rsid w:val="00E42CEA"/>
    <w:rPr>
      <w:sz w:val="16"/>
      <w:szCs w:val="16"/>
    </w:rPr>
  </w:style>
  <w:style w:type="paragraph" w:styleId="CommentText">
    <w:name w:val="annotation text"/>
    <w:basedOn w:val="Normal"/>
    <w:link w:val="CommentTextChar"/>
    <w:uiPriority w:val="99"/>
    <w:semiHidden/>
    <w:unhideWhenUsed/>
    <w:rsid w:val="00E42CEA"/>
    <w:rPr>
      <w:sz w:val="20"/>
      <w:szCs w:val="20"/>
    </w:rPr>
  </w:style>
  <w:style w:type="character" w:customStyle="1" w:styleId="CommentTextChar">
    <w:name w:val="Comment Text Char"/>
    <w:basedOn w:val="DefaultParagraphFont"/>
    <w:link w:val="CommentText"/>
    <w:uiPriority w:val="99"/>
    <w:semiHidden/>
    <w:rsid w:val="00E42CEA"/>
    <w:rPr>
      <w:sz w:val="20"/>
      <w:szCs w:val="20"/>
    </w:rPr>
  </w:style>
  <w:style w:type="paragraph" w:styleId="CommentSubject">
    <w:name w:val="annotation subject"/>
    <w:basedOn w:val="CommentText"/>
    <w:next w:val="CommentText"/>
    <w:link w:val="CommentSubjectChar"/>
    <w:uiPriority w:val="99"/>
    <w:semiHidden/>
    <w:unhideWhenUsed/>
    <w:rsid w:val="00E42CEA"/>
    <w:rPr>
      <w:b/>
      <w:bCs/>
    </w:rPr>
  </w:style>
  <w:style w:type="character" w:customStyle="1" w:styleId="CommentSubjectChar">
    <w:name w:val="Comment Subject Char"/>
    <w:basedOn w:val="CommentTextChar"/>
    <w:link w:val="CommentSubject"/>
    <w:uiPriority w:val="99"/>
    <w:semiHidden/>
    <w:rsid w:val="00E42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7707">
      <w:bodyDiv w:val="1"/>
      <w:marLeft w:val="0"/>
      <w:marRight w:val="0"/>
      <w:marTop w:val="0"/>
      <w:marBottom w:val="0"/>
      <w:divBdr>
        <w:top w:val="none" w:sz="0" w:space="0" w:color="auto"/>
        <w:left w:val="none" w:sz="0" w:space="0" w:color="auto"/>
        <w:bottom w:val="none" w:sz="0" w:space="0" w:color="auto"/>
        <w:right w:val="none" w:sz="0" w:space="0" w:color="auto"/>
      </w:divBdr>
    </w:div>
    <w:div w:id="1581596433">
      <w:bodyDiv w:val="1"/>
      <w:marLeft w:val="0"/>
      <w:marRight w:val="0"/>
      <w:marTop w:val="0"/>
      <w:marBottom w:val="0"/>
      <w:divBdr>
        <w:top w:val="none" w:sz="0" w:space="0" w:color="auto"/>
        <w:left w:val="none" w:sz="0" w:space="0" w:color="auto"/>
        <w:bottom w:val="none" w:sz="0" w:space="0" w:color="auto"/>
        <w:right w:val="none" w:sz="0" w:space="0" w:color="auto"/>
      </w:divBdr>
    </w:div>
    <w:div w:id="19416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17725</Characters>
  <Application>Microsoft Office Word</Application>
  <DocSecurity>0</DocSecurity>
  <PresentationFormat>15|.DOCX</PresentationFormat>
  <Lines>535</Lines>
  <Paragraphs>236</Paragraphs>
  <ScaleCrop>false</ScaleCrop>
  <HeadingPairs>
    <vt:vector size="2" baseType="variant">
      <vt:variant>
        <vt:lpstr>Title</vt:lpstr>
      </vt:variant>
      <vt:variant>
        <vt:i4>1</vt:i4>
      </vt:variant>
    </vt:vector>
  </HeadingPairs>
  <TitlesOfParts>
    <vt:vector size="1" baseType="lpstr">
      <vt:lpstr>Case no 18-47;  brief (C0112971-4).DOCX</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18-47-AU-COI Brief.docx</dc:title>
  <dc:subject/>
  <dc:creator/>
  <cp:keywords/>
  <dc:description/>
  <cp:lastModifiedBy>McDaniel, Jessica</cp:lastModifiedBy>
  <cp:revision>4</cp:revision>
  <cp:lastPrinted>2018-08-13T15:45:00Z</cp:lastPrinted>
  <dcterms:created xsi:type="dcterms:W3CDTF">2018-08-13T18:03:00Z</dcterms:created>
  <dcterms:modified xsi:type="dcterms:W3CDTF">2018-08-13T18:04:00Z</dcterms:modified>
</cp:coreProperties>
</file>