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18" w:rsidRPr="00005818" w:rsidRDefault="00005818" w:rsidP="00005818">
      <w:pPr>
        <w:jc w:val="center"/>
        <w:rPr>
          <w:b/>
        </w:rPr>
      </w:pPr>
      <w:r w:rsidRPr="00005818">
        <w:rPr>
          <w:b/>
        </w:rPr>
        <w:t>BEFORE</w:t>
      </w:r>
    </w:p>
    <w:p w:rsidR="00005818" w:rsidRPr="00005818" w:rsidRDefault="00005818" w:rsidP="00005818">
      <w:pPr>
        <w:jc w:val="center"/>
        <w:rPr>
          <w:b/>
        </w:rPr>
      </w:pPr>
      <w:r w:rsidRPr="00005818">
        <w:rPr>
          <w:b/>
        </w:rPr>
        <w:t>THE PUBLIC UTILITIES COMMISSION OF OHIO</w:t>
      </w:r>
    </w:p>
    <w:p w:rsidR="00005818" w:rsidRDefault="00005818" w:rsidP="00005818">
      <w:pPr>
        <w:jc w:val="center"/>
      </w:pPr>
    </w:p>
    <w:p w:rsidR="00005818" w:rsidRDefault="00005818" w:rsidP="00005818"/>
    <w:p w:rsidR="00005818" w:rsidRPr="00005818" w:rsidRDefault="00005818" w:rsidP="00005818">
      <w:r w:rsidRPr="00005818">
        <w:t xml:space="preserve">In the Matter of the Joint Application </w:t>
      </w:r>
      <w:r>
        <w:tab/>
      </w:r>
      <w:r w:rsidRPr="00005818">
        <w:t>)</w:t>
      </w:r>
    </w:p>
    <w:p w:rsidR="00005818" w:rsidRPr="00005818" w:rsidRDefault="00005818" w:rsidP="00005818">
      <w:r w:rsidRPr="00005818">
        <w:t xml:space="preserve">of Ohio Power Company and </w:t>
      </w:r>
      <w:r>
        <w:tab/>
      </w:r>
      <w:r>
        <w:tab/>
      </w:r>
      <w:r w:rsidRPr="00005818">
        <w:t xml:space="preserve">) </w:t>
      </w:r>
      <w:r>
        <w:tab/>
      </w:r>
      <w:r w:rsidR="00032EAB">
        <w:t>Case No. 14-</w:t>
      </w:r>
      <w:r w:rsidR="004027CA">
        <w:t>2304</w:t>
      </w:r>
      <w:r w:rsidRPr="00005818">
        <w:t>-EL-EEC</w:t>
      </w:r>
    </w:p>
    <w:p w:rsidR="00005818" w:rsidRPr="00005818" w:rsidRDefault="004027CA" w:rsidP="00005818">
      <w:r>
        <w:t>Kraton</w:t>
      </w:r>
      <w:r w:rsidR="00005818" w:rsidRPr="00005818">
        <w:t xml:space="preserve"> Polymers </w:t>
      </w:r>
      <w:r>
        <w:t xml:space="preserve">U.S. LLC </w:t>
      </w:r>
      <w:r w:rsidR="00005818" w:rsidRPr="00005818">
        <w:t xml:space="preserve">for Approval </w:t>
      </w:r>
      <w:r w:rsidR="00005818">
        <w:tab/>
        <w:t>)</w:t>
      </w:r>
    </w:p>
    <w:p w:rsidR="00005818" w:rsidRDefault="00005818" w:rsidP="00005818">
      <w:r w:rsidRPr="00005818">
        <w:t>of a Special Arrangement Agreement</w:t>
      </w:r>
      <w:r>
        <w:tab/>
        <w:t>)</w:t>
      </w:r>
    </w:p>
    <w:p w:rsidR="00005818" w:rsidRDefault="00005818" w:rsidP="00005818"/>
    <w:p w:rsidR="00005818" w:rsidRDefault="00005818" w:rsidP="00005818">
      <w:pPr>
        <w:rPr>
          <w:b/>
        </w:rPr>
      </w:pPr>
      <w:r>
        <w:rPr>
          <w:b/>
        </w:rPr>
        <w:t>______________________________________________________________________</w:t>
      </w:r>
    </w:p>
    <w:p w:rsidR="00005818" w:rsidRDefault="00005818" w:rsidP="00005818">
      <w:pPr>
        <w:rPr>
          <w:b/>
        </w:rPr>
      </w:pPr>
    </w:p>
    <w:p w:rsidR="00005818" w:rsidRDefault="00005818" w:rsidP="00005818">
      <w:pPr>
        <w:jc w:val="center"/>
        <w:rPr>
          <w:b/>
        </w:rPr>
      </w:pPr>
      <w:r>
        <w:rPr>
          <w:b/>
        </w:rPr>
        <w:t xml:space="preserve">OBJECTION AND COMMENTS OF INDUSTRIAL ENERGY USERS-OHIO TO JOINT APPLICATION FOR APPROVAL OF A SPECIAL ARRANGEMENT AGREEMENT BETWEEN OHIO POWER COMPANY AND </w:t>
      </w:r>
      <w:r w:rsidR="004027CA">
        <w:rPr>
          <w:b/>
        </w:rPr>
        <w:t>KRATON POLYMERS U.S. LLC</w:t>
      </w:r>
    </w:p>
    <w:p w:rsidR="00005818" w:rsidRPr="00005818" w:rsidRDefault="00005818" w:rsidP="00005818">
      <w:pPr>
        <w:rPr>
          <w:b/>
        </w:rPr>
      </w:pPr>
      <w:r>
        <w:rPr>
          <w:b/>
        </w:rPr>
        <w:t>______________________________________________________________________</w:t>
      </w:r>
    </w:p>
    <w:p w:rsidR="00005818" w:rsidRDefault="00005818" w:rsidP="00005818"/>
    <w:p w:rsidR="00005818" w:rsidRDefault="00005818" w:rsidP="00005818"/>
    <w:p w:rsidR="00930D83" w:rsidRDefault="00930D83" w:rsidP="00005818"/>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Pr="00930D83" w:rsidRDefault="00930D83" w:rsidP="00930D83"/>
    <w:p w:rsidR="00930D83" w:rsidRDefault="00930D83" w:rsidP="00930D83">
      <w:pPr>
        <w:widowControl w:val="0"/>
        <w:ind w:left="4320"/>
        <w:rPr>
          <w:rFonts w:eastAsia="Calibri" w:cs="Arial"/>
          <w:bCs/>
        </w:rPr>
      </w:pPr>
      <w:r w:rsidRPr="0074338B">
        <w:rPr>
          <w:rFonts w:eastAsia="Calibri" w:cs="Arial"/>
          <w:bCs/>
        </w:rPr>
        <w:t>Frank P. Darr (Reg. No. 0025469)</w:t>
      </w:r>
    </w:p>
    <w:p w:rsidR="00930D83" w:rsidRPr="0074338B" w:rsidRDefault="00930D83" w:rsidP="00930D83">
      <w:pPr>
        <w:widowControl w:val="0"/>
        <w:ind w:left="4320"/>
        <w:rPr>
          <w:rFonts w:eastAsia="Calibri" w:cs="Arial"/>
          <w:bCs/>
        </w:rPr>
      </w:pPr>
      <w:r>
        <w:rPr>
          <w:rFonts w:eastAsia="Calibri" w:cs="Arial"/>
          <w:bCs/>
        </w:rPr>
        <w:t>(Counsel of Record)</w:t>
      </w:r>
    </w:p>
    <w:p w:rsidR="00930D83" w:rsidRPr="0074338B" w:rsidRDefault="00930D83" w:rsidP="00930D83">
      <w:pPr>
        <w:widowControl w:val="0"/>
        <w:ind w:left="4320"/>
        <w:rPr>
          <w:rFonts w:eastAsia="Calibri" w:cs="Arial"/>
          <w:b/>
          <w:bCs/>
        </w:rPr>
      </w:pPr>
      <w:r w:rsidRPr="0074338B">
        <w:rPr>
          <w:rFonts w:eastAsia="Calibri" w:cs="Arial"/>
          <w:bCs/>
        </w:rPr>
        <w:t>Matthew R. Pritchard (Reg. No. 0088070)</w:t>
      </w:r>
    </w:p>
    <w:p w:rsidR="00930D83" w:rsidRPr="0074338B" w:rsidRDefault="00930D83" w:rsidP="00930D83">
      <w:pPr>
        <w:widowControl w:val="0"/>
        <w:ind w:left="4320"/>
        <w:rPr>
          <w:rFonts w:eastAsia="Calibri" w:cs="Arial"/>
          <w:b/>
          <w:bCs/>
          <w:smallCaps/>
        </w:rPr>
      </w:pPr>
      <w:r w:rsidRPr="0074338B">
        <w:rPr>
          <w:rFonts w:eastAsia="Calibri" w:cs="Arial"/>
          <w:bCs/>
          <w:smallCaps/>
        </w:rPr>
        <w:t>McNees Wallace &amp; Nurick LLC</w:t>
      </w:r>
    </w:p>
    <w:p w:rsidR="00930D83" w:rsidRPr="0074338B" w:rsidRDefault="00930D83" w:rsidP="00930D83">
      <w:pPr>
        <w:widowControl w:val="0"/>
        <w:ind w:left="4320"/>
        <w:rPr>
          <w:rFonts w:eastAsia="Calibri" w:cs="Arial"/>
          <w:b/>
          <w:bCs/>
        </w:rPr>
      </w:pPr>
      <w:r w:rsidRPr="0074338B">
        <w:rPr>
          <w:rFonts w:eastAsia="Calibri" w:cs="Arial"/>
          <w:bCs/>
        </w:rPr>
        <w:t>21 East State Street, 17</w:t>
      </w:r>
      <w:r w:rsidRPr="0074338B">
        <w:rPr>
          <w:rFonts w:eastAsia="Calibri" w:cs="Arial"/>
          <w:bCs/>
          <w:vertAlign w:val="superscript"/>
        </w:rPr>
        <w:t>TH</w:t>
      </w:r>
      <w:r w:rsidRPr="0074338B">
        <w:rPr>
          <w:rFonts w:eastAsia="Calibri" w:cs="Arial"/>
          <w:bCs/>
        </w:rPr>
        <w:t xml:space="preserve"> Floor</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Columbus, OH  43215</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Telephone:  (614) 469-8000</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Telecopier:  (614) 469-4653</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rPr>
        <w:t>fdarr@mwncmh.com</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74338B">
        <w:rPr>
          <w:rFonts w:eastAsia="Calibri" w:cs="Arial"/>
          <w:color w:val="000000"/>
        </w:rPr>
        <w:t>mpritchard@mwncmh.com</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rsidR="00930D83" w:rsidRDefault="004027CA" w:rsidP="00930D83">
      <w:pPr>
        <w:ind w:left="4320" w:hanging="4320"/>
        <w:rPr>
          <w:rFonts w:cs="Arial"/>
          <w:b/>
          <w:bCs/>
        </w:rPr>
      </w:pPr>
      <w:r>
        <w:rPr>
          <w:rFonts w:cs="Arial"/>
          <w:b/>
          <w:smallCaps/>
          <w:color w:val="000000"/>
        </w:rPr>
        <w:t>January 12, 2015</w:t>
      </w:r>
      <w:r w:rsidR="00930D83" w:rsidRPr="0074338B">
        <w:rPr>
          <w:rFonts w:cs="Arial"/>
          <w:b/>
          <w:smallCaps/>
          <w:color w:val="000000"/>
        </w:rPr>
        <w:tab/>
        <w:t>On Behalf of Industrial Energy Users-Ohio</w:t>
      </w:r>
    </w:p>
    <w:p w:rsidR="00930D83" w:rsidRPr="00930D83" w:rsidRDefault="00930D83" w:rsidP="00930D83">
      <w:pPr>
        <w:pStyle w:val="BodyText"/>
        <w:rPr>
          <w:rFonts w:asciiTheme="minorHAnsi" w:hAnsiTheme="minorHAnsi" w:cs="Arial"/>
          <w:b/>
          <w:smallCaps/>
          <w:sz w:val="28"/>
          <w:szCs w:val="28"/>
          <w:lang w:val="en-US"/>
        </w:rPr>
        <w:sectPr w:rsidR="00930D83" w:rsidRPr="00930D8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930D83" w:rsidRPr="00005818" w:rsidRDefault="00930D83" w:rsidP="00930D83">
      <w:pPr>
        <w:jc w:val="center"/>
        <w:rPr>
          <w:b/>
        </w:rPr>
      </w:pPr>
      <w:r w:rsidRPr="00005818">
        <w:rPr>
          <w:b/>
        </w:rPr>
        <w:lastRenderedPageBreak/>
        <w:t>BEFORE</w:t>
      </w:r>
    </w:p>
    <w:p w:rsidR="00930D83" w:rsidRPr="00005818" w:rsidRDefault="00930D83" w:rsidP="00930D83">
      <w:pPr>
        <w:jc w:val="center"/>
        <w:rPr>
          <w:b/>
        </w:rPr>
      </w:pPr>
      <w:r w:rsidRPr="00005818">
        <w:rPr>
          <w:b/>
        </w:rPr>
        <w:t>THE PUBLIC UTILITIES COMMISSION OF OHIO</w:t>
      </w:r>
    </w:p>
    <w:p w:rsidR="00930D83" w:rsidRDefault="00930D83" w:rsidP="00930D83">
      <w:pPr>
        <w:jc w:val="center"/>
      </w:pPr>
    </w:p>
    <w:p w:rsidR="00930D83" w:rsidRDefault="00930D83" w:rsidP="00930D83"/>
    <w:p w:rsidR="004027CA" w:rsidRPr="004027CA" w:rsidRDefault="004027CA" w:rsidP="004027CA">
      <w:r w:rsidRPr="004027CA">
        <w:t xml:space="preserve">In the Matter of the Joint Application </w:t>
      </w:r>
      <w:r w:rsidRPr="004027CA">
        <w:tab/>
        <w:t>)</w:t>
      </w:r>
    </w:p>
    <w:p w:rsidR="004027CA" w:rsidRPr="004027CA" w:rsidRDefault="004027CA" w:rsidP="004027CA">
      <w:r w:rsidRPr="004027CA">
        <w:t xml:space="preserve">of Ohio Power Company and </w:t>
      </w:r>
      <w:r w:rsidRPr="004027CA">
        <w:tab/>
      </w:r>
      <w:r w:rsidRPr="004027CA">
        <w:tab/>
        <w:t xml:space="preserve">) </w:t>
      </w:r>
      <w:r w:rsidRPr="004027CA">
        <w:tab/>
      </w:r>
      <w:r w:rsidR="00032EAB">
        <w:t>Case No. 14-</w:t>
      </w:r>
      <w:r w:rsidRPr="004027CA">
        <w:t>2304-EL-EEC</w:t>
      </w:r>
    </w:p>
    <w:p w:rsidR="004027CA" w:rsidRPr="004027CA" w:rsidRDefault="004027CA" w:rsidP="004027CA">
      <w:r w:rsidRPr="004027CA">
        <w:t xml:space="preserve">Kraton Polymers U.S. LLC for Approval </w:t>
      </w:r>
      <w:r w:rsidRPr="004027CA">
        <w:tab/>
        <w:t>)</w:t>
      </w:r>
    </w:p>
    <w:p w:rsidR="004027CA" w:rsidRPr="004027CA" w:rsidRDefault="004027CA" w:rsidP="004027CA">
      <w:r w:rsidRPr="004027CA">
        <w:t>of a Special Arrangement Agreement</w:t>
      </w:r>
      <w:r w:rsidRPr="004027CA">
        <w:tab/>
        <w:t>)</w:t>
      </w:r>
    </w:p>
    <w:p w:rsidR="004027CA" w:rsidRPr="004027CA" w:rsidRDefault="004027CA" w:rsidP="004027CA"/>
    <w:p w:rsidR="004027CA" w:rsidRPr="004027CA" w:rsidRDefault="004027CA" w:rsidP="004027CA">
      <w:pPr>
        <w:rPr>
          <w:b/>
        </w:rPr>
      </w:pPr>
      <w:r w:rsidRPr="004027CA">
        <w:rPr>
          <w:b/>
        </w:rPr>
        <w:t>______________________________________________________________________</w:t>
      </w:r>
    </w:p>
    <w:p w:rsidR="004027CA" w:rsidRPr="004027CA" w:rsidRDefault="004027CA" w:rsidP="004027CA">
      <w:pPr>
        <w:rPr>
          <w:b/>
        </w:rPr>
      </w:pPr>
    </w:p>
    <w:p w:rsidR="004027CA" w:rsidRPr="004027CA" w:rsidRDefault="004027CA" w:rsidP="00695D5C">
      <w:pPr>
        <w:jc w:val="center"/>
        <w:rPr>
          <w:b/>
        </w:rPr>
      </w:pPr>
      <w:r w:rsidRPr="004027CA">
        <w:rPr>
          <w:b/>
        </w:rPr>
        <w:t>OBJECTION AND COMMENTS OF INDUSTRIAL ENERGY USERS-OHIO TO JOINT APPLICATION FOR APPROVAL OF A SPECIAL ARRANGEMENT AGREEMENT BETWEEN OHIO POWER COMPANY AND KRATON POLYMERS U.S. LLC</w:t>
      </w:r>
    </w:p>
    <w:p w:rsidR="004027CA" w:rsidRPr="004027CA" w:rsidRDefault="004027CA" w:rsidP="004027CA">
      <w:pPr>
        <w:rPr>
          <w:b/>
        </w:rPr>
      </w:pPr>
      <w:r w:rsidRPr="004027CA">
        <w:rPr>
          <w:b/>
        </w:rPr>
        <w:t>______________________________________________________________________</w:t>
      </w:r>
    </w:p>
    <w:p w:rsidR="004027CA" w:rsidRPr="004027CA" w:rsidRDefault="004027CA" w:rsidP="004027CA"/>
    <w:p w:rsidR="004027CA" w:rsidRPr="004027CA" w:rsidRDefault="004027CA" w:rsidP="004027CA"/>
    <w:p w:rsidR="005A46FB" w:rsidRDefault="004027CA" w:rsidP="0029719A">
      <w:pPr>
        <w:pStyle w:val="Heading1"/>
      </w:pPr>
      <w:r>
        <w:t>i</w:t>
      </w:r>
      <w:r w:rsidR="005A46FB">
        <w:t>ntroduction</w:t>
      </w:r>
    </w:p>
    <w:p w:rsidR="008E3BF4" w:rsidRDefault="00272DF6" w:rsidP="0029719A">
      <w:pPr>
        <w:spacing w:line="480" w:lineRule="auto"/>
        <w:ind w:firstLine="720"/>
        <w:jc w:val="both"/>
      </w:pPr>
      <w:r>
        <w:t xml:space="preserve">On </w:t>
      </w:r>
      <w:r w:rsidR="004027CA">
        <w:t>December 22, 2014</w:t>
      </w:r>
      <w:r>
        <w:t xml:space="preserve">, </w:t>
      </w:r>
      <w:r w:rsidR="004027CA">
        <w:t xml:space="preserve">Kraton </w:t>
      </w:r>
      <w:r>
        <w:t>Polymers</w:t>
      </w:r>
      <w:r w:rsidR="004027CA">
        <w:t xml:space="preserve"> U.S. LLC</w:t>
      </w:r>
      <w:r>
        <w:t xml:space="preserve"> (“</w:t>
      </w:r>
      <w:r w:rsidR="004027CA">
        <w:t>Kraton</w:t>
      </w:r>
      <w:r>
        <w:t xml:space="preserve">”) and the Ohio Power Company </w:t>
      </w:r>
      <w:r w:rsidR="00C6638C">
        <w:t>(“</w:t>
      </w:r>
      <w:r w:rsidR="004027CA">
        <w:t>AEP-Ohio</w:t>
      </w:r>
      <w:r w:rsidR="00C6638C">
        <w:t xml:space="preserve">”) </w:t>
      </w:r>
      <w:r>
        <w:t>filed a joint application seeking approval of a special arrangement.</w:t>
      </w:r>
      <w:r>
        <w:rPr>
          <w:rStyle w:val="FootnoteReference"/>
        </w:rPr>
        <w:footnoteReference w:id="1"/>
      </w:r>
      <w:r>
        <w:t xml:space="preserve">  According to the Application, </w:t>
      </w:r>
      <w:r w:rsidR="004027CA">
        <w:t>Kraton</w:t>
      </w:r>
      <w:r>
        <w:t>, a mercantile</w:t>
      </w:r>
      <w:r w:rsidR="007D651A">
        <w:t xml:space="preserve"> customer</w:t>
      </w:r>
      <w:r>
        <w:t xml:space="preserve">, is completing a combined heat and power project (“CHP”) </w:t>
      </w:r>
      <w:r w:rsidR="00F9579B">
        <w:t>and would allow the CHP resources to count toward AEP-Ohio’s compliance with energy efficiency benchmarks</w:t>
      </w:r>
      <w:r>
        <w:t>.</w:t>
      </w:r>
      <w:r>
        <w:rPr>
          <w:rStyle w:val="FootnoteReference"/>
        </w:rPr>
        <w:footnoteReference w:id="2"/>
      </w:r>
      <w:r>
        <w:t xml:space="preserve">  </w:t>
      </w:r>
    </w:p>
    <w:p w:rsidR="004027CA" w:rsidRDefault="004027CA" w:rsidP="0029719A">
      <w:pPr>
        <w:spacing w:line="480" w:lineRule="auto"/>
        <w:ind w:firstLine="720"/>
        <w:jc w:val="both"/>
      </w:pPr>
      <w:r>
        <w:t>Due to the size of the project, AEP-Ohio has requested that it be permitted to count half of the e</w:t>
      </w:r>
      <w:r w:rsidR="00253630">
        <w:t>nergy and demand savings in 2015</w:t>
      </w:r>
      <w:r>
        <w:t xml:space="preserve"> and the remaining half in 2016.</w:t>
      </w:r>
      <w:r>
        <w:rPr>
          <w:rStyle w:val="FootnoteReference"/>
        </w:rPr>
        <w:footnoteReference w:id="3"/>
      </w:r>
      <w:r>
        <w:t xml:space="preserve">  It also requests that it be permitted to count the savings from this program toward its recovery of shared savings, to be split between 2015 and 201</w:t>
      </w:r>
      <w:r w:rsidR="00253630">
        <w:t>6</w:t>
      </w:r>
      <w:r>
        <w:t>.</w:t>
      </w:r>
      <w:r>
        <w:rPr>
          <w:rStyle w:val="FootnoteReference"/>
        </w:rPr>
        <w:footnoteReference w:id="4"/>
      </w:r>
      <w:r w:rsidR="00695D5C">
        <w:t xml:space="preserve">  Further, AEP-Ohio requests that twenty percent of the </w:t>
      </w:r>
      <w:r w:rsidR="005D470D">
        <w:t xml:space="preserve">shared savings </w:t>
      </w:r>
      <w:r w:rsidR="00695D5C">
        <w:t xml:space="preserve">calculated not be subject to the </w:t>
      </w:r>
      <w:r w:rsidR="00695D5C">
        <w:lastRenderedPageBreak/>
        <w:t>shared savings cap established as part of its portfolio plan.</w:t>
      </w:r>
      <w:r w:rsidR="00695D5C">
        <w:rPr>
          <w:rStyle w:val="FootnoteReference"/>
        </w:rPr>
        <w:footnoteReference w:id="5"/>
      </w:r>
      <w:r w:rsidR="00695D5C">
        <w:t xml:space="preserve">  After insisting that the Application is not an amendment to its current portfolio </w:t>
      </w:r>
      <w:r w:rsidR="00032EAB">
        <w:t>plan, AEP-Ohio nonethe</w:t>
      </w:r>
      <w:r w:rsidR="00695D5C">
        <w:t xml:space="preserve">less concedes that it would not withdraw the Application if the Commission approved the Application without </w:t>
      </w:r>
      <w:r w:rsidR="00032EAB">
        <w:t>authorizing</w:t>
      </w:r>
      <w:r w:rsidR="00695D5C">
        <w:t xml:space="preserve"> it to treat </w:t>
      </w:r>
      <w:r w:rsidR="005D470D">
        <w:t>twenty percent</w:t>
      </w:r>
      <w:r w:rsidR="00695D5C">
        <w:t xml:space="preserve"> of the </w:t>
      </w:r>
      <w:r w:rsidR="005D470D">
        <w:t xml:space="preserve">shared savings </w:t>
      </w:r>
      <w:r w:rsidR="00695D5C">
        <w:t>as outside the shared savings cap.</w:t>
      </w:r>
      <w:r w:rsidR="00695D5C">
        <w:rPr>
          <w:rStyle w:val="FootnoteReference"/>
        </w:rPr>
        <w:footnoteReference w:id="6"/>
      </w:r>
    </w:p>
    <w:p w:rsidR="0055211E" w:rsidRDefault="0055211E" w:rsidP="0029719A">
      <w:pPr>
        <w:spacing w:line="480" w:lineRule="auto"/>
        <w:jc w:val="both"/>
      </w:pPr>
      <w:r>
        <w:tab/>
        <w:t>Industrial Energy Users-Ohio</w:t>
      </w:r>
      <w:r w:rsidR="00A172FB">
        <w:t xml:space="preserve"> (“IEU-Ohio”)</w:t>
      </w:r>
      <w:r>
        <w:t xml:space="preserve"> agrees that the </w:t>
      </w:r>
      <w:r w:rsidR="00FB6F09">
        <w:t>Public Utilities Commission of Ohio (“</w:t>
      </w:r>
      <w:r>
        <w:t>Commission</w:t>
      </w:r>
      <w:r w:rsidR="00FB6F09">
        <w:t>”)</w:t>
      </w:r>
      <w:r>
        <w:t xml:space="preserve"> should approve the terms of the </w:t>
      </w:r>
      <w:r w:rsidR="00AD53F4">
        <w:t>Application</w:t>
      </w:r>
      <w:r>
        <w:t xml:space="preserve"> that afford </w:t>
      </w:r>
      <w:r w:rsidR="00695D5C">
        <w:t>Kraton</w:t>
      </w:r>
      <w:r>
        <w:t xml:space="preserve"> a </w:t>
      </w:r>
      <w:r w:rsidR="00974FC2">
        <w:t xml:space="preserve">cash payment for committing </w:t>
      </w:r>
      <w:r w:rsidR="004F6009">
        <w:t>the CHP project</w:t>
      </w:r>
      <w:r w:rsidR="00974FC2">
        <w:t xml:space="preserve"> benefits to </w:t>
      </w:r>
      <w:r w:rsidR="00695D5C">
        <w:t>AEP-Ohio</w:t>
      </w:r>
      <w:r w:rsidR="00032EAB">
        <w:t xml:space="preserve"> if it is a lower cost alternative to options available under the current plan</w:t>
      </w:r>
      <w:r w:rsidR="00974FC2">
        <w:t xml:space="preserve">. </w:t>
      </w:r>
    </w:p>
    <w:p w:rsidR="00974FC2" w:rsidRDefault="00974FC2" w:rsidP="0029719A">
      <w:pPr>
        <w:spacing w:line="480" w:lineRule="auto"/>
        <w:jc w:val="both"/>
      </w:pPr>
      <w:r>
        <w:tab/>
        <w:t xml:space="preserve">IEU-Ohio, however, objects to </w:t>
      </w:r>
      <w:r w:rsidR="00695D5C">
        <w:t>AEP-Ohio</w:t>
      </w:r>
      <w:r>
        <w:t>’s request to amend the portfolio plan to permit it to</w:t>
      </w:r>
      <w:r w:rsidR="00695D5C">
        <w:t xml:space="preserve"> recover</w:t>
      </w:r>
      <w:r>
        <w:t xml:space="preserve"> </w:t>
      </w:r>
      <w:r w:rsidR="00695D5C" w:rsidRPr="00695D5C">
        <w:t xml:space="preserve">twenty percent of the </w:t>
      </w:r>
      <w:r w:rsidR="005D470D">
        <w:t>s</w:t>
      </w:r>
      <w:r w:rsidR="005D470D" w:rsidRPr="00695D5C">
        <w:t xml:space="preserve">hared </w:t>
      </w:r>
      <w:r w:rsidR="005D470D">
        <w:t>s</w:t>
      </w:r>
      <w:r w:rsidR="005D470D" w:rsidRPr="00695D5C">
        <w:t xml:space="preserve">avings </w:t>
      </w:r>
      <w:r w:rsidR="00A21237">
        <w:t>related to</w:t>
      </w:r>
      <w:r w:rsidR="007F5A3E">
        <w:t xml:space="preserve"> the CHP project </w:t>
      </w:r>
      <w:r w:rsidR="00695D5C">
        <w:t>in excess of the cap on shared savings</w:t>
      </w:r>
      <w:r w:rsidR="00173069">
        <w:t xml:space="preserve"> contained in AEP-Ohio’s current portfolio plan</w:t>
      </w:r>
      <w:r w:rsidR="00720E9C">
        <w:t>.</w:t>
      </w:r>
    </w:p>
    <w:p w:rsidR="00974FC2" w:rsidRDefault="00974FC2" w:rsidP="0029719A">
      <w:pPr>
        <w:spacing w:line="480" w:lineRule="auto"/>
        <w:jc w:val="both"/>
      </w:pPr>
      <w:r>
        <w:tab/>
        <w:t xml:space="preserve">Further, </w:t>
      </w:r>
      <w:r w:rsidR="00032EAB">
        <w:t xml:space="preserve">if </w:t>
      </w:r>
      <w:r>
        <w:t xml:space="preserve">the Commission </w:t>
      </w:r>
      <w:r w:rsidR="00032EAB">
        <w:t>approves the request to amend the portfolio pla</w:t>
      </w:r>
      <w:r w:rsidR="00253630">
        <w:t>n to permit AEP-Ohio to recover</w:t>
      </w:r>
      <w:r w:rsidR="00032EAB">
        <w:t xml:space="preserve"> twenty percent of the shared savings</w:t>
      </w:r>
      <w:r w:rsidR="007F5A3E">
        <w:t xml:space="preserve"> </w:t>
      </w:r>
      <w:r w:rsidR="00A21237">
        <w:t>related to</w:t>
      </w:r>
      <w:r w:rsidR="007F5A3E">
        <w:t xml:space="preserve"> the CHP project</w:t>
      </w:r>
      <w:r w:rsidR="00032EAB">
        <w:t xml:space="preserve"> in excess of the cap, </w:t>
      </w:r>
      <w:r w:rsidR="007F5A3E">
        <w:t xml:space="preserve">the Commission </w:t>
      </w:r>
      <w:r w:rsidR="00032EAB">
        <w:t>should further find</w:t>
      </w:r>
      <w:r>
        <w:t xml:space="preserve"> that </w:t>
      </w:r>
      <w:r w:rsidR="000C41A7">
        <w:t>eligible</w:t>
      </w:r>
      <w:r>
        <w:t xml:space="preserve"> customers may </w:t>
      </w:r>
      <w:r w:rsidR="00720E9C">
        <w:t xml:space="preserve">opt out of the opportunity and ability to obtain direct benefits from </w:t>
      </w:r>
      <w:r w:rsidR="00695D5C">
        <w:t>AEP-Ohio</w:t>
      </w:r>
      <w:r w:rsidR="00720E9C">
        <w:t>’s portfolio plan</w:t>
      </w:r>
      <w:r w:rsidR="009C719D">
        <w:t>,</w:t>
      </w:r>
      <w:r w:rsidR="00720E9C">
        <w:t xml:space="preserve"> as amended</w:t>
      </w:r>
      <w:r w:rsidR="009C719D">
        <w:t>,</w:t>
      </w:r>
      <w:r w:rsidR="00720E9C">
        <w:t xml:space="preserve"> </w:t>
      </w:r>
      <w:r>
        <w:t>as provide</w:t>
      </w:r>
      <w:r w:rsidR="00C6638C">
        <w:t>d</w:t>
      </w:r>
      <w:r>
        <w:t xml:space="preserve"> by Substitute Senate Bill 310</w:t>
      </w:r>
      <w:r w:rsidR="00C6638C">
        <w:t xml:space="preserve"> (“SB 310”)</w:t>
      </w:r>
      <w:r>
        <w:t>.</w:t>
      </w:r>
      <w:bookmarkStart w:id="0" w:name="_GoBack"/>
      <w:bookmarkEnd w:id="0"/>
    </w:p>
    <w:p w:rsidR="00974FC2" w:rsidRDefault="00974FC2" w:rsidP="0029719A">
      <w:pPr>
        <w:jc w:val="both"/>
      </w:pPr>
    </w:p>
    <w:p w:rsidR="00222CC3" w:rsidRDefault="00C6638C" w:rsidP="0029719A">
      <w:pPr>
        <w:pStyle w:val="Heading1"/>
      </w:pPr>
      <w:r>
        <w:t>the Commission should approve</w:t>
      </w:r>
      <w:r w:rsidR="00222CC3">
        <w:t xml:space="preserve"> </w:t>
      </w:r>
      <w:r w:rsidR="0067492D">
        <w:t>the</w:t>
      </w:r>
      <w:r w:rsidR="00222CC3">
        <w:t xml:space="preserve"> Request to Commit </w:t>
      </w:r>
      <w:r w:rsidR="00032EAB">
        <w:t>Kraton’s</w:t>
      </w:r>
      <w:r w:rsidR="00222CC3">
        <w:t xml:space="preserve"> </w:t>
      </w:r>
      <w:r w:rsidR="007F5A3E">
        <w:t>CHP project</w:t>
      </w:r>
      <w:r w:rsidR="00222CC3">
        <w:t xml:space="preserve"> to </w:t>
      </w:r>
      <w:r w:rsidR="00695D5C">
        <w:t>AEP-Ohio</w:t>
      </w:r>
      <w:r w:rsidR="0067492D">
        <w:t xml:space="preserve"> for a compliance payment</w:t>
      </w:r>
    </w:p>
    <w:p w:rsidR="00222CC3" w:rsidRDefault="00222CC3" w:rsidP="0029719A">
      <w:pPr>
        <w:spacing w:line="480" w:lineRule="auto"/>
        <w:jc w:val="both"/>
      </w:pPr>
      <w:r>
        <w:tab/>
      </w:r>
      <w:r w:rsidR="00032EAB">
        <w:t>Kraton</w:t>
      </w:r>
      <w:r>
        <w:t xml:space="preserve"> is a mercantile customer and is seeking to commit the energy efficiency resources resulting from the installation of a CHP project to </w:t>
      </w:r>
      <w:r w:rsidR="00695D5C">
        <w:t>AEP-Ohio</w:t>
      </w:r>
      <w:r>
        <w:t xml:space="preserve"> for an estimated payment of $</w:t>
      </w:r>
      <w:r w:rsidR="00032EAB">
        <w:t>790</w:t>
      </w:r>
      <w:r w:rsidR="00253630">
        <w:t>,</w:t>
      </w:r>
      <w:r w:rsidR="00032EAB">
        <w:t>600</w:t>
      </w:r>
      <w:r>
        <w:t xml:space="preserve"> over five years.</w:t>
      </w:r>
      <w:r w:rsidR="006555E4">
        <w:rPr>
          <w:rStyle w:val="FootnoteReference"/>
        </w:rPr>
        <w:footnoteReference w:id="7"/>
      </w:r>
      <w:r>
        <w:t xml:space="preserve">  According to the Application, approval of the Application will reduce energy</w:t>
      </w:r>
      <w:r w:rsidR="006555E4">
        <w:t xml:space="preserve"> costs an</w:t>
      </w:r>
      <w:r>
        <w:t>d</w:t>
      </w:r>
      <w:r w:rsidR="006555E4">
        <w:t xml:space="preserve"> </w:t>
      </w:r>
      <w:r>
        <w:t>usage in a highly cost effective manner.</w:t>
      </w:r>
      <w:r w:rsidR="006555E4">
        <w:rPr>
          <w:rStyle w:val="FootnoteReference"/>
        </w:rPr>
        <w:footnoteReference w:id="8"/>
      </w:r>
      <w:r w:rsidR="00360CFA">
        <w:t xml:space="preserve">  It is further alleged that “approval of this application can help reduce costs to all customers due to the project’s relative size, energy and demand sav</w:t>
      </w:r>
      <w:r w:rsidR="00A172FB">
        <w:t>i</w:t>
      </w:r>
      <w:r w:rsidR="00360CFA">
        <w:t>ngs and associated net benefits generated.”</w:t>
      </w:r>
      <w:r w:rsidR="00360CFA">
        <w:rPr>
          <w:rStyle w:val="FootnoteReference"/>
        </w:rPr>
        <w:footnoteReference w:id="9"/>
      </w:r>
      <w:r w:rsidR="00360CFA">
        <w:t xml:space="preserve">  </w:t>
      </w:r>
      <w:r w:rsidR="0067492D">
        <w:t>If the Commission finds that compliance costs of other customers will be reduced by approval of the Application</w:t>
      </w:r>
      <w:r w:rsidR="006555E4">
        <w:t xml:space="preserve">, IEU-Ohio </w:t>
      </w:r>
      <w:r w:rsidR="00C6638C">
        <w:t>supports</w:t>
      </w:r>
      <w:r w:rsidR="006555E4">
        <w:t xml:space="preserve"> the approval of this portion of the Application.</w:t>
      </w:r>
    </w:p>
    <w:p w:rsidR="006555E4" w:rsidRDefault="006555E4" w:rsidP="0029719A">
      <w:pPr>
        <w:jc w:val="both"/>
      </w:pPr>
    </w:p>
    <w:p w:rsidR="006555E4" w:rsidRDefault="005A46FB" w:rsidP="0029719A">
      <w:pPr>
        <w:pStyle w:val="Heading1"/>
      </w:pPr>
      <w:r>
        <w:t xml:space="preserve">Objection: </w:t>
      </w:r>
      <w:r w:rsidR="006555E4">
        <w:t xml:space="preserve">IEU-Ohio Objects to </w:t>
      </w:r>
      <w:r w:rsidR="00695D5C">
        <w:t>AEP-Ohio</w:t>
      </w:r>
      <w:r w:rsidR="006555E4">
        <w:t>’s Request for Relief from the Shared Savings Cap</w:t>
      </w:r>
      <w:r w:rsidR="00A25FFE">
        <w:t xml:space="preserve"> Because </w:t>
      </w:r>
      <w:r w:rsidR="00720E9C">
        <w:t xml:space="preserve">the Application does not demonstrate a </w:t>
      </w:r>
      <w:r w:rsidR="0009715F">
        <w:t xml:space="preserve">lawful or </w:t>
      </w:r>
      <w:r w:rsidR="00720E9C">
        <w:t>reasoned basis for authorizing this amendment of the current portfolio plan</w:t>
      </w:r>
    </w:p>
    <w:p w:rsidR="007F5A3E" w:rsidRDefault="006555E4" w:rsidP="00644CA4">
      <w:pPr>
        <w:spacing w:line="480" w:lineRule="auto"/>
        <w:jc w:val="both"/>
      </w:pPr>
      <w:r>
        <w:tab/>
      </w:r>
      <w:r w:rsidR="00695D5C">
        <w:t>AEP-Ohio</w:t>
      </w:r>
      <w:r w:rsidR="00862292">
        <w:t xml:space="preserve"> entered into a Stipulation to </w:t>
      </w:r>
      <w:r w:rsidR="00591748">
        <w:t>establish</w:t>
      </w:r>
      <w:r w:rsidR="00862292">
        <w:t xml:space="preserve"> its current portfolio plan, which </w:t>
      </w:r>
      <w:r w:rsidR="007F5A3E">
        <w:t xml:space="preserve">was </w:t>
      </w:r>
      <w:r w:rsidR="00862292">
        <w:t>scheduled to terminate at the end of 2014.</w:t>
      </w:r>
      <w:r w:rsidR="00862292">
        <w:rPr>
          <w:rStyle w:val="FootnoteReference"/>
        </w:rPr>
        <w:footnoteReference w:id="10"/>
      </w:r>
      <w:r w:rsidR="00542244">
        <w:t xml:space="preserve">  </w:t>
      </w:r>
      <w:r w:rsidR="00164D13">
        <w:t xml:space="preserve">The Commission approved the </w:t>
      </w:r>
      <w:r w:rsidR="00ED3C5B">
        <w:t>Stipulation</w:t>
      </w:r>
      <w:r w:rsidR="00164D13">
        <w:t xml:space="preserve"> without modification.</w:t>
      </w:r>
      <w:r w:rsidR="00164D13">
        <w:rPr>
          <w:rStyle w:val="FootnoteReference"/>
        </w:rPr>
        <w:footnoteReference w:id="11"/>
      </w:r>
      <w:r w:rsidR="00164D13">
        <w:t xml:space="preserve">  </w:t>
      </w:r>
      <w:r w:rsidR="007F5A3E">
        <w:t>Although the plan was scheduled to terminate at the end of 2014, the plan remains in effect until the end of 2016 under Section 6(D) of SB 310 unless it is amended in compliance with Section 6(B) of SB 310.</w:t>
      </w:r>
      <w:r w:rsidR="007F5A3E">
        <w:rPr>
          <w:rStyle w:val="FootnoteReference"/>
        </w:rPr>
        <w:footnoteReference w:id="12"/>
      </w:r>
    </w:p>
    <w:p w:rsidR="00FA7187" w:rsidRDefault="00D87B30" w:rsidP="00D765CF">
      <w:pPr>
        <w:spacing w:line="480" w:lineRule="auto"/>
        <w:ind w:firstLine="720"/>
        <w:jc w:val="both"/>
      </w:pPr>
      <w:r>
        <w:t>As set out in the approved Stipulation, t</w:t>
      </w:r>
      <w:r w:rsidR="00644CA4">
        <w:t xml:space="preserve">he </w:t>
      </w:r>
      <w:r w:rsidR="0067492D">
        <w:t>portfolio plan</w:t>
      </w:r>
      <w:r w:rsidR="00644CA4">
        <w:t xml:space="preserve"> contains a detailed provision that permits </w:t>
      </w:r>
      <w:r w:rsidR="00695D5C">
        <w:t>AEP-Ohio</w:t>
      </w:r>
      <w:r w:rsidR="008F1606">
        <w:t xml:space="preserve"> to recover shared savings that limits the </w:t>
      </w:r>
      <w:r w:rsidR="0067492D">
        <w:t xml:space="preserve">total amount of revenue that </w:t>
      </w:r>
      <w:r w:rsidR="00695D5C">
        <w:t>AEP-Ohio</w:t>
      </w:r>
      <w:r w:rsidR="0067492D">
        <w:t xml:space="preserve"> may </w:t>
      </w:r>
      <w:r>
        <w:t>collect as</w:t>
      </w:r>
      <w:r w:rsidR="0067492D">
        <w:t xml:space="preserve"> a result of the shared savings provision </w:t>
      </w:r>
      <w:r w:rsidR="008F1606">
        <w:t>to</w:t>
      </w:r>
      <w:r w:rsidR="0067492D">
        <w:t xml:space="preserve"> no more than $20 million per year</w:t>
      </w:r>
      <w:r>
        <w:t xml:space="preserve"> on an after-tax basis</w:t>
      </w:r>
      <w:r w:rsidR="00542244">
        <w:t>.</w:t>
      </w:r>
      <w:r w:rsidR="00542244">
        <w:rPr>
          <w:rStyle w:val="FootnoteReference"/>
        </w:rPr>
        <w:footnoteReference w:id="13"/>
      </w:r>
      <w:r w:rsidR="00542244">
        <w:t xml:space="preserve"> </w:t>
      </w:r>
      <w:r w:rsidR="00FA7187">
        <w:t xml:space="preserve"> </w:t>
      </w:r>
    </w:p>
    <w:p w:rsidR="00ED3C5B" w:rsidRDefault="00FA7187" w:rsidP="00931E1C">
      <w:pPr>
        <w:spacing w:line="480" w:lineRule="auto"/>
        <w:jc w:val="both"/>
      </w:pPr>
      <w:r>
        <w:tab/>
      </w:r>
      <w:r w:rsidR="00C45147">
        <w:t xml:space="preserve">Despite its protests to the contrary, AEP-Ohio is seeking an amendment to the shared savings cap in the current portfolio plan.  Specifically, </w:t>
      </w:r>
      <w:r w:rsidR="00DC22A1">
        <w:t>“[</w:t>
      </w:r>
      <w:r w:rsidR="00695D5C">
        <w:t>AEP-Ohio</w:t>
      </w:r>
      <w:r w:rsidR="00DC22A1">
        <w:t xml:space="preserve">] </w:t>
      </w:r>
      <w:r w:rsidR="007F5A3E">
        <w:t xml:space="preserve">… </w:t>
      </w:r>
      <w:r w:rsidR="00DC22A1">
        <w:t xml:space="preserve">requests that twenty percent of the shared savings calculated not be subject to the shared savings cap </w:t>
      </w:r>
      <w:r w:rsidR="00FB6F09">
        <w:t xml:space="preserve">provided </w:t>
      </w:r>
      <w:r w:rsidR="00DC22A1">
        <w:t xml:space="preserve">in Case 11-5568-EL-POR to </w:t>
      </w:r>
      <w:r w:rsidR="008F1606">
        <w:t>recognize the Company’s efforts to reduce overall costs for customers and encourage the Company to pursue additional highly cost effective CHP opportunities with its customers</w:t>
      </w:r>
      <w:r w:rsidR="00DC22A1">
        <w:t>.”</w:t>
      </w:r>
      <w:r w:rsidR="00DC22A1">
        <w:rPr>
          <w:rStyle w:val="FootnoteReference"/>
        </w:rPr>
        <w:footnoteReference w:id="14"/>
      </w:r>
      <w:r w:rsidR="00DC22A1">
        <w:t xml:space="preserve">  </w:t>
      </w:r>
    </w:p>
    <w:p w:rsidR="001855D5" w:rsidRPr="001855D5" w:rsidRDefault="00C45147" w:rsidP="001855D5">
      <w:pPr>
        <w:spacing w:line="480" w:lineRule="auto"/>
        <w:ind w:firstLine="720"/>
        <w:jc w:val="both"/>
        <w:rPr>
          <w:rFonts w:eastAsia="Calibri" w:cs="Times New Roman"/>
        </w:rPr>
      </w:pPr>
      <w:r>
        <w:rPr>
          <w:rFonts w:eastAsia="Calibri" w:cs="Times New Roman"/>
        </w:rPr>
        <w:t>T</w:t>
      </w:r>
      <w:r w:rsidR="001855D5">
        <w:rPr>
          <w:rFonts w:eastAsia="Calibri" w:cs="Times New Roman"/>
        </w:rPr>
        <w:t xml:space="preserve">he Commission may not authorize the amendment under the terms of SB 310.  </w:t>
      </w:r>
      <w:r w:rsidR="001855D5" w:rsidRPr="001855D5">
        <w:rPr>
          <w:rFonts w:eastAsia="Calibri" w:cs="Times New Roman"/>
        </w:rPr>
        <w:t>Under Section 7(B) of SB 310, the Commission, prior to January 1, 2017, is prohibited from taking any action with regard to any portfolio plan or application regarding a portfolio plan with two exceptions.  Under the first exception contained in Section 7(B), the Commission may approve, or modify and approve, an application to amend a portfolio plan if the application is to amend an existing portfolio plan under Section 6(B) (“plan exception”).</w:t>
      </w:r>
      <w:r w:rsidR="001855D5" w:rsidRPr="001855D5">
        <w:rPr>
          <w:rFonts w:eastAsia="Calibri" w:cs="Times New Roman"/>
          <w:vertAlign w:val="superscript"/>
        </w:rPr>
        <w:footnoteReference w:id="15"/>
      </w:r>
      <w:r w:rsidR="001855D5" w:rsidRPr="001855D5">
        <w:rPr>
          <w:rFonts w:eastAsia="Calibri" w:cs="Times New Roman"/>
        </w:rPr>
        <w:t xml:space="preserve">  Under the second exception, the Commission may take those actions necessary to administer the implementation of the existing portfolio plan (“implementation exception”).</w:t>
      </w:r>
    </w:p>
    <w:p w:rsidR="001855D5" w:rsidRPr="001855D5" w:rsidRDefault="001855D5" w:rsidP="001855D5">
      <w:pPr>
        <w:spacing w:line="480" w:lineRule="auto"/>
        <w:ind w:firstLine="720"/>
        <w:jc w:val="both"/>
        <w:rPr>
          <w:rFonts w:eastAsia="Calibri" w:cs="Times New Roman"/>
        </w:rPr>
      </w:pPr>
      <w:r w:rsidRPr="001855D5">
        <w:rPr>
          <w:rFonts w:eastAsia="Calibri" w:cs="Times New Roman"/>
        </w:rPr>
        <w:t xml:space="preserve">The implementation exception does not provide the Commission authority to act on </w:t>
      </w:r>
      <w:r>
        <w:rPr>
          <w:rFonts w:eastAsia="Calibri" w:cs="Times New Roman"/>
        </w:rPr>
        <w:t>AEP-Ohio’s</w:t>
      </w:r>
      <w:r w:rsidRPr="001855D5">
        <w:rPr>
          <w:rFonts w:eastAsia="Calibri" w:cs="Times New Roman"/>
        </w:rPr>
        <w:t xml:space="preserve"> Application.  </w:t>
      </w:r>
      <w:r>
        <w:rPr>
          <w:rFonts w:eastAsia="Calibri" w:cs="Times New Roman"/>
        </w:rPr>
        <w:t xml:space="preserve">The approved portfolio plan contains a cap of $20 million; AEP-Ohio is </w:t>
      </w:r>
      <w:r w:rsidR="00D15E4A">
        <w:rPr>
          <w:rFonts w:eastAsia="Calibri" w:cs="Times New Roman"/>
        </w:rPr>
        <w:t xml:space="preserve">seeking </w:t>
      </w:r>
      <w:r w:rsidR="00C45147">
        <w:rPr>
          <w:rFonts w:eastAsia="Calibri" w:cs="Times New Roman"/>
        </w:rPr>
        <w:t>to amend the current shared savings authorization</w:t>
      </w:r>
      <w:r>
        <w:rPr>
          <w:rFonts w:eastAsia="Calibri" w:cs="Times New Roman"/>
        </w:rPr>
        <w:t xml:space="preserve"> to collect revenue in excess of </w:t>
      </w:r>
      <w:r w:rsidR="00C45147">
        <w:rPr>
          <w:rFonts w:eastAsia="Calibri" w:cs="Times New Roman"/>
        </w:rPr>
        <w:t>the</w:t>
      </w:r>
      <w:r>
        <w:rPr>
          <w:rFonts w:eastAsia="Calibri" w:cs="Times New Roman"/>
        </w:rPr>
        <w:t xml:space="preserve"> cap.</w:t>
      </w:r>
      <w:r w:rsidRPr="001855D5">
        <w:rPr>
          <w:rFonts w:eastAsia="Calibri" w:cs="Times New Roman"/>
        </w:rPr>
        <w:t xml:space="preserve">  Because </w:t>
      </w:r>
      <w:r>
        <w:rPr>
          <w:rFonts w:eastAsia="Calibri" w:cs="Times New Roman"/>
        </w:rPr>
        <w:t>AEP-Ohio</w:t>
      </w:r>
      <w:r w:rsidRPr="001855D5">
        <w:rPr>
          <w:rFonts w:eastAsia="Calibri" w:cs="Times New Roman"/>
        </w:rPr>
        <w:t xml:space="preserve"> is seeking </w:t>
      </w:r>
      <w:r w:rsidR="002116D4">
        <w:rPr>
          <w:rFonts w:eastAsia="Calibri" w:cs="Times New Roman"/>
        </w:rPr>
        <w:t xml:space="preserve">to </w:t>
      </w:r>
      <w:r w:rsidR="000508E1">
        <w:rPr>
          <w:rFonts w:eastAsia="Calibri" w:cs="Times New Roman"/>
        </w:rPr>
        <w:t>amend</w:t>
      </w:r>
      <w:r w:rsidRPr="001855D5">
        <w:rPr>
          <w:rFonts w:eastAsia="Calibri" w:cs="Times New Roman"/>
        </w:rPr>
        <w:t xml:space="preserve"> </w:t>
      </w:r>
      <w:r w:rsidR="000508E1">
        <w:rPr>
          <w:rFonts w:eastAsia="Calibri" w:cs="Times New Roman"/>
        </w:rPr>
        <w:t>the existing cap</w:t>
      </w:r>
      <w:r w:rsidRPr="001855D5">
        <w:rPr>
          <w:rFonts w:eastAsia="Calibri" w:cs="Times New Roman"/>
        </w:rPr>
        <w:t xml:space="preserve">, the implementation exception to the prohibition in Section 7(B) does not apply and Section 7 requires that </w:t>
      </w:r>
      <w:r w:rsidR="000508E1">
        <w:rPr>
          <w:rFonts w:eastAsia="Calibri" w:cs="Times New Roman"/>
        </w:rPr>
        <w:t>the Commission reject AEP-Ohio’s request</w:t>
      </w:r>
      <w:r w:rsidRPr="001855D5">
        <w:rPr>
          <w:rFonts w:eastAsia="Calibri" w:cs="Times New Roman"/>
        </w:rPr>
        <w:t>.</w:t>
      </w:r>
    </w:p>
    <w:p w:rsidR="00D15E4A" w:rsidRDefault="00D15E4A" w:rsidP="00D15E4A">
      <w:pPr>
        <w:spacing w:line="480" w:lineRule="auto"/>
        <w:ind w:firstLine="720"/>
        <w:jc w:val="both"/>
        <w:rPr>
          <w:rFonts w:eastAsia="Calibri" w:cs="Times New Roman"/>
        </w:rPr>
      </w:pPr>
      <w:r w:rsidRPr="001855D5">
        <w:rPr>
          <w:rFonts w:eastAsia="Calibri" w:cs="Times New Roman"/>
        </w:rPr>
        <w:t xml:space="preserve">Because </w:t>
      </w:r>
      <w:r>
        <w:rPr>
          <w:rFonts w:eastAsia="Calibri" w:cs="Times New Roman"/>
        </w:rPr>
        <w:t>AEP-Ohio</w:t>
      </w:r>
      <w:r w:rsidRPr="001855D5">
        <w:rPr>
          <w:rFonts w:eastAsia="Calibri" w:cs="Times New Roman"/>
        </w:rPr>
        <w:t xml:space="preserve"> is seeking to amend its current portfolio plan to extend the recovery mechanism,</w:t>
      </w:r>
      <w:r>
        <w:rPr>
          <w:rStyle w:val="FootnoteReference"/>
          <w:rFonts w:eastAsia="Calibri" w:cs="Times New Roman"/>
        </w:rPr>
        <w:footnoteReference w:id="16"/>
      </w:r>
      <w:r w:rsidRPr="001855D5">
        <w:rPr>
          <w:rFonts w:eastAsia="Calibri" w:cs="Times New Roman"/>
        </w:rPr>
        <w:t xml:space="preserve"> however, the plan exception may require the Commission to approve, or modify and approve, the Application.</w:t>
      </w:r>
      <w:r w:rsidRPr="001855D5">
        <w:rPr>
          <w:rFonts w:eastAsia="Calibri" w:cs="Times New Roman"/>
          <w:vertAlign w:val="superscript"/>
        </w:rPr>
        <w:footnoteReference w:id="17"/>
      </w:r>
      <w:r w:rsidRPr="001855D5">
        <w:rPr>
          <w:rFonts w:eastAsia="Calibri" w:cs="Times New Roman"/>
        </w:rPr>
        <w:t xml:space="preserve">  The amended plan</w:t>
      </w:r>
      <w:r>
        <w:rPr>
          <w:rFonts w:eastAsia="Calibri" w:cs="Times New Roman"/>
        </w:rPr>
        <w:t>,</w:t>
      </w:r>
      <w:r w:rsidRPr="001855D5">
        <w:rPr>
          <w:rFonts w:eastAsia="Calibri" w:cs="Times New Roman"/>
        </w:rPr>
        <w:t xml:space="preserve"> or amended plan as modified</w:t>
      </w:r>
      <w:r>
        <w:rPr>
          <w:rFonts w:eastAsia="Calibri" w:cs="Times New Roman"/>
        </w:rPr>
        <w:t>,</w:t>
      </w:r>
      <w:r w:rsidRPr="001855D5">
        <w:rPr>
          <w:rFonts w:eastAsia="Calibri" w:cs="Times New Roman"/>
        </w:rPr>
        <w:t xml:space="preserve"> then will be effective </w:t>
      </w:r>
      <w:r>
        <w:rPr>
          <w:rFonts w:eastAsia="Calibri" w:cs="Times New Roman"/>
        </w:rPr>
        <w:t>through</w:t>
      </w:r>
      <w:r w:rsidRPr="001855D5">
        <w:rPr>
          <w:rFonts w:eastAsia="Calibri" w:cs="Times New Roman"/>
        </w:rPr>
        <w:t xml:space="preserve"> December 31, 2016.</w:t>
      </w:r>
      <w:r w:rsidRPr="001855D5">
        <w:rPr>
          <w:rFonts w:eastAsia="Calibri" w:cs="Times New Roman"/>
          <w:vertAlign w:val="superscript"/>
        </w:rPr>
        <w:footnoteReference w:id="18"/>
      </w:r>
      <w:r>
        <w:rPr>
          <w:rFonts w:eastAsia="Calibri" w:cs="Times New Roman"/>
        </w:rPr>
        <w:t xml:space="preserve">  </w:t>
      </w:r>
    </w:p>
    <w:p w:rsidR="007F5A3E" w:rsidRDefault="00D15E4A" w:rsidP="00DB6CA1">
      <w:pPr>
        <w:spacing w:line="480" w:lineRule="auto"/>
        <w:ind w:firstLine="720"/>
        <w:jc w:val="both"/>
        <w:rPr>
          <w:rFonts w:eastAsia="Calibri" w:cs="Times New Roman"/>
        </w:rPr>
      </w:pPr>
      <w:r>
        <w:rPr>
          <w:rFonts w:eastAsia="Calibri" w:cs="Times New Roman"/>
        </w:rPr>
        <w:t>The opportunity to amend the current plan, however, ended on October 12, 2014.</w:t>
      </w:r>
      <w:r>
        <w:rPr>
          <w:rStyle w:val="FootnoteReference"/>
          <w:rFonts w:eastAsia="Calibri" w:cs="Times New Roman"/>
        </w:rPr>
        <w:footnoteReference w:id="19"/>
      </w:r>
      <w:r>
        <w:rPr>
          <w:rFonts w:eastAsia="Calibri" w:cs="Times New Roman"/>
        </w:rPr>
        <w:t xml:space="preserve">  </w:t>
      </w:r>
      <w:r w:rsidR="007F5A3E">
        <w:rPr>
          <w:rFonts w:eastAsia="Calibri" w:cs="Times New Roman"/>
        </w:rPr>
        <w:t>Because the Application was filed after October 12, 2014, the Application cannot be a lawful basis to amend the current portfolio plan.</w:t>
      </w:r>
    </w:p>
    <w:p w:rsidR="00AE7E00" w:rsidRDefault="00D15E4A" w:rsidP="009C67D8">
      <w:pPr>
        <w:spacing w:after="240" w:line="480" w:lineRule="auto"/>
        <w:ind w:firstLine="720"/>
        <w:jc w:val="both"/>
      </w:pPr>
      <w:r w:rsidRPr="001855D5">
        <w:rPr>
          <w:rFonts w:eastAsia="Calibri" w:cs="Times New Roman"/>
        </w:rPr>
        <w:t>If</w:t>
      </w:r>
      <w:r>
        <w:rPr>
          <w:rFonts w:eastAsia="Calibri" w:cs="Times New Roman"/>
        </w:rPr>
        <w:t xml:space="preserve"> the Commission nonetheless finds that</w:t>
      </w:r>
      <w:r w:rsidRPr="001855D5">
        <w:rPr>
          <w:rFonts w:eastAsia="Calibri" w:cs="Times New Roman"/>
        </w:rPr>
        <w:t xml:space="preserve"> the plan exception applies, the Commission may, and in this case </w:t>
      </w:r>
      <w:r>
        <w:rPr>
          <w:rFonts w:eastAsia="Calibri" w:cs="Times New Roman"/>
        </w:rPr>
        <w:t>should, deny the request to modify the shared savings provision</w:t>
      </w:r>
      <w:r w:rsidRPr="001855D5">
        <w:rPr>
          <w:rFonts w:eastAsia="Calibri" w:cs="Times New Roman"/>
        </w:rPr>
        <w:t xml:space="preserve"> </w:t>
      </w:r>
      <w:r>
        <w:rPr>
          <w:rFonts w:eastAsia="Calibri" w:cs="Times New Roman"/>
        </w:rPr>
        <w:t xml:space="preserve">because the amendment is not reasonable.  </w:t>
      </w:r>
      <w:r w:rsidR="0013074E">
        <w:rPr>
          <w:rFonts w:eastAsia="Calibri" w:cs="Times New Roman"/>
        </w:rPr>
        <w:t xml:space="preserve">To support approval of the amendment, </w:t>
      </w:r>
      <w:r w:rsidR="00695D5C">
        <w:rPr>
          <w:rFonts w:eastAsia="Calibri" w:cs="Times New Roman"/>
        </w:rPr>
        <w:t>AEP-Ohio</w:t>
      </w:r>
      <w:r w:rsidR="0013074E">
        <w:rPr>
          <w:rFonts w:eastAsia="Calibri" w:cs="Times New Roman"/>
        </w:rPr>
        <w:t xml:space="preserve"> argues</w:t>
      </w:r>
      <w:r w:rsidR="00AE7E00" w:rsidRPr="00AE7E00">
        <w:rPr>
          <w:rFonts w:eastAsia="Calibri" w:cs="Times New Roman"/>
        </w:rPr>
        <w:t xml:space="preserve"> </w:t>
      </w:r>
      <w:r w:rsidR="000508E1">
        <w:rPr>
          <w:rFonts w:eastAsia="Calibri" w:cs="Times New Roman"/>
        </w:rPr>
        <w:t>that additional shared savings will provide</w:t>
      </w:r>
      <w:r w:rsidR="00CD7EE2">
        <w:rPr>
          <w:rFonts w:eastAsia="Calibri" w:cs="Times New Roman"/>
        </w:rPr>
        <w:t xml:space="preserve"> it an incentive to pursue other cost-effective CHP projects</w:t>
      </w:r>
      <w:r w:rsidR="00AE7E00" w:rsidRPr="00AE7E00">
        <w:rPr>
          <w:rFonts w:eastAsia="Calibri" w:cs="Times New Roman"/>
        </w:rPr>
        <w:t>.</w:t>
      </w:r>
      <w:r w:rsidR="00726F36">
        <w:rPr>
          <w:rStyle w:val="FootnoteReference"/>
          <w:rFonts w:eastAsia="Calibri" w:cs="Times New Roman"/>
        </w:rPr>
        <w:footnoteReference w:id="20"/>
      </w:r>
      <w:r w:rsidR="00AE7E00" w:rsidRPr="00AE7E00">
        <w:rPr>
          <w:rFonts w:eastAsia="Calibri" w:cs="Times New Roman"/>
        </w:rPr>
        <w:t xml:space="preserve">  </w:t>
      </w:r>
      <w:r w:rsidR="00695D5C">
        <w:rPr>
          <w:rFonts w:eastAsia="Calibri" w:cs="Times New Roman"/>
        </w:rPr>
        <w:t>AEP-Ohio</w:t>
      </w:r>
      <w:r w:rsidR="00AE7E00" w:rsidRPr="00AE7E00">
        <w:rPr>
          <w:rFonts w:eastAsia="Calibri" w:cs="Times New Roman"/>
        </w:rPr>
        <w:t xml:space="preserve"> makes this shared savings demand notwithstanding its identification that counting the </w:t>
      </w:r>
      <w:r w:rsidR="008F1606">
        <w:rPr>
          <w:rFonts w:eastAsia="Calibri" w:cs="Times New Roman"/>
        </w:rPr>
        <w:t>Kraton</w:t>
      </w:r>
      <w:r w:rsidR="00AE7E00" w:rsidRPr="00AE7E00">
        <w:rPr>
          <w:rFonts w:eastAsia="Calibri" w:cs="Times New Roman"/>
        </w:rPr>
        <w:t xml:space="preserve"> CHP project towards </w:t>
      </w:r>
      <w:r w:rsidR="00695D5C">
        <w:rPr>
          <w:rFonts w:eastAsia="Calibri" w:cs="Times New Roman"/>
        </w:rPr>
        <w:t>AEP-Ohio</w:t>
      </w:r>
      <w:r w:rsidR="00AE7E00" w:rsidRPr="00AE7E00">
        <w:rPr>
          <w:rFonts w:eastAsia="Calibri" w:cs="Times New Roman"/>
        </w:rPr>
        <w:t xml:space="preserve">’s compliance obligation </w:t>
      </w:r>
      <w:r w:rsidR="008F1606">
        <w:rPr>
          <w:rFonts w:eastAsia="Calibri" w:cs="Times New Roman"/>
        </w:rPr>
        <w:t xml:space="preserve">will reduce the cost of compliance with the </w:t>
      </w:r>
      <w:r w:rsidR="004F6009">
        <w:rPr>
          <w:rFonts w:eastAsia="Calibri" w:cs="Times New Roman"/>
        </w:rPr>
        <w:t>energy efficiency and peak demand reduction (“</w:t>
      </w:r>
      <w:r w:rsidR="008F1606">
        <w:rPr>
          <w:rFonts w:eastAsia="Calibri" w:cs="Times New Roman"/>
        </w:rPr>
        <w:t>EE/PDR</w:t>
      </w:r>
      <w:r w:rsidR="004F6009">
        <w:rPr>
          <w:rFonts w:eastAsia="Calibri" w:cs="Times New Roman"/>
        </w:rPr>
        <w:t>”)</w:t>
      </w:r>
      <w:r w:rsidR="008F1606">
        <w:rPr>
          <w:rFonts w:eastAsia="Calibri" w:cs="Times New Roman"/>
        </w:rPr>
        <w:t xml:space="preserve"> requirements for all customers.</w:t>
      </w:r>
      <w:r w:rsidR="00897A79">
        <w:rPr>
          <w:rStyle w:val="FootnoteReference"/>
          <w:rFonts w:eastAsia="Calibri" w:cs="Times New Roman"/>
        </w:rPr>
        <w:footnoteReference w:id="21"/>
      </w:r>
      <w:r w:rsidR="00AE7E00" w:rsidRPr="00AE7E00">
        <w:rPr>
          <w:rFonts w:eastAsia="Calibri" w:cs="Times New Roman"/>
        </w:rPr>
        <w:t xml:space="preserve">  Thus, the failure of </w:t>
      </w:r>
      <w:r w:rsidR="00695D5C">
        <w:rPr>
          <w:rFonts w:eastAsia="Calibri" w:cs="Times New Roman"/>
        </w:rPr>
        <w:t>AEP-Ohio</w:t>
      </w:r>
      <w:r w:rsidR="00AE7E00" w:rsidRPr="00AE7E00">
        <w:rPr>
          <w:rFonts w:eastAsia="Calibri" w:cs="Times New Roman"/>
        </w:rPr>
        <w:t xml:space="preserve"> to pursue the necessary steps to allow counting of the </w:t>
      </w:r>
      <w:r w:rsidR="008F1606">
        <w:rPr>
          <w:rFonts w:eastAsia="Calibri" w:cs="Times New Roman"/>
        </w:rPr>
        <w:t>Kraton</w:t>
      </w:r>
      <w:r w:rsidR="00AE7E00" w:rsidRPr="00AE7E00">
        <w:rPr>
          <w:rFonts w:eastAsia="Calibri" w:cs="Times New Roman"/>
        </w:rPr>
        <w:t xml:space="preserve"> CHP project</w:t>
      </w:r>
      <w:r w:rsidR="00897A79">
        <w:rPr>
          <w:rFonts w:eastAsia="Calibri" w:cs="Times New Roman"/>
        </w:rPr>
        <w:t xml:space="preserve"> or similar ones</w:t>
      </w:r>
      <w:r w:rsidR="00AE7E00" w:rsidRPr="00AE7E00">
        <w:rPr>
          <w:rFonts w:eastAsia="Calibri" w:cs="Times New Roman"/>
        </w:rPr>
        <w:t xml:space="preserve"> towards </w:t>
      </w:r>
      <w:r w:rsidR="00695D5C">
        <w:rPr>
          <w:rFonts w:eastAsia="Calibri" w:cs="Times New Roman"/>
        </w:rPr>
        <w:t>AEP-Ohio</w:t>
      </w:r>
      <w:r w:rsidR="00AE7E00" w:rsidRPr="00AE7E00">
        <w:rPr>
          <w:rFonts w:eastAsia="Calibri" w:cs="Times New Roman"/>
        </w:rPr>
        <w:t xml:space="preserve">’s compliance obligation would raise questions regarding whether </w:t>
      </w:r>
      <w:r w:rsidR="00695D5C">
        <w:rPr>
          <w:rFonts w:eastAsia="Calibri" w:cs="Times New Roman"/>
        </w:rPr>
        <w:t>AEP-Ohio</w:t>
      </w:r>
      <w:r w:rsidR="00AE7E00" w:rsidRPr="00AE7E00">
        <w:rPr>
          <w:rFonts w:eastAsia="Calibri" w:cs="Times New Roman"/>
        </w:rPr>
        <w:t xml:space="preserve"> was prudently managing its EE/PDR compliance obligation, regardless of what the Commission ultimately determines is appropriate regarding shared savings</w:t>
      </w:r>
      <w:r w:rsidR="00591748">
        <w:rPr>
          <w:rFonts w:eastAsia="Calibri" w:cs="Times New Roman"/>
        </w:rPr>
        <w:t xml:space="preserve">.  </w:t>
      </w:r>
      <w:r w:rsidR="00720E9C">
        <w:rPr>
          <w:rFonts w:eastAsia="Calibri" w:cs="Times New Roman"/>
        </w:rPr>
        <w:t>The requirement to demonstrate prudent management of the compliance obligations</w:t>
      </w:r>
      <w:r w:rsidR="00970EBC">
        <w:rPr>
          <w:rFonts w:eastAsia="Calibri" w:cs="Times New Roman"/>
        </w:rPr>
        <w:t xml:space="preserve"> should be an adequate “incentive” for </w:t>
      </w:r>
      <w:r w:rsidR="00695D5C">
        <w:rPr>
          <w:rFonts w:eastAsia="Calibri" w:cs="Times New Roman"/>
        </w:rPr>
        <w:t>AEP-Ohio</w:t>
      </w:r>
      <w:r w:rsidR="00970EBC">
        <w:rPr>
          <w:rFonts w:eastAsia="Calibri" w:cs="Times New Roman"/>
        </w:rPr>
        <w:t xml:space="preserve"> to reduce its portfolio compliance costs</w:t>
      </w:r>
      <w:r w:rsidR="00AE7E00" w:rsidRPr="00AE7E00">
        <w:rPr>
          <w:rFonts w:eastAsia="Calibri" w:cs="Times New Roman"/>
        </w:rPr>
        <w:t xml:space="preserve">. </w:t>
      </w:r>
      <w:r w:rsidR="00CD7EE2">
        <w:rPr>
          <w:rFonts w:eastAsia="Calibri" w:cs="Times New Roman"/>
        </w:rPr>
        <w:t xml:space="preserve"> Accordingly, </w:t>
      </w:r>
      <w:r w:rsidR="005E00B2" w:rsidRPr="00AE7E00">
        <w:rPr>
          <w:rFonts w:eastAsia="Calibri" w:cs="Times New Roman"/>
        </w:rPr>
        <w:t>IEU-Ohio</w:t>
      </w:r>
      <w:r w:rsidR="00A21237">
        <w:rPr>
          <w:rFonts w:eastAsia="Calibri" w:cs="Times New Roman"/>
        </w:rPr>
        <w:t xml:space="preserve"> objects to AEP-Ohio’s request to amend its current portfolio plan and </w:t>
      </w:r>
      <w:r w:rsidR="00A21237" w:rsidRPr="00AE7E00">
        <w:rPr>
          <w:rFonts w:eastAsia="Calibri" w:cs="Times New Roman"/>
        </w:rPr>
        <w:t>recommends</w:t>
      </w:r>
      <w:r w:rsidR="005E00B2" w:rsidRPr="00AE7E00">
        <w:rPr>
          <w:rFonts w:eastAsia="Calibri" w:cs="Times New Roman"/>
        </w:rPr>
        <w:t xml:space="preserve"> that the Commission deny </w:t>
      </w:r>
      <w:r w:rsidR="00695D5C">
        <w:rPr>
          <w:rFonts w:eastAsia="Calibri" w:cs="Times New Roman"/>
        </w:rPr>
        <w:t>AEP-Ohio</w:t>
      </w:r>
      <w:r w:rsidR="005E00B2" w:rsidRPr="00AE7E00">
        <w:rPr>
          <w:rFonts w:eastAsia="Calibri" w:cs="Times New Roman"/>
        </w:rPr>
        <w:t xml:space="preserve">’s request for </w:t>
      </w:r>
      <w:r w:rsidR="00A21237">
        <w:rPr>
          <w:rFonts w:eastAsia="Calibri" w:cs="Times New Roman"/>
        </w:rPr>
        <w:t xml:space="preserve">additional </w:t>
      </w:r>
      <w:r w:rsidR="005E00B2" w:rsidRPr="00AE7E00">
        <w:rPr>
          <w:rFonts w:eastAsia="Calibri" w:cs="Times New Roman"/>
        </w:rPr>
        <w:t xml:space="preserve">shared savings. </w:t>
      </w:r>
    </w:p>
    <w:p w:rsidR="006E197F" w:rsidRDefault="006E197F" w:rsidP="0029719A">
      <w:pPr>
        <w:pStyle w:val="Heading1"/>
      </w:pPr>
      <w:r>
        <w:t xml:space="preserve">the Commission Should Find that Eligible Customers May Opt Out of </w:t>
      </w:r>
      <w:r w:rsidR="00695D5C">
        <w:t>AEP-Ohio</w:t>
      </w:r>
      <w:r>
        <w:t>’s Portfolio Plan</w:t>
      </w:r>
    </w:p>
    <w:p w:rsidR="00EE5443" w:rsidRDefault="00695D5C" w:rsidP="00287B46">
      <w:pPr>
        <w:spacing w:line="480" w:lineRule="auto"/>
        <w:ind w:firstLine="720"/>
        <w:jc w:val="both"/>
      </w:pPr>
      <w:r>
        <w:t>AEP-Ohio</w:t>
      </w:r>
      <w:r w:rsidR="00B825B7" w:rsidRPr="005575E4">
        <w:t xml:space="preserve"> states that </w:t>
      </w:r>
      <w:r w:rsidR="00441A09">
        <w:t>“nothing in this Application should be construed as an amendment</w:t>
      </w:r>
      <w:r w:rsidR="00B825B7" w:rsidRPr="005575E4">
        <w:t>”</w:t>
      </w:r>
      <w:r w:rsidR="00441A09">
        <w:t xml:space="preserve"> of its current portfolio plan</w:t>
      </w:r>
      <w:r w:rsidR="00B825B7">
        <w:rPr>
          <w:rStyle w:val="FootnoteReference"/>
        </w:rPr>
        <w:footnoteReference w:id="22"/>
      </w:r>
      <w:r w:rsidR="00B825B7">
        <w:t xml:space="preserve"> even though </w:t>
      </w:r>
      <w:r>
        <w:t>AEP-Ohio</w:t>
      </w:r>
      <w:r w:rsidR="002B2917" w:rsidRPr="005575E4">
        <w:t xml:space="preserve"> is seeking </w:t>
      </w:r>
      <w:r w:rsidR="00253630">
        <w:t>authorization</w:t>
      </w:r>
      <w:r w:rsidR="0009715F">
        <w:t xml:space="preserve"> to </w:t>
      </w:r>
      <w:r w:rsidR="00647AA1">
        <w:t>avoid</w:t>
      </w:r>
      <w:r w:rsidR="0009715F">
        <w:t xml:space="preserve"> the </w:t>
      </w:r>
      <w:r w:rsidR="0013074E">
        <w:t xml:space="preserve">current </w:t>
      </w:r>
      <w:r w:rsidR="0009715F">
        <w:t>cap on shared savings</w:t>
      </w:r>
      <w:r w:rsidR="00B825B7">
        <w:t xml:space="preserve">. </w:t>
      </w:r>
      <w:r w:rsidR="002B2917" w:rsidRPr="005575E4">
        <w:t xml:space="preserve"> </w:t>
      </w:r>
      <w:r w:rsidR="00441A09">
        <w:t xml:space="preserve">AEP-Ohio then threatens to unilaterally withdraw the Application </w:t>
      </w:r>
      <w:r w:rsidR="00253630">
        <w:t xml:space="preserve">if the Commission finds that the Application constitutes a request to amend its current plan </w:t>
      </w:r>
      <w:r w:rsidR="00441A09">
        <w:t>because it does not consent “to approval under those circumstances.”</w:t>
      </w:r>
      <w:r w:rsidR="00441A09">
        <w:rPr>
          <w:rStyle w:val="FootnoteReference"/>
        </w:rPr>
        <w:footnoteReference w:id="23"/>
      </w:r>
      <w:r w:rsidR="00441A09">
        <w:t xml:space="preserve">  </w:t>
      </w:r>
    </w:p>
    <w:p w:rsidR="00EE5443" w:rsidRDefault="00EE5443" w:rsidP="00287B46">
      <w:pPr>
        <w:spacing w:line="480" w:lineRule="auto"/>
        <w:ind w:firstLine="720"/>
        <w:jc w:val="both"/>
      </w:pPr>
      <w:r w:rsidRPr="00EE5443">
        <w:t xml:space="preserve">Regardless of what AEP-Ohio believes it may do if the Commission correctly finds that AEP-Ohio has sought to amend its portfolio plan, the portion of the Application regarding Kraton’s commitment and the payment for that commitment should be unaffected.  Kraton could have filed an application </w:t>
      </w:r>
      <w:r w:rsidR="00253630">
        <w:t xml:space="preserve">regarding the commitment of the energy efficiency benefits of its CHP project </w:t>
      </w:r>
      <w:r w:rsidRPr="00EE5443">
        <w:t>without AEP-Ohio “consent.”</w:t>
      </w:r>
      <w:r>
        <w:rPr>
          <w:rStyle w:val="FootnoteReference"/>
        </w:rPr>
        <w:footnoteReference w:id="24"/>
      </w:r>
      <w:r w:rsidRPr="00EE5443">
        <w:t xml:space="preserve">  Kraton should not be required to refile an application because </w:t>
      </w:r>
      <w:r w:rsidR="00253630">
        <w:t xml:space="preserve">AEP-Ohio believes it has some unilateral right to </w:t>
      </w:r>
      <w:r w:rsidR="00897686">
        <w:t>withdraw</w:t>
      </w:r>
      <w:r w:rsidRPr="00EE5443">
        <w:t>.</w:t>
      </w:r>
    </w:p>
    <w:p w:rsidR="006E197F" w:rsidRDefault="00EE5443" w:rsidP="00F9579B">
      <w:pPr>
        <w:spacing w:after="240" w:line="480" w:lineRule="auto"/>
        <w:ind w:firstLine="720"/>
        <w:jc w:val="both"/>
      </w:pPr>
      <w:r>
        <w:t xml:space="preserve">If the Commission finds that AEP-Ohio has provided a timely application to modify its portfolio plan, then the Commission should also grant other customers the additional opportunity to opt out of an amended portfolio plan.  </w:t>
      </w:r>
      <w:r w:rsidR="00003D1E">
        <w:t>Because</w:t>
      </w:r>
      <w:r w:rsidR="004F3CD3">
        <w:t xml:space="preserve"> the Application </w:t>
      </w:r>
      <w:r w:rsidR="00C25E09">
        <w:t>seeks</w:t>
      </w:r>
      <w:r w:rsidR="004F3CD3">
        <w:t xml:space="preserve"> </w:t>
      </w:r>
      <w:r w:rsidR="00441A09">
        <w:t xml:space="preserve">an </w:t>
      </w:r>
      <w:r w:rsidR="004F3CD3">
        <w:t xml:space="preserve">amendment to </w:t>
      </w:r>
      <w:r w:rsidR="00695D5C">
        <w:t>AEP-Ohio</w:t>
      </w:r>
      <w:r w:rsidR="00C25E09">
        <w:t>’s</w:t>
      </w:r>
      <w:r w:rsidR="004F3CD3">
        <w:t xml:space="preserve"> current portfolio plan, </w:t>
      </w:r>
      <w:r w:rsidR="005625EE">
        <w:t>SB 310 directs that the Commission may either approve or modify and approve the Application not later than sixty days after the date the application is filed.</w:t>
      </w:r>
      <w:r w:rsidR="005625EE">
        <w:rPr>
          <w:rStyle w:val="FootnoteReference"/>
        </w:rPr>
        <w:footnoteReference w:id="25"/>
      </w:r>
      <w:r w:rsidR="005625EE">
        <w:t xml:space="preserve">  </w:t>
      </w:r>
      <w:r w:rsidR="00287B46">
        <w:t>If the Commission does amend the current portfolio plan, then eligible customers</w:t>
      </w:r>
      <w:r w:rsidR="00287B46">
        <w:rPr>
          <w:rStyle w:val="FootnoteReference"/>
        </w:rPr>
        <w:footnoteReference w:id="26"/>
      </w:r>
      <w:r w:rsidR="00287B46">
        <w:t xml:space="preserve"> “may opt out of the opportunity and ability to obtain direct benefits from the utility’s portfolio plan that is amended.”</w:t>
      </w:r>
      <w:r w:rsidR="00287B46">
        <w:rPr>
          <w:rStyle w:val="FootnoteReference"/>
        </w:rPr>
        <w:footnoteReference w:id="27"/>
      </w:r>
      <w:r w:rsidR="00287B46">
        <w:t xml:space="preserve">  </w:t>
      </w:r>
      <w:r w:rsidR="00253630">
        <w:t>Accordingly</w:t>
      </w:r>
      <w:r w:rsidR="000C41A7" w:rsidRPr="009356E6">
        <w:t xml:space="preserve">, IEU-Ohio requests that the Commission make an affirmative finding that </w:t>
      </w:r>
      <w:r w:rsidR="00695D5C">
        <w:t>AEP-Ohio</w:t>
      </w:r>
      <w:r w:rsidR="00170C9F">
        <w:t xml:space="preserve">’s </w:t>
      </w:r>
      <w:r w:rsidR="000C41A7" w:rsidRPr="009356E6">
        <w:t>eligible customers ma</w:t>
      </w:r>
      <w:r w:rsidR="00170C9F">
        <w:t>y elect to opt</w:t>
      </w:r>
      <w:r w:rsidR="00FB6F09">
        <w:t xml:space="preserve"> </w:t>
      </w:r>
      <w:r w:rsidR="00170C9F">
        <w:t>out</w:t>
      </w:r>
      <w:r w:rsidR="00287B46">
        <w:t xml:space="preserve"> of the benefits and costs of the amended portfolio plan</w:t>
      </w:r>
      <w:r w:rsidR="00253630" w:rsidRPr="00253630">
        <w:t xml:space="preserve"> </w:t>
      </w:r>
      <w:r w:rsidR="00253630">
        <w:t>if the Commission grants AEP-Ohio’s request to increase its recovery of shared savings in excess of the current cap</w:t>
      </w:r>
      <w:r w:rsidR="00170C9F">
        <w:t>.</w:t>
      </w:r>
    </w:p>
    <w:p w:rsidR="005A46FB" w:rsidRDefault="005A46FB" w:rsidP="0029719A">
      <w:pPr>
        <w:pStyle w:val="Heading1"/>
      </w:pPr>
      <w:r>
        <w:t>Conclusion</w:t>
      </w:r>
    </w:p>
    <w:p w:rsidR="00930D83" w:rsidRDefault="005A46FB" w:rsidP="0029719A">
      <w:pPr>
        <w:spacing w:line="480" w:lineRule="auto"/>
        <w:jc w:val="both"/>
      </w:pPr>
      <w:r>
        <w:tab/>
        <w:t xml:space="preserve">IEU-Ohio supports </w:t>
      </w:r>
      <w:r w:rsidR="00B9295D">
        <w:t>the Application’s</w:t>
      </w:r>
      <w:r>
        <w:t xml:space="preserve"> request to </w:t>
      </w:r>
      <w:r w:rsidR="00B9295D">
        <w:t xml:space="preserve">authorize the </w:t>
      </w:r>
      <w:r>
        <w:t>commit</w:t>
      </w:r>
      <w:r w:rsidR="00B9295D">
        <w:t xml:space="preserve">ment </w:t>
      </w:r>
      <w:r w:rsidR="00897686">
        <w:t xml:space="preserve">of </w:t>
      </w:r>
      <w:r w:rsidR="00441A09">
        <w:t>Kraton’s</w:t>
      </w:r>
      <w:r w:rsidR="00F87E6B">
        <w:t xml:space="preserve"> CHP project </w:t>
      </w:r>
      <w:r>
        <w:t xml:space="preserve">to </w:t>
      </w:r>
      <w:r w:rsidR="00695D5C">
        <w:t>AEP-Ohio</w:t>
      </w:r>
      <w:r w:rsidR="00F87E6B">
        <w:t xml:space="preserve"> for a commitment payment</w:t>
      </w:r>
      <w:r w:rsidR="00C64DD0">
        <w:t xml:space="preserve"> if the Commission finds that the commitment will lower </w:t>
      </w:r>
      <w:r w:rsidR="00695D5C">
        <w:t>AEP-Ohio</w:t>
      </w:r>
      <w:r w:rsidR="0009715F">
        <w:t>’s</w:t>
      </w:r>
      <w:r w:rsidR="00C64DD0">
        <w:t xml:space="preserve"> cost of compliance with the EE/PDR requirements</w:t>
      </w:r>
      <w:r w:rsidR="008B3FDB">
        <w:t>.</w:t>
      </w:r>
      <w:r>
        <w:t xml:space="preserve"> </w:t>
      </w:r>
      <w:r w:rsidR="00B70418">
        <w:t xml:space="preserve"> </w:t>
      </w:r>
      <w:r>
        <w:t xml:space="preserve">The Commission, however, should reject </w:t>
      </w:r>
      <w:r w:rsidR="00441A09">
        <w:t>the amendment</w:t>
      </w:r>
      <w:r w:rsidR="00970EBC">
        <w:t xml:space="preserve"> of </w:t>
      </w:r>
      <w:r w:rsidR="00EE5443">
        <w:t>AEP-Ohio’s</w:t>
      </w:r>
      <w:r w:rsidR="00970EBC">
        <w:t xml:space="preserve"> portfolio plan </w:t>
      </w:r>
      <w:r w:rsidR="00441A09">
        <w:t>that would remove the cap on shared savings</w:t>
      </w:r>
      <w:r>
        <w:t xml:space="preserve">.  </w:t>
      </w:r>
      <w:r w:rsidR="00916647">
        <w:t xml:space="preserve">Additionally, </w:t>
      </w:r>
      <w:r w:rsidR="00EE5443">
        <w:t>if the Commission authorizes AEP-Ohio’s requested amendment of the shared savings provision of the current portfolio plan</w:t>
      </w:r>
      <w:r w:rsidR="00FB6F09">
        <w:t>,</w:t>
      </w:r>
      <w:r>
        <w:t xml:space="preserve"> </w:t>
      </w:r>
      <w:r w:rsidR="0009715F">
        <w:t xml:space="preserve">the Commission </w:t>
      </w:r>
      <w:r w:rsidR="00EE5443">
        <w:t xml:space="preserve">also </w:t>
      </w:r>
      <w:r w:rsidR="0009715F">
        <w:t>should affirmatively find that</w:t>
      </w:r>
      <w:r>
        <w:t xml:space="preserve"> eligible customer</w:t>
      </w:r>
      <w:r w:rsidR="006F0725">
        <w:t>s</w:t>
      </w:r>
      <w:r>
        <w:t xml:space="preserve"> </w:t>
      </w:r>
      <w:r w:rsidR="0009715F">
        <w:t>may elect to</w:t>
      </w:r>
      <w:r w:rsidR="00720E9C">
        <w:t xml:space="preserve"> opt out of the opportunity and ability to obtain direct benefits from </w:t>
      </w:r>
      <w:r w:rsidR="00695D5C">
        <w:t>AEP-Ohio</w:t>
      </w:r>
      <w:r w:rsidR="00720E9C">
        <w:t>’s portfolio plan as amended</w:t>
      </w:r>
      <w:r>
        <w:t>.</w:t>
      </w:r>
    </w:p>
    <w:p w:rsidR="006F4F5E" w:rsidRDefault="006F4F5E" w:rsidP="00930D83">
      <w:pPr>
        <w:pStyle w:val="BodyTextIndent"/>
        <w:spacing w:after="0"/>
        <w:ind w:left="4320"/>
        <w:rPr>
          <w:lang w:val="en-US"/>
        </w:rPr>
      </w:pPr>
    </w:p>
    <w:p w:rsidR="00930D83" w:rsidRDefault="00930D83" w:rsidP="00930D83">
      <w:pPr>
        <w:pStyle w:val="BodyTextIndent"/>
        <w:spacing w:after="0"/>
        <w:ind w:left="4320"/>
      </w:pPr>
      <w:r>
        <w:t>Respectfully submitted,</w:t>
      </w:r>
    </w:p>
    <w:p w:rsidR="00930D83" w:rsidRPr="0074338B" w:rsidRDefault="00930D83" w:rsidP="00930D83">
      <w:pPr>
        <w:pStyle w:val="BodyTextIndent"/>
        <w:spacing w:after="0"/>
        <w:ind w:left="0"/>
        <w:rPr>
          <w:lang w:val="en-US"/>
        </w:rPr>
      </w:pPr>
    </w:p>
    <w:p w:rsidR="00930D83" w:rsidRPr="006F4F5E" w:rsidRDefault="006F4F5E" w:rsidP="00930D83">
      <w:pPr>
        <w:tabs>
          <w:tab w:val="left" w:pos="4320"/>
          <w:tab w:val="right" w:pos="8640"/>
        </w:tabs>
        <w:ind w:left="4320"/>
        <w:jc w:val="both"/>
        <w:rPr>
          <w:rFonts w:cs="Arial"/>
          <w:i/>
        </w:rPr>
      </w:pPr>
      <w:r w:rsidRPr="006F4F5E">
        <w:rPr>
          <w:rFonts w:cs="Arial"/>
          <w:i/>
          <w:u w:val="single"/>
        </w:rPr>
        <w:t>/s/ Frank P. Darr</w:t>
      </w:r>
      <w:r w:rsidR="00930D83" w:rsidRPr="006F4F5E">
        <w:rPr>
          <w:rFonts w:cs="Arial"/>
          <w:i/>
          <w:u w:val="single"/>
        </w:rPr>
        <w:tab/>
      </w:r>
      <w:r w:rsidR="00930D83" w:rsidRPr="006F4F5E">
        <w:rPr>
          <w:rFonts w:cs="Arial"/>
          <w:i/>
        </w:rPr>
        <w:t xml:space="preserve"> </w:t>
      </w:r>
    </w:p>
    <w:p w:rsidR="00930D83" w:rsidRPr="0074338B" w:rsidRDefault="00930D83" w:rsidP="00930D83">
      <w:pPr>
        <w:widowControl w:val="0"/>
        <w:ind w:left="4320"/>
        <w:rPr>
          <w:rFonts w:eastAsia="Calibri" w:cs="Arial"/>
          <w:bCs/>
        </w:rPr>
      </w:pPr>
      <w:r w:rsidRPr="0074338B">
        <w:rPr>
          <w:rFonts w:eastAsia="Calibri" w:cs="Arial"/>
          <w:bCs/>
        </w:rPr>
        <w:t>Frank P. Darr (Reg. No. 0025469)</w:t>
      </w:r>
    </w:p>
    <w:p w:rsidR="00930D83" w:rsidRPr="0074338B" w:rsidRDefault="00930D83" w:rsidP="00930D83">
      <w:pPr>
        <w:widowControl w:val="0"/>
        <w:ind w:left="4320"/>
        <w:rPr>
          <w:rFonts w:eastAsia="Calibri" w:cs="Arial"/>
          <w:bCs/>
        </w:rPr>
      </w:pPr>
      <w:r w:rsidRPr="0074338B">
        <w:rPr>
          <w:rFonts w:eastAsia="Calibri" w:cs="Arial"/>
        </w:rPr>
        <w:t>(Counsel of Record)</w:t>
      </w:r>
    </w:p>
    <w:p w:rsidR="00930D83" w:rsidRPr="0074338B" w:rsidRDefault="00930D83" w:rsidP="00930D83">
      <w:pPr>
        <w:widowControl w:val="0"/>
        <w:ind w:left="4320"/>
        <w:rPr>
          <w:rFonts w:eastAsia="Calibri" w:cs="Arial"/>
          <w:b/>
          <w:bCs/>
        </w:rPr>
      </w:pPr>
      <w:r w:rsidRPr="0074338B">
        <w:rPr>
          <w:rFonts w:eastAsia="Calibri" w:cs="Arial"/>
          <w:bCs/>
        </w:rPr>
        <w:t>Matthew R. Pritchard (Reg. No. 0088070)</w:t>
      </w:r>
    </w:p>
    <w:p w:rsidR="00930D83" w:rsidRPr="0074338B" w:rsidRDefault="00930D83" w:rsidP="00930D83">
      <w:pPr>
        <w:widowControl w:val="0"/>
        <w:ind w:left="4320"/>
        <w:rPr>
          <w:rFonts w:eastAsia="Calibri" w:cs="Arial"/>
          <w:b/>
          <w:bCs/>
          <w:smallCaps/>
        </w:rPr>
      </w:pPr>
      <w:r w:rsidRPr="0074338B">
        <w:rPr>
          <w:rFonts w:eastAsia="Calibri" w:cs="Arial"/>
          <w:bCs/>
          <w:smallCaps/>
        </w:rPr>
        <w:t>McNees Wallace &amp; Nurick LLC</w:t>
      </w:r>
    </w:p>
    <w:p w:rsidR="00930D83" w:rsidRPr="0074338B" w:rsidRDefault="00930D83" w:rsidP="00930D83">
      <w:pPr>
        <w:widowControl w:val="0"/>
        <w:ind w:left="4320"/>
        <w:rPr>
          <w:rFonts w:eastAsia="Calibri" w:cs="Arial"/>
          <w:b/>
          <w:bCs/>
        </w:rPr>
      </w:pPr>
      <w:r w:rsidRPr="0074338B">
        <w:rPr>
          <w:rFonts w:eastAsia="Calibri" w:cs="Arial"/>
          <w:bCs/>
        </w:rPr>
        <w:t>21 East State Street, 17</w:t>
      </w:r>
      <w:r w:rsidRPr="0074338B">
        <w:rPr>
          <w:rFonts w:eastAsia="Calibri" w:cs="Arial"/>
          <w:bCs/>
          <w:vertAlign w:val="superscript"/>
        </w:rPr>
        <w:t>TH</w:t>
      </w:r>
      <w:r w:rsidRPr="0074338B">
        <w:rPr>
          <w:rFonts w:eastAsia="Calibri" w:cs="Arial"/>
          <w:bCs/>
        </w:rPr>
        <w:t xml:space="preserve"> Floor</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Columbus, OH  43215</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Telephone:  (614) 469-8000</w:t>
      </w:r>
    </w:p>
    <w:p w:rsidR="00930D83" w:rsidRPr="0074338B"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Telecopier:  (614) 469-4653</w:t>
      </w:r>
    </w:p>
    <w:p w:rsidR="00930D83" w:rsidRDefault="00930D83" w:rsidP="00930D83">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fdarr@mwncmh.com</w:t>
      </w:r>
    </w:p>
    <w:p w:rsidR="006F4F5E" w:rsidRPr="0074338B" w:rsidRDefault="006F4F5E" w:rsidP="00930D83">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color w:val="000000"/>
        </w:rPr>
        <w:t>mpritchard@mwncmh.com</w:t>
      </w:r>
    </w:p>
    <w:p w:rsidR="00930D83" w:rsidRDefault="00930D83" w:rsidP="00930D83">
      <w:pPr>
        <w:tabs>
          <w:tab w:val="left" w:pos="-1440"/>
          <w:tab w:val="left" w:pos="-720"/>
          <w:tab w:val="left" w:pos="4680"/>
          <w:tab w:val="left" w:pos="5040"/>
        </w:tabs>
        <w:jc w:val="both"/>
        <w:rPr>
          <w:rFonts w:cs="Arial"/>
        </w:rPr>
      </w:pPr>
    </w:p>
    <w:p w:rsidR="00930D83" w:rsidRDefault="00930D83" w:rsidP="00930D83">
      <w:pPr>
        <w:tabs>
          <w:tab w:val="left" w:pos="-1440"/>
          <w:tab w:val="left" w:pos="-720"/>
          <w:tab w:val="left" w:pos="4320"/>
        </w:tabs>
        <w:ind w:left="4320" w:hanging="4320"/>
        <w:jc w:val="both"/>
        <w:rPr>
          <w:rFonts w:cs="Arial"/>
          <w:b/>
        </w:rPr>
        <w:sectPr w:rsidR="00930D83" w:rsidSect="00897A7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r>
        <w:rPr>
          <w:rFonts w:cs="Arial"/>
        </w:rPr>
        <w:tab/>
      </w:r>
      <w:r>
        <w:rPr>
          <w:rFonts w:cs="Arial"/>
          <w:b/>
        </w:rPr>
        <w:t>Attorneys for Industrial Energy Users-Ohio</w:t>
      </w:r>
    </w:p>
    <w:p w:rsidR="00930D83" w:rsidRPr="00F9579B" w:rsidRDefault="00930D83" w:rsidP="00930D83">
      <w:pPr>
        <w:jc w:val="center"/>
        <w:rPr>
          <w:rFonts w:cs="Arial"/>
          <w:b/>
          <w:u w:val="single"/>
        </w:rPr>
      </w:pPr>
      <w:bookmarkStart w:id="1" w:name="_Toc381606702"/>
      <w:bookmarkStart w:id="2" w:name="_Toc385406742"/>
      <w:r w:rsidRPr="00F9579B">
        <w:rPr>
          <w:rFonts w:cs="Arial"/>
          <w:b/>
          <w:u w:val="single"/>
        </w:rPr>
        <w:t>CERTIFICATE OF SERVICE</w:t>
      </w:r>
    </w:p>
    <w:p w:rsidR="00930D83" w:rsidRDefault="00930D83" w:rsidP="00930D83">
      <w:pPr>
        <w:jc w:val="center"/>
        <w:rPr>
          <w:rFonts w:cs="Arial"/>
          <w:b/>
        </w:rPr>
      </w:pPr>
    </w:p>
    <w:p w:rsidR="00145210" w:rsidRDefault="00145210" w:rsidP="00930D83">
      <w:pPr>
        <w:jc w:val="center"/>
        <w:rPr>
          <w:rFonts w:cs="Arial"/>
          <w:b/>
        </w:rPr>
      </w:pPr>
    </w:p>
    <w:bookmarkEnd w:id="1"/>
    <w:bookmarkEnd w:id="2"/>
    <w:p w:rsidR="006F4F5E" w:rsidRPr="006F4F5E" w:rsidRDefault="00930D83" w:rsidP="006F4F5E">
      <w:pPr>
        <w:pStyle w:val="BodyText"/>
        <w:spacing w:line="480" w:lineRule="auto"/>
        <w:ind w:firstLine="720"/>
        <w:rPr>
          <w:smallCaps/>
          <w:lang w:val="en-US"/>
        </w:rPr>
      </w:pPr>
      <w:r w:rsidRPr="00DB45CB">
        <w:t xml:space="preserve">In accordance with Rule 4901-1-05, Ohio Administrative Code, the PUCO's e-filing system will electronically serve notice of the filing of this document upon the following parties.  In addition, I hereby certify that a service copy of the foregoing </w:t>
      </w:r>
      <w:r>
        <w:rPr>
          <w:i/>
          <w:lang w:val="en-US"/>
        </w:rPr>
        <w:t xml:space="preserve">Objection and Comments of Industrial Energy Users-Ohio to Joint Application for Approval of a Special Arrangement Agreement Between </w:t>
      </w:r>
      <w:r w:rsidR="009C67D8">
        <w:rPr>
          <w:i/>
          <w:lang w:val="en-US"/>
        </w:rPr>
        <w:t>Ohio Power</w:t>
      </w:r>
      <w:r>
        <w:rPr>
          <w:i/>
          <w:lang w:val="en-US"/>
        </w:rPr>
        <w:t xml:space="preserve"> Company and </w:t>
      </w:r>
      <w:r w:rsidR="00985A21">
        <w:t>Kraton Polymers U.S. LLC</w:t>
      </w:r>
      <w:r w:rsidRPr="00DB45CB">
        <w:rPr>
          <w:i/>
        </w:rPr>
        <w:t xml:space="preserve"> </w:t>
      </w:r>
      <w:r w:rsidRPr="00DB45CB">
        <w:t xml:space="preserve">was sent by, or on behalf of, the undersigned counsel for IEU-Ohio to the following parties of record this </w:t>
      </w:r>
      <w:r w:rsidR="00E855C2">
        <w:rPr>
          <w:lang w:val="en-US"/>
        </w:rPr>
        <w:t>12</w:t>
      </w:r>
      <w:r w:rsidR="0093602B" w:rsidRPr="00342E3B">
        <w:rPr>
          <w:vertAlign w:val="superscript"/>
          <w:lang w:val="en-US"/>
        </w:rPr>
        <w:t>th</w:t>
      </w:r>
      <w:r w:rsidR="0093602B" w:rsidRPr="00DB45CB">
        <w:t xml:space="preserve"> </w:t>
      </w:r>
      <w:r w:rsidRPr="00DB45CB">
        <w:t xml:space="preserve">day of </w:t>
      </w:r>
      <w:r w:rsidR="0093602B">
        <w:rPr>
          <w:lang w:val="en-US"/>
        </w:rPr>
        <w:t>January 2015</w:t>
      </w:r>
      <w:r w:rsidRPr="00DB45CB">
        <w:t xml:space="preserve">, </w:t>
      </w:r>
      <w:r w:rsidRPr="00DB45CB">
        <w:rPr>
          <w:i/>
        </w:rPr>
        <w:t>via</w:t>
      </w:r>
      <w:r w:rsidRPr="00DB45CB">
        <w:t xml:space="preserve"> electronic transmission. </w:t>
      </w:r>
    </w:p>
    <w:p w:rsidR="006F4F5E" w:rsidRPr="006F4F5E" w:rsidRDefault="006F4F5E" w:rsidP="006F4F5E">
      <w:pPr>
        <w:tabs>
          <w:tab w:val="left" w:pos="-1440"/>
          <w:tab w:val="left" w:pos="-720"/>
          <w:tab w:val="left" w:pos="5040"/>
          <w:tab w:val="center" w:pos="7200"/>
        </w:tabs>
        <w:jc w:val="both"/>
        <w:rPr>
          <w:i/>
          <w:u w:val="single"/>
        </w:rPr>
      </w:pPr>
      <w:r>
        <w:tab/>
      </w:r>
      <w:r w:rsidRPr="006F4F5E">
        <w:rPr>
          <w:i/>
          <w:u w:val="single"/>
        </w:rPr>
        <w:t>/s/ Frank P. Darr</w:t>
      </w:r>
      <w:r w:rsidRPr="006F4F5E">
        <w:rPr>
          <w:i/>
          <w:u w:val="single"/>
        </w:rPr>
        <w:tab/>
      </w:r>
      <w:r w:rsidRPr="006F4F5E">
        <w:rPr>
          <w:i/>
          <w:u w:val="single"/>
        </w:rPr>
        <w:tab/>
      </w:r>
      <w:r w:rsidRPr="006F4F5E">
        <w:rPr>
          <w:i/>
          <w:u w:val="single"/>
        </w:rPr>
        <w:tab/>
      </w:r>
      <w:r w:rsidRPr="006F4F5E">
        <w:rPr>
          <w:i/>
          <w:u w:val="single"/>
        </w:rPr>
        <w:tab/>
      </w:r>
    </w:p>
    <w:p w:rsidR="006F4F5E" w:rsidRPr="006F4F5E" w:rsidRDefault="006F4F5E" w:rsidP="006F4F5E">
      <w:pPr>
        <w:tabs>
          <w:tab w:val="left" w:pos="-1440"/>
          <w:tab w:val="left" w:pos="-720"/>
          <w:tab w:val="left" w:pos="5040"/>
          <w:tab w:val="center" w:pos="7200"/>
        </w:tabs>
        <w:jc w:val="center"/>
      </w:pPr>
      <w:r>
        <w:tab/>
        <w:t>Frank P. Darr</w:t>
      </w:r>
    </w:p>
    <w:p w:rsidR="003B5D6C" w:rsidRDefault="003B5D6C" w:rsidP="00930D83">
      <w:pPr>
        <w:tabs>
          <w:tab w:val="left" w:pos="-1440"/>
          <w:tab w:val="left" w:pos="-720"/>
          <w:tab w:val="left" w:pos="5040"/>
          <w:tab w:val="center" w:pos="7200"/>
        </w:tabs>
        <w:jc w:val="both"/>
        <w:sectPr w:rsidR="003B5D6C" w:rsidSect="00C0405A">
          <w:pgSz w:w="12240" w:h="15840" w:code="1"/>
          <w:pgMar w:top="1440" w:right="1440" w:bottom="1440" w:left="1440" w:header="720" w:footer="720" w:gutter="0"/>
          <w:cols w:space="720"/>
          <w:titlePg/>
          <w:docGrid w:linePitch="360"/>
        </w:sectPr>
      </w:pPr>
    </w:p>
    <w:p w:rsidR="00930D83" w:rsidRDefault="00930D83" w:rsidP="00930D83">
      <w:pPr>
        <w:tabs>
          <w:tab w:val="left" w:pos="-1440"/>
          <w:tab w:val="left" w:pos="-720"/>
          <w:tab w:val="left" w:pos="5040"/>
          <w:tab w:val="center" w:pos="7200"/>
        </w:tabs>
        <w:jc w:val="both"/>
      </w:pPr>
    </w:p>
    <w:p w:rsidR="003B5D6C" w:rsidRDefault="003B5D6C" w:rsidP="00930D83">
      <w:pPr>
        <w:tabs>
          <w:tab w:val="left" w:pos="-1440"/>
          <w:tab w:val="left" w:pos="-720"/>
          <w:tab w:val="left" w:pos="5040"/>
          <w:tab w:val="center" w:pos="7200"/>
        </w:tabs>
        <w:jc w:val="both"/>
      </w:pPr>
    </w:p>
    <w:p w:rsidR="003B5D6C" w:rsidRPr="003B5D6C" w:rsidRDefault="003B5D6C" w:rsidP="003B5D6C">
      <w:pPr>
        <w:rPr>
          <w:rFonts w:cs="Arial"/>
          <w:color w:val="000000"/>
        </w:rPr>
      </w:pPr>
      <w:r w:rsidRPr="003B5D6C">
        <w:rPr>
          <w:rFonts w:cs="Arial"/>
          <w:color w:val="000000"/>
        </w:rPr>
        <w:t>Steven T. Nourse</w:t>
      </w:r>
    </w:p>
    <w:p w:rsidR="003B5D6C" w:rsidRPr="003B5D6C" w:rsidRDefault="003B5D6C" w:rsidP="003B5D6C">
      <w:pPr>
        <w:rPr>
          <w:rFonts w:cs="Arial"/>
          <w:color w:val="000000"/>
        </w:rPr>
      </w:pPr>
      <w:r w:rsidRPr="003B5D6C">
        <w:rPr>
          <w:rFonts w:cs="Arial"/>
          <w:color w:val="000000"/>
        </w:rPr>
        <w:t>Matthew J. Satterwhite</w:t>
      </w:r>
    </w:p>
    <w:p w:rsidR="003B5D6C" w:rsidRPr="003B5D6C" w:rsidRDefault="003B5D6C" w:rsidP="003B5D6C">
      <w:pPr>
        <w:autoSpaceDE w:val="0"/>
        <w:autoSpaceDN w:val="0"/>
        <w:adjustRightInd w:val="0"/>
        <w:rPr>
          <w:rFonts w:eastAsia="Calibri" w:cs="Arial"/>
        </w:rPr>
      </w:pPr>
      <w:r w:rsidRPr="003B5D6C">
        <w:rPr>
          <w:rFonts w:eastAsia="Calibri" w:cs="Arial"/>
        </w:rPr>
        <w:t xml:space="preserve">Yazen Alami </w:t>
      </w:r>
    </w:p>
    <w:p w:rsidR="003B5D6C" w:rsidRPr="003B5D6C" w:rsidRDefault="003B5D6C" w:rsidP="003B5D6C">
      <w:pPr>
        <w:rPr>
          <w:rFonts w:ascii="Arial Bold" w:hAnsi="Arial Bold" w:cs="Arial"/>
          <w:b/>
          <w:smallCaps/>
          <w:color w:val="000000"/>
        </w:rPr>
      </w:pPr>
      <w:r w:rsidRPr="003B5D6C">
        <w:rPr>
          <w:rFonts w:ascii="Arial Bold" w:hAnsi="Arial Bold" w:cs="Arial"/>
          <w:b/>
          <w:smallCaps/>
          <w:color w:val="000000"/>
        </w:rPr>
        <w:t>American Electric Power Service Corporation</w:t>
      </w:r>
    </w:p>
    <w:p w:rsidR="003B5D6C" w:rsidRPr="003B5D6C" w:rsidRDefault="003B5D6C" w:rsidP="003B5D6C">
      <w:pPr>
        <w:rPr>
          <w:rFonts w:cs="Arial"/>
          <w:color w:val="000000"/>
        </w:rPr>
      </w:pPr>
      <w:r w:rsidRPr="003B5D6C">
        <w:rPr>
          <w:rFonts w:cs="Arial"/>
          <w:color w:val="000000"/>
        </w:rPr>
        <w:t>1 Riverside Plaza, 29</w:t>
      </w:r>
      <w:r w:rsidRPr="003B5D6C">
        <w:rPr>
          <w:rFonts w:cs="Arial"/>
          <w:color w:val="000000"/>
          <w:vertAlign w:val="superscript"/>
        </w:rPr>
        <w:t>th</w:t>
      </w:r>
      <w:r w:rsidRPr="003B5D6C">
        <w:rPr>
          <w:rFonts w:cs="Arial"/>
          <w:color w:val="000000"/>
        </w:rPr>
        <w:t xml:space="preserve"> Floor</w:t>
      </w:r>
    </w:p>
    <w:p w:rsidR="003B5D6C" w:rsidRPr="003B5D6C" w:rsidRDefault="003B5D6C" w:rsidP="003B5D6C">
      <w:pPr>
        <w:rPr>
          <w:rFonts w:cs="Arial"/>
          <w:color w:val="000000"/>
        </w:rPr>
      </w:pPr>
      <w:r w:rsidRPr="003B5D6C">
        <w:rPr>
          <w:rFonts w:cs="Arial"/>
          <w:color w:val="000000"/>
        </w:rPr>
        <w:t>Columbus, OH  43215</w:t>
      </w:r>
    </w:p>
    <w:p w:rsidR="003B5D6C" w:rsidRPr="003B5D6C" w:rsidRDefault="003B5D6C" w:rsidP="003B5D6C">
      <w:pPr>
        <w:rPr>
          <w:rFonts w:cs="Arial"/>
          <w:color w:val="000000"/>
        </w:rPr>
      </w:pPr>
      <w:r w:rsidRPr="003B5D6C">
        <w:rPr>
          <w:rFonts w:cs="Arial"/>
          <w:color w:val="000000"/>
        </w:rPr>
        <w:t>stnourse@aep.com</w:t>
      </w:r>
    </w:p>
    <w:p w:rsidR="003B5D6C" w:rsidRPr="003B5D6C" w:rsidRDefault="003B5D6C" w:rsidP="003B5D6C">
      <w:pPr>
        <w:rPr>
          <w:rFonts w:cs="Arial"/>
          <w:color w:val="000000"/>
        </w:rPr>
      </w:pPr>
      <w:r w:rsidRPr="003B5D6C">
        <w:rPr>
          <w:rFonts w:cs="Arial"/>
          <w:color w:val="000000"/>
        </w:rPr>
        <w:t>mjsatterwhite@aep.com</w:t>
      </w:r>
    </w:p>
    <w:p w:rsidR="003B5D6C" w:rsidRPr="003B5D6C" w:rsidRDefault="003B5D6C" w:rsidP="003B5D6C">
      <w:pPr>
        <w:autoSpaceDE w:val="0"/>
        <w:autoSpaceDN w:val="0"/>
        <w:adjustRightInd w:val="0"/>
        <w:rPr>
          <w:rFonts w:eastAsia="Calibri" w:cs="Arial"/>
        </w:rPr>
      </w:pPr>
      <w:r w:rsidRPr="003B5D6C">
        <w:rPr>
          <w:rFonts w:eastAsia="Calibri" w:cs="Arial"/>
        </w:rPr>
        <w:t>yalami@aep.com</w:t>
      </w:r>
    </w:p>
    <w:p w:rsidR="003B5D6C" w:rsidRPr="003B5D6C" w:rsidRDefault="003B5D6C" w:rsidP="003B5D6C">
      <w:pPr>
        <w:rPr>
          <w:rFonts w:cs="Arial"/>
          <w:color w:val="000000"/>
        </w:rPr>
      </w:pPr>
    </w:p>
    <w:p w:rsidR="003B5D6C" w:rsidRPr="003B5D6C" w:rsidRDefault="003B5D6C" w:rsidP="003B5D6C">
      <w:pPr>
        <w:rPr>
          <w:rFonts w:cs="Arial"/>
          <w:b/>
          <w:smallCaps/>
          <w:color w:val="000000"/>
        </w:rPr>
      </w:pPr>
      <w:r w:rsidRPr="003B5D6C">
        <w:rPr>
          <w:rFonts w:cs="Arial"/>
          <w:b/>
          <w:smallCaps/>
          <w:color w:val="000000"/>
        </w:rPr>
        <w:t xml:space="preserve">On Behalf of </w:t>
      </w:r>
      <w:r w:rsidR="009C67D8">
        <w:rPr>
          <w:rFonts w:cs="Arial"/>
          <w:b/>
          <w:smallCaps/>
          <w:color w:val="000000"/>
        </w:rPr>
        <w:t>Ohio Power</w:t>
      </w:r>
      <w:r w:rsidRPr="003B5D6C">
        <w:rPr>
          <w:rFonts w:cs="Arial"/>
          <w:b/>
          <w:smallCaps/>
          <w:color w:val="000000"/>
        </w:rPr>
        <w:t xml:space="preserve"> Company</w:t>
      </w:r>
    </w:p>
    <w:p w:rsidR="00930D83" w:rsidRDefault="00930D83" w:rsidP="0029719A">
      <w:pPr>
        <w:spacing w:line="480" w:lineRule="auto"/>
        <w:jc w:val="both"/>
      </w:pPr>
    </w:p>
    <w:sectPr w:rsidR="00930D83" w:rsidSect="003B5D6C">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F6" w:rsidRDefault="00272DF6" w:rsidP="00272DF6">
      <w:r>
        <w:separator/>
      </w:r>
    </w:p>
  </w:endnote>
  <w:endnote w:type="continuationSeparator" w:id="0">
    <w:p w:rsidR="00272DF6" w:rsidRDefault="00272DF6" w:rsidP="0027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83" w:rsidRDefault="00930D83">
    <w:pPr>
      <w:pStyle w:val="Footer"/>
    </w:pPr>
    <w:r>
      <w:rPr>
        <w:noProof/>
        <w:sz w:val="16"/>
      </w:rPr>
      <w:t>{C30194:3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83" w:rsidRDefault="00D765CF">
    <w:pPr>
      <w:pStyle w:val="Footer"/>
      <w:jc w:val="center"/>
    </w:pPr>
    <w:r w:rsidRPr="00D765CF">
      <w:rPr>
        <w:noProof/>
        <w:sz w:val="16"/>
      </w:rPr>
      <w:t>{C46396: }</w:t>
    </w:r>
    <w:r w:rsidR="00930D83">
      <w:fldChar w:fldCharType="begin"/>
    </w:r>
    <w:r w:rsidR="00930D83">
      <w:instrText xml:space="preserve"> PAGE   \* MERGEFORMAT </w:instrText>
    </w:r>
    <w:r w:rsidR="00930D83">
      <w:fldChar w:fldCharType="separate"/>
    </w:r>
    <w:r w:rsidR="00930D83">
      <w:rPr>
        <w:noProof/>
      </w:rPr>
      <w:t>1</w:t>
    </w:r>
    <w:r w:rsidR="00930D83">
      <w:rPr>
        <w:noProof/>
      </w:rPr>
      <w:fldChar w:fldCharType="end"/>
    </w:r>
  </w:p>
  <w:p w:rsidR="00930D83" w:rsidRDefault="00930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83" w:rsidRDefault="00D765CF">
    <w:pPr>
      <w:pStyle w:val="Footer"/>
    </w:pPr>
    <w:r w:rsidRPr="00D765CF">
      <w:rPr>
        <w:noProof/>
        <w:sz w:val="16"/>
      </w:rPr>
      <w:t>{C46396: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9A" w:rsidRDefault="002971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9A" w:rsidRPr="0029719A" w:rsidRDefault="00D765CF" w:rsidP="001B5CF6">
    <w:pPr>
      <w:pStyle w:val="Footer"/>
    </w:pPr>
    <w:r w:rsidRPr="00D765CF">
      <w:rPr>
        <w:noProof/>
        <w:sz w:val="16"/>
      </w:rPr>
      <w:t>{C46396: }</w:t>
    </w:r>
    <w:sdt>
      <w:sdtPr>
        <w:id w:val="1273367022"/>
        <w:docPartObj>
          <w:docPartGallery w:val="Page Numbers (Bottom of Page)"/>
          <w:docPartUnique/>
        </w:docPartObj>
      </w:sdtPr>
      <w:sdtEndPr>
        <w:rPr>
          <w:noProof/>
        </w:rPr>
      </w:sdtEndPr>
      <w:sdtContent>
        <w:r w:rsidR="001B5CF6">
          <w:tab/>
        </w:r>
        <w:r w:rsidR="0029719A" w:rsidRPr="0029719A">
          <w:fldChar w:fldCharType="begin"/>
        </w:r>
        <w:r w:rsidR="0029719A" w:rsidRPr="0029719A">
          <w:instrText xml:space="preserve"> PAGE   \* MERGEFORMAT </w:instrText>
        </w:r>
        <w:r w:rsidR="0029719A" w:rsidRPr="0029719A">
          <w:fldChar w:fldCharType="separate"/>
        </w:r>
        <w:r>
          <w:rPr>
            <w:noProof/>
          </w:rPr>
          <w:t>2</w:t>
        </w:r>
        <w:r w:rsidR="0029719A" w:rsidRPr="0029719A">
          <w:rPr>
            <w:noProof/>
          </w:rPr>
          <w:fldChar w:fldCharType="end"/>
        </w:r>
      </w:sdtContent>
    </w:sdt>
  </w:p>
  <w:p w:rsidR="004A0983" w:rsidRPr="0029719A" w:rsidRDefault="004A09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83" w:rsidRPr="004A0983" w:rsidRDefault="00D765CF">
    <w:pPr>
      <w:pStyle w:val="Footer"/>
    </w:pPr>
    <w:r w:rsidRPr="00D765CF">
      <w:rPr>
        <w:noProof/>
        <w:sz w:val="16"/>
      </w:rPr>
      <w:t>{C46396: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F6" w:rsidRDefault="00272DF6" w:rsidP="00272DF6">
      <w:pPr>
        <w:rPr>
          <w:noProof/>
        </w:rPr>
      </w:pPr>
      <w:r>
        <w:rPr>
          <w:noProof/>
        </w:rPr>
        <w:separator/>
      </w:r>
    </w:p>
  </w:footnote>
  <w:footnote w:type="continuationSeparator" w:id="0">
    <w:p w:rsidR="00272DF6" w:rsidRDefault="00272DF6" w:rsidP="00272DF6">
      <w:r>
        <w:continuationSeparator/>
      </w:r>
    </w:p>
  </w:footnote>
  <w:footnote w:id="1">
    <w:p w:rsidR="00272DF6" w:rsidRDefault="00272DF6" w:rsidP="005D470D">
      <w:pPr>
        <w:pStyle w:val="FootnoteText"/>
        <w:spacing w:after="120"/>
        <w:jc w:val="both"/>
      </w:pPr>
      <w:r>
        <w:rPr>
          <w:rStyle w:val="FootnoteReference"/>
        </w:rPr>
        <w:footnoteRef/>
      </w:r>
      <w:r>
        <w:t xml:space="preserve"> Joint Application for Approval of a Special Arrangement Agreement Between Ohio Power Company and </w:t>
      </w:r>
      <w:r w:rsidR="004027CA" w:rsidRPr="004027CA">
        <w:t xml:space="preserve">Kraton Polymers U.S. LLC </w:t>
      </w:r>
      <w:r>
        <w:t>(</w:t>
      </w:r>
      <w:r w:rsidR="004027CA">
        <w:t>Dec. 22</w:t>
      </w:r>
      <w:r>
        <w:t>, 2014) (“Application”).</w:t>
      </w:r>
    </w:p>
  </w:footnote>
  <w:footnote w:id="2">
    <w:p w:rsidR="00272DF6" w:rsidRDefault="00272DF6" w:rsidP="005D470D">
      <w:pPr>
        <w:pStyle w:val="FootnoteText"/>
        <w:spacing w:after="120"/>
        <w:jc w:val="both"/>
      </w:pPr>
      <w:r>
        <w:rPr>
          <w:rStyle w:val="FootnoteReference"/>
        </w:rPr>
        <w:footnoteRef/>
      </w:r>
      <w:r>
        <w:t xml:space="preserve"> </w:t>
      </w:r>
      <w:r w:rsidRPr="00FC635B">
        <w:rPr>
          <w:i/>
        </w:rPr>
        <w:t>Id</w:t>
      </w:r>
      <w:r>
        <w:t xml:space="preserve">. at </w:t>
      </w:r>
      <w:r w:rsidR="00F9579B">
        <w:t>1</w:t>
      </w:r>
      <w:r w:rsidR="004027CA">
        <w:t>-3</w:t>
      </w:r>
      <w:r>
        <w:t>.</w:t>
      </w:r>
    </w:p>
  </w:footnote>
  <w:footnote w:id="3">
    <w:p w:rsidR="004027CA" w:rsidRDefault="004027CA" w:rsidP="00F9579B">
      <w:pPr>
        <w:pStyle w:val="FootnoteText"/>
        <w:spacing w:after="120"/>
        <w:jc w:val="both"/>
      </w:pPr>
      <w:r>
        <w:rPr>
          <w:rStyle w:val="FootnoteReference"/>
        </w:rPr>
        <w:footnoteRef/>
      </w:r>
      <w:r>
        <w:t xml:space="preserve"> </w:t>
      </w:r>
      <w:r w:rsidR="00173069" w:rsidRPr="00173069">
        <w:rPr>
          <w:i/>
        </w:rPr>
        <w:t>Id</w:t>
      </w:r>
      <w:r>
        <w:t>. at 5.</w:t>
      </w:r>
    </w:p>
  </w:footnote>
  <w:footnote w:id="4">
    <w:p w:rsidR="004027CA" w:rsidRDefault="004027CA" w:rsidP="00F9579B">
      <w:pPr>
        <w:pStyle w:val="FootnoteText"/>
        <w:spacing w:after="120"/>
        <w:jc w:val="both"/>
      </w:pPr>
      <w:r>
        <w:rPr>
          <w:rStyle w:val="FootnoteReference"/>
        </w:rPr>
        <w:footnoteRef/>
      </w:r>
      <w:r>
        <w:t xml:space="preserve"> </w:t>
      </w:r>
      <w:r w:rsidRPr="00173069">
        <w:rPr>
          <w:i/>
        </w:rPr>
        <w:t>Id</w:t>
      </w:r>
      <w:r>
        <w:t>. at 6-7.</w:t>
      </w:r>
    </w:p>
  </w:footnote>
  <w:footnote w:id="5">
    <w:p w:rsidR="00695D5C" w:rsidRDefault="00695D5C" w:rsidP="00F9579B">
      <w:pPr>
        <w:pStyle w:val="FootnoteText"/>
        <w:spacing w:after="120"/>
        <w:jc w:val="both"/>
      </w:pPr>
      <w:r>
        <w:rPr>
          <w:rStyle w:val="FootnoteReference"/>
        </w:rPr>
        <w:footnoteRef/>
      </w:r>
      <w:r>
        <w:t xml:space="preserve"> </w:t>
      </w:r>
      <w:r w:rsidRPr="00173069">
        <w:rPr>
          <w:i/>
        </w:rPr>
        <w:t>Id</w:t>
      </w:r>
      <w:r>
        <w:t>. at 8.</w:t>
      </w:r>
    </w:p>
  </w:footnote>
  <w:footnote w:id="6">
    <w:p w:rsidR="00695D5C" w:rsidRDefault="00695D5C" w:rsidP="00F9579B">
      <w:pPr>
        <w:pStyle w:val="FootnoteText"/>
        <w:spacing w:after="120"/>
        <w:jc w:val="both"/>
      </w:pPr>
      <w:r>
        <w:rPr>
          <w:rStyle w:val="FootnoteReference"/>
        </w:rPr>
        <w:footnoteRef/>
      </w:r>
      <w:r>
        <w:t xml:space="preserve"> </w:t>
      </w:r>
      <w:r w:rsidRPr="00173069">
        <w:rPr>
          <w:i/>
        </w:rPr>
        <w:t>Id</w:t>
      </w:r>
      <w:r>
        <w:t>. at 9-10.</w:t>
      </w:r>
    </w:p>
  </w:footnote>
  <w:footnote w:id="7">
    <w:p w:rsidR="006555E4" w:rsidRDefault="006555E4" w:rsidP="005D470D">
      <w:pPr>
        <w:pStyle w:val="FootnoteText"/>
        <w:spacing w:after="120"/>
        <w:jc w:val="both"/>
      </w:pPr>
      <w:r>
        <w:rPr>
          <w:rStyle w:val="FootnoteReference"/>
        </w:rPr>
        <w:footnoteRef/>
      </w:r>
      <w:r>
        <w:t xml:space="preserve"> </w:t>
      </w:r>
      <w:r w:rsidRPr="00FC635B">
        <w:rPr>
          <w:i/>
        </w:rPr>
        <w:t>Id</w:t>
      </w:r>
      <w:r>
        <w:t>., Ex. 1 at 3.</w:t>
      </w:r>
    </w:p>
  </w:footnote>
  <w:footnote w:id="8">
    <w:p w:rsidR="006555E4" w:rsidRDefault="006555E4">
      <w:pPr>
        <w:pStyle w:val="FootnoteText"/>
        <w:spacing w:after="120"/>
        <w:jc w:val="both"/>
      </w:pPr>
      <w:r>
        <w:rPr>
          <w:rStyle w:val="FootnoteReference"/>
        </w:rPr>
        <w:footnoteRef/>
      </w:r>
      <w:r>
        <w:t xml:space="preserve"> </w:t>
      </w:r>
      <w:r w:rsidRPr="00FC635B">
        <w:rPr>
          <w:i/>
        </w:rPr>
        <w:t>Id</w:t>
      </w:r>
      <w:r>
        <w:t>. at 2.</w:t>
      </w:r>
    </w:p>
  </w:footnote>
  <w:footnote w:id="9">
    <w:p w:rsidR="00360CFA" w:rsidRDefault="00360CFA">
      <w:pPr>
        <w:pStyle w:val="FootnoteText"/>
        <w:spacing w:after="120"/>
        <w:jc w:val="both"/>
      </w:pPr>
      <w:r>
        <w:rPr>
          <w:rStyle w:val="FootnoteReference"/>
        </w:rPr>
        <w:footnoteRef/>
      </w:r>
      <w:r>
        <w:t xml:space="preserve"> </w:t>
      </w:r>
      <w:r w:rsidRPr="00FC635B">
        <w:rPr>
          <w:i/>
        </w:rPr>
        <w:t>Id</w:t>
      </w:r>
      <w:r>
        <w:t>.</w:t>
      </w:r>
    </w:p>
  </w:footnote>
  <w:footnote w:id="10">
    <w:p w:rsidR="00862292" w:rsidRDefault="00862292">
      <w:pPr>
        <w:pStyle w:val="FootnoteText"/>
        <w:spacing w:after="120"/>
        <w:jc w:val="both"/>
      </w:pPr>
      <w:r>
        <w:rPr>
          <w:rStyle w:val="FootnoteReference"/>
        </w:rPr>
        <w:footnoteRef/>
      </w:r>
      <w:r>
        <w:t xml:space="preserve"> </w:t>
      </w:r>
      <w:r w:rsidRPr="00FC635B">
        <w:rPr>
          <w:i/>
        </w:rPr>
        <w:t>In the Matter of the Application of Columbus Southern Power Company for Approval of its Program Portfolio Plan and Request for Expedited Consideration</w:t>
      </w:r>
      <w:r>
        <w:t>, Case No</w:t>
      </w:r>
      <w:r w:rsidR="006F0725">
        <w:t>s</w:t>
      </w:r>
      <w:r>
        <w:t>. 11-5568-EL-POR,</w:t>
      </w:r>
      <w:r w:rsidR="00A172FB">
        <w:t xml:space="preserve"> </w:t>
      </w:r>
      <w:r w:rsidR="00A172FB" w:rsidRPr="00FC635B">
        <w:rPr>
          <w:i/>
        </w:rPr>
        <w:t>et al</w:t>
      </w:r>
      <w:r w:rsidR="00A172FB">
        <w:t>.,</w:t>
      </w:r>
      <w:r>
        <w:t xml:space="preserve"> Stipulation and Recommendation (Nov. </w:t>
      </w:r>
      <w:r w:rsidR="00A172FB">
        <w:t>29</w:t>
      </w:r>
      <w:r>
        <w:t>, 2011)</w:t>
      </w:r>
      <w:r w:rsidR="00542244">
        <w:t xml:space="preserve"> (“Stipulation”)</w:t>
      </w:r>
      <w:r>
        <w:t>.</w:t>
      </w:r>
    </w:p>
  </w:footnote>
  <w:footnote w:id="11">
    <w:p w:rsidR="00164D13" w:rsidRDefault="00164D13">
      <w:pPr>
        <w:pStyle w:val="FootnoteText"/>
        <w:spacing w:after="120"/>
        <w:jc w:val="both"/>
      </w:pPr>
      <w:r>
        <w:rPr>
          <w:rStyle w:val="FootnoteReference"/>
        </w:rPr>
        <w:footnoteRef/>
      </w:r>
      <w:r>
        <w:t xml:space="preserve"> </w:t>
      </w:r>
      <w:r w:rsidRPr="00FC635B">
        <w:rPr>
          <w:i/>
        </w:rPr>
        <w:t>Id</w:t>
      </w:r>
      <w:r>
        <w:t>., Opinion and Order (Mar. 21, 2012)</w:t>
      </w:r>
      <w:r w:rsidR="00251E4B">
        <w:t xml:space="preserve"> (“Opinion and Order”)</w:t>
      </w:r>
      <w:r>
        <w:t>.</w:t>
      </w:r>
    </w:p>
  </w:footnote>
  <w:footnote w:id="12">
    <w:p w:rsidR="007F5A3E" w:rsidRDefault="007F5A3E" w:rsidP="007F5A3E">
      <w:pPr>
        <w:pStyle w:val="FootnoteText"/>
        <w:spacing w:after="120"/>
        <w:jc w:val="both"/>
      </w:pPr>
      <w:r>
        <w:rPr>
          <w:rStyle w:val="FootnoteReference"/>
        </w:rPr>
        <w:footnoteRef/>
      </w:r>
      <w:r>
        <w:t xml:space="preserve"> SB 310, </w:t>
      </w:r>
      <w:r>
        <w:rPr>
          <w:rFonts w:cs="Arial"/>
        </w:rPr>
        <w:t>§</w:t>
      </w:r>
      <w:r>
        <w:t xml:space="preserve"> 6(D).</w:t>
      </w:r>
    </w:p>
  </w:footnote>
  <w:footnote w:id="13">
    <w:p w:rsidR="00542244" w:rsidRDefault="00542244">
      <w:pPr>
        <w:pStyle w:val="FootnoteText"/>
        <w:spacing w:after="120"/>
        <w:jc w:val="both"/>
      </w:pPr>
      <w:r>
        <w:rPr>
          <w:rStyle w:val="FootnoteReference"/>
        </w:rPr>
        <w:footnoteRef/>
      </w:r>
      <w:r>
        <w:t xml:space="preserve"> </w:t>
      </w:r>
      <w:r w:rsidR="00B91393">
        <w:t>Stipulation</w:t>
      </w:r>
      <w:r>
        <w:t xml:space="preserve"> at 6.</w:t>
      </w:r>
    </w:p>
  </w:footnote>
  <w:footnote w:id="14">
    <w:p w:rsidR="00DC22A1" w:rsidRDefault="00DC22A1" w:rsidP="005D470D">
      <w:pPr>
        <w:pStyle w:val="FootnoteText"/>
        <w:spacing w:after="120"/>
        <w:jc w:val="both"/>
      </w:pPr>
      <w:r>
        <w:rPr>
          <w:rStyle w:val="FootnoteReference"/>
        </w:rPr>
        <w:footnoteRef/>
      </w:r>
      <w:r w:rsidR="008F1606">
        <w:t xml:space="preserve"> Application at 8</w:t>
      </w:r>
      <w:r>
        <w:t>.</w:t>
      </w:r>
    </w:p>
  </w:footnote>
  <w:footnote w:id="15">
    <w:p w:rsidR="001855D5" w:rsidRDefault="001855D5" w:rsidP="002116D4">
      <w:pPr>
        <w:pStyle w:val="FootnoteText"/>
        <w:spacing w:after="120"/>
        <w:jc w:val="both"/>
      </w:pPr>
      <w:r>
        <w:rPr>
          <w:rStyle w:val="FootnoteReference"/>
        </w:rPr>
        <w:footnoteRef/>
      </w:r>
      <w:r>
        <w:t xml:space="preserve"> </w:t>
      </w:r>
      <w:r w:rsidRPr="00717AFA">
        <w:rPr>
          <w:i/>
        </w:rPr>
        <w:t xml:space="preserve">See In the Matter of the Application of Ohio Edison Company, The Cleveland Electric Illuminating Company, and The Toledo Edison Company for Approval of Their Energy Efficiency and Peak Demand Reduction Program </w:t>
      </w:r>
      <w:r w:rsidR="002116D4">
        <w:rPr>
          <w:i/>
        </w:rPr>
        <w:t xml:space="preserve">Portfolio </w:t>
      </w:r>
      <w:r w:rsidRPr="00717AFA">
        <w:rPr>
          <w:i/>
        </w:rPr>
        <w:t>Plans for 2013 through 2015</w:t>
      </w:r>
      <w:r>
        <w:t>, Case No</w:t>
      </w:r>
      <w:r w:rsidR="002116D4">
        <w:t>s</w:t>
      </w:r>
      <w:r>
        <w:t xml:space="preserve">. 12-2190-EL-POR, </w:t>
      </w:r>
      <w:r w:rsidRPr="00717AFA">
        <w:rPr>
          <w:i/>
        </w:rPr>
        <w:t>et al</w:t>
      </w:r>
      <w:r>
        <w:t>., Finding and Order (Nov. 20, 2014) (approving modification to current portfolio plan).</w:t>
      </w:r>
    </w:p>
  </w:footnote>
  <w:footnote w:id="16">
    <w:p w:rsidR="00D15E4A" w:rsidRDefault="00D15E4A" w:rsidP="00D15E4A">
      <w:pPr>
        <w:pStyle w:val="FootnoteText"/>
        <w:spacing w:after="120"/>
        <w:jc w:val="both"/>
      </w:pPr>
      <w:r>
        <w:rPr>
          <w:rStyle w:val="FootnoteReference"/>
        </w:rPr>
        <w:footnoteRef/>
      </w:r>
      <w:r>
        <w:t xml:space="preserve"> The Commission may also reject the proposed amendment because it is filed too late.  Under Section 6(B)(1) of SB 310, an amended portfolio plan must be filed within 30 days of the effective date of SB 310.  SB 310 became effective on September 12, 2014.</w:t>
      </w:r>
    </w:p>
  </w:footnote>
  <w:footnote w:id="17">
    <w:p w:rsidR="00D15E4A" w:rsidRPr="00590F2B" w:rsidRDefault="00D15E4A" w:rsidP="00D15E4A">
      <w:pPr>
        <w:pStyle w:val="FootnoteText"/>
        <w:spacing w:after="120"/>
        <w:jc w:val="both"/>
      </w:pPr>
      <w:r w:rsidRPr="00590F2B">
        <w:rPr>
          <w:rStyle w:val="FootnoteReference"/>
        </w:rPr>
        <w:footnoteRef/>
      </w:r>
      <w:r w:rsidRPr="00590F2B">
        <w:t xml:space="preserve"> </w:t>
      </w:r>
      <w:r>
        <w:t xml:space="preserve">SB 310, </w:t>
      </w:r>
      <w:r w:rsidR="009C67D8">
        <w:rPr>
          <w:rFonts w:cs="Arial"/>
        </w:rPr>
        <w:t>§</w:t>
      </w:r>
      <w:r>
        <w:t xml:space="preserve"> 6</w:t>
      </w:r>
      <w:r w:rsidRPr="003917BC">
        <w:t>(B)</w:t>
      </w:r>
    </w:p>
  </w:footnote>
  <w:footnote w:id="18">
    <w:p w:rsidR="00D15E4A" w:rsidRPr="00590F2B" w:rsidRDefault="00D15E4A" w:rsidP="00D15E4A">
      <w:pPr>
        <w:pStyle w:val="FootnoteText"/>
        <w:spacing w:after="120"/>
        <w:jc w:val="both"/>
      </w:pPr>
      <w:r w:rsidRPr="00590F2B">
        <w:rPr>
          <w:rStyle w:val="FootnoteReference"/>
        </w:rPr>
        <w:footnoteRef/>
      </w:r>
      <w:r w:rsidRPr="00590F2B">
        <w:t xml:space="preserve"> </w:t>
      </w:r>
      <w:r w:rsidRPr="00E94C11">
        <w:rPr>
          <w:i/>
        </w:rPr>
        <w:t>Id</w:t>
      </w:r>
      <w:r w:rsidRPr="00590F2B">
        <w:t>.</w:t>
      </w:r>
    </w:p>
  </w:footnote>
  <w:footnote w:id="19">
    <w:p w:rsidR="00D15E4A" w:rsidRDefault="00D15E4A" w:rsidP="00D15E4A">
      <w:pPr>
        <w:pStyle w:val="FootnoteText"/>
        <w:spacing w:after="120"/>
        <w:jc w:val="both"/>
      </w:pPr>
      <w:r>
        <w:rPr>
          <w:rStyle w:val="FootnoteReference"/>
        </w:rPr>
        <w:footnoteRef/>
      </w:r>
      <w:r>
        <w:t xml:space="preserve"> AEP-Ohio agrees that the Application is untimely, Application at 9, but concludes that the Application is not an amendment because AEP-Ohio “does not want to amend its plan.”  </w:t>
      </w:r>
      <w:r w:rsidRPr="00F9579B">
        <w:rPr>
          <w:i/>
        </w:rPr>
        <w:t>Id</w:t>
      </w:r>
      <w:r>
        <w:t xml:space="preserve">.  Regardless of its attempt to construe the Application’s request to modify the shared savings provision as something other than an amendment, it is clear from the terms of the Application and AEP-Ohio’s additional concession that it would accept a decision that permitted it to split the savings between 2015 and 2016 but “subject to the cap” that the relief AEP-Ohio is seeking would be an amendment to the current portfolio plan.  </w:t>
      </w:r>
      <w:r w:rsidRPr="00F9579B">
        <w:rPr>
          <w:i/>
        </w:rPr>
        <w:t>Id</w:t>
      </w:r>
      <w:r>
        <w:t>. at 8-9.</w:t>
      </w:r>
    </w:p>
  </w:footnote>
  <w:footnote w:id="20">
    <w:p w:rsidR="00726F36" w:rsidRDefault="00726F36" w:rsidP="00F9579B">
      <w:pPr>
        <w:pStyle w:val="FootnoteText"/>
        <w:spacing w:after="120"/>
        <w:jc w:val="both"/>
      </w:pPr>
      <w:r>
        <w:rPr>
          <w:rStyle w:val="FootnoteReference"/>
        </w:rPr>
        <w:footnoteRef/>
      </w:r>
      <w:r>
        <w:t xml:space="preserve"> </w:t>
      </w:r>
      <w:r w:rsidRPr="00970EBC">
        <w:rPr>
          <w:i/>
        </w:rPr>
        <w:t>Id</w:t>
      </w:r>
      <w:r>
        <w:t xml:space="preserve">. </w:t>
      </w:r>
      <w:r w:rsidR="00D15E4A">
        <w:t>at 8.</w:t>
      </w:r>
    </w:p>
  </w:footnote>
  <w:footnote w:id="21">
    <w:p w:rsidR="00897A79" w:rsidRDefault="00897A79" w:rsidP="00F9579B">
      <w:pPr>
        <w:pStyle w:val="FootnoteText"/>
        <w:spacing w:after="120"/>
        <w:jc w:val="both"/>
      </w:pPr>
      <w:r>
        <w:rPr>
          <w:rStyle w:val="FootnoteReference"/>
        </w:rPr>
        <w:footnoteRef/>
      </w:r>
      <w:r w:rsidR="008F1606">
        <w:t xml:space="preserve"> Application at 2</w:t>
      </w:r>
      <w:r>
        <w:t>.</w:t>
      </w:r>
    </w:p>
  </w:footnote>
  <w:footnote w:id="22">
    <w:p w:rsidR="00B825B7" w:rsidRDefault="00B825B7" w:rsidP="005D470D">
      <w:pPr>
        <w:pStyle w:val="FootnoteText"/>
        <w:spacing w:after="120"/>
        <w:jc w:val="both"/>
      </w:pPr>
      <w:r>
        <w:rPr>
          <w:rStyle w:val="FootnoteReference"/>
        </w:rPr>
        <w:footnoteRef/>
      </w:r>
      <w:r>
        <w:t xml:space="preserve"> </w:t>
      </w:r>
      <w:r w:rsidR="00ED01ED" w:rsidRPr="00ED01ED">
        <w:rPr>
          <w:i/>
        </w:rPr>
        <w:t>Id</w:t>
      </w:r>
      <w:r w:rsidR="00ED01ED">
        <w:t>.</w:t>
      </w:r>
      <w:r w:rsidR="00441A09">
        <w:t xml:space="preserve"> at 9.</w:t>
      </w:r>
    </w:p>
  </w:footnote>
  <w:footnote w:id="23">
    <w:p w:rsidR="00441A09" w:rsidRDefault="00441A09" w:rsidP="00F9579B">
      <w:pPr>
        <w:pStyle w:val="FootnoteText"/>
        <w:spacing w:after="120"/>
        <w:jc w:val="both"/>
      </w:pPr>
      <w:r>
        <w:rPr>
          <w:rStyle w:val="FootnoteReference"/>
        </w:rPr>
        <w:footnoteRef/>
      </w:r>
      <w:r>
        <w:t xml:space="preserve"> </w:t>
      </w:r>
      <w:r w:rsidR="00EE5443" w:rsidRPr="00173069">
        <w:rPr>
          <w:i/>
        </w:rPr>
        <w:t>Id</w:t>
      </w:r>
      <w:r w:rsidR="00EE5443">
        <w:t>.</w:t>
      </w:r>
    </w:p>
  </w:footnote>
  <w:footnote w:id="24">
    <w:p w:rsidR="00EE5443" w:rsidRDefault="00EE5443" w:rsidP="00F9579B">
      <w:pPr>
        <w:pStyle w:val="FootnoteText"/>
        <w:spacing w:after="120"/>
        <w:jc w:val="both"/>
      </w:pPr>
      <w:r>
        <w:rPr>
          <w:rStyle w:val="FootnoteReference"/>
        </w:rPr>
        <w:footnoteRef/>
      </w:r>
      <w:r>
        <w:t xml:space="preserve"> </w:t>
      </w:r>
      <w:r w:rsidRPr="00EE5443">
        <w:t xml:space="preserve">R.C. 4905.31.  </w:t>
      </w:r>
      <w:r w:rsidRPr="00EE5443">
        <w:rPr>
          <w:i/>
        </w:rPr>
        <w:t>See In re Application of Ormet Primary Aluminum Corp</w:t>
      </w:r>
      <w:r w:rsidRPr="00EE5443">
        <w:t>., 129 Ohio St.3d 9, 14-16 (2011).</w:t>
      </w:r>
    </w:p>
  </w:footnote>
  <w:footnote w:id="25">
    <w:p w:rsidR="005625EE" w:rsidRDefault="005625EE" w:rsidP="00F9579B">
      <w:pPr>
        <w:pStyle w:val="FootnoteText"/>
        <w:spacing w:after="120"/>
        <w:jc w:val="both"/>
      </w:pPr>
      <w:r>
        <w:rPr>
          <w:rStyle w:val="FootnoteReference"/>
        </w:rPr>
        <w:footnoteRef/>
      </w:r>
      <w:r>
        <w:t xml:space="preserve"> SB 310, </w:t>
      </w:r>
      <w:r>
        <w:rPr>
          <w:rFonts w:cs="Arial"/>
        </w:rPr>
        <w:t>§</w:t>
      </w:r>
      <w:r>
        <w:t xml:space="preserve"> 6(B)(2).</w:t>
      </w:r>
    </w:p>
  </w:footnote>
  <w:footnote w:id="26">
    <w:p w:rsidR="00287B46" w:rsidRDefault="00287B46" w:rsidP="005D470D">
      <w:pPr>
        <w:pStyle w:val="FootnoteText"/>
        <w:spacing w:after="120"/>
        <w:jc w:val="both"/>
      </w:pPr>
      <w:r>
        <w:rPr>
          <w:rStyle w:val="FootnoteReference"/>
        </w:rPr>
        <w:footnoteRef/>
      </w:r>
      <w:r>
        <w:t xml:space="preserve"> Those customers that may elect </w:t>
      </w:r>
      <w:r w:rsidR="00F9579B">
        <w:t>to opt out</w:t>
      </w:r>
      <w:r>
        <w:t xml:space="preserve"> are those</w:t>
      </w:r>
      <w:r w:rsidRPr="009356E6">
        <w:t xml:space="preserve"> </w:t>
      </w:r>
      <w:r>
        <w:t>taking</w:t>
      </w:r>
      <w:r w:rsidRPr="009356E6">
        <w:t xml:space="preserve"> service above primary voltage levels or commercial or industrial customer</w:t>
      </w:r>
      <w:r>
        <w:t>s</w:t>
      </w:r>
      <w:r w:rsidRPr="009356E6">
        <w:t xml:space="preserve"> that </w:t>
      </w:r>
      <w:r>
        <w:t>have</w:t>
      </w:r>
      <w:r w:rsidRPr="009356E6">
        <w:t xml:space="preserve"> made written request</w:t>
      </w:r>
      <w:r>
        <w:t>s</w:t>
      </w:r>
      <w:r w:rsidRPr="009356E6">
        <w:t xml:space="preserve"> for registration as self-assessing purchaser</w:t>
      </w:r>
      <w:r>
        <w:t>s</w:t>
      </w:r>
      <w:r w:rsidRPr="009356E6">
        <w:t xml:space="preserve"> pursuant to R.C. 5727.81 (</w:t>
      </w:r>
      <w:r w:rsidRPr="00FC635B">
        <w:rPr>
          <w:i/>
        </w:rPr>
        <w:t>i.e.</w:t>
      </w:r>
      <w:r w:rsidRPr="009356E6">
        <w:t>, the customer self-assesses the KWh tax)</w:t>
      </w:r>
      <w:r>
        <w:t xml:space="preserve">.  R.C. 4928.6610 &amp; SB 310, </w:t>
      </w:r>
      <w:r>
        <w:rPr>
          <w:rFonts w:cs="Arial"/>
        </w:rPr>
        <w:t>§</w:t>
      </w:r>
      <w:r>
        <w:t xml:space="preserve"> 5.</w:t>
      </w:r>
    </w:p>
  </w:footnote>
  <w:footnote w:id="27">
    <w:p w:rsidR="00287B46" w:rsidRDefault="00287B46" w:rsidP="00F9579B">
      <w:pPr>
        <w:pStyle w:val="FootnoteText"/>
        <w:spacing w:after="120"/>
        <w:jc w:val="both"/>
      </w:pPr>
      <w:r>
        <w:rPr>
          <w:rStyle w:val="FootnoteReference"/>
        </w:rPr>
        <w:footnoteRef/>
      </w:r>
      <w:r>
        <w:t xml:space="preserve"> SB 310, </w:t>
      </w:r>
      <w:r>
        <w:rPr>
          <w:rFonts w:cs="Arial"/>
        </w:rPr>
        <w:t>§</w:t>
      </w:r>
      <w:r>
        <w:t xml:space="preserve">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E0" w:rsidRDefault="008C0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E0" w:rsidRDefault="008C05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E0" w:rsidRDefault="008C05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9A" w:rsidRDefault="002971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9A" w:rsidRDefault="002971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9A" w:rsidRDefault="00297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D2743"/>
    <w:multiLevelType w:val="multilevel"/>
    <w:tmpl w:val="B13260CE"/>
    <w:name w:val="Ind. Energy Users Group"/>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nd. Energy Users Group"/>
    <w:docVar w:name="LastSchemeUniqueID" w:val="1"/>
    <w:docVar w:name="Option0True" w:val="False"/>
    <w:docVar w:name="Option1True" w:val="False"/>
    <w:docVar w:name="Option2True" w:val="False"/>
  </w:docVars>
  <w:rsids>
    <w:rsidRoot w:val="00272DF6"/>
    <w:rsid w:val="00003D1E"/>
    <w:rsid w:val="00005818"/>
    <w:rsid w:val="00025063"/>
    <w:rsid w:val="00032EAB"/>
    <w:rsid w:val="000508E1"/>
    <w:rsid w:val="000667A2"/>
    <w:rsid w:val="0009715F"/>
    <w:rsid w:val="000C41A7"/>
    <w:rsid w:val="0013074E"/>
    <w:rsid w:val="00141743"/>
    <w:rsid w:val="00145210"/>
    <w:rsid w:val="00164D13"/>
    <w:rsid w:val="00170C9F"/>
    <w:rsid w:val="00173069"/>
    <w:rsid w:val="001855D5"/>
    <w:rsid w:val="001B5CF6"/>
    <w:rsid w:val="001D03A1"/>
    <w:rsid w:val="001D5FAB"/>
    <w:rsid w:val="002116D4"/>
    <w:rsid w:val="00222CC3"/>
    <w:rsid w:val="00251E4B"/>
    <w:rsid w:val="00253630"/>
    <w:rsid w:val="00272DF6"/>
    <w:rsid w:val="00287B46"/>
    <w:rsid w:val="0029719A"/>
    <w:rsid w:val="002A05B5"/>
    <w:rsid w:val="002B2917"/>
    <w:rsid w:val="00306287"/>
    <w:rsid w:val="00320348"/>
    <w:rsid w:val="00342E3B"/>
    <w:rsid w:val="003557F9"/>
    <w:rsid w:val="00360CFA"/>
    <w:rsid w:val="00373CC7"/>
    <w:rsid w:val="003B5D6C"/>
    <w:rsid w:val="003C1DF5"/>
    <w:rsid w:val="003F651F"/>
    <w:rsid w:val="004027CA"/>
    <w:rsid w:val="004075CF"/>
    <w:rsid w:val="00441A09"/>
    <w:rsid w:val="00472D6C"/>
    <w:rsid w:val="00475CA8"/>
    <w:rsid w:val="004A0983"/>
    <w:rsid w:val="004A3EB2"/>
    <w:rsid w:val="004C4B69"/>
    <w:rsid w:val="004E5B87"/>
    <w:rsid w:val="004F3CD3"/>
    <w:rsid w:val="004F6009"/>
    <w:rsid w:val="004F7024"/>
    <w:rsid w:val="00542244"/>
    <w:rsid w:val="0055211E"/>
    <w:rsid w:val="005575E4"/>
    <w:rsid w:val="005625EE"/>
    <w:rsid w:val="00572FF8"/>
    <w:rsid w:val="00591748"/>
    <w:rsid w:val="005A46FB"/>
    <w:rsid w:val="005C5B63"/>
    <w:rsid w:val="005D2792"/>
    <w:rsid w:val="005D470D"/>
    <w:rsid w:val="005E00B2"/>
    <w:rsid w:val="00634D59"/>
    <w:rsid w:val="00644CA4"/>
    <w:rsid w:val="00647AA1"/>
    <w:rsid w:val="00654F98"/>
    <w:rsid w:val="006555E4"/>
    <w:rsid w:val="0067492D"/>
    <w:rsid w:val="00695D5C"/>
    <w:rsid w:val="006E197F"/>
    <w:rsid w:val="006F0725"/>
    <w:rsid w:val="006F4F5E"/>
    <w:rsid w:val="00720E9C"/>
    <w:rsid w:val="00726F36"/>
    <w:rsid w:val="007D4DB4"/>
    <w:rsid w:val="007D651A"/>
    <w:rsid w:val="007F5A3E"/>
    <w:rsid w:val="00850BD3"/>
    <w:rsid w:val="00862292"/>
    <w:rsid w:val="0088721B"/>
    <w:rsid w:val="00897686"/>
    <w:rsid w:val="00897A79"/>
    <w:rsid w:val="008B3FDB"/>
    <w:rsid w:val="008C05E0"/>
    <w:rsid w:val="008E3BF4"/>
    <w:rsid w:val="008F1606"/>
    <w:rsid w:val="00916647"/>
    <w:rsid w:val="00930D83"/>
    <w:rsid w:val="00931E1C"/>
    <w:rsid w:val="009356E6"/>
    <w:rsid w:val="0093602B"/>
    <w:rsid w:val="00970EBC"/>
    <w:rsid w:val="00974FC2"/>
    <w:rsid w:val="00985A21"/>
    <w:rsid w:val="0098674C"/>
    <w:rsid w:val="009C67D8"/>
    <w:rsid w:val="009C719D"/>
    <w:rsid w:val="009D0EA5"/>
    <w:rsid w:val="009E4DBF"/>
    <w:rsid w:val="00A172FB"/>
    <w:rsid w:val="00A21237"/>
    <w:rsid w:val="00A25FFE"/>
    <w:rsid w:val="00A560FC"/>
    <w:rsid w:val="00AD53F4"/>
    <w:rsid w:val="00AE681B"/>
    <w:rsid w:val="00AE7E00"/>
    <w:rsid w:val="00B32D3C"/>
    <w:rsid w:val="00B70418"/>
    <w:rsid w:val="00B825B7"/>
    <w:rsid w:val="00B86D49"/>
    <w:rsid w:val="00B91393"/>
    <w:rsid w:val="00B9295D"/>
    <w:rsid w:val="00BC04E5"/>
    <w:rsid w:val="00C01702"/>
    <w:rsid w:val="00C0405A"/>
    <w:rsid w:val="00C040B4"/>
    <w:rsid w:val="00C25E09"/>
    <w:rsid w:val="00C45147"/>
    <w:rsid w:val="00C64DD0"/>
    <w:rsid w:val="00C6638C"/>
    <w:rsid w:val="00C77FD3"/>
    <w:rsid w:val="00CD7EE2"/>
    <w:rsid w:val="00CE30C3"/>
    <w:rsid w:val="00D15E4A"/>
    <w:rsid w:val="00D46F0C"/>
    <w:rsid w:val="00D765CF"/>
    <w:rsid w:val="00D87B30"/>
    <w:rsid w:val="00DA3A61"/>
    <w:rsid w:val="00DB6CA1"/>
    <w:rsid w:val="00DC22A1"/>
    <w:rsid w:val="00DE46D4"/>
    <w:rsid w:val="00E55A2D"/>
    <w:rsid w:val="00E855C2"/>
    <w:rsid w:val="00ED01ED"/>
    <w:rsid w:val="00ED3C5B"/>
    <w:rsid w:val="00EE3E8C"/>
    <w:rsid w:val="00EE5443"/>
    <w:rsid w:val="00F01C4C"/>
    <w:rsid w:val="00F42355"/>
    <w:rsid w:val="00F72806"/>
    <w:rsid w:val="00F87E6B"/>
    <w:rsid w:val="00F9579B"/>
    <w:rsid w:val="00FA7187"/>
    <w:rsid w:val="00FB6F09"/>
    <w:rsid w:val="00FC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6FB"/>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5A46FB"/>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5A46FB"/>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5A46FB"/>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A46FB"/>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A46FB"/>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A46FB"/>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A46FB"/>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A46FB"/>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F6"/>
    <w:rPr>
      <w:sz w:val="20"/>
      <w:szCs w:val="20"/>
    </w:rPr>
  </w:style>
  <w:style w:type="character" w:customStyle="1" w:styleId="FootnoteTextChar">
    <w:name w:val="Footnote Text Char"/>
    <w:basedOn w:val="DefaultParagraphFont"/>
    <w:link w:val="FootnoteText"/>
    <w:uiPriority w:val="99"/>
    <w:semiHidden/>
    <w:rsid w:val="00272DF6"/>
    <w:rPr>
      <w:sz w:val="20"/>
      <w:szCs w:val="20"/>
    </w:rPr>
  </w:style>
  <w:style w:type="character" w:styleId="FootnoteReference">
    <w:name w:val="footnote reference"/>
    <w:basedOn w:val="DefaultParagraphFont"/>
    <w:uiPriority w:val="99"/>
    <w:semiHidden/>
    <w:unhideWhenUsed/>
    <w:rsid w:val="00272DF6"/>
    <w:rPr>
      <w:vertAlign w:val="superscript"/>
    </w:rPr>
  </w:style>
  <w:style w:type="paragraph" w:styleId="Header">
    <w:name w:val="header"/>
    <w:basedOn w:val="Normal"/>
    <w:link w:val="HeaderChar"/>
    <w:unhideWhenUsed/>
    <w:rsid w:val="004A0983"/>
    <w:pPr>
      <w:tabs>
        <w:tab w:val="center" w:pos="4680"/>
        <w:tab w:val="right" w:pos="9360"/>
      </w:tabs>
    </w:pPr>
  </w:style>
  <w:style w:type="character" w:customStyle="1" w:styleId="HeaderChar">
    <w:name w:val="Header Char"/>
    <w:basedOn w:val="DefaultParagraphFont"/>
    <w:link w:val="Header"/>
    <w:rsid w:val="004A0983"/>
  </w:style>
  <w:style w:type="paragraph" w:styleId="Footer">
    <w:name w:val="footer"/>
    <w:basedOn w:val="Normal"/>
    <w:link w:val="FooterChar"/>
    <w:unhideWhenUsed/>
    <w:rsid w:val="004A0983"/>
    <w:pPr>
      <w:tabs>
        <w:tab w:val="center" w:pos="4680"/>
        <w:tab w:val="right" w:pos="9360"/>
      </w:tabs>
    </w:pPr>
  </w:style>
  <w:style w:type="character" w:customStyle="1" w:styleId="FooterChar">
    <w:name w:val="Footer Char"/>
    <w:basedOn w:val="DefaultParagraphFont"/>
    <w:link w:val="Footer"/>
    <w:rsid w:val="004A0983"/>
  </w:style>
  <w:style w:type="paragraph" w:styleId="BalloonText">
    <w:name w:val="Balloon Text"/>
    <w:basedOn w:val="Normal"/>
    <w:link w:val="BalloonTextChar"/>
    <w:uiPriority w:val="99"/>
    <w:semiHidden/>
    <w:unhideWhenUsed/>
    <w:rsid w:val="00F42355"/>
    <w:rPr>
      <w:rFonts w:ascii="Tahoma" w:hAnsi="Tahoma" w:cs="Tahoma"/>
      <w:sz w:val="16"/>
      <w:szCs w:val="16"/>
    </w:rPr>
  </w:style>
  <w:style w:type="character" w:customStyle="1" w:styleId="BalloonTextChar">
    <w:name w:val="Balloon Text Char"/>
    <w:basedOn w:val="DefaultParagraphFont"/>
    <w:link w:val="BalloonText"/>
    <w:uiPriority w:val="99"/>
    <w:semiHidden/>
    <w:rsid w:val="00F42355"/>
    <w:rPr>
      <w:rFonts w:ascii="Tahoma" w:hAnsi="Tahoma" w:cs="Tahoma"/>
      <w:sz w:val="16"/>
      <w:szCs w:val="16"/>
    </w:rPr>
  </w:style>
  <w:style w:type="character" w:customStyle="1" w:styleId="Heading1Char">
    <w:name w:val="Heading 1 Char"/>
    <w:basedOn w:val="DefaultParagraphFont"/>
    <w:link w:val="Heading1"/>
    <w:uiPriority w:val="9"/>
    <w:rsid w:val="005A46FB"/>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5A46FB"/>
    <w:rPr>
      <w:rFonts w:eastAsiaTheme="majorEastAsia" w:cs="Arial"/>
      <w:b/>
      <w:bCs/>
      <w:szCs w:val="26"/>
    </w:rPr>
  </w:style>
  <w:style w:type="character" w:customStyle="1" w:styleId="Heading3Char">
    <w:name w:val="Heading 3 Char"/>
    <w:basedOn w:val="DefaultParagraphFont"/>
    <w:link w:val="Heading3"/>
    <w:uiPriority w:val="9"/>
    <w:semiHidden/>
    <w:rsid w:val="005A46FB"/>
    <w:rPr>
      <w:rFonts w:eastAsiaTheme="majorEastAsia" w:cs="Arial"/>
      <w:b/>
      <w:bCs/>
    </w:rPr>
  </w:style>
  <w:style w:type="character" w:customStyle="1" w:styleId="Heading4Char">
    <w:name w:val="Heading 4 Char"/>
    <w:basedOn w:val="DefaultParagraphFont"/>
    <w:link w:val="Heading4"/>
    <w:uiPriority w:val="9"/>
    <w:semiHidden/>
    <w:rsid w:val="005A46FB"/>
    <w:rPr>
      <w:rFonts w:eastAsiaTheme="majorEastAsia" w:cs="Arial"/>
      <w:b/>
      <w:bCs/>
      <w:i/>
      <w:iCs/>
    </w:rPr>
  </w:style>
  <w:style w:type="character" w:customStyle="1" w:styleId="Heading5Char">
    <w:name w:val="Heading 5 Char"/>
    <w:basedOn w:val="DefaultParagraphFont"/>
    <w:link w:val="Heading5"/>
    <w:uiPriority w:val="9"/>
    <w:semiHidden/>
    <w:rsid w:val="005A46F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A46F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A46F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A46FB"/>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A46FB"/>
    <w:rPr>
      <w:rFonts w:asciiTheme="majorHAnsi" w:eastAsiaTheme="majorEastAsia" w:hAnsiTheme="majorHAnsi" w:cs="Arial"/>
      <w:iCs/>
      <w:color w:val="404040" w:themeColor="text1" w:themeTint="BF"/>
      <w:szCs w:val="20"/>
    </w:rPr>
  </w:style>
  <w:style w:type="paragraph" w:styleId="BodyText">
    <w:name w:val="Body Text"/>
    <w:basedOn w:val="Normal"/>
    <w:link w:val="BodyTextChar"/>
    <w:rsid w:val="00930D83"/>
    <w:pPr>
      <w:jc w:val="both"/>
    </w:pPr>
    <w:rPr>
      <w:rFonts w:eastAsia="Times New Roman" w:cs="Times New Roman"/>
      <w:lang w:val="x-none" w:eastAsia="x-none"/>
    </w:rPr>
  </w:style>
  <w:style w:type="character" w:customStyle="1" w:styleId="BodyTextChar">
    <w:name w:val="Body Text Char"/>
    <w:basedOn w:val="DefaultParagraphFont"/>
    <w:link w:val="BodyText"/>
    <w:rsid w:val="00930D83"/>
    <w:rPr>
      <w:rFonts w:eastAsia="Times New Roman" w:cs="Times New Roman"/>
      <w:lang w:val="x-none" w:eastAsia="x-none"/>
    </w:rPr>
  </w:style>
  <w:style w:type="paragraph" w:styleId="BodyTextIndent">
    <w:name w:val="Body Text Indent"/>
    <w:basedOn w:val="Normal"/>
    <w:link w:val="BodyTextIndentChar"/>
    <w:rsid w:val="00930D83"/>
    <w:pPr>
      <w:spacing w:after="120"/>
      <w:ind w:left="360"/>
    </w:pPr>
    <w:rPr>
      <w:rFonts w:eastAsia="Times New Roman" w:cs="Times New Roman"/>
      <w:lang w:val="x-none" w:eastAsia="x-none"/>
    </w:rPr>
  </w:style>
  <w:style w:type="character" w:customStyle="1" w:styleId="BodyTextIndentChar">
    <w:name w:val="Body Text Indent Char"/>
    <w:basedOn w:val="DefaultParagraphFont"/>
    <w:link w:val="BodyTextIndent"/>
    <w:rsid w:val="00930D83"/>
    <w:rPr>
      <w:rFonts w:eastAsia="Times New Roman" w:cs="Times New Roman"/>
      <w:lang w:val="x-none" w:eastAsia="x-none"/>
    </w:rPr>
  </w:style>
  <w:style w:type="character" w:styleId="Hyperlink">
    <w:name w:val="Hyperlink"/>
    <w:basedOn w:val="DefaultParagraphFont"/>
    <w:uiPriority w:val="99"/>
    <w:unhideWhenUsed/>
    <w:rsid w:val="003B5D6C"/>
    <w:rPr>
      <w:color w:val="0000FF" w:themeColor="hyperlink"/>
      <w:u w:val="single"/>
    </w:rPr>
  </w:style>
  <w:style w:type="character" w:styleId="FollowedHyperlink">
    <w:name w:val="FollowedHyperlink"/>
    <w:basedOn w:val="DefaultParagraphFont"/>
    <w:uiPriority w:val="99"/>
    <w:semiHidden/>
    <w:unhideWhenUsed/>
    <w:rsid w:val="00A560FC"/>
    <w:rPr>
      <w:color w:val="800080" w:themeColor="followedHyperlink"/>
      <w:u w:val="single"/>
    </w:rPr>
  </w:style>
  <w:style w:type="character" w:styleId="CommentReference">
    <w:name w:val="annotation reference"/>
    <w:basedOn w:val="DefaultParagraphFont"/>
    <w:uiPriority w:val="99"/>
    <w:semiHidden/>
    <w:unhideWhenUsed/>
    <w:rsid w:val="000C41A7"/>
    <w:rPr>
      <w:sz w:val="16"/>
      <w:szCs w:val="16"/>
    </w:rPr>
  </w:style>
  <w:style w:type="paragraph" w:styleId="CommentText">
    <w:name w:val="annotation text"/>
    <w:basedOn w:val="Normal"/>
    <w:link w:val="CommentTextChar"/>
    <w:uiPriority w:val="99"/>
    <w:semiHidden/>
    <w:unhideWhenUsed/>
    <w:rsid w:val="000C41A7"/>
    <w:rPr>
      <w:sz w:val="20"/>
      <w:szCs w:val="20"/>
    </w:rPr>
  </w:style>
  <w:style w:type="character" w:customStyle="1" w:styleId="CommentTextChar">
    <w:name w:val="Comment Text Char"/>
    <w:basedOn w:val="DefaultParagraphFont"/>
    <w:link w:val="CommentText"/>
    <w:uiPriority w:val="99"/>
    <w:semiHidden/>
    <w:rsid w:val="000C41A7"/>
    <w:rPr>
      <w:sz w:val="20"/>
      <w:szCs w:val="20"/>
    </w:rPr>
  </w:style>
  <w:style w:type="paragraph" w:styleId="CommentSubject">
    <w:name w:val="annotation subject"/>
    <w:basedOn w:val="CommentText"/>
    <w:next w:val="CommentText"/>
    <w:link w:val="CommentSubjectChar"/>
    <w:uiPriority w:val="99"/>
    <w:semiHidden/>
    <w:unhideWhenUsed/>
    <w:rsid w:val="00FB6F09"/>
    <w:rPr>
      <w:b/>
      <w:bCs/>
    </w:rPr>
  </w:style>
  <w:style w:type="character" w:customStyle="1" w:styleId="CommentSubjectChar">
    <w:name w:val="Comment Subject Char"/>
    <w:basedOn w:val="CommentTextChar"/>
    <w:link w:val="CommentSubject"/>
    <w:uiPriority w:val="99"/>
    <w:semiHidden/>
    <w:rsid w:val="00FB6F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46FB"/>
    <w:pPr>
      <w:numPr>
        <w:numId w:val="1"/>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5A46FB"/>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5A46FB"/>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5A46FB"/>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A46FB"/>
    <w:pPr>
      <w:numPr>
        <w:ilvl w:val="4"/>
        <w:numId w:val="1"/>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A46FB"/>
    <w:pPr>
      <w:numPr>
        <w:ilvl w:val="5"/>
        <w:numId w:val="1"/>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A46FB"/>
    <w:pPr>
      <w:numPr>
        <w:ilvl w:val="6"/>
        <w:numId w:val="1"/>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A46FB"/>
    <w:pPr>
      <w:numPr>
        <w:ilvl w:val="7"/>
        <w:numId w:val="1"/>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A46FB"/>
    <w:pPr>
      <w:numPr>
        <w:ilvl w:val="8"/>
        <w:numId w:val="1"/>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DF6"/>
    <w:rPr>
      <w:sz w:val="20"/>
      <w:szCs w:val="20"/>
    </w:rPr>
  </w:style>
  <w:style w:type="character" w:customStyle="1" w:styleId="FootnoteTextChar">
    <w:name w:val="Footnote Text Char"/>
    <w:basedOn w:val="DefaultParagraphFont"/>
    <w:link w:val="FootnoteText"/>
    <w:uiPriority w:val="99"/>
    <w:semiHidden/>
    <w:rsid w:val="00272DF6"/>
    <w:rPr>
      <w:sz w:val="20"/>
      <w:szCs w:val="20"/>
    </w:rPr>
  </w:style>
  <w:style w:type="character" w:styleId="FootnoteReference">
    <w:name w:val="footnote reference"/>
    <w:basedOn w:val="DefaultParagraphFont"/>
    <w:uiPriority w:val="99"/>
    <w:semiHidden/>
    <w:unhideWhenUsed/>
    <w:rsid w:val="00272DF6"/>
    <w:rPr>
      <w:vertAlign w:val="superscript"/>
    </w:rPr>
  </w:style>
  <w:style w:type="paragraph" w:styleId="Header">
    <w:name w:val="header"/>
    <w:basedOn w:val="Normal"/>
    <w:link w:val="HeaderChar"/>
    <w:unhideWhenUsed/>
    <w:rsid w:val="004A0983"/>
    <w:pPr>
      <w:tabs>
        <w:tab w:val="center" w:pos="4680"/>
        <w:tab w:val="right" w:pos="9360"/>
      </w:tabs>
    </w:pPr>
  </w:style>
  <w:style w:type="character" w:customStyle="1" w:styleId="HeaderChar">
    <w:name w:val="Header Char"/>
    <w:basedOn w:val="DefaultParagraphFont"/>
    <w:link w:val="Header"/>
    <w:rsid w:val="004A0983"/>
  </w:style>
  <w:style w:type="paragraph" w:styleId="Footer">
    <w:name w:val="footer"/>
    <w:basedOn w:val="Normal"/>
    <w:link w:val="FooterChar"/>
    <w:unhideWhenUsed/>
    <w:rsid w:val="004A0983"/>
    <w:pPr>
      <w:tabs>
        <w:tab w:val="center" w:pos="4680"/>
        <w:tab w:val="right" w:pos="9360"/>
      </w:tabs>
    </w:pPr>
  </w:style>
  <w:style w:type="character" w:customStyle="1" w:styleId="FooterChar">
    <w:name w:val="Footer Char"/>
    <w:basedOn w:val="DefaultParagraphFont"/>
    <w:link w:val="Footer"/>
    <w:rsid w:val="004A0983"/>
  </w:style>
  <w:style w:type="paragraph" w:styleId="BalloonText">
    <w:name w:val="Balloon Text"/>
    <w:basedOn w:val="Normal"/>
    <w:link w:val="BalloonTextChar"/>
    <w:uiPriority w:val="99"/>
    <w:semiHidden/>
    <w:unhideWhenUsed/>
    <w:rsid w:val="00F42355"/>
    <w:rPr>
      <w:rFonts w:ascii="Tahoma" w:hAnsi="Tahoma" w:cs="Tahoma"/>
      <w:sz w:val="16"/>
      <w:szCs w:val="16"/>
    </w:rPr>
  </w:style>
  <w:style w:type="character" w:customStyle="1" w:styleId="BalloonTextChar">
    <w:name w:val="Balloon Text Char"/>
    <w:basedOn w:val="DefaultParagraphFont"/>
    <w:link w:val="BalloonText"/>
    <w:uiPriority w:val="99"/>
    <w:semiHidden/>
    <w:rsid w:val="00F42355"/>
    <w:rPr>
      <w:rFonts w:ascii="Tahoma" w:hAnsi="Tahoma" w:cs="Tahoma"/>
      <w:sz w:val="16"/>
      <w:szCs w:val="16"/>
    </w:rPr>
  </w:style>
  <w:style w:type="character" w:customStyle="1" w:styleId="Heading1Char">
    <w:name w:val="Heading 1 Char"/>
    <w:basedOn w:val="DefaultParagraphFont"/>
    <w:link w:val="Heading1"/>
    <w:uiPriority w:val="9"/>
    <w:rsid w:val="005A46FB"/>
    <w:rPr>
      <w:rFonts w:eastAsiaTheme="majorEastAsia" w:cs="Arial"/>
      <w:b/>
      <w:bCs/>
      <w:caps/>
      <w:szCs w:val="28"/>
      <w:u w:val="single"/>
    </w:rPr>
  </w:style>
  <w:style w:type="character" w:customStyle="1" w:styleId="Heading2Char">
    <w:name w:val="Heading 2 Char"/>
    <w:basedOn w:val="DefaultParagraphFont"/>
    <w:link w:val="Heading2"/>
    <w:uiPriority w:val="9"/>
    <w:semiHidden/>
    <w:rsid w:val="005A46FB"/>
    <w:rPr>
      <w:rFonts w:eastAsiaTheme="majorEastAsia" w:cs="Arial"/>
      <w:b/>
      <w:bCs/>
      <w:szCs w:val="26"/>
    </w:rPr>
  </w:style>
  <w:style w:type="character" w:customStyle="1" w:styleId="Heading3Char">
    <w:name w:val="Heading 3 Char"/>
    <w:basedOn w:val="DefaultParagraphFont"/>
    <w:link w:val="Heading3"/>
    <w:uiPriority w:val="9"/>
    <w:semiHidden/>
    <w:rsid w:val="005A46FB"/>
    <w:rPr>
      <w:rFonts w:eastAsiaTheme="majorEastAsia" w:cs="Arial"/>
      <w:b/>
      <w:bCs/>
    </w:rPr>
  </w:style>
  <w:style w:type="character" w:customStyle="1" w:styleId="Heading4Char">
    <w:name w:val="Heading 4 Char"/>
    <w:basedOn w:val="DefaultParagraphFont"/>
    <w:link w:val="Heading4"/>
    <w:uiPriority w:val="9"/>
    <w:semiHidden/>
    <w:rsid w:val="005A46FB"/>
    <w:rPr>
      <w:rFonts w:eastAsiaTheme="majorEastAsia" w:cs="Arial"/>
      <w:b/>
      <w:bCs/>
      <w:i/>
      <w:iCs/>
    </w:rPr>
  </w:style>
  <w:style w:type="character" w:customStyle="1" w:styleId="Heading5Char">
    <w:name w:val="Heading 5 Char"/>
    <w:basedOn w:val="DefaultParagraphFont"/>
    <w:link w:val="Heading5"/>
    <w:uiPriority w:val="9"/>
    <w:semiHidden/>
    <w:rsid w:val="005A46FB"/>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A46FB"/>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A46FB"/>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A46FB"/>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A46FB"/>
    <w:rPr>
      <w:rFonts w:asciiTheme="majorHAnsi" w:eastAsiaTheme="majorEastAsia" w:hAnsiTheme="majorHAnsi" w:cs="Arial"/>
      <w:iCs/>
      <w:color w:val="404040" w:themeColor="text1" w:themeTint="BF"/>
      <w:szCs w:val="20"/>
    </w:rPr>
  </w:style>
  <w:style w:type="paragraph" w:styleId="BodyText">
    <w:name w:val="Body Text"/>
    <w:basedOn w:val="Normal"/>
    <w:link w:val="BodyTextChar"/>
    <w:rsid w:val="00930D83"/>
    <w:pPr>
      <w:jc w:val="both"/>
    </w:pPr>
    <w:rPr>
      <w:rFonts w:eastAsia="Times New Roman" w:cs="Times New Roman"/>
      <w:lang w:val="x-none" w:eastAsia="x-none"/>
    </w:rPr>
  </w:style>
  <w:style w:type="character" w:customStyle="1" w:styleId="BodyTextChar">
    <w:name w:val="Body Text Char"/>
    <w:basedOn w:val="DefaultParagraphFont"/>
    <w:link w:val="BodyText"/>
    <w:rsid w:val="00930D83"/>
    <w:rPr>
      <w:rFonts w:eastAsia="Times New Roman" w:cs="Times New Roman"/>
      <w:lang w:val="x-none" w:eastAsia="x-none"/>
    </w:rPr>
  </w:style>
  <w:style w:type="paragraph" w:styleId="BodyTextIndent">
    <w:name w:val="Body Text Indent"/>
    <w:basedOn w:val="Normal"/>
    <w:link w:val="BodyTextIndentChar"/>
    <w:rsid w:val="00930D83"/>
    <w:pPr>
      <w:spacing w:after="120"/>
      <w:ind w:left="360"/>
    </w:pPr>
    <w:rPr>
      <w:rFonts w:eastAsia="Times New Roman" w:cs="Times New Roman"/>
      <w:lang w:val="x-none" w:eastAsia="x-none"/>
    </w:rPr>
  </w:style>
  <w:style w:type="character" w:customStyle="1" w:styleId="BodyTextIndentChar">
    <w:name w:val="Body Text Indent Char"/>
    <w:basedOn w:val="DefaultParagraphFont"/>
    <w:link w:val="BodyTextIndent"/>
    <w:rsid w:val="00930D83"/>
    <w:rPr>
      <w:rFonts w:eastAsia="Times New Roman" w:cs="Times New Roman"/>
      <w:lang w:val="x-none" w:eastAsia="x-none"/>
    </w:rPr>
  </w:style>
  <w:style w:type="character" w:styleId="Hyperlink">
    <w:name w:val="Hyperlink"/>
    <w:basedOn w:val="DefaultParagraphFont"/>
    <w:uiPriority w:val="99"/>
    <w:unhideWhenUsed/>
    <w:rsid w:val="003B5D6C"/>
    <w:rPr>
      <w:color w:val="0000FF" w:themeColor="hyperlink"/>
      <w:u w:val="single"/>
    </w:rPr>
  </w:style>
  <w:style w:type="character" w:styleId="FollowedHyperlink">
    <w:name w:val="FollowedHyperlink"/>
    <w:basedOn w:val="DefaultParagraphFont"/>
    <w:uiPriority w:val="99"/>
    <w:semiHidden/>
    <w:unhideWhenUsed/>
    <w:rsid w:val="00A560FC"/>
    <w:rPr>
      <w:color w:val="800080" w:themeColor="followedHyperlink"/>
      <w:u w:val="single"/>
    </w:rPr>
  </w:style>
  <w:style w:type="character" w:styleId="CommentReference">
    <w:name w:val="annotation reference"/>
    <w:basedOn w:val="DefaultParagraphFont"/>
    <w:uiPriority w:val="99"/>
    <w:semiHidden/>
    <w:unhideWhenUsed/>
    <w:rsid w:val="000C41A7"/>
    <w:rPr>
      <w:sz w:val="16"/>
      <w:szCs w:val="16"/>
    </w:rPr>
  </w:style>
  <w:style w:type="paragraph" w:styleId="CommentText">
    <w:name w:val="annotation text"/>
    <w:basedOn w:val="Normal"/>
    <w:link w:val="CommentTextChar"/>
    <w:uiPriority w:val="99"/>
    <w:semiHidden/>
    <w:unhideWhenUsed/>
    <w:rsid w:val="000C41A7"/>
    <w:rPr>
      <w:sz w:val="20"/>
      <w:szCs w:val="20"/>
    </w:rPr>
  </w:style>
  <w:style w:type="character" w:customStyle="1" w:styleId="CommentTextChar">
    <w:name w:val="Comment Text Char"/>
    <w:basedOn w:val="DefaultParagraphFont"/>
    <w:link w:val="CommentText"/>
    <w:uiPriority w:val="99"/>
    <w:semiHidden/>
    <w:rsid w:val="000C41A7"/>
    <w:rPr>
      <w:sz w:val="20"/>
      <w:szCs w:val="20"/>
    </w:rPr>
  </w:style>
  <w:style w:type="paragraph" w:styleId="CommentSubject">
    <w:name w:val="annotation subject"/>
    <w:basedOn w:val="CommentText"/>
    <w:next w:val="CommentText"/>
    <w:link w:val="CommentSubjectChar"/>
    <w:uiPriority w:val="99"/>
    <w:semiHidden/>
    <w:unhideWhenUsed/>
    <w:rsid w:val="00FB6F09"/>
    <w:rPr>
      <w:b/>
      <w:bCs/>
    </w:rPr>
  </w:style>
  <w:style w:type="character" w:customStyle="1" w:styleId="CommentSubjectChar">
    <w:name w:val="Comment Subject Char"/>
    <w:basedOn w:val="CommentTextChar"/>
    <w:link w:val="CommentSubject"/>
    <w:uiPriority w:val="99"/>
    <w:semiHidden/>
    <w:rsid w:val="00FB6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06868">
      <w:bodyDiv w:val="1"/>
      <w:marLeft w:val="0"/>
      <w:marRight w:val="0"/>
      <w:marTop w:val="0"/>
      <w:marBottom w:val="0"/>
      <w:divBdr>
        <w:top w:val="none" w:sz="0" w:space="0" w:color="auto"/>
        <w:left w:val="none" w:sz="0" w:space="0" w:color="auto"/>
        <w:bottom w:val="none" w:sz="0" w:space="0" w:color="auto"/>
        <w:right w:val="none" w:sz="0" w:space="0" w:color="auto"/>
      </w:divBdr>
    </w:div>
    <w:div w:id="16089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9BFB-1C51-4EB1-BACC-B38163B9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10</Pages>
  <Words>1938</Words>
  <Characters>11001</Characters>
  <Application>Microsoft Office Word</Application>
  <DocSecurity>0</DocSecurity>
  <PresentationFormat/>
  <Lines>241</Lines>
  <Paragraphs>81</Paragraphs>
  <ScaleCrop>false</ScaleCrop>
  <HeadingPairs>
    <vt:vector size="2" baseType="variant">
      <vt:variant>
        <vt:lpstr>Title</vt:lpstr>
      </vt:variant>
      <vt:variant>
        <vt:i4>1</vt:i4>
      </vt:variant>
    </vt:vector>
  </HeadingPairs>
  <TitlesOfParts>
    <vt:vector size="1" baseType="lpstr">
      <vt:lpstr>kraton special arrangement; objections and comments (C46396).DOCX</vt:lpstr>
    </vt:vector>
  </TitlesOfParts>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kraton special arrangement; objections and comments (C46396).DOCX</dc:title>
  <dc:subject>C46396: /font=8</dc:subject>
  <dc:creator>_</dc:creator>
  <cp:keywords/>
  <dc:description/>
  <cp:lastModifiedBy>Karen Bowman</cp:lastModifiedBy>
  <cp:revision>17</cp:revision>
  <cp:lastPrinted>2014-11-11T14:43:00Z</cp:lastPrinted>
  <dcterms:created xsi:type="dcterms:W3CDTF">2015-01-08T17:28:00Z</dcterms:created>
  <dcterms:modified xsi:type="dcterms:W3CDTF">2015-01-12T14:50:00Z</dcterms:modified>
</cp:coreProperties>
</file>