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7C3597" w:rsidRDefault="00CA653E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  <w:r>
        <w:rPr>
          <w:spacing w:val="20"/>
        </w:rPr>
        <w:t xml:space="preserve"> </w:t>
      </w:r>
      <w:r w:rsidR="005D0674">
        <w:rPr>
          <w:spacing w:val="20"/>
        </w:rPr>
        <w:t>PROMOTIONS</w:t>
      </w:r>
      <w:r w:rsidR="00276EAB">
        <w:rPr>
          <w:spacing w:val="20"/>
        </w:rPr>
        <w:tab/>
      </w:r>
      <w:r w:rsidR="00FF7AB6">
        <w:rPr>
          <w:spacing w:val="20"/>
        </w:rPr>
        <w:t>(N)</w:t>
      </w:r>
    </w:p>
    <w:p w:rsidR="007C3597" w:rsidRDefault="00360C6C" w:rsidP="007C3597">
      <w:pPr>
        <w:tabs>
          <w:tab w:val="left" w:pos="360"/>
          <w:tab w:val="left" w:pos="720"/>
          <w:tab w:val="left" w:pos="1080"/>
          <w:tab w:val="left" w:pos="1440"/>
        </w:tabs>
        <w:ind w:right="-720"/>
        <w:rPr>
          <w:spacing w:val="20"/>
        </w:rPr>
      </w:pPr>
      <w:r>
        <w:rPr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1.25pt;margin-top:6.25pt;width:0;height:255pt;z-index:251658240" o:connectortype="straight"/>
        </w:pict>
      </w:r>
    </w:p>
    <w:p w:rsidR="003319EE" w:rsidRDefault="00227415" w:rsidP="00AE1C8D">
      <w:pPr>
        <w:numPr>
          <w:ilvl w:val="0"/>
          <w:numId w:val="7"/>
        </w:numPr>
        <w:tabs>
          <w:tab w:val="num" w:pos="0"/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>BUILD YOUR OWN BUNDLE</w:t>
      </w:r>
    </w:p>
    <w:p w:rsidR="00F10A42" w:rsidRDefault="00F10A42" w:rsidP="005C504F">
      <w:pPr>
        <w:tabs>
          <w:tab w:val="left" w:pos="-630"/>
        </w:tabs>
        <w:ind w:left="360"/>
        <w:rPr>
          <w:spacing w:val="20"/>
        </w:rPr>
      </w:pP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 xml:space="preserve">Customers who subscribe to </w:t>
      </w:r>
      <w:bookmarkStart w:id="0" w:name="OLE_LINK1"/>
      <w:bookmarkStart w:id="1" w:name="OLE_LINK2"/>
      <w:r w:rsidR="00227415">
        <w:rPr>
          <w:spacing w:val="20"/>
        </w:rPr>
        <w:t xml:space="preserve">any new major </w:t>
      </w:r>
      <w:r>
        <w:rPr>
          <w:spacing w:val="20"/>
        </w:rPr>
        <w:t>services under the terms of the Horizon “</w:t>
      </w:r>
      <w:r w:rsidR="00227415">
        <w:rPr>
          <w:spacing w:val="20"/>
        </w:rPr>
        <w:t>Build Your Own Bundle</w:t>
      </w:r>
      <w:r>
        <w:rPr>
          <w:spacing w:val="20"/>
        </w:rPr>
        <w:t xml:space="preserve">” </w:t>
      </w:r>
      <w:r w:rsidR="00227415">
        <w:rPr>
          <w:spacing w:val="20"/>
        </w:rPr>
        <w:t>agreement</w:t>
      </w:r>
      <w:r>
        <w:rPr>
          <w:spacing w:val="20"/>
        </w:rPr>
        <w:t xml:space="preserve"> during the promotional period</w:t>
      </w:r>
      <w:bookmarkEnd w:id="0"/>
      <w:bookmarkEnd w:id="1"/>
      <w:r w:rsidRPr="00CA653E">
        <w:rPr>
          <w:spacing w:val="20"/>
        </w:rPr>
        <w:t xml:space="preserve"> </w:t>
      </w:r>
      <w:r>
        <w:rPr>
          <w:spacing w:val="20"/>
        </w:rPr>
        <w:t xml:space="preserve">will have their standard </w:t>
      </w:r>
      <w:r w:rsidR="00227415">
        <w:rPr>
          <w:spacing w:val="20"/>
        </w:rPr>
        <w:t xml:space="preserve">activation/installation charges </w:t>
      </w:r>
      <w:r>
        <w:rPr>
          <w:spacing w:val="20"/>
        </w:rPr>
        <w:t>waived.</w:t>
      </w: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 xml:space="preserve">Promotional Period:  July 2, 2009 – September 28, 2009 </w:t>
      </w:r>
    </w:p>
    <w:p w:rsidR="00FF7AB6" w:rsidRDefault="00551BA5" w:rsidP="005C504F">
      <w:pPr>
        <w:tabs>
          <w:tab w:val="left" w:pos="-630"/>
        </w:tabs>
        <w:ind w:left="360"/>
        <w:rPr>
          <w:spacing w:val="20"/>
        </w:rPr>
      </w:pPr>
      <w:r>
        <w:rPr>
          <w:spacing w:val="20"/>
        </w:rPr>
        <w:t xml:space="preserve">. </w:t>
      </w:r>
      <w:r w:rsidR="00FF7AB6">
        <w:rPr>
          <w:spacing w:val="20"/>
        </w:rPr>
        <w:t xml:space="preserve"> </w:t>
      </w:r>
    </w:p>
    <w:p w:rsidR="00A8126C" w:rsidRDefault="00A8126C" w:rsidP="00AE1C8D">
      <w:pPr>
        <w:tabs>
          <w:tab w:val="left" w:pos="360"/>
          <w:tab w:val="left" w:pos="720"/>
        </w:tabs>
        <w:rPr>
          <w:spacing w:val="20"/>
        </w:rPr>
      </w:pPr>
    </w:p>
    <w:p w:rsidR="00B50AE8" w:rsidRDefault="003319EE" w:rsidP="00A77317">
      <w:pPr>
        <w:tabs>
          <w:tab w:val="left" w:pos="360"/>
          <w:tab w:val="left" w:pos="720"/>
          <w:tab w:val="left" w:pos="990"/>
        </w:tabs>
        <w:ind w:right="-720"/>
        <w:jc w:val="righ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CA653E" w:rsidRDefault="00227415" w:rsidP="00CA653E">
      <w:pPr>
        <w:numPr>
          <w:ilvl w:val="0"/>
          <w:numId w:val="7"/>
        </w:numPr>
        <w:tabs>
          <w:tab w:val="num" w:pos="0"/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>WIN BACK</w:t>
      </w:r>
    </w:p>
    <w:p w:rsidR="00CA653E" w:rsidRDefault="00CA653E" w:rsidP="00CA653E">
      <w:pPr>
        <w:tabs>
          <w:tab w:val="left" w:pos="-630"/>
        </w:tabs>
        <w:ind w:left="360"/>
        <w:rPr>
          <w:spacing w:val="20"/>
        </w:rPr>
      </w:pP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 xml:space="preserve">Customers who subscribe to </w:t>
      </w:r>
      <w:r w:rsidR="00227415">
        <w:rPr>
          <w:spacing w:val="20"/>
        </w:rPr>
        <w:t xml:space="preserve">any new major </w:t>
      </w:r>
      <w:r>
        <w:rPr>
          <w:spacing w:val="20"/>
        </w:rPr>
        <w:t>services under the terms of the Horizon “Win Back” offer during the promotional period</w:t>
      </w:r>
      <w:r w:rsidRPr="00CA653E">
        <w:rPr>
          <w:spacing w:val="20"/>
        </w:rPr>
        <w:t xml:space="preserve"> </w:t>
      </w:r>
      <w:r>
        <w:rPr>
          <w:spacing w:val="20"/>
        </w:rPr>
        <w:t xml:space="preserve">will have their standard </w:t>
      </w:r>
      <w:r w:rsidR="00227415">
        <w:rPr>
          <w:spacing w:val="20"/>
        </w:rPr>
        <w:t>activation/</w:t>
      </w:r>
      <w:r>
        <w:rPr>
          <w:spacing w:val="20"/>
        </w:rPr>
        <w:t>installation charges waived.</w:t>
      </w: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</w:p>
    <w:p w:rsidR="00CA653E" w:rsidRDefault="00CA653E" w:rsidP="00CA653E">
      <w:pPr>
        <w:tabs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 xml:space="preserve">Promotional Period:  July 2, 2009 – September 28, 2009 </w:t>
      </w:r>
    </w:p>
    <w:p w:rsidR="00CA653E" w:rsidRDefault="0014051D" w:rsidP="00CA653E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  <w:r>
        <w:rPr>
          <w:spacing w:val="20"/>
        </w:rPr>
        <w:t xml:space="preserve"> </w:t>
      </w:r>
    </w:p>
    <w:p w:rsidR="00CA653E" w:rsidRDefault="00CA653E" w:rsidP="00CA653E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</w:p>
    <w:p w:rsidR="00CA653E" w:rsidRDefault="00CA653E" w:rsidP="00CA653E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</w:p>
    <w:p w:rsidR="002A689F" w:rsidRDefault="00CA653E" w:rsidP="00CA653E">
      <w:pPr>
        <w:tabs>
          <w:tab w:val="left" w:pos="0"/>
          <w:tab w:val="left" w:pos="360"/>
          <w:tab w:val="left" w:pos="990"/>
          <w:tab w:val="right" w:pos="9360"/>
        </w:tabs>
        <w:jc w:val="righ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</w:p>
    <w:p w:rsidR="00227415" w:rsidRDefault="00227415" w:rsidP="00CA653E">
      <w:pPr>
        <w:tabs>
          <w:tab w:val="left" w:pos="0"/>
          <w:tab w:val="left" w:pos="360"/>
          <w:tab w:val="left" w:pos="990"/>
          <w:tab w:val="right" w:pos="9360"/>
        </w:tabs>
        <w:jc w:val="right"/>
        <w:rPr>
          <w:spacing w:val="20"/>
        </w:rPr>
      </w:pPr>
    </w:p>
    <w:p w:rsidR="00227415" w:rsidRDefault="00227415" w:rsidP="00227415">
      <w:pPr>
        <w:tabs>
          <w:tab w:val="left" w:pos="0"/>
          <w:tab w:val="left" w:pos="360"/>
          <w:tab w:val="left" w:pos="990"/>
          <w:tab w:val="right" w:pos="9360"/>
        </w:tabs>
        <w:ind w:right="-720"/>
        <w:jc w:val="right"/>
        <w:rPr>
          <w:spacing w:val="20"/>
        </w:rPr>
      </w:pPr>
      <w:r>
        <w:rPr>
          <w:spacing w:val="20"/>
        </w:rPr>
        <w:t>(N)</w:t>
      </w:r>
    </w:p>
    <w:sectPr w:rsidR="00227415" w:rsidSect="008C4A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3E" w:rsidRDefault="00CA653E">
      <w:r>
        <w:separator/>
      </w:r>
    </w:p>
  </w:endnote>
  <w:endnote w:type="continuationSeparator" w:id="0">
    <w:p w:rsidR="00CA653E" w:rsidRDefault="00CA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3E" w:rsidRPr="00801577" w:rsidRDefault="00CA653E" w:rsidP="00A77317">
    <w:pPr>
      <w:pStyle w:val="Footer"/>
      <w:pBdr>
        <w:top w:val="single" w:sz="4" w:space="1" w:color="auto"/>
      </w:pBdr>
      <w:rPr>
        <w:spacing w:val="20"/>
      </w:rPr>
    </w:pPr>
    <w:r w:rsidRPr="00801577">
      <w:rPr>
        <w:spacing w:val="20"/>
      </w:rPr>
      <w:t xml:space="preserve">Issued: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227415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ab/>
    </w:r>
    <w:r w:rsidRPr="00801577">
      <w:rPr>
        <w:spacing w:val="20"/>
      </w:rPr>
      <w:tab/>
      <w:t xml:space="preserve">Effective: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227415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</w:p>
  <w:p w:rsidR="00CA653E" w:rsidRPr="00801577" w:rsidRDefault="00CA653E" w:rsidP="00A77317">
    <w:pPr>
      <w:pStyle w:val="Footer"/>
      <w:pBdr>
        <w:top w:val="single" w:sz="4" w:space="1" w:color="auto"/>
      </w:pBdr>
      <w:rPr>
        <w:spacing w:val="20"/>
      </w:rPr>
    </w:pPr>
  </w:p>
  <w:p w:rsidR="00CA653E" w:rsidRPr="00801577" w:rsidRDefault="00CA653E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 xml:space="preserve">Issued by </w:t>
    </w:r>
    <w:r>
      <w:rPr>
        <w:spacing w:val="20"/>
      </w:rPr>
      <w:t>William</w:t>
    </w:r>
    <w:r w:rsidRPr="00801577">
      <w:rPr>
        <w:spacing w:val="20"/>
      </w:rPr>
      <w:t xml:space="preserve"> McKell, President</w:t>
    </w:r>
  </w:p>
  <w:p w:rsidR="00CA653E" w:rsidRPr="00801577" w:rsidRDefault="00CA653E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>In accordance with the Public Utilities Commission of Ohio</w:t>
    </w:r>
  </w:p>
  <w:p w:rsidR="00CA653E" w:rsidRPr="00801577" w:rsidRDefault="00CA653E" w:rsidP="0086058A">
    <w:pPr>
      <w:pStyle w:val="Footer"/>
      <w:pBdr>
        <w:top w:val="single" w:sz="4" w:space="1" w:color="auto"/>
      </w:pBdr>
      <w:tabs>
        <w:tab w:val="left" w:pos="1860"/>
      </w:tabs>
      <w:jc w:val="center"/>
      <w:rPr>
        <w:spacing w:val="20"/>
      </w:rPr>
    </w:pPr>
    <w:r w:rsidRPr="00801577">
      <w:rPr>
        <w:spacing w:val="20"/>
      </w:rPr>
      <w:t xml:space="preserve">Case filed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227415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 xml:space="preserve"> in Case No. </w:t>
    </w:r>
    <w:r>
      <w:rPr>
        <w:spacing w:val="20"/>
      </w:rPr>
      <w:t>90</w:t>
    </w:r>
    <w:r w:rsidRPr="00801577">
      <w:rPr>
        <w:spacing w:val="20"/>
      </w:rPr>
      <w:t>-</w:t>
    </w:r>
    <w:r>
      <w:rPr>
        <w:spacing w:val="20"/>
      </w:rPr>
      <w:t>5012</w:t>
    </w:r>
    <w:r w:rsidRPr="00801577">
      <w:rPr>
        <w:spacing w:val="20"/>
      </w:rPr>
      <w:t>-TP-</w:t>
    </w:r>
    <w:r>
      <w:rPr>
        <w:spacing w:val="20"/>
      </w:rPr>
      <w:t>TRF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3E" w:rsidRDefault="00CA653E">
      <w:r>
        <w:separator/>
      </w:r>
    </w:p>
  </w:footnote>
  <w:footnote w:type="continuationSeparator" w:id="0">
    <w:p w:rsidR="00CA653E" w:rsidRDefault="00CA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3E" w:rsidRDefault="00CA653E">
    <w:pPr>
      <w:pStyle w:val="Header"/>
      <w:rPr>
        <w:spacing w:val="20"/>
      </w:rPr>
    </w:pPr>
    <w:r>
      <w:rPr>
        <w:spacing w:val="20"/>
      </w:rPr>
      <w:t xml:space="preserve">THE </w:t>
    </w:r>
    <w:smartTag w:uri="urn:schemas-microsoft-com:office:smarttags" w:element="place">
      <w:smartTag w:uri="urn:schemas-microsoft-com:office:smarttags" w:element="City">
        <w:r>
          <w:rPr>
            <w:spacing w:val="20"/>
          </w:rPr>
          <w:t>CHILLICOTHE</w:t>
        </w:r>
      </w:smartTag>
    </w:smartTag>
    <w:r>
      <w:rPr>
        <w:spacing w:val="20"/>
      </w:rPr>
      <w:tab/>
    </w:r>
    <w:r>
      <w:rPr>
        <w:spacing w:val="20"/>
      </w:rPr>
      <w:tab/>
      <w:t>Section 14</w:t>
    </w:r>
  </w:p>
  <w:p w:rsidR="00CA653E" w:rsidRDefault="00CA653E">
    <w:pPr>
      <w:pStyle w:val="Header"/>
      <w:rPr>
        <w:spacing w:val="20"/>
      </w:rPr>
    </w:pPr>
    <w:r>
      <w:rPr>
        <w:spacing w:val="20"/>
      </w:rPr>
      <w:t>TELEPHONE COMPANY</w:t>
    </w:r>
    <w:r>
      <w:rPr>
        <w:spacing w:val="20"/>
      </w:rPr>
      <w:tab/>
    </w:r>
    <w:r>
      <w:rPr>
        <w:spacing w:val="20"/>
      </w:rPr>
      <w:tab/>
      <w:t>Original Sheet No. 7</w:t>
    </w:r>
  </w:p>
  <w:p w:rsidR="00CA653E" w:rsidRDefault="00CA653E">
    <w:pPr>
      <w:pStyle w:val="Header"/>
      <w:rPr>
        <w:spacing w:val="20"/>
      </w:rPr>
    </w:pPr>
    <w:r>
      <w:rPr>
        <w:spacing w:val="20"/>
      </w:rPr>
      <w:tab/>
    </w:r>
    <w:r>
      <w:rPr>
        <w:spacing w:val="20"/>
      </w:rPr>
      <w:tab/>
    </w:r>
  </w:p>
  <w:p w:rsidR="00CA653E" w:rsidRDefault="00CA653E" w:rsidP="009E0CFE">
    <w:pPr>
      <w:pStyle w:val="Header"/>
      <w:jc w:val="center"/>
      <w:rPr>
        <w:spacing w:val="20"/>
      </w:rPr>
    </w:pPr>
    <w:r>
      <w:rPr>
        <w:spacing w:val="20"/>
      </w:rPr>
      <w:t>TARIFF P.U.C.O. NO. 12</w:t>
    </w:r>
  </w:p>
  <w:p w:rsidR="00CA653E" w:rsidRDefault="00CA653E" w:rsidP="009E0CFE">
    <w:pPr>
      <w:pStyle w:val="Header"/>
      <w:jc w:val="center"/>
      <w:rPr>
        <w:spacing w:val="20"/>
      </w:rPr>
    </w:pPr>
    <w:r>
      <w:rPr>
        <w:spacing w:val="20"/>
      </w:rPr>
      <w:t>GENERAL EXCHANGE TARIFF</w:t>
    </w:r>
  </w:p>
  <w:p w:rsidR="00CA653E" w:rsidRDefault="00CA653E">
    <w:pPr>
      <w:pStyle w:val="Header"/>
      <w:rPr>
        <w:spacing w:val="20"/>
      </w:rPr>
    </w:pPr>
  </w:p>
  <w:p w:rsidR="00CA653E" w:rsidRDefault="00CA653E" w:rsidP="008764DD">
    <w:pPr>
      <w:pStyle w:val="Header"/>
      <w:pBdr>
        <w:top w:val="single" w:sz="4" w:space="1" w:color="auto"/>
      </w:pBdr>
      <w:rPr>
        <w:spacing w:val="20"/>
      </w:rPr>
    </w:pPr>
  </w:p>
  <w:p w:rsidR="00CA653E" w:rsidRDefault="00CA653E" w:rsidP="008764DD">
    <w:pPr>
      <w:pStyle w:val="Header"/>
      <w:jc w:val="center"/>
      <w:rPr>
        <w:spacing w:val="20"/>
      </w:rPr>
    </w:pPr>
    <w:r>
      <w:rPr>
        <w:spacing w:val="20"/>
      </w:rPr>
      <w:t>SPECIAL OFFERINGS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60"/>
    <w:multiLevelType w:val="hybridMultilevel"/>
    <w:tmpl w:val="462A29B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1B26"/>
    <w:multiLevelType w:val="hybridMultilevel"/>
    <w:tmpl w:val="5928BA44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CB030A4"/>
    <w:multiLevelType w:val="hybridMultilevel"/>
    <w:tmpl w:val="A4887FDC"/>
    <w:lvl w:ilvl="0" w:tplc="9E2229D2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C493A"/>
    <w:multiLevelType w:val="hybridMultilevel"/>
    <w:tmpl w:val="F06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74F3D"/>
    <w:multiLevelType w:val="hybridMultilevel"/>
    <w:tmpl w:val="F4B8ED7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C4F4C"/>
    <w:multiLevelType w:val="hybridMultilevel"/>
    <w:tmpl w:val="2A824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282C"/>
    <w:multiLevelType w:val="hybridMultilevel"/>
    <w:tmpl w:val="247AE90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52BBA"/>
    <w:multiLevelType w:val="hybridMultilevel"/>
    <w:tmpl w:val="7206C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C3962"/>
    <w:multiLevelType w:val="hybridMultilevel"/>
    <w:tmpl w:val="5C0A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90132"/>
    <w:multiLevelType w:val="hybridMultilevel"/>
    <w:tmpl w:val="3D58C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D7E55"/>
    <w:multiLevelType w:val="hybridMultilevel"/>
    <w:tmpl w:val="E4DEC88E"/>
    <w:lvl w:ilvl="0" w:tplc="F27AB37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764DD"/>
    <w:rsid w:val="00044ADF"/>
    <w:rsid w:val="00054C89"/>
    <w:rsid w:val="000A1FE4"/>
    <w:rsid w:val="000B2D43"/>
    <w:rsid w:val="000C0B95"/>
    <w:rsid w:val="000D515B"/>
    <w:rsid w:val="000E1300"/>
    <w:rsid w:val="000F4A59"/>
    <w:rsid w:val="0011636A"/>
    <w:rsid w:val="0014051D"/>
    <w:rsid w:val="00141EAD"/>
    <w:rsid w:val="00162914"/>
    <w:rsid w:val="001930A9"/>
    <w:rsid w:val="00193442"/>
    <w:rsid w:val="00194A95"/>
    <w:rsid w:val="001B0FB0"/>
    <w:rsid w:val="001C60BE"/>
    <w:rsid w:val="001E2A54"/>
    <w:rsid w:val="00227415"/>
    <w:rsid w:val="0022777F"/>
    <w:rsid w:val="00230966"/>
    <w:rsid w:val="00276EAB"/>
    <w:rsid w:val="00293D33"/>
    <w:rsid w:val="002A2F83"/>
    <w:rsid w:val="002A689F"/>
    <w:rsid w:val="002C7A16"/>
    <w:rsid w:val="002E4C77"/>
    <w:rsid w:val="002F02D0"/>
    <w:rsid w:val="00311697"/>
    <w:rsid w:val="003319EE"/>
    <w:rsid w:val="00344ACF"/>
    <w:rsid w:val="003601D0"/>
    <w:rsid w:val="00360C6C"/>
    <w:rsid w:val="00365605"/>
    <w:rsid w:val="00397D2E"/>
    <w:rsid w:val="003A11A8"/>
    <w:rsid w:val="003A7A15"/>
    <w:rsid w:val="003D397D"/>
    <w:rsid w:val="003D4242"/>
    <w:rsid w:val="003F1198"/>
    <w:rsid w:val="00431BEA"/>
    <w:rsid w:val="00453C49"/>
    <w:rsid w:val="004576C8"/>
    <w:rsid w:val="004669C7"/>
    <w:rsid w:val="004B2DB8"/>
    <w:rsid w:val="004D459B"/>
    <w:rsid w:val="004F5989"/>
    <w:rsid w:val="00506725"/>
    <w:rsid w:val="0052550B"/>
    <w:rsid w:val="00532BF3"/>
    <w:rsid w:val="0054058C"/>
    <w:rsid w:val="00551BA5"/>
    <w:rsid w:val="005822B3"/>
    <w:rsid w:val="00595614"/>
    <w:rsid w:val="005C504F"/>
    <w:rsid w:val="005C61A3"/>
    <w:rsid w:val="005D0674"/>
    <w:rsid w:val="005E0FFB"/>
    <w:rsid w:val="00615EC7"/>
    <w:rsid w:val="00645E8D"/>
    <w:rsid w:val="00664299"/>
    <w:rsid w:val="00676DDB"/>
    <w:rsid w:val="006A32A2"/>
    <w:rsid w:val="006C192D"/>
    <w:rsid w:val="006D3F17"/>
    <w:rsid w:val="00701101"/>
    <w:rsid w:val="007065B6"/>
    <w:rsid w:val="00717DAE"/>
    <w:rsid w:val="00744A9A"/>
    <w:rsid w:val="00774D58"/>
    <w:rsid w:val="007A684F"/>
    <w:rsid w:val="007B047D"/>
    <w:rsid w:val="007C3597"/>
    <w:rsid w:val="00825979"/>
    <w:rsid w:val="0086058A"/>
    <w:rsid w:val="008764DD"/>
    <w:rsid w:val="008808B1"/>
    <w:rsid w:val="008C02D8"/>
    <w:rsid w:val="008C4A48"/>
    <w:rsid w:val="008F006A"/>
    <w:rsid w:val="00915170"/>
    <w:rsid w:val="0095343B"/>
    <w:rsid w:val="00972EB6"/>
    <w:rsid w:val="009B395A"/>
    <w:rsid w:val="009B603E"/>
    <w:rsid w:val="009C2008"/>
    <w:rsid w:val="009E0CFE"/>
    <w:rsid w:val="009F6006"/>
    <w:rsid w:val="00A77317"/>
    <w:rsid w:val="00A8126C"/>
    <w:rsid w:val="00A85578"/>
    <w:rsid w:val="00AA71CF"/>
    <w:rsid w:val="00AB2C2A"/>
    <w:rsid w:val="00AE1C8D"/>
    <w:rsid w:val="00B22B68"/>
    <w:rsid w:val="00B3527C"/>
    <w:rsid w:val="00B50AE8"/>
    <w:rsid w:val="00B538E7"/>
    <w:rsid w:val="00B71C1E"/>
    <w:rsid w:val="00B80B02"/>
    <w:rsid w:val="00B85710"/>
    <w:rsid w:val="00C01CFD"/>
    <w:rsid w:val="00C56219"/>
    <w:rsid w:val="00C90BF6"/>
    <w:rsid w:val="00C91651"/>
    <w:rsid w:val="00CA653E"/>
    <w:rsid w:val="00CE4E80"/>
    <w:rsid w:val="00D008D5"/>
    <w:rsid w:val="00D254E1"/>
    <w:rsid w:val="00D43410"/>
    <w:rsid w:val="00D570AE"/>
    <w:rsid w:val="00D67FBC"/>
    <w:rsid w:val="00DB4A3C"/>
    <w:rsid w:val="00DB7EA3"/>
    <w:rsid w:val="00E1597C"/>
    <w:rsid w:val="00E15A20"/>
    <w:rsid w:val="00E25EC3"/>
    <w:rsid w:val="00EA519B"/>
    <w:rsid w:val="00F10A42"/>
    <w:rsid w:val="00F220E4"/>
    <w:rsid w:val="00F35E17"/>
    <w:rsid w:val="00F62607"/>
    <w:rsid w:val="00F721C5"/>
    <w:rsid w:val="00FB7F8D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A48"/>
  </w:style>
  <w:style w:type="paragraph" w:styleId="BodyTextIndent">
    <w:name w:val="Body Text Indent"/>
    <w:basedOn w:val="Normal"/>
    <w:rsid w:val="00194A95"/>
    <w:pPr>
      <w:tabs>
        <w:tab w:val="left" w:pos="630"/>
        <w:tab w:val="left" w:pos="720"/>
        <w:tab w:val="left" w:pos="990"/>
      </w:tabs>
      <w:ind w:left="720" w:hanging="360"/>
    </w:pPr>
    <w:rPr>
      <w:spacing w:val="20"/>
    </w:rPr>
  </w:style>
  <w:style w:type="paragraph" w:styleId="BodyTextIndent2">
    <w:name w:val="Body Text Indent 2"/>
    <w:basedOn w:val="Normal"/>
    <w:rsid w:val="00194A95"/>
    <w:pPr>
      <w:tabs>
        <w:tab w:val="left" w:pos="360"/>
        <w:tab w:val="left" w:pos="990"/>
      </w:tabs>
      <w:ind w:left="360"/>
    </w:pPr>
    <w:rPr>
      <w:spacing w:val="20"/>
    </w:rPr>
  </w:style>
  <w:style w:type="character" w:styleId="Emphasis">
    <w:name w:val="Emphasis"/>
    <w:basedOn w:val="DefaultParagraphFont"/>
    <w:qFormat/>
    <w:rsid w:val="00506725"/>
    <w:rPr>
      <w:i/>
      <w:iCs/>
    </w:rPr>
  </w:style>
  <w:style w:type="paragraph" w:styleId="BalloonText">
    <w:name w:val="Balloon Text"/>
    <w:basedOn w:val="Normal"/>
    <w:semiHidden/>
    <w:rsid w:val="00CE4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AR12H&amp;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3B27-1EF5-4678-BBEA-E3DCB48E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TAR12H&amp;F.DOT</Template>
  <TotalTime>11</TotalTime>
  <Pages>1</Pages>
  <Words>86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LISTINGS (cont’d.)</vt:lpstr>
    </vt:vector>
  </TitlesOfParts>
  <Company>Horizon Services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LISTINGS (cont’d.)</dc:title>
  <dc:subject/>
  <dc:creator>LINDA CLAYTOR</dc:creator>
  <cp:keywords/>
  <cp:lastModifiedBy>Tammy D. Perry</cp:lastModifiedBy>
  <cp:revision>3</cp:revision>
  <cp:lastPrinted>2008-03-14T15:10:00Z</cp:lastPrinted>
  <dcterms:created xsi:type="dcterms:W3CDTF">2009-07-01T20:29:00Z</dcterms:created>
  <dcterms:modified xsi:type="dcterms:W3CDTF">2009-07-01T20:40:00Z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-1357041145</vt:i4>
  </property>
  <property fmtid="{D5CDD505-2E9C-101B-9397-08002B2CF9AE}" pid="3" name="_EmailSubject">
    <vt:lpwstr>Tariff 12 Sheets for Proofing</vt:lpwstr>
  </property>
  <property fmtid="{D5CDD505-2E9C-101B-9397-08002B2CF9AE}" pid="4" name="_AuthorEmail">
    <vt:lpwstr>John.Wilson@Horizontel.com</vt:lpwstr>
  </property>
  <property fmtid="{D5CDD505-2E9C-101B-9397-08002B2CF9AE}" pid="5" name="_AuthorEmailDisplayName">
    <vt:lpwstr>Wilson, John</vt:lpwstr>
  </property>
  <property fmtid="{D5CDD505-2E9C-101B-9397-08002B2CF9AE}" pid="6" name="_PreviousAdHocReviewCycleID">
    <vt:i4>-582738066</vt:i4>
  </property>
  <property fmtid="{D5CDD505-2E9C-101B-9397-08002B2CF9AE}" pid="7" name="_ReviewingToolsShownOnce">
    <vt:lpwstr/>
  </property>
</Properties>
</file>