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81DAE" w:rsidRPr="003F5315" w14:paraId="18AE0C0B" w14:textId="77777777">
      <w:pPr>
        <w:pStyle w:val="HTMLPreformatted"/>
        <w:jc w:val="center"/>
        <w:rPr>
          <w:rFonts w:ascii="Times New Roman" w:hAnsi="Times New Roman" w:cs="Times New Roman"/>
          <w:b/>
          <w:bCs/>
          <w:sz w:val="24"/>
          <w:szCs w:val="24"/>
        </w:rPr>
      </w:pPr>
      <w:bookmarkStart w:id="0" w:name="_GoBack"/>
      <w:bookmarkEnd w:id="0"/>
      <w:r w:rsidRPr="003F5315">
        <w:rPr>
          <w:rFonts w:ascii="Times New Roman" w:hAnsi="Times New Roman" w:cs="Times New Roman"/>
          <w:b/>
          <w:bCs/>
          <w:sz w:val="24"/>
          <w:szCs w:val="24"/>
        </w:rPr>
        <w:t>BEFORE</w:t>
      </w:r>
    </w:p>
    <w:p w:rsidR="00381DAE" w:rsidRPr="003F5315" w14:paraId="6810B638" w14:textId="77777777">
      <w:pPr>
        <w:pStyle w:val="HTMLPreformatted"/>
        <w:jc w:val="center"/>
        <w:rPr>
          <w:rFonts w:ascii="Times New Roman" w:hAnsi="Times New Roman" w:cs="Times New Roman"/>
          <w:b/>
          <w:bCs/>
          <w:sz w:val="24"/>
          <w:szCs w:val="24"/>
        </w:rPr>
      </w:pPr>
      <w:r w:rsidRPr="003F5315">
        <w:rPr>
          <w:rFonts w:ascii="Times New Roman" w:hAnsi="Times New Roman" w:cs="Times New Roman"/>
          <w:b/>
          <w:bCs/>
          <w:sz w:val="24"/>
          <w:szCs w:val="24"/>
        </w:rPr>
        <w:t>THE PUBLIC UTILITIES COMMISSION OF OHIO</w:t>
      </w:r>
    </w:p>
    <w:p w:rsidR="00381DAE" w:rsidRPr="003F5315" w14:paraId="642B7355" w14:textId="77777777">
      <w:pPr>
        <w:pStyle w:val="HTMLPreformatted"/>
        <w:jc w:val="center"/>
        <w:rPr>
          <w:rFonts w:ascii="Times New Roman" w:hAnsi="Times New Roman" w:cs="Times New Roman"/>
          <w:sz w:val="24"/>
          <w:szCs w:val="24"/>
        </w:rPr>
      </w:pPr>
    </w:p>
    <w:tbl>
      <w:tblPr>
        <w:tblW w:w="8910" w:type="dxa"/>
        <w:jc w:val="center"/>
        <w:tblLook w:val="01E0"/>
      </w:tblPr>
      <w:tblGrid>
        <w:gridCol w:w="4408"/>
        <w:gridCol w:w="296"/>
        <w:gridCol w:w="4206"/>
      </w:tblGrid>
      <w:tr w14:paraId="16ABE5C7" w14:textId="77777777" w:rsidTr="006A6AB6">
        <w:tblPrEx>
          <w:tblW w:w="8910" w:type="dxa"/>
          <w:jc w:val="center"/>
          <w:tblLook w:val="01E0"/>
        </w:tblPrEx>
        <w:trPr>
          <w:trHeight w:val="807"/>
          <w:jc w:val="center"/>
        </w:trPr>
        <w:tc>
          <w:tcPr>
            <w:tcW w:w="4408" w:type="dxa"/>
            <w:shd w:val="clear" w:color="auto" w:fill="auto"/>
          </w:tcPr>
          <w:p w:rsidR="00381DAE" w:rsidRPr="003F5315" w:rsidP="00381DAE" w14:paraId="71F480C8" w14:textId="77777777">
            <w:pPr>
              <w:autoSpaceDE w:val="0"/>
              <w:autoSpaceDN w:val="0"/>
              <w:adjustRightInd w:val="0"/>
            </w:pPr>
            <w:r w:rsidRPr="003F5315">
              <w:rPr>
                <w:rFonts w:eastAsiaTheme="minorHAnsi"/>
              </w:rPr>
              <w:t xml:space="preserve">In the Matter of the </w:t>
            </w:r>
            <w:r w:rsidRPr="003F5315" w:rsidR="006A6AB6">
              <w:rPr>
                <w:rFonts w:eastAsiaTheme="minorHAnsi"/>
              </w:rPr>
              <w:t xml:space="preserve">Commission’s Investigation into </w:t>
            </w:r>
            <w:r w:rsidR="001C2269">
              <w:rPr>
                <w:rFonts w:eastAsiaTheme="minorHAnsi"/>
              </w:rPr>
              <w:t>Verde Energy USA Ohio, LLC’s Compliance with the Ohio Administrative Code and Potential Remedial Actions for Non-Compliance</w:t>
            </w:r>
            <w:r w:rsidR="001905CF">
              <w:rPr>
                <w:rFonts w:eastAsiaTheme="minorHAnsi"/>
              </w:rPr>
              <w:t>.</w:t>
            </w:r>
          </w:p>
        </w:tc>
        <w:tc>
          <w:tcPr>
            <w:tcW w:w="296" w:type="dxa"/>
            <w:shd w:val="clear" w:color="auto" w:fill="auto"/>
          </w:tcPr>
          <w:p w:rsidR="00381DAE" w:rsidRPr="003F5315" w:rsidP="00381DAE" w14:paraId="4BFD70FE"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381DAE" w:rsidRPr="003F5315" w:rsidP="00381DAE" w14:paraId="54E48F52"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381DAE" w:rsidRPr="003F5315" w:rsidP="00381DAE" w14:paraId="5F5B2ED4"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381DAE" w:rsidRPr="003F5315" w:rsidP="00381DAE" w14:paraId="48206663"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381DAE" w:rsidRPr="003F5315" w:rsidP="00BA0652" w14:paraId="1E04C8F8"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tc>
        <w:tc>
          <w:tcPr>
            <w:tcW w:w="4206" w:type="dxa"/>
            <w:shd w:val="clear" w:color="auto" w:fill="auto"/>
          </w:tcPr>
          <w:p w:rsidR="00381DAE" w:rsidRPr="003F5315" w:rsidP="00381DAE" w14:paraId="389EA63D" w14:textId="77777777">
            <w:pPr>
              <w:pStyle w:val="HTMLPreformatted"/>
              <w:rPr>
                <w:rFonts w:ascii="Times New Roman" w:hAnsi="Times New Roman" w:cs="Times New Roman"/>
                <w:sz w:val="24"/>
                <w:szCs w:val="24"/>
              </w:rPr>
            </w:pPr>
          </w:p>
          <w:p w:rsidR="00381DAE" w:rsidRPr="003F5315" w:rsidP="00381DAE" w14:paraId="395C4B53"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 xml:space="preserve">Case No. </w:t>
            </w:r>
            <w:r w:rsidRPr="003F5315">
              <w:rPr>
                <w:rFonts w:ascii="Times New Roman" w:eastAsia="Courier New" w:hAnsi="Times New Roman" w:cs="Times New Roman"/>
                <w:sz w:val="24"/>
                <w:szCs w:val="24"/>
              </w:rPr>
              <w:t>19-95</w:t>
            </w:r>
            <w:r>
              <w:rPr>
                <w:rFonts w:ascii="Times New Roman" w:eastAsia="Courier New" w:hAnsi="Times New Roman" w:cs="Times New Roman"/>
                <w:sz w:val="24"/>
                <w:szCs w:val="24"/>
              </w:rPr>
              <w:t>8</w:t>
            </w:r>
            <w:r w:rsidRPr="003F5315">
              <w:rPr>
                <w:rFonts w:ascii="Times New Roman" w:eastAsia="Courier New" w:hAnsi="Times New Roman" w:cs="Times New Roman"/>
                <w:sz w:val="24"/>
                <w:szCs w:val="24"/>
              </w:rPr>
              <w:t>-GE-COI</w:t>
            </w:r>
          </w:p>
          <w:p w:rsidR="00381DAE" w:rsidRPr="003F5315" w:rsidP="00381DAE" w14:paraId="24C28ED6" w14:textId="77777777">
            <w:pPr>
              <w:pStyle w:val="HTMLPreformatted"/>
              <w:rPr>
                <w:rFonts w:ascii="Times New Roman" w:hAnsi="Times New Roman" w:cs="Times New Roman"/>
                <w:sz w:val="24"/>
                <w:szCs w:val="24"/>
              </w:rPr>
            </w:pPr>
          </w:p>
          <w:p w:rsidR="00381DAE" w:rsidRPr="003F5315" w:rsidP="00381DAE" w14:paraId="56EE7FDB" w14:textId="77777777">
            <w:pPr>
              <w:pStyle w:val="HTMLPreformatted"/>
              <w:rPr>
                <w:rFonts w:ascii="Times New Roman" w:hAnsi="Times New Roman" w:cs="Times New Roman"/>
                <w:sz w:val="24"/>
                <w:szCs w:val="24"/>
              </w:rPr>
            </w:pPr>
          </w:p>
        </w:tc>
      </w:tr>
    </w:tbl>
    <w:p w:rsidR="00720F2D" w:rsidRPr="003F5315" w:rsidP="00720F2D" w14:paraId="5B9AC860" w14:textId="77777777">
      <w:pPr>
        <w:pStyle w:val="BodyText"/>
        <w:pBdr>
          <w:bottom w:val="single" w:sz="8" w:space="1" w:color="000000"/>
        </w:pBdr>
      </w:pPr>
    </w:p>
    <w:p w:rsidR="00381DAE" w:rsidRPr="003F5315" w:rsidP="00720F2D" w14:paraId="5C05F6D8" w14:textId="77777777">
      <w:pPr>
        <w:pStyle w:val="HTMLPreformatted"/>
        <w:rPr>
          <w:rFonts w:ascii="Times New Roman" w:hAnsi="Times New Roman" w:cs="Times New Roman"/>
          <w:sz w:val="24"/>
          <w:szCs w:val="24"/>
        </w:rPr>
      </w:pPr>
    </w:p>
    <w:p w:rsidR="008455D4" w:rsidRPr="003F5315" w:rsidP="00720F2D" w14:paraId="6BDBB2DA" w14:textId="77777777">
      <w:pPr>
        <w:jc w:val="center"/>
        <w:rPr>
          <w:rFonts w:asciiTheme="majorBidi" w:hAnsiTheme="majorBidi" w:cstheme="majorBidi"/>
          <w:b/>
        </w:rPr>
      </w:pPr>
      <w:r w:rsidRPr="003F5315">
        <w:rPr>
          <w:rFonts w:asciiTheme="majorBidi" w:hAnsiTheme="majorBidi" w:cstheme="majorBidi"/>
          <w:b/>
        </w:rPr>
        <w:t>APPLICATION FOR REHEARING</w:t>
      </w:r>
    </w:p>
    <w:p w:rsidR="00AA6345" w:rsidRPr="003F5315" w:rsidP="00720F2D" w14:paraId="66695519" w14:textId="77777777">
      <w:pPr>
        <w:pStyle w:val="BodyText"/>
        <w:spacing w:after="0"/>
        <w:jc w:val="center"/>
        <w:rPr>
          <w:b/>
        </w:rPr>
      </w:pPr>
      <w:r w:rsidRPr="003F5315">
        <w:rPr>
          <w:b/>
        </w:rPr>
        <w:t>BY</w:t>
      </w:r>
    </w:p>
    <w:p w:rsidR="00AA6345" w:rsidRPr="003F5315" w:rsidP="0095557D" w14:paraId="71F27C51" w14:textId="77777777">
      <w:pPr>
        <w:pStyle w:val="BodyText"/>
        <w:spacing w:after="0" w:line="360" w:lineRule="auto"/>
        <w:jc w:val="center"/>
        <w:rPr>
          <w:b/>
        </w:rPr>
      </w:pPr>
      <w:r w:rsidRPr="003F5315">
        <w:rPr>
          <w:b/>
        </w:rPr>
        <w:t>THE OFFICE OF THE OHIO CONSUMERS’ COUNSEL</w:t>
      </w:r>
    </w:p>
    <w:p w:rsidR="00720F2D" w:rsidRPr="003F5315" w:rsidP="00720F2D" w14:paraId="7E982044" w14:textId="77777777">
      <w:pPr>
        <w:pStyle w:val="BodyText"/>
        <w:pBdr>
          <w:bottom w:val="single" w:sz="8" w:space="1" w:color="000000"/>
        </w:pBdr>
      </w:pPr>
    </w:p>
    <w:p w:rsidR="00720F2D" w:rsidRPr="003F5315" w:rsidP="00AA6345" w14:paraId="2D1ABFD3" w14:textId="77777777">
      <w:pPr>
        <w:pStyle w:val="Footer"/>
        <w:tabs>
          <w:tab w:val="left" w:pos="4320"/>
          <w:tab w:val="clear" w:pos="8640"/>
        </w:tabs>
        <w:ind w:left="3960"/>
      </w:pPr>
    </w:p>
    <w:p w:rsidR="00AA6345" w:rsidRPr="003F5315" w:rsidP="00AA6345" w14:paraId="763DC383" w14:textId="77777777">
      <w:pPr>
        <w:pStyle w:val="Footer"/>
        <w:tabs>
          <w:tab w:val="left" w:pos="4320"/>
          <w:tab w:val="clear" w:pos="8640"/>
        </w:tabs>
        <w:ind w:left="3960"/>
      </w:pPr>
      <w:r w:rsidRPr="003F5315">
        <w:t>Bruce Weston</w:t>
      </w:r>
      <w:r w:rsidR="00035EEB">
        <w:t xml:space="preserve"> </w:t>
      </w:r>
      <w:r w:rsidRPr="002339D1" w:rsidR="00035EEB">
        <w:rPr>
          <w:caps/>
        </w:rPr>
        <w:t>(0016973)</w:t>
      </w:r>
    </w:p>
    <w:p w:rsidR="00AA6345" w:rsidP="00AA6345" w14:paraId="3A826BD5" w14:textId="77777777">
      <w:pPr>
        <w:tabs>
          <w:tab w:val="left" w:pos="4320"/>
        </w:tabs>
        <w:ind w:left="3960"/>
      </w:pPr>
      <w:r>
        <w:t xml:space="preserve">Ohio </w:t>
      </w:r>
      <w:r w:rsidRPr="003F5315" w:rsidR="00AA0C25">
        <w:t>Consumers’ Counsel</w:t>
      </w:r>
    </w:p>
    <w:p w:rsidR="001C2269" w:rsidRPr="003F5315" w:rsidP="00AA6345" w14:paraId="386F8BF1" w14:textId="77777777">
      <w:pPr>
        <w:tabs>
          <w:tab w:val="left" w:pos="4320"/>
        </w:tabs>
        <w:ind w:left="3960"/>
      </w:pPr>
    </w:p>
    <w:p w:rsidR="00AA6345" w:rsidP="00AA6345" w14:paraId="2A5873EB" w14:textId="77777777">
      <w:pPr>
        <w:tabs>
          <w:tab w:val="left" w:pos="4320"/>
        </w:tabs>
        <w:ind w:left="3960"/>
      </w:pPr>
      <w:r>
        <w:t>Angela</w:t>
      </w:r>
      <w:r w:rsidRPr="003F5315" w:rsidR="00AA0C25">
        <w:t xml:space="preserve"> </w:t>
      </w:r>
      <w:r w:rsidR="001905CF">
        <w:t xml:space="preserve">D. </w:t>
      </w:r>
      <w:r w:rsidRPr="003F5315" w:rsidR="00AA0C25">
        <w:t>O’Brien (00</w:t>
      </w:r>
      <w:r>
        <w:t>97579</w:t>
      </w:r>
      <w:r w:rsidRPr="003F5315" w:rsidR="00AA0C25">
        <w:t>)</w:t>
      </w:r>
    </w:p>
    <w:p w:rsidR="001C2269" w:rsidP="00AA6345" w14:paraId="1E63D045" w14:textId="77777777">
      <w:pPr>
        <w:tabs>
          <w:tab w:val="left" w:pos="4320"/>
        </w:tabs>
        <w:ind w:left="3960"/>
      </w:pPr>
      <w:r>
        <w:t>Counsel of Record</w:t>
      </w:r>
    </w:p>
    <w:p w:rsidR="001C2269" w:rsidRPr="003F5315" w:rsidP="00AA6345" w14:paraId="7639AEFF" w14:textId="77777777">
      <w:pPr>
        <w:tabs>
          <w:tab w:val="left" w:pos="4320"/>
        </w:tabs>
        <w:ind w:left="3960"/>
      </w:pPr>
      <w:r>
        <w:t>Christopher Healey (0086027)</w:t>
      </w:r>
    </w:p>
    <w:p w:rsidR="00AA6345" w:rsidP="00AA6345" w14:paraId="1DFB54DD" w14:textId="77777777">
      <w:pPr>
        <w:tabs>
          <w:tab w:val="left" w:pos="4320"/>
        </w:tabs>
        <w:ind w:left="3960"/>
        <w:rPr>
          <w:rFonts w:eastAsia="Calibri"/>
        </w:rPr>
      </w:pPr>
      <w:r w:rsidRPr="003F5315">
        <w:rPr>
          <w:rFonts w:eastAsia="Calibri"/>
        </w:rPr>
        <w:t>Assistant Consumers’ Counsel</w:t>
      </w:r>
    </w:p>
    <w:p w:rsidR="00BA0652" w:rsidP="00AA6345" w14:paraId="4DF36F3C" w14:textId="77777777">
      <w:pPr>
        <w:tabs>
          <w:tab w:val="left" w:pos="4320"/>
        </w:tabs>
        <w:ind w:left="3960"/>
        <w:rPr>
          <w:rFonts w:eastAsia="Calibri"/>
        </w:rPr>
      </w:pPr>
    </w:p>
    <w:p w:rsidR="00AA6345" w:rsidRPr="003F5315" w:rsidP="00720F2D" w14:paraId="0EFF3F8B" w14:textId="77777777">
      <w:pPr>
        <w:ind w:left="3960"/>
        <w:rPr>
          <w:b/>
        </w:rPr>
      </w:pPr>
      <w:r w:rsidRPr="003F5315">
        <w:rPr>
          <w:b/>
        </w:rPr>
        <w:t>Office of the Ohio Consumers’ Counsel</w:t>
      </w:r>
    </w:p>
    <w:p w:rsidR="00AA6345" w:rsidRPr="003F5315" w:rsidP="00AA6345" w14:paraId="71357CCD" w14:textId="77777777">
      <w:pPr>
        <w:ind w:left="3960"/>
      </w:pPr>
      <w:r w:rsidRPr="003F5315">
        <w:t>65 East State Street, 7</w:t>
      </w:r>
      <w:r w:rsidRPr="001905CF">
        <w:t>th</w:t>
      </w:r>
      <w:r w:rsidRPr="003F5315">
        <w:t xml:space="preserve"> Floor</w:t>
      </w:r>
    </w:p>
    <w:p w:rsidR="00AA6345" w:rsidRPr="003F5315" w:rsidP="00AA6345" w14:paraId="2C01C55A" w14:textId="77777777">
      <w:pPr>
        <w:ind w:left="3960"/>
      </w:pPr>
      <w:r w:rsidRPr="003F5315">
        <w:t>Columbus, Ohio 43215-3485</w:t>
      </w:r>
    </w:p>
    <w:p w:rsidR="00AA6345" w:rsidP="00AA6345" w14:paraId="5AFCD15B" w14:textId="77777777">
      <w:pPr>
        <w:autoSpaceDE w:val="0"/>
        <w:autoSpaceDN w:val="0"/>
        <w:adjustRightInd w:val="0"/>
        <w:ind w:left="3960"/>
      </w:pPr>
      <w:r w:rsidRPr="003F5315">
        <w:t>Telephone</w:t>
      </w:r>
      <w:r w:rsidR="001C2269">
        <w:t xml:space="preserve"> [O’Brien]</w:t>
      </w:r>
      <w:r w:rsidRPr="003F5315">
        <w:t xml:space="preserve">: </w:t>
      </w:r>
      <w:r w:rsidRPr="003D4A9D" w:rsidR="00035EEB">
        <w:t>(614) 466-95</w:t>
      </w:r>
      <w:r w:rsidR="001C2269">
        <w:t>31</w:t>
      </w:r>
    </w:p>
    <w:p w:rsidR="001C2269" w:rsidRPr="003F5315" w:rsidP="00AA6345" w14:paraId="2FF86AB9" w14:textId="77777777">
      <w:pPr>
        <w:autoSpaceDE w:val="0"/>
        <w:autoSpaceDN w:val="0"/>
        <w:adjustRightInd w:val="0"/>
        <w:ind w:left="3960"/>
      </w:pPr>
      <w:r>
        <w:t>Telephone [Healey]: (614) 466-9571</w:t>
      </w:r>
    </w:p>
    <w:p w:rsidR="001C2269" w:rsidP="00AA6345" w14:paraId="68230CCD" w14:textId="77777777">
      <w:pPr>
        <w:ind w:left="3960"/>
      </w:pPr>
      <w:hyperlink r:id="rId6" w:history="1">
        <w:r w:rsidRPr="00ED3048" w:rsidR="00E418DF">
          <w:rPr>
            <w:rStyle w:val="Hyperlink"/>
          </w:rPr>
          <w:t>angela.obrien@occ.ohio.gov</w:t>
        </w:r>
      </w:hyperlink>
    </w:p>
    <w:p w:rsidR="00AA6345" w:rsidRPr="003F5315" w:rsidP="001C2269" w14:paraId="23AF0D42" w14:textId="77777777">
      <w:pPr>
        <w:ind w:left="3960"/>
      </w:pPr>
      <w:hyperlink r:id="rId7" w:history="1">
        <w:r w:rsidRPr="00021A34" w:rsidR="001905CF">
          <w:rPr>
            <w:rStyle w:val="Hyperlink"/>
          </w:rPr>
          <w:t>christopher.healey@occ.ohio.gov</w:t>
        </w:r>
      </w:hyperlink>
    </w:p>
    <w:p w:rsidR="00AA6345" w:rsidRPr="003F5315" w:rsidP="00AA6345" w14:paraId="0D9C6F53" w14:textId="77777777">
      <w:pPr>
        <w:tabs>
          <w:tab w:val="center" w:pos="4680"/>
          <w:tab w:val="right" w:pos="9360"/>
        </w:tabs>
        <w:ind w:left="3960"/>
        <w:rPr>
          <w:rFonts w:eastAsia="Calibri"/>
        </w:rPr>
      </w:pPr>
      <w:r w:rsidRPr="003F5315">
        <w:rPr>
          <w:rFonts w:eastAsia="Calibri"/>
        </w:rPr>
        <w:t>(willing to accept service by e-mail)</w:t>
      </w:r>
    </w:p>
    <w:p w:rsidR="00AA6345" w:rsidRPr="003F5315" w:rsidP="00AA6345" w14:paraId="45678E88" w14:textId="77777777">
      <w:pPr>
        <w:ind w:left="4320"/>
      </w:pPr>
    </w:p>
    <w:p w:rsidR="0064418A" w:rsidRPr="003F5315" w:rsidP="00AA6345" w14:paraId="30D3C6E8" w14:textId="77777777">
      <w:pPr>
        <w:widowControl w:val="0"/>
        <w:tabs>
          <w:tab w:val="center" w:pos="4680"/>
          <w:tab w:val="right" w:pos="9360"/>
        </w:tabs>
        <w:ind w:left="3960"/>
        <w:rPr>
          <w:rFonts w:eastAsia="Calibri"/>
        </w:rPr>
      </w:pPr>
      <w:r w:rsidRPr="003F5315">
        <w:t xml:space="preserve">Kimberly W. Bojko </w:t>
      </w:r>
      <w:r w:rsidRPr="003F5315">
        <w:rPr>
          <w:rFonts w:eastAsia="Calibri"/>
        </w:rPr>
        <w:t xml:space="preserve">(0069402) </w:t>
      </w:r>
    </w:p>
    <w:p w:rsidR="00AA6345" w:rsidRPr="003F5315" w:rsidP="00AA6345" w14:paraId="47828168" w14:textId="77777777">
      <w:pPr>
        <w:widowControl w:val="0"/>
        <w:tabs>
          <w:tab w:val="center" w:pos="4680"/>
          <w:tab w:val="right" w:pos="9360"/>
        </w:tabs>
        <w:ind w:left="3960"/>
        <w:rPr>
          <w:rFonts w:eastAsia="Calibri"/>
        </w:rPr>
      </w:pPr>
      <w:r w:rsidRPr="003F5315">
        <w:rPr>
          <w:rFonts w:eastAsia="Calibri"/>
        </w:rPr>
        <w:t>Counsel of Record</w:t>
      </w:r>
    </w:p>
    <w:p w:rsidR="00AA6345" w:rsidRPr="003F5315" w:rsidP="00AA6345" w14:paraId="74AB456D" w14:textId="77777777">
      <w:pPr>
        <w:ind w:left="3960"/>
      </w:pPr>
      <w:r w:rsidRPr="003F5315">
        <w:t>Carpenter Lipps &amp; Leland LLP</w:t>
      </w:r>
    </w:p>
    <w:p w:rsidR="00AA6345" w:rsidRPr="003F5315" w:rsidP="00AA6345" w14:paraId="69934DD9" w14:textId="77777777">
      <w:pPr>
        <w:ind w:left="3960"/>
      </w:pPr>
      <w:r w:rsidRPr="003F5315">
        <w:t>280 Plaza, Suite 1300</w:t>
      </w:r>
    </w:p>
    <w:p w:rsidR="00AA6345" w:rsidRPr="003F5315" w:rsidP="00AA6345" w14:paraId="531E635C" w14:textId="77777777">
      <w:pPr>
        <w:ind w:left="3960"/>
      </w:pPr>
      <w:r w:rsidRPr="003F5315">
        <w:t>280 N. High Street</w:t>
      </w:r>
    </w:p>
    <w:p w:rsidR="00AA6345" w:rsidRPr="003F5315" w:rsidP="00AA6345" w14:paraId="4FD69EFB" w14:textId="77777777">
      <w:pPr>
        <w:ind w:left="3960"/>
      </w:pPr>
      <w:r w:rsidRPr="003F5315">
        <w:t>Columbus, Ohio 43215</w:t>
      </w:r>
    </w:p>
    <w:p w:rsidR="00AA6345" w:rsidRPr="003F5315" w:rsidP="00AA6345" w14:paraId="779DE5DC" w14:textId="77777777">
      <w:pPr>
        <w:ind w:left="3960"/>
      </w:pPr>
      <w:r w:rsidRPr="003F5315">
        <w:t>Telephone: (614) 365-4124</w:t>
      </w:r>
    </w:p>
    <w:p w:rsidR="00AA6345" w:rsidRPr="003F5315" w:rsidP="00AA6345" w14:paraId="7F883196" w14:textId="77777777">
      <w:pPr>
        <w:ind w:left="3960"/>
      </w:pPr>
      <w:r w:rsidRPr="003F5315">
        <w:rPr>
          <w:color w:val="0000FF"/>
          <w:u w:val="single"/>
        </w:rPr>
        <w:t>bojko@carpenterlipps.com</w:t>
      </w:r>
    </w:p>
    <w:p w:rsidR="00AA6345" w:rsidRPr="003F5315" w:rsidP="00AA6345" w14:paraId="26E353AF" w14:textId="77777777">
      <w:pPr>
        <w:tabs>
          <w:tab w:val="center" w:pos="4680"/>
          <w:tab w:val="right" w:pos="9360"/>
        </w:tabs>
        <w:ind w:left="3960"/>
        <w:rPr>
          <w:rFonts w:eastAsia="Calibri"/>
        </w:rPr>
      </w:pPr>
      <w:r w:rsidRPr="003F5315">
        <w:rPr>
          <w:rFonts w:eastAsia="Calibri"/>
        </w:rPr>
        <w:t>(willing to accept service by e-mail)</w:t>
      </w:r>
    </w:p>
    <w:p w:rsidR="00AA6345" w:rsidRPr="003F5315" w:rsidP="00AA6345" w14:paraId="7A0E34B7" w14:textId="77777777">
      <w:pPr>
        <w:spacing w:before="120"/>
        <w:ind w:left="3960"/>
        <w:rPr>
          <w:i/>
          <w:iCs/>
        </w:rPr>
      </w:pPr>
      <w:r w:rsidRPr="003F5315">
        <w:rPr>
          <w:i/>
          <w:iCs/>
        </w:rPr>
        <w:t>Counsel for the</w:t>
      </w:r>
    </w:p>
    <w:p w:rsidR="00AA6345" w:rsidRPr="003F5315" w:rsidP="00AA6345" w14:paraId="0E095003" w14:textId="77777777">
      <w:pPr>
        <w:ind w:left="3960" w:hanging="3960"/>
        <w:rPr>
          <w:i/>
          <w:iCs/>
        </w:rPr>
      </w:pPr>
      <w:r>
        <w:t>March</w:t>
      </w:r>
      <w:r w:rsidRPr="003F5315" w:rsidR="00AA0C25">
        <w:t xml:space="preserve"> 2</w:t>
      </w:r>
      <w:r>
        <w:t>7</w:t>
      </w:r>
      <w:r w:rsidRPr="003F5315" w:rsidR="00AA0C25">
        <w:t>, 2020</w:t>
      </w:r>
      <w:r w:rsidRPr="003F5315" w:rsidR="00AA0C25">
        <w:tab/>
      </w:r>
      <w:r w:rsidRPr="003F5315" w:rsidR="00AA0C25">
        <w:rPr>
          <w:i/>
          <w:iCs/>
        </w:rPr>
        <w:t>Office of the Ohio Consumers’ Counsel</w:t>
      </w:r>
    </w:p>
    <w:p w:rsidR="009C1D70" w14:paraId="164F3C90" w14:textId="77777777">
      <w:pPr>
        <w:rPr>
          <w:b/>
          <w:bCs/>
          <w:u w:val="single"/>
        </w:rPr>
        <w:sectPr w:rsidSect="009C33B7">
          <w:headerReference w:type="default" r:id="rId8"/>
          <w:footerReference w:type="default" r:id="rId9"/>
          <w:footerReference w:type="first" r:id="rId10"/>
          <w:pgSz w:w="12240" w:h="15840" w:code="1"/>
          <w:pgMar w:top="1620" w:right="1800" w:bottom="1440" w:left="1800" w:header="450" w:footer="720" w:gutter="0"/>
          <w:cols w:space="720"/>
          <w:titlePg/>
          <w:docGrid w:linePitch="326"/>
        </w:sectPr>
      </w:pPr>
    </w:p>
    <w:p w:rsidR="00880052" w:rsidP="00880052" w14:paraId="78D32000" w14:textId="77777777">
      <w:pPr>
        <w:jc w:val="center"/>
        <w:rPr>
          <w:b/>
          <w:u w:val="single"/>
        </w:rPr>
      </w:pPr>
      <w:bookmarkStart w:id="1" w:name="_Toc317859570"/>
      <w:bookmarkStart w:id="2" w:name="_Toc386462073"/>
      <w:bookmarkStart w:id="3" w:name="_Toc398624429"/>
      <w:bookmarkStart w:id="4" w:name="_Toc407798625"/>
      <w:bookmarkStart w:id="5" w:name="_Toc480889290"/>
      <w:bookmarkStart w:id="6" w:name="_Toc18507545"/>
      <w:r w:rsidRPr="00F90D1E">
        <w:rPr>
          <w:b/>
          <w:u w:val="single"/>
        </w:rPr>
        <w:t>TABLE OF CONTENTS</w:t>
      </w:r>
    </w:p>
    <w:p w:rsidR="00BA0652" w:rsidP="00BA0652" w14:paraId="567F88F9" w14:textId="77777777">
      <w:pPr>
        <w:jc w:val="right"/>
        <w:rPr>
          <w:b/>
        </w:rPr>
      </w:pPr>
      <w:r>
        <w:rPr>
          <w:b/>
        </w:rPr>
        <w:t>PAGE</w:t>
      </w:r>
    </w:p>
    <w:p w:rsidR="00D42688" w:rsidP="00BA0652" w14:paraId="75B6A4BA" w14:textId="77777777">
      <w:pPr>
        <w:jc w:val="right"/>
        <w:rPr>
          <w:b/>
        </w:rPr>
      </w:pPr>
    </w:p>
    <w:p w:rsidR="00DE132D" w14:paraId="7ADA5F77" w14:textId="77777777">
      <w:pPr>
        <w:pStyle w:val="TOC1"/>
        <w:rPr>
          <w:rFonts w:asciiTheme="minorHAnsi" w:eastAsiaTheme="minorEastAsia" w:hAnsiTheme="minorHAnsi" w:cstheme="minorBidi"/>
          <w:caps w:val="0"/>
          <w:sz w:val="22"/>
          <w:szCs w:val="22"/>
        </w:rPr>
      </w:pPr>
      <w:r>
        <w:rPr>
          <w:b/>
        </w:rPr>
        <w:fldChar w:fldCharType="begin"/>
      </w:r>
      <w:r>
        <w:rPr>
          <w:b/>
        </w:rPr>
        <w:instrText xml:space="preserve"> TOC \o "1-3" \h \z \u </w:instrText>
      </w:r>
      <w:r>
        <w:rPr>
          <w:b/>
        </w:rPr>
        <w:fldChar w:fldCharType="separate"/>
      </w:r>
      <w:hyperlink w:anchor="_Toc36220252" w:history="1">
        <w:r w:rsidRPr="008F62B5">
          <w:rPr>
            <w:rStyle w:val="Hyperlink"/>
          </w:rPr>
          <w:t>I.</w:t>
        </w:r>
        <w:r>
          <w:rPr>
            <w:rFonts w:asciiTheme="minorHAnsi" w:eastAsiaTheme="minorEastAsia" w:hAnsiTheme="minorHAnsi" w:cstheme="minorBidi"/>
            <w:caps w:val="0"/>
            <w:sz w:val="22"/>
            <w:szCs w:val="22"/>
          </w:rPr>
          <w:tab/>
        </w:r>
        <w:r w:rsidRPr="008F62B5">
          <w:rPr>
            <w:rStyle w:val="Hyperlink"/>
          </w:rPr>
          <w:t>INTRODUCTION</w:t>
        </w:r>
        <w:r>
          <w:rPr>
            <w:webHidden/>
          </w:rPr>
          <w:tab/>
        </w:r>
        <w:r>
          <w:rPr>
            <w:webHidden/>
          </w:rPr>
          <w:fldChar w:fldCharType="begin"/>
        </w:r>
        <w:r>
          <w:rPr>
            <w:webHidden/>
          </w:rPr>
          <w:instrText xml:space="preserve"> PAGEREF _Toc36220252 \h </w:instrText>
        </w:r>
        <w:r>
          <w:rPr>
            <w:webHidden/>
          </w:rPr>
          <w:fldChar w:fldCharType="separate"/>
        </w:r>
        <w:r>
          <w:rPr>
            <w:webHidden/>
          </w:rPr>
          <w:t>1</w:t>
        </w:r>
        <w:r>
          <w:rPr>
            <w:webHidden/>
          </w:rPr>
          <w:fldChar w:fldCharType="end"/>
        </w:r>
      </w:hyperlink>
    </w:p>
    <w:p w:rsidR="00DE132D" w14:paraId="268D47A7" w14:textId="77777777">
      <w:pPr>
        <w:pStyle w:val="TOC1"/>
        <w:rPr>
          <w:rFonts w:asciiTheme="minorHAnsi" w:eastAsiaTheme="minorEastAsia" w:hAnsiTheme="minorHAnsi" w:cstheme="minorBidi"/>
          <w:caps w:val="0"/>
          <w:sz w:val="22"/>
          <w:szCs w:val="22"/>
        </w:rPr>
      </w:pPr>
      <w:hyperlink w:anchor="_Toc36220253" w:history="1">
        <w:r w:rsidRPr="008F62B5" w:rsidR="00E418DF">
          <w:rPr>
            <w:rStyle w:val="Hyperlink"/>
          </w:rPr>
          <w:t>II.</w:t>
        </w:r>
        <w:r w:rsidR="00E418DF">
          <w:rPr>
            <w:rFonts w:asciiTheme="minorHAnsi" w:eastAsiaTheme="minorEastAsia" w:hAnsiTheme="minorHAnsi" w:cstheme="minorBidi"/>
            <w:caps w:val="0"/>
            <w:sz w:val="22"/>
            <w:szCs w:val="22"/>
          </w:rPr>
          <w:tab/>
        </w:r>
        <w:r w:rsidRPr="008F62B5" w:rsidR="00E418DF">
          <w:rPr>
            <w:rStyle w:val="Hyperlink"/>
          </w:rPr>
          <w:t>STANDARD OF REVIEW</w:t>
        </w:r>
        <w:r w:rsidR="00E418DF">
          <w:rPr>
            <w:webHidden/>
          </w:rPr>
          <w:tab/>
        </w:r>
        <w:r w:rsidR="00E418DF">
          <w:rPr>
            <w:webHidden/>
          </w:rPr>
          <w:fldChar w:fldCharType="begin"/>
        </w:r>
        <w:r w:rsidR="00E418DF">
          <w:rPr>
            <w:webHidden/>
          </w:rPr>
          <w:instrText xml:space="preserve"> PAGEREF _Toc36220253 \h </w:instrText>
        </w:r>
        <w:r w:rsidR="00E418DF">
          <w:rPr>
            <w:webHidden/>
          </w:rPr>
          <w:fldChar w:fldCharType="separate"/>
        </w:r>
        <w:r w:rsidR="00E418DF">
          <w:rPr>
            <w:webHidden/>
          </w:rPr>
          <w:t>3</w:t>
        </w:r>
        <w:r w:rsidR="00E418DF">
          <w:rPr>
            <w:webHidden/>
          </w:rPr>
          <w:fldChar w:fldCharType="end"/>
        </w:r>
      </w:hyperlink>
    </w:p>
    <w:p w:rsidR="00DE132D" w14:paraId="1502890B" w14:textId="77777777">
      <w:pPr>
        <w:pStyle w:val="TOC1"/>
        <w:rPr>
          <w:rFonts w:asciiTheme="minorHAnsi" w:eastAsiaTheme="minorEastAsia" w:hAnsiTheme="minorHAnsi" w:cstheme="minorBidi"/>
          <w:caps w:val="0"/>
          <w:sz w:val="22"/>
          <w:szCs w:val="22"/>
        </w:rPr>
      </w:pPr>
      <w:hyperlink w:anchor="_Toc36220254" w:history="1">
        <w:r w:rsidRPr="008F62B5" w:rsidR="00E418DF">
          <w:rPr>
            <w:rStyle w:val="Hyperlink"/>
          </w:rPr>
          <w:t>III.</w:t>
        </w:r>
        <w:r w:rsidR="00E418DF">
          <w:rPr>
            <w:rFonts w:asciiTheme="minorHAnsi" w:eastAsiaTheme="minorEastAsia" w:hAnsiTheme="minorHAnsi" w:cstheme="minorBidi"/>
            <w:caps w:val="0"/>
            <w:sz w:val="22"/>
            <w:szCs w:val="22"/>
          </w:rPr>
          <w:tab/>
        </w:r>
        <w:r w:rsidRPr="008F62B5" w:rsidR="00E418DF">
          <w:rPr>
            <w:rStyle w:val="Hyperlink"/>
          </w:rPr>
          <w:t>ASSIGNMENTS OF ERROR</w:t>
        </w:r>
        <w:r w:rsidR="00E418DF">
          <w:rPr>
            <w:webHidden/>
          </w:rPr>
          <w:tab/>
        </w:r>
        <w:r w:rsidR="00E418DF">
          <w:rPr>
            <w:webHidden/>
          </w:rPr>
          <w:fldChar w:fldCharType="begin"/>
        </w:r>
        <w:r w:rsidR="00E418DF">
          <w:rPr>
            <w:webHidden/>
          </w:rPr>
          <w:instrText xml:space="preserve"> PAGEREF _Toc36220254 \h </w:instrText>
        </w:r>
        <w:r w:rsidR="00E418DF">
          <w:rPr>
            <w:webHidden/>
          </w:rPr>
          <w:fldChar w:fldCharType="separate"/>
        </w:r>
        <w:r w:rsidR="00E418DF">
          <w:rPr>
            <w:webHidden/>
          </w:rPr>
          <w:t>4</w:t>
        </w:r>
        <w:r w:rsidR="00E418DF">
          <w:rPr>
            <w:webHidden/>
          </w:rPr>
          <w:fldChar w:fldCharType="end"/>
        </w:r>
      </w:hyperlink>
    </w:p>
    <w:p w:rsidR="00DE132D" w14:paraId="1D502764" w14:textId="77777777">
      <w:pPr>
        <w:pStyle w:val="TOC2"/>
        <w:rPr>
          <w:rFonts w:asciiTheme="minorHAnsi" w:eastAsiaTheme="minorEastAsia" w:hAnsiTheme="minorHAnsi" w:cstheme="minorBidi"/>
          <w:caps w:val="0"/>
          <w:noProof/>
          <w:sz w:val="22"/>
          <w:szCs w:val="22"/>
        </w:rPr>
      </w:pPr>
      <w:hyperlink w:anchor="_Toc36220255" w:history="1">
        <w:r w:rsidRPr="008F62B5" w:rsidR="00E418DF">
          <w:rPr>
            <w:rStyle w:val="Hyperlink"/>
            <w:noProof/>
          </w:rPr>
          <w:t xml:space="preserve">ASSIGNMENT OF ERROR NO. 1: </w:t>
        </w:r>
        <w:r w:rsidRPr="008F62B5" w:rsidR="00F92964">
          <w:rPr>
            <w:rStyle w:val="Hyperlink"/>
            <w:caps w:val="0"/>
            <w:noProof/>
          </w:rPr>
          <w:t xml:space="preserve">The </w:t>
        </w:r>
        <w:r w:rsidRPr="008F62B5" w:rsidR="00E418DF">
          <w:rPr>
            <w:rStyle w:val="Hyperlink"/>
            <w:noProof/>
          </w:rPr>
          <w:t xml:space="preserve">PUCO </w:t>
        </w:r>
        <w:r w:rsidRPr="008F62B5" w:rsidR="00F92964">
          <w:rPr>
            <w:rStyle w:val="Hyperlink"/>
            <w:caps w:val="0"/>
            <w:noProof/>
          </w:rPr>
          <w:t xml:space="preserve">erred by unlawfully, unreasonably, and unfairly shifting the burden of proof in this proceeding to </w:t>
        </w:r>
        <w:r w:rsidR="00F92964">
          <w:rPr>
            <w:rStyle w:val="Hyperlink"/>
            <w:caps w:val="0"/>
            <w:noProof/>
          </w:rPr>
          <w:t>OCC</w:t>
        </w:r>
        <w:r w:rsidRPr="008F62B5" w:rsidR="00F92964">
          <w:rPr>
            <w:rStyle w:val="Hyperlink"/>
            <w:caps w:val="0"/>
            <w:noProof/>
          </w:rPr>
          <w:t xml:space="preserve"> while simultaneously restricting and limiting </w:t>
        </w:r>
        <w:r w:rsidR="00F92964">
          <w:rPr>
            <w:rStyle w:val="Hyperlink"/>
            <w:caps w:val="0"/>
            <w:noProof/>
          </w:rPr>
          <w:t>OCC</w:t>
        </w:r>
        <w:r w:rsidRPr="008F62B5" w:rsidR="00F92964">
          <w:rPr>
            <w:rStyle w:val="Hyperlink"/>
            <w:caps w:val="0"/>
            <w:noProof/>
          </w:rPr>
          <w:t xml:space="preserve">’s ability to prove the violations set forth in the 517 customer contact and complaints in the </w:t>
        </w:r>
        <w:r w:rsidR="00F92964">
          <w:rPr>
            <w:rStyle w:val="Hyperlink"/>
            <w:caps w:val="0"/>
            <w:noProof/>
          </w:rPr>
          <w:t>S</w:t>
        </w:r>
        <w:r w:rsidRPr="008F62B5" w:rsidR="00F92964">
          <w:rPr>
            <w:rStyle w:val="Hyperlink"/>
            <w:caps w:val="0"/>
            <w:noProof/>
          </w:rPr>
          <w:t xml:space="preserve">taff </w:t>
        </w:r>
        <w:r w:rsidR="00F92964">
          <w:rPr>
            <w:rStyle w:val="Hyperlink"/>
            <w:caps w:val="0"/>
            <w:noProof/>
          </w:rPr>
          <w:t>R</w:t>
        </w:r>
        <w:r w:rsidRPr="008F62B5" w:rsidR="00F92964">
          <w:rPr>
            <w:rStyle w:val="Hyperlink"/>
            <w:caps w:val="0"/>
            <w:noProof/>
          </w:rPr>
          <w:t>eport</w:t>
        </w:r>
        <w:r w:rsidRPr="008F62B5" w:rsidR="00E418DF">
          <w:rPr>
            <w:rStyle w:val="Hyperlink"/>
            <w:noProof/>
          </w:rPr>
          <w:t>.</w:t>
        </w:r>
        <w:r w:rsidR="00E418DF">
          <w:rPr>
            <w:noProof/>
            <w:webHidden/>
          </w:rPr>
          <w:tab/>
        </w:r>
        <w:r w:rsidR="00E418DF">
          <w:rPr>
            <w:noProof/>
            <w:webHidden/>
          </w:rPr>
          <w:fldChar w:fldCharType="begin"/>
        </w:r>
        <w:r w:rsidR="00E418DF">
          <w:rPr>
            <w:noProof/>
            <w:webHidden/>
          </w:rPr>
          <w:instrText xml:space="preserve"> PAGEREF _Toc36220255 \h </w:instrText>
        </w:r>
        <w:r w:rsidR="00E418DF">
          <w:rPr>
            <w:noProof/>
            <w:webHidden/>
          </w:rPr>
          <w:fldChar w:fldCharType="separate"/>
        </w:r>
        <w:r w:rsidR="00E418DF">
          <w:rPr>
            <w:noProof/>
            <w:webHidden/>
          </w:rPr>
          <w:t>4</w:t>
        </w:r>
        <w:r w:rsidR="00E418DF">
          <w:rPr>
            <w:noProof/>
            <w:webHidden/>
          </w:rPr>
          <w:fldChar w:fldCharType="end"/>
        </w:r>
      </w:hyperlink>
    </w:p>
    <w:p w:rsidR="00DE132D" w14:paraId="2703EA3E" w14:textId="77777777">
      <w:pPr>
        <w:pStyle w:val="TOC3"/>
        <w:tabs>
          <w:tab w:val="left" w:pos="2160"/>
        </w:tabs>
        <w:rPr>
          <w:rFonts w:asciiTheme="minorHAnsi" w:eastAsiaTheme="minorEastAsia" w:hAnsiTheme="minorHAnsi" w:cstheme="minorBidi"/>
          <w:noProof/>
          <w:sz w:val="22"/>
          <w:szCs w:val="22"/>
        </w:rPr>
      </w:pPr>
      <w:hyperlink w:anchor="_Toc36220256" w:history="1">
        <w:r w:rsidRPr="008F62B5" w:rsidR="00E418DF">
          <w:rPr>
            <w:rStyle w:val="Hyperlink"/>
            <w:noProof/>
          </w:rPr>
          <w:t>A.</w:t>
        </w:r>
        <w:r w:rsidR="00E418DF">
          <w:rPr>
            <w:rFonts w:asciiTheme="minorHAnsi" w:eastAsiaTheme="minorEastAsia" w:hAnsiTheme="minorHAnsi" w:cstheme="minorBidi"/>
            <w:noProof/>
            <w:sz w:val="22"/>
            <w:szCs w:val="22"/>
          </w:rPr>
          <w:tab/>
        </w:r>
        <w:r w:rsidRPr="008F62B5" w:rsidR="00E418DF">
          <w:rPr>
            <w:rStyle w:val="Hyperlink"/>
            <w:noProof/>
          </w:rPr>
          <w:t>Verde was supposed to show cause why its certifications should not be suspended or rescinded, but after the Staff settled with Verde the PUCO wrongly treated OCC as if it bore the burden of proof.</w:t>
        </w:r>
        <w:r w:rsidR="00E418DF">
          <w:rPr>
            <w:noProof/>
            <w:webHidden/>
          </w:rPr>
          <w:tab/>
        </w:r>
        <w:r w:rsidR="00E418DF">
          <w:rPr>
            <w:noProof/>
            <w:webHidden/>
          </w:rPr>
          <w:fldChar w:fldCharType="begin"/>
        </w:r>
        <w:r w:rsidR="00E418DF">
          <w:rPr>
            <w:noProof/>
            <w:webHidden/>
          </w:rPr>
          <w:instrText xml:space="preserve"> PAGEREF _Toc36220256 \h </w:instrText>
        </w:r>
        <w:r w:rsidR="00E418DF">
          <w:rPr>
            <w:noProof/>
            <w:webHidden/>
          </w:rPr>
          <w:fldChar w:fldCharType="separate"/>
        </w:r>
        <w:r w:rsidR="00E418DF">
          <w:rPr>
            <w:noProof/>
            <w:webHidden/>
          </w:rPr>
          <w:t>4</w:t>
        </w:r>
        <w:r w:rsidR="00E418DF">
          <w:rPr>
            <w:noProof/>
            <w:webHidden/>
          </w:rPr>
          <w:fldChar w:fldCharType="end"/>
        </w:r>
      </w:hyperlink>
    </w:p>
    <w:p w:rsidR="00DE132D" w14:paraId="5C3E07DE" w14:textId="77777777">
      <w:pPr>
        <w:pStyle w:val="TOC3"/>
        <w:tabs>
          <w:tab w:val="left" w:pos="2160"/>
        </w:tabs>
        <w:rPr>
          <w:rFonts w:asciiTheme="minorHAnsi" w:eastAsiaTheme="minorEastAsia" w:hAnsiTheme="minorHAnsi" w:cstheme="minorBidi"/>
          <w:noProof/>
          <w:sz w:val="22"/>
          <w:szCs w:val="22"/>
        </w:rPr>
      </w:pPr>
      <w:hyperlink w:anchor="_Toc36220257" w:history="1">
        <w:r w:rsidRPr="008F62B5" w:rsidR="00E418DF">
          <w:rPr>
            <w:rStyle w:val="Hyperlink"/>
            <w:noProof/>
          </w:rPr>
          <w:t>B.</w:t>
        </w:r>
        <w:r w:rsidR="00E418DF">
          <w:rPr>
            <w:rFonts w:asciiTheme="minorHAnsi" w:eastAsiaTheme="minorEastAsia" w:hAnsiTheme="minorHAnsi" w:cstheme="minorBidi"/>
            <w:noProof/>
            <w:sz w:val="22"/>
            <w:szCs w:val="22"/>
          </w:rPr>
          <w:tab/>
        </w:r>
        <w:r w:rsidRPr="008F62B5" w:rsidR="00E418DF">
          <w:rPr>
            <w:rStyle w:val="Hyperlink"/>
            <w:noProof/>
          </w:rPr>
          <w:t>Assuming that OCC had the burden of proof in this proceeding (which it did not), the PUCO improperly, unfairly and unlawfully restricted OCC’s ability to prove the violations set forth in the complaints and Staff Report.</w:t>
        </w:r>
        <w:r w:rsidR="00E418DF">
          <w:rPr>
            <w:noProof/>
            <w:webHidden/>
          </w:rPr>
          <w:tab/>
        </w:r>
        <w:r w:rsidR="00E418DF">
          <w:rPr>
            <w:noProof/>
            <w:webHidden/>
          </w:rPr>
          <w:fldChar w:fldCharType="begin"/>
        </w:r>
        <w:r w:rsidR="00E418DF">
          <w:rPr>
            <w:noProof/>
            <w:webHidden/>
          </w:rPr>
          <w:instrText xml:space="preserve"> PAGEREF _Toc36220257 \h </w:instrText>
        </w:r>
        <w:r w:rsidR="00E418DF">
          <w:rPr>
            <w:noProof/>
            <w:webHidden/>
          </w:rPr>
          <w:fldChar w:fldCharType="separate"/>
        </w:r>
        <w:r w:rsidR="00E418DF">
          <w:rPr>
            <w:noProof/>
            <w:webHidden/>
          </w:rPr>
          <w:t>7</w:t>
        </w:r>
        <w:r w:rsidR="00E418DF">
          <w:rPr>
            <w:noProof/>
            <w:webHidden/>
          </w:rPr>
          <w:fldChar w:fldCharType="end"/>
        </w:r>
      </w:hyperlink>
    </w:p>
    <w:p w:rsidR="00DE132D" w14:paraId="52C0A418" w14:textId="77777777">
      <w:pPr>
        <w:pStyle w:val="TOC3"/>
        <w:tabs>
          <w:tab w:val="left" w:pos="2160"/>
        </w:tabs>
        <w:rPr>
          <w:rFonts w:asciiTheme="minorHAnsi" w:eastAsiaTheme="minorEastAsia" w:hAnsiTheme="minorHAnsi" w:cstheme="minorBidi"/>
          <w:noProof/>
          <w:sz w:val="22"/>
          <w:szCs w:val="22"/>
        </w:rPr>
      </w:pPr>
      <w:hyperlink w:anchor="_Toc36220258" w:history="1">
        <w:r w:rsidRPr="008F62B5" w:rsidR="00E418DF">
          <w:rPr>
            <w:rStyle w:val="Hyperlink"/>
            <w:noProof/>
          </w:rPr>
          <w:t>C.</w:t>
        </w:r>
        <w:r w:rsidR="00E418DF">
          <w:rPr>
            <w:rFonts w:asciiTheme="minorHAnsi" w:eastAsiaTheme="minorEastAsia" w:hAnsiTheme="minorHAnsi" w:cstheme="minorBidi"/>
            <w:noProof/>
            <w:sz w:val="22"/>
            <w:szCs w:val="22"/>
          </w:rPr>
          <w:tab/>
        </w:r>
        <w:r w:rsidRPr="008F62B5" w:rsidR="00E418DF">
          <w:rPr>
            <w:rStyle w:val="Hyperlink"/>
            <w:noProof/>
          </w:rPr>
          <w:t>The PUCO erroneously blamed OCC for the lack of evidence about Verde’s bad acts when the PUCO should use its considerable resources, including the call center (which OCC is prohibited by law from having) to obtain and use evidence from Ohio consumers who may lack the resources and experience to participate in PUCO legal proceedings in Columbus.</w:t>
        </w:r>
        <w:r w:rsidR="00E418DF">
          <w:rPr>
            <w:noProof/>
            <w:webHidden/>
          </w:rPr>
          <w:tab/>
        </w:r>
        <w:r w:rsidR="00E418DF">
          <w:rPr>
            <w:noProof/>
            <w:webHidden/>
          </w:rPr>
          <w:fldChar w:fldCharType="begin"/>
        </w:r>
        <w:r w:rsidR="00E418DF">
          <w:rPr>
            <w:noProof/>
            <w:webHidden/>
          </w:rPr>
          <w:instrText xml:space="preserve"> PAGEREF _Toc36220258 \h </w:instrText>
        </w:r>
        <w:r w:rsidR="00E418DF">
          <w:rPr>
            <w:noProof/>
            <w:webHidden/>
          </w:rPr>
          <w:fldChar w:fldCharType="separate"/>
        </w:r>
        <w:r w:rsidR="00E418DF">
          <w:rPr>
            <w:noProof/>
            <w:webHidden/>
          </w:rPr>
          <w:t>10</w:t>
        </w:r>
        <w:r w:rsidR="00E418DF">
          <w:rPr>
            <w:noProof/>
            <w:webHidden/>
          </w:rPr>
          <w:fldChar w:fldCharType="end"/>
        </w:r>
      </w:hyperlink>
    </w:p>
    <w:p w:rsidR="00DE132D" w14:paraId="4363FB65" w14:textId="77777777">
      <w:pPr>
        <w:pStyle w:val="TOC3"/>
        <w:tabs>
          <w:tab w:val="left" w:pos="2160"/>
        </w:tabs>
        <w:rPr>
          <w:rFonts w:asciiTheme="minorHAnsi" w:eastAsiaTheme="minorEastAsia" w:hAnsiTheme="minorHAnsi" w:cstheme="minorBidi"/>
          <w:noProof/>
          <w:sz w:val="22"/>
          <w:szCs w:val="22"/>
        </w:rPr>
      </w:pPr>
      <w:hyperlink w:anchor="_Toc36220259" w:history="1">
        <w:r w:rsidRPr="008F62B5" w:rsidR="00E418DF">
          <w:rPr>
            <w:rStyle w:val="Hyperlink"/>
            <w:noProof/>
          </w:rPr>
          <w:t>D.</w:t>
        </w:r>
        <w:r w:rsidR="00E418DF">
          <w:rPr>
            <w:rFonts w:asciiTheme="minorHAnsi" w:eastAsiaTheme="minorEastAsia" w:hAnsiTheme="minorHAnsi" w:cstheme="minorBidi"/>
            <w:noProof/>
            <w:sz w:val="22"/>
            <w:szCs w:val="22"/>
          </w:rPr>
          <w:tab/>
        </w:r>
        <w:r w:rsidRPr="008F62B5" w:rsidR="00E418DF">
          <w:rPr>
            <w:rStyle w:val="Hyperlink"/>
            <w:noProof/>
          </w:rPr>
          <w:t>The PUCO erred in refusing to consider Verde’s own admissions that it violated the PUCO’s rules.</w:t>
        </w:r>
        <w:r w:rsidR="00E418DF">
          <w:rPr>
            <w:noProof/>
            <w:webHidden/>
          </w:rPr>
          <w:tab/>
        </w:r>
        <w:r w:rsidR="00E418DF">
          <w:rPr>
            <w:noProof/>
            <w:webHidden/>
          </w:rPr>
          <w:fldChar w:fldCharType="begin"/>
        </w:r>
        <w:r w:rsidR="00E418DF">
          <w:rPr>
            <w:noProof/>
            <w:webHidden/>
          </w:rPr>
          <w:instrText xml:space="preserve"> PAGEREF _Toc36220259 \h </w:instrText>
        </w:r>
        <w:r w:rsidR="00E418DF">
          <w:rPr>
            <w:noProof/>
            <w:webHidden/>
          </w:rPr>
          <w:fldChar w:fldCharType="separate"/>
        </w:r>
        <w:r w:rsidR="00E418DF">
          <w:rPr>
            <w:noProof/>
            <w:webHidden/>
          </w:rPr>
          <w:t>13</w:t>
        </w:r>
        <w:r w:rsidR="00E418DF">
          <w:rPr>
            <w:noProof/>
            <w:webHidden/>
          </w:rPr>
          <w:fldChar w:fldCharType="end"/>
        </w:r>
      </w:hyperlink>
    </w:p>
    <w:p w:rsidR="00DE132D" w14:paraId="6DB020E3" w14:textId="77777777">
      <w:pPr>
        <w:pStyle w:val="TOC2"/>
        <w:rPr>
          <w:rFonts w:asciiTheme="minorHAnsi" w:eastAsiaTheme="minorEastAsia" w:hAnsiTheme="minorHAnsi" w:cstheme="minorBidi"/>
          <w:caps w:val="0"/>
          <w:noProof/>
          <w:sz w:val="22"/>
          <w:szCs w:val="22"/>
        </w:rPr>
      </w:pPr>
      <w:hyperlink w:anchor="_Toc36220260" w:history="1">
        <w:r w:rsidRPr="008F62B5" w:rsidR="00E418DF">
          <w:rPr>
            <w:rStyle w:val="Hyperlink"/>
            <w:noProof/>
          </w:rPr>
          <w:t xml:space="preserve">ASSIGNMENT OF ERROR NO. 2: </w:t>
        </w:r>
        <w:r w:rsidRPr="008F62B5" w:rsidR="00F92964">
          <w:rPr>
            <w:rStyle w:val="Hyperlink"/>
            <w:caps w:val="0"/>
            <w:noProof/>
          </w:rPr>
          <w:t xml:space="preserve">The </w:t>
        </w:r>
        <w:r w:rsidRPr="008F62B5" w:rsidR="00E418DF">
          <w:rPr>
            <w:rStyle w:val="Hyperlink"/>
            <w:noProof/>
          </w:rPr>
          <w:t xml:space="preserve">PUCO </w:t>
        </w:r>
        <w:r w:rsidRPr="008F62B5" w:rsidR="00F92964">
          <w:rPr>
            <w:rStyle w:val="Hyperlink"/>
            <w:caps w:val="0"/>
            <w:noProof/>
          </w:rPr>
          <w:t>erred in finding that the settlement was in the public interest and benefits consumers.</w:t>
        </w:r>
        <w:r w:rsidR="00E418DF">
          <w:rPr>
            <w:noProof/>
            <w:webHidden/>
          </w:rPr>
          <w:tab/>
        </w:r>
        <w:r w:rsidR="00E418DF">
          <w:rPr>
            <w:noProof/>
            <w:webHidden/>
          </w:rPr>
          <w:fldChar w:fldCharType="begin"/>
        </w:r>
        <w:r w:rsidR="00E418DF">
          <w:rPr>
            <w:noProof/>
            <w:webHidden/>
          </w:rPr>
          <w:instrText xml:space="preserve"> PAGEREF _Toc36220260 \h </w:instrText>
        </w:r>
        <w:r w:rsidR="00E418DF">
          <w:rPr>
            <w:noProof/>
            <w:webHidden/>
          </w:rPr>
          <w:fldChar w:fldCharType="separate"/>
        </w:r>
        <w:r w:rsidR="00E418DF">
          <w:rPr>
            <w:noProof/>
            <w:webHidden/>
          </w:rPr>
          <w:t>14</w:t>
        </w:r>
        <w:r w:rsidR="00E418DF">
          <w:rPr>
            <w:noProof/>
            <w:webHidden/>
          </w:rPr>
          <w:fldChar w:fldCharType="end"/>
        </w:r>
      </w:hyperlink>
    </w:p>
    <w:p w:rsidR="00DE132D" w14:paraId="18EAA472" w14:textId="77777777">
      <w:pPr>
        <w:pStyle w:val="TOC3"/>
        <w:tabs>
          <w:tab w:val="left" w:pos="2160"/>
        </w:tabs>
        <w:rPr>
          <w:rFonts w:asciiTheme="minorHAnsi" w:eastAsiaTheme="minorEastAsia" w:hAnsiTheme="minorHAnsi" w:cstheme="minorBidi"/>
          <w:noProof/>
          <w:sz w:val="22"/>
          <w:szCs w:val="22"/>
        </w:rPr>
      </w:pPr>
      <w:hyperlink w:anchor="_Toc36220261" w:history="1">
        <w:r w:rsidRPr="008F62B5" w:rsidR="00E418DF">
          <w:rPr>
            <w:rStyle w:val="Hyperlink"/>
            <w:noProof/>
          </w:rPr>
          <w:t>A.</w:t>
        </w:r>
        <w:r w:rsidR="00E418DF">
          <w:rPr>
            <w:rFonts w:asciiTheme="minorHAnsi" w:eastAsiaTheme="minorEastAsia" w:hAnsiTheme="minorHAnsi" w:cstheme="minorBidi"/>
            <w:noProof/>
            <w:sz w:val="22"/>
            <w:szCs w:val="22"/>
          </w:rPr>
          <w:tab/>
        </w:r>
        <w:r w:rsidRPr="008F62B5" w:rsidR="00E418DF">
          <w:rPr>
            <w:rStyle w:val="Hyperlink"/>
            <w:noProof/>
          </w:rPr>
          <w:t>The Settlement is not in the public interest and does not benefit consumers because it required no refunds to the natural gas customers Verde harmed.</w:t>
        </w:r>
        <w:r w:rsidR="00E418DF">
          <w:rPr>
            <w:noProof/>
            <w:webHidden/>
          </w:rPr>
          <w:tab/>
        </w:r>
        <w:r w:rsidR="00E418DF">
          <w:rPr>
            <w:noProof/>
            <w:webHidden/>
          </w:rPr>
          <w:fldChar w:fldCharType="begin"/>
        </w:r>
        <w:r w:rsidR="00E418DF">
          <w:rPr>
            <w:noProof/>
            <w:webHidden/>
          </w:rPr>
          <w:instrText xml:space="preserve"> PAGEREF _Toc36220261 \h </w:instrText>
        </w:r>
        <w:r w:rsidR="00E418DF">
          <w:rPr>
            <w:noProof/>
            <w:webHidden/>
          </w:rPr>
          <w:fldChar w:fldCharType="separate"/>
        </w:r>
        <w:r w:rsidR="00E418DF">
          <w:rPr>
            <w:noProof/>
            <w:webHidden/>
          </w:rPr>
          <w:t>15</w:t>
        </w:r>
        <w:r w:rsidR="00E418DF">
          <w:rPr>
            <w:noProof/>
            <w:webHidden/>
          </w:rPr>
          <w:fldChar w:fldCharType="end"/>
        </w:r>
      </w:hyperlink>
    </w:p>
    <w:p w:rsidR="00DE132D" w14:paraId="7CB3662D" w14:textId="77777777">
      <w:pPr>
        <w:pStyle w:val="TOC3"/>
        <w:tabs>
          <w:tab w:val="left" w:pos="2160"/>
        </w:tabs>
        <w:rPr>
          <w:rFonts w:asciiTheme="minorHAnsi" w:eastAsiaTheme="minorEastAsia" w:hAnsiTheme="minorHAnsi" w:cstheme="minorBidi"/>
          <w:noProof/>
          <w:sz w:val="22"/>
          <w:szCs w:val="22"/>
        </w:rPr>
      </w:pPr>
      <w:hyperlink w:anchor="_Toc36220262" w:history="1">
        <w:r w:rsidRPr="008F62B5" w:rsidR="00E418DF">
          <w:rPr>
            <w:rStyle w:val="Hyperlink"/>
            <w:noProof/>
          </w:rPr>
          <w:t>B.</w:t>
        </w:r>
        <w:r w:rsidR="00E418DF">
          <w:rPr>
            <w:rFonts w:asciiTheme="minorHAnsi" w:eastAsiaTheme="minorEastAsia" w:hAnsiTheme="minorHAnsi" w:cstheme="minorBidi"/>
            <w:noProof/>
            <w:sz w:val="22"/>
            <w:szCs w:val="22"/>
          </w:rPr>
          <w:tab/>
        </w:r>
        <w:r w:rsidRPr="008F62B5" w:rsidR="00E418DF">
          <w:rPr>
            <w:rStyle w:val="Hyperlink"/>
            <w:noProof/>
          </w:rPr>
          <w:t>The Settlement is not in the public interest and does not benefit consumers because it allows “managerially unfit” Verde to continue serving customers in the future and because it allows Verde to serve customers.</w:t>
        </w:r>
        <w:r w:rsidR="00E418DF">
          <w:rPr>
            <w:noProof/>
            <w:webHidden/>
          </w:rPr>
          <w:tab/>
        </w:r>
        <w:r w:rsidR="00E418DF">
          <w:rPr>
            <w:noProof/>
            <w:webHidden/>
          </w:rPr>
          <w:fldChar w:fldCharType="begin"/>
        </w:r>
        <w:r w:rsidR="00E418DF">
          <w:rPr>
            <w:noProof/>
            <w:webHidden/>
          </w:rPr>
          <w:instrText xml:space="preserve"> PAGEREF _Toc36220262 \h </w:instrText>
        </w:r>
        <w:r w:rsidR="00E418DF">
          <w:rPr>
            <w:noProof/>
            <w:webHidden/>
          </w:rPr>
          <w:fldChar w:fldCharType="separate"/>
        </w:r>
        <w:r w:rsidR="00E418DF">
          <w:rPr>
            <w:noProof/>
            <w:webHidden/>
          </w:rPr>
          <w:t>17</w:t>
        </w:r>
        <w:r w:rsidR="00E418DF">
          <w:rPr>
            <w:noProof/>
            <w:webHidden/>
          </w:rPr>
          <w:fldChar w:fldCharType="end"/>
        </w:r>
      </w:hyperlink>
    </w:p>
    <w:p w:rsidR="00DE132D" w14:paraId="0963D878" w14:textId="77777777">
      <w:pPr>
        <w:pStyle w:val="TOC3"/>
        <w:tabs>
          <w:tab w:val="left" w:pos="2160"/>
        </w:tabs>
        <w:rPr>
          <w:rFonts w:asciiTheme="minorHAnsi" w:eastAsiaTheme="minorEastAsia" w:hAnsiTheme="minorHAnsi" w:cstheme="minorBidi"/>
          <w:noProof/>
          <w:sz w:val="22"/>
          <w:szCs w:val="22"/>
        </w:rPr>
      </w:pPr>
      <w:hyperlink w:anchor="_Toc36220263" w:history="1">
        <w:r w:rsidRPr="008F62B5" w:rsidR="00E418DF">
          <w:rPr>
            <w:rStyle w:val="Hyperlink"/>
            <w:noProof/>
          </w:rPr>
          <w:t>C.</w:t>
        </w:r>
        <w:r w:rsidR="00E418DF">
          <w:rPr>
            <w:rFonts w:asciiTheme="minorHAnsi" w:eastAsiaTheme="minorEastAsia" w:hAnsiTheme="minorHAnsi" w:cstheme="minorBidi"/>
            <w:noProof/>
            <w:sz w:val="22"/>
            <w:szCs w:val="22"/>
          </w:rPr>
          <w:tab/>
        </w:r>
        <w:r w:rsidRPr="008F62B5" w:rsidR="00E418DF">
          <w:rPr>
            <w:rStyle w:val="Hyperlink"/>
            <w:noProof/>
          </w:rPr>
          <w:t>The Settlement is not in the public interest and does not benefit consumers because the $675,000 forfeiture is insufficient for Verde’s bad acts against Ohioans and insufficient to deter Verde from engaging in future customer abuse.</w:t>
        </w:r>
        <w:r w:rsidR="00E418DF">
          <w:rPr>
            <w:noProof/>
            <w:webHidden/>
          </w:rPr>
          <w:tab/>
        </w:r>
        <w:r w:rsidR="00E418DF">
          <w:rPr>
            <w:noProof/>
            <w:webHidden/>
          </w:rPr>
          <w:fldChar w:fldCharType="begin"/>
        </w:r>
        <w:r w:rsidR="00E418DF">
          <w:rPr>
            <w:noProof/>
            <w:webHidden/>
          </w:rPr>
          <w:instrText xml:space="preserve"> PAGEREF _Toc36220263 \h </w:instrText>
        </w:r>
        <w:r w:rsidR="00E418DF">
          <w:rPr>
            <w:noProof/>
            <w:webHidden/>
          </w:rPr>
          <w:fldChar w:fldCharType="separate"/>
        </w:r>
        <w:r w:rsidR="00E418DF">
          <w:rPr>
            <w:noProof/>
            <w:webHidden/>
          </w:rPr>
          <w:t>19</w:t>
        </w:r>
        <w:r w:rsidR="00E418DF">
          <w:rPr>
            <w:noProof/>
            <w:webHidden/>
          </w:rPr>
          <w:fldChar w:fldCharType="end"/>
        </w:r>
      </w:hyperlink>
    </w:p>
    <w:p w:rsidR="00DE132D" w14:paraId="56741A7B" w14:textId="77777777">
      <w:pPr>
        <w:pStyle w:val="TOC2"/>
        <w:rPr>
          <w:rFonts w:asciiTheme="minorHAnsi" w:eastAsiaTheme="minorEastAsia" w:hAnsiTheme="minorHAnsi" w:cstheme="minorBidi"/>
          <w:caps w:val="0"/>
          <w:noProof/>
          <w:sz w:val="22"/>
          <w:szCs w:val="22"/>
        </w:rPr>
      </w:pPr>
      <w:hyperlink w:anchor="_Toc36220264" w:history="1">
        <w:r w:rsidRPr="008F62B5" w:rsidR="00E418DF">
          <w:rPr>
            <w:rStyle w:val="Hyperlink"/>
            <w:noProof/>
          </w:rPr>
          <w:t xml:space="preserve">ASSIGNMENT OF ERROR NO. 3: </w:t>
        </w:r>
        <w:r w:rsidRPr="008F62B5" w:rsidR="00F92964">
          <w:rPr>
            <w:rStyle w:val="Hyperlink"/>
            <w:caps w:val="0"/>
            <w:noProof/>
          </w:rPr>
          <w:t xml:space="preserve">The </w:t>
        </w:r>
        <w:r w:rsidRPr="008F62B5" w:rsidR="00E418DF">
          <w:rPr>
            <w:rStyle w:val="Hyperlink"/>
            <w:noProof/>
          </w:rPr>
          <w:t xml:space="preserve">PUCO </w:t>
        </w:r>
        <w:r w:rsidRPr="008F62B5" w:rsidR="00F92964">
          <w:rPr>
            <w:rStyle w:val="Hyperlink"/>
            <w:caps w:val="0"/>
            <w:noProof/>
          </w:rPr>
          <w:t>erred in approving a settlement that violates important regulatory principles</w:t>
        </w:r>
        <w:r w:rsidRPr="008F62B5" w:rsidR="00E418DF">
          <w:rPr>
            <w:rStyle w:val="Hyperlink"/>
            <w:noProof/>
          </w:rPr>
          <w:t>.</w:t>
        </w:r>
        <w:r w:rsidR="00E418DF">
          <w:rPr>
            <w:noProof/>
            <w:webHidden/>
          </w:rPr>
          <w:tab/>
        </w:r>
        <w:r w:rsidR="00E418DF">
          <w:rPr>
            <w:noProof/>
            <w:webHidden/>
          </w:rPr>
          <w:fldChar w:fldCharType="begin"/>
        </w:r>
        <w:r w:rsidR="00E418DF">
          <w:rPr>
            <w:noProof/>
            <w:webHidden/>
          </w:rPr>
          <w:instrText xml:space="preserve"> PAGEREF _Toc36220264 \h </w:instrText>
        </w:r>
        <w:r w:rsidR="00E418DF">
          <w:rPr>
            <w:noProof/>
            <w:webHidden/>
          </w:rPr>
          <w:fldChar w:fldCharType="separate"/>
        </w:r>
        <w:r w:rsidR="00E418DF">
          <w:rPr>
            <w:noProof/>
            <w:webHidden/>
          </w:rPr>
          <w:t>22</w:t>
        </w:r>
        <w:r w:rsidR="00E418DF">
          <w:rPr>
            <w:noProof/>
            <w:webHidden/>
          </w:rPr>
          <w:fldChar w:fldCharType="end"/>
        </w:r>
      </w:hyperlink>
    </w:p>
    <w:p w:rsidR="00DE132D" w14:paraId="3F28C4F0" w14:textId="77777777">
      <w:pPr>
        <w:pStyle w:val="TOC3"/>
        <w:tabs>
          <w:tab w:val="left" w:pos="2160"/>
        </w:tabs>
        <w:rPr>
          <w:rFonts w:asciiTheme="minorHAnsi" w:eastAsiaTheme="minorEastAsia" w:hAnsiTheme="minorHAnsi" w:cstheme="minorBidi"/>
          <w:noProof/>
          <w:sz w:val="22"/>
          <w:szCs w:val="22"/>
        </w:rPr>
      </w:pPr>
      <w:hyperlink w:anchor="_Toc36220265" w:history="1">
        <w:r w:rsidRPr="008F62B5" w:rsidR="00E418DF">
          <w:rPr>
            <w:rStyle w:val="Hyperlink"/>
            <w:noProof/>
          </w:rPr>
          <w:t>A.</w:t>
        </w:r>
        <w:r w:rsidR="00E418DF">
          <w:rPr>
            <w:rFonts w:asciiTheme="minorHAnsi" w:eastAsiaTheme="minorEastAsia" w:hAnsiTheme="minorHAnsi" w:cstheme="minorBidi"/>
            <w:noProof/>
            <w:sz w:val="22"/>
            <w:szCs w:val="22"/>
          </w:rPr>
          <w:tab/>
        </w:r>
        <w:r w:rsidRPr="008F62B5" w:rsidR="00E418DF">
          <w:rPr>
            <w:rStyle w:val="Hyperlink"/>
            <w:noProof/>
          </w:rPr>
          <w:t>The PUCO erred by failing to ban Verde from Ohio for violations of law and regulations against the spoofing of Caller ID information to deceive Ohioans.</w:t>
        </w:r>
        <w:r w:rsidR="00E418DF">
          <w:rPr>
            <w:noProof/>
            <w:webHidden/>
          </w:rPr>
          <w:tab/>
        </w:r>
        <w:r w:rsidR="00E418DF">
          <w:rPr>
            <w:noProof/>
            <w:webHidden/>
          </w:rPr>
          <w:fldChar w:fldCharType="begin"/>
        </w:r>
        <w:r w:rsidR="00E418DF">
          <w:rPr>
            <w:noProof/>
            <w:webHidden/>
          </w:rPr>
          <w:instrText xml:space="preserve"> PAGEREF _Toc36220265 \h </w:instrText>
        </w:r>
        <w:r w:rsidR="00E418DF">
          <w:rPr>
            <w:noProof/>
            <w:webHidden/>
          </w:rPr>
          <w:fldChar w:fldCharType="separate"/>
        </w:r>
        <w:r w:rsidR="00E418DF">
          <w:rPr>
            <w:noProof/>
            <w:webHidden/>
          </w:rPr>
          <w:t>23</w:t>
        </w:r>
        <w:r w:rsidR="00E418DF">
          <w:rPr>
            <w:noProof/>
            <w:webHidden/>
          </w:rPr>
          <w:fldChar w:fldCharType="end"/>
        </w:r>
      </w:hyperlink>
    </w:p>
    <w:p w:rsidR="00DE132D" w14:paraId="1A180661" w14:textId="77777777">
      <w:pPr>
        <w:pStyle w:val="TOC2"/>
        <w:rPr>
          <w:rFonts w:asciiTheme="minorHAnsi" w:eastAsiaTheme="minorEastAsia" w:hAnsiTheme="minorHAnsi" w:cstheme="minorBidi"/>
          <w:caps w:val="0"/>
          <w:noProof/>
          <w:sz w:val="22"/>
          <w:szCs w:val="22"/>
        </w:rPr>
      </w:pPr>
      <w:hyperlink w:anchor="_Toc36220266" w:history="1">
        <w:r w:rsidRPr="008F62B5" w:rsidR="00E418DF">
          <w:rPr>
            <w:rStyle w:val="Hyperlink"/>
            <w:noProof/>
          </w:rPr>
          <w:t xml:space="preserve">ASSIGNMENT OF ERROR NO. 4: </w:t>
        </w:r>
        <w:r w:rsidRPr="008F62B5" w:rsidR="00F92964">
          <w:rPr>
            <w:rStyle w:val="Hyperlink"/>
            <w:caps w:val="0"/>
            <w:noProof/>
          </w:rPr>
          <w:t xml:space="preserve">The </w:t>
        </w:r>
        <w:r w:rsidRPr="008F62B5" w:rsidR="00E418DF">
          <w:rPr>
            <w:rStyle w:val="Hyperlink"/>
            <w:noProof/>
          </w:rPr>
          <w:t xml:space="preserve">PUCO </w:t>
        </w:r>
        <w:r w:rsidRPr="008F62B5" w:rsidR="00F92964">
          <w:rPr>
            <w:rStyle w:val="Hyperlink"/>
            <w:caps w:val="0"/>
            <w:noProof/>
          </w:rPr>
          <w:t xml:space="preserve">erred in approving the settlement without implementing needed guardrails around </w:t>
        </w:r>
        <w:r w:rsidR="00F92964">
          <w:rPr>
            <w:rStyle w:val="Hyperlink"/>
            <w:caps w:val="0"/>
            <w:noProof/>
          </w:rPr>
          <w:t>V</w:t>
        </w:r>
        <w:r w:rsidRPr="008F62B5" w:rsidR="00F92964">
          <w:rPr>
            <w:rStyle w:val="Hyperlink"/>
            <w:caps w:val="0"/>
            <w:noProof/>
          </w:rPr>
          <w:t>erde’s business practices that would protect consumers and further the public interest</w:t>
        </w:r>
        <w:r w:rsidRPr="008F62B5" w:rsidR="00E418DF">
          <w:rPr>
            <w:rStyle w:val="Hyperlink"/>
            <w:noProof/>
          </w:rPr>
          <w:t>.</w:t>
        </w:r>
        <w:r w:rsidR="00E418DF">
          <w:rPr>
            <w:noProof/>
            <w:webHidden/>
          </w:rPr>
          <w:tab/>
        </w:r>
        <w:r w:rsidR="00E418DF">
          <w:rPr>
            <w:noProof/>
            <w:webHidden/>
          </w:rPr>
          <w:fldChar w:fldCharType="begin"/>
        </w:r>
        <w:r w:rsidR="00E418DF">
          <w:rPr>
            <w:noProof/>
            <w:webHidden/>
          </w:rPr>
          <w:instrText xml:space="preserve"> PAGEREF _Toc36220266 \h </w:instrText>
        </w:r>
        <w:r w:rsidR="00E418DF">
          <w:rPr>
            <w:noProof/>
            <w:webHidden/>
          </w:rPr>
          <w:fldChar w:fldCharType="separate"/>
        </w:r>
        <w:r w:rsidR="00E418DF">
          <w:rPr>
            <w:noProof/>
            <w:webHidden/>
          </w:rPr>
          <w:t>24</w:t>
        </w:r>
        <w:r w:rsidR="00E418DF">
          <w:rPr>
            <w:noProof/>
            <w:webHidden/>
          </w:rPr>
          <w:fldChar w:fldCharType="end"/>
        </w:r>
      </w:hyperlink>
    </w:p>
    <w:p w:rsidR="00DE132D" w14:paraId="26B96CE4" w14:textId="77777777">
      <w:pPr>
        <w:pStyle w:val="TOC1"/>
        <w:rPr>
          <w:rFonts w:asciiTheme="minorHAnsi" w:eastAsiaTheme="minorEastAsia" w:hAnsiTheme="minorHAnsi" w:cstheme="minorBidi"/>
          <w:caps w:val="0"/>
          <w:sz w:val="22"/>
          <w:szCs w:val="22"/>
        </w:rPr>
      </w:pPr>
      <w:hyperlink w:anchor="_Toc36220267" w:history="1">
        <w:r w:rsidRPr="008F62B5" w:rsidR="00E418DF">
          <w:rPr>
            <w:rStyle w:val="Hyperlink"/>
          </w:rPr>
          <w:t>IV.</w:t>
        </w:r>
        <w:r w:rsidR="00E418DF">
          <w:rPr>
            <w:rFonts w:asciiTheme="minorHAnsi" w:eastAsiaTheme="minorEastAsia" w:hAnsiTheme="minorHAnsi" w:cstheme="minorBidi"/>
            <w:caps w:val="0"/>
            <w:sz w:val="22"/>
            <w:szCs w:val="22"/>
          </w:rPr>
          <w:tab/>
        </w:r>
        <w:r w:rsidRPr="008F62B5" w:rsidR="00E418DF">
          <w:rPr>
            <w:rStyle w:val="Hyperlink"/>
          </w:rPr>
          <w:t>CONCLUSION</w:t>
        </w:r>
        <w:r w:rsidR="00E418DF">
          <w:rPr>
            <w:webHidden/>
          </w:rPr>
          <w:tab/>
        </w:r>
        <w:r w:rsidR="00E418DF">
          <w:rPr>
            <w:webHidden/>
          </w:rPr>
          <w:fldChar w:fldCharType="begin"/>
        </w:r>
        <w:r w:rsidR="00E418DF">
          <w:rPr>
            <w:webHidden/>
          </w:rPr>
          <w:instrText xml:space="preserve"> PAGEREF _Toc36220267 \h </w:instrText>
        </w:r>
        <w:r w:rsidR="00E418DF">
          <w:rPr>
            <w:webHidden/>
          </w:rPr>
          <w:fldChar w:fldCharType="separate"/>
        </w:r>
        <w:r w:rsidR="00E418DF">
          <w:rPr>
            <w:webHidden/>
          </w:rPr>
          <w:t>31</w:t>
        </w:r>
        <w:r w:rsidR="00E418DF">
          <w:rPr>
            <w:webHidden/>
          </w:rPr>
          <w:fldChar w:fldCharType="end"/>
        </w:r>
      </w:hyperlink>
    </w:p>
    <w:p w:rsidR="00BA0652" w:rsidRPr="00BA0652" w:rsidP="00BA0652" w14:paraId="32931C67" w14:textId="77777777">
      <w:pPr>
        <w:jc w:val="right"/>
        <w:rPr>
          <w:b/>
        </w:rPr>
      </w:pPr>
      <w:r>
        <w:rPr>
          <w:b/>
        </w:rPr>
        <w:fldChar w:fldCharType="end"/>
      </w:r>
    </w:p>
    <w:p w:rsidR="00880052" w:rsidP="00880052" w14:paraId="50B57063" w14:textId="77777777">
      <w:pPr>
        <w:jc w:val="center"/>
        <w:rPr>
          <w:b/>
          <w:u w:val="single"/>
        </w:rPr>
      </w:pPr>
    </w:p>
    <w:p w:rsidR="009C33B7" w:rsidRPr="003F5315" w:rsidP="00880052" w14:paraId="5BA55F0E" w14:textId="77777777">
      <w:pPr>
        <w:pStyle w:val="HTMLPreformatted"/>
        <w:jc w:val="center"/>
        <w:rPr>
          <w:rFonts w:ascii="Times New Roman" w:hAnsi="Times New Roman" w:cs="Times New Roman"/>
          <w:b/>
          <w:bCs/>
          <w:sz w:val="24"/>
          <w:szCs w:val="24"/>
        </w:rPr>
        <w:sectPr w:rsidSect="009C1D70">
          <w:footerReference w:type="default" r:id="rId11"/>
          <w:footerReference w:type="first" r:id="rId12"/>
          <w:pgSz w:w="12240" w:h="15840" w:code="1"/>
          <w:pgMar w:top="1620" w:right="1800" w:bottom="1440" w:left="1800" w:header="450" w:footer="720" w:gutter="0"/>
          <w:pgNumType w:fmt="lowerRoman" w:start="1"/>
          <w:cols w:space="720"/>
          <w:titlePg/>
          <w:docGrid w:linePitch="326"/>
        </w:sectPr>
      </w:pPr>
    </w:p>
    <w:p w:rsidR="00AA6345" w:rsidRPr="003F5315" w:rsidP="00AA6345" w14:paraId="723C74CC" w14:textId="77777777">
      <w:pPr>
        <w:pStyle w:val="HTMLPreformatted"/>
        <w:jc w:val="center"/>
        <w:rPr>
          <w:rFonts w:ascii="Times New Roman" w:hAnsi="Times New Roman" w:cs="Times New Roman"/>
          <w:b/>
          <w:bCs/>
          <w:sz w:val="24"/>
          <w:szCs w:val="24"/>
        </w:rPr>
      </w:pPr>
      <w:r w:rsidRPr="003F5315">
        <w:rPr>
          <w:rFonts w:ascii="Times New Roman" w:hAnsi="Times New Roman" w:cs="Times New Roman"/>
          <w:b/>
          <w:bCs/>
          <w:sz w:val="24"/>
          <w:szCs w:val="24"/>
        </w:rPr>
        <w:t>BEFORE</w:t>
      </w:r>
    </w:p>
    <w:p w:rsidR="00AA6345" w:rsidRPr="003F5315" w:rsidP="00AA6345" w14:paraId="1459B8B6" w14:textId="77777777">
      <w:pPr>
        <w:pStyle w:val="HTMLPreformatted"/>
        <w:jc w:val="center"/>
        <w:rPr>
          <w:rFonts w:ascii="Times New Roman" w:hAnsi="Times New Roman" w:cs="Times New Roman"/>
          <w:b/>
          <w:bCs/>
          <w:sz w:val="24"/>
          <w:szCs w:val="24"/>
        </w:rPr>
      </w:pPr>
      <w:r w:rsidRPr="003F5315">
        <w:rPr>
          <w:rFonts w:ascii="Times New Roman" w:hAnsi="Times New Roman" w:cs="Times New Roman"/>
          <w:b/>
          <w:bCs/>
          <w:sz w:val="24"/>
          <w:szCs w:val="24"/>
        </w:rPr>
        <w:t>THE PUBLIC UTILITIES COMMISSION OF OHIO</w:t>
      </w:r>
    </w:p>
    <w:p w:rsidR="00AA6345" w:rsidRPr="003F5315" w:rsidP="00AA6345" w14:paraId="510FE8AC" w14:textId="77777777">
      <w:pPr>
        <w:pStyle w:val="HTMLPreformatted"/>
        <w:jc w:val="center"/>
        <w:rPr>
          <w:rFonts w:ascii="Times New Roman" w:hAnsi="Times New Roman" w:cs="Times New Roman"/>
          <w:b/>
          <w:bCs/>
          <w:sz w:val="24"/>
          <w:szCs w:val="24"/>
        </w:rPr>
      </w:pPr>
    </w:p>
    <w:tbl>
      <w:tblPr>
        <w:tblW w:w="8910" w:type="dxa"/>
        <w:jc w:val="center"/>
        <w:tblLook w:val="01E0"/>
      </w:tblPr>
      <w:tblGrid>
        <w:gridCol w:w="4408"/>
        <w:gridCol w:w="296"/>
        <w:gridCol w:w="4206"/>
      </w:tblGrid>
      <w:tr w14:paraId="6C7BBC09" w14:textId="77777777" w:rsidTr="0054336E">
        <w:tblPrEx>
          <w:tblW w:w="8910" w:type="dxa"/>
          <w:jc w:val="center"/>
          <w:tblLook w:val="01E0"/>
        </w:tblPrEx>
        <w:trPr>
          <w:trHeight w:val="807"/>
          <w:jc w:val="center"/>
        </w:trPr>
        <w:tc>
          <w:tcPr>
            <w:tcW w:w="4408" w:type="dxa"/>
            <w:shd w:val="clear" w:color="auto" w:fill="auto"/>
          </w:tcPr>
          <w:p w:rsidR="00AA6345" w:rsidRPr="003F5315" w:rsidP="0054336E" w14:paraId="6A5DDE0E" w14:textId="77777777">
            <w:pPr>
              <w:autoSpaceDE w:val="0"/>
              <w:autoSpaceDN w:val="0"/>
              <w:adjustRightInd w:val="0"/>
            </w:pPr>
            <w:r w:rsidRPr="003F5315">
              <w:rPr>
                <w:rFonts w:eastAsiaTheme="minorHAnsi"/>
              </w:rPr>
              <w:t xml:space="preserve">In the Matter of the Commission’s Investigation into </w:t>
            </w:r>
            <w:r w:rsidR="00732EFD">
              <w:rPr>
                <w:rFonts w:eastAsiaTheme="minorHAnsi"/>
              </w:rPr>
              <w:t>Verde Energy USA Ohio</w:t>
            </w:r>
            <w:r w:rsidRPr="003F5315">
              <w:rPr>
                <w:rFonts w:eastAsiaTheme="minorHAnsi"/>
              </w:rPr>
              <w:t>, LLC</w:t>
            </w:r>
            <w:r w:rsidR="00732EFD">
              <w:rPr>
                <w:rFonts w:eastAsiaTheme="minorHAnsi"/>
              </w:rPr>
              <w:t>’s</w:t>
            </w:r>
            <w:r w:rsidRPr="003F5315">
              <w:rPr>
                <w:rFonts w:eastAsiaTheme="minorHAnsi"/>
              </w:rPr>
              <w:t xml:space="preserve"> Compliance with the Ohio Administrative Code and Potential Remedial Actions for Non-Compliance.</w:t>
            </w:r>
          </w:p>
        </w:tc>
        <w:tc>
          <w:tcPr>
            <w:tcW w:w="296" w:type="dxa"/>
            <w:shd w:val="clear" w:color="auto" w:fill="auto"/>
          </w:tcPr>
          <w:p w:rsidR="00AA6345" w:rsidRPr="003F5315" w:rsidP="0054336E" w14:paraId="2E1CBB8B"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AA6345" w:rsidRPr="003F5315" w:rsidP="0054336E" w14:paraId="1F539206"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AA6345" w:rsidRPr="003F5315" w:rsidP="0054336E" w14:paraId="6415B171"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AA6345" w:rsidRPr="003F5315" w:rsidP="0054336E" w14:paraId="2F451DE9"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AA6345" w:rsidRPr="003F5315" w:rsidP="0010733A" w14:paraId="09992FAA"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tc>
        <w:tc>
          <w:tcPr>
            <w:tcW w:w="4206" w:type="dxa"/>
            <w:shd w:val="clear" w:color="auto" w:fill="auto"/>
          </w:tcPr>
          <w:p w:rsidR="00AA6345" w:rsidRPr="003F5315" w:rsidP="0054336E" w14:paraId="54C65331" w14:textId="77777777">
            <w:pPr>
              <w:pStyle w:val="HTMLPreformatted"/>
              <w:rPr>
                <w:rFonts w:ascii="Times New Roman" w:hAnsi="Times New Roman" w:cs="Times New Roman"/>
                <w:sz w:val="24"/>
                <w:szCs w:val="24"/>
              </w:rPr>
            </w:pPr>
          </w:p>
          <w:p w:rsidR="00AA6345" w:rsidRPr="003F5315" w:rsidP="0054336E" w14:paraId="57724EC0"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 xml:space="preserve">Case No. </w:t>
            </w:r>
            <w:r w:rsidRPr="003F5315">
              <w:rPr>
                <w:rFonts w:ascii="Times New Roman" w:eastAsia="Courier New" w:hAnsi="Times New Roman" w:cs="Times New Roman"/>
                <w:sz w:val="24"/>
                <w:szCs w:val="24"/>
              </w:rPr>
              <w:t>19-95</w:t>
            </w:r>
            <w:r>
              <w:rPr>
                <w:rFonts w:ascii="Times New Roman" w:eastAsia="Courier New" w:hAnsi="Times New Roman" w:cs="Times New Roman"/>
                <w:sz w:val="24"/>
                <w:szCs w:val="24"/>
              </w:rPr>
              <w:t>8</w:t>
            </w:r>
            <w:r w:rsidRPr="003F5315">
              <w:rPr>
                <w:rFonts w:ascii="Times New Roman" w:eastAsia="Courier New" w:hAnsi="Times New Roman" w:cs="Times New Roman"/>
                <w:sz w:val="24"/>
                <w:szCs w:val="24"/>
              </w:rPr>
              <w:t>-GE-COI</w:t>
            </w:r>
          </w:p>
          <w:p w:rsidR="00AA6345" w:rsidRPr="003F5315" w:rsidP="0054336E" w14:paraId="5743EE52" w14:textId="77777777">
            <w:pPr>
              <w:pStyle w:val="HTMLPreformatted"/>
              <w:rPr>
                <w:rFonts w:ascii="Times New Roman" w:hAnsi="Times New Roman" w:cs="Times New Roman"/>
                <w:sz w:val="24"/>
                <w:szCs w:val="24"/>
              </w:rPr>
            </w:pPr>
          </w:p>
          <w:p w:rsidR="00AA6345" w:rsidRPr="003F5315" w:rsidP="0054336E" w14:paraId="641AA012" w14:textId="77777777">
            <w:pPr>
              <w:pStyle w:val="HTMLPreformatted"/>
              <w:rPr>
                <w:rFonts w:ascii="Times New Roman" w:hAnsi="Times New Roman" w:cs="Times New Roman"/>
                <w:sz w:val="24"/>
                <w:szCs w:val="24"/>
              </w:rPr>
            </w:pPr>
          </w:p>
        </w:tc>
      </w:tr>
    </w:tbl>
    <w:p w:rsidR="00720F2D" w:rsidRPr="003F5315" w:rsidP="00720F2D" w14:paraId="61E99BE1" w14:textId="77777777">
      <w:pPr>
        <w:pStyle w:val="BodyText"/>
        <w:pBdr>
          <w:bottom w:val="single" w:sz="8" w:space="1" w:color="000000"/>
        </w:pBdr>
      </w:pPr>
    </w:p>
    <w:p w:rsidR="00AA6345" w:rsidRPr="003F5315" w:rsidP="00720F2D" w14:paraId="5A0DF542" w14:textId="77777777">
      <w:pPr>
        <w:pStyle w:val="HTMLPreformatted"/>
        <w:rPr>
          <w:rFonts w:ascii="Times New Roman" w:hAnsi="Times New Roman" w:cs="Times New Roman"/>
          <w:sz w:val="24"/>
          <w:szCs w:val="24"/>
        </w:rPr>
      </w:pPr>
    </w:p>
    <w:p w:rsidR="008970EB" w:rsidRPr="003F5315" w:rsidP="008970EB" w14:paraId="6486BBBE" w14:textId="77777777">
      <w:pPr>
        <w:jc w:val="center"/>
        <w:rPr>
          <w:rFonts w:asciiTheme="majorBidi" w:hAnsiTheme="majorBidi" w:cstheme="majorBidi"/>
          <w:b/>
        </w:rPr>
      </w:pPr>
      <w:r w:rsidRPr="003F5315">
        <w:rPr>
          <w:rFonts w:asciiTheme="majorBidi" w:hAnsiTheme="majorBidi" w:cstheme="majorBidi"/>
          <w:b/>
        </w:rPr>
        <w:t>APPLICATION FOR REHEARING</w:t>
      </w:r>
    </w:p>
    <w:p w:rsidR="008970EB" w:rsidRPr="003F5315" w:rsidP="008970EB" w14:paraId="1FDD4EE7" w14:textId="77777777">
      <w:pPr>
        <w:pStyle w:val="BodyText"/>
        <w:spacing w:after="0"/>
        <w:jc w:val="center"/>
        <w:rPr>
          <w:b/>
        </w:rPr>
      </w:pPr>
      <w:r w:rsidRPr="003F5315">
        <w:rPr>
          <w:b/>
        </w:rPr>
        <w:t>BY</w:t>
      </w:r>
    </w:p>
    <w:p w:rsidR="008970EB" w:rsidRPr="003F5315" w:rsidP="008970EB" w14:paraId="0828B675" w14:textId="77777777">
      <w:pPr>
        <w:pStyle w:val="BodyText"/>
        <w:spacing w:after="0" w:line="360" w:lineRule="auto"/>
        <w:jc w:val="center"/>
        <w:rPr>
          <w:b/>
        </w:rPr>
      </w:pPr>
      <w:r w:rsidRPr="003F5315">
        <w:rPr>
          <w:b/>
        </w:rPr>
        <w:t>THE OFFICE OF THE OHIO CONSUMERS’ COUNSEL</w:t>
      </w:r>
    </w:p>
    <w:p w:rsidR="00720F2D" w:rsidRPr="003F5315" w:rsidP="00720F2D" w14:paraId="1CEC655F" w14:textId="77777777">
      <w:pPr>
        <w:pStyle w:val="BodyText"/>
        <w:pBdr>
          <w:bottom w:val="single" w:sz="8" w:space="1" w:color="000000"/>
        </w:pBdr>
      </w:pPr>
    </w:p>
    <w:bookmarkEnd w:id="1"/>
    <w:bookmarkEnd w:id="2"/>
    <w:bookmarkEnd w:id="3"/>
    <w:bookmarkEnd w:id="4"/>
    <w:bookmarkEnd w:id="5"/>
    <w:bookmarkEnd w:id="6"/>
    <w:p w:rsidR="000D10C9" w:rsidP="000D10C9" w14:paraId="33F9B033" w14:textId="77777777">
      <w:pPr>
        <w:tabs>
          <w:tab w:val="left" w:pos="720"/>
          <w:tab w:val="left" w:pos="1440"/>
          <w:tab w:val="left" w:leader="dot" w:pos="8640"/>
        </w:tabs>
        <w:jc w:val="both"/>
      </w:pPr>
    </w:p>
    <w:p w:rsidR="001B42E1" w:rsidP="00A76AA4" w14:paraId="0CE96155" w14:textId="77777777">
      <w:pPr>
        <w:tabs>
          <w:tab w:val="left" w:pos="720"/>
          <w:tab w:val="left" w:pos="1440"/>
          <w:tab w:val="left" w:leader="dot" w:pos="8640"/>
        </w:tabs>
        <w:spacing w:line="480" w:lineRule="auto"/>
        <w:ind w:firstLine="720"/>
      </w:pPr>
      <w:r>
        <w:t xml:space="preserve">The PUCO Staff found energy marketer Verde to be </w:t>
      </w:r>
      <w:r w:rsidRPr="003F5315">
        <w:t>“managerially unfit to provide competitive services in</w:t>
      </w:r>
      <w:r>
        <w:t xml:space="preserve"> the state</w:t>
      </w:r>
      <w:r w:rsidRPr="003F5315">
        <w:t>.”</w:t>
      </w:r>
      <w:r>
        <w:rPr>
          <w:rStyle w:val="FootnoteReference"/>
        </w:rPr>
        <w:footnoteReference w:id="2"/>
      </w:r>
      <w:r w:rsidR="00770633">
        <w:t xml:space="preserve"> The Staff is correct.</w:t>
      </w:r>
      <w:r w:rsidRPr="003F5315">
        <w:t xml:space="preserve"> </w:t>
      </w:r>
      <w:r w:rsidR="005E58BF">
        <w:t>O</w:t>
      </w:r>
      <w:r>
        <w:t>n April 16, 2019, the PUCO Staff filed a letter in Verde’s certification dockets,</w:t>
      </w:r>
      <w:r>
        <w:rPr>
          <w:rStyle w:val="FootnoteReference"/>
        </w:rPr>
        <w:footnoteReference w:id="3"/>
      </w:r>
      <w:r>
        <w:t xml:space="preserve"> </w:t>
      </w:r>
      <w:r w:rsidR="005E58BF">
        <w:t>asserting</w:t>
      </w:r>
      <w:r>
        <w:t xml:space="preserve"> that Verde had engaged in misleading and deceptive practices to market and enroll customers and had violated several PUCO rules in the process.</w:t>
      </w:r>
      <w:r w:rsidR="00C36C81">
        <w:t xml:space="preserve"> </w:t>
      </w:r>
      <w:r>
        <w:t>Rather than</w:t>
      </w:r>
      <w:r w:rsidR="001558BC">
        <w:t xml:space="preserve"> allowing </w:t>
      </w:r>
      <w:r>
        <w:t>Verde a second chance</w:t>
      </w:r>
      <w:r w:rsidR="001558BC">
        <w:t xml:space="preserve"> to market to </w:t>
      </w:r>
      <w:r>
        <w:t xml:space="preserve">Ohioans, the PUCO should have kicked Verde out of the state. </w:t>
      </w:r>
      <w:r w:rsidR="007A2958">
        <w:t>In this year of the health pandemic,</w:t>
      </w:r>
      <w:r w:rsidR="006211D0">
        <w:t xml:space="preserve"> with Ohioans stressed and at home,</w:t>
      </w:r>
      <w:r w:rsidR="007A2958">
        <w:t xml:space="preserve"> we cannot think of a worse company in the realm of utility services</w:t>
      </w:r>
      <w:r w:rsidR="00A53AA3">
        <w:t xml:space="preserve"> (unless it’s PALMco)</w:t>
      </w:r>
      <w:r w:rsidR="007A2958">
        <w:t xml:space="preserve"> to unleash on the good people of Ohio – but Verde will be back marketing energy to Ohioans in October of this year. Yikes!</w:t>
      </w:r>
    </w:p>
    <w:p w:rsidR="007D350C" w:rsidP="00614587" w14:paraId="7047B452" w14:textId="77777777">
      <w:pPr>
        <w:tabs>
          <w:tab w:val="left" w:pos="720"/>
          <w:tab w:val="left" w:pos="1440"/>
          <w:tab w:val="left" w:leader="dot" w:pos="8640"/>
        </w:tabs>
        <w:spacing w:line="480" w:lineRule="auto"/>
      </w:pPr>
      <w:r>
        <w:tab/>
      </w:r>
      <w:r w:rsidR="004166F2">
        <w:t>Under</w:t>
      </w:r>
      <w:r w:rsidR="008970EB">
        <w:t xml:space="preserve"> </w:t>
      </w:r>
      <w:r w:rsidR="008855B9">
        <w:t xml:space="preserve">R.C. </w:t>
      </w:r>
      <w:r w:rsidR="008970EB">
        <w:t>Section 4903.10 and</w:t>
      </w:r>
      <w:r w:rsidR="008855B9">
        <w:t xml:space="preserve"> Ohio Adm. Code</w:t>
      </w:r>
      <w:r w:rsidR="008970EB">
        <w:t xml:space="preserve"> Rule 4901-1-35, </w:t>
      </w:r>
      <w:r w:rsidR="0086593F">
        <w:t>t</w:t>
      </w:r>
      <w:r w:rsidR="008970EB">
        <w:t>he Office of the Ohio Consumers’ Counsel (</w:t>
      </w:r>
      <w:r w:rsidR="008855B9">
        <w:t>“</w:t>
      </w:r>
      <w:r w:rsidR="008970EB">
        <w:t>OCC</w:t>
      </w:r>
      <w:r w:rsidR="008855B9">
        <w:t>”</w:t>
      </w:r>
      <w:r w:rsidR="008970EB">
        <w:t xml:space="preserve">) </w:t>
      </w:r>
      <w:r w:rsidR="00D52205">
        <w:t xml:space="preserve">seeks </w:t>
      </w:r>
      <w:r w:rsidR="00AA0C25">
        <w:t>rehearing of the PUCO</w:t>
      </w:r>
      <w:r w:rsidR="00C1282B">
        <w:t>’s</w:t>
      </w:r>
      <w:r w:rsidR="00AA0C25">
        <w:t xml:space="preserve"> </w:t>
      </w:r>
      <w:r w:rsidR="00732EFD">
        <w:t>February 26</w:t>
      </w:r>
      <w:r w:rsidR="00AA0C25">
        <w:t>, 2020 Opinion and Order (</w:t>
      </w:r>
      <w:r w:rsidR="008855B9">
        <w:t>“</w:t>
      </w:r>
      <w:r w:rsidR="00AA0C25">
        <w:t>Order</w:t>
      </w:r>
      <w:r w:rsidR="008855B9">
        <w:t>”</w:t>
      </w:r>
      <w:r w:rsidR="00AA0C25">
        <w:t>)</w:t>
      </w:r>
      <w:r w:rsidR="00C1282B">
        <w:t xml:space="preserve">. OCC </w:t>
      </w:r>
      <w:r w:rsidR="00A0235F">
        <w:t>asks the PUCO</w:t>
      </w:r>
      <w:r w:rsidR="00AA0C25">
        <w:t xml:space="preserve"> to </w:t>
      </w:r>
      <w:r w:rsidR="000F0EF3">
        <w:t>give</w:t>
      </w:r>
      <w:r w:rsidR="00AA0C25">
        <w:t xml:space="preserve"> residential consumers </w:t>
      </w:r>
      <w:r w:rsidR="00FB0CDD">
        <w:t xml:space="preserve">more </w:t>
      </w:r>
      <w:r w:rsidR="00AA0C25">
        <w:t>protection from the unfair, misleading, deceptive, and unconscionable marketing practices of</w:t>
      </w:r>
      <w:r w:rsidR="00732EFD">
        <w:t xml:space="preserve"> Verde Energy USA Ohio </w:t>
      </w:r>
      <w:r w:rsidR="00AF42F7">
        <w:t>(“Verde”)</w:t>
      </w:r>
      <w:r w:rsidR="004166F2">
        <w:t>.</w:t>
      </w:r>
      <w:r w:rsidR="00AA0C25">
        <w:t xml:space="preserve"> </w:t>
      </w:r>
    </w:p>
    <w:p w:rsidR="003B7CA8" w:rsidP="0086593F" w14:paraId="09DDA1B5" w14:textId="77777777">
      <w:pPr>
        <w:tabs>
          <w:tab w:val="left" w:pos="720"/>
          <w:tab w:val="left" w:pos="1440"/>
          <w:tab w:val="left" w:leader="dot" w:pos="8640"/>
        </w:tabs>
        <w:spacing w:line="480" w:lineRule="auto"/>
        <w:ind w:firstLine="720"/>
        <w:rPr>
          <w:szCs w:val="20"/>
        </w:rPr>
      </w:pPr>
      <w:r>
        <w:t>T</w:t>
      </w:r>
      <w:r w:rsidRPr="00B06510" w:rsidR="00AA0C25">
        <w:t xml:space="preserve">he PUCO opened an investigation </w:t>
      </w:r>
      <w:r w:rsidRPr="00B06510" w:rsidR="00864782">
        <w:rPr>
          <w:color w:val="000000"/>
        </w:rPr>
        <w:t xml:space="preserve">and directed </w:t>
      </w:r>
      <w:r w:rsidRPr="00B06510" w:rsidR="00B06510">
        <w:rPr>
          <w:color w:val="000000"/>
        </w:rPr>
        <w:t>Verde</w:t>
      </w:r>
      <w:r w:rsidRPr="00B06510" w:rsidR="00864782">
        <w:rPr>
          <w:color w:val="000000"/>
        </w:rPr>
        <w:t xml:space="preserve"> to show cause why its </w:t>
      </w:r>
      <w:r w:rsidRPr="00B06510" w:rsidR="00825427">
        <w:rPr>
          <w:color w:val="000000"/>
        </w:rPr>
        <w:t xml:space="preserve">certificates to serve electricity and natural gas customers in Ohio </w:t>
      </w:r>
      <w:r w:rsidRPr="00B06510" w:rsidR="00864782">
        <w:rPr>
          <w:color w:val="000000"/>
        </w:rPr>
        <w:t>should not be suspended, rescinded, or conditionally rescinded.</w:t>
      </w:r>
      <w:r>
        <w:rPr>
          <w:rStyle w:val="FootnoteReference"/>
          <w:color w:val="000000"/>
        </w:rPr>
        <w:footnoteReference w:id="4"/>
      </w:r>
      <w:r w:rsidR="00864782">
        <w:rPr>
          <w:color w:val="000000"/>
          <w:sz w:val="23"/>
          <w:szCs w:val="23"/>
        </w:rPr>
        <w:t xml:space="preserve"> </w:t>
      </w:r>
      <w:r w:rsidR="00D52205">
        <w:rPr>
          <w:color w:val="000000"/>
          <w:sz w:val="23"/>
          <w:szCs w:val="23"/>
        </w:rPr>
        <w:t xml:space="preserve">The </w:t>
      </w:r>
      <w:r w:rsidR="005A7B7E">
        <w:rPr>
          <w:color w:val="000000"/>
          <w:sz w:val="23"/>
          <w:szCs w:val="23"/>
        </w:rPr>
        <w:t xml:space="preserve">PUCO </w:t>
      </w:r>
      <w:r w:rsidR="00864782">
        <w:t>Staff filed its Staff Report, recommending</w:t>
      </w:r>
      <w:r w:rsidRPr="003F5315" w:rsidR="00AA0C25">
        <w:rPr>
          <w:szCs w:val="20"/>
        </w:rPr>
        <w:t xml:space="preserve"> </w:t>
      </w:r>
      <w:r w:rsidR="007D350C">
        <w:rPr>
          <w:szCs w:val="20"/>
        </w:rPr>
        <w:t>an appropriate response to Verde’s misdeeds:</w:t>
      </w:r>
      <w:r w:rsidR="00C36C81">
        <w:rPr>
          <w:szCs w:val="20"/>
        </w:rPr>
        <w:t xml:space="preserve"> </w:t>
      </w:r>
      <w:r w:rsidR="00AA0C25">
        <w:rPr>
          <w:szCs w:val="20"/>
        </w:rPr>
        <w:t>(i)</w:t>
      </w:r>
      <w:r w:rsidRPr="003F5315" w:rsidR="00AA0C25">
        <w:rPr>
          <w:szCs w:val="20"/>
        </w:rPr>
        <w:t xml:space="preserve"> suspend or rescind </w:t>
      </w:r>
      <w:r w:rsidR="002B160F">
        <w:rPr>
          <w:szCs w:val="20"/>
        </w:rPr>
        <w:t>Verde</w:t>
      </w:r>
      <w:r w:rsidRPr="003F5315" w:rsidR="00AA0C25">
        <w:rPr>
          <w:szCs w:val="20"/>
        </w:rPr>
        <w:t>’s certificates to provide utility service to consumers</w:t>
      </w:r>
      <w:r w:rsidR="00AA0C25">
        <w:rPr>
          <w:szCs w:val="20"/>
        </w:rPr>
        <w:t>;</w:t>
      </w:r>
      <w:r>
        <w:rPr>
          <w:rStyle w:val="FootnoteReference"/>
          <w:szCs w:val="20"/>
        </w:rPr>
        <w:footnoteReference w:id="5"/>
      </w:r>
      <w:r w:rsidRPr="003F5315" w:rsidR="00AA0C25">
        <w:rPr>
          <w:szCs w:val="20"/>
        </w:rPr>
        <w:t xml:space="preserve"> </w:t>
      </w:r>
      <w:r w:rsidR="00AA0C25">
        <w:rPr>
          <w:szCs w:val="20"/>
        </w:rPr>
        <w:t>(ii)</w:t>
      </w:r>
      <w:r w:rsidRPr="003F5315" w:rsidR="00AA0C25">
        <w:rPr>
          <w:szCs w:val="20"/>
        </w:rPr>
        <w:t xml:space="preserve"> order </w:t>
      </w:r>
      <w:r w:rsidR="002B160F">
        <w:rPr>
          <w:szCs w:val="20"/>
        </w:rPr>
        <w:t>Verde</w:t>
      </w:r>
      <w:r w:rsidRPr="003F5315" w:rsidR="00AA0C25">
        <w:rPr>
          <w:szCs w:val="20"/>
        </w:rPr>
        <w:t xml:space="preserve"> to refund</w:t>
      </w:r>
      <w:r w:rsidR="002B160F">
        <w:rPr>
          <w:szCs w:val="20"/>
        </w:rPr>
        <w:t xml:space="preserve"> natural gas and electric</w:t>
      </w:r>
      <w:r w:rsidRPr="003F5315" w:rsidR="00AA0C25">
        <w:rPr>
          <w:szCs w:val="20"/>
        </w:rPr>
        <w:t xml:space="preserve"> consumers </w:t>
      </w:r>
      <w:r w:rsidR="002B160F">
        <w:rPr>
          <w:szCs w:val="20"/>
        </w:rPr>
        <w:t>the difference between utilities’ default rate and the rate Verde actually charged;</w:t>
      </w:r>
      <w:r>
        <w:rPr>
          <w:rStyle w:val="FootnoteReference"/>
          <w:szCs w:val="20"/>
        </w:rPr>
        <w:footnoteReference w:id="6"/>
      </w:r>
      <w:r w:rsidR="002B160F">
        <w:rPr>
          <w:szCs w:val="20"/>
        </w:rPr>
        <w:t xml:space="preserve"> (iii)</w:t>
      </w:r>
      <w:r w:rsidR="00F433DE">
        <w:rPr>
          <w:szCs w:val="20"/>
        </w:rPr>
        <w:t xml:space="preserve"> </w:t>
      </w:r>
      <w:r w:rsidRPr="003F5315" w:rsidR="00AA0C25">
        <w:rPr>
          <w:szCs w:val="20"/>
        </w:rPr>
        <w:t>pay a $1.</w:t>
      </w:r>
      <w:r w:rsidR="002B160F">
        <w:rPr>
          <w:szCs w:val="20"/>
        </w:rPr>
        <w:t>5</w:t>
      </w:r>
      <w:r w:rsidRPr="003F5315" w:rsidR="00AA0C25">
        <w:rPr>
          <w:szCs w:val="20"/>
        </w:rPr>
        <w:t xml:space="preserve"> million forfeiture</w:t>
      </w:r>
      <w:r w:rsidR="00AA0C25">
        <w:rPr>
          <w:szCs w:val="20"/>
        </w:rPr>
        <w:t>;</w:t>
      </w:r>
      <w:r>
        <w:rPr>
          <w:rStyle w:val="FootnoteReference"/>
          <w:szCs w:val="20"/>
        </w:rPr>
        <w:footnoteReference w:id="7"/>
      </w:r>
      <w:r w:rsidR="00AA0C25">
        <w:rPr>
          <w:szCs w:val="20"/>
        </w:rPr>
        <w:t xml:space="preserve"> and (i</w:t>
      </w:r>
      <w:r w:rsidR="002B160F">
        <w:rPr>
          <w:szCs w:val="20"/>
        </w:rPr>
        <w:t>v</w:t>
      </w:r>
      <w:r w:rsidR="00AA0C25">
        <w:rPr>
          <w:szCs w:val="20"/>
        </w:rPr>
        <w:t>)</w:t>
      </w:r>
      <w:r w:rsidRPr="003F5315" w:rsidR="00AA0C25">
        <w:rPr>
          <w:szCs w:val="20"/>
        </w:rPr>
        <w:t xml:space="preserve"> prohibit </w:t>
      </w:r>
      <w:r w:rsidR="002B160F">
        <w:rPr>
          <w:szCs w:val="20"/>
        </w:rPr>
        <w:t>Verde</w:t>
      </w:r>
      <w:r w:rsidRPr="003F5315" w:rsidR="00AA0C25">
        <w:rPr>
          <w:szCs w:val="20"/>
        </w:rPr>
        <w:t xml:space="preserve"> from transferring any customer contracts</w:t>
      </w:r>
      <w:r w:rsidR="002B160F">
        <w:rPr>
          <w:szCs w:val="20"/>
        </w:rPr>
        <w:t xml:space="preserve"> to another entity</w:t>
      </w:r>
      <w:r w:rsidRPr="003F5315" w:rsidR="00AA0C25">
        <w:rPr>
          <w:szCs w:val="20"/>
        </w:rPr>
        <w:t>.</w:t>
      </w:r>
      <w:r>
        <w:rPr>
          <w:rStyle w:val="FootnoteReference"/>
          <w:szCs w:val="20"/>
        </w:rPr>
        <w:footnoteReference w:id="8"/>
      </w:r>
    </w:p>
    <w:p w:rsidR="00745E77" w:rsidP="0086593F" w14:paraId="1691503C" w14:textId="77777777">
      <w:pPr>
        <w:tabs>
          <w:tab w:val="left" w:pos="720"/>
          <w:tab w:val="left" w:pos="1440"/>
          <w:tab w:val="left" w:leader="dot" w:pos="8640"/>
        </w:tabs>
        <w:spacing w:line="480" w:lineRule="auto"/>
        <w:ind w:firstLine="720"/>
      </w:pPr>
      <w:r>
        <w:rPr>
          <w:szCs w:val="20"/>
        </w:rPr>
        <w:t>T</w:t>
      </w:r>
      <w:r w:rsidR="00AA0C25">
        <w:rPr>
          <w:szCs w:val="20"/>
        </w:rPr>
        <w:t xml:space="preserve">hose </w:t>
      </w:r>
      <w:r>
        <w:rPr>
          <w:szCs w:val="20"/>
        </w:rPr>
        <w:t xml:space="preserve">excellent </w:t>
      </w:r>
      <w:r w:rsidR="00AA0C25">
        <w:rPr>
          <w:szCs w:val="20"/>
        </w:rPr>
        <w:t>recommendations</w:t>
      </w:r>
      <w:r>
        <w:rPr>
          <w:szCs w:val="20"/>
        </w:rPr>
        <w:t xml:space="preserve"> of the PUCO Staff</w:t>
      </w:r>
      <w:r w:rsidR="007D350C">
        <w:rPr>
          <w:szCs w:val="20"/>
        </w:rPr>
        <w:t xml:space="preserve"> would have gone a long way to</w:t>
      </w:r>
      <w:r>
        <w:rPr>
          <w:szCs w:val="20"/>
        </w:rPr>
        <w:t>ward</w:t>
      </w:r>
      <w:r w:rsidR="007D350C">
        <w:rPr>
          <w:szCs w:val="20"/>
        </w:rPr>
        <w:t xml:space="preserve"> addressing Verde’s egregious misconduct</w:t>
      </w:r>
      <w:r>
        <w:rPr>
          <w:szCs w:val="20"/>
        </w:rPr>
        <w:t>.</w:t>
      </w:r>
      <w:r w:rsidR="00265BB3">
        <w:rPr>
          <w:szCs w:val="20"/>
        </w:rPr>
        <w:t xml:space="preserve"> </w:t>
      </w:r>
      <w:r>
        <w:rPr>
          <w:szCs w:val="20"/>
        </w:rPr>
        <w:t xml:space="preserve">But </w:t>
      </w:r>
      <w:r w:rsidR="00120129">
        <w:rPr>
          <w:szCs w:val="20"/>
        </w:rPr>
        <w:t xml:space="preserve">the </w:t>
      </w:r>
      <w:r w:rsidR="00265BB3">
        <w:rPr>
          <w:szCs w:val="20"/>
        </w:rPr>
        <w:t>PUCO</w:t>
      </w:r>
      <w:r w:rsidR="00AA0C25">
        <w:rPr>
          <w:szCs w:val="20"/>
        </w:rPr>
        <w:t xml:space="preserve"> Staff entered into a S</w:t>
      </w:r>
      <w:r w:rsidR="00864782">
        <w:rPr>
          <w:szCs w:val="20"/>
        </w:rPr>
        <w:t>ettlement</w:t>
      </w:r>
      <w:r w:rsidR="00AA0C25">
        <w:rPr>
          <w:szCs w:val="20"/>
        </w:rPr>
        <w:t xml:space="preserve"> with</w:t>
      </w:r>
      <w:r w:rsidR="00316186">
        <w:rPr>
          <w:szCs w:val="20"/>
        </w:rPr>
        <w:t xml:space="preserve"> Verde</w:t>
      </w:r>
      <w:r>
        <w:rPr>
          <w:szCs w:val="20"/>
        </w:rPr>
        <w:t xml:space="preserve"> </w:t>
      </w:r>
      <w:r w:rsidR="00AA0C25">
        <w:rPr>
          <w:szCs w:val="20"/>
        </w:rPr>
        <w:t xml:space="preserve">that fell </w:t>
      </w:r>
      <w:r w:rsidR="00501207">
        <w:rPr>
          <w:szCs w:val="20"/>
        </w:rPr>
        <w:t>far</w:t>
      </w:r>
      <w:r w:rsidR="00AA0C25">
        <w:rPr>
          <w:szCs w:val="20"/>
        </w:rPr>
        <w:t xml:space="preserve"> short </w:t>
      </w:r>
      <w:r w:rsidR="00341759">
        <w:rPr>
          <w:szCs w:val="20"/>
        </w:rPr>
        <w:t>of</w:t>
      </w:r>
      <w:r w:rsidR="00D52205">
        <w:rPr>
          <w:szCs w:val="20"/>
        </w:rPr>
        <w:t xml:space="preserve"> the </w:t>
      </w:r>
      <w:r w:rsidR="00AA0C25">
        <w:rPr>
          <w:szCs w:val="20"/>
        </w:rPr>
        <w:t>consumer protections</w:t>
      </w:r>
      <w:r w:rsidR="00D52205">
        <w:rPr>
          <w:szCs w:val="20"/>
        </w:rPr>
        <w:t xml:space="preserve"> </w:t>
      </w:r>
      <w:r w:rsidR="007B3778">
        <w:rPr>
          <w:szCs w:val="20"/>
        </w:rPr>
        <w:t xml:space="preserve">it </w:t>
      </w:r>
      <w:r w:rsidR="00D52205">
        <w:rPr>
          <w:szCs w:val="20"/>
        </w:rPr>
        <w:t>recommended in the Staff Report</w:t>
      </w:r>
      <w:r w:rsidR="00AA0C25">
        <w:rPr>
          <w:szCs w:val="20"/>
        </w:rPr>
        <w:t>.</w:t>
      </w:r>
      <w:r>
        <w:rPr>
          <w:rStyle w:val="FootnoteReference"/>
          <w:szCs w:val="20"/>
        </w:rPr>
        <w:footnoteReference w:id="9"/>
      </w:r>
      <w:r w:rsidR="00AA0C25">
        <w:rPr>
          <w:szCs w:val="20"/>
        </w:rPr>
        <w:t xml:space="preserve"> OCC opposed the </w:t>
      </w:r>
      <w:r w:rsidR="00864782">
        <w:rPr>
          <w:szCs w:val="20"/>
        </w:rPr>
        <w:t>Settlement</w:t>
      </w:r>
      <w:r w:rsidR="00AA0C25">
        <w:rPr>
          <w:szCs w:val="20"/>
        </w:rPr>
        <w:t xml:space="preserve">, </w:t>
      </w:r>
      <w:r w:rsidR="00D52205">
        <w:rPr>
          <w:szCs w:val="20"/>
        </w:rPr>
        <w:t xml:space="preserve">advocating </w:t>
      </w:r>
      <w:r w:rsidR="00AA0C25">
        <w:rPr>
          <w:szCs w:val="20"/>
        </w:rPr>
        <w:t xml:space="preserve">that it </w:t>
      </w:r>
      <w:r w:rsidR="00174BD6">
        <w:rPr>
          <w:szCs w:val="20"/>
        </w:rPr>
        <w:t>failed</w:t>
      </w:r>
      <w:r w:rsidR="00AA0C25">
        <w:rPr>
          <w:szCs w:val="20"/>
        </w:rPr>
        <w:t xml:space="preserve"> to protect consumers </w:t>
      </w:r>
      <w:r w:rsidR="00174BD6">
        <w:rPr>
          <w:szCs w:val="20"/>
        </w:rPr>
        <w:t xml:space="preserve">and </w:t>
      </w:r>
      <w:r w:rsidR="00AA0C25">
        <w:rPr>
          <w:szCs w:val="20"/>
        </w:rPr>
        <w:t xml:space="preserve">did not </w:t>
      </w:r>
      <w:r w:rsidR="00501207">
        <w:rPr>
          <w:szCs w:val="20"/>
        </w:rPr>
        <w:t>provide</w:t>
      </w:r>
      <w:r w:rsidR="00AA0C25">
        <w:rPr>
          <w:szCs w:val="20"/>
        </w:rPr>
        <w:t xml:space="preserve"> refunds for</w:t>
      </w:r>
      <w:r w:rsidR="00501207">
        <w:rPr>
          <w:szCs w:val="20"/>
        </w:rPr>
        <w:t xml:space="preserve"> the natura</w:t>
      </w:r>
      <w:r w:rsidR="00AA0C25">
        <w:rPr>
          <w:szCs w:val="20"/>
        </w:rPr>
        <w:t>l</w:t>
      </w:r>
      <w:r w:rsidR="00501207">
        <w:rPr>
          <w:szCs w:val="20"/>
        </w:rPr>
        <w:t xml:space="preserve"> gas</w:t>
      </w:r>
      <w:r w:rsidR="00AA0C25">
        <w:rPr>
          <w:szCs w:val="20"/>
        </w:rPr>
        <w:t xml:space="preserve"> consumers who were harmed by</w:t>
      </w:r>
      <w:r w:rsidR="00316186">
        <w:rPr>
          <w:szCs w:val="20"/>
        </w:rPr>
        <w:t xml:space="preserve"> Verde</w:t>
      </w:r>
      <w:r w:rsidR="00AA0C25">
        <w:rPr>
          <w:szCs w:val="20"/>
        </w:rPr>
        <w:t xml:space="preserve">’s </w:t>
      </w:r>
      <w:r w:rsidR="00AA0C25">
        <w:t>unfair, misleading, deceptive, and unconscionable marketing practices</w:t>
      </w:r>
      <w:r w:rsidR="00174BD6">
        <w:t>.</w:t>
      </w:r>
      <w:r>
        <w:rPr>
          <w:rStyle w:val="FootnoteReference"/>
        </w:rPr>
        <w:footnoteReference w:id="10"/>
      </w:r>
      <w:r w:rsidR="00AA0C25">
        <w:t xml:space="preserve"> Because of these inadequacies, </w:t>
      </w:r>
      <w:r w:rsidR="000F0EF3">
        <w:t xml:space="preserve">the Settlement </w:t>
      </w:r>
      <w:r w:rsidR="00AA0C25">
        <w:t>fail</w:t>
      </w:r>
      <w:r w:rsidR="00E9536A">
        <w:t>s</w:t>
      </w:r>
      <w:r w:rsidR="00AA0C25">
        <w:t xml:space="preserve"> to satisfy the</w:t>
      </w:r>
      <w:r w:rsidR="00FB0CDD">
        <w:t xml:space="preserve"> PUCO’s</w:t>
      </w:r>
      <w:r w:rsidR="00AA0C25">
        <w:t xml:space="preserve"> three-prong test for settlements.</w:t>
      </w:r>
    </w:p>
    <w:p w:rsidR="003E4D7A" w:rsidP="0086593F" w14:paraId="5FBFB91B" w14:textId="77777777">
      <w:pPr>
        <w:tabs>
          <w:tab w:val="left" w:pos="720"/>
          <w:tab w:val="left" w:pos="1440"/>
          <w:tab w:val="left" w:leader="dot" w:pos="8640"/>
        </w:tabs>
        <w:spacing w:line="480" w:lineRule="auto"/>
        <w:ind w:firstLine="720"/>
        <w:rPr>
          <w:szCs w:val="20"/>
        </w:rPr>
      </w:pPr>
      <w:r>
        <w:rPr>
          <w:szCs w:val="20"/>
        </w:rPr>
        <w:t>O</w:t>
      </w:r>
      <w:r w:rsidR="00AA0C25">
        <w:rPr>
          <w:szCs w:val="20"/>
        </w:rPr>
        <w:t xml:space="preserve">n </w:t>
      </w:r>
      <w:r w:rsidR="00316186">
        <w:rPr>
          <w:szCs w:val="20"/>
        </w:rPr>
        <w:t>February 26</w:t>
      </w:r>
      <w:r w:rsidR="00AA0C25">
        <w:rPr>
          <w:szCs w:val="20"/>
        </w:rPr>
        <w:t>, 2020, the PUCO approved the Settlement</w:t>
      </w:r>
      <w:r w:rsidR="00316186">
        <w:rPr>
          <w:szCs w:val="20"/>
        </w:rPr>
        <w:t xml:space="preserve"> without modification</w:t>
      </w:r>
      <w:r w:rsidR="00AA0C25">
        <w:rPr>
          <w:szCs w:val="20"/>
        </w:rPr>
        <w:t>.</w:t>
      </w:r>
      <w:r>
        <w:rPr>
          <w:rStyle w:val="FootnoteReference"/>
          <w:szCs w:val="20"/>
        </w:rPr>
        <w:footnoteReference w:id="11"/>
      </w:r>
      <w:r w:rsidR="00AA0C25">
        <w:rPr>
          <w:szCs w:val="20"/>
        </w:rPr>
        <w:t xml:space="preserve"> The Order approving the Settlement is unlawful and unreasonable in the following respects:</w:t>
      </w:r>
    </w:p>
    <w:p w:rsidR="00341759" w:rsidRPr="00341759" w:rsidP="00341759" w14:paraId="592D1A32" w14:textId="77777777">
      <w:pPr>
        <w:tabs>
          <w:tab w:val="left" w:pos="720"/>
          <w:tab w:val="left" w:pos="1440"/>
          <w:tab w:val="left" w:leader="dot" w:pos="8640"/>
        </w:tabs>
        <w:ind w:left="720"/>
        <w:rPr>
          <w:szCs w:val="20"/>
        </w:rPr>
      </w:pPr>
      <w:r>
        <w:rPr>
          <w:b/>
          <w:szCs w:val="20"/>
        </w:rPr>
        <w:t>ASSIGNMENT OF ERROR NO. 1:</w:t>
      </w:r>
      <w:r w:rsidR="00F433DE">
        <w:rPr>
          <w:b/>
          <w:szCs w:val="20"/>
        </w:rPr>
        <w:t xml:space="preserve"> </w:t>
      </w:r>
      <w:r w:rsidRPr="00341759">
        <w:rPr>
          <w:szCs w:val="20"/>
        </w:rPr>
        <w:t xml:space="preserve">The PUCO </w:t>
      </w:r>
      <w:r w:rsidR="00D52205">
        <w:rPr>
          <w:szCs w:val="20"/>
        </w:rPr>
        <w:t>e</w:t>
      </w:r>
      <w:r w:rsidRPr="00341759">
        <w:rPr>
          <w:szCs w:val="20"/>
        </w:rPr>
        <w:t xml:space="preserve">rred by </w:t>
      </w:r>
      <w:r w:rsidR="00D52205">
        <w:rPr>
          <w:szCs w:val="20"/>
        </w:rPr>
        <w:t>u</w:t>
      </w:r>
      <w:r w:rsidRPr="00341759">
        <w:rPr>
          <w:szCs w:val="20"/>
        </w:rPr>
        <w:t xml:space="preserve">nlawfully, </w:t>
      </w:r>
      <w:r w:rsidR="00D52205">
        <w:rPr>
          <w:szCs w:val="20"/>
        </w:rPr>
        <w:t>u</w:t>
      </w:r>
      <w:r w:rsidRPr="00341759">
        <w:rPr>
          <w:szCs w:val="20"/>
        </w:rPr>
        <w:t xml:space="preserve">nreasonably, and </w:t>
      </w:r>
      <w:r w:rsidR="00D52205">
        <w:rPr>
          <w:szCs w:val="20"/>
        </w:rPr>
        <w:t>u</w:t>
      </w:r>
      <w:r w:rsidRPr="00341759">
        <w:rPr>
          <w:szCs w:val="20"/>
        </w:rPr>
        <w:t xml:space="preserve">nfairly </w:t>
      </w:r>
      <w:r w:rsidR="00D52205">
        <w:rPr>
          <w:szCs w:val="20"/>
        </w:rPr>
        <w:t>s</w:t>
      </w:r>
      <w:r w:rsidRPr="00341759">
        <w:rPr>
          <w:szCs w:val="20"/>
        </w:rPr>
        <w:t xml:space="preserve">hifting the </w:t>
      </w:r>
      <w:r w:rsidR="00D52205">
        <w:rPr>
          <w:szCs w:val="20"/>
        </w:rPr>
        <w:t>b</w:t>
      </w:r>
      <w:r w:rsidRPr="00341759">
        <w:rPr>
          <w:szCs w:val="20"/>
        </w:rPr>
        <w:t xml:space="preserve">urden of </w:t>
      </w:r>
      <w:r w:rsidR="00D52205">
        <w:rPr>
          <w:szCs w:val="20"/>
        </w:rPr>
        <w:t>p</w:t>
      </w:r>
      <w:r w:rsidRPr="00341759">
        <w:rPr>
          <w:szCs w:val="20"/>
        </w:rPr>
        <w:t xml:space="preserve">roof in this </w:t>
      </w:r>
      <w:r w:rsidR="00D52205">
        <w:rPr>
          <w:szCs w:val="20"/>
        </w:rPr>
        <w:t>p</w:t>
      </w:r>
      <w:r w:rsidRPr="00341759">
        <w:rPr>
          <w:szCs w:val="20"/>
        </w:rPr>
        <w:t xml:space="preserve">roceeding to OCC while </w:t>
      </w:r>
      <w:r w:rsidR="00D52205">
        <w:rPr>
          <w:szCs w:val="20"/>
        </w:rPr>
        <w:t>s</w:t>
      </w:r>
      <w:r w:rsidRPr="00341759">
        <w:rPr>
          <w:szCs w:val="20"/>
        </w:rPr>
        <w:t xml:space="preserve">imultaneously </w:t>
      </w:r>
      <w:r w:rsidR="00D52205">
        <w:rPr>
          <w:szCs w:val="20"/>
        </w:rPr>
        <w:t>r</w:t>
      </w:r>
      <w:r w:rsidRPr="00341759">
        <w:rPr>
          <w:szCs w:val="20"/>
        </w:rPr>
        <w:t xml:space="preserve">estricting and </w:t>
      </w:r>
      <w:r w:rsidR="00D52205">
        <w:rPr>
          <w:szCs w:val="20"/>
        </w:rPr>
        <w:t>l</w:t>
      </w:r>
      <w:r w:rsidRPr="00341759">
        <w:rPr>
          <w:szCs w:val="20"/>
        </w:rPr>
        <w:t xml:space="preserve">imiting OCC’s </w:t>
      </w:r>
      <w:r w:rsidR="00D52205">
        <w:rPr>
          <w:szCs w:val="20"/>
        </w:rPr>
        <w:t>a</w:t>
      </w:r>
      <w:r w:rsidRPr="00341759">
        <w:rPr>
          <w:szCs w:val="20"/>
        </w:rPr>
        <w:t xml:space="preserve">bility to </w:t>
      </w:r>
      <w:r w:rsidR="00D52205">
        <w:rPr>
          <w:szCs w:val="20"/>
        </w:rPr>
        <w:t>p</w:t>
      </w:r>
      <w:r w:rsidRPr="00341759">
        <w:rPr>
          <w:szCs w:val="20"/>
        </w:rPr>
        <w:t xml:space="preserve">rove the </w:t>
      </w:r>
      <w:r w:rsidR="00D52205">
        <w:rPr>
          <w:szCs w:val="20"/>
        </w:rPr>
        <w:t>v</w:t>
      </w:r>
      <w:r w:rsidRPr="00341759">
        <w:rPr>
          <w:szCs w:val="20"/>
        </w:rPr>
        <w:t xml:space="preserve">iolations </w:t>
      </w:r>
      <w:r w:rsidR="00D52205">
        <w:rPr>
          <w:szCs w:val="20"/>
        </w:rPr>
        <w:t>s</w:t>
      </w:r>
      <w:r w:rsidRPr="00341759">
        <w:rPr>
          <w:szCs w:val="20"/>
        </w:rPr>
        <w:t xml:space="preserve">et </w:t>
      </w:r>
      <w:r w:rsidR="00D52205">
        <w:rPr>
          <w:szCs w:val="20"/>
        </w:rPr>
        <w:t>f</w:t>
      </w:r>
      <w:r w:rsidRPr="00341759">
        <w:rPr>
          <w:szCs w:val="20"/>
        </w:rPr>
        <w:t xml:space="preserve">orth in the </w:t>
      </w:r>
      <w:r w:rsidR="00316186">
        <w:rPr>
          <w:szCs w:val="20"/>
        </w:rPr>
        <w:t>517</w:t>
      </w:r>
      <w:r w:rsidRPr="00341759">
        <w:rPr>
          <w:szCs w:val="20"/>
        </w:rPr>
        <w:t xml:space="preserve"> </w:t>
      </w:r>
      <w:r w:rsidR="00D52205">
        <w:rPr>
          <w:szCs w:val="20"/>
        </w:rPr>
        <w:t>c</w:t>
      </w:r>
      <w:r w:rsidRPr="00341759">
        <w:rPr>
          <w:szCs w:val="20"/>
        </w:rPr>
        <w:t xml:space="preserve">ustomer </w:t>
      </w:r>
      <w:r w:rsidR="00D52205">
        <w:rPr>
          <w:szCs w:val="20"/>
        </w:rPr>
        <w:t>c</w:t>
      </w:r>
      <w:r w:rsidRPr="00341759">
        <w:rPr>
          <w:szCs w:val="20"/>
        </w:rPr>
        <w:t>ontact</w:t>
      </w:r>
      <w:r w:rsidR="00F94E57">
        <w:rPr>
          <w:szCs w:val="20"/>
        </w:rPr>
        <w:t>s</w:t>
      </w:r>
      <w:r w:rsidRPr="00341759">
        <w:rPr>
          <w:szCs w:val="20"/>
        </w:rPr>
        <w:t xml:space="preserve"> and </w:t>
      </w:r>
      <w:r w:rsidR="00D52205">
        <w:rPr>
          <w:szCs w:val="20"/>
        </w:rPr>
        <w:t>c</w:t>
      </w:r>
      <w:r w:rsidRPr="00341759">
        <w:rPr>
          <w:szCs w:val="20"/>
        </w:rPr>
        <w:t>omplaints in the Staff Report.</w:t>
      </w:r>
    </w:p>
    <w:p w:rsidR="005D7763" w:rsidRPr="00E9536A" w:rsidP="0086593F" w14:paraId="3252E4C1" w14:textId="77777777">
      <w:pPr>
        <w:tabs>
          <w:tab w:val="left" w:pos="720"/>
          <w:tab w:val="left" w:pos="1440"/>
          <w:tab w:val="left" w:leader="dot" w:pos="8640"/>
        </w:tabs>
        <w:ind w:left="720"/>
      </w:pPr>
    </w:p>
    <w:p w:rsidR="005D7763" w:rsidRPr="00E9536A" w:rsidP="00341759" w14:paraId="311E8BDE" w14:textId="77777777">
      <w:pPr>
        <w:pStyle w:val="NormalWeb"/>
        <w:numPr>
          <w:ilvl w:val="0"/>
          <w:numId w:val="13"/>
        </w:numPr>
        <w:spacing w:before="0" w:beforeAutospacing="0" w:after="0" w:afterAutospacing="0"/>
        <w:ind w:left="1440" w:hanging="720"/>
        <w:rPr>
          <w:color w:val="000000"/>
        </w:rPr>
      </w:pPr>
      <w:r w:rsidRPr="00E9536A">
        <w:rPr>
          <w:color w:val="000000"/>
        </w:rPr>
        <w:t>Verde</w:t>
      </w:r>
      <w:r w:rsidR="00166077">
        <w:rPr>
          <w:color w:val="000000"/>
        </w:rPr>
        <w:t xml:space="preserve"> was supposed to </w:t>
      </w:r>
      <w:r w:rsidR="001920ED">
        <w:rPr>
          <w:color w:val="000000"/>
        </w:rPr>
        <w:t>s</w:t>
      </w:r>
      <w:r w:rsidRPr="00E9536A" w:rsidR="00AA0C25">
        <w:rPr>
          <w:color w:val="000000"/>
        </w:rPr>
        <w:t>ho</w:t>
      </w:r>
      <w:r w:rsidRPr="00E9536A" w:rsidR="008435CA">
        <w:rPr>
          <w:color w:val="000000"/>
        </w:rPr>
        <w:t xml:space="preserve">w </w:t>
      </w:r>
      <w:r w:rsidR="001920ED">
        <w:rPr>
          <w:color w:val="000000"/>
        </w:rPr>
        <w:t>c</w:t>
      </w:r>
      <w:r w:rsidRPr="00E9536A" w:rsidR="008435CA">
        <w:rPr>
          <w:color w:val="000000"/>
        </w:rPr>
        <w:t xml:space="preserve">ause </w:t>
      </w:r>
      <w:r w:rsidR="001920ED">
        <w:rPr>
          <w:color w:val="000000"/>
        </w:rPr>
        <w:t>w</w:t>
      </w:r>
      <w:r w:rsidRPr="00E9536A" w:rsidR="008435CA">
        <w:rPr>
          <w:color w:val="000000"/>
        </w:rPr>
        <w:t xml:space="preserve">hy its </w:t>
      </w:r>
      <w:r w:rsidR="001920ED">
        <w:rPr>
          <w:color w:val="000000"/>
        </w:rPr>
        <w:t>c</w:t>
      </w:r>
      <w:r w:rsidRPr="00E9536A" w:rsidR="008435CA">
        <w:rPr>
          <w:color w:val="000000"/>
        </w:rPr>
        <w:t xml:space="preserve">ertifications </w:t>
      </w:r>
      <w:r w:rsidR="001920ED">
        <w:rPr>
          <w:color w:val="000000"/>
        </w:rPr>
        <w:t>s</w:t>
      </w:r>
      <w:r w:rsidRPr="00E9536A" w:rsidR="00AA0C25">
        <w:rPr>
          <w:color w:val="000000"/>
        </w:rPr>
        <w:t xml:space="preserve">hould </w:t>
      </w:r>
      <w:r w:rsidR="001920ED">
        <w:rPr>
          <w:color w:val="000000"/>
        </w:rPr>
        <w:t>n</w:t>
      </w:r>
      <w:r w:rsidRPr="00E9536A" w:rsidR="00AA0C25">
        <w:rPr>
          <w:color w:val="000000"/>
        </w:rPr>
        <w:t xml:space="preserve">ot be </w:t>
      </w:r>
      <w:r w:rsidR="001920ED">
        <w:rPr>
          <w:color w:val="000000"/>
        </w:rPr>
        <w:t>s</w:t>
      </w:r>
      <w:r w:rsidRPr="00E9536A" w:rsidR="00AA0C25">
        <w:rPr>
          <w:color w:val="000000"/>
        </w:rPr>
        <w:t xml:space="preserve">uspended or </w:t>
      </w:r>
      <w:r w:rsidR="001920ED">
        <w:rPr>
          <w:color w:val="000000"/>
        </w:rPr>
        <w:t>r</w:t>
      </w:r>
      <w:r w:rsidRPr="00E9536A" w:rsidR="00AA0C25">
        <w:rPr>
          <w:color w:val="000000"/>
        </w:rPr>
        <w:t>escinded</w:t>
      </w:r>
      <w:r w:rsidR="00C1282B">
        <w:rPr>
          <w:color w:val="000000"/>
        </w:rPr>
        <w:t>, but after the Staff settled with Verde</w:t>
      </w:r>
      <w:r w:rsidRPr="00C1282B" w:rsidR="00C1282B">
        <w:rPr>
          <w:color w:val="000000"/>
        </w:rPr>
        <w:t xml:space="preserve"> </w:t>
      </w:r>
      <w:r w:rsidR="00C1282B">
        <w:rPr>
          <w:color w:val="000000"/>
        </w:rPr>
        <w:t>the PUCO wrongly treated OCC as if it bore the burden of p</w:t>
      </w:r>
      <w:r w:rsidRPr="00E9536A" w:rsidR="00C1282B">
        <w:rPr>
          <w:color w:val="000000"/>
        </w:rPr>
        <w:t>roof</w:t>
      </w:r>
      <w:r w:rsidRPr="00E9536A" w:rsidR="00AA0C25">
        <w:rPr>
          <w:color w:val="000000"/>
        </w:rPr>
        <w:t>.</w:t>
      </w:r>
    </w:p>
    <w:p w:rsidR="005D7763" w:rsidRPr="00E9536A" w:rsidP="00341759" w14:paraId="7BE88F9F" w14:textId="77777777">
      <w:pPr>
        <w:tabs>
          <w:tab w:val="left" w:pos="720"/>
          <w:tab w:val="left" w:pos="1440"/>
          <w:tab w:val="left" w:leader="dot" w:pos="8640"/>
        </w:tabs>
        <w:ind w:left="1440" w:hanging="720"/>
      </w:pPr>
    </w:p>
    <w:p w:rsidR="005D7763" w:rsidRPr="00E9536A" w:rsidP="00341759" w14:paraId="23DACE02" w14:textId="77777777">
      <w:pPr>
        <w:pStyle w:val="NormalWeb"/>
        <w:numPr>
          <w:ilvl w:val="0"/>
          <w:numId w:val="13"/>
        </w:numPr>
        <w:spacing w:before="0" w:beforeAutospacing="0" w:after="0" w:afterAutospacing="0"/>
        <w:ind w:left="1440" w:hanging="720"/>
        <w:rPr>
          <w:color w:val="000000"/>
        </w:rPr>
      </w:pPr>
      <w:r w:rsidRPr="00E9536A">
        <w:rPr>
          <w:color w:val="000000"/>
        </w:rPr>
        <w:t xml:space="preserve">Assuming that OCC </w:t>
      </w:r>
      <w:r w:rsidR="004730A0">
        <w:rPr>
          <w:color w:val="000000"/>
        </w:rPr>
        <w:t>h</w:t>
      </w:r>
      <w:r w:rsidRPr="00E9536A">
        <w:rPr>
          <w:color w:val="000000"/>
        </w:rPr>
        <w:t xml:space="preserve">ad the </w:t>
      </w:r>
      <w:r w:rsidR="004730A0">
        <w:rPr>
          <w:color w:val="000000"/>
        </w:rPr>
        <w:t>b</w:t>
      </w:r>
      <w:r w:rsidRPr="00E9536A">
        <w:rPr>
          <w:color w:val="000000"/>
        </w:rPr>
        <w:t xml:space="preserve">urden of </w:t>
      </w:r>
      <w:r w:rsidR="004730A0">
        <w:rPr>
          <w:color w:val="000000"/>
        </w:rPr>
        <w:t>p</w:t>
      </w:r>
      <w:r w:rsidRPr="00E9536A">
        <w:rPr>
          <w:color w:val="000000"/>
        </w:rPr>
        <w:t xml:space="preserve">roof in this </w:t>
      </w:r>
      <w:r w:rsidR="004730A0">
        <w:rPr>
          <w:color w:val="000000"/>
        </w:rPr>
        <w:t>p</w:t>
      </w:r>
      <w:r w:rsidRPr="00E9536A">
        <w:rPr>
          <w:color w:val="000000"/>
        </w:rPr>
        <w:t>roceeding</w:t>
      </w:r>
      <w:r w:rsidR="004730A0">
        <w:rPr>
          <w:color w:val="000000"/>
        </w:rPr>
        <w:t xml:space="preserve"> (which it did not)</w:t>
      </w:r>
      <w:r w:rsidRPr="00E9536A">
        <w:rPr>
          <w:color w:val="000000"/>
        </w:rPr>
        <w:t xml:space="preserve">, the PUCO </w:t>
      </w:r>
      <w:r w:rsidR="004730A0">
        <w:rPr>
          <w:color w:val="000000"/>
        </w:rPr>
        <w:t>i</w:t>
      </w:r>
      <w:r w:rsidRPr="00E9536A">
        <w:rPr>
          <w:color w:val="000000"/>
        </w:rPr>
        <w:t xml:space="preserve">mproperly, </w:t>
      </w:r>
      <w:r w:rsidR="004730A0">
        <w:rPr>
          <w:color w:val="000000"/>
        </w:rPr>
        <w:t>u</w:t>
      </w:r>
      <w:r w:rsidRPr="00E9536A">
        <w:rPr>
          <w:color w:val="000000"/>
        </w:rPr>
        <w:t xml:space="preserve">nfairly and </w:t>
      </w:r>
      <w:r w:rsidR="004730A0">
        <w:rPr>
          <w:color w:val="000000"/>
        </w:rPr>
        <w:t>u</w:t>
      </w:r>
      <w:r w:rsidRPr="00E9536A">
        <w:rPr>
          <w:color w:val="000000"/>
        </w:rPr>
        <w:t xml:space="preserve">nlawfully </w:t>
      </w:r>
      <w:r w:rsidR="004730A0">
        <w:rPr>
          <w:color w:val="000000"/>
        </w:rPr>
        <w:t>r</w:t>
      </w:r>
      <w:r w:rsidRPr="00E9536A">
        <w:rPr>
          <w:color w:val="000000"/>
        </w:rPr>
        <w:t>estricted OCC’s</w:t>
      </w:r>
      <w:r w:rsidR="00166077">
        <w:rPr>
          <w:color w:val="000000"/>
        </w:rPr>
        <w:t xml:space="preserve"> ability</w:t>
      </w:r>
      <w:r w:rsidRPr="00E9536A">
        <w:rPr>
          <w:color w:val="000000"/>
        </w:rPr>
        <w:t xml:space="preserve"> to </w:t>
      </w:r>
      <w:r w:rsidR="004730A0">
        <w:rPr>
          <w:color w:val="000000"/>
        </w:rPr>
        <w:t>p</w:t>
      </w:r>
      <w:r w:rsidRPr="00E9536A">
        <w:rPr>
          <w:color w:val="000000"/>
        </w:rPr>
        <w:t xml:space="preserve">rove the </w:t>
      </w:r>
      <w:r w:rsidR="004730A0">
        <w:rPr>
          <w:color w:val="000000"/>
        </w:rPr>
        <w:t>v</w:t>
      </w:r>
      <w:r w:rsidRPr="00E9536A">
        <w:rPr>
          <w:color w:val="000000"/>
        </w:rPr>
        <w:t xml:space="preserve">iolations </w:t>
      </w:r>
      <w:r w:rsidR="004730A0">
        <w:rPr>
          <w:color w:val="000000"/>
        </w:rPr>
        <w:t>s</w:t>
      </w:r>
      <w:r w:rsidRPr="00E9536A">
        <w:rPr>
          <w:color w:val="000000"/>
        </w:rPr>
        <w:t xml:space="preserve">et </w:t>
      </w:r>
      <w:r w:rsidR="004730A0">
        <w:rPr>
          <w:color w:val="000000"/>
        </w:rPr>
        <w:t>f</w:t>
      </w:r>
      <w:r w:rsidRPr="00E9536A">
        <w:rPr>
          <w:color w:val="000000"/>
        </w:rPr>
        <w:t xml:space="preserve">orth in the </w:t>
      </w:r>
      <w:r w:rsidR="004730A0">
        <w:rPr>
          <w:color w:val="000000"/>
        </w:rPr>
        <w:t>c</w:t>
      </w:r>
      <w:r w:rsidRPr="00E9536A">
        <w:rPr>
          <w:color w:val="000000"/>
        </w:rPr>
        <w:t xml:space="preserve">omplaints and Staff Report. </w:t>
      </w:r>
    </w:p>
    <w:p w:rsidR="005D7763" w:rsidRPr="00341759" w:rsidP="00341759" w14:paraId="1C1DF753" w14:textId="77777777">
      <w:pPr>
        <w:pStyle w:val="NormalWeb"/>
        <w:spacing w:before="0" w:beforeAutospacing="0" w:after="0" w:afterAutospacing="0"/>
        <w:ind w:left="1440" w:hanging="720"/>
        <w:rPr>
          <w:color w:val="000000"/>
          <w:sz w:val="23"/>
          <w:szCs w:val="23"/>
        </w:rPr>
      </w:pPr>
    </w:p>
    <w:p w:rsidR="00147608" w:rsidP="00341759" w14:paraId="44A5E167" w14:textId="77777777">
      <w:pPr>
        <w:pStyle w:val="ListParagraph"/>
        <w:numPr>
          <w:ilvl w:val="0"/>
          <w:numId w:val="13"/>
        </w:numPr>
        <w:ind w:left="1440" w:hanging="720"/>
      </w:pPr>
      <w:r w:rsidRPr="00341759">
        <w:t xml:space="preserve">The PUCO </w:t>
      </w:r>
      <w:r w:rsidR="004730A0">
        <w:t>e</w:t>
      </w:r>
      <w:r w:rsidRPr="00341759">
        <w:t>rr</w:t>
      </w:r>
      <w:r w:rsidR="00501207">
        <w:t>oneously</w:t>
      </w:r>
      <w:r w:rsidRPr="00341759">
        <w:t xml:space="preserve"> </w:t>
      </w:r>
      <w:r w:rsidR="004730A0">
        <w:t>b</w:t>
      </w:r>
      <w:r w:rsidRPr="00341759">
        <w:t>lam</w:t>
      </w:r>
      <w:r w:rsidR="00501207">
        <w:t>ed</w:t>
      </w:r>
      <w:r w:rsidRPr="00341759">
        <w:t xml:space="preserve"> OCC for the </w:t>
      </w:r>
      <w:r w:rsidR="004730A0">
        <w:t>l</w:t>
      </w:r>
      <w:r w:rsidRPr="00341759">
        <w:t xml:space="preserve">ack of </w:t>
      </w:r>
      <w:r w:rsidR="004730A0">
        <w:t>e</w:t>
      </w:r>
      <w:r w:rsidRPr="00341759">
        <w:t xml:space="preserve">vidence </w:t>
      </w:r>
      <w:r w:rsidR="004730A0">
        <w:t>a</w:t>
      </w:r>
      <w:r w:rsidRPr="00341759">
        <w:t xml:space="preserve">bout </w:t>
      </w:r>
      <w:r w:rsidR="00316186">
        <w:t>Verde</w:t>
      </w:r>
      <w:r w:rsidRPr="00341759">
        <w:t xml:space="preserve">’s </w:t>
      </w:r>
      <w:r w:rsidR="004730A0">
        <w:t>b</w:t>
      </w:r>
      <w:r w:rsidRPr="00341759">
        <w:t xml:space="preserve">ad </w:t>
      </w:r>
      <w:r w:rsidR="004730A0">
        <w:t>a</w:t>
      </w:r>
      <w:r w:rsidRPr="00341759">
        <w:t xml:space="preserve">cts </w:t>
      </w:r>
      <w:r w:rsidR="004730A0">
        <w:t>w</w:t>
      </w:r>
      <w:r w:rsidRPr="00341759">
        <w:t xml:space="preserve">hen the PUCO </w:t>
      </w:r>
      <w:r w:rsidR="004730A0">
        <w:t>s</w:t>
      </w:r>
      <w:r w:rsidRPr="00341759">
        <w:t xml:space="preserve">hould </w:t>
      </w:r>
      <w:r w:rsidR="004730A0">
        <w:t>u</w:t>
      </w:r>
      <w:r w:rsidRPr="00341759">
        <w:t xml:space="preserve">se its </w:t>
      </w:r>
      <w:r w:rsidR="004730A0">
        <w:t>c</w:t>
      </w:r>
      <w:r w:rsidRPr="00341759">
        <w:t xml:space="preserve">onsiderable </w:t>
      </w:r>
      <w:r w:rsidR="004730A0">
        <w:t>r</w:t>
      </w:r>
      <w:r w:rsidR="00341759">
        <w:t xml:space="preserve">esources, </w:t>
      </w:r>
      <w:r w:rsidR="004730A0">
        <w:t>i</w:t>
      </w:r>
      <w:r w:rsidRPr="00341759">
        <w:t xml:space="preserve">ncluding the </w:t>
      </w:r>
      <w:r w:rsidR="004730A0">
        <w:t>c</w:t>
      </w:r>
      <w:r w:rsidRPr="00341759">
        <w:t xml:space="preserve">all </w:t>
      </w:r>
      <w:r w:rsidR="004730A0">
        <w:t>c</w:t>
      </w:r>
      <w:r w:rsidR="00341759">
        <w:t>e</w:t>
      </w:r>
      <w:r w:rsidRPr="00341759">
        <w:t>nter</w:t>
      </w:r>
      <w:r w:rsidR="00501207">
        <w:t xml:space="preserve"> (</w:t>
      </w:r>
      <w:r w:rsidR="004730A0">
        <w:t>w</w:t>
      </w:r>
      <w:r w:rsidRPr="00341759">
        <w:t xml:space="preserve">hich OCC is </w:t>
      </w:r>
      <w:r w:rsidR="004730A0">
        <w:t>p</w:t>
      </w:r>
      <w:r w:rsidRPr="00341759">
        <w:t xml:space="preserve">rohibited by </w:t>
      </w:r>
      <w:r w:rsidR="004730A0">
        <w:t>l</w:t>
      </w:r>
      <w:r w:rsidRPr="00341759">
        <w:t xml:space="preserve">aw </w:t>
      </w:r>
      <w:r w:rsidR="00341759">
        <w:t>f</w:t>
      </w:r>
      <w:r w:rsidRPr="00341759">
        <w:t xml:space="preserve">rom </w:t>
      </w:r>
      <w:r w:rsidR="004730A0">
        <w:t>h</w:t>
      </w:r>
      <w:r w:rsidRPr="00341759">
        <w:t>aving</w:t>
      </w:r>
      <w:r w:rsidR="00501207">
        <w:t>)</w:t>
      </w:r>
      <w:r w:rsidRPr="00341759">
        <w:t xml:space="preserve"> to </w:t>
      </w:r>
      <w:r w:rsidR="004730A0">
        <w:t>o</w:t>
      </w:r>
      <w:r w:rsidRPr="00341759">
        <w:t xml:space="preserve">btain and </w:t>
      </w:r>
      <w:r w:rsidR="004730A0">
        <w:t>u</w:t>
      </w:r>
      <w:r w:rsidR="00341759">
        <w:t xml:space="preserve">se </w:t>
      </w:r>
      <w:r w:rsidR="004730A0">
        <w:t>e</w:t>
      </w:r>
      <w:r w:rsidRPr="00341759">
        <w:t>vidence from</w:t>
      </w:r>
      <w:r w:rsidR="00501207">
        <w:t xml:space="preserve"> Ohio</w:t>
      </w:r>
      <w:r w:rsidRPr="00341759">
        <w:t xml:space="preserve"> </w:t>
      </w:r>
      <w:r w:rsidR="004730A0">
        <w:t>c</w:t>
      </w:r>
      <w:r w:rsidRPr="00341759">
        <w:t>onsumers</w:t>
      </w:r>
      <w:r w:rsidR="00501207">
        <w:t xml:space="preserve"> </w:t>
      </w:r>
      <w:r w:rsidR="004730A0">
        <w:t>w</w:t>
      </w:r>
      <w:r w:rsidR="00501207">
        <w:t xml:space="preserve">ho </w:t>
      </w:r>
      <w:r w:rsidR="004730A0">
        <w:t>m</w:t>
      </w:r>
      <w:r w:rsidR="00501207">
        <w:t xml:space="preserve">ay </w:t>
      </w:r>
      <w:r w:rsidR="004730A0">
        <w:t>l</w:t>
      </w:r>
      <w:r w:rsidRPr="00341759">
        <w:t xml:space="preserve">ack the </w:t>
      </w:r>
      <w:r w:rsidR="004730A0">
        <w:t>r</w:t>
      </w:r>
      <w:r w:rsidRPr="00341759">
        <w:t xml:space="preserve">esources and </w:t>
      </w:r>
      <w:r w:rsidR="004730A0">
        <w:t>e</w:t>
      </w:r>
      <w:r w:rsidRPr="00341759">
        <w:t xml:space="preserve">xperience to </w:t>
      </w:r>
      <w:r w:rsidR="004730A0">
        <w:t>p</w:t>
      </w:r>
      <w:r w:rsidRPr="00341759">
        <w:t xml:space="preserve">articipate in PUCO </w:t>
      </w:r>
      <w:r w:rsidR="004730A0">
        <w:t>l</w:t>
      </w:r>
      <w:r w:rsidR="008435CA">
        <w:t xml:space="preserve">egal </w:t>
      </w:r>
      <w:r w:rsidR="004730A0">
        <w:t>p</w:t>
      </w:r>
      <w:r w:rsidRPr="00341759">
        <w:t>roceedin</w:t>
      </w:r>
      <w:r w:rsidR="008435CA">
        <w:t>g</w:t>
      </w:r>
      <w:r w:rsidR="00120129">
        <w:t>s</w:t>
      </w:r>
      <w:r w:rsidR="008435CA">
        <w:t xml:space="preserve"> in Columbus</w:t>
      </w:r>
      <w:r w:rsidRPr="00341759">
        <w:t>.</w:t>
      </w:r>
    </w:p>
    <w:p w:rsidR="00147608" w:rsidP="00147608" w14:paraId="2AC4F360" w14:textId="77777777">
      <w:pPr>
        <w:pStyle w:val="ListParagraph"/>
      </w:pPr>
    </w:p>
    <w:p w:rsidR="0066649A" w:rsidRPr="00147608" w:rsidP="00341759" w14:paraId="60B9843D" w14:textId="77777777">
      <w:pPr>
        <w:pStyle w:val="ListParagraph"/>
        <w:numPr>
          <w:ilvl w:val="0"/>
          <w:numId w:val="13"/>
        </w:numPr>
        <w:ind w:left="1440" w:hanging="720"/>
      </w:pPr>
      <w:r w:rsidRPr="00147608">
        <w:t xml:space="preserve">The PUCO </w:t>
      </w:r>
      <w:r w:rsidR="004730A0">
        <w:t>e</w:t>
      </w:r>
      <w:r w:rsidRPr="00147608">
        <w:t xml:space="preserve">rred in </w:t>
      </w:r>
      <w:r w:rsidR="004730A0">
        <w:t>r</w:t>
      </w:r>
      <w:r w:rsidRPr="00147608">
        <w:t xml:space="preserve">efusing to </w:t>
      </w:r>
      <w:r w:rsidR="004730A0">
        <w:t>c</w:t>
      </w:r>
      <w:r w:rsidRPr="00147608">
        <w:t xml:space="preserve">onsider Verde’s </w:t>
      </w:r>
      <w:r w:rsidR="004730A0">
        <w:t>o</w:t>
      </w:r>
      <w:r w:rsidRPr="00147608">
        <w:t xml:space="preserve">wn </w:t>
      </w:r>
      <w:r w:rsidR="004730A0">
        <w:t>a</w:t>
      </w:r>
      <w:r w:rsidRPr="00147608">
        <w:t xml:space="preserve">dmissions </w:t>
      </w:r>
      <w:r w:rsidR="004730A0">
        <w:t>t</w:t>
      </w:r>
      <w:r w:rsidRPr="00147608">
        <w:t xml:space="preserve">hat it </w:t>
      </w:r>
      <w:r w:rsidR="004730A0">
        <w:t>v</w:t>
      </w:r>
      <w:r w:rsidRPr="00147608">
        <w:t xml:space="preserve">iolated the PUCO’s </w:t>
      </w:r>
      <w:r w:rsidR="004730A0">
        <w:t>r</w:t>
      </w:r>
      <w:r w:rsidRPr="00147608">
        <w:t>ules.</w:t>
      </w:r>
      <w:r w:rsidRPr="00147608" w:rsidR="00AA0C25">
        <w:t xml:space="preserve"> </w:t>
      </w:r>
    </w:p>
    <w:p w:rsidR="0066649A" w:rsidRPr="00341759" w:rsidP="0066649A" w14:paraId="4812F43F" w14:textId="77777777">
      <w:pPr>
        <w:pStyle w:val="ListParagraph"/>
        <w:ind w:left="1800"/>
      </w:pPr>
    </w:p>
    <w:p w:rsidR="005D7763" w:rsidRPr="00341759" w:rsidP="00341759" w14:paraId="1A30F7CB" w14:textId="77777777">
      <w:pPr>
        <w:pStyle w:val="ListParagraph"/>
        <w:tabs>
          <w:tab w:val="left" w:pos="720"/>
          <w:tab w:val="left" w:pos="1440"/>
          <w:tab w:val="left" w:leader="dot" w:pos="8640"/>
        </w:tabs>
        <w:ind w:left="1530"/>
        <w:rPr>
          <w:szCs w:val="20"/>
        </w:rPr>
      </w:pPr>
    </w:p>
    <w:p w:rsidR="00A640B9" w:rsidP="0086593F" w14:paraId="639EF798" w14:textId="77777777">
      <w:pPr>
        <w:tabs>
          <w:tab w:val="left" w:pos="720"/>
          <w:tab w:val="left" w:pos="1440"/>
          <w:tab w:val="left" w:leader="dot" w:pos="8640"/>
        </w:tabs>
        <w:ind w:left="720"/>
        <w:rPr>
          <w:szCs w:val="20"/>
        </w:rPr>
      </w:pPr>
      <w:r w:rsidRPr="00341759">
        <w:rPr>
          <w:b/>
          <w:szCs w:val="20"/>
        </w:rPr>
        <w:t xml:space="preserve">ASSIGNMENT OF ERROR NO. </w:t>
      </w:r>
      <w:r w:rsidRPr="00341759" w:rsidR="005D7763">
        <w:rPr>
          <w:b/>
          <w:szCs w:val="20"/>
        </w:rPr>
        <w:t>2</w:t>
      </w:r>
      <w:r w:rsidRPr="00341759">
        <w:rPr>
          <w:b/>
          <w:szCs w:val="20"/>
        </w:rPr>
        <w:t>:</w:t>
      </w:r>
      <w:r w:rsidR="00F433DE">
        <w:rPr>
          <w:szCs w:val="20"/>
        </w:rPr>
        <w:t xml:space="preserve"> </w:t>
      </w:r>
      <w:r w:rsidRPr="00341759">
        <w:rPr>
          <w:szCs w:val="20"/>
        </w:rPr>
        <w:t xml:space="preserve">The PUCO erred in </w:t>
      </w:r>
      <w:r w:rsidR="004730A0">
        <w:rPr>
          <w:szCs w:val="20"/>
        </w:rPr>
        <w:t>f</w:t>
      </w:r>
      <w:r w:rsidRPr="00341759">
        <w:rPr>
          <w:szCs w:val="20"/>
        </w:rPr>
        <w:t xml:space="preserve">inding that the Settlement was in the </w:t>
      </w:r>
      <w:r w:rsidR="004730A0">
        <w:rPr>
          <w:szCs w:val="20"/>
        </w:rPr>
        <w:t>p</w:t>
      </w:r>
      <w:r w:rsidRPr="00341759">
        <w:rPr>
          <w:szCs w:val="20"/>
        </w:rPr>
        <w:t xml:space="preserve">ublic </w:t>
      </w:r>
      <w:r w:rsidR="004730A0">
        <w:rPr>
          <w:szCs w:val="20"/>
        </w:rPr>
        <w:t>i</w:t>
      </w:r>
      <w:r w:rsidRPr="00341759" w:rsidR="00F4458D">
        <w:rPr>
          <w:szCs w:val="20"/>
        </w:rPr>
        <w:t xml:space="preserve">nterest and </w:t>
      </w:r>
      <w:r w:rsidR="004730A0">
        <w:rPr>
          <w:szCs w:val="20"/>
        </w:rPr>
        <w:t>b</w:t>
      </w:r>
      <w:r w:rsidRPr="00341759" w:rsidR="00F4458D">
        <w:rPr>
          <w:szCs w:val="20"/>
        </w:rPr>
        <w:t xml:space="preserve">enefits </w:t>
      </w:r>
      <w:r w:rsidR="004730A0">
        <w:rPr>
          <w:szCs w:val="20"/>
        </w:rPr>
        <w:t>c</w:t>
      </w:r>
      <w:r w:rsidRPr="00341759" w:rsidR="00F4458D">
        <w:rPr>
          <w:szCs w:val="20"/>
        </w:rPr>
        <w:t>onsumers.</w:t>
      </w:r>
    </w:p>
    <w:p w:rsidR="009C3B84" w:rsidP="0086593F" w14:paraId="648D5BAE" w14:textId="77777777">
      <w:pPr>
        <w:tabs>
          <w:tab w:val="left" w:pos="720"/>
          <w:tab w:val="left" w:pos="1440"/>
          <w:tab w:val="left" w:leader="dot" w:pos="8640"/>
        </w:tabs>
        <w:ind w:left="720"/>
        <w:rPr>
          <w:szCs w:val="20"/>
        </w:rPr>
      </w:pPr>
    </w:p>
    <w:p w:rsidR="009C3B84" w:rsidRPr="00F8481F" w:rsidP="00F8481F" w14:paraId="1E031DC5" w14:textId="77777777">
      <w:pPr>
        <w:pStyle w:val="ListParagraph"/>
        <w:numPr>
          <w:ilvl w:val="0"/>
          <w:numId w:val="15"/>
        </w:numPr>
        <w:ind w:left="1440" w:hanging="720"/>
        <w:rPr>
          <w:b/>
        </w:rPr>
      </w:pPr>
      <w:r w:rsidRPr="00F8481F">
        <w:t xml:space="preserve">The Settlement is </w:t>
      </w:r>
      <w:r w:rsidR="004730A0">
        <w:t>n</w:t>
      </w:r>
      <w:r w:rsidRPr="00F8481F">
        <w:t xml:space="preserve">ot in the </w:t>
      </w:r>
      <w:r w:rsidR="00E051CD">
        <w:t>p</w:t>
      </w:r>
      <w:r w:rsidRPr="00F8481F">
        <w:t xml:space="preserve">ublic </w:t>
      </w:r>
      <w:r w:rsidR="00E051CD">
        <w:t>i</w:t>
      </w:r>
      <w:r w:rsidRPr="00F8481F">
        <w:t xml:space="preserve">nterest and </w:t>
      </w:r>
      <w:r w:rsidR="00E051CD">
        <w:t>d</w:t>
      </w:r>
      <w:r w:rsidRPr="00F8481F">
        <w:t xml:space="preserve">oes </w:t>
      </w:r>
      <w:r w:rsidR="00E051CD">
        <w:t>n</w:t>
      </w:r>
      <w:r w:rsidRPr="00F8481F">
        <w:t xml:space="preserve">ot </w:t>
      </w:r>
      <w:r w:rsidR="00E051CD">
        <w:t>b</w:t>
      </w:r>
      <w:r w:rsidRPr="00F8481F">
        <w:t>enefit</w:t>
      </w:r>
      <w:r w:rsidRPr="009C3B84">
        <w:t xml:space="preserve"> </w:t>
      </w:r>
      <w:r w:rsidR="00E051CD">
        <w:t>c</w:t>
      </w:r>
      <w:r w:rsidRPr="009C3B84">
        <w:t xml:space="preserve">onsumers </w:t>
      </w:r>
      <w:r w:rsidR="00E051CD">
        <w:t>b</w:t>
      </w:r>
      <w:r w:rsidRPr="009C3B84">
        <w:t xml:space="preserve">ecause </w:t>
      </w:r>
      <w:r w:rsidR="00A958D5">
        <w:t>i</w:t>
      </w:r>
      <w:r w:rsidRPr="009C3B84">
        <w:t>t</w:t>
      </w:r>
      <w:r w:rsidR="000F09C8">
        <w:t xml:space="preserve"> </w:t>
      </w:r>
      <w:r w:rsidR="00C1282B">
        <w:t>required</w:t>
      </w:r>
      <w:r w:rsidR="000F09C8">
        <w:t xml:space="preserve"> no </w:t>
      </w:r>
      <w:r w:rsidR="00E051CD">
        <w:t>r</w:t>
      </w:r>
      <w:r w:rsidR="000F09C8">
        <w:t>efunds to</w:t>
      </w:r>
      <w:r w:rsidR="004637A0">
        <w:t xml:space="preserve"> the </w:t>
      </w:r>
      <w:r w:rsidR="00E051CD">
        <w:t>n</w:t>
      </w:r>
      <w:r w:rsidR="004637A0">
        <w:t xml:space="preserve">atural </w:t>
      </w:r>
      <w:r w:rsidR="00E051CD">
        <w:t>g</w:t>
      </w:r>
      <w:r w:rsidR="004637A0">
        <w:t xml:space="preserve">as </w:t>
      </w:r>
      <w:r w:rsidR="00E051CD">
        <w:t>c</w:t>
      </w:r>
      <w:r w:rsidR="004637A0">
        <w:t>ustomers Verde</w:t>
      </w:r>
      <w:r w:rsidR="00A958D5">
        <w:t xml:space="preserve"> </w:t>
      </w:r>
      <w:r w:rsidR="00E051CD">
        <w:t>h</w:t>
      </w:r>
      <w:r w:rsidR="00A958D5">
        <w:t>armed</w:t>
      </w:r>
      <w:r w:rsidRPr="009C3B84">
        <w:t>.</w:t>
      </w:r>
    </w:p>
    <w:p w:rsidR="00F8481F" w:rsidRPr="00F8481F" w:rsidP="00F8481F" w14:paraId="7899D632" w14:textId="77777777">
      <w:pPr>
        <w:pStyle w:val="ListParagraph"/>
        <w:ind w:left="1440"/>
        <w:rPr>
          <w:b/>
        </w:rPr>
      </w:pPr>
    </w:p>
    <w:p w:rsidR="009C3B84" w:rsidRPr="00F8481F" w:rsidP="00F8481F" w14:paraId="40BB2EE1" w14:textId="77777777">
      <w:pPr>
        <w:pStyle w:val="ListParagraph"/>
        <w:numPr>
          <w:ilvl w:val="0"/>
          <w:numId w:val="15"/>
        </w:numPr>
        <w:ind w:left="1440" w:hanging="720"/>
        <w:rPr>
          <w:b/>
        </w:rPr>
      </w:pPr>
      <w:r w:rsidRPr="00787311">
        <w:t xml:space="preserve">The Settlement is </w:t>
      </w:r>
      <w:r w:rsidR="00E051CD">
        <w:t>n</w:t>
      </w:r>
      <w:r w:rsidRPr="00787311">
        <w:t xml:space="preserve">ot in the </w:t>
      </w:r>
      <w:r w:rsidR="00E051CD">
        <w:t>p</w:t>
      </w:r>
      <w:r w:rsidRPr="00787311">
        <w:t xml:space="preserve">ublic </w:t>
      </w:r>
      <w:r w:rsidR="00E051CD">
        <w:t>i</w:t>
      </w:r>
      <w:r w:rsidRPr="00787311">
        <w:t xml:space="preserve">nterest and </w:t>
      </w:r>
      <w:r w:rsidR="00E051CD">
        <w:t>d</w:t>
      </w:r>
      <w:r w:rsidRPr="00787311">
        <w:t xml:space="preserve">oes </w:t>
      </w:r>
      <w:r w:rsidR="00E051CD">
        <w:t>n</w:t>
      </w:r>
      <w:r w:rsidRPr="00787311">
        <w:t xml:space="preserve">ot </w:t>
      </w:r>
      <w:r w:rsidR="00E051CD">
        <w:t>b</w:t>
      </w:r>
      <w:r w:rsidRPr="00787311">
        <w:t xml:space="preserve">enefit </w:t>
      </w:r>
      <w:r w:rsidR="00E051CD">
        <w:t>c</w:t>
      </w:r>
      <w:r w:rsidRPr="00787311">
        <w:t xml:space="preserve">onsumers </w:t>
      </w:r>
      <w:r w:rsidR="00E051CD">
        <w:t>b</w:t>
      </w:r>
      <w:r w:rsidRPr="00787311">
        <w:t xml:space="preserve">ecause it </w:t>
      </w:r>
      <w:r w:rsidR="00E051CD">
        <w:t>a</w:t>
      </w:r>
      <w:r w:rsidRPr="00787311">
        <w:t>llows “</w:t>
      </w:r>
      <w:r w:rsidR="00E051CD">
        <w:t>m</w:t>
      </w:r>
      <w:r w:rsidRPr="00787311">
        <w:t xml:space="preserve">anagerially </w:t>
      </w:r>
      <w:r w:rsidR="00E051CD">
        <w:t>u</w:t>
      </w:r>
      <w:r w:rsidRPr="00787311">
        <w:t xml:space="preserve">nfit” Verde to </w:t>
      </w:r>
      <w:r w:rsidR="00E051CD">
        <w:t>c</w:t>
      </w:r>
      <w:r w:rsidRPr="00787311">
        <w:t xml:space="preserve">ontinue </w:t>
      </w:r>
      <w:r w:rsidR="00E051CD">
        <w:t>s</w:t>
      </w:r>
      <w:r w:rsidRPr="00787311">
        <w:t xml:space="preserve">erving </w:t>
      </w:r>
      <w:r w:rsidR="00E051CD">
        <w:t>c</w:t>
      </w:r>
      <w:r w:rsidRPr="00787311">
        <w:t>ustomers.</w:t>
      </w:r>
    </w:p>
    <w:p w:rsidR="00F8481F" w:rsidRPr="00F8481F" w:rsidP="00F8481F" w14:paraId="68024B2C" w14:textId="77777777">
      <w:pPr>
        <w:pStyle w:val="ListParagraph"/>
        <w:rPr>
          <w:b/>
        </w:rPr>
      </w:pPr>
    </w:p>
    <w:p w:rsidR="009C3B84" w:rsidRPr="003D63EC" w:rsidP="00F8481F" w14:paraId="3B0AC43B" w14:textId="77777777">
      <w:pPr>
        <w:pStyle w:val="ListParagraph"/>
        <w:numPr>
          <w:ilvl w:val="0"/>
          <w:numId w:val="15"/>
        </w:numPr>
        <w:ind w:left="1440" w:hanging="720"/>
        <w:rPr>
          <w:b/>
        </w:rPr>
      </w:pPr>
      <w:r w:rsidRPr="00787311">
        <w:t xml:space="preserve">The Settlement is </w:t>
      </w:r>
      <w:r w:rsidR="00E051CD">
        <w:t>n</w:t>
      </w:r>
      <w:r w:rsidRPr="00787311">
        <w:t xml:space="preserve">ot in the </w:t>
      </w:r>
      <w:r w:rsidR="00E051CD">
        <w:t>p</w:t>
      </w:r>
      <w:r w:rsidRPr="00787311">
        <w:t xml:space="preserve">ublic </w:t>
      </w:r>
      <w:r w:rsidR="00E051CD">
        <w:t>i</w:t>
      </w:r>
      <w:r w:rsidRPr="00787311">
        <w:t xml:space="preserve">nterest and </w:t>
      </w:r>
      <w:r w:rsidR="00E051CD">
        <w:t>d</w:t>
      </w:r>
      <w:r w:rsidRPr="00787311">
        <w:t xml:space="preserve">oes </w:t>
      </w:r>
      <w:r w:rsidR="00E051CD">
        <w:t>n</w:t>
      </w:r>
      <w:r w:rsidRPr="00787311">
        <w:t xml:space="preserve">ot </w:t>
      </w:r>
      <w:r w:rsidR="00E051CD">
        <w:t>b</w:t>
      </w:r>
      <w:r w:rsidRPr="00787311">
        <w:t xml:space="preserve">enefit </w:t>
      </w:r>
      <w:r w:rsidR="00E051CD">
        <w:t>c</w:t>
      </w:r>
      <w:r w:rsidRPr="00787311">
        <w:t xml:space="preserve">onsumers </w:t>
      </w:r>
      <w:r w:rsidR="00E051CD">
        <w:t>b</w:t>
      </w:r>
      <w:r w:rsidRPr="00787311">
        <w:t xml:space="preserve">ecause the $675,000 </w:t>
      </w:r>
      <w:r w:rsidR="00E051CD">
        <w:t>f</w:t>
      </w:r>
      <w:r w:rsidRPr="00787311">
        <w:t xml:space="preserve">orfeiture is </w:t>
      </w:r>
      <w:r w:rsidR="00E051CD">
        <w:t>i</w:t>
      </w:r>
      <w:r w:rsidRPr="00787311">
        <w:t>nsufficient</w:t>
      </w:r>
      <w:r w:rsidR="00B0660B">
        <w:t xml:space="preserve"> for Verde’s bad acts against Ohioans and insufficient</w:t>
      </w:r>
      <w:r w:rsidRPr="00787311">
        <w:t xml:space="preserve"> to </w:t>
      </w:r>
      <w:r w:rsidR="00E051CD">
        <w:t>d</w:t>
      </w:r>
      <w:r w:rsidRPr="00787311">
        <w:t xml:space="preserve">eter Verde from </w:t>
      </w:r>
      <w:r w:rsidR="00E051CD">
        <w:t>e</w:t>
      </w:r>
      <w:r w:rsidRPr="00787311">
        <w:t xml:space="preserve">ngaging in </w:t>
      </w:r>
      <w:r w:rsidR="00E051CD">
        <w:t>f</w:t>
      </w:r>
      <w:r w:rsidRPr="00787311">
        <w:t xml:space="preserve">uture </w:t>
      </w:r>
      <w:r w:rsidR="00E051CD">
        <w:t>c</w:t>
      </w:r>
      <w:r w:rsidRPr="00787311">
        <w:t xml:space="preserve">ustomer </w:t>
      </w:r>
      <w:r w:rsidR="00E051CD">
        <w:t>a</w:t>
      </w:r>
      <w:r w:rsidRPr="00787311">
        <w:t>buse</w:t>
      </w:r>
      <w:r w:rsidR="00A95870">
        <w:t>s</w:t>
      </w:r>
      <w:r w:rsidRPr="00787311">
        <w:t>.</w:t>
      </w:r>
    </w:p>
    <w:p w:rsidR="008216DB" w:rsidP="008216DB" w14:paraId="2716DED5" w14:textId="77777777">
      <w:pPr>
        <w:rPr>
          <w:b/>
        </w:rPr>
      </w:pPr>
    </w:p>
    <w:p w:rsidR="0002604D" w14:paraId="336F4B3A" w14:textId="77777777">
      <w:pPr>
        <w:tabs>
          <w:tab w:val="left" w:pos="720"/>
          <w:tab w:val="left" w:pos="1440"/>
          <w:tab w:val="left" w:leader="dot" w:pos="8640"/>
        </w:tabs>
      </w:pPr>
      <w:r>
        <w:rPr>
          <w:b/>
        </w:rPr>
        <w:t xml:space="preserve">ASSIGNMENT OF ERROR NO. 3: </w:t>
      </w:r>
      <w:r w:rsidRPr="003D63EC" w:rsidR="008216DB">
        <w:t xml:space="preserve">The PUCO Erred in Approving a Settlement that Violates </w:t>
      </w:r>
      <w:r w:rsidRPr="003D63EC" w:rsidR="008216DB">
        <w:rPr>
          <w:szCs w:val="20"/>
        </w:rPr>
        <w:t>Important</w:t>
      </w:r>
      <w:r w:rsidRPr="003D63EC" w:rsidR="008216DB">
        <w:t xml:space="preserve"> Regulatory Principles.</w:t>
      </w:r>
    </w:p>
    <w:p w:rsidR="0002604D" w14:paraId="4FA5AC3D" w14:textId="77777777">
      <w:pPr>
        <w:tabs>
          <w:tab w:val="left" w:pos="720"/>
          <w:tab w:val="left" w:pos="1440"/>
          <w:tab w:val="left" w:leader="dot" w:pos="8640"/>
        </w:tabs>
      </w:pPr>
    </w:p>
    <w:p w:rsidR="0002604D" w:rsidP="0002604D" w14:paraId="21CD7488" w14:textId="77777777">
      <w:pPr>
        <w:ind w:left="1440" w:hanging="720"/>
      </w:pPr>
      <w:r>
        <w:t>A.</w:t>
      </w:r>
      <w:r>
        <w:tab/>
      </w:r>
      <w:r w:rsidRPr="0002604D">
        <w:t>The PUCO erred by failing to ban Verde from Ohio for violations of law and regulations against the spoofing of Caller ID information to deceive Ohioans.</w:t>
      </w:r>
    </w:p>
    <w:p w:rsidR="00A037F4" w:rsidRPr="003D63EC" w:rsidP="00A037F4" w14:paraId="61FC4D1C" w14:textId="77777777">
      <w:pPr>
        <w:tabs>
          <w:tab w:val="left" w:pos="720"/>
          <w:tab w:val="left" w:pos="1440"/>
          <w:tab w:val="left" w:leader="dot" w:pos="8640"/>
        </w:tabs>
        <w:rPr>
          <w:b/>
        </w:rPr>
      </w:pPr>
    </w:p>
    <w:p w:rsidR="00903127" w:rsidP="003D63EC" w14:paraId="272724DB" w14:textId="77777777">
      <w:r w:rsidRPr="00484164">
        <w:rPr>
          <w:b/>
          <w:bCs/>
        </w:rPr>
        <w:t xml:space="preserve">ASSIGNMENT OF ERROR NO. </w:t>
      </w:r>
      <w:r w:rsidR="008216DB">
        <w:rPr>
          <w:b/>
          <w:bCs/>
        </w:rPr>
        <w:t>4</w:t>
      </w:r>
      <w:r w:rsidRPr="00484164">
        <w:rPr>
          <w:b/>
          <w:bCs/>
        </w:rPr>
        <w:t>:</w:t>
      </w:r>
      <w:r w:rsidR="00F433DE">
        <w:t xml:space="preserve"> </w:t>
      </w:r>
      <w:r w:rsidRPr="00341759">
        <w:t xml:space="preserve">The PUCO </w:t>
      </w:r>
      <w:r w:rsidR="00E051CD">
        <w:t>e</w:t>
      </w:r>
      <w:r w:rsidRPr="00341759">
        <w:t xml:space="preserve">rred in </w:t>
      </w:r>
      <w:r w:rsidR="00E051CD">
        <w:t>a</w:t>
      </w:r>
      <w:r w:rsidRPr="00341759">
        <w:t xml:space="preserve">pproving the Settlement </w:t>
      </w:r>
      <w:r w:rsidR="00E051CD">
        <w:t>w</w:t>
      </w:r>
      <w:r w:rsidRPr="00341759">
        <w:t xml:space="preserve">ithout </w:t>
      </w:r>
      <w:r w:rsidR="00F94E57">
        <w:t xml:space="preserve">implementing </w:t>
      </w:r>
      <w:r w:rsidRPr="00341759">
        <w:t xml:space="preserve">any </w:t>
      </w:r>
      <w:r w:rsidR="00F94E57">
        <w:t>guardrails</w:t>
      </w:r>
      <w:r w:rsidRPr="00341759">
        <w:t xml:space="preserve"> </w:t>
      </w:r>
      <w:r w:rsidR="00F94E57">
        <w:t xml:space="preserve">around Verde’s business practices </w:t>
      </w:r>
      <w:r w:rsidRPr="00341759">
        <w:t xml:space="preserve">that </w:t>
      </w:r>
      <w:r w:rsidR="00E051CD">
        <w:t>w</w:t>
      </w:r>
      <w:r w:rsidRPr="00341759">
        <w:t xml:space="preserve">ould </w:t>
      </w:r>
      <w:r w:rsidR="00E051CD">
        <w:t>p</w:t>
      </w:r>
      <w:r w:rsidRPr="00341759">
        <w:t xml:space="preserve">rotect </w:t>
      </w:r>
      <w:r w:rsidR="00E051CD">
        <w:t>c</w:t>
      </w:r>
      <w:r w:rsidR="00341759">
        <w:t xml:space="preserve">onsumers and </w:t>
      </w:r>
      <w:r w:rsidR="00E051CD">
        <w:t>f</w:t>
      </w:r>
      <w:r w:rsidR="00341759">
        <w:t xml:space="preserve">urther the </w:t>
      </w:r>
      <w:r w:rsidR="00E051CD">
        <w:t>p</w:t>
      </w:r>
      <w:r w:rsidRPr="00341759">
        <w:t xml:space="preserve">ublic </w:t>
      </w:r>
      <w:r w:rsidR="00E051CD">
        <w:t>i</w:t>
      </w:r>
      <w:r w:rsidRPr="00341759">
        <w:t>nterest.</w:t>
      </w:r>
      <w:r w:rsidR="00F433DE">
        <w:t xml:space="preserve"> </w:t>
      </w:r>
    </w:p>
    <w:p w:rsidR="00484164" w:rsidRPr="00341759" w:rsidP="00484164" w14:paraId="23BDBECD" w14:textId="77777777">
      <w:pPr>
        <w:ind w:left="720"/>
        <w:rPr>
          <w:caps/>
        </w:rPr>
      </w:pPr>
    </w:p>
    <w:p w:rsidR="00A037F4" w:rsidP="00696541" w14:paraId="414D7EC3" w14:textId="77777777">
      <w:pPr>
        <w:spacing w:line="480" w:lineRule="auto"/>
        <w:ind w:firstLine="720"/>
        <w:contextualSpacing/>
      </w:pPr>
      <w:r w:rsidRPr="008A4CEF">
        <w:t>The reasons in support of this application for rehearing are set forth in the</w:t>
      </w:r>
      <w:r w:rsidR="00F433DE">
        <w:t xml:space="preserve"> </w:t>
      </w:r>
      <w:r w:rsidRPr="008A4CEF">
        <w:t xml:space="preserve">accompanying Memorandum in Support. The </w:t>
      </w:r>
      <w:r>
        <w:t>PUCO</w:t>
      </w:r>
      <w:r w:rsidRPr="008A4CEF">
        <w:t xml:space="preserve"> should grant rehearing and abrogate or modify its </w:t>
      </w:r>
      <w:r w:rsidR="00E60209">
        <w:t>February</w:t>
      </w:r>
      <w:r>
        <w:t xml:space="preserve"> 2</w:t>
      </w:r>
      <w:r w:rsidR="00E60209">
        <w:t>6</w:t>
      </w:r>
      <w:r>
        <w:t>, 2020 Opinion and Order</w:t>
      </w:r>
      <w:r w:rsidRPr="008A4CEF">
        <w:t xml:space="preserve"> as requested</w:t>
      </w:r>
      <w:r>
        <w:t xml:space="preserve"> </w:t>
      </w:r>
      <w:r w:rsidRPr="008A4CEF">
        <w:t xml:space="preserve">by OCC. </w:t>
      </w:r>
    </w:p>
    <w:p w:rsidR="00A037F4" w14:paraId="5504D2D5" w14:textId="77777777">
      <w:r>
        <w:br w:type="page"/>
      </w:r>
    </w:p>
    <w:p w:rsidR="00F4458D" w:rsidRPr="003F5315" w:rsidP="00F4458D" w14:paraId="351926F9" w14:textId="77777777">
      <w:pPr>
        <w:pStyle w:val="Footer"/>
        <w:tabs>
          <w:tab w:val="left" w:pos="4320"/>
          <w:tab w:val="clear" w:pos="8640"/>
        </w:tabs>
        <w:ind w:left="3960"/>
      </w:pPr>
      <w:r w:rsidRPr="003F5315">
        <w:t>Respectfully submitted,</w:t>
      </w:r>
    </w:p>
    <w:p w:rsidR="002339D1" w:rsidP="00F4458D" w14:paraId="20F8E006" w14:textId="77777777">
      <w:pPr>
        <w:tabs>
          <w:tab w:val="left" w:pos="4320"/>
        </w:tabs>
        <w:ind w:left="3960"/>
        <w:rPr>
          <w:u w:val="single"/>
        </w:rPr>
      </w:pPr>
    </w:p>
    <w:p w:rsidR="00035EEB" w:rsidRPr="003F5315" w:rsidP="00035EEB" w14:paraId="06B6F730" w14:textId="77777777">
      <w:pPr>
        <w:pStyle w:val="Footer"/>
        <w:tabs>
          <w:tab w:val="left" w:pos="4320"/>
          <w:tab w:val="clear" w:pos="8640"/>
        </w:tabs>
        <w:ind w:left="3960"/>
      </w:pPr>
      <w:r w:rsidRPr="003F5315">
        <w:t>Bruce Weston</w:t>
      </w:r>
      <w:r>
        <w:t xml:space="preserve"> </w:t>
      </w:r>
      <w:r w:rsidRPr="002339D1">
        <w:rPr>
          <w:caps/>
        </w:rPr>
        <w:t>(0016973)</w:t>
      </w:r>
    </w:p>
    <w:p w:rsidR="00035EEB" w:rsidP="00035EEB" w14:paraId="343597F9" w14:textId="77777777">
      <w:pPr>
        <w:tabs>
          <w:tab w:val="left" w:pos="4320"/>
        </w:tabs>
        <w:ind w:left="3960"/>
      </w:pPr>
      <w:r>
        <w:t xml:space="preserve">Ohio </w:t>
      </w:r>
      <w:r w:rsidRPr="003F5315" w:rsidR="00AA0C25">
        <w:t>Consumers’ Counsel</w:t>
      </w:r>
    </w:p>
    <w:p w:rsidR="003E4D7A" w:rsidP="00035EEB" w14:paraId="0713F364" w14:textId="77777777">
      <w:pPr>
        <w:tabs>
          <w:tab w:val="left" w:pos="4320"/>
        </w:tabs>
        <w:ind w:left="3960"/>
      </w:pPr>
    </w:p>
    <w:p w:rsidR="003E4D7A" w:rsidRPr="00341759" w:rsidP="003E4D7A" w14:paraId="236D0531" w14:textId="77777777">
      <w:pPr>
        <w:tabs>
          <w:tab w:val="left" w:pos="4320"/>
        </w:tabs>
        <w:ind w:left="3960"/>
        <w:rPr>
          <w:u w:val="single"/>
        </w:rPr>
      </w:pPr>
      <w:r w:rsidRPr="00B844D1">
        <w:rPr>
          <w:i/>
          <w:iCs/>
          <w:u w:val="single"/>
        </w:rPr>
        <w:t>/s/</w:t>
      </w:r>
      <w:r>
        <w:rPr>
          <w:u w:val="single"/>
        </w:rPr>
        <w:t xml:space="preserve"> </w:t>
      </w:r>
      <w:r w:rsidRPr="00A116F5">
        <w:rPr>
          <w:i/>
          <w:iCs/>
          <w:u w:val="single"/>
        </w:rPr>
        <w:t>Angela D. O’Brien</w:t>
      </w:r>
      <w:r>
        <w:rPr>
          <w:u w:val="single"/>
        </w:rPr>
        <w:tab/>
      </w:r>
    </w:p>
    <w:p w:rsidR="00E60209" w:rsidP="00E60209" w14:paraId="286CF5AE" w14:textId="77777777">
      <w:pPr>
        <w:tabs>
          <w:tab w:val="left" w:pos="4320"/>
        </w:tabs>
        <w:ind w:left="3960"/>
      </w:pPr>
      <w:r>
        <w:t>Angela</w:t>
      </w:r>
      <w:r w:rsidRPr="003F5315">
        <w:t xml:space="preserve"> </w:t>
      </w:r>
      <w:r w:rsidR="003E4D7A">
        <w:t xml:space="preserve">D. </w:t>
      </w:r>
      <w:r w:rsidRPr="003F5315">
        <w:t>O’Brien (00</w:t>
      </w:r>
      <w:r>
        <w:t>97579</w:t>
      </w:r>
      <w:r w:rsidRPr="003F5315">
        <w:t>)</w:t>
      </w:r>
    </w:p>
    <w:p w:rsidR="00E60209" w:rsidP="00E60209" w14:paraId="7719D59F" w14:textId="77777777">
      <w:pPr>
        <w:tabs>
          <w:tab w:val="left" w:pos="4320"/>
        </w:tabs>
        <w:ind w:left="3960"/>
      </w:pPr>
      <w:r>
        <w:t>Counsel of Record</w:t>
      </w:r>
    </w:p>
    <w:p w:rsidR="00E60209" w:rsidRPr="003F5315" w:rsidP="00E60209" w14:paraId="3525248E" w14:textId="77777777">
      <w:pPr>
        <w:tabs>
          <w:tab w:val="left" w:pos="4320"/>
        </w:tabs>
        <w:ind w:left="3960"/>
      </w:pPr>
      <w:r>
        <w:t>Christopher Healey (0086027)</w:t>
      </w:r>
    </w:p>
    <w:p w:rsidR="00E60209" w:rsidP="00E60209" w14:paraId="6CF835B9" w14:textId="77777777">
      <w:pPr>
        <w:tabs>
          <w:tab w:val="left" w:pos="4320"/>
        </w:tabs>
        <w:ind w:left="3960"/>
        <w:rPr>
          <w:rFonts w:eastAsia="Calibri"/>
        </w:rPr>
      </w:pPr>
      <w:r w:rsidRPr="003F5315">
        <w:rPr>
          <w:rFonts w:eastAsia="Calibri"/>
        </w:rPr>
        <w:t>Assistant Consumers’ Counsel</w:t>
      </w:r>
    </w:p>
    <w:p w:rsidR="00A037F4" w:rsidP="00E60209" w14:paraId="0931E7C2" w14:textId="77777777">
      <w:pPr>
        <w:tabs>
          <w:tab w:val="left" w:pos="4320"/>
        </w:tabs>
        <w:ind w:left="3960"/>
        <w:rPr>
          <w:rFonts w:eastAsia="Calibri"/>
        </w:rPr>
      </w:pPr>
    </w:p>
    <w:p w:rsidR="00E60209" w:rsidRPr="003F5315" w:rsidP="00E60209" w14:paraId="5A94A02B" w14:textId="77777777">
      <w:pPr>
        <w:ind w:left="3960"/>
        <w:rPr>
          <w:b/>
        </w:rPr>
      </w:pPr>
      <w:r w:rsidRPr="003F5315">
        <w:rPr>
          <w:b/>
        </w:rPr>
        <w:t>Office of the Ohio Consumers’ Counsel</w:t>
      </w:r>
    </w:p>
    <w:p w:rsidR="00E60209" w:rsidRPr="003F5315" w:rsidP="00E60209" w14:paraId="12D16F49" w14:textId="77777777">
      <w:pPr>
        <w:ind w:left="3960"/>
      </w:pPr>
      <w:r w:rsidRPr="003F5315">
        <w:t>65 East State Street, 7</w:t>
      </w:r>
      <w:r w:rsidRPr="003E4D7A">
        <w:t>th</w:t>
      </w:r>
      <w:r w:rsidRPr="003F5315">
        <w:t xml:space="preserve"> Floor</w:t>
      </w:r>
    </w:p>
    <w:p w:rsidR="00E60209" w:rsidRPr="003F5315" w:rsidP="00E60209" w14:paraId="07A6F8F2" w14:textId="77777777">
      <w:pPr>
        <w:ind w:left="3960"/>
      </w:pPr>
      <w:r w:rsidRPr="003F5315">
        <w:t>Columbus, Ohio 43215-3485</w:t>
      </w:r>
    </w:p>
    <w:p w:rsidR="00E60209" w:rsidP="00E60209" w14:paraId="2BA922F3" w14:textId="77777777">
      <w:pPr>
        <w:autoSpaceDE w:val="0"/>
        <w:autoSpaceDN w:val="0"/>
        <w:adjustRightInd w:val="0"/>
        <w:ind w:left="3960"/>
      </w:pPr>
      <w:r w:rsidRPr="003F5315">
        <w:t>Telephone</w:t>
      </w:r>
      <w:r>
        <w:t xml:space="preserve"> [O’Brien]</w:t>
      </w:r>
      <w:r w:rsidRPr="003F5315">
        <w:t xml:space="preserve">: </w:t>
      </w:r>
      <w:r w:rsidRPr="003D4A9D">
        <w:t>(614) 466-95</w:t>
      </w:r>
      <w:r>
        <w:t>31</w:t>
      </w:r>
    </w:p>
    <w:p w:rsidR="00E60209" w:rsidRPr="003F5315" w:rsidP="00E60209" w14:paraId="12AE7F40" w14:textId="77777777">
      <w:pPr>
        <w:autoSpaceDE w:val="0"/>
        <w:autoSpaceDN w:val="0"/>
        <w:adjustRightInd w:val="0"/>
        <w:ind w:left="3960"/>
      </w:pPr>
      <w:r>
        <w:t>Telephone [Healey]: (614) 466-9571</w:t>
      </w:r>
    </w:p>
    <w:p w:rsidR="00E60209" w:rsidP="00E60209" w14:paraId="4B546BDA" w14:textId="77777777">
      <w:pPr>
        <w:ind w:left="3960"/>
      </w:pPr>
      <w:hyperlink r:id="rId6" w:history="1">
        <w:r w:rsidRPr="00ED3048" w:rsidR="00E418DF">
          <w:rPr>
            <w:rStyle w:val="Hyperlink"/>
          </w:rPr>
          <w:t>angela.obrien@occ.ohio.gov</w:t>
        </w:r>
      </w:hyperlink>
    </w:p>
    <w:p w:rsidR="00E60209" w:rsidRPr="003F5315" w:rsidP="00E60209" w14:paraId="00BA6D7B" w14:textId="77777777">
      <w:pPr>
        <w:ind w:left="3960"/>
      </w:pPr>
      <w:hyperlink r:id="rId7" w:history="1">
        <w:r w:rsidRPr="00E86FD6" w:rsidR="00643E79">
          <w:rPr>
            <w:rStyle w:val="Hyperlink"/>
          </w:rPr>
          <w:t>christopher.healey@occ.ohio.gov</w:t>
        </w:r>
      </w:hyperlink>
    </w:p>
    <w:p w:rsidR="00341759" w:rsidP="00E60209" w14:paraId="0B06AEA6" w14:textId="77777777">
      <w:pPr>
        <w:ind w:left="3240" w:firstLine="720"/>
        <w:rPr>
          <w:rFonts w:eastAsia="Calibri"/>
        </w:rPr>
      </w:pPr>
      <w:r w:rsidRPr="003F5315">
        <w:rPr>
          <w:rFonts w:eastAsia="Calibri"/>
        </w:rPr>
        <w:t>(willing to accept service by e-mail)</w:t>
      </w:r>
    </w:p>
    <w:p w:rsidR="00E60209" w:rsidP="00E60209" w14:paraId="1A66DB2B" w14:textId="77777777">
      <w:pPr>
        <w:ind w:left="3240" w:firstLine="720"/>
      </w:pPr>
    </w:p>
    <w:p w:rsidR="00035EEB" w:rsidRPr="003F5315" w:rsidP="00341759" w14:paraId="76F2BCD3" w14:textId="77777777">
      <w:pPr>
        <w:ind w:left="3240" w:firstLine="720"/>
        <w:rPr>
          <w:rFonts w:eastAsia="Calibri"/>
        </w:rPr>
      </w:pPr>
      <w:r w:rsidRPr="003F5315">
        <w:t xml:space="preserve">Kimberly W. Bojko </w:t>
      </w:r>
      <w:r w:rsidRPr="003F5315">
        <w:rPr>
          <w:rFonts w:eastAsia="Calibri"/>
        </w:rPr>
        <w:t xml:space="preserve">(0069402) </w:t>
      </w:r>
    </w:p>
    <w:p w:rsidR="00035EEB" w:rsidRPr="003F5315" w:rsidP="00035EEB" w14:paraId="5942D5B0" w14:textId="77777777">
      <w:pPr>
        <w:ind w:left="3960"/>
      </w:pPr>
      <w:r w:rsidRPr="003F5315">
        <w:t>Carpenter Lipps &amp; Leland LLP</w:t>
      </w:r>
    </w:p>
    <w:p w:rsidR="00035EEB" w:rsidRPr="003F5315" w:rsidP="00035EEB" w14:paraId="740C99E0" w14:textId="77777777">
      <w:pPr>
        <w:ind w:left="3960"/>
      </w:pPr>
      <w:r w:rsidRPr="003F5315">
        <w:t>280 Plaza, Suite 1300</w:t>
      </w:r>
    </w:p>
    <w:p w:rsidR="00035EEB" w:rsidRPr="003F5315" w:rsidP="00035EEB" w14:paraId="22781785" w14:textId="77777777">
      <w:pPr>
        <w:ind w:left="3960"/>
      </w:pPr>
      <w:r w:rsidRPr="003F5315">
        <w:t>280 N. High Street</w:t>
      </w:r>
    </w:p>
    <w:p w:rsidR="00035EEB" w:rsidRPr="003F5315" w:rsidP="00035EEB" w14:paraId="742B0794" w14:textId="77777777">
      <w:pPr>
        <w:ind w:left="3960"/>
      </w:pPr>
      <w:r w:rsidRPr="003F5315">
        <w:t>Columbus, Ohio 43215</w:t>
      </w:r>
    </w:p>
    <w:p w:rsidR="00035EEB" w:rsidRPr="003F5315" w:rsidP="00035EEB" w14:paraId="31CEB6CC" w14:textId="77777777">
      <w:pPr>
        <w:ind w:left="3960"/>
      </w:pPr>
      <w:r w:rsidRPr="003F5315">
        <w:t>Telephone: (614) 365-4124</w:t>
      </w:r>
    </w:p>
    <w:p w:rsidR="00035EEB" w:rsidRPr="003F5315" w:rsidP="00035EEB" w14:paraId="624777AA" w14:textId="77777777">
      <w:pPr>
        <w:ind w:left="3960"/>
      </w:pPr>
      <w:r w:rsidRPr="003F5315">
        <w:rPr>
          <w:color w:val="0000FF"/>
          <w:u w:val="single"/>
        </w:rPr>
        <w:t>bojko@carpenterlipps.com</w:t>
      </w:r>
    </w:p>
    <w:p w:rsidR="00035EEB" w:rsidRPr="003F5315" w:rsidP="00035EEB" w14:paraId="6AC6A081" w14:textId="77777777">
      <w:pPr>
        <w:tabs>
          <w:tab w:val="center" w:pos="4680"/>
          <w:tab w:val="right" w:pos="9360"/>
        </w:tabs>
        <w:ind w:left="3960"/>
        <w:rPr>
          <w:rFonts w:eastAsia="Calibri"/>
        </w:rPr>
      </w:pPr>
      <w:r w:rsidRPr="003F5315">
        <w:rPr>
          <w:rFonts w:eastAsia="Calibri"/>
        </w:rPr>
        <w:t>(willing to accept service by e-mail)</w:t>
      </w:r>
    </w:p>
    <w:p w:rsidR="00035EEB" w:rsidRPr="003F5315" w:rsidP="00035EEB" w14:paraId="61085658" w14:textId="77777777">
      <w:pPr>
        <w:spacing w:before="120"/>
        <w:ind w:left="3960"/>
        <w:rPr>
          <w:i/>
          <w:iCs/>
        </w:rPr>
      </w:pPr>
      <w:r w:rsidRPr="003F5315">
        <w:rPr>
          <w:i/>
          <w:iCs/>
        </w:rPr>
        <w:t>Counsel for the</w:t>
      </w:r>
    </w:p>
    <w:p w:rsidR="00260D82" w:rsidP="00035EEB" w14:paraId="17E553F3" w14:textId="77777777">
      <w:pPr>
        <w:ind w:left="3240" w:firstLine="720"/>
        <w:rPr>
          <w:i/>
          <w:iCs/>
        </w:rPr>
      </w:pPr>
      <w:r w:rsidRPr="003F5315">
        <w:rPr>
          <w:i/>
          <w:iCs/>
        </w:rPr>
        <w:t>Office of the Ohio Consumers’ Counsel</w:t>
      </w:r>
    </w:p>
    <w:p w:rsidR="00260D82" w:rsidP="00035EEB" w14:paraId="53D24CEB" w14:textId="77777777">
      <w:pPr>
        <w:ind w:left="3240" w:firstLine="720"/>
        <w:rPr>
          <w:szCs w:val="20"/>
        </w:rPr>
        <w:sectPr w:rsidSect="00DE52A7">
          <w:headerReference w:type="even" r:id="rId13"/>
          <w:headerReference w:type="default" r:id="rId14"/>
          <w:footerReference w:type="default" r:id="rId15"/>
          <w:headerReference w:type="first" r:id="rId16"/>
          <w:footerReference w:type="first" r:id="rId17"/>
          <w:pgSz w:w="12240" w:h="15840" w:code="1"/>
          <w:pgMar w:top="1620" w:right="1800" w:bottom="1440" w:left="1800" w:header="450" w:footer="720" w:gutter="0"/>
          <w:pgNumType w:start="1"/>
          <w:cols w:space="720"/>
          <w:titlePg/>
          <w:docGrid w:linePitch="326"/>
        </w:sectPr>
      </w:pPr>
    </w:p>
    <w:p w:rsidR="002339D1" w:rsidRPr="003F5315" w:rsidP="002339D1" w14:paraId="45DDC3B0" w14:textId="77777777">
      <w:pPr>
        <w:pStyle w:val="HTMLPreformatted"/>
        <w:jc w:val="center"/>
        <w:rPr>
          <w:rFonts w:ascii="Times New Roman" w:hAnsi="Times New Roman" w:cs="Times New Roman"/>
          <w:b/>
          <w:bCs/>
          <w:sz w:val="24"/>
          <w:szCs w:val="24"/>
        </w:rPr>
      </w:pPr>
      <w:r w:rsidRPr="003F5315">
        <w:rPr>
          <w:rFonts w:ascii="Times New Roman" w:hAnsi="Times New Roman" w:cs="Times New Roman"/>
          <w:b/>
          <w:bCs/>
          <w:sz w:val="24"/>
          <w:szCs w:val="24"/>
        </w:rPr>
        <w:t>BEFORE</w:t>
      </w:r>
    </w:p>
    <w:p w:rsidR="002339D1" w:rsidRPr="003F5315" w:rsidP="002339D1" w14:paraId="67A91B7D" w14:textId="77777777">
      <w:pPr>
        <w:pStyle w:val="HTMLPreformatted"/>
        <w:jc w:val="center"/>
        <w:rPr>
          <w:rFonts w:ascii="Times New Roman" w:hAnsi="Times New Roman" w:cs="Times New Roman"/>
          <w:b/>
          <w:bCs/>
          <w:sz w:val="24"/>
          <w:szCs w:val="24"/>
        </w:rPr>
      </w:pPr>
      <w:r w:rsidRPr="003F5315">
        <w:rPr>
          <w:rFonts w:ascii="Times New Roman" w:hAnsi="Times New Roman" w:cs="Times New Roman"/>
          <w:b/>
          <w:bCs/>
          <w:sz w:val="24"/>
          <w:szCs w:val="24"/>
        </w:rPr>
        <w:t>THE PUBLIC UTILITIES COMMISSION OF OHIO</w:t>
      </w:r>
    </w:p>
    <w:p w:rsidR="002339D1" w:rsidRPr="003F5315" w:rsidP="002339D1" w14:paraId="5D908178" w14:textId="77777777">
      <w:pPr>
        <w:pStyle w:val="HTMLPreformatted"/>
        <w:jc w:val="center"/>
        <w:rPr>
          <w:rFonts w:ascii="Times New Roman" w:hAnsi="Times New Roman" w:cs="Times New Roman"/>
          <w:b/>
          <w:bCs/>
          <w:sz w:val="24"/>
          <w:szCs w:val="24"/>
        </w:rPr>
      </w:pPr>
    </w:p>
    <w:tbl>
      <w:tblPr>
        <w:tblW w:w="8910" w:type="dxa"/>
        <w:jc w:val="center"/>
        <w:tblLook w:val="01E0"/>
      </w:tblPr>
      <w:tblGrid>
        <w:gridCol w:w="4408"/>
        <w:gridCol w:w="296"/>
        <w:gridCol w:w="4206"/>
      </w:tblGrid>
      <w:tr w14:paraId="6B95ECD5" w14:textId="77777777" w:rsidTr="00035EEB">
        <w:tblPrEx>
          <w:tblW w:w="8910" w:type="dxa"/>
          <w:jc w:val="center"/>
          <w:tblLook w:val="01E0"/>
        </w:tblPrEx>
        <w:trPr>
          <w:trHeight w:val="807"/>
          <w:jc w:val="center"/>
        </w:trPr>
        <w:tc>
          <w:tcPr>
            <w:tcW w:w="4408" w:type="dxa"/>
            <w:shd w:val="clear" w:color="auto" w:fill="auto"/>
          </w:tcPr>
          <w:p w:rsidR="002339D1" w:rsidRPr="003F5315" w:rsidP="00035EEB" w14:paraId="0BC3CA7D" w14:textId="77777777">
            <w:pPr>
              <w:autoSpaceDE w:val="0"/>
              <w:autoSpaceDN w:val="0"/>
              <w:adjustRightInd w:val="0"/>
            </w:pPr>
            <w:r w:rsidRPr="003F5315">
              <w:rPr>
                <w:rFonts w:eastAsiaTheme="minorHAnsi"/>
              </w:rPr>
              <w:t xml:space="preserve">In the Matter of the Commission’s Investigation into </w:t>
            </w:r>
            <w:r>
              <w:rPr>
                <w:rFonts w:eastAsiaTheme="minorHAnsi"/>
              </w:rPr>
              <w:t>Verde Energy USA Ohio</w:t>
            </w:r>
            <w:r w:rsidRPr="003F5315">
              <w:rPr>
                <w:rFonts w:eastAsiaTheme="minorHAnsi"/>
              </w:rPr>
              <w:t>, LLC</w:t>
            </w:r>
            <w:r>
              <w:rPr>
                <w:rFonts w:eastAsiaTheme="minorHAnsi"/>
              </w:rPr>
              <w:t>’s</w:t>
            </w:r>
            <w:r w:rsidRPr="003F5315">
              <w:rPr>
                <w:rFonts w:eastAsiaTheme="minorHAnsi"/>
              </w:rPr>
              <w:t xml:space="preserve"> Compliance with the Ohio Administrative Code and Potential Remedial Actions for Non-Compliance.</w:t>
            </w:r>
          </w:p>
        </w:tc>
        <w:tc>
          <w:tcPr>
            <w:tcW w:w="296" w:type="dxa"/>
            <w:shd w:val="clear" w:color="auto" w:fill="auto"/>
          </w:tcPr>
          <w:p w:rsidR="002339D1" w:rsidRPr="003F5315" w:rsidP="00035EEB" w14:paraId="713BD47B"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2339D1" w:rsidRPr="003F5315" w:rsidP="00035EEB" w14:paraId="1F535FEE"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2339D1" w:rsidRPr="003F5315" w:rsidP="00035EEB" w14:paraId="5C940101"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2339D1" w:rsidRPr="003F5315" w:rsidP="00035EEB" w14:paraId="34F77182"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w:t>
            </w:r>
          </w:p>
          <w:p w:rsidR="002339D1" w:rsidRPr="003F5315" w:rsidP="002E7BC9" w14:paraId="13CA6285"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206" w:type="dxa"/>
            <w:shd w:val="clear" w:color="auto" w:fill="auto"/>
          </w:tcPr>
          <w:p w:rsidR="002339D1" w:rsidRPr="003F5315" w:rsidP="00035EEB" w14:paraId="56323712" w14:textId="77777777">
            <w:pPr>
              <w:pStyle w:val="HTMLPreformatted"/>
              <w:rPr>
                <w:rFonts w:ascii="Times New Roman" w:hAnsi="Times New Roman" w:cs="Times New Roman"/>
                <w:sz w:val="24"/>
                <w:szCs w:val="24"/>
              </w:rPr>
            </w:pPr>
          </w:p>
          <w:p w:rsidR="002339D1" w:rsidRPr="003F5315" w:rsidP="00035EEB" w14:paraId="5F779490" w14:textId="77777777">
            <w:pPr>
              <w:pStyle w:val="HTMLPreformatted"/>
              <w:rPr>
                <w:rFonts w:ascii="Times New Roman" w:hAnsi="Times New Roman" w:cs="Times New Roman"/>
                <w:sz w:val="24"/>
                <w:szCs w:val="24"/>
              </w:rPr>
            </w:pPr>
            <w:r w:rsidRPr="003F5315">
              <w:rPr>
                <w:rFonts w:ascii="Times New Roman" w:hAnsi="Times New Roman" w:cs="Times New Roman"/>
                <w:sz w:val="24"/>
                <w:szCs w:val="24"/>
              </w:rPr>
              <w:t xml:space="preserve">Case No. </w:t>
            </w:r>
            <w:r w:rsidRPr="003F5315">
              <w:rPr>
                <w:rFonts w:ascii="Times New Roman" w:eastAsia="Courier New" w:hAnsi="Times New Roman" w:cs="Times New Roman"/>
                <w:sz w:val="24"/>
                <w:szCs w:val="24"/>
              </w:rPr>
              <w:t>19-95</w:t>
            </w:r>
            <w:r w:rsidR="002E7BC9">
              <w:rPr>
                <w:rFonts w:ascii="Times New Roman" w:eastAsia="Courier New" w:hAnsi="Times New Roman" w:cs="Times New Roman"/>
                <w:sz w:val="24"/>
                <w:szCs w:val="24"/>
              </w:rPr>
              <w:t>8</w:t>
            </w:r>
            <w:r w:rsidRPr="003F5315">
              <w:rPr>
                <w:rFonts w:ascii="Times New Roman" w:eastAsia="Courier New" w:hAnsi="Times New Roman" w:cs="Times New Roman"/>
                <w:sz w:val="24"/>
                <w:szCs w:val="24"/>
              </w:rPr>
              <w:t>-GE-COI</w:t>
            </w:r>
          </w:p>
          <w:p w:rsidR="002339D1" w:rsidRPr="003F5315" w:rsidP="00035EEB" w14:paraId="098B4F27" w14:textId="77777777">
            <w:pPr>
              <w:pStyle w:val="HTMLPreformatted"/>
              <w:rPr>
                <w:rFonts w:ascii="Times New Roman" w:hAnsi="Times New Roman" w:cs="Times New Roman"/>
                <w:sz w:val="24"/>
                <w:szCs w:val="24"/>
              </w:rPr>
            </w:pPr>
          </w:p>
          <w:p w:rsidR="002339D1" w:rsidRPr="003F5315" w:rsidP="00035EEB" w14:paraId="406841CA" w14:textId="77777777">
            <w:pPr>
              <w:pStyle w:val="HTMLPreformatted"/>
              <w:rPr>
                <w:rFonts w:ascii="Times New Roman" w:hAnsi="Times New Roman" w:cs="Times New Roman"/>
                <w:sz w:val="24"/>
                <w:szCs w:val="24"/>
              </w:rPr>
            </w:pPr>
          </w:p>
          <w:p w:rsidR="002339D1" w:rsidRPr="003F5315" w:rsidP="00035EEB" w14:paraId="7AB0CC2E" w14:textId="77777777">
            <w:pPr>
              <w:pStyle w:val="HTMLPreformatted"/>
              <w:rPr>
                <w:rFonts w:ascii="Times New Roman" w:hAnsi="Times New Roman" w:cs="Times New Roman"/>
                <w:sz w:val="24"/>
                <w:szCs w:val="24"/>
              </w:rPr>
            </w:pPr>
          </w:p>
        </w:tc>
      </w:tr>
    </w:tbl>
    <w:p w:rsidR="002339D1" w:rsidRPr="003F5315" w:rsidP="002339D1" w14:paraId="71AB8569" w14:textId="77777777">
      <w:pPr>
        <w:pStyle w:val="BodyText"/>
        <w:pBdr>
          <w:bottom w:val="single" w:sz="8" w:space="1" w:color="000000"/>
        </w:pBdr>
      </w:pPr>
    </w:p>
    <w:p w:rsidR="002339D1" w:rsidRPr="003F5315" w:rsidP="002339D1" w14:paraId="5C2A0BD9" w14:textId="77777777">
      <w:pPr>
        <w:pStyle w:val="HTMLPreformatted"/>
        <w:rPr>
          <w:rFonts w:ascii="Times New Roman" w:hAnsi="Times New Roman" w:cs="Times New Roman"/>
          <w:sz w:val="24"/>
          <w:szCs w:val="24"/>
        </w:rPr>
      </w:pPr>
    </w:p>
    <w:p w:rsidR="002339D1" w:rsidRPr="003F5315" w:rsidP="002339D1" w14:paraId="541563AA" w14:textId="77777777">
      <w:pPr>
        <w:jc w:val="center"/>
        <w:rPr>
          <w:b/>
        </w:rPr>
      </w:pPr>
      <w:r>
        <w:rPr>
          <w:rFonts w:asciiTheme="majorBidi" w:hAnsiTheme="majorBidi" w:cstheme="majorBidi"/>
          <w:b/>
        </w:rPr>
        <w:t>MEMORANDUM IN SUPPORT</w:t>
      </w:r>
    </w:p>
    <w:p w:rsidR="002339D1" w:rsidRPr="003F5315" w:rsidP="002339D1" w14:paraId="539D56CF" w14:textId="77777777">
      <w:pPr>
        <w:pStyle w:val="BodyText"/>
        <w:pBdr>
          <w:bottom w:val="single" w:sz="8" w:space="1" w:color="000000"/>
        </w:pBdr>
      </w:pPr>
    </w:p>
    <w:p w:rsidR="002339D1" w:rsidP="002339D1" w14:paraId="56182C2C" w14:textId="77777777">
      <w:pPr>
        <w:tabs>
          <w:tab w:val="left" w:pos="720"/>
          <w:tab w:val="left" w:pos="1440"/>
          <w:tab w:val="left" w:leader="dot" w:pos="8640"/>
        </w:tabs>
        <w:jc w:val="both"/>
      </w:pPr>
    </w:p>
    <w:p w:rsidR="002339D1" w:rsidP="004F2590" w14:paraId="7863802D" w14:textId="77777777">
      <w:pPr>
        <w:pStyle w:val="Heading1"/>
      </w:pPr>
      <w:bookmarkStart w:id="7" w:name="_Toc36109925"/>
      <w:bookmarkStart w:id="8" w:name="_Toc36220252"/>
      <w:r w:rsidRPr="00391689">
        <w:t>I.</w:t>
      </w:r>
      <w:r w:rsidRPr="00391689">
        <w:tab/>
      </w:r>
      <w:r w:rsidRPr="008F11F2">
        <w:t>INTRODUCTION</w:t>
      </w:r>
      <w:bookmarkEnd w:id="7"/>
      <w:bookmarkEnd w:id="8"/>
    </w:p>
    <w:p w:rsidR="004F2590" w:rsidRPr="004F2590" w:rsidP="004F2590" w14:paraId="1C3949A4" w14:textId="77777777"/>
    <w:p w:rsidR="00CF6002" w14:paraId="5CCAE5D4" w14:textId="77777777">
      <w:pPr>
        <w:tabs>
          <w:tab w:val="left" w:pos="720"/>
          <w:tab w:val="left" w:pos="1440"/>
          <w:tab w:val="left" w:leader="dot" w:pos="8640"/>
        </w:tabs>
        <w:spacing w:line="480" w:lineRule="auto"/>
        <w:ind w:firstLine="720"/>
      </w:pPr>
      <w:r>
        <w:rPr>
          <w:szCs w:val="20"/>
        </w:rPr>
        <w:t>Verde</w:t>
      </w:r>
      <w:r w:rsidRPr="003F5315" w:rsidR="00AA0C25">
        <w:rPr>
          <w:szCs w:val="20"/>
        </w:rPr>
        <w:t xml:space="preserve"> </w:t>
      </w:r>
      <w:r w:rsidR="009376E1">
        <w:rPr>
          <w:szCs w:val="20"/>
        </w:rPr>
        <w:t xml:space="preserve">knowingly </w:t>
      </w:r>
      <w:r w:rsidRPr="003F5315" w:rsidR="00AA0C25">
        <w:rPr>
          <w:szCs w:val="20"/>
        </w:rPr>
        <w:t xml:space="preserve">charged some </w:t>
      </w:r>
      <w:r w:rsidRPr="003F5315" w:rsidR="00AA0C25">
        <w:t>consumers</w:t>
      </w:r>
      <w:r w:rsidR="003D3FF1">
        <w:t xml:space="preserve"> exorbitant</w:t>
      </w:r>
      <w:r w:rsidR="001734B7">
        <w:t>, unconscionable</w:t>
      </w:r>
      <w:r w:rsidR="003D3FF1">
        <w:t xml:space="preserve"> rates up to</w:t>
      </w:r>
      <w:r w:rsidRPr="003F5315" w:rsidR="00AA0C25">
        <w:t xml:space="preserve"> f</w:t>
      </w:r>
      <w:r>
        <w:t>our</w:t>
      </w:r>
      <w:r w:rsidRPr="003F5315" w:rsidR="00AA0C25">
        <w:t xml:space="preserve"> times more than the rates charged by the c</w:t>
      </w:r>
      <w:r w:rsidR="00AA0C25">
        <w:t>onsumers’</w:t>
      </w:r>
      <w:r w:rsidRPr="003F5315" w:rsidR="00AA0C25">
        <w:t xml:space="preserve"> incumbent electric and natural gas utilities</w:t>
      </w:r>
      <w:r w:rsidR="00435253">
        <w:t>.</w:t>
      </w:r>
      <w:r>
        <w:rPr>
          <w:rStyle w:val="FootnoteReference"/>
        </w:rPr>
        <w:footnoteReference w:id="12"/>
      </w:r>
      <w:r w:rsidR="00C36C81">
        <w:t xml:space="preserve"> </w:t>
      </w:r>
      <w:r w:rsidR="00435253">
        <w:t>It is also well-established that Verde</w:t>
      </w:r>
      <w:r>
        <w:t xml:space="preserve"> </w:t>
      </w:r>
      <w:r w:rsidR="00435253">
        <w:t xml:space="preserve">engaged in </w:t>
      </w:r>
      <w:r w:rsidR="007D350C">
        <w:t xml:space="preserve">other </w:t>
      </w:r>
      <w:r w:rsidR="00435253">
        <w:t>unfair, misleading, deceptive, and unconscionable acts and practices in its marketing and supplying of electricity and natural gas services to Ohioans.</w:t>
      </w:r>
      <w:r>
        <w:rPr>
          <w:rStyle w:val="FootnoteReference"/>
        </w:rPr>
        <w:footnoteReference w:id="13"/>
      </w:r>
      <w:r w:rsidRPr="003F5315" w:rsidR="00AA0C25">
        <w:t xml:space="preserve"> These unlawful practices were documented in </w:t>
      </w:r>
      <w:r w:rsidR="00435253">
        <w:t>517</w:t>
      </w:r>
      <w:r w:rsidRPr="003F5315" w:rsidR="00AA0C25">
        <w:t xml:space="preserve"> consumer complaints and contacts </w:t>
      </w:r>
      <w:r w:rsidR="007D350C">
        <w:t xml:space="preserve">Ohioans made to the PUCO’s call center regarding </w:t>
      </w:r>
      <w:r w:rsidR="00435253">
        <w:t>Verde</w:t>
      </w:r>
      <w:r w:rsidR="007D350C">
        <w:t>.</w:t>
      </w:r>
      <w:r>
        <w:rPr>
          <w:rStyle w:val="FootnoteReference"/>
        </w:rPr>
        <w:footnoteReference w:id="14"/>
      </w:r>
      <w:r w:rsidRPr="003F5315" w:rsidR="00AA0C25">
        <w:t xml:space="preserve"> </w:t>
      </w:r>
      <w:r w:rsidR="00AA0C25">
        <w:t>Th</w:t>
      </w:r>
      <w:r w:rsidR="007D350C">
        <w:t>e</w:t>
      </w:r>
      <w:r w:rsidR="00435253">
        <w:t xml:space="preserve"> evidence </w:t>
      </w:r>
      <w:r w:rsidR="007D350C">
        <w:t>provided in the Staff Report, and the PUCO</w:t>
      </w:r>
      <w:r w:rsidR="00443BA7">
        <w:t>’s</w:t>
      </w:r>
      <w:r w:rsidR="007D350C">
        <w:t xml:space="preserve"> files concerning customers</w:t>
      </w:r>
      <w:r w:rsidR="00443BA7">
        <w:t>’</w:t>
      </w:r>
      <w:r w:rsidR="007D350C">
        <w:t xml:space="preserve"> complaints </w:t>
      </w:r>
      <w:r w:rsidR="00435253">
        <w:t>shows that</w:t>
      </w:r>
      <w:r w:rsidRPr="003F5315" w:rsidR="00AA0C25">
        <w:t xml:space="preserve"> </w:t>
      </w:r>
      <w:r w:rsidR="00DB08EC">
        <w:t>Verde</w:t>
      </w:r>
      <w:r w:rsidRPr="003F5315" w:rsidR="00AA0C25">
        <w:t xml:space="preserve"> </w:t>
      </w:r>
      <w:r w:rsidR="007D350C">
        <w:t>had misled</w:t>
      </w:r>
      <w:r w:rsidR="00B0660B">
        <w:t xml:space="preserve"> customers</w:t>
      </w:r>
      <w:r w:rsidR="007D350C">
        <w:t xml:space="preserve"> by using </w:t>
      </w:r>
      <w:r w:rsidRPr="003F5315" w:rsidR="00AA0C25">
        <w:t xml:space="preserve">deceptive marketing practices, </w:t>
      </w:r>
      <w:r w:rsidR="00174BD6">
        <w:t>spoofing,</w:t>
      </w:r>
      <w:r w:rsidR="00CE7003">
        <w:t xml:space="preserve"> </w:t>
      </w:r>
      <w:r w:rsidR="00DB08EC">
        <w:t xml:space="preserve">and </w:t>
      </w:r>
      <w:r w:rsidR="00CE7003">
        <w:t>fail</w:t>
      </w:r>
      <w:r w:rsidR="00631E07">
        <w:t>ing</w:t>
      </w:r>
      <w:r w:rsidR="00C36C81">
        <w:t xml:space="preserve"> </w:t>
      </w:r>
      <w:r w:rsidR="00CE7003">
        <w:t xml:space="preserve">to provide </w:t>
      </w:r>
      <w:r w:rsidR="00631E07">
        <w:t xml:space="preserve">them </w:t>
      </w:r>
      <w:r w:rsidR="00CE7003">
        <w:t>notice of contract renewals</w:t>
      </w:r>
      <w:r w:rsidRPr="003F5315" w:rsidR="00AA0C25">
        <w:t>.</w:t>
      </w:r>
      <w:r>
        <w:rPr>
          <w:rStyle w:val="FootnoteReference"/>
        </w:rPr>
        <w:footnoteReference w:id="15"/>
      </w:r>
      <w:r w:rsidR="0081468C">
        <w:t xml:space="preserve"> </w:t>
      </w:r>
    </w:p>
    <w:p w:rsidR="00B17EE5" w:rsidRPr="003F5315" w:rsidP="001C4A7A" w14:paraId="6EDFDA44" w14:textId="77777777">
      <w:pPr>
        <w:tabs>
          <w:tab w:val="left" w:pos="720"/>
          <w:tab w:val="left" w:pos="1440"/>
          <w:tab w:val="left" w:leader="dot" w:pos="8640"/>
        </w:tabs>
        <w:spacing w:line="480" w:lineRule="auto"/>
        <w:ind w:firstLine="720"/>
      </w:pPr>
      <w:r>
        <w:t xml:space="preserve">The record evidence </w:t>
      </w:r>
      <w:r w:rsidR="00CF6002">
        <w:t xml:space="preserve">also </w:t>
      </w:r>
      <w:r>
        <w:t>shows that Verde</w:t>
      </w:r>
      <w:r w:rsidR="00DB08EC">
        <w:t xml:space="preserve"> </w:t>
      </w:r>
      <w:r>
        <w:t xml:space="preserve">tried to deceive </w:t>
      </w:r>
      <w:r w:rsidR="003D3FF1">
        <w:t>the</w:t>
      </w:r>
      <w:r>
        <w:t xml:space="preserve"> Chief of the PUCO’s Reliability and Service Analysis Division.</w:t>
      </w:r>
      <w:r>
        <w:rPr>
          <w:rStyle w:val="FootnoteReference"/>
        </w:rPr>
        <w:footnoteReference w:id="16"/>
      </w:r>
      <w:r w:rsidRPr="003F5315" w:rsidR="00AA0C25">
        <w:t xml:space="preserve"> </w:t>
      </w:r>
      <w:r>
        <w:t>The evidence demonstrates that Verde regularly “spoofed” (</w:t>
      </w:r>
      <w:r>
        <w:rPr>
          <w:i/>
          <w:iCs/>
        </w:rPr>
        <w:t>i.e.</w:t>
      </w:r>
      <w:r>
        <w:t xml:space="preserve"> falsified</w:t>
      </w:r>
      <w:r w:rsidR="00CD1E79">
        <w:t>)</w:t>
      </w:r>
      <w:r>
        <w:t xml:space="preserve"> caller identification information</w:t>
      </w:r>
      <w:r w:rsidR="00CD1E79">
        <w:t xml:space="preserve"> during telemarketing calls to mislead customers into believing they were answering </w:t>
      </w:r>
      <w:r w:rsidR="00945500">
        <w:t>calls</w:t>
      </w:r>
      <w:r w:rsidR="00CD1E79">
        <w:t xml:space="preserve"> from the IRS or from their local utilities.</w:t>
      </w:r>
      <w:r>
        <w:rPr>
          <w:rStyle w:val="FootnoteReference"/>
        </w:rPr>
        <w:footnoteReference w:id="17"/>
      </w:r>
      <w:r>
        <w:t xml:space="preserve"> </w:t>
      </w:r>
      <w:r w:rsidR="003D3FF1">
        <w:t>Attorney Examiner</w:t>
      </w:r>
      <w:r w:rsidR="007C652C">
        <w:t xml:space="preserve"> Price</w:t>
      </w:r>
      <w:r w:rsidR="003D3FF1">
        <w:t xml:space="preserve"> </w:t>
      </w:r>
      <w:r w:rsidR="00DB08EC">
        <w:t xml:space="preserve">even </w:t>
      </w:r>
      <w:r w:rsidR="003D3FF1">
        <w:t>stated that “the record is clear there was spoofing” by Verde.</w:t>
      </w:r>
      <w:r>
        <w:rPr>
          <w:rStyle w:val="FootnoteReference"/>
        </w:rPr>
        <w:footnoteReference w:id="18"/>
      </w:r>
      <w:r w:rsidRPr="003F5315" w:rsidR="00AA0C25">
        <w:t xml:space="preserve"> </w:t>
      </w:r>
      <w:r w:rsidR="001920ED">
        <w:t>In addition to violating numerous PUCO rules,</w:t>
      </w:r>
      <w:r>
        <w:rPr>
          <w:rStyle w:val="FootnoteReference"/>
        </w:rPr>
        <w:footnoteReference w:id="19"/>
      </w:r>
      <w:r w:rsidR="001920ED">
        <w:t xml:space="preserve"> spoofing can also violate the federal Truth in Caller ID Act.</w:t>
      </w:r>
      <w:r>
        <w:rPr>
          <w:rStyle w:val="FootnoteReference"/>
        </w:rPr>
        <w:footnoteReference w:id="20"/>
      </w:r>
    </w:p>
    <w:p w:rsidR="002D397D" w:rsidP="00630B32" w14:paraId="1CC56442" w14:textId="77777777">
      <w:pPr>
        <w:tabs>
          <w:tab w:val="left" w:pos="720"/>
          <w:tab w:val="left" w:pos="1440"/>
          <w:tab w:val="left" w:leader="dot" w:pos="8640"/>
        </w:tabs>
        <w:spacing w:line="480" w:lineRule="auto"/>
        <w:ind w:firstLine="720"/>
        <w:rPr>
          <w:szCs w:val="20"/>
        </w:rPr>
      </w:pPr>
      <w:r>
        <w:t xml:space="preserve">There was a </w:t>
      </w:r>
      <w:r w:rsidR="00CD1E79">
        <w:t>mountain</w:t>
      </w:r>
      <w:r w:rsidR="00AA0C25">
        <w:t xml:space="preserve"> of evidence demonstrating that </w:t>
      </w:r>
      <w:r w:rsidR="00CD1E79">
        <w:t>Verde</w:t>
      </w:r>
      <w:r w:rsidR="00AA0C25">
        <w:t xml:space="preserve"> engaged in unfair, misleading, deceptive, and unconscionable marketing practices </w:t>
      </w:r>
      <w:r w:rsidR="00174BD6">
        <w:t>harming</w:t>
      </w:r>
      <w:r w:rsidR="00AA0C25">
        <w:t xml:space="preserve"> Ohio consumers</w:t>
      </w:r>
      <w:r>
        <w:t>. But</w:t>
      </w:r>
      <w:r w:rsidR="00AA0C25">
        <w:t xml:space="preserve"> the PUCO approved </w:t>
      </w:r>
      <w:r w:rsidR="00DB08EC">
        <w:t>a</w:t>
      </w:r>
      <w:r w:rsidR="00AA0C25">
        <w:t xml:space="preserve"> Settlement entered into </w:t>
      </w:r>
      <w:r w:rsidR="00DB08EC">
        <w:t>by</w:t>
      </w:r>
      <w:r w:rsidR="00AA0C25">
        <w:t xml:space="preserve"> </w:t>
      </w:r>
      <w:r w:rsidR="00CD1E79">
        <w:t>Verde</w:t>
      </w:r>
      <w:r w:rsidR="00AA0C25">
        <w:t xml:space="preserve"> and </w:t>
      </w:r>
      <w:r w:rsidR="00DB08EC">
        <w:t xml:space="preserve">the PUCO </w:t>
      </w:r>
      <w:r w:rsidR="00AA0C25">
        <w:t xml:space="preserve">Staff that </w:t>
      </w:r>
      <w:r w:rsidR="00DB08EC">
        <w:t xml:space="preserve">does </w:t>
      </w:r>
      <w:r w:rsidR="00037D29">
        <w:t>not adequately</w:t>
      </w:r>
      <w:r w:rsidR="00AA0C25">
        <w:t xml:space="preserve"> protect consumers from </w:t>
      </w:r>
      <w:r w:rsidR="0032262C">
        <w:t>Verde</w:t>
      </w:r>
      <w:r w:rsidR="00AA0C25">
        <w:t xml:space="preserve">’s predatory </w:t>
      </w:r>
      <w:r w:rsidR="00945500">
        <w:t>business practices</w:t>
      </w:r>
      <w:r w:rsidR="00CD56C9">
        <w:t>.</w:t>
      </w:r>
      <w:r>
        <w:rPr>
          <w:rStyle w:val="FootnoteReference"/>
        </w:rPr>
        <w:footnoteReference w:id="21"/>
      </w:r>
      <w:r w:rsidR="00AA0C25">
        <w:t xml:space="preserve"> The Settlement</w:t>
      </w:r>
      <w:r w:rsidR="00770D0E">
        <w:t xml:space="preserve"> </w:t>
      </w:r>
      <w:r>
        <w:t xml:space="preserve">is inadequate for </w:t>
      </w:r>
      <w:r w:rsidR="00770D0E">
        <w:t>consumer</w:t>
      </w:r>
      <w:r>
        <w:t xml:space="preserve"> protection</w:t>
      </w:r>
      <w:r w:rsidR="00770D0E">
        <w:t xml:space="preserve"> because it</w:t>
      </w:r>
      <w:r w:rsidR="00AA0C25">
        <w:t>: (</w:t>
      </w:r>
      <w:r w:rsidR="00AA0C25">
        <w:rPr>
          <w:szCs w:val="20"/>
        </w:rPr>
        <w:t xml:space="preserve">1) </w:t>
      </w:r>
      <w:r w:rsidR="00F83B0F">
        <w:rPr>
          <w:szCs w:val="20"/>
        </w:rPr>
        <w:t xml:space="preserve">lacks specific </w:t>
      </w:r>
      <w:r w:rsidR="00770D0E">
        <w:rPr>
          <w:szCs w:val="20"/>
        </w:rPr>
        <w:t xml:space="preserve">guidelines for Verde to reform its </w:t>
      </w:r>
      <w:r w:rsidR="00AA0C25">
        <w:rPr>
          <w:szCs w:val="20"/>
        </w:rPr>
        <w:t>predatory</w:t>
      </w:r>
      <w:r w:rsidR="00F83B0F">
        <w:rPr>
          <w:szCs w:val="20"/>
        </w:rPr>
        <w:t xml:space="preserve"> marketing</w:t>
      </w:r>
      <w:r w:rsidR="00AA0C25">
        <w:rPr>
          <w:szCs w:val="20"/>
        </w:rPr>
        <w:t xml:space="preserve"> practices</w:t>
      </w:r>
      <w:r w:rsidR="00DB08EC">
        <w:rPr>
          <w:szCs w:val="20"/>
        </w:rPr>
        <w:t xml:space="preserve"> in the future</w:t>
      </w:r>
      <w:r w:rsidR="00F83B0F">
        <w:rPr>
          <w:szCs w:val="20"/>
        </w:rPr>
        <w:t>;</w:t>
      </w:r>
      <w:r w:rsidR="00AA0C25">
        <w:rPr>
          <w:szCs w:val="20"/>
        </w:rPr>
        <w:t xml:space="preserve"> (2) </w:t>
      </w:r>
      <w:r w:rsidR="00CD1E79">
        <w:rPr>
          <w:szCs w:val="20"/>
        </w:rPr>
        <w:t>provide</w:t>
      </w:r>
      <w:r w:rsidR="00B878DF">
        <w:rPr>
          <w:szCs w:val="20"/>
        </w:rPr>
        <w:t>s</w:t>
      </w:r>
      <w:r w:rsidR="00CD1E79">
        <w:rPr>
          <w:szCs w:val="20"/>
        </w:rPr>
        <w:t xml:space="preserve"> </w:t>
      </w:r>
      <w:r w:rsidR="00F83B0F">
        <w:rPr>
          <w:szCs w:val="20"/>
        </w:rPr>
        <w:t>zero</w:t>
      </w:r>
      <w:r w:rsidR="00CD1E79">
        <w:rPr>
          <w:szCs w:val="20"/>
        </w:rPr>
        <w:t xml:space="preserve"> refunds</w:t>
      </w:r>
      <w:r w:rsidR="00B878DF">
        <w:rPr>
          <w:szCs w:val="20"/>
        </w:rPr>
        <w:t xml:space="preserve"> </w:t>
      </w:r>
      <w:r w:rsidR="00F83B0F">
        <w:rPr>
          <w:szCs w:val="20"/>
        </w:rPr>
        <w:t xml:space="preserve">to Verde’s </w:t>
      </w:r>
      <w:r w:rsidR="00CD1E79">
        <w:rPr>
          <w:szCs w:val="20"/>
        </w:rPr>
        <w:t>natural gas customers who were harmed</w:t>
      </w:r>
      <w:r w:rsidR="00F83B0F">
        <w:rPr>
          <w:szCs w:val="20"/>
        </w:rPr>
        <w:t>;</w:t>
      </w:r>
      <w:r w:rsidR="00CD1E79">
        <w:rPr>
          <w:szCs w:val="20"/>
        </w:rPr>
        <w:t xml:space="preserve"> </w:t>
      </w:r>
      <w:r w:rsidR="00AA0C25">
        <w:t xml:space="preserve">and (3) </w:t>
      </w:r>
      <w:r w:rsidR="00B878DF">
        <w:t>d</w:t>
      </w:r>
      <w:r w:rsidR="00DB08EC">
        <w:t>oes not require</w:t>
      </w:r>
      <w:r w:rsidR="00F83B0F">
        <w:t xml:space="preserve"> Verde</w:t>
      </w:r>
      <w:r w:rsidR="00DB08EC">
        <w:t xml:space="preserve"> to immediately reform it business practices to protect Verde’s</w:t>
      </w:r>
      <w:r w:rsidR="00F83B0F">
        <w:t xml:space="preserve"> </w:t>
      </w:r>
      <w:r w:rsidR="00770D0E">
        <w:t xml:space="preserve">existing customers </w:t>
      </w:r>
      <w:r w:rsidR="00B878DF">
        <w:t>(</w:t>
      </w:r>
      <w:r w:rsidR="00F83B0F">
        <w:t>who</w:t>
      </w:r>
      <w:r w:rsidR="00B878DF">
        <w:t xml:space="preserve"> Verde </w:t>
      </w:r>
      <w:r w:rsidR="00DB08EC">
        <w:t xml:space="preserve">continues </w:t>
      </w:r>
      <w:r w:rsidR="00B878DF">
        <w:t>to serve</w:t>
      </w:r>
      <w:r w:rsidR="00DB08EC">
        <w:t xml:space="preserve"> today</w:t>
      </w:r>
      <w:r w:rsidR="00B878DF">
        <w:t xml:space="preserve">) </w:t>
      </w:r>
      <w:r w:rsidR="00770D0E">
        <w:t>from harm</w:t>
      </w:r>
      <w:r w:rsidR="00F83B0F">
        <w:t>,</w:t>
      </w:r>
      <w:r w:rsidR="00770D0E">
        <w:t xml:space="preserve"> </w:t>
      </w:r>
      <w:r w:rsidRPr="00DB08EC" w:rsidR="00770D0E">
        <w:rPr>
          <w:i/>
          <w:iCs/>
        </w:rPr>
        <w:t xml:space="preserve">despite the PUCO Staff’s </w:t>
      </w:r>
      <w:r w:rsidRPr="00DB08EC" w:rsidR="00DD5133">
        <w:rPr>
          <w:i/>
          <w:iCs/>
        </w:rPr>
        <w:t>determination</w:t>
      </w:r>
      <w:r w:rsidRPr="00DB08EC" w:rsidR="00770D0E">
        <w:rPr>
          <w:i/>
          <w:iCs/>
        </w:rPr>
        <w:t xml:space="preserve"> that Verde is incapable of providing adequate service to Ohio consumers</w:t>
      </w:r>
      <w:r w:rsidR="00770D0E">
        <w:t>.</w:t>
      </w:r>
      <w:r w:rsidR="00945500">
        <w:t xml:space="preserve"> The Settlement also imposes a forfeiture on Verde that is less than half of the $1.5 million that the PUCO Staff recommended in the Staff Report</w:t>
      </w:r>
      <w:r w:rsidR="005D15C7">
        <w:t>. The forfeiture</w:t>
      </w:r>
      <w:r w:rsidR="00413000">
        <w:t xml:space="preserve"> </w:t>
      </w:r>
      <w:r w:rsidR="00945500">
        <w:t xml:space="preserve">is insufficient to deter Verde from abusing </w:t>
      </w:r>
      <w:r w:rsidR="00413000">
        <w:t xml:space="preserve">Ohio </w:t>
      </w:r>
      <w:r w:rsidR="00945500">
        <w:t>customers.</w:t>
      </w:r>
      <w:r w:rsidR="00770D0E">
        <w:t xml:space="preserve"> </w:t>
      </w:r>
      <w:r w:rsidR="00CF6002">
        <w:t>And Verde is free once again</w:t>
      </w:r>
      <w:r>
        <w:t xml:space="preserve"> to</w:t>
      </w:r>
      <w:r w:rsidR="00CF6002">
        <w:t xml:space="preserve"> begin marketing its services to customers in Ohio, starting in October of this year</w:t>
      </w:r>
      <w:r w:rsidR="0006025F">
        <w:t>.</w:t>
      </w:r>
      <w:r w:rsidR="00CF6002">
        <w:t xml:space="preserve"> </w:t>
      </w:r>
      <w:r w:rsidR="0006025F">
        <w:t>T</w:t>
      </w:r>
      <w:r w:rsidR="00CF6002">
        <w:t xml:space="preserve">he PUCO should have zero tolerance of marketer misdeeds </w:t>
      </w:r>
      <w:r>
        <w:t xml:space="preserve">(meaning one </w:t>
      </w:r>
      <w:r w:rsidR="00503D17">
        <w:t xml:space="preserve">and </w:t>
      </w:r>
      <w:r>
        <w:t>done</w:t>
      </w:r>
      <w:r w:rsidR="00503D17">
        <w:t>,</w:t>
      </w:r>
      <w:r w:rsidR="00CD56C9">
        <w:t xml:space="preserve"> </w:t>
      </w:r>
      <w:r w:rsidR="00503D17">
        <w:t>for</w:t>
      </w:r>
      <w:r w:rsidR="00CD56C9">
        <w:t xml:space="preserve"> the </w:t>
      </w:r>
      <w:r w:rsidR="00503D17">
        <w:t xml:space="preserve">marketer’s </w:t>
      </w:r>
      <w:r w:rsidR="00CD56C9">
        <w:t xml:space="preserve">privilege of serving </w:t>
      </w:r>
      <w:r>
        <w:t>Ohio</w:t>
      </w:r>
      <w:r w:rsidR="00CD56C9">
        <w:t>ans</w:t>
      </w:r>
      <w:r>
        <w:t xml:space="preserve">). </w:t>
      </w:r>
      <w:r w:rsidR="00B50869">
        <w:t>The PUCO</w:t>
      </w:r>
      <w:r w:rsidR="0006025F">
        <w:t xml:space="preserve"> should grant this application for rehearing.</w:t>
      </w:r>
    </w:p>
    <w:p w:rsidR="00F433DE" w:rsidP="00C36C81" w14:paraId="5BA3EDB3" w14:textId="77777777">
      <w:pPr>
        <w:tabs>
          <w:tab w:val="left" w:pos="720"/>
          <w:tab w:val="left" w:pos="1440"/>
          <w:tab w:val="left" w:leader="dot" w:pos="8640"/>
        </w:tabs>
      </w:pPr>
      <w:r>
        <w:rPr>
          <w:szCs w:val="20"/>
        </w:rPr>
        <w:tab/>
      </w:r>
    </w:p>
    <w:p w:rsidR="00630B32" w:rsidP="00630B32" w14:paraId="3AE2CEEF" w14:textId="77777777">
      <w:pPr>
        <w:pStyle w:val="Heading1"/>
      </w:pPr>
      <w:bookmarkStart w:id="9" w:name="_Toc36109926"/>
      <w:bookmarkStart w:id="10" w:name="_Toc36220253"/>
      <w:r>
        <w:t>II.</w:t>
      </w:r>
      <w:r>
        <w:tab/>
      </w:r>
      <w:r w:rsidRPr="008F11F2">
        <w:t>STANDARD OF REVIEW</w:t>
      </w:r>
      <w:bookmarkEnd w:id="9"/>
      <w:bookmarkEnd w:id="10"/>
    </w:p>
    <w:p w:rsidR="00630B32" w:rsidRPr="00630B32" w:rsidP="00630B32" w14:paraId="2A2977AC" w14:textId="77777777"/>
    <w:p w:rsidR="00630B32" w:rsidRPr="00D43BEF" w:rsidP="00630B32" w14:paraId="13E0DAF4" w14:textId="77777777">
      <w:pPr>
        <w:spacing w:line="480" w:lineRule="auto"/>
        <w:ind w:firstLine="720"/>
      </w:pPr>
      <w:r w:rsidRPr="00D43BEF">
        <w:t xml:space="preserve">After </w:t>
      </w:r>
      <w:r w:rsidR="002D397D">
        <w:t xml:space="preserve">the PUCO issues </w:t>
      </w:r>
      <w:r w:rsidRPr="00D43BEF">
        <w:t>an order, an</w:t>
      </w:r>
      <w:r w:rsidR="002D397D">
        <w:t xml:space="preserve">y party </w:t>
      </w:r>
      <w:r w:rsidRPr="00D43BEF">
        <w:t>in a PUCO proceeding has a statutory right to apply for rehearing “in respect to any matters determined in the proceeding.”</w:t>
      </w:r>
      <w:r>
        <w:rPr>
          <w:rStyle w:val="FootnoteReference"/>
        </w:rPr>
        <w:footnoteReference w:id="22"/>
      </w:r>
      <w:r w:rsidRPr="00D43BEF">
        <w:t xml:space="preserve"> An application for rehearing must be in writing and “set forth specifically the ground or grounds on which the applicant considers the order to be unreasonable or unlawful.”</w:t>
      </w:r>
      <w:r>
        <w:rPr>
          <w:rStyle w:val="FootnoteReference"/>
        </w:rPr>
        <w:footnoteReference w:id="23"/>
      </w:r>
    </w:p>
    <w:p w:rsidR="00630B32" w:rsidRPr="00D43BEF" w:rsidP="00630B32" w14:paraId="343C7179" w14:textId="77777777">
      <w:pPr>
        <w:spacing w:line="480" w:lineRule="auto"/>
        <w:ind w:firstLine="720"/>
      </w:pPr>
      <w:r w:rsidRPr="00D43BEF">
        <w:t>In considering an application for rehearing, R.C. 4903.10 provides that the PUCO may grant and hold rehearing if there is “sufficient reason” to do so. After such rehearing, the PUCO may “abrogate or modify” the order in question if the PUCO “is of the opinion that the original order or any part thereof is in any respect unjust or unwarranted.”</w:t>
      </w:r>
      <w:r>
        <w:rPr>
          <w:rStyle w:val="FootnoteReference"/>
        </w:rPr>
        <w:footnoteReference w:id="24"/>
      </w:r>
    </w:p>
    <w:p w:rsidR="00630B32" w:rsidP="00630B32" w14:paraId="0DD9F698" w14:textId="77777777">
      <w:pPr>
        <w:tabs>
          <w:tab w:val="left" w:pos="720"/>
          <w:tab w:val="left" w:pos="1440"/>
          <w:tab w:val="left" w:leader="dot" w:pos="8640"/>
        </w:tabs>
        <w:spacing w:line="480" w:lineRule="auto"/>
        <w:ind w:firstLine="720"/>
      </w:pPr>
      <w:r w:rsidRPr="00D43BEF">
        <w:t xml:space="preserve">As </w:t>
      </w:r>
      <w:r w:rsidR="00F83B0F">
        <w:t xml:space="preserve">further </w:t>
      </w:r>
      <w:r w:rsidRPr="00D43BEF">
        <w:t xml:space="preserve">explained below, this standard has been met. The PUCO should </w:t>
      </w:r>
      <w:r>
        <w:t xml:space="preserve">grant rehearing and </w:t>
      </w:r>
      <w:r w:rsidRPr="00D43BEF">
        <w:t xml:space="preserve">abrogate or modify its </w:t>
      </w:r>
      <w:r>
        <w:t>Order</w:t>
      </w:r>
      <w:r w:rsidRPr="00D43BEF">
        <w:t xml:space="preserve"> </w:t>
      </w:r>
      <w:r>
        <w:t xml:space="preserve">consistent with the recommendations set forth </w:t>
      </w:r>
      <w:r w:rsidR="002D397D">
        <w:t>below.</w:t>
      </w:r>
      <w:r w:rsidR="001920ED">
        <w:t xml:space="preserve"> </w:t>
      </w:r>
    </w:p>
    <w:p w:rsidR="00F433DE" w:rsidRPr="00B878DF" w:rsidP="00F433DE" w14:paraId="7DD5CB34" w14:textId="77777777">
      <w:pPr>
        <w:tabs>
          <w:tab w:val="left" w:pos="720"/>
          <w:tab w:val="left" w:pos="1440"/>
          <w:tab w:val="left" w:leader="dot" w:pos="8640"/>
        </w:tabs>
        <w:ind w:firstLine="720"/>
        <w:rPr>
          <w:szCs w:val="20"/>
        </w:rPr>
      </w:pPr>
    </w:p>
    <w:p w:rsidR="00B1349B" w:rsidP="00F01600" w14:paraId="0DE18D9E" w14:textId="77777777">
      <w:pPr>
        <w:pStyle w:val="Heading1"/>
      </w:pPr>
      <w:bookmarkStart w:id="11" w:name="_Toc36109927"/>
      <w:bookmarkStart w:id="12" w:name="_Toc36220254"/>
      <w:bookmarkStart w:id="13" w:name="_Hlk14276124"/>
      <w:r>
        <w:t>III.</w:t>
      </w:r>
      <w:r>
        <w:tab/>
      </w:r>
      <w:r w:rsidRPr="008F11F2" w:rsidR="002339D1">
        <w:t>ASSIGNMENTS OF ERROR</w:t>
      </w:r>
      <w:bookmarkEnd w:id="11"/>
      <w:bookmarkEnd w:id="12"/>
    </w:p>
    <w:p w:rsidR="00F01600" w:rsidRPr="00F01600" w:rsidP="00F01600" w14:paraId="2102A677" w14:textId="77777777"/>
    <w:p w:rsidR="00E051CD" w:rsidP="00D92FDF" w14:paraId="7DB8E251" w14:textId="77777777">
      <w:pPr>
        <w:pStyle w:val="Heading2"/>
      </w:pPr>
      <w:bookmarkStart w:id="14" w:name="_Toc36109928"/>
      <w:bookmarkStart w:id="15" w:name="_Toc36220255"/>
      <w:r>
        <w:t xml:space="preserve">ASSIGNMENT OF ERROR NO. 1: </w:t>
      </w:r>
      <w:r w:rsidRPr="008F1C95">
        <w:t>The PUCO erred by unlawfully, unreasonably, and unfairly shifting the burden of proof in this proceeding to OCC while simultaneously restricting and limiting OCC’s ability to prove the violations set forth in the 517 customer contact and complaints in the Staff Report.</w:t>
      </w:r>
      <w:bookmarkEnd w:id="14"/>
      <w:bookmarkEnd w:id="15"/>
    </w:p>
    <w:p w:rsidR="005D7763" w:rsidP="00391111" w14:paraId="38CF3B62" w14:textId="77777777">
      <w:pPr>
        <w:pStyle w:val="Heading3"/>
        <w:rPr>
          <w:rFonts w:hint="eastAsia"/>
        </w:rPr>
      </w:pPr>
      <w:bookmarkStart w:id="16" w:name="_Toc36220256"/>
      <w:r>
        <w:rPr>
          <w:rStyle w:val="Heading3Char"/>
        </w:rPr>
        <w:t>A.</w:t>
      </w:r>
      <w:r>
        <w:rPr>
          <w:rStyle w:val="Heading3Char"/>
        </w:rPr>
        <w:tab/>
      </w:r>
      <w:r w:rsidRPr="00391111" w:rsidR="003D63EC">
        <w:rPr>
          <w:rStyle w:val="Heading3Char"/>
        </w:rPr>
        <w:t>Verde was supposed to show cause why its certifications should</w:t>
      </w:r>
      <w:r w:rsidRPr="003D63EC" w:rsidR="003D63EC">
        <w:t xml:space="preserve"> not be suspended or rescinded, but after the Staff settled with Verde the PUCO wrongly treated OCC as if it bore the burden of proof.</w:t>
      </w:r>
      <w:bookmarkEnd w:id="16"/>
    </w:p>
    <w:p w:rsidR="00E02927" w:rsidP="007954FE" w14:paraId="0125DF1E" w14:textId="77777777">
      <w:pPr>
        <w:pStyle w:val="NormalWeb"/>
        <w:spacing w:before="0" w:beforeAutospacing="0" w:after="0" w:afterAutospacing="0" w:line="480" w:lineRule="auto"/>
        <w:ind w:firstLine="720"/>
        <w:rPr>
          <w:color w:val="000000"/>
        </w:rPr>
      </w:pPr>
      <w:r>
        <w:rPr>
          <w:color w:val="000000"/>
        </w:rPr>
        <w:t>T</w:t>
      </w:r>
      <w:r w:rsidR="00F83B0F">
        <w:rPr>
          <w:color w:val="000000"/>
        </w:rPr>
        <w:t xml:space="preserve">he PUCO ordered </w:t>
      </w:r>
      <w:r w:rsidR="00630B32">
        <w:rPr>
          <w:color w:val="000000"/>
        </w:rPr>
        <w:t>Verde</w:t>
      </w:r>
      <w:r w:rsidRPr="00351F96" w:rsidR="00AA0C25">
        <w:rPr>
          <w:color w:val="000000"/>
        </w:rPr>
        <w:t xml:space="preserve"> to respond to the findings in the Staff Report and </w:t>
      </w:r>
      <w:r w:rsidR="007954FE">
        <w:rPr>
          <w:color w:val="000000"/>
        </w:rPr>
        <w:t>“show cause why its certification as a CRES provider and its certification as a CRNGS supplier should not be suspended, rescinded, or conditionally rescinded</w:t>
      </w:r>
      <w:r w:rsidRPr="00351F96" w:rsidR="00AA0C25">
        <w:rPr>
          <w:color w:val="000000"/>
        </w:rPr>
        <w:t>.</w:t>
      </w:r>
      <w:r w:rsidR="007954FE">
        <w:rPr>
          <w:color w:val="000000"/>
        </w:rPr>
        <w:t>”</w:t>
      </w:r>
      <w:r>
        <w:rPr>
          <w:rStyle w:val="FootnoteReference"/>
          <w:color w:val="000000"/>
        </w:rPr>
        <w:footnoteReference w:id="25"/>
      </w:r>
      <w:r w:rsidRPr="00351F96" w:rsidR="00222EB5">
        <w:rPr>
          <w:color w:val="000000"/>
        </w:rPr>
        <w:t xml:space="preserve"> </w:t>
      </w:r>
      <w:r w:rsidR="00543EB2">
        <w:rPr>
          <w:color w:val="000000"/>
        </w:rPr>
        <w:t>Plainly</w:t>
      </w:r>
      <w:r w:rsidR="007954FE">
        <w:rPr>
          <w:color w:val="000000"/>
        </w:rPr>
        <w:t xml:space="preserve">, </w:t>
      </w:r>
      <w:r>
        <w:rPr>
          <w:color w:val="000000"/>
        </w:rPr>
        <w:t xml:space="preserve">by these words, </w:t>
      </w:r>
      <w:r w:rsidR="007954FE">
        <w:rPr>
          <w:color w:val="000000"/>
        </w:rPr>
        <w:t>t</w:t>
      </w:r>
      <w:r w:rsidRPr="00351F96" w:rsidR="00222EB5">
        <w:rPr>
          <w:color w:val="000000"/>
        </w:rPr>
        <w:t xml:space="preserve">he PUCO </w:t>
      </w:r>
      <w:r w:rsidRPr="00351F96" w:rsidR="00AA0C25">
        <w:rPr>
          <w:color w:val="000000"/>
        </w:rPr>
        <w:t xml:space="preserve">directed </w:t>
      </w:r>
      <w:r w:rsidRPr="00543EB2" w:rsidR="007954FE">
        <w:rPr>
          <w:i/>
          <w:iCs/>
          <w:color w:val="000000"/>
        </w:rPr>
        <w:t>Verde</w:t>
      </w:r>
      <w:r w:rsidRPr="00351F96" w:rsidR="00AA0C25">
        <w:rPr>
          <w:color w:val="000000"/>
        </w:rPr>
        <w:t xml:space="preserve"> to carry the burden of responding to the Staff Report. </w:t>
      </w:r>
    </w:p>
    <w:p w:rsidR="00B50238" w:rsidP="007954FE" w14:paraId="24ED4470" w14:textId="77777777">
      <w:pPr>
        <w:pStyle w:val="NormalWeb"/>
        <w:spacing w:before="0" w:beforeAutospacing="0" w:after="0" w:afterAutospacing="0" w:line="480" w:lineRule="auto"/>
        <w:ind w:firstLine="720"/>
      </w:pPr>
      <w:r>
        <w:rPr>
          <w:color w:val="000000"/>
        </w:rPr>
        <w:t xml:space="preserve">But </w:t>
      </w:r>
      <w:r w:rsidR="003C6B3B">
        <w:t>Verde</w:t>
      </w:r>
      <w:r w:rsidRPr="007954FE" w:rsidR="00D13254">
        <w:t xml:space="preserve"> did not </w:t>
      </w:r>
      <w:r>
        <w:t xml:space="preserve">meet its </w:t>
      </w:r>
      <w:r w:rsidRPr="007954FE" w:rsidR="00D13254">
        <w:t>burden</w:t>
      </w:r>
      <w:r>
        <w:t>; nor did it even attempt to address its burden</w:t>
      </w:r>
      <w:r w:rsidR="00543EB2">
        <w:t>.</w:t>
      </w:r>
      <w:r w:rsidR="00062BF5">
        <w:t xml:space="preserve"> Indeed, Verde declined to present a single witness to the PUCO to </w:t>
      </w:r>
      <w:r>
        <w:t>prove</w:t>
      </w:r>
      <w:r w:rsidR="00062BF5">
        <w:t xml:space="preserve"> anything.</w:t>
      </w:r>
      <w:r w:rsidR="00C36C81">
        <w:t xml:space="preserve"> </w:t>
      </w:r>
    </w:p>
    <w:p w:rsidR="005A274F" w:rsidRPr="003C6B3B" w:rsidP="005A274F" w14:paraId="3D673B8E" w14:textId="77777777">
      <w:pPr>
        <w:pStyle w:val="NormalWeb"/>
        <w:spacing w:before="0" w:beforeAutospacing="0" w:after="0" w:afterAutospacing="0" w:line="480" w:lineRule="auto"/>
        <w:ind w:firstLine="720"/>
      </w:pPr>
      <w:r w:rsidRPr="005A274F">
        <w:rPr>
          <w:color w:val="000000"/>
        </w:rPr>
        <w:t xml:space="preserve">Alternatively, as the PUCO noted in its Order, </w:t>
      </w:r>
      <w:r>
        <w:t>the alleged violations must be proven by the complainant in this proceeding, Staff,</w:t>
      </w:r>
      <w:r w:rsidRPr="005A274F">
        <w:t xml:space="preserve"> </w:t>
      </w:r>
      <w:r>
        <w:t xml:space="preserve">inasmuch as </w:t>
      </w:r>
      <w:r w:rsidRPr="005A274F">
        <w:t xml:space="preserve">R.C. 4928.16 and 4929.24 authorize the PUCO to </w:t>
      </w:r>
      <w:r w:rsidR="00E02927">
        <w:t>in</w:t>
      </w:r>
      <w:r w:rsidR="00A8269B">
        <w:t>i</w:t>
      </w:r>
      <w:r w:rsidR="00E02927">
        <w:t>tiate</w:t>
      </w:r>
      <w:r w:rsidR="00C36C81">
        <w:t xml:space="preserve"> </w:t>
      </w:r>
      <w:r w:rsidRPr="005A274F">
        <w:t>this action under</w:t>
      </w:r>
      <w:r>
        <w:t xml:space="preserve"> R.C. 4905.26.</w:t>
      </w:r>
      <w:r>
        <w:rPr>
          <w:rStyle w:val="FootnoteReference"/>
        </w:rPr>
        <w:footnoteReference w:id="26"/>
      </w:r>
      <w:r w:rsidR="00F433DE">
        <w:t xml:space="preserve"> </w:t>
      </w:r>
      <w:r>
        <w:t>“It is well established that, in proceedings brought under R.C. 4905.26, the complaining party bears the burden of proof.</w:t>
      </w:r>
      <w:r w:rsidR="00F433DE">
        <w:t xml:space="preserve"> </w:t>
      </w:r>
      <w:r w:rsidRPr="00222EB5">
        <w:rPr>
          <w:i/>
        </w:rPr>
        <w:t>Grossman v. Pub. Util. Comm.</w:t>
      </w:r>
      <w:r>
        <w:t>, 5 Ohio St. 2d 189, 214 N.E.2d 666 (1966).”</w:t>
      </w:r>
      <w:r>
        <w:rPr>
          <w:rStyle w:val="FootnoteReference"/>
        </w:rPr>
        <w:footnoteReference w:id="27"/>
      </w:r>
      <w:r w:rsidR="00F433DE">
        <w:t xml:space="preserve"> </w:t>
      </w:r>
    </w:p>
    <w:p w:rsidR="003E3B7E" w:rsidP="005A274F" w14:paraId="3C6484C6" w14:textId="77777777">
      <w:pPr>
        <w:pStyle w:val="NormalWeb"/>
        <w:spacing w:before="0" w:beforeAutospacing="0" w:after="0" w:afterAutospacing="0" w:line="480" w:lineRule="auto"/>
        <w:ind w:firstLine="720"/>
      </w:pPr>
      <w:r>
        <w:rPr>
          <w:color w:val="000000"/>
        </w:rPr>
        <w:t>B</w:t>
      </w:r>
      <w:r w:rsidRPr="003C6B3B" w:rsidR="00AA0C25">
        <w:rPr>
          <w:color w:val="000000"/>
        </w:rPr>
        <w:t xml:space="preserve">y the very authority cited and relied upon by the PUCO in its Order, OCC did not, and cannot, bear the burden of proof in this proceeding. </w:t>
      </w:r>
      <w:r w:rsidRPr="003C6B3B" w:rsidR="00AA0C25">
        <w:t>Notwithstanding the foregoing, the PUCO</w:t>
      </w:r>
      <w:r w:rsidR="00A8269B">
        <w:t>, through its numerous rulings during the proceeding,</w:t>
      </w:r>
      <w:r w:rsidRPr="003C6B3B" w:rsidR="00AA0C25">
        <w:t xml:space="preserve"> unilaterally and unlawfully shifted the burden of proof to OCC</w:t>
      </w:r>
      <w:r>
        <w:t>.</w:t>
      </w:r>
      <w:r w:rsidR="00C36C81">
        <w:t xml:space="preserve"> </w:t>
      </w:r>
      <w:r>
        <w:t xml:space="preserve">And then it proceeded to find that </w:t>
      </w:r>
      <w:r w:rsidRPr="003C6B3B" w:rsidR="00AA0C25">
        <w:t>OCC</w:t>
      </w:r>
      <w:r>
        <w:t xml:space="preserve"> failed </w:t>
      </w:r>
      <w:r w:rsidRPr="003C6B3B" w:rsidR="00AA0C25">
        <w:t xml:space="preserve">to satisfy this burden of </w:t>
      </w:r>
      <w:r w:rsidRPr="003C6B3B" w:rsidR="00A037F4">
        <w:t>proof,</w:t>
      </w:r>
      <w:r>
        <w:t xml:space="preserve"> thus </w:t>
      </w:r>
      <w:r w:rsidRPr="003C6B3B" w:rsidR="00AA0C25">
        <w:t>warrant</w:t>
      </w:r>
      <w:r>
        <w:t xml:space="preserve">ing the PUCO’s </w:t>
      </w:r>
      <w:r w:rsidRPr="003C6B3B" w:rsidR="00AA0C25">
        <w:t xml:space="preserve">approval of the Settlement. </w:t>
      </w:r>
    </w:p>
    <w:p w:rsidR="00E26FCA" w:rsidP="005A274F" w14:paraId="77467B57" w14:textId="77777777">
      <w:pPr>
        <w:pStyle w:val="NormalWeb"/>
        <w:spacing w:before="0" w:beforeAutospacing="0" w:after="0" w:afterAutospacing="0" w:line="480" w:lineRule="auto"/>
        <w:ind w:firstLine="720"/>
        <w:rPr>
          <w:color w:val="000000"/>
          <w:sz w:val="23"/>
          <w:szCs w:val="23"/>
        </w:rPr>
      </w:pPr>
      <w:r>
        <w:t xml:space="preserve">In this regard, </w:t>
      </w:r>
      <w:r w:rsidRPr="003C6B3B" w:rsidR="00AA0C25">
        <w:t xml:space="preserve">the PUCO concluded that </w:t>
      </w:r>
      <w:r w:rsidRPr="003C6B3B" w:rsidR="00AA0C25">
        <w:rPr>
          <w:color w:val="000000"/>
        </w:rPr>
        <w:t>OCC’s testimony was not specific enough to identify which complaint files were reviewed, which customers were harmed, how the customers were harmed, and which rules were violated.</w:t>
      </w:r>
      <w:r>
        <w:rPr>
          <w:rStyle w:val="FootnoteReference"/>
          <w:color w:val="000000"/>
        </w:rPr>
        <w:footnoteReference w:id="28"/>
      </w:r>
      <w:r w:rsidRPr="003C6B3B" w:rsidR="00AA0C25">
        <w:rPr>
          <w:color w:val="000000"/>
        </w:rPr>
        <w:t xml:space="preserve"> The Order </w:t>
      </w:r>
      <w:r>
        <w:rPr>
          <w:color w:val="000000"/>
        </w:rPr>
        <w:t xml:space="preserve">also </w:t>
      </w:r>
      <w:r w:rsidRPr="003C6B3B" w:rsidR="00AA0C25">
        <w:rPr>
          <w:color w:val="000000"/>
        </w:rPr>
        <w:t>stated that there was not sufficient evidence in the record to prove, by a preponderance of evidence, many of the violations raised by OCC because OCC failed to specifically identify each rule that was violated, how many times each rule was violated, and what evidence in the complaint files support each alleged violation</w:t>
      </w:r>
      <w:r>
        <w:rPr>
          <w:color w:val="000000"/>
        </w:rPr>
        <w:t>.</w:t>
      </w:r>
      <w:r w:rsidR="00C36C81">
        <w:rPr>
          <w:color w:val="000000"/>
        </w:rPr>
        <w:t xml:space="preserve"> </w:t>
      </w:r>
      <w:r>
        <w:rPr>
          <w:color w:val="000000"/>
        </w:rPr>
        <w:t xml:space="preserve">The PUCO found that OCC’s approach to the case </w:t>
      </w:r>
      <w:r w:rsidRPr="003C6B3B" w:rsidR="00AA0C25">
        <w:rPr>
          <w:color w:val="000000"/>
        </w:rPr>
        <w:t xml:space="preserve">precluded </w:t>
      </w:r>
      <w:r w:rsidR="00BC0FE9">
        <w:rPr>
          <w:color w:val="000000"/>
        </w:rPr>
        <w:t>Verde</w:t>
      </w:r>
      <w:r w:rsidRPr="003C6B3B" w:rsidR="00AA0C25">
        <w:rPr>
          <w:color w:val="000000"/>
        </w:rPr>
        <w:t xml:space="preserve"> from </w:t>
      </w:r>
      <w:r w:rsidR="00F10143">
        <w:rPr>
          <w:color w:val="000000"/>
        </w:rPr>
        <w:t>responding</w:t>
      </w:r>
      <w:r w:rsidRPr="003C6B3B" w:rsidR="00AA0C25">
        <w:rPr>
          <w:color w:val="000000"/>
        </w:rPr>
        <w:t xml:space="preserve"> to allegations and</w:t>
      </w:r>
      <w:r w:rsidR="00F10143">
        <w:rPr>
          <w:color w:val="000000"/>
        </w:rPr>
        <w:t xml:space="preserve"> denied Verde</w:t>
      </w:r>
      <w:r w:rsidRPr="003C6B3B" w:rsidR="00AA0C25">
        <w:rPr>
          <w:color w:val="000000"/>
        </w:rPr>
        <w:t xml:space="preserve"> due process.</w:t>
      </w:r>
      <w:r>
        <w:rPr>
          <w:rStyle w:val="FootnoteReference"/>
          <w:color w:val="000000"/>
        </w:rPr>
        <w:footnoteReference w:id="29"/>
      </w:r>
      <w:r w:rsidR="00F433DE">
        <w:rPr>
          <w:color w:val="000000"/>
        </w:rPr>
        <w:t xml:space="preserve"> </w:t>
      </w:r>
    </w:p>
    <w:p w:rsidR="009E56B9" w:rsidP="005A274F" w14:paraId="65F6A985" w14:textId="77777777">
      <w:pPr>
        <w:pStyle w:val="NormalWeb"/>
        <w:spacing w:before="0" w:beforeAutospacing="0" w:after="0" w:afterAutospacing="0" w:line="480" w:lineRule="auto"/>
        <w:ind w:firstLine="720"/>
        <w:rPr>
          <w:color w:val="000000"/>
        </w:rPr>
      </w:pPr>
      <w:r>
        <w:rPr>
          <w:color w:val="000000"/>
        </w:rPr>
        <w:t xml:space="preserve">The </w:t>
      </w:r>
      <w:r w:rsidRPr="00031E9A" w:rsidR="00AA0C25">
        <w:rPr>
          <w:color w:val="000000"/>
        </w:rPr>
        <w:t>PUCO</w:t>
      </w:r>
      <w:r w:rsidR="00F10143">
        <w:rPr>
          <w:color w:val="000000"/>
        </w:rPr>
        <w:t>’s findings</w:t>
      </w:r>
      <w:r>
        <w:rPr>
          <w:color w:val="000000"/>
        </w:rPr>
        <w:t>, however,</w:t>
      </w:r>
      <w:r w:rsidRPr="00031E9A" w:rsidR="00AA0C25">
        <w:rPr>
          <w:color w:val="000000"/>
        </w:rPr>
        <w:t xml:space="preserve"> are </w:t>
      </w:r>
      <w:r w:rsidR="00791081">
        <w:rPr>
          <w:color w:val="000000"/>
        </w:rPr>
        <w:t>inapt</w:t>
      </w:r>
      <w:r w:rsidRPr="00031E9A" w:rsidR="00791081">
        <w:rPr>
          <w:color w:val="000000"/>
        </w:rPr>
        <w:t xml:space="preserve"> </w:t>
      </w:r>
      <w:r w:rsidRPr="00031E9A" w:rsidR="00AA0C25">
        <w:rPr>
          <w:color w:val="000000"/>
        </w:rPr>
        <w:t>because they are premised upon an erroneous conclusion of law</w:t>
      </w:r>
      <w:r w:rsidR="00F10143">
        <w:rPr>
          <w:color w:val="000000"/>
        </w:rPr>
        <w:t xml:space="preserve">: </w:t>
      </w:r>
      <w:r w:rsidR="00F10143">
        <w:rPr>
          <w:i/>
          <w:iCs/>
          <w:color w:val="000000"/>
        </w:rPr>
        <w:t>i.e.</w:t>
      </w:r>
      <w:r w:rsidR="00F10143">
        <w:rPr>
          <w:color w:val="000000"/>
        </w:rPr>
        <w:t>,</w:t>
      </w:r>
      <w:r w:rsidRPr="00031E9A" w:rsidR="00AA0C25">
        <w:rPr>
          <w:color w:val="000000"/>
        </w:rPr>
        <w:t xml:space="preserve"> that OCC bears the burden of proof in this case. It does not. </w:t>
      </w:r>
      <w:r>
        <w:rPr>
          <w:color w:val="000000"/>
        </w:rPr>
        <w:t>T</w:t>
      </w:r>
      <w:r w:rsidR="00F10143">
        <w:rPr>
          <w:color w:val="000000"/>
        </w:rPr>
        <w:t xml:space="preserve">he PUCO cannot </w:t>
      </w:r>
      <w:r w:rsidRPr="00031E9A" w:rsidR="00AA0C25">
        <w:rPr>
          <w:color w:val="000000"/>
        </w:rPr>
        <w:t>rel</w:t>
      </w:r>
      <w:r w:rsidR="00F10143">
        <w:rPr>
          <w:color w:val="000000"/>
        </w:rPr>
        <w:t>y</w:t>
      </w:r>
      <w:r w:rsidRPr="00031E9A" w:rsidR="00AA0C25">
        <w:rPr>
          <w:color w:val="000000"/>
        </w:rPr>
        <w:t xml:space="preserve"> upon </w:t>
      </w:r>
      <w:r w:rsidR="00F10143">
        <w:rPr>
          <w:color w:val="000000"/>
        </w:rPr>
        <w:t xml:space="preserve">OCC’s alleged failure to prove its case </w:t>
      </w:r>
      <w:r w:rsidRPr="00031E9A" w:rsidR="00AA0C25">
        <w:rPr>
          <w:color w:val="000000"/>
        </w:rPr>
        <w:t xml:space="preserve">as </w:t>
      </w:r>
      <w:r w:rsidR="00F10143">
        <w:rPr>
          <w:color w:val="000000"/>
        </w:rPr>
        <w:t>a justification</w:t>
      </w:r>
      <w:r w:rsidRPr="00031E9A" w:rsidR="00AA0C25">
        <w:rPr>
          <w:color w:val="000000"/>
        </w:rPr>
        <w:t xml:space="preserve"> </w:t>
      </w:r>
    </w:p>
    <w:p w:rsidR="009E56B9" w14:paraId="42D24954" w14:textId="77777777">
      <w:pPr>
        <w:rPr>
          <w:color w:val="000000"/>
        </w:rPr>
      </w:pPr>
      <w:r>
        <w:rPr>
          <w:color w:val="000000"/>
        </w:rPr>
        <w:br w:type="page"/>
      </w:r>
    </w:p>
    <w:p w:rsidR="003E3B7E" w:rsidRPr="00031E9A" w:rsidP="009E56B9" w14:paraId="1853F894" w14:textId="77777777">
      <w:pPr>
        <w:pStyle w:val="NormalWeb"/>
        <w:spacing w:before="0" w:beforeAutospacing="0" w:after="0" w:afterAutospacing="0" w:line="480" w:lineRule="auto"/>
      </w:pPr>
      <w:r w:rsidRPr="00031E9A">
        <w:rPr>
          <w:color w:val="000000"/>
        </w:rPr>
        <w:t>to approve the Settlement.</w:t>
      </w:r>
      <w:r>
        <w:rPr>
          <w:rStyle w:val="FootnoteReference"/>
          <w:color w:val="000000"/>
        </w:rPr>
        <w:footnoteReference w:id="30"/>
      </w:r>
      <w:r w:rsidRPr="00031E9A">
        <w:rPr>
          <w:color w:val="000000"/>
        </w:rPr>
        <w:t xml:space="preserve"> </w:t>
      </w:r>
      <w:r w:rsidR="00F10143">
        <w:rPr>
          <w:color w:val="000000"/>
        </w:rPr>
        <w:t>But</w:t>
      </w:r>
      <w:r w:rsidRPr="00031E9A">
        <w:rPr>
          <w:color w:val="000000"/>
        </w:rPr>
        <w:t xml:space="preserve"> that is precisely what the PUCO </w:t>
      </w:r>
      <w:r w:rsidR="00A76AE6">
        <w:rPr>
          <w:color w:val="000000"/>
        </w:rPr>
        <w:t xml:space="preserve">mistakenly </w:t>
      </w:r>
      <w:r w:rsidRPr="00031E9A">
        <w:rPr>
          <w:color w:val="000000"/>
        </w:rPr>
        <w:t xml:space="preserve">did in its Order. </w:t>
      </w:r>
      <w:r w:rsidR="00543EB2">
        <w:rPr>
          <w:color w:val="000000"/>
        </w:rPr>
        <w:t>For this reason</w:t>
      </w:r>
      <w:r w:rsidRPr="00031E9A">
        <w:rPr>
          <w:color w:val="000000"/>
        </w:rPr>
        <w:t xml:space="preserve"> alone, </w:t>
      </w:r>
      <w:r w:rsidR="00543EB2">
        <w:rPr>
          <w:color w:val="000000"/>
        </w:rPr>
        <w:t xml:space="preserve">the PUCO should grant </w:t>
      </w:r>
      <w:r w:rsidRPr="00031E9A">
        <w:rPr>
          <w:color w:val="000000"/>
        </w:rPr>
        <w:t>rehearing.</w:t>
      </w:r>
    </w:p>
    <w:p w:rsidR="00E000E4" w:rsidP="003E3B7E" w14:paraId="6874102B" w14:textId="77777777">
      <w:pPr>
        <w:pStyle w:val="NormalWeb"/>
        <w:spacing w:before="0" w:beforeAutospacing="0" w:after="0" w:afterAutospacing="0" w:line="480" w:lineRule="auto"/>
        <w:ind w:firstLine="720"/>
      </w:pPr>
      <w:r>
        <w:t>Additionally, the PUCO’s burden</w:t>
      </w:r>
      <w:r w:rsidR="00607FB3">
        <w:t>-</w:t>
      </w:r>
      <w:r>
        <w:t>shifting to OCC is inconsistent with the burden of proof that applies to settlements.</w:t>
      </w:r>
      <w:r w:rsidR="00C36C81">
        <w:t xml:space="preserve"> </w:t>
      </w:r>
      <w:r>
        <w:t>I</w:t>
      </w:r>
      <w:r w:rsidR="00AA0C25">
        <w:t xml:space="preserve">t is well-established that </w:t>
      </w:r>
      <w:r w:rsidR="00031E9A">
        <w:t>Verde</w:t>
      </w:r>
      <w:r w:rsidR="00AA0C25">
        <w:t xml:space="preserve"> and the PUCO Staff, as signatories to the Settlement, carry the burden in this case of demonstrating that the Settlement was the result of serious bargaining, benefits customers and the public interest, and does not violate important regulatory principles.</w:t>
      </w:r>
      <w:r>
        <w:rPr>
          <w:rStyle w:val="FootnoteReference"/>
        </w:rPr>
        <w:footnoteReference w:id="31"/>
      </w:r>
      <w:r w:rsidR="00AA0C25">
        <w:t xml:space="preserve"> OCC does not carry the burden of proof</w:t>
      </w:r>
      <w:r>
        <w:t xml:space="preserve"> </w:t>
      </w:r>
      <w:r w:rsidR="00AA0C25">
        <w:t>on these issues either</w:t>
      </w:r>
      <w:r w:rsidR="006141B0">
        <w:t>,</w:t>
      </w:r>
      <w:r w:rsidR="00AA0C25">
        <w:t xml:space="preserve"> as a matter of law.</w:t>
      </w:r>
    </w:p>
    <w:p w:rsidR="00A46D8C" w:rsidP="00233B97" w14:paraId="479D299F" w14:textId="77777777">
      <w:pPr>
        <w:spacing w:line="480" w:lineRule="auto"/>
        <w:ind w:firstLine="720"/>
      </w:pPr>
      <w:r>
        <w:t>The PUCO</w:t>
      </w:r>
      <w:r w:rsidR="00607FB3">
        <w:t>’s</w:t>
      </w:r>
      <w:r>
        <w:t xml:space="preserve"> rules acknowledge the burden of the settling parties</w:t>
      </w:r>
      <w:r w:rsidR="00894E4E">
        <w:t>.</w:t>
      </w:r>
      <w:r w:rsidR="00C36C81">
        <w:t xml:space="preserve"> </w:t>
      </w:r>
      <w:r w:rsidR="00062BF5">
        <w:t xml:space="preserve">While the PUCO’s rules </w:t>
      </w:r>
      <w:r w:rsidRPr="004B2AF7" w:rsidR="00062BF5">
        <w:t xml:space="preserve">require </w:t>
      </w:r>
      <w:r w:rsidR="00062BF5">
        <w:t xml:space="preserve">“at least one” </w:t>
      </w:r>
      <w:r w:rsidRPr="004B2AF7" w:rsidR="00062BF5">
        <w:t xml:space="preserve">witness to </w:t>
      </w:r>
      <w:r w:rsidR="00062BF5">
        <w:t xml:space="preserve">testify in </w:t>
      </w:r>
      <w:r w:rsidRPr="004B2AF7" w:rsidR="00062BF5">
        <w:t xml:space="preserve">support </w:t>
      </w:r>
      <w:r w:rsidR="00062BF5">
        <w:t>of the</w:t>
      </w:r>
      <w:r w:rsidRPr="004B2AF7" w:rsidR="00062BF5">
        <w:t xml:space="preserve"> Settlement</w:t>
      </w:r>
      <w:r w:rsidR="00062BF5">
        <w:t>,</w:t>
      </w:r>
      <w:r>
        <w:rPr>
          <w:rStyle w:val="FootnoteReference"/>
        </w:rPr>
        <w:footnoteReference w:id="32"/>
      </w:r>
      <w:r w:rsidR="00062BF5">
        <w:t xml:space="preserve"> </w:t>
      </w:r>
      <w:r w:rsidRPr="004B2AF7" w:rsidR="00062BF5">
        <w:t xml:space="preserve">the PUCO has held that “the rule appropriately requires the signatory parties, consistent with </w:t>
      </w:r>
      <w:r w:rsidRPr="00F10143" w:rsidR="00062BF5">
        <w:rPr>
          <w:i/>
          <w:iCs/>
        </w:rPr>
        <w:t>their evidentiary burden</w:t>
      </w:r>
      <w:r w:rsidRPr="004B2AF7" w:rsidR="00062BF5">
        <w:t xml:space="preserve"> to support the stipulation, </w:t>
      </w:r>
      <w:r w:rsidRPr="00390378" w:rsidR="00062BF5">
        <w:t>to determine</w:t>
      </w:r>
      <w:r w:rsidRPr="004B2AF7" w:rsidR="00062BF5">
        <w:rPr>
          <w:i/>
          <w:iCs/>
        </w:rPr>
        <w:t xml:space="preserve"> whether testimony from multiple witnesses is necessary</w:t>
      </w:r>
      <w:r w:rsidRPr="004B2AF7" w:rsidR="00062BF5">
        <w:t xml:space="preserve"> or whether the testimony of one witness is sufficient to demonstrate that the stipulation is reasonable and satisfies the Commission’s three-part test.”</w:t>
      </w:r>
      <w:r>
        <w:rPr>
          <w:rStyle w:val="FootnoteReference"/>
        </w:rPr>
        <w:footnoteReference w:id="33"/>
      </w:r>
      <w:r w:rsidR="00233B97">
        <w:t xml:space="preserve"> </w:t>
      </w:r>
    </w:p>
    <w:p w:rsidR="00062BF5" w:rsidP="00233B97" w14:paraId="73529718" w14:textId="77777777">
      <w:pPr>
        <w:spacing w:line="480" w:lineRule="auto"/>
        <w:ind w:firstLine="720"/>
      </w:pPr>
      <w:r>
        <w:t>Verde and the PUCO Staff failed to demonstrate that the Settlement satisfies the PUCO</w:t>
      </w:r>
      <w:r w:rsidR="00607FB3">
        <w:t>’s</w:t>
      </w:r>
      <w:r>
        <w:t xml:space="preserve"> three</w:t>
      </w:r>
      <w:r w:rsidR="00607FB3">
        <w:t>-</w:t>
      </w:r>
      <w:r>
        <w:t>part test.</w:t>
      </w:r>
      <w:r w:rsidR="00C36C81">
        <w:t xml:space="preserve"> </w:t>
      </w:r>
      <w:r w:rsidR="00233B97">
        <w:t>Verde refused to present any witnesses to support the Settlement. And the testimony of PUCO Staff witness Nedra Ramsey did little more than recite the terms of the Settlement and conclusively state that the Settlement satisfied the three-part test. That is not enough.</w:t>
      </w:r>
      <w:r>
        <w:t xml:space="preserve"> </w:t>
      </w:r>
    </w:p>
    <w:p w:rsidR="00887945" w:rsidP="00F10143" w14:paraId="427B67DC" w14:textId="77777777">
      <w:pPr>
        <w:pStyle w:val="NormalWeb"/>
        <w:spacing w:before="0" w:beforeAutospacing="0" w:after="0" w:afterAutospacing="0" w:line="480" w:lineRule="auto"/>
        <w:ind w:firstLine="720"/>
      </w:pPr>
      <w:r>
        <w:t xml:space="preserve">OCC does not bear the burden of proof in this proceeding. Because the PUCO’s approval of the Settlement was premised upon </w:t>
      </w:r>
      <w:r w:rsidR="00F10143">
        <w:t xml:space="preserve">OCC’s </w:t>
      </w:r>
      <w:r>
        <w:t>alleged fail</w:t>
      </w:r>
      <w:r w:rsidR="00607FB3">
        <w:t>ures of proof</w:t>
      </w:r>
      <w:r>
        <w:t>, the PUCO should grant rehearing.</w:t>
      </w:r>
      <w:r w:rsidR="00791081">
        <w:t xml:space="preserve"> </w:t>
      </w:r>
    </w:p>
    <w:p w:rsidR="00E000E4" w:rsidP="00F10143" w14:paraId="134C2B61" w14:textId="77777777">
      <w:pPr>
        <w:pStyle w:val="NormalWeb"/>
        <w:spacing w:before="0" w:beforeAutospacing="0" w:after="0" w:afterAutospacing="0" w:line="480" w:lineRule="auto"/>
        <w:ind w:firstLine="720"/>
      </w:pPr>
      <w:r>
        <w:t xml:space="preserve">Bigger picture, in cases such as this involving an obvious bad actor </w:t>
      </w:r>
      <w:r w:rsidR="00887945">
        <w:t>like</w:t>
      </w:r>
      <w:r>
        <w:t xml:space="preserve"> Verde – and whether OCC is involved or not, the PUCO should be protecting the public by placing the burden on the regulated entity to show cause why it should not be found culpable for whatever are the misdeeds at issue. The PUCO’s order sets a bad precedent for public protection</w:t>
      </w:r>
      <w:r w:rsidR="00887945">
        <w:t xml:space="preserve"> (indeed it places the burden on the public)</w:t>
      </w:r>
      <w:r>
        <w:t xml:space="preserve">, </w:t>
      </w:r>
      <w:r w:rsidR="00B63E85">
        <w:t>and that</w:t>
      </w:r>
      <w:r>
        <w:t xml:space="preserve"> should be rectified on rehearing. </w:t>
      </w:r>
    </w:p>
    <w:p w:rsidR="00E051CD" w:rsidRPr="00E9536A" w:rsidP="00EF08BB" w14:paraId="6C28F483" w14:textId="77777777">
      <w:pPr>
        <w:pStyle w:val="Heading3"/>
        <w:numPr>
          <w:ilvl w:val="0"/>
          <w:numId w:val="29"/>
        </w:numPr>
        <w:ind w:left="2160" w:hanging="720"/>
        <w:rPr>
          <w:rFonts w:hint="eastAsia"/>
          <w:color w:val="000000"/>
        </w:rPr>
      </w:pPr>
      <w:bookmarkStart w:id="17" w:name="_Toc36220257"/>
      <w:r w:rsidRPr="00E9536A">
        <w:rPr>
          <w:color w:val="000000"/>
        </w:rPr>
        <w:t xml:space="preserve">Assuming that OCC </w:t>
      </w:r>
      <w:r>
        <w:rPr>
          <w:color w:val="000000"/>
        </w:rPr>
        <w:t>h</w:t>
      </w:r>
      <w:r w:rsidRPr="00E9536A">
        <w:rPr>
          <w:color w:val="000000"/>
        </w:rPr>
        <w:t xml:space="preserve">ad the </w:t>
      </w:r>
      <w:r>
        <w:rPr>
          <w:color w:val="000000"/>
        </w:rPr>
        <w:t>b</w:t>
      </w:r>
      <w:r w:rsidRPr="00E9536A">
        <w:rPr>
          <w:color w:val="000000"/>
        </w:rPr>
        <w:t xml:space="preserve">urden of </w:t>
      </w:r>
      <w:r>
        <w:rPr>
          <w:color w:val="000000"/>
        </w:rPr>
        <w:t>p</w:t>
      </w:r>
      <w:r w:rsidRPr="00E9536A">
        <w:rPr>
          <w:color w:val="000000"/>
        </w:rPr>
        <w:t xml:space="preserve">roof in this </w:t>
      </w:r>
      <w:r>
        <w:rPr>
          <w:color w:val="000000"/>
        </w:rPr>
        <w:t>p</w:t>
      </w:r>
      <w:r w:rsidRPr="00E9536A">
        <w:rPr>
          <w:color w:val="000000"/>
        </w:rPr>
        <w:t>roceeding</w:t>
      </w:r>
      <w:r>
        <w:rPr>
          <w:color w:val="000000"/>
        </w:rPr>
        <w:t xml:space="preserve"> (which it did not)</w:t>
      </w:r>
      <w:r w:rsidRPr="00E9536A">
        <w:rPr>
          <w:color w:val="000000"/>
        </w:rPr>
        <w:t xml:space="preserve">, the PUCO </w:t>
      </w:r>
      <w:r>
        <w:rPr>
          <w:color w:val="000000"/>
        </w:rPr>
        <w:t>i</w:t>
      </w:r>
      <w:r w:rsidRPr="00E9536A">
        <w:rPr>
          <w:color w:val="000000"/>
        </w:rPr>
        <w:t xml:space="preserve">mproperly, </w:t>
      </w:r>
      <w:r>
        <w:rPr>
          <w:color w:val="000000"/>
        </w:rPr>
        <w:t>u</w:t>
      </w:r>
      <w:r w:rsidRPr="00E9536A">
        <w:rPr>
          <w:color w:val="000000"/>
        </w:rPr>
        <w:t xml:space="preserve">nfairly and </w:t>
      </w:r>
      <w:r>
        <w:rPr>
          <w:color w:val="000000"/>
        </w:rPr>
        <w:t>u</w:t>
      </w:r>
      <w:r w:rsidRPr="00E9536A">
        <w:rPr>
          <w:color w:val="000000"/>
        </w:rPr>
        <w:t xml:space="preserve">nlawfully </w:t>
      </w:r>
      <w:r>
        <w:rPr>
          <w:color w:val="000000"/>
        </w:rPr>
        <w:t>r</w:t>
      </w:r>
      <w:r w:rsidRPr="00E9536A">
        <w:rPr>
          <w:color w:val="000000"/>
        </w:rPr>
        <w:t>estricted OCC’s</w:t>
      </w:r>
      <w:r>
        <w:rPr>
          <w:color w:val="000000"/>
        </w:rPr>
        <w:t xml:space="preserve"> ability</w:t>
      </w:r>
      <w:r w:rsidRPr="00E9536A">
        <w:rPr>
          <w:color w:val="000000"/>
        </w:rPr>
        <w:t xml:space="preserve"> to </w:t>
      </w:r>
      <w:r>
        <w:rPr>
          <w:color w:val="000000"/>
        </w:rPr>
        <w:t>p</w:t>
      </w:r>
      <w:r w:rsidRPr="00E9536A">
        <w:rPr>
          <w:color w:val="000000"/>
        </w:rPr>
        <w:t xml:space="preserve">rove the </w:t>
      </w:r>
      <w:r>
        <w:rPr>
          <w:color w:val="000000"/>
        </w:rPr>
        <w:t>v</w:t>
      </w:r>
      <w:r w:rsidRPr="00E9536A">
        <w:rPr>
          <w:color w:val="000000"/>
        </w:rPr>
        <w:t xml:space="preserve">iolations </w:t>
      </w:r>
      <w:r>
        <w:rPr>
          <w:color w:val="000000"/>
        </w:rPr>
        <w:t>s</w:t>
      </w:r>
      <w:r w:rsidRPr="00E9536A">
        <w:rPr>
          <w:color w:val="000000"/>
        </w:rPr>
        <w:t xml:space="preserve">et </w:t>
      </w:r>
      <w:r>
        <w:rPr>
          <w:color w:val="000000"/>
        </w:rPr>
        <w:t>f</w:t>
      </w:r>
      <w:r w:rsidRPr="00E9536A">
        <w:rPr>
          <w:color w:val="000000"/>
        </w:rPr>
        <w:t xml:space="preserve">orth in the </w:t>
      </w:r>
      <w:r>
        <w:rPr>
          <w:color w:val="000000"/>
        </w:rPr>
        <w:t>c</w:t>
      </w:r>
      <w:r w:rsidRPr="00E9536A">
        <w:rPr>
          <w:color w:val="000000"/>
        </w:rPr>
        <w:t>omplaints and Staff Report.</w:t>
      </w:r>
      <w:bookmarkEnd w:id="17"/>
    </w:p>
    <w:p w:rsidR="00881336" w:rsidP="0086593F" w14:paraId="7A394258" w14:textId="77777777">
      <w:pPr>
        <w:tabs>
          <w:tab w:val="left" w:pos="1440"/>
          <w:tab w:val="left" w:leader="dot" w:pos="8640"/>
        </w:tabs>
        <w:spacing w:line="480" w:lineRule="auto"/>
        <w:ind w:firstLine="720"/>
        <w:rPr>
          <w:szCs w:val="20"/>
        </w:rPr>
      </w:pPr>
      <w:r>
        <w:rPr>
          <w:szCs w:val="20"/>
        </w:rPr>
        <w:t xml:space="preserve">Even if OCC </w:t>
      </w:r>
      <w:r w:rsidR="00B95257">
        <w:rPr>
          <w:szCs w:val="20"/>
        </w:rPr>
        <w:t xml:space="preserve">had </w:t>
      </w:r>
      <w:r>
        <w:rPr>
          <w:szCs w:val="20"/>
        </w:rPr>
        <w:t xml:space="preserve">the burden of proof in this proceeding (which it </w:t>
      </w:r>
      <w:r w:rsidR="00B95257">
        <w:rPr>
          <w:szCs w:val="20"/>
        </w:rPr>
        <w:t>did</w:t>
      </w:r>
      <w:r w:rsidR="00A53660">
        <w:rPr>
          <w:szCs w:val="20"/>
        </w:rPr>
        <w:t xml:space="preserve"> </w:t>
      </w:r>
      <w:r>
        <w:rPr>
          <w:szCs w:val="20"/>
        </w:rPr>
        <w:t>not), the PUCO erred in improperly, unfairly</w:t>
      </w:r>
      <w:r w:rsidR="0054311C">
        <w:rPr>
          <w:szCs w:val="20"/>
        </w:rPr>
        <w:t>,</w:t>
      </w:r>
      <w:r>
        <w:rPr>
          <w:szCs w:val="20"/>
        </w:rPr>
        <w:t xml:space="preserve"> and unlawfully restricting OCC’s rights to prove the violations set forth in the complaints and the Staff Report.</w:t>
      </w:r>
      <w:r w:rsidR="004B7639">
        <w:rPr>
          <w:szCs w:val="20"/>
        </w:rPr>
        <w:t xml:space="preserve"> </w:t>
      </w:r>
      <w:r w:rsidR="00726591">
        <w:rPr>
          <w:szCs w:val="20"/>
        </w:rPr>
        <w:t>The PUCO cannot tie OCC’s hands behind its back</w:t>
      </w:r>
      <w:r w:rsidR="00DC32AD">
        <w:rPr>
          <w:szCs w:val="20"/>
        </w:rPr>
        <w:t>,</w:t>
      </w:r>
      <w:r w:rsidR="00A53660">
        <w:rPr>
          <w:szCs w:val="20"/>
        </w:rPr>
        <w:t xml:space="preserve"> </w:t>
      </w:r>
      <w:r w:rsidR="00726591">
        <w:rPr>
          <w:szCs w:val="20"/>
        </w:rPr>
        <w:t>prevent</w:t>
      </w:r>
      <w:r w:rsidR="00DC32AD">
        <w:rPr>
          <w:szCs w:val="20"/>
        </w:rPr>
        <w:t>ing</w:t>
      </w:r>
      <w:r w:rsidR="00726591">
        <w:rPr>
          <w:szCs w:val="20"/>
        </w:rPr>
        <w:t xml:space="preserve"> it from fully exploring and developing the complaints and violations against</w:t>
      </w:r>
      <w:r w:rsidR="00062BF5">
        <w:rPr>
          <w:szCs w:val="20"/>
        </w:rPr>
        <w:t xml:space="preserve"> Verde</w:t>
      </w:r>
      <w:r w:rsidR="00A53660">
        <w:rPr>
          <w:szCs w:val="20"/>
        </w:rPr>
        <w:t>.</w:t>
      </w:r>
      <w:r w:rsidR="00C36C81">
        <w:rPr>
          <w:szCs w:val="20"/>
        </w:rPr>
        <w:t xml:space="preserve"> </w:t>
      </w:r>
      <w:r w:rsidR="00894E4E">
        <w:rPr>
          <w:szCs w:val="20"/>
        </w:rPr>
        <w:t>(</w:t>
      </w:r>
      <w:r w:rsidR="00A53660">
        <w:rPr>
          <w:szCs w:val="20"/>
        </w:rPr>
        <w:t>But claims were made that</w:t>
      </w:r>
      <w:r w:rsidR="00894E4E">
        <w:rPr>
          <w:szCs w:val="20"/>
        </w:rPr>
        <w:t xml:space="preserve"> </w:t>
      </w:r>
      <w:r w:rsidR="00A53660">
        <w:rPr>
          <w:szCs w:val="20"/>
        </w:rPr>
        <w:t>t</w:t>
      </w:r>
      <w:r w:rsidR="00A46D8C">
        <w:rPr>
          <w:szCs w:val="20"/>
        </w:rPr>
        <w:t xml:space="preserve">hat Verde should </w:t>
      </w:r>
      <w:r w:rsidR="00894E4E">
        <w:rPr>
          <w:szCs w:val="20"/>
        </w:rPr>
        <w:t xml:space="preserve">not </w:t>
      </w:r>
      <w:r w:rsidR="00A46D8C">
        <w:rPr>
          <w:szCs w:val="20"/>
        </w:rPr>
        <w:t xml:space="preserve">be </w:t>
      </w:r>
      <w:r w:rsidR="00894E4E">
        <w:rPr>
          <w:szCs w:val="20"/>
        </w:rPr>
        <w:t>subject to discovery and hearing standards otherwise applicable to utilities</w:t>
      </w:r>
      <w:r w:rsidR="00A53660">
        <w:rPr>
          <w:szCs w:val="20"/>
        </w:rPr>
        <w:t>.</w:t>
      </w:r>
      <w:r w:rsidR="00894E4E">
        <w:rPr>
          <w:szCs w:val="20"/>
        </w:rPr>
        <w:t>)</w:t>
      </w:r>
      <w:r>
        <w:rPr>
          <w:rStyle w:val="FootnoteReference"/>
          <w:szCs w:val="20"/>
        </w:rPr>
        <w:footnoteReference w:id="34"/>
      </w:r>
      <w:r w:rsidR="00726591">
        <w:rPr>
          <w:szCs w:val="20"/>
        </w:rPr>
        <w:t xml:space="preserve"> </w:t>
      </w:r>
      <w:r w:rsidR="00A53660">
        <w:rPr>
          <w:szCs w:val="20"/>
        </w:rPr>
        <w:t xml:space="preserve">And </w:t>
      </w:r>
      <w:r w:rsidR="00726591">
        <w:rPr>
          <w:szCs w:val="20"/>
        </w:rPr>
        <w:t xml:space="preserve">then </w:t>
      </w:r>
      <w:r w:rsidR="00B832EA">
        <w:rPr>
          <w:szCs w:val="20"/>
        </w:rPr>
        <w:t>ruling</w:t>
      </w:r>
      <w:r w:rsidR="00A53660">
        <w:rPr>
          <w:szCs w:val="20"/>
        </w:rPr>
        <w:t>s were made</w:t>
      </w:r>
      <w:r w:rsidR="00B832EA">
        <w:rPr>
          <w:szCs w:val="20"/>
        </w:rPr>
        <w:t xml:space="preserve"> against </w:t>
      </w:r>
      <w:r w:rsidR="00726591">
        <w:rPr>
          <w:szCs w:val="20"/>
        </w:rPr>
        <w:t xml:space="preserve">OCC </w:t>
      </w:r>
      <w:r w:rsidR="00894E4E">
        <w:rPr>
          <w:szCs w:val="20"/>
        </w:rPr>
        <w:t xml:space="preserve">for its </w:t>
      </w:r>
      <w:r w:rsidR="00726591">
        <w:rPr>
          <w:szCs w:val="20"/>
        </w:rPr>
        <w:t>alleged proof failings</w:t>
      </w:r>
      <w:r w:rsidR="00894E4E">
        <w:rPr>
          <w:szCs w:val="20"/>
        </w:rPr>
        <w:t>.</w:t>
      </w:r>
      <w:r w:rsidR="00726591">
        <w:rPr>
          <w:szCs w:val="20"/>
        </w:rPr>
        <w:t xml:space="preserve"> </w:t>
      </w:r>
    </w:p>
    <w:p w:rsidR="00E000E4" w:rsidP="0086593F" w14:paraId="01B31472" w14:textId="77777777">
      <w:pPr>
        <w:tabs>
          <w:tab w:val="left" w:pos="1440"/>
          <w:tab w:val="left" w:leader="dot" w:pos="8640"/>
        </w:tabs>
        <w:spacing w:line="480" w:lineRule="auto"/>
        <w:ind w:firstLine="720"/>
        <w:rPr>
          <w:szCs w:val="20"/>
        </w:rPr>
      </w:pPr>
      <w:r>
        <w:rPr>
          <w:szCs w:val="20"/>
        </w:rPr>
        <w:t xml:space="preserve">For example, </w:t>
      </w:r>
      <w:r w:rsidR="004B7639">
        <w:rPr>
          <w:szCs w:val="20"/>
        </w:rPr>
        <w:t xml:space="preserve">on </w:t>
      </w:r>
      <w:r w:rsidR="00493B2B">
        <w:rPr>
          <w:szCs w:val="20"/>
        </w:rPr>
        <w:t xml:space="preserve">October </w:t>
      </w:r>
      <w:r w:rsidR="00BB0C38">
        <w:rPr>
          <w:szCs w:val="20"/>
        </w:rPr>
        <w:t>16</w:t>
      </w:r>
      <w:r w:rsidR="004B7639">
        <w:rPr>
          <w:szCs w:val="20"/>
        </w:rPr>
        <w:t xml:space="preserve">, 2019, the Attorney Examiner granted </w:t>
      </w:r>
      <w:r w:rsidR="00BB0C38">
        <w:rPr>
          <w:szCs w:val="20"/>
        </w:rPr>
        <w:t>Verde</w:t>
      </w:r>
      <w:r w:rsidR="004B7639">
        <w:rPr>
          <w:szCs w:val="20"/>
        </w:rPr>
        <w:t xml:space="preserve">’s </w:t>
      </w:r>
      <w:r w:rsidRPr="00050DC5" w:rsidR="004B7639">
        <w:rPr>
          <w:szCs w:val="20"/>
        </w:rPr>
        <w:t xml:space="preserve">motion to quash OCC’s subpoenas for </w:t>
      </w:r>
      <w:r w:rsidR="00BB0C38">
        <w:rPr>
          <w:szCs w:val="20"/>
        </w:rPr>
        <w:t>Verde’s</w:t>
      </w:r>
      <w:r w:rsidRPr="00050DC5" w:rsidR="004B7639">
        <w:rPr>
          <w:szCs w:val="20"/>
        </w:rPr>
        <w:t xml:space="preserve"> </w:t>
      </w:r>
      <w:r w:rsidR="000B348F">
        <w:rPr>
          <w:szCs w:val="20"/>
        </w:rPr>
        <w:t>witnesses</w:t>
      </w:r>
      <w:r w:rsidRPr="00050DC5" w:rsidR="004B7639">
        <w:rPr>
          <w:szCs w:val="20"/>
        </w:rPr>
        <w:t xml:space="preserve"> to appear</w:t>
      </w:r>
      <w:r w:rsidR="004B7639">
        <w:rPr>
          <w:szCs w:val="20"/>
        </w:rPr>
        <w:t xml:space="preserve"> and provide testimony at the hearing.</w:t>
      </w:r>
      <w:r>
        <w:rPr>
          <w:rStyle w:val="FootnoteReference"/>
          <w:szCs w:val="20"/>
        </w:rPr>
        <w:footnoteReference w:id="35"/>
      </w:r>
      <w:r w:rsidR="004B7639">
        <w:rPr>
          <w:szCs w:val="20"/>
        </w:rPr>
        <w:t xml:space="preserve"> The PUCO affirmed this ruling in the Order.</w:t>
      </w:r>
      <w:r>
        <w:rPr>
          <w:rStyle w:val="FootnoteReference"/>
          <w:szCs w:val="20"/>
        </w:rPr>
        <w:footnoteReference w:id="36"/>
      </w:r>
      <w:r w:rsidR="004B7639">
        <w:rPr>
          <w:szCs w:val="20"/>
        </w:rPr>
        <w:t xml:space="preserve"> In so ruling, however, the PUCO relied upon an inaccurate fact</w:t>
      </w:r>
      <w:r w:rsidR="000B348F">
        <w:rPr>
          <w:szCs w:val="20"/>
        </w:rPr>
        <w:t xml:space="preserve"> “that the subpoenas in question were actually served on Verde’s general counsel via e-mail and OCC failed to obtain personal service on Ms. Jordan</w:t>
      </w:r>
      <w:r w:rsidR="004B7639">
        <w:rPr>
          <w:szCs w:val="20"/>
        </w:rPr>
        <w:t>.</w:t>
      </w:r>
      <w:r w:rsidR="000B348F">
        <w:rPr>
          <w:szCs w:val="20"/>
        </w:rPr>
        <w:t>”</w:t>
      </w:r>
      <w:r>
        <w:rPr>
          <w:rStyle w:val="FootnoteReference"/>
          <w:szCs w:val="20"/>
        </w:rPr>
        <w:footnoteReference w:id="37"/>
      </w:r>
      <w:r w:rsidR="004B7639">
        <w:rPr>
          <w:szCs w:val="20"/>
        </w:rPr>
        <w:t xml:space="preserve"> Contrary to the PUCO’s statement,</w:t>
      </w:r>
      <w:r>
        <w:rPr>
          <w:rStyle w:val="FootnoteReference"/>
          <w:szCs w:val="20"/>
        </w:rPr>
        <w:footnoteReference w:id="38"/>
      </w:r>
      <w:r w:rsidR="004B7639">
        <w:rPr>
          <w:szCs w:val="20"/>
        </w:rPr>
        <w:t xml:space="preserve"> the three subpoenas in question were</w:t>
      </w:r>
      <w:r w:rsidR="000B348F">
        <w:rPr>
          <w:szCs w:val="20"/>
        </w:rPr>
        <w:t xml:space="preserve"> properly served </w:t>
      </w:r>
      <w:r w:rsidR="00B832EA">
        <w:rPr>
          <w:szCs w:val="20"/>
        </w:rPr>
        <w:t>on</w:t>
      </w:r>
      <w:r w:rsidR="004B7639">
        <w:rPr>
          <w:szCs w:val="20"/>
        </w:rPr>
        <w:t xml:space="preserve"> </w:t>
      </w:r>
      <w:r w:rsidR="000B348F">
        <w:rPr>
          <w:szCs w:val="20"/>
        </w:rPr>
        <w:t>Verde’s</w:t>
      </w:r>
      <w:r w:rsidR="004B7639">
        <w:rPr>
          <w:szCs w:val="20"/>
        </w:rPr>
        <w:t xml:space="preserve"> statutory agent</w:t>
      </w:r>
      <w:r w:rsidR="000B348F">
        <w:rPr>
          <w:szCs w:val="20"/>
        </w:rPr>
        <w:t xml:space="preserve"> and </w:t>
      </w:r>
      <w:r w:rsidR="00B832EA">
        <w:rPr>
          <w:szCs w:val="20"/>
        </w:rPr>
        <w:t xml:space="preserve">served in </w:t>
      </w:r>
      <w:r w:rsidR="000B348F">
        <w:rPr>
          <w:szCs w:val="20"/>
        </w:rPr>
        <w:t xml:space="preserve">person </w:t>
      </w:r>
      <w:r w:rsidR="00B832EA">
        <w:rPr>
          <w:szCs w:val="20"/>
        </w:rPr>
        <w:t>on</w:t>
      </w:r>
      <w:r w:rsidR="000B348F">
        <w:rPr>
          <w:szCs w:val="20"/>
        </w:rPr>
        <w:t xml:space="preserve"> Verde’s general counsel</w:t>
      </w:r>
      <w:r w:rsidR="00B832EA">
        <w:rPr>
          <w:szCs w:val="20"/>
        </w:rPr>
        <w:t>,</w:t>
      </w:r>
      <w:r w:rsidR="000B348F">
        <w:rPr>
          <w:szCs w:val="20"/>
        </w:rPr>
        <w:t xml:space="preserve"> Ms. Alexis Keene</w:t>
      </w:r>
      <w:r w:rsidR="00B832EA">
        <w:rPr>
          <w:szCs w:val="20"/>
        </w:rPr>
        <w:t>.</w:t>
      </w:r>
      <w:r w:rsidR="00C36C81">
        <w:rPr>
          <w:szCs w:val="20"/>
        </w:rPr>
        <w:t xml:space="preserve"> </w:t>
      </w:r>
      <w:r w:rsidR="008F11F2">
        <w:rPr>
          <w:szCs w:val="20"/>
        </w:rPr>
        <w:t>Ms.</w:t>
      </w:r>
      <w:r w:rsidR="00B832EA">
        <w:rPr>
          <w:szCs w:val="20"/>
        </w:rPr>
        <w:t xml:space="preserve"> Keene had </w:t>
      </w:r>
      <w:r w:rsidR="000B348F">
        <w:rPr>
          <w:szCs w:val="20"/>
        </w:rPr>
        <w:t>agreed to accept the subpoena on behalf of Ms. Jordan</w:t>
      </w:r>
      <w:r w:rsidR="004B7639">
        <w:rPr>
          <w:szCs w:val="20"/>
        </w:rPr>
        <w:t>.</w:t>
      </w:r>
      <w:r>
        <w:rPr>
          <w:rStyle w:val="FootnoteReference"/>
          <w:szCs w:val="20"/>
        </w:rPr>
        <w:footnoteReference w:id="39"/>
      </w:r>
      <w:r w:rsidR="00AF468B">
        <w:rPr>
          <w:szCs w:val="20"/>
        </w:rPr>
        <w:t xml:space="preserve"> OCC followed the proper procedure and should have been entitled to cross</w:t>
      </w:r>
      <w:r w:rsidR="00A53660">
        <w:rPr>
          <w:szCs w:val="20"/>
        </w:rPr>
        <w:t>-</w:t>
      </w:r>
      <w:r w:rsidR="00AF468B">
        <w:rPr>
          <w:szCs w:val="20"/>
        </w:rPr>
        <w:t>exam</w:t>
      </w:r>
      <w:r w:rsidR="00584828">
        <w:rPr>
          <w:szCs w:val="20"/>
        </w:rPr>
        <w:t>ine</w:t>
      </w:r>
      <w:r w:rsidR="004A74F6">
        <w:rPr>
          <w:szCs w:val="20"/>
        </w:rPr>
        <w:t xml:space="preserve"> </w:t>
      </w:r>
      <w:r w:rsidR="00B832EA">
        <w:rPr>
          <w:szCs w:val="20"/>
        </w:rPr>
        <w:t>Ms. Jordan at the evidentiary hearing.</w:t>
      </w:r>
      <w:r w:rsidR="00AF468B">
        <w:rPr>
          <w:szCs w:val="20"/>
        </w:rPr>
        <w:t xml:space="preserve"> During those cross</w:t>
      </w:r>
      <w:r w:rsidR="00A53660">
        <w:rPr>
          <w:szCs w:val="20"/>
        </w:rPr>
        <w:t>-</w:t>
      </w:r>
      <w:r w:rsidR="00AF468B">
        <w:rPr>
          <w:szCs w:val="20"/>
        </w:rPr>
        <w:t xml:space="preserve">examinations, OCC would have </w:t>
      </w:r>
      <w:r w:rsidR="00B832EA">
        <w:rPr>
          <w:szCs w:val="20"/>
        </w:rPr>
        <w:t xml:space="preserve">had the opportunity </w:t>
      </w:r>
      <w:r w:rsidR="00AF468B">
        <w:rPr>
          <w:szCs w:val="20"/>
        </w:rPr>
        <w:t xml:space="preserve">to establish additional evidence and </w:t>
      </w:r>
      <w:r w:rsidR="00B832EA">
        <w:rPr>
          <w:szCs w:val="20"/>
        </w:rPr>
        <w:t xml:space="preserve">elicit </w:t>
      </w:r>
      <w:r w:rsidR="00AF468B">
        <w:rPr>
          <w:szCs w:val="20"/>
        </w:rPr>
        <w:t xml:space="preserve">admissions relating to the complaints and the Staff Report that the PUCO cites as proof </w:t>
      </w:r>
      <w:r w:rsidR="00B832EA">
        <w:rPr>
          <w:szCs w:val="20"/>
        </w:rPr>
        <w:t xml:space="preserve">of OCC’s </w:t>
      </w:r>
      <w:r w:rsidR="00AF468B">
        <w:rPr>
          <w:szCs w:val="20"/>
        </w:rPr>
        <w:t>failings in its Order.</w:t>
      </w:r>
      <w:r w:rsidR="00F433DE">
        <w:rPr>
          <w:szCs w:val="20"/>
        </w:rPr>
        <w:t xml:space="preserve"> </w:t>
      </w:r>
    </w:p>
    <w:p w:rsidR="00726591" w:rsidP="0086593F" w14:paraId="4E24113C" w14:textId="77777777">
      <w:pPr>
        <w:tabs>
          <w:tab w:val="left" w:pos="1440"/>
          <w:tab w:val="left" w:leader="dot" w:pos="8640"/>
        </w:tabs>
        <w:spacing w:line="480" w:lineRule="auto"/>
        <w:ind w:firstLine="720"/>
        <w:rPr>
          <w:szCs w:val="20"/>
        </w:rPr>
      </w:pPr>
      <w:r>
        <w:rPr>
          <w:szCs w:val="20"/>
        </w:rPr>
        <w:t xml:space="preserve">The PUCO found that </w:t>
      </w:r>
      <w:r w:rsidR="00AA0C25">
        <w:rPr>
          <w:szCs w:val="20"/>
        </w:rPr>
        <w:t xml:space="preserve">OCC was not prejudiced or unduly harmed by the quashing of the subpoenas because it got to depose </w:t>
      </w:r>
      <w:r w:rsidR="004A74F6">
        <w:rPr>
          <w:szCs w:val="20"/>
        </w:rPr>
        <w:t xml:space="preserve">Verde employee Ms. Jordan. However, the deposition of Ms. Jordan occurred </w:t>
      </w:r>
      <w:r w:rsidR="00AA0C25">
        <w:rPr>
          <w:szCs w:val="20"/>
        </w:rPr>
        <w:t>before</w:t>
      </w:r>
      <w:r w:rsidR="004A74F6">
        <w:rPr>
          <w:szCs w:val="20"/>
        </w:rPr>
        <w:t xml:space="preserve"> the Attorney Examiner quashed OCC’s subpoenas and before</w:t>
      </w:r>
      <w:r w:rsidR="00AA0C25">
        <w:rPr>
          <w:szCs w:val="20"/>
        </w:rPr>
        <w:t xml:space="preserve"> OCC knew that it </w:t>
      </w:r>
      <w:r w:rsidR="004A74F6">
        <w:rPr>
          <w:szCs w:val="20"/>
        </w:rPr>
        <w:t xml:space="preserve">would be unable </w:t>
      </w:r>
      <w:r w:rsidR="00AA0C25">
        <w:rPr>
          <w:szCs w:val="20"/>
        </w:rPr>
        <w:t xml:space="preserve">to cross-exam </w:t>
      </w:r>
      <w:r>
        <w:rPr>
          <w:szCs w:val="20"/>
        </w:rPr>
        <w:t>Ms. Jordan at the evidentiary</w:t>
      </w:r>
      <w:r w:rsidR="00AA0C25">
        <w:rPr>
          <w:szCs w:val="20"/>
        </w:rPr>
        <w:t xml:space="preserve"> hearing. A</w:t>
      </w:r>
      <w:r w:rsidR="004A74F6">
        <w:rPr>
          <w:szCs w:val="20"/>
        </w:rPr>
        <w:t>ccordingly, the</w:t>
      </w:r>
      <w:r w:rsidR="00AA0C25">
        <w:rPr>
          <w:szCs w:val="20"/>
        </w:rPr>
        <w:t xml:space="preserve"> deposition </w:t>
      </w:r>
      <w:r w:rsidR="004A74F6">
        <w:rPr>
          <w:szCs w:val="20"/>
        </w:rPr>
        <w:t>of Ms. Jordan</w:t>
      </w:r>
      <w:r w:rsidR="00233B97">
        <w:rPr>
          <w:szCs w:val="20"/>
        </w:rPr>
        <w:t xml:space="preserve"> was</w:t>
      </w:r>
      <w:r w:rsidR="00AA0C25">
        <w:rPr>
          <w:szCs w:val="20"/>
        </w:rPr>
        <w:t xml:space="preserve"> designed to obtain </w:t>
      </w:r>
      <w:r>
        <w:rPr>
          <w:szCs w:val="20"/>
        </w:rPr>
        <w:t xml:space="preserve">discovery of </w:t>
      </w:r>
      <w:r w:rsidR="004A74F6">
        <w:rPr>
          <w:szCs w:val="20"/>
        </w:rPr>
        <w:t xml:space="preserve">necessary </w:t>
      </w:r>
      <w:r w:rsidR="00AA0C25">
        <w:rPr>
          <w:szCs w:val="20"/>
        </w:rPr>
        <w:t>information</w:t>
      </w:r>
      <w:r w:rsidR="004A74F6">
        <w:rPr>
          <w:szCs w:val="20"/>
        </w:rPr>
        <w:t xml:space="preserve"> regarding Verde’s business practices rather than to </w:t>
      </w:r>
      <w:r>
        <w:rPr>
          <w:szCs w:val="20"/>
        </w:rPr>
        <w:t xml:space="preserve">establish </w:t>
      </w:r>
      <w:r w:rsidR="00AA0C25">
        <w:rPr>
          <w:szCs w:val="20"/>
        </w:rPr>
        <w:t xml:space="preserve">the numerous </w:t>
      </w:r>
      <w:r w:rsidR="000C58D2">
        <w:rPr>
          <w:szCs w:val="20"/>
        </w:rPr>
        <w:t xml:space="preserve">customer complaints and </w:t>
      </w:r>
      <w:r w:rsidR="00AA0C25">
        <w:rPr>
          <w:szCs w:val="20"/>
        </w:rPr>
        <w:t>violations</w:t>
      </w:r>
      <w:r w:rsidR="000C58D2">
        <w:rPr>
          <w:szCs w:val="20"/>
        </w:rPr>
        <w:t xml:space="preserve"> of the </w:t>
      </w:r>
      <w:r w:rsidR="00233B97">
        <w:rPr>
          <w:szCs w:val="20"/>
        </w:rPr>
        <w:t>PUCO’s rules</w:t>
      </w:r>
      <w:r w:rsidR="004A74F6">
        <w:rPr>
          <w:szCs w:val="20"/>
        </w:rPr>
        <w:t xml:space="preserve">, which </w:t>
      </w:r>
      <w:r w:rsidR="00D80B1E">
        <w:rPr>
          <w:szCs w:val="20"/>
        </w:rPr>
        <w:t xml:space="preserve">Counsel expected to </w:t>
      </w:r>
      <w:r w:rsidR="000C58D2">
        <w:rPr>
          <w:szCs w:val="20"/>
        </w:rPr>
        <w:t>reserve</w:t>
      </w:r>
      <w:r w:rsidR="00D80B1E">
        <w:rPr>
          <w:szCs w:val="20"/>
        </w:rPr>
        <w:t xml:space="preserve"> </w:t>
      </w:r>
      <w:r w:rsidR="00AA0C25">
        <w:rPr>
          <w:szCs w:val="20"/>
        </w:rPr>
        <w:t xml:space="preserve">for the </w:t>
      </w:r>
      <w:r w:rsidR="004A74F6">
        <w:rPr>
          <w:szCs w:val="20"/>
        </w:rPr>
        <w:t xml:space="preserve">evidentiary </w:t>
      </w:r>
      <w:r w:rsidR="00AA0C25">
        <w:rPr>
          <w:szCs w:val="20"/>
        </w:rPr>
        <w:t>hearing</w:t>
      </w:r>
      <w:r w:rsidR="004A74F6">
        <w:rPr>
          <w:szCs w:val="20"/>
        </w:rPr>
        <w:t>. The PUCO</w:t>
      </w:r>
      <w:r w:rsidR="00B95257">
        <w:rPr>
          <w:szCs w:val="20"/>
        </w:rPr>
        <w:t>’s</w:t>
      </w:r>
      <w:r w:rsidR="004A74F6">
        <w:rPr>
          <w:szCs w:val="20"/>
        </w:rPr>
        <w:t xml:space="preserve"> restrict</w:t>
      </w:r>
      <w:r w:rsidR="00D80B1E">
        <w:rPr>
          <w:szCs w:val="20"/>
        </w:rPr>
        <w:t xml:space="preserve">ion on </w:t>
      </w:r>
      <w:r w:rsidR="005338B0">
        <w:rPr>
          <w:szCs w:val="20"/>
        </w:rPr>
        <w:t>OCC’s</w:t>
      </w:r>
      <w:r w:rsidR="004A74F6">
        <w:rPr>
          <w:szCs w:val="20"/>
        </w:rPr>
        <w:t xml:space="preserve"> ability to </w:t>
      </w:r>
      <w:r w:rsidR="005338B0">
        <w:rPr>
          <w:szCs w:val="20"/>
        </w:rPr>
        <w:t xml:space="preserve">cross-examine </w:t>
      </w:r>
      <w:r w:rsidR="00D80B1E">
        <w:rPr>
          <w:szCs w:val="20"/>
        </w:rPr>
        <w:t>Ms. Jordan</w:t>
      </w:r>
      <w:r w:rsidR="005338B0">
        <w:rPr>
          <w:szCs w:val="20"/>
        </w:rPr>
        <w:t xml:space="preserve"> at the evidentiary hearing</w:t>
      </w:r>
      <w:r w:rsidR="00D80B1E">
        <w:rPr>
          <w:szCs w:val="20"/>
        </w:rPr>
        <w:t xml:space="preserve"> unfairly changed the rules of game</w:t>
      </w:r>
      <w:r w:rsidR="00B930C9">
        <w:rPr>
          <w:szCs w:val="20"/>
        </w:rPr>
        <w:t>,</w:t>
      </w:r>
      <w:r w:rsidR="003C7E44">
        <w:rPr>
          <w:szCs w:val="20"/>
        </w:rPr>
        <w:t xml:space="preserve"> in violation of ample discovery rights under R.C. 4903.082</w:t>
      </w:r>
      <w:r w:rsidR="00D80B1E">
        <w:rPr>
          <w:szCs w:val="20"/>
        </w:rPr>
        <w:t>, altering OCC’s ability to use Ms. Jordan to prove elements of its case</w:t>
      </w:r>
      <w:r w:rsidR="005338B0">
        <w:rPr>
          <w:szCs w:val="20"/>
        </w:rPr>
        <w:t>. For this additional reason, the PUCO should grant rehearing.</w:t>
      </w:r>
    </w:p>
    <w:p w:rsidR="00D80B1E" w:rsidP="005338B0" w14:paraId="58B61100" w14:textId="77777777">
      <w:pPr>
        <w:tabs>
          <w:tab w:val="left" w:pos="1440"/>
          <w:tab w:val="left" w:leader="dot" w:pos="8640"/>
        </w:tabs>
        <w:spacing w:line="480" w:lineRule="auto"/>
        <w:ind w:firstLine="720"/>
        <w:rPr>
          <w:szCs w:val="20"/>
        </w:rPr>
      </w:pPr>
      <w:r>
        <w:rPr>
          <w:szCs w:val="20"/>
        </w:rPr>
        <w:t>The PUCO also unreasonably and unlawfully limited</w:t>
      </w:r>
      <w:r w:rsidR="00AA0C25">
        <w:rPr>
          <w:szCs w:val="20"/>
        </w:rPr>
        <w:t xml:space="preserve"> OCC</w:t>
      </w:r>
      <w:r>
        <w:rPr>
          <w:szCs w:val="20"/>
        </w:rPr>
        <w:t>’s</w:t>
      </w:r>
      <w:r w:rsidR="00AA0C25">
        <w:rPr>
          <w:szCs w:val="20"/>
        </w:rPr>
        <w:t xml:space="preserve"> </w:t>
      </w:r>
      <w:r>
        <w:rPr>
          <w:szCs w:val="20"/>
        </w:rPr>
        <w:t>ability to cross</w:t>
      </w:r>
      <w:r w:rsidR="00346DCB">
        <w:rPr>
          <w:szCs w:val="20"/>
        </w:rPr>
        <w:t>-</w:t>
      </w:r>
      <w:r>
        <w:rPr>
          <w:szCs w:val="20"/>
        </w:rPr>
        <w:t>examine</w:t>
      </w:r>
      <w:r w:rsidR="00346DCB">
        <w:rPr>
          <w:szCs w:val="20"/>
        </w:rPr>
        <w:t xml:space="preserve"> </w:t>
      </w:r>
      <w:r>
        <w:rPr>
          <w:szCs w:val="20"/>
        </w:rPr>
        <w:t>PUCO Staff witnesses by limiting</w:t>
      </w:r>
      <w:r w:rsidR="00AA0C25">
        <w:rPr>
          <w:szCs w:val="20"/>
        </w:rPr>
        <w:t xml:space="preserve"> which </w:t>
      </w:r>
      <w:r>
        <w:rPr>
          <w:szCs w:val="20"/>
        </w:rPr>
        <w:t xml:space="preserve">PUCO </w:t>
      </w:r>
      <w:r w:rsidR="00AA0C25">
        <w:rPr>
          <w:szCs w:val="20"/>
        </w:rPr>
        <w:t xml:space="preserve">Staff witnesses </w:t>
      </w:r>
      <w:r>
        <w:rPr>
          <w:szCs w:val="20"/>
        </w:rPr>
        <w:t>OCC</w:t>
      </w:r>
      <w:r w:rsidR="00AA0C25">
        <w:rPr>
          <w:szCs w:val="20"/>
        </w:rPr>
        <w:t xml:space="preserve"> was allowed to subpoena and the</w:t>
      </w:r>
      <w:r>
        <w:rPr>
          <w:szCs w:val="20"/>
        </w:rPr>
        <w:t xml:space="preserve">n severely restricting OCC’s </w:t>
      </w:r>
      <w:r w:rsidR="00CD5FAF">
        <w:rPr>
          <w:szCs w:val="20"/>
        </w:rPr>
        <w:t xml:space="preserve">cross examination </w:t>
      </w:r>
      <w:r w:rsidR="00AA0C25">
        <w:rPr>
          <w:szCs w:val="20"/>
        </w:rPr>
        <w:t xml:space="preserve">of </w:t>
      </w:r>
      <w:r>
        <w:rPr>
          <w:szCs w:val="20"/>
        </w:rPr>
        <w:t>those</w:t>
      </w:r>
      <w:r w:rsidR="00AA0C25">
        <w:rPr>
          <w:szCs w:val="20"/>
        </w:rPr>
        <w:t xml:space="preserve"> witnesses.</w:t>
      </w:r>
      <w:r>
        <w:rPr>
          <w:rStyle w:val="FootnoteReference"/>
          <w:szCs w:val="20"/>
        </w:rPr>
        <w:footnoteReference w:id="40"/>
      </w:r>
      <w:r w:rsidR="00CD5FAF">
        <w:rPr>
          <w:szCs w:val="20"/>
        </w:rPr>
        <w:t xml:space="preserve"> OCC was also </w:t>
      </w:r>
      <w:r w:rsidR="00AA0C25">
        <w:rPr>
          <w:szCs w:val="20"/>
        </w:rPr>
        <w:t xml:space="preserve">prohibited from asking Staff witnesses about </w:t>
      </w:r>
      <w:r w:rsidR="007A4590">
        <w:rPr>
          <w:szCs w:val="20"/>
        </w:rPr>
        <w:t xml:space="preserve">customer contacts and complaints referenced </w:t>
      </w:r>
      <w:r w:rsidR="00AA0C25">
        <w:rPr>
          <w:szCs w:val="20"/>
        </w:rPr>
        <w:t>in the Staff Report</w:t>
      </w:r>
      <w:r w:rsidR="00B66BD5">
        <w:rPr>
          <w:szCs w:val="20"/>
        </w:rPr>
        <w:t>.</w:t>
      </w:r>
      <w:r>
        <w:rPr>
          <w:rStyle w:val="FootnoteReference"/>
          <w:szCs w:val="20"/>
        </w:rPr>
        <w:footnoteReference w:id="41"/>
      </w:r>
      <w:r w:rsidR="00CD5FAF">
        <w:rPr>
          <w:szCs w:val="20"/>
        </w:rPr>
        <w:t xml:space="preserve"> These limitations placed on OCC directly contradict Ohio Adm. Code 4901-1-28(E). </w:t>
      </w:r>
    </w:p>
    <w:p w:rsidR="00E014C8" w:rsidP="005338B0" w14:paraId="5BB7148D" w14:textId="77777777">
      <w:pPr>
        <w:tabs>
          <w:tab w:val="left" w:pos="1440"/>
          <w:tab w:val="left" w:leader="dot" w:pos="8640"/>
        </w:tabs>
        <w:spacing w:line="480" w:lineRule="auto"/>
        <w:ind w:firstLine="720"/>
        <w:rPr>
          <w:szCs w:val="20"/>
        </w:rPr>
      </w:pPr>
      <w:r>
        <w:t xml:space="preserve">Under </w:t>
      </w:r>
      <w:r w:rsidR="00D80B1E">
        <w:t>that PUCO rule,</w:t>
      </w:r>
      <w:r>
        <w:t xml:space="preserve"> OCC properly filed motions asking the PUCO to </w:t>
      </w:r>
      <w:r w:rsidR="00D80B1E">
        <w:t xml:space="preserve">approve </w:t>
      </w:r>
      <w:r>
        <w:t>subpoenas for two PUCO employees to testify at the hearing</w:t>
      </w:r>
      <w:r w:rsidR="00D80B1E">
        <w:t>.</w:t>
      </w:r>
      <w:r>
        <w:t xml:space="preserve"> OCC sought </w:t>
      </w:r>
      <w:r w:rsidR="00D80B1E">
        <w:t>subp</w:t>
      </w:r>
      <w:r>
        <w:t xml:space="preserve">oenas for Barbara Bossart, Chief, Reliability and Service Analysis Division, Service Monitoring and Enforcement Department; and Robert Fadley, Director, Service Monitoring and Enforcement Department. Based on information and belief, these two PUCO employees made or </w:t>
      </w:r>
      <w:r w:rsidR="003776D0">
        <w:t>c</w:t>
      </w:r>
      <w:r>
        <w:t>ontributed to the Staff Report filed in this case</w:t>
      </w:r>
      <w:r w:rsidR="00741524">
        <w:t xml:space="preserve">, allowing them to be subpoenaed under </w:t>
      </w:r>
      <w:r w:rsidR="00D80B1E">
        <w:t>Ohio Adm. Code 4901-1-28(E)</w:t>
      </w:r>
      <w:r w:rsidR="00741524">
        <w:t>.</w:t>
      </w:r>
      <w:r w:rsidR="00C36C81">
        <w:t xml:space="preserve"> </w:t>
      </w:r>
      <w:r w:rsidR="003776D0">
        <w:t xml:space="preserve">OCC requested that they be called as witnesses because of their knowledge of the underlying </w:t>
      </w:r>
      <w:r w:rsidR="00DE248C">
        <w:t>C</w:t>
      </w:r>
      <w:r w:rsidR="003776D0">
        <w:t>ommission-</w:t>
      </w:r>
      <w:r w:rsidR="00DE248C">
        <w:t>O</w:t>
      </w:r>
      <w:r w:rsidR="003776D0">
        <w:t xml:space="preserve">rdered </w:t>
      </w:r>
      <w:r w:rsidR="001F547B">
        <w:t>I</w:t>
      </w:r>
      <w:r w:rsidR="003776D0">
        <w:t xml:space="preserve">nvestigation and </w:t>
      </w:r>
      <w:r w:rsidR="001F547B">
        <w:t xml:space="preserve">the </w:t>
      </w:r>
      <w:r w:rsidR="003776D0">
        <w:t>Staff Report filed in this case.</w:t>
      </w:r>
      <w:r>
        <w:rPr>
          <w:rStyle w:val="FootnoteReference"/>
        </w:rPr>
        <w:footnoteReference w:id="42"/>
      </w:r>
      <w:r w:rsidR="00C36C81">
        <w:t xml:space="preserve"> </w:t>
      </w:r>
      <w:r w:rsidR="00741524">
        <w:t>Their knowledge and expertise w</w:t>
      </w:r>
      <w:r w:rsidR="00346DCB">
        <w:t>ere</w:t>
      </w:r>
      <w:r w:rsidR="00741524">
        <w:t xml:space="preserve"> important especially given that u</w:t>
      </w:r>
      <w:r w:rsidR="003776D0">
        <w:t>nder Ohio Adm. Code 4901-1-28(E), the Staff Report shall be deemed admitted into evidence at the time of its filing at the PUCO. Mr. Fadley and Ms. Bossart</w:t>
      </w:r>
      <w:r w:rsidR="00741524">
        <w:t xml:space="preserve">‘s </w:t>
      </w:r>
      <w:r w:rsidR="003776D0">
        <w:t xml:space="preserve">testimony </w:t>
      </w:r>
      <w:r w:rsidR="00741524">
        <w:t xml:space="preserve">on the conclusions in the Staff Report </w:t>
      </w:r>
      <w:r w:rsidR="003776D0">
        <w:t>should not have been restricted.</w:t>
      </w:r>
      <w:r w:rsidR="00C36C81">
        <w:t xml:space="preserve"> </w:t>
      </w:r>
      <w:r w:rsidR="00741524">
        <w:t>But it was.</w:t>
      </w:r>
      <w:r>
        <w:rPr>
          <w:rStyle w:val="FootnoteReference"/>
        </w:rPr>
        <w:footnoteReference w:id="43"/>
      </w:r>
      <w:r w:rsidR="00C36C81">
        <w:t xml:space="preserve"> </w:t>
      </w:r>
    </w:p>
    <w:p w:rsidR="00504EF6" w:rsidP="0086593F" w14:paraId="199C401D" w14:textId="77777777">
      <w:pPr>
        <w:tabs>
          <w:tab w:val="left" w:pos="1440"/>
          <w:tab w:val="left" w:leader="dot" w:pos="8640"/>
        </w:tabs>
        <w:spacing w:line="480" w:lineRule="auto"/>
        <w:ind w:firstLine="720"/>
        <w:rPr>
          <w:szCs w:val="20"/>
        </w:rPr>
      </w:pPr>
      <w:r>
        <w:rPr>
          <w:szCs w:val="20"/>
        </w:rPr>
        <w:t xml:space="preserve">In short, the PUCO improperly, unfairly, and unlawfully restricted OCC’s rights to prove the violations set forth in the </w:t>
      </w:r>
      <w:r w:rsidR="000C58D2">
        <w:rPr>
          <w:szCs w:val="20"/>
        </w:rPr>
        <w:t xml:space="preserve">customer </w:t>
      </w:r>
      <w:r>
        <w:rPr>
          <w:szCs w:val="20"/>
        </w:rPr>
        <w:t xml:space="preserve">complaints and the Staff Report. </w:t>
      </w:r>
      <w:r w:rsidR="00356070">
        <w:rPr>
          <w:szCs w:val="20"/>
        </w:rPr>
        <w:t xml:space="preserve">The PUCO should therefore grant </w:t>
      </w:r>
      <w:r>
        <w:rPr>
          <w:szCs w:val="20"/>
        </w:rPr>
        <w:t xml:space="preserve">rehearing </w:t>
      </w:r>
      <w:r w:rsidR="00356070">
        <w:rPr>
          <w:szCs w:val="20"/>
        </w:rPr>
        <w:t xml:space="preserve">of its decision </w:t>
      </w:r>
      <w:r>
        <w:rPr>
          <w:szCs w:val="20"/>
        </w:rPr>
        <w:t xml:space="preserve">that the Settlement was reasonable and satisfied the three-prong </w:t>
      </w:r>
      <w:r w:rsidR="00356070">
        <w:rPr>
          <w:szCs w:val="20"/>
        </w:rPr>
        <w:t>test</w:t>
      </w:r>
      <w:r>
        <w:rPr>
          <w:szCs w:val="20"/>
        </w:rPr>
        <w:t xml:space="preserve"> for evaluating settlements because of </w:t>
      </w:r>
      <w:r w:rsidR="000C58D2">
        <w:rPr>
          <w:szCs w:val="20"/>
        </w:rPr>
        <w:t>OCC</w:t>
      </w:r>
      <w:r w:rsidR="00356070">
        <w:rPr>
          <w:szCs w:val="20"/>
        </w:rPr>
        <w:t xml:space="preserve">’s failure to prove </w:t>
      </w:r>
      <w:r w:rsidR="007A4590">
        <w:rPr>
          <w:szCs w:val="20"/>
        </w:rPr>
        <w:t>Verde</w:t>
      </w:r>
      <w:r>
        <w:rPr>
          <w:szCs w:val="20"/>
        </w:rPr>
        <w:t xml:space="preserve">’s misconduct. </w:t>
      </w:r>
    </w:p>
    <w:p w:rsidR="00F62DF6" w:rsidP="00A536FE" w14:paraId="1A5458AD" w14:textId="77777777">
      <w:pPr>
        <w:pStyle w:val="Heading3"/>
        <w:numPr>
          <w:ilvl w:val="0"/>
          <w:numId w:val="29"/>
        </w:numPr>
        <w:ind w:left="2160" w:hanging="720"/>
        <w:rPr>
          <w:rFonts w:hint="eastAsia"/>
        </w:rPr>
      </w:pPr>
      <w:bookmarkStart w:id="18" w:name="_Toc36220258"/>
      <w:r w:rsidRPr="00341759">
        <w:t xml:space="preserve">The PUCO </w:t>
      </w:r>
      <w:r>
        <w:t>e</w:t>
      </w:r>
      <w:r w:rsidRPr="00341759">
        <w:t>rr</w:t>
      </w:r>
      <w:r>
        <w:t>oneously</w:t>
      </w:r>
      <w:r w:rsidRPr="00341759">
        <w:t xml:space="preserve"> </w:t>
      </w:r>
      <w:r>
        <w:t>b</w:t>
      </w:r>
      <w:r w:rsidRPr="00341759">
        <w:t>lam</w:t>
      </w:r>
      <w:r>
        <w:t>ed</w:t>
      </w:r>
      <w:r w:rsidRPr="00341759">
        <w:t xml:space="preserve"> OCC for the </w:t>
      </w:r>
      <w:r>
        <w:t>l</w:t>
      </w:r>
      <w:r w:rsidRPr="00341759">
        <w:t xml:space="preserve">ack of </w:t>
      </w:r>
      <w:r>
        <w:t>e</w:t>
      </w:r>
      <w:r w:rsidRPr="00341759">
        <w:t xml:space="preserve">vidence </w:t>
      </w:r>
      <w:r>
        <w:t>a</w:t>
      </w:r>
      <w:r w:rsidRPr="00341759">
        <w:t xml:space="preserve">bout </w:t>
      </w:r>
      <w:r>
        <w:t>Verde</w:t>
      </w:r>
      <w:r w:rsidRPr="00341759">
        <w:t xml:space="preserve">’s </w:t>
      </w:r>
      <w:r>
        <w:t>b</w:t>
      </w:r>
      <w:r w:rsidRPr="00341759">
        <w:t xml:space="preserve">ad </w:t>
      </w:r>
      <w:r>
        <w:t>a</w:t>
      </w:r>
      <w:r w:rsidRPr="00341759">
        <w:t xml:space="preserve">cts </w:t>
      </w:r>
      <w:r>
        <w:t>w</w:t>
      </w:r>
      <w:r w:rsidRPr="00341759">
        <w:t xml:space="preserve">hen the PUCO </w:t>
      </w:r>
      <w:r>
        <w:t>s</w:t>
      </w:r>
      <w:r w:rsidRPr="00341759">
        <w:t xml:space="preserve">hould </w:t>
      </w:r>
      <w:r>
        <w:t>u</w:t>
      </w:r>
      <w:r w:rsidRPr="00341759">
        <w:t xml:space="preserve">se its </w:t>
      </w:r>
      <w:r>
        <w:t>c</w:t>
      </w:r>
      <w:r w:rsidRPr="00341759">
        <w:t xml:space="preserve">onsiderable </w:t>
      </w:r>
      <w:r>
        <w:t>resources, i</w:t>
      </w:r>
      <w:r w:rsidRPr="00341759">
        <w:t xml:space="preserve">ncluding the </w:t>
      </w:r>
      <w:r>
        <w:t>c</w:t>
      </w:r>
      <w:r w:rsidRPr="00341759">
        <w:t xml:space="preserve">all </w:t>
      </w:r>
      <w:r>
        <w:t>ce</w:t>
      </w:r>
      <w:r w:rsidRPr="00341759">
        <w:t>nter</w:t>
      </w:r>
      <w:r>
        <w:t xml:space="preserve"> (w</w:t>
      </w:r>
      <w:r w:rsidRPr="00341759">
        <w:t xml:space="preserve">hich OCC is </w:t>
      </w:r>
      <w:r>
        <w:t>p</w:t>
      </w:r>
      <w:r w:rsidRPr="00341759">
        <w:t xml:space="preserve">rohibited by </w:t>
      </w:r>
      <w:r>
        <w:t>l</w:t>
      </w:r>
      <w:r w:rsidRPr="00341759">
        <w:t xml:space="preserve">aw </w:t>
      </w:r>
      <w:r>
        <w:t>f</w:t>
      </w:r>
      <w:r w:rsidRPr="00341759">
        <w:t xml:space="preserve">rom </w:t>
      </w:r>
      <w:r>
        <w:t>h</w:t>
      </w:r>
      <w:r w:rsidRPr="00341759">
        <w:t>aving</w:t>
      </w:r>
      <w:r>
        <w:t>)</w:t>
      </w:r>
      <w:r w:rsidRPr="00341759">
        <w:t xml:space="preserve"> to </w:t>
      </w:r>
      <w:r>
        <w:t>o</w:t>
      </w:r>
      <w:r w:rsidRPr="00341759">
        <w:t xml:space="preserve">btain and </w:t>
      </w:r>
      <w:r>
        <w:t>use e</w:t>
      </w:r>
      <w:r w:rsidRPr="00341759">
        <w:t>vidence from</w:t>
      </w:r>
      <w:r>
        <w:t xml:space="preserve"> Ohio</w:t>
      </w:r>
      <w:r w:rsidRPr="00341759">
        <w:t xml:space="preserve"> </w:t>
      </w:r>
      <w:r>
        <w:t>c</w:t>
      </w:r>
      <w:r w:rsidRPr="00341759">
        <w:t>onsumers</w:t>
      </w:r>
      <w:r>
        <w:t xml:space="preserve"> who may l</w:t>
      </w:r>
      <w:r w:rsidRPr="00341759">
        <w:t xml:space="preserve">ack the </w:t>
      </w:r>
      <w:r>
        <w:t>r</w:t>
      </w:r>
      <w:r w:rsidRPr="00341759">
        <w:t xml:space="preserve">esources and </w:t>
      </w:r>
      <w:r>
        <w:t>e</w:t>
      </w:r>
      <w:r w:rsidRPr="00341759">
        <w:t xml:space="preserve">xperience to </w:t>
      </w:r>
      <w:r>
        <w:t>p</w:t>
      </w:r>
      <w:r w:rsidRPr="00341759">
        <w:t xml:space="preserve">articipate in PUCO </w:t>
      </w:r>
      <w:r>
        <w:t>legal p</w:t>
      </w:r>
      <w:r w:rsidRPr="00341759">
        <w:t>roceedin</w:t>
      </w:r>
      <w:r>
        <w:t>gs in Columbus</w:t>
      </w:r>
      <w:r w:rsidRPr="00341759">
        <w:t>.</w:t>
      </w:r>
      <w:bookmarkEnd w:id="18"/>
    </w:p>
    <w:p w:rsidR="008B2E32" w:rsidP="008B2E32" w14:paraId="30DAAAE8" w14:textId="77777777">
      <w:pPr>
        <w:spacing w:line="480" w:lineRule="auto"/>
        <w:ind w:firstLine="720"/>
      </w:pPr>
      <w:r>
        <w:t xml:space="preserve">The PUCO ruled that OCC had not met its burden of proving that </w:t>
      </w:r>
      <w:r w:rsidR="0032262C">
        <w:t>Verde</w:t>
      </w:r>
      <w:r>
        <w:t xml:space="preserve"> violated PUCO rules and Ohio law. In particular, the PUCO faults OCC for relying upon the complaint files compiled by its </w:t>
      </w:r>
      <w:r w:rsidR="002F1A79">
        <w:t xml:space="preserve">own </w:t>
      </w:r>
      <w:r>
        <w:t xml:space="preserve">PUCO Staff that contain hundreds of records of customer contacts with the PUCO’s call center concerning </w:t>
      </w:r>
      <w:r w:rsidR="0032262C">
        <w:t>Verde</w:t>
      </w:r>
      <w:r w:rsidR="002F1A79">
        <w:t>’s misdeeds</w:t>
      </w:r>
      <w:r>
        <w:t xml:space="preserve">. The PUCO characterized the information collected </w:t>
      </w:r>
      <w:r w:rsidR="0009668F">
        <w:t xml:space="preserve">from customers </w:t>
      </w:r>
      <w:r>
        <w:t>by its Staff (including its call center) as hearsay and hearsay upon hearsay.</w:t>
      </w:r>
      <w:r>
        <w:rPr>
          <w:rStyle w:val="FootnoteReference"/>
        </w:rPr>
        <w:footnoteReference w:id="44"/>
      </w:r>
      <w:r>
        <w:t xml:space="preserve"> Accordingly, the PUCO appears to have given little weight, if any, to </w:t>
      </w:r>
      <w:r w:rsidR="0009668F">
        <w:t xml:space="preserve">Ohioans’ complaints about Verde, which were compiled by </w:t>
      </w:r>
      <w:r>
        <w:t xml:space="preserve">its </w:t>
      </w:r>
      <w:r w:rsidR="008F74BB">
        <w:t xml:space="preserve">own </w:t>
      </w:r>
      <w:r>
        <w:t>Staff</w:t>
      </w:r>
      <w:r w:rsidR="0009668F">
        <w:t xml:space="preserve"> and were the basis of the PUCO</w:t>
      </w:r>
      <w:r w:rsidR="00F965F4">
        <w:t>-</w:t>
      </w:r>
      <w:r w:rsidR="0009668F">
        <w:t>initiated investigation.</w:t>
      </w:r>
      <w:r>
        <w:rPr>
          <w:rStyle w:val="FootnoteReference"/>
        </w:rPr>
        <w:footnoteReference w:id="45"/>
      </w:r>
      <w:r>
        <w:t xml:space="preserve"> Th</w:t>
      </w:r>
      <w:r w:rsidR="0009668F">
        <w:t>is is another reason th</w:t>
      </w:r>
      <w:r>
        <w:t>e PUCO should rehear its conclusions about the lack of evidence, and adopt OCC’s recommendations.</w:t>
      </w:r>
    </w:p>
    <w:p w:rsidR="0066649A" w:rsidP="00341759" w14:paraId="4FDB59C0" w14:textId="77777777">
      <w:pPr>
        <w:spacing w:line="480" w:lineRule="auto"/>
        <w:ind w:firstLine="720"/>
      </w:pPr>
      <w:r>
        <w:t xml:space="preserve">Under the PUCO’s approach, the victims’ complaints to the PUCO’s call center are to be considered hearsay and not evidence of marketer misconduct. These Ohioans who were deceived and ripped off </w:t>
      </w:r>
      <w:r w:rsidR="008F74BB">
        <w:t xml:space="preserve">may not have (nor should they be required to expend) </w:t>
      </w:r>
      <w:r>
        <w:t>the</w:t>
      </w:r>
      <w:r w:rsidR="008F74BB">
        <w:t xml:space="preserve"> resources</w:t>
      </w:r>
      <w:r>
        <w:t xml:space="preserve"> for hiring </w:t>
      </w:r>
      <w:r w:rsidR="008F74BB">
        <w:t xml:space="preserve">legal </w:t>
      </w:r>
      <w:r>
        <w:t xml:space="preserve">counsel </w:t>
      </w:r>
      <w:r w:rsidR="008F74BB">
        <w:t>or</w:t>
      </w:r>
      <w:r w:rsidR="006D2F86">
        <w:t xml:space="preserve"> the</w:t>
      </w:r>
      <w:r w:rsidR="008F74BB">
        <w:t xml:space="preserve"> ability</w:t>
      </w:r>
      <w:r w:rsidR="00A05D01">
        <w:t xml:space="preserve"> to take time off from </w:t>
      </w:r>
      <w:r>
        <w:t>their job</w:t>
      </w:r>
      <w:r w:rsidR="00A05D01">
        <w:t>s</w:t>
      </w:r>
      <w:r>
        <w:t>, arrang</w:t>
      </w:r>
      <w:r w:rsidR="00A05D01">
        <w:t>e</w:t>
      </w:r>
      <w:r>
        <w:t xml:space="preserve"> childcare or eldercare, and travel to Columbus to appear </w:t>
      </w:r>
      <w:r w:rsidR="00A05D01">
        <w:t xml:space="preserve">before the </w:t>
      </w:r>
      <w:r>
        <w:t xml:space="preserve">PUCO to testify and be cross-examined. Under these circumstances, the PUCO should use its resources to develop a real opportunity for </w:t>
      </w:r>
      <w:r w:rsidR="0009668F">
        <w:t xml:space="preserve">consumers </w:t>
      </w:r>
      <w:r>
        <w:t>to give evidence that the PUCO will not</w:t>
      </w:r>
      <w:r w:rsidR="00A05D01">
        <w:t xml:space="preserve"> simply dismiss as </w:t>
      </w:r>
      <w:r>
        <w:t>hearsay.</w:t>
      </w:r>
      <w:r w:rsidR="00F433DE">
        <w:t xml:space="preserve"> </w:t>
      </w:r>
    </w:p>
    <w:p w:rsidR="0066649A" w:rsidP="00341759" w14:paraId="2D0F01EE" w14:textId="77777777">
      <w:pPr>
        <w:spacing w:line="480" w:lineRule="auto"/>
        <w:ind w:firstLine="720"/>
      </w:pPr>
      <w:r>
        <w:t xml:space="preserve">One approach would be for the PUCO to schedule local hearings for testimony. Another approach would be for the PUCO’s call center to use other means, such as listening to third-party verifications and documenting </w:t>
      </w:r>
      <w:r w:rsidR="0032262C">
        <w:t>Verde</w:t>
      </w:r>
      <w:r>
        <w:t>’s use of spoofing Caller ID for calls to consumers, that would be evidence</w:t>
      </w:r>
      <w:r w:rsidR="0009668F">
        <w:t>.</w:t>
      </w:r>
      <w:r w:rsidR="00C36C81">
        <w:t xml:space="preserve"> </w:t>
      </w:r>
      <w:r w:rsidR="0009668F">
        <w:t xml:space="preserve">This should be done </w:t>
      </w:r>
      <w:r>
        <w:t xml:space="preserve">without leaning on consumers and OCC for overcoming the natural impediments for consumers to </w:t>
      </w:r>
      <w:r w:rsidR="0009668F">
        <w:t xml:space="preserve">participate </w:t>
      </w:r>
      <w:r>
        <w:t xml:space="preserve">in the PUCO’s processes. </w:t>
      </w:r>
    </w:p>
    <w:p w:rsidR="0066649A" w:rsidP="00341759" w14:paraId="33C9BF82" w14:textId="77777777">
      <w:pPr>
        <w:spacing w:line="480" w:lineRule="auto"/>
        <w:ind w:firstLine="720"/>
      </w:pPr>
      <w:r>
        <w:t xml:space="preserve">The PUCO’s ruling is unfortunate both for Ohioans who are victims of </w:t>
      </w:r>
      <w:r w:rsidR="0032262C">
        <w:t>Verde</w:t>
      </w:r>
      <w:r>
        <w:t xml:space="preserve"> and for Ohioans who could be victims of other bad-acting marketers. In </w:t>
      </w:r>
      <w:r w:rsidR="00A05D01">
        <w:t>effect</w:t>
      </w:r>
      <w:r>
        <w:t xml:space="preserve">, the PUCO has adopted a standard that gives </w:t>
      </w:r>
      <w:r w:rsidR="00DE248C">
        <w:t xml:space="preserve">an </w:t>
      </w:r>
      <w:r>
        <w:t>advantage to the regulated violator of its rules over the Ohio consumers who are its victims. And that message will be favorably received by any other disreputable marketers going forward.</w:t>
      </w:r>
      <w:r w:rsidR="00F433DE">
        <w:t xml:space="preserve"> </w:t>
      </w:r>
    </w:p>
    <w:p w:rsidR="0066649A" w:rsidP="00341759" w14:paraId="5DC4B2F8" w14:textId="77777777">
      <w:pPr>
        <w:spacing w:line="480" w:lineRule="auto"/>
        <w:ind w:firstLine="720"/>
      </w:pPr>
      <w:r>
        <w:t xml:space="preserve">Note that, under R.C. </w:t>
      </w:r>
      <w:r w:rsidRPr="002542F1">
        <w:t>4905.261</w:t>
      </w:r>
      <w:r>
        <w:t xml:space="preserve">, the PUCO “shall operate a telephone call center for consumer complaints, to receive complaints by any person, firm, or corporation against any public utility.” The PUCO’s call center is </w:t>
      </w:r>
      <w:r w:rsidRPr="00AF4EBE">
        <w:t>the</w:t>
      </w:r>
      <w:r w:rsidRPr="0066649A">
        <w:rPr>
          <w:i/>
          <w:iCs/>
        </w:rPr>
        <w:t xml:space="preserve"> </w:t>
      </w:r>
      <w:r>
        <w:t xml:space="preserve">one and only government </w:t>
      </w:r>
      <w:r w:rsidR="00AF1B92">
        <w:t xml:space="preserve">call </w:t>
      </w:r>
      <w:r>
        <w:t>center for handling utility consumer complaints in Ohio. As the PUCO well knows, OCC has been prohibited under R.C. 4911.021 from “operat[ing] a telephone call center for consumer complaints.” OCC merely receives information from the PUCO about its complaint calls from Ohioans (R.C. 4905.261) but the complaint contact is between the consumer and the PUCO. The PUCO’s special arrangement for call center contacts with consumers should be elevated, by the PUCO, toward converting those contacts into whatever the PUCO deems necessary to meet its evidentiary standards. This is especially so given the limits on OCC’s resources including the prohibition against operating a call center to help Ohio consumers.</w:t>
      </w:r>
    </w:p>
    <w:p w:rsidR="0066649A" w:rsidP="00341759" w14:paraId="5E12BEA4" w14:textId="77777777">
      <w:pPr>
        <w:spacing w:line="480" w:lineRule="auto"/>
        <w:ind w:firstLine="720"/>
      </w:pPr>
      <w:r>
        <w:t>As some unfortunate irony</w:t>
      </w:r>
      <w:r w:rsidR="0009668F">
        <w:t xml:space="preserve">, </w:t>
      </w:r>
      <w:r>
        <w:t xml:space="preserve">given the significance of a call center </w:t>
      </w:r>
      <w:r w:rsidR="0009668F">
        <w:t>in</w:t>
      </w:r>
      <w:r>
        <w:t xml:space="preserve"> consumer complaints against </w:t>
      </w:r>
      <w:r w:rsidR="0032262C">
        <w:t>Verde</w:t>
      </w:r>
      <w:r>
        <w:t xml:space="preserve"> and other marketers, it was reported </w:t>
      </w:r>
      <w:r w:rsidR="0009668F">
        <w:t>(</w:t>
      </w:r>
      <w:r>
        <w:t>in a Columbus Dispatch story</w:t>
      </w:r>
      <w:r w:rsidR="0009668F">
        <w:t xml:space="preserve">) </w:t>
      </w:r>
      <w:r>
        <w:t>that at least one marketer was vocally involved when, in 2011, the Kasich Administration dealt a significant blow against OCC’s consumer advocacy through a major budget cut.</w:t>
      </w:r>
      <w:r>
        <w:rPr>
          <w:rStyle w:val="FootnoteReference"/>
        </w:rPr>
        <w:footnoteReference w:id="46"/>
      </w:r>
      <w:r>
        <w:t xml:space="preserve"> What OCC and consumers lost at that time </w:t>
      </w:r>
      <w:r w:rsidR="00207C2D">
        <w:t xml:space="preserve">(due to lack of funds after </w:t>
      </w:r>
      <w:r w:rsidR="00520AEE">
        <w:t>the</w:t>
      </w:r>
      <w:r w:rsidR="00207C2D">
        <w:t xml:space="preserve"> budget cut) </w:t>
      </w:r>
      <w:r>
        <w:t>was what remained of the OCC call center for non-complaint calls involving education and information for consumers</w:t>
      </w:r>
      <w:r w:rsidR="00207C2D">
        <w:t>.</w:t>
      </w:r>
      <w:r w:rsidR="00C36C81">
        <w:t xml:space="preserve"> </w:t>
      </w:r>
      <w:r>
        <w:t>Accordingly, given the PUCO’s standard against treating the customer complaints as evidence, the PUCO should activate its call center to find solutions now on rehearing and in the future for developing information that will stand up as evidence and stand up for the Ohio consumers that the PUCO serves.</w:t>
      </w:r>
      <w:r w:rsidR="00F433DE">
        <w:t xml:space="preserve"> </w:t>
      </w:r>
    </w:p>
    <w:p w:rsidR="0066649A" w:rsidP="0066649A" w14:paraId="10287EA9" w14:textId="77777777">
      <w:pPr>
        <w:spacing w:line="480" w:lineRule="auto"/>
        <w:ind w:firstLine="720"/>
      </w:pPr>
      <w:r>
        <w:t>Moreover, the PUCO does not allow OCC or others to conduct discovery on its employees (its staff), under Ohio Admin. Code 4901-1-16(I). That makes the challenge of obtaining evidence even more difficult to overcome. The rule prohibiting discovery on the PUCO Staff should not apply to these types of cases and should be lifted for rehearing.</w:t>
      </w:r>
    </w:p>
    <w:p w:rsidR="00AB103B" w:rsidP="00AB103B" w14:paraId="7C8FCE24" w14:textId="77777777">
      <w:pPr>
        <w:spacing w:line="480" w:lineRule="auto"/>
        <w:ind w:firstLine="720"/>
      </w:pPr>
      <w:r w:rsidRPr="00341759">
        <w:t>Finally, the Ohio Power Siting Board has had a recent initiative to “</w:t>
      </w:r>
      <w:r w:rsidRPr="00341759">
        <w:rPr>
          <w:color w:val="222222"/>
          <w:shd w:val="clear" w:color="auto" w:fill="FFFFFF"/>
        </w:rPr>
        <w:t>improve public participation” in the siting process</w:t>
      </w:r>
      <w:r w:rsidRPr="00341759">
        <w:t>.</w:t>
      </w:r>
      <w:r>
        <w:rPr>
          <w:rStyle w:val="FootnoteReference"/>
        </w:rPr>
        <w:footnoteReference w:id="47"/>
      </w:r>
      <w:r w:rsidR="00F433DE">
        <w:t xml:space="preserve"> </w:t>
      </w:r>
      <w:r w:rsidRPr="00341759">
        <w:t>The PUCO also should be making participation on utility matters easier for customers, not more difficult, on this rehearing and in other cases involving bad acts by disreputable marketers</w:t>
      </w:r>
      <w:r w:rsidR="00147608">
        <w:t xml:space="preserve"> like Verde</w:t>
      </w:r>
      <w:r w:rsidRPr="00341759">
        <w:t>.</w:t>
      </w:r>
      <w:r w:rsidR="00F433DE">
        <w:t xml:space="preserve"> </w:t>
      </w:r>
    </w:p>
    <w:p w:rsidR="008B2E32" w:rsidRPr="009C78C4" w:rsidP="00A536FE" w14:paraId="33E4367C" w14:textId="77777777">
      <w:pPr>
        <w:pStyle w:val="Heading3"/>
        <w:numPr>
          <w:ilvl w:val="0"/>
          <w:numId w:val="29"/>
        </w:numPr>
        <w:ind w:left="2160" w:hanging="720"/>
        <w:rPr>
          <w:rFonts w:hint="eastAsia"/>
        </w:rPr>
      </w:pPr>
      <w:bookmarkStart w:id="19" w:name="_Toc36109932"/>
      <w:bookmarkStart w:id="20" w:name="_Toc36220259"/>
      <w:r w:rsidRPr="00147608">
        <w:t xml:space="preserve">The PUCO </w:t>
      </w:r>
      <w:r>
        <w:t>e</w:t>
      </w:r>
      <w:r w:rsidRPr="00147608">
        <w:t xml:space="preserve">rred in </w:t>
      </w:r>
      <w:r>
        <w:t>r</w:t>
      </w:r>
      <w:r w:rsidRPr="00147608">
        <w:t xml:space="preserve">efusing to </w:t>
      </w:r>
      <w:r>
        <w:t>c</w:t>
      </w:r>
      <w:r w:rsidRPr="00147608">
        <w:t xml:space="preserve">onsider Verde’s </w:t>
      </w:r>
      <w:r>
        <w:t>o</w:t>
      </w:r>
      <w:r w:rsidRPr="00147608">
        <w:t xml:space="preserve">wn </w:t>
      </w:r>
      <w:r>
        <w:t>a</w:t>
      </w:r>
      <w:r w:rsidRPr="00147608">
        <w:t xml:space="preserve">dmissions </w:t>
      </w:r>
      <w:r>
        <w:t>t</w:t>
      </w:r>
      <w:r w:rsidRPr="00147608">
        <w:t xml:space="preserve">hat it </w:t>
      </w:r>
      <w:r>
        <w:t>v</w:t>
      </w:r>
      <w:r w:rsidRPr="00147608">
        <w:t xml:space="preserve">iolated the PUCO’s </w:t>
      </w:r>
      <w:r>
        <w:t>r</w:t>
      </w:r>
      <w:r w:rsidRPr="00147608">
        <w:t>ules</w:t>
      </w:r>
      <w:r>
        <w:t>.</w:t>
      </w:r>
      <w:bookmarkEnd w:id="19"/>
      <w:bookmarkEnd w:id="20"/>
    </w:p>
    <w:p w:rsidR="00A66D27" w:rsidP="008B2E32" w14:paraId="550B132E" w14:textId="77777777">
      <w:pPr>
        <w:spacing w:line="480" w:lineRule="auto"/>
        <w:ind w:firstLine="720"/>
      </w:pPr>
      <w:r w:rsidRPr="008B2E32">
        <w:t>The 517 customer contacts and complaints in the record in th</w:t>
      </w:r>
      <w:r>
        <w:t>i</w:t>
      </w:r>
      <w:r w:rsidR="006439A7">
        <w:t>s case are replete with</w:t>
      </w:r>
      <w:r>
        <w:t xml:space="preserve"> admissions</w:t>
      </w:r>
      <w:r w:rsidRPr="008B2E32">
        <w:t xml:space="preserve"> </w:t>
      </w:r>
      <w:r>
        <w:t xml:space="preserve">by Verde’s own representatives that </w:t>
      </w:r>
      <w:r w:rsidR="00953081">
        <w:t>Verde</w:t>
      </w:r>
      <w:r>
        <w:t xml:space="preserve"> violated </w:t>
      </w:r>
      <w:r w:rsidR="0074588C">
        <w:t>various PUCO rules.</w:t>
      </w:r>
      <w:r>
        <w:rPr>
          <w:rStyle w:val="FootnoteReference"/>
        </w:rPr>
        <w:footnoteReference w:id="48"/>
      </w:r>
      <w:r w:rsidR="0074588C">
        <w:t xml:space="preserve"> </w:t>
      </w:r>
      <w:r w:rsidR="00953081">
        <w:t>As OCC explained in its Initial Brief, t</w:t>
      </w:r>
      <w:r w:rsidR="0074588C">
        <w:t>hese admissions by Verde qualify as statements against interest by a party-opponent (Verde) and thus</w:t>
      </w:r>
      <w:r w:rsidR="006439A7">
        <w:t>,</w:t>
      </w:r>
      <w:r w:rsidR="0074588C">
        <w:t xml:space="preserve"> are specifically </w:t>
      </w:r>
      <w:r w:rsidR="0074588C">
        <w:rPr>
          <w:i/>
          <w:iCs/>
        </w:rPr>
        <w:t>excluded</w:t>
      </w:r>
      <w:r w:rsidR="0074588C">
        <w:t xml:space="preserve"> from the definition of hearsay under Ohio Rule of Evidence 801(D)(2).</w:t>
      </w:r>
      <w:r>
        <w:t xml:space="preserve"> </w:t>
      </w:r>
    </w:p>
    <w:p w:rsidR="009B672C" w:rsidP="006439A7" w14:paraId="24EBA746" w14:textId="77777777">
      <w:pPr>
        <w:spacing w:line="480" w:lineRule="auto"/>
        <w:ind w:firstLine="720"/>
      </w:pPr>
      <w:r>
        <w:t>However,</w:t>
      </w:r>
      <w:r w:rsidR="00A66D27">
        <w:t xml:space="preserve"> the PUCO refuses to</w:t>
      </w:r>
      <w:r>
        <w:t xml:space="preserve"> consider</w:t>
      </w:r>
      <w:r w:rsidR="00A66D27">
        <w:t xml:space="preserve"> </w:t>
      </w:r>
      <w:r w:rsidR="00A66D27">
        <w:rPr>
          <w:i/>
          <w:iCs/>
        </w:rPr>
        <w:t xml:space="preserve">any </w:t>
      </w:r>
      <w:r w:rsidR="00A66D27">
        <w:t xml:space="preserve">of Verde’s </w:t>
      </w:r>
      <w:r w:rsidRPr="006439A7" w:rsidR="00A66D27">
        <w:t>own admissions</w:t>
      </w:r>
      <w:r w:rsidR="00A66D27">
        <w:t xml:space="preserve"> that it violated the PUCO’s rules because one of the case reports (Case No. 00256087) contains Verde’s offer to settle the individual complaint.</w:t>
      </w:r>
      <w:r>
        <w:rPr>
          <w:rStyle w:val="FootnoteReference"/>
        </w:rPr>
        <w:footnoteReference w:id="49"/>
      </w:r>
      <w:r w:rsidR="00A66D27">
        <w:t xml:space="preserve"> </w:t>
      </w:r>
      <w:r w:rsidR="008E7AB6">
        <w:t>According to the</w:t>
      </w:r>
      <w:r w:rsidR="00A66D27">
        <w:t xml:space="preserve"> PUCO</w:t>
      </w:r>
      <w:r w:rsidR="008E7AB6">
        <w:t>, “</w:t>
      </w:r>
      <w:r w:rsidR="00A66D27">
        <w:t xml:space="preserve">offers </w:t>
      </w:r>
      <w:r w:rsidR="008E7AB6">
        <w:t xml:space="preserve">made by Verde to settle this individual complaint [] should not be relied upon as evidence of a violation” </w:t>
      </w:r>
      <w:r w:rsidR="00A66D27">
        <w:t>under Ohio Evidence Rule 408</w:t>
      </w:r>
      <w:r w:rsidR="008E7AB6">
        <w:t>.</w:t>
      </w:r>
      <w:r>
        <w:rPr>
          <w:rStyle w:val="FootnoteReference"/>
        </w:rPr>
        <w:footnoteReference w:id="50"/>
      </w:r>
      <w:r w:rsidR="00A66D27">
        <w:t xml:space="preserve"> </w:t>
      </w:r>
      <w:r w:rsidR="00A30FFE">
        <w:t>However,</w:t>
      </w:r>
      <w:r w:rsidR="008E7AB6">
        <w:t xml:space="preserve"> </w:t>
      </w:r>
      <w:r w:rsidR="00A66D27">
        <w:t xml:space="preserve">OCC </w:t>
      </w:r>
      <w:r w:rsidRPr="00E76644">
        <w:t>never</w:t>
      </w:r>
      <w:r>
        <w:t xml:space="preserve"> cited</w:t>
      </w:r>
      <w:r w:rsidR="00A66D27">
        <w:t xml:space="preserve"> Verde’s offers of settlement </w:t>
      </w:r>
      <w:r>
        <w:t xml:space="preserve">as evidence of Verde’s wrongdoing. </w:t>
      </w:r>
    </w:p>
    <w:p w:rsidR="0074588C" w:rsidRPr="0074588C" w:rsidP="006439A7" w14:paraId="7F7D00EB" w14:textId="77777777">
      <w:pPr>
        <w:spacing w:line="480" w:lineRule="auto"/>
        <w:ind w:firstLine="720"/>
      </w:pPr>
      <w:r>
        <w:t>To the contrary</w:t>
      </w:r>
      <w:r w:rsidR="00953081">
        <w:t>, OCC cited Verde’s</w:t>
      </w:r>
      <w:r w:rsidR="008E7AB6">
        <w:t xml:space="preserve"> unequivocal</w:t>
      </w:r>
      <w:r w:rsidR="00953081">
        <w:t xml:space="preserve"> admission</w:t>
      </w:r>
      <w:r w:rsidR="008E7AB6">
        <w:t>s</w:t>
      </w:r>
      <w:r w:rsidR="00953081">
        <w:t xml:space="preserve"> of </w:t>
      </w:r>
      <w:r w:rsidR="008E7AB6">
        <w:t>violation (which are excluded from hearsay under Ohio Evidence Rule 801(D)(2)</w:t>
      </w:r>
      <w:r w:rsidR="00D92FDF">
        <w:t>)</w:t>
      </w:r>
      <w:r w:rsidR="008E7AB6">
        <w:t xml:space="preserve"> as evidence of Verde’s </w:t>
      </w:r>
      <w:r w:rsidR="00953081">
        <w:t>wrongdoing.</w:t>
      </w:r>
      <w:r>
        <w:rPr>
          <w:rStyle w:val="FootnoteReference"/>
        </w:rPr>
        <w:footnoteReference w:id="51"/>
      </w:r>
      <w:r w:rsidR="00A66D27">
        <w:t xml:space="preserve"> </w:t>
      </w:r>
      <w:r w:rsidR="008E7AB6">
        <w:t xml:space="preserve">The PUCO wrongly conflates Verde’s admissions of violation with Verde’s separate offers of settlement. The PUCO’s refusal to consider </w:t>
      </w:r>
      <w:r>
        <w:t>Verde’s own admissions of violation was unreasonable and unlawful, and the PUCO should grant rehearing for this reason as well. Indeed, if a marketer’s own admission</w:t>
      </w:r>
      <w:r w:rsidR="00A30FFE">
        <w:t>s</w:t>
      </w:r>
      <w:r>
        <w:t xml:space="preserve"> that it violated the law </w:t>
      </w:r>
      <w:r w:rsidR="00A30FFE">
        <w:t>are</w:t>
      </w:r>
      <w:r>
        <w:t xml:space="preserve"> not sufficient to establish wrongdoing, nothing is.</w:t>
      </w:r>
    </w:p>
    <w:p w:rsidR="00F62DF6" w:rsidRPr="00BD7DEA" w:rsidP="00D92FDF" w14:paraId="79992510" w14:textId="77777777">
      <w:pPr>
        <w:pStyle w:val="Heading2"/>
        <w:rPr>
          <w:szCs w:val="20"/>
        </w:rPr>
      </w:pPr>
      <w:bookmarkStart w:id="21" w:name="_Toc36109933"/>
      <w:bookmarkStart w:id="22" w:name="_Toc36220260"/>
      <w:r w:rsidRPr="00F4301E">
        <w:rPr>
          <w:rStyle w:val="Heading2Char"/>
          <w:b/>
          <w:bCs/>
        </w:rPr>
        <w:t>ASSIGNMENT OF ERROR NO. 2:</w:t>
      </w:r>
      <w:r w:rsidRPr="001A57F0">
        <w:rPr>
          <w:rStyle w:val="Heading2Char"/>
          <w:b/>
          <w:bCs/>
        </w:rPr>
        <w:t xml:space="preserve"> The PUCO erred in finding that the</w:t>
      </w:r>
      <w:r w:rsidRPr="00D92FDF">
        <w:rPr>
          <w:szCs w:val="20"/>
        </w:rPr>
        <w:t xml:space="preserve"> Settlement was in the public interest and benefits consumers.</w:t>
      </w:r>
      <w:bookmarkEnd w:id="21"/>
      <w:bookmarkEnd w:id="22"/>
    </w:p>
    <w:p w:rsidR="008D6E74" w:rsidP="0086593F" w14:paraId="032FD406" w14:textId="77777777">
      <w:pPr>
        <w:tabs>
          <w:tab w:val="left" w:pos="720"/>
          <w:tab w:val="left" w:pos="1440"/>
          <w:tab w:val="left" w:leader="dot" w:pos="8640"/>
        </w:tabs>
        <w:spacing w:line="480" w:lineRule="auto"/>
        <w:ind w:firstLine="720"/>
        <w:rPr>
          <w:szCs w:val="20"/>
        </w:rPr>
      </w:pPr>
      <w:r>
        <w:rPr>
          <w:szCs w:val="20"/>
        </w:rPr>
        <w:t>In its Order, the PUCO noted that the</w:t>
      </w:r>
      <w:r w:rsidR="004F7F6C">
        <w:rPr>
          <w:szCs w:val="20"/>
        </w:rPr>
        <w:t xml:space="preserve"> “serious allegations regarding </w:t>
      </w:r>
      <w:r w:rsidR="0032262C">
        <w:rPr>
          <w:szCs w:val="20"/>
        </w:rPr>
        <w:t>Verde</w:t>
      </w:r>
      <w:r>
        <w:rPr>
          <w:szCs w:val="20"/>
        </w:rPr>
        <w:t>’s conduct in the competitive retail electric and gas marketplace . . . warrant</w:t>
      </w:r>
      <w:r w:rsidR="009F7A99">
        <w:rPr>
          <w:szCs w:val="20"/>
        </w:rPr>
        <w:t>[s]</w:t>
      </w:r>
      <w:r>
        <w:rPr>
          <w:szCs w:val="20"/>
        </w:rPr>
        <w:t xml:space="preserve"> serious consequences.”</w:t>
      </w:r>
      <w:r>
        <w:rPr>
          <w:rStyle w:val="FootnoteReference"/>
          <w:szCs w:val="20"/>
        </w:rPr>
        <w:footnoteReference w:id="52"/>
      </w:r>
      <w:r w:rsidR="008B2E32">
        <w:rPr>
          <w:szCs w:val="20"/>
        </w:rPr>
        <w:t xml:space="preserve"> The Order determined that Verde violated the PUCO’s rules 17 times</w:t>
      </w:r>
      <w:r w:rsidR="00072BC7">
        <w:rPr>
          <w:szCs w:val="20"/>
        </w:rPr>
        <w:t>. In addition, the Staff Report concluded that “Verde does not currently possess the fitness or managerial capability to provide competitive services in the state of Ohio.”</w:t>
      </w:r>
      <w:r>
        <w:rPr>
          <w:rStyle w:val="FootnoteReference"/>
          <w:szCs w:val="20"/>
        </w:rPr>
        <w:footnoteReference w:id="53"/>
      </w:r>
      <w:r w:rsidR="00072BC7">
        <w:rPr>
          <w:szCs w:val="20"/>
        </w:rPr>
        <w:t xml:space="preserve"> Nevertheless</w:t>
      </w:r>
      <w:r w:rsidR="009F7A99">
        <w:rPr>
          <w:szCs w:val="20"/>
        </w:rPr>
        <w:t>, the PUCO approved a Settlement that is not in the public interest and does not benefit consumers.</w:t>
      </w:r>
      <w:r>
        <w:rPr>
          <w:rStyle w:val="FootnoteReference"/>
          <w:szCs w:val="20"/>
        </w:rPr>
        <w:footnoteReference w:id="54"/>
      </w:r>
    </w:p>
    <w:p w:rsidR="00F62DF6" w:rsidRPr="00F62DF6" w:rsidP="001A57F0" w14:paraId="5CE58B5F" w14:textId="77777777">
      <w:pPr>
        <w:pStyle w:val="Heading3"/>
        <w:numPr>
          <w:ilvl w:val="0"/>
          <w:numId w:val="26"/>
        </w:numPr>
        <w:ind w:left="2160" w:hanging="720"/>
        <w:rPr>
          <w:rFonts w:hint="eastAsia"/>
        </w:rPr>
      </w:pPr>
      <w:bookmarkStart w:id="23" w:name="_Toc36109934"/>
      <w:bookmarkStart w:id="24" w:name="_Toc36220261"/>
      <w:r w:rsidRPr="001A57F0">
        <w:rPr>
          <w:rStyle w:val="Heading3Char"/>
        </w:rPr>
        <w:t>The Settlement is not in the public interest and does not benefit</w:t>
      </w:r>
      <w:r w:rsidRPr="008F1C95">
        <w:t xml:space="preserve"> consumers because it </w:t>
      </w:r>
      <w:r w:rsidR="003D63EC">
        <w:t xml:space="preserve">required </w:t>
      </w:r>
      <w:r w:rsidRPr="008F1C95">
        <w:t>no refunds to the natural gas customers Verde harmed.</w:t>
      </w:r>
      <w:bookmarkEnd w:id="23"/>
      <w:bookmarkEnd w:id="24"/>
    </w:p>
    <w:p w:rsidR="00D15B27" w:rsidP="0086593F" w14:paraId="6D20A742" w14:textId="77777777">
      <w:pPr>
        <w:tabs>
          <w:tab w:val="left" w:pos="720"/>
          <w:tab w:val="left" w:pos="1440"/>
          <w:tab w:val="left" w:leader="dot" w:pos="8640"/>
        </w:tabs>
        <w:spacing w:line="480" w:lineRule="auto"/>
        <w:ind w:firstLine="720"/>
      </w:pPr>
      <w:r w:rsidRPr="003F5315">
        <w:t xml:space="preserve">The PUCO’s second criterion for considering settlements is whether </w:t>
      </w:r>
      <w:r w:rsidRPr="003F5315">
        <w:rPr>
          <w:bCs/>
          <w:iCs/>
        </w:rPr>
        <w:t xml:space="preserve">the settlement, as a package, benefits customers and the public interest. </w:t>
      </w:r>
      <w:r w:rsidR="009F7A99">
        <w:rPr>
          <w:bCs/>
          <w:iCs/>
        </w:rPr>
        <w:t>Contrary to the PUCO’s conclusions, t</w:t>
      </w:r>
      <w:r w:rsidRPr="003F5315">
        <w:rPr>
          <w:bCs/>
          <w:iCs/>
        </w:rPr>
        <w:t xml:space="preserve">he </w:t>
      </w:r>
      <w:r w:rsidRPr="003F5315" w:rsidR="00426A6D">
        <w:rPr>
          <w:bCs/>
          <w:iCs/>
        </w:rPr>
        <w:t>Settlement</w:t>
      </w:r>
      <w:r w:rsidRPr="003F5315" w:rsidR="00CB25A1">
        <w:rPr>
          <w:bCs/>
          <w:iCs/>
        </w:rPr>
        <w:t xml:space="preserve"> filed in this case</w:t>
      </w:r>
      <w:r w:rsidRPr="003F5315">
        <w:rPr>
          <w:bCs/>
          <w:iCs/>
        </w:rPr>
        <w:t xml:space="preserve"> fails to meet this criterion</w:t>
      </w:r>
      <w:r w:rsidR="00B9360F">
        <w:rPr>
          <w:bCs/>
          <w:iCs/>
        </w:rPr>
        <w:t xml:space="preserve"> because it does not require Verde to pay a single penny in refunds to the natural gas customers it harmed</w:t>
      </w:r>
      <w:r w:rsidRPr="003F5315">
        <w:rPr>
          <w:bCs/>
          <w:iCs/>
        </w:rPr>
        <w:t>.</w:t>
      </w:r>
      <w:r>
        <w:rPr>
          <w:bCs/>
          <w:iCs/>
        </w:rPr>
        <w:t xml:space="preserve"> And yet, r</w:t>
      </w:r>
      <w:r>
        <w:t>e</w:t>
      </w:r>
      <w:r w:rsidRPr="003F5315">
        <w:t>funds</w:t>
      </w:r>
      <w:r w:rsidRPr="003F5315" w:rsidR="00D862E0">
        <w:t xml:space="preserve"> for harm </w:t>
      </w:r>
      <w:r w:rsidRPr="003F5315" w:rsidR="004D7650">
        <w:t>caused</w:t>
      </w:r>
      <w:r w:rsidRPr="003F5315" w:rsidR="00D862E0">
        <w:t xml:space="preserve"> to consumers is fundamental to enforcement of consumer protection rules. </w:t>
      </w:r>
      <w:r w:rsidR="009B672C">
        <w:t>Ohio statutes (</w:t>
      </w:r>
      <w:r w:rsidRPr="003F5315" w:rsidR="00D862E0">
        <w:t xml:space="preserve">R.C. 4928.16 (electric) and </w:t>
      </w:r>
      <w:r w:rsidRPr="003F5315" w:rsidR="004D7650">
        <w:t xml:space="preserve">R.C. </w:t>
      </w:r>
      <w:r w:rsidRPr="003F5315" w:rsidR="00D862E0">
        <w:t>4929.24 (gas)</w:t>
      </w:r>
      <w:r w:rsidR="009B672C">
        <w:t>)</w:t>
      </w:r>
      <w:r w:rsidRPr="003F5315" w:rsidR="00D862E0">
        <w:t xml:space="preserve"> expressly provide the PUCO the authority to order </w:t>
      </w:r>
      <w:r w:rsidR="009B672C">
        <w:t>energy marketers t</w:t>
      </w:r>
      <w:r w:rsidRPr="003F5315" w:rsidR="00D862E0">
        <w:t>o make restitution to customers harmed by the</w:t>
      </w:r>
      <w:r w:rsidR="009B672C">
        <w:t xml:space="preserve">ir </w:t>
      </w:r>
      <w:r w:rsidRPr="003F5315" w:rsidR="00D862E0">
        <w:t>violations</w:t>
      </w:r>
      <w:r w:rsidR="009B672C">
        <w:t xml:space="preserve"> of Ohio law and PUCO rules</w:t>
      </w:r>
      <w:r w:rsidRPr="003F5315" w:rsidR="00D862E0">
        <w:t>.</w:t>
      </w:r>
      <w:r>
        <w:rPr>
          <w:rStyle w:val="FootnoteReference"/>
        </w:rPr>
        <w:footnoteReference w:id="55"/>
      </w:r>
      <w:r w:rsidRPr="003F5315" w:rsidR="00D862E0">
        <w:t xml:space="preserve"> </w:t>
      </w:r>
    </w:p>
    <w:p w:rsidR="00EE5A93" w:rsidRPr="003F5315" w:rsidP="0086593F" w14:paraId="18BD8777" w14:textId="77777777">
      <w:pPr>
        <w:tabs>
          <w:tab w:val="left" w:pos="720"/>
          <w:tab w:val="left" w:pos="1440"/>
          <w:tab w:val="left" w:leader="dot" w:pos="8640"/>
        </w:tabs>
        <w:spacing w:line="480" w:lineRule="auto"/>
        <w:ind w:firstLine="720"/>
      </w:pPr>
      <w:r>
        <w:t xml:space="preserve">The </w:t>
      </w:r>
      <w:r w:rsidR="00D15B27">
        <w:t xml:space="preserve">PUCO </w:t>
      </w:r>
      <w:r>
        <w:t xml:space="preserve">Order states that the purpose of </w:t>
      </w:r>
      <w:r w:rsidRPr="003F5315" w:rsidR="007372A3">
        <w:t>t</w:t>
      </w:r>
      <w:r w:rsidRPr="003F5315" w:rsidR="00B20284">
        <w:t xml:space="preserve">he </w:t>
      </w:r>
      <w:r w:rsidRPr="003F5315" w:rsidR="00426A6D">
        <w:t>Settlement</w:t>
      </w:r>
      <w:r w:rsidRPr="003F5315" w:rsidR="00EB78EE">
        <w:t xml:space="preserve"> </w:t>
      </w:r>
      <w:r>
        <w:t>is</w:t>
      </w:r>
      <w:r w:rsidRPr="003F5315" w:rsidR="00B20284">
        <w:t xml:space="preserve"> to </w:t>
      </w:r>
      <w:r>
        <w:t>“</w:t>
      </w:r>
      <w:r w:rsidRPr="003F5315" w:rsidR="00B20284">
        <w:t>provide</w:t>
      </w:r>
      <w:r>
        <w:t>[]</w:t>
      </w:r>
      <w:r w:rsidRPr="003F5315" w:rsidR="00B20284">
        <w:t xml:space="preserve"> redress for </w:t>
      </w:r>
      <w:r>
        <w:t>all issues identified in the Staff Report.</w:t>
      </w:r>
      <w:r w:rsidRPr="003F5315" w:rsidR="00B63576">
        <w:t>”</w:t>
      </w:r>
      <w:r>
        <w:rPr>
          <w:rStyle w:val="FootnoteReference"/>
        </w:rPr>
        <w:footnoteReference w:id="56"/>
      </w:r>
      <w:r>
        <w:t xml:space="preserve"> But the Settlement falls short of this objective.</w:t>
      </w:r>
      <w:r w:rsidRPr="003F5315" w:rsidR="00B63576">
        <w:t xml:space="preserve"> </w:t>
      </w:r>
      <w:r>
        <w:t xml:space="preserve">The Staff Report recommended that the PUCO require Verde to refund both electric </w:t>
      </w:r>
      <w:r w:rsidRPr="00C35E49">
        <w:t>and</w:t>
      </w:r>
      <w:r>
        <w:t xml:space="preserve"> natural gas customers “the difference between the electric distribution and/or natural gas utility’s default rate that the rate Verde actually charged them.”</w:t>
      </w:r>
      <w:r>
        <w:rPr>
          <w:rStyle w:val="FootnoteReference"/>
        </w:rPr>
        <w:footnoteReference w:id="57"/>
      </w:r>
      <w:r w:rsidRPr="003F5315" w:rsidR="006C11F3">
        <w:t xml:space="preserve"> </w:t>
      </w:r>
      <w:r>
        <w:t>While the Settlement requires Verde to make refunds to electric customers,</w:t>
      </w:r>
      <w:r w:rsidRPr="003F5315" w:rsidR="006C11F3">
        <w:t xml:space="preserve"> it </w:t>
      </w:r>
      <w:r w:rsidRPr="003F5315" w:rsidR="00F04845">
        <w:t>does not</w:t>
      </w:r>
      <w:r>
        <w:t xml:space="preserve"> require Verde to provide refunds to natural gas customers</w:t>
      </w:r>
      <w:r w:rsidR="00E76644">
        <w:t xml:space="preserve"> at all</w:t>
      </w:r>
      <w:r w:rsidRPr="003F5315" w:rsidR="00F04845">
        <w:t>.</w:t>
      </w:r>
      <w:r w:rsidR="00F433DE">
        <w:t xml:space="preserve"> </w:t>
      </w:r>
    </w:p>
    <w:bookmarkEnd w:id="13"/>
    <w:p w:rsidR="00D373C5" w:rsidP="00C35E49" w14:paraId="3A0296B4" w14:textId="77777777">
      <w:pPr>
        <w:tabs>
          <w:tab w:val="left" w:pos="720"/>
          <w:tab w:val="left" w:pos="1440"/>
          <w:tab w:val="left" w:leader="dot" w:pos="8640"/>
        </w:tabs>
        <w:spacing w:line="480" w:lineRule="auto"/>
      </w:pPr>
      <w:r>
        <w:tab/>
        <w:t>The Order</w:t>
      </w:r>
      <w:r w:rsidR="00E76644">
        <w:t xml:space="preserve"> justifies the Settlement’s failure to refund natural gas customers by</w:t>
      </w:r>
      <w:r>
        <w:t xml:space="preserve"> stat</w:t>
      </w:r>
      <w:r w:rsidR="00E76644">
        <w:t>ing</w:t>
      </w:r>
      <w:r>
        <w:t xml:space="preserve"> that “Verde has already re-rated natural gas customer</w:t>
      </w:r>
      <w:r w:rsidR="00E76644">
        <w:t>s</w:t>
      </w:r>
      <w:r>
        <w:t xml:space="preserve"> voluntarily as part of the Staff investigation, thereby protecting both current and former customers.”</w:t>
      </w:r>
      <w:r>
        <w:rPr>
          <w:rStyle w:val="FootnoteReference"/>
        </w:rPr>
        <w:footnoteReference w:id="58"/>
      </w:r>
      <w:r w:rsidR="00EA50A6">
        <w:t xml:space="preserve"> </w:t>
      </w:r>
      <w:r w:rsidR="00D15B27">
        <w:t>W</w:t>
      </w:r>
      <w:r w:rsidR="00EA50A6">
        <w:t>hile the evidence indicates that Verde did make</w:t>
      </w:r>
      <w:r w:rsidR="00D15B27">
        <w:t xml:space="preserve"> some</w:t>
      </w:r>
      <w:r w:rsidR="00C36C81">
        <w:t xml:space="preserve"> </w:t>
      </w:r>
      <w:r w:rsidR="00EA50A6">
        <w:t>refunds to some</w:t>
      </w:r>
      <w:r w:rsidR="008B1DEB">
        <w:t xml:space="preserve"> individual</w:t>
      </w:r>
      <w:r w:rsidR="00EA50A6">
        <w:t xml:space="preserve"> natural gas customers</w:t>
      </w:r>
      <w:r w:rsidR="00D15B27">
        <w:t xml:space="preserve"> (those </w:t>
      </w:r>
      <w:r w:rsidR="00EA50A6">
        <w:t>who</w:t>
      </w:r>
      <w:r w:rsidR="008B1DEB">
        <w:t xml:space="preserve"> actively pursued </w:t>
      </w:r>
      <w:r w:rsidR="00EA50A6">
        <w:t>complain</w:t>
      </w:r>
      <w:r w:rsidR="008B1DEB">
        <w:t>ts</w:t>
      </w:r>
      <w:r w:rsidR="00EA50A6">
        <w:t xml:space="preserve"> </w:t>
      </w:r>
      <w:r w:rsidR="008B1DEB">
        <w:t>with</w:t>
      </w:r>
      <w:r w:rsidR="00EA50A6">
        <w:t xml:space="preserve"> the PUCO</w:t>
      </w:r>
      <w:r w:rsidR="00D15B27">
        <w:t>)</w:t>
      </w:r>
      <w:r w:rsidR="00EA50A6">
        <w:t xml:space="preserve">, </w:t>
      </w:r>
      <w:r w:rsidR="00902942">
        <w:t xml:space="preserve">neither Verde nor Staff </w:t>
      </w:r>
      <w:r w:rsidR="00D15B27">
        <w:t xml:space="preserve">demonstrated </w:t>
      </w:r>
      <w:r w:rsidR="008B1DEB">
        <w:t>that</w:t>
      </w:r>
      <w:r w:rsidR="00EA50A6">
        <w:t xml:space="preserve"> Verde</w:t>
      </w:r>
      <w:r w:rsidR="00D15B27">
        <w:t>’s refunds w</w:t>
      </w:r>
      <w:r>
        <w:t>ere</w:t>
      </w:r>
      <w:r w:rsidR="00C36C81">
        <w:t xml:space="preserve"> </w:t>
      </w:r>
      <w:r w:rsidR="00D15B27">
        <w:t>made to</w:t>
      </w:r>
      <w:r w:rsidR="00C36C81">
        <w:t xml:space="preserve"> </w:t>
      </w:r>
      <w:r w:rsidR="00EA50A6">
        <w:t xml:space="preserve">all </w:t>
      </w:r>
      <w:r w:rsidR="00902942">
        <w:t xml:space="preserve">retail </w:t>
      </w:r>
      <w:r w:rsidR="00EA50A6">
        <w:t xml:space="preserve">natural gas customers </w:t>
      </w:r>
      <w:r w:rsidR="00D15B27">
        <w:t xml:space="preserve">who Verde charged </w:t>
      </w:r>
      <w:r w:rsidR="004C7965">
        <w:t xml:space="preserve">exorbitant rates </w:t>
      </w:r>
      <w:r w:rsidR="00D92FDF">
        <w:t>(</w:t>
      </w:r>
      <w:r w:rsidR="004C7965">
        <w:t>up to 4</w:t>
      </w:r>
      <w:r w:rsidR="00D92FDF">
        <w:t xml:space="preserve"> </w:t>
      </w:r>
      <w:r w:rsidR="00D15B27">
        <w:t>times the standard choice rate</w:t>
      </w:r>
      <w:r>
        <w:t>.</w:t>
      </w:r>
      <w:r w:rsidR="00D92FDF">
        <w:t>)</w:t>
      </w:r>
      <w:r w:rsidR="00C36C81">
        <w:t xml:space="preserve"> </w:t>
      </w:r>
      <w:r>
        <w:t>Yet that was the recommendation the PUCO Staff made in the Staff Report to remedy the harm caused by Verde’s price gouging.</w:t>
      </w:r>
      <w:r w:rsidR="00C36C81">
        <w:t xml:space="preserve"> </w:t>
      </w:r>
    </w:p>
    <w:p w:rsidR="00D03BB1" w:rsidP="00C35E49" w14:paraId="105C5342" w14:textId="77777777">
      <w:pPr>
        <w:tabs>
          <w:tab w:val="left" w:pos="720"/>
          <w:tab w:val="left" w:pos="1440"/>
          <w:tab w:val="left" w:leader="dot" w:pos="8640"/>
        </w:tabs>
        <w:spacing w:line="480" w:lineRule="auto"/>
      </w:pPr>
      <w:r>
        <w:tab/>
        <w:t xml:space="preserve">Additionally, under the Settlement, </w:t>
      </w:r>
      <w:r w:rsidR="00902942">
        <w:t>Ver</w:t>
      </w:r>
      <w:r>
        <w:t xml:space="preserve">de was required to provide </w:t>
      </w:r>
      <w:r w:rsidR="00D15B27">
        <w:t xml:space="preserve">refunds </w:t>
      </w:r>
      <w:r w:rsidR="00902942">
        <w:t xml:space="preserve">“[f]or </w:t>
      </w:r>
      <w:r w:rsidRPr="00902942" w:rsidR="00902942">
        <w:rPr>
          <w:i/>
          <w:iCs/>
        </w:rPr>
        <w:t>all</w:t>
      </w:r>
      <w:r w:rsidR="00902942">
        <w:t xml:space="preserve"> retail electric customers enrolled by Verde Energy in Ohio from October 1, 2018 through April 30, 2019 . . .”</w:t>
      </w:r>
      <w:r>
        <w:rPr>
          <w:rStyle w:val="FootnoteReference"/>
        </w:rPr>
        <w:footnoteReference w:id="59"/>
      </w:r>
      <w:r w:rsidR="00C36C81">
        <w:t xml:space="preserve"> </w:t>
      </w:r>
      <w:r w:rsidR="00700CBA">
        <w:t xml:space="preserve">There is no basis for denying </w:t>
      </w:r>
      <w:r w:rsidR="00A30FFE">
        <w:t>refunds</w:t>
      </w:r>
      <w:r w:rsidR="00700CBA">
        <w:t xml:space="preserve"> to all natural gas customers</w:t>
      </w:r>
      <w:r w:rsidR="008B1DEB">
        <w:t xml:space="preserve"> enrolled by Verde in Ohio from October 1, 2019 through April 30, 2019</w:t>
      </w:r>
      <w:r w:rsidR="00700CBA">
        <w:t xml:space="preserve">. </w:t>
      </w:r>
      <w:r w:rsidR="008B1DEB">
        <w:t xml:space="preserve">The </w:t>
      </w:r>
      <w:r w:rsidR="00700CBA">
        <w:t>Settlement</w:t>
      </w:r>
      <w:r w:rsidR="00A30FFE">
        <w:t xml:space="preserve"> </w:t>
      </w:r>
      <w:r w:rsidR="00D15B27">
        <w:t xml:space="preserve">fails to </w:t>
      </w:r>
      <w:r w:rsidR="00D92FDF">
        <w:t>require</w:t>
      </w:r>
      <w:r w:rsidR="00D15B27">
        <w:t xml:space="preserve"> restitution to the </w:t>
      </w:r>
      <w:r w:rsidR="00A30FFE">
        <w:t>natural gas</w:t>
      </w:r>
      <w:r w:rsidR="008B1DEB">
        <w:t xml:space="preserve"> customers </w:t>
      </w:r>
      <w:r w:rsidR="00D15B27">
        <w:t>who were harmed by Verde’s price gouging an</w:t>
      </w:r>
      <w:r w:rsidR="008B1DEB">
        <w:t>d is contrary to the public interest.</w:t>
      </w:r>
      <w:r w:rsidR="00F433DE">
        <w:t xml:space="preserve"> </w:t>
      </w:r>
    </w:p>
    <w:p w:rsidR="00DE1967" w:rsidRPr="003F5315" w:rsidP="0086593F" w14:paraId="40F2B29D" w14:textId="77777777">
      <w:pPr>
        <w:tabs>
          <w:tab w:val="left" w:pos="720"/>
          <w:tab w:val="left" w:pos="1440"/>
          <w:tab w:val="left" w:leader="dot" w:pos="8640"/>
        </w:tabs>
        <w:spacing w:line="480" w:lineRule="auto"/>
        <w:ind w:firstLine="720"/>
      </w:pPr>
      <w:r w:rsidRPr="003F5315">
        <w:t>I</w:t>
      </w:r>
      <w:r w:rsidRPr="003F5315" w:rsidR="00196A26">
        <w:t xml:space="preserve">t is in the public interest </w:t>
      </w:r>
      <w:r w:rsidRPr="003F5315">
        <w:t xml:space="preserve">to compensate all </w:t>
      </w:r>
      <w:r w:rsidRPr="003F5315" w:rsidR="00611377">
        <w:t>consumers</w:t>
      </w:r>
      <w:r w:rsidRPr="003F5315">
        <w:t xml:space="preserve"> who were harmed by </w:t>
      </w:r>
      <w:r w:rsidR="0032262C">
        <w:t>Verde</w:t>
      </w:r>
      <w:r w:rsidRPr="003F5315">
        <w:t>’s unlawful acts, and the</w:t>
      </w:r>
      <w:r w:rsidRPr="003F5315" w:rsidR="00097398">
        <w:t xml:space="preserve"> </w:t>
      </w:r>
      <w:r w:rsidRPr="003F5315" w:rsidR="007C4F45">
        <w:t xml:space="preserve">public interest </w:t>
      </w:r>
      <w:r w:rsidRPr="003F5315">
        <w:t xml:space="preserve">can only be </w:t>
      </w:r>
      <w:r w:rsidRPr="003F5315" w:rsidR="007C4F45">
        <w:t xml:space="preserve">served </w:t>
      </w:r>
      <w:r w:rsidRPr="003F5315">
        <w:t xml:space="preserve">if and </w:t>
      </w:r>
      <w:r w:rsidRPr="003F5315" w:rsidR="007C4F45">
        <w:t xml:space="preserve">when all customers </w:t>
      </w:r>
      <w:r w:rsidRPr="003F5315" w:rsidR="000701E4">
        <w:t xml:space="preserve">who </w:t>
      </w:r>
      <w:r w:rsidRPr="003F5315" w:rsidR="007C4F45">
        <w:t>experienced harm are made whole.</w:t>
      </w:r>
      <w:r w:rsidRPr="003F5315" w:rsidR="00870D8B">
        <w:t xml:space="preserve"> The PUCO </w:t>
      </w:r>
      <w:r w:rsidR="00A00A50">
        <w:t xml:space="preserve">erred by approving an unlawful and unreasonable Settlement that did not require </w:t>
      </w:r>
      <w:r w:rsidR="0032262C">
        <w:t>Verde</w:t>
      </w:r>
      <w:r w:rsidRPr="003F5315" w:rsidR="00870D8B">
        <w:t xml:space="preserve"> </w:t>
      </w:r>
      <w:r w:rsidRPr="003F5315" w:rsidR="005224F0">
        <w:t xml:space="preserve">to make refunds or credits to </w:t>
      </w:r>
      <w:r w:rsidR="008B1DEB">
        <w:t>both natural gas and electric customers</w:t>
      </w:r>
      <w:r w:rsidRPr="003F5315" w:rsidR="00870D8B">
        <w:t xml:space="preserve"> who </w:t>
      </w:r>
      <w:r w:rsidRPr="003F5315" w:rsidR="005224F0">
        <w:t xml:space="preserve">were </w:t>
      </w:r>
      <w:r w:rsidR="008B1DEB">
        <w:t xml:space="preserve">harmed and </w:t>
      </w:r>
      <w:r w:rsidRPr="003F5315" w:rsidR="005224F0">
        <w:t xml:space="preserve">charged </w:t>
      </w:r>
      <w:r w:rsidR="008B1DEB">
        <w:t>Verde’s</w:t>
      </w:r>
      <w:r w:rsidRPr="003F5315" w:rsidR="005224F0">
        <w:t xml:space="preserve"> exorbitant rates. </w:t>
      </w:r>
      <w:r w:rsidR="008B1DEB">
        <w:t xml:space="preserve">Thus, </w:t>
      </w:r>
      <w:r w:rsidR="00A00A50">
        <w:t xml:space="preserve">the Settlement </w:t>
      </w:r>
      <w:r w:rsidR="008B1DEB">
        <w:t xml:space="preserve">does not </w:t>
      </w:r>
      <w:r w:rsidRPr="003F5315" w:rsidR="005224F0">
        <w:t xml:space="preserve">fully provide redress for the consumers harmed by </w:t>
      </w:r>
      <w:r w:rsidR="0032262C">
        <w:t>Verde</w:t>
      </w:r>
      <w:r w:rsidRPr="003F5315" w:rsidR="005224F0">
        <w:t>.</w:t>
      </w:r>
      <w:r w:rsidRPr="003F5315" w:rsidR="007372A3">
        <w:t xml:space="preserve"> As such, the </w:t>
      </w:r>
      <w:r w:rsidR="00A00A50">
        <w:t xml:space="preserve">PUCO should have concluded that the </w:t>
      </w:r>
      <w:r w:rsidRPr="003F5315" w:rsidR="007372A3">
        <w:t xml:space="preserve">Settlement is unjust and unreasonable and </w:t>
      </w:r>
      <w:r w:rsidR="00D373C5">
        <w:t>fails to fully address the harm Verde caused to Ohio</w:t>
      </w:r>
      <w:r w:rsidR="00AF0D67">
        <w:t>i</w:t>
      </w:r>
      <w:r w:rsidR="00D373C5">
        <w:t>a</w:t>
      </w:r>
      <w:r w:rsidR="00AF0D67">
        <w:t>n</w:t>
      </w:r>
      <w:r w:rsidR="00D373C5">
        <w:t>s, through its misdeeds, including its price gouging.</w:t>
      </w:r>
      <w:r w:rsidRPr="003F5315" w:rsidR="007372A3">
        <w:t xml:space="preserve"> </w:t>
      </w:r>
    </w:p>
    <w:p w:rsidR="006554A9" w:rsidRPr="003F5315" w:rsidP="00950DA6" w14:paraId="39BB0E3F" w14:textId="77777777">
      <w:pPr>
        <w:autoSpaceDE w:val="0"/>
        <w:autoSpaceDN w:val="0"/>
        <w:adjustRightInd w:val="0"/>
        <w:spacing w:line="480" w:lineRule="auto"/>
        <w:ind w:firstLine="720"/>
      </w:pPr>
      <w:r>
        <w:t>Further</w:t>
      </w:r>
      <w:r w:rsidR="00AA0C25">
        <w:t>,</w:t>
      </w:r>
      <w:r w:rsidRPr="003F5315" w:rsidR="00AA0C25">
        <w:t xml:space="preserve"> </w:t>
      </w:r>
      <w:r w:rsidR="00297102">
        <w:t>t</w:t>
      </w:r>
      <w:r w:rsidRPr="003F5315" w:rsidR="00AA0C25">
        <w:t xml:space="preserve">here is no evidence in the record of this case that </w:t>
      </w:r>
      <w:r w:rsidR="0032262C">
        <w:t>Verde</w:t>
      </w:r>
      <w:r w:rsidRPr="003F5315" w:rsidR="00AA0C25">
        <w:t xml:space="preserve"> lacks sufficient resources to fully recompense all </w:t>
      </w:r>
      <w:r w:rsidRPr="003F5315" w:rsidR="00611377">
        <w:t xml:space="preserve">consumers </w:t>
      </w:r>
      <w:r w:rsidRPr="003F5315" w:rsidR="00AA0C25">
        <w:t xml:space="preserve">harmed by its unlawful actions. The PUCO should </w:t>
      </w:r>
      <w:r w:rsidR="00AA0C25">
        <w:t xml:space="preserve">have ordered </w:t>
      </w:r>
      <w:r w:rsidRPr="003F5315" w:rsidR="00AA0C25">
        <w:t xml:space="preserve">full </w:t>
      </w:r>
      <w:r w:rsidRPr="003F5315" w:rsidR="00385BFE">
        <w:t>refunds</w:t>
      </w:r>
      <w:r w:rsidRPr="003F5315" w:rsidR="00AA0C25">
        <w:t xml:space="preserve"> to </w:t>
      </w:r>
      <w:r w:rsidRPr="003F5315" w:rsidR="00611377">
        <w:t xml:space="preserve">consumers </w:t>
      </w:r>
      <w:r w:rsidRPr="003F5315" w:rsidR="00AA0C25">
        <w:t xml:space="preserve">even if </w:t>
      </w:r>
      <w:r w:rsidR="0032262C">
        <w:t>Verde</w:t>
      </w:r>
      <w:r w:rsidRPr="003F5315" w:rsidR="00AA0C25">
        <w:t xml:space="preserve"> must liquidate its assets in order to do so.</w:t>
      </w:r>
      <w:r w:rsidR="00AA0C25">
        <w:t xml:space="preserve"> The PUCO failed to do so, which is an error.</w:t>
      </w:r>
    </w:p>
    <w:p w:rsidR="00F62DF6" w:rsidRPr="00F62DF6" w:rsidP="001A57F0" w14:paraId="581E5F3A" w14:textId="77777777">
      <w:pPr>
        <w:pStyle w:val="Heading3"/>
        <w:numPr>
          <w:ilvl w:val="0"/>
          <w:numId w:val="26"/>
        </w:numPr>
        <w:ind w:left="2160" w:hanging="720"/>
        <w:rPr>
          <w:rFonts w:hint="eastAsia"/>
        </w:rPr>
      </w:pPr>
      <w:bookmarkStart w:id="25" w:name="_Toc36109935"/>
      <w:bookmarkStart w:id="26" w:name="_Toc36220262"/>
      <w:bookmarkStart w:id="27" w:name="_Toc25587210"/>
      <w:r w:rsidRPr="001A57F0">
        <w:rPr>
          <w:rStyle w:val="Heading3Char"/>
        </w:rPr>
        <w:t>The Settlement is not in the public interest and does not benefit</w:t>
      </w:r>
      <w:r w:rsidRPr="008F1C95">
        <w:t xml:space="preserve"> consumers because it allows “managerially unfit” Verde to continue serving customers </w:t>
      </w:r>
      <w:r w:rsidR="00D92FDF">
        <w:t xml:space="preserve">in the future and </w:t>
      </w:r>
      <w:r w:rsidR="00940A14">
        <w:t xml:space="preserve">because it </w:t>
      </w:r>
      <w:r w:rsidR="00D92FDF">
        <w:t>allows Verde to serv</w:t>
      </w:r>
      <w:r w:rsidR="00940A14">
        <w:t>e</w:t>
      </w:r>
      <w:r w:rsidR="00D92FDF">
        <w:t xml:space="preserve"> customers</w:t>
      </w:r>
      <w:r w:rsidRPr="008F1C95">
        <w:t>.</w:t>
      </w:r>
      <w:bookmarkEnd w:id="25"/>
      <w:bookmarkEnd w:id="26"/>
    </w:p>
    <w:p w:rsidR="00D92FDF" w:rsidP="007B1AA5" w14:paraId="203813D5" w14:textId="77777777">
      <w:pPr>
        <w:autoSpaceDE w:val="0"/>
        <w:autoSpaceDN w:val="0"/>
        <w:adjustRightInd w:val="0"/>
        <w:spacing w:line="480" w:lineRule="auto"/>
        <w:ind w:firstLine="720"/>
      </w:pPr>
      <w:r>
        <w:t>The Staff Report declared Verde to be “managerially unfit to provide competitive services in the state.”</w:t>
      </w:r>
      <w:r>
        <w:rPr>
          <w:rStyle w:val="FootnoteReference"/>
        </w:rPr>
        <w:footnoteReference w:id="60"/>
      </w:r>
      <w:r>
        <w:t xml:space="preserve"> The PUCO Staff’s finding was based on evidence </w:t>
      </w:r>
      <w:r w:rsidR="007B1AA5">
        <w:t xml:space="preserve">documented in the Staff Report of </w:t>
      </w:r>
      <w:r>
        <w:t>systemic issues plaguing Verde’s provision of electric and natural gas services in Ohio, including “misleading and deceptive practices used to enroll customers, a failure to maintain documents and other data as required, probable non-compliance with certain requirements of the third-party verification (TPV) rules, and violations of the noticing requirements.”</w:t>
      </w:r>
      <w:r>
        <w:rPr>
          <w:rStyle w:val="FootnoteReference"/>
        </w:rPr>
        <w:footnoteReference w:id="61"/>
      </w:r>
      <w:r>
        <w:t xml:space="preserve"> The Staff’s findings that Verde abused customers in so many ways, combined with OCC’s evidence, should have meant the end for Verde. But Verde was allowed to continue serving its existing customers, unfortunately for them, and will be back marketing to Ohioans in October. That result violates the public interest and consumer benefit. The PUCO should rehear its Order. </w:t>
      </w:r>
    </w:p>
    <w:p w:rsidR="007B1AA5" w:rsidP="007B1AA5" w14:paraId="225D8B1A" w14:textId="77777777">
      <w:pPr>
        <w:autoSpaceDE w:val="0"/>
        <w:autoSpaceDN w:val="0"/>
        <w:adjustRightInd w:val="0"/>
        <w:spacing w:line="480" w:lineRule="auto"/>
        <w:ind w:firstLine="720"/>
      </w:pPr>
      <w:r>
        <w:t>Further, t</w:t>
      </w:r>
      <w:r w:rsidR="003D1318">
        <w:t xml:space="preserve">he </w:t>
      </w:r>
      <w:r w:rsidR="008A526C">
        <w:t>Settlement approved by the PUCO allows Verde to continue serving its existing customers</w:t>
      </w:r>
      <w:r>
        <w:t xml:space="preserve"> without requiring</w:t>
      </w:r>
      <w:r w:rsidR="003D1318">
        <w:t xml:space="preserve"> Verde </w:t>
      </w:r>
      <w:r>
        <w:t xml:space="preserve">to make any changes to </w:t>
      </w:r>
      <w:r w:rsidR="003D1318">
        <w:t>reform its “unfit” business practices.</w:t>
      </w:r>
      <w:r>
        <w:t xml:space="preserve"> For that reason, t</w:t>
      </w:r>
      <w:r w:rsidR="004A4226">
        <w:t>he</w:t>
      </w:r>
      <w:r>
        <w:t xml:space="preserve"> Settlement is also contrary to the public interest -- and the PUCO should grant rehearing. </w:t>
      </w:r>
    </w:p>
    <w:p w:rsidR="00D373C5" w:rsidP="00F54493" w14:paraId="79AE2B2D" w14:textId="77777777">
      <w:pPr>
        <w:autoSpaceDE w:val="0"/>
        <w:autoSpaceDN w:val="0"/>
        <w:adjustRightInd w:val="0"/>
        <w:spacing w:line="480" w:lineRule="auto"/>
        <w:ind w:firstLine="720"/>
      </w:pPr>
      <w:r>
        <w:t>The Order states that the Settlement “as a whole acts as a deterrent to prevent Verde from harming both existing and future customers</w:t>
      </w:r>
      <w:r w:rsidR="004A4226">
        <w:t>.</w:t>
      </w:r>
      <w:r>
        <w:t>”</w:t>
      </w:r>
      <w:r>
        <w:rPr>
          <w:rStyle w:val="FootnoteReference"/>
        </w:rPr>
        <w:footnoteReference w:id="62"/>
      </w:r>
      <w:r w:rsidR="004A4226">
        <w:t xml:space="preserve"> The PUCO found that the Settlement’s requirement that Verde file “an action plan for compliance at least ninety (90) days prior to resuming marketing and customer enrollment in Ohio”</w:t>
      </w:r>
      <w:r>
        <w:rPr>
          <w:rStyle w:val="FootnoteReference"/>
        </w:rPr>
        <w:footnoteReference w:id="63"/>
      </w:r>
      <w:r w:rsidR="004A4226">
        <w:t xml:space="preserve"> will protect customers from Verde’s abuse. </w:t>
      </w:r>
      <w:r w:rsidR="009C7758">
        <w:t>But t</w:t>
      </w:r>
      <w:r w:rsidR="004A4226">
        <w:t>he “action plan” does nothing to help Verde’s existing customers</w:t>
      </w:r>
      <w:r w:rsidR="00A13A7C">
        <w:t xml:space="preserve"> because it applies only to future customers and contains no specific requirements for Verde to reform its business practices</w:t>
      </w:r>
      <w:r w:rsidR="004A4226">
        <w:t xml:space="preserve">. </w:t>
      </w:r>
    </w:p>
    <w:p w:rsidR="00F54493" w:rsidP="00F54493" w14:paraId="29BB492C" w14:textId="77777777">
      <w:pPr>
        <w:autoSpaceDE w:val="0"/>
        <w:autoSpaceDN w:val="0"/>
        <w:adjustRightInd w:val="0"/>
        <w:spacing w:line="480" w:lineRule="auto"/>
        <w:ind w:firstLine="720"/>
      </w:pPr>
      <w:r>
        <w:t>The PUCO states</w:t>
      </w:r>
      <w:r w:rsidR="009C7758">
        <w:t xml:space="preserve"> that “OCC did not present any evidence that demonstrated existing customers continue to be harmed by Verde’s practices.”</w:t>
      </w:r>
      <w:r>
        <w:rPr>
          <w:rStyle w:val="FootnoteReference"/>
        </w:rPr>
        <w:footnoteReference w:id="64"/>
      </w:r>
      <w:r w:rsidR="003F0E64">
        <w:t xml:space="preserve"> That is inaccurate.</w:t>
      </w:r>
      <w:r>
        <w:t xml:space="preserve"> </w:t>
      </w:r>
      <w:r w:rsidR="009C7758">
        <w:t>OCC present</w:t>
      </w:r>
      <w:r w:rsidR="00297102">
        <w:t>ed</w:t>
      </w:r>
      <w:r w:rsidR="009C7758">
        <w:t xml:space="preserve"> evidence that Verde’s existing customers continue to be harmed through unconscionable rates and </w:t>
      </w:r>
      <w:r w:rsidR="003F0E64">
        <w:t>through Verde’s practice of automatically renewing customers onto high monthly variable rate contracts without proper notice under the PUCO’s rules.</w:t>
      </w:r>
      <w:r>
        <w:rPr>
          <w:rStyle w:val="FootnoteReference"/>
        </w:rPr>
        <w:footnoteReference w:id="65"/>
      </w:r>
      <w:r w:rsidR="003F0E64">
        <w:t xml:space="preserve"> The PUCO also ignores</w:t>
      </w:r>
      <w:r w:rsidR="009C7758">
        <w:t xml:space="preserve"> </w:t>
      </w:r>
      <w:r w:rsidR="003F0E64">
        <w:t xml:space="preserve">the </w:t>
      </w:r>
      <w:r w:rsidR="009C7758">
        <w:t>Staff Report</w:t>
      </w:r>
      <w:r w:rsidR="003F0E64">
        <w:t>’s finding</w:t>
      </w:r>
      <w:r w:rsidR="009C7758">
        <w:t xml:space="preserve"> that “Verde does not currently possess the fitness or managerial capability to provide competitive services in the state of Ohio.”</w:t>
      </w:r>
      <w:r>
        <w:rPr>
          <w:rStyle w:val="FootnoteReference"/>
        </w:rPr>
        <w:footnoteReference w:id="66"/>
      </w:r>
      <w:r w:rsidR="003D1318">
        <w:t xml:space="preserve"> </w:t>
      </w:r>
    </w:p>
    <w:p w:rsidR="00D92FDF" w:rsidP="006601D7" w14:paraId="10F2DF26" w14:textId="77777777">
      <w:pPr>
        <w:autoSpaceDE w:val="0"/>
        <w:autoSpaceDN w:val="0"/>
        <w:adjustRightInd w:val="0"/>
        <w:spacing w:line="480" w:lineRule="auto"/>
        <w:ind w:firstLine="720"/>
      </w:pPr>
      <w:r>
        <w:t>In short, t</w:t>
      </w:r>
      <w:r w:rsidR="006C7867">
        <w:t xml:space="preserve">he Settlement does not require Verde to take </w:t>
      </w:r>
      <w:r w:rsidR="00297102">
        <w:t>a single</w:t>
      </w:r>
      <w:r w:rsidR="006C7867">
        <w:t xml:space="preserve"> action </w:t>
      </w:r>
      <w:r w:rsidRPr="00297102" w:rsidR="006C7867">
        <w:rPr>
          <w:i/>
          <w:iCs/>
        </w:rPr>
        <w:t>now</w:t>
      </w:r>
      <w:r w:rsidR="006C7867">
        <w:t xml:space="preserve"> to reform is business practices to protect the customers it </w:t>
      </w:r>
      <w:r w:rsidRPr="00297102" w:rsidR="006C7867">
        <w:rPr>
          <w:i/>
          <w:iCs/>
        </w:rPr>
        <w:t>currently</w:t>
      </w:r>
      <w:r w:rsidR="006C7867">
        <w:t xml:space="preserve"> serves. </w:t>
      </w:r>
      <w:r w:rsidR="00297102">
        <w:t xml:space="preserve">Signing the Settlement with PUCO Staff did not magically make </w:t>
      </w:r>
      <w:r w:rsidR="006C7867">
        <w:t xml:space="preserve">Verde “fit” to serve Ohio customers. </w:t>
      </w:r>
    </w:p>
    <w:p w:rsidR="006601D7" w:rsidRPr="006601D7" w:rsidP="006601D7" w14:paraId="50677731" w14:textId="77777777">
      <w:pPr>
        <w:autoSpaceDE w:val="0"/>
        <w:autoSpaceDN w:val="0"/>
        <w:adjustRightInd w:val="0"/>
        <w:spacing w:line="480" w:lineRule="auto"/>
        <w:ind w:firstLine="720"/>
      </w:pPr>
      <w:r>
        <w:t>T</w:t>
      </w:r>
      <w:r w:rsidR="006C7867">
        <w:t xml:space="preserve">he </w:t>
      </w:r>
      <w:r w:rsidR="00D92FDF">
        <w:t xml:space="preserve">Order adopting the Settlement </w:t>
      </w:r>
      <w:r>
        <w:t>harm</w:t>
      </w:r>
      <w:r w:rsidR="00D92FDF">
        <w:t>s</w:t>
      </w:r>
      <w:r>
        <w:t xml:space="preserve"> customers and the public interest because it</w:t>
      </w:r>
      <w:r w:rsidR="006C7867">
        <w:t xml:space="preserve"> </w:t>
      </w:r>
      <w:r w:rsidR="00D92FDF">
        <w:t xml:space="preserve">allows Verde to continue to exist in Ohio </w:t>
      </w:r>
      <w:r w:rsidR="00BD7DEA">
        <w:t xml:space="preserve">with access to Ohioans and because it </w:t>
      </w:r>
      <w:r w:rsidR="006C7867">
        <w:t>does not</w:t>
      </w:r>
      <w:r>
        <w:t xml:space="preserve"> require Verde to do anything to change its current business practices that have harmed customers</w:t>
      </w:r>
      <w:r w:rsidR="00743A02">
        <w:t>.</w:t>
      </w:r>
      <w:r>
        <w:t xml:space="preserve"> Accordingly, rehearing should be granted.</w:t>
      </w:r>
    </w:p>
    <w:p w:rsidR="00F62DF6" w:rsidRPr="00F575AA" w:rsidP="001A57F0" w14:paraId="2C546A18" w14:textId="77777777">
      <w:pPr>
        <w:pStyle w:val="Heading3"/>
        <w:numPr>
          <w:ilvl w:val="0"/>
          <w:numId w:val="26"/>
        </w:numPr>
        <w:ind w:left="2160" w:hanging="720"/>
        <w:rPr>
          <w:rFonts w:hint="eastAsia"/>
        </w:rPr>
      </w:pPr>
      <w:bookmarkStart w:id="28" w:name="_Toc36109936"/>
      <w:bookmarkStart w:id="29" w:name="_Toc36220263"/>
      <w:bookmarkEnd w:id="27"/>
      <w:r w:rsidRPr="001A57F0">
        <w:rPr>
          <w:rStyle w:val="Heading3Char"/>
        </w:rPr>
        <w:t>The Settlement is not in the public interest and does not benefit</w:t>
      </w:r>
      <w:r w:rsidRPr="00F575AA">
        <w:t xml:space="preserve"> consumers because the $675,000 forfeiture is insufficient</w:t>
      </w:r>
      <w:r w:rsidR="003D63EC">
        <w:t xml:space="preserve"> for Verde’s bad acts against Ohioans and insufficient</w:t>
      </w:r>
      <w:r w:rsidRPr="00F575AA">
        <w:t xml:space="preserve"> to deter Verde from engaging in future customer abuse.</w:t>
      </w:r>
      <w:bookmarkEnd w:id="28"/>
      <w:bookmarkEnd w:id="29"/>
    </w:p>
    <w:p w:rsidR="00FB7261" w:rsidRPr="003F5315" w:rsidP="0086593F" w14:paraId="3D76E5A6" w14:textId="77777777">
      <w:pPr>
        <w:autoSpaceDE w:val="0"/>
        <w:autoSpaceDN w:val="0"/>
        <w:adjustRightInd w:val="0"/>
        <w:spacing w:line="480" w:lineRule="auto"/>
        <w:ind w:firstLine="720"/>
      </w:pPr>
      <w:r w:rsidRPr="003F5315">
        <w:t>Punitive measures in the form of civil forfeitures or some other form of monetary penalty (e.g.</w:t>
      </w:r>
      <w:r w:rsidRPr="003F5315" w:rsidR="00FE0C4D">
        <w:t>,</w:t>
      </w:r>
      <w:r w:rsidRPr="003F5315">
        <w:t xml:space="preserve"> treble damages) are fundamental principles for enforcing consumer protection rules. Such measures serve to punish bad actors for violating the rules and bringing harm to consumers.</w:t>
      </w:r>
      <w:r w:rsidRPr="003F5315" w:rsidR="00611377">
        <w:t xml:space="preserve"> </w:t>
      </w:r>
      <w:r w:rsidRPr="003F5315">
        <w:t xml:space="preserve">The measures also </w:t>
      </w:r>
      <w:r w:rsidRPr="003F5315" w:rsidR="00FE0C4D">
        <w:t xml:space="preserve">serve as a deterrent to other potential bad actors by showing </w:t>
      </w:r>
      <w:r w:rsidRPr="003F5315">
        <w:t xml:space="preserve">that rule breaking will not be tolerated. Ohio law </w:t>
      </w:r>
      <w:r w:rsidRPr="003F5315" w:rsidR="00FE0C4D">
        <w:t>expressly gives the PUCO authority to assess forfeitures on bad actors for violating the PUCO’s rules</w:t>
      </w:r>
      <w:r w:rsidRPr="003F5315">
        <w:t>.</w:t>
      </w:r>
      <w:r>
        <w:rPr>
          <w:rStyle w:val="FootnoteReference"/>
        </w:rPr>
        <w:footnoteReference w:id="67"/>
      </w:r>
      <w:r w:rsidR="00F433DE">
        <w:t xml:space="preserve"> </w:t>
      </w:r>
    </w:p>
    <w:p w:rsidR="00253945" w:rsidP="00E7132D" w14:paraId="1554DD5C" w14:textId="77777777">
      <w:pPr>
        <w:autoSpaceDE w:val="0"/>
        <w:autoSpaceDN w:val="0"/>
        <w:adjustRightInd w:val="0"/>
        <w:spacing w:line="480" w:lineRule="auto"/>
        <w:ind w:firstLine="720"/>
      </w:pPr>
      <w:r w:rsidRPr="003F5315">
        <w:t>In this case,</w:t>
      </w:r>
      <w:r w:rsidR="009F4304">
        <w:t xml:space="preserve"> the Order found that the Settlement’s $675,000 forfeiture (less than half of the $1.5 million recommended in the Staff Report)</w:t>
      </w:r>
      <w:r>
        <w:rPr>
          <w:rStyle w:val="FootnoteReference"/>
        </w:rPr>
        <w:footnoteReference w:id="68"/>
      </w:r>
      <w:r w:rsidR="009F4304">
        <w:t xml:space="preserve"> imposed on Verde was reasonable.</w:t>
      </w:r>
      <w:r>
        <w:rPr>
          <w:rStyle w:val="FootnoteReference"/>
        </w:rPr>
        <w:footnoteReference w:id="69"/>
      </w:r>
      <w:r w:rsidRPr="003F5315" w:rsidR="002D3989">
        <w:t xml:space="preserve"> </w:t>
      </w:r>
      <w:bookmarkStart w:id="30" w:name="_Hlk17628342"/>
      <w:r w:rsidR="00E7132D">
        <w:t xml:space="preserve">It is not. </w:t>
      </w:r>
      <w:r>
        <w:t xml:space="preserve">The PUCO erred in finding that the evidence in this case does not warrant a $1.5 million forfeiture. The PUCO </w:t>
      </w:r>
      <w:r w:rsidR="00E7132D">
        <w:t>found</w:t>
      </w:r>
      <w:r>
        <w:t xml:space="preserve"> that “OCC has proven, at most, one violation and the Staff Report evidences another 17 violations.”</w:t>
      </w:r>
      <w:r>
        <w:rPr>
          <w:rStyle w:val="FootnoteReference"/>
        </w:rPr>
        <w:footnoteReference w:id="70"/>
      </w:r>
      <w:r>
        <w:t xml:space="preserve"> The PUCO </w:t>
      </w:r>
      <w:r w:rsidR="00E7132D">
        <w:t>found that</w:t>
      </w:r>
      <w:r>
        <w:t xml:space="preserve"> “the only basis that OCC presents for [$1.5 million] forfeiture is that it was Staff’s initial recommendation.”</w:t>
      </w:r>
      <w:r>
        <w:rPr>
          <w:rStyle w:val="FootnoteReference"/>
        </w:rPr>
        <w:footnoteReference w:id="71"/>
      </w:r>
      <w:r>
        <w:t xml:space="preserve"> The PUCO’s determinations</w:t>
      </w:r>
      <w:r w:rsidR="00E7132D">
        <w:t xml:space="preserve"> are</w:t>
      </w:r>
      <w:r>
        <w:t xml:space="preserve"> unreasonable</w:t>
      </w:r>
      <w:r w:rsidR="00E7132D">
        <w:t xml:space="preserve"> and ignore the ample record evidence of Verde’s violations</w:t>
      </w:r>
      <w:r w:rsidR="005B575D">
        <w:t xml:space="preserve"> and its unwillingness to reform its business practices even when faced with hundreds of customer complaints and a PUCO Staff investigation</w:t>
      </w:r>
      <w:r>
        <w:t>.</w:t>
      </w:r>
    </w:p>
    <w:p w:rsidR="00253945" w:rsidP="008327E0" w14:paraId="73BCD3E8" w14:textId="77777777">
      <w:pPr>
        <w:pStyle w:val="Level1"/>
        <w:widowControl/>
        <w:tabs>
          <w:tab w:val="clear" w:pos="720"/>
        </w:tabs>
        <w:spacing w:line="480" w:lineRule="auto"/>
        <w:ind w:left="0" w:firstLine="720"/>
        <w:jc w:val="left"/>
      </w:pPr>
      <w:r>
        <w:t xml:space="preserve">As noted above, OCC did not have </w:t>
      </w:r>
      <w:r w:rsidR="00E7132D">
        <w:t xml:space="preserve">the </w:t>
      </w:r>
      <w:r>
        <w:t>burden of proving Verde’s violations in this case. And even if OCC did bear the burden of proof in this case</w:t>
      </w:r>
      <w:r w:rsidR="00AD3D3A">
        <w:t xml:space="preserve"> (it did not)</w:t>
      </w:r>
      <w:r>
        <w:t xml:space="preserve">, the PUCO </w:t>
      </w:r>
      <w:r w:rsidR="00AD3D3A">
        <w:t xml:space="preserve">unlawfully hindered </w:t>
      </w:r>
      <w:r>
        <w:t>OCC’s ability to pro</w:t>
      </w:r>
      <w:r w:rsidR="00E7132D">
        <w:t xml:space="preserve">ve </w:t>
      </w:r>
      <w:r>
        <w:t>those violation</w:t>
      </w:r>
      <w:r w:rsidR="00AD3D3A">
        <w:t xml:space="preserve">s by quashing OCC’s subpoenas of Verde’s witnesses and restricting OCC’s ability to examine PUCO Staff witnesses. </w:t>
      </w:r>
      <w:r w:rsidR="00E7132D">
        <w:t>In addition, t</w:t>
      </w:r>
      <w:r w:rsidR="00AD3D3A">
        <w:t xml:space="preserve">he PUCO wrongly refused to consider Verde’s own admissions that it violated the PUCO’s rules. </w:t>
      </w:r>
      <w:r w:rsidR="00E7132D">
        <w:t>T</w:t>
      </w:r>
      <w:r w:rsidR="00AD3D3A">
        <w:t>he</w:t>
      </w:r>
      <w:r w:rsidR="005B575D">
        <w:t>refore, the</w:t>
      </w:r>
      <w:r w:rsidR="00AD3D3A">
        <w:t xml:space="preserve"> PUCO’s finding that Verde committed only 18 violations grossly understates the e</w:t>
      </w:r>
      <w:r>
        <w:t>vidence</w:t>
      </w:r>
      <w:r w:rsidR="00AD3D3A">
        <w:t xml:space="preserve"> of Verde’s wrongdoing.</w:t>
      </w:r>
      <w:r w:rsidR="00F433DE">
        <w:t xml:space="preserve"> </w:t>
      </w:r>
    </w:p>
    <w:p w:rsidR="00800D7D" w:rsidRPr="003F5315" w:rsidP="004F5607" w14:paraId="2E1A620B" w14:textId="77777777">
      <w:pPr>
        <w:pStyle w:val="Level1"/>
        <w:widowControl/>
        <w:tabs>
          <w:tab w:val="clear" w:pos="720"/>
        </w:tabs>
        <w:spacing w:line="480" w:lineRule="auto"/>
        <w:ind w:left="0" w:firstLine="720"/>
        <w:jc w:val="left"/>
      </w:pPr>
      <w:r>
        <w:t>T</w:t>
      </w:r>
      <w:r w:rsidR="00137248">
        <w:t xml:space="preserve">he PUCO </w:t>
      </w:r>
      <w:r>
        <w:t xml:space="preserve">also summarily dismissed </w:t>
      </w:r>
      <w:r w:rsidR="008327E0">
        <w:t>the evidence of regulatory actions against Verde’s affiliates in other states.</w:t>
      </w:r>
      <w:r>
        <w:rPr>
          <w:rStyle w:val="FootnoteReference"/>
        </w:rPr>
        <w:footnoteReference w:id="72"/>
      </w:r>
      <w:r w:rsidR="00E7132D">
        <w:t xml:space="preserve"> </w:t>
      </w:r>
      <w:r w:rsidR="005B575D">
        <w:t>T</w:t>
      </w:r>
      <w:r w:rsidR="00E7132D">
        <w:t>his evidence demonstrates that</w:t>
      </w:r>
      <w:r>
        <w:t xml:space="preserve"> Verde’s parent company, Spark Energy, lacks the managerial capabilities or willingness to reform its marketing and business practices even when faced regulatory and enforcement actions.</w:t>
      </w:r>
      <w:r w:rsidR="008327E0">
        <w:t xml:space="preserve"> </w:t>
      </w:r>
      <w:r w:rsidRPr="003F5315" w:rsidR="00AA0C25">
        <w:t>OCC witness Alexander described in her testimony</w:t>
      </w:r>
      <w:r w:rsidR="008327E0">
        <w:t xml:space="preserve"> numerous regulatory proceedings against Verde’s affiliates in other states involving the exact type of deceptive marketing practices and consumer protection violations identified in the Staff Report.</w:t>
      </w:r>
      <w:r>
        <w:rPr>
          <w:rStyle w:val="FootnoteReference"/>
        </w:rPr>
        <w:footnoteReference w:id="73"/>
      </w:r>
      <w:r w:rsidR="00F433DE">
        <w:t xml:space="preserve"> </w:t>
      </w:r>
      <w:r w:rsidR="00415F28">
        <w:t>Ms. Alexander testified regarding proceedings against Verde affiliates in Massachusetts, Pennsylvania, Maryland, New York, Connecticut, Illinois, and Maine.</w:t>
      </w:r>
      <w:r>
        <w:rPr>
          <w:rStyle w:val="FootnoteReference"/>
        </w:rPr>
        <w:footnoteReference w:id="74"/>
      </w:r>
      <w:r w:rsidR="00415F28">
        <w:t xml:space="preserve"> </w:t>
      </w:r>
      <w:r w:rsidR="00681543">
        <w:t>The PUCO</w:t>
      </w:r>
      <w:r w:rsidR="00415F28">
        <w:t xml:space="preserve"> disregarded</w:t>
      </w:r>
      <w:r w:rsidR="00681543">
        <w:t xml:space="preserve"> this</w:t>
      </w:r>
      <w:r w:rsidR="00415F28">
        <w:t xml:space="preserve"> evidence “because these proceedings involve facts and evidence different from this proceeding.”</w:t>
      </w:r>
      <w:r>
        <w:rPr>
          <w:rStyle w:val="FootnoteReference"/>
        </w:rPr>
        <w:footnoteReference w:id="75"/>
      </w:r>
      <w:r w:rsidR="00415F28">
        <w:t xml:space="preserve"> </w:t>
      </w:r>
    </w:p>
    <w:p w:rsidR="001A7120" w:rsidP="00B7572C" w14:paraId="45301617" w14:textId="77777777">
      <w:pPr>
        <w:autoSpaceDE w:val="0"/>
        <w:autoSpaceDN w:val="0"/>
        <w:adjustRightInd w:val="0"/>
        <w:spacing w:line="480" w:lineRule="auto"/>
        <w:ind w:firstLine="720"/>
      </w:pPr>
      <w:r>
        <w:t>The PUCO’s refusal to consider</w:t>
      </w:r>
      <w:r w:rsidR="00681543">
        <w:t xml:space="preserve"> this</w:t>
      </w:r>
      <w:r>
        <w:t xml:space="preserve"> evidence was unreasonable. </w:t>
      </w:r>
      <w:r w:rsidR="00872032">
        <w:t>A</w:t>
      </w:r>
      <w:r w:rsidR="00AA0C25">
        <w:t>s explained in the Staff Report,</w:t>
      </w:r>
      <w:r>
        <w:rPr>
          <w:rStyle w:val="FootnoteReference"/>
        </w:rPr>
        <w:footnoteReference w:id="76"/>
      </w:r>
      <w:r w:rsidR="00AA0C25">
        <w:t xml:space="preserve"> violations in other states are extremely relevant</w:t>
      </w:r>
      <w:r w:rsidRPr="00872032" w:rsidR="00872032">
        <w:t xml:space="preserve"> </w:t>
      </w:r>
      <w:r w:rsidR="00872032">
        <w:t xml:space="preserve">as </w:t>
      </w:r>
      <w:r w:rsidR="00B17E6F">
        <w:t>“aggravating factors” regarding</w:t>
      </w:r>
      <w:r w:rsidR="00872032">
        <w:t xml:space="preserve"> a marketer’s managerial, financial, and technical capability to provide competitive retail services</w:t>
      </w:r>
      <w:r w:rsidR="00AA0C25">
        <w:t>.</w:t>
      </w:r>
      <w:r w:rsidR="00872032">
        <w:t xml:space="preserve"> </w:t>
      </w:r>
      <w:r w:rsidR="00216C24">
        <w:t xml:space="preserve">After </w:t>
      </w:r>
      <w:r w:rsidR="005B575D">
        <w:t xml:space="preserve">the PUCO </w:t>
      </w:r>
      <w:r w:rsidR="00216C24">
        <w:t xml:space="preserve">Staff’s investigation, </w:t>
      </w:r>
      <w:r w:rsidR="005B575D">
        <w:t>it</w:t>
      </w:r>
      <w:r w:rsidR="00216C24">
        <w:t xml:space="preserve"> concluded that</w:t>
      </w:r>
      <w:r w:rsidR="00B17E6F">
        <w:t xml:space="preserve"> the actions of</w:t>
      </w:r>
      <w:r w:rsidR="00216C24">
        <w:t xml:space="preserve"> </w:t>
      </w:r>
      <w:r w:rsidR="0032262C">
        <w:t>Verde</w:t>
      </w:r>
      <w:r w:rsidR="009F2DEF">
        <w:t>’s affiliates in other states and Verde’s management (Spark Energy) “reveals its inability to provide adequate service to customers.”</w:t>
      </w:r>
      <w:r>
        <w:rPr>
          <w:rStyle w:val="FootnoteReference"/>
        </w:rPr>
        <w:footnoteReference w:id="77"/>
      </w:r>
    </w:p>
    <w:p w:rsidR="00FE0C4D" w:rsidP="00B7572C" w14:paraId="60CC3EE1" w14:textId="77777777">
      <w:pPr>
        <w:autoSpaceDE w:val="0"/>
        <w:autoSpaceDN w:val="0"/>
        <w:adjustRightInd w:val="0"/>
        <w:spacing w:line="480" w:lineRule="auto"/>
        <w:ind w:firstLine="720"/>
      </w:pPr>
      <w:r>
        <w:t xml:space="preserve">As demonstrated by the multiple regulatory actions against Verde affiliates in other states, the </w:t>
      </w:r>
      <w:r w:rsidR="00E43AE3">
        <w:t xml:space="preserve">level of </w:t>
      </w:r>
      <w:r>
        <w:t xml:space="preserve">forfeiture </w:t>
      </w:r>
      <w:r w:rsidR="00B7572C">
        <w:t>will do little to</w:t>
      </w:r>
      <w:r>
        <w:t xml:space="preserve"> deter</w:t>
      </w:r>
      <w:r w:rsidRPr="003F5315" w:rsidR="00D80941">
        <w:t xml:space="preserve"> </w:t>
      </w:r>
      <w:r>
        <w:t>Verde</w:t>
      </w:r>
      <w:r w:rsidRPr="003F5315" w:rsidR="00D80941">
        <w:t xml:space="preserve"> from misleading or deceiving Ohioans</w:t>
      </w:r>
      <w:r w:rsidR="00B7572C">
        <w:t xml:space="preserve"> in the future. The $675,000 forfeiture is nothing more than a cost of doing business for Verde.</w:t>
      </w:r>
      <w:r>
        <w:t xml:space="preserve"> </w:t>
      </w:r>
      <w:r w:rsidR="005B575D">
        <w:t>Therefore, the PUCO should grant rehearing and order Verde to pay a $1.5 million forfeiture.</w:t>
      </w:r>
    </w:p>
    <w:p w:rsidR="00F4301E" w:rsidP="001A57F0" w14:paraId="1695255E" w14:textId="77777777">
      <w:pPr>
        <w:pStyle w:val="Heading2"/>
        <w:rPr>
          <w:b w:val="0"/>
          <w:bCs w:val="0"/>
        </w:rPr>
      </w:pPr>
      <w:bookmarkStart w:id="31" w:name="_Toc36220264"/>
      <w:r>
        <w:rPr>
          <w:b w:val="0"/>
          <w:bCs w:val="0"/>
        </w:rPr>
        <w:t>ASSIGNMENT OF ERROR NO. 3</w:t>
      </w:r>
      <w:r>
        <w:t xml:space="preserve">: </w:t>
      </w:r>
      <w:r>
        <w:rPr>
          <w:b w:val="0"/>
          <w:bCs w:val="0"/>
        </w:rPr>
        <w:t xml:space="preserve">The PUCO Erred in Approving a Settlement that Violates Important Regulatory </w:t>
      </w:r>
      <w:r w:rsidRPr="00F4301E">
        <w:t>Principles</w:t>
      </w:r>
      <w:r>
        <w:rPr>
          <w:b w:val="0"/>
          <w:bCs w:val="0"/>
        </w:rPr>
        <w:t>.</w:t>
      </w:r>
      <w:bookmarkEnd w:id="31"/>
    </w:p>
    <w:p w:rsidR="009A5647" w:rsidP="009A5647" w14:paraId="72C742A4" w14:textId="77777777">
      <w:pPr>
        <w:spacing w:line="480" w:lineRule="auto"/>
        <w:ind w:firstLine="720"/>
      </w:pPr>
      <w:r>
        <w:t>The PUCO should grant rehearing because the Order adopted a Settlement that violates important regulatory principles. Ohio energy policy and law plainly require Verde to provide “adequate” and “reasonably priced” electric and natural gas services to customers.</w:t>
      </w:r>
      <w:r>
        <w:rPr>
          <w:rStyle w:val="FootnoteReference"/>
        </w:rPr>
        <w:footnoteReference w:id="78"/>
      </w:r>
      <w:r>
        <w:t xml:space="preserve"> Ohio law also requires Verde to have the managerial capability to provide service.</w:t>
      </w:r>
      <w:r>
        <w:rPr>
          <w:rStyle w:val="FootnoteReference"/>
        </w:rPr>
        <w:footnoteReference w:id="79"/>
      </w:r>
      <w:r>
        <w:t xml:space="preserve"> </w:t>
      </w:r>
    </w:p>
    <w:p w:rsidR="009A5647" w:rsidP="009A5647" w14:paraId="61546FF5" w14:textId="77777777">
      <w:pPr>
        <w:spacing w:line="480" w:lineRule="auto"/>
        <w:ind w:firstLine="720"/>
      </w:pPr>
      <w:r>
        <w:t>The Staff Report states that “Verde’s managerial capabilities are not sufficient to ensure it provides [electric and natural gas service] in compliance with the Ohio Administrative Code and also reveals its inability to provide adequate service to customers.”</w:t>
      </w:r>
      <w:r>
        <w:rPr>
          <w:rStyle w:val="FootnoteReference"/>
        </w:rPr>
        <w:footnoteReference w:id="80"/>
      </w:r>
      <w:r>
        <w:t xml:space="preserve"> The Staff Report also found that despite numerous warnings, “Verde has failed to meaningfully modify its business practices to bring itself into compliance with the Commission’s rules” and that “Verde has failed to implement any meaningful corrective or remedial action.”</w:t>
      </w:r>
      <w:r>
        <w:rPr>
          <w:rStyle w:val="FootnoteReference"/>
        </w:rPr>
        <w:footnoteReference w:id="81"/>
      </w:r>
      <w:r>
        <w:t xml:space="preserve"> The evidence in this case also demonstrates that Verde charges its customers exorbitant rates for natural gas and electric service,</w:t>
      </w:r>
      <w:r>
        <w:rPr>
          <w:rStyle w:val="FootnoteReference"/>
        </w:rPr>
        <w:footnoteReference w:id="82"/>
      </w:r>
      <w:r>
        <w:t xml:space="preserve"> which contradicts the Ohio regulatory policy of providing “reasonably priced” service.</w:t>
      </w:r>
      <w:r>
        <w:rPr>
          <w:rStyle w:val="FootnoteReference"/>
        </w:rPr>
        <w:footnoteReference w:id="83"/>
      </w:r>
    </w:p>
    <w:p w:rsidR="009A5647" w:rsidP="009A5647" w14:paraId="7F57F6DF" w14:textId="77777777">
      <w:pPr>
        <w:spacing w:line="480" w:lineRule="auto"/>
      </w:pPr>
      <w:r>
        <w:tab/>
        <w:t>Despite the findings in the Staff Report that Verde is managerially unfit, and the undisputed evidence regarding the high rates Verde charges its customers, the Settlement allows Verde to continue serving its existing customers and to begin marketing and enrolling new customers in October 2020 (after an 18-month “stay-out” period that began on May 3, 2019).</w:t>
      </w:r>
      <w:r>
        <w:rPr>
          <w:rStyle w:val="FootnoteReference"/>
        </w:rPr>
        <w:footnoteReference w:id="84"/>
      </w:r>
      <w:r>
        <w:t xml:space="preserve"> These lax Settlement provisions are particularly harmful to customers given that the Settlement provides no specific requirements that Verde change its practices to comply with Ohio law. The Settlement does not require Verde to take any immediate action to reform its business practices in order to provide adequate services to existing customers. Nor does the Settlement address the outrageous rates that Verde charges customers after their fixed-rate contracts expire and Verde automatically renews them on to a monthly variable rate contract.</w:t>
      </w:r>
    </w:p>
    <w:p w:rsidR="00035395" w:rsidRPr="009E56B9" w:rsidP="00101601" w14:paraId="6CA6C64A" w14:textId="77777777">
      <w:pPr>
        <w:pStyle w:val="Heading3"/>
        <w:rPr>
          <w:rStyle w:val="Heading3Char"/>
          <w:rFonts w:hint="eastAsia"/>
        </w:rPr>
      </w:pPr>
      <w:bookmarkStart w:id="32" w:name="_Toc36220265"/>
      <w:r>
        <w:rPr>
          <w:rStyle w:val="Heading3Char"/>
        </w:rPr>
        <w:t>A.</w:t>
      </w:r>
      <w:r>
        <w:rPr>
          <w:rStyle w:val="Heading3Char"/>
        </w:rPr>
        <w:tab/>
      </w:r>
      <w:r w:rsidRPr="009E56B9">
        <w:rPr>
          <w:rStyle w:val="Heading3Char"/>
        </w:rPr>
        <w:t>The PUCO erred by failing to ban Verde from Ohio for violations of</w:t>
      </w:r>
      <w:r>
        <w:t xml:space="preserve"> </w:t>
      </w:r>
      <w:r w:rsidRPr="009E56B9">
        <w:rPr>
          <w:rStyle w:val="Heading3Char"/>
        </w:rPr>
        <w:t>law and regulations against the spoofing of Caller ID information to deceive Ohioans.</w:t>
      </w:r>
      <w:bookmarkEnd w:id="32"/>
    </w:p>
    <w:p w:rsidR="009A5647" w:rsidP="003D63EC" w14:paraId="5511F9B2" w14:textId="473BE183">
      <w:pPr>
        <w:spacing w:line="480" w:lineRule="auto"/>
      </w:pPr>
      <w:r>
        <w:tab/>
      </w:r>
      <w:r w:rsidR="00035395">
        <w:t>As explained above, spoofing violates the PUCO’s rules and federal law.</w:t>
      </w:r>
      <w:r w:rsidR="00BB33EB">
        <w:t xml:space="preserve"> T</w:t>
      </w:r>
      <w:r w:rsidR="00035395">
        <w:t xml:space="preserve">he PUCO erred by not banning Verde for violating the law against spoofing. </w:t>
      </w:r>
      <w:r>
        <w:t xml:space="preserve">The Settlement fails to require Verde to take any action to address what the PUCO Staff found to be an “alarming” amount of spoofing activities. Therefore, the Settlement violates the important </w:t>
      </w:r>
      <w:r w:rsidRPr="00035395">
        <w:t>regulatory principles</w:t>
      </w:r>
      <w:r>
        <w:t xml:space="preserve"> </w:t>
      </w:r>
      <w:r w:rsidR="007563EC">
        <w:t>protecting</w:t>
      </w:r>
      <w:r>
        <w:t xml:space="preserve"> customers </w:t>
      </w:r>
      <w:r w:rsidR="007563EC">
        <w:t>from being subjected to and deceived by Verde’s rampant spoofing practices</w:t>
      </w:r>
      <w:r>
        <w:t xml:space="preserve">. </w:t>
      </w:r>
      <w:r w:rsidR="00035395">
        <w:t xml:space="preserve">Yet the Order allows Verde to continue providing service to Ohio consumers even though it </w:t>
      </w:r>
      <w:r w:rsidR="007563EC">
        <w:t xml:space="preserve">clearly </w:t>
      </w:r>
      <w:r w:rsidR="00035395">
        <w:t>violated t</w:t>
      </w:r>
      <w:r w:rsidR="007563EC">
        <w:t>he</w:t>
      </w:r>
      <w:r w:rsidR="00035395">
        <w:t xml:space="preserve"> law</w:t>
      </w:r>
      <w:r w:rsidR="007563EC">
        <w:t xml:space="preserve"> against spoofing</w:t>
      </w:r>
      <w:r w:rsidR="00035395">
        <w:t>.</w:t>
      </w:r>
      <w:r w:rsidR="007563EC">
        <w:t xml:space="preserve"> Verde should be banned from providing service to Ohioans.</w:t>
      </w:r>
    </w:p>
    <w:p w:rsidR="009A5647" w:rsidRPr="009A5647" w:rsidP="009A5647" w14:paraId="2DA50266" w14:textId="77777777"/>
    <w:p w:rsidR="008435CA" w:rsidRPr="008435CA" w:rsidP="00D92FDF" w14:paraId="2E59C9A3" w14:textId="77777777">
      <w:pPr>
        <w:pStyle w:val="Heading2"/>
        <w:rPr>
          <w:caps/>
        </w:rPr>
      </w:pPr>
      <w:bookmarkStart w:id="33" w:name="_Toc36109937"/>
      <w:bookmarkStart w:id="34" w:name="_Toc36220266"/>
      <w:bookmarkStart w:id="35" w:name="_Toc25587213"/>
      <w:bookmarkEnd w:id="30"/>
      <w:r w:rsidRPr="00484164">
        <w:t xml:space="preserve">ASSIGNMENT OF ERROR NO. </w:t>
      </w:r>
      <w:r w:rsidR="009A5647">
        <w:t>4</w:t>
      </w:r>
      <w:r w:rsidRPr="00484164">
        <w:t>:</w:t>
      </w:r>
      <w:r>
        <w:t xml:space="preserve"> </w:t>
      </w:r>
      <w:r w:rsidRPr="00341759">
        <w:t xml:space="preserve">The PUCO </w:t>
      </w:r>
      <w:r>
        <w:t>e</w:t>
      </w:r>
      <w:r w:rsidRPr="00341759">
        <w:t xml:space="preserve">rred in </w:t>
      </w:r>
      <w:r>
        <w:t>a</w:t>
      </w:r>
      <w:r w:rsidRPr="00341759">
        <w:t xml:space="preserve">pproving the Settlement </w:t>
      </w:r>
      <w:r>
        <w:t>w</w:t>
      </w:r>
      <w:r w:rsidRPr="00341759">
        <w:t xml:space="preserve">ithout </w:t>
      </w:r>
      <w:r w:rsidR="00F94E57">
        <w:t xml:space="preserve">implementing </w:t>
      </w:r>
      <w:r w:rsidR="00691929">
        <w:t>needed</w:t>
      </w:r>
      <w:r w:rsidRPr="00341759">
        <w:t xml:space="preserve"> </w:t>
      </w:r>
      <w:r w:rsidR="00F94E57">
        <w:t xml:space="preserve">guardrails around Verde’s business practices </w:t>
      </w:r>
      <w:r w:rsidRPr="00341759">
        <w:t xml:space="preserve">that </w:t>
      </w:r>
      <w:r>
        <w:t>w</w:t>
      </w:r>
      <w:r w:rsidRPr="00341759">
        <w:t xml:space="preserve">ould </w:t>
      </w:r>
      <w:r>
        <w:t>p</w:t>
      </w:r>
      <w:r w:rsidRPr="00341759">
        <w:t xml:space="preserve">rotect </w:t>
      </w:r>
      <w:r>
        <w:t>consumers and further the p</w:t>
      </w:r>
      <w:r w:rsidRPr="00341759">
        <w:t xml:space="preserve">ublic </w:t>
      </w:r>
      <w:r>
        <w:t>i</w:t>
      </w:r>
      <w:r w:rsidRPr="00341759">
        <w:t>nterest</w:t>
      </w:r>
      <w:r>
        <w:t>.</w:t>
      </w:r>
      <w:bookmarkEnd w:id="33"/>
      <w:bookmarkEnd w:id="34"/>
    </w:p>
    <w:bookmarkEnd w:id="35"/>
    <w:p w:rsidR="00570901" w:rsidRPr="003F5315" w:rsidP="0086593F" w14:paraId="4599501A" w14:textId="77777777">
      <w:pPr>
        <w:autoSpaceDE w:val="0"/>
        <w:autoSpaceDN w:val="0"/>
        <w:adjustRightInd w:val="0"/>
        <w:spacing w:line="480" w:lineRule="auto"/>
        <w:ind w:firstLine="720"/>
      </w:pPr>
      <w:r>
        <w:t>I</w:t>
      </w:r>
      <w:r w:rsidR="00903127">
        <w:t xml:space="preserve">t was an error by the PUCO to approve the Settlement without </w:t>
      </w:r>
      <w:r w:rsidRPr="003F5315" w:rsidR="001851BC">
        <w:t xml:space="preserve">first </w:t>
      </w:r>
      <w:r w:rsidRPr="003F5315" w:rsidR="00AA0C25">
        <w:t xml:space="preserve">modifying it to protect consumers and </w:t>
      </w:r>
      <w:r>
        <w:t xml:space="preserve">to </w:t>
      </w:r>
      <w:r w:rsidRPr="003F5315" w:rsidR="00AA0C25">
        <w:t xml:space="preserve">further the public interest. </w:t>
      </w:r>
      <w:r w:rsidR="00903127">
        <w:t>Specifically, OCC proposed several recommendations for modifications to the Settlement that would have made it satisfy the criterion for evaluating settlements.</w:t>
      </w:r>
      <w:r w:rsidR="00F433DE">
        <w:t xml:space="preserve"> </w:t>
      </w:r>
      <w:r w:rsidR="00754C6A">
        <w:t>T</w:t>
      </w:r>
      <w:r w:rsidR="00903127">
        <w:t>he PUCO erred in rejecting those proposed modifications. Those recommended modifications that the PUCO should have included if it was going to approve the Settlement in this case include the following</w:t>
      </w:r>
      <w:r w:rsidR="00CF3246">
        <w:t>.</w:t>
      </w:r>
      <w:r w:rsidRPr="003F5315" w:rsidR="00AA0C25">
        <w:t xml:space="preserve"> </w:t>
      </w:r>
    </w:p>
    <w:p w:rsidR="00B657BC" w:rsidP="00FE3410" w14:paraId="25A2BFC7" w14:textId="77777777">
      <w:pPr>
        <w:spacing w:line="480" w:lineRule="auto"/>
        <w:ind w:firstLine="720"/>
      </w:pPr>
      <w:r>
        <w:t>First</w:t>
      </w:r>
      <w:r w:rsidRPr="003F5315" w:rsidR="00AA0C25">
        <w:t xml:space="preserve">, the PUCO should </w:t>
      </w:r>
      <w:r w:rsidR="00903127">
        <w:t xml:space="preserve">have </w:t>
      </w:r>
      <w:r>
        <w:t xml:space="preserve">modified the Settlement </w:t>
      </w:r>
      <w:r w:rsidRPr="00035395">
        <w:rPr>
          <w:b/>
          <w:bCs/>
        </w:rPr>
        <w:t xml:space="preserve">by </w:t>
      </w:r>
      <w:r w:rsidRPr="00035395" w:rsidR="00AA0C25">
        <w:rPr>
          <w:b/>
          <w:bCs/>
        </w:rPr>
        <w:t>requir</w:t>
      </w:r>
      <w:r w:rsidRPr="00035395">
        <w:rPr>
          <w:b/>
          <w:bCs/>
        </w:rPr>
        <w:t>ing Verde to re-rate</w:t>
      </w:r>
      <w:r w:rsidRPr="00035395" w:rsidR="00AA0C25">
        <w:rPr>
          <w:b/>
          <w:bCs/>
        </w:rPr>
        <w:t xml:space="preserve"> all</w:t>
      </w:r>
      <w:r w:rsidRPr="00035395" w:rsidR="00851F66">
        <w:rPr>
          <w:b/>
          <w:bCs/>
        </w:rPr>
        <w:t xml:space="preserve"> natural gas and electric consumers</w:t>
      </w:r>
      <w:r w:rsidRPr="00035395" w:rsidR="00AA0C25">
        <w:rPr>
          <w:b/>
          <w:bCs/>
        </w:rPr>
        <w:t xml:space="preserve"> </w:t>
      </w:r>
      <w:r w:rsidRPr="00035395">
        <w:rPr>
          <w:b/>
          <w:bCs/>
        </w:rPr>
        <w:t xml:space="preserve">and </w:t>
      </w:r>
      <w:r w:rsidRPr="00035395" w:rsidR="00AA0C25">
        <w:rPr>
          <w:b/>
          <w:bCs/>
        </w:rPr>
        <w:t>fully compensate</w:t>
      </w:r>
      <w:r w:rsidRPr="00035395">
        <w:rPr>
          <w:b/>
          <w:bCs/>
        </w:rPr>
        <w:t xml:space="preserve"> them</w:t>
      </w:r>
      <w:r w:rsidRPr="00035395" w:rsidR="00AA0C25">
        <w:rPr>
          <w:b/>
          <w:bCs/>
        </w:rPr>
        <w:t xml:space="preserve"> for the difference between what they paid </w:t>
      </w:r>
      <w:r w:rsidRPr="00035395" w:rsidR="0032262C">
        <w:rPr>
          <w:b/>
          <w:bCs/>
        </w:rPr>
        <w:t>Verde</w:t>
      </w:r>
      <w:r w:rsidRPr="00035395" w:rsidR="00AA0C25">
        <w:rPr>
          <w:b/>
          <w:bCs/>
        </w:rPr>
        <w:t xml:space="preserve"> and what they would have paid under the utility’s default rate</w:t>
      </w:r>
      <w:r w:rsidRPr="00035395" w:rsidR="00057FB5">
        <w:rPr>
          <w:b/>
          <w:bCs/>
        </w:rPr>
        <w:t xml:space="preserve"> by refunding to each consumer that difference in full</w:t>
      </w:r>
      <w:r w:rsidRPr="003F5315" w:rsidR="00AA0C25">
        <w:t>.</w:t>
      </w:r>
      <w:r>
        <w:t xml:space="preserve"> As explained above, there is no basis for excluding natural gas customers from refunds under the settlement.</w:t>
      </w:r>
      <w:r w:rsidR="00AB1C7D">
        <w:t xml:space="preserve"> </w:t>
      </w:r>
      <w:r w:rsidR="001A7120">
        <w:t xml:space="preserve">Verde’s natural gas customers, like Verde’s electric customers, were harmed by having to pay rates that were </w:t>
      </w:r>
      <w:r w:rsidR="00A13A7C">
        <w:t xml:space="preserve">up to </w:t>
      </w:r>
      <w:r w:rsidR="001A7120">
        <w:t>4 times the standard choice rate.</w:t>
      </w:r>
      <w:r w:rsidR="00C36C81">
        <w:t xml:space="preserve"> </w:t>
      </w:r>
    </w:p>
    <w:p w:rsidR="00752B75" w:rsidRPr="003F5315" w:rsidP="00FE3410" w14:paraId="6FA3EFF6" w14:textId="77777777">
      <w:pPr>
        <w:spacing w:line="480" w:lineRule="auto"/>
        <w:ind w:firstLine="720"/>
      </w:pPr>
      <w:r>
        <w:t xml:space="preserve">Nor is there any basis for </w:t>
      </w:r>
      <w:r w:rsidR="001A7120">
        <w:t xml:space="preserve">setting </w:t>
      </w:r>
      <w:r>
        <w:t>refund</w:t>
      </w:r>
      <w:r w:rsidR="001A7120">
        <w:t>s for</w:t>
      </w:r>
      <w:r>
        <w:t xml:space="preserve"> electric customers </w:t>
      </w:r>
      <w:r w:rsidR="001A7120">
        <w:t xml:space="preserve">based on </w:t>
      </w:r>
      <w:r>
        <w:t>the difference between what they paid Verde and some arbitrary renewable rate.</w:t>
      </w:r>
      <w:r w:rsidR="00B657BC">
        <w:t xml:space="preserve"> </w:t>
      </w:r>
      <w:r>
        <w:t>N</w:t>
      </w:r>
      <w:r w:rsidR="00B657BC">
        <w:t xml:space="preserve">either Verde nor the PUCO Staff offered evidence to support </w:t>
      </w:r>
      <w:r w:rsidR="001A7120">
        <w:t>“</w:t>
      </w:r>
      <w:r w:rsidR="00B657BC">
        <w:t>re-rating</w:t>
      </w:r>
      <w:r w:rsidR="001A7120">
        <w:t xml:space="preserve">” (refunding) </w:t>
      </w:r>
      <w:r w:rsidR="00B657BC">
        <w:t>customers to the second lowest 12-month fixed 100% renewable price shown on the PUCO’s historic apples-to-apples chart for the week of December 17, 2018</w:t>
      </w:r>
      <w:r w:rsidR="007B43AE">
        <w:t>.</w:t>
      </w:r>
      <w:r w:rsidR="00C36C81">
        <w:t xml:space="preserve"> </w:t>
      </w:r>
      <w:r w:rsidR="001A7120">
        <w:t>T</w:t>
      </w:r>
      <w:r w:rsidR="00B657BC">
        <w:t>he appropriate benchmark for determining the refunds owed to customers is the difference between the rate that Verde over-charged customers and the utility’s price to compare (the standard offer rate).</w:t>
      </w:r>
      <w:r>
        <w:rPr>
          <w:rStyle w:val="FootnoteReference"/>
        </w:rPr>
        <w:footnoteReference w:id="85"/>
      </w:r>
      <w:r>
        <w:t xml:space="preserve"> But the PUCO ignored that evidence.</w:t>
      </w:r>
      <w:r w:rsidRPr="003F5315" w:rsidR="00AA0C25">
        <w:t xml:space="preserve"> </w:t>
      </w:r>
      <w:r w:rsidR="007200E6">
        <w:t xml:space="preserve">Accordingly, the PUCO erred by not modifying the Settlement to </w:t>
      </w:r>
      <w:r w:rsidR="007B43AE">
        <w:t>give full refunds to customers based on th</w:t>
      </w:r>
      <w:r w:rsidR="007200E6">
        <w:t>e utility’s price to compare</w:t>
      </w:r>
      <w:r w:rsidR="007B43AE">
        <w:t>.</w:t>
      </w:r>
      <w:r w:rsidRPr="003F5315" w:rsidR="00AA0C25">
        <w:t xml:space="preserve"> </w:t>
      </w:r>
    </w:p>
    <w:p w:rsidR="00FB6DF8" w:rsidP="007200E6" w14:paraId="7F3992D2" w14:textId="77777777">
      <w:pPr>
        <w:spacing w:line="480" w:lineRule="auto"/>
        <w:ind w:firstLine="720"/>
      </w:pPr>
      <w:r>
        <w:t>Second</w:t>
      </w:r>
      <w:r w:rsidRPr="003F5315" w:rsidR="00AA0C25">
        <w:t xml:space="preserve">, the PUCO </w:t>
      </w:r>
      <w:r w:rsidR="00BC276F">
        <w:t xml:space="preserve">should have required Verde </w:t>
      </w:r>
      <w:r>
        <w:t xml:space="preserve">to </w:t>
      </w:r>
      <w:r w:rsidRPr="00035395" w:rsidR="00BC276F">
        <w:rPr>
          <w:b/>
          <w:bCs/>
        </w:rPr>
        <w:t>make specific changes to its business practices to ensure compliance with the PUCO’s rules</w:t>
      </w:r>
      <w:r w:rsidR="00BC276F">
        <w:t xml:space="preserve"> and to address the violations documented in the Staff Report and Staff Report’s conclusion that “Verde does not currently possess the fitness or managerial capability to provide competitive services in the state of Ohio.”</w:t>
      </w:r>
      <w:r>
        <w:rPr>
          <w:rStyle w:val="FootnoteReference"/>
        </w:rPr>
        <w:footnoteReference w:id="86"/>
      </w:r>
      <w:r w:rsidR="00BC276F">
        <w:t xml:space="preserve"> </w:t>
      </w:r>
      <w:r>
        <w:t xml:space="preserve">The </w:t>
      </w:r>
      <w:r w:rsidR="00151336">
        <w:t>PUCO Staff determined that despite being notified of “hundreds of customer complaints . . . Verde has failed to implement any meaningful corrective or remedial action.”</w:t>
      </w:r>
      <w:r>
        <w:rPr>
          <w:rStyle w:val="FootnoteReference"/>
        </w:rPr>
        <w:footnoteReference w:id="87"/>
      </w:r>
      <w:r w:rsidR="00151336">
        <w:t xml:space="preserve"> Nothing in the Settlement specifies what remedial actions (if any) Verde will take to address the violations identified in the Staff Report or to protect the customers that Verde </w:t>
      </w:r>
      <w:r>
        <w:t>currently serves</w:t>
      </w:r>
      <w:r w:rsidR="00151336">
        <w:t>.</w:t>
      </w:r>
      <w:r>
        <w:rPr>
          <w:rStyle w:val="FootnoteReference"/>
        </w:rPr>
        <w:footnoteReference w:id="88"/>
      </w:r>
    </w:p>
    <w:p w:rsidR="00151336" w:rsidRPr="003F5315" w:rsidP="00151336" w14:paraId="5EC27634" w14:textId="77777777">
      <w:pPr>
        <w:spacing w:line="480" w:lineRule="auto"/>
        <w:ind w:firstLine="720"/>
      </w:pPr>
      <w:r>
        <w:t>The Settlement’s provision that requires Verde to “submit an action plan for compliance at least ninety (90) days prior to resuming marketing and customer enrollment in Ohio”</w:t>
      </w:r>
      <w:r>
        <w:rPr>
          <w:rStyle w:val="FootnoteReference"/>
        </w:rPr>
        <w:footnoteReference w:id="89"/>
      </w:r>
      <w:r>
        <w:t xml:space="preserve"> is also </w:t>
      </w:r>
      <w:r w:rsidR="006D6C9C">
        <w:t>vague and inadequate</w:t>
      </w:r>
      <w:r>
        <w:t xml:space="preserve"> to ensure that Verde’s future customers will be protected. </w:t>
      </w:r>
      <w:r w:rsidR="006D6C9C">
        <w:t>Moreover, the “action plan” provision pales in comparison to reforms Verde’s affiliates have agreed to undertake in other states for consumer protection. As noted above, there have been numerous regulatory proceedings against Verde’s affiliates in other states involving similar deceptive marketing practices and consumer protection violations identified in the Staff Report</w:t>
      </w:r>
      <w:r w:rsidR="0061484E">
        <w:t>.</w:t>
      </w:r>
      <w:r>
        <w:rPr>
          <w:rStyle w:val="FootnoteReference"/>
        </w:rPr>
        <w:footnoteReference w:id="90"/>
      </w:r>
      <w:r w:rsidR="0061484E">
        <w:t xml:space="preserve"> Those proceedings specifically enjoined Verde’s affiliates from engaging in deceptive marketing practices such as representing to the customer an affiliation with the utility or that the customer will save money by switching unless the customer would pay less than the utility’s price to compare.</w:t>
      </w:r>
      <w:r>
        <w:rPr>
          <w:rStyle w:val="FootnoteReference"/>
        </w:rPr>
        <w:footnoteReference w:id="91"/>
      </w:r>
      <w:r w:rsidR="0061484E">
        <w:t xml:space="preserve"> Verde affiliates have </w:t>
      </w:r>
      <w:r w:rsidR="00E16881">
        <w:t xml:space="preserve">also </w:t>
      </w:r>
      <w:r w:rsidR="0061484E">
        <w:t>committed to substantial marketing reforms</w:t>
      </w:r>
      <w:r w:rsidR="00AB1C7D">
        <w:t xml:space="preserve"> in other states,</w:t>
      </w:r>
      <w:r>
        <w:rPr>
          <w:rStyle w:val="FootnoteReference"/>
        </w:rPr>
        <w:footnoteReference w:id="92"/>
      </w:r>
      <w:r w:rsidR="00AB1C7D">
        <w:t xml:space="preserve"> but Verde refuses to do so in Ohio.</w:t>
      </w:r>
      <w:r w:rsidR="00E16881">
        <w:t xml:space="preserve"> There is no reason why</w:t>
      </w:r>
      <w:r w:rsidR="0061484E">
        <w:t xml:space="preserve"> </w:t>
      </w:r>
      <w:r w:rsidR="00E16881">
        <w:t xml:space="preserve">the PUCO should not </w:t>
      </w:r>
      <w:r w:rsidR="00AB1C7D">
        <w:t xml:space="preserve">require Verde to </w:t>
      </w:r>
      <w:r w:rsidR="00E16881">
        <w:t>extend similar protections to Ohio customers.</w:t>
      </w:r>
      <w:r w:rsidR="00FE3410">
        <w:t xml:space="preserve"> The PUCO unreasonably fail</w:t>
      </w:r>
      <w:r w:rsidR="007B43AE">
        <w:t>ed</w:t>
      </w:r>
      <w:r w:rsidR="00FE3410">
        <w:t xml:space="preserve"> to consider the regulatory actions against Verde’s affiliates in other states and thus, rehearing should be granted</w:t>
      </w:r>
      <w:r w:rsidR="00AB1C7D">
        <w:t xml:space="preserve"> to modify the Settlement</w:t>
      </w:r>
      <w:r w:rsidR="00FE3410">
        <w:t>.</w:t>
      </w:r>
    </w:p>
    <w:p w:rsidR="007B43AE" w:rsidP="0086593F" w14:paraId="653D82BA" w14:textId="77777777">
      <w:pPr>
        <w:spacing w:line="480" w:lineRule="auto"/>
        <w:ind w:firstLine="720"/>
      </w:pPr>
      <w:r>
        <w:t>Third</w:t>
      </w:r>
      <w:r w:rsidRPr="003F5315" w:rsidR="00AA0C25">
        <w:t xml:space="preserve">, the PUCO should </w:t>
      </w:r>
      <w:r w:rsidR="00903127">
        <w:t xml:space="preserve">have </w:t>
      </w:r>
      <w:r w:rsidRPr="003F5315" w:rsidR="00AA0C25">
        <w:t>include</w:t>
      </w:r>
      <w:r w:rsidR="00903127">
        <w:t>d</w:t>
      </w:r>
      <w:r w:rsidRPr="003F5315" w:rsidR="00AA0C25">
        <w:t xml:space="preserve"> a comprehensive and independent verification process to </w:t>
      </w:r>
      <w:r w:rsidRPr="00035395" w:rsidR="00AA0C25">
        <w:rPr>
          <w:b/>
          <w:bCs/>
        </w:rPr>
        <w:t xml:space="preserve">ensure that </w:t>
      </w:r>
      <w:r w:rsidRPr="00035395" w:rsidR="00E16881">
        <w:rPr>
          <w:b/>
          <w:bCs/>
        </w:rPr>
        <w:t>any customer</w:t>
      </w:r>
      <w:r w:rsidRPr="00035395" w:rsidR="00AA0C25">
        <w:rPr>
          <w:b/>
          <w:bCs/>
        </w:rPr>
        <w:t xml:space="preserve"> </w:t>
      </w:r>
      <w:r w:rsidRPr="00035395" w:rsidR="00057FB5">
        <w:rPr>
          <w:b/>
          <w:bCs/>
        </w:rPr>
        <w:t>refunds</w:t>
      </w:r>
      <w:r w:rsidRPr="00035395" w:rsidR="00AA0C25">
        <w:rPr>
          <w:b/>
          <w:bCs/>
        </w:rPr>
        <w:t xml:space="preserve"> </w:t>
      </w:r>
      <w:r w:rsidRPr="00035395" w:rsidR="00E16881">
        <w:rPr>
          <w:b/>
          <w:bCs/>
        </w:rPr>
        <w:t xml:space="preserve">under </w:t>
      </w:r>
      <w:r w:rsidRPr="00035395" w:rsidR="00AA0C25">
        <w:rPr>
          <w:b/>
          <w:bCs/>
        </w:rPr>
        <w:t xml:space="preserve">the </w:t>
      </w:r>
      <w:r w:rsidRPr="00035395" w:rsidR="00426A6D">
        <w:rPr>
          <w:b/>
          <w:bCs/>
        </w:rPr>
        <w:t>Settlement</w:t>
      </w:r>
      <w:r w:rsidRPr="00035395" w:rsidR="00AA0C25">
        <w:rPr>
          <w:b/>
          <w:bCs/>
        </w:rPr>
        <w:t xml:space="preserve"> </w:t>
      </w:r>
      <w:r w:rsidRPr="00035395" w:rsidR="00E16881">
        <w:rPr>
          <w:b/>
          <w:bCs/>
        </w:rPr>
        <w:t xml:space="preserve">are </w:t>
      </w:r>
      <w:r w:rsidRPr="00035395" w:rsidR="00AA0C25">
        <w:rPr>
          <w:b/>
          <w:bCs/>
        </w:rPr>
        <w:t>complet</w:t>
      </w:r>
      <w:r w:rsidRPr="00035395" w:rsidR="00E16881">
        <w:rPr>
          <w:b/>
          <w:bCs/>
        </w:rPr>
        <w:t>ed and disbursed correctly</w:t>
      </w:r>
      <w:r w:rsidRPr="003F5315" w:rsidR="00AA0C25">
        <w:t xml:space="preserve">. This would include a provision for consequences to </w:t>
      </w:r>
      <w:r w:rsidR="0032262C">
        <w:t>Verde</w:t>
      </w:r>
      <w:r w:rsidRPr="003F5315" w:rsidR="00AA0C25">
        <w:t xml:space="preserve"> if the verification process reveals that </w:t>
      </w:r>
      <w:r w:rsidR="0032262C">
        <w:t>Verde</w:t>
      </w:r>
      <w:r w:rsidRPr="003F5315" w:rsidR="00AA0C25">
        <w:t xml:space="preserve"> has not made all of the consumer </w:t>
      </w:r>
      <w:r w:rsidRPr="003F5315" w:rsidR="00057FB5">
        <w:t>refund</w:t>
      </w:r>
      <w:r w:rsidRPr="003F5315" w:rsidR="00AA0C25">
        <w:t xml:space="preserve">s represented in the </w:t>
      </w:r>
      <w:r w:rsidRPr="003F5315" w:rsidR="00426A6D">
        <w:t>Settlement</w:t>
      </w:r>
      <w:r w:rsidRPr="003F5315" w:rsidR="00AA0C25">
        <w:t xml:space="preserve">, a requirement for </w:t>
      </w:r>
      <w:r w:rsidR="0032262C">
        <w:t>Verde</w:t>
      </w:r>
      <w:r w:rsidRPr="003F5315" w:rsidR="00AA0C25">
        <w:t xml:space="preserve"> to make restitution to any consumers missed or not covered by the </w:t>
      </w:r>
      <w:r w:rsidRPr="003F5315" w:rsidR="00426A6D">
        <w:t>Settlement</w:t>
      </w:r>
      <w:r w:rsidRPr="003F5315" w:rsidR="00AA0C25">
        <w:t xml:space="preserve">, and a provision for additional monetary penalties. </w:t>
      </w:r>
    </w:p>
    <w:p w:rsidR="00FB6DF8" w:rsidP="0086593F" w14:paraId="03CD119C" w14:textId="77777777">
      <w:pPr>
        <w:spacing w:line="480" w:lineRule="auto"/>
        <w:ind w:firstLine="720"/>
      </w:pPr>
      <w:r w:rsidRPr="003F5315">
        <w:t xml:space="preserve">Although the </w:t>
      </w:r>
      <w:r w:rsidRPr="003F5315" w:rsidR="00426A6D">
        <w:t>Settlement</w:t>
      </w:r>
      <w:r w:rsidRPr="003F5315">
        <w:t xml:space="preserve"> addresses the </w:t>
      </w:r>
      <w:r w:rsidR="00E16881">
        <w:t>refunds to electric</w:t>
      </w:r>
      <w:r w:rsidRPr="003F5315">
        <w:t xml:space="preserve"> customers who were overcharged, it does not address how the </w:t>
      </w:r>
      <w:r w:rsidRPr="003F5315" w:rsidR="00057FB5">
        <w:t>refunds</w:t>
      </w:r>
      <w:r w:rsidRPr="003F5315">
        <w:t xml:space="preserve"> will be verified. It does not </w:t>
      </w:r>
      <w:r w:rsidRPr="003F5315" w:rsidR="00E475EC">
        <w:t xml:space="preserve">include </w:t>
      </w:r>
      <w:r w:rsidRPr="003F5315">
        <w:t xml:space="preserve">any process that describes how </w:t>
      </w:r>
      <w:r w:rsidRPr="003F5315" w:rsidR="00E475EC">
        <w:t xml:space="preserve">the PUCO </w:t>
      </w:r>
      <w:r w:rsidRPr="003F5315">
        <w:t xml:space="preserve">Staff or an independent third-party has or will verify that the customers referred to in the Settlement have indeed received the full </w:t>
      </w:r>
      <w:r w:rsidRPr="003F5315" w:rsidR="00057FB5">
        <w:t>refunds</w:t>
      </w:r>
      <w:r w:rsidRPr="003F5315">
        <w:t xml:space="preserve"> due them. </w:t>
      </w:r>
      <w:r w:rsidR="00E16881">
        <w:t xml:space="preserve">This is particularly important given the evidence in this case that </w:t>
      </w:r>
      <w:r w:rsidR="00030306">
        <w:rPr>
          <w:bCs/>
          <w:iCs/>
        </w:rPr>
        <w:t>Verde’s own refund methodology produces a total value of customer refunds significantly in excess of the approximate $1,068,000 refunds referenced in the Settlement.</w:t>
      </w:r>
      <w:r>
        <w:rPr>
          <w:rStyle w:val="FootnoteReference"/>
          <w:bCs/>
          <w:iCs/>
        </w:rPr>
        <w:footnoteReference w:id="93"/>
      </w:r>
      <w:r w:rsidR="00DE13AB">
        <w:rPr>
          <w:bCs/>
          <w:iCs/>
        </w:rPr>
        <w:t xml:space="preserve"> </w:t>
      </w:r>
      <w:r w:rsidRPr="003F5315">
        <w:t xml:space="preserve">The </w:t>
      </w:r>
      <w:r w:rsidRPr="003F5315" w:rsidR="00426A6D">
        <w:t>Settlement</w:t>
      </w:r>
      <w:r w:rsidRPr="003F5315">
        <w:t xml:space="preserve"> also does not address consequences if </w:t>
      </w:r>
      <w:r w:rsidR="0032262C">
        <w:t>Verde</w:t>
      </w:r>
      <w:r w:rsidRPr="003F5315">
        <w:t xml:space="preserve"> fails to properly re-rate customers. The PUCO should </w:t>
      </w:r>
      <w:r w:rsidRPr="003F5315" w:rsidR="008B2696">
        <w:t xml:space="preserve">rectify these shortcomings in the </w:t>
      </w:r>
      <w:r w:rsidRPr="003F5315" w:rsidR="00426A6D">
        <w:t>Settlement</w:t>
      </w:r>
      <w:r w:rsidRPr="003F5315" w:rsidR="008B2696">
        <w:t>.</w:t>
      </w:r>
      <w:r w:rsidRPr="003F5315">
        <w:t xml:space="preserve"> </w:t>
      </w:r>
    </w:p>
    <w:p w:rsidR="00A13A7C" w:rsidP="0086593F" w14:paraId="6D2940B2" w14:textId="77777777">
      <w:pPr>
        <w:spacing w:line="480" w:lineRule="auto"/>
        <w:ind w:firstLine="720"/>
      </w:pPr>
      <w:r>
        <w:t>Fourth</w:t>
      </w:r>
      <w:r w:rsidR="002E37B5">
        <w:t>, the PUCO should have required Verde to modify its business practices to address Verde’s failure to provide appropriate contract expiration notices to consumers as required by the PUCO’s rules.</w:t>
      </w:r>
      <w:r>
        <w:rPr>
          <w:rStyle w:val="FootnoteReference"/>
        </w:rPr>
        <w:footnoteReference w:id="94"/>
      </w:r>
      <w:r w:rsidR="002E37B5">
        <w:t xml:space="preserve"> </w:t>
      </w:r>
      <w:r w:rsidR="00E87445">
        <w:t>The Staff Report found that Verde customers complained about not receiving expiration notices when their fixed-rate contracts expired and then being automatically renewed to monthly contracts charging high variable rates.</w:t>
      </w:r>
      <w:r>
        <w:rPr>
          <w:rStyle w:val="FootnoteReference"/>
        </w:rPr>
        <w:footnoteReference w:id="95"/>
      </w:r>
      <w:r w:rsidR="00E87445">
        <w:t xml:space="preserve"> </w:t>
      </w:r>
      <w:r w:rsidR="003F02B0">
        <w:t>This was confirmed by public witness</w:t>
      </w:r>
      <w:r w:rsidR="001E38AB">
        <w:t>es</w:t>
      </w:r>
      <w:r w:rsidR="003F02B0">
        <w:t xml:space="preserve"> who testified during the evidentiary hearing that </w:t>
      </w:r>
      <w:r w:rsidR="001E38AB">
        <w:t>they were</w:t>
      </w:r>
      <w:r w:rsidR="003F02B0">
        <w:t xml:space="preserve"> grossly overcharged by Verde after Verde automatically renewed </w:t>
      </w:r>
      <w:r w:rsidR="001E38AB">
        <w:t xml:space="preserve">their </w:t>
      </w:r>
      <w:r w:rsidR="003F02B0">
        <w:t xml:space="preserve">fixed rate contract </w:t>
      </w:r>
      <w:r w:rsidR="005B287C">
        <w:t>to</w:t>
      </w:r>
      <w:r w:rsidR="003F02B0">
        <w:t xml:space="preserve"> a monthly variable rate contract that charged three times what they initially agreed to pay.</w:t>
      </w:r>
      <w:r>
        <w:rPr>
          <w:rStyle w:val="FootnoteReference"/>
        </w:rPr>
        <w:footnoteReference w:id="96"/>
      </w:r>
      <w:r w:rsidR="00A661DD">
        <w:t xml:space="preserve"> When the PUCO Staff </w:t>
      </w:r>
      <w:r w:rsidR="00672042">
        <w:t>confronted Verde with these complaints, Verde asserted that it was not required to provide contract expiration notices under Verde’s terms of service with the customers</w:t>
      </w:r>
      <w:r w:rsidR="001E38AB">
        <w:t>.</w:t>
      </w:r>
      <w:r>
        <w:rPr>
          <w:rStyle w:val="FootnoteReference"/>
        </w:rPr>
        <w:footnoteReference w:id="97"/>
      </w:r>
      <w:r w:rsidR="001E38AB">
        <w:t xml:space="preserve"> But as the PUCO Staff correctly noted in the Staff Report, Verde’s “terms of service do not supersede the Ohio Administrative Code.”</w:t>
      </w:r>
      <w:r>
        <w:rPr>
          <w:rStyle w:val="FootnoteReference"/>
        </w:rPr>
        <w:footnoteReference w:id="98"/>
      </w:r>
      <w:r w:rsidR="00672042">
        <w:t xml:space="preserve"> </w:t>
      </w:r>
    </w:p>
    <w:p w:rsidR="00C955F6" w:rsidP="00C955F6" w14:paraId="62A3E140" w14:textId="77777777">
      <w:pPr>
        <w:spacing w:line="480" w:lineRule="auto"/>
      </w:pPr>
      <w:r>
        <w:tab/>
        <w:t xml:space="preserve">Verde’s refusal to provide contract expiration notices as required by the PUCO’s rules harms the customers that Verde currently serves. The PUCO should modify the Settlement to </w:t>
      </w:r>
      <w:r w:rsidRPr="003D63EC">
        <w:rPr>
          <w:b/>
          <w:bCs/>
        </w:rPr>
        <w:t>prohibit Verde from automatically renewing customers</w:t>
      </w:r>
      <w:r>
        <w:t xml:space="preserve"> to monthly variable rate contracts. At a minimum, the PUCO should modify the Settlement to require Verde to provide customers with appropriate contract expiration notices as required by the PUCO’s rules.</w:t>
      </w:r>
    </w:p>
    <w:p w:rsidR="002374FB" w:rsidP="001A57F0" w14:paraId="4405465E" w14:textId="77777777">
      <w:pPr>
        <w:spacing w:line="480" w:lineRule="auto"/>
        <w:ind w:firstLine="720"/>
      </w:pPr>
      <w:r>
        <w:t>Similarly, the</w:t>
      </w:r>
      <w:r w:rsidR="005B287C">
        <w:t xml:space="preserve"> </w:t>
      </w:r>
      <w:r>
        <w:t>PUCO should</w:t>
      </w:r>
      <w:r w:rsidR="005B287C">
        <w:t xml:space="preserve"> </w:t>
      </w:r>
      <w:r w:rsidRPr="005B0866">
        <w:rPr>
          <w:b/>
          <w:bCs/>
        </w:rPr>
        <w:t>prohibit Verde from luring customers into contract</w:t>
      </w:r>
      <w:r w:rsidRPr="005B0866" w:rsidR="007350D6">
        <w:rPr>
          <w:b/>
          <w:bCs/>
        </w:rPr>
        <w:t>s</w:t>
      </w:r>
      <w:r w:rsidRPr="005B0866">
        <w:rPr>
          <w:b/>
          <w:bCs/>
        </w:rPr>
        <w:t xml:space="preserve"> with low fixed “teaser” rate</w:t>
      </w:r>
      <w:r w:rsidRPr="005B0866" w:rsidR="007350D6">
        <w:rPr>
          <w:b/>
          <w:bCs/>
        </w:rPr>
        <w:t>s</w:t>
      </w:r>
      <w:r>
        <w:t xml:space="preserve"> that </w:t>
      </w:r>
      <w:r w:rsidR="007350D6">
        <w:t>are</w:t>
      </w:r>
      <w:r>
        <w:t xml:space="preserve"> later automatically renewed to unconscionably high monthly variable rate</w:t>
      </w:r>
      <w:r w:rsidR="007350D6">
        <w:t>s</w:t>
      </w:r>
      <w:r>
        <w:t>. For example, evidence in this case demonstrates that Verde charged some electric customers a fixed rate of $.0599/kwh and then switched them to a monthly variable rate of $.19/kwh, resulting in huge overcharges.</w:t>
      </w:r>
      <w:r>
        <w:rPr>
          <w:rStyle w:val="FootnoteReference"/>
        </w:rPr>
        <w:footnoteReference w:id="99"/>
      </w:r>
      <w:r w:rsidR="00115700">
        <w:t xml:space="preserve"> </w:t>
      </w:r>
      <w:r w:rsidR="00D47F55">
        <w:t>OCC presented evidence that some Verde gas customers paid rates nearly four times the utility’s standard offer.</w:t>
      </w:r>
      <w:r>
        <w:rPr>
          <w:rStyle w:val="FootnoteReference"/>
        </w:rPr>
        <w:footnoteReference w:id="100"/>
      </w:r>
      <w:r w:rsidR="00D47F55">
        <w:t xml:space="preserve"> </w:t>
      </w:r>
      <w:r w:rsidR="00115700">
        <w:t>Th</w:t>
      </w:r>
      <w:r w:rsidR="00FD7C53">
        <w:t>e</w:t>
      </w:r>
      <w:r w:rsidR="00115700">
        <w:t>se unconscionable</w:t>
      </w:r>
      <w:r>
        <w:t xml:space="preserve"> rates are</w:t>
      </w:r>
      <w:r w:rsidR="00115700">
        <w:t xml:space="preserve"> contrary to Ohio’s</w:t>
      </w:r>
      <w:r w:rsidR="00657896">
        <w:t xml:space="preserve"> statutory</w:t>
      </w:r>
      <w:r w:rsidR="00115700">
        <w:t xml:space="preserve"> electric and gas service policies that electric and gas services be “reasonably priced</w:t>
      </w:r>
      <w:r w:rsidR="00657896">
        <w:t>.</w:t>
      </w:r>
      <w:r w:rsidR="00115700">
        <w:t>”</w:t>
      </w:r>
      <w:r>
        <w:rPr>
          <w:rStyle w:val="FootnoteReference"/>
        </w:rPr>
        <w:footnoteReference w:id="101"/>
      </w:r>
      <w:r w:rsidR="00115700">
        <w:t xml:space="preserve"> </w:t>
      </w:r>
      <w:r w:rsidR="00657896">
        <w:t>Accordingly, t</w:t>
      </w:r>
      <w:r w:rsidR="00115700">
        <w:t>he PUCO should prohibit Verde from charging customers monthly variable rates in excess of the utility’s standard offer rate.</w:t>
      </w:r>
    </w:p>
    <w:p w:rsidR="002A29D4" w:rsidP="002A29D4" w14:paraId="19695021" w14:textId="77777777">
      <w:pPr>
        <w:spacing w:line="480" w:lineRule="auto"/>
      </w:pPr>
      <w:r>
        <w:tab/>
        <w:t xml:space="preserve">Fifth, </w:t>
      </w:r>
      <w:r w:rsidR="00464CE7">
        <w:t xml:space="preserve">given the “clear” evidence of Verde’s </w:t>
      </w:r>
      <w:r>
        <w:t>spoofing activities</w:t>
      </w:r>
      <w:r w:rsidR="00464CE7">
        <w:t>,</w:t>
      </w:r>
      <w:r>
        <w:rPr>
          <w:rStyle w:val="FootnoteReference"/>
        </w:rPr>
        <w:footnoteReference w:id="102"/>
      </w:r>
      <w:r w:rsidR="00464CE7">
        <w:t xml:space="preserve"> the PUCO should modify the Settlement to include a “no tolerance” policy for spoofing. In other words, if Verde is allowed to continue to provide service</w:t>
      </w:r>
      <w:r w:rsidR="00657896">
        <w:t xml:space="preserve"> to Ohio consumers</w:t>
      </w:r>
      <w:r w:rsidR="00464CE7">
        <w:t xml:space="preserve">, </w:t>
      </w:r>
      <w:r w:rsidRPr="005B0866" w:rsidR="00464CE7">
        <w:rPr>
          <w:b/>
          <w:bCs/>
        </w:rPr>
        <w:t xml:space="preserve">Verde’s certificates should be </w:t>
      </w:r>
      <w:r w:rsidRPr="005B0866" w:rsidR="00657896">
        <w:rPr>
          <w:b/>
          <w:bCs/>
        </w:rPr>
        <w:t xml:space="preserve">immediately </w:t>
      </w:r>
      <w:r w:rsidRPr="005B0866" w:rsidR="00464CE7">
        <w:rPr>
          <w:b/>
          <w:bCs/>
        </w:rPr>
        <w:t>suspended if</w:t>
      </w:r>
      <w:r w:rsidRPr="005B0866">
        <w:rPr>
          <w:b/>
          <w:bCs/>
        </w:rPr>
        <w:t xml:space="preserve"> it engages in even a single act of spoofing</w:t>
      </w:r>
      <w:r w:rsidR="00464CE7">
        <w:t>.</w:t>
      </w:r>
      <w:r>
        <w:t xml:space="preserve"> Indeed</w:t>
      </w:r>
      <w:r w:rsidR="00657896">
        <w:t xml:space="preserve">, </w:t>
      </w:r>
      <w:r>
        <w:t>PUCO Staff witness Nedra Ramsey testified that even a single customer complaint regarding spoofing is cause for concern</w:t>
      </w:r>
      <w:r w:rsidR="00657896">
        <w:t>.</w:t>
      </w:r>
      <w:r>
        <w:rPr>
          <w:rStyle w:val="FootnoteReference"/>
        </w:rPr>
        <w:footnoteReference w:id="103"/>
      </w:r>
      <w:r w:rsidR="00657896">
        <w:t xml:space="preserve"> In this case Verde’s spoofing continued despite warnings from the PUCO Staff regarding an “alarming number of complaints from consumers.”</w:t>
      </w:r>
      <w:r>
        <w:rPr>
          <w:rStyle w:val="FootnoteReference"/>
        </w:rPr>
        <w:footnoteReference w:id="104"/>
      </w:r>
      <w:r w:rsidR="00657896">
        <w:t xml:space="preserve"> A</w:t>
      </w:r>
      <w:r w:rsidR="00464CE7">
        <w:t>s noted above, spoofing is illegal under state and federal law</w:t>
      </w:r>
      <w:r w:rsidR="000704D5">
        <w:t>.</w:t>
      </w:r>
      <w:r w:rsidR="00464CE7">
        <w:t xml:space="preserve"> </w:t>
      </w:r>
      <w:r w:rsidR="000704D5">
        <w:t>T</w:t>
      </w:r>
      <w:r w:rsidR="00464CE7">
        <w:t xml:space="preserve">he PUCO should not tolerate such deceptive practices from </w:t>
      </w:r>
      <w:r w:rsidR="000704D5">
        <w:t>Verde</w:t>
      </w:r>
      <w:r w:rsidR="00464CE7">
        <w:t xml:space="preserve">. </w:t>
      </w:r>
    </w:p>
    <w:p w:rsidR="002A29D4" w:rsidP="00572682" w14:paraId="7833BC81" w14:textId="77777777">
      <w:pPr>
        <w:spacing w:line="480" w:lineRule="auto"/>
        <w:ind w:firstLine="720"/>
      </w:pPr>
      <w:r>
        <w:t>Likewise</w:t>
      </w:r>
      <w:r w:rsidR="00D47F55">
        <w:t xml:space="preserve">, the PUCO should modify the Settlement by adopting a </w:t>
      </w:r>
      <w:r w:rsidRPr="005B0866" w:rsidR="00D47F55">
        <w:rPr>
          <w:b/>
          <w:bCs/>
        </w:rPr>
        <w:t>no tolerance policy for slamming</w:t>
      </w:r>
      <w:r w:rsidRPr="005B0866" w:rsidR="00F10D23">
        <w:rPr>
          <w:b/>
          <w:bCs/>
        </w:rPr>
        <w:t xml:space="preserve"> customers</w:t>
      </w:r>
      <w:r w:rsidR="00D47F55">
        <w:t>.</w:t>
      </w:r>
      <w:r w:rsidR="0069035B">
        <w:t xml:space="preserve"> There is evidence that Verde unlawfully enrolled (</w:t>
      </w:r>
      <w:r w:rsidR="0069035B">
        <w:rPr>
          <w:i/>
          <w:iCs/>
        </w:rPr>
        <w:t>i.e.</w:t>
      </w:r>
      <w:r w:rsidR="0069035B">
        <w:t xml:space="preserve"> slammed) customers without obtaining their proper consent under the PUCO’s rules</w:t>
      </w:r>
      <w:r>
        <w:t xml:space="preserve"> in both telemarketing and door to door sales</w:t>
      </w:r>
      <w:r w:rsidR="0069035B">
        <w:t>.</w:t>
      </w:r>
      <w:r>
        <w:rPr>
          <w:rStyle w:val="FootnoteReference"/>
        </w:rPr>
        <w:footnoteReference w:id="105"/>
      </w:r>
      <w:r w:rsidR="0069035B">
        <w:t xml:space="preserve"> </w:t>
      </w:r>
      <w:r>
        <w:t>Slamming is illegal,</w:t>
      </w:r>
      <w:r>
        <w:rPr>
          <w:rStyle w:val="FootnoteReference"/>
        </w:rPr>
        <w:footnoteReference w:id="106"/>
      </w:r>
      <w:r>
        <w:t xml:space="preserve"> and Verde should not be permitted to operate in Ohio if it engages in this illegal practice.</w:t>
      </w:r>
    </w:p>
    <w:p w:rsidR="008216DB" w:rsidP="00035395" w14:paraId="73D39BBE" w14:textId="77777777">
      <w:pPr>
        <w:spacing w:line="480" w:lineRule="auto"/>
        <w:ind w:firstLine="720"/>
      </w:pPr>
      <w:r>
        <w:t xml:space="preserve">Sixth, the PUCO should modify the Settlement to require Verde to conduct audits of its third-party telemarketing agents to </w:t>
      </w:r>
      <w:r w:rsidRPr="005B0866">
        <w:rPr>
          <w:b/>
          <w:bCs/>
        </w:rPr>
        <w:t>verify that they are not using spoofing or robocall technology when they solicit customers</w:t>
      </w:r>
      <w:r>
        <w:t>. The PUCO Staff found</w:t>
      </w:r>
      <w:r w:rsidR="00657896">
        <w:t xml:space="preserve"> that</w:t>
      </w:r>
      <w:r>
        <w:t xml:space="preserve"> Verde “consistently and continuously” violated the PUCO’s rules by using </w:t>
      </w:r>
      <w:r w:rsidR="00657896">
        <w:t xml:space="preserve">robo-call and spoofing </w:t>
      </w:r>
      <w:r>
        <w:t>technology to mislead customers into speaking with Verde sales agents.</w:t>
      </w:r>
      <w:r>
        <w:rPr>
          <w:rStyle w:val="FootnoteReference"/>
        </w:rPr>
        <w:footnoteReference w:id="107"/>
      </w:r>
      <w:r>
        <w:t xml:space="preserve"> </w:t>
      </w:r>
      <w:r w:rsidR="00E724DF">
        <w:t>If Verde is permitted to continue marketing to Ohio consumers, it should be required to conduct regular audits of its telemarketers to prevent these illegal practices.</w:t>
      </w:r>
      <w:r>
        <w:t xml:space="preserve"> </w:t>
      </w:r>
    </w:p>
    <w:p w:rsidR="001C0925" w:rsidP="00C955F6" w14:paraId="180AC408" w14:textId="77777777">
      <w:pPr>
        <w:spacing w:line="480" w:lineRule="auto"/>
      </w:pPr>
      <w:r>
        <w:tab/>
      </w:r>
      <w:r w:rsidR="0035650F">
        <w:t>Seventh</w:t>
      </w:r>
      <w:r>
        <w:t>, the PUCO should modify the Settlement</w:t>
      </w:r>
      <w:r w:rsidR="002F55DA">
        <w:t xml:space="preserve"> to </w:t>
      </w:r>
      <w:r w:rsidRPr="005B0866" w:rsidR="002F55DA">
        <w:rPr>
          <w:b/>
          <w:bCs/>
        </w:rPr>
        <w:t>ban</w:t>
      </w:r>
      <w:r w:rsidRPr="005B0866">
        <w:rPr>
          <w:b/>
          <w:bCs/>
        </w:rPr>
        <w:t xml:space="preserve"> Verde</w:t>
      </w:r>
      <w:r w:rsidRPr="005B0866" w:rsidR="002F55DA">
        <w:rPr>
          <w:b/>
          <w:bCs/>
        </w:rPr>
        <w:t xml:space="preserve"> from conducting </w:t>
      </w:r>
      <w:r w:rsidRPr="005B0866">
        <w:rPr>
          <w:b/>
          <w:bCs/>
        </w:rPr>
        <w:t>door</w:t>
      </w:r>
      <w:r w:rsidRPr="005B0866" w:rsidR="001B42E1">
        <w:rPr>
          <w:b/>
          <w:bCs/>
        </w:rPr>
        <w:t>-</w:t>
      </w:r>
      <w:r w:rsidRPr="005B0866">
        <w:rPr>
          <w:b/>
          <w:bCs/>
        </w:rPr>
        <w:t>to</w:t>
      </w:r>
      <w:r w:rsidRPr="005B0866" w:rsidR="001B42E1">
        <w:rPr>
          <w:b/>
          <w:bCs/>
        </w:rPr>
        <w:t>-</w:t>
      </w:r>
      <w:r w:rsidRPr="005B0866">
        <w:rPr>
          <w:b/>
          <w:bCs/>
        </w:rPr>
        <w:t>door sales activities</w:t>
      </w:r>
      <w:r w:rsidR="00E724DF">
        <w:t xml:space="preserve">. </w:t>
      </w:r>
      <w:r>
        <w:t>The Staff Report identified numerous complaints from customers who were unlawfully enrolled by Verde (slammed) through its door</w:t>
      </w:r>
      <w:r w:rsidR="001B42E1">
        <w:t>-</w:t>
      </w:r>
      <w:r>
        <w:t>to</w:t>
      </w:r>
      <w:r w:rsidR="001B42E1">
        <w:t>-</w:t>
      </w:r>
      <w:r>
        <w:t>door marketing.</w:t>
      </w:r>
      <w:r>
        <w:rPr>
          <w:rStyle w:val="FootnoteReference"/>
        </w:rPr>
        <w:footnoteReference w:id="108"/>
      </w:r>
      <w:r>
        <w:t xml:space="preserve"> Verde was unable to produce signed customer contracts from these door to door solicitations as required by the PUCO’s rules.</w:t>
      </w:r>
      <w:r>
        <w:rPr>
          <w:rStyle w:val="FootnoteReference"/>
        </w:rPr>
        <w:footnoteReference w:id="109"/>
      </w:r>
      <w:r>
        <w:t xml:space="preserve"> Verde claimed that “it is not required to obtain </w:t>
      </w:r>
      <w:r w:rsidR="00A7173C">
        <w:t>a signed contract” for door</w:t>
      </w:r>
      <w:r w:rsidR="001B42E1">
        <w:t>-</w:t>
      </w:r>
      <w:r w:rsidR="00A7173C">
        <w:t>to</w:t>
      </w:r>
      <w:r w:rsidR="001B42E1">
        <w:t>-</w:t>
      </w:r>
      <w:r w:rsidR="00A7173C">
        <w:t>door solicitations.</w:t>
      </w:r>
      <w:r>
        <w:rPr>
          <w:rStyle w:val="FootnoteReference"/>
        </w:rPr>
        <w:footnoteReference w:id="110"/>
      </w:r>
      <w:r>
        <w:t xml:space="preserve"> </w:t>
      </w:r>
      <w:r w:rsidR="00A7173C">
        <w:t>Verde is wrong, and the PUCO should not allow Verde to engage in door to door marketing if it cannot comply with the PUCO’s rules.</w:t>
      </w:r>
      <w:r>
        <w:t xml:space="preserve"> </w:t>
      </w:r>
    </w:p>
    <w:p w:rsidR="00035395" w:rsidP="0035650F" w14:paraId="700F320F" w14:textId="77777777">
      <w:pPr>
        <w:spacing w:line="480" w:lineRule="auto"/>
        <w:ind w:firstLine="720"/>
      </w:pPr>
      <w:r>
        <w:t>At a minimum, the PUCO should</w:t>
      </w:r>
      <w:r w:rsidR="002F55DA">
        <w:t xml:space="preserve"> impose restrictions on </w:t>
      </w:r>
      <w:r>
        <w:t xml:space="preserve">Verde’s </w:t>
      </w:r>
      <w:r w:rsidR="002F55DA">
        <w:t>door</w:t>
      </w:r>
      <w:r w:rsidR="001B42E1">
        <w:t>-</w:t>
      </w:r>
      <w:r w:rsidR="002F55DA">
        <w:t>to</w:t>
      </w:r>
      <w:r w:rsidR="001B42E1">
        <w:t>-</w:t>
      </w:r>
      <w:r w:rsidR="002F55DA">
        <w:t>door marketing.</w:t>
      </w:r>
      <w:r w:rsidR="00303614">
        <w:t xml:space="preserve"> Such restrictions </w:t>
      </w:r>
      <w:r w:rsidR="00A7173C">
        <w:t>can</w:t>
      </w:r>
      <w:r w:rsidR="00303614">
        <w:t xml:space="preserve"> include: notifying the utility of when and where Verde will be conducting its door</w:t>
      </w:r>
      <w:r w:rsidR="001B42E1">
        <w:t>-</w:t>
      </w:r>
      <w:r w:rsidR="00303614">
        <w:t>to</w:t>
      </w:r>
      <w:r w:rsidR="001B42E1">
        <w:t>-</w:t>
      </w:r>
      <w:r w:rsidR="00303614">
        <w:t>door sales</w:t>
      </w:r>
      <w:r w:rsidR="00A7173C">
        <w:t xml:space="preserve"> activities</w:t>
      </w:r>
      <w:r w:rsidR="00303614">
        <w:t xml:space="preserve">; requiring sales agents to wear clothing branded with the Verde logo; </w:t>
      </w:r>
      <w:r w:rsidR="00A7173C">
        <w:t xml:space="preserve">requiring experienced and properly trained sales agents to accompany less-experienced agents on sales calls; </w:t>
      </w:r>
      <w:r w:rsidR="00303614">
        <w:t xml:space="preserve">and prohibiting Verde from offering gift or cash cards to potential customers as an incentive to enroll. These measures would help protect customers from </w:t>
      </w:r>
      <w:r w:rsidR="001C0925">
        <w:t xml:space="preserve">Verde’s </w:t>
      </w:r>
      <w:r w:rsidR="00303614">
        <w:t>misleading marketing practices and would h</w:t>
      </w:r>
      <w:r w:rsidR="001C0925">
        <w:t>elp prevent Verde from exploiting</w:t>
      </w:r>
      <w:r w:rsidR="00A7173C">
        <w:t xml:space="preserve"> vulnerable populations such as</w:t>
      </w:r>
      <w:r w:rsidR="00303614">
        <w:t xml:space="preserve"> elderly, low income, or non-English speaking customers.</w:t>
      </w:r>
      <w:r w:rsidR="0035650F">
        <w:t xml:space="preserve"> </w:t>
      </w:r>
    </w:p>
    <w:p w:rsidR="00C955F6" w:rsidRPr="003F5315" w:rsidP="0035650F" w14:paraId="12004A69" w14:textId="77777777">
      <w:pPr>
        <w:spacing w:line="480" w:lineRule="auto"/>
        <w:ind w:firstLine="720"/>
      </w:pPr>
      <w:r>
        <w:t>Eighth, the PUCO should prohibit Verde from obtaining lists of customers’ personal contact information that is kept by the energy utilities. Verde should be prohibited from accessing those lists of customer information for solicitation purposes</w:t>
      </w:r>
      <w:r w:rsidRPr="00CB3589">
        <w:t>.</w:t>
      </w:r>
      <w:r>
        <w:t xml:space="preserve"> Verde has shown itself to be unworthy of obtaining Ohioans’ personal contact information for marketing energy.</w:t>
      </w:r>
    </w:p>
    <w:p w:rsidR="000D58D6" w:rsidP="004C3E00" w14:paraId="3033536B" w14:textId="77777777">
      <w:pPr>
        <w:autoSpaceDE w:val="0"/>
        <w:autoSpaceDN w:val="0"/>
        <w:adjustRightInd w:val="0"/>
        <w:spacing w:line="480" w:lineRule="auto"/>
        <w:ind w:firstLine="720"/>
      </w:pPr>
      <w:r>
        <w:t xml:space="preserve">Because the </w:t>
      </w:r>
      <w:r w:rsidRPr="003F5315">
        <w:t xml:space="preserve">PUCO </w:t>
      </w:r>
      <w:r>
        <w:t xml:space="preserve">failed to </w:t>
      </w:r>
      <w:r w:rsidRPr="003F5315">
        <w:t xml:space="preserve">reject the Settlement in its entirety, the PUCO </w:t>
      </w:r>
      <w:r>
        <w:t xml:space="preserve">erred in failing to </w:t>
      </w:r>
      <w:r w:rsidRPr="003F5315">
        <w:t xml:space="preserve">modify the Settlement </w:t>
      </w:r>
      <w:r w:rsidR="002074F9">
        <w:t xml:space="preserve">consistent with the recommendations above </w:t>
      </w:r>
      <w:r w:rsidRPr="003F5315">
        <w:t>to protect consumers and further the public interest.</w:t>
      </w:r>
      <w:r w:rsidR="00F433DE">
        <w:t xml:space="preserve"> </w:t>
      </w:r>
    </w:p>
    <w:p w:rsidR="00F433DE" w:rsidRPr="003F5315" w:rsidP="00F433DE" w14:paraId="3C140F55" w14:textId="77777777">
      <w:pPr>
        <w:autoSpaceDE w:val="0"/>
        <w:autoSpaceDN w:val="0"/>
        <w:adjustRightInd w:val="0"/>
        <w:ind w:firstLine="720"/>
      </w:pPr>
    </w:p>
    <w:p w:rsidR="00381DAE" w:rsidP="0086593F" w14:paraId="689CF316" w14:textId="77777777">
      <w:pPr>
        <w:pStyle w:val="Heading1"/>
      </w:pPr>
      <w:bookmarkStart w:id="36" w:name="_Toc18507548"/>
      <w:bookmarkStart w:id="37" w:name="_Toc25587214"/>
      <w:bookmarkStart w:id="38" w:name="_Toc36109938"/>
      <w:bookmarkStart w:id="39" w:name="_Toc36220267"/>
      <w:r>
        <w:t>I</w:t>
      </w:r>
      <w:r w:rsidRPr="003F5315" w:rsidR="00C05B97">
        <w:t>V.</w:t>
      </w:r>
      <w:r w:rsidRPr="003F5315" w:rsidR="00C05B97">
        <w:tab/>
      </w:r>
      <w:r w:rsidRPr="006345E8" w:rsidR="00C05B97">
        <w:rPr>
          <w:u w:val="single"/>
        </w:rPr>
        <w:t>CONCLUSION</w:t>
      </w:r>
      <w:bookmarkEnd w:id="36"/>
      <w:bookmarkEnd w:id="37"/>
      <w:bookmarkEnd w:id="38"/>
      <w:bookmarkEnd w:id="39"/>
    </w:p>
    <w:p w:rsidR="006345E8" w:rsidRPr="006345E8" w:rsidP="0086593F" w14:paraId="68269092" w14:textId="77777777"/>
    <w:p w:rsidR="006345E8" w:rsidP="0086593F" w14:paraId="2A851B5D" w14:textId="77777777">
      <w:pPr>
        <w:tabs>
          <w:tab w:val="left" w:pos="720"/>
          <w:tab w:val="left" w:pos="1440"/>
          <w:tab w:val="left" w:leader="dot" w:pos="8640"/>
        </w:tabs>
        <w:spacing w:line="480" w:lineRule="auto"/>
        <w:ind w:firstLine="720"/>
      </w:pPr>
      <w:r>
        <w:t xml:space="preserve">The Settlement adopted by the PUCO harms Ohio customers and the public interest and violates important regulatory principles. </w:t>
      </w:r>
      <w:r w:rsidRPr="003F5315" w:rsidR="00AA0C25">
        <w:t xml:space="preserve">The PUCO </w:t>
      </w:r>
      <w:r w:rsidR="00AA0C25">
        <w:t>erred in shift</w:t>
      </w:r>
      <w:r w:rsidR="001B7A37">
        <w:t xml:space="preserve">ing </w:t>
      </w:r>
      <w:r w:rsidR="00AA0C25">
        <w:t xml:space="preserve">the burden of proof to OCC in a complaint investigation proceeding instituted by the PUCO and its Staff </w:t>
      </w:r>
      <w:r w:rsidR="007B43AE">
        <w:t xml:space="preserve">where it also issued </w:t>
      </w:r>
      <w:r w:rsidR="00AA0C25">
        <w:t xml:space="preserve">a show cause order directed at </w:t>
      </w:r>
      <w:r w:rsidR="0032262C">
        <w:t>Verde</w:t>
      </w:r>
      <w:r w:rsidR="007B43AE">
        <w:t>.</w:t>
      </w:r>
      <w:r w:rsidR="00C36C81">
        <w:t xml:space="preserve"> </w:t>
      </w:r>
      <w:r w:rsidR="00AA0C25">
        <w:t xml:space="preserve">And, even if </w:t>
      </w:r>
      <w:r w:rsidR="007B43AE">
        <w:t xml:space="preserve">it was appropriate for </w:t>
      </w:r>
      <w:r w:rsidR="00AA0C25">
        <w:t xml:space="preserve">OCC </w:t>
      </w:r>
      <w:r w:rsidR="007B43AE">
        <w:t>to</w:t>
      </w:r>
      <w:r w:rsidR="00AA0C25">
        <w:t xml:space="preserve"> shoulder the burden of proof (which it </w:t>
      </w:r>
      <w:r w:rsidR="007B43AE">
        <w:t>was</w:t>
      </w:r>
      <w:r w:rsidR="00AA0C25">
        <w:t xml:space="preserve"> not), the PUCO erred by </w:t>
      </w:r>
      <w:r w:rsidR="007B43AE">
        <w:t xml:space="preserve">making numerous evidentiary and procedural rulings that </w:t>
      </w:r>
      <w:r w:rsidR="00AA0C25">
        <w:t>restrict</w:t>
      </w:r>
      <w:r w:rsidR="007B43AE">
        <w:t>ed</w:t>
      </w:r>
      <w:r w:rsidR="00AA0C25">
        <w:t xml:space="preserve"> OCC’s ability to prove the violations of the</w:t>
      </w:r>
      <w:r w:rsidR="009509D9">
        <w:t xml:space="preserve"> customer</w:t>
      </w:r>
      <w:r w:rsidR="00AA0C25">
        <w:t xml:space="preserve"> </w:t>
      </w:r>
      <w:r w:rsidR="00A037F4">
        <w:t>complaints.</w:t>
      </w:r>
    </w:p>
    <w:p w:rsidR="008B2696" w:rsidRPr="003F5315" w:rsidP="0086593F" w14:paraId="4F778EF5" w14:textId="77777777">
      <w:pPr>
        <w:tabs>
          <w:tab w:val="left" w:pos="720"/>
          <w:tab w:val="left" w:pos="1440"/>
          <w:tab w:val="left" w:leader="dot" w:pos="8640"/>
        </w:tabs>
        <w:spacing w:line="480" w:lineRule="auto"/>
        <w:ind w:firstLine="720"/>
      </w:pPr>
      <w:r>
        <w:t>In sum, t</w:t>
      </w:r>
      <w:r w:rsidRPr="003F5315">
        <w:t xml:space="preserve">he </w:t>
      </w:r>
      <w:r w:rsidRPr="003F5315" w:rsidR="00426A6D">
        <w:t>Settlement</w:t>
      </w:r>
      <w:r w:rsidRPr="003F5315">
        <w:t xml:space="preserve"> should </w:t>
      </w:r>
      <w:r>
        <w:t xml:space="preserve">have </w:t>
      </w:r>
      <w:r w:rsidRPr="003F5315">
        <w:t>protect</w:t>
      </w:r>
      <w:r>
        <w:t>ed</w:t>
      </w:r>
      <w:r w:rsidRPr="003F5315">
        <w:t xml:space="preserve"> consumers. It d</w:t>
      </w:r>
      <w:r>
        <w:t>id not</w:t>
      </w:r>
      <w:r w:rsidR="007B43AE">
        <w:t>.</w:t>
      </w:r>
      <w:r w:rsidR="00C36C81">
        <w:t xml:space="preserve"> </w:t>
      </w:r>
      <w:r w:rsidR="007B43AE">
        <w:t>T</w:t>
      </w:r>
      <w:r w:rsidR="00DE13AB">
        <w:t>he PUCO’s Order fails Ohio’s consumers</w:t>
      </w:r>
      <w:r>
        <w:t xml:space="preserve">. </w:t>
      </w:r>
      <w:r w:rsidR="007B43AE">
        <w:t>T</w:t>
      </w:r>
      <w:r>
        <w:t xml:space="preserve">he PUCO’s Order approving the Settlement without modification </w:t>
      </w:r>
      <w:r w:rsidR="007B43AE">
        <w:t xml:space="preserve">to protect Ohioans from Verde’s misdeeds </w:t>
      </w:r>
      <w:r>
        <w:t xml:space="preserve">is unlawful and unreasonable. The PUCO should grant rehearing to </w:t>
      </w:r>
      <w:r w:rsidR="007B43AE">
        <w:t xml:space="preserve">fully address </w:t>
      </w:r>
      <w:r w:rsidR="0032262C">
        <w:t>Verde</w:t>
      </w:r>
      <w:r>
        <w:t xml:space="preserve">’s unconscionable conduct </w:t>
      </w:r>
      <w:r w:rsidR="007B43AE">
        <w:t xml:space="preserve">and provide </w:t>
      </w:r>
      <w:r>
        <w:t>consumer protections for customers</w:t>
      </w:r>
      <w:r w:rsidR="007B43AE">
        <w:t xml:space="preserve"> that is missing in the </w:t>
      </w:r>
      <w:r w:rsidR="00A037F4">
        <w:t>Settlement.</w:t>
      </w:r>
      <w:r w:rsidR="00F433DE">
        <w:t xml:space="preserve"> </w:t>
      </w:r>
    </w:p>
    <w:p w:rsidR="00F433DE" w:rsidP="00247B9C" w14:paraId="38B4347B" w14:textId="77777777">
      <w:pPr>
        <w:pStyle w:val="Footer"/>
        <w:tabs>
          <w:tab w:val="left" w:pos="3960"/>
          <w:tab w:val="left" w:pos="4320"/>
          <w:tab w:val="clear" w:pos="8640"/>
        </w:tabs>
        <w:ind w:left="3600"/>
      </w:pPr>
      <w:r>
        <w:tab/>
      </w:r>
    </w:p>
    <w:p w:rsidR="00F433DE" w14:paraId="744E269A" w14:textId="77777777">
      <w:r>
        <w:br w:type="page"/>
      </w:r>
    </w:p>
    <w:p w:rsidR="007200E6" w:rsidRPr="003F5315" w:rsidP="007200E6" w14:paraId="752BCC91" w14:textId="77777777">
      <w:pPr>
        <w:pStyle w:val="Footer"/>
        <w:tabs>
          <w:tab w:val="left" w:pos="4320"/>
          <w:tab w:val="clear" w:pos="8640"/>
        </w:tabs>
        <w:ind w:left="3960"/>
      </w:pPr>
      <w:r w:rsidRPr="003F5315">
        <w:t>Respectfully submitted,</w:t>
      </w:r>
    </w:p>
    <w:p w:rsidR="007200E6" w:rsidP="007200E6" w14:paraId="2C53C2CD" w14:textId="77777777">
      <w:pPr>
        <w:tabs>
          <w:tab w:val="left" w:pos="4320"/>
        </w:tabs>
        <w:ind w:left="3960"/>
        <w:rPr>
          <w:u w:val="single"/>
        </w:rPr>
      </w:pPr>
    </w:p>
    <w:p w:rsidR="007200E6" w:rsidRPr="003F5315" w:rsidP="007200E6" w14:paraId="2464EA25" w14:textId="77777777">
      <w:pPr>
        <w:pStyle w:val="Footer"/>
        <w:tabs>
          <w:tab w:val="left" w:pos="4320"/>
          <w:tab w:val="clear" w:pos="8640"/>
        </w:tabs>
        <w:ind w:left="3960"/>
      </w:pPr>
      <w:r w:rsidRPr="003F5315">
        <w:t>Bruce Weston</w:t>
      </w:r>
      <w:r>
        <w:t xml:space="preserve"> </w:t>
      </w:r>
      <w:r w:rsidRPr="002339D1">
        <w:rPr>
          <w:caps/>
        </w:rPr>
        <w:t>(0016973)</w:t>
      </w:r>
    </w:p>
    <w:p w:rsidR="007200E6" w:rsidP="007200E6" w14:paraId="4E7765B5" w14:textId="77777777">
      <w:pPr>
        <w:tabs>
          <w:tab w:val="left" w:pos="4320"/>
        </w:tabs>
        <w:ind w:left="3960"/>
      </w:pPr>
      <w:r>
        <w:t xml:space="preserve">Ohio </w:t>
      </w:r>
      <w:r w:rsidRPr="003F5315">
        <w:t>Consumers’ Counsel</w:t>
      </w:r>
    </w:p>
    <w:p w:rsidR="007200E6" w:rsidRPr="003F5315" w:rsidP="007200E6" w14:paraId="5585A98B" w14:textId="77777777"/>
    <w:p w:rsidR="00F433DE" w:rsidRPr="00341759" w:rsidP="00F433DE" w14:paraId="03C61CB5" w14:textId="77777777">
      <w:pPr>
        <w:tabs>
          <w:tab w:val="left" w:pos="4320"/>
        </w:tabs>
        <w:ind w:left="3960"/>
        <w:rPr>
          <w:u w:val="single"/>
        </w:rPr>
      </w:pPr>
      <w:r w:rsidRPr="00B844D1">
        <w:rPr>
          <w:i/>
          <w:iCs/>
          <w:u w:val="single"/>
        </w:rPr>
        <w:t>/s/</w:t>
      </w:r>
      <w:r>
        <w:rPr>
          <w:u w:val="single"/>
        </w:rPr>
        <w:t xml:space="preserve"> </w:t>
      </w:r>
      <w:r w:rsidRPr="00B844D1">
        <w:rPr>
          <w:i/>
          <w:iCs/>
          <w:u w:val="single"/>
        </w:rPr>
        <w:t>Angela D. O’Brien</w:t>
      </w:r>
      <w:r w:rsidRPr="00B844D1">
        <w:rPr>
          <w:i/>
          <w:iCs/>
          <w:u w:val="single"/>
        </w:rPr>
        <w:tab/>
      </w:r>
    </w:p>
    <w:p w:rsidR="007200E6" w:rsidP="007200E6" w14:paraId="6247EBBF" w14:textId="77777777">
      <w:pPr>
        <w:tabs>
          <w:tab w:val="left" w:pos="4320"/>
        </w:tabs>
        <w:ind w:left="3960"/>
      </w:pPr>
      <w:r>
        <w:t>Angela</w:t>
      </w:r>
      <w:r w:rsidRPr="003F5315">
        <w:t xml:space="preserve"> </w:t>
      </w:r>
      <w:r w:rsidR="00CE22B0">
        <w:t xml:space="preserve">D. </w:t>
      </w:r>
      <w:r w:rsidRPr="003F5315">
        <w:t>O’Brien (00</w:t>
      </w:r>
      <w:r>
        <w:t>97579</w:t>
      </w:r>
      <w:r w:rsidRPr="003F5315">
        <w:t>)</w:t>
      </w:r>
    </w:p>
    <w:p w:rsidR="007200E6" w:rsidP="007200E6" w14:paraId="7C2BEDBA" w14:textId="77777777">
      <w:pPr>
        <w:tabs>
          <w:tab w:val="left" w:pos="4320"/>
        </w:tabs>
        <w:ind w:left="3960"/>
      </w:pPr>
      <w:r>
        <w:t>Counsel of Record</w:t>
      </w:r>
    </w:p>
    <w:p w:rsidR="007200E6" w:rsidRPr="003F5315" w:rsidP="007200E6" w14:paraId="3C4BF5A0" w14:textId="77777777">
      <w:pPr>
        <w:tabs>
          <w:tab w:val="left" w:pos="4320"/>
        </w:tabs>
        <w:ind w:left="3960"/>
      </w:pPr>
      <w:r>
        <w:t>Christopher Healey (0086027)</w:t>
      </w:r>
    </w:p>
    <w:p w:rsidR="007200E6" w:rsidP="007200E6" w14:paraId="491ADB1C" w14:textId="77777777">
      <w:pPr>
        <w:tabs>
          <w:tab w:val="left" w:pos="4320"/>
        </w:tabs>
        <w:ind w:left="3960"/>
        <w:rPr>
          <w:rFonts w:eastAsia="Calibri"/>
        </w:rPr>
      </w:pPr>
      <w:r w:rsidRPr="003F5315">
        <w:rPr>
          <w:rFonts w:eastAsia="Calibri"/>
        </w:rPr>
        <w:t>Assistant Consumers’ Counsel</w:t>
      </w:r>
    </w:p>
    <w:p w:rsidR="007200E6" w:rsidRPr="003F5315" w:rsidP="007200E6" w14:paraId="26548ECD" w14:textId="77777777">
      <w:pPr>
        <w:tabs>
          <w:tab w:val="left" w:pos="4320"/>
        </w:tabs>
        <w:ind w:left="3960"/>
        <w:rPr>
          <w:rFonts w:eastAsia="Calibri"/>
        </w:rPr>
      </w:pPr>
    </w:p>
    <w:p w:rsidR="007200E6" w:rsidRPr="003F5315" w:rsidP="007200E6" w14:paraId="14F708D8" w14:textId="77777777">
      <w:pPr>
        <w:ind w:left="3960"/>
        <w:rPr>
          <w:b/>
        </w:rPr>
      </w:pPr>
      <w:r w:rsidRPr="003F5315">
        <w:rPr>
          <w:b/>
        </w:rPr>
        <w:t>Office of the Ohio Consumers’ Counsel</w:t>
      </w:r>
    </w:p>
    <w:p w:rsidR="007200E6" w:rsidRPr="003F5315" w:rsidP="007200E6" w14:paraId="641B0D0D" w14:textId="77777777">
      <w:pPr>
        <w:ind w:left="3960"/>
      </w:pPr>
      <w:r w:rsidRPr="003F5315">
        <w:t>65 East State Street, 7</w:t>
      </w:r>
      <w:r w:rsidRPr="00CE22B0">
        <w:t>th</w:t>
      </w:r>
      <w:r w:rsidRPr="003F5315">
        <w:t xml:space="preserve"> Floor</w:t>
      </w:r>
    </w:p>
    <w:p w:rsidR="007200E6" w:rsidRPr="003F5315" w:rsidP="007200E6" w14:paraId="7CD0899B" w14:textId="77777777">
      <w:pPr>
        <w:ind w:left="3960"/>
      </w:pPr>
      <w:r w:rsidRPr="003F5315">
        <w:t>Columbus, Ohio 43215-3485</w:t>
      </w:r>
    </w:p>
    <w:p w:rsidR="007200E6" w:rsidP="007200E6" w14:paraId="673BF000" w14:textId="77777777">
      <w:pPr>
        <w:autoSpaceDE w:val="0"/>
        <w:autoSpaceDN w:val="0"/>
        <w:adjustRightInd w:val="0"/>
        <w:ind w:left="3960"/>
      </w:pPr>
      <w:r w:rsidRPr="003F5315">
        <w:t>Telephone</w:t>
      </w:r>
      <w:r>
        <w:t xml:space="preserve"> [O’Brien]</w:t>
      </w:r>
      <w:r w:rsidRPr="003F5315">
        <w:t xml:space="preserve">: </w:t>
      </w:r>
      <w:r w:rsidRPr="003D4A9D">
        <w:t>(614) 466-95</w:t>
      </w:r>
      <w:r>
        <w:t>31</w:t>
      </w:r>
    </w:p>
    <w:p w:rsidR="007200E6" w:rsidRPr="003F5315" w:rsidP="007200E6" w14:paraId="01731109" w14:textId="77777777">
      <w:pPr>
        <w:autoSpaceDE w:val="0"/>
        <w:autoSpaceDN w:val="0"/>
        <w:adjustRightInd w:val="0"/>
        <w:ind w:left="3960"/>
      </w:pPr>
      <w:r>
        <w:t>Telephone [Healey]: (614) 466-9571</w:t>
      </w:r>
    </w:p>
    <w:p w:rsidR="007200E6" w:rsidP="007200E6" w14:paraId="3661425D" w14:textId="77777777">
      <w:pPr>
        <w:ind w:left="3960"/>
      </w:pPr>
      <w:hyperlink r:id="rId6" w:history="1">
        <w:r w:rsidRPr="00ED3048" w:rsidR="00E418DF">
          <w:rPr>
            <w:rStyle w:val="Hyperlink"/>
          </w:rPr>
          <w:t>angela.obrien@occ.ohio.gov</w:t>
        </w:r>
      </w:hyperlink>
    </w:p>
    <w:p w:rsidR="007200E6" w:rsidRPr="003F5315" w:rsidP="007200E6" w14:paraId="4C3BB730" w14:textId="77777777">
      <w:pPr>
        <w:ind w:left="3960"/>
      </w:pPr>
      <w:hyperlink r:id="rId7" w:history="1">
        <w:r w:rsidRPr="00E86FD6" w:rsidR="00CE22B0">
          <w:rPr>
            <w:rStyle w:val="Hyperlink"/>
          </w:rPr>
          <w:t>christopher.healey@occ.ohio.gov</w:t>
        </w:r>
      </w:hyperlink>
    </w:p>
    <w:p w:rsidR="007200E6" w:rsidP="007200E6" w14:paraId="29EF83BB" w14:textId="77777777">
      <w:pPr>
        <w:ind w:left="3240" w:firstLine="720"/>
        <w:rPr>
          <w:rFonts w:eastAsia="Calibri"/>
        </w:rPr>
      </w:pPr>
      <w:r w:rsidRPr="003F5315">
        <w:rPr>
          <w:rFonts w:eastAsia="Calibri"/>
        </w:rPr>
        <w:t>(willing to accept service by e-mail)</w:t>
      </w:r>
    </w:p>
    <w:p w:rsidR="007200E6" w:rsidP="007200E6" w14:paraId="649D67DC" w14:textId="77777777">
      <w:pPr>
        <w:ind w:left="3240" w:firstLine="720"/>
      </w:pPr>
    </w:p>
    <w:p w:rsidR="007200E6" w:rsidRPr="003F5315" w:rsidP="007200E6" w14:paraId="05A65557" w14:textId="77777777">
      <w:pPr>
        <w:ind w:left="3240" w:firstLine="720"/>
        <w:rPr>
          <w:rFonts w:eastAsia="Calibri"/>
        </w:rPr>
      </w:pPr>
      <w:r w:rsidRPr="003F5315">
        <w:t xml:space="preserve">Kimberly W. Bojko </w:t>
      </w:r>
      <w:r w:rsidRPr="003F5315">
        <w:rPr>
          <w:rFonts w:eastAsia="Calibri"/>
        </w:rPr>
        <w:t xml:space="preserve">(0069402) </w:t>
      </w:r>
    </w:p>
    <w:p w:rsidR="007200E6" w:rsidRPr="003F5315" w:rsidP="007200E6" w14:paraId="5924AC17" w14:textId="77777777">
      <w:pPr>
        <w:ind w:left="3960"/>
      </w:pPr>
      <w:r w:rsidRPr="003F5315">
        <w:t>Carpenter Lipps &amp; Leland LLP</w:t>
      </w:r>
    </w:p>
    <w:p w:rsidR="007200E6" w:rsidRPr="003F5315" w:rsidP="007200E6" w14:paraId="6EEAE51D" w14:textId="77777777">
      <w:pPr>
        <w:ind w:left="3960"/>
      </w:pPr>
      <w:r w:rsidRPr="003F5315">
        <w:t>280 Plaza, Suite 1300</w:t>
      </w:r>
    </w:p>
    <w:p w:rsidR="007200E6" w:rsidRPr="003F5315" w:rsidP="007200E6" w14:paraId="446485EB" w14:textId="77777777">
      <w:pPr>
        <w:ind w:left="3960"/>
      </w:pPr>
      <w:r w:rsidRPr="003F5315">
        <w:t>280 N. High Street</w:t>
      </w:r>
    </w:p>
    <w:p w:rsidR="007200E6" w:rsidRPr="003F5315" w:rsidP="007200E6" w14:paraId="5F724FED" w14:textId="77777777">
      <w:pPr>
        <w:ind w:left="3960"/>
      </w:pPr>
      <w:r w:rsidRPr="003F5315">
        <w:t>Columbus, Ohio 43215</w:t>
      </w:r>
    </w:p>
    <w:p w:rsidR="007200E6" w:rsidRPr="003F5315" w:rsidP="007200E6" w14:paraId="3F7122D8" w14:textId="77777777">
      <w:pPr>
        <w:ind w:left="3960"/>
      </w:pPr>
      <w:r w:rsidRPr="003F5315">
        <w:t>Telephone: (614) 365-4124</w:t>
      </w:r>
    </w:p>
    <w:p w:rsidR="007200E6" w:rsidRPr="003F5315" w:rsidP="007200E6" w14:paraId="725299F3" w14:textId="77777777">
      <w:pPr>
        <w:ind w:left="3960"/>
      </w:pPr>
      <w:r w:rsidRPr="003F5315">
        <w:rPr>
          <w:color w:val="0000FF"/>
          <w:u w:val="single"/>
        </w:rPr>
        <w:t>bojko@carpenterlipps.com</w:t>
      </w:r>
    </w:p>
    <w:p w:rsidR="007200E6" w:rsidRPr="003F5315" w:rsidP="007200E6" w14:paraId="65E8E52E" w14:textId="77777777">
      <w:pPr>
        <w:tabs>
          <w:tab w:val="center" w:pos="4680"/>
          <w:tab w:val="right" w:pos="9360"/>
        </w:tabs>
        <w:ind w:left="3960"/>
        <w:rPr>
          <w:rFonts w:eastAsia="Calibri"/>
        </w:rPr>
      </w:pPr>
      <w:r w:rsidRPr="003F5315">
        <w:rPr>
          <w:rFonts w:eastAsia="Calibri"/>
        </w:rPr>
        <w:t>(willing to accept service by e-mail)</w:t>
      </w:r>
    </w:p>
    <w:p w:rsidR="007200E6" w:rsidRPr="003F5315" w:rsidP="007200E6" w14:paraId="32ACF0C0" w14:textId="77777777">
      <w:pPr>
        <w:spacing w:before="120"/>
        <w:ind w:left="3960"/>
        <w:rPr>
          <w:i/>
          <w:iCs/>
        </w:rPr>
      </w:pPr>
      <w:r w:rsidRPr="003F5315">
        <w:rPr>
          <w:i/>
          <w:iCs/>
        </w:rPr>
        <w:t>Counsel for the</w:t>
      </w:r>
    </w:p>
    <w:p w:rsidR="007200E6" w:rsidRPr="003F5315" w:rsidP="007200E6" w14:paraId="2F9CC3D4" w14:textId="77777777">
      <w:pPr>
        <w:pStyle w:val="Footer"/>
        <w:tabs>
          <w:tab w:val="left" w:pos="3960"/>
          <w:tab w:val="left" w:pos="4320"/>
          <w:tab w:val="clear" w:pos="8640"/>
        </w:tabs>
        <w:ind w:left="3600"/>
      </w:pPr>
      <w:r>
        <w:rPr>
          <w:i/>
          <w:iCs/>
        </w:rPr>
        <w:tab/>
      </w:r>
      <w:r w:rsidRPr="003F5315">
        <w:rPr>
          <w:i/>
          <w:iCs/>
        </w:rPr>
        <w:t>Office of the Ohio Consumers’ Counsel</w:t>
      </w:r>
    </w:p>
    <w:p w:rsidR="00BB3625" w:rsidRPr="003F5315" w:rsidP="00247B9C" w14:paraId="2C1159D5" w14:textId="77777777">
      <w:pPr>
        <w:spacing w:line="480" w:lineRule="auto"/>
        <w:ind w:left="3240" w:firstLine="720"/>
      </w:pPr>
    </w:p>
    <w:p w:rsidR="00381DAE" w:rsidRPr="003F5315" w:rsidP="00381DAE" w14:paraId="30B01499" w14:textId="77777777">
      <w:pPr>
        <w:pStyle w:val="BodyTextIndent3"/>
        <w:ind w:left="720" w:hanging="720"/>
        <w:sectPr w:rsidSect="00DE52A7">
          <w:footerReference w:type="first" r:id="rId18"/>
          <w:pgSz w:w="12240" w:h="15840" w:code="1"/>
          <w:pgMar w:top="1620" w:right="1800" w:bottom="1440" w:left="1800" w:header="450" w:footer="720" w:gutter="0"/>
          <w:pgNumType w:start="1"/>
          <w:cols w:space="720"/>
          <w:titlePg/>
          <w:docGrid w:linePitch="326"/>
        </w:sectPr>
      </w:pPr>
    </w:p>
    <w:p w:rsidR="00381DAE" w:rsidRPr="003F5315" w:rsidP="00381DAE" w14:paraId="6E1311B6" w14:textId="77777777">
      <w:pPr>
        <w:pStyle w:val="BodyText"/>
        <w:jc w:val="center"/>
        <w:rPr>
          <w:b/>
          <w:u w:val="single"/>
        </w:rPr>
      </w:pPr>
      <w:r w:rsidRPr="003F5315">
        <w:rPr>
          <w:b/>
          <w:u w:val="single"/>
        </w:rPr>
        <w:t>CERTIFICATE OF SERVICE</w:t>
      </w:r>
    </w:p>
    <w:p w:rsidR="00381DAE" w:rsidRPr="003F5315" w:rsidP="00381DAE" w14:paraId="6C9B750A" w14:textId="77777777">
      <w:pPr>
        <w:spacing w:before="240" w:line="480" w:lineRule="auto"/>
        <w:ind w:firstLine="720"/>
      </w:pPr>
      <w:r w:rsidRPr="003F5315">
        <w:t xml:space="preserve">I hereby certify that a true copy of the foregoing </w:t>
      </w:r>
      <w:r w:rsidRPr="003F5315" w:rsidR="003F5315">
        <w:t>Application for Rehearing</w:t>
      </w:r>
      <w:r w:rsidRPr="003F5315" w:rsidR="002B022B">
        <w:t xml:space="preserve"> </w:t>
      </w:r>
      <w:r w:rsidRPr="003F5315">
        <w:t xml:space="preserve">was served via electronic transmission to the persons listed below on this </w:t>
      </w:r>
      <w:r w:rsidRPr="003F5315" w:rsidR="003F5315">
        <w:t>2</w:t>
      </w:r>
      <w:r w:rsidR="001827A0">
        <w:t>7</w:t>
      </w:r>
      <w:r w:rsidRPr="003F5315" w:rsidR="003F5315">
        <w:rPr>
          <w:vertAlign w:val="superscript"/>
        </w:rPr>
        <w:t>th</w:t>
      </w:r>
      <w:r w:rsidRPr="003F5315" w:rsidR="003F5315">
        <w:t xml:space="preserve"> day of </w:t>
      </w:r>
      <w:r w:rsidR="001827A0">
        <w:t>March</w:t>
      </w:r>
      <w:r w:rsidRPr="003F5315" w:rsidR="003F5315">
        <w:t xml:space="preserve"> 2020</w:t>
      </w:r>
      <w:r w:rsidRPr="003F5315">
        <w:t>.</w:t>
      </w:r>
    </w:p>
    <w:p w:rsidR="00381DAE" w:rsidRPr="003F5315" w:rsidP="00381DAE" w14:paraId="22E5FFA3" w14:textId="77777777">
      <w:pPr>
        <w:tabs>
          <w:tab w:val="left" w:pos="4320"/>
        </w:tabs>
        <w:spacing w:before="240"/>
        <w:ind w:left="4320"/>
      </w:pPr>
      <w:r w:rsidRPr="003F5315">
        <w:rPr>
          <w:i/>
          <w:u w:val="single"/>
        </w:rPr>
        <w:t xml:space="preserve">/s/ </w:t>
      </w:r>
      <w:r w:rsidR="001827A0">
        <w:rPr>
          <w:i/>
          <w:u w:val="single"/>
        </w:rPr>
        <w:t>Angela D. O’Brien</w:t>
      </w:r>
      <w:r w:rsidRPr="003F5315">
        <w:rPr>
          <w:i/>
          <w:u w:val="single"/>
        </w:rPr>
        <w:tab/>
      </w:r>
      <w:r w:rsidRPr="003F5315">
        <w:rPr>
          <w:i/>
          <w:u w:val="single"/>
        </w:rPr>
        <w:tab/>
      </w:r>
    </w:p>
    <w:p w:rsidR="00381DAE" w:rsidRPr="003F5315" w:rsidP="00381DAE" w14:paraId="6C8CE58E" w14:textId="77777777">
      <w:pPr>
        <w:tabs>
          <w:tab w:val="left" w:pos="4320"/>
        </w:tabs>
      </w:pPr>
      <w:r w:rsidRPr="003F5315">
        <w:tab/>
      </w:r>
      <w:r w:rsidR="001827A0">
        <w:t>Angela D. O’Brien</w:t>
      </w:r>
    </w:p>
    <w:p w:rsidR="00381DAE" w:rsidRPr="003F5315" w:rsidP="00381DAE" w14:paraId="744F7484" w14:textId="77777777">
      <w:pPr>
        <w:pStyle w:val="CommentSubject"/>
      </w:pPr>
    </w:p>
    <w:p w:rsidR="004E7269" w:rsidRPr="002E4D92" w:rsidP="003F5315" w14:paraId="2735D694" w14:textId="77777777">
      <w:pPr>
        <w:spacing w:line="480" w:lineRule="auto"/>
      </w:pPr>
      <w:r w:rsidRPr="003F5315">
        <w:t>The PUCO’s e-filing system will electronically serve notice of the filing of this document on the following parties:</w:t>
      </w:r>
    </w:p>
    <w:p w:rsidR="002E4D92" w:rsidRPr="002E4D92" w:rsidP="002E4D92" w14:paraId="5775B186" w14:textId="77777777">
      <w:pPr>
        <w:pStyle w:val="CommentText"/>
        <w:jc w:val="center"/>
        <w:rPr>
          <w:b/>
          <w:sz w:val="24"/>
          <w:szCs w:val="24"/>
          <w:u w:val="single"/>
        </w:rPr>
      </w:pPr>
      <w:r w:rsidRPr="002E4D92">
        <w:rPr>
          <w:b/>
          <w:sz w:val="24"/>
          <w:szCs w:val="24"/>
          <w:u w:val="single"/>
        </w:rPr>
        <w:t>SERVICE LIST</w:t>
      </w:r>
    </w:p>
    <w:p w:rsidR="002E4D92" w:rsidP="002E4D92" w14:paraId="59283FA3" w14:textId="77777777">
      <w:pPr>
        <w:pStyle w:val="CommentText"/>
        <w:jc w:val="center"/>
        <w:rPr>
          <w:b/>
          <w:szCs w:val="24"/>
          <w:u w:val="single"/>
        </w:rPr>
      </w:pPr>
    </w:p>
    <w:p w:rsidR="002E4D92" w:rsidP="002E4D92" w14:paraId="781E47DF" w14:textId="77777777">
      <w:pPr>
        <w:pStyle w:val="CommentText"/>
      </w:pPr>
    </w:p>
    <w:tbl>
      <w:tblPr>
        <w:tblW w:w="0" w:type="auto"/>
        <w:tblLook w:val="01E0"/>
      </w:tblPr>
      <w:tblGrid>
        <w:gridCol w:w="4426"/>
        <w:gridCol w:w="4214"/>
      </w:tblGrid>
      <w:tr w14:paraId="5062ADF8" w14:textId="77777777" w:rsidTr="00AB62FE">
        <w:tblPrEx>
          <w:tblW w:w="0" w:type="auto"/>
          <w:tblLook w:val="01E0"/>
        </w:tblPrEx>
        <w:tc>
          <w:tcPr>
            <w:tcW w:w="4428" w:type="dxa"/>
            <w:shd w:val="clear" w:color="auto" w:fill="auto"/>
          </w:tcPr>
          <w:p w:rsidR="002E4D92" w:rsidRPr="005B6BF8" w:rsidP="00AB62FE" w14:paraId="3CB83949" w14:textId="77777777">
            <w:pPr>
              <w:rPr>
                <w:color w:val="0000FF"/>
              </w:rPr>
            </w:pPr>
            <w:hyperlink r:id="rId19" w:history="1">
              <w:r w:rsidRPr="005B6BF8" w:rsidR="00E418DF">
                <w:rPr>
                  <w:rStyle w:val="Hyperlink"/>
                </w:rPr>
                <w:t>Thomas.lindgren@ohioattorneygeneral.gov</w:t>
              </w:r>
            </w:hyperlink>
          </w:p>
          <w:p w:rsidR="002E4D92" w:rsidRPr="002E4D92" w:rsidP="00AB62FE" w14:paraId="027A885B" w14:textId="77777777">
            <w:pPr>
              <w:pStyle w:val="CommentText"/>
              <w:rPr>
                <w:rStyle w:val="Hyperlink"/>
                <w:sz w:val="24"/>
                <w:szCs w:val="24"/>
              </w:rPr>
            </w:pPr>
            <w:hyperlink r:id="rId20" w:history="1">
              <w:r w:rsidRPr="002E4D92" w:rsidR="00E418DF">
                <w:rPr>
                  <w:rStyle w:val="Hyperlink"/>
                  <w:sz w:val="24"/>
                  <w:szCs w:val="24"/>
                </w:rPr>
                <w:t>Andrew.shaffer@ohioattorneygeneral.gov</w:t>
              </w:r>
            </w:hyperlink>
          </w:p>
          <w:p w:rsidR="002E4D92" w:rsidRPr="005B6BF8" w:rsidP="00AB62FE" w14:paraId="31CDAE93" w14:textId="77777777">
            <w:pPr>
              <w:autoSpaceDE w:val="0"/>
              <w:autoSpaceDN w:val="0"/>
              <w:adjustRightInd w:val="0"/>
              <w:rPr>
                <w:rStyle w:val="Hyperlink"/>
              </w:rPr>
            </w:pPr>
            <w:hyperlink r:id="rId21" w:history="1">
              <w:r w:rsidRPr="005B6BF8" w:rsidR="00E418DF">
                <w:rPr>
                  <w:rStyle w:val="Hyperlink"/>
                </w:rPr>
                <w:t>dproano@bakerlaw.com</w:t>
              </w:r>
            </w:hyperlink>
          </w:p>
          <w:p w:rsidR="002E4D92" w:rsidRPr="005B6BF8" w:rsidP="00AB62FE" w14:paraId="3AAF1AFE" w14:textId="77777777">
            <w:pPr>
              <w:autoSpaceDE w:val="0"/>
              <w:autoSpaceDN w:val="0"/>
              <w:adjustRightInd w:val="0"/>
              <w:rPr>
                <w:color w:val="0000FF"/>
              </w:rPr>
            </w:pPr>
            <w:hyperlink r:id="rId22" w:history="1">
              <w:r w:rsidRPr="005B6BF8" w:rsidR="00E418DF">
                <w:rPr>
                  <w:rStyle w:val="Hyperlink"/>
                </w:rPr>
                <w:t>kkash@bakerlaw.com</w:t>
              </w:r>
            </w:hyperlink>
          </w:p>
          <w:p w:rsidR="002E4D92" w:rsidRPr="005B6BF8" w:rsidP="00AB62FE" w14:paraId="6AAB47BB" w14:textId="77777777">
            <w:pPr>
              <w:autoSpaceDE w:val="0"/>
              <w:autoSpaceDN w:val="0"/>
              <w:adjustRightInd w:val="0"/>
              <w:rPr>
                <w:color w:val="0000FF"/>
              </w:rPr>
            </w:pPr>
            <w:hyperlink r:id="rId23" w:history="1">
              <w:r w:rsidRPr="005B6BF8" w:rsidR="00E418DF">
                <w:rPr>
                  <w:rStyle w:val="Hyperlink"/>
                </w:rPr>
                <w:t>dlemon@bakerlaw.com</w:t>
              </w:r>
            </w:hyperlink>
          </w:p>
          <w:p w:rsidR="002E4D92" w:rsidRPr="005B6BF8" w:rsidP="00AB62FE" w14:paraId="47EBB962" w14:textId="77777777">
            <w:pPr>
              <w:autoSpaceDE w:val="0"/>
              <w:autoSpaceDN w:val="0"/>
              <w:adjustRightInd w:val="0"/>
              <w:rPr>
                <w:color w:val="0000FF"/>
              </w:rPr>
            </w:pPr>
            <w:hyperlink r:id="rId24" w:history="1">
              <w:r w:rsidRPr="005B6BF8" w:rsidR="00E418DF">
                <w:rPr>
                  <w:rStyle w:val="Hyperlink"/>
                </w:rPr>
                <w:t>tathompson@bakerlaw.com</w:t>
              </w:r>
            </w:hyperlink>
          </w:p>
          <w:p w:rsidR="002E4D92" w:rsidRPr="005B6BF8" w:rsidP="00AB62FE" w14:paraId="3933C662" w14:textId="77777777">
            <w:pPr>
              <w:autoSpaceDE w:val="0"/>
              <w:autoSpaceDN w:val="0"/>
              <w:adjustRightInd w:val="0"/>
              <w:rPr>
                <w:color w:val="0000FF"/>
              </w:rPr>
            </w:pPr>
            <w:hyperlink r:id="rId25" w:history="1">
              <w:r w:rsidRPr="005B6BF8" w:rsidR="00E418DF">
                <w:rPr>
                  <w:rStyle w:val="Hyperlink"/>
                </w:rPr>
                <w:t>Joe.Oliker@igs.com</w:t>
              </w:r>
            </w:hyperlink>
          </w:p>
          <w:p w:rsidR="002E4D92" w:rsidRPr="005B6BF8" w:rsidP="00AB62FE" w14:paraId="124E7904" w14:textId="77777777">
            <w:pPr>
              <w:autoSpaceDE w:val="0"/>
              <w:autoSpaceDN w:val="0"/>
              <w:adjustRightInd w:val="0"/>
              <w:rPr>
                <w:color w:val="0000FF"/>
              </w:rPr>
            </w:pPr>
            <w:hyperlink r:id="rId26" w:history="1">
              <w:r w:rsidRPr="005B6BF8" w:rsidR="00E418DF">
                <w:rPr>
                  <w:rStyle w:val="Hyperlink"/>
                </w:rPr>
                <w:t>Michael.Nugent@igs.com</w:t>
              </w:r>
            </w:hyperlink>
          </w:p>
          <w:p w:rsidR="002E4D92" w:rsidRPr="005B6BF8" w:rsidP="00AB62FE" w14:paraId="67855901" w14:textId="77777777">
            <w:pPr>
              <w:autoSpaceDE w:val="0"/>
              <w:autoSpaceDN w:val="0"/>
              <w:adjustRightInd w:val="0"/>
              <w:rPr>
                <w:color w:val="0000FF"/>
              </w:rPr>
            </w:pPr>
            <w:hyperlink r:id="rId27" w:history="1">
              <w:r w:rsidRPr="005B6BF8" w:rsidR="00E418DF">
                <w:rPr>
                  <w:rStyle w:val="Hyperlink"/>
                </w:rPr>
                <w:t>Bethany.Allen@igs.com</w:t>
              </w:r>
            </w:hyperlink>
          </w:p>
          <w:p w:rsidR="002E4D92" w:rsidRPr="005B6BF8" w:rsidP="00AB62FE" w14:paraId="01B4714E" w14:textId="77777777">
            <w:pPr>
              <w:rPr>
                <w:color w:val="0000FF"/>
              </w:rPr>
            </w:pPr>
            <w:hyperlink r:id="rId28" w:history="1">
              <w:r w:rsidRPr="005B6BF8" w:rsidR="00E418DF">
                <w:rPr>
                  <w:rStyle w:val="Hyperlink"/>
                </w:rPr>
                <w:t>rhooper@bakerlaw.com</w:t>
              </w:r>
            </w:hyperlink>
          </w:p>
          <w:p w:rsidR="002E4D92" w:rsidRPr="007B2C72" w:rsidP="00AB62FE" w14:paraId="026B6D12" w14:textId="77777777">
            <w:pPr>
              <w:rPr>
                <w:rStyle w:val="Hyperlink"/>
              </w:rPr>
            </w:pPr>
            <w:hyperlink r:id="rId29" w:history="1">
              <w:r w:rsidRPr="007B2C72" w:rsidR="00E418DF">
                <w:rPr>
                  <w:rStyle w:val="Hyperlink"/>
                </w:rPr>
                <w:t>bclay@sparkenergy.com</w:t>
              </w:r>
            </w:hyperlink>
          </w:p>
          <w:p w:rsidR="002E4D92" w:rsidRPr="007B2C72" w:rsidP="00AB62FE" w14:paraId="6E43F3B3" w14:textId="77777777">
            <w:pPr>
              <w:rPr>
                <w:rStyle w:val="Hyperlink"/>
              </w:rPr>
            </w:pPr>
            <w:hyperlink r:id="rId30" w:history="1">
              <w:r w:rsidRPr="007B2C72" w:rsidR="00E418DF">
                <w:rPr>
                  <w:rStyle w:val="Hyperlink"/>
                </w:rPr>
                <w:t>mlundstrom@sparkenergy.com</w:t>
              </w:r>
            </w:hyperlink>
          </w:p>
          <w:p w:rsidR="002E4D92" w:rsidRPr="005B6BF8" w:rsidP="00AB62FE" w14:paraId="3FE918A7" w14:textId="77777777">
            <w:pPr>
              <w:rPr>
                <w:color w:val="0000FF"/>
              </w:rPr>
            </w:pPr>
          </w:p>
          <w:p w:rsidR="002E4D92" w:rsidRPr="005B6BF8" w:rsidP="00AB62FE" w14:paraId="6C638FF6" w14:textId="77777777"/>
          <w:p w:rsidR="002E4D92" w:rsidRPr="005B6BF8" w:rsidP="00AB62FE" w14:paraId="4296D3A4" w14:textId="77777777"/>
          <w:p w:rsidR="002E4D92" w:rsidRPr="005B6BF8" w:rsidP="00AB62FE" w14:paraId="2F421D69" w14:textId="77777777">
            <w:r w:rsidRPr="005B6BF8">
              <w:t>Attorney Examiners:</w:t>
            </w:r>
          </w:p>
          <w:p w:rsidR="002E4D92" w:rsidRPr="005B6BF8" w:rsidP="00AB62FE" w14:paraId="166F0F07" w14:textId="77777777"/>
          <w:p w:rsidR="002E4D92" w:rsidRPr="005B6BF8" w:rsidP="00AB62FE" w14:paraId="3DA036C4" w14:textId="77777777">
            <w:pPr>
              <w:rPr>
                <w:rStyle w:val="Hyperlink"/>
              </w:rPr>
            </w:pPr>
            <w:hyperlink r:id="rId31" w:history="1">
              <w:r w:rsidRPr="005B6BF8" w:rsidR="00E418DF">
                <w:rPr>
                  <w:rStyle w:val="Hyperlink"/>
                </w:rPr>
                <w:t>Anna.Sanyal@puco.ohio.gov</w:t>
              </w:r>
            </w:hyperlink>
          </w:p>
          <w:p w:rsidR="002E4D92" w:rsidRPr="005B6BF8" w:rsidP="002E4D92" w14:paraId="4661D206" w14:textId="77777777">
            <w:hyperlink r:id="rId32" w:history="1">
              <w:r w:rsidRPr="005B6BF8" w:rsidR="00E418DF">
                <w:rPr>
                  <w:rStyle w:val="Hyperlink"/>
                </w:rPr>
                <w:t>gregory.price@puco.ohio.gov</w:t>
              </w:r>
            </w:hyperlink>
            <w:r w:rsidRPr="005B6BF8" w:rsidR="00E418DF">
              <w:t xml:space="preserve"> </w:t>
            </w:r>
          </w:p>
        </w:tc>
        <w:tc>
          <w:tcPr>
            <w:tcW w:w="4428" w:type="dxa"/>
            <w:shd w:val="clear" w:color="auto" w:fill="auto"/>
          </w:tcPr>
          <w:p w:rsidR="002E4D92" w:rsidRPr="005B6BF8" w:rsidP="00AB62FE" w14:paraId="31C2FB55" w14:textId="77777777">
            <w:pPr>
              <w:autoSpaceDE w:val="0"/>
              <w:autoSpaceDN w:val="0"/>
              <w:adjustRightInd w:val="0"/>
            </w:pPr>
            <w:r w:rsidRPr="005B6BF8">
              <w:t>Karen White</w:t>
            </w:r>
          </w:p>
          <w:p w:rsidR="002E4D92" w:rsidRPr="005B6BF8" w:rsidP="00AB62FE" w14:paraId="2030CCD7" w14:textId="77777777">
            <w:pPr>
              <w:autoSpaceDE w:val="0"/>
              <w:autoSpaceDN w:val="0"/>
              <w:adjustRightInd w:val="0"/>
            </w:pPr>
            <w:r w:rsidRPr="005B6BF8">
              <w:t>Verde Energy USA Ohio, LLC</w:t>
            </w:r>
          </w:p>
          <w:p w:rsidR="002E4D92" w:rsidRPr="005B6BF8" w:rsidP="00AB62FE" w14:paraId="0B2F093C" w14:textId="77777777">
            <w:pPr>
              <w:autoSpaceDE w:val="0"/>
              <w:autoSpaceDN w:val="0"/>
              <w:adjustRightInd w:val="0"/>
            </w:pPr>
            <w:r w:rsidRPr="005B6BF8">
              <w:t>12140 Wickchester Ln., Suite 100</w:t>
            </w:r>
          </w:p>
          <w:p w:rsidR="002E4D92" w:rsidRPr="005B6BF8" w:rsidP="00AB62FE" w14:paraId="2681EDF5" w14:textId="77777777">
            <w:pPr>
              <w:pStyle w:val="BodyText"/>
            </w:pPr>
            <w:r w:rsidRPr="005B6BF8">
              <w:t>Houston, TX 77079</w:t>
            </w:r>
          </w:p>
          <w:p w:rsidR="002E4D92" w:rsidRPr="005B6BF8" w:rsidP="00AB62FE" w14:paraId="61929B74" w14:textId="77777777">
            <w:pPr>
              <w:rPr>
                <w:bCs/>
              </w:rPr>
            </w:pPr>
            <w:hyperlink r:id="rId33" w:history="1">
              <w:r w:rsidRPr="005B6BF8" w:rsidR="00E418DF">
                <w:rPr>
                  <w:rStyle w:val="Hyperlink"/>
                </w:rPr>
                <w:t>kwhite@sparkenergy.com</w:t>
              </w:r>
            </w:hyperlink>
            <w:r w:rsidRPr="005B6BF8" w:rsidR="00E418DF">
              <w:rPr>
                <w:rStyle w:val="Hyperlink"/>
              </w:rPr>
              <w:t xml:space="preserve"> </w:t>
            </w:r>
          </w:p>
        </w:tc>
      </w:tr>
    </w:tbl>
    <w:p w:rsidR="00381DAE" w:rsidRPr="00C82AA3" w:rsidP="002E4D92" w14:paraId="74B8F475" w14:textId="77777777">
      <w:pPr>
        <w:jc w:val="center"/>
      </w:pPr>
    </w:p>
    <w:sectPr w:rsidSect="00381DAE">
      <w:headerReference w:type="even" r:id="rId34"/>
      <w:headerReference w:type="default" r:id="rId35"/>
      <w:footerReference w:type="default" r:id="rId36"/>
      <w:headerReference w:type="first" r:id="rId3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06924D46" w14:textId="77777777">
    <w:pPr>
      <w:pStyle w:val="Footer"/>
      <w:jc w:val="center"/>
    </w:pPr>
  </w:p>
  <w:p w:rsidR="003D63EC" w14:paraId="35AB27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6C2D15A3" w14:textId="77777777">
    <w:pPr>
      <w:pStyle w:val="Footer"/>
      <w:jc w:val="center"/>
    </w:pPr>
  </w:p>
  <w:p w:rsidR="003D63EC" w14:paraId="18A3F67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0228325"/>
      <w:docPartObj>
        <w:docPartGallery w:val="Page Numbers (Bottom of Page)"/>
        <w:docPartUnique/>
      </w:docPartObj>
    </w:sdtPr>
    <w:sdtEndPr>
      <w:rPr>
        <w:noProof/>
      </w:rPr>
    </w:sdtEndPr>
    <w:sdtContent>
      <w:p w:rsidR="003D63EC" w14:paraId="518BF92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2597719"/>
      <w:docPartObj>
        <w:docPartGallery w:val="Page Numbers (Bottom of Page)"/>
        <w:docPartUnique/>
      </w:docPartObj>
    </w:sdtPr>
    <w:sdtEndPr>
      <w:rPr>
        <w:noProof/>
      </w:rPr>
    </w:sdtEndPr>
    <w:sdtContent>
      <w:p w:rsidR="003D63EC" w14:paraId="766819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9082017"/>
      <w:docPartObj>
        <w:docPartGallery w:val="Page Numbers (Bottom of Page)"/>
        <w:docPartUnique/>
      </w:docPartObj>
    </w:sdtPr>
    <w:sdtEndPr>
      <w:rPr>
        <w:noProof/>
      </w:rPr>
    </w:sdtEndPr>
    <w:sdtContent>
      <w:p w:rsidR="003D63EC" w14:paraId="316DFFFE" w14:textId="77777777">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42122ACA" w14:textId="7777777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30316714"/>
      <w:docPartObj>
        <w:docPartGallery w:val="Page Numbers (Bottom of Page)"/>
        <w:docPartUnique/>
      </w:docPartObj>
    </w:sdtPr>
    <w:sdtEndPr>
      <w:rPr>
        <w:noProof/>
      </w:rPr>
    </w:sdtEndPr>
    <w:sdtContent>
      <w:p w:rsidR="003D63EC" w14:paraId="7E9345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6182803"/>
      <w:docPartObj>
        <w:docPartGallery w:val="Page Numbers (Bottom of Page)"/>
        <w:docPartUnique/>
      </w:docPartObj>
    </w:sdtPr>
    <w:sdtEndPr>
      <w:rPr>
        <w:noProof/>
      </w:rPr>
    </w:sdtEndPr>
    <w:sdtContent>
      <w:p w:rsidR="003D63EC" w14:paraId="5A133C6F" w14:textId="77777777">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18DF" w14:paraId="5C6C1869" w14:textId="77777777">
      <w:r>
        <w:separator/>
      </w:r>
    </w:p>
  </w:footnote>
  <w:footnote w:type="continuationSeparator" w:id="1">
    <w:p w:rsidR="00E418DF" w14:paraId="7C79E97D" w14:textId="77777777">
      <w:r>
        <w:continuationSeparator/>
      </w:r>
    </w:p>
  </w:footnote>
  <w:footnote w:id="2">
    <w:p w:rsidR="003D63EC" w:rsidRPr="00746712" w:rsidP="00746712" w14:paraId="1E856037" w14:textId="77777777">
      <w:pPr>
        <w:pStyle w:val="FootnoteText"/>
      </w:pPr>
      <w:r w:rsidRPr="00746712">
        <w:rPr>
          <w:rStyle w:val="FootnoteReference"/>
        </w:rPr>
        <w:footnoteRef/>
      </w:r>
      <w:r w:rsidRPr="00746712">
        <w:t xml:space="preserve"> OCC. Ex. 5, at 27 (PUCO Staff Report (May 29, 2019)) (“Staff Report”).</w:t>
      </w:r>
    </w:p>
  </w:footnote>
  <w:footnote w:id="3">
    <w:p w:rsidR="003D63EC" w:rsidRPr="00746712" w:rsidP="00746712" w14:paraId="7DC8E502" w14:textId="77777777">
      <w:pPr>
        <w:pStyle w:val="FootnoteText"/>
      </w:pPr>
      <w:r w:rsidRPr="00746712">
        <w:rPr>
          <w:rStyle w:val="FootnoteReference"/>
        </w:rPr>
        <w:footnoteRef/>
      </w:r>
      <w:r w:rsidRPr="00746712">
        <w:t xml:space="preserve"> OCC Ex. 6 (April 16, 2019 PUCO Staff Letter filed in Case Nos. 11-5886-EL-CRS and 13-2164-GA-CRS).</w:t>
      </w:r>
    </w:p>
  </w:footnote>
  <w:footnote w:id="4">
    <w:p w:rsidR="003D63EC" w:rsidRPr="00746712" w:rsidP="00746712" w14:paraId="1F06856D" w14:textId="77777777">
      <w:pPr>
        <w:pStyle w:val="FootnoteText"/>
      </w:pPr>
      <w:r w:rsidRPr="00746712">
        <w:rPr>
          <w:rStyle w:val="FootnoteReference"/>
        </w:rPr>
        <w:footnoteRef/>
      </w:r>
      <w:r w:rsidRPr="00746712">
        <w:t xml:space="preserve"> </w:t>
      </w:r>
      <w:r w:rsidRPr="00746712">
        <w:rPr>
          <w:i/>
        </w:rPr>
        <w:t>See</w:t>
      </w:r>
      <w:r w:rsidRPr="00746712">
        <w:t xml:space="preserve"> April 17, 2019 Entry at ¶9.</w:t>
      </w:r>
    </w:p>
  </w:footnote>
  <w:footnote w:id="5">
    <w:p w:rsidR="003D63EC" w:rsidRPr="00746712" w:rsidP="00746712" w14:paraId="58395846" w14:textId="77777777">
      <w:pPr>
        <w:pStyle w:val="FootnoteText"/>
      </w:pPr>
      <w:r w:rsidRPr="00746712">
        <w:rPr>
          <w:rStyle w:val="FootnoteReference"/>
        </w:rPr>
        <w:footnoteRef/>
      </w:r>
      <w:r w:rsidRPr="00746712">
        <w:t xml:space="preserve"> </w:t>
      </w:r>
      <w:r w:rsidRPr="00746712">
        <w:rPr>
          <w:i/>
          <w:iCs/>
        </w:rPr>
        <w:t>See</w:t>
      </w:r>
      <w:r w:rsidRPr="00746712">
        <w:t xml:space="preserve"> Staff Report at 25-26.</w:t>
      </w:r>
    </w:p>
  </w:footnote>
  <w:footnote w:id="6">
    <w:p w:rsidR="003D63EC" w:rsidRPr="00746712" w:rsidP="00746712" w14:paraId="2AFC5FAE" w14:textId="77777777">
      <w:pPr>
        <w:pStyle w:val="FootnoteText"/>
      </w:pPr>
      <w:r w:rsidRPr="00746712">
        <w:rPr>
          <w:rStyle w:val="FootnoteReference"/>
        </w:rPr>
        <w:footnoteRef/>
      </w:r>
      <w:r w:rsidRPr="00746712">
        <w:t xml:space="preserve"> </w:t>
      </w:r>
      <w:r w:rsidRPr="00746712">
        <w:rPr>
          <w:i/>
          <w:iCs/>
        </w:rPr>
        <w:t>Id.</w:t>
      </w:r>
      <w:r w:rsidRPr="00746712">
        <w:t xml:space="preserve"> at 25.</w:t>
      </w:r>
    </w:p>
  </w:footnote>
  <w:footnote w:id="7">
    <w:p w:rsidR="003D63EC" w:rsidRPr="00746712" w:rsidP="00746712" w14:paraId="2EEF5F6B" w14:textId="77777777">
      <w:pPr>
        <w:pStyle w:val="FootnoteText"/>
      </w:pPr>
      <w:r w:rsidRPr="00746712">
        <w:rPr>
          <w:rStyle w:val="FootnoteReference"/>
        </w:rPr>
        <w:footnoteRef/>
      </w:r>
      <w:r w:rsidRPr="00746712">
        <w:t xml:space="preserve"> </w:t>
      </w:r>
      <w:r w:rsidRPr="00746712">
        <w:rPr>
          <w:i/>
          <w:iCs/>
        </w:rPr>
        <w:t>Id</w:t>
      </w:r>
      <w:r w:rsidRPr="00746712">
        <w:t>.</w:t>
      </w:r>
    </w:p>
  </w:footnote>
  <w:footnote w:id="8">
    <w:p w:rsidR="003D63EC" w:rsidRPr="00746712" w:rsidP="00746712" w14:paraId="302C511B" w14:textId="77777777">
      <w:pPr>
        <w:pStyle w:val="FootnoteText"/>
      </w:pPr>
      <w:r w:rsidRPr="00746712">
        <w:rPr>
          <w:rStyle w:val="FootnoteReference"/>
        </w:rPr>
        <w:footnoteRef/>
      </w:r>
      <w:r w:rsidRPr="00746712">
        <w:t xml:space="preserve"> </w:t>
      </w:r>
      <w:r w:rsidRPr="00746712">
        <w:rPr>
          <w:i/>
          <w:iCs/>
        </w:rPr>
        <w:t>Id.</w:t>
      </w:r>
      <w:r w:rsidRPr="00746712">
        <w:t xml:space="preserve"> at 26.</w:t>
      </w:r>
    </w:p>
  </w:footnote>
  <w:footnote w:id="9">
    <w:p w:rsidR="003D63EC" w:rsidRPr="00746712" w:rsidP="00746712" w14:paraId="2F304C5B" w14:textId="77777777">
      <w:pPr>
        <w:pStyle w:val="FootnoteText"/>
      </w:pPr>
      <w:r w:rsidRPr="00746712">
        <w:rPr>
          <w:rStyle w:val="FootnoteReference"/>
        </w:rPr>
        <w:footnoteRef/>
      </w:r>
      <w:r w:rsidRPr="00746712">
        <w:t xml:space="preserve"> Jt. Ex. 1 (Stipulation and Recommendation (September 6, 2019)) (“Settlement”).</w:t>
      </w:r>
    </w:p>
  </w:footnote>
  <w:footnote w:id="10">
    <w:p w:rsidR="003D63EC" w:rsidRPr="00746712" w:rsidP="00746712" w14:paraId="6AEE06D6" w14:textId="77777777">
      <w:pPr>
        <w:pStyle w:val="FootnoteText"/>
      </w:pPr>
      <w:r w:rsidRPr="00746712">
        <w:rPr>
          <w:rStyle w:val="FootnoteReference"/>
        </w:rPr>
        <w:footnoteRef/>
      </w:r>
      <w:r w:rsidRPr="00746712">
        <w:t xml:space="preserve"> </w:t>
      </w:r>
      <w:r w:rsidRPr="00746712">
        <w:rPr>
          <w:i/>
          <w:iCs/>
        </w:rPr>
        <w:t>See</w:t>
      </w:r>
      <w:r w:rsidRPr="00746712">
        <w:t xml:space="preserve"> Initial Brief by OCC (December 2, 2019) (“OCC’s Initial Brief”); Reply Brief by OCC (December 17, 2019) (“OCC’s Reply Brief”).</w:t>
      </w:r>
    </w:p>
  </w:footnote>
  <w:footnote w:id="11">
    <w:p w:rsidR="003D63EC" w:rsidRPr="00746712" w:rsidP="00746712" w14:paraId="48894065" w14:textId="77777777">
      <w:pPr>
        <w:pStyle w:val="FootnoteText"/>
      </w:pPr>
      <w:r w:rsidRPr="00746712">
        <w:rPr>
          <w:rStyle w:val="FootnoteReference"/>
        </w:rPr>
        <w:footnoteRef/>
      </w:r>
      <w:r w:rsidRPr="00746712">
        <w:t xml:space="preserve"> </w:t>
      </w:r>
      <w:r w:rsidRPr="00746712">
        <w:rPr>
          <w:i/>
        </w:rPr>
        <w:t>See</w:t>
      </w:r>
      <w:r w:rsidRPr="00746712">
        <w:t xml:space="preserve"> Order (February 26, 2020).</w:t>
      </w:r>
    </w:p>
  </w:footnote>
  <w:footnote w:id="12">
    <w:p w:rsidR="003D63EC" w:rsidRPr="00746712" w:rsidP="00746712" w14:paraId="547837E2" w14:textId="77777777">
      <w:pPr>
        <w:pStyle w:val="FootnoteText"/>
      </w:pPr>
      <w:r w:rsidRPr="00746712">
        <w:rPr>
          <w:rStyle w:val="FootnoteReference"/>
        </w:rPr>
        <w:footnoteRef/>
      </w:r>
      <w:r w:rsidRPr="00746712">
        <w:t xml:space="preserve"> OCC Ex. 19B at 18 (Williams Direct); JDW-08.</w:t>
      </w:r>
    </w:p>
  </w:footnote>
  <w:footnote w:id="13">
    <w:p w:rsidR="003D63EC" w:rsidRPr="00746712" w:rsidP="00746712" w14:paraId="2304C719" w14:textId="77777777">
      <w:pPr>
        <w:pStyle w:val="FootnoteText"/>
      </w:pPr>
      <w:r w:rsidRPr="00746712">
        <w:rPr>
          <w:rStyle w:val="FootnoteReference"/>
        </w:rPr>
        <w:footnoteRef/>
      </w:r>
      <w:r w:rsidRPr="00746712">
        <w:rPr>
          <w:i/>
          <w:iCs/>
        </w:rPr>
        <w:t>See e.g.</w:t>
      </w:r>
      <w:r w:rsidRPr="00746712">
        <w:t xml:space="preserve"> Staff Report at 9; and OCC Ex. 7.</w:t>
      </w:r>
    </w:p>
  </w:footnote>
  <w:footnote w:id="14">
    <w:p w:rsidR="003D63EC" w:rsidRPr="00746712" w:rsidP="00746712" w14:paraId="0956D670" w14:textId="77777777">
      <w:pPr>
        <w:pStyle w:val="FootnoteText"/>
      </w:pPr>
      <w:r w:rsidRPr="00746712">
        <w:rPr>
          <w:rStyle w:val="FootnoteReference"/>
        </w:rPr>
        <w:footnoteRef/>
      </w:r>
      <w:r w:rsidRPr="00746712">
        <w:t xml:space="preserve"> Staff Report at 9.</w:t>
      </w:r>
    </w:p>
  </w:footnote>
  <w:footnote w:id="15">
    <w:p w:rsidR="003D63EC" w:rsidRPr="00746712" w:rsidP="00746712" w14:paraId="636D3DAF" w14:textId="77777777">
      <w:pPr>
        <w:pStyle w:val="FootnoteText"/>
      </w:pPr>
      <w:r w:rsidRPr="00746712">
        <w:rPr>
          <w:rStyle w:val="FootnoteReference"/>
        </w:rPr>
        <w:footnoteRef/>
      </w:r>
      <w:r w:rsidRPr="00746712">
        <w:t xml:space="preserve"> </w:t>
      </w:r>
      <w:r w:rsidRPr="00746712">
        <w:rPr>
          <w:i/>
          <w:iCs/>
        </w:rPr>
        <w:t>See e.g. id.</w:t>
      </w:r>
      <w:r w:rsidRPr="00746712">
        <w:t xml:space="preserve"> at 3; OCC Ex. 7. </w:t>
      </w:r>
    </w:p>
  </w:footnote>
  <w:footnote w:id="16">
    <w:p w:rsidR="003D63EC" w:rsidRPr="00746712" w:rsidP="00746712" w14:paraId="70E448D9" w14:textId="77777777">
      <w:pPr>
        <w:pStyle w:val="FootnoteText"/>
      </w:pPr>
      <w:r w:rsidRPr="00746712">
        <w:rPr>
          <w:rStyle w:val="FootnoteReference"/>
        </w:rPr>
        <w:footnoteRef/>
      </w:r>
      <w:r w:rsidRPr="00746712">
        <w:t xml:space="preserve"> </w:t>
      </w:r>
      <w:r w:rsidRPr="00746712">
        <w:rPr>
          <w:i/>
          <w:iCs/>
        </w:rPr>
        <w:t>See e.g.</w:t>
      </w:r>
      <w:r w:rsidRPr="00746712">
        <w:t xml:space="preserve"> OCC Ex. 8 (3/26/19 e-mail from Barbara Bossart to Nedra Ramsey).</w:t>
      </w:r>
    </w:p>
  </w:footnote>
  <w:footnote w:id="17">
    <w:p w:rsidR="003D63EC" w:rsidRPr="00746712" w:rsidP="00746712" w14:paraId="00CBAAB7" w14:textId="77777777">
      <w:pPr>
        <w:pStyle w:val="FootnoteText"/>
      </w:pPr>
      <w:r w:rsidRPr="00746712">
        <w:rPr>
          <w:rStyle w:val="FootnoteReference"/>
        </w:rPr>
        <w:footnoteRef/>
      </w:r>
      <w:r w:rsidRPr="00746712">
        <w:t xml:space="preserve"> </w:t>
      </w:r>
      <w:r w:rsidRPr="00746712">
        <w:rPr>
          <w:i/>
          <w:iCs/>
        </w:rPr>
        <w:t>See e.g.</w:t>
      </w:r>
      <w:r w:rsidRPr="00746712">
        <w:t xml:space="preserve"> Tr. Vol. I, at 209:3-6, 8-14; Staff Report, at 11; OCC Ex. 11 (3/22/19 e-mail from Duke employee to Barbara Bossart); OCC Ex. 12 (3/15/19 e-mail from Duke employee to Barbara Bossart).</w:t>
      </w:r>
    </w:p>
  </w:footnote>
  <w:footnote w:id="18">
    <w:p w:rsidR="003D63EC" w:rsidRPr="00746712" w:rsidP="00746712" w14:paraId="2060E7F4" w14:textId="77777777">
      <w:pPr>
        <w:pStyle w:val="FootnoteText"/>
      </w:pPr>
      <w:r w:rsidRPr="00746712">
        <w:rPr>
          <w:rStyle w:val="FootnoteReference"/>
        </w:rPr>
        <w:footnoteRef/>
      </w:r>
      <w:r w:rsidRPr="00746712">
        <w:t xml:space="preserve"> Tr. Vol. 1, at 219:16-17.</w:t>
      </w:r>
    </w:p>
  </w:footnote>
  <w:footnote w:id="19">
    <w:p w:rsidR="003D63EC" w:rsidRPr="00746712" w:rsidP="00746712" w14:paraId="40AF3B55" w14:textId="77777777">
      <w:pPr>
        <w:pStyle w:val="FootnoteText"/>
      </w:pPr>
      <w:r w:rsidRPr="00746712">
        <w:rPr>
          <w:rStyle w:val="FootnoteReference"/>
        </w:rPr>
        <w:footnoteRef/>
      </w:r>
      <w:r w:rsidRPr="00746712">
        <w:t xml:space="preserve"> The Staff Report states (at 26) that Verde’s “spoofing” deception violated Ohio Adm. Code 4901:1-21-03(A), 4901:1-21-05(C)(8)(h), 4901:1-21-05(C)(10), 4901:1-29-03(A), 4901:1-29-05(D), and 4901:1-29-10(A).</w:t>
      </w:r>
    </w:p>
  </w:footnote>
  <w:footnote w:id="20">
    <w:p w:rsidR="003D63EC" w:rsidRPr="00746712" w:rsidP="00746712" w14:paraId="1D83F9FE" w14:textId="77777777">
      <w:pPr>
        <w:pStyle w:val="FootnoteText"/>
        <w:rPr>
          <w:rFonts w:eastAsia="Calibri"/>
        </w:rPr>
      </w:pPr>
      <w:r w:rsidRPr="00746712">
        <w:rPr>
          <w:rStyle w:val="FootnoteReference"/>
        </w:rPr>
        <w:footnoteRef/>
      </w:r>
      <w:r w:rsidRPr="00746712">
        <w:t xml:space="preserve"> </w:t>
      </w:r>
      <w:r w:rsidRPr="00746712">
        <w:rPr>
          <w:i/>
          <w:iCs/>
        </w:rPr>
        <w:t xml:space="preserve">See </w:t>
      </w:r>
      <w:r w:rsidRPr="00746712">
        <w:t xml:space="preserve">47 U.S.C. § 227(e)(1) (“It shall be unlawful for any person within the United States, in connection with any telecommunications service or IP-enabled voice service to cause any caller identification service to knowingly transmit misleading or inaccurate caller identification with the intent to defraud, cause harm, or wrongfully obtain anything of value . . .”); </w:t>
      </w:r>
      <w:r w:rsidRPr="00746712">
        <w:rPr>
          <w:i/>
          <w:iCs/>
        </w:rPr>
        <w:t xml:space="preserve">See also </w:t>
      </w:r>
      <w:r w:rsidRPr="00746712">
        <w:t>OCC Ex. 19B (Williams Direct), JDW-10.</w:t>
      </w:r>
    </w:p>
  </w:footnote>
  <w:footnote w:id="21">
    <w:p w:rsidR="003D63EC" w:rsidRPr="00746712" w:rsidP="00746712" w14:paraId="6B1A59CA" w14:textId="77777777">
      <w:pPr>
        <w:pStyle w:val="FootnoteText"/>
      </w:pPr>
      <w:r w:rsidRPr="00746712">
        <w:rPr>
          <w:rStyle w:val="FootnoteReference"/>
        </w:rPr>
        <w:footnoteRef/>
      </w:r>
      <w:r w:rsidRPr="00746712">
        <w:t xml:space="preserve"> </w:t>
      </w:r>
      <w:r w:rsidRPr="00746712">
        <w:rPr>
          <w:i/>
        </w:rPr>
        <w:t>See</w:t>
      </w:r>
      <w:r w:rsidRPr="00746712">
        <w:t xml:space="preserve"> Order.</w:t>
      </w:r>
    </w:p>
  </w:footnote>
  <w:footnote w:id="22">
    <w:p w:rsidR="003D63EC" w:rsidRPr="00746712" w:rsidP="00746712" w14:paraId="6CF39663" w14:textId="77777777">
      <w:pPr>
        <w:pStyle w:val="FootnoteText"/>
      </w:pPr>
      <w:r w:rsidRPr="00746712">
        <w:rPr>
          <w:rStyle w:val="FootnoteReference"/>
        </w:rPr>
        <w:footnoteRef/>
      </w:r>
      <w:r w:rsidRPr="00746712">
        <w:t xml:space="preserve"> R.C. 4903.10.</w:t>
      </w:r>
    </w:p>
  </w:footnote>
  <w:footnote w:id="23">
    <w:p w:rsidR="003D63EC" w:rsidRPr="00746712" w:rsidP="00746712" w14:paraId="57DD457B" w14:textId="77777777">
      <w:pPr>
        <w:pStyle w:val="FootnoteText"/>
      </w:pPr>
      <w:r w:rsidRPr="00746712">
        <w:rPr>
          <w:rStyle w:val="FootnoteReference"/>
        </w:rPr>
        <w:footnoteRef/>
      </w:r>
      <w:r w:rsidRPr="00746712">
        <w:t xml:space="preserve"> R.C. 4903.10(B). </w:t>
      </w:r>
      <w:r w:rsidRPr="00746712">
        <w:rPr>
          <w:i/>
        </w:rPr>
        <w:t>See also</w:t>
      </w:r>
      <w:r w:rsidRPr="00746712">
        <w:t xml:space="preserve"> Ohio Admin. Code 4901-1-35(A).</w:t>
      </w:r>
    </w:p>
  </w:footnote>
  <w:footnote w:id="24">
    <w:p w:rsidR="003D63EC" w:rsidRPr="00746712" w:rsidP="00746712" w14:paraId="5EBF60B7" w14:textId="77777777">
      <w:pPr>
        <w:pStyle w:val="FootnoteText"/>
      </w:pPr>
      <w:r w:rsidRPr="00746712">
        <w:rPr>
          <w:rStyle w:val="FootnoteReference"/>
        </w:rPr>
        <w:footnoteRef/>
      </w:r>
      <w:r w:rsidRPr="00746712">
        <w:t xml:space="preserve"> R.C. 4903.10(B).</w:t>
      </w:r>
    </w:p>
  </w:footnote>
  <w:footnote w:id="25">
    <w:p w:rsidR="003D63EC" w:rsidRPr="00746712" w:rsidP="00746712" w14:paraId="6EEE2EEF" w14:textId="77777777">
      <w:pPr>
        <w:pStyle w:val="FootnoteText"/>
      </w:pPr>
      <w:r w:rsidRPr="00746712">
        <w:rPr>
          <w:rStyle w:val="FootnoteReference"/>
        </w:rPr>
        <w:footnoteRef/>
      </w:r>
      <w:r w:rsidRPr="00746712">
        <w:t xml:space="preserve"> </w:t>
      </w:r>
      <w:r w:rsidRPr="00746712">
        <w:rPr>
          <w:i/>
        </w:rPr>
        <w:t>See</w:t>
      </w:r>
      <w:r w:rsidRPr="00746712">
        <w:t xml:space="preserve"> April 17, 2019 Entry at ¶9.</w:t>
      </w:r>
    </w:p>
  </w:footnote>
  <w:footnote w:id="26">
    <w:p w:rsidR="003D63EC" w:rsidRPr="00746712" w:rsidP="00746712" w14:paraId="428B7A97" w14:textId="77777777">
      <w:pPr>
        <w:pStyle w:val="FootnoteText"/>
      </w:pPr>
      <w:r w:rsidRPr="00746712">
        <w:rPr>
          <w:rStyle w:val="FootnoteReference"/>
        </w:rPr>
        <w:footnoteRef/>
      </w:r>
      <w:r w:rsidRPr="00746712">
        <w:t xml:space="preserve"> </w:t>
      </w:r>
      <w:r w:rsidRPr="00746712">
        <w:rPr>
          <w:iCs/>
        </w:rPr>
        <w:t>Order</w:t>
      </w:r>
      <w:r w:rsidRPr="00746712">
        <w:t xml:space="preserve"> at ¶60; </w:t>
      </w:r>
      <w:r w:rsidRPr="00746712">
        <w:rPr>
          <w:i/>
          <w:iCs/>
        </w:rPr>
        <w:t>see also</w:t>
      </w:r>
      <w:r w:rsidRPr="00746712">
        <w:t xml:space="preserve"> R.C. 4928.08(D) allowing the PUCO to suspend or rescind the certificate of an electric energy marketer for anti-competitive or unfair deceptive or unconscionable acts or practices after reasonable notice and opportunity for hearing.</w:t>
      </w:r>
    </w:p>
  </w:footnote>
  <w:footnote w:id="27">
    <w:p w:rsidR="003D63EC" w:rsidRPr="00746712" w:rsidP="00746712" w14:paraId="7BEABEC1" w14:textId="77777777">
      <w:pPr>
        <w:pStyle w:val="FootnoteText"/>
      </w:pPr>
      <w:r w:rsidRPr="00746712">
        <w:rPr>
          <w:rStyle w:val="FootnoteReference"/>
        </w:rPr>
        <w:footnoteRef/>
      </w:r>
      <w:r w:rsidRPr="00746712">
        <w:t xml:space="preserve"> </w:t>
      </w:r>
      <w:r w:rsidRPr="00746712">
        <w:rPr>
          <w:i/>
        </w:rPr>
        <w:t>Id</w:t>
      </w:r>
      <w:r w:rsidRPr="00746712">
        <w:t>.</w:t>
      </w:r>
    </w:p>
  </w:footnote>
  <w:footnote w:id="28">
    <w:p w:rsidR="003D63EC" w:rsidRPr="00746712" w:rsidP="00746712" w14:paraId="77A4F263" w14:textId="77777777">
      <w:pPr>
        <w:pStyle w:val="FootnoteText"/>
      </w:pPr>
      <w:r w:rsidRPr="00746712">
        <w:rPr>
          <w:rStyle w:val="FootnoteReference"/>
        </w:rPr>
        <w:footnoteRef/>
      </w:r>
      <w:r w:rsidRPr="00746712">
        <w:t xml:space="preserve"> Order at ¶61. </w:t>
      </w:r>
    </w:p>
  </w:footnote>
  <w:footnote w:id="29">
    <w:p w:rsidR="003D63EC" w:rsidRPr="00746712" w:rsidP="00746712" w14:paraId="0DF3BEF9" w14:textId="77777777">
      <w:pPr>
        <w:pStyle w:val="FootnoteText"/>
      </w:pPr>
      <w:r w:rsidRPr="00746712">
        <w:rPr>
          <w:rStyle w:val="FootnoteReference"/>
        </w:rPr>
        <w:footnoteRef/>
      </w:r>
      <w:r w:rsidRPr="00746712">
        <w:t xml:space="preserve"> </w:t>
      </w:r>
      <w:r w:rsidRPr="00746712">
        <w:rPr>
          <w:i/>
        </w:rPr>
        <w:t>Id</w:t>
      </w:r>
      <w:r w:rsidRPr="00746712">
        <w:t xml:space="preserve">. at ¶64. </w:t>
      </w:r>
    </w:p>
  </w:footnote>
  <w:footnote w:id="30">
    <w:p w:rsidR="003D63EC" w:rsidRPr="00746712" w:rsidP="00746712" w14:paraId="5AF20570" w14:textId="77777777">
      <w:pPr>
        <w:pStyle w:val="FootnoteText"/>
      </w:pPr>
      <w:r w:rsidRPr="00746712">
        <w:rPr>
          <w:rStyle w:val="FootnoteReference"/>
        </w:rPr>
        <w:footnoteRef/>
      </w:r>
      <w:r w:rsidRPr="00746712">
        <w:t xml:space="preserve"> For example, with respect to the $1.5 million forfeiture that was recommended in the Staff Report and which OCC supported, the PUCO held that OCC failed to present any evidence supporting the requested forfeiture beyond the Staff Report. The PUCO went on to note that the PUCO Staff would have had to present a witness to support and establish the $1.5 million amount but because the PUCO Staff entered into the Settlement, it did not present such testimony. Order at ¶70. This is not a failing of OCC and should not be cited as a basis to approve a Settlement that contains a forfeiture less than half of the $1.5 million amount initially recommended by the PUCO Staff. </w:t>
      </w:r>
      <w:r w:rsidRPr="00746712">
        <w:rPr>
          <w:i/>
        </w:rPr>
        <w:t>Id</w:t>
      </w:r>
      <w:r w:rsidRPr="00746712">
        <w:t>.</w:t>
      </w:r>
    </w:p>
  </w:footnote>
  <w:footnote w:id="31">
    <w:p w:rsidR="003D63EC" w:rsidRPr="00746712" w:rsidP="00746712" w14:paraId="11C76F42" w14:textId="77777777">
      <w:pPr>
        <w:pStyle w:val="FootnoteText"/>
      </w:pPr>
      <w:r w:rsidRPr="00746712">
        <w:rPr>
          <w:rStyle w:val="FootnoteReference"/>
        </w:rPr>
        <w:footnoteRef/>
      </w:r>
      <w:r w:rsidRPr="00746712">
        <w:t xml:space="preserve"> </w:t>
      </w:r>
      <w:r w:rsidRPr="00746712">
        <w:rPr>
          <w:i/>
        </w:rPr>
        <w:t>See, e.g., In re Application Seeking Approval of Ohio Power Co.’s Proposal to Enter into an Affiliate Power Purchase Agmt.</w:t>
      </w:r>
      <w:r w:rsidRPr="00746712">
        <w:t>, Case No. 14-1693-EL-RDR, Opinion &amp; Order at 18 (March 31, 2016).</w:t>
      </w:r>
    </w:p>
  </w:footnote>
  <w:footnote w:id="32">
    <w:p w:rsidR="003D63EC" w:rsidRPr="00746712" w:rsidP="00746712" w14:paraId="2B03FB17" w14:textId="77777777">
      <w:pPr>
        <w:pStyle w:val="FootnoteText"/>
      </w:pPr>
      <w:r w:rsidRPr="00746712">
        <w:rPr>
          <w:rStyle w:val="FootnoteReference"/>
        </w:rPr>
        <w:footnoteRef/>
      </w:r>
      <w:r w:rsidRPr="00746712">
        <w:t xml:space="preserve"> </w:t>
      </w:r>
      <w:r w:rsidRPr="00746712">
        <w:rPr>
          <w:i/>
        </w:rPr>
        <w:t>See</w:t>
      </w:r>
      <w:r w:rsidRPr="00746712">
        <w:t xml:space="preserve"> Ohio Adm. Code 4901-1-30(D).</w:t>
      </w:r>
    </w:p>
  </w:footnote>
  <w:footnote w:id="33">
    <w:p w:rsidR="003D63EC" w:rsidRPr="00746712" w:rsidP="00746712" w14:paraId="52C4591A" w14:textId="77777777">
      <w:pPr>
        <w:autoSpaceDE w:val="0"/>
        <w:autoSpaceDN w:val="0"/>
        <w:adjustRightInd w:val="0"/>
        <w:spacing w:after="120"/>
        <w:rPr>
          <w:iCs/>
          <w:sz w:val="20"/>
          <w:szCs w:val="20"/>
        </w:rPr>
      </w:pPr>
      <w:r w:rsidRPr="00746712">
        <w:rPr>
          <w:rStyle w:val="FootnoteReference"/>
          <w:sz w:val="20"/>
          <w:szCs w:val="20"/>
        </w:rPr>
        <w:footnoteRef/>
      </w:r>
      <w:r w:rsidRPr="00746712">
        <w:rPr>
          <w:sz w:val="20"/>
          <w:szCs w:val="20"/>
        </w:rPr>
        <w:t xml:space="preserve"> </w:t>
      </w:r>
      <w:r w:rsidRPr="00746712">
        <w:rPr>
          <w:i/>
          <w:sz w:val="20"/>
          <w:szCs w:val="20"/>
        </w:rPr>
        <w:t>In re Application Seeking Approval of Ohio Power Co.’s Proposal to Enter into an Affiliate Power Purchase Agmt.</w:t>
      </w:r>
      <w:r w:rsidRPr="00746712">
        <w:rPr>
          <w:sz w:val="20"/>
          <w:szCs w:val="20"/>
        </w:rPr>
        <w:t xml:space="preserve">, Case No. 14-1693-EL-RDR, Opinion &amp; Order at 18 (March 31, 2016) (emphasis added). </w:t>
      </w:r>
    </w:p>
  </w:footnote>
  <w:footnote w:id="34">
    <w:p w:rsidR="003D63EC" w:rsidRPr="00746712" w:rsidP="00746712" w14:paraId="519B19AE" w14:textId="77777777">
      <w:pPr>
        <w:pStyle w:val="FootnoteText"/>
      </w:pPr>
      <w:r w:rsidRPr="00746712">
        <w:rPr>
          <w:rStyle w:val="FootnoteReference"/>
        </w:rPr>
        <w:footnoteRef/>
      </w:r>
      <w:r w:rsidRPr="00746712">
        <w:t xml:space="preserve"> Order at ¶82.</w:t>
      </w:r>
    </w:p>
  </w:footnote>
  <w:footnote w:id="35">
    <w:p w:rsidR="003D63EC" w:rsidRPr="00746712" w:rsidP="00746712" w14:paraId="4634FCE1" w14:textId="77777777">
      <w:pPr>
        <w:pStyle w:val="FootnoteText"/>
      </w:pPr>
      <w:r w:rsidRPr="00746712">
        <w:rPr>
          <w:rStyle w:val="FootnoteReference"/>
        </w:rPr>
        <w:footnoteRef/>
      </w:r>
      <w:r w:rsidRPr="00746712">
        <w:t xml:space="preserve"> </w:t>
      </w:r>
      <w:r w:rsidRPr="00746712">
        <w:rPr>
          <w:i/>
        </w:rPr>
        <w:t>Id</w:t>
      </w:r>
      <w:r w:rsidRPr="00746712">
        <w:t xml:space="preserve">.; </w:t>
      </w:r>
      <w:r w:rsidRPr="00746712">
        <w:rPr>
          <w:i/>
        </w:rPr>
        <w:t>see also</w:t>
      </w:r>
      <w:r w:rsidRPr="00746712">
        <w:t xml:space="preserve"> Tr. Vol. I at 58-59.</w:t>
      </w:r>
    </w:p>
  </w:footnote>
  <w:footnote w:id="36">
    <w:p w:rsidR="003D63EC" w:rsidRPr="00746712" w:rsidP="00746712" w14:paraId="79D62751" w14:textId="77777777">
      <w:pPr>
        <w:pStyle w:val="FootnoteText"/>
      </w:pPr>
      <w:r w:rsidRPr="00746712">
        <w:rPr>
          <w:rStyle w:val="FootnoteReference"/>
        </w:rPr>
        <w:footnoteRef/>
      </w:r>
      <w:r w:rsidRPr="00746712">
        <w:t xml:space="preserve"> Order at ¶82.</w:t>
      </w:r>
    </w:p>
  </w:footnote>
  <w:footnote w:id="37">
    <w:p w:rsidR="003D63EC" w:rsidRPr="00746712" w:rsidP="00746712" w14:paraId="27AF37A0" w14:textId="77777777">
      <w:pPr>
        <w:pStyle w:val="FootnoteText"/>
        <w:rPr>
          <w:i/>
          <w:iCs/>
        </w:rPr>
      </w:pPr>
      <w:r w:rsidRPr="00746712">
        <w:rPr>
          <w:rStyle w:val="FootnoteReference"/>
        </w:rPr>
        <w:footnoteRef/>
      </w:r>
      <w:r w:rsidRPr="00746712">
        <w:t xml:space="preserve"> </w:t>
      </w:r>
      <w:r w:rsidRPr="00746712">
        <w:rPr>
          <w:i/>
          <w:iCs/>
        </w:rPr>
        <w:t>Id.</w:t>
      </w:r>
    </w:p>
  </w:footnote>
  <w:footnote w:id="38">
    <w:p w:rsidR="003D63EC" w:rsidRPr="00746712" w:rsidP="00746712" w14:paraId="07F5CFDE" w14:textId="77777777">
      <w:pPr>
        <w:pStyle w:val="FootnoteText"/>
      </w:pPr>
      <w:r w:rsidRPr="00746712">
        <w:rPr>
          <w:rStyle w:val="FootnoteReference"/>
        </w:rPr>
        <w:footnoteRef/>
      </w:r>
      <w:r w:rsidRPr="00746712">
        <w:t xml:space="preserve">The PUCO based its decision on incorrect facts and information that is not supported by the record before it, contrary to R.C. 4903.09. This is yet another reason rehearing should be granted. </w:t>
      </w:r>
    </w:p>
  </w:footnote>
  <w:footnote w:id="39">
    <w:p w:rsidR="003D63EC" w:rsidRPr="00746712" w:rsidP="00746712" w14:paraId="7C3429D9" w14:textId="77777777">
      <w:pPr>
        <w:pStyle w:val="FootnoteText"/>
      </w:pPr>
      <w:r w:rsidRPr="00746712">
        <w:rPr>
          <w:rStyle w:val="FootnoteReference"/>
        </w:rPr>
        <w:footnoteRef/>
      </w:r>
      <w:r w:rsidRPr="00746712">
        <w:t xml:space="preserve"> </w:t>
      </w:r>
      <w:r w:rsidRPr="00746712">
        <w:rPr>
          <w:i/>
        </w:rPr>
        <w:t>See</w:t>
      </w:r>
      <w:r w:rsidRPr="00746712">
        <w:t xml:space="preserve"> Return of Service for Kira Jordan served in Houston, Texas filed on October 15, 2019. </w:t>
      </w:r>
      <w:r w:rsidRPr="00746712">
        <w:rPr>
          <w:i/>
        </w:rPr>
        <w:t>See</w:t>
      </w:r>
      <w:r w:rsidRPr="00746712">
        <w:t xml:space="preserve"> </w:t>
      </w:r>
      <w:r w:rsidRPr="00746712">
        <w:rPr>
          <w:i/>
          <w:iCs/>
        </w:rPr>
        <w:t>also</w:t>
      </w:r>
      <w:r w:rsidRPr="00746712">
        <w:t xml:space="preserve"> Returns of Service for Kira Jordan and designated corporate witnesses served on Verde’s statutory agent in Ohio filed on October 10, 2019. </w:t>
      </w:r>
    </w:p>
  </w:footnote>
  <w:footnote w:id="40">
    <w:p w:rsidR="003D63EC" w:rsidRPr="00746712" w:rsidP="00746712" w14:paraId="78365E7E" w14:textId="77777777">
      <w:pPr>
        <w:pStyle w:val="FootnoteText"/>
      </w:pPr>
      <w:r w:rsidRPr="00746712">
        <w:rPr>
          <w:rStyle w:val="FootnoteReference"/>
        </w:rPr>
        <w:footnoteRef/>
      </w:r>
      <w:r w:rsidRPr="00746712">
        <w:t xml:space="preserve"> Tr. Vol. I at 36. </w:t>
      </w:r>
    </w:p>
  </w:footnote>
  <w:footnote w:id="41">
    <w:p w:rsidR="003D63EC" w:rsidRPr="00746712" w:rsidP="00746712" w14:paraId="58D400EE" w14:textId="77777777">
      <w:pPr>
        <w:pStyle w:val="FootnoteText"/>
      </w:pPr>
      <w:r w:rsidRPr="00746712">
        <w:rPr>
          <w:rStyle w:val="FootnoteReference"/>
        </w:rPr>
        <w:footnoteRef/>
      </w:r>
      <w:r w:rsidRPr="00746712">
        <w:t xml:space="preserve"> </w:t>
      </w:r>
      <w:r w:rsidRPr="00746712">
        <w:rPr>
          <w:i/>
          <w:iCs/>
        </w:rPr>
        <w:t>See e.g.,</w:t>
      </w:r>
      <w:r w:rsidRPr="00746712">
        <w:t xml:space="preserve"> Tr. Vol. II at 317-18.</w:t>
      </w:r>
    </w:p>
  </w:footnote>
  <w:footnote w:id="42">
    <w:p w:rsidR="003D63EC" w:rsidRPr="00746712" w:rsidP="00746712" w14:paraId="58349FB9" w14:textId="77777777">
      <w:pPr>
        <w:pStyle w:val="FootnoteText"/>
      </w:pPr>
      <w:r w:rsidRPr="00746712">
        <w:rPr>
          <w:rStyle w:val="FootnoteReference"/>
        </w:rPr>
        <w:footnoteRef/>
      </w:r>
      <w:r w:rsidRPr="00746712">
        <w:t xml:space="preserve"> OCC’s Motion for Subpoenas at 1-2 (October 4, 2019).</w:t>
      </w:r>
    </w:p>
  </w:footnote>
  <w:footnote w:id="43">
    <w:p w:rsidR="003D63EC" w:rsidRPr="00746712" w:rsidP="00746712" w14:paraId="75E0604F" w14:textId="77777777">
      <w:pPr>
        <w:pStyle w:val="FootnoteText"/>
      </w:pPr>
      <w:r w:rsidRPr="00746712">
        <w:rPr>
          <w:rStyle w:val="FootnoteReference"/>
        </w:rPr>
        <w:footnoteRef/>
      </w:r>
      <w:r w:rsidRPr="00746712">
        <w:t xml:space="preserve"> Tr. Vol. I at 36; Tr. Vol. II at 317-18. </w:t>
      </w:r>
    </w:p>
  </w:footnote>
  <w:footnote w:id="44">
    <w:p w:rsidR="003D63EC" w:rsidRPr="00746712" w:rsidP="00746712" w14:paraId="3BDBAA50" w14:textId="77777777">
      <w:pPr>
        <w:pStyle w:val="FootnoteText"/>
      </w:pPr>
      <w:r w:rsidRPr="00746712">
        <w:rPr>
          <w:rStyle w:val="FootnoteReference"/>
        </w:rPr>
        <w:footnoteRef/>
      </w:r>
      <w:r w:rsidRPr="00746712">
        <w:t xml:space="preserve"> Order, at ¶62.</w:t>
      </w:r>
    </w:p>
  </w:footnote>
  <w:footnote w:id="45">
    <w:p w:rsidR="003D63EC" w:rsidRPr="00746712" w:rsidP="00746712" w14:paraId="7521A363" w14:textId="77777777">
      <w:pPr>
        <w:pStyle w:val="FootnoteText"/>
      </w:pPr>
      <w:r w:rsidRPr="00746712">
        <w:rPr>
          <w:rStyle w:val="FootnoteReference"/>
        </w:rPr>
        <w:footnoteRef/>
      </w:r>
      <w:r w:rsidRPr="00746712">
        <w:t xml:space="preserve"> However, these records kept in the normal course of the PUCO’s business should have been treated as an exception to the hearsay rule under Ohio Rules of Evidence 803(6), the business records exception. </w:t>
      </w:r>
    </w:p>
  </w:footnote>
  <w:footnote w:id="46">
    <w:p w:rsidR="003D63EC" w:rsidRPr="00746712" w:rsidP="00746712" w14:paraId="2686157C" w14:textId="77777777">
      <w:pPr>
        <w:pStyle w:val="FootnoteText"/>
      </w:pPr>
      <w:r w:rsidRPr="00746712">
        <w:rPr>
          <w:rStyle w:val="FootnoteReference"/>
        </w:rPr>
        <w:footnoteRef/>
      </w:r>
      <w:r w:rsidRPr="00746712">
        <w:t xml:space="preserve"> The Columbus Dispatch, </w:t>
      </w:r>
      <w:r w:rsidRPr="00746712">
        <w:rPr>
          <w:i/>
          <w:iCs/>
        </w:rPr>
        <w:t xml:space="preserve">Kasich friends in high demand </w:t>
      </w:r>
      <w:r w:rsidRPr="00746712">
        <w:t xml:space="preserve">(May 23, 2011): https://www.dispatch.com/article/20110523/NEWS/305239825. </w:t>
      </w:r>
    </w:p>
  </w:footnote>
  <w:footnote w:id="47">
    <w:p w:rsidR="003D63EC" w:rsidRPr="00746712" w:rsidP="00746712" w14:paraId="00F30E17" w14:textId="77777777">
      <w:pPr>
        <w:pStyle w:val="FootnoteText"/>
      </w:pPr>
      <w:r w:rsidRPr="00746712">
        <w:rPr>
          <w:rStyle w:val="FootnoteReference"/>
        </w:rPr>
        <w:footnoteRef/>
      </w:r>
      <w:r w:rsidRPr="00746712">
        <w:t xml:space="preserve"> </w:t>
      </w:r>
      <w:hyperlink r:id="rId1" w:history="1">
        <w:r w:rsidRPr="00746712">
          <w:rPr>
            <w:rStyle w:val="Hyperlink"/>
          </w:rPr>
          <w:t>https://www.opsb.ohio.gov/rules/2020-rule-review/</w:t>
        </w:r>
      </w:hyperlink>
      <w:r w:rsidRPr="00746712">
        <w:rPr>
          <w:rStyle w:val="Hyperlink"/>
          <w:u w:val="none"/>
        </w:rPr>
        <w:t>.</w:t>
      </w:r>
    </w:p>
  </w:footnote>
  <w:footnote w:id="48">
    <w:p w:rsidR="003D63EC" w:rsidRPr="00746712" w:rsidP="00746712" w14:paraId="07704C3F" w14:textId="77777777">
      <w:pPr>
        <w:pStyle w:val="FootnoteText"/>
      </w:pPr>
      <w:r w:rsidRPr="00746712">
        <w:rPr>
          <w:rStyle w:val="FootnoteReference"/>
        </w:rPr>
        <w:footnoteRef/>
      </w:r>
      <w:r w:rsidRPr="00746712">
        <w:t xml:space="preserve"> </w:t>
      </w:r>
      <w:r w:rsidRPr="00746712">
        <w:rPr>
          <w:i/>
          <w:iCs/>
        </w:rPr>
        <w:t xml:space="preserve">See e.g. </w:t>
      </w:r>
      <w:r w:rsidRPr="00746712">
        <w:t>OCC Initial Brief, note 46.</w:t>
      </w:r>
    </w:p>
  </w:footnote>
  <w:footnote w:id="49">
    <w:p w:rsidR="003D63EC" w:rsidRPr="00746712" w:rsidP="00746712" w14:paraId="7A29AFBA" w14:textId="77777777">
      <w:pPr>
        <w:pStyle w:val="FootnoteText"/>
      </w:pPr>
      <w:r w:rsidRPr="00746712">
        <w:rPr>
          <w:rStyle w:val="FootnoteReference"/>
        </w:rPr>
        <w:footnoteRef/>
      </w:r>
      <w:r w:rsidRPr="00746712">
        <w:t xml:space="preserve"> Order at ¶62.</w:t>
      </w:r>
    </w:p>
  </w:footnote>
  <w:footnote w:id="50">
    <w:p w:rsidR="003D63EC" w:rsidRPr="00746712" w:rsidP="00746712" w14:paraId="2C4769AC" w14:textId="77777777">
      <w:pPr>
        <w:pStyle w:val="FootnoteText"/>
        <w:rPr>
          <w:i/>
          <w:iCs/>
        </w:rPr>
      </w:pPr>
      <w:r w:rsidRPr="00746712">
        <w:rPr>
          <w:rStyle w:val="FootnoteReference"/>
        </w:rPr>
        <w:footnoteRef/>
      </w:r>
      <w:r w:rsidRPr="00746712">
        <w:t xml:space="preserve"> </w:t>
      </w:r>
      <w:r w:rsidRPr="00746712">
        <w:rPr>
          <w:i/>
          <w:iCs/>
        </w:rPr>
        <w:t>Id.</w:t>
      </w:r>
    </w:p>
  </w:footnote>
  <w:footnote w:id="51">
    <w:p w:rsidR="003D63EC" w:rsidRPr="00746712" w:rsidP="00746712" w14:paraId="4AADA75A" w14:textId="77777777">
      <w:pPr>
        <w:pStyle w:val="FootnoteText"/>
      </w:pPr>
      <w:r w:rsidRPr="00746712">
        <w:rPr>
          <w:rStyle w:val="FootnoteReference"/>
        </w:rPr>
        <w:footnoteRef/>
      </w:r>
      <w:r w:rsidRPr="00746712">
        <w:t xml:space="preserve"> </w:t>
      </w:r>
      <w:r w:rsidRPr="00746712">
        <w:rPr>
          <w:i/>
          <w:iCs/>
        </w:rPr>
        <w:t xml:space="preserve">See </w:t>
      </w:r>
      <w:r w:rsidRPr="00746712">
        <w:t>OCC Initial Brief, note 46.</w:t>
      </w:r>
    </w:p>
  </w:footnote>
  <w:footnote w:id="52">
    <w:p w:rsidR="003D63EC" w:rsidRPr="00746712" w:rsidP="00746712" w14:paraId="02FA068F" w14:textId="77777777">
      <w:pPr>
        <w:pStyle w:val="FootnoteText"/>
      </w:pPr>
      <w:r w:rsidRPr="00746712">
        <w:rPr>
          <w:rStyle w:val="FootnoteReference"/>
        </w:rPr>
        <w:footnoteRef/>
      </w:r>
      <w:r w:rsidRPr="00746712">
        <w:t xml:space="preserve"> Order at ¶ 59.</w:t>
      </w:r>
    </w:p>
  </w:footnote>
  <w:footnote w:id="53">
    <w:p w:rsidR="003D63EC" w:rsidRPr="00746712" w:rsidP="00746712" w14:paraId="4CDA4DC7" w14:textId="77777777">
      <w:pPr>
        <w:pStyle w:val="FootnoteText"/>
      </w:pPr>
      <w:r w:rsidRPr="00746712">
        <w:rPr>
          <w:rStyle w:val="FootnoteReference"/>
        </w:rPr>
        <w:footnoteRef/>
      </w:r>
      <w:r w:rsidRPr="00746712">
        <w:t xml:space="preserve"> Staff Report at 27.</w:t>
      </w:r>
    </w:p>
  </w:footnote>
  <w:footnote w:id="54">
    <w:p w:rsidR="003D63EC" w:rsidRPr="00746712" w:rsidP="00746712" w14:paraId="6DE69D1D" w14:textId="77777777">
      <w:pPr>
        <w:pStyle w:val="FootnoteText"/>
      </w:pPr>
      <w:r w:rsidRPr="00746712">
        <w:rPr>
          <w:rStyle w:val="FootnoteReference"/>
        </w:rPr>
        <w:footnoteRef/>
      </w:r>
      <w:r w:rsidRPr="00746712">
        <w:t xml:space="preserve"> </w:t>
      </w:r>
      <w:r w:rsidRPr="00746712">
        <w:rPr>
          <w:i/>
        </w:rPr>
        <w:t>Id</w:t>
      </w:r>
      <w:r w:rsidRPr="00746712">
        <w:t>. at ¶¶59-71.</w:t>
      </w:r>
    </w:p>
  </w:footnote>
  <w:footnote w:id="55">
    <w:p w:rsidR="003D63EC" w:rsidRPr="00746712" w:rsidP="00746712" w14:paraId="43265FDD" w14:textId="77777777">
      <w:pPr>
        <w:pStyle w:val="FootnoteText"/>
      </w:pPr>
      <w:r w:rsidRPr="00746712">
        <w:rPr>
          <w:rStyle w:val="FootnoteReference"/>
        </w:rPr>
        <w:footnoteRef/>
      </w:r>
      <w:r w:rsidRPr="00746712">
        <w:t xml:space="preserve"> R.C. 4928.16(B)(1) and R.C. 492.24(B)(1).</w:t>
      </w:r>
    </w:p>
  </w:footnote>
  <w:footnote w:id="56">
    <w:p w:rsidR="003D63EC" w:rsidRPr="00746712" w:rsidP="00746712" w14:paraId="323884B7" w14:textId="77777777">
      <w:pPr>
        <w:pStyle w:val="FootnoteText"/>
      </w:pPr>
      <w:r w:rsidRPr="00746712">
        <w:rPr>
          <w:rStyle w:val="FootnoteReference"/>
        </w:rPr>
        <w:footnoteRef/>
      </w:r>
      <w:r w:rsidRPr="00746712">
        <w:t xml:space="preserve"> Order at ¶59.</w:t>
      </w:r>
    </w:p>
  </w:footnote>
  <w:footnote w:id="57">
    <w:p w:rsidR="003D63EC" w:rsidRPr="00746712" w:rsidP="00746712" w14:paraId="3D483BBE" w14:textId="77777777">
      <w:pPr>
        <w:pStyle w:val="FootnoteText"/>
      </w:pPr>
      <w:r w:rsidRPr="00746712">
        <w:rPr>
          <w:rStyle w:val="FootnoteReference"/>
        </w:rPr>
        <w:footnoteRef/>
      </w:r>
      <w:r w:rsidRPr="00746712">
        <w:t xml:space="preserve"> Staff Report, at 26.</w:t>
      </w:r>
    </w:p>
  </w:footnote>
  <w:footnote w:id="58">
    <w:p w:rsidR="003D63EC" w:rsidRPr="00746712" w:rsidP="00746712" w14:paraId="1728CB02" w14:textId="77777777">
      <w:pPr>
        <w:pStyle w:val="FootnoteText"/>
      </w:pPr>
      <w:r w:rsidRPr="00746712">
        <w:rPr>
          <w:rStyle w:val="FootnoteReference"/>
        </w:rPr>
        <w:footnoteRef/>
      </w:r>
      <w:r w:rsidRPr="00746712">
        <w:t xml:space="preserve"> Order at ¶67.</w:t>
      </w:r>
    </w:p>
  </w:footnote>
  <w:footnote w:id="59">
    <w:p w:rsidR="003D63EC" w:rsidRPr="00746712" w:rsidP="00746712" w14:paraId="1300BD2F" w14:textId="77777777">
      <w:pPr>
        <w:pStyle w:val="FootnoteText"/>
      </w:pPr>
      <w:r w:rsidRPr="00746712">
        <w:rPr>
          <w:rStyle w:val="FootnoteReference"/>
        </w:rPr>
        <w:footnoteRef/>
      </w:r>
      <w:r w:rsidRPr="00746712">
        <w:t xml:space="preserve"> Jt. Ex. 1 at 4 (emphasis added). </w:t>
      </w:r>
    </w:p>
  </w:footnote>
  <w:footnote w:id="60">
    <w:p w:rsidR="003D63EC" w:rsidRPr="00746712" w:rsidP="00746712" w14:paraId="1E66630E" w14:textId="77777777">
      <w:pPr>
        <w:pStyle w:val="FootnoteText"/>
      </w:pPr>
      <w:r w:rsidRPr="00746712">
        <w:rPr>
          <w:rStyle w:val="FootnoteReference"/>
        </w:rPr>
        <w:footnoteRef/>
      </w:r>
      <w:r w:rsidRPr="00746712">
        <w:t xml:space="preserve"> Staff Report at 27.</w:t>
      </w:r>
    </w:p>
  </w:footnote>
  <w:footnote w:id="61">
    <w:p w:rsidR="003D63EC" w:rsidRPr="00746712" w:rsidP="00746712" w14:paraId="58F2E5A7" w14:textId="77777777">
      <w:pPr>
        <w:pStyle w:val="FootnoteText"/>
      </w:pPr>
      <w:r w:rsidRPr="00746712">
        <w:rPr>
          <w:rStyle w:val="FootnoteReference"/>
        </w:rPr>
        <w:footnoteRef/>
      </w:r>
      <w:r w:rsidRPr="00746712">
        <w:t xml:space="preserve"> Staff Report at 5.</w:t>
      </w:r>
    </w:p>
  </w:footnote>
  <w:footnote w:id="62">
    <w:p w:rsidR="003D63EC" w:rsidRPr="00746712" w:rsidP="00746712" w14:paraId="79612223" w14:textId="77777777">
      <w:pPr>
        <w:pStyle w:val="FootnoteText"/>
      </w:pPr>
      <w:r w:rsidRPr="00746712">
        <w:rPr>
          <w:rStyle w:val="FootnoteReference"/>
        </w:rPr>
        <w:footnoteRef/>
      </w:r>
      <w:r w:rsidRPr="00746712">
        <w:t xml:space="preserve"> Order at ¶65.</w:t>
      </w:r>
    </w:p>
  </w:footnote>
  <w:footnote w:id="63">
    <w:p w:rsidR="003D63EC" w:rsidRPr="00746712" w:rsidP="00746712" w14:paraId="1E679D31" w14:textId="77777777">
      <w:pPr>
        <w:pStyle w:val="FootnoteText"/>
      </w:pPr>
      <w:r w:rsidRPr="00746712">
        <w:rPr>
          <w:rStyle w:val="FootnoteReference"/>
        </w:rPr>
        <w:footnoteRef/>
      </w:r>
      <w:r w:rsidRPr="00746712">
        <w:t xml:space="preserve"> Joint Ex. 1 at 4.</w:t>
      </w:r>
    </w:p>
  </w:footnote>
  <w:footnote w:id="64">
    <w:p w:rsidR="003D63EC" w:rsidRPr="00746712" w:rsidP="00746712" w14:paraId="080619AD" w14:textId="77777777">
      <w:pPr>
        <w:pStyle w:val="FootnoteText"/>
      </w:pPr>
      <w:r w:rsidRPr="00746712">
        <w:rPr>
          <w:rStyle w:val="FootnoteReference"/>
        </w:rPr>
        <w:footnoteRef/>
      </w:r>
      <w:r w:rsidRPr="00746712">
        <w:t xml:space="preserve"> Order at ¶65.</w:t>
      </w:r>
    </w:p>
  </w:footnote>
  <w:footnote w:id="65">
    <w:p w:rsidR="003D63EC" w:rsidRPr="00746712" w:rsidP="00746712" w14:paraId="6D13B027" w14:textId="77777777">
      <w:pPr>
        <w:pStyle w:val="FootnoteText"/>
      </w:pPr>
      <w:r w:rsidRPr="00746712">
        <w:rPr>
          <w:rStyle w:val="FootnoteReference"/>
        </w:rPr>
        <w:footnoteRef/>
      </w:r>
      <w:r w:rsidRPr="00746712">
        <w:t xml:space="preserve"> </w:t>
      </w:r>
      <w:r w:rsidRPr="00746712">
        <w:rPr>
          <w:i/>
          <w:iCs/>
        </w:rPr>
        <w:t xml:space="preserve">See e.g. </w:t>
      </w:r>
      <w:r w:rsidRPr="00746712">
        <w:t xml:space="preserve">OCC Ex. 17, PUCO Case Report 00244217, at 54 (1/24/19 e-mail from Verde representative Louise Bourgeois to PUCO Staff admitting that the customer did not receive an expiration notice as required by the PUCO’s rules); and OCC Ex. 7 (PUCO Case Report 00257020); </w:t>
      </w:r>
      <w:r w:rsidRPr="00746712">
        <w:rPr>
          <w:i/>
          <w:iCs/>
        </w:rPr>
        <w:t xml:space="preserve">See also </w:t>
      </w:r>
      <w:r w:rsidRPr="00746712">
        <w:t xml:space="preserve">OCC Ex. 19B (Williams Direct) at 23-24. </w:t>
      </w:r>
    </w:p>
  </w:footnote>
  <w:footnote w:id="66">
    <w:p w:rsidR="003D63EC" w:rsidRPr="00746712" w:rsidP="00746712" w14:paraId="2759ABC0" w14:textId="77777777">
      <w:pPr>
        <w:pStyle w:val="FootnoteText"/>
      </w:pPr>
      <w:r w:rsidRPr="00746712">
        <w:rPr>
          <w:rStyle w:val="FootnoteReference"/>
        </w:rPr>
        <w:footnoteRef/>
      </w:r>
      <w:r w:rsidRPr="00746712">
        <w:t xml:space="preserve"> Staff Report at 27.</w:t>
      </w:r>
    </w:p>
  </w:footnote>
  <w:footnote w:id="67">
    <w:p w:rsidR="003D63EC" w:rsidRPr="00746712" w:rsidP="00746712" w14:paraId="361EA7A9" w14:textId="77777777">
      <w:pPr>
        <w:pStyle w:val="FootnoteText"/>
      </w:pPr>
      <w:r w:rsidRPr="00746712">
        <w:rPr>
          <w:rStyle w:val="FootnoteReference"/>
        </w:rPr>
        <w:footnoteRef/>
      </w:r>
      <w:r w:rsidRPr="00746712">
        <w:t xml:space="preserve"> R.C. 4928.16 (electric) and R.C. 4929.24 (natural gas).</w:t>
      </w:r>
    </w:p>
  </w:footnote>
  <w:footnote w:id="68">
    <w:p w:rsidR="003D63EC" w:rsidRPr="00746712" w:rsidP="00746712" w14:paraId="5112E01A" w14:textId="77777777">
      <w:pPr>
        <w:pStyle w:val="FootnoteText"/>
      </w:pPr>
      <w:r w:rsidRPr="00746712">
        <w:rPr>
          <w:rStyle w:val="FootnoteReference"/>
        </w:rPr>
        <w:footnoteRef/>
      </w:r>
      <w:r w:rsidRPr="00746712">
        <w:t xml:space="preserve"> Staff Report at 25.</w:t>
      </w:r>
    </w:p>
  </w:footnote>
  <w:footnote w:id="69">
    <w:p w:rsidR="003D63EC" w:rsidRPr="00746712" w:rsidP="00746712" w14:paraId="5C2C19E3" w14:textId="77777777">
      <w:pPr>
        <w:pStyle w:val="FootnoteText"/>
      </w:pPr>
      <w:r w:rsidRPr="00746712">
        <w:rPr>
          <w:rStyle w:val="FootnoteReference"/>
        </w:rPr>
        <w:footnoteRef/>
      </w:r>
      <w:r w:rsidRPr="00746712">
        <w:t xml:space="preserve"> Order at ¶70.</w:t>
      </w:r>
    </w:p>
  </w:footnote>
  <w:footnote w:id="70">
    <w:p w:rsidR="003D63EC" w:rsidRPr="00746712" w:rsidP="00746712" w14:paraId="22EA0E81" w14:textId="77777777">
      <w:pPr>
        <w:pStyle w:val="FootnoteText"/>
        <w:rPr>
          <w:i/>
          <w:iCs/>
        </w:rPr>
      </w:pPr>
      <w:r w:rsidRPr="00746712">
        <w:rPr>
          <w:rStyle w:val="FootnoteReference"/>
        </w:rPr>
        <w:footnoteRef/>
      </w:r>
      <w:r w:rsidRPr="00746712">
        <w:t xml:space="preserve"> </w:t>
      </w:r>
      <w:r w:rsidRPr="00746712">
        <w:rPr>
          <w:i/>
          <w:iCs/>
        </w:rPr>
        <w:t>Id.</w:t>
      </w:r>
    </w:p>
  </w:footnote>
  <w:footnote w:id="71">
    <w:p w:rsidR="003D63EC" w:rsidRPr="00746712" w:rsidP="00746712" w14:paraId="083B3A11" w14:textId="77777777">
      <w:pPr>
        <w:pStyle w:val="FootnoteText"/>
        <w:rPr>
          <w:i/>
          <w:iCs/>
        </w:rPr>
      </w:pPr>
      <w:r w:rsidRPr="00746712">
        <w:rPr>
          <w:rStyle w:val="FootnoteReference"/>
        </w:rPr>
        <w:footnoteRef/>
      </w:r>
      <w:r w:rsidRPr="00746712">
        <w:t xml:space="preserve"> </w:t>
      </w:r>
      <w:r w:rsidRPr="00746712">
        <w:rPr>
          <w:i/>
          <w:iCs/>
        </w:rPr>
        <w:t>Id.</w:t>
      </w:r>
    </w:p>
  </w:footnote>
  <w:footnote w:id="72">
    <w:p w:rsidR="003D63EC" w:rsidRPr="00746712" w:rsidP="00746712" w14:paraId="632F516D" w14:textId="77777777">
      <w:pPr>
        <w:pStyle w:val="FootnoteText"/>
      </w:pPr>
      <w:r w:rsidRPr="00746712">
        <w:rPr>
          <w:rStyle w:val="FootnoteReference"/>
        </w:rPr>
        <w:footnoteRef/>
      </w:r>
      <w:r w:rsidRPr="00746712">
        <w:t xml:space="preserve"> Order at ¶70.</w:t>
      </w:r>
    </w:p>
  </w:footnote>
  <w:footnote w:id="73">
    <w:p w:rsidR="003D63EC" w:rsidRPr="00746712" w:rsidP="00746712" w14:paraId="2953A5BB" w14:textId="77777777">
      <w:pPr>
        <w:pStyle w:val="FootnoteText"/>
      </w:pPr>
      <w:r w:rsidRPr="00746712">
        <w:rPr>
          <w:rStyle w:val="FootnoteReference"/>
        </w:rPr>
        <w:footnoteRef/>
      </w:r>
      <w:r w:rsidRPr="00746712">
        <w:t xml:space="preserve"> OCC Ex. 1 (Alexander Direct) at 13.</w:t>
      </w:r>
    </w:p>
  </w:footnote>
  <w:footnote w:id="74">
    <w:p w:rsidR="003D63EC" w:rsidRPr="00746712" w:rsidP="00746712" w14:paraId="0909B654" w14:textId="77777777">
      <w:pPr>
        <w:pStyle w:val="FootnoteText"/>
      </w:pPr>
      <w:r w:rsidRPr="00746712">
        <w:rPr>
          <w:rStyle w:val="FootnoteReference"/>
        </w:rPr>
        <w:footnoteRef/>
      </w:r>
      <w:r w:rsidRPr="00746712">
        <w:t xml:space="preserve"> </w:t>
      </w:r>
      <w:r w:rsidRPr="00746712">
        <w:rPr>
          <w:i/>
          <w:iCs/>
        </w:rPr>
        <w:t>See e.g. id.</w:t>
      </w:r>
      <w:r w:rsidRPr="00746712">
        <w:t xml:space="preserve"> at 17-33.</w:t>
      </w:r>
    </w:p>
  </w:footnote>
  <w:footnote w:id="75">
    <w:p w:rsidR="003D63EC" w:rsidRPr="00746712" w:rsidP="00746712" w14:paraId="54A45B41" w14:textId="77777777">
      <w:pPr>
        <w:pStyle w:val="FootnoteText"/>
      </w:pPr>
      <w:r w:rsidRPr="00746712">
        <w:rPr>
          <w:rStyle w:val="FootnoteReference"/>
        </w:rPr>
        <w:footnoteRef/>
      </w:r>
      <w:r w:rsidRPr="00746712">
        <w:t xml:space="preserve"> Order at ¶70.</w:t>
      </w:r>
    </w:p>
  </w:footnote>
  <w:footnote w:id="76">
    <w:p w:rsidR="003D63EC" w:rsidRPr="00746712" w:rsidP="00746712" w14:paraId="404DA2EE" w14:textId="77777777">
      <w:pPr>
        <w:pStyle w:val="FootnoteText"/>
      </w:pPr>
      <w:r w:rsidRPr="00746712">
        <w:rPr>
          <w:rStyle w:val="FootnoteReference"/>
        </w:rPr>
        <w:footnoteRef/>
      </w:r>
      <w:r w:rsidRPr="00746712">
        <w:t xml:space="preserve"> Staff Report at 24-25.</w:t>
      </w:r>
    </w:p>
  </w:footnote>
  <w:footnote w:id="77">
    <w:p w:rsidR="003D63EC" w:rsidRPr="00746712" w:rsidP="00746712" w14:paraId="7D7067E3" w14:textId="77777777">
      <w:pPr>
        <w:pStyle w:val="FootnoteText"/>
      </w:pPr>
      <w:r w:rsidRPr="00746712">
        <w:rPr>
          <w:rStyle w:val="FootnoteReference"/>
        </w:rPr>
        <w:footnoteRef/>
      </w:r>
      <w:r w:rsidRPr="00746712">
        <w:t xml:space="preserve"> </w:t>
      </w:r>
      <w:r w:rsidRPr="00746712">
        <w:rPr>
          <w:i/>
          <w:iCs/>
        </w:rPr>
        <w:t>Id.</w:t>
      </w:r>
      <w:r w:rsidRPr="00746712">
        <w:t xml:space="preserve"> at 24.</w:t>
      </w:r>
    </w:p>
  </w:footnote>
  <w:footnote w:id="78">
    <w:p w:rsidR="003D63EC" w:rsidRPr="00746712" w:rsidP="00746712" w14:paraId="5C4E7117" w14:textId="77777777">
      <w:pPr>
        <w:pStyle w:val="FootnoteText"/>
      </w:pPr>
      <w:r w:rsidRPr="00746712">
        <w:rPr>
          <w:rStyle w:val="FootnoteReference"/>
        </w:rPr>
        <w:footnoteRef/>
      </w:r>
      <w:r w:rsidRPr="00746712">
        <w:t xml:space="preserve"> O.R.C. 4928.02(A), O.R.C. 4929.02(A)(1).</w:t>
      </w:r>
    </w:p>
  </w:footnote>
  <w:footnote w:id="79">
    <w:p w:rsidR="003D63EC" w:rsidRPr="00746712" w:rsidP="00746712" w14:paraId="4855627C" w14:textId="77777777">
      <w:pPr>
        <w:pStyle w:val="FootnoteText"/>
      </w:pPr>
      <w:r w:rsidRPr="00746712">
        <w:rPr>
          <w:rStyle w:val="FootnoteReference"/>
        </w:rPr>
        <w:footnoteRef/>
      </w:r>
      <w:r w:rsidRPr="00746712">
        <w:t xml:space="preserve"> O.R.C. 4928.08(B), O.R.C. 4929.20(A).</w:t>
      </w:r>
    </w:p>
  </w:footnote>
  <w:footnote w:id="80">
    <w:p w:rsidR="003D63EC" w:rsidRPr="00746712" w:rsidP="00746712" w14:paraId="0EB014CE" w14:textId="77777777">
      <w:pPr>
        <w:pStyle w:val="FootnoteText"/>
      </w:pPr>
      <w:r w:rsidRPr="00746712">
        <w:rPr>
          <w:rStyle w:val="FootnoteReference"/>
        </w:rPr>
        <w:footnoteRef/>
      </w:r>
      <w:r w:rsidRPr="00746712">
        <w:t xml:space="preserve"> Staff Report, at 25.</w:t>
      </w:r>
    </w:p>
  </w:footnote>
  <w:footnote w:id="81">
    <w:p w:rsidR="003D63EC" w:rsidRPr="00746712" w:rsidP="00746712" w14:paraId="141AC994" w14:textId="77777777">
      <w:pPr>
        <w:pStyle w:val="FootnoteText"/>
        <w:rPr>
          <w:i/>
          <w:iCs/>
        </w:rPr>
      </w:pPr>
      <w:r w:rsidRPr="00746712">
        <w:rPr>
          <w:rStyle w:val="FootnoteReference"/>
        </w:rPr>
        <w:footnoteRef/>
      </w:r>
      <w:r w:rsidRPr="00746712">
        <w:t xml:space="preserve"> </w:t>
      </w:r>
      <w:r w:rsidRPr="00746712">
        <w:rPr>
          <w:i/>
          <w:iCs/>
        </w:rPr>
        <w:t>Id.</w:t>
      </w:r>
    </w:p>
  </w:footnote>
  <w:footnote w:id="82">
    <w:p w:rsidR="003D63EC" w:rsidRPr="00746712" w:rsidP="00746712" w14:paraId="62B3E2B8" w14:textId="77777777">
      <w:pPr>
        <w:pStyle w:val="FootnoteText"/>
      </w:pPr>
      <w:r w:rsidRPr="00746712">
        <w:rPr>
          <w:rStyle w:val="FootnoteReference"/>
        </w:rPr>
        <w:footnoteRef/>
      </w:r>
      <w:r w:rsidRPr="00746712">
        <w:t xml:space="preserve"> </w:t>
      </w:r>
      <w:r w:rsidRPr="00746712">
        <w:rPr>
          <w:i/>
          <w:iCs/>
        </w:rPr>
        <w:t>See e.g.</w:t>
      </w:r>
      <w:r w:rsidRPr="00746712">
        <w:t xml:space="preserve"> OCC Ex. 19C (Williams Confidential Direct) at 17, 19.</w:t>
      </w:r>
    </w:p>
  </w:footnote>
  <w:footnote w:id="83">
    <w:p w:rsidR="003D63EC" w:rsidRPr="00746712" w:rsidP="00746712" w14:paraId="2A0D9046" w14:textId="77777777">
      <w:pPr>
        <w:pStyle w:val="FootnoteText"/>
      </w:pPr>
      <w:r w:rsidRPr="00746712">
        <w:rPr>
          <w:rStyle w:val="FootnoteReference"/>
        </w:rPr>
        <w:footnoteRef/>
      </w:r>
      <w:r w:rsidRPr="00746712">
        <w:t xml:space="preserve"> O.R.C. 4928.08(B), O.R.C. 4929.20(A).</w:t>
      </w:r>
    </w:p>
  </w:footnote>
  <w:footnote w:id="84">
    <w:p w:rsidR="003D63EC" w:rsidRPr="00746712" w:rsidP="00746712" w14:paraId="6564A8B1" w14:textId="77777777">
      <w:pPr>
        <w:pStyle w:val="FootnoteText"/>
      </w:pPr>
      <w:r w:rsidRPr="00746712">
        <w:rPr>
          <w:rStyle w:val="FootnoteReference"/>
        </w:rPr>
        <w:footnoteRef/>
      </w:r>
      <w:r w:rsidRPr="00746712">
        <w:t xml:space="preserve"> Joint Ex. 1, at 3.</w:t>
      </w:r>
    </w:p>
  </w:footnote>
  <w:footnote w:id="85">
    <w:p w:rsidR="003D63EC" w:rsidRPr="00746712" w:rsidP="00746712" w14:paraId="61A87148" w14:textId="77777777">
      <w:pPr>
        <w:pStyle w:val="FootnoteText"/>
        <w:rPr>
          <w:i/>
          <w:iCs/>
        </w:rPr>
      </w:pPr>
      <w:r w:rsidRPr="00746712">
        <w:rPr>
          <w:rStyle w:val="FootnoteReference"/>
        </w:rPr>
        <w:footnoteRef/>
      </w:r>
      <w:r w:rsidRPr="00746712">
        <w:t xml:space="preserve"> OCC Ex. 19B (Williams Direct) at 11.</w:t>
      </w:r>
    </w:p>
  </w:footnote>
  <w:footnote w:id="86">
    <w:p w:rsidR="003D63EC" w:rsidRPr="00746712" w:rsidP="00746712" w14:paraId="160EAEFA" w14:textId="77777777">
      <w:pPr>
        <w:pStyle w:val="FootnoteText"/>
      </w:pPr>
      <w:r w:rsidRPr="00746712">
        <w:rPr>
          <w:rStyle w:val="FootnoteReference"/>
        </w:rPr>
        <w:footnoteRef/>
      </w:r>
      <w:r w:rsidRPr="00746712">
        <w:t xml:space="preserve"> Staff Report at 27.</w:t>
      </w:r>
    </w:p>
  </w:footnote>
  <w:footnote w:id="87">
    <w:p w:rsidR="003D63EC" w:rsidRPr="00746712" w:rsidP="00746712" w14:paraId="4C5B5BCD" w14:textId="77777777">
      <w:pPr>
        <w:pStyle w:val="FootnoteText"/>
      </w:pPr>
      <w:r w:rsidRPr="00746712">
        <w:rPr>
          <w:rStyle w:val="FootnoteReference"/>
        </w:rPr>
        <w:footnoteRef/>
      </w:r>
      <w:r w:rsidRPr="00746712">
        <w:t xml:space="preserve"> </w:t>
      </w:r>
      <w:r w:rsidRPr="00746712">
        <w:rPr>
          <w:i/>
          <w:iCs/>
        </w:rPr>
        <w:t xml:space="preserve">Id. </w:t>
      </w:r>
      <w:r w:rsidRPr="00746712">
        <w:t>at 27.</w:t>
      </w:r>
    </w:p>
  </w:footnote>
  <w:footnote w:id="88">
    <w:p w:rsidR="003D63EC" w:rsidRPr="00746712" w:rsidP="00746712" w14:paraId="67DD9D0A" w14:textId="77777777">
      <w:pPr>
        <w:pStyle w:val="FootnoteText"/>
      </w:pPr>
      <w:r w:rsidRPr="00746712">
        <w:rPr>
          <w:rStyle w:val="FootnoteReference"/>
        </w:rPr>
        <w:footnoteRef/>
      </w:r>
      <w:r w:rsidRPr="00746712">
        <w:t xml:space="preserve"> OCC Ex. 1 (Alexander Direct) at 10.</w:t>
      </w:r>
    </w:p>
  </w:footnote>
  <w:footnote w:id="89">
    <w:p w:rsidR="003D63EC" w:rsidRPr="00746712" w:rsidP="00746712" w14:paraId="3BDE731B" w14:textId="77777777">
      <w:pPr>
        <w:pStyle w:val="FootnoteText"/>
      </w:pPr>
      <w:r w:rsidRPr="00746712">
        <w:rPr>
          <w:rStyle w:val="FootnoteReference"/>
        </w:rPr>
        <w:footnoteRef/>
      </w:r>
      <w:r w:rsidRPr="00746712">
        <w:t xml:space="preserve"> Joint Ex. 1 at 4. </w:t>
      </w:r>
    </w:p>
  </w:footnote>
  <w:footnote w:id="90">
    <w:p w:rsidR="003D63EC" w:rsidRPr="00746712" w:rsidP="00746712" w14:paraId="5FF2B0EB" w14:textId="77777777">
      <w:pPr>
        <w:pStyle w:val="FootnoteText"/>
      </w:pPr>
      <w:r w:rsidRPr="00746712">
        <w:rPr>
          <w:rStyle w:val="FootnoteReference"/>
        </w:rPr>
        <w:footnoteRef/>
      </w:r>
      <w:r w:rsidRPr="00746712">
        <w:t xml:space="preserve"> OCC Ex. 1 (Alexander Direct) at 13.</w:t>
      </w:r>
    </w:p>
  </w:footnote>
  <w:footnote w:id="91">
    <w:p w:rsidR="003D63EC" w:rsidRPr="00746712" w:rsidP="00746712" w14:paraId="7C7A069A" w14:textId="77777777">
      <w:pPr>
        <w:pStyle w:val="FootnoteText"/>
      </w:pPr>
      <w:r w:rsidRPr="00746712">
        <w:rPr>
          <w:rStyle w:val="FootnoteReference"/>
        </w:rPr>
        <w:footnoteRef/>
      </w:r>
      <w:r w:rsidRPr="00746712">
        <w:t xml:space="preserve"> </w:t>
      </w:r>
      <w:r w:rsidRPr="00746712">
        <w:rPr>
          <w:i/>
          <w:iCs/>
        </w:rPr>
        <w:t>Id.</w:t>
      </w:r>
      <w:r w:rsidRPr="00746712">
        <w:t xml:space="preserve"> at BRA-12.</w:t>
      </w:r>
    </w:p>
  </w:footnote>
  <w:footnote w:id="92">
    <w:p w:rsidR="003D63EC" w:rsidRPr="00746712" w:rsidP="00746712" w14:paraId="705C3CFA" w14:textId="77777777">
      <w:pPr>
        <w:pStyle w:val="FootnoteText"/>
      </w:pPr>
      <w:r w:rsidRPr="00746712">
        <w:rPr>
          <w:rStyle w:val="FootnoteReference"/>
        </w:rPr>
        <w:footnoteRef/>
      </w:r>
      <w:r w:rsidRPr="00746712">
        <w:t xml:space="preserve"> </w:t>
      </w:r>
      <w:r w:rsidRPr="00746712">
        <w:rPr>
          <w:i/>
          <w:iCs/>
        </w:rPr>
        <w:t>Id.</w:t>
      </w:r>
      <w:r w:rsidRPr="00746712">
        <w:t xml:space="preserve"> at BRA-12.</w:t>
      </w:r>
    </w:p>
  </w:footnote>
  <w:footnote w:id="93">
    <w:p w:rsidR="003D63EC" w:rsidRPr="00746712" w:rsidP="00746712" w14:paraId="1D9C268D" w14:textId="77777777">
      <w:pPr>
        <w:pStyle w:val="FootnoteText"/>
      </w:pPr>
      <w:r w:rsidRPr="00746712">
        <w:rPr>
          <w:rStyle w:val="FootnoteReference"/>
        </w:rPr>
        <w:footnoteRef/>
      </w:r>
      <w:r w:rsidRPr="00746712">
        <w:t xml:space="preserve"> </w:t>
      </w:r>
      <w:r w:rsidRPr="00746712">
        <w:rPr>
          <w:i/>
          <w:iCs/>
        </w:rPr>
        <w:t xml:space="preserve">See </w:t>
      </w:r>
      <w:r w:rsidRPr="00746712">
        <w:t>OCC Ex. 19B (Williams Direct), at 13.</w:t>
      </w:r>
    </w:p>
  </w:footnote>
  <w:footnote w:id="94">
    <w:p w:rsidR="003D63EC" w:rsidRPr="00746712" w:rsidP="00746712" w14:paraId="0A7FC013" w14:textId="77777777">
      <w:pPr>
        <w:pStyle w:val="FootnoteText"/>
      </w:pPr>
      <w:r w:rsidRPr="00746712">
        <w:rPr>
          <w:rStyle w:val="FootnoteReference"/>
        </w:rPr>
        <w:footnoteRef/>
      </w:r>
      <w:r w:rsidRPr="00746712">
        <w:t xml:space="preserve"> </w:t>
      </w:r>
      <w:r w:rsidRPr="00746712">
        <w:rPr>
          <w:i/>
          <w:iCs/>
        </w:rPr>
        <w:t>See</w:t>
      </w:r>
      <w:r w:rsidRPr="00746712">
        <w:t xml:space="preserve"> Ohio Adm. Code 4901:1-21-11(G), 4901:1-29-10(F).</w:t>
      </w:r>
    </w:p>
  </w:footnote>
  <w:footnote w:id="95">
    <w:p w:rsidR="003D63EC" w:rsidRPr="00746712" w:rsidP="00746712" w14:paraId="61F84C00" w14:textId="77777777">
      <w:pPr>
        <w:pStyle w:val="FootnoteText"/>
      </w:pPr>
      <w:r w:rsidRPr="00746712">
        <w:rPr>
          <w:rStyle w:val="FootnoteReference"/>
        </w:rPr>
        <w:footnoteRef/>
      </w:r>
      <w:r w:rsidRPr="00746712">
        <w:t xml:space="preserve"> Staff Report at 23. </w:t>
      </w:r>
    </w:p>
  </w:footnote>
  <w:footnote w:id="96">
    <w:p w:rsidR="003D63EC" w:rsidRPr="00746712" w:rsidP="00746712" w14:paraId="0D88978F" w14:textId="77777777">
      <w:pPr>
        <w:pStyle w:val="FootnoteText"/>
      </w:pPr>
      <w:r w:rsidRPr="00746712">
        <w:rPr>
          <w:rStyle w:val="FootnoteReference"/>
        </w:rPr>
        <w:footnoteRef/>
      </w:r>
      <w:r w:rsidRPr="00746712">
        <w:t xml:space="preserve"> Tr. Vol. 1 at 25-28. </w:t>
      </w:r>
      <w:r w:rsidRPr="00746712">
        <w:rPr>
          <w:i/>
          <w:iCs/>
        </w:rPr>
        <w:t>See also</w:t>
      </w:r>
      <w:r w:rsidRPr="00746712">
        <w:t xml:space="preserve"> OCC Ex. 17 (PUCO Case Report 00244217); OCC Ex. 7 (PUCO Case Report 00257020).</w:t>
      </w:r>
    </w:p>
  </w:footnote>
  <w:footnote w:id="97">
    <w:p w:rsidR="003D63EC" w:rsidRPr="00746712" w:rsidP="00746712" w14:paraId="4C2B1095" w14:textId="77777777">
      <w:pPr>
        <w:pStyle w:val="FootnoteText"/>
      </w:pPr>
      <w:r w:rsidRPr="00746712">
        <w:rPr>
          <w:rStyle w:val="FootnoteReference"/>
        </w:rPr>
        <w:footnoteRef/>
      </w:r>
      <w:r w:rsidRPr="00746712">
        <w:t xml:space="preserve"> OCC Ex. 17 (PUCO Case Report 00244217) at 54 (1/24/19 e-mail from Verde representative Louise Bourgeois to PUCO Staff). Staff Report at 23. </w:t>
      </w:r>
    </w:p>
  </w:footnote>
  <w:footnote w:id="98">
    <w:p w:rsidR="003D63EC" w:rsidRPr="00746712" w:rsidP="00746712" w14:paraId="2B27F07C" w14:textId="77777777">
      <w:pPr>
        <w:pStyle w:val="FootnoteText"/>
      </w:pPr>
      <w:r w:rsidRPr="00746712">
        <w:rPr>
          <w:rStyle w:val="FootnoteReference"/>
        </w:rPr>
        <w:footnoteRef/>
      </w:r>
      <w:r w:rsidRPr="00746712">
        <w:t xml:space="preserve"> Staff Report at 24.</w:t>
      </w:r>
    </w:p>
  </w:footnote>
  <w:footnote w:id="99">
    <w:p w:rsidR="003D63EC" w:rsidRPr="00746712" w:rsidP="00746712" w14:paraId="36417C0C" w14:textId="77777777">
      <w:pPr>
        <w:pStyle w:val="FootnoteText"/>
      </w:pPr>
      <w:r w:rsidRPr="00746712">
        <w:rPr>
          <w:rStyle w:val="FootnoteReference"/>
        </w:rPr>
        <w:footnoteRef/>
      </w:r>
      <w:r w:rsidRPr="00746712">
        <w:t xml:space="preserve"> OCC Ex. 7 (PUCO Case Report 00257020); OCC Ex. 17 (PUCO Case Report 00244217).</w:t>
      </w:r>
    </w:p>
  </w:footnote>
  <w:footnote w:id="100">
    <w:p w:rsidR="003D63EC" w:rsidRPr="00746712" w:rsidP="00746712" w14:paraId="09409847" w14:textId="77777777">
      <w:pPr>
        <w:pStyle w:val="FootnoteText"/>
      </w:pPr>
      <w:r w:rsidRPr="00746712">
        <w:rPr>
          <w:rStyle w:val="FootnoteReference"/>
        </w:rPr>
        <w:footnoteRef/>
      </w:r>
      <w:r w:rsidRPr="00746712">
        <w:t xml:space="preserve"> OCC Ex. 19B (Williams Direct) at 18, JDW-08.</w:t>
      </w:r>
    </w:p>
  </w:footnote>
  <w:footnote w:id="101">
    <w:p w:rsidR="003D63EC" w:rsidRPr="00746712" w:rsidP="00746712" w14:paraId="0E1E8CF3" w14:textId="77777777">
      <w:pPr>
        <w:pStyle w:val="FootnoteText"/>
      </w:pPr>
      <w:r w:rsidRPr="00746712">
        <w:rPr>
          <w:rStyle w:val="FootnoteReference"/>
        </w:rPr>
        <w:footnoteRef/>
      </w:r>
      <w:r w:rsidRPr="00746712">
        <w:t xml:space="preserve"> R.C. 4928.02(A), 4929.02(A)(1).</w:t>
      </w:r>
    </w:p>
  </w:footnote>
  <w:footnote w:id="102">
    <w:p w:rsidR="003D63EC" w:rsidRPr="00746712" w:rsidP="00746712" w14:paraId="4511FFBF" w14:textId="77777777">
      <w:pPr>
        <w:pStyle w:val="FootnoteText"/>
      </w:pPr>
      <w:r w:rsidRPr="00746712">
        <w:rPr>
          <w:rStyle w:val="FootnoteReference"/>
        </w:rPr>
        <w:footnoteRef/>
      </w:r>
      <w:r w:rsidRPr="00746712">
        <w:t xml:space="preserve"> Tr. Vol. 1, at 219:16-17.</w:t>
      </w:r>
    </w:p>
  </w:footnote>
  <w:footnote w:id="103">
    <w:p w:rsidR="003D63EC" w:rsidRPr="00746712" w:rsidP="00746712" w14:paraId="5E8D2870" w14:textId="77777777">
      <w:pPr>
        <w:pStyle w:val="FootnoteText"/>
      </w:pPr>
      <w:r w:rsidRPr="00746712">
        <w:rPr>
          <w:rStyle w:val="FootnoteReference"/>
        </w:rPr>
        <w:footnoteRef/>
      </w:r>
      <w:r w:rsidRPr="00746712">
        <w:t xml:space="preserve"> Tr. Vol. I at 207: 19-20, 208: 13-20.</w:t>
      </w:r>
    </w:p>
  </w:footnote>
  <w:footnote w:id="104">
    <w:p w:rsidR="003D63EC" w:rsidRPr="00746712" w:rsidP="00746712" w14:paraId="685539A9" w14:textId="77777777">
      <w:pPr>
        <w:pStyle w:val="FootnoteText"/>
      </w:pPr>
      <w:r w:rsidRPr="00746712">
        <w:rPr>
          <w:rStyle w:val="FootnoteReference"/>
        </w:rPr>
        <w:footnoteRef/>
      </w:r>
      <w:r w:rsidRPr="00746712">
        <w:t xml:space="preserve"> OCC Ex. 9 (12/21/18 e-mail from Nedra Ramsey to Verde).</w:t>
      </w:r>
    </w:p>
  </w:footnote>
  <w:footnote w:id="105">
    <w:p w:rsidR="003D63EC" w:rsidRPr="00746712" w:rsidP="00746712" w14:paraId="2891F498" w14:textId="77777777">
      <w:pPr>
        <w:pStyle w:val="FootnoteText"/>
      </w:pPr>
      <w:r w:rsidRPr="00746712">
        <w:rPr>
          <w:rStyle w:val="FootnoteReference"/>
        </w:rPr>
        <w:footnoteRef/>
      </w:r>
      <w:r w:rsidRPr="00746712">
        <w:t xml:space="preserve"> OCC Ex. 19B (Williams Direct) at 26; </w:t>
      </w:r>
      <w:r w:rsidRPr="00746712">
        <w:rPr>
          <w:i/>
          <w:iCs/>
        </w:rPr>
        <w:t xml:space="preserve">See also </w:t>
      </w:r>
      <w:r w:rsidRPr="00746712">
        <w:t>OCC Ex. 7, PUCO Case Report 00233259, (PUCO Staff found that Verde engaged in “slamming” by switching the customer’s electricity supply from Dynegy to Verde without the customer’s consent, resulting in Verde re-rating the customer).</w:t>
      </w:r>
    </w:p>
  </w:footnote>
  <w:footnote w:id="106">
    <w:p w:rsidR="003D63EC" w:rsidRPr="00746712" w:rsidP="00746712" w14:paraId="026129CA" w14:textId="77777777">
      <w:pPr>
        <w:pStyle w:val="FootnoteText"/>
      </w:pPr>
      <w:r w:rsidRPr="00746712">
        <w:rPr>
          <w:rStyle w:val="FootnoteReference"/>
        </w:rPr>
        <w:footnoteRef/>
      </w:r>
      <w:r w:rsidRPr="00746712">
        <w:t xml:space="preserve"> Ohio Adm. Code 4901:1-10-01(A)(A). Ohio Adm. Code 4901:1-13-01(T).</w:t>
      </w:r>
    </w:p>
  </w:footnote>
  <w:footnote w:id="107">
    <w:p w:rsidR="003D63EC" w:rsidRPr="00746712" w:rsidP="00746712" w14:paraId="648CD132" w14:textId="77777777">
      <w:pPr>
        <w:pStyle w:val="FootnoteText"/>
      </w:pPr>
      <w:r w:rsidRPr="00746712">
        <w:rPr>
          <w:rStyle w:val="FootnoteReference"/>
        </w:rPr>
        <w:footnoteRef/>
      </w:r>
      <w:r w:rsidRPr="00746712">
        <w:t xml:space="preserve"> Staff Report at 26.</w:t>
      </w:r>
    </w:p>
  </w:footnote>
  <w:footnote w:id="108">
    <w:p w:rsidR="003D63EC" w:rsidRPr="00746712" w:rsidP="00746712" w14:paraId="09424875" w14:textId="77777777">
      <w:pPr>
        <w:pStyle w:val="FootnoteText"/>
      </w:pPr>
      <w:r w:rsidRPr="00746712">
        <w:rPr>
          <w:rStyle w:val="FootnoteReference"/>
        </w:rPr>
        <w:footnoteRef/>
      </w:r>
      <w:r w:rsidRPr="00746712">
        <w:t xml:space="preserve"> Staff Report at 16. </w:t>
      </w:r>
    </w:p>
  </w:footnote>
  <w:footnote w:id="109">
    <w:p w:rsidR="003D63EC" w:rsidRPr="00746712" w:rsidP="00746712" w14:paraId="4EE25A17" w14:textId="77777777">
      <w:pPr>
        <w:pStyle w:val="FootnoteText"/>
      </w:pPr>
      <w:r w:rsidRPr="00746712">
        <w:rPr>
          <w:rStyle w:val="FootnoteReference"/>
        </w:rPr>
        <w:footnoteRef/>
      </w:r>
      <w:r w:rsidRPr="00746712">
        <w:t xml:space="preserve"> Ohio Adm. Code 4901:1-21-06(D)(1)(a), 4901:1-29-06(D)(1).</w:t>
      </w:r>
    </w:p>
  </w:footnote>
  <w:footnote w:id="110">
    <w:p w:rsidR="003D63EC" w:rsidRPr="00746712" w:rsidP="00746712" w14:paraId="5CA6F6ED" w14:textId="77777777">
      <w:pPr>
        <w:pStyle w:val="FootnoteText"/>
      </w:pPr>
      <w:r w:rsidRPr="00746712">
        <w:rPr>
          <w:rStyle w:val="FootnoteReference"/>
        </w:rPr>
        <w:footnoteRef/>
      </w:r>
      <w:r w:rsidRPr="00746712">
        <w:t xml:space="preserve"> Staff Report at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23C07616" w14:textId="77777777">
    <w:pPr>
      <w:pStyle w:val="Header"/>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19D882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1FB33A3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4E939E3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436586DB"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1BB66459"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63EC" w14:paraId="08C7A034" w14:textId="77777777">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3D63EC" w:rsidP="00381DAE" w14:textId="7777777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49"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3D63EC" w:rsidP="00381DAE" w14:paraId="373CECBD" w14:textId="77777777">
                    <w:pPr>
                      <w:pStyle w:val="NormalWeb"/>
                      <w:spacing w:before="0" w:beforeAutospacing="0" w:after="0" w:afterAutospacing="0"/>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82AA848"/>
    <w:lvl w:ilvl="0">
      <w:start w:val="1"/>
      <w:numFmt w:val="decimal"/>
      <w:lvlText w:val="%1."/>
      <w:lvlJc w:val="left"/>
      <w:pPr>
        <w:tabs>
          <w:tab w:val="num" w:pos="1800"/>
        </w:tabs>
        <w:ind w:left="1800" w:hanging="360"/>
      </w:pPr>
    </w:lvl>
  </w:abstractNum>
  <w:abstractNum w:abstractNumId="1">
    <w:nsid w:val="FFFFFF7D"/>
    <w:multiLevelType w:val="singleLevel"/>
    <w:tmpl w:val="2ABE2BA6"/>
    <w:lvl w:ilvl="0">
      <w:start w:val="1"/>
      <w:numFmt w:val="decimal"/>
      <w:lvlText w:val="%1."/>
      <w:lvlJc w:val="left"/>
      <w:pPr>
        <w:tabs>
          <w:tab w:val="num" w:pos="1440"/>
        </w:tabs>
        <w:ind w:left="1440" w:hanging="360"/>
      </w:pPr>
    </w:lvl>
  </w:abstractNum>
  <w:abstractNum w:abstractNumId="2">
    <w:nsid w:val="FFFFFF7E"/>
    <w:multiLevelType w:val="singleLevel"/>
    <w:tmpl w:val="79505FD6"/>
    <w:lvl w:ilvl="0">
      <w:start w:val="1"/>
      <w:numFmt w:val="decimal"/>
      <w:lvlText w:val="%1."/>
      <w:lvlJc w:val="left"/>
      <w:pPr>
        <w:tabs>
          <w:tab w:val="num" w:pos="1080"/>
        </w:tabs>
        <w:ind w:left="1080" w:hanging="360"/>
      </w:pPr>
    </w:lvl>
  </w:abstractNum>
  <w:abstractNum w:abstractNumId="3">
    <w:nsid w:val="FFFFFF7F"/>
    <w:multiLevelType w:val="singleLevel"/>
    <w:tmpl w:val="69767568"/>
    <w:lvl w:ilvl="0">
      <w:start w:val="1"/>
      <w:numFmt w:val="decimal"/>
      <w:lvlText w:val="%1."/>
      <w:lvlJc w:val="left"/>
      <w:pPr>
        <w:tabs>
          <w:tab w:val="num" w:pos="720"/>
        </w:tabs>
        <w:ind w:left="720" w:hanging="360"/>
      </w:pPr>
    </w:lvl>
  </w:abstractNum>
  <w:abstractNum w:abstractNumId="4">
    <w:nsid w:val="FFFFFF80"/>
    <w:multiLevelType w:val="singleLevel"/>
    <w:tmpl w:val="4192D0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D080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BCBE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20B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80DC7E"/>
    <w:lvl w:ilvl="0">
      <w:start w:val="1"/>
      <w:numFmt w:val="decimal"/>
      <w:lvlText w:val="%1."/>
      <w:lvlJc w:val="left"/>
      <w:pPr>
        <w:tabs>
          <w:tab w:val="num" w:pos="360"/>
        </w:tabs>
        <w:ind w:left="360" w:hanging="360"/>
      </w:pPr>
    </w:lvl>
  </w:abstractNum>
  <w:abstractNum w:abstractNumId="9">
    <w:nsid w:val="FFFFFF89"/>
    <w:multiLevelType w:val="singleLevel"/>
    <w:tmpl w:val="036C7DFE"/>
    <w:lvl w:ilvl="0">
      <w:start w:val="1"/>
      <w:numFmt w:val="bullet"/>
      <w:lvlText w:val=""/>
      <w:lvlJc w:val="left"/>
      <w:pPr>
        <w:tabs>
          <w:tab w:val="num" w:pos="360"/>
        </w:tabs>
        <w:ind w:left="360" w:hanging="360"/>
      </w:pPr>
      <w:rPr>
        <w:rFonts w:ascii="Symbol" w:hAnsi="Symbol" w:hint="default"/>
      </w:rPr>
    </w:lvl>
  </w:abstractNum>
  <w:abstractNum w:abstractNumId="10">
    <w:nsid w:val="046C62DA"/>
    <w:multiLevelType w:val="hybridMultilevel"/>
    <w:tmpl w:val="436254BA"/>
    <w:lvl w:ilvl="0">
      <w:start w:val="1"/>
      <w:numFmt w:val="upperLetter"/>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11A04ABA"/>
    <w:multiLevelType w:val="hybridMultilevel"/>
    <w:tmpl w:val="05E814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4CD4263"/>
    <w:multiLevelType w:val="hybridMultilevel"/>
    <w:tmpl w:val="3BFC8352"/>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2A0777C4"/>
    <w:multiLevelType w:val="hybridMultilevel"/>
    <w:tmpl w:val="046AAC32"/>
    <w:lvl w:ilvl="0">
      <w:start w:val="1"/>
      <w:numFmt w:val="upperLetter"/>
      <w:lvlText w:val="%1."/>
      <w:lvlJc w:val="left"/>
      <w:pPr>
        <w:ind w:left="1530" w:hanging="36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4">
    <w:nsid w:val="301D1174"/>
    <w:multiLevelType w:val="hybridMultilevel"/>
    <w:tmpl w:val="5EF2F906"/>
    <w:lvl w:ilvl="0">
      <w:start w:val="1"/>
      <w:numFmt w:val="upperLetter"/>
      <w:lvlText w:val="%1."/>
      <w:lvlJc w:val="left"/>
      <w:pPr>
        <w:ind w:left="810" w:hanging="360"/>
      </w:pPr>
      <w:rPr>
        <w:rFonts w:hint="default"/>
        <w:b w:val="0"/>
        <w:bCs/>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5">
    <w:nsid w:val="350D6DB6"/>
    <w:multiLevelType w:val="hybridMultilevel"/>
    <w:tmpl w:val="B2C4B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A531F4"/>
    <w:multiLevelType w:val="hybridMultilevel"/>
    <w:tmpl w:val="BC628718"/>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3AA16728"/>
    <w:multiLevelType w:val="hybridMultilevel"/>
    <w:tmpl w:val="93A0C8B2"/>
    <w:lvl w:ilvl="0">
      <w:start w:val="1"/>
      <w:numFmt w:val="upperLetter"/>
      <w:lvlText w:val="%1."/>
      <w:lvlJc w:val="left"/>
      <w:pPr>
        <w:ind w:left="1530" w:hanging="360"/>
      </w:pPr>
      <w:rPr>
        <w:rFonts w:hint="default"/>
        <w:b w:val="0"/>
        <w:bCs w:val="0"/>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8">
    <w:nsid w:val="45685999"/>
    <w:multiLevelType w:val="hybridMultilevel"/>
    <w:tmpl w:val="1A00FC06"/>
    <w:lvl w:ilvl="0">
      <w:start w:val="1"/>
      <w:numFmt w:val="upperLetter"/>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47152CF8"/>
    <w:multiLevelType w:val="hybridMultilevel"/>
    <w:tmpl w:val="C06C6E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38E25D8"/>
    <w:multiLevelType w:val="hybridMultilevel"/>
    <w:tmpl w:val="1E481406"/>
    <w:lvl w:ilvl="0">
      <w:start w:val="1"/>
      <w:numFmt w:val="upperLetter"/>
      <w:lvlText w:val="%1."/>
      <w:lvlJc w:val="left"/>
      <w:pPr>
        <w:ind w:left="1800" w:hanging="360"/>
      </w:pPr>
      <w:rPr>
        <w:rFonts w:hint="default"/>
        <w:b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40631E7"/>
    <w:multiLevelType w:val="hybridMultilevel"/>
    <w:tmpl w:val="E168047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56E975B4"/>
    <w:multiLevelType w:val="hybridMultilevel"/>
    <w:tmpl w:val="2454082E"/>
    <w:lvl w:ilvl="0">
      <w:start w:val="2"/>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D777556"/>
    <w:multiLevelType w:val="hybridMultilevel"/>
    <w:tmpl w:val="389E697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4">
    <w:nsid w:val="62726C8C"/>
    <w:multiLevelType w:val="hybridMultilevel"/>
    <w:tmpl w:val="87A2BC34"/>
    <w:lvl w:ilvl="0">
      <w:start w:val="3"/>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739C705D"/>
    <w:multiLevelType w:val="hybridMultilevel"/>
    <w:tmpl w:val="53B4A14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744B4389"/>
    <w:multiLevelType w:val="hybridMultilevel"/>
    <w:tmpl w:val="F694347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79017215"/>
    <w:multiLevelType w:val="hybridMultilevel"/>
    <w:tmpl w:val="7EE20408"/>
    <w:lvl w:ilvl="0">
      <w:start w:val="2"/>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7ED93150"/>
    <w:multiLevelType w:val="hybridMultilevel"/>
    <w:tmpl w:val="FC562CD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4"/>
  </w:num>
  <w:num w:numId="16">
    <w:abstractNumId w:val="21"/>
  </w:num>
  <w:num w:numId="17">
    <w:abstractNumId w:val="23"/>
  </w:num>
  <w:num w:numId="18">
    <w:abstractNumId w:val="13"/>
  </w:num>
  <w:num w:numId="19">
    <w:abstractNumId w:val="22"/>
  </w:num>
  <w:num w:numId="20">
    <w:abstractNumId w:val="24"/>
  </w:num>
  <w:num w:numId="21">
    <w:abstractNumId w:val="16"/>
  </w:num>
  <w:num w:numId="22">
    <w:abstractNumId w:val="10"/>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num>
  <w:num w:numId="27">
    <w:abstractNumId w:val="19"/>
  </w:num>
  <w:num w:numId="28">
    <w:abstractNumId w:val="26"/>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E50"/>
    <w:rsid w:val="00000F54"/>
    <w:rsid w:val="00001CFE"/>
    <w:rsid w:val="0000598F"/>
    <w:rsid w:val="0001220F"/>
    <w:rsid w:val="000136B7"/>
    <w:rsid w:val="000136CF"/>
    <w:rsid w:val="00013724"/>
    <w:rsid w:val="000178EC"/>
    <w:rsid w:val="00021A34"/>
    <w:rsid w:val="000233D1"/>
    <w:rsid w:val="0002443C"/>
    <w:rsid w:val="00024677"/>
    <w:rsid w:val="0002604D"/>
    <w:rsid w:val="00027653"/>
    <w:rsid w:val="00030306"/>
    <w:rsid w:val="00031E9A"/>
    <w:rsid w:val="00034525"/>
    <w:rsid w:val="00035395"/>
    <w:rsid w:val="00035DA4"/>
    <w:rsid w:val="00035EEB"/>
    <w:rsid w:val="00037D29"/>
    <w:rsid w:val="000417FC"/>
    <w:rsid w:val="00042685"/>
    <w:rsid w:val="00050DC5"/>
    <w:rsid w:val="00057FB5"/>
    <w:rsid w:val="0006025F"/>
    <w:rsid w:val="00062BF5"/>
    <w:rsid w:val="0006325B"/>
    <w:rsid w:val="00063539"/>
    <w:rsid w:val="00065F2F"/>
    <w:rsid w:val="00066F3A"/>
    <w:rsid w:val="000701E4"/>
    <w:rsid w:val="000704D5"/>
    <w:rsid w:val="00070DC0"/>
    <w:rsid w:val="00071740"/>
    <w:rsid w:val="00072BC7"/>
    <w:rsid w:val="00074710"/>
    <w:rsid w:val="00083FFA"/>
    <w:rsid w:val="00087E51"/>
    <w:rsid w:val="00091DCE"/>
    <w:rsid w:val="00094194"/>
    <w:rsid w:val="0009442A"/>
    <w:rsid w:val="0009524B"/>
    <w:rsid w:val="0009668F"/>
    <w:rsid w:val="00097398"/>
    <w:rsid w:val="000B348F"/>
    <w:rsid w:val="000B3D0F"/>
    <w:rsid w:val="000B4F0C"/>
    <w:rsid w:val="000C066A"/>
    <w:rsid w:val="000C58D2"/>
    <w:rsid w:val="000C7832"/>
    <w:rsid w:val="000D10C9"/>
    <w:rsid w:val="000D58D6"/>
    <w:rsid w:val="000D72E6"/>
    <w:rsid w:val="000E351B"/>
    <w:rsid w:val="000E7E71"/>
    <w:rsid w:val="000F09C8"/>
    <w:rsid w:val="000F0EF3"/>
    <w:rsid w:val="000F2DC7"/>
    <w:rsid w:val="00101601"/>
    <w:rsid w:val="00102647"/>
    <w:rsid w:val="00102A65"/>
    <w:rsid w:val="00106B36"/>
    <w:rsid w:val="0010733A"/>
    <w:rsid w:val="00111130"/>
    <w:rsid w:val="001127CD"/>
    <w:rsid w:val="00114717"/>
    <w:rsid w:val="00114B2C"/>
    <w:rsid w:val="00114E9C"/>
    <w:rsid w:val="00115700"/>
    <w:rsid w:val="00120129"/>
    <w:rsid w:val="0012238D"/>
    <w:rsid w:val="00123260"/>
    <w:rsid w:val="00124388"/>
    <w:rsid w:val="00131174"/>
    <w:rsid w:val="00131356"/>
    <w:rsid w:val="00132FE2"/>
    <w:rsid w:val="00137248"/>
    <w:rsid w:val="001415EE"/>
    <w:rsid w:val="00145DE9"/>
    <w:rsid w:val="00147608"/>
    <w:rsid w:val="00151336"/>
    <w:rsid w:val="00151373"/>
    <w:rsid w:val="0015362B"/>
    <w:rsid w:val="001558BC"/>
    <w:rsid w:val="001575C6"/>
    <w:rsid w:val="00166077"/>
    <w:rsid w:val="001710AF"/>
    <w:rsid w:val="00171652"/>
    <w:rsid w:val="001734B7"/>
    <w:rsid w:val="00174B6E"/>
    <w:rsid w:val="00174BD6"/>
    <w:rsid w:val="001827A0"/>
    <w:rsid w:val="00183B60"/>
    <w:rsid w:val="001851BC"/>
    <w:rsid w:val="00187412"/>
    <w:rsid w:val="001905CF"/>
    <w:rsid w:val="001920ED"/>
    <w:rsid w:val="0019277C"/>
    <w:rsid w:val="001939B1"/>
    <w:rsid w:val="001940EF"/>
    <w:rsid w:val="00194CC1"/>
    <w:rsid w:val="00196A26"/>
    <w:rsid w:val="00196EF6"/>
    <w:rsid w:val="001970FA"/>
    <w:rsid w:val="00197AEF"/>
    <w:rsid w:val="001A2317"/>
    <w:rsid w:val="001A57F0"/>
    <w:rsid w:val="001A7120"/>
    <w:rsid w:val="001A7F20"/>
    <w:rsid w:val="001B34F3"/>
    <w:rsid w:val="001B42E1"/>
    <w:rsid w:val="001B635A"/>
    <w:rsid w:val="001B6E72"/>
    <w:rsid w:val="001B7A37"/>
    <w:rsid w:val="001C0925"/>
    <w:rsid w:val="001C1560"/>
    <w:rsid w:val="001C21F9"/>
    <w:rsid w:val="001C2269"/>
    <w:rsid w:val="001C4A7A"/>
    <w:rsid w:val="001C566F"/>
    <w:rsid w:val="001D053A"/>
    <w:rsid w:val="001D29C5"/>
    <w:rsid w:val="001D2AC5"/>
    <w:rsid w:val="001E38AB"/>
    <w:rsid w:val="001E7B9B"/>
    <w:rsid w:val="001F09AE"/>
    <w:rsid w:val="001F36E9"/>
    <w:rsid w:val="001F547B"/>
    <w:rsid w:val="001F7DB1"/>
    <w:rsid w:val="00206048"/>
    <w:rsid w:val="002074F9"/>
    <w:rsid w:val="00207C2D"/>
    <w:rsid w:val="00211DC5"/>
    <w:rsid w:val="00214BDA"/>
    <w:rsid w:val="00216C24"/>
    <w:rsid w:val="00217EFD"/>
    <w:rsid w:val="00222EB5"/>
    <w:rsid w:val="00222FDC"/>
    <w:rsid w:val="002278B8"/>
    <w:rsid w:val="00230037"/>
    <w:rsid w:val="002305E0"/>
    <w:rsid w:val="00230B78"/>
    <w:rsid w:val="0023185A"/>
    <w:rsid w:val="00232BFB"/>
    <w:rsid w:val="002339D1"/>
    <w:rsid w:val="00233B97"/>
    <w:rsid w:val="00233DDE"/>
    <w:rsid w:val="00235001"/>
    <w:rsid w:val="0023646C"/>
    <w:rsid w:val="002374FB"/>
    <w:rsid w:val="002377FD"/>
    <w:rsid w:val="00240D80"/>
    <w:rsid w:val="00247B9C"/>
    <w:rsid w:val="002507C7"/>
    <w:rsid w:val="0025340E"/>
    <w:rsid w:val="00253945"/>
    <w:rsid w:val="002542F1"/>
    <w:rsid w:val="0025540A"/>
    <w:rsid w:val="0025677F"/>
    <w:rsid w:val="00260D82"/>
    <w:rsid w:val="00262AF7"/>
    <w:rsid w:val="00263332"/>
    <w:rsid w:val="002655DE"/>
    <w:rsid w:val="00265BB3"/>
    <w:rsid w:val="00267AF9"/>
    <w:rsid w:val="00271735"/>
    <w:rsid w:val="002728B3"/>
    <w:rsid w:val="002736DA"/>
    <w:rsid w:val="00273BB5"/>
    <w:rsid w:val="00274E52"/>
    <w:rsid w:val="002816A3"/>
    <w:rsid w:val="00282F6D"/>
    <w:rsid w:val="002840B8"/>
    <w:rsid w:val="00285219"/>
    <w:rsid w:val="00285833"/>
    <w:rsid w:val="00294D78"/>
    <w:rsid w:val="00297102"/>
    <w:rsid w:val="002A0758"/>
    <w:rsid w:val="002A29D4"/>
    <w:rsid w:val="002A66E5"/>
    <w:rsid w:val="002A6AF6"/>
    <w:rsid w:val="002B022B"/>
    <w:rsid w:val="002B03FB"/>
    <w:rsid w:val="002B160F"/>
    <w:rsid w:val="002B63FB"/>
    <w:rsid w:val="002B7644"/>
    <w:rsid w:val="002C1F97"/>
    <w:rsid w:val="002C75A4"/>
    <w:rsid w:val="002D19CA"/>
    <w:rsid w:val="002D397D"/>
    <w:rsid w:val="002D3989"/>
    <w:rsid w:val="002E37B5"/>
    <w:rsid w:val="002E4D92"/>
    <w:rsid w:val="002E5F0F"/>
    <w:rsid w:val="002E7BC9"/>
    <w:rsid w:val="002F0155"/>
    <w:rsid w:val="002F1A79"/>
    <w:rsid w:val="002F1A81"/>
    <w:rsid w:val="002F2F1E"/>
    <w:rsid w:val="002F4392"/>
    <w:rsid w:val="002F55DA"/>
    <w:rsid w:val="00302BC1"/>
    <w:rsid w:val="00303614"/>
    <w:rsid w:val="00304202"/>
    <w:rsid w:val="003054F2"/>
    <w:rsid w:val="003106B4"/>
    <w:rsid w:val="00315F2E"/>
    <w:rsid w:val="00316186"/>
    <w:rsid w:val="0032262C"/>
    <w:rsid w:val="003236D9"/>
    <w:rsid w:val="003279AC"/>
    <w:rsid w:val="00330F5F"/>
    <w:rsid w:val="003310BB"/>
    <w:rsid w:val="00337D32"/>
    <w:rsid w:val="0034017B"/>
    <w:rsid w:val="003402CD"/>
    <w:rsid w:val="003411E3"/>
    <w:rsid w:val="00341759"/>
    <w:rsid w:val="00341B98"/>
    <w:rsid w:val="00346DCB"/>
    <w:rsid w:val="0034735B"/>
    <w:rsid w:val="00351F96"/>
    <w:rsid w:val="00356070"/>
    <w:rsid w:val="0035650F"/>
    <w:rsid w:val="00357C82"/>
    <w:rsid w:val="00363F6D"/>
    <w:rsid w:val="00364154"/>
    <w:rsid w:val="00365358"/>
    <w:rsid w:val="003776D0"/>
    <w:rsid w:val="00381A20"/>
    <w:rsid w:val="00381DAE"/>
    <w:rsid w:val="00385BFE"/>
    <w:rsid w:val="00386BF6"/>
    <w:rsid w:val="00390378"/>
    <w:rsid w:val="00391111"/>
    <w:rsid w:val="00391689"/>
    <w:rsid w:val="00393096"/>
    <w:rsid w:val="003958E9"/>
    <w:rsid w:val="00397FB9"/>
    <w:rsid w:val="003A67BC"/>
    <w:rsid w:val="003B09C5"/>
    <w:rsid w:val="003B634C"/>
    <w:rsid w:val="003B6515"/>
    <w:rsid w:val="003B7CA8"/>
    <w:rsid w:val="003C37BD"/>
    <w:rsid w:val="003C6B3B"/>
    <w:rsid w:val="003C7E44"/>
    <w:rsid w:val="003D1318"/>
    <w:rsid w:val="003D2645"/>
    <w:rsid w:val="003D3FF1"/>
    <w:rsid w:val="003D4347"/>
    <w:rsid w:val="003D4A9D"/>
    <w:rsid w:val="003D63EC"/>
    <w:rsid w:val="003E2AFE"/>
    <w:rsid w:val="003E34D5"/>
    <w:rsid w:val="003E3B7E"/>
    <w:rsid w:val="003E4BD8"/>
    <w:rsid w:val="003E4D7A"/>
    <w:rsid w:val="003F02B0"/>
    <w:rsid w:val="003F0E64"/>
    <w:rsid w:val="003F360C"/>
    <w:rsid w:val="003F5315"/>
    <w:rsid w:val="00401ACE"/>
    <w:rsid w:val="00402C7A"/>
    <w:rsid w:val="0040672F"/>
    <w:rsid w:val="004101E4"/>
    <w:rsid w:val="00413000"/>
    <w:rsid w:val="00413C09"/>
    <w:rsid w:val="00414CDF"/>
    <w:rsid w:val="00415F28"/>
    <w:rsid w:val="00415F51"/>
    <w:rsid w:val="004166F2"/>
    <w:rsid w:val="00417F31"/>
    <w:rsid w:val="00421736"/>
    <w:rsid w:val="00426A6D"/>
    <w:rsid w:val="004313AC"/>
    <w:rsid w:val="00435253"/>
    <w:rsid w:val="00443BA7"/>
    <w:rsid w:val="00443C10"/>
    <w:rsid w:val="00450431"/>
    <w:rsid w:val="00456869"/>
    <w:rsid w:val="004632B5"/>
    <w:rsid w:val="004637A0"/>
    <w:rsid w:val="00464CE7"/>
    <w:rsid w:val="004664D2"/>
    <w:rsid w:val="00466CFC"/>
    <w:rsid w:val="00466D1D"/>
    <w:rsid w:val="004725B1"/>
    <w:rsid w:val="004730A0"/>
    <w:rsid w:val="00473C67"/>
    <w:rsid w:val="00476C7A"/>
    <w:rsid w:val="00480283"/>
    <w:rsid w:val="0048197A"/>
    <w:rsid w:val="004819CE"/>
    <w:rsid w:val="00484164"/>
    <w:rsid w:val="004911E7"/>
    <w:rsid w:val="00493B2B"/>
    <w:rsid w:val="00497596"/>
    <w:rsid w:val="00497DED"/>
    <w:rsid w:val="004A1067"/>
    <w:rsid w:val="004A4226"/>
    <w:rsid w:val="004A74F6"/>
    <w:rsid w:val="004B2AF7"/>
    <w:rsid w:val="004B588E"/>
    <w:rsid w:val="004B64D5"/>
    <w:rsid w:val="004B745D"/>
    <w:rsid w:val="004B7639"/>
    <w:rsid w:val="004B76FE"/>
    <w:rsid w:val="004C08A6"/>
    <w:rsid w:val="004C0F5F"/>
    <w:rsid w:val="004C1C6D"/>
    <w:rsid w:val="004C3E00"/>
    <w:rsid w:val="004C4BD1"/>
    <w:rsid w:val="004C7965"/>
    <w:rsid w:val="004C7982"/>
    <w:rsid w:val="004D2466"/>
    <w:rsid w:val="004D60FC"/>
    <w:rsid w:val="004D7650"/>
    <w:rsid w:val="004E180F"/>
    <w:rsid w:val="004E2AD8"/>
    <w:rsid w:val="004E2BFA"/>
    <w:rsid w:val="004E7269"/>
    <w:rsid w:val="004E7D6C"/>
    <w:rsid w:val="004F2590"/>
    <w:rsid w:val="004F4191"/>
    <w:rsid w:val="004F5607"/>
    <w:rsid w:val="004F7F6C"/>
    <w:rsid w:val="0050038D"/>
    <w:rsid w:val="00501207"/>
    <w:rsid w:val="00503D17"/>
    <w:rsid w:val="00504EF6"/>
    <w:rsid w:val="00512E4A"/>
    <w:rsid w:val="00520AEE"/>
    <w:rsid w:val="005224F0"/>
    <w:rsid w:val="00523F23"/>
    <w:rsid w:val="005245E1"/>
    <w:rsid w:val="00524E34"/>
    <w:rsid w:val="00524F9E"/>
    <w:rsid w:val="00525DC6"/>
    <w:rsid w:val="0052635C"/>
    <w:rsid w:val="00526688"/>
    <w:rsid w:val="005338B0"/>
    <w:rsid w:val="00540CBF"/>
    <w:rsid w:val="00542AA3"/>
    <w:rsid w:val="0054311C"/>
    <w:rsid w:val="0054336E"/>
    <w:rsid w:val="00543EB2"/>
    <w:rsid w:val="00545A01"/>
    <w:rsid w:val="0055119A"/>
    <w:rsid w:val="00565403"/>
    <w:rsid w:val="005705AB"/>
    <w:rsid w:val="00570901"/>
    <w:rsid w:val="00572682"/>
    <w:rsid w:val="005741BC"/>
    <w:rsid w:val="00577599"/>
    <w:rsid w:val="00580D3D"/>
    <w:rsid w:val="00584828"/>
    <w:rsid w:val="00585018"/>
    <w:rsid w:val="00593853"/>
    <w:rsid w:val="00594E37"/>
    <w:rsid w:val="00595BD5"/>
    <w:rsid w:val="005A05E1"/>
    <w:rsid w:val="005A274F"/>
    <w:rsid w:val="005A4D95"/>
    <w:rsid w:val="005A6CE3"/>
    <w:rsid w:val="005A6DB2"/>
    <w:rsid w:val="005A7B7E"/>
    <w:rsid w:val="005B0866"/>
    <w:rsid w:val="005B287C"/>
    <w:rsid w:val="005B4237"/>
    <w:rsid w:val="005B575D"/>
    <w:rsid w:val="005B6BF8"/>
    <w:rsid w:val="005B772F"/>
    <w:rsid w:val="005C0685"/>
    <w:rsid w:val="005C50AA"/>
    <w:rsid w:val="005D15C7"/>
    <w:rsid w:val="005D1FFA"/>
    <w:rsid w:val="005D40F2"/>
    <w:rsid w:val="005D7763"/>
    <w:rsid w:val="005E58BF"/>
    <w:rsid w:val="005F53D8"/>
    <w:rsid w:val="005F57D2"/>
    <w:rsid w:val="0060236F"/>
    <w:rsid w:val="00602B2B"/>
    <w:rsid w:val="00603D07"/>
    <w:rsid w:val="0060563C"/>
    <w:rsid w:val="006066C1"/>
    <w:rsid w:val="00606B26"/>
    <w:rsid w:val="00607FB3"/>
    <w:rsid w:val="00611377"/>
    <w:rsid w:val="00611C92"/>
    <w:rsid w:val="00613FF0"/>
    <w:rsid w:val="006141B0"/>
    <w:rsid w:val="00614587"/>
    <w:rsid w:val="0061484E"/>
    <w:rsid w:val="00617C12"/>
    <w:rsid w:val="006211D0"/>
    <w:rsid w:val="006223BD"/>
    <w:rsid w:val="00624758"/>
    <w:rsid w:val="00630B32"/>
    <w:rsid w:val="00631E07"/>
    <w:rsid w:val="006345E8"/>
    <w:rsid w:val="006350A4"/>
    <w:rsid w:val="00636634"/>
    <w:rsid w:val="0064384B"/>
    <w:rsid w:val="006439A7"/>
    <w:rsid w:val="00643E79"/>
    <w:rsid w:val="0064418A"/>
    <w:rsid w:val="00652487"/>
    <w:rsid w:val="00652CF2"/>
    <w:rsid w:val="006554A9"/>
    <w:rsid w:val="00657896"/>
    <w:rsid w:val="006601D7"/>
    <w:rsid w:val="0066383D"/>
    <w:rsid w:val="0066649A"/>
    <w:rsid w:val="00666F88"/>
    <w:rsid w:val="00670BAF"/>
    <w:rsid w:val="00672042"/>
    <w:rsid w:val="00672C4D"/>
    <w:rsid w:val="00676695"/>
    <w:rsid w:val="00676F1F"/>
    <w:rsid w:val="00681543"/>
    <w:rsid w:val="00682416"/>
    <w:rsid w:val="00682764"/>
    <w:rsid w:val="0068499E"/>
    <w:rsid w:val="00687958"/>
    <w:rsid w:val="0069035B"/>
    <w:rsid w:val="00691929"/>
    <w:rsid w:val="00691D4E"/>
    <w:rsid w:val="00696541"/>
    <w:rsid w:val="006965BF"/>
    <w:rsid w:val="006A137D"/>
    <w:rsid w:val="006A16B9"/>
    <w:rsid w:val="006A6AB6"/>
    <w:rsid w:val="006B4AFA"/>
    <w:rsid w:val="006B4EEC"/>
    <w:rsid w:val="006C0F28"/>
    <w:rsid w:val="006C11F3"/>
    <w:rsid w:val="006C23D0"/>
    <w:rsid w:val="006C7867"/>
    <w:rsid w:val="006C79D2"/>
    <w:rsid w:val="006D2F86"/>
    <w:rsid w:val="006D447A"/>
    <w:rsid w:val="006D4486"/>
    <w:rsid w:val="006D6C9C"/>
    <w:rsid w:val="006E6372"/>
    <w:rsid w:val="006F38A8"/>
    <w:rsid w:val="006F3E2F"/>
    <w:rsid w:val="006F6D9B"/>
    <w:rsid w:val="0070037B"/>
    <w:rsid w:val="00700CBA"/>
    <w:rsid w:val="00701770"/>
    <w:rsid w:val="00712EC7"/>
    <w:rsid w:val="007137F1"/>
    <w:rsid w:val="00713D0F"/>
    <w:rsid w:val="00714321"/>
    <w:rsid w:val="0071768F"/>
    <w:rsid w:val="007200E6"/>
    <w:rsid w:val="00720F2D"/>
    <w:rsid w:val="00721A31"/>
    <w:rsid w:val="00726591"/>
    <w:rsid w:val="00732B86"/>
    <w:rsid w:val="00732EFD"/>
    <w:rsid w:val="00734153"/>
    <w:rsid w:val="007350D6"/>
    <w:rsid w:val="007352D4"/>
    <w:rsid w:val="007370E6"/>
    <w:rsid w:val="007372A3"/>
    <w:rsid w:val="00741524"/>
    <w:rsid w:val="00743506"/>
    <w:rsid w:val="00743A02"/>
    <w:rsid w:val="00743D01"/>
    <w:rsid w:val="0074588C"/>
    <w:rsid w:val="00745E77"/>
    <w:rsid w:val="00746712"/>
    <w:rsid w:val="00752B75"/>
    <w:rsid w:val="007534A1"/>
    <w:rsid w:val="00754C6A"/>
    <w:rsid w:val="007563EC"/>
    <w:rsid w:val="007602A4"/>
    <w:rsid w:val="00770633"/>
    <w:rsid w:val="00770D0E"/>
    <w:rsid w:val="00774C8C"/>
    <w:rsid w:val="00777D83"/>
    <w:rsid w:val="00787311"/>
    <w:rsid w:val="00790C78"/>
    <w:rsid w:val="00791081"/>
    <w:rsid w:val="00795348"/>
    <w:rsid w:val="007954FE"/>
    <w:rsid w:val="007A2958"/>
    <w:rsid w:val="007A4590"/>
    <w:rsid w:val="007B1AA5"/>
    <w:rsid w:val="007B2C72"/>
    <w:rsid w:val="007B324E"/>
    <w:rsid w:val="007B3778"/>
    <w:rsid w:val="007B43AE"/>
    <w:rsid w:val="007C03B5"/>
    <w:rsid w:val="007C412B"/>
    <w:rsid w:val="007C4F45"/>
    <w:rsid w:val="007C5A46"/>
    <w:rsid w:val="007C652C"/>
    <w:rsid w:val="007D1051"/>
    <w:rsid w:val="007D350C"/>
    <w:rsid w:val="007F3B30"/>
    <w:rsid w:val="007F3DE0"/>
    <w:rsid w:val="007F4F7D"/>
    <w:rsid w:val="007F5739"/>
    <w:rsid w:val="007F6610"/>
    <w:rsid w:val="008000E1"/>
    <w:rsid w:val="00800D7D"/>
    <w:rsid w:val="00806576"/>
    <w:rsid w:val="0081468C"/>
    <w:rsid w:val="00815E50"/>
    <w:rsid w:val="008204D0"/>
    <w:rsid w:val="008216DB"/>
    <w:rsid w:val="00822419"/>
    <w:rsid w:val="00823532"/>
    <w:rsid w:val="00825427"/>
    <w:rsid w:val="00826263"/>
    <w:rsid w:val="0082631A"/>
    <w:rsid w:val="00826FE3"/>
    <w:rsid w:val="00830FC9"/>
    <w:rsid w:val="008327E0"/>
    <w:rsid w:val="0083457A"/>
    <w:rsid w:val="008408FC"/>
    <w:rsid w:val="00843286"/>
    <w:rsid w:val="008435CA"/>
    <w:rsid w:val="0084361E"/>
    <w:rsid w:val="00843E39"/>
    <w:rsid w:val="0084457F"/>
    <w:rsid w:val="008455D4"/>
    <w:rsid w:val="00851F3C"/>
    <w:rsid w:val="00851F66"/>
    <w:rsid w:val="0085463F"/>
    <w:rsid w:val="0085616C"/>
    <w:rsid w:val="00856C24"/>
    <w:rsid w:val="00864782"/>
    <w:rsid w:val="0086593F"/>
    <w:rsid w:val="00866AAE"/>
    <w:rsid w:val="0086701E"/>
    <w:rsid w:val="00870B9E"/>
    <w:rsid w:val="00870D8B"/>
    <w:rsid w:val="00872032"/>
    <w:rsid w:val="00880052"/>
    <w:rsid w:val="00881336"/>
    <w:rsid w:val="008855B9"/>
    <w:rsid w:val="00887945"/>
    <w:rsid w:val="00887EA7"/>
    <w:rsid w:val="0089231F"/>
    <w:rsid w:val="00894E4E"/>
    <w:rsid w:val="008970EB"/>
    <w:rsid w:val="008979EC"/>
    <w:rsid w:val="008A15A1"/>
    <w:rsid w:val="008A2C1A"/>
    <w:rsid w:val="008A4566"/>
    <w:rsid w:val="008A4CEF"/>
    <w:rsid w:val="008A526C"/>
    <w:rsid w:val="008A736F"/>
    <w:rsid w:val="008B1DEB"/>
    <w:rsid w:val="008B2696"/>
    <w:rsid w:val="008B2E32"/>
    <w:rsid w:val="008B682A"/>
    <w:rsid w:val="008B6EF0"/>
    <w:rsid w:val="008C0CD1"/>
    <w:rsid w:val="008C3E40"/>
    <w:rsid w:val="008C4FDA"/>
    <w:rsid w:val="008C70DE"/>
    <w:rsid w:val="008D5471"/>
    <w:rsid w:val="008D669A"/>
    <w:rsid w:val="008D6E74"/>
    <w:rsid w:val="008E7AB6"/>
    <w:rsid w:val="008F11F2"/>
    <w:rsid w:val="008F168D"/>
    <w:rsid w:val="008F1C95"/>
    <w:rsid w:val="008F3681"/>
    <w:rsid w:val="008F62B5"/>
    <w:rsid w:val="008F74BB"/>
    <w:rsid w:val="00901FDA"/>
    <w:rsid w:val="00902942"/>
    <w:rsid w:val="00903127"/>
    <w:rsid w:val="009042B7"/>
    <w:rsid w:val="00907315"/>
    <w:rsid w:val="009103B0"/>
    <w:rsid w:val="0091185D"/>
    <w:rsid w:val="009123CD"/>
    <w:rsid w:val="00913459"/>
    <w:rsid w:val="009209CC"/>
    <w:rsid w:val="0092441A"/>
    <w:rsid w:val="0092467A"/>
    <w:rsid w:val="00931D67"/>
    <w:rsid w:val="00933367"/>
    <w:rsid w:val="009370EE"/>
    <w:rsid w:val="00937365"/>
    <w:rsid w:val="009376E1"/>
    <w:rsid w:val="00940A14"/>
    <w:rsid w:val="009433F6"/>
    <w:rsid w:val="00944461"/>
    <w:rsid w:val="00945500"/>
    <w:rsid w:val="009509D9"/>
    <w:rsid w:val="00950DA6"/>
    <w:rsid w:val="009513F4"/>
    <w:rsid w:val="00952651"/>
    <w:rsid w:val="00953081"/>
    <w:rsid w:val="00953D48"/>
    <w:rsid w:val="0095556D"/>
    <w:rsid w:val="0095557D"/>
    <w:rsid w:val="00960488"/>
    <w:rsid w:val="00961E5A"/>
    <w:rsid w:val="00966F17"/>
    <w:rsid w:val="00981C88"/>
    <w:rsid w:val="0098319F"/>
    <w:rsid w:val="0099053E"/>
    <w:rsid w:val="009906F2"/>
    <w:rsid w:val="009A5647"/>
    <w:rsid w:val="009A5A81"/>
    <w:rsid w:val="009A7EEB"/>
    <w:rsid w:val="009B009E"/>
    <w:rsid w:val="009B2A88"/>
    <w:rsid w:val="009B672C"/>
    <w:rsid w:val="009C0AE5"/>
    <w:rsid w:val="009C1D70"/>
    <w:rsid w:val="009C33B7"/>
    <w:rsid w:val="009C37E7"/>
    <w:rsid w:val="009C38DC"/>
    <w:rsid w:val="009C3B84"/>
    <w:rsid w:val="009C7758"/>
    <w:rsid w:val="009C78C4"/>
    <w:rsid w:val="009C79B5"/>
    <w:rsid w:val="009D45CC"/>
    <w:rsid w:val="009D5A09"/>
    <w:rsid w:val="009E0A23"/>
    <w:rsid w:val="009E21E5"/>
    <w:rsid w:val="009E23A4"/>
    <w:rsid w:val="009E56B9"/>
    <w:rsid w:val="009F2A0F"/>
    <w:rsid w:val="009F2DEF"/>
    <w:rsid w:val="009F3754"/>
    <w:rsid w:val="009F4304"/>
    <w:rsid w:val="009F585B"/>
    <w:rsid w:val="009F6AC4"/>
    <w:rsid w:val="009F7A99"/>
    <w:rsid w:val="00A00A50"/>
    <w:rsid w:val="00A0235F"/>
    <w:rsid w:val="00A03559"/>
    <w:rsid w:val="00A037F4"/>
    <w:rsid w:val="00A05D01"/>
    <w:rsid w:val="00A10A67"/>
    <w:rsid w:val="00A116F5"/>
    <w:rsid w:val="00A124C3"/>
    <w:rsid w:val="00A13A7C"/>
    <w:rsid w:val="00A16BD9"/>
    <w:rsid w:val="00A17F9B"/>
    <w:rsid w:val="00A24662"/>
    <w:rsid w:val="00A26048"/>
    <w:rsid w:val="00A30FC5"/>
    <w:rsid w:val="00A30FFE"/>
    <w:rsid w:val="00A43421"/>
    <w:rsid w:val="00A44D48"/>
    <w:rsid w:val="00A46D8C"/>
    <w:rsid w:val="00A47880"/>
    <w:rsid w:val="00A53660"/>
    <w:rsid w:val="00A536FE"/>
    <w:rsid w:val="00A53AA3"/>
    <w:rsid w:val="00A6054C"/>
    <w:rsid w:val="00A61D7D"/>
    <w:rsid w:val="00A640B9"/>
    <w:rsid w:val="00A661DD"/>
    <w:rsid w:val="00A66D27"/>
    <w:rsid w:val="00A7173C"/>
    <w:rsid w:val="00A724F4"/>
    <w:rsid w:val="00A76AA4"/>
    <w:rsid w:val="00A76AE6"/>
    <w:rsid w:val="00A80E75"/>
    <w:rsid w:val="00A8155A"/>
    <w:rsid w:val="00A8269B"/>
    <w:rsid w:val="00A9143B"/>
    <w:rsid w:val="00A93A86"/>
    <w:rsid w:val="00A93B4F"/>
    <w:rsid w:val="00A95870"/>
    <w:rsid w:val="00A958D5"/>
    <w:rsid w:val="00A97053"/>
    <w:rsid w:val="00AA0898"/>
    <w:rsid w:val="00AA0C25"/>
    <w:rsid w:val="00AA128E"/>
    <w:rsid w:val="00AA36DB"/>
    <w:rsid w:val="00AA5904"/>
    <w:rsid w:val="00AA6345"/>
    <w:rsid w:val="00AB103B"/>
    <w:rsid w:val="00AB135C"/>
    <w:rsid w:val="00AB1C7D"/>
    <w:rsid w:val="00AB2021"/>
    <w:rsid w:val="00AB4043"/>
    <w:rsid w:val="00AB4810"/>
    <w:rsid w:val="00AB4CBB"/>
    <w:rsid w:val="00AB62FE"/>
    <w:rsid w:val="00AB6F9D"/>
    <w:rsid w:val="00AC4ED6"/>
    <w:rsid w:val="00AD2459"/>
    <w:rsid w:val="00AD3D3A"/>
    <w:rsid w:val="00AD601E"/>
    <w:rsid w:val="00AE0DF0"/>
    <w:rsid w:val="00AE1647"/>
    <w:rsid w:val="00AE1A2E"/>
    <w:rsid w:val="00AE335A"/>
    <w:rsid w:val="00AE54C4"/>
    <w:rsid w:val="00AF0D67"/>
    <w:rsid w:val="00AF1B92"/>
    <w:rsid w:val="00AF32EE"/>
    <w:rsid w:val="00AF38B5"/>
    <w:rsid w:val="00AF42F7"/>
    <w:rsid w:val="00AF468B"/>
    <w:rsid w:val="00AF4EBE"/>
    <w:rsid w:val="00AF5C19"/>
    <w:rsid w:val="00B05494"/>
    <w:rsid w:val="00B06510"/>
    <w:rsid w:val="00B0660B"/>
    <w:rsid w:val="00B06CC1"/>
    <w:rsid w:val="00B125A2"/>
    <w:rsid w:val="00B128DE"/>
    <w:rsid w:val="00B1349B"/>
    <w:rsid w:val="00B17E6F"/>
    <w:rsid w:val="00B17EE5"/>
    <w:rsid w:val="00B20284"/>
    <w:rsid w:val="00B22D7B"/>
    <w:rsid w:val="00B23D6A"/>
    <w:rsid w:val="00B253E9"/>
    <w:rsid w:val="00B25876"/>
    <w:rsid w:val="00B31713"/>
    <w:rsid w:val="00B317B3"/>
    <w:rsid w:val="00B37168"/>
    <w:rsid w:val="00B40AE3"/>
    <w:rsid w:val="00B42157"/>
    <w:rsid w:val="00B436A3"/>
    <w:rsid w:val="00B45EFC"/>
    <w:rsid w:val="00B47693"/>
    <w:rsid w:val="00B47FC1"/>
    <w:rsid w:val="00B50238"/>
    <w:rsid w:val="00B50869"/>
    <w:rsid w:val="00B51C63"/>
    <w:rsid w:val="00B62ED5"/>
    <w:rsid w:val="00B63576"/>
    <w:rsid w:val="00B63E85"/>
    <w:rsid w:val="00B64970"/>
    <w:rsid w:val="00B6521A"/>
    <w:rsid w:val="00B657BC"/>
    <w:rsid w:val="00B66BD5"/>
    <w:rsid w:val="00B70B5F"/>
    <w:rsid w:val="00B740C5"/>
    <w:rsid w:val="00B7572C"/>
    <w:rsid w:val="00B832EA"/>
    <w:rsid w:val="00B839F5"/>
    <w:rsid w:val="00B844D1"/>
    <w:rsid w:val="00B878DF"/>
    <w:rsid w:val="00B925AD"/>
    <w:rsid w:val="00B930C9"/>
    <w:rsid w:val="00B9360F"/>
    <w:rsid w:val="00B95257"/>
    <w:rsid w:val="00B95739"/>
    <w:rsid w:val="00B95E6F"/>
    <w:rsid w:val="00BA0652"/>
    <w:rsid w:val="00BA2A4B"/>
    <w:rsid w:val="00BA7524"/>
    <w:rsid w:val="00BB0C38"/>
    <w:rsid w:val="00BB15E9"/>
    <w:rsid w:val="00BB33EB"/>
    <w:rsid w:val="00BB3625"/>
    <w:rsid w:val="00BC0FE9"/>
    <w:rsid w:val="00BC276F"/>
    <w:rsid w:val="00BC3A07"/>
    <w:rsid w:val="00BC5193"/>
    <w:rsid w:val="00BC5DFA"/>
    <w:rsid w:val="00BC5F35"/>
    <w:rsid w:val="00BC75FD"/>
    <w:rsid w:val="00BD0308"/>
    <w:rsid w:val="00BD0388"/>
    <w:rsid w:val="00BD26EA"/>
    <w:rsid w:val="00BD5477"/>
    <w:rsid w:val="00BD7DEA"/>
    <w:rsid w:val="00BE1FBA"/>
    <w:rsid w:val="00BE48EF"/>
    <w:rsid w:val="00BE72C0"/>
    <w:rsid w:val="00BF4BE3"/>
    <w:rsid w:val="00BF54DA"/>
    <w:rsid w:val="00C017A0"/>
    <w:rsid w:val="00C044AA"/>
    <w:rsid w:val="00C05303"/>
    <w:rsid w:val="00C05B97"/>
    <w:rsid w:val="00C1282B"/>
    <w:rsid w:val="00C131F8"/>
    <w:rsid w:val="00C13592"/>
    <w:rsid w:val="00C13C8A"/>
    <w:rsid w:val="00C15D43"/>
    <w:rsid w:val="00C22395"/>
    <w:rsid w:val="00C27297"/>
    <w:rsid w:val="00C33A24"/>
    <w:rsid w:val="00C35E49"/>
    <w:rsid w:val="00C36420"/>
    <w:rsid w:val="00C36C81"/>
    <w:rsid w:val="00C3717F"/>
    <w:rsid w:val="00C37B52"/>
    <w:rsid w:val="00C40757"/>
    <w:rsid w:val="00C434B1"/>
    <w:rsid w:val="00C43C10"/>
    <w:rsid w:val="00C44A2C"/>
    <w:rsid w:val="00C46E35"/>
    <w:rsid w:val="00C54FD9"/>
    <w:rsid w:val="00C55BEB"/>
    <w:rsid w:val="00C55DDC"/>
    <w:rsid w:val="00C56966"/>
    <w:rsid w:val="00C61115"/>
    <w:rsid w:val="00C61B8A"/>
    <w:rsid w:val="00C652D1"/>
    <w:rsid w:val="00C67081"/>
    <w:rsid w:val="00C71032"/>
    <w:rsid w:val="00C75C49"/>
    <w:rsid w:val="00C82AA3"/>
    <w:rsid w:val="00C91A81"/>
    <w:rsid w:val="00C9313A"/>
    <w:rsid w:val="00C955F6"/>
    <w:rsid w:val="00CA13F3"/>
    <w:rsid w:val="00CA7CB2"/>
    <w:rsid w:val="00CB25A1"/>
    <w:rsid w:val="00CB3589"/>
    <w:rsid w:val="00CB7861"/>
    <w:rsid w:val="00CC019E"/>
    <w:rsid w:val="00CC36E9"/>
    <w:rsid w:val="00CD10A4"/>
    <w:rsid w:val="00CD1E79"/>
    <w:rsid w:val="00CD2C3C"/>
    <w:rsid w:val="00CD56C9"/>
    <w:rsid w:val="00CD58EC"/>
    <w:rsid w:val="00CD5FAF"/>
    <w:rsid w:val="00CE02D2"/>
    <w:rsid w:val="00CE22B0"/>
    <w:rsid w:val="00CE5688"/>
    <w:rsid w:val="00CE7003"/>
    <w:rsid w:val="00CF1A7F"/>
    <w:rsid w:val="00CF214C"/>
    <w:rsid w:val="00CF3246"/>
    <w:rsid w:val="00CF5752"/>
    <w:rsid w:val="00CF6002"/>
    <w:rsid w:val="00D03BB1"/>
    <w:rsid w:val="00D05F48"/>
    <w:rsid w:val="00D077D2"/>
    <w:rsid w:val="00D12B6A"/>
    <w:rsid w:val="00D13254"/>
    <w:rsid w:val="00D15B27"/>
    <w:rsid w:val="00D15C01"/>
    <w:rsid w:val="00D2213C"/>
    <w:rsid w:val="00D30168"/>
    <w:rsid w:val="00D31356"/>
    <w:rsid w:val="00D3204B"/>
    <w:rsid w:val="00D373C5"/>
    <w:rsid w:val="00D40F3B"/>
    <w:rsid w:val="00D4139B"/>
    <w:rsid w:val="00D41D67"/>
    <w:rsid w:val="00D42688"/>
    <w:rsid w:val="00D43BEF"/>
    <w:rsid w:val="00D45041"/>
    <w:rsid w:val="00D45BDF"/>
    <w:rsid w:val="00D46C81"/>
    <w:rsid w:val="00D47F55"/>
    <w:rsid w:val="00D52205"/>
    <w:rsid w:val="00D5425E"/>
    <w:rsid w:val="00D57102"/>
    <w:rsid w:val="00D57668"/>
    <w:rsid w:val="00D6181F"/>
    <w:rsid w:val="00D62F6C"/>
    <w:rsid w:val="00D71AB6"/>
    <w:rsid w:val="00D80941"/>
    <w:rsid w:val="00D80B1E"/>
    <w:rsid w:val="00D81994"/>
    <w:rsid w:val="00D82DCB"/>
    <w:rsid w:val="00D847CF"/>
    <w:rsid w:val="00D86180"/>
    <w:rsid w:val="00D862E0"/>
    <w:rsid w:val="00D90927"/>
    <w:rsid w:val="00D90FCA"/>
    <w:rsid w:val="00D91165"/>
    <w:rsid w:val="00D921C3"/>
    <w:rsid w:val="00D927C9"/>
    <w:rsid w:val="00D92FDF"/>
    <w:rsid w:val="00D95E12"/>
    <w:rsid w:val="00DA37A4"/>
    <w:rsid w:val="00DB08EC"/>
    <w:rsid w:val="00DB2B09"/>
    <w:rsid w:val="00DB64C9"/>
    <w:rsid w:val="00DB73BE"/>
    <w:rsid w:val="00DC092F"/>
    <w:rsid w:val="00DC2CAB"/>
    <w:rsid w:val="00DC32AD"/>
    <w:rsid w:val="00DC37E6"/>
    <w:rsid w:val="00DC438D"/>
    <w:rsid w:val="00DD0C7B"/>
    <w:rsid w:val="00DD47DC"/>
    <w:rsid w:val="00DD5133"/>
    <w:rsid w:val="00DD73E1"/>
    <w:rsid w:val="00DE132D"/>
    <w:rsid w:val="00DE13AB"/>
    <w:rsid w:val="00DE1967"/>
    <w:rsid w:val="00DE248C"/>
    <w:rsid w:val="00DE52A7"/>
    <w:rsid w:val="00DE68A8"/>
    <w:rsid w:val="00DF153B"/>
    <w:rsid w:val="00DF201F"/>
    <w:rsid w:val="00E000E4"/>
    <w:rsid w:val="00E014C8"/>
    <w:rsid w:val="00E02927"/>
    <w:rsid w:val="00E051CD"/>
    <w:rsid w:val="00E13AC1"/>
    <w:rsid w:val="00E16881"/>
    <w:rsid w:val="00E16BE0"/>
    <w:rsid w:val="00E17EBD"/>
    <w:rsid w:val="00E22B02"/>
    <w:rsid w:val="00E23920"/>
    <w:rsid w:val="00E25BA0"/>
    <w:rsid w:val="00E26FCA"/>
    <w:rsid w:val="00E33F82"/>
    <w:rsid w:val="00E363B1"/>
    <w:rsid w:val="00E414E0"/>
    <w:rsid w:val="00E418DF"/>
    <w:rsid w:val="00E43AE3"/>
    <w:rsid w:val="00E47062"/>
    <w:rsid w:val="00E475EC"/>
    <w:rsid w:val="00E5034C"/>
    <w:rsid w:val="00E530A1"/>
    <w:rsid w:val="00E54B23"/>
    <w:rsid w:val="00E55BED"/>
    <w:rsid w:val="00E56B90"/>
    <w:rsid w:val="00E5717D"/>
    <w:rsid w:val="00E60209"/>
    <w:rsid w:val="00E61064"/>
    <w:rsid w:val="00E650FA"/>
    <w:rsid w:val="00E65B65"/>
    <w:rsid w:val="00E6693E"/>
    <w:rsid w:val="00E7132D"/>
    <w:rsid w:val="00E724DF"/>
    <w:rsid w:val="00E741BE"/>
    <w:rsid w:val="00E76644"/>
    <w:rsid w:val="00E86FD6"/>
    <w:rsid w:val="00E87445"/>
    <w:rsid w:val="00E8779B"/>
    <w:rsid w:val="00E9086D"/>
    <w:rsid w:val="00E94484"/>
    <w:rsid w:val="00E94630"/>
    <w:rsid w:val="00E9536A"/>
    <w:rsid w:val="00E96E40"/>
    <w:rsid w:val="00EA170E"/>
    <w:rsid w:val="00EA3A82"/>
    <w:rsid w:val="00EA50A6"/>
    <w:rsid w:val="00EA73C7"/>
    <w:rsid w:val="00EB2D68"/>
    <w:rsid w:val="00EB3C0C"/>
    <w:rsid w:val="00EB6B68"/>
    <w:rsid w:val="00EB6FCB"/>
    <w:rsid w:val="00EB78EE"/>
    <w:rsid w:val="00EC4045"/>
    <w:rsid w:val="00EC4618"/>
    <w:rsid w:val="00EC6752"/>
    <w:rsid w:val="00EC730B"/>
    <w:rsid w:val="00ED3048"/>
    <w:rsid w:val="00ED4C8D"/>
    <w:rsid w:val="00ED7D23"/>
    <w:rsid w:val="00EE0FC8"/>
    <w:rsid w:val="00EE2459"/>
    <w:rsid w:val="00EE5A93"/>
    <w:rsid w:val="00EE7344"/>
    <w:rsid w:val="00EF00DC"/>
    <w:rsid w:val="00EF08BB"/>
    <w:rsid w:val="00EF1479"/>
    <w:rsid w:val="00F01600"/>
    <w:rsid w:val="00F01915"/>
    <w:rsid w:val="00F034A8"/>
    <w:rsid w:val="00F04845"/>
    <w:rsid w:val="00F07FEE"/>
    <w:rsid w:val="00F10143"/>
    <w:rsid w:val="00F10D23"/>
    <w:rsid w:val="00F123AF"/>
    <w:rsid w:val="00F13046"/>
    <w:rsid w:val="00F13A0F"/>
    <w:rsid w:val="00F201D2"/>
    <w:rsid w:val="00F222DC"/>
    <w:rsid w:val="00F26613"/>
    <w:rsid w:val="00F33EF5"/>
    <w:rsid w:val="00F344EC"/>
    <w:rsid w:val="00F4301E"/>
    <w:rsid w:val="00F433DE"/>
    <w:rsid w:val="00F4458D"/>
    <w:rsid w:val="00F4462A"/>
    <w:rsid w:val="00F44C67"/>
    <w:rsid w:val="00F465B5"/>
    <w:rsid w:val="00F46C6F"/>
    <w:rsid w:val="00F54493"/>
    <w:rsid w:val="00F55B15"/>
    <w:rsid w:val="00F575AA"/>
    <w:rsid w:val="00F60F64"/>
    <w:rsid w:val="00F61C5B"/>
    <w:rsid w:val="00F6235F"/>
    <w:rsid w:val="00F62DF6"/>
    <w:rsid w:val="00F6458A"/>
    <w:rsid w:val="00F72668"/>
    <w:rsid w:val="00F81092"/>
    <w:rsid w:val="00F82646"/>
    <w:rsid w:val="00F82A7A"/>
    <w:rsid w:val="00F83B0F"/>
    <w:rsid w:val="00F8481F"/>
    <w:rsid w:val="00F84FF3"/>
    <w:rsid w:val="00F90D1E"/>
    <w:rsid w:val="00F917C0"/>
    <w:rsid w:val="00F91DC6"/>
    <w:rsid w:val="00F92964"/>
    <w:rsid w:val="00F94E57"/>
    <w:rsid w:val="00F965F4"/>
    <w:rsid w:val="00F96CFA"/>
    <w:rsid w:val="00FA0DDE"/>
    <w:rsid w:val="00FA0DF0"/>
    <w:rsid w:val="00FB0CDD"/>
    <w:rsid w:val="00FB2631"/>
    <w:rsid w:val="00FB383E"/>
    <w:rsid w:val="00FB6DF8"/>
    <w:rsid w:val="00FB7261"/>
    <w:rsid w:val="00FC1BC2"/>
    <w:rsid w:val="00FC718D"/>
    <w:rsid w:val="00FD7C53"/>
    <w:rsid w:val="00FE0C4D"/>
    <w:rsid w:val="00FE3410"/>
    <w:rsid w:val="00FF03CD"/>
    <w:rsid w:val="00FF3E70"/>
  </w:rsids>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DE"/>
    <w:rPr>
      <w:sz w:val="24"/>
      <w:szCs w:val="24"/>
    </w:rPr>
  </w:style>
  <w:style w:type="paragraph" w:styleId="Heading1">
    <w:name w:val="heading 1"/>
    <w:basedOn w:val="Normal"/>
    <w:next w:val="Normal"/>
    <w:link w:val="Heading1Char"/>
    <w:autoRedefine/>
    <w:uiPriority w:val="99"/>
    <w:qFormat/>
    <w:rsid w:val="00F01600"/>
    <w:pPr>
      <w:keepNext/>
      <w:tabs>
        <w:tab w:val="decimal" w:leader="dot" w:pos="8640"/>
      </w:tabs>
      <w:overflowPunct w:val="0"/>
      <w:autoSpaceDE w:val="0"/>
      <w:autoSpaceDN w:val="0"/>
      <w:adjustRightInd w:val="0"/>
      <w:ind w:left="720" w:hanging="720"/>
      <w:textAlignment w:val="baseline"/>
      <w:outlineLvl w:val="0"/>
    </w:pPr>
    <w:rPr>
      <w:b/>
      <w:bCs/>
      <w:color w:val="000000" w:themeColor="text1"/>
      <w:kern w:val="32"/>
    </w:rPr>
  </w:style>
  <w:style w:type="paragraph" w:styleId="Heading2">
    <w:name w:val="heading 2"/>
    <w:basedOn w:val="Normal"/>
    <w:next w:val="Normal"/>
    <w:link w:val="Heading2Char"/>
    <w:autoRedefine/>
    <w:uiPriority w:val="99"/>
    <w:qFormat/>
    <w:rsid w:val="00D92FDF"/>
    <w:pPr>
      <w:spacing w:after="240"/>
      <w:ind w:left="720"/>
      <w:outlineLvl w:val="1"/>
    </w:pPr>
    <w:rPr>
      <w:rFonts w:ascii="Times New Roman Bold" w:hAnsi="Times New Roman Bold"/>
      <w:b/>
      <w:bCs/>
    </w:rPr>
  </w:style>
  <w:style w:type="paragraph" w:styleId="Heading3">
    <w:name w:val="heading 3"/>
    <w:basedOn w:val="Normal"/>
    <w:next w:val="Normal"/>
    <w:link w:val="Heading3Char"/>
    <w:unhideWhenUsed/>
    <w:qFormat/>
    <w:locked/>
    <w:rsid w:val="004F2590"/>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1600"/>
    <w:rPr>
      <w:b/>
      <w:bCs/>
      <w:color w:val="000000" w:themeColor="text1"/>
      <w:kern w:val="32"/>
      <w:sz w:val="24"/>
      <w:szCs w:val="24"/>
    </w:rPr>
  </w:style>
  <w:style w:type="character" w:customStyle="1" w:styleId="Heading2Char">
    <w:name w:val="Heading 2 Char"/>
    <w:link w:val="Heading2"/>
    <w:uiPriority w:val="99"/>
    <w:locked/>
    <w:rsid w:val="00D92FDF"/>
    <w:rPr>
      <w:rFonts w:ascii="Times New Roman Bold" w:hAnsi="Times New Roman Bold"/>
      <w:b/>
      <w:bCs/>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5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semiHidden/>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link w:val="FootnoteText"/>
    <w:uiPriority w:val="99"/>
    <w:locked/>
    <w:rsid w:val="00381778"/>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81F70"/>
    <w:rPr>
      <w:vertAlign w:val="superscript"/>
    </w:rPr>
  </w:style>
  <w:style w:type="paragraph" w:styleId="EndnoteText">
    <w:name w:val="endnote text"/>
    <w:basedOn w:val="Normal"/>
    <w:link w:val="EndnoteTextChar"/>
    <w:uiPriority w:val="99"/>
    <w:rsid w:val="00B81F70"/>
    <w:pPr>
      <w:widowControl w:val="0"/>
    </w:pPr>
    <w:rPr>
      <w:sz w:val="20"/>
      <w:szCs w:val="20"/>
    </w:rPr>
  </w:style>
  <w:style w:type="character" w:customStyle="1" w:styleId="EndnoteTextChar">
    <w:name w:val="Endnote Text Char"/>
    <w:link w:val="EndnoteText"/>
    <w:uiPriority w:val="99"/>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rsid w:val="00B81F70"/>
    <w:rPr>
      <w:sz w:val="20"/>
      <w:szCs w:val="20"/>
    </w:rPr>
  </w:style>
  <w:style w:type="character" w:customStyle="1" w:styleId="CommentTextChar">
    <w:name w:val="Comment Text Char"/>
    <w:link w:val="CommentText"/>
    <w:locked/>
    <w:rsid w:val="00B81F70"/>
    <w:rPr>
      <w:sz w:val="20"/>
      <w:szCs w:val="20"/>
    </w:rPr>
  </w:style>
  <w:style w:type="paragraph" w:styleId="CommentSubject">
    <w:name w:val="annotation subject"/>
    <w:basedOn w:val="CommentText"/>
    <w:next w:val="CommentText"/>
    <w:link w:val="CommentSubjectChar"/>
    <w:semiHidden/>
    <w:rsid w:val="00B81F70"/>
    <w:rPr>
      <w:b/>
      <w:bCs/>
    </w:rPr>
  </w:style>
  <w:style w:type="character" w:customStyle="1" w:styleId="CommentSubjectChar">
    <w:name w:val="Comment Subject Char"/>
    <w:link w:val="CommentSubject"/>
    <w:semiHidden/>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D42688"/>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locked/>
    <w:rsid w:val="00F8481F"/>
    <w:pPr>
      <w:tabs>
        <w:tab w:val="decimal" w:leader="dot" w:pos="8640"/>
      </w:tabs>
      <w:spacing w:after="240"/>
      <w:ind w:left="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4F2590"/>
    <w:rPr>
      <w:rFonts w:ascii="Times New Roman Bold" w:hAnsi="Times New Roman Bold" w:eastAsiaTheme="majorEastAsia" w:cstheme="majorBidi"/>
      <w:b/>
      <w:bCs/>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F8481F"/>
    <w:pPr>
      <w:tabs>
        <w:tab w:val="decimal" w:leader="dot" w:pos="8640"/>
      </w:tabs>
      <w:spacing w:after="240"/>
      <w:ind w:left="2160" w:hanging="72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ocked/>
    <w:rsid w:val="0095557D"/>
    <w:rPr>
      <w:rFonts w:eastAsia="Times New Roman"/>
      <w:color w:val="000000"/>
      <w:szCs w:val="19"/>
    </w:rPr>
  </w:style>
  <w:style w:type="paragraph" w:customStyle="1" w:styleId="Level1">
    <w:name w:val="Level 1"/>
    <w:link w:val="Level1Char"/>
    <w:rsid w:val="00800D7D"/>
    <w:pPr>
      <w:widowControl w:val="0"/>
      <w:tabs>
        <w:tab w:val="num" w:pos="720"/>
      </w:tabs>
      <w:autoSpaceDE w:val="0"/>
      <w:autoSpaceDN w:val="0"/>
      <w:adjustRightInd w:val="0"/>
      <w:ind w:left="720" w:hanging="720"/>
      <w:jc w:val="both"/>
    </w:pPr>
    <w:rPr>
      <w:sz w:val="24"/>
      <w:szCs w:val="24"/>
      <w:lang w:eastAsia="ja-JP"/>
    </w:rPr>
  </w:style>
  <w:style w:type="character" w:customStyle="1" w:styleId="Level1Char">
    <w:name w:val="Level 1 Char"/>
    <w:link w:val="Level1"/>
    <w:rsid w:val="00800D7D"/>
    <w:rPr>
      <w:sz w:val="24"/>
      <w:szCs w:val="24"/>
      <w:lang w:eastAsia="ja-JP"/>
    </w:rPr>
  </w:style>
  <w:style w:type="character" w:customStyle="1" w:styleId="UnresolvedMention2">
    <w:name w:val="Unresolved Mention2"/>
    <w:basedOn w:val="DefaultParagraphFont"/>
    <w:uiPriority w:val="99"/>
    <w:semiHidden/>
    <w:unhideWhenUsed/>
    <w:rsid w:val="0066649A"/>
    <w:rPr>
      <w:color w:val="605E5C"/>
      <w:shd w:val="clear" w:color="auto" w:fill="E1DFDD"/>
    </w:rPr>
  </w:style>
  <w:style w:type="character" w:customStyle="1" w:styleId="UnresolvedMention3">
    <w:name w:val="Unresolved Mention3"/>
    <w:basedOn w:val="DefaultParagraphFont"/>
    <w:uiPriority w:val="99"/>
    <w:semiHidden/>
    <w:unhideWhenUsed/>
    <w:rsid w:val="001C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2.xml" /><Relationship Id="rId14" Type="http://schemas.openxmlformats.org/officeDocument/2006/relationships/header" Target="header3.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yperlink" Target="mailto:Thomas.lindgren@ohioattorneygeneral.gov" TargetMode="External" /><Relationship Id="rId2" Type="http://schemas.openxmlformats.org/officeDocument/2006/relationships/settings" Target="settings.xml" /><Relationship Id="rId20" Type="http://schemas.openxmlformats.org/officeDocument/2006/relationships/hyperlink" Target="mailto:Andrew.shaffer@ohioattorneygeneral.gov" TargetMode="External" /><Relationship Id="rId21" Type="http://schemas.openxmlformats.org/officeDocument/2006/relationships/hyperlink" Target="mailto:dproano@bakerlaw.com" TargetMode="External" /><Relationship Id="rId22" Type="http://schemas.openxmlformats.org/officeDocument/2006/relationships/hyperlink" Target="mailto:kkash@bakerlaw.com" TargetMode="External" /><Relationship Id="rId23" Type="http://schemas.openxmlformats.org/officeDocument/2006/relationships/hyperlink" Target="mailto:dlemon@bakerlaw.com" TargetMode="External" /><Relationship Id="rId24" Type="http://schemas.openxmlformats.org/officeDocument/2006/relationships/hyperlink" Target="mailto:tathompson@bakerlaw.com" TargetMode="External" /><Relationship Id="rId25" Type="http://schemas.openxmlformats.org/officeDocument/2006/relationships/hyperlink" Target="mailto:Joe.Oliker@igs.com" TargetMode="External" /><Relationship Id="rId26" Type="http://schemas.openxmlformats.org/officeDocument/2006/relationships/hyperlink" Target="mailto:Michael.Nugent@igs.com" TargetMode="External" /><Relationship Id="rId27" Type="http://schemas.openxmlformats.org/officeDocument/2006/relationships/hyperlink" Target="mailto:Bethany.Allen@igs.com" TargetMode="External" /><Relationship Id="rId28" Type="http://schemas.openxmlformats.org/officeDocument/2006/relationships/hyperlink" Target="mailto:rhooper@bakerlaw.com" TargetMode="External" /><Relationship Id="rId29" Type="http://schemas.openxmlformats.org/officeDocument/2006/relationships/hyperlink" Target="mailto:bclay@sparkenergy.com" TargetMode="External" /><Relationship Id="rId3" Type="http://schemas.openxmlformats.org/officeDocument/2006/relationships/webSettings" Target="webSettings.xml" /><Relationship Id="rId30" Type="http://schemas.openxmlformats.org/officeDocument/2006/relationships/hyperlink" Target="mailto:mlundstrom@sparkenergy.com" TargetMode="External" /><Relationship Id="rId31" Type="http://schemas.openxmlformats.org/officeDocument/2006/relationships/hyperlink" Target="mailto:Anna.Sanyal@puco.ohio.gov" TargetMode="External" /><Relationship Id="rId32" Type="http://schemas.openxmlformats.org/officeDocument/2006/relationships/hyperlink" Target="mailto:gregory.price@puco.ohio.gov" TargetMode="External" /><Relationship Id="rId33" Type="http://schemas.openxmlformats.org/officeDocument/2006/relationships/hyperlink" Target="mailto:kwhite@sparkenergy.com" TargetMode="External" /><Relationship Id="rId34" Type="http://schemas.openxmlformats.org/officeDocument/2006/relationships/header" Target="header5.xml" /><Relationship Id="rId35" Type="http://schemas.openxmlformats.org/officeDocument/2006/relationships/header" Target="header6.xml" /><Relationship Id="rId36" Type="http://schemas.openxmlformats.org/officeDocument/2006/relationships/footer" Target="footer8.xml" /><Relationship Id="rId37" Type="http://schemas.openxmlformats.org/officeDocument/2006/relationships/header" Target="header7.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christopher.healey@occ.ohio.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opsb.ohio.gov/rules/2020-rule-revi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8EE3-F62B-499E-A59A-159B05C4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8967</Words>
  <Characters>51113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final 3-27 draft 19-0958 Verde AFR mrw.ls.dfs ls__2.docx  -  Read-Only (003).docx  -  Read-Only.docx</vt:lpstr>
    </vt:vector>
  </TitlesOfParts>
  <Company/>
  <LinksUpToDate>false</LinksUpToDate>
  <CharactersWithSpaces>59961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2020-03-27T21:08:48Z</dcterms:created>
  <dcterms:modified xsi:type="dcterms:W3CDTF">2020-03-27T21:08:48Z</dcterms:modified>
</cp:coreProperties>
</file>