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0C7" w:rsidRDefault="003340C7" w:rsidP="003B6D45">
      <w:pPr>
        <w:tabs>
          <w:tab w:val="left" w:pos="900"/>
          <w:tab w:val="left" w:pos="3600"/>
          <w:tab w:val="left" w:pos="5760"/>
          <w:tab w:val="left" w:pos="6489"/>
          <w:tab w:val="left" w:pos="6660"/>
          <w:tab w:val="left" w:pos="6750"/>
          <w:tab w:val="left" w:pos="8280"/>
        </w:tabs>
      </w:pPr>
    </w:p>
    <w:p w:rsidR="003340C7" w:rsidRDefault="003340C7" w:rsidP="003B6D45">
      <w:pPr>
        <w:tabs>
          <w:tab w:val="left" w:pos="900"/>
          <w:tab w:val="left" w:pos="3600"/>
          <w:tab w:val="left" w:pos="5760"/>
          <w:tab w:val="left" w:pos="6489"/>
          <w:tab w:val="left" w:pos="6660"/>
          <w:tab w:val="left" w:pos="6750"/>
          <w:tab w:val="left" w:pos="8280"/>
        </w:tabs>
      </w:pPr>
    </w:p>
    <w:p w:rsidR="003340C7" w:rsidRDefault="003340C7" w:rsidP="003B6D45">
      <w:pPr>
        <w:pStyle w:val="BodyText"/>
        <w:tabs>
          <w:tab w:val="left" w:pos="900"/>
          <w:tab w:val="left" w:pos="2160"/>
          <w:tab w:val="left" w:pos="3600"/>
          <w:tab w:val="left" w:pos="7470"/>
          <w:tab w:val="left" w:pos="8640"/>
        </w:tabs>
        <w:rPr>
          <w:sz w:val="22"/>
          <w:szCs w:val="22"/>
        </w:rPr>
      </w:pPr>
    </w:p>
    <w:p w:rsidR="003340C7" w:rsidRDefault="003340C7" w:rsidP="003B6D45">
      <w:pPr>
        <w:tabs>
          <w:tab w:val="left" w:pos="432"/>
          <w:tab w:val="left" w:pos="900"/>
          <w:tab w:val="left" w:pos="2160"/>
          <w:tab w:val="left" w:pos="7488"/>
        </w:tabs>
      </w:pPr>
    </w:p>
    <w:p w:rsidR="003340C7" w:rsidRDefault="003340C7" w:rsidP="003B6D45">
      <w:pPr>
        <w:tabs>
          <w:tab w:val="left" w:pos="576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APPLICABILITY</w:t>
      </w:r>
    </w:p>
    <w:p w:rsidR="003340C7" w:rsidRDefault="003340C7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The Standard Choice Offer (“SCO”) Rider is applicable to Rate 310, 311, 320, 321 and 341</w:t>
      </w:r>
    </w:p>
    <w:p w:rsidR="003340C7" w:rsidRDefault="003340C7" w:rsidP="003B6D45">
      <w:pPr>
        <w:tabs>
          <w:tab w:val="left" w:pos="5760"/>
        </w:tabs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Customers.</w:t>
      </w:r>
      <w:proofErr w:type="gramEnd"/>
    </w:p>
    <w:p w:rsidR="003340C7" w:rsidRDefault="003340C7" w:rsidP="003B6D45">
      <w:pPr>
        <w:tabs>
          <w:tab w:val="left" w:pos="5760"/>
        </w:tabs>
        <w:ind w:firstLine="720"/>
        <w:rPr>
          <w:sz w:val="20"/>
          <w:szCs w:val="20"/>
        </w:rPr>
      </w:pPr>
    </w:p>
    <w:p w:rsidR="003340C7" w:rsidRDefault="003340C7" w:rsidP="003B6D45">
      <w:pPr>
        <w:tabs>
          <w:tab w:val="left" w:pos="576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DESCRIPTION</w:t>
      </w:r>
    </w:p>
    <w:p w:rsidR="003340C7" w:rsidRDefault="003340C7" w:rsidP="003B6D45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340C7" w:rsidRDefault="003340C7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>
        <w:rPr>
          <w:sz w:val="20"/>
          <w:szCs w:val="20"/>
        </w:rPr>
        <w:t>Ccf</w:t>
      </w:r>
      <w:proofErr w:type="spellEnd"/>
      <w:proofErr w:type="gramEnd"/>
      <w:r>
        <w:rPr>
          <w:sz w:val="20"/>
          <w:szCs w:val="20"/>
        </w:rPr>
        <w:t xml:space="preserve"> and the SCO Rider</w:t>
      </w:r>
    </w:p>
    <w:p w:rsidR="003340C7" w:rsidRDefault="003340C7" w:rsidP="003B6D45">
      <w:pPr>
        <w:tabs>
          <w:tab w:val="left" w:pos="720"/>
        </w:tabs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Rate.</w:t>
      </w:r>
      <w:proofErr w:type="gramEnd"/>
    </w:p>
    <w:p w:rsidR="003340C7" w:rsidRDefault="003340C7" w:rsidP="003B6D45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340C7" w:rsidRDefault="003340C7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The SCO Rider Rate each month will be the NYMEX settlement price for such month converted</w:t>
      </w:r>
    </w:p>
    <w:p w:rsidR="003340C7" w:rsidRDefault="003340C7" w:rsidP="003B6D45">
      <w:pPr>
        <w:autoSpaceDE w:val="0"/>
        <w:autoSpaceDN w:val="0"/>
        <w:adjustRightInd w:val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 price per </w:t>
      </w:r>
      <w:proofErr w:type="spellStart"/>
      <w:r>
        <w:rPr>
          <w:sz w:val="20"/>
          <w:szCs w:val="20"/>
        </w:rPr>
        <w:t>Mcf</w:t>
      </w:r>
      <w:proofErr w:type="spellEnd"/>
      <w:r>
        <w:rPr>
          <w:sz w:val="20"/>
          <w:szCs w:val="20"/>
        </w:rPr>
        <w:t xml:space="preserve"> using a standard BTU value, plus the Retail Price Adjustment determined in</w:t>
      </w:r>
    </w:p>
    <w:p w:rsidR="003340C7" w:rsidRDefault="003340C7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SCO auction. The resulting rate per </w:t>
      </w:r>
      <w:proofErr w:type="spellStart"/>
      <w:r>
        <w:rPr>
          <w:sz w:val="20"/>
          <w:szCs w:val="20"/>
        </w:rPr>
        <w:t>Mcf</w:t>
      </w:r>
      <w:proofErr w:type="spellEnd"/>
      <w:r>
        <w:rPr>
          <w:sz w:val="20"/>
          <w:szCs w:val="20"/>
        </w:rPr>
        <w:t xml:space="preserve"> will be converted to a rate per </w:t>
      </w:r>
      <w:proofErr w:type="spellStart"/>
      <w:proofErr w:type="gramStart"/>
      <w:r>
        <w:rPr>
          <w:sz w:val="20"/>
          <w:szCs w:val="20"/>
        </w:rPr>
        <w:t>Ccf</w:t>
      </w:r>
      <w:proofErr w:type="spellEnd"/>
      <w:proofErr w:type="gramEnd"/>
      <w:r>
        <w:rPr>
          <w:sz w:val="20"/>
          <w:szCs w:val="20"/>
        </w:rPr>
        <w:t xml:space="preserve"> for billing</w:t>
      </w:r>
    </w:p>
    <w:p w:rsidR="003340C7" w:rsidRDefault="003340C7" w:rsidP="003B6D45">
      <w:pPr>
        <w:tabs>
          <w:tab w:val="left" w:pos="720"/>
          <w:tab w:val="left" w:pos="6048"/>
        </w:tabs>
        <w:ind w:right="288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purposes</w:t>
      </w:r>
      <w:proofErr w:type="gramEnd"/>
      <w:r>
        <w:rPr>
          <w:sz w:val="20"/>
          <w:szCs w:val="20"/>
        </w:rPr>
        <w:t>.</w:t>
      </w:r>
    </w:p>
    <w:p w:rsidR="003340C7" w:rsidRDefault="003340C7" w:rsidP="003B6D45">
      <w:pPr>
        <w:tabs>
          <w:tab w:val="left" w:pos="720"/>
          <w:tab w:val="left" w:pos="6048"/>
        </w:tabs>
        <w:ind w:right="288" w:firstLine="720"/>
        <w:rPr>
          <w:sz w:val="20"/>
          <w:szCs w:val="20"/>
        </w:rPr>
      </w:pPr>
    </w:p>
    <w:p w:rsidR="003340C7" w:rsidRDefault="003340C7" w:rsidP="003B6D45">
      <w:pPr>
        <w:tabs>
          <w:tab w:val="left" w:pos="720"/>
          <w:tab w:val="left" w:pos="6048"/>
        </w:tabs>
        <w:ind w:left="720" w:right="288"/>
        <w:rPr>
          <w:sz w:val="20"/>
          <w:szCs w:val="20"/>
        </w:rPr>
      </w:pPr>
      <w:r w:rsidRPr="002736A9">
        <w:rPr>
          <w:sz w:val="20"/>
          <w:szCs w:val="20"/>
        </w:rPr>
        <w:t xml:space="preserve">The standard BTU value effective </w:t>
      </w:r>
      <w:r w:rsidRPr="00C108C9">
        <w:rPr>
          <w:noProof/>
          <w:sz w:val="20"/>
          <w:szCs w:val="20"/>
        </w:rPr>
        <w:t>April 1, 2017 through March 31, 2018</w:t>
      </w:r>
      <w:r w:rsidRPr="002736A9">
        <w:rPr>
          <w:sz w:val="20"/>
          <w:szCs w:val="20"/>
        </w:rPr>
        <w:t xml:space="preserve"> is </w:t>
      </w:r>
      <w:r w:rsidRPr="00C108C9">
        <w:rPr>
          <w:noProof/>
          <w:sz w:val="20"/>
          <w:szCs w:val="20"/>
        </w:rPr>
        <w:t>1.071</w:t>
      </w:r>
      <w:r w:rsidRPr="002736A9">
        <w:rPr>
          <w:sz w:val="20"/>
          <w:szCs w:val="20"/>
        </w:rPr>
        <w:t xml:space="preserve"> </w:t>
      </w:r>
      <w:proofErr w:type="spellStart"/>
      <w:r w:rsidRPr="002736A9">
        <w:rPr>
          <w:sz w:val="20"/>
          <w:szCs w:val="20"/>
        </w:rPr>
        <w:t>Dth</w:t>
      </w:r>
      <w:proofErr w:type="spellEnd"/>
      <w:r w:rsidRPr="00F02075">
        <w:rPr>
          <w:sz w:val="20"/>
          <w:szCs w:val="20"/>
        </w:rPr>
        <w:t>/</w:t>
      </w:r>
      <w:proofErr w:type="spellStart"/>
      <w:r w:rsidRPr="00F02075">
        <w:rPr>
          <w:sz w:val="20"/>
          <w:szCs w:val="20"/>
        </w:rPr>
        <w:t>Mcf</w:t>
      </w:r>
      <w:proofErr w:type="spellEnd"/>
      <w:r w:rsidRPr="00F02075">
        <w:rPr>
          <w:sz w:val="20"/>
          <w:szCs w:val="20"/>
        </w:rPr>
        <w:t>.</w:t>
      </w:r>
    </w:p>
    <w:p w:rsidR="003340C7" w:rsidRDefault="003340C7" w:rsidP="003B6D45">
      <w:pPr>
        <w:tabs>
          <w:tab w:val="left" w:pos="720"/>
          <w:tab w:val="left" w:pos="6048"/>
        </w:tabs>
        <w:ind w:left="720" w:right="288"/>
        <w:rPr>
          <w:sz w:val="20"/>
          <w:szCs w:val="20"/>
        </w:rPr>
      </w:pPr>
      <w:bookmarkStart w:id="0" w:name="_GoBack"/>
      <w:bookmarkEnd w:id="0"/>
    </w:p>
    <w:p w:rsidR="003340C7" w:rsidRDefault="003340C7" w:rsidP="003B6D45">
      <w:pPr>
        <w:pStyle w:val="BodyText3"/>
        <w:tabs>
          <w:tab w:val="clear" w:pos="5760"/>
          <w:tab w:val="left" w:pos="72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SCO RIDER RATE</w:t>
      </w:r>
    </w:p>
    <w:p w:rsidR="003340C7" w:rsidRPr="00D727A3" w:rsidRDefault="003340C7" w:rsidP="003B6D45">
      <w:pPr>
        <w:pStyle w:val="BodyText3"/>
        <w:tabs>
          <w:tab w:val="clear" w:pos="5760"/>
          <w:tab w:val="left" w:pos="720"/>
        </w:tabs>
        <w:ind w:left="720"/>
        <w:rPr>
          <w:sz w:val="20"/>
          <w:szCs w:val="20"/>
        </w:rPr>
      </w:pPr>
      <w:r w:rsidRPr="002736A9">
        <w:rPr>
          <w:sz w:val="20"/>
          <w:szCs w:val="20"/>
        </w:rPr>
        <w:t xml:space="preserve">The SCO Rider Rate for </w:t>
      </w:r>
      <w:r w:rsidRPr="00C108C9">
        <w:rPr>
          <w:noProof/>
          <w:sz w:val="20"/>
          <w:szCs w:val="20"/>
        </w:rPr>
        <w:t>March 2018</w:t>
      </w:r>
      <w:r w:rsidRPr="002736A9">
        <w:rPr>
          <w:sz w:val="20"/>
          <w:szCs w:val="20"/>
        </w:rPr>
        <w:t xml:space="preserve"> is</w:t>
      </w:r>
      <w:r w:rsidRPr="000E5394">
        <w:rPr>
          <w:sz w:val="20"/>
          <w:szCs w:val="20"/>
        </w:rPr>
        <w:t xml:space="preserve"> </w:t>
      </w:r>
      <w:r w:rsidRPr="00603B29">
        <w:rPr>
          <w:sz w:val="20"/>
          <w:szCs w:val="20"/>
        </w:rPr>
        <w:t>$</w:t>
      </w:r>
      <w:r w:rsidRPr="00C108C9">
        <w:rPr>
          <w:noProof/>
          <w:sz w:val="20"/>
          <w:szCs w:val="20"/>
        </w:rPr>
        <w:t>0.38264</w:t>
      </w:r>
      <w:r w:rsidRPr="00382E7B">
        <w:rPr>
          <w:sz w:val="20"/>
          <w:szCs w:val="20"/>
        </w:rPr>
        <w:t>/</w:t>
      </w:r>
      <w:proofErr w:type="spellStart"/>
      <w:r w:rsidRPr="00382E7B">
        <w:rPr>
          <w:sz w:val="20"/>
          <w:szCs w:val="20"/>
        </w:rPr>
        <w:t>Ccf</w:t>
      </w:r>
      <w:proofErr w:type="spellEnd"/>
      <w:r w:rsidRPr="00382E7B">
        <w:rPr>
          <w:sz w:val="20"/>
          <w:szCs w:val="20"/>
        </w:rPr>
        <w:t>.</w:t>
      </w:r>
    </w:p>
    <w:p w:rsidR="003340C7" w:rsidRDefault="003340C7" w:rsidP="00BB5A0F">
      <w:pPr>
        <w:sectPr w:rsidR="003340C7" w:rsidSect="004C53A9">
          <w:headerReference w:type="default" r:id="rId9"/>
          <w:footerReference w:type="default" r:id="rId10"/>
          <w:type w:val="continuous"/>
          <w:pgSz w:w="12240" w:h="15840" w:code="1"/>
          <w:pgMar w:top="720" w:right="1440" w:bottom="720" w:left="1584" w:header="720" w:footer="576" w:gutter="0"/>
          <w:cols w:space="720"/>
          <w:noEndnote/>
          <w:docGrid w:linePitch="299"/>
        </w:sectPr>
      </w:pPr>
    </w:p>
    <w:p w:rsidR="003340C7" w:rsidRDefault="003340C7" w:rsidP="00BB5A0F"/>
    <w:sectPr w:rsidR="003340C7" w:rsidSect="003340C7">
      <w:headerReference w:type="default" r:id="rId11"/>
      <w:footerReference w:type="default" r:id="rId12"/>
      <w:type w:val="continuous"/>
      <w:pgSz w:w="12240" w:h="15840" w:code="1"/>
      <w:pgMar w:top="720" w:right="1440" w:bottom="720" w:left="1584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C7" w:rsidRDefault="003340C7">
      <w:r>
        <w:separator/>
      </w:r>
    </w:p>
  </w:endnote>
  <w:endnote w:type="continuationSeparator" w:id="0">
    <w:p w:rsidR="003340C7" w:rsidRDefault="0033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C7" w:rsidRDefault="003340C7" w:rsidP="003B6D45">
    <w:pPr>
      <w:tabs>
        <w:tab w:val="left" w:pos="288"/>
        <w:tab w:val="left" w:pos="1008"/>
        <w:tab w:val="left" w:pos="6768"/>
        <w:tab w:val="left" w:pos="8208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0B152" wp14:editId="5A0F4551">
              <wp:simplePos x="0" y="0"/>
              <wp:positionH relativeFrom="column">
                <wp:posOffset>-268605</wp:posOffset>
              </wp:positionH>
              <wp:positionV relativeFrom="paragraph">
                <wp:posOffset>-30480</wp:posOffset>
              </wp:positionV>
              <wp:extent cx="6309995" cy="635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-2.4pt" to="475.7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w:t>Filed pursuant to the Entry dated January 13, 2010 in Case No. 07-1285-GA-EXM of The Public Utilities Commission of Ohio.</w:t>
    </w:r>
  </w:p>
  <w:p w:rsidR="003340C7" w:rsidRDefault="003340C7" w:rsidP="003B6D45">
    <w:pPr>
      <w:tabs>
        <w:tab w:val="left" w:pos="288"/>
        <w:tab w:val="left" w:pos="1008"/>
        <w:tab w:val="left" w:pos="2790"/>
        <w:tab w:val="left" w:pos="7200"/>
        <w:tab w:val="left" w:pos="8208"/>
      </w:tabs>
      <w:rPr>
        <w:sz w:val="20"/>
      </w:rPr>
    </w:pPr>
  </w:p>
  <w:p w:rsidR="003340C7" w:rsidRDefault="003340C7" w:rsidP="003B6D45">
    <w:pPr>
      <w:pStyle w:val="Footer"/>
      <w:tabs>
        <w:tab w:val="clear" w:pos="4320"/>
        <w:tab w:val="center" w:pos="2970"/>
        <w:tab w:val="left" w:pos="4770"/>
        <w:tab w:val="left" w:pos="6570"/>
      </w:tabs>
      <w:rPr>
        <w:b/>
        <w:bCs/>
      </w:rPr>
    </w:pPr>
    <w:r>
      <w:t>Iss</w:t>
    </w:r>
    <w:r w:rsidRPr="002736A9">
      <w:t xml:space="preserve">ued </w:t>
    </w:r>
    <w:r w:rsidRPr="00C108C9">
      <w:rPr>
        <w:noProof/>
      </w:rPr>
      <w:t>February 26, 2018</w:t>
    </w:r>
    <w:r w:rsidRPr="002736A9">
      <w:t xml:space="preserve">    Issued by Scott E. Albertson, Vice-President  </w:t>
    </w:r>
    <w:r w:rsidRPr="002736A9">
      <w:tab/>
      <w:t xml:space="preserve">Effective </w:t>
    </w:r>
    <w:r w:rsidRPr="00C108C9">
      <w:rPr>
        <w:noProof/>
      </w:rPr>
      <w:t>March 1,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A1" w:rsidRDefault="00C039A1" w:rsidP="003B6D45">
    <w:pPr>
      <w:tabs>
        <w:tab w:val="left" w:pos="288"/>
        <w:tab w:val="left" w:pos="1008"/>
        <w:tab w:val="left" w:pos="6768"/>
        <w:tab w:val="left" w:pos="8208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0B152" wp14:editId="5A0F4551">
              <wp:simplePos x="0" y="0"/>
              <wp:positionH relativeFrom="column">
                <wp:posOffset>-268605</wp:posOffset>
              </wp:positionH>
              <wp:positionV relativeFrom="paragraph">
                <wp:posOffset>-30480</wp:posOffset>
              </wp:positionV>
              <wp:extent cx="6309995" cy="635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-2.4pt" to="475.7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w:t>Filed pursuant to the Entry dated January 13, 2010 in Case No. 07-1285-GA-EXM of The Public Utilities Commission of Ohio.</w:t>
    </w:r>
  </w:p>
  <w:p w:rsidR="00C039A1" w:rsidRDefault="00C039A1" w:rsidP="003B6D45">
    <w:pPr>
      <w:tabs>
        <w:tab w:val="left" w:pos="288"/>
        <w:tab w:val="left" w:pos="1008"/>
        <w:tab w:val="left" w:pos="2790"/>
        <w:tab w:val="left" w:pos="7200"/>
        <w:tab w:val="left" w:pos="8208"/>
      </w:tabs>
      <w:rPr>
        <w:sz w:val="20"/>
      </w:rPr>
    </w:pPr>
  </w:p>
  <w:p w:rsidR="00C039A1" w:rsidRDefault="00C039A1" w:rsidP="003B6D45">
    <w:pPr>
      <w:pStyle w:val="Footer"/>
      <w:tabs>
        <w:tab w:val="clear" w:pos="4320"/>
        <w:tab w:val="center" w:pos="2970"/>
        <w:tab w:val="left" w:pos="4770"/>
        <w:tab w:val="left" w:pos="6570"/>
      </w:tabs>
      <w:rPr>
        <w:b/>
        <w:bCs/>
      </w:rPr>
    </w:pPr>
    <w:r>
      <w:t>Iss</w:t>
    </w:r>
    <w:r w:rsidRPr="002736A9">
      <w:t xml:space="preserve">ued </w:t>
    </w:r>
    <w:r w:rsidR="00AD4192" w:rsidRPr="00C108C9">
      <w:rPr>
        <w:noProof/>
      </w:rPr>
      <w:t>February 26, 2018</w:t>
    </w:r>
    <w:r w:rsidRPr="002736A9">
      <w:t xml:space="preserve">    Issued by Scott E. Albertson, Vice-President  </w:t>
    </w:r>
    <w:r w:rsidRPr="002736A9">
      <w:tab/>
      <w:t xml:space="preserve">Effective </w:t>
    </w:r>
    <w:r w:rsidR="00AD4192" w:rsidRPr="00C108C9">
      <w:rPr>
        <w:noProof/>
      </w:rPr>
      <w:t>March 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C7" w:rsidRDefault="003340C7">
      <w:r>
        <w:separator/>
      </w:r>
    </w:p>
  </w:footnote>
  <w:footnote w:type="continuationSeparator" w:id="0">
    <w:p w:rsidR="003340C7" w:rsidRDefault="0033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C7" w:rsidRPr="002736A9" w:rsidRDefault="003340C7" w:rsidP="003B6D45">
    <w:pPr>
      <w:pStyle w:val="Header"/>
      <w:tabs>
        <w:tab w:val="left" w:pos="5400"/>
        <w:tab w:val="left" w:pos="5760"/>
        <w:tab w:val="left" w:pos="6480"/>
      </w:tabs>
    </w:pPr>
    <w:r>
      <w:t xml:space="preserve">VECTREN ENERGY DELIVERY OF OHIO, INC               </w:t>
    </w:r>
    <w:r w:rsidRPr="002736A9">
      <w:t>Sheet No. 44</w:t>
    </w:r>
  </w:p>
  <w:p w:rsidR="003340C7" w:rsidRPr="002736A9" w:rsidRDefault="003340C7" w:rsidP="003B6D45">
    <w:pPr>
      <w:pStyle w:val="Header"/>
      <w:tabs>
        <w:tab w:val="left" w:pos="5400"/>
      </w:tabs>
    </w:pPr>
    <w:r w:rsidRPr="002736A9">
      <w:t>Tariff for Gas Service</w:t>
    </w:r>
    <w:r w:rsidRPr="002736A9">
      <w:tab/>
      <w:t xml:space="preserve">                                                         </w:t>
    </w:r>
    <w:r w:rsidRPr="00C108C9">
      <w:rPr>
        <w:noProof/>
      </w:rPr>
      <w:t>Ninety-Sixth</w:t>
    </w:r>
    <w:r w:rsidRPr="002736A9">
      <w:t xml:space="preserve"> Revised Page 1 of 1</w:t>
    </w:r>
  </w:p>
  <w:p w:rsidR="003340C7" w:rsidRDefault="003340C7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  <w:r w:rsidRPr="002736A9">
      <w:t>P.U.C.O. No. 3</w:t>
    </w:r>
    <w:r w:rsidRPr="002736A9">
      <w:tab/>
      <w:t xml:space="preserve">                                                                   Cancels </w:t>
    </w:r>
    <w:r w:rsidRPr="00C108C9">
      <w:rPr>
        <w:noProof/>
      </w:rPr>
      <w:t>Ninety-Fifth</w:t>
    </w:r>
    <w:r>
      <w:t xml:space="preserve"> </w:t>
    </w:r>
    <w:r w:rsidRPr="002736A9">
      <w:t>Revised</w:t>
    </w:r>
    <w:r>
      <w:t xml:space="preserve"> Page 1 of 1</w:t>
    </w:r>
  </w:p>
  <w:p w:rsidR="003340C7" w:rsidRDefault="003340C7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</w:p>
  <w:p w:rsidR="003340C7" w:rsidRDefault="003340C7" w:rsidP="003B6D45">
    <w:pPr>
      <w:pStyle w:val="Header"/>
      <w:tabs>
        <w:tab w:val="left" w:pos="6480"/>
      </w:tabs>
      <w:rPr>
        <w:sz w:val="22"/>
        <w:szCs w:val="22"/>
      </w:rPr>
    </w:pPr>
  </w:p>
  <w:p w:rsidR="003340C7" w:rsidRDefault="003340C7" w:rsidP="003B6D45">
    <w:pPr>
      <w:pStyle w:val="Header"/>
      <w:jc w:val="center"/>
      <w:rPr>
        <w:b/>
        <w:szCs w:val="22"/>
      </w:rPr>
    </w:pPr>
    <w:r>
      <w:rPr>
        <w:b/>
        <w:sz w:val="32"/>
        <w:szCs w:val="32"/>
        <w:u w:val="single"/>
      </w:rPr>
      <w:t>STANDARD CHOICE OFFER RIDER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A1" w:rsidRPr="002736A9" w:rsidRDefault="00C039A1" w:rsidP="003B6D45">
    <w:pPr>
      <w:pStyle w:val="Header"/>
      <w:tabs>
        <w:tab w:val="left" w:pos="5400"/>
        <w:tab w:val="left" w:pos="5760"/>
        <w:tab w:val="left" w:pos="6480"/>
      </w:tabs>
    </w:pPr>
    <w:r>
      <w:t xml:space="preserve">VECTREN ENERGY DELIVERY OF OHIO, INC               </w:t>
    </w:r>
    <w:r w:rsidRPr="002736A9">
      <w:t>Sheet No. 44</w:t>
    </w:r>
  </w:p>
  <w:p w:rsidR="00C039A1" w:rsidRPr="002736A9" w:rsidRDefault="00C039A1" w:rsidP="003B6D45">
    <w:pPr>
      <w:pStyle w:val="Header"/>
      <w:tabs>
        <w:tab w:val="left" w:pos="5400"/>
      </w:tabs>
    </w:pPr>
    <w:r w:rsidRPr="002736A9">
      <w:t>Tariff for Gas Service</w:t>
    </w:r>
    <w:r w:rsidRPr="002736A9">
      <w:tab/>
      <w:t xml:space="preserve">                                                         </w:t>
    </w:r>
    <w:r w:rsidR="00AD4192" w:rsidRPr="00C108C9">
      <w:rPr>
        <w:noProof/>
      </w:rPr>
      <w:t>Ninety-Sixth</w:t>
    </w:r>
    <w:r w:rsidRPr="002736A9">
      <w:t xml:space="preserve"> Revised Page 1 of 1</w:t>
    </w:r>
  </w:p>
  <w:p w:rsidR="00C039A1" w:rsidRDefault="00C039A1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  <w:r w:rsidRPr="002736A9">
      <w:t>P.U.C.O. No. 3</w:t>
    </w:r>
    <w:r w:rsidRPr="002736A9">
      <w:tab/>
      <w:t xml:space="preserve">                                                                   Cancels </w:t>
    </w:r>
    <w:r w:rsidR="00AD4192" w:rsidRPr="00C108C9">
      <w:rPr>
        <w:noProof/>
      </w:rPr>
      <w:t>Ninety-Fifth</w:t>
    </w:r>
    <w:r>
      <w:t xml:space="preserve"> </w:t>
    </w:r>
    <w:r w:rsidRPr="002736A9">
      <w:t>Revised</w:t>
    </w:r>
    <w:r>
      <w:t xml:space="preserve"> Page 1 of 1</w:t>
    </w:r>
  </w:p>
  <w:p w:rsidR="00C039A1" w:rsidRDefault="00C039A1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</w:p>
  <w:p w:rsidR="00C039A1" w:rsidRDefault="00C039A1" w:rsidP="003B6D45">
    <w:pPr>
      <w:pStyle w:val="Header"/>
      <w:tabs>
        <w:tab w:val="left" w:pos="6480"/>
      </w:tabs>
      <w:rPr>
        <w:sz w:val="22"/>
        <w:szCs w:val="22"/>
      </w:rPr>
    </w:pPr>
  </w:p>
  <w:p w:rsidR="00C039A1" w:rsidRDefault="00C039A1" w:rsidP="003B6D45">
    <w:pPr>
      <w:pStyle w:val="Header"/>
      <w:jc w:val="center"/>
      <w:rPr>
        <w:b/>
        <w:szCs w:val="22"/>
      </w:rPr>
    </w:pPr>
    <w:r>
      <w:rPr>
        <w:b/>
        <w:sz w:val="32"/>
        <w:szCs w:val="32"/>
        <w:u w:val="single"/>
      </w:rPr>
      <w:t>STANDARD CHOICE OFFER RIDER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CA"/>
    <w:multiLevelType w:val="hybridMultilevel"/>
    <w:tmpl w:val="C91E1C56"/>
    <w:lvl w:ilvl="0" w:tplc="0FAA53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84FB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1D1B"/>
    <w:multiLevelType w:val="hybridMultilevel"/>
    <w:tmpl w:val="AEB0019A"/>
    <w:lvl w:ilvl="0" w:tplc="0FAA53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94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90D76C9"/>
    <w:multiLevelType w:val="singleLevel"/>
    <w:tmpl w:val="8FAA03C4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4">
    <w:nsid w:val="0B7B11F5"/>
    <w:multiLevelType w:val="singleLevel"/>
    <w:tmpl w:val="40568364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E964F2F"/>
    <w:multiLevelType w:val="singleLevel"/>
    <w:tmpl w:val="01B49D4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0F236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18D05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6845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36C5725"/>
    <w:multiLevelType w:val="singleLevel"/>
    <w:tmpl w:val="E41A5F4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D21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81E64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336775"/>
    <w:multiLevelType w:val="multilevel"/>
    <w:tmpl w:val="29D2BE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50454D"/>
    <w:multiLevelType w:val="multilevel"/>
    <w:tmpl w:val="6B307AB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C4F40"/>
    <w:multiLevelType w:val="hybridMultilevel"/>
    <w:tmpl w:val="E81AC3CC"/>
    <w:lvl w:ilvl="0" w:tplc="21D420BA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1F8A19AE"/>
    <w:multiLevelType w:val="singleLevel"/>
    <w:tmpl w:val="07DCD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C94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23E52E92"/>
    <w:multiLevelType w:val="singleLevel"/>
    <w:tmpl w:val="C3CE5B32"/>
    <w:lvl w:ilvl="0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18">
    <w:nsid w:val="23E55146"/>
    <w:multiLevelType w:val="multilevel"/>
    <w:tmpl w:val="6D9C8736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256259DD"/>
    <w:multiLevelType w:val="multilevel"/>
    <w:tmpl w:val="7C46283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262A52ED"/>
    <w:multiLevelType w:val="singleLevel"/>
    <w:tmpl w:val="337CAE38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21">
    <w:nsid w:val="26AC4CC7"/>
    <w:multiLevelType w:val="singleLevel"/>
    <w:tmpl w:val="5D004C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29642884"/>
    <w:multiLevelType w:val="hybridMultilevel"/>
    <w:tmpl w:val="A3C418BA"/>
    <w:lvl w:ilvl="0" w:tplc="1BEEEC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FAA53F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8A3E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2BF80C3C"/>
    <w:multiLevelType w:val="singleLevel"/>
    <w:tmpl w:val="F850A2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2C493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30A5773D"/>
    <w:multiLevelType w:val="singleLevel"/>
    <w:tmpl w:val="6D1E7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10D73C4"/>
    <w:multiLevelType w:val="singleLevel"/>
    <w:tmpl w:val="E5DCD898"/>
    <w:lvl w:ilvl="0">
      <w:start w:val="3"/>
      <w:numFmt w:val="upperLetter"/>
      <w:lvlText w:val="%1."/>
      <w:lvlJc w:val="left"/>
      <w:pPr>
        <w:tabs>
          <w:tab w:val="num" w:pos="990"/>
        </w:tabs>
        <w:ind w:left="990" w:hanging="540"/>
      </w:pPr>
      <w:rPr>
        <w:rFonts w:hint="default"/>
      </w:rPr>
    </w:lvl>
  </w:abstractNum>
  <w:abstractNum w:abstractNumId="29">
    <w:nsid w:val="339A66D4"/>
    <w:multiLevelType w:val="singleLevel"/>
    <w:tmpl w:val="1BE6B706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30">
    <w:nsid w:val="3BA8549C"/>
    <w:multiLevelType w:val="singleLevel"/>
    <w:tmpl w:val="518E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3BE92422"/>
    <w:multiLevelType w:val="multilevel"/>
    <w:tmpl w:val="DD2A5236"/>
    <w:lvl w:ilvl="0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6B2568"/>
    <w:multiLevelType w:val="multilevel"/>
    <w:tmpl w:val="8DCC54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DA2408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3FFE3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40217A68"/>
    <w:multiLevelType w:val="hybridMultilevel"/>
    <w:tmpl w:val="6A6E5B4C"/>
    <w:lvl w:ilvl="0" w:tplc="0FAA53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F515D4"/>
    <w:multiLevelType w:val="multilevel"/>
    <w:tmpl w:val="493E24F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440C3EF3"/>
    <w:multiLevelType w:val="singleLevel"/>
    <w:tmpl w:val="60645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443610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455E7B59"/>
    <w:multiLevelType w:val="hybridMultilevel"/>
    <w:tmpl w:val="C7D0EDC8"/>
    <w:lvl w:ilvl="0" w:tplc="724E82F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9D82EDD"/>
    <w:multiLevelType w:val="hybridMultilevel"/>
    <w:tmpl w:val="4B12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6B5F25"/>
    <w:multiLevelType w:val="singleLevel"/>
    <w:tmpl w:val="91862D8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450"/>
      </w:pPr>
      <w:rPr>
        <w:rFonts w:hint="default"/>
      </w:rPr>
    </w:lvl>
  </w:abstractNum>
  <w:abstractNum w:abstractNumId="42">
    <w:nsid w:val="546334A3"/>
    <w:multiLevelType w:val="singleLevel"/>
    <w:tmpl w:val="1BCE059A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>
    <w:nsid w:val="54BE4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55DB6B1C"/>
    <w:multiLevelType w:val="singleLevel"/>
    <w:tmpl w:val="A006A8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5E745363"/>
    <w:multiLevelType w:val="singleLevel"/>
    <w:tmpl w:val="95AE99F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61844C8F"/>
    <w:multiLevelType w:val="singleLevel"/>
    <w:tmpl w:val="83B6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>
    <w:nsid w:val="64096D34"/>
    <w:multiLevelType w:val="singleLevel"/>
    <w:tmpl w:val="75048706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8">
    <w:nsid w:val="64A97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9">
    <w:nsid w:val="64AE41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">
    <w:nsid w:val="64FE3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">
    <w:nsid w:val="65163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2">
    <w:nsid w:val="660227D1"/>
    <w:multiLevelType w:val="multilevel"/>
    <w:tmpl w:val="72E63C9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3">
    <w:nsid w:val="671A1930"/>
    <w:multiLevelType w:val="hybridMultilevel"/>
    <w:tmpl w:val="0780F44A"/>
    <w:lvl w:ilvl="0" w:tplc="184A2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87D5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69E82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6">
    <w:nsid w:val="6BF972F8"/>
    <w:multiLevelType w:val="singleLevel"/>
    <w:tmpl w:val="B87E6A8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bCs w:val="0"/>
      </w:rPr>
    </w:lvl>
  </w:abstractNum>
  <w:abstractNum w:abstractNumId="57">
    <w:nsid w:val="6D6C0706"/>
    <w:multiLevelType w:val="hybridMultilevel"/>
    <w:tmpl w:val="67FCBB6E"/>
    <w:lvl w:ilvl="0" w:tplc="A16C174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8">
    <w:nsid w:val="6EA21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9">
    <w:nsid w:val="6EBB53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0">
    <w:nsid w:val="733B6A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74D13A03"/>
    <w:multiLevelType w:val="singleLevel"/>
    <w:tmpl w:val="BD40DAE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79521177"/>
    <w:multiLevelType w:val="singleLevel"/>
    <w:tmpl w:val="5CD03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9CA07AC"/>
    <w:multiLevelType w:val="singleLevel"/>
    <w:tmpl w:val="15DE6624"/>
    <w:lvl w:ilvl="0">
      <w:start w:val="1"/>
      <w:numFmt w:val="decimal"/>
      <w:lvlText w:val="%1."/>
      <w:lvlJc w:val="left"/>
      <w:pPr>
        <w:tabs>
          <w:tab w:val="num" w:pos="1587"/>
        </w:tabs>
        <w:ind w:left="1587" w:hanging="600"/>
      </w:pPr>
      <w:rPr>
        <w:rFonts w:hint="default"/>
      </w:rPr>
    </w:lvl>
  </w:abstractNum>
  <w:abstractNum w:abstractNumId="64">
    <w:nsid w:val="7DF91F6F"/>
    <w:multiLevelType w:val="singleLevel"/>
    <w:tmpl w:val="241A5F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5">
    <w:nsid w:val="7F1519F1"/>
    <w:multiLevelType w:val="singleLevel"/>
    <w:tmpl w:val="AD2ABCC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7F455E2E"/>
    <w:multiLevelType w:val="singleLevel"/>
    <w:tmpl w:val="C6BA8614"/>
    <w:lvl w:ilvl="0">
      <w:start w:val="1"/>
      <w:numFmt w:val="decimal"/>
      <w:lvlText w:val="%1. "/>
      <w:legacy w:legacy="1" w:legacySpace="0" w:legacyIndent="360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34"/>
  </w:num>
  <w:num w:numId="2">
    <w:abstractNumId w:val="50"/>
  </w:num>
  <w:num w:numId="3">
    <w:abstractNumId w:val="2"/>
  </w:num>
  <w:num w:numId="4">
    <w:abstractNumId w:val="6"/>
  </w:num>
  <w:num w:numId="5">
    <w:abstractNumId w:val="7"/>
  </w:num>
  <w:num w:numId="6">
    <w:abstractNumId w:val="59"/>
  </w:num>
  <w:num w:numId="7">
    <w:abstractNumId w:val="51"/>
  </w:num>
  <w:num w:numId="8">
    <w:abstractNumId w:val="49"/>
  </w:num>
  <w:num w:numId="9">
    <w:abstractNumId w:val="64"/>
  </w:num>
  <w:num w:numId="10">
    <w:abstractNumId w:val="42"/>
  </w:num>
  <w:num w:numId="11">
    <w:abstractNumId w:val="66"/>
  </w:num>
  <w:num w:numId="12">
    <w:abstractNumId w:val="28"/>
  </w:num>
  <w:num w:numId="13">
    <w:abstractNumId w:val="54"/>
  </w:num>
  <w:num w:numId="14">
    <w:abstractNumId w:val="63"/>
  </w:num>
  <w:num w:numId="15">
    <w:abstractNumId w:val="29"/>
  </w:num>
  <w:num w:numId="16">
    <w:abstractNumId w:val="3"/>
  </w:num>
  <w:num w:numId="17">
    <w:abstractNumId w:val="20"/>
  </w:num>
  <w:num w:numId="18">
    <w:abstractNumId w:val="22"/>
  </w:num>
  <w:num w:numId="19">
    <w:abstractNumId w:val="12"/>
  </w:num>
  <w:num w:numId="20">
    <w:abstractNumId w:val="46"/>
  </w:num>
  <w:num w:numId="21">
    <w:abstractNumId w:val="37"/>
  </w:num>
  <w:num w:numId="22">
    <w:abstractNumId w:val="11"/>
  </w:num>
  <w:num w:numId="23">
    <w:abstractNumId w:val="60"/>
  </w:num>
  <w:num w:numId="24">
    <w:abstractNumId w:val="15"/>
  </w:num>
  <w:num w:numId="25">
    <w:abstractNumId w:val="27"/>
  </w:num>
  <w:num w:numId="26">
    <w:abstractNumId w:val="24"/>
  </w:num>
  <w:num w:numId="27">
    <w:abstractNumId w:val="30"/>
  </w:num>
  <w:num w:numId="28">
    <w:abstractNumId w:val="16"/>
  </w:num>
  <w:num w:numId="29">
    <w:abstractNumId w:val="26"/>
  </w:num>
  <w:num w:numId="30">
    <w:abstractNumId w:val="38"/>
  </w:num>
  <w:num w:numId="31">
    <w:abstractNumId w:val="48"/>
  </w:num>
  <w:num w:numId="32">
    <w:abstractNumId w:val="33"/>
  </w:num>
  <w:num w:numId="33">
    <w:abstractNumId w:val="5"/>
  </w:num>
  <w:num w:numId="34">
    <w:abstractNumId w:val="25"/>
  </w:num>
  <w:num w:numId="35">
    <w:abstractNumId w:val="32"/>
  </w:num>
  <w:num w:numId="36">
    <w:abstractNumId w:val="43"/>
  </w:num>
  <w:num w:numId="37">
    <w:abstractNumId w:val="61"/>
  </w:num>
  <w:num w:numId="38">
    <w:abstractNumId w:val="36"/>
  </w:num>
  <w:num w:numId="39">
    <w:abstractNumId w:val="62"/>
  </w:num>
  <w:num w:numId="40">
    <w:abstractNumId w:val="10"/>
  </w:num>
  <w:num w:numId="41">
    <w:abstractNumId w:val="55"/>
  </w:num>
  <w:num w:numId="42">
    <w:abstractNumId w:val="18"/>
  </w:num>
  <w:num w:numId="43">
    <w:abstractNumId w:val="52"/>
  </w:num>
  <w:num w:numId="44">
    <w:abstractNumId w:val="65"/>
  </w:num>
  <w:num w:numId="45">
    <w:abstractNumId w:val="17"/>
  </w:num>
  <w:num w:numId="46">
    <w:abstractNumId w:val="41"/>
  </w:num>
  <w:num w:numId="47">
    <w:abstractNumId w:val="4"/>
  </w:num>
  <w:num w:numId="48">
    <w:abstractNumId w:val="19"/>
  </w:num>
  <w:num w:numId="49">
    <w:abstractNumId w:val="58"/>
  </w:num>
  <w:num w:numId="50">
    <w:abstractNumId w:val="8"/>
  </w:num>
  <w:num w:numId="51">
    <w:abstractNumId w:val="56"/>
  </w:num>
  <w:num w:numId="52">
    <w:abstractNumId w:val="21"/>
  </w:num>
  <w:num w:numId="53">
    <w:abstractNumId w:val="9"/>
  </w:num>
  <w:num w:numId="54">
    <w:abstractNumId w:val="45"/>
  </w:num>
  <w:num w:numId="55">
    <w:abstractNumId w:val="31"/>
  </w:num>
  <w:num w:numId="56">
    <w:abstractNumId w:val="13"/>
  </w:num>
  <w:num w:numId="57">
    <w:abstractNumId w:val="47"/>
  </w:num>
  <w:num w:numId="58">
    <w:abstractNumId w:val="44"/>
  </w:num>
  <w:num w:numId="59">
    <w:abstractNumId w:val="40"/>
  </w:num>
  <w:num w:numId="60">
    <w:abstractNumId w:val="23"/>
  </w:num>
  <w:num w:numId="61">
    <w:abstractNumId w:val="1"/>
  </w:num>
  <w:num w:numId="62">
    <w:abstractNumId w:val="0"/>
  </w:num>
  <w:num w:numId="63">
    <w:abstractNumId w:val="35"/>
  </w:num>
  <w:num w:numId="64">
    <w:abstractNumId w:val="57"/>
  </w:num>
  <w:num w:numId="65">
    <w:abstractNumId w:val="39"/>
  </w:num>
  <w:num w:numId="66">
    <w:abstractNumId w:val="53"/>
  </w:num>
  <w:num w:numId="67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4"/>
    <w:rsid w:val="0000616D"/>
    <w:rsid w:val="000139CC"/>
    <w:rsid w:val="00016498"/>
    <w:rsid w:val="0003585C"/>
    <w:rsid w:val="00035E1C"/>
    <w:rsid w:val="000363F0"/>
    <w:rsid w:val="00040C3B"/>
    <w:rsid w:val="00045FE0"/>
    <w:rsid w:val="00053D7A"/>
    <w:rsid w:val="000963A5"/>
    <w:rsid w:val="000A03A9"/>
    <w:rsid w:val="000A3B1F"/>
    <w:rsid w:val="000A3DF2"/>
    <w:rsid w:val="000B767A"/>
    <w:rsid w:val="000C488C"/>
    <w:rsid w:val="000E07A7"/>
    <w:rsid w:val="000E0D7B"/>
    <w:rsid w:val="000F2317"/>
    <w:rsid w:val="000F28AE"/>
    <w:rsid w:val="001039FA"/>
    <w:rsid w:val="00121B20"/>
    <w:rsid w:val="00130A99"/>
    <w:rsid w:val="00134BFD"/>
    <w:rsid w:val="00141BBD"/>
    <w:rsid w:val="00162D89"/>
    <w:rsid w:val="0016346C"/>
    <w:rsid w:val="00182C05"/>
    <w:rsid w:val="00186146"/>
    <w:rsid w:val="00191DF1"/>
    <w:rsid w:val="001A123A"/>
    <w:rsid w:val="001D4640"/>
    <w:rsid w:val="001E12E0"/>
    <w:rsid w:val="001F04EC"/>
    <w:rsid w:val="001F1CEA"/>
    <w:rsid w:val="002002B4"/>
    <w:rsid w:val="002109BE"/>
    <w:rsid w:val="0023798C"/>
    <w:rsid w:val="00267E0C"/>
    <w:rsid w:val="002736A9"/>
    <w:rsid w:val="00294F71"/>
    <w:rsid w:val="002A10A4"/>
    <w:rsid w:val="002C40CC"/>
    <w:rsid w:val="002D42B8"/>
    <w:rsid w:val="002D7541"/>
    <w:rsid w:val="002E76B9"/>
    <w:rsid w:val="00315553"/>
    <w:rsid w:val="003340C7"/>
    <w:rsid w:val="00337375"/>
    <w:rsid w:val="00350D5D"/>
    <w:rsid w:val="003518A5"/>
    <w:rsid w:val="003559CC"/>
    <w:rsid w:val="003656B8"/>
    <w:rsid w:val="00391F2C"/>
    <w:rsid w:val="003944E5"/>
    <w:rsid w:val="003A7478"/>
    <w:rsid w:val="003B2B70"/>
    <w:rsid w:val="003B6D45"/>
    <w:rsid w:val="003D4B49"/>
    <w:rsid w:val="003E2B6B"/>
    <w:rsid w:val="003E52C1"/>
    <w:rsid w:val="00400AC9"/>
    <w:rsid w:val="00420B2D"/>
    <w:rsid w:val="004408DF"/>
    <w:rsid w:val="004426F9"/>
    <w:rsid w:val="0045177C"/>
    <w:rsid w:val="004641F8"/>
    <w:rsid w:val="0046427A"/>
    <w:rsid w:val="004859E1"/>
    <w:rsid w:val="004A3BB5"/>
    <w:rsid w:val="004A726B"/>
    <w:rsid w:val="004C53A9"/>
    <w:rsid w:val="004D3637"/>
    <w:rsid w:val="004F63E8"/>
    <w:rsid w:val="005106EF"/>
    <w:rsid w:val="005134FF"/>
    <w:rsid w:val="00522158"/>
    <w:rsid w:val="0053523F"/>
    <w:rsid w:val="0054541C"/>
    <w:rsid w:val="00553F65"/>
    <w:rsid w:val="00562E0D"/>
    <w:rsid w:val="00567D65"/>
    <w:rsid w:val="00572FC3"/>
    <w:rsid w:val="00583508"/>
    <w:rsid w:val="00587236"/>
    <w:rsid w:val="005E0F71"/>
    <w:rsid w:val="005E4C93"/>
    <w:rsid w:val="005E6FFA"/>
    <w:rsid w:val="00601AB7"/>
    <w:rsid w:val="0060502C"/>
    <w:rsid w:val="0060662C"/>
    <w:rsid w:val="00607ADC"/>
    <w:rsid w:val="0062406B"/>
    <w:rsid w:val="006262C4"/>
    <w:rsid w:val="00637345"/>
    <w:rsid w:val="006419AB"/>
    <w:rsid w:val="006452BC"/>
    <w:rsid w:val="00646F3B"/>
    <w:rsid w:val="006616BE"/>
    <w:rsid w:val="00676479"/>
    <w:rsid w:val="0068390E"/>
    <w:rsid w:val="0069188E"/>
    <w:rsid w:val="006A08D7"/>
    <w:rsid w:val="006A2555"/>
    <w:rsid w:val="006B5D31"/>
    <w:rsid w:val="006D5362"/>
    <w:rsid w:val="006E4DE7"/>
    <w:rsid w:val="006E6FF2"/>
    <w:rsid w:val="006E7287"/>
    <w:rsid w:val="006F2764"/>
    <w:rsid w:val="007014BC"/>
    <w:rsid w:val="00703924"/>
    <w:rsid w:val="0072101A"/>
    <w:rsid w:val="00723613"/>
    <w:rsid w:val="00732524"/>
    <w:rsid w:val="007400F0"/>
    <w:rsid w:val="00740965"/>
    <w:rsid w:val="00745619"/>
    <w:rsid w:val="007718E9"/>
    <w:rsid w:val="00792A59"/>
    <w:rsid w:val="00792E5C"/>
    <w:rsid w:val="007A0B02"/>
    <w:rsid w:val="007B35F6"/>
    <w:rsid w:val="007B3B68"/>
    <w:rsid w:val="007B3CDC"/>
    <w:rsid w:val="007B4C9E"/>
    <w:rsid w:val="007D4D38"/>
    <w:rsid w:val="007F2FEB"/>
    <w:rsid w:val="00800EF6"/>
    <w:rsid w:val="00801A6C"/>
    <w:rsid w:val="00817142"/>
    <w:rsid w:val="00827D41"/>
    <w:rsid w:val="008315BC"/>
    <w:rsid w:val="00865209"/>
    <w:rsid w:val="0086674B"/>
    <w:rsid w:val="008963FA"/>
    <w:rsid w:val="008A12B0"/>
    <w:rsid w:val="008A1E38"/>
    <w:rsid w:val="008A552F"/>
    <w:rsid w:val="008C4D83"/>
    <w:rsid w:val="008D74D2"/>
    <w:rsid w:val="008E33BC"/>
    <w:rsid w:val="008E4EBD"/>
    <w:rsid w:val="008E655B"/>
    <w:rsid w:val="00902E8F"/>
    <w:rsid w:val="009266C3"/>
    <w:rsid w:val="009301B5"/>
    <w:rsid w:val="009403EF"/>
    <w:rsid w:val="00944CC2"/>
    <w:rsid w:val="00944EA2"/>
    <w:rsid w:val="009677F4"/>
    <w:rsid w:val="0099275C"/>
    <w:rsid w:val="00994671"/>
    <w:rsid w:val="009977D6"/>
    <w:rsid w:val="009A2551"/>
    <w:rsid w:val="009B17AF"/>
    <w:rsid w:val="009D5E3C"/>
    <w:rsid w:val="009F2674"/>
    <w:rsid w:val="009F711B"/>
    <w:rsid w:val="00A03518"/>
    <w:rsid w:val="00A270C8"/>
    <w:rsid w:val="00A27603"/>
    <w:rsid w:val="00A3725D"/>
    <w:rsid w:val="00A55C02"/>
    <w:rsid w:val="00A60F16"/>
    <w:rsid w:val="00A6336A"/>
    <w:rsid w:val="00A852AA"/>
    <w:rsid w:val="00A96B51"/>
    <w:rsid w:val="00AA5EA1"/>
    <w:rsid w:val="00AB272B"/>
    <w:rsid w:val="00AC3A37"/>
    <w:rsid w:val="00AD4192"/>
    <w:rsid w:val="00AE6F05"/>
    <w:rsid w:val="00AE7AFE"/>
    <w:rsid w:val="00B00F4C"/>
    <w:rsid w:val="00B1167E"/>
    <w:rsid w:val="00B163DE"/>
    <w:rsid w:val="00B31691"/>
    <w:rsid w:val="00B36B28"/>
    <w:rsid w:val="00B412FA"/>
    <w:rsid w:val="00B43C6F"/>
    <w:rsid w:val="00B87587"/>
    <w:rsid w:val="00B87B09"/>
    <w:rsid w:val="00B94918"/>
    <w:rsid w:val="00BA2BD4"/>
    <w:rsid w:val="00BB5A0F"/>
    <w:rsid w:val="00BD3232"/>
    <w:rsid w:val="00C039A1"/>
    <w:rsid w:val="00C21239"/>
    <w:rsid w:val="00C33AFE"/>
    <w:rsid w:val="00C401D1"/>
    <w:rsid w:val="00C4148D"/>
    <w:rsid w:val="00C60DF5"/>
    <w:rsid w:val="00C622A1"/>
    <w:rsid w:val="00C8608B"/>
    <w:rsid w:val="00C9602C"/>
    <w:rsid w:val="00CA53C1"/>
    <w:rsid w:val="00CB0DC3"/>
    <w:rsid w:val="00CC02DF"/>
    <w:rsid w:val="00CD04F2"/>
    <w:rsid w:val="00CD4722"/>
    <w:rsid w:val="00CF1DC2"/>
    <w:rsid w:val="00CF56AA"/>
    <w:rsid w:val="00D05D22"/>
    <w:rsid w:val="00D274A1"/>
    <w:rsid w:val="00D3622A"/>
    <w:rsid w:val="00D43DE0"/>
    <w:rsid w:val="00D77157"/>
    <w:rsid w:val="00D97CAB"/>
    <w:rsid w:val="00DB077A"/>
    <w:rsid w:val="00DB2A73"/>
    <w:rsid w:val="00DD1B27"/>
    <w:rsid w:val="00DE76E8"/>
    <w:rsid w:val="00DF2E5B"/>
    <w:rsid w:val="00DF72A6"/>
    <w:rsid w:val="00E011B0"/>
    <w:rsid w:val="00E03DDA"/>
    <w:rsid w:val="00E06645"/>
    <w:rsid w:val="00E37B7A"/>
    <w:rsid w:val="00E4463F"/>
    <w:rsid w:val="00E44C9F"/>
    <w:rsid w:val="00E51337"/>
    <w:rsid w:val="00E52C8D"/>
    <w:rsid w:val="00E550B7"/>
    <w:rsid w:val="00E561FC"/>
    <w:rsid w:val="00E601A0"/>
    <w:rsid w:val="00E6473A"/>
    <w:rsid w:val="00E9686E"/>
    <w:rsid w:val="00EA4E96"/>
    <w:rsid w:val="00EB4218"/>
    <w:rsid w:val="00ED32C4"/>
    <w:rsid w:val="00EE461D"/>
    <w:rsid w:val="00F111A6"/>
    <w:rsid w:val="00F148F8"/>
    <w:rsid w:val="00F57798"/>
    <w:rsid w:val="00F626C2"/>
    <w:rsid w:val="00F63142"/>
    <w:rsid w:val="00F643B4"/>
    <w:rsid w:val="00F64DA6"/>
    <w:rsid w:val="00F70B27"/>
    <w:rsid w:val="00F77336"/>
    <w:rsid w:val="00F8294A"/>
    <w:rsid w:val="00F82D5E"/>
    <w:rsid w:val="00F84CD1"/>
    <w:rsid w:val="00F85D97"/>
    <w:rsid w:val="00F97930"/>
    <w:rsid w:val="00FA5314"/>
    <w:rsid w:val="00FB3156"/>
    <w:rsid w:val="00FC1195"/>
    <w:rsid w:val="00FC362F"/>
    <w:rsid w:val="00FC63DD"/>
    <w:rsid w:val="00FD600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540"/>
        <w:tab w:val="left" w:pos="1080"/>
        <w:tab w:val="left" w:pos="2520"/>
        <w:tab w:val="left" w:pos="3060"/>
        <w:tab w:val="left" w:pos="4032"/>
        <w:tab w:val="left" w:pos="7920"/>
        <w:tab w:val="left" w:pos="8640"/>
        <w:tab w:val="left" w:pos="9360"/>
      </w:tabs>
      <w:ind w:left="180" w:right="-108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2160"/>
        <w:tab w:val="left" w:pos="3600"/>
        <w:tab w:val="left" w:pos="5760"/>
        <w:tab w:val="left" w:pos="747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6480"/>
        <w:tab w:val="left" w:pos="6831"/>
        <w:tab w:val="left" w:pos="7191"/>
        <w:tab w:val="left" w:pos="8208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tabs>
        <w:tab w:val="left" w:pos="5760"/>
      </w:tabs>
      <w:ind w:left="720" w:hanging="72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3">
    <w:name w:val="Body Text 3"/>
    <w:basedOn w:val="Normal"/>
    <w:pPr>
      <w:tabs>
        <w:tab w:val="left" w:pos="5760"/>
      </w:tabs>
    </w:pPr>
  </w:style>
  <w:style w:type="paragraph" w:styleId="BodyTextIndent">
    <w:name w:val="Body Text Indent"/>
    <w:basedOn w:val="Normal"/>
    <w:pPr>
      <w:ind w:right="36"/>
      <w:jc w:val="both"/>
    </w:pPr>
  </w:style>
  <w:style w:type="paragraph" w:styleId="BodyTextIndent3">
    <w:name w:val="Body Text Indent 3"/>
    <w:basedOn w:val="Normal"/>
    <w:pPr>
      <w:tabs>
        <w:tab w:val="left" w:pos="432"/>
        <w:tab w:val="left" w:pos="1152"/>
        <w:tab w:val="left" w:pos="6912"/>
        <w:tab w:val="left" w:pos="8352"/>
      </w:tabs>
      <w:ind w:left="72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720"/>
        <w:tab w:val="left" w:pos="6048"/>
      </w:tabs>
      <w:ind w:left="720" w:right="28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7344"/>
      </w:tabs>
      <w:ind w:left="576" w:hanging="576"/>
    </w:pPr>
  </w:style>
  <w:style w:type="paragraph" w:customStyle="1" w:styleId="indent5">
    <w:name w:val="indent5"/>
    <w:basedOn w:val="margin"/>
    <w:pPr>
      <w:tabs>
        <w:tab w:val="clear" w:pos="720"/>
        <w:tab w:val="left" w:pos="1080"/>
      </w:tabs>
      <w:ind w:left="810" w:hanging="378"/>
    </w:pPr>
  </w:style>
  <w:style w:type="paragraph" w:customStyle="1" w:styleId="margin">
    <w:name w:val="margin"/>
    <w:basedOn w:val="Normal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</w:pPr>
    <w:rPr>
      <w:color w:val="000000"/>
      <w:sz w:val="20"/>
      <w:szCs w:val="20"/>
    </w:rPr>
  </w:style>
  <w:style w:type="paragraph" w:customStyle="1" w:styleId="indent">
    <w:name w:val="indent"/>
    <w:basedOn w:val="INDENT4"/>
    <w:pPr>
      <w:ind w:left="720" w:firstLine="0"/>
    </w:pPr>
  </w:style>
  <w:style w:type="paragraph" w:customStyle="1" w:styleId="INDENT4">
    <w:name w:val="INDENT4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240"/>
      <w:ind w:left="1080" w:right="-101" w:hanging="360"/>
    </w:pPr>
    <w:rPr>
      <w:color w:val="000000"/>
      <w:sz w:val="20"/>
      <w:szCs w:val="20"/>
    </w:rPr>
  </w:style>
  <w:style w:type="paragraph" w:customStyle="1" w:styleId="indent7">
    <w:name w:val="indent7"/>
    <w:basedOn w:val="Normal"/>
    <w:pPr>
      <w:tabs>
        <w:tab w:val="left" w:pos="360"/>
        <w:tab w:val="left" w:pos="7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 w:hanging="360"/>
    </w:pPr>
    <w:rPr>
      <w:sz w:val="20"/>
      <w:szCs w:val="20"/>
    </w:rPr>
  </w:style>
  <w:style w:type="paragraph" w:customStyle="1" w:styleId="indent8">
    <w:name w:val="indent8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800" w:hanging="360"/>
    </w:pPr>
    <w:rPr>
      <w:color w:val="000000"/>
      <w:sz w:val="20"/>
      <w:szCs w:val="20"/>
    </w:rPr>
  </w:style>
  <w:style w:type="paragraph" w:customStyle="1" w:styleId="indenta">
    <w:name w:val="indenta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/>
    </w:pPr>
    <w:rPr>
      <w:color w:val="000000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540"/>
        <w:tab w:val="left" w:pos="1080"/>
        <w:tab w:val="left" w:pos="2520"/>
        <w:tab w:val="left" w:pos="3060"/>
        <w:tab w:val="left" w:pos="4032"/>
        <w:tab w:val="left" w:pos="7920"/>
        <w:tab w:val="left" w:pos="8640"/>
        <w:tab w:val="left" w:pos="9360"/>
      </w:tabs>
      <w:ind w:left="180" w:right="-108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2160"/>
        <w:tab w:val="left" w:pos="3600"/>
        <w:tab w:val="left" w:pos="5760"/>
        <w:tab w:val="left" w:pos="747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6480"/>
        <w:tab w:val="left" w:pos="6831"/>
        <w:tab w:val="left" w:pos="7191"/>
        <w:tab w:val="left" w:pos="8208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tabs>
        <w:tab w:val="left" w:pos="5760"/>
      </w:tabs>
      <w:ind w:left="720" w:hanging="72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3">
    <w:name w:val="Body Text 3"/>
    <w:basedOn w:val="Normal"/>
    <w:pPr>
      <w:tabs>
        <w:tab w:val="left" w:pos="5760"/>
      </w:tabs>
    </w:pPr>
  </w:style>
  <w:style w:type="paragraph" w:styleId="BodyTextIndent">
    <w:name w:val="Body Text Indent"/>
    <w:basedOn w:val="Normal"/>
    <w:pPr>
      <w:ind w:right="36"/>
      <w:jc w:val="both"/>
    </w:pPr>
  </w:style>
  <w:style w:type="paragraph" w:styleId="BodyTextIndent3">
    <w:name w:val="Body Text Indent 3"/>
    <w:basedOn w:val="Normal"/>
    <w:pPr>
      <w:tabs>
        <w:tab w:val="left" w:pos="432"/>
        <w:tab w:val="left" w:pos="1152"/>
        <w:tab w:val="left" w:pos="6912"/>
        <w:tab w:val="left" w:pos="8352"/>
      </w:tabs>
      <w:ind w:left="72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720"/>
        <w:tab w:val="left" w:pos="6048"/>
      </w:tabs>
      <w:ind w:left="720" w:right="28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7344"/>
      </w:tabs>
      <w:ind w:left="576" w:hanging="576"/>
    </w:pPr>
  </w:style>
  <w:style w:type="paragraph" w:customStyle="1" w:styleId="indent5">
    <w:name w:val="indent5"/>
    <w:basedOn w:val="margin"/>
    <w:pPr>
      <w:tabs>
        <w:tab w:val="clear" w:pos="720"/>
        <w:tab w:val="left" w:pos="1080"/>
      </w:tabs>
      <w:ind w:left="810" w:hanging="378"/>
    </w:pPr>
  </w:style>
  <w:style w:type="paragraph" w:customStyle="1" w:styleId="margin">
    <w:name w:val="margin"/>
    <w:basedOn w:val="Normal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</w:pPr>
    <w:rPr>
      <w:color w:val="000000"/>
      <w:sz w:val="20"/>
      <w:szCs w:val="20"/>
    </w:rPr>
  </w:style>
  <w:style w:type="paragraph" w:customStyle="1" w:styleId="indent">
    <w:name w:val="indent"/>
    <w:basedOn w:val="INDENT4"/>
    <w:pPr>
      <w:ind w:left="720" w:firstLine="0"/>
    </w:pPr>
  </w:style>
  <w:style w:type="paragraph" w:customStyle="1" w:styleId="INDENT4">
    <w:name w:val="INDENT4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240"/>
      <w:ind w:left="1080" w:right="-101" w:hanging="360"/>
    </w:pPr>
    <w:rPr>
      <w:color w:val="000000"/>
      <w:sz w:val="20"/>
      <w:szCs w:val="20"/>
    </w:rPr>
  </w:style>
  <w:style w:type="paragraph" w:customStyle="1" w:styleId="indent7">
    <w:name w:val="indent7"/>
    <w:basedOn w:val="Normal"/>
    <w:pPr>
      <w:tabs>
        <w:tab w:val="left" w:pos="360"/>
        <w:tab w:val="left" w:pos="7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 w:hanging="360"/>
    </w:pPr>
    <w:rPr>
      <w:sz w:val="20"/>
      <w:szCs w:val="20"/>
    </w:rPr>
  </w:style>
  <w:style w:type="paragraph" w:customStyle="1" w:styleId="indent8">
    <w:name w:val="indent8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800" w:hanging="360"/>
    </w:pPr>
    <w:rPr>
      <w:color w:val="000000"/>
      <w:sz w:val="20"/>
      <w:szCs w:val="20"/>
    </w:rPr>
  </w:style>
  <w:style w:type="paragraph" w:customStyle="1" w:styleId="indenta">
    <w:name w:val="indenta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/>
    </w:pPr>
    <w:rPr>
      <w:color w:val="000000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983D-1B17-4A0D-A33F-3C07F0F2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Rate Case Tariffs  (C17953.DOC;1)</vt:lpstr>
    </vt:vector>
  </TitlesOfParts>
  <Company>Vectren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Rate Case Tariffs  (C17953.DOC;1)</dc:title>
  <dc:subject>C17953:</dc:subject>
  <dc:creator>Sharon Katterjohn</dc:creator>
  <cp:lastModifiedBy>Killion, Scott A.</cp:lastModifiedBy>
  <cp:revision>2</cp:revision>
  <cp:lastPrinted>2018-02-26T20:07:00Z</cp:lastPrinted>
  <dcterms:created xsi:type="dcterms:W3CDTF">2018-02-26T20:04:00Z</dcterms:created>
  <dcterms:modified xsi:type="dcterms:W3CDTF">2018-02-26T20:07:00Z</dcterms:modified>
</cp:coreProperties>
</file>