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6B5D5" w14:textId="77777777" w:rsidR="00663D6A" w:rsidRPr="002D54AC" w:rsidRDefault="00663D6A" w:rsidP="00663D6A">
      <w:pPr>
        <w:jc w:val="center"/>
        <w:rPr>
          <w:b/>
          <w:sz w:val="26"/>
          <w:szCs w:val="26"/>
        </w:rPr>
      </w:pPr>
      <w:bookmarkStart w:id="0" w:name="_GoBack"/>
      <w:bookmarkEnd w:id="0"/>
      <w:r w:rsidRPr="002D54AC">
        <w:rPr>
          <w:b/>
          <w:sz w:val="26"/>
          <w:szCs w:val="26"/>
        </w:rPr>
        <w:t>BEFORE</w:t>
      </w:r>
    </w:p>
    <w:p w14:paraId="0F0A956F" w14:textId="77777777"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14:paraId="241369EA" w14:textId="77777777" w:rsidR="00663D6A" w:rsidRDefault="00663D6A"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89"/>
        <w:gridCol w:w="289"/>
        <w:gridCol w:w="4482"/>
      </w:tblGrid>
      <w:tr w:rsidR="00663D6A" w14:paraId="22A34D69" w14:textId="77777777" w:rsidTr="00E64487">
        <w:tc>
          <w:tcPr>
            <w:tcW w:w="4589" w:type="dxa"/>
          </w:tcPr>
          <w:p w14:paraId="17D2FE64" w14:textId="5531D4E3" w:rsidR="001A5C2F" w:rsidRPr="00221496" w:rsidRDefault="00663D6A" w:rsidP="00525520">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525520">
              <w:rPr>
                <w:rFonts w:ascii="Times New Roman" w:hAnsi="Times New Roman"/>
                <w:sz w:val="26"/>
                <w:szCs w:val="26"/>
              </w:rPr>
              <w:t xml:space="preserve"> the Application of Duke Energy Ohio, Inc. for Approval to Continue Cost Recovery Mechanism for Energy Efficiency Programs Through 2016.</w:t>
            </w:r>
          </w:p>
        </w:tc>
        <w:tc>
          <w:tcPr>
            <w:tcW w:w="289" w:type="dxa"/>
          </w:tcPr>
          <w:p w14:paraId="147607A4" w14:textId="77777777"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0F0FD2BB" w14:textId="77777777"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6D141397" w14:textId="77777777"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364088E2" w14:textId="77777777" w:rsidR="00525520" w:rsidRDefault="00525520"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14:paraId="64D017D9" w14:textId="77777777" w:rsidR="00525520" w:rsidRPr="00221496" w:rsidRDefault="00525520"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482" w:type="dxa"/>
          </w:tcPr>
          <w:p w14:paraId="1E2FC031" w14:textId="77777777" w:rsidR="00525520" w:rsidRDefault="00525520" w:rsidP="00977F01">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 xml:space="preserve"> </w:t>
            </w:r>
          </w:p>
          <w:p w14:paraId="28ECE1E8" w14:textId="77777777"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525520">
              <w:rPr>
                <w:rFonts w:ascii="Times New Roman" w:hAnsi="Times New Roman"/>
                <w:sz w:val="26"/>
                <w:szCs w:val="26"/>
              </w:rPr>
              <w:t>14-1580-EL-RDR</w:t>
            </w:r>
          </w:p>
        </w:tc>
      </w:tr>
    </w:tbl>
    <w:p w14:paraId="6DDD7D99" w14:textId="77777777" w:rsidR="00663D6A" w:rsidRPr="002D54AC" w:rsidRDefault="00663D6A" w:rsidP="00663D6A">
      <w:pPr>
        <w:pStyle w:val="Title"/>
        <w:tabs>
          <w:tab w:val="left" w:pos="5130"/>
          <w:tab w:val="left" w:pos="5670"/>
        </w:tabs>
        <w:rPr>
          <w:rFonts w:ascii="Times New Roman" w:hAnsi="Times New Roman"/>
          <w:sz w:val="26"/>
          <w:szCs w:val="26"/>
        </w:rPr>
      </w:pPr>
    </w:p>
    <w:p w14:paraId="65284938" w14:textId="77777777" w:rsidR="003B12DD" w:rsidRDefault="003B12DD" w:rsidP="00663D6A">
      <w:pPr>
        <w:pStyle w:val="Title"/>
        <w:tabs>
          <w:tab w:val="left" w:pos="5130"/>
          <w:tab w:val="left" w:pos="5670"/>
        </w:tabs>
        <w:jc w:val="left"/>
        <w:rPr>
          <w:rFonts w:ascii="Times New Roman" w:hAnsi="Times New Roman"/>
          <w:sz w:val="26"/>
          <w:szCs w:val="26"/>
        </w:rPr>
      </w:pPr>
    </w:p>
    <w:p w14:paraId="558DE640" w14:textId="77777777"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3FC6F739" w14:textId="77777777" w:rsidR="00E10679" w:rsidRPr="00E10679" w:rsidRDefault="00525520" w:rsidP="00E10679">
      <w:pPr>
        <w:pStyle w:val="Title"/>
        <w:tabs>
          <w:tab w:val="left" w:pos="9360"/>
        </w:tabs>
        <w:rPr>
          <w:rFonts w:ascii="Times New Roman" w:hAnsi="Times New Roman"/>
          <w:b/>
          <w:sz w:val="32"/>
          <w:szCs w:val="32"/>
        </w:rPr>
      </w:pPr>
      <w:r>
        <w:rPr>
          <w:rFonts w:ascii="Times New Roman" w:hAnsi="Times New Roman"/>
          <w:b/>
          <w:sz w:val="32"/>
          <w:szCs w:val="32"/>
        </w:rPr>
        <w:t>REPLY COMMENTS</w:t>
      </w:r>
    </w:p>
    <w:p w14:paraId="4F07149B" w14:textId="77777777" w:rsidR="00663D6A" w:rsidRPr="002D54AC" w:rsidRDefault="00663D6A" w:rsidP="00663D6A">
      <w:pPr>
        <w:pStyle w:val="PlainText"/>
        <w:jc w:val="center"/>
        <w:outlineLvl w:val="0"/>
        <w:rPr>
          <w:rFonts w:ascii="Times New Roman" w:hAnsi="Times New Roman"/>
          <w:sz w:val="26"/>
          <w:szCs w:val="26"/>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Pr>
          <w:rFonts w:ascii="Times New Roman" w:hAnsi="Times New Roman"/>
          <w:sz w:val="26"/>
          <w:szCs w:val="26"/>
        </w:rPr>
        <w:t xml:space="preserve">SUBMITTED ON BEHALF </w:t>
      </w:r>
      <w:r w:rsidRPr="002D54AC">
        <w:rPr>
          <w:rFonts w:ascii="Times New Roman" w:hAnsi="Times New Roman"/>
          <w:sz w:val="26"/>
          <w:szCs w:val="26"/>
        </w:rPr>
        <w:t xml:space="preserve">OF THE STAFF </w:t>
      </w:r>
      <w:r>
        <w:rPr>
          <w:rFonts w:ascii="Times New Roman" w:hAnsi="Times New Roman"/>
          <w:sz w:val="26"/>
          <w:szCs w:val="26"/>
        </w:rPr>
        <w:t>OF</w:t>
      </w:r>
      <w:bookmarkEnd w:id="1"/>
      <w:bookmarkEnd w:id="2"/>
      <w:bookmarkEnd w:id="3"/>
      <w:bookmarkEnd w:id="4"/>
      <w:bookmarkEnd w:id="5"/>
      <w:bookmarkEnd w:id="6"/>
      <w:bookmarkEnd w:id="7"/>
    </w:p>
    <w:p w14:paraId="5DAE6269" w14:textId="77777777" w:rsidR="00663D6A" w:rsidRDefault="00663D6A" w:rsidP="00663D6A">
      <w:pPr>
        <w:pStyle w:val="PlainText"/>
        <w:jc w:val="center"/>
        <w:outlineLvl w:val="0"/>
        <w:rPr>
          <w:rFonts w:ascii="Times New Roman" w:hAnsi="Times New Roman"/>
          <w:sz w:val="26"/>
          <w:szCs w:val="26"/>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2D54AC">
        <w:rPr>
          <w:rFonts w:ascii="Times New Roman" w:hAnsi="Times New Roman"/>
          <w:sz w:val="26"/>
          <w:szCs w:val="26"/>
        </w:rPr>
        <w:t xml:space="preserve">THE PUBLIC UTILITIES COMMISSION OF </w:t>
      </w:r>
      <w:smartTag w:uri="urn:schemas-microsoft-com:office:smarttags" w:element="place">
        <w:smartTag w:uri="urn:schemas-microsoft-com:office:smarttags" w:element="State">
          <w:r w:rsidRPr="002D54AC">
            <w:rPr>
              <w:rFonts w:ascii="Times New Roman" w:hAnsi="Times New Roman"/>
              <w:sz w:val="26"/>
              <w:szCs w:val="26"/>
            </w:rPr>
            <w:t>OHIO</w:t>
          </w:r>
        </w:smartTag>
      </w:smartTag>
      <w:bookmarkEnd w:id="8"/>
      <w:bookmarkEnd w:id="9"/>
      <w:bookmarkEnd w:id="10"/>
      <w:bookmarkEnd w:id="11"/>
      <w:bookmarkEnd w:id="12"/>
      <w:bookmarkEnd w:id="13"/>
      <w:bookmarkEnd w:id="14"/>
      <w:r w:rsidRPr="002D54AC">
        <w:rPr>
          <w:rFonts w:ascii="Times New Roman" w:hAnsi="Times New Roman"/>
          <w:sz w:val="26"/>
          <w:szCs w:val="26"/>
        </w:rPr>
        <w:t xml:space="preserve"> </w:t>
      </w:r>
    </w:p>
    <w:p w14:paraId="060249C3" w14:textId="77777777"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20D47BBC" w14:textId="77777777" w:rsidR="00CB5644" w:rsidRPr="00613023" w:rsidRDefault="00CB5644" w:rsidP="0064436A">
      <w:pPr>
        <w:pStyle w:val="Heading1"/>
      </w:pPr>
      <w:bookmarkStart w:id="15" w:name="_Toc260212957"/>
      <w:r w:rsidRPr="00613023">
        <w:lastRenderedPageBreak/>
        <w:t>INTRODUCTION</w:t>
      </w:r>
      <w:bookmarkEnd w:id="15"/>
    </w:p>
    <w:p w14:paraId="129B9020" w14:textId="0BE94F5C" w:rsidR="00E10679" w:rsidRDefault="0064436A" w:rsidP="00D6578A">
      <w:pPr>
        <w:pStyle w:val="Textstyle"/>
      </w:pPr>
      <w:r>
        <w:tab/>
      </w:r>
      <w:r w:rsidR="00914C58" w:rsidRPr="00C2198B">
        <w:t xml:space="preserve">On September 9, 2014, Duke Energy Ohio </w:t>
      </w:r>
      <w:r w:rsidR="00914C58">
        <w:t xml:space="preserve">(“Duke”) </w:t>
      </w:r>
      <w:r w:rsidR="00914C58" w:rsidRPr="00C2198B">
        <w:t>filed an Application seeking approval to continue the cost-recovery mechanism</w:t>
      </w:r>
      <w:r w:rsidR="00B716EE">
        <w:t>,</w:t>
      </w:r>
      <w:r w:rsidR="00914C58" w:rsidRPr="00C2198B">
        <w:t xml:space="preserve"> </w:t>
      </w:r>
      <w:r w:rsidR="00914C58">
        <w:t>including its uncapped shared savings component</w:t>
      </w:r>
      <w:r w:rsidR="00B716EE">
        <w:t>,</w:t>
      </w:r>
      <w:r w:rsidR="00914C58">
        <w:t xml:space="preserve"> </w:t>
      </w:r>
      <w:r w:rsidR="00914C58" w:rsidRPr="00C2198B">
        <w:t xml:space="preserve">for its current </w:t>
      </w:r>
      <w:r w:rsidR="00B716EE">
        <w:t>Energy Efficiency (EE)</w:t>
      </w:r>
      <w:r w:rsidR="00914C58" w:rsidRPr="00C2198B">
        <w:t xml:space="preserve"> Portfolio Plan</w:t>
      </w:r>
      <w:r w:rsidR="00914C58">
        <w:t xml:space="preserve">.  On October 22, 2014, the Commission issued a procedural Entry in this docket requesting Initial Comments to be filed by December 5, 2014 and Reply Comments to be filed on January 9, 2015.  </w:t>
      </w:r>
      <w:r w:rsidR="00B716EE">
        <w:t>S</w:t>
      </w:r>
      <w:r w:rsidR="00914C58">
        <w:t>taff did not submit Initial Comments in this case, but is submitting Reply Comments</w:t>
      </w:r>
      <w:r w:rsidR="00E10679">
        <w:t>.</w:t>
      </w:r>
    </w:p>
    <w:p w14:paraId="74F4D145" w14:textId="32870B2D" w:rsidR="00E10679" w:rsidRDefault="00914C58" w:rsidP="00E10679">
      <w:pPr>
        <w:pStyle w:val="Heading1"/>
      </w:pPr>
      <w:r>
        <w:lastRenderedPageBreak/>
        <w:t>BACKGROUND</w:t>
      </w:r>
    </w:p>
    <w:p w14:paraId="2D7A36F8" w14:textId="4D6E1133" w:rsidR="002656CD" w:rsidRDefault="00D6578A" w:rsidP="00D6578A">
      <w:pPr>
        <w:pStyle w:val="Textstyle"/>
      </w:pPr>
      <w:r>
        <w:tab/>
      </w:r>
      <w:r w:rsidR="002D55F8">
        <w:t xml:space="preserve">In Commission Case No. 11-4393-EL-RDR, Duke proposed a new recovery mechanism, Rider EE-PDR, in which Duke could recover program costs and an incentive payment for its EE Portfolio Plan. </w:t>
      </w:r>
      <w:r w:rsidR="00914C58">
        <w:t xml:space="preserve"> </w:t>
      </w:r>
      <w:r w:rsidR="003B6885">
        <w:t>In</w:t>
      </w:r>
      <w:r w:rsidR="00DB047D">
        <w:t xml:space="preserve"> a Stipulation</w:t>
      </w:r>
      <w:r w:rsidR="00952DCD">
        <w:t xml:space="preserve"> in that</w:t>
      </w:r>
      <w:r w:rsidR="00DB047D">
        <w:t xml:space="preserve"> case, signed by some of the parties and approved by the Commission,</w:t>
      </w:r>
      <w:r w:rsidR="009534E7">
        <w:t xml:space="preserve"> the cost recovery mechanism for the Company’s</w:t>
      </w:r>
      <w:r w:rsidR="00071274">
        <w:t xml:space="preserve"> five year</w:t>
      </w:r>
      <w:r w:rsidR="009534E7">
        <w:t xml:space="preserve"> </w:t>
      </w:r>
      <w:r w:rsidR="00071274">
        <w:t>EE Portfolio Plan was approved</w:t>
      </w:r>
      <w:r w:rsidR="009534E7">
        <w:t>.</w:t>
      </w:r>
      <w:r w:rsidR="00C81A44">
        <w:rPr>
          <w:rStyle w:val="FootnoteReference"/>
        </w:rPr>
        <w:footnoteReference w:id="1"/>
      </w:r>
      <w:r w:rsidR="009534E7">
        <w:t xml:space="preserve"> </w:t>
      </w:r>
      <w:r w:rsidR="00C81A44">
        <w:t xml:space="preserve"> </w:t>
      </w:r>
      <w:r w:rsidR="009534E7">
        <w:t xml:space="preserve">However, </w:t>
      </w:r>
      <w:r w:rsidR="00952DCD">
        <w:t xml:space="preserve">in the Stipulation, </w:t>
      </w:r>
      <w:r w:rsidR="009534E7">
        <w:t>i</w:t>
      </w:r>
      <w:r w:rsidR="00DB047D">
        <w:t>t was agreed that the incentive mechanism would expire at the end of</w:t>
      </w:r>
      <w:r w:rsidR="009534E7">
        <w:t xml:space="preserve"> the fourth year of the plan</w:t>
      </w:r>
      <w:r w:rsidR="00DB047D">
        <w:t xml:space="preserve"> </w:t>
      </w:r>
      <w:r w:rsidR="009534E7">
        <w:t>(</w:t>
      </w:r>
      <w:r w:rsidR="00DB047D">
        <w:t>2015</w:t>
      </w:r>
      <w:r w:rsidR="009534E7">
        <w:t>)</w:t>
      </w:r>
      <w:r w:rsidR="00DB047D">
        <w:t xml:space="preserve"> and that all </w:t>
      </w:r>
      <w:r w:rsidR="003B6885">
        <w:t>interested parties, no sooner than the third quarter of 2014, were permitted to assess the incentive mechanism</w:t>
      </w:r>
      <w:r w:rsidR="00DB047D">
        <w:t xml:space="preserve"> and</w:t>
      </w:r>
      <w:r w:rsidR="003B6885">
        <w:t xml:space="preserve"> to consider whether they support its </w:t>
      </w:r>
      <w:r w:rsidR="009534E7">
        <w:t xml:space="preserve">use </w:t>
      </w:r>
      <w:r w:rsidR="00DB047D">
        <w:t xml:space="preserve">for </w:t>
      </w:r>
      <w:r w:rsidR="003B6885">
        <w:t>20</w:t>
      </w:r>
      <w:r w:rsidR="00DB047D">
        <w:t>16.</w:t>
      </w:r>
      <w:r w:rsidR="00C81A44">
        <w:rPr>
          <w:rStyle w:val="FootnoteReference"/>
        </w:rPr>
        <w:footnoteReference w:id="2"/>
      </w:r>
      <w:r w:rsidR="009534E7">
        <w:t xml:space="preserve"> </w:t>
      </w:r>
      <w:r w:rsidR="00C81A44">
        <w:t xml:space="preserve"> </w:t>
      </w:r>
    </w:p>
    <w:p w14:paraId="6F0D465D" w14:textId="3BB72A1C" w:rsidR="00914C58" w:rsidRDefault="00D6578A" w:rsidP="00D6578A">
      <w:pPr>
        <w:pStyle w:val="Textstyle"/>
      </w:pPr>
      <w:r>
        <w:lastRenderedPageBreak/>
        <w:tab/>
      </w:r>
      <w:r w:rsidR="00EA28DC">
        <w:t>The Company’s EE Portfolio Plan</w:t>
      </w:r>
      <w:r w:rsidR="007F7D54">
        <w:t xml:space="preserve"> and cost recovery mechanism were</w:t>
      </w:r>
      <w:r w:rsidR="00EA28DC">
        <w:t xml:space="preserve"> again addressed </w:t>
      </w:r>
      <w:r w:rsidR="00071274">
        <w:t>i</w:t>
      </w:r>
      <w:r w:rsidR="00EA28DC">
        <w:t xml:space="preserve">n Case No. 13-0431-EL-POR. </w:t>
      </w:r>
      <w:r w:rsidR="00C81A44">
        <w:t xml:space="preserve"> </w:t>
      </w:r>
      <w:r w:rsidR="00EA28DC">
        <w:t>Again,</w:t>
      </w:r>
      <w:r w:rsidR="00A179FF">
        <w:t xml:space="preserve"> </w:t>
      </w:r>
      <w:r w:rsidR="00914C58">
        <w:t>a stipulation was signed by some of the parties</w:t>
      </w:r>
      <w:r w:rsidR="00EA28DC">
        <w:t xml:space="preserve"> and </w:t>
      </w:r>
      <w:r w:rsidR="00A179FF">
        <w:t xml:space="preserve">approved by the Commission. </w:t>
      </w:r>
      <w:r w:rsidR="00914C58">
        <w:t xml:space="preserve"> </w:t>
      </w:r>
      <w:r w:rsidR="002B21B6">
        <w:t>The Stipulation affirmed</w:t>
      </w:r>
      <w:r w:rsidR="00952DCD">
        <w:t xml:space="preserve"> that</w:t>
      </w:r>
      <w:r w:rsidR="002B21B6">
        <w:t>:</w:t>
      </w:r>
    </w:p>
    <w:p w14:paraId="2AABA9BA" w14:textId="77777777" w:rsidR="00410413" w:rsidRDefault="00952DCD" w:rsidP="00410413">
      <w:pPr>
        <w:pStyle w:val="Blockquote"/>
      </w:pPr>
      <w:r>
        <w:t>t</w:t>
      </w:r>
      <w:r w:rsidR="00914C58">
        <w:t>he mechanism for recovering costs from the Company’s cus</w:t>
      </w:r>
      <w:r w:rsidR="009C209E">
        <w:softHyphen/>
      </w:r>
      <w:r w:rsidR="00914C58">
        <w:t>tomers, including recovery of prudent program costs incurred, lost distribution revenues and an incentive mecha</w:t>
      </w:r>
      <w:r w:rsidR="00E64487">
        <w:softHyphen/>
      </w:r>
      <w:r w:rsidR="00914C58">
        <w:t>nism</w:t>
      </w:r>
      <w:r w:rsidR="00914C58" w:rsidRPr="00625D9F">
        <w:rPr>
          <w:b/>
        </w:rPr>
        <w:t xml:space="preserve">, </w:t>
      </w:r>
      <w:r w:rsidR="00914C58" w:rsidRPr="003B4828">
        <w:t>shall expire at the end of 2015</w:t>
      </w:r>
      <w:r w:rsidR="00914C58">
        <w:t xml:space="preserve">, as controlled by the Stipulation and Recommendation agreed to in Case No. 11-4393-EL-RDR, and adopted and approved by the </w:t>
      </w:r>
      <w:r w:rsidR="00914C58">
        <w:lastRenderedPageBreak/>
        <w:t>Commis</w:t>
      </w:r>
      <w:r w:rsidR="00E64487">
        <w:softHyphen/>
      </w:r>
      <w:r w:rsidR="00914C58">
        <w:t>sion on August 15, 2012.</w:t>
      </w:r>
      <w:r w:rsidR="00071274">
        <w:t xml:space="preserve"> At 5.</w:t>
      </w:r>
      <w:r w:rsidR="00C81A44">
        <w:rPr>
          <w:rStyle w:val="FootnoteReference"/>
        </w:rPr>
        <w:footnoteReference w:id="3"/>
      </w:r>
      <w:r w:rsidR="00071274">
        <w:t xml:space="preserve"> </w:t>
      </w:r>
    </w:p>
    <w:p w14:paraId="754E0150" w14:textId="1ECAA09F" w:rsidR="002656CD" w:rsidRPr="00347087" w:rsidRDefault="00410413" w:rsidP="00D6578A">
      <w:pPr>
        <w:pStyle w:val="Textstyle"/>
      </w:pPr>
      <w:r>
        <w:tab/>
      </w:r>
      <w:r w:rsidR="00952DCD">
        <w:t>However, t</w:t>
      </w:r>
      <w:r w:rsidR="002656CD">
        <w:t>he stipula</w:t>
      </w:r>
      <w:r w:rsidR="002656CD">
        <w:softHyphen/>
      </w:r>
      <w:r w:rsidR="00952DCD">
        <w:t>tion went on to state</w:t>
      </w:r>
      <w:r w:rsidR="002656CD">
        <w:t xml:space="preserve"> that “in the event no such agreement is reached, interested parties may [could] seek the Commission’s approval in 2015 for use in 2016.”</w:t>
      </w:r>
      <w:r w:rsidR="00C81A44">
        <w:rPr>
          <w:rStyle w:val="FootnoteReference"/>
        </w:rPr>
        <w:footnoteReference w:id="4"/>
      </w:r>
      <w:r w:rsidR="00347087">
        <w:t xml:space="preserve"> </w:t>
      </w:r>
    </w:p>
    <w:p w14:paraId="47E1179B" w14:textId="6BA79173" w:rsidR="00ED3F32" w:rsidRDefault="00914C58" w:rsidP="00D6578A">
      <w:pPr>
        <w:pStyle w:val="Textstyle"/>
      </w:pPr>
      <w:r>
        <w:lastRenderedPageBreak/>
        <w:tab/>
        <w:t>On June 13, 2014, Governor Kasich signed into law Senate Bill 310</w:t>
      </w:r>
      <w:r w:rsidR="00527E03">
        <w:t xml:space="preserve">. </w:t>
      </w:r>
      <w:r w:rsidR="00C81A44">
        <w:t xml:space="preserve"> </w:t>
      </w:r>
      <w:r w:rsidR="00527E03">
        <w:t>Senate Bill 310 provides that an electric distribution utility with an energy efficiency portfolio plan shall either (1) “continue to implement the portfolio plan with no amendments to the plan, for the duration that the Public Utilities Commission originally approved” or (2) “seek an amendment of the portfolio plan.”</w:t>
      </w:r>
      <w:r w:rsidR="00C81A44">
        <w:rPr>
          <w:rStyle w:val="FootnoteReference"/>
        </w:rPr>
        <w:footnoteReference w:id="5"/>
      </w:r>
      <w:r w:rsidR="00C81A44">
        <w:t xml:space="preserve"> </w:t>
      </w:r>
      <w:r w:rsidR="00527E03">
        <w:t xml:space="preserve"> </w:t>
      </w:r>
      <w:r w:rsidR="008761C8">
        <w:t>If a utility amends its portfolio plan then a customer of the electric distribution utility may opt out of p</w:t>
      </w:r>
      <w:r w:rsidR="0078614B">
        <w:t xml:space="preserve">articipating in the utility’s </w:t>
      </w:r>
      <w:r w:rsidR="0078614B">
        <w:lastRenderedPageBreak/>
        <w:t>energy efficiency</w:t>
      </w:r>
      <w:r w:rsidR="008761C8">
        <w:t xml:space="preserve"> portfolio plan.</w:t>
      </w:r>
      <w:r w:rsidR="00C81A44">
        <w:rPr>
          <w:rStyle w:val="FootnoteReference"/>
        </w:rPr>
        <w:footnoteReference w:id="6"/>
      </w:r>
      <w:r w:rsidR="008761C8">
        <w:t xml:space="preserve"> </w:t>
      </w:r>
      <w:r w:rsidR="00C81A44">
        <w:t xml:space="preserve"> </w:t>
      </w:r>
      <w:r w:rsidR="00A179FF">
        <w:t xml:space="preserve"> </w:t>
      </w:r>
      <w:r w:rsidR="00527E03">
        <w:t xml:space="preserve"> </w:t>
      </w:r>
      <w:r>
        <w:t xml:space="preserve"> </w:t>
      </w:r>
    </w:p>
    <w:p w14:paraId="2A468877" w14:textId="59496813" w:rsidR="00E10679" w:rsidRDefault="00D6578A" w:rsidP="00D6578A">
      <w:pPr>
        <w:pStyle w:val="Textstyle"/>
      </w:pPr>
      <w:r>
        <w:tab/>
      </w:r>
      <w:r w:rsidR="00914C58">
        <w:t xml:space="preserve">In this case, Duke has requested the Commission to </w:t>
      </w:r>
      <w:r w:rsidR="00ED3F32">
        <w:t>continue</w:t>
      </w:r>
      <w:r w:rsidR="00914C58">
        <w:t xml:space="preserve"> its current cost recovery mechanism for the remaining year of its approved E</w:t>
      </w:r>
      <w:r w:rsidR="00ED3F32">
        <w:t>E</w:t>
      </w:r>
      <w:r w:rsidR="00914C58">
        <w:t xml:space="preserve"> Portfolio</w:t>
      </w:r>
      <w:r w:rsidR="00E74086">
        <w:t xml:space="preserve"> Plan</w:t>
      </w:r>
      <w:r w:rsidR="00ED3F32">
        <w:t xml:space="preserve"> (2016)</w:t>
      </w:r>
      <w:r w:rsidR="00914C58">
        <w:t>.</w:t>
      </w:r>
      <w:r w:rsidR="00C81A44">
        <w:t xml:space="preserve"> </w:t>
      </w:r>
      <w:r w:rsidR="00CC5523">
        <w:t xml:space="preserve"> The cost recovery mechanism would recover prudent program costs incurred, lost distri</w:t>
      </w:r>
      <w:r w:rsidR="009C209E">
        <w:softHyphen/>
      </w:r>
      <w:r w:rsidR="00CC5523">
        <w:t>bution revenues, and an incen</w:t>
      </w:r>
      <w:r w:rsidR="00CC5523">
        <w:softHyphen/>
        <w:t>tive or shared savings mechanism for 2016.</w:t>
      </w:r>
      <w:r w:rsidR="00E74086">
        <w:t xml:space="preserve"> </w:t>
      </w:r>
      <w:r w:rsidR="00C81A44">
        <w:t xml:space="preserve"> </w:t>
      </w:r>
      <w:r w:rsidR="00E74086">
        <w:t>However, Duke has requested that</w:t>
      </w:r>
      <w:r w:rsidR="00F70EFE">
        <w:t xml:space="preserve"> if the Commission determines the continuation of the existing cost recovery and incentive mechanism through the end of 2016 is not appropriate,</w:t>
      </w:r>
      <w:r w:rsidR="00E74086">
        <w:t xml:space="preserve"> the Commission provides the Company thirty days from the date of the Commission order to amend its portfolio plan</w:t>
      </w:r>
      <w:r w:rsidR="00F70EFE">
        <w:t xml:space="preserve">. </w:t>
      </w:r>
    </w:p>
    <w:p w14:paraId="6EEDF653" w14:textId="274780BA" w:rsidR="00914C58" w:rsidRDefault="00914C58" w:rsidP="00914C58">
      <w:pPr>
        <w:pStyle w:val="Heading1"/>
      </w:pPr>
      <w:r>
        <w:t xml:space="preserve">INTERVENOR </w:t>
      </w:r>
      <w:r w:rsidR="0006117F">
        <w:t xml:space="preserve">INITIAL </w:t>
      </w:r>
      <w:r>
        <w:t>COMMENTS</w:t>
      </w:r>
    </w:p>
    <w:p w14:paraId="3A0FB7BA" w14:textId="28A53D58" w:rsidR="00914C58" w:rsidRDefault="00914C58" w:rsidP="00D6578A">
      <w:pPr>
        <w:pStyle w:val="Textstyle"/>
      </w:pPr>
      <w:r>
        <w:tab/>
      </w:r>
      <w:r w:rsidR="00B12A6F">
        <w:t>S</w:t>
      </w:r>
      <w:r>
        <w:t>even parties filed Initial Comments</w:t>
      </w:r>
      <w:r w:rsidR="006E2AE3">
        <w:t xml:space="preserve"> in this case including:</w:t>
      </w:r>
      <w:r>
        <w:t xml:space="preserve">  Ohio Partners for Affordable Energy (OPAE), The Office of the Ohio Consumers’ Counsel (OCC), Kroger, Industrial Energy Users-Ohio (IEU-Ohio), the </w:t>
      </w:r>
      <w:r>
        <w:lastRenderedPageBreak/>
        <w:t>Ohio Energy Group (OEG), the Ohio Manufactur</w:t>
      </w:r>
      <w:r w:rsidR="006E2AE3">
        <w:t>ers’</w:t>
      </w:r>
      <w:r>
        <w:t xml:space="preserve"> Association (OMA), and the Envi</w:t>
      </w:r>
      <w:r w:rsidR="00E64487">
        <w:softHyphen/>
      </w:r>
      <w:r>
        <w:t xml:space="preserve">ronmental Advocates </w:t>
      </w:r>
      <w:r w:rsidR="006E2AE3">
        <w:t xml:space="preserve">comprised </w:t>
      </w:r>
      <w:r>
        <w:t>of the Natural Resources Defense Council (NRDC), the Environmental Law and Policy Center (ELPC) and the Ohio Environmental Council (OEC).</w:t>
      </w:r>
    </w:p>
    <w:p w14:paraId="080831DE" w14:textId="3905602B" w:rsidR="00914C58" w:rsidRDefault="00914C58" w:rsidP="00D6578A">
      <w:pPr>
        <w:pStyle w:val="Textstyle"/>
      </w:pPr>
      <w:r>
        <w:tab/>
        <w:t>The Environmental Advocates</w:t>
      </w:r>
      <w:r w:rsidR="00B12A6F">
        <w:t xml:space="preserve"> </w:t>
      </w:r>
      <w:r>
        <w:t>support the</w:t>
      </w:r>
      <w:r w:rsidR="00537C41">
        <w:t xml:space="preserve"> view that the</w:t>
      </w:r>
      <w:r>
        <w:t xml:space="preserve"> Company’s Application</w:t>
      </w:r>
      <w:r w:rsidR="006E2AE3">
        <w:t xml:space="preserve"> </w:t>
      </w:r>
      <w:r w:rsidR="00537C41">
        <w:t xml:space="preserve">is an </w:t>
      </w:r>
      <w:r>
        <w:t xml:space="preserve">extension of the Company’s currently approved EE Portfolio Plan through 2016.  The Environmental </w:t>
      </w:r>
      <w:r w:rsidR="00EA3205">
        <w:t>A</w:t>
      </w:r>
      <w:r>
        <w:t>dvocates argue that the Company’s Application i</w:t>
      </w:r>
      <w:r w:rsidR="00EA3205">
        <w:t xml:space="preserve">nvolves a single issue, </w:t>
      </w:r>
      <w:r>
        <w:t xml:space="preserve">shared </w:t>
      </w:r>
      <w:r>
        <w:lastRenderedPageBreak/>
        <w:t>savings</w:t>
      </w:r>
      <w:r w:rsidR="00EA3205">
        <w:t xml:space="preserve">, and </w:t>
      </w:r>
      <w:r>
        <w:t>does not alter its EE portfolio of programs. In general, Staff agrees with this position</w:t>
      </w:r>
      <w:r w:rsidR="00EA3205">
        <w:t xml:space="preserve">. </w:t>
      </w:r>
      <w:r w:rsidR="00C81A44">
        <w:t xml:space="preserve"> </w:t>
      </w:r>
      <w:r w:rsidR="00846A8A">
        <w:t>While the Stipulation in the most recent Duke EE Portfolio Plan case states that all of the cost elements regarding its EE programs would expire at the end of 2</w:t>
      </w:r>
      <w:r w:rsidR="00345507">
        <w:t>015, the Stipulation further provides</w:t>
      </w:r>
      <w:r w:rsidR="00846A8A">
        <w:t xml:space="preserve"> that “in the event no such agreement is reached, interested parties may [could] seek the Commission’s approval in 2015 for use in 2016.”</w:t>
      </w:r>
      <w:r w:rsidR="00C81A44">
        <w:rPr>
          <w:rStyle w:val="FootnoteReference"/>
        </w:rPr>
        <w:footnoteReference w:id="7"/>
      </w:r>
      <w:r w:rsidR="00846A8A">
        <w:t xml:space="preserve"> </w:t>
      </w:r>
      <w:r w:rsidR="00C81A44">
        <w:t xml:space="preserve"> </w:t>
      </w:r>
      <w:r w:rsidR="00846A8A">
        <w:t>Consequently, the previous EE Portfolio case contemplated the continuation of the exist</w:t>
      </w:r>
      <w:r w:rsidR="009C209E">
        <w:softHyphen/>
      </w:r>
      <w:r w:rsidR="00846A8A">
        <w:t xml:space="preserve">ing cost recovery </w:t>
      </w:r>
      <w:r w:rsidR="00846A8A">
        <w:lastRenderedPageBreak/>
        <w:t xml:space="preserve">mechanism. </w:t>
      </w:r>
      <w:r w:rsidR="00D6578A">
        <w:t xml:space="preserve"> </w:t>
      </w:r>
      <w:r w:rsidR="00846A8A">
        <w:t xml:space="preserve">Furthermore, </w:t>
      </w:r>
      <w:r>
        <w:t>Staff does not</w:t>
      </w:r>
      <w:r w:rsidR="006E2AE3">
        <w:t xml:space="preserve"> believe</w:t>
      </w:r>
      <w:r>
        <w:t xml:space="preserve"> that the Company</w:t>
      </w:r>
      <w:r w:rsidR="006E2AE3">
        <w:t xml:space="preserve"> should</w:t>
      </w:r>
      <w:r w:rsidR="00EA3205">
        <w:t xml:space="preserve"> </w:t>
      </w:r>
      <w:r w:rsidR="00132AF4">
        <w:t>cease</w:t>
      </w:r>
      <w:r w:rsidR="006E2AE3">
        <w:t xml:space="preserve"> </w:t>
      </w:r>
      <w:r w:rsidR="00EA3205">
        <w:t>recover</w:t>
      </w:r>
      <w:r w:rsidR="00132AF4">
        <w:t>ing</w:t>
      </w:r>
      <w:r w:rsidR="00EA3205">
        <w:t xml:space="preserve"> costs incurred to implement its EE Portfolio</w:t>
      </w:r>
      <w:r w:rsidR="006E2AE3">
        <w:t xml:space="preserve"> </w:t>
      </w:r>
      <w:r w:rsidR="00EA3205">
        <w:t xml:space="preserve">Plan. </w:t>
      </w:r>
      <w:r w:rsidR="00C81A44">
        <w:t xml:space="preserve"> </w:t>
      </w:r>
      <w:r w:rsidR="00EA3205">
        <w:t>I</w:t>
      </w:r>
      <w:r>
        <w:t>t would be unreasonable to</w:t>
      </w:r>
      <w:r w:rsidR="009A356C">
        <w:t xml:space="preserve"> require the Company to continue providing EE programs to its customers and not be able to recover prudently incurred costs.  </w:t>
      </w:r>
      <w:r>
        <w:t xml:space="preserve">Staff </w:t>
      </w:r>
      <w:r w:rsidR="00132AF4">
        <w:t xml:space="preserve">recommends the </w:t>
      </w:r>
      <w:r w:rsidR="00D10514">
        <w:t xml:space="preserve">Company </w:t>
      </w:r>
      <w:r w:rsidR="00132AF4">
        <w:t xml:space="preserve">be able </w:t>
      </w:r>
      <w:r w:rsidR="00D10514">
        <w:t>to recover t</w:t>
      </w:r>
      <w:r>
        <w:t xml:space="preserve">hese costs in 2016 </w:t>
      </w:r>
      <w:r w:rsidR="00D10514">
        <w:t xml:space="preserve">to implement the </w:t>
      </w:r>
      <w:r>
        <w:t>Company</w:t>
      </w:r>
      <w:r w:rsidR="00D10514">
        <w:t>’s Commission-approved EE Portfolio Plan</w:t>
      </w:r>
      <w:r>
        <w:t xml:space="preserve">.  </w:t>
      </w:r>
      <w:r w:rsidR="007669E0">
        <w:t xml:space="preserve">Otherwise, the </w:t>
      </w:r>
      <w:r>
        <w:t xml:space="preserve">Company </w:t>
      </w:r>
      <w:r w:rsidR="007669E0">
        <w:t xml:space="preserve">may </w:t>
      </w:r>
      <w:r>
        <w:t xml:space="preserve">not implement its EE Portfolio Plan for 2016 and </w:t>
      </w:r>
      <w:r w:rsidR="007669E0">
        <w:t xml:space="preserve">instead </w:t>
      </w:r>
      <w:r>
        <w:t xml:space="preserve">pay the penalty for </w:t>
      </w:r>
      <w:r>
        <w:lastRenderedPageBreak/>
        <w:t>not doing so</w:t>
      </w:r>
      <w:r w:rsidR="00FB50CF">
        <w:t>, if applicable</w:t>
      </w:r>
      <w:r w:rsidR="007669E0">
        <w:t>.</w:t>
      </w:r>
      <w:r w:rsidR="00146C0E">
        <w:t xml:space="preserve"> </w:t>
      </w:r>
      <w:r w:rsidR="00C81A44">
        <w:t xml:space="preserve"> </w:t>
      </w:r>
      <w:r w:rsidR="00146C0E">
        <w:t>Also</w:t>
      </w:r>
      <w:r w:rsidR="004A40B7">
        <w:t>, it would be ineffi</w:t>
      </w:r>
      <w:r w:rsidR="009C209E">
        <w:softHyphen/>
      </w:r>
      <w:r w:rsidR="004A40B7">
        <w:t>cient for the Company</w:t>
      </w:r>
      <w:r w:rsidR="009A356C">
        <w:t xml:space="preserve"> to cease its EE programs for the year 2016 and restart the EE pro</w:t>
      </w:r>
      <w:r w:rsidR="009C209E">
        <w:softHyphen/>
      </w:r>
      <w:r w:rsidR="009A356C">
        <w:t>gram</w:t>
      </w:r>
      <w:r w:rsidR="00FB50CF">
        <w:t xml:space="preserve"> at a later date</w:t>
      </w:r>
      <w:r w:rsidR="00146C0E">
        <w:t>.</w:t>
      </w:r>
    </w:p>
    <w:p w14:paraId="3D6DB637" w14:textId="662BC1FE" w:rsidR="00914C58" w:rsidRDefault="00914C58" w:rsidP="00D6578A">
      <w:pPr>
        <w:pStyle w:val="Textstyle"/>
      </w:pPr>
      <w:r>
        <w:tab/>
        <w:t>With respect to the incentive or shared savings mechanism</w:t>
      </w:r>
      <w:r w:rsidR="00305781">
        <w:t>,</w:t>
      </w:r>
      <w:r>
        <w:t xml:space="preserve"> the Commission ordered that the parties should work toward some type of agreement no sooner than the third quarter of 2014.  Staff is aware that the Company did reach out to parties</w:t>
      </w:r>
      <w:r w:rsidR="00305781">
        <w:t>,</w:t>
      </w:r>
      <w:r>
        <w:t xml:space="preserve"> but no such agreement was reached in 2014.  Normally, additional time would have been availa</w:t>
      </w:r>
      <w:r w:rsidR="009C209E">
        <w:softHyphen/>
      </w:r>
      <w:r w:rsidR="00132AF4">
        <w:t>ble for negotiating a</w:t>
      </w:r>
      <w:r>
        <w:t xml:space="preserve"> set</w:t>
      </w:r>
      <w:r w:rsidR="00132AF4">
        <w:t xml:space="preserve">tlement, </w:t>
      </w:r>
      <w:r w:rsidR="00132AF4">
        <w:lastRenderedPageBreak/>
        <w:t>but Senate Bill 310</w:t>
      </w:r>
      <w:r>
        <w:t xml:space="preserve"> introduced uncertainty as to whether</w:t>
      </w:r>
      <w:r w:rsidR="00132AF4">
        <w:t xml:space="preserve"> or not the Company’s filing</w:t>
      </w:r>
      <w:r w:rsidR="00E53D1E">
        <w:t xml:space="preserve"> should be viewed as an attempt to amend its plan</w:t>
      </w:r>
      <w:r>
        <w:t>.  A number of parties, I</w:t>
      </w:r>
      <w:r w:rsidR="00132AF4">
        <w:t>EU-Ohio, OEG, OPAE, and Kroger, advocate that</w:t>
      </w:r>
      <w:r>
        <w:t xml:space="preserve"> the</w:t>
      </w:r>
      <w:r w:rsidR="00132AF4">
        <w:t xml:space="preserve"> should Commission </w:t>
      </w:r>
      <w:r>
        <w:t>deny or dismiss the Company’s Application because in their view it is a significant modi</w:t>
      </w:r>
      <w:r w:rsidR="009C209E">
        <w:softHyphen/>
      </w:r>
      <w:r>
        <w:t>fication to the Company’s already approved EE Portfolio Plan.</w:t>
      </w:r>
      <w:r w:rsidR="00C81A44">
        <w:t xml:space="preserve"> </w:t>
      </w:r>
      <w:r w:rsidR="00305781">
        <w:t xml:space="preserve"> Such an interpretation would allow customers, who so choose, to opt out of the Company’s energy efficiency programs.</w:t>
      </w:r>
      <w:r w:rsidR="00C81A44">
        <w:t xml:space="preserve"> </w:t>
      </w:r>
      <w:r w:rsidR="00305781">
        <w:t xml:space="preserve"> However, </w:t>
      </w:r>
      <w:r>
        <w:t xml:space="preserve">Staff does not view this </w:t>
      </w:r>
      <w:r>
        <w:lastRenderedPageBreak/>
        <w:t>Application request as a significant modifi</w:t>
      </w:r>
      <w:r w:rsidR="009C209E">
        <w:softHyphen/>
      </w:r>
      <w:r>
        <w:t>cation to the Company’s EE Portfolio Plan, but rather an extension of the current cost recovery mechanism with a shared sav</w:t>
      </w:r>
      <w:r w:rsidR="00E64487">
        <w:softHyphen/>
      </w:r>
      <w:r>
        <w:t xml:space="preserve">ings provision.  </w:t>
      </w:r>
      <w:r w:rsidR="00305781">
        <w:t>T</w:t>
      </w:r>
      <w:r>
        <w:t xml:space="preserve">he </w:t>
      </w:r>
      <w:r w:rsidR="00305781">
        <w:t xml:space="preserve">Company’s EE Portfolio Plan and incentive mechanism </w:t>
      </w:r>
      <w:r>
        <w:t>was contemplated</w:t>
      </w:r>
      <w:r w:rsidR="00AA4E9D">
        <w:t xml:space="preserve"> and approved</w:t>
      </w:r>
      <w:r w:rsidR="00E53D1E">
        <w:t xml:space="preserve"> </w:t>
      </w:r>
      <w:r w:rsidR="005B77BD">
        <w:t>by the Commission</w:t>
      </w:r>
      <w:r>
        <w:t xml:space="preserve"> long before S</w:t>
      </w:r>
      <w:r w:rsidR="00DC0D04">
        <w:t>enate Bill 310 was adopted</w:t>
      </w:r>
      <w:r w:rsidR="001A3A59">
        <w:t xml:space="preserve">. </w:t>
      </w:r>
      <w:r w:rsidR="00C81A44">
        <w:t xml:space="preserve"> </w:t>
      </w:r>
      <w:r w:rsidR="001A3A59">
        <w:t>The</w:t>
      </w:r>
      <w:r w:rsidR="008C7DC8">
        <w:t>refore, the</w:t>
      </w:r>
      <w:r w:rsidR="001A3A59">
        <w:t xml:space="preserve"> Company should be able to recover the costs </w:t>
      </w:r>
      <w:r w:rsidR="00B31291">
        <w:t xml:space="preserve">necessary </w:t>
      </w:r>
      <w:r w:rsidR="001A3A59">
        <w:t>to effectuate the Plan.</w:t>
      </w:r>
    </w:p>
    <w:p w14:paraId="34F42809" w14:textId="02E63D21" w:rsidR="00914C58" w:rsidRPr="00914C58" w:rsidRDefault="00914C58" w:rsidP="00D6578A">
      <w:pPr>
        <w:pStyle w:val="Textstyle"/>
        <w:rPr>
          <w:szCs w:val="26"/>
        </w:rPr>
      </w:pPr>
      <w:r>
        <w:tab/>
        <w:t xml:space="preserve">If the Commission were to approve the Company’s request for an extension of the cost recovery and a </w:t>
      </w:r>
      <w:r>
        <w:lastRenderedPageBreak/>
        <w:t>shared sa</w:t>
      </w:r>
      <w:r w:rsidR="004F5661">
        <w:t xml:space="preserve">vings mechanism for 2016, Staff </w:t>
      </w:r>
      <w:r>
        <w:t>rec</w:t>
      </w:r>
      <w:r w:rsidR="00E64487">
        <w:softHyphen/>
      </w:r>
      <w:r>
        <w:t>ommend</w:t>
      </w:r>
      <w:r w:rsidR="004F5661">
        <w:t>s</w:t>
      </w:r>
      <w:r>
        <w:t xml:space="preserve"> the following modifications to the </w:t>
      </w:r>
      <w:r w:rsidRPr="00914C58">
        <w:rPr>
          <w:szCs w:val="26"/>
        </w:rPr>
        <w:t>Company’s Plan</w:t>
      </w:r>
      <w:r w:rsidR="000158A3">
        <w:rPr>
          <w:szCs w:val="26"/>
        </w:rPr>
        <w:t>:</w:t>
      </w:r>
    </w:p>
    <w:p w14:paraId="15B0A2C3" w14:textId="7060E3FE" w:rsidR="00914C58" w:rsidRPr="00914C58" w:rsidRDefault="00B31291" w:rsidP="00914C58">
      <w:pPr>
        <w:pStyle w:val="ListParagraph"/>
        <w:numPr>
          <w:ilvl w:val="1"/>
          <w:numId w:val="7"/>
        </w:numPr>
        <w:spacing w:after="0" w:line="480" w:lineRule="auto"/>
        <w:ind w:hanging="720"/>
        <w:contextualSpacing w:val="0"/>
        <w:rPr>
          <w:rFonts w:ascii="Times New Roman" w:hAnsi="Times New Roman" w:cs="Times New Roman"/>
          <w:sz w:val="26"/>
          <w:szCs w:val="26"/>
        </w:rPr>
      </w:pPr>
      <w:r>
        <w:rPr>
          <w:rFonts w:ascii="Times New Roman" w:hAnsi="Times New Roman" w:cs="Times New Roman"/>
          <w:sz w:val="26"/>
          <w:szCs w:val="26"/>
        </w:rPr>
        <w:t>T</w:t>
      </w:r>
      <w:r w:rsidR="00914C58" w:rsidRPr="00914C58">
        <w:rPr>
          <w:rFonts w:ascii="Times New Roman" w:hAnsi="Times New Roman" w:cs="Times New Roman"/>
          <w:sz w:val="26"/>
          <w:szCs w:val="26"/>
        </w:rPr>
        <w:t>he Company should not be allowed to use</w:t>
      </w:r>
      <w:r w:rsidR="004C09E7">
        <w:rPr>
          <w:rFonts w:ascii="Times New Roman" w:hAnsi="Times New Roman" w:cs="Times New Roman"/>
          <w:sz w:val="26"/>
          <w:szCs w:val="26"/>
        </w:rPr>
        <w:t xml:space="preserve"> accrued</w:t>
      </w:r>
      <w:r w:rsidR="00914C58" w:rsidRPr="00914C58">
        <w:rPr>
          <w:rFonts w:ascii="Times New Roman" w:hAnsi="Times New Roman" w:cs="Times New Roman"/>
          <w:sz w:val="26"/>
          <w:szCs w:val="26"/>
        </w:rPr>
        <w:t xml:space="preserve"> banked savings</w:t>
      </w:r>
      <w:r w:rsidR="00BB3E4B">
        <w:rPr>
          <w:rFonts w:ascii="Times New Roman" w:hAnsi="Times New Roman" w:cs="Times New Roman"/>
          <w:sz w:val="26"/>
          <w:szCs w:val="26"/>
        </w:rPr>
        <w:t xml:space="preserve"> </w:t>
      </w:r>
      <w:r w:rsidR="00390126">
        <w:rPr>
          <w:rFonts w:ascii="Times New Roman" w:hAnsi="Times New Roman" w:cs="Times New Roman"/>
          <w:sz w:val="26"/>
          <w:szCs w:val="26"/>
        </w:rPr>
        <w:t xml:space="preserve">to earn </w:t>
      </w:r>
      <w:r w:rsidR="00914C58" w:rsidRPr="00914C58">
        <w:rPr>
          <w:rFonts w:ascii="Times New Roman" w:hAnsi="Times New Roman" w:cs="Times New Roman"/>
          <w:sz w:val="26"/>
          <w:szCs w:val="26"/>
        </w:rPr>
        <w:t xml:space="preserve">shared savings in a future year.  The primary purpose of </w:t>
      </w:r>
      <w:r w:rsidR="00E53D1E">
        <w:rPr>
          <w:rFonts w:ascii="Times New Roman" w:hAnsi="Times New Roman" w:cs="Times New Roman"/>
          <w:sz w:val="26"/>
          <w:szCs w:val="26"/>
        </w:rPr>
        <w:t>allowing the use of banked savings to meet energy efficiency requirements, is to provide recog</w:t>
      </w:r>
      <w:r w:rsidR="009C209E">
        <w:rPr>
          <w:rFonts w:ascii="Times New Roman" w:hAnsi="Times New Roman" w:cs="Times New Roman"/>
          <w:sz w:val="26"/>
          <w:szCs w:val="26"/>
        </w:rPr>
        <w:softHyphen/>
      </w:r>
      <w:r w:rsidR="00E53D1E">
        <w:rPr>
          <w:rFonts w:ascii="Times New Roman" w:hAnsi="Times New Roman" w:cs="Times New Roman"/>
          <w:sz w:val="26"/>
          <w:szCs w:val="26"/>
        </w:rPr>
        <w:t xml:space="preserve">nition that the currently required energy efficiency savings have already been achieved by the Company in a </w:t>
      </w:r>
      <w:r w:rsidR="00E53D1E">
        <w:rPr>
          <w:rFonts w:ascii="Times New Roman" w:hAnsi="Times New Roman" w:cs="Times New Roman"/>
          <w:i/>
          <w:sz w:val="26"/>
          <w:szCs w:val="26"/>
        </w:rPr>
        <w:t xml:space="preserve">prior </w:t>
      </w:r>
      <w:r w:rsidR="00E53D1E">
        <w:rPr>
          <w:rFonts w:ascii="Times New Roman" w:hAnsi="Times New Roman" w:cs="Times New Roman"/>
          <w:sz w:val="26"/>
          <w:szCs w:val="26"/>
        </w:rPr>
        <w:t xml:space="preserve">period. This has </w:t>
      </w:r>
      <w:r w:rsidR="00E53D1E">
        <w:rPr>
          <w:rFonts w:ascii="Times New Roman" w:hAnsi="Times New Roman" w:cs="Times New Roman"/>
          <w:sz w:val="26"/>
          <w:szCs w:val="26"/>
        </w:rPr>
        <w:lastRenderedPageBreak/>
        <w:t xml:space="preserve">no relationship to the purpose of shared savings, which is to incentivize the Company to optimize its implementation of its portfolio plan in the </w:t>
      </w:r>
      <w:r w:rsidR="00E53D1E">
        <w:rPr>
          <w:rFonts w:ascii="Times New Roman" w:hAnsi="Times New Roman" w:cs="Times New Roman"/>
          <w:i/>
          <w:sz w:val="26"/>
          <w:szCs w:val="26"/>
        </w:rPr>
        <w:t xml:space="preserve">current </w:t>
      </w:r>
      <w:r w:rsidR="00E53D1E">
        <w:rPr>
          <w:rFonts w:ascii="Times New Roman" w:hAnsi="Times New Roman" w:cs="Times New Roman"/>
          <w:sz w:val="26"/>
          <w:szCs w:val="26"/>
        </w:rPr>
        <w:t xml:space="preserve">period. </w:t>
      </w:r>
      <w:r w:rsidR="00E9092F">
        <w:rPr>
          <w:rFonts w:ascii="Times New Roman" w:hAnsi="Times New Roman" w:cs="Times New Roman"/>
          <w:sz w:val="26"/>
          <w:szCs w:val="26"/>
        </w:rPr>
        <w:t xml:space="preserve"> </w:t>
      </w:r>
      <w:r w:rsidR="00E678C5">
        <w:rPr>
          <w:rFonts w:ascii="Times New Roman" w:hAnsi="Times New Roman" w:cs="Times New Roman"/>
          <w:sz w:val="26"/>
          <w:szCs w:val="26"/>
        </w:rPr>
        <w:t xml:space="preserve">Therefore, in </w:t>
      </w:r>
      <w:r w:rsidR="00914C58" w:rsidRPr="00914C58">
        <w:rPr>
          <w:rFonts w:ascii="Times New Roman" w:hAnsi="Times New Roman" w:cs="Times New Roman"/>
          <w:sz w:val="26"/>
          <w:szCs w:val="26"/>
        </w:rPr>
        <w:t>2014 and going forward</w:t>
      </w:r>
      <w:r w:rsidR="00E678C5">
        <w:rPr>
          <w:rFonts w:ascii="Times New Roman" w:hAnsi="Times New Roman" w:cs="Times New Roman"/>
          <w:sz w:val="26"/>
          <w:szCs w:val="26"/>
        </w:rPr>
        <w:t xml:space="preserve">, the Company should </w:t>
      </w:r>
      <w:r w:rsidR="004C09E7">
        <w:rPr>
          <w:rFonts w:ascii="Times New Roman" w:hAnsi="Times New Roman" w:cs="Times New Roman"/>
          <w:sz w:val="26"/>
          <w:szCs w:val="26"/>
        </w:rPr>
        <w:t>only be able to use banked savings to satisfy energy efficiency mandates, not to</w:t>
      </w:r>
      <w:r w:rsidR="003F1AFD">
        <w:rPr>
          <w:rFonts w:ascii="Times New Roman" w:hAnsi="Times New Roman" w:cs="Times New Roman"/>
          <w:sz w:val="26"/>
          <w:szCs w:val="26"/>
        </w:rPr>
        <w:t xml:space="preserve"> achieve additional</w:t>
      </w:r>
      <w:r w:rsidR="004C09E7">
        <w:rPr>
          <w:rFonts w:ascii="Times New Roman" w:hAnsi="Times New Roman" w:cs="Times New Roman"/>
          <w:sz w:val="26"/>
          <w:szCs w:val="26"/>
        </w:rPr>
        <w:t xml:space="preserve"> </w:t>
      </w:r>
      <w:r w:rsidR="00E678C5">
        <w:rPr>
          <w:rFonts w:ascii="Times New Roman" w:hAnsi="Times New Roman" w:cs="Times New Roman"/>
          <w:sz w:val="26"/>
          <w:szCs w:val="26"/>
        </w:rPr>
        <w:t>recover</w:t>
      </w:r>
      <w:r w:rsidR="003F1AFD">
        <w:rPr>
          <w:rFonts w:ascii="Times New Roman" w:hAnsi="Times New Roman" w:cs="Times New Roman"/>
          <w:sz w:val="26"/>
          <w:szCs w:val="26"/>
        </w:rPr>
        <w:t>y</w:t>
      </w:r>
      <w:r w:rsidR="00E678C5">
        <w:rPr>
          <w:rFonts w:ascii="Times New Roman" w:hAnsi="Times New Roman" w:cs="Times New Roman"/>
          <w:sz w:val="26"/>
          <w:szCs w:val="26"/>
        </w:rPr>
        <w:t xml:space="preserve"> u</w:t>
      </w:r>
      <w:r w:rsidR="003F1AFD">
        <w:rPr>
          <w:rFonts w:ascii="Times New Roman" w:hAnsi="Times New Roman" w:cs="Times New Roman"/>
          <w:sz w:val="26"/>
          <w:szCs w:val="26"/>
        </w:rPr>
        <w:t>nder the shared savings</w:t>
      </w:r>
      <w:r w:rsidR="00E678C5">
        <w:rPr>
          <w:rFonts w:ascii="Times New Roman" w:hAnsi="Times New Roman" w:cs="Times New Roman"/>
          <w:sz w:val="26"/>
          <w:szCs w:val="26"/>
        </w:rPr>
        <w:t xml:space="preserve"> mechanism</w:t>
      </w:r>
      <w:r w:rsidR="00914C58" w:rsidRPr="00914C58">
        <w:rPr>
          <w:rFonts w:ascii="Times New Roman" w:hAnsi="Times New Roman" w:cs="Times New Roman"/>
          <w:sz w:val="26"/>
          <w:szCs w:val="26"/>
        </w:rPr>
        <w:t xml:space="preserve">.  </w:t>
      </w:r>
      <w:r w:rsidR="0079302F">
        <w:rPr>
          <w:rFonts w:ascii="Times New Roman" w:hAnsi="Times New Roman" w:cs="Times New Roman"/>
          <w:sz w:val="26"/>
          <w:szCs w:val="26"/>
        </w:rPr>
        <w:t xml:space="preserve">Staff </w:t>
      </w:r>
      <w:r w:rsidR="00BB3E4B">
        <w:rPr>
          <w:rFonts w:ascii="Times New Roman" w:hAnsi="Times New Roman" w:cs="Times New Roman"/>
          <w:sz w:val="26"/>
          <w:szCs w:val="26"/>
        </w:rPr>
        <w:t xml:space="preserve">notes that it </w:t>
      </w:r>
      <w:r w:rsidR="0079302F">
        <w:rPr>
          <w:rFonts w:ascii="Times New Roman" w:hAnsi="Times New Roman" w:cs="Times New Roman"/>
          <w:sz w:val="26"/>
          <w:szCs w:val="26"/>
        </w:rPr>
        <w:t>made this same recommendation in</w:t>
      </w:r>
      <w:r w:rsidR="004C09E7">
        <w:rPr>
          <w:rFonts w:ascii="Times New Roman" w:hAnsi="Times New Roman" w:cs="Times New Roman"/>
          <w:sz w:val="26"/>
          <w:szCs w:val="26"/>
        </w:rPr>
        <w:t xml:space="preserve"> </w:t>
      </w:r>
      <w:r w:rsidR="00914C58" w:rsidRPr="00914C58">
        <w:rPr>
          <w:rFonts w:ascii="Times New Roman" w:hAnsi="Times New Roman" w:cs="Times New Roman"/>
          <w:sz w:val="26"/>
          <w:szCs w:val="26"/>
        </w:rPr>
        <w:t xml:space="preserve">Staff’s Policy Proposal </w:t>
      </w:r>
      <w:r w:rsidR="00E64487" w:rsidRPr="00914C58">
        <w:rPr>
          <w:rFonts w:ascii="Times New Roman" w:hAnsi="Times New Roman" w:cs="Times New Roman"/>
          <w:sz w:val="26"/>
          <w:szCs w:val="26"/>
        </w:rPr>
        <w:t>for</w:t>
      </w:r>
      <w:r w:rsidR="00914C58" w:rsidRPr="00914C58">
        <w:rPr>
          <w:rFonts w:ascii="Times New Roman" w:hAnsi="Times New Roman" w:cs="Times New Roman"/>
          <w:sz w:val="26"/>
          <w:szCs w:val="26"/>
        </w:rPr>
        <w:t xml:space="preserve"> </w:t>
      </w:r>
      <w:r w:rsidR="00914C58" w:rsidRPr="00914C58">
        <w:rPr>
          <w:rFonts w:ascii="Times New Roman" w:hAnsi="Times New Roman" w:cs="Times New Roman"/>
          <w:sz w:val="26"/>
          <w:szCs w:val="26"/>
        </w:rPr>
        <w:lastRenderedPageBreak/>
        <w:t>Incentiviz</w:t>
      </w:r>
      <w:r w:rsidR="00E64487">
        <w:rPr>
          <w:rFonts w:ascii="Times New Roman" w:hAnsi="Times New Roman" w:cs="Times New Roman"/>
          <w:sz w:val="26"/>
          <w:szCs w:val="26"/>
        </w:rPr>
        <w:softHyphen/>
      </w:r>
      <w:r w:rsidR="00914C58" w:rsidRPr="00914C58">
        <w:rPr>
          <w:rFonts w:ascii="Times New Roman" w:hAnsi="Times New Roman" w:cs="Times New Roman"/>
          <w:sz w:val="26"/>
          <w:szCs w:val="26"/>
        </w:rPr>
        <w:t>ing Utility Energy Efficiency Performance in First Energy’s EE Portfolio Case in 2011.</w:t>
      </w:r>
    </w:p>
    <w:p w14:paraId="3460BCE0" w14:textId="14B88072" w:rsidR="00914C58" w:rsidRPr="00914C58" w:rsidRDefault="00914C58" w:rsidP="00914C58">
      <w:pPr>
        <w:pStyle w:val="ListParagraph"/>
        <w:numPr>
          <w:ilvl w:val="1"/>
          <w:numId w:val="7"/>
        </w:numPr>
        <w:spacing w:after="0" w:line="480" w:lineRule="auto"/>
        <w:ind w:hanging="720"/>
        <w:contextualSpacing w:val="0"/>
        <w:rPr>
          <w:rFonts w:ascii="Times New Roman" w:hAnsi="Times New Roman" w:cs="Times New Roman"/>
          <w:sz w:val="26"/>
          <w:szCs w:val="26"/>
        </w:rPr>
      </w:pPr>
      <w:r w:rsidRPr="00914C58">
        <w:rPr>
          <w:rFonts w:ascii="Times New Roman" w:hAnsi="Times New Roman" w:cs="Times New Roman"/>
          <w:sz w:val="26"/>
          <w:szCs w:val="26"/>
        </w:rPr>
        <w:t xml:space="preserve">The Staff </w:t>
      </w:r>
      <w:r w:rsidR="00DA1D86">
        <w:rPr>
          <w:rFonts w:ascii="Times New Roman" w:hAnsi="Times New Roman" w:cs="Times New Roman"/>
          <w:sz w:val="26"/>
          <w:szCs w:val="26"/>
        </w:rPr>
        <w:t xml:space="preserve">also </w:t>
      </w:r>
      <w:r w:rsidR="00BB3E4B">
        <w:rPr>
          <w:rFonts w:ascii="Times New Roman" w:hAnsi="Times New Roman" w:cs="Times New Roman"/>
          <w:sz w:val="26"/>
          <w:szCs w:val="26"/>
        </w:rPr>
        <w:t xml:space="preserve">recommends </w:t>
      </w:r>
      <w:r w:rsidRPr="00914C58">
        <w:rPr>
          <w:rFonts w:ascii="Times New Roman" w:hAnsi="Times New Roman" w:cs="Times New Roman"/>
          <w:sz w:val="26"/>
          <w:szCs w:val="26"/>
        </w:rPr>
        <w:t xml:space="preserve">the Commission </w:t>
      </w:r>
      <w:r w:rsidR="00467B77">
        <w:rPr>
          <w:rFonts w:ascii="Times New Roman" w:hAnsi="Times New Roman" w:cs="Times New Roman"/>
          <w:sz w:val="26"/>
          <w:szCs w:val="26"/>
        </w:rPr>
        <w:t>apply a shared savings cap of $6.5</w:t>
      </w:r>
      <w:r w:rsidRPr="00914C58">
        <w:rPr>
          <w:rFonts w:ascii="Times New Roman" w:hAnsi="Times New Roman" w:cs="Times New Roman"/>
          <w:sz w:val="26"/>
          <w:szCs w:val="26"/>
        </w:rPr>
        <w:t xml:space="preserve"> million per year after tax</w:t>
      </w:r>
      <w:r w:rsidR="00CA450D">
        <w:rPr>
          <w:rFonts w:ascii="Times New Roman" w:hAnsi="Times New Roman" w:cs="Times New Roman"/>
          <w:sz w:val="26"/>
          <w:szCs w:val="26"/>
        </w:rPr>
        <w:t>.</w:t>
      </w:r>
      <w:r w:rsidRPr="00914C58">
        <w:rPr>
          <w:rFonts w:ascii="Times New Roman" w:hAnsi="Times New Roman" w:cs="Times New Roman"/>
          <w:sz w:val="26"/>
          <w:szCs w:val="26"/>
        </w:rPr>
        <w:t xml:space="preserve"> </w:t>
      </w:r>
      <w:r w:rsidR="009D713D">
        <w:rPr>
          <w:rFonts w:ascii="Times New Roman" w:hAnsi="Times New Roman" w:cs="Times New Roman"/>
          <w:sz w:val="26"/>
          <w:szCs w:val="26"/>
        </w:rPr>
        <w:t>Unlike</w:t>
      </w:r>
      <w:r w:rsidR="00BA17E4">
        <w:rPr>
          <w:rFonts w:ascii="Times New Roman" w:hAnsi="Times New Roman" w:cs="Times New Roman"/>
          <w:sz w:val="26"/>
          <w:szCs w:val="26"/>
        </w:rPr>
        <w:t xml:space="preserve"> </w:t>
      </w:r>
      <w:r w:rsidR="009D713D">
        <w:rPr>
          <w:rFonts w:ascii="Times New Roman" w:hAnsi="Times New Roman" w:cs="Times New Roman"/>
          <w:sz w:val="26"/>
          <w:szCs w:val="26"/>
        </w:rPr>
        <w:t xml:space="preserve">the other electric utilities in the State, </w:t>
      </w:r>
      <w:r w:rsidR="009D713D" w:rsidRPr="009D713D">
        <w:rPr>
          <w:rFonts w:ascii="Times New Roman" w:hAnsi="Times New Roman" w:cs="Times New Roman"/>
          <w:sz w:val="26"/>
          <w:szCs w:val="26"/>
        </w:rPr>
        <w:t>Duke</w:t>
      </w:r>
      <w:r w:rsidR="009D713D">
        <w:rPr>
          <w:rFonts w:ascii="Times New Roman" w:hAnsi="Times New Roman" w:cs="Times New Roman"/>
          <w:sz w:val="26"/>
          <w:szCs w:val="26"/>
        </w:rPr>
        <w:t xml:space="preserve"> currently does not have a cap for</w:t>
      </w:r>
      <w:r w:rsidR="00BA17E4">
        <w:rPr>
          <w:rFonts w:ascii="Times New Roman" w:hAnsi="Times New Roman" w:cs="Times New Roman"/>
          <w:sz w:val="26"/>
          <w:szCs w:val="26"/>
        </w:rPr>
        <w:t xml:space="preserve"> its shared savings recovery. </w:t>
      </w:r>
      <w:r w:rsidR="00E9092F">
        <w:rPr>
          <w:rFonts w:ascii="Times New Roman" w:hAnsi="Times New Roman" w:cs="Times New Roman"/>
          <w:sz w:val="26"/>
          <w:szCs w:val="26"/>
        </w:rPr>
        <w:t xml:space="preserve"> </w:t>
      </w:r>
      <w:r w:rsidR="00BA17E4">
        <w:rPr>
          <w:rFonts w:ascii="Times New Roman" w:hAnsi="Times New Roman" w:cs="Times New Roman"/>
          <w:sz w:val="26"/>
          <w:szCs w:val="26"/>
        </w:rPr>
        <w:t>A $</w:t>
      </w:r>
      <w:r w:rsidR="00467B77">
        <w:rPr>
          <w:rFonts w:ascii="Times New Roman" w:hAnsi="Times New Roman" w:cs="Times New Roman"/>
          <w:sz w:val="26"/>
          <w:szCs w:val="26"/>
        </w:rPr>
        <w:t>6.</w:t>
      </w:r>
      <w:r w:rsidR="00BA17E4">
        <w:rPr>
          <w:rFonts w:ascii="Times New Roman" w:hAnsi="Times New Roman" w:cs="Times New Roman"/>
          <w:sz w:val="26"/>
          <w:szCs w:val="26"/>
        </w:rPr>
        <w:t>5</w:t>
      </w:r>
      <w:r w:rsidR="009D713D">
        <w:rPr>
          <w:rFonts w:ascii="Times New Roman" w:hAnsi="Times New Roman" w:cs="Times New Roman"/>
          <w:sz w:val="26"/>
          <w:szCs w:val="26"/>
        </w:rPr>
        <w:t xml:space="preserve"> million cap</w:t>
      </w:r>
      <w:r w:rsidRPr="00914C58">
        <w:rPr>
          <w:rFonts w:ascii="Times New Roman" w:hAnsi="Times New Roman" w:cs="Times New Roman"/>
          <w:sz w:val="26"/>
          <w:szCs w:val="26"/>
        </w:rPr>
        <w:t xml:space="preserve"> would limit </w:t>
      </w:r>
      <w:r w:rsidR="00DA1D86">
        <w:rPr>
          <w:rFonts w:ascii="Times New Roman" w:hAnsi="Times New Roman" w:cs="Times New Roman"/>
          <w:sz w:val="26"/>
          <w:szCs w:val="26"/>
        </w:rPr>
        <w:t xml:space="preserve">Duke </w:t>
      </w:r>
      <w:r w:rsidRPr="00914C58">
        <w:rPr>
          <w:rFonts w:ascii="Times New Roman" w:hAnsi="Times New Roman" w:cs="Times New Roman"/>
          <w:sz w:val="26"/>
          <w:szCs w:val="26"/>
        </w:rPr>
        <w:t>customer</w:t>
      </w:r>
      <w:r w:rsidR="00CA450D">
        <w:rPr>
          <w:rFonts w:ascii="Times New Roman" w:hAnsi="Times New Roman" w:cs="Times New Roman"/>
          <w:sz w:val="26"/>
          <w:szCs w:val="26"/>
        </w:rPr>
        <w:t>s’</w:t>
      </w:r>
      <w:r w:rsidRPr="00914C58">
        <w:rPr>
          <w:rFonts w:ascii="Times New Roman" w:hAnsi="Times New Roman" w:cs="Times New Roman"/>
          <w:sz w:val="26"/>
          <w:szCs w:val="26"/>
        </w:rPr>
        <w:t xml:space="preserve"> exposure to</w:t>
      </w:r>
      <w:r w:rsidR="00CA450D">
        <w:rPr>
          <w:rFonts w:ascii="Times New Roman" w:hAnsi="Times New Roman" w:cs="Times New Roman"/>
          <w:sz w:val="26"/>
          <w:szCs w:val="26"/>
        </w:rPr>
        <w:t xml:space="preserve"> unlimited shared sav</w:t>
      </w:r>
      <w:r w:rsidR="009C209E">
        <w:rPr>
          <w:rFonts w:ascii="Times New Roman" w:hAnsi="Times New Roman" w:cs="Times New Roman"/>
          <w:sz w:val="26"/>
          <w:szCs w:val="26"/>
        </w:rPr>
        <w:softHyphen/>
      </w:r>
      <w:r w:rsidR="00CA450D">
        <w:rPr>
          <w:rFonts w:ascii="Times New Roman" w:hAnsi="Times New Roman" w:cs="Times New Roman"/>
          <w:sz w:val="26"/>
          <w:szCs w:val="26"/>
        </w:rPr>
        <w:t>ings</w:t>
      </w:r>
      <w:r w:rsidR="009D713D">
        <w:rPr>
          <w:rFonts w:ascii="Times New Roman" w:hAnsi="Times New Roman" w:cs="Times New Roman"/>
          <w:sz w:val="26"/>
          <w:szCs w:val="26"/>
        </w:rPr>
        <w:t xml:space="preserve"> recovery </w:t>
      </w:r>
      <w:r w:rsidR="009D713D">
        <w:rPr>
          <w:rFonts w:ascii="Times New Roman" w:hAnsi="Times New Roman" w:cs="Times New Roman"/>
          <w:sz w:val="26"/>
          <w:szCs w:val="26"/>
        </w:rPr>
        <w:lastRenderedPageBreak/>
        <w:t xml:space="preserve">by the Company and </w:t>
      </w:r>
      <w:r w:rsidRPr="00914C58">
        <w:rPr>
          <w:rFonts w:ascii="Times New Roman" w:hAnsi="Times New Roman" w:cs="Times New Roman"/>
          <w:sz w:val="26"/>
          <w:szCs w:val="26"/>
        </w:rPr>
        <w:t xml:space="preserve">would be in alignment with </w:t>
      </w:r>
      <w:r w:rsidR="009D713D">
        <w:rPr>
          <w:rFonts w:ascii="Times New Roman" w:hAnsi="Times New Roman" w:cs="Times New Roman"/>
          <w:sz w:val="26"/>
          <w:szCs w:val="26"/>
        </w:rPr>
        <w:t>the other Ohio EDU</w:t>
      </w:r>
      <w:r w:rsidR="00BB3E4B">
        <w:rPr>
          <w:rFonts w:ascii="Times New Roman" w:hAnsi="Times New Roman" w:cs="Times New Roman"/>
          <w:sz w:val="26"/>
          <w:szCs w:val="26"/>
        </w:rPr>
        <w:t xml:space="preserve">s. </w:t>
      </w:r>
      <w:r w:rsidR="00D6578A">
        <w:rPr>
          <w:rFonts w:ascii="Times New Roman" w:hAnsi="Times New Roman" w:cs="Times New Roman"/>
          <w:sz w:val="26"/>
          <w:szCs w:val="26"/>
        </w:rPr>
        <w:t xml:space="preserve"> </w:t>
      </w:r>
      <w:r w:rsidR="00BA17E4">
        <w:rPr>
          <w:rFonts w:ascii="Times New Roman" w:hAnsi="Times New Roman" w:cs="Times New Roman"/>
          <w:sz w:val="26"/>
          <w:szCs w:val="26"/>
        </w:rPr>
        <w:t xml:space="preserve">Staff </w:t>
      </w:r>
      <w:r w:rsidR="00467B77">
        <w:rPr>
          <w:rFonts w:ascii="Times New Roman" w:hAnsi="Times New Roman" w:cs="Times New Roman"/>
          <w:sz w:val="26"/>
          <w:szCs w:val="26"/>
        </w:rPr>
        <w:t>calculated this recommended $6.5 million annual cap by taking the weighted average</w:t>
      </w:r>
      <w:r w:rsidR="00D1626B">
        <w:rPr>
          <w:rFonts w:ascii="Times New Roman" w:hAnsi="Times New Roman" w:cs="Times New Roman"/>
          <w:sz w:val="26"/>
          <w:szCs w:val="26"/>
        </w:rPr>
        <w:t xml:space="preserve"> of FirstEnergy, AEP Ohio, and DP&amp;L’s approved shared savings cap based on </w:t>
      </w:r>
      <w:r w:rsidR="00467B77">
        <w:rPr>
          <w:rFonts w:ascii="Times New Roman" w:hAnsi="Times New Roman" w:cs="Times New Roman"/>
          <w:sz w:val="26"/>
          <w:szCs w:val="26"/>
        </w:rPr>
        <w:t>the</w:t>
      </w:r>
      <w:r w:rsidR="00D1626B">
        <w:rPr>
          <w:rFonts w:ascii="Times New Roman" w:hAnsi="Times New Roman" w:cs="Times New Roman"/>
          <w:sz w:val="26"/>
          <w:szCs w:val="26"/>
        </w:rPr>
        <w:t xml:space="preserve"> adjusted baseline sales for First</w:t>
      </w:r>
      <w:r w:rsidR="00467B77">
        <w:rPr>
          <w:rFonts w:ascii="Times New Roman" w:hAnsi="Times New Roman" w:cs="Times New Roman"/>
          <w:sz w:val="26"/>
          <w:szCs w:val="26"/>
        </w:rPr>
        <w:t xml:space="preserve">Energy, AEP Ohio, and DP&amp;L for the most recent three year period. </w:t>
      </w:r>
    </w:p>
    <w:p w14:paraId="2D00F140" w14:textId="77777777" w:rsidR="00200A0A" w:rsidRPr="0064436A" w:rsidRDefault="00200A0A" w:rsidP="00914C58">
      <w:pPr>
        <w:tabs>
          <w:tab w:val="left" w:pos="9348"/>
        </w:tabs>
        <w:spacing w:line="480" w:lineRule="auto"/>
        <w:ind w:left="4680"/>
        <w:rPr>
          <w:sz w:val="26"/>
          <w:szCs w:val="26"/>
        </w:rPr>
      </w:pPr>
      <w:r w:rsidRPr="0064436A">
        <w:rPr>
          <w:sz w:val="26"/>
          <w:szCs w:val="26"/>
        </w:rPr>
        <w:t>Respectfully submitted,</w:t>
      </w:r>
    </w:p>
    <w:p w14:paraId="1833E9B6" w14:textId="77777777" w:rsidR="00200A0A" w:rsidRPr="0064436A" w:rsidRDefault="00C90964" w:rsidP="00914C58">
      <w:pPr>
        <w:tabs>
          <w:tab w:val="left" w:pos="9348"/>
        </w:tabs>
        <w:ind w:left="4680"/>
        <w:rPr>
          <w:sz w:val="26"/>
          <w:szCs w:val="26"/>
        </w:rPr>
      </w:pPr>
      <w:r>
        <w:rPr>
          <w:b/>
          <w:sz w:val="26"/>
          <w:szCs w:val="26"/>
        </w:rPr>
        <w:t>Michael DeWine</w:t>
      </w:r>
    </w:p>
    <w:p w14:paraId="1A99AD35" w14:textId="77777777" w:rsidR="00200A0A" w:rsidRPr="0064436A" w:rsidRDefault="00200A0A" w:rsidP="00914C58">
      <w:pPr>
        <w:tabs>
          <w:tab w:val="left" w:pos="9348"/>
        </w:tabs>
        <w:ind w:left="4680"/>
        <w:rPr>
          <w:sz w:val="26"/>
          <w:szCs w:val="26"/>
        </w:rPr>
      </w:pPr>
      <w:r w:rsidRPr="0064436A">
        <w:rPr>
          <w:sz w:val="26"/>
          <w:szCs w:val="26"/>
        </w:rPr>
        <w:t>Ohio Attorney General</w:t>
      </w:r>
    </w:p>
    <w:p w14:paraId="149685AD" w14:textId="77777777" w:rsidR="00200A0A" w:rsidRPr="0064436A" w:rsidRDefault="00200A0A" w:rsidP="00914C58">
      <w:pPr>
        <w:tabs>
          <w:tab w:val="left" w:pos="9348"/>
        </w:tabs>
        <w:ind w:left="4680"/>
        <w:rPr>
          <w:sz w:val="26"/>
          <w:szCs w:val="26"/>
        </w:rPr>
      </w:pPr>
    </w:p>
    <w:p w14:paraId="6D92F2E5" w14:textId="77777777" w:rsidR="000753F8" w:rsidRDefault="00BC5B75" w:rsidP="00914C58">
      <w:pPr>
        <w:tabs>
          <w:tab w:val="left" w:pos="9348"/>
        </w:tabs>
        <w:ind w:left="4680"/>
        <w:rPr>
          <w:b/>
          <w:sz w:val="26"/>
          <w:szCs w:val="26"/>
        </w:rPr>
      </w:pPr>
      <w:r>
        <w:rPr>
          <w:b/>
          <w:sz w:val="26"/>
          <w:szCs w:val="26"/>
        </w:rPr>
        <w:t>William L. Wright</w:t>
      </w:r>
    </w:p>
    <w:p w14:paraId="397D2C1C" w14:textId="77777777" w:rsidR="00200A0A" w:rsidRPr="0064436A" w:rsidRDefault="00200A0A" w:rsidP="00914C58">
      <w:pPr>
        <w:tabs>
          <w:tab w:val="left" w:pos="9348"/>
        </w:tabs>
        <w:ind w:left="4680"/>
        <w:rPr>
          <w:sz w:val="26"/>
          <w:szCs w:val="26"/>
        </w:rPr>
      </w:pPr>
      <w:r w:rsidRPr="0064436A">
        <w:rPr>
          <w:sz w:val="26"/>
          <w:szCs w:val="26"/>
        </w:rPr>
        <w:t>Section Chief</w:t>
      </w:r>
    </w:p>
    <w:p w14:paraId="1211FDD3" w14:textId="77777777" w:rsidR="00200A0A" w:rsidRPr="0064436A" w:rsidRDefault="00200A0A" w:rsidP="00914C58">
      <w:pPr>
        <w:tabs>
          <w:tab w:val="left" w:pos="9348"/>
        </w:tabs>
        <w:ind w:left="4680"/>
        <w:rPr>
          <w:sz w:val="26"/>
          <w:szCs w:val="26"/>
        </w:rPr>
      </w:pPr>
    </w:p>
    <w:p w14:paraId="57433E59" w14:textId="776AD453" w:rsidR="00200A0A" w:rsidRPr="0064436A" w:rsidRDefault="00BA17E4" w:rsidP="00914C58">
      <w:pPr>
        <w:tabs>
          <w:tab w:val="left" w:pos="9348"/>
        </w:tabs>
        <w:ind w:left="4680"/>
        <w:rPr>
          <w:sz w:val="26"/>
          <w:szCs w:val="26"/>
          <w:u w:val="single"/>
        </w:rPr>
      </w:pPr>
      <w:r>
        <w:rPr>
          <w:rFonts w:ascii="Viner Hand ITC" w:hAnsi="Viner Hand ITC"/>
          <w:sz w:val="26"/>
          <w:szCs w:val="26"/>
          <w:u w:val="single"/>
        </w:rPr>
        <w:t>/Katie L. Johnson</w:t>
      </w:r>
      <w:r w:rsidR="00200A0A" w:rsidRPr="0064436A">
        <w:rPr>
          <w:sz w:val="26"/>
          <w:szCs w:val="26"/>
          <w:u w:val="single"/>
        </w:rPr>
        <w:tab/>
      </w:r>
    </w:p>
    <w:p w14:paraId="49BBCD19" w14:textId="77777777" w:rsidR="00914C58" w:rsidRDefault="00914C58" w:rsidP="00914C58">
      <w:pPr>
        <w:pStyle w:val="Title"/>
        <w:tabs>
          <w:tab w:val="left" w:pos="4320"/>
        </w:tabs>
        <w:ind w:left="4680"/>
        <w:jc w:val="left"/>
        <w:rPr>
          <w:rFonts w:ascii="Times New Roman" w:hAnsi="Times New Roman"/>
          <w:b/>
          <w:sz w:val="26"/>
          <w:szCs w:val="26"/>
        </w:rPr>
      </w:pPr>
      <w:r>
        <w:rPr>
          <w:rFonts w:ascii="Times New Roman" w:hAnsi="Times New Roman"/>
          <w:b/>
          <w:sz w:val="26"/>
          <w:szCs w:val="26"/>
        </w:rPr>
        <w:t>Katie L. Johnson</w:t>
      </w:r>
    </w:p>
    <w:p w14:paraId="44B82015" w14:textId="77777777" w:rsidR="00914C58" w:rsidRDefault="00914C58" w:rsidP="00914C58">
      <w:pPr>
        <w:pStyle w:val="Title"/>
        <w:tabs>
          <w:tab w:val="left" w:pos="4320"/>
        </w:tabs>
        <w:ind w:left="4680"/>
        <w:jc w:val="left"/>
        <w:rPr>
          <w:rFonts w:ascii="Times New Roman" w:hAnsi="Times New Roman"/>
          <w:b/>
          <w:sz w:val="26"/>
          <w:szCs w:val="26"/>
        </w:rPr>
      </w:pPr>
      <w:r>
        <w:rPr>
          <w:rFonts w:ascii="Times New Roman" w:hAnsi="Times New Roman"/>
          <w:b/>
          <w:sz w:val="26"/>
          <w:szCs w:val="26"/>
        </w:rPr>
        <w:t>John H. Jones</w:t>
      </w:r>
    </w:p>
    <w:p w14:paraId="66B3A3F6" w14:textId="77777777" w:rsidR="00914C58" w:rsidRDefault="00914C58" w:rsidP="00914C58">
      <w:pPr>
        <w:pStyle w:val="Title"/>
        <w:tabs>
          <w:tab w:val="left" w:pos="4320"/>
        </w:tabs>
        <w:ind w:left="4680"/>
        <w:jc w:val="left"/>
        <w:rPr>
          <w:rFonts w:ascii="Times New Roman" w:hAnsi="Times New Roman"/>
          <w:sz w:val="26"/>
          <w:szCs w:val="26"/>
        </w:rPr>
      </w:pPr>
      <w:r>
        <w:rPr>
          <w:rFonts w:ascii="Times New Roman" w:hAnsi="Times New Roman"/>
          <w:sz w:val="26"/>
          <w:szCs w:val="26"/>
        </w:rPr>
        <w:t>Assistant Attorneys General</w:t>
      </w:r>
    </w:p>
    <w:p w14:paraId="14A60882" w14:textId="77777777" w:rsidR="00914C58" w:rsidRDefault="00914C58" w:rsidP="00914C58">
      <w:pPr>
        <w:pStyle w:val="Title"/>
        <w:tabs>
          <w:tab w:val="left" w:pos="4320"/>
        </w:tabs>
        <w:ind w:left="4680"/>
        <w:jc w:val="left"/>
        <w:rPr>
          <w:rFonts w:ascii="Times New Roman" w:hAnsi="Times New Roman"/>
          <w:sz w:val="26"/>
          <w:szCs w:val="26"/>
        </w:rPr>
      </w:pPr>
      <w:r>
        <w:rPr>
          <w:rFonts w:ascii="Times New Roman" w:hAnsi="Times New Roman"/>
          <w:sz w:val="26"/>
          <w:szCs w:val="26"/>
        </w:rPr>
        <w:t>Public Utilities Section</w:t>
      </w:r>
    </w:p>
    <w:p w14:paraId="40A12B88" w14:textId="77777777" w:rsidR="00914C58" w:rsidRDefault="00914C58" w:rsidP="00914C58">
      <w:pPr>
        <w:pStyle w:val="Title"/>
        <w:tabs>
          <w:tab w:val="left" w:pos="4320"/>
        </w:tabs>
        <w:ind w:left="4680"/>
        <w:jc w:val="left"/>
        <w:rPr>
          <w:rFonts w:ascii="Times New Roman" w:hAnsi="Times New Roman"/>
          <w:sz w:val="26"/>
          <w:szCs w:val="26"/>
        </w:rPr>
      </w:pPr>
      <w:r>
        <w:rPr>
          <w:rFonts w:ascii="Times New Roman" w:hAnsi="Times New Roman"/>
          <w:sz w:val="26"/>
          <w:szCs w:val="26"/>
        </w:rPr>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14:paraId="020FE51D" w14:textId="77777777" w:rsidR="00914C58" w:rsidRDefault="00914C58" w:rsidP="00914C58">
      <w:pPr>
        <w:pStyle w:val="Title"/>
        <w:tabs>
          <w:tab w:val="left" w:pos="4320"/>
        </w:tabs>
        <w:ind w:left="4680"/>
        <w:jc w:val="left"/>
        <w:rPr>
          <w:rFonts w:ascii="Times New Roman" w:hAnsi="Times New Roman"/>
          <w:sz w:val="26"/>
          <w:szCs w:val="26"/>
        </w:rPr>
      </w:pPr>
      <w:r>
        <w:rPr>
          <w:rFonts w:ascii="Times New Roman" w:hAnsi="Times New Roman"/>
          <w:sz w:val="26"/>
          <w:szCs w:val="26"/>
        </w:rPr>
        <w:t>Columbus, OH  43215-3793</w:t>
      </w:r>
    </w:p>
    <w:p w14:paraId="36D541CF" w14:textId="77777777" w:rsidR="00914C58" w:rsidRDefault="00914C58" w:rsidP="00914C58">
      <w:pPr>
        <w:pStyle w:val="Title"/>
        <w:tabs>
          <w:tab w:val="left" w:pos="4320"/>
        </w:tabs>
        <w:ind w:left="4680"/>
        <w:jc w:val="left"/>
        <w:rPr>
          <w:rFonts w:ascii="Times New Roman" w:hAnsi="Times New Roman"/>
          <w:sz w:val="26"/>
          <w:szCs w:val="26"/>
        </w:rPr>
      </w:pPr>
      <w:r>
        <w:rPr>
          <w:rFonts w:ascii="Times New Roman" w:hAnsi="Times New Roman"/>
          <w:sz w:val="26"/>
          <w:szCs w:val="26"/>
        </w:rPr>
        <w:t>614.466.4397 (telephone)</w:t>
      </w:r>
    </w:p>
    <w:p w14:paraId="2E4A657D" w14:textId="77777777" w:rsidR="00914C58" w:rsidRDefault="00914C58" w:rsidP="00914C58">
      <w:pPr>
        <w:pStyle w:val="Title"/>
        <w:tabs>
          <w:tab w:val="left" w:pos="4320"/>
        </w:tabs>
        <w:ind w:left="4680"/>
        <w:jc w:val="left"/>
        <w:rPr>
          <w:rFonts w:ascii="Times New Roman" w:hAnsi="Times New Roman"/>
          <w:sz w:val="26"/>
          <w:szCs w:val="26"/>
        </w:rPr>
      </w:pPr>
      <w:r>
        <w:rPr>
          <w:rFonts w:ascii="Times New Roman" w:hAnsi="Times New Roman"/>
          <w:sz w:val="26"/>
          <w:szCs w:val="26"/>
        </w:rPr>
        <w:t>614.644.8764 (fax)</w:t>
      </w:r>
    </w:p>
    <w:p w14:paraId="77243B3B" w14:textId="77777777" w:rsidR="00914C58" w:rsidRDefault="005723C6" w:rsidP="00914C58">
      <w:pPr>
        <w:pStyle w:val="Title"/>
        <w:tabs>
          <w:tab w:val="left" w:pos="4320"/>
        </w:tabs>
        <w:ind w:left="4680"/>
        <w:jc w:val="left"/>
        <w:rPr>
          <w:rFonts w:ascii="Times New Roman" w:hAnsi="Times New Roman"/>
          <w:sz w:val="26"/>
          <w:szCs w:val="26"/>
        </w:rPr>
      </w:pPr>
      <w:hyperlink r:id="rId8" w:history="1">
        <w:r w:rsidR="00914C58" w:rsidRPr="007266EF">
          <w:rPr>
            <w:rStyle w:val="Hyperlink"/>
            <w:rFonts w:ascii="Times New Roman" w:hAnsi="Times New Roman"/>
            <w:sz w:val="26"/>
            <w:szCs w:val="26"/>
          </w:rPr>
          <w:t>katie.johnson@puc.state.oh.us</w:t>
        </w:r>
      </w:hyperlink>
    </w:p>
    <w:p w14:paraId="440149EF" w14:textId="77777777" w:rsidR="00914C58" w:rsidRDefault="005723C6" w:rsidP="00914C58">
      <w:pPr>
        <w:pStyle w:val="Title"/>
        <w:tabs>
          <w:tab w:val="left" w:pos="4320"/>
        </w:tabs>
        <w:ind w:left="4680"/>
        <w:jc w:val="left"/>
        <w:rPr>
          <w:rFonts w:ascii="Times New Roman" w:hAnsi="Times New Roman"/>
          <w:sz w:val="26"/>
          <w:szCs w:val="26"/>
        </w:rPr>
      </w:pPr>
      <w:hyperlink r:id="rId9" w:history="1">
        <w:r w:rsidR="00914C58" w:rsidRPr="007266EF">
          <w:rPr>
            <w:rStyle w:val="Hyperlink"/>
            <w:rFonts w:ascii="Times New Roman" w:hAnsi="Times New Roman"/>
            <w:sz w:val="26"/>
            <w:szCs w:val="26"/>
          </w:rPr>
          <w:t>john.jones@puc.state.oh.us</w:t>
        </w:r>
      </w:hyperlink>
    </w:p>
    <w:p w14:paraId="007E2747" w14:textId="77777777" w:rsidR="00200A0A" w:rsidRDefault="00200A0A" w:rsidP="00914C58">
      <w:pPr>
        <w:tabs>
          <w:tab w:val="left" w:pos="9348"/>
        </w:tabs>
        <w:ind w:left="4680"/>
        <w:rPr>
          <w:b/>
          <w:sz w:val="26"/>
          <w:szCs w:val="26"/>
        </w:rPr>
      </w:pPr>
    </w:p>
    <w:p w14:paraId="02B56CEB" w14:textId="77777777" w:rsidR="00914C58" w:rsidRDefault="00914C58" w:rsidP="00914C58">
      <w:pPr>
        <w:tabs>
          <w:tab w:val="left" w:pos="9348"/>
        </w:tabs>
        <w:ind w:left="4680"/>
        <w:rPr>
          <w:b/>
          <w:sz w:val="26"/>
          <w:szCs w:val="26"/>
        </w:rPr>
      </w:pPr>
      <w:r>
        <w:rPr>
          <w:b/>
          <w:sz w:val="26"/>
          <w:szCs w:val="26"/>
        </w:rPr>
        <w:lastRenderedPageBreak/>
        <w:t>On behalf of the Staff of</w:t>
      </w:r>
    </w:p>
    <w:p w14:paraId="0520279A" w14:textId="77777777" w:rsidR="00914C58" w:rsidRPr="0064436A" w:rsidRDefault="00914C58" w:rsidP="00914C58">
      <w:pPr>
        <w:tabs>
          <w:tab w:val="left" w:pos="9348"/>
        </w:tabs>
        <w:ind w:left="4680"/>
        <w:rPr>
          <w:b/>
          <w:sz w:val="26"/>
          <w:szCs w:val="26"/>
        </w:rPr>
      </w:pPr>
      <w:r>
        <w:rPr>
          <w:b/>
          <w:sz w:val="26"/>
          <w:szCs w:val="26"/>
        </w:rPr>
        <w:t>The Public Utilities Commission of Ohio</w:t>
      </w:r>
    </w:p>
    <w:p w14:paraId="3D9BEEB6" w14:textId="77777777" w:rsidR="00200A0A" w:rsidRPr="00934B92" w:rsidRDefault="00200A0A" w:rsidP="0064436A">
      <w:pPr>
        <w:pStyle w:val="Heading1"/>
      </w:pPr>
      <w:r w:rsidRPr="00955E20">
        <w:br w:type="page"/>
      </w:r>
      <w:bookmarkStart w:id="16" w:name="_Toc205862526"/>
      <w:bookmarkStart w:id="17" w:name="_Toc260212964"/>
      <w:r w:rsidR="00C95499" w:rsidRPr="00934B92">
        <w:rPr>
          <w:caps w:val="0"/>
        </w:rPr>
        <w:lastRenderedPageBreak/>
        <w:t>PROOF OF SERVICE</w:t>
      </w:r>
      <w:bookmarkEnd w:id="16"/>
      <w:bookmarkEnd w:id="17"/>
    </w:p>
    <w:p w14:paraId="22218A51" w14:textId="215EF1EA" w:rsidR="00200A0A" w:rsidRPr="00934B92" w:rsidRDefault="0064436A" w:rsidP="00D6578A">
      <w:pPr>
        <w:pStyle w:val="Textstyle"/>
      </w:pPr>
      <w:r>
        <w:tab/>
      </w:r>
      <w:r w:rsidR="00200A0A" w:rsidRPr="00934B92">
        <w:t xml:space="preserve">I hereby certify that a true copy of the foregoing </w:t>
      </w:r>
      <w:r w:rsidR="00914C58">
        <w:rPr>
          <w:b/>
        </w:rPr>
        <w:t xml:space="preserve">Reply Comments </w:t>
      </w:r>
      <w:r w:rsidR="00200A0A" w:rsidRPr="00934B92">
        <w:t>submitted on behalf of the Staff of the Publi</w:t>
      </w:r>
      <w:r w:rsidR="00914C58">
        <w:t>c Utilities Commis</w:t>
      </w:r>
      <w:r w:rsidR="00914C58">
        <w:softHyphen/>
        <w:t>sion of Ohio</w:t>
      </w:r>
      <w:r w:rsidR="00200A0A" w:rsidRPr="00934B92">
        <w:rPr>
          <w:b/>
        </w:rPr>
        <w:t xml:space="preserve"> </w:t>
      </w:r>
      <w:r w:rsidR="00200A0A" w:rsidRPr="00934B92">
        <w:t xml:space="preserve">was served </w:t>
      </w:r>
      <w:r w:rsidR="00914C58">
        <w:t>electronic mail</w:t>
      </w:r>
      <w:r w:rsidR="00200A0A" w:rsidRPr="00934B92">
        <w:t xml:space="preserve"> upon </w:t>
      </w:r>
      <w:r w:rsidR="00977F01">
        <w:t>the following Parties of Record</w:t>
      </w:r>
      <w:r w:rsidR="00721F2D">
        <w:t xml:space="preserve">, </w:t>
      </w:r>
      <w:r w:rsidR="00200A0A" w:rsidRPr="00934B92">
        <w:t xml:space="preserve">this </w:t>
      </w:r>
      <w:r w:rsidR="00173BFC">
        <w:t>9</w:t>
      </w:r>
      <w:r w:rsidR="001A5C2F" w:rsidRPr="001A5C2F">
        <w:rPr>
          <w:vertAlign w:val="superscript"/>
        </w:rPr>
        <w:t>th</w:t>
      </w:r>
      <w:r w:rsidR="001A5C2F">
        <w:t xml:space="preserve"> </w:t>
      </w:r>
      <w:r w:rsidR="004B6358">
        <w:t>d</w:t>
      </w:r>
      <w:r w:rsidR="00200A0A" w:rsidRPr="00934B92">
        <w:t>ay of</w:t>
      </w:r>
      <w:r w:rsidR="00914C58">
        <w:t xml:space="preserve"> January, 2015</w:t>
      </w:r>
      <w:r w:rsidR="00200A0A" w:rsidRPr="00934B92">
        <w:t>.</w:t>
      </w:r>
    </w:p>
    <w:p w14:paraId="7BC409C2" w14:textId="0BC26DFC" w:rsidR="00200A0A" w:rsidRPr="00DF3D54" w:rsidRDefault="004E099A" w:rsidP="00200A0A">
      <w:pPr>
        <w:tabs>
          <w:tab w:val="right" w:pos="9360"/>
        </w:tabs>
        <w:ind w:left="4320"/>
        <w:jc w:val="both"/>
        <w:rPr>
          <w:u w:val="single"/>
        </w:rPr>
      </w:pPr>
      <w:r>
        <w:rPr>
          <w:rFonts w:ascii="Viner Hand ITC" w:hAnsi="Viner Hand ITC"/>
          <w:sz w:val="24"/>
          <w:szCs w:val="24"/>
          <w:u w:val="single"/>
        </w:rPr>
        <w:t>/s/ Katie L. Johnson</w:t>
      </w:r>
      <w:r w:rsidR="00200A0A" w:rsidRPr="00DF3D54">
        <w:rPr>
          <w:u w:val="single"/>
        </w:rPr>
        <w:tab/>
      </w:r>
    </w:p>
    <w:p w14:paraId="2AB74A7E" w14:textId="77777777" w:rsidR="00200A0A" w:rsidRPr="00DF3D54" w:rsidRDefault="00914C58" w:rsidP="00200A0A">
      <w:pPr>
        <w:ind w:left="4332"/>
        <w:jc w:val="both"/>
        <w:rPr>
          <w:b/>
          <w:sz w:val="26"/>
          <w:szCs w:val="26"/>
        </w:rPr>
      </w:pPr>
      <w:r>
        <w:rPr>
          <w:b/>
          <w:sz w:val="26"/>
          <w:szCs w:val="26"/>
        </w:rPr>
        <w:t>Katie L. Johnson</w:t>
      </w:r>
    </w:p>
    <w:p w14:paraId="54B196B8" w14:textId="77777777" w:rsidR="00200A0A" w:rsidRDefault="00200A0A" w:rsidP="00200A0A">
      <w:pPr>
        <w:ind w:left="4332"/>
        <w:jc w:val="both"/>
        <w:rPr>
          <w:sz w:val="26"/>
          <w:szCs w:val="26"/>
        </w:rPr>
      </w:pPr>
      <w:r w:rsidRPr="00DF3D54">
        <w:rPr>
          <w:sz w:val="26"/>
          <w:szCs w:val="26"/>
        </w:rPr>
        <w:t>Assistant Attorney General</w:t>
      </w:r>
    </w:p>
    <w:p w14:paraId="3BEFED9B" w14:textId="77777777" w:rsidR="00977F01" w:rsidRDefault="00977F01" w:rsidP="00200A0A">
      <w:pPr>
        <w:ind w:left="4332"/>
        <w:jc w:val="both"/>
        <w:rPr>
          <w:sz w:val="26"/>
          <w:szCs w:val="26"/>
        </w:rPr>
      </w:pPr>
    </w:p>
    <w:p w14:paraId="7E7B2833" w14:textId="77777777" w:rsidR="00977F01" w:rsidRDefault="00977F01" w:rsidP="00977F01">
      <w:pPr>
        <w:rPr>
          <w:b/>
          <w:sz w:val="26"/>
          <w:szCs w:val="26"/>
        </w:rPr>
      </w:pPr>
      <w:r w:rsidRPr="00DF3D54">
        <w:rPr>
          <w:b/>
          <w:sz w:val="26"/>
          <w:szCs w:val="26"/>
        </w:rPr>
        <w:t>Parties of Record:</w:t>
      </w:r>
    </w:p>
    <w:p w14:paraId="55C22503" w14:textId="77777777" w:rsidR="00977F01" w:rsidRPr="00DF3D54" w:rsidRDefault="00977F01" w:rsidP="00977F01">
      <w:pPr>
        <w:rPr>
          <w:b/>
          <w:sz w:val="26"/>
          <w:szCs w:val="26"/>
        </w:rPr>
      </w:pPr>
    </w:p>
    <w:tbl>
      <w:tblPr>
        <w:tblW w:w="0" w:type="auto"/>
        <w:tblLook w:val="01E0" w:firstRow="1" w:lastRow="1" w:firstColumn="1" w:lastColumn="1" w:noHBand="0" w:noVBand="0"/>
      </w:tblPr>
      <w:tblGrid>
        <w:gridCol w:w="4672"/>
        <w:gridCol w:w="4688"/>
      </w:tblGrid>
      <w:tr w:rsidR="00977F01" w:rsidRPr="00D2703A" w14:paraId="61147EF3" w14:textId="77777777" w:rsidTr="002273AC">
        <w:tc>
          <w:tcPr>
            <w:tcW w:w="4788" w:type="dxa"/>
          </w:tcPr>
          <w:p w14:paraId="1412C0EE" w14:textId="77777777" w:rsidR="00977F01" w:rsidRDefault="00872F3F" w:rsidP="002273AC">
            <w:pPr>
              <w:rPr>
                <w:sz w:val="26"/>
                <w:szCs w:val="26"/>
              </w:rPr>
            </w:pPr>
            <w:r>
              <w:rPr>
                <w:sz w:val="26"/>
                <w:szCs w:val="26"/>
              </w:rPr>
              <w:t>Kyle Kern</w:t>
            </w:r>
          </w:p>
          <w:p w14:paraId="2E801FF6" w14:textId="77777777" w:rsidR="00872F3F" w:rsidRDefault="00872F3F" w:rsidP="002273AC">
            <w:pPr>
              <w:rPr>
                <w:sz w:val="26"/>
                <w:szCs w:val="26"/>
              </w:rPr>
            </w:pPr>
            <w:r>
              <w:rPr>
                <w:sz w:val="26"/>
                <w:szCs w:val="26"/>
              </w:rPr>
              <w:t>Michael Schuler</w:t>
            </w:r>
          </w:p>
          <w:p w14:paraId="0456EE5F" w14:textId="77777777" w:rsidR="00977F01" w:rsidRDefault="00977F01" w:rsidP="002273AC">
            <w:pPr>
              <w:rPr>
                <w:sz w:val="26"/>
                <w:szCs w:val="26"/>
              </w:rPr>
            </w:pPr>
            <w:r>
              <w:rPr>
                <w:sz w:val="26"/>
                <w:szCs w:val="26"/>
              </w:rPr>
              <w:t>Assistant Consumers’ Counsel</w:t>
            </w:r>
          </w:p>
          <w:p w14:paraId="1603695D" w14:textId="77777777" w:rsidR="00977F01" w:rsidRDefault="00977F01" w:rsidP="002273AC">
            <w:pPr>
              <w:rPr>
                <w:sz w:val="26"/>
                <w:szCs w:val="26"/>
              </w:rPr>
            </w:pPr>
            <w:r>
              <w:rPr>
                <w:sz w:val="26"/>
                <w:szCs w:val="26"/>
              </w:rPr>
              <w:t>Office of the Ohio Consumers’ Counsel</w:t>
            </w:r>
          </w:p>
          <w:p w14:paraId="1BEDC6C4" w14:textId="77777777" w:rsidR="00977F01" w:rsidRDefault="00977F01" w:rsidP="002273AC">
            <w:pPr>
              <w:rPr>
                <w:sz w:val="26"/>
                <w:szCs w:val="26"/>
              </w:rPr>
            </w:pPr>
            <w:r>
              <w:rPr>
                <w:sz w:val="26"/>
                <w:szCs w:val="26"/>
              </w:rPr>
              <w:lastRenderedPageBreak/>
              <w:t>10 West Broad Street</w:t>
            </w:r>
          </w:p>
          <w:p w14:paraId="0BEF069A" w14:textId="77777777" w:rsidR="00977F01" w:rsidRDefault="00977F01" w:rsidP="002273AC">
            <w:pPr>
              <w:rPr>
                <w:sz w:val="26"/>
                <w:szCs w:val="26"/>
              </w:rPr>
            </w:pPr>
            <w:r>
              <w:rPr>
                <w:sz w:val="26"/>
                <w:szCs w:val="26"/>
              </w:rPr>
              <w:t>Suite 1800</w:t>
            </w:r>
          </w:p>
          <w:p w14:paraId="6BDCFAAA" w14:textId="77777777" w:rsidR="00977F01" w:rsidRDefault="00977F01" w:rsidP="002273AC">
            <w:pPr>
              <w:rPr>
                <w:sz w:val="26"/>
                <w:szCs w:val="26"/>
              </w:rPr>
            </w:pPr>
            <w:r>
              <w:rPr>
                <w:sz w:val="26"/>
                <w:szCs w:val="26"/>
              </w:rPr>
              <w:t>Columbus, OH  43215</w:t>
            </w:r>
          </w:p>
          <w:p w14:paraId="178938DB" w14:textId="77777777" w:rsidR="00872F3F" w:rsidRDefault="005723C6" w:rsidP="002273AC">
            <w:pPr>
              <w:rPr>
                <w:sz w:val="26"/>
                <w:szCs w:val="26"/>
              </w:rPr>
            </w:pPr>
            <w:hyperlink r:id="rId10" w:history="1">
              <w:r w:rsidR="00872F3F" w:rsidRPr="007266EF">
                <w:rPr>
                  <w:rStyle w:val="Hyperlink"/>
                  <w:sz w:val="26"/>
                  <w:szCs w:val="26"/>
                </w:rPr>
                <w:t>kyle.kern@occ.ohio.gov</w:t>
              </w:r>
            </w:hyperlink>
          </w:p>
          <w:p w14:paraId="0656EF05" w14:textId="77777777" w:rsidR="00872F3F" w:rsidRDefault="005723C6" w:rsidP="002273AC">
            <w:pPr>
              <w:rPr>
                <w:sz w:val="26"/>
                <w:szCs w:val="26"/>
              </w:rPr>
            </w:pPr>
            <w:hyperlink r:id="rId11" w:history="1">
              <w:r w:rsidR="00872F3F" w:rsidRPr="007266EF">
                <w:rPr>
                  <w:rStyle w:val="Hyperlink"/>
                  <w:sz w:val="26"/>
                  <w:szCs w:val="26"/>
                </w:rPr>
                <w:t>michael.schuler@occ.ohio.gov</w:t>
              </w:r>
            </w:hyperlink>
          </w:p>
          <w:p w14:paraId="501C54E7" w14:textId="77777777" w:rsidR="00872F3F" w:rsidRDefault="00872F3F" w:rsidP="002273AC">
            <w:pPr>
              <w:rPr>
                <w:sz w:val="26"/>
                <w:szCs w:val="26"/>
              </w:rPr>
            </w:pPr>
          </w:p>
          <w:p w14:paraId="69F203B2" w14:textId="77777777" w:rsidR="00872F3F" w:rsidRDefault="00872F3F" w:rsidP="002273AC">
            <w:pPr>
              <w:rPr>
                <w:sz w:val="26"/>
                <w:szCs w:val="26"/>
              </w:rPr>
            </w:pPr>
            <w:r>
              <w:rPr>
                <w:sz w:val="26"/>
                <w:szCs w:val="26"/>
              </w:rPr>
              <w:t>Amy B. Spiller</w:t>
            </w:r>
          </w:p>
          <w:p w14:paraId="0484C572" w14:textId="77777777" w:rsidR="00872F3F" w:rsidRDefault="00872F3F" w:rsidP="002273AC">
            <w:pPr>
              <w:rPr>
                <w:sz w:val="26"/>
                <w:szCs w:val="26"/>
              </w:rPr>
            </w:pPr>
            <w:r>
              <w:rPr>
                <w:sz w:val="26"/>
                <w:szCs w:val="26"/>
              </w:rPr>
              <w:t>Elizabeth H. Watts</w:t>
            </w:r>
          </w:p>
          <w:p w14:paraId="74974A9A" w14:textId="77777777" w:rsidR="00872F3F" w:rsidRDefault="00872F3F" w:rsidP="002273AC">
            <w:pPr>
              <w:rPr>
                <w:sz w:val="26"/>
                <w:szCs w:val="26"/>
              </w:rPr>
            </w:pPr>
            <w:r>
              <w:rPr>
                <w:sz w:val="26"/>
                <w:szCs w:val="26"/>
              </w:rPr>
              <w:t>Duke Energy Ohio, Inc.</w:t>
            </w:r>
          </w:p>
          <w:p w14:paraId="6B15EBE1" w14:textId="77777777" w:rsidR="00872F3F" w:rsidRDefault="00872F3F" w:rsidP="002273AC">
            <w:pPr>
              <w:rPr>
                <w:sz w:val="26"/>
                <w:szCs w:val="26"/>
              </w:rPr>
            </w:pPr>
            <w:r>
              <w:rPr>
                <w:sz w:val="26"/>
                <w:szCs w:val="26"/>
              </w:rPr>
              <w:t>2500 Atrium II</w:t>
            </w:r>
          </w:p>
          <w:p w14:paraId="43071358" w14:textId="77777777" w:rsidR="00872F3F" w:rsidRDefault="00872F3F" w:rsidP="002273AC">
            <w:pPr>
              <w:rPr>
                <w:sz w:val="26"/>
                <w:szCs w:val="26"/>
              </w:rPr>
            </w:pPr>
            <w:r>
              <w:rPr>
                <w:sz w:val="26"/>
                <w:szCs w:val="26"/>
              </w:rPr>
              <w:t>139 East Fourth Street</w:t>
            </w:r>
          </w:p>
          <w:p w14:paraId="017DF382" w14:textId="77777777" w:rsidR="00872F3F" w:rsidRDefault="00872F3F" w:rsidP="002273AC">
            <w:pPr>
              <w:rPr>
                <w:sz w:val="26"/>
                <w:szCs w:val="26"/>
              </w:rPr>
            </w:pPr>
            <w:r>
              <w:rPr>
                <w:sz w:val="26"/>
                <w:szCs w:val="26"/>
              </w:rPr>
              <w:t>P.O. Box 960</w:t>
            </w:r>
          </w:p>
          <w:p w14:paraId="57F38237" w14:textId="77777777" w:rsidR="00872F3F" w:rsidRDefault="00872F3F" w:rsidP="002273AC">
            <w:pPr>
              <w:rPr>
                <w:sz w:val="26"/>
                <w:szCs w:val="26"/>
              </w:rPr>
            </w:pPr>
            <w:r>
              <w:rPr>
                <w:sz w:val="26"/>
                <w:szCs w:val="26"/>
              </w:rPr>
              <w:t>Cincinnati, OH  4521-0960</w:t>
            </w:r>
          </w:p>
          <w:p w14:paraId="33D75678" w14:textId="77777777" w:rsidR="00872F3F" w:rsidRDefault="005723C6" w:rsidP="002273AC">
            <w:pPr>
              <w:rPr>
                <w:sz w:val="26"/>
                <w:szCs w:val="26"/>
              </w:rPr>
            </w:pPr>
            <w:hyperlink r:id="rId12" w:history="1">
              <w:r w:rsidR="00872F3F" w:rsidRPr="007266EF">
                <w:rPr>
                  <w:rStyle w:val="Hyperlink"/>
                  <w:sz w:val="26"/>
                  <w:szCs w:val="26"/>
                </w:rPr>
                <w:t>amy.spiller@duke-energy.com</w:t>
              </w:r>
            </w:hyperlink>
          </w:p>
          <w:p w14:paraId="671CFA68" w14:textId="77777777" w:rsidR="00872F3F" w:rsidRDefault="005723C6" w:rsidP="002273AC">
            <w:pPr>
              <w:rPr>
                <w:sz w:val="26"/>
                <w:szCs w:val="26"/>
              </w:rPr>
            </w:pPr>
            <w:hyperlink r:id="rId13" w:history="1">
              <w:r w:rsidR="00872F3F" w:rsidRPr="007266EF">
                <w:rPr>
                  <w:rStyle w:val="Hyperlink"/>
                  <w:sz w:val="26"/>
                  <w:szCs w:val="26"/>
                </w:rPr>
                <w:t>elizabeth.watts@duke-energy.com</w:t>
              </w:r>
            </w:hyperlink>
          </w:p>
          <w:p w14:paraId="5DBF4630" w14:textId="77777777" w:rsidR="00872F3F" w:rsidRDefault="00872F3F" w:rsidP="002273AC">
            <w:pPr>
              <w:rPr>
                <w:sz w:val="26"/>
                <w:szCs w:val="26"/>
              </w:rPr>
            </w:pPr>
          </w:p>
          <w:p w14:paraId="0DF49A8C" w14:textId="77777777" w:rsidR="00872F3F" w:rsidRDefault="00872F3F" w:rsidP="002273AC">
            <w:pPr>
              <w:rPr>
                <w:sz w:val="26"/>
                <w:szCs w:val="26"/>
              </w:rPr>
            </w:pPr>
            <w:r>
              <w:rPr>
                <w:sz w:val="26"/>
                <w:szCs w:val="26"/>
              </w:rPr>
              <w:t>Samantha Williams</w:t>
            </w:r>
          </w:p>
          <w:p w14:paraId="7BD9B10A" w14:textId="77777777" w:rsidR="00872F3F" w:rsidRDefault="00872F3F" w:rsidP="002273AC">
            <w:pPr>
              <w:rPr>
                <w:sz w:val="26"/>
                <w:szCs w:val="26"/>
              </w:rPr>
            </w:pPr>
            <w:r>
              <w:rPr>
                <w:sz w:val="26"/>
                <w:szCs w:val="26"/>
              </w:rPr>
              <w:t xml:space="preserve">Natural Resources Defense </w:t>
            </w:r>
            <w:r w:rsidR="00E64487">
              <w:rPr>
                <w:sz w:val="26"/>
                <w:szCs w:val="26"/>
              </w:rPr>
              <w:t>Council</w:t>
            </w:r>
          </w:p>
          <w:p w14:paraId="6969D812" w14:textId="77777777" w:rsidR="00872F3F" w:rsidRDefault="00872F3F" w:rsidP="002273AC">
            <w:pPr>
              <w:rPr>
                <w:sz w:val="26"/>
                <w:szCs w:val="26"/>
              </w:rPr>
            </w:pPr>
            <w:r>
              <w:rPr>
                <w:sz w:val="26"/>
                <w:szCs w:val="26"/>
              </w:rPr>
              <w:t>20 North Wacker Drive</w:t>
            </w:r>
          </w:p>
          <w:p w14:paraId="1C932C18" w14:textId="77777777" w:rsidR="00872F3F" w:rsidRDefault="00872F3F" w:rsidP="002273AC">
            <w:pPr>
              <w:rPr>
                <w:sz w:val="26"/>
                <w:szCs w:val="26"/>
              </w:rPr>
            </w:pPr>
            <w:r>
              <w:rPr>
                <w:sz w:val="26"/>
                <w:szCs w:val="26"/>
              </w:rPr>
              <w:t>Suite 1600</w:t>
            </w:r>
          </w:p>
          <w:p w14:paraId="550F4A5E" w14:textId="77777777" w:rsidR="00872F3F" w:rsidRDefault="00872F3F" w:rsidP="002273AC">
            <w:pPr>
              <w:rPr>
                <w:sz w:val="26"/>
                <w:szCs w:val="26"/>
              </w:rPr>
            </w:pPr>
            <w:r>
              <w:rPr>
                <w:sz w:val="26"/>
                <w:szCs w:val="26"/>
              </w:rPr>
              <w:t>Chicago, IL  60606</w:t>
            </w:r>
          </w:p>
          <w:p w14:paraId="46A4D416" w14:textId="77777777" w:rsidR="00872F3F" w:rsidRDefault="005723C6" w:rsidP="002273AC">
            <w:pPr>
              <w:rPr>
                <w:sz w:val="26"/>
                <w:szCs w:val="26"/>
              </w:rPr>
            </w:pPr>
            <w:hyperlink r:id="rId14" w:history="1">
              <w:r w:rsidR="00872F3F" w:rsidRPr="007266EF">
                <w:rPr>
                  <w:rStyle w:val="Hyperlink"/>
                  <w:sz w:val="26"/>
                  <w:szCs w:val="26"/>
                </w:rPr>
                <w:t>swilliams@nrdc.org</w:t>
              </w:r>
            </w:hyperlink>
          </w:p>
          <w:p w14:paraId="3C6924F6" w14:textId="77777777" w:rsidR="00872F3F" w:rsidRDefault="00872F3F" w:rsidP="002273AC">
            <w:pPr>
              <w:rPr>
                <w:sz w:val="26"/>
                <w:szCs w:val="26"/>
              </w:rPr>
            </w:pPr>
          </w:p>
          <w:p w14:paraId="28BBCA75" w14:textId="77777777" w:rsidR="00E64487" w:rsidRDefault="00E64487" w:rsidP="002273AC">
            <w:pPr>
              <w:rPr>
                <w:sz w:val="26"/>
                <w:szCs w:val="26"/>
              </w:rPr>
            </w:pPr>
          </w:p>
          <w:p w14:paraId="4752C338" w14:textId="77777777" w:rsidR="00E64487" w:rsidRDefault="00E64487" w:rsidP="002273AC">
            <w:pPr>
              <w:rPr>
                <w:sz w:val="26"/>
                <w:szCs w:val="26"/>
              </w:rPr>
            </w:pPr>
          </w:p>
          <w:p w14:paraId="4D181794" w14:textId="77777777" w:rsidR="00E64487" w:rsidRDefault="00E64487" w:rsidP="002273AC">
            <w:pPr>
              <w:rPr>
                <w:sz w:val="26"/>
                <w:szCs w:val="26"/>
              </w:rPr>
            </w:pPr>
          </w:p>
          <w:p w14:paraId="304D799C" w14:textId="77777777" w:rsidR="00E64487" w:rsidRDefault="00E64487" w:rsidP="002273AC">
            <w:pPr>
              <w:rPr>
                <w:sz w:val="26"/>
                <w:szCs w:val="26"/>
              </w:rPr>
            </w:pPr>
          </w:p>
          <w:p w14:paraId="273F1E47" w14:textId="77777777" w:rsidR="00872F3F" w:rsidRDefault="00872F3F" w:rsidP="002273AC">
            <w:pPr>
              <w:rPr>
                <w:sz w:val="26"/>
                <w:szCs w:val="26"/>
              </w:rPr>
            </w:pPr>
            <w:r>
              <w:rPr>
                <w:sz w:val="26"/>
                <w:szCs w:val="26"/>
              </w:rPr>
              <w:t>Madeline Fleisher</w:t>
            </w:r>
          </w:p>
          <w:p w14:paraId="3B796402" w14:textId="77777777" w:rsidR="00872F3F" w:rsidRDefault="00872F3F" w:rsidP="002273AC">
            <w:pPr>
              <w:rPr>
                <w:sz w:val="26"/>
                <w:szCs w:val="26"/>
              </w:rPr>
            </w:pPr>
            <w:r>
              <w:rPr>
                <w:sz w:val="26"/>
                <w:szCs w:val="26"/>
              </w:rPr>
              <w:t>Environmental Law &amp; Policy Center</w:t>
            </w:r>
          </w:p>
          <w:p w14:paraId="3AFE6EE1" w14:textId="77777777" w:rsidR="00872F3F" w:rsidRDefault="00872F3F" w:rsidP="002273AC">
            <w:pPr>
              <w:rPr>
                <w:sz w:val="26"/>
                <w:szCs w:val="26"/>
              </w:rPr>
            </w:pPr>
            <w:r>
              <w:rPr>
                <w:sz w:val="26"/>
                <w:szCs w:val="26"/>
              </w:rPr>
              <w:t>1207 Grandview Avenue</w:t>
            </w:r>
          </w:p>
          <w:p w14:paraId="4DF07286" w14:textId="77777777" w:rsidR="00872F3F" w:rsidRDefault="00872F3F" w:rsidP="002273AC">
            <w:pPr>
              <w:rPr>
                <w:sz w:val="26"/>
                <w:szCs w:val="26"/>
              </w:rPr>
            </w:pPr>
            <w:r>
              <w:rPr>
                <w:sz w:val="26"/>
                <w:szCs w:val="26"/>
              </w:rPr>
              <w:t>Suite 201</w:t>
            </w:r>
          </w:p>
          <w:p w14:paraId="1C664EC8" w14:textId="77777777" w:rsidR="00872F3F" w:rsidRDefault="00872F3F" w:rsidP="002273AC">
            <w:pPr>
              <w:rPr>
                <w:sz w:val="26"/>
                <w:szCs w:val="26"/>
              </w:rPr>
            </w:pPr>
            <w:r>
              <w:rPr>
                <w:sz w:val="26"/>
                <w:szCs w:val="26"/>
              </w:rPr>
              <w:t>Columbus, OH  43212</w:t>
            </w:r>
          </w:p>
          <w:p w14:paraId="1BE908CE" w14:textId="77777777" w:rsidR="00872F3F" w:rsidRDefault="005723C6" w:rsidP="002273AC">
            <w:pPr>
              <w:rPr>
                <w:sz w:val="26"/>
                <w:szCs w:val="26"/>
              </w:rPr>
            </w:pPr>
            <w:hyperlink r:id="rId15" w:history="1">
              <w:r w:rsidR="00872F3F" w:rsidRPr="007266EF">
                <w:rPr>
                  <w:rStyle w:val="Hyperlink"/>
                  <w:sz w:val="26"/>
                  <w:szCs w:val="26"/>
                </w:rPr>
                <w:t>mfleisher@elpc.org</w:t>
              </w:r>
            </w:hyperlink>
          </w:p>
          <w:p w14:paraId="56037883" w14:textId="77777777" w:rsidR="00872F3F" w:rsidRDefault="00872F3F" w:rsidP="002273AC">
            <w:pPr>
              <w:rPr>
                <w:sz w:val="26"/>
                <w:szCs w:val="26"/>
              </w:rPr>
            </w:pPr>
          </w:p>
          <w:p w14:paraId="5E3323D6" w14:textId="77777777" w:rsidR="00872F3F" w:rsidRDefault="00872F3F" w:rsidP="002273AC">
            <w:pPr>
              <w:rPr>
                <w:sz w:val="26"/>
                <w:szCs w:val="26"/>
              </w:rPr>
            </w:pPr>
            <w:r>
              <w:rPr>
                <w:sz w:val="26"/>
                <w:szCs w:val="26"/>
              </w:rPr>
              <w:t>David F. Boehm</w:t>
            </w:r>
          </w:p>
          <w:p w14:paraId="6AF2B84F" w14:textId="77777777" w:rsidR="00872F3F" w:rsidRDefault="00872F3F" w:rsidP="002273AC">
            <w:pPr>
              <w:rPr>
                <w:sz w:val="26"/>
                <w:szCs w:val="26"/>
              </w:rPr>
            </w:pPr>
            <w:r>
              <w:rPr>
                <w:sz w:val="26"/>
                <w:szCs w:val="26"/>
              </w:rPr>
              <w:t>Michael L. Kurtz</w:t>
            </w:r>
          </w:p>
          <w:p w14:paraId="7C959A4B" w14:textId="77777777" w:rsidR="00872F3F" w:rsidRDefault="00872F3F" w:rsidP="002273AC">
            <w:pPr>
              <w:rPr>
                <w:sz w:val="26"/>
                <w:szCs w:val="26"/>
              </w:rPr>
            </w:pPr>
            <w:r>
              <w:rPr>
                <w:sz w:val="26"/>
                <w:szCs w:val="26"/>
              </w:rPr>
              <w:t>Jody Kyler Cohn</w:t>
            </w:r>
          </w:p>
          <w:p w14:paraId="124D2928" w14:textId="77777777" w:rsidR="00872F3F" w:rsidRDefault="00872F3F" w:rsidP="002273AC">
            <w:pPr>
              <w:rPr>
                <w:sz w:val="26"/>
                <w:szCs w:val="26"/>
              </w:rPr>
            </w:pPr>
            <w:r>
              <w:rPr>
                <w:sz w:val="26"/>
                <w:szCs w:val="26"/>
              </w:rPr>
              <w:t>Boehm, Kurtz &amp; Lowry</w:t>
            </w:r>
          </w:p>
          <w:p w14:paraId="3530AB63" w14:textId="77777777" w:rsidR="00872F3F" w:rsidRDefault="00872F3F" w:rsidP="002273AC">
            <w:pPr>
              <w:rPr>
                <w:sz w:val="26"/>
                <w:szCs w:val="26"/>
              </w:rPr>
            </w:pPr>
            <w:r>
              <w:rPr>
                <w:sz w:val="26"/>
                <w:szCs w:val="26"/>
              </w:rPr>
              <w:t>36 East Seventh Street</w:t>
            </w:r>
          </w:p>
          <w:p w14:paraId="272BD639" w14:textId="77777777" w:rsidR="00872F3F" w:rsidRDefault="00872F3F" w:rsidP="002273AC">
            <w:pPr>
              <w:rPr>
                <w:sz w:val="26"/>
                <w:szCs w:val="26"/>
              </w:rPr>
            </w:pPr>
            <w:r>
              <w:rPr>
                <w:sz w:val="26"/>
                <w:szCs w:val="26"/>
              </w:rPr>
              <w:t>Suite 1510</w:t>
            </w:r>
          </w:p>
          <w:p w14:paraId="57C619B4" w14:textId="77777777" w:rsidR="00872F3F" w:rsidRDefault="00872F3F" w:rsidP="002273AC">
            <w:pPr>
              <w:rPr>
                <w:sz w:val="26"/>
                <w:szCs w:val="26"/>
              </w:rPr>
            </w:pPr>
            <w:r>
              <w:rPr>
                <w:sz w:val="26"/>
                <w:szCs w:val="26"/>
              </w:rPr>
              <w:t>Cincinnati, OH  45202</w:t>
            </w:r>
          </w:p>
          <w:p w14:paraId="65D4F5CA" w14:textId="77777777" w:rsidR="00872F3F" w:rsidRDefault="005723C6" w:rsidP="002273AC">
            <w:pPr>
              <w:rPr>
                <w:sz w:val="26"/>
                <w:szCs w:val="26"/>
              </w:rPr>
            </w:pPr>
            <w:hyperlink r:id="rId16" w:history="1">
              <w:r w:rsidR="00872F3F" w:rsidRPr="007266EF">
                <w:rPr>
                  <w:rStyle w:val="Hyperlink"/>
                  <w:sz w:val="26"/>
                  <w:szCs w:val="26"/>
                </w:rPr>
                <w:t>mkurtz@bkllawfirm.com</w:t>
              </w:r>
            </w:hyperlink>
          </w:p>
          <w:p w14:paraId="35E639B3" w14:textId="77777777" w:rsidR="00872F3F" w:rsidRDefault="005723C6" w:rsidP="002273AC">
            <w:pPr>
              <w:rPr>
                <w:sz w:val="26"/>
                <w:szCs w:val="26"/>
              </w:rPr>
            </w:pPr>
            <w:hyperlink r:id="rId17" w:history="1">
              <w:r w:rsidR="00872F3F" w:rsidRPr="007266EF">
                <w:rPr>
                  <w:rStyle w:val="Hyperlink"/>
                  <w:sz w:val="26"/>
                  <w:szCs w:val="26"/>
                </w:rPr>
                <w:t>dboehm@bkllawfirm.com</w:t>
              </w:r>
            </w:hyperlink>
          </w:p>
          <w:p w14:paraId="5C405068" w14:textId="77777777" w:rsidR="00872F3F" w:rsidRDefault="005723C6" w:rsidP="002273AC">
            <w:pPr>
              <w:rPr>
                <w:sz w:val="26"/>
                <w:szCs w:val="26"/>
              </w:rPr>
            </w:pPr>
            <w:hyperlink r:id="rId18" w:history="1">
              <w:r w:rsidR="00872F3F" w:rsidRPr="007266EF">
                <w:rPr>
                  <w:rStyle w:val="Hyperlink"/>
                  <w:sz w:val="26"/>
                  <w:szCs w:val="26"/>
                </w:rPr>
                <w:t>jkylercohn@bkllawfirm.com</w:t>
              </w:r>
            </w:hyperlink>
          </w:p>
          <w:p w14:paraId="2A599174" w14:textId="77777777" w:rsidR="00872F3F" w:rsidRDefault="00872F3F" w:rsidP="002273AC">
            <w:pPr>
              <w:rPr>
                <w:sz w:val="26"/>
                <w:szCs w:val="26"/>
              </w:rPr>
            </w:pPr>
          </w:p>
          <w:p w14:paraId="492DE9A7" w14:textId="77777777" w:rsidR="00872F3F" w:rsidRPr="00221496" w:rsidRDefault="00872F3F" w:rsidP="002273AC">
            <w:pPr>
              <w:rPr>
                <w:sz w:val="26"/>
                <w:szCs w:val="26"/>
              </w:rPr>
            </w:pPr>
          </w:p>
        </w:tc>
        <w:tc>
          <w:tcPr>
            <w:tcW w:w="4788" w:type="dxa"/>
          </w:tcPr>
          <w:p w14:paraId="016995B2" w14:textId="77777777" w:rsidR="00977F01" w:rsidRDefault="00872F3F" w:rsidP="002273AC">
            <w:pPr>
              <w:rPr>
                <w:sz w:val="26"/>
                <w:szCs w:val="26"/>
              </w:rPr>
            </w:pPr>
            <w:r>
              <w:rPr>
                <w:sz w:val="26"/>
                <w:szCs w:val="26"/>
              </w:rPr>
              <w:lastRenderedPageBreak/>
              <w:t>Matthew R. Pritchard</w:t>
            </w:r>
          </w:p>
          <w:p w14:paraId="4AA081F7" w14:textId="77777777" w:rsidR="00977F01" w:rsidRDefault="00977F01" w:rsidP="002273AC">
            <w:pPr>
              <w:rPr>
                <w:sz w:val="26"/>
                <w:szCs w:val="26"/>
              </w:rPr>
            </w:pPr>
            <w:r>
              <w:rPr>
                <w:sz w:val="26"/>
                <w:szCs w:val="26"/>
              </w:rPr>
              <w:t>McNees, Wallace &amp; Nurick</w:t>
            </w:r>
          </w:p>
          <w:p w14:paraId="0AA6B255" w14:textId="77777777" w:rsidR="00977F01" w:rsidRDefault="00977F01" w:rsidP="002273AC">
            <w:pPr>
              <w:rPr>
                <w:sz w:val="26"/>
                <w:szCs w:val="26"/>
              </w:rPr>
            </w:pPr>
            <w:r>
              <w:rPr>
                <w:sz w:val="26"/>
                <w:szCs w:val="26"/>
              </w:rPr>
              <w:t>21 East State Street, 17</w:t>
            </w:r>
            <w:r w:rsidRPr="00944CBC">
              <w:rPr>
                <w:sz w:val="26"/>
                <w:szCs w:val="26"/>
                <w:vertAlign w:val="superscript"/>
              </w:rPr>
              <w:t>th</w:t>
            </w:r>
            <w:r>
              <w:rPr>
                <w:sz w:val="26"/>
                <w:szCs w:val="26"/>
              </w:rPr>
              <w:t xml:space="preserve"> Floor</w:t>
            </w:r>
          </w:p>
          <w:p w14:paraId="38141E67" w14:textId="77777777" w:rsidR="00977F01" w:rsidRDefault="00977F01" w:rsidP="002273AC">
            <w:pPr>
              <w:rPr>
                <w:sz w:val="26"/>
                <w:szCs w:val="26"/>
              </w:rPr>
            </w:pPr>
            <w:r>
              <w:rPr>
                <w:sz w:val="26"/>
                <w:szCs w:val="26"/>
              </w:rPr>
              <w:t>Columbus, OH  43215</w:t>
            </w:r>
          </w:p>
          <w:p w14:paraId="76DF1FBE" w14:textId="77777777" w:rsidR="00977F01" w:rsidRDefault="005723C6" w:rsidP="002273AC">
            <w:pPr>
              <w:rPr>
                <w:sz w:val="26"/>
                <w:szCs w:val="26"/>
              </w:rPr>
            </w:pPr>
            <w:hyperlink r:id="rId19" w:history="1">
              <w:r w:rsidR="00872F3F" w:rsidRPr="007266EF">
                <w:rPr>
                  <w:rStyle w:val="Hyperlink"/>
                  <w:sz w:val="26"/>
                  <w:szCs w:val="26"/>
                </w:rPr>
                <w:t>m.pritchard@mwncmh.com</w:t>
              </w:r>
            </w:hyperlink>
          </w:p>
          <w:p w14:paraId="68D1C36B" w14:textId="77777777" w:rsidR="00977F01" w:rsidRDefault="00977F01" w:rsidP="002273AC">
            <w:pPr>
              <w:rPr>
                <w:sz w:val="26"/>
                <w:szCs w:val="26"/>
              </w:rPr>
            </w:pPr>
          </w:p>
          <w:p w14:paraId="5242C267" w14:textId="77777777" w:rsidR="00977F01" w:rsidRDefault="00977F01" w:rsidP="002273AC">
            <w:pPr>
              <w:rPr>
                <w:sz w:val="26"/>
                <w:szCs w:val="26"/>
              </w:rPr>
            </w:pPr>
            <w:r>
              <w:rPr>
                <w:sz w:val="26"/>
                <w:szCs w:val="26"/>
              </w:rPr>
              <w:t>David C. Rinebolt</w:t>
            </w:r>
          </w:p>
          <w:p w14:paraId="6628BDC9" w14:textId="77777777" w:rsidR="00977F01" w:rsidRDefault="00977F01" w:rsidP="002273AC">
            <w:pPr>
              <w:rPr>
                <w:sz w:val="26"/>
                <w:szCs w:val="26"/>
              </w:rPr>
            </w:pPr>
            <w:r>
              <w:rPr>
                <w:sz w:val="26"/>
                <w:szCs w:val="26"/>
              </w:rPr>
              <w:t>Colleen L. Mooney</w:t>
            </w:r>
          </w:p>
          <w:p w14:paraId="4405B617" w14:textId="77777777" w:rsidR="00872F3F" w:rsidRDefault="00872F3F" w:rsidP="002273AC">
            <w:pPr>
              <w:rPr>
                <w:sz w:val="26"/>
                <w:szCs w:val="26"/>
              </w:rPr>
            </w:pPr>
            <w:r>
              <w:rPr>
                <w:sz w:val="26"/>
                <w:szCs w:val="26"/>
              </w:rPr>
              <w:t>Cathryn N. Loucas</w:t>
            </w:r>
          </w:p>
          <w:p w14:paraId="2A2763AD" w14:textId="77777777" w:rsidR="00977F01" w:rsidRDefault="00872F3F" w:rsidP="002273AC">
            <w:pPr>
              <w:ind w:left="720" w:hanging="720"/>
              <w:rPr>
                <w:sz w:val="26"/>
                <w:szCs w:val="26"/>
              </w:rPr>
            </w:pPr>
            <w:r>
              <w:rPr>
                <w:sz w:val="26"/>
                <w:szCs w:val="26"/>
              </w:rPr>
              <w:t>231 West Lima Street</w:t>
            </w:r>
          </w:p>
          <w:p w14:paraId="4427BD16" w14:textId="77777777" w:rsidR="00872F3F" w:rsidRPr="00F70EF6" w:rsidRDefault="00872F3F" w:rsidP="002273AC">
            <w:pPr>
              <w:ind w:left="720" w:hanging="720"/>
              <w:rPr>
                <w:sz w:val="26"/>
                <w:szCs w:val="26"/>
              </w:rPr>
            </w:pPr>
            <w:r>
              <w:rPr>
                <w:sz w:val="26"/>
                <w:szCs w:val="26"/>
              </w:rPr>
              <w:t>Findlay, OH  45839-1793</w:t>
            </w:r>
          </w:p>
          <w:p w14:paraId="438DDBA5" w14:textId="77777777" w:rsidR="00977F01" w:rsidRPr="00F70EF6" w:rsidRDefault="005723C6" w:rsidP="002273AC">
            <w:pPr>
              <w:ind w:left="720" w:hanging="720"/>
              <w:rPr>
                <w:sz w:val="26"/>
                <w:szCs w:val="26"/>
              </w:rPr>
            </w:pPr>
            <w:hyperlink r:id="rId20" w:history="1">
              <w:r w:rsidR="00977F01" w:rsidRPr="00F70EF6">
                <w:rPr>
                  <w:rStyle w:val="Hyperlink"/>
                  <w:sz w:val="26"/>
                  <w:szCs w:val="26"/>
                </w:rPr>
                <w:t>drinebolt@aol.com</w:t>
              </w:r>
            </w:hyperlink>
          </w:p>
          <w:p w14:paraId="34301CF0" w14:textId="77777777" w:rsidR="00977F01" w:rsidRPr="00F70EF6" w:rsidRDefault="005723C6" w:rsidP="002273AC">
            <w:pPr>
              <w:ind w:left="720" w:hanging="720"/>
              <w:rPr>
                <w:sz w:val="26"/>
                <w:szCs w:val="26"/>
              </w:rPr>
            </w:pPr>
            <w:hyperlink r:id="rId21" w:history="1">
              <w:r w:rsidR="00977F01" w:rsidRPr="00F70EF6">
                <w:rPr>
                  <w:rStyle w:val="Hyperlink"/>
                  <w:sz w:val="26"/>
                  <w:szCs w:val="26"/>
                </w:rPr>
                <w:t>cmooney2@columbus.rr.com</w:t>
              </w:r>
            </w:hyperlink>
          </w:p>
          <w:p w14:paraId="34D2EE6B" w14:textId="77777777" w:rsidR="00977F01" w:rsidRDefault="00977F01" w:rsidP="002273AC">
            <w:pPr>
              <w:rPr>
                <w:sz w:val="26"/>
                <w:szCs w:val="26"/>
              </w:rPr>
            </w:pPr>
          </w:p>
          <w:p w14:paraId="1B114070" w14:textId="77777777" w:rsidR="00872F3F" w:rsidRDefault="00872F3F" w:rsidP="002273AC">
            <w:pPr>
              <w:rPr>
                <w:sz w:val="26"/>
                <w:szCs w:val="26"/>
              </w:rPr>
            </w:pPr>
            <w:r>
              <w:rPr>
                <w:sz w:val="26"/>
                <w:szCs w:val="26"/>
              </w:rPr>
              <w:t>Andrew J. Sonderman</w:t>
            </w:r>
          </w:p>
          <w:p w14:paraId="7FE1B9B0" w14:textId="77777777" w:rsidR="00872F3F" w:rsidRDefault="00872F3F" w:rsidP="002273AC">
            <w:pPr>
              <w:rPr>
                <w:sz w:val="26"/>
                <w:szCs w:val="26"/>
              </w:rPr>
            </w:pPr>
            <w:r>
              <w:rPr>
                <w:sz w:val="26"/>
                <w:szCs w:val="26"/>
              </w:rPr>
              <w:t>Margeaux Kimbrough</w:t>
            </w:r>
          </w:p>
          <w:p w14:paraId="119D8D33" w14:textId="77777777" w:rsidR="00872F3F" w:rsidRDefault="00872F3F" w:rsidP="002273AC">
            <w:pPr>
              <w:rPr>
                <w:sz w:val="26"/>
                <w:szCs w:val="26"/>
              </w:rPr>
            </w:pPr>
            <w:r>
              <w:rPr>
                <w:sz w:val="26"/>
                <w:szCs w:val="26"/>
              </w:rPr>
              <w:t>Kegler Brown Hill &amp; Ritter</w:t>
            </w:r>
          </w:p>
          <w:p w14:paraId="643EA588" w14:textId="77777777" w:rsidR="00872F3F" w:rsidRDefault="00872F3F" w:rsidP="002273AC">
            <w:pPr>
              <w:rPr>
                <w:sz w:val="26"/>
                <w:szCs w:val="26"/>
              </w:rPr>
            </w:pPr>
            <w:r>
              <w:rPr>
                <w:sz w:val="26"/>
                <w:szCs w:val="26"/>
              </w:rPr>
              <w:t>65 East State Street</w:t>
            </w:r>
          </w:p>
          <w:p w14:paraId="52614199" w14:textId="77777777" w:rsidR="00872F3F" w:rsidRDefault="00872F3F" w:rsidP="002273AC">
            <w:pPr>
              <w:rPr>
                <w:sz w:val="26"/>
                <w:szCs w:val="26"/>
              </w:rPr>
            </w:pPr>
            <w:r>
              <w:rPr>
                <w:sz w:val="26"/>
                <w:szCs w:val="26"/>
              </w:rPr>
              <w:t>Columbus, OH  43215-4294</w:t>
            </w:r>
          </w:p>
          <w:p w14:paraId="781E79B3" w14:textId="77777777" w:rsidR="00872F3F" w:rsidRDefault="005723C6" w:rsidP="002273AC">
            <w:pPr>
              <w:rPr>
                <w:sz w:val="26"/>
                <w:szCs w:val="26"/>
              </w:rPr>
            </w:pPr>
            <w:hyperlink r:id="rId22" w:history="1">
              <w:r w:rsidR="00872F3F" w:rsidRPr="007266EF">
                <w:rPr>
                  <w:rStyle w:val="Hyperlink"/>
                  <w:sz w:val="26"/>
                  <w:szCs w:val="26"/>
                </w:rPr>
                <w:t>asonderman@keglerbrown.com</w:t>
              </w:r>
            </w:hyperlink>
          </w:p>
          <w:p w14:paraId="442FB02E" w14:textId="77777777" w:rsidR="00872F3F" w:rsidRDefault="005723C6" w:rsidP="002273AC">
            <w:pPr>
              <w:rPr>
                <w:sz w:val="26"/>
                <w:szCs w:val="26"/>
              </w:rPr>
            </w:pPr>
            <w:hyperlink r:id="rId23" w:history="1">
              <w:r w:rsidR="00872F3F" w:rsidRPr="007266EF">
                <w:rPr>
                  <w:rStyle w:val="Hyperlink"/>
                  <w:sz w:val="26"/>
                  <w:szCs w:val="26"/>
                </w:rPr>
                <w:t>mkimbrough@keglerbrown.com</w:t>
              </w:r>
            </w:hyperlink>
          </w:p>
          <w:p w14:paraId="74869AC4" w14:textId="77777777" w:rsidR="00872F3F" w:rsidRDefault="00872F3F" w:rsidP="002273AC">
            <w:pPr>
              <w:rPr>
                <w:sz w:val="26"/>
                <w:szCs w:val="26"/>
              </w:rPr>
            </w:pPr>
          </w:p>
          <w:p w14:paraId="6AEC4B09" w14:textId="77777777" w:rsidR="00872F3F" w:rsidRDefault="00872F3F" w:rsidP="002273AC">
            <w:pPr>
              <w:rPr>
                <w:sz w:val="26"/>
                <w:szCs w:val="26"/>
              </w:rPr>
            </w:pPr>
            <w:r>
              <w:rPr>
                <w:sz w:val="26"/>
                <w:szCs w:val="26"/>
              </w:rPr>
              <w:t>Trent A. Doughterty</w:t>
            </w:r>
          </w:p>
          <w:p w14:paraId="06077F99" w14:textId="77777777" w:rsidR="00872F3F" w:rsidRDefault="00872F3F" w:rsidP="002273AC">
            <w:pPr>
              <w:rPr>
                <w:sz w:val="26"/>
                <w:szCs w:val="26"/>
              </w:rPr>
            </w:pPr>
            <w:r>
              <w:rPr>
                <w:sz w:val="26"/>
                <w:szCs w:val="26"/>
              </w:rPr>
              <w:t>Ohio Environmental Council</w:t>
            </w:r>
          </w:p>
          <w:p w14:paraId="68B6D6A3" w14:textId="77777777" w:rsidR="00872F3F" w:rsidRDefault="00872F3F" w:rsidP="002273AC">
            <w:pPr>
              <w:rPr>
                <w:sz w:val="26"/>
                <w:szCs w:val="26"/>
              </w:rPr>
            </w:pPr>
            <w:r>
              <w:rPr>
                <w:sz w:val="26"/>
                <w:szCs w:val="26"/>
              </w:rPr>
              <w:t>1207 Grandview Avenue</w:t>
            </w:r>
          </w:p>
          <w:p w14:paraId="4955250C" w14:textId="77777777" w:rsidR="00872F3F" w:rsidRDefault="00872F3F" w:rsidP="002273AC">
            <w:pPr>
              <w:rPr>
                <w:sz w:val="26"/>
                <w:szCs w:val="26"/>
              </w:rPr>
            </w:pPr>
            <w:r>
              <w:rPr>
                <w:sz w:val="26"/>
                <w:szCs w:val="26"/>
              </w:rPr>
              <w:t>Suite 201</w:t>
            </w:r>
          </w:p>
          <w:p w14:paraId="627B2489" w14:textId="77777777" w:rsidR="00872F3F" w:rsidRDefault="00872F3F" w:rsidP="002273AC">
            <w:pPr>
              <w:rPr>
                <w:sz w:val="26"/>
                <w:szCs w:val="26"/>
              </w:rPr>
            </w:pPr>
            <w:r>
              <w:rPr>
                <w:sz w:val="26"/>
                <w:szCs w:val="26"/>
              </w:rPr>
              <w:t>Columbus, OH  43212-3449</w:t>
            </w:r>
          </w:p>
          <w:p w14:paraId="29357A2E" w14:textId="77777777" w:rsidR="00872F3F" w:rsidRDefault="005723C6" w:rsidP="002273AC">
            <w:pPr>
              <w:rPr>
                <w:sz w:val="26"/>
                <w:szCs w:val="26"/>
              </w:rPr>
            </w:pPr>
            <w:hyperlink r:id="rId24" w:history="1">
              <w:r w:rsidR="00872F3F" w:rsidRPr="007266EF">
                <w:rPr>
                  <w:rStyle w:val="Hyperlink"/>
                  <w:sz w:val="26"/>
                  <w:szCs w:val="26"/>
                </w:rPr>
                <w:t>trent@theoec.org</w:t>
              </w:r>
            </w:hyperlink>
          </w:p>
          <w:p w14:paraId="039D0B75" w14:textId="77777777" w:rsidR="00872F3F" w:rsidRDefault="00872F3F" w:rsidP="002273AC">
            <w:pPr>
              <w:rPr>
                <w:sz w:val="26"/>
                <w:szCs w:val="26"/>
              </w:rPr>
            </w:pPr>
          </w:p>
          <w:p w14:paraId="3ACD4BB0" w14:textId="77777777" w:rsidR="00E64487" w:rsidRDefault="00E64487" w:rsidP="002273AC">
            <w:pPr>
              <w:rPr>
                <w:sz w:val="26"/>
                <w:szCs w:val="26"/>
              </w:rPr>
            </w:pPr>
          </w:p>
          <w:p w14:paraId="70DD8403" w14:textId="77777777" w:rsidR="00E64487" w:rsidRDefault="00E64487" w:rsidP="002273AC">
            <w:pPr>
              <w:rPr>
                <w:sz w:val="26"/>
                <w:szCs w:val="26"/>
              </w:rPr>
            </w:pPr>
          </w:p>
          <w:p w14:paraId="7D1E6890" w14:textId="77777777" w:rsidR="00872F3F" w:rsidRDefault="00872F3F" w:rsidP="002273AC">
            <w:pPr>
              <w:rPr>
                <w:sz w:val="26"/>
                <w:szCs w:val="26"/>
              </w:rPr>
            </w:pPr>
            <w:r>
              <w:rPr>
                <w:sz w:val="26"/>
                <w:szCs w:val="26"/>
              </w:rPr>
              <w:t>Kimberly W. Bojko</w:t>
            </w:r>
          </w:p>
          <w:p w14:paraId="129E57B9" w14:textId="77777777" w:rsidR="00872F3F" w:rsidRDefault="00872F3F" w:rsidP="002273AC">
            <w:pPr>
              <w:rPr>
                <w:sz w:val="26"/>
                <w:szCs w:val="26"/>
              </w:rPr>
            </w:pPr>
            <w:r>
              <w:rPr>
                <w:sz w:val="26"/>
                <w:szCs w:val="26"/>
              </w:rPr>
              <w:t>Rebecca L. Hussey</w:t>
            </w:r>
          </w:p>
          <w:p w14:paraId="5F980DFA" w14:textId="77777777" w:rsidR="00872F3F" w:rsidRDefault="00872F3F" w:rsidP="002273AC">
            <w:pPr>
              <w:rPr>
                <w:sz w:val="26"/>
                <w:szCs w:val="26"/>
              </w:rPr>
            </w:pPr>
            <w:r>
              <w:rPr>
                <w:sz w:val="26"/>
                <w:szCs w:val="26"/>
              </w:rPr>
              <w:t>Carpenter Lipps &amp; Leland</w:t>
            </w:r>
          </w:p>
          <w:p w14:paraId="675D0B61" w14:textId="77777777" w:rsidR="00872F3F" w:rsidRDefault="00872F3F" w:rsidP="002273AC">
            <w:pPr>
              <w:rPr>
                <w:sz w:val="26"/>
                <w:szCs w:val="26"/>
              </w:rPr>
            </w:pPr>
            <w:r>
              <w:rPr>
                <w:sz w:val="26"/>
                <w:szCs w:val="26"/>
              </w:rPr>
              <w:t>280 North High Street</w:t>
            </w:r>
          </w:p>
          <w:p w14:paraId="778A8717" w14:textId="77777777" w:rsidR="00872F3F" w:rsidRDefault="00872F3F" w:rsidP="002273AC">
            <w:pPr>
              <w:rPr>
                <w:sz w:val="26"/>
                <w:szCs w:val="26"/>
              </w:rPr>
            </w:pPr>
            <w:r>
              <w:rPr>
                <w:sz w:val="26"/>
                <w:szCs w:val="26"/>
              </w:rPr>
              <w:t>Suite 1300</w:t>
            </w:r>
          </w:p>
          <w:p w14:paraId="186D6B0E" w14:textId="77777777" w:rsidR="00872F3F" w:rsidRDefault="00872F3F" w:rsidP="002273AC">
            <w:pPr>
              <w:rPr>
                <w:sz w:val="26"/>
                <w:szCs w:val="26"/>
              </w:rPr>
            </w:pPr>
            <w:r>
              <w:rPr>
                <w:sz w:val="26"/>
                <w:szCs w:val="26"/>
              </w:rPr>
              <w:t>Columbus, OH  43215</w:t>
            </w:r>
          </w:p>
          <w:p w14:paraId="38B0A891" w14:textId="77777777" w:rsidR="00872F3F" w:rsidRDefault="005723C6" w:rsidP="002273AC">
            <w:pPr>
              <w:rPr>
                <w:sz w:val="26"/>
                <w:szCs w:val="26"/>
              </w:rPr>
            </w:pPr>
            <w:hyperlink r:id="rId25" w:history="1">
              <w:r w:rsidR="00872F3F" w:rsidRPr="007266EF">
                <w:rPr>
                  <w:rStyle w:val="Hyperlink"/>
                  <w:sz w:val="26"/>
                  <w:szCs w:val="26"/>
                </w:rPr>
                <w:t>bojko@carpenterlipps.com</w:t>
              </w:r>
            </w:hyperlink>
          </w:p>
          <w:p w14:paraId="6C3F8A28" w14:textId="77777777" w:rsidR="00872F3F" w:rsidRDefault="005723C6" w:rsidP="002273AC">
            <w:pPr>
              <w:rPr>
                <w:sz w:val="26"/>
                <w:szCs w:val="26"/>
              </w:rPr>
            </w:pPr>
            <w:hyperlink r:id="rId26" w:history="1">
              <w:r w:rsidR="00872F3F" w:rsidRPr="007266EF">
                <w:rPr>
                  <w:rStyle w:val="Hyperlink"/>
                  <w:sz w:val="26"/>
                  <w:szCs w:val="26"/>
                </w:rPr>
                <w:t>hussey@carpenterlipps.com</w:t>
              </w:r>
            </w:hyperlink>
          </w:p>
          <w:p w14:paraId="5CA4054F" w14:textId="77777777" w:rsidR="00872F3F" w:rsidRDefault="00872F3F" w:rsidP="002273AC">
            <w:pPr>
              <w:rPr>
                <w:sz w:val="26"/>
                <w:szCs w:val="26"/>
              </w:rPr>
            </w:pPr>
          </w:p>
          <w:p w14:paraId="1B6C8D61" w14:textId="77777777" w:rsidR="00872F3F" w:rsidRDefault="00872F3F" w:rsidP="002273AC">
            <w:pPr>
              <w:rPr>
                <w:sz w:val="26"/>
                <w:szCs w:val="26"/>
              </w:rPr>
            </w:pPr>
          </w:p>
          <w:p w14:paraId="2E78885F" w14:textId="77777777" w:rsidR="00872F3F" w:rsidRPr="00221496" w:rsidRDefault="00872F3F" w:rsidP="002273AC">
            <w:pPr>
              <w:rPr>
                <w:sz w:val="26"/>
                <w:szCs w:val="26"/>
              </w:rPr>
            </w:pPr>
          </w:p>
        </w:tc>
      </w:tr>
    </w:tbl>
    <w:p w14:paraId="6A571355" w14:textId="77777777" w:rsidR="00977F01" w:rsidRPr="00DF3D54" w:rsidRDefault="00977F01" w:rsidP="00200A0A">
      <w:pPr>
        <w:ind w:left="4332"/>
        <w:jc w:val="both"/>
        <w:rPr>
          <w:sz w:val="26"/>
          <w:szCs w:val="26"/>
        </w:rPr>
      </w:pPr>
    </w:p>
    <w:sectPr w:rsidR="00977F01" w:rsidRPr="00DF3D54" w:rsidSect="003B12DD">
      <w:footerReference w:type="default" r:id="rId2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DAB55" w14:textId="77777777" w:rsidR="00525520" w:rsidRDefault="00525520" w:rsidP="008866FC">
      <w:pPr>
        <w:pStyle w:val="Title"/>
      </w:pPr>
      <w:r>
        <w:separator/>
      </w:r>
    </w:p>
  </w:endnote>
  <w:endnote w:type="continuationSeparator" w:id="0">
    <w:p w14:paraId="4758E42A" w14:textId="77777777" w:rsidR="00525520" w:rsidRDefault="00525520"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1AFBA" w14:textId="77777777"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5723C6">
      <w:rPr>
        <w:rStyle w:val="PageNumber"/>
        <w:noProof/>
        <w:sz w:val="24"/>
        <w:szCs w:val="24"/>
      </w:rPr>
      <w:t>9</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9B82D" w14:textId="77777777" w:rsidR="00525520" w:rsidRDefault="00525520" w:rsidP="00663D6A">
      <w:pPr>
        <w:pStyle w:val="Title"/>
        <w:jc w:val="left"/>
      </w:pPr>
      <w:r>
        <w:separator/>
      </w:r>
    </w:p>
  </w:footnote>
  <w:footnote w:type="continuationSeparator" w:id="0">
    <w:p w14:paraId="1A61F16E" w14:textId="77777777" w:rsidR="00525520" w:rsidRDefault="00525520" w:rsidP="008866FC">
      <w:pPr>
        <w:pStyle w:val="Title"/>
      </w:pPr>
      <w:r>
        <w:continuationSeparator/>
      </w:r>
    </w:p>
  </w:footnote>
  <w:footnote w:id="1">
    <w:p w14:paraId="1BA49546" w14:textId="4434D4FE" w:rsidR="00C81A44" w:rsidRDefault="00C81A44">
      <w:pPr>
        <w:pStyle w:val="FootnoteText"/>
      </w:pPr>
      <w:r>
        <w:rPr>
          <w:rStyle w:val="FootnoteReference"/>
        </w:rPr>
        <w:footnoteRef/>
      </w:r>
      <w:r>
        <w:t xml:space="preserve"> </w:t>
      </w:r>
      <w:r>
        <w:tab/>
      </w:r>
      <w:r>
        <w:tab/>
      </w:r>
      <w:r>
        <w:rPr>
          <w:i/>
        </w:rPr>
        <w:t>In the Matter of the Application of Duke Energy Ohio, Inc. for an Energy Efficiency Cost Recovery Mechanism and for Approval of Additional Programs for Inclusion in its Existing Portfolio</w:t>
      </w:r>
      <w:r>
        <w:t>, Case No. 11-4393-EL-RDR</w:t>
      </w:r>
      <w:r>
        <w:t xml:space="preserve"> </w:t>
      </w:r>
      <w:r>
        <w:rPr>
          <w:i/>
        </w:rPr>
        <w:t>(“Case No. 11-4393”)</w:t>
      </w:r>
      <w:r>
        <w:t xml:space="preserve"> </w:t>
      </w:r>
      <w:r>
        <w:t xml:space="preserve">(Opinion and Order at 17) (Nov. 18, 2011).  </w:t>
      </w:r>
    </w:p>
  </w:footnote>
  <w:footnote w:id="2">
    <w:p w14:paraId="51729458" w14:textId="729318C6" w:rsidR="00C81A44" w:rsidRDefault="00C81A44">
      <w:pPr>
        <w:pStyle w:val="FootnoteText"/>
      </w:pPr>
      <w:r>
        <w:rPr>
          <w:rStyle w:val="FootnoteReference"/>
        </w:rPr>
        <w:footnoteRef/>
      </w:r>
      <w:r>
        <w:t xml:space="preserve"> </w:t>
      </w:r>
      <w:r>
        <w:tab/>
      </w:r>
      <w:r>
        <w:tab/>
      </w:r>
      <w:r w:rsidRPr="00952DCD">
        <w:rPr>
          <w:i/>
        </w:rPr>
        <w:t>Case No. 11-4393</w:t>
      </w:r>
      <w:r>
        <w:t xml:space="preserve"> (Stipulation and Recommendation at 5) (Nov. 18, 2011).</w:t>
      </w:r>
    </w:p>
  </w:footnote>
  <w:footnote w:id="3">
    <w:p w14:paraId="05275B4A" w14:textId="4D8733ED" w:rsidR="00C81A44" w:rsidRDefault="00C81A44">
      <w:pPr>
        <w:pStyle w:val="FootnoteText"/>
      </w:pPr>
      <w:r>
        <w:rPr>
          <w:rStyle w:val="FootnoteReference"/>
        </w:rPr>
        <w:footnoteRef/>
      </w:r>
      <w:r>
        <w:t xml:space="preserve"> </w:t>
      </w:r>
      <w:r>
        <w:tab/>
      </w:r>
      <w:r>
        <w:tab/>
      </w:r>
      <w:r>
        <w:rPr>
          <w:i/>
        </w:rPr>
        <w:t>In the Matter of the Application of Duke Energy Ohio, Inc. for Approval of its Energy Efficiency and Peak Demand Reduction Portfolio of Programs</w:t>
      </w:r>
      <w:r>
        <w:t>, Case No. 13-0431-EL-POR</w:t>
      </w:r>
      <w:r>
        <w:rPr>
          <w:i/>
        </w:rPr>
        <w:t xml:space="preserve"> (“Case No. 13-0431-EL-POR”)</w:t>
      </w:r>
      <w:r>
        <w:t xml:space="preserve"> (Stipulatio</w:t>
      </w:r>
      <w:r>
        <w:t>n and Recommendation at 5) (Sep</w:t>
      </w:r>
      <w:r>
        <w:t>. 6, 2013).</w:t>
      </w:r>
    </w:p>
  </w:footnote>
  <w:footnote w:id="4">
    <w:p w14:paraId="7114B32E" w14:textId="37B334C5" w:rsidR="00C81A44" w:rsidRPr="00410413" w:rsidRDefault="00C81A44">
      <w:pPr>
        <w:pStyle w:val="FootnoteText"/>
      </w:pPr>
      <w:r>
        <w:rPr>
          <w:rStyle w:val="FootnoteReference"/>
        </w:rPr>
        <w:footnoteRef/>
      </w:r>
      <w:r>
        <w:t xml:space="preserve"> </w:t>
      </w:r>
      <w:r>
        <w:tab/>
      </w:r>
      <w:r>
        <w:tab/>
      </w:r>
      <w:r w:rsidR="00410413">
        <w:rPr>
          <w:i/>
        </w:rPr>
        <w:t>Case No. 13-0431-EL-POR</w:t>
      </w:r>
      <w:r w:rsidR="00410413">
        <w:t xml:space="preserve"> (Stipulation and Recommendation at 5) (Sep. 6, 2013).</w:t>
      </w:r>
    </w:p>
  </w:footnote>
  <w:footnote w:id="5">
    <w:p w14:paraId="78B33686" w14:textId="1D015A58" w:rsidR="00C81A44" w:rsidRDefault="00C81A44">
      <w:pPr>
        <w:pStyle w:val="FootnoteText"/>
      </w:pPr>
      <w:r>
        <w:rPr>
          <w:rStyle w:val="FootnoteReference"/>
        </w:rPr>
        <w:footnoteRef/>
      </w:r>
      <w:r>
        <w:t xml:space="preserve"> </w:t>
      </w:r>
      <w:r>
        <w:tab/>
      </w:r>
      <w:r>
        <w:tab/>
      </w:r>
      <w:r>
        <w:t>Senate Bill 310 Section 6(A).</w:t>
      </w:r>
    </w:p>
  </w:footnote>
  <w:footnote w:id="6">
    <w:p w14:paraId="091BCD6B" w14:textId="25BF95E4" w:rsidR="00C81A44" w:rsidRDefault="00C81A44">
      <w:pPr>
        <w:pStyle w:val="FootnoteText"/>
      </w:pPr>
      <w:r>
        <w:rPr>
          <w:rStyle w:val="FootnoteReference"/>
        </w:rPr>
        <w:footnoteRef/>
      </w:r>
      <w:r>
        <w:t xml:space="preserve"> </w:t>
      </w:r>
      <w:r>
        <w:tab/>
      </w:r>
      <w:r>
        <w:tab/>
      </w:r>
      <w:r>
        <w:rPr>
          <w:i/>
        </w:rPr>
        <w:t>Id</w:t>
      </w:r>
      <w:r>
        <w:t>. at S</w:t>
      </w:r>
      <w:r>
        <w:t>ection 8.</w:t>
      </w:r>
    </w:p>
  </w:footnote>
  <w:footnote w:id="7">
    <w:p w14:paraId="5B6204E7" w14:textId="650AB0A1" w:rsidR="00C81A44" w:rsidRDefault="00C81A44">
      <w:pPr>
        <w:pStyle w:val="FootnoteText"/>
      </w:pPr>
      <w:r>
        <w:rPr>
          <w:rStyle w:val="FootnoteReference"/>
        </w:rPr>
        <w:footnoteRef/>
      </w:r>
      <w:r>
        <w:t xml:space="preserve"> </w:t>
      </w:r>
      <w:r>
        <w:tab/>
      </w:r>
      <w:r>
        <w:tab/>
      </w:r>
      <w:r w:rsidR="00410413">
        <w:rPr>
          <w:i/>
        </w:rPr>
        <w:t xml:space="preserve">Case No. 13-0431-EL-POR </w:t>
      </w:r>
      <w:r>
        <w:t>(Stipulation and Recommendation at 5) (Sep. 6, 2013)</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E09AD"/>
    <w:multiLevelType w:val="hybridMultilevel"/>
    <w:tmpl w:val="05784022"/>
    <w:lvl w:ilvl="0" w:tplc="58ECAD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20"/>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3"/>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17F"/>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0C7"/>
    <w:rsid w:val="0007021F"/>
    <w:rsid w:val="0007065E"/>
    <w:rsid w:val="0007085C"/>
    <w:rsid w:val="00070CE5"/>
    <w:rsid w:val="00070EBD"/>
    <w:rsid w:val="00071274"/>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A6B"/>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14D"/>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AF4"/>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0E"/>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2B04"/>
    <w:rsid w:val="00173BFC"/>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3A59"/>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CD"/>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1B6"/>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5F8"/>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781"/>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07"/>
    <w:rsid w:val="003455E4"/>
    <w:rsid w:val="00345CBF"/>
    <w:rsid w:val="00346071"/>
    <w:rsid w:val="00346927"/>
    <w:rsid w:val="00346FC0"/>
    <w:rsid w:val="00347087"/>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126"/>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6885"/>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AFD"/>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413"/>
    <w:rsid w:val="00410C5C"/>
    <w:rsid w:val="00410CA5"/>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274"/>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2"/>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7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0B7"/>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9E7"/>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99A"/>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66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520"/>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27E03"/>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37C41"/>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C6"/>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2F"/>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B77BD"/>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6F2"/>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722"/>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AE3"/>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9E0"/>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4B"/>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302F"/>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4F6"/>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7F7D54"/>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6A8A"/>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2F3F"/>
    <w:rsid w:val="00873132"/>
    <w:rsid w:val="0087365B"/>
    <w:rsid w:val="008737DD"/>
    <w:rsid w:val="00873907"/>
    <w:rsid w:val="008745FB"/>
    <w:rsid w:val="00874DD2"/>
    <w:rsid w:val="00875776"/>
    <w:rsid w:val="0087589C"/>
    <w:rsid w:val="008758A3"/>
    <w:rsid w:val="00875BA9"/>
    <w:rsid w:val="00875EAA"/>
    <w:rsid w:val="008761C8"/>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C7DC8"/>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4C58"/>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2DCD"/>
    <w:rsid w:val="009534E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56C"/>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0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13D"/>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9FF"/>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4E9D"/>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6F"/>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291"/>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6EE"/>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7E4"/>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4B"/>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1A44"/>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450D"/>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797"/>
    <w:rsid w:val="00CC1949"/>
    <w:rsid w:val="00CC1DB6"/>
    <w:rsid w:val="00CC293F"/>
    <w:rsid w:val="00CC2AAF"/>
    <w:rsid w:val="00CC2AB9"/>
    <w:rsid w:val="00CC2BD8"/>
    <w:rsid w:val="00CC2D08"/>
    <w:rsid w:val="00CC2D98"/>
    <w:rsid w:val="00CC2F35"/>
    <w:rsid w:val="00CC43B6"/>
    <w:rsid w:val="00CC44A4"/>
    <w:rsid w:val="00CC4645"/>
    <w:rsid w:val="00CC5227"/>
    <w:rsid w:val="00CC5523"/>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514"/>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26B"/>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578A"/>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1E2D"/>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1D86"/>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47D"/>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0D04"/>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5A"/>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3D1E"/>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487"/>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8C5"/>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086"/>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92F"/>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8DC"/>
    <w:rsid w:val="00EA2C82"/>
    <w:rsid w:val="00EA3205"/>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32"/>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0EFE"/>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0CF"/>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DAA"/>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BB242F7"/>
  <w15:docId w15:val="{9C531EC2-D3E6-44B6-890B-2ABBD422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D6578A"/>
    <w:pPr>
      <w:spacing w:line="480" w:lineRule="auto"/>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styleId="ListParagraph">
    <w:name w:val="List Paragraph"/>
    <w:basedOn w:val="Normal"/>
    <w:uiPriority w:val="34"/>
    <w:qFormat/>
    <w:rsid w:val="00914C58"/>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Normal"/>
    <w:autoRedefine/>
    <w:rsid w:val="00914C58"/>
    <w:pPr>
      <w:spacing w:after="240"/>
      <w:ind w:left="1440" w:right="1440"/>
    </w:pPr>
    <w:rPr>
      <w:sz w:val="26"/>
      <w:szCs w:val="24"/>
    </w:r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styleId="CommentReference">
    <w:name w:val="annotation reference"/>
    <w:basedOn w:val="DefaultParagraphFont"/>
    <w:semiHidden/>
    <w:unhideWhenUsed/>
    <w:rsid w:val="000F1A6B"/>
    <w:rPr>
      <w:sz w:val="16"/>
      <w:szCs w:val="16"/>
    </w:rPr>
  </w:style>
  <w:style w:type="paragraph" w:styleId="CommentText">
    <w:name w:val="annotation text"/>
    <w:basedOn w:val="Normal"/>
    <w:link w:val="CommentTextChar"/>
    <w:semiHidden/>
    <w:unhideWhenUsed/>
    <w:rsid w:val="000F1A6B"/>
  </w:style>
  <w:style w:type="character" w:customStyle="1" w:styleId="CommentTextChar">
    <w:name w:val="Comment Text Char"/>
    <w:basedOn w:val="DefaultParagraphFont"/>
    <w:link w:val="CommentText"/>
    <w:semiHidden/>
    <w:rsid w:val="000F1A6B"/>
  </w:style>
  <w:style w:type="paragraph" w:styleId="CommentSubject">
    <w:name w:val="annotation subject"/>
    <w:basedOn w:val="CommentText"/>
    <w:next w:val="CommentText"/>
    <w:link w:val="CommentSubjectChar"/>
    <w:semiHidden/>
    <w:unhideWhenUsed/>
    <w:rsid w:val="000F1A6B"/>
    <w:rPr>
      <w:b/>
      <w:bCs/>
    </w:rPr>
  </w:style>
  <w:style w:type="character" w:customStyle="1" w:styleId="CommentSubjectChar">
    <w:name w:val="Comment Subject Char"/>
    <w:basedOn w:val="CommentTextChar"/>
    <w:link w:val="CommentSubject"/>
    <w:semiHidden/>
    <w:rsid w:val="000F1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johnson@puc.state.oh.us" TargetMode="External"/><Relationship Id="rId13" Type="http://schemas.openxmlformats.org/officeDocument/2006/relationships/hyperlink" Target="mailto:elizabeth.watts@duke-energy.com" TargetMode="External"/><Relationship Id="rId18" Type="http://schemas.openxmlformats.org/officeDocument/2006/relationships/hyperlink" Target="mailto:jkylercohn@bkllawfirm.com" TargetMode="External"/><Relationship Id="rId26" Type="http://schemas.openxmlformats.org/officeDocument/2006/relationships/hyperlink" Target="mailto:hussey@carpenterlipps.com" TargetMode="External"/><Relationship Id="rId3" Type="http://schemas.openxmlformats.org/officeDocument/2006/relationships/styles" Target="styles.xml"/><Relationship Id="rId21" Type="http://schemas.openxmlformats.org/officeDocument/2006/relationships/hyperlink" Target="mailto:cmooney2@columbus.rr.com" TargetMode="External"/><Relationship Id="rId7" Type="http://schemas.openxmlformats.org/officeDocument/2006/relationships/endnotes" Target="endnotes.xml"/><Relationship Id="rId12" Type="http://schemas.openxmlformats.org/officeDocument/2006/relationships/hyperlink" Target="mailto:amy.spiller@duke-energy.com" TargetMode="External"/><Relationship Id="rId17" Type="http://schemas.openxmlformats.org/officeDocument/2006/relationships/hyperlink" Target="mailto:dboehm@bkllawfirm.com" TargetMode="External"/><Relationship Id="rId25" Type="http://schemas.openxmlformats.org/officeDocument/2006/relationships/hyperlink" Target="mailto:bojko@carpenterlipps.com" TargetMode="External"/><Relationship Id="rId2" Type="http://schemas.openxmlformats.org/officeDocument/2006/relationships/numbering" Target="numbering.xml"/><Relationship Id="rId16" Type="http://schemas.openxmlformats.org/officeDocument/2006/relationships/hyperlink" Target="mailto:mkurtz@bkllawfirm.com" TargetMode="External"/><Relationship Id="rId20" Type="http://schemas.openxmlformats.org/officeDocument/2006/relationships/hyperlink" Target="mailto:drinebolt@ao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schuler@occ.ohio.gov" TargetMode="External"/><Relationship Id="rId24" Type="http://schemas.openxmlformats.org/officeDocument/2006/relationships/hyperlink" Target="mailto:trent@theoec.org" TargetMode="External"/><Relationship Id="rId5" Type="http://schemas.openxmlformats.org/officeDocument/2006/relationships/webSettings" Target="webSettings.xml"/><Relationship Id="rId15" Type="http://schemas.openxmlformats.org/officeDocument/2006/relationships/hyperlink" Target="mailto:mfleisher@elpc.org" TargetMode="External"/><Relationship Id="rId23" Type="http://schemas.openxmlformats.org/officeDocument/2006/relationships/hyperlink" Target="mailto:mkimbrough@keglerbrown.com" TargetMode="External"/><Relationship Id="rId28" Type="http://schemas.openxmlformats.org/officeDocument/2006/relationships/fontTable" Target="fontTable.xml"/><Relationship Id="rId10" Type="http://schemas.openxmlformats.org/officeDocument/2006/relationships/hyperlink" Target="mailto:kyle.kern@occ.ohio.gov" TargetMode="External"/><Relationship Id="rId19" Type="http://schemas.openxmlformats.org/officeDocument/2006/relationships/hyperlink" Target="mailto:m.pritchard@mwncmh.com" TargetMode="External"/><Relationship Id="rId4" Type="http://schemas.openxmlformats.org/officeDocument/2006/relationships/settings" Target="settings.xml"/><Relationship Id="rId9" Type="http://schemas.openxmlformats.org/officeDocument/2006/relationships/hyperlink" Target="mailto:john.jones@puc.state.oh.us" TargetMode="External"/><Relationship Id="rId14" Type="http://schemas.openxmlformats.org/officeDocument/2006/relationships/hyperlink" Target="mailto:swilliams@nrdc.org" TargetMode="External"/><Relationship Id="rId22" Type="http://schemas.openxmlformats.org/officeDocument/2006/relationships/hyperlink" Target="mailto:asonderman@keglerbrown.com"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7C5A-1100-40AF-B99C-D81845E2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Template>
  <TotalTime>13</TotalTime>
  <Pages>9</Pages>
  <Words>1654</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11814</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7</cp:revision>
  <cp:lastPrinted>2015-01-07T15:00:00Z</cp:lastPrinted>
  <dcterms:created xsi:type="dcterms:W3CDTF">2015-01-09T17:17:00Z</dcterms:created>
  <dcterms:modified xsi:type="dcterms:W3CDTF">2015-01-09T17:30:00Z</dcterms:modified>
</cp:coreProperties>
</file>