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83E3B" w:rsidP="00283E3B" w14:paraId="753BB58F" w14:textId="29D51402">
      <w:pPr>
        <w:spacing w:after="0" w:line="240" w:lineRule="auto"/>
        <w:jc w:val="center"/>
        <w:rPr>
          <w:b/>
          <w:bCs/>
        </w:rPr>
      </w:pPr>
      <w:r>
        <w:rPr>
          <w:b/>
          <w:bCs/>
        </w:rPr>
        <w:t>BEFORE</w:t>
      </w:r>
    </w:p>
    <w:p w:rsidR="00283E3B" w:rsidP="00283E3B" w14:paraId="6E6D5CED" w14:textId="2D4FBD6F">
      <w:pPr>
        <w:jc w:val="center"/>
        <w:rPr>
          <w:b/>
          <w:bCs/>
        </w:rPr>
      </w:pPr>
      <w:r>
        <w:rPr>
          <w:b/>
          <w:bCs/>
        </w:rPr>
        <w:t>THE PUBLIC UTILITIES COMMISSION OF OHIO</w:t>
      </w:r>
    </w:p>
    <w:tbl>
      <w:tblPr>
        <w:tblStyle w:val="TableGrid"/>
        <w:tblW w:w="0" w:type="auto"/>
        <w:tblInd w:w="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254"/>
        <w:gridCol w:w="514"/>
        <w:gridCol w:w="3872"/>
      </w:tblGrid>
      <w:tr w14:paraId="194D8ABC" w14:textId="77777777" w:rsidTr="00283E3B">
        <w:tblPrEx>
          <w:tblW w:w="0" w:type="auto"/>
          <w:tblInd w:w="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585" w:type="dxa"/>
          </w:tcPr>
          <w:p w:rsidR="008E56D1" w:rsidP="00832A19" w14:paraId="1B644B6F" w14:textId="27B68063">
            <w:pPr>
              <w:spacing w:after="0" w:line="240" w:lineRule="auto"/>
              <w:rPr>
                <w:rStyle w:val="DefaultParagraphFont"/>
                <w:rFonts w:ascii="Times New Roman" w:hAnsi="Times New Roman" w:eastAsiaTheme="minorHAnsi" w:cstheme="minorBidi"/>
                <w:sz w:val="24"/>
                <w:szCs w:val="22"/>
                <w:lang w:val="en-US" w:eastAsia="en-US" w:bidi="ar-SA"/>
              </w:rPr>
            </w:pPr>
            <w:r w:rsidRPr="008E56D1">
              <w:rPr>
                <w:rFonts w:ascii="Times New Roman" w:hAnsi="Times New Roman" w:eastAsiaTheme="minorHAnsi" w:cstheme="minorBidi"/>
                <w:sz w:val="24"/>
                <w:szCs w:val="22"/>
                <w:lang w:val="en-US" w:eastAsia="en-US" w:bidi="ar-SA"/>
              </w:rPr>
              <w:t>In the Matter of the Application of The Dayton Power and Light Company to Increase Its Rates for Electric Distribution</w:t>
            </w:r>
            <w:r w:rsidR="00F76457">
              <w:rPr>
                <w:rFonts w:ascii="Times New Roman" w:hAnsi="Times New Roman" w:eastAsiaTheme="minorHAnsi" w:cstheme="minorBidi"/>
                <w:sz w:val="24"/>
                <w:szCs w:val="22"/>
                <w:lang w:val="en-US" w:eastAsia="en-US" w:bidi="ar-SA"/>
              </w:rPr>
              <w:t>.</w:t>
            </w:r>
          </w:p>
          <w:p w:rsidR="008E56D1" w:rsidP="00832A19" w14:paraId="516CCFB2" w14:textId="77777777">
            <w:pPr>
              <w:spacing w:after="0" w:line="240" w:lineRule="auto"/>
              <w:rPr>
                <w:rStyle w:val="DefaultParagraphFont"/>
                <w:rFonts w:ascii="Times New Roman" w:hAnsi="Times New Roman" w:eastAsiaTheme="minorHAnsi" w:cstheme="minorBidi"/>
                <w:sz w:val="24"/>
                <w:szCs w:val="22"/>
                <w:lang w:val="en-US" w:eastAsia="en-US" w:bidi="ar-SA"/>
              </w:rPr>
            </w:pPr>
          </w:p>
          <w:p w:rsidR="008E56D1" w:rsidP="00832A19" w14:paraId="0C3F48EA" w14:textId="1F682DEF">
            <w:pPr>
              <w:spacing w:after="0" w:line="240" w:lineRule="auto"/>
              <w:rPr>
                <w:rStyle w:val="DefaultParagraphFont"/>
                <w:rFonts w:ascii="Times New Roman" w:hAnsi="Times New Roman" w:eastAsiaTheme="minorHAnsi" w:cstheme="minorBidi"/>
                <w:sz w:val="24"/>
                <w:szCs w:val="22"/>
                <w:lang w:val="en-US" w:eastAsia="en-US" w:bidi="ar-SA"/>
              </w:rPr>
            </w:pPr>
            <w:r w:rsidRPr="008E56D1">
              <w:rPr>
                <w:rFonts w:ascii="Times New Roman" w:hAnsi="Times New Roman" w:eastAsiaTheme="minorHAnsi" w:cstheme="minorBidi"/>
                <w:sz w:val="24"/>
                <w:szCs w:val="22"/>
                <w:lang w:val="en-US" w:eastAsia="en-US" w:bidi="ar-SA"/>
              </w:rPr>
              <w:t>In the Matter of the Application of The Dayton Power and Light Company for Accounting Authority</w:t>
            </w:r>
            <w:r w:rsidR="00F76457">
              <w:rPr>
                <w:rFonts w:ascii="Times New Roman" w:hAnsi="Times New Roman" w:eastAsiaTheme="minorHAnsi" w:cstheme="minorBidi"/>
                <w:sz w:val="24"/>
                <w:szCs w:val="22"/>
                <w:lang w:val="en-US" w:eastAsia="en-US" w:bidi="ar-SA"/>
              </w:rPr>
              <w:t>.</w:t>
            </w:r>
            <w:r w:rsidRPr="008E56D1">
              <w:rPr>
                <w:rFonts w:ascii="Times New Roman" w:hAnsi="Times New Roman" w:eastAsiaTheme="minorHAnsi" w:cstheme="minorBidi"/>
                <w:sz w:val="24"/>
                <w:szCs w:val="22"/>
                <w:lang w:val="en-US" w:eastAsia="en-US" w:bidi="ar-SA"/>
              </w:rPr>
              <w:t xml:space="preserve"> </w:t>
            </w:r>
          </w:p>
          <w:p w:rsidR="008E56D1" w:rsidP="00832A19" w14:paraId="2365C052" w14:textId="77777777">
            <w:pPr>
              <w:spacing w:after="0" w:line="240" w:lineRule="auto"/>
              <w:rPr>
                <w:rStyle w:val="DefaultParagraphFont"/>
                <w:rFonts w:ascii="Times New Roman" w:hAnsi="Times New Roman" w:eastAsiaTheme="minorHAnsi" w:cstheme="minorBidi"/>
                <w:sz w:val="24"/>
                <w:szCs w:val="22"/>
                <w:lang w:val="en-US" w:eastAsia="en-US" w:bidi="ar-SA"/>
              </w:rPr>
            </w:pPr>
          </w:p>
          <w:p w:rsidR="009F3D82" w:rsidP="00DD17CD" w14:paraId="17DFD25E" w14:textId="77777777">
            <w:pPr>
              <w:spacing w:after="0" w:line="240" w:lineRule="auto"/>
              <w:rPr>
                <w:rStyle w:val="DefaultParagraphFont"/>
                <w:rFonts w:ascii="Times New Roman" w:hAnsi="Times New Roman" w:eastAsiaTheme="minorHAnsi" w:cstheme="minorBidi"/>
                <w:sz w:val="24"/>
                <w:szCs w:val="22"/>
                <w:lang w:val="en-US" w:eastAsia="en-US" w:bidi="ar-SA"/>
              </w:rPr>
            </w:pPr>
            <w:r w:rsidRPr="008E56D1">
              <w:rPr>
                <w:rFonts w:ascii="Times New Roman" w:hAnsi="Times New Roman" w:eastAsiaTheme="minorHAnsi" w:cstheme="minorBidi"/>
                <w:sz w:val="24"/>
                <w:szCs w:val="22"/>
                <w:lang w:val="en-US" w:eastAsia="en-US" w:bidi="ar-SA"/>
              </w:rPr>
              <w:t>In the Matter of the Application of The Dayton Power and Light Company for Approval of Revised Tariffs</w:t>
            </w:r>
            <w:r w:rsidR="00F76457">
              <w:rPr>
                <w:rFonts w:ascii="Times New Roman" w:hAnsi="Times New Roman" w:eastAsiaTheme="minorHAnsi" w:cstheme="minorBidi"/>
                <w:sz w:val="24"/>
                <w:szCs w:val="22"/>
                <w:lang w:val="en-US" w:eastAsia="en-US" w:bidi="ar-SA"/>
              </w:rPr>
              <w:t>.</w:t>
            </w:r>
          </w:p>
          <w:p w:rsidR="00DD17CD" w:rsidP="00DD17CD" w14:paraId="1FE242DA" w14:textId="6C01B092">
            <w:pPr>
              <w:spacing w:after="0" w:line="240" w:lineRule="auto"/>
              <w:rPr>
                <w:rStyle w:val="DefaultParagraphFont"/>
                <w:rFonts w:ascii="Times New Roman" w:hAnsi="Times New Roman" w:eastAsiaTheme="minorHAnsi" w:cstheme="minorBidi"/>
                <w:b/>
                <w:bCs/>
                <w:sz w:val="24"/>
                <w:szCs w:val="22"/>
                <w:lang w:val="en-US" w:eastAsia="en-US" w:bidi="ar-SA"/>
              </w:rPr>
            </w:pPr>
          </w:p>
        </w:tc>
        <w:tc>
          <w:tcPr>
            <w:tcW w:w="540" w:type="dxa"/>
          </w:tcPr>
          <w:p w:rsidR="00283E3B" w:rsidP="00283E3B" w14:paraId="6B30A638" w14:textId="77777777">
            <w:pPr>
              <w:spacing w:after="0" w:line="240" w:lineRule="auto"/>
              <w:jc w:val="center"/>
              <w:rPr>
                <w:rStyle w:val="DefaultParagraphFont"/>
                <w:rFonts w:ascii="Times New Roman" w:hAnsi="Times New Roman" w:eastAsiaTheme="minorHAnsi" w:cstheme="minorBidi"/>
                <w:sz w:val="24"/>
                <w:szCs w:val="22"/>
                <w:lang w:val="en-US" w:eastAsia="en-US" w:bidi="ar-SA"/>
              </w:rPr>
            </w:pPr>
            <w:r w:rsidRPr="00283E3B">
              <w:rPr>
                <w:rFonts w:ascii="Times New Roman" w:hAnsi="Times New Roman" w:eastAsiaTheme="minorHAnsi" w:cstheme="minorBidi"/>
                <w:sz w:val="24"/>
                <w:szCs w:val="22"/>
                <w:lang w:val="en-US" w:eastAsia="en-US" w:bidi="ar-SA"/>
              </w:rPr>
              <w:t>)</w:t>
            </w:r>
          </w:p>
          <w:p w:rsidR="00283E3B" w:rsidP="00283E3B" w14:paraId="2147FF03" w14:textId="77777777">
            <w:pPr>
              <w:spacing w:after="0" w:line="240" w:lineRule="auto"/>
              <w:jc w:val="center"/>
              <w:rPr>
                <w:rStyle w:val="DefaultParagraphFont"/>
                <w:rFonts w:ascii="Times New Roman" w:hAnsi="Times New Roman" w:eastAsiaTheme="minorHAnsi" w:cstheme="minorBidi"/>
                <w:sz w:val="24"/>
                <w:szCs w:val="22"/>
                <w:lang w:val="en-US" w:eastAsia="en-US" w:bidi="ar-SA"/>
              </w:rPr>
            </w:pPr>
            <w:r>
              <w:rPr>
                <w:rFonts w:ascii="Times New Roman" w:hAnsi="Times New Roman" w:eastAsiaTheme="minorHAnsi" w:cstheme="minorBidi"/>
                <w:sz w:val="24"/>
                <w:szCs w:val="22"/>
                <w:lang w:val="en-US" w:eastAsia="en-US" w:bidi="ar-SA"/>
              </w:rPr>
              <w:t>)</w:t>
            </w:r>
          </w:p>
          <w:p w:rsidR="00283E3B" w:rsidP="00283E3B" w14:paraId="54672023" w14:textId="65C0E4C6">
            <w:pPr>
              <w:spacing w:after="0" w:line="240" w:lineRule="auto"/>
              <w:jc w:val="center"/>
              <w:rPr>
                <w:rStyle w:val="DefaultParagraphFont"/>
                <w:rFonts w:ascii="Times New Roman" w:hAnsi="Times New Roman" w:eastAsiaTheme="minorHAnsi" w:cstheme="minorBidi"/>
                <w:sz w:val="24"/>
                <w:szCs w:val="22"/>
                <w:lang w:val="en-US" w:eastAsia="en-US" w:bidi="ar-SA"/>
              </w:rPr>
            </w:pPr>
            <w:r>
              <w:rPr>
                <w:rFonts w:ascii="Times New Roman" w:hAnsi="Times New Roman" w:eastAsiaTheme="minorHAnsi" w:cstheme="minorBidi"/>
                <w:sz w:val="24"/>
                <w:szCs w:val="22"/>
                <w:lang w:val="en-US" w:eastAsia="en-US" w:bidi="ar-SA"/>
              </w:rPr>
              <w:t>)</w:t>
            </w:r>
          </w:p>
          <w:p w:rsidR="00DA0A73" w:rsidP="00283E3B" w14:paraId="34156888" w14:textId="77777777">
            <w:pPr>
              <w:spacing w:after="0" w:line="240" w:lineRule="auto"/>
              <w:jc w:val="center"/>
              <w:rPr>
                <w:rStyle w:val="DefaultParagraphFont"/>
                <w:rFonts w:ascii="Times New Roman" w:hAnsi="Times New Roman" w:eastAsiaTheme="minorHAnsi" w:cstheme="minorBidi"/>
                <w:sz w:val="24"/>
                <w:szCs w:val="22"/>
                <w:lang w:val="en-US" w:eastAsia="en-US" w:bidi="ar-SA"/>
              </w:rPr>
            </w:pPr>
          </w:p>
          <w:p w:rsidR="008E56D1" w:rsidP="00283E3B" w14:paraId="54BE0FF5" w14:textId="77777777">
            <w:pPr>
              <w:spacing w:after="0" w:line="240" w:lineRule="auto"/>
              <w:jc w:val="center"/>
              <w:rPr>
                <w:rStyle w:val="DefaultParagraphFont"/>
                <w:rFonts w:ascii="Times New Roman" w:hAnsi="Times New Roman" w:eastAsiaTheme="minorHAnsi" w:cstheme="minorBidi"/>
                <w:sz w:val="24"/>
                <w:szCs w:val="22"/>
                <w:lang w:val="en-US" w:eastAsia="en-US" w:bidi="ar-SA"/>
              </w:rPr>
            </w:pPr>
          </w:p>
          <w:p w:rsidR="008E56D1" w:rsidP="00283E3B" w14:paraId="641778EA" w14:textId="73868970">
            <w:pPr>
              <w:spacing w:after="0" w:line="240" w:lineRule="auto"/>
              <w:jc w:val="center"/>
              <w:rPr>
                <w:rStyle w:val="DefaultParagraphFont"/>
                <w:rFonts w:ascii="Times New Roman" w:hAnsi="Times New Roman" w:eastAsiaTheme="minorHAnsi" w:cstheme="minorBidi"/>
                <w:sz w:val="24"/>
                <w:szCs w:val="22"/>
                <w:lang w:val="en-US" w:eastAsia="en-US" w:bidi="ar-SA"/>
              </w:rPr>
            </w:pPr>
            <w:r>
              <w:rPr>
                <w:rFonts w:ascii="Times New Roman" w:hAnsi="Times New Roman" w:eastAsiaTheme="minorHAnsi" w:cstheme="minorBidi"/>
                <w:sz w:val="24"/>
                <w:szCs w:val="22"/>
                <w:lang w:val="en-US" w:eastAsia="en-US" w:bidi="ar-SA"/>
              </w:rPr>
              <w:t>)</w:t>
            </w:r>
          </w:p>
          <w:p w:rsidR="008E56D1" w:rsidP="00283E3B" w14:paraId="1E26E4C9" w14:textId="5523A36C">
            <w:pPr>
              <w:spacing w:after="0" w:line="240" w:lineRule="auto"/>
              <w:jc w:val="center"/>
              <w:rPr>
                <w:rStyle w:val="DefaultParagraphFont"/>
                <w:rFonts w:ascii="Times New Roman" w:hAnsi="Times New Roman" w:eastAsiaTheme="minorHAnsi" w:cstheme="minorBidi"/>
                <w:sz w:val="24"/>
                <w:szCs w:val="22"/>
                <w:lang w:val="en-US" w:eastAsia="en-US" w:bidi="ar-SA"/>
              </w:rPr>
            </w:pPr>
            <w:r>
              <w:rPr>
                <w:rFonts w:ascii="Times New Roman" w:hAnsi="Times New Roman" w:eastAsiaTheme="minorHAnsi" w:cstheme="minorBidi"/>
                <w:sz w:val="24"/>
                <w:szCs w:val="22"/>
                <w:lang w:val="en-US" w:eastAsia="en-US" w:bidi="ar-SA"/>
              </w:rPr>
              <w:t>)</w:t>
            </w:r>
          </w:p>
          <w:p w:rsidR="008E56D1" w:rsidP="00283E3B" w14:paraId="0B381413" w14:textId="0166DBC5">
            <w:pPr>
              <w:spacing w:after="0" w:line="240" w:lineRule="auto"/>
              <w:jc w:val="center"/>
              <w:rPr>
                <w:rStyle w:val="DefaultParagraphFont"/>
                <w:rFonts w:ascii="Times New Roman" w:hAnsi="Times New Roman" w:eastAsiaTheme="minorHAnsi" w:cstheme="minorBidi"/>
                <w:sz w:val="24"/>
                <w:szCs w:val="22"/>
                <w:lang w:val="en-US" w:eastAsia="en-US" w:bidi="ar-SA"/>
              </w:rPr>
            </w:pPr>
            <w:r>
              <w:rPr>
                <w:rFonts w:ascii="Times New Roman" w:hAnsi="Times New Roman" w:eastAsiaTheme="minorHAnsi" w:cstheme="minorBidi"/>
                <w:sz w:val="24"/>
                <w:szCs w:val="22"/>
                <w:lang w:val="en-US" w:eastAsia="en-US" w:bidi="ar-SA"/>
              </w:rPr>
              <w:t>)</w:t>
            </w:r>
          </w:p>
          <w:p w:rsidR="008E56D1" w:rsidP="00283E3B" w14:paraId="2E93A56B" w14:textId="77777777">
            <w:pPr>
              <w:spacing w:after="0" w:line="240" w:lineRule="auto"/>
              <w:jc w:val="center"/>
              <w:rPr>
                <w:rStyle w:val="DefaultParagraphFont"/>
                <w:rFonts w:ascii="Times New Roman" w:hAnsi="Times New Roman" w:eastAsiaTheme="minorHAnsi" w:cstheme="minorBidi"/>
                <w:sz w:val="24"/>
                <w:szCs w:val="22"/>
                <w:lang w:val="en-US" w:eastAsia="en-US" w:bidi="ar-SA"/>
              </w:rPr>
            </w:pPr>
          </w:p>
          <w:p w:rsidR="008E56D1" w:rsidP="00283E3B" w14:paraId="68F32130" w14:textId="524D1DDB">
            <w:pPr>
              <w:spacing w:after="0" w:line="240" w:lineRule="auto"/>
              <w:jc w:val="center"/>
              <w:rPr>
                <w:rStyle w:val="DefaultParagraphFont"/>
                <w:rFonts w:ascii="Times New Roman" w:hAnsi="Times New Roman" w:eastAsiaTheme="minorHAnsi" w:cstheme="minorBidi"/>
                <w:sz w:val="24"/>
                <w:szCs w:val="22"/>
                <w:lang w:val="en-US" w:eastAsia="en-US" w:bidi="ar-SA"/>
              </w:rPr>
            </w:pPr>
            <w:r>
              <w:rPr>
                <w:rFonts w:ascii="Times New Roman" w:hAnsi="Times New Roman" w:eastAsiaTheme="minorHAnsi" w:cstheme="minorBidi"/>
                <w:sz w:val="24"/>
                <w:szCs w:val="22"/>
                <w:lang w:val="en-US" w:eastAsia="en-US" w:bidi="ar-SA"/>
              </w:rPr>
              <w:t>)</w:t>
            </w:r>
          </w:p>
          <w:p w:rsidR="008E56D1" w:rsidP="00283E3B" w14:paraId="729C9821" w14:textId="7C851775">
            <w:pPr>
              <w:spacing w:after="0" w:line="240" w:lineRule="auto"/>
              <w:jc w:val="center"/>
              <w:rPr>
                <w:rStyle w:val="DefaultParagraphFont"/>
                <w:rFonts w:ascii="Times New Roman" w:hAnsi="Times New Roman" w:eastAsiaTheme="minorHAnsi" w:cstheme="minorBidi"/>
                <w:sz w:val="24"/>
                <w:szCs w:val="22"/>
                <w:lang w:val="en-US" w:eastAsia="en-US" w:bidi="ar-SA"/>
              </w:rPr>
            </w:pPr>
            <w:r>
              <w:rPr>
                <w:rFonts w:ascii="Times New Roman" w:hAnsi="Times New Roman" w:eastAsiaTheme="minorHAnsi" w:cstheme="minorBidi"/>
                <w:sz w:val="24"/>
                <w:szCs w:val="22"/>
                <w:lang w:val="en-US" w:eastAsia="en-US" w:bidi="ar-SA"/>
              </w:rPr>
              <w:t>)</w:t>
            </w:r>
          </w:p>
          <w:p w:rsidR="008E56D1" w:rsidP="00283E3B" w14:paraId="295751A1" w14:textId="15E34DA1">
            <w:pPr>
              <w:spacing w:after="0" w:line="240" w:lineRule="auto"/>
              <w:jc w:val="center"/>
              <w:rPr>
                <w:rStyle w:val="DefaultParagraphFont"/>
                <w:rFonts w:ascii="Times New Roman" w:hAnsi="Times New Roman" w:eastAsiaTheme="minorHAnsi" w:cstheme="minorBidi"/>
                <w:sz w:val="24"/>
                <w:szCs w:val="22"/>
                <w:lang w:val="en-US" w:eastAsia="en-US" w:bidi="ar-SA"/>
              </w:rPr>
            </w:pPr>
            <w:r>
              <w:rPr>
                <w:rFonts w:ascii="Times New Roman" w:hAnsi="Times New Roman" w:eastAsiaTheme="minorHAnsi" w:cstheme="minorBidi"/>
                <w:sz w:val="24"/>
                <w:szCs w:val="22"/>
                <w:lang w:val="en-US" w:eastAsia="en-US" w:bidi="ar-SA"/>
              </w:rPr>
              <w:t>)</w:t>
            </w:r>
          </w:p>
          <w:p w:rsidR="00283E3B" w:rsidRPr="00283E3B" w:rsidP="00283E3B" w14:paraId="462B7645" w14:textId="0E765496">
            <w:pPr>
              <w:spacing w:after="0" w:line="240" w:lineRule="auto"/>
              <w:jc w:val="center"/>
              <w:rPr>
                <w:rStyle w:val="DefaultParagraphFont"/>
                <w:rFonts w:ascii="Times New Roman" w:hAnsi="Times New Roman" w:eastAsiaTheme="minorHAnsi" w:cstheme="minorBidi"/>
                <w:sz w:val="24"/>
                <w:szCs w:val="22"/>
                <w:lang w:val="en-US" w:eastAsia="en-US" w:bidi="ar-SA"/>
              </w:rPr>
            </w:pPr>
          </w:p>
        </w:tc>
        <w:tc>
          <w:tcPr>
            <w:tcW w:w="4235" w:type="dxa"/>
          </w:tcPr>
          <w:p w:rsidR="008E56D1" w:rsidP="00283E3B" w14:paraId="4C898DCA" w14:textId="77777777">
            <w:pPr>
              <w:spacing w:after="0" w:line="240" w:lineRule="auto"/>
              <w:rPr>
                <w:rStyle w:val="DefaultParagraphFont"/>
                <w:rFonts w:ascii="Times New Roman" w:hAnsi="Times New Roman" w:eastAsiaTheme="minorHAnsi" w:cstheme="minorBidi"/>
                <w:sz w:val="24"/>
                <w:szCs w:val="22"/>
                <w:lang w:val="en-US" w:eastAsia="en-US" w:bidi="ar-SA"/>
              </w:rPr>
            </w:pPr>
          </w:p>
          <w:p w:rsidR="00283E3B" w:rsidP="00283E3B" w14:paraId="3F9B4CB8" w14:textId="3DA7231F">
            <w:pPr>
              <w:spacing w:after="0" w:line="240" w:lineRule="auto"/>
              <w:rPr>
                <w:rStyle w:val="DefaultParagraphFont"/>
                <w:rFonts w:ascii="Times New Roman" w:hAnsi="Times New Roman" w:eastAsiaTheme="minorHAnsi" w:cstheme="minorBidi"/>
                <w:sz w:val="24"/>
                <w:szCs w:val="22"/>
                <w:lang w:val="en-US" w:eastAsia="en-US" w:bidi="ar-SA"/>
              </w:rPr>
            </w:pPr>
            <w:r w:rsidRPr="00283E3B">
              <w:rPr>
                <w:rFonts w:ascii="Times New Roman" w:hAnsi="Times New Roman" w:eastAsiaTheme="minorHAnsi" w:cstheme="minorBidi"/>
                <w:sz w:val="24"/>
                <w:szCs w:val="22"/>
                <w:lang w:val="en-US" w:eastAsia="en-US" w:bidi="ar-SA"/>
              </w:rPr>
              <w:t>Case</w:t>
            </w:r>
            <w:r w:rsidR="00F76457">
              <w:rPr>
                <w:rFonts w:ascii="Times New Roman" w:hAnsi="Times New Roman" w:eastAsiaTheme="minorHAnsi" w:cstheme="minorBidi"/>
                <w:sz w:val="24"/>
                <w:szCs w:val="22"/>
                <w:lang w:val="en-US" w:eastAsia="en-US" w:bidi="ar-SA"/>
              </w:rPr>
              <w:t xml:space="preserve"> </w:t>
            </w:r>
            <w:r w:rsidRPr="00283E3B">
              <w:rPr>
                <w:rFonts w:ascii="Times New Roman" w:hAnsi="Times New Roman" w:eastAsiaTheme="minorHAnsi" w:cstheme="minorBidi"/>
                <w:sz w:val="24"/>
                <w:szCs w:val="22"/>
                <w:lang w:val="en-US" w:eastAsia="en-US" w:bidi="ar-SA"/>
              </w:rPr>
              <w:t>No.</w:t>
            </w:r>
            <w:r w:rsidR="00F76457">
              <w:rPr>
                <w:rFonts w:ascii="Times New Roman" w:hAnsi="Times New Roman" w:eastAsiaTheme="minorHAnsi" w:cstheme="minorBidi"/>
                <w:sz w:val="24"/>
                <w:szCs w:val="22"/>
                <w:lang w:val="en-US" w:eastAsia="en-US" w:bidi="ar-SA"/>
              </w:rPr>
              <w:t xml:space="preserve"> </w:t>
            </w:r>
            <w:r w:rsidR="008E56D1">
              <w:rPr>
                <w:rFonts w:ascii="Times New Roman" w:hAnsi="Times New Roman" w:eastAsiaTheme="minorHAnsi" w:cstheme="minorBidi"/>
                <w:sz w:val="24"/>
                <w:szCs w:val="22"/>
                <w:lang w:val="en-US" w:eastAsia="en-US" w:bidi="ar-SA"/>
              </w:rPr>
              <w:t>20-1651-EL-AIR</w:t>
            </w:r>
          </w:p>
          <w:p w:rsidR="00283E3B" w:rsidP="008E56D1" w14:paraId="4E3CF49E" w14:textId="77777777">
            <w:pPr>
              <w:spacing w:after="0" w:line="240" w:lineRule="auto"/>
              <w:rPr>
                <w:rStyle w:val="DefaultParagraphFont"/>
                <w:rFonts w:ascii="Times New Roman" w:hAnsi="Times New Roman" w:eastAsiaTheme="minorHAnsi" w:cstheme="minorBidi"/>
                <w:sz w:val="24"/>
                <w:szCs w:val="22"/>
                <w:lang w:val="en-US" w:eastAsia="en-US" w:bidi="ar-SA"/>
              </w:rPr>
            </w:pPr>
          </w:p>
          <w:p w:rsidR="005C5D27" w:rsidP="008E56D1" w14:paraId="5F477F1B" w14:textId="77777777">
            <w:pPr>
              <w:spacing w:after="0" w:line="240" w:lineRule="auto"/>
              <w:rPr>
                <w:rStyle w:val="DefaultParagraphFont"/>
                <w:rFonts w:ascii="Times New Roman" w:hAnsi="Times New Roman" w:eastAsiaTheme="minorHAnsi" w:cstheme="minorBidi"/>
                <w:sz w:val="24"/>
                <w:szCs w:val="22"/>
                <w:lang w:val="en-US" w:eastAsia="en-US" w:bidi="ar-SA"/>
              </w:rPr>
            </w:pPr>
          </w:p>
          <w:p w:rsidR="005C5D27" w:rsidP="008E56D1" w14:paraId="4AD65DDB" w14:textId="77777777">
            <w:pPr>
              <w:spacing w:after="0" w:line="240" w:lineRule="auto"/>
              <w:rPr>
                <w:rStyle w:val="DefaultParagraphFont"/>
                <w:rFonts w:ascii="Times New Roman" w:hAnsi="Times New Roman" w:eastAsiaTheme="minorHAnsi" w:cstheme="minorBidi"/>
                <w:sz w:val="24"/>
                <w:szCs w:val="22"/>
                <w:lang w:val="en-US" w:eastAsia="en-US" w:bidi="ar-SA"/>
              </w:rPr>
            </w:pPr>
          </w:p>
          <w:p w:rsidR="005C5D27" w:rsidP="005C5D27" w14:paraId="1CDB7C7E" w14:textId="0BBCB411">
            <w:pPr>
              <w:spacing w:after="0" w:line="240" w:lineRule="auto"/>
              <w:rPr>
                <w:rStyle w:val="DefaultParagraphFont"/>
                <w:rFonts w:ascii="Times New Roman" w:hAnsi="Times New Roman" w:eastAsiaTheme="minorHAnsi" w:cstheme="minorBidi"/>
                <w:sz w:val="24"/>
                <w:szCs w:val="22"/>
                <w:lang w:val="en-US" w:eastAsia="en-US" w:bidi="ar-SA"/>
              </w:rPr>
            </w:pPr>
            <w:r w:rsidRPr="00283E3B">
              <w:rPr>
                <w:rFonts w:ascii="Times New Roman" w:hAnsi="Times New Roman" w:eastAsiaTheme="minorHAnsi" w:cstheme="minorBidi"/>
                <w:sz w:val="24"/>
                <w:szCs w:val="22"/>
                <w:lang w:val="en-US" w:eastAsia="en-US" w:bidi="ar-SA"/>
              </w:rPr>
              <w:t>Case</w:t>
            </w:r>
            <w:r w:rsidR="00F76457">
              <w:rPr>
                <w:rFonts w:ascii="Times New Roman" w:hAnsi="Times New Roman" w:eastAsiaTheme="minorHAnsi" w:cstheme="minorBidi"/>
                <w:sz w:val="24"/>
                <w:szCs w:val="22"/>
                <w:lang w:val="en-US" w:eastAsia="en-US" w:bidi="ar-SA"/>
              </w:rPr>
              <w:t xml:space="preserve"> </w:t>
            </w:r>
            <w:r w:rsidRPr="00283E3B">
              <w:rPr>
                <w:rFonts w:ascii="Times New Roman" w:hAnsi="Times New Roman" w:eastAsiaTheme="minorHAnsi" w:cstheme="minorBidi"/>
                <w:sz w:val="24"/>
                <w:szCs w:val="22"/>
                <w:lang w:val="en-US" w:eastAsia="en-US" w:bidi="ar-SA"/>
              </w:rPr>
              <w:t>No.</w:t>
            </w:r>
            <w:r w:rsidR="00F76457">
              <w:rPr>
                <w:rFonts w:ascii="Times New Roman" w:hAnsi="Times New Roman" w:eastAsiaTheme="minorHAnsi" w:cstheme="minorBidi"/>
                <w:sz w:val="24"/>
                <w:szCs w:val="22"/>
                <w:lang w:val="en-US" w:eastAsia="en-US" w:bidi="ar-SA"/>
              </w:rPr>
              <w:t xml:space="preserve"> </w:t>
            </w:r>
            <w:r>
              <w:rPr>
                <w:rFonts w:ascii="Times New Roman" w:hAnsi="Times New Roman" w:eastAsiaTheme="minorHAnsi" w:cstheme="minorBidi"/>
                <w:sz w:val="24"/>
                <w:szCs w:val="22"/>
                <w:lang w:val="en-US" w:eastAsia="en-US" w:bidi="ar-SA"/>
              </w:rPr>
              <w:t>20-1652-EL-AAM</w:t>
            </w:r>
          </w:p>
          <w:p w:rsidR="005C5D27" w:rsidP="008E56D1" w14:paraId="75AA077D" w14:textId="77777777">
            <w:pPr>
              <w:spacing w:after="0" w:line="240" w:lineRule="auto"/>
              <w:rPr>
                <w:rStyle w:val="DefaultParagraphFont"/>
                <w:rFonts w:ascii="Times New Roman" w:hAnsi="Times New Roman" w:eastAsiaTheme="minorHAnsi" w:cstheme="minorBidi"/>
                <w:sz w:val="24"/>
                <w:szCs w:val="22"/>
                <w:lang w:val="en-US" w:eastAsia="en-US" w:bidi="ar-SA"/>
              </w:rPr>
            </w:pPr>
          </w:p>
          <w:p w:rsidR="005C5D27" w:rsidP="008E56D1" w14:paraId="4C79D968" w14:textId="77777777">
            <w:pPr>
              <w:spacing w:after="0" w:line="240" w:lineRule="auto"/>
              <w:rPr>
                <w:rStyle w:val="DefaultParagraphFont"/>
                <w:rFonts w:ascii="Times New Roman" w:hAnsi="Times New Roman" w:eastAsiaTheme="minorHAnsi" w:cstheme="minorBidi"/>
                <w:sz w:val="24"/>
                <w:szCs w:val="22"/>
                <w:lang w:val="en-US" w:eastAsia="en-US" w:bidi="ar-SA"/>
              </w:rPr>
            </w:pPr>
          </w:p>
          <w:p w:rsidR="005C5D27" w:rsidP="008E56D1" w14:paraId="12BF915D" w14:textId="77777777">
            <w:pPr>
              <w:spacing w:after="0" w:line="240" w:lineRule="auto"/>
              <w:rPr>
                <w:rStyle w:val="DefaultParagraphFont"/>
                <w:rFonts w:ascii="Times New Roman" w:hAnsi="Times New Roman" w:eastAsiaTheme="minorHAnsi" w:cstheme="minorBidi"/>
                <w:sz w:val="24"/>
                <w:szCs w:val="22"/>
                <w:lang w:val="en-US" w:eastAsia="en-US" w:bidi="ar-SA"/>
              </w:rPr>
            </w:pPr>
          </w:p>
          <w:p w:rsidR="005C5D27" w:rsidP="005C5D27" w14:paraId="5A384B04" w14:textId="10A7CD92">
            <w:pPr>
              <w:spacing w:after="0" w:line="240" w:lineRule="auto"/>
              <w:rPr>
                <w:rStyle w:val="DefaultParagraphFont"/>
                <w:rFonts w:ascii="Times New Roman" w:hAnsi="Times New Roman" w:eastAsiaTheme="minorHAnsi" w:cstheme="minorBidi"/>
                <w:sz w:val="24"/>
                <w:szCs w:val="22"/>
                <w:lang w:val="en-US" w:eastAsia="en-US" w:bidi="ar-SA"/>
              </w:rPr>
            </w:pPr>
            <w:r w:rsidRPr="00283E3B">
              <w:rPr>
                <w:rFonts w:ascii="Times New Roman" w:hAnsi="Times New Roman" w:eastAsiaTheme="minorHAnsi" w:cstheme="minorBidi"/>
                <w:sz w:val="24"/>
                <w:szCs w:val="22"/>
                <w:lang w:val="en-US" w:eastAsia="en-US" w:bidi="ar-SA"/>
              </w:rPr>
              <w:t>Case</w:t>
            </w:r>
            <w:r w:rsidR="00F76457">
              <w:rPr>
                <w:rFonts w:ascii="Times New Roman" w:hAnsi="Times New Roman" w:eastAsiaTheme="minorHAnsi" w:cstheme="minorBidi"/>
                <w:sz w:val="24"/>
                <w:szCs w:val="22"/>
                <w:lang w:val="en-US" w:eastAsia="en-US" w:bidi="ar-SA"/>
              </w:rPr>
              <w:t xml:space="preserve"> </w:t>
            </w:r>
            <w:r w:rsidRPr="00283E3B">
              <w:rPr>
                <w:rFonts w:ascii="Times New Roman" w:hAnsi="Times New Roman" w:eastAsiaTheme="minorHAnsi" w:cstheme="minorBidi"/>
                <w:sz w:val="24"/>
                <w:szCs w:val="22"/>
                <w:lang w:val="en-US" w:eastAsia="en-US" w:bidi="ar-SA"/>
              </w:rPr>
              <w:t>No.</w:t>
            </w:r>
            <w:r w:rsidR="00F76457">
              <w:rPr>
                <w:rFonts w:ascii="Times New Roman" w:hAnsi="Times New Roman" w:eastAsiaTheme="minorHAnsi" w:cstheme="minorBidi"/>
                <w:sz w:val="24"/>
                <w:szCs w:val="22"/>
                <w:lang w:val="en-US" w:eastAsia="en-US" w:bidi="ar-SA"/>
              </w:rPr>
              <w:t xml:space="preserve"> </w:t>
            </w:r>
            <w:r>
              <w:rPr>
                <w:rFonts w:ascii="Times New Roman" w:hAnsi="Times New Roman" w:eastAsiaTheme="minorHAnsi" w:cstheme="minorBidi"/>
                <w:sz w:val="24"/>
                <w:szCs w:val="22"/>
                <w:lang w:val="en-US" w:eastAsia="en-US" w:bidi="ar-SA"/>
              </w:rPr>
              <w:t>20-1651-EL-ATA</w:t>
            </w:r>
          </w:p>
          <w:p w:rsidR="005C5D27" w:rsidRPr="00283E3B" w:rsidP="008E56D1" w14:paraId="0C64FD13" w14:textId="799636C1">
            <w:pPr>
              <w:spacing w:after="0" w:line="240" w:lineRule="auto"/>
              <w:rPr>
                <w:rStyle w:val="DefaultParagraphFont"/>
                <w:rFonts w:ascii="Times New Roman" w:hAnsi="Times New Roman" w:eastAsiaTheme="minorHAnsi" w:cstheme="minorBidi"/>
                <w:sz w:val="24"/>
                <w:szCs w:val="22"/>
                <w:lang w:val="en-US" w:eastAsia="en-US" w:bidi="ar-SA"/>
              </w:rPr>
            </w:pPr>
          </w:p>
        </w:tc>
      </w:tr>
    </w:tbl>
    <w:p w:rsidR="00283E3B" w:rsidP="00F76457" w14:paraId="0C095869" w14:textId="77777777">
      <w:pPr>
        <w:spacing w:after="0"/>
      </w:pPr>
    </w:p>
    <w:p w:rsidR="005C5D27" w:rsidP="00652BD5" w14:paraId="4870DE31" w14:textId="7FE10915">
      <w:pPr>
        <w:pBdr>
          <w:bottom w:val="single" w:sz="12" w:space="1" w:color="auto"/>
        </w:pBdr>
        <w:spacing w:after="0"/>
        <w:jc w:val="center"/>
        <w:rPr>
          <w:b/>
          <w:bCs/>
        </w:rPr>
      </w:pPr>
      <w:r>
        <w:rPr>
          <w:b/>
          <w:bCs/>
        </w:rPr>
        <w:t xml:space="preserve">MEMORANDUM CONTRA </w:t>
      </w:r>
      <w:r w:rsidR="0050551B">
        <w:rPr>
          <w:b/>
          <w:bCs/>
        </w:rPr>
        <w:t xml:space="preserve">MOTION OF </w:t>
      </w:r>
      <w:r>
        <w:rPr>
          <w:b/>
          <w:bCs/>
        </w:rPr>
        <w:t xml:space="preserve">DAYTON POWER AND LIGHT COMPANY </w:t>
      </w:r>
      <w:r w:rsidR="00E16E53">
        <w:rPr>
          <w:b/>
          <w:bCs/>
        </w:rPr>
        <w:t>FOR ORAL ARGUMENT</w:t>
      </w:r>
    </w:p>
    <w:p w:rsidR="005C5D27" w:rsidP="00652BD5" w14:paraId="4922AAC8" w14:textId="2F799377">
      <w:pPr>
        <w:pBdr>
          <w:bottom w:val="single" w:sz="12" w:space="1" w:color="auto"/>
        </w:pBdr>
        <w:spacing w:after="0"/>
        <w:jc w:val="center"/>
        <w:rPr>
          <w:b/>
          <w:bCs/>
        </w:rPr>
      </w:pPr>
      <w:r>
        <w:rPr>
          <w:b/>
          <w:bCs/>
        </w:rPr>
        <w:t>BY</w:t>
      </w:r>
    </w:p>
    <w:p w:rsidR="00283E3B" w:rsidRPr="00365D32" w:rsidP="00652BD5" w14:paraId="31772B73" w14:textId="45D0D300">
      <w:pPr>
        <w:pBdr>
          <w:bottom w:val="single" w:sz="12" w:space="1" w:color="auto"/>
        </w:pBdr>
        <w:spacing w:after="0"/>
        <w:jc w:val="center"/>
        <w:rPr>
          <w:b/>
          <w:bCs/>
        </w:rPr>
      </w:pPr>
      <w:r>
        <w:rPr>
          <w:b/>
          <w:bCs/>
        </w:rPr>
        <w:t>OFFICE OF THE OHIO CONSUMERS’ COUNSEL</w:t>
      </w:r>
    </w:p>
    <w:p w:rsidR="00652BD5" w:rsidRPr="00365D32" w:rsidP="00652BD5" w14:paraId="1F2594AB" w14:textId="77777777">
      <w:pPr>
        <w:pBdr>
          <w:bottom w:val="single" w:sz="12" w:space="1" w:color="auto"/>
        </w:pBdr>
        <w:jc w:val="center"/>
        <w:rPr>
          <w:b/>
          <w:bCs/>
        </w:rPr>
      </w:pPr>
    </w:p>
    <w:p w:rsidR="00365D32" w:rsidRPr="00365D32" w:rsidP="00365D32" w14:paraId="1BEE9897" w14:textId="48E26069">
      <w:pPr>
        <w:pStyle w:val="ListParagraph"/>
        <w:numPr>
          <w:ilvl w:val="0"/>
          <w:numId w:val="2"/>
        </w:numPr>
        <w:spacing w:after="0" w:line="480" w:lineRule="auto"/>
        <w:ind w:left="720"/>
        <w:rPr>
          <w:b/>
          <w:bCs/>
        </w:rPr>
      </w:pPr>
      <w:r w:rsidRPr="00365D32">
        <w:rPr>
          <w:b/>
          <w:bCs/>
        </w:rPr>
        <w:t>INTRODUCTION</w:t>
      </w:r>
    </w:p>
    <w:p w:rsidR="00DD17CD" w:rsidP="009F3D82" w14:paraId="3860DF19" w14:textId="0FCD2FEF">
      <w:pPr>
        <w:spacing w:after="0" w:line="480" w:lineRule="auto"/>
        <w:ind w:firstLine="720"/>
        <w:sectPr w:rsidSect="009F3D82">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pgNumType w:start="2"/>
          <w:cols w:space="720"/>
          <w:docGrid w:linePitch="360"/>
        </w:sectPr>
      </w:pPr>
      <w:r>
        <w:t>Perhaps DP&amp;L is frustrated that the PUCO Staff</w:t>
      </w:r>
      <w:r w:rsidR="00396698">
        <w:t xml:space="preserve">, OMA, </w:t>
      </w:r>
      <w:r w:rsidR="00DA1D6C">
        <w:t>Kroger,</w:t>
      </w:r>
      <w:r>
        <w:t xml:space="preserve"> </w:t>
      </w:r>
      <w:r w:rsidR="00A41829">
        <w:t>and others have</w:t>
      </w:r>
      <w:r>
        <w:t xml:space="preserve"> joined OCC’s call for a rate freeze – the rate freeze that DP&amp;L itself agreed to years ago for protection of Dayton-area consumers. </w:t>
      </w:r>
      <w:r w:rsidR="009F65D3">
        <w:t>In any event</w:t>
      </w:r>
      <w:r>
        <w:t xml:space="preserve">, DP&amp;L now wants </w:t>
      </w:r>
      <w:r w:rsidR="009F65D3">
        <w:t xml:space="preserve">an audience with </w:t>
      </w:r>
      <w:r w:rsidR="006240A0">
        <w:t xml:space="preserve">PUCO </w:t>
      </w:r>
      <w:r w:rsidR="009F65D3">
        <w:t xml:space="preserve">Commissioners to continue its arguments </w:t>
      </w:r>
      <w:r w:rsidR="00A41829">
        <w:t xml:space="preserve">for increasing Dayton consumers’ rates despite its agreement to the contrary. </w:t>
      </w:r>
      <w:r w:rsidR="005E0304">
        <w:t>And t</w:t>
      </w:r>
      <w:r w:rsidR="00A41829">
        <w:t>his despite</w:t>
      </w:r>
      <w:r w:rsidR="009F65D3">
        <w:t xml:space="preserve"> </w:t>
      </w:r>
      <w:r w:rsidR="005E0304">
        <w:t xml:space="preserve">the many </w:t>
      </w:r>
      <w:r w:rsidR="00A41829">
        <w:t xml:space="preserve">arguments to the PUCO beginning in 2021 with OCC’s </w:t>
      </w:r>
      <w:r w:rsidR="009144BE">
        <w:t xml:space="preserve">response to DP&amp;L’s </w:t>
      </w:r>
      <w:r w:rsidR="00331517">
        <w:t>Notice of Withdrawal,</w:t>
      </w:r>
      <w:r>
        <w:rPr>
          <w:rStyle w:val="FootnoteReference"/>
        </w:rPr>
        <w:footnoteReference w:id="2"/>
      </w:r>
      <w:r w:rsidR="00331517">
        <w:t xml:space="preserve"> </w:t>
      </w:r>
      <w:r w:rsidR="00A41829">
        <w:t>Motion to Dismiss</w:t>
      </w:r>
      <w:r w:rsidR="00331517">
        <w:t>,</w:t>
      </w:r>
      <w:r>
        <w:rPr>
          <w:rStyle w:val="FootnoteReference"/>
        </w:rPr>
        <w:footnoteReference w:id="3"/>
      </w:r>
      <w:r w:rsidR="00A41829">
        <w:t xml:space="preserve"> and later OCC’s Application for Rehearing,</w:t>
      </w:r>
      <w:r>
        <w:rPr>
          <w:rStyle w:val="FootnoteReference"/>
        </w:rPr>
        <w:footnoteReference w:id="4"/>
      </w:r>
      <w:r w:rsidR="00A41829">
        <w:t xml:space="preserve"> testimony, </w:t>
      </w:r>
      <w:r w:rsidR="009F65D3">
        <w:t>cross-</w:t>
      </w:r>
    </w:p>
    <w:p w:rsidR="00A41829" w:rsidP="00DD17CD" w14:paraId="4D169CCA" w14:textId="2E3B6A11">
      <w:pPr>
        <w:spacing w:after="0" w:line="480" w:lineRule="auto"/>
      </w:pPr>
      <w:r>
        <w:t xml:space="preserve">examination, and post-hearing briefs. </w:t>
      </w:r>
      <w:r w:rsidR="00331517">
        <w:t>And each one of those times, DP&amp;L and other parties have had the opportunity to fully address those issues. In fact, the PUCO Staff, OCC, and DP&amp;L just finished briefing those issues in an appeal before the Ohio Supreme Court.</w:t>
      </w:r>
      <w:r w:rsidR="00DD17CD">
        <w:t xml:space="preserve">  </w:t>
      </w:r>
      <w:r w:rsidR="004464FA">
        <w:t xml:space="preserve"> </w:t>
      </w:r>
    </w:p>
    <w:p w:rsidR="00763165" w:rsidP="006240A0" w14:paraId="078CC7F6" w14:textId="07E9A06A">
      <w:pPr>
        <w:spacing w:after="0" w:line="480" w:lineRule="auto"/>
        <w:rPr>
          <w:rFonts w:cs="Times New Roman"/>
        </w:rPr>
      </w:pPr>
      <w:r>
        <w:tab/>
      </w:r>
      <w:r w:rsidR="006240A0">
        <w:t>DP&amp;L’s Motion</w:t>
      </w:r>
      <w:r w:rsidR="00840304">
        <w:rPr>
          <w:rFonts w:cs="Times New Roman"/>
        </w:rPr>
        <w:t xml:space="preserve"> is unnecessary</w:t>
      </w:r>
      <w:r w:rsidR="006240A0">
        <w:rPr>
          <w:rFonts w:cs="Times New Roman"/>
        </w:rPr>
        <w:t xml:space="preserve"> and should be denied</w:t>
      </w:r>
      <w:r w:rsidR="00840304">
        <w:rPr>
          <w:rFonts w:cs="Times New Roman"/>
        </w:rPr>
        <w:t>.</w:t>
      </w:r>
      <w:r>
        <w:rPr>
          <w:rFonts w:cs="Times New Roman"/>
        </w:rPr>
        <w:t xml:space="preserve"> </w:t>
      </w:r>
      <w:r w:rsidR="00840304">
        <w:rPr>
          <w:rFonts w:cs="Times New Roman"/>
        </w:rPr>
        <w:t>This question has been thoroughly discussed</w:t>
      </w:r>
      <w:r w:rsidR="007E064B">
        <w:rPr>
          <w:rFonts w:cs="Times New Roman"/>
        </w:rPr>
        <w:t>, argued, and briefed</w:t>
      </w:r>
      <w:r w:rsidR="009F42C9">
        <w:rPr>
          <w:rFonts w:cs="Times New Roman"/>
        </w:rPr>
        <w:t xml:space="preserve"> by parties. </w:t>
      </w:r>
      <w:r w:rsidR="00331517">
        <w:rPr>
          <w:rFonts w:cs="Times New Roman"/>
        </w:rPr>
        <w:t>And these issues are far from novel, having been raised and discussed in multiple forums. DP&amp;L wants another opportunity to plead financial distress as a reason for the PUCO to let it out from under its commitment to consumers to freeze distribution rates. DP&amp;L fails to acknowledge that its actions alone have brought it to this point—it unilaterally chose (the second time in three years)</w:t>
      </w:r>
      <w:r w:rsidR="00DD17CD">
        <w:rPr>
          <w:rFonts w:cs="Times New Roman"/>
        </w:rPr>
        <w:t xml:space="preserve"> </w:t>
      </w:r>
      <w:r w:rsidR="00331517">
        <w:rPr>
          <w:rFonts w:cs="Times New Roman"/>
        </w:rPr>
        <w:t>to revert to its first electric security plan.</w:t>
      </w:r>
      <w:r w:rsidR="00DD17CD">
        <w:rPr>
          <w:rFonts w:cs="Times New Roman"/>
        </w:rPr>
        <w:t xml:space="preserve"> </w:t>
      </w:r>
      <w:r w:rsidR="00331517">
        <w:rPr>
          <w:rFonts w:cs="Times New Roman"/>
        </w:rPr>
        <w:t xml:space="preserve">Its commitment to freeze rates to consumers was part of tits electric security plan. </w:t>
      </w:r>
      <w:r w:rsidR="00331517">
        <w:rPr>
          <w:rFonts w:cs="Times New Roman"/>
          <w:i/>
          <w:iCs/>
        </w:rPr>
        <w:t xml:space="preserve">It must honor that commitment to consumers. </w:t>
      </w:r>
      <w:r w:rsidR="009F42C9">
        <w:rPr>
          <w:rFonts w:cs="Times New Roman"/>
        </w:rPr>
        <w:t>DP&amp;L is merely seeking another bite at the apple</w:t>
      </w:r>
      <w:r w:rsidRPr="009F42C9" w:rsidR="009F42C9">
        <w:rPr>
          <w:rFonts w:cs="Times New Roman"/>
        </w:rPr>
        <w:t>—</w:t>
      </w:r>
      <w:r w:rsidR="009F42C9">
        <w:rPr>
          <w:rFonts w:cs="Times New Roman"/>
        </w:rPr>
        <w:t>after the briefing deadline</w:t>
      </w:r>
      <w:r w:rsidRPr="009F42C9" w:rsidR="009F42C9">
        <w:rPr>
          <w:rFonts w:cs="Times New Roman"/>
        </w:rPr>
        <w:t>—</w:t>
      </w:r>
      <w:r w:rsidR="009F42C9">
        <w:rPr>
          <w:rFonts w:cs="Times New Roman"/>
        </w:rPr>
        <w:t xml:space="preserve">to </w:t>
      </w:r>
      <w:r w:rsidR="00DE4D9C">
        <w:rPr>
          <w:rFonts w:cs="Times New Roman"/>
        </w:rPr>
        <w:t>push the PUCO once again</w:t>
      </w:r>
      <w:r w:rsidR="009F42C9">
        <w:rPr>
          <w:rFonts w:cs="Times New Roman"/>
        </w:rPr>
        <w:t xml:space="preserve"> </w:t>
      </w:r>
      <w:r w:rsidR="008468CA">
        <w:rPr>
          <w:rFonts w:cs="Times New Roman"/>
        </w:rPr>
        <w:t xml:space="preserve">to drop the rate freeze </w:t>
      </w:r>
      <w:r w:rsidRPr="00CB70A8" w:rsidR="008468CA">
        <w:rPr>
          <w:rFonts w:cs="Times New Roman"/>
          <w:b/>
          <w:bCs/>
          <w:u w:val="single"/>
        </w:rPr>
        <w:t>that DP&amp;L agreed to</w:t>
      </w:r>
      <w:r w:rsidR="008468CA">
        <w:rPr>
          <w:rFonts w:cs="Times New Roman"/>
        </w:rPr>
        <w:t xml:space="preserve">. </w:t>
      </w:r>
    </w:p>
    <w:p w:rsidR="00CA7B4C" w:rsidP="00DD17CD" w14:paraId="39BBF4F5" w14:textId="41AC33F7">
      <w:pPr>
        <w:spacing w:after="0" w:line="480" w:lineRule="auto"/>
        <w:ind w:firstLine="720"/>
        <w:rPr>
          <w:rFonts w:cs="Times New Roman"/>
        </w:rPr>
      </w:pPr>
      <w:r>
        <w:rPr>
          <w:rFonts w:cs="Times New Roman"/>
        </w:rPr>
        <w:t>And it’s an</w:t>
      </w:r>
      <w:r w:rsidRPr="00A41829">
        <w:rPr>
          <w:rFonts w:cs="Times New Roman"/>
        </w:rPr>
        <w:t xml:space="preserve"> </w:t>
      </w:r>
      <w:r>
        <w:rPr>
          <w:rFonts w:cs="Times New Roman"/>
        </w:rPr>
        <w:t xml:space="preserve">asymmetrical approach to the administration of justice. When things were going DP&amp;L’s way, it didn’t seek oral arguments to Commissioners to </w:t>
      </w:r>
      <w:r w:rsidR="00396698">
        <w:rPr>
          <w:rFonts w:cs="Times New Roman"/>
        </w:rPr>
        <w:t>hear about OCC’s recommendation for a rate freeze or to an end its unlawful stability charge.</w:t>
      </w:r>
      <w:r w:rsidR="00DD17CD">
        <w:rPr>
          <w:rFonts w:cs="Times New Roman"/>
        </w:rPr>
        <w:t xml:space="preserve"> </w:t>
      </w:r>
      <w:r w:rsidR="00331517">
        <w:rPr>
          <w:rFonts w:cs="Times New Roman"/>
        </w:rPr>
        <w:t xml:space="preserve">Moreover, it would be unfair to allow DP&amp;L this opportunity when OCC was not given the opportunity to have an oral argument on its Motion to Dismiss DP&amp;L’s application. </w:t>
      </w:r>
    </w:p>
    <w:p w:rsidR="007238FC" w:rsidP="008764AA" w14:paraId="71DFECD1" w14:textId="24D15D42">
      <w:pPr>
        <w:spacing w:after="0" w:line="480" w:lineRule="auto"/>
        <w:ind w:firstLine="720"/>
        <w:rPr>
          <w:rFonts w:cs="Times New Roman"/>
        </w:rPr>
      </w:pPr>
      <w:r>
        <w:rPr>
          <w:rFonts w:cs="Times New Roman"/>
        </w:rPr>
        <w:t>At this late date and with all the arguments made to the PUCO to date, o</w:t>
      </w:r>
      <w:r w:rsidR="008764AA">
        <w:rPr>
          <w:rFonts w:cs="Times New Roman"/>
        </w:rPr>
        <w:t>ral argument</w:t>
      </w:r>
      <w:r>
        <w:rPr>
          <w:rFonts w:cs="Times New Roman"/>
        </w:rPr>
        <w:t xml:space="preserve"> would be </w:t>
      </w:r>
      <w:r w:rsidR="0090144A">
        <w:rPr>
          <w:rFonts w:cs="Times New Roman"/>
        </w:rPr>
        <w:t xml:space="preserve">an </w:t>
      </w:r>
      <w:r>
        <w:rPr>
          <w:rFonts w:cs="Times New Roman"/>
        </w:rPr>
        <w:t>administratively inefficient</w:t>
      </w:r>
      <w:r w:rsidR="008764AA">
        <w:rPr>
          <w:rFonts w:cs="Times New Roman"/>
        </w:rPr>
        <w:t xml:space="preserve"> rehashing</w:t>
      </w:r>
      <w:r w:rsidR="0090144A">
        <w:rPr>
          <w:rFonts w:cs="Times New Roman"/>
        </w:rPr>
        <w:t xml:space="preserve"> of</w:t>
      </w:r>
      <w:r w:rsidR="008764AA">
        <w:rPr>
          <w:rFonts w:cs="Times New Roman"/>
        </w:rPr>
        <w:t xml:space="preserve"> the same arguments already made. The record </w:t>
      </w:r>
      <w:r w:rsidR="00C020B4">
        <w:rPr>
          <w:rFonts w:cs="Times New Roman"/>
        </w:rPr>
        <w:t>has been</w:t>
      </w:r>
      <w:r w:rsidR="008764AA">
        <w:rPr>
          <w:rFonts w:cs="Times New Roman"/>
        </w:rPr>
        <w:t xml:space="preserve"> sufficiently </w:t>
      </w:r>
      <w:r w:rsidR="00C020B4">
        <w:rPr>
          <w:rFonts w:cs="Times New Roman"/>
        </w:rPr>
        <w:t>developed. T</w:t>
      </w:r>
      <w:r w:rsidR="008764AA">
        <w:rPr>
          <w:rFonts w:cs="Times New Roman"/>
        </w:rPr>
        <w:t xml:space="preserve">he PUCO </w:t>
      </w:r>
      <w:r w:rsidR="00C020B4">
        <w:rPr>
          <w:rFonts w:cs="Times New Roman"/>
        </w:rPr>
        <w:t xml:space="preserve">should be well positioned </w:t>
      </w:r>
      <w:r w:rsidR="008764AA">
        <w:rPr>
          <w:rFonts w:cs="Times New Roman"/>
        </w:rPr>
        <w:t xml:space="preserve">to decide </w:t>
      </w:r>
      <w:r w:rsidR="00C020B4">
        <w:rPr>
          <w:rFonts w:cs="Times New Roman"/>
        </w:rPr>
        <w:t>the issues in this case</w:t>
      </w:r>
      <w:r>
        <w:rPr>
          <w:rFonts w:cs="Times New Roman"/>
        </w:rPr>
        <w:t xml:space="preserve">. That includes </w:t>
      </w:r>
      <w:r w:rsidR="008764AA">
        <w:rPr>
          <w:rFonts w:cs="Times New Roman"/>
        </w:rPr>
        <w:t xml:space="preserve">whether or not to </w:t>
      </w:r>
      <w:r>
        <w:rPr>
          <w:rFonts w:cs="Times New Roman"/>
        </w:rPr>
        <w:t xml:space="preserve">deny DP&amp;L </w:t>
      </w:r>
      <w:r>
        <w:rPr>
          <w:rFonts w:cs="Times New Roman"/>
        </w:rPr>
        <w:t xml:space="preserve">an increase in the rates its Dayton-area consumers pay </w:t>
      </w:r>
      <w:r w:rsidR="008764AA">
        <w:rPr>
          <w:rFonts w:cs="Times New Roman"/>
        </w:rPr>
        <w:t xml:space="preserve">until the expiration of </w:t>
      </w:r>
      <w:r>
        <w:rPr>
          <w:rFonts w:cs="Times New Roman"/>
        </w:rPr>
        <w:t>Electric Security Plan</w:t>
      </w:r>
      <w:r w:rsidR="008764AA">
        <w:rPr>
          <w:rFonts w:cs="Times New Roman"/>
        </w:rPr>
        <w:t xml:space="preserve"> I</w:t>
      </w:r>
      <w:r>
        <w:rPr>
          <w:rFonts w:cs="Times New Roman"/>
        </w:rPr>
        <w:t>.</w:t>
      </w:r>
      <w:r w:rsidR="008764AA">
        <w:rPr>
          <w:rFonts w:cs="Times New Roman"/>
        </w:rPr>
        <w:t xml:space="preserve"> </w:t>
      </w:r>
    </w:p>
    <w:p w:rsidR="008764AA" w:rsidP="008764AA" w14:paraId="4B28D3D2" w14:textId="0DD06A52">
      <w:pPr>
        <w:spacing w:after="0" w:line="480" w:lineRule="auto"/>
        <w:ind w:firstLine="720"/>
        <w:rPr>
          <w:rFonts w:cs="Times New Roman"/>
        </w:rPr>
      </w:pPr>
      <w:r>
        <w:rPr>
          <w:rFonts w:cs="Times New Roman"/>
        </w:rPr>
        <w:t>But if DP&amp;L is given the opportunity for oral argument on this issue</w:t>
      </w:r>
      <w:r w:rsidR="00F03518">
        <w:rPr>
          <w:rFonts w:cs="Times New Roman"/>
        </w:rPr>
        <w:t xml:space="preserve"> (which it shouldn’t)</w:t>
      </w:r>
      <w:r>
        <w:rPr>
          <w:rFonts w:cs="Times New Roman"/>
        </w:rPr>
        <w:t xml:space="preserve">, then OCC should likewise be given the </w:t>
      </w:r>
      <w:r w:rsidR="00F03518">
        <w:rPr>
          <w:rFonts w:cs="Times New Roman"/>
        </w:rPr>
        <w:t>opportunity for oral argument</w:t>
      </w:r>
      <w:r w:rsidR="007238FC">
        <w:rPr>
          <w:rFonts w:cs="Times New Roman"/>
        </w:rPr>
        <w:t xml:space="preserve"> on an issue. That oral argument should address</w:t>
      </w:r>
      <w:r w:rsidR="00BA0845">
        <w:rPr>
          <w:rFonts w:cs="Times New Roman"/>
        </w:rPr>
        <w:t xml:space="preserve"> DP&amp;L’s collection of </w:t>
      </w:r>
      <w:r w:rsidR="007238FC">
        <w:rPr>
          <w:rFonts w:cs="Times New Roman"/>
        </w:rPr>
        <w:t>an (unlawful)</w:t>
      </w:r>
      <w:r w:rsidR="00BA0845">
        <w:rPr>
          <w:rFonts w:cs="Times New Roman"/>
        </w:rPr>
        <w:t xml:space="preserve"> stability charge from consumers</w:t>
      </w:r>
      <w:r w:rsidR="00F03518">
        <w:rPr>
          <w:rFonts w:cs="Times New Roman"/>
        </w:rPr>
        <w:t>.</w:t>
      </w:r>
    </w:p>
    <w:p w:rsidR="009F3D82" w:rsidP="009F3D82" w14:paraId="04A8A2EF" w14:textId="77777777">
      <w:pPr>
        <w:spacing w:after="0" w:line="240" w:lineRule="auto"/>
        <w:ind w:firstLine="720"/>
        <w:rPr>
          <w:rFonts w:cs="Times New Roman"/>
        </w:rPr>
      </w:pPr>
    </w:p>
    <w:p w:rsidR="00B17F64" w:rsidP="00B17F64" w14:paraId="3313F510" w14:textId="0F8B9526">
      <w:pPr>
        <w:pStyle w:val="ListParagraph"/>
        <w:numPr>
          <w:ilvl w:val="0"/>
          <w:numId w:val="2"/>
        </w:numPr>
        <w:spacing w:after="0" w:line="480" w:lineRule="auto"/>
        <w:ind w:left="720"/>
        <w:rPr>
          <w:rFonts w:cs="Times New Roman"/>
          <w:b/>
          <w:bCs/>
        </w:rPr>
      </w:pPr>
      <w:r>
        <w:rPr>
          <w:rFonts w:cs="Times New Roman"/>
          <w:b/>
          <w:bCs/>
        </w:rPr>
        <w:t>RECOMMENDATIONS</w:t>
      </w:r>
    </w:p>
    <w:p w:rsidR="00D434B4" w:rsidRPr="00D434B4" w:rsidP="00D434B4" w14:paraId="3F6DC9DE" w14:textId="3933DB1F">
      <w:pPr>
        <w:spacing w:after="0" w:line="480" w:lineRule="auto"/>
        <w:ind w:firstLine="720"/>
        <w:rPr>
          <w:rFonts w:cs="Times New Roman"/>
          <w:b/>
          <w:bCs/>
        </w:rPr>
      </w:pPr>
      <w:r>
        <w:rPr>
          <w:rFonts w:cs="Times New Roman"/>
        </w:rPr>
        <w:t>DP&amp;L asserts in its motion that the PUCO should grant oral argument for two reasons.</w:t>
      </w:r>
      <w:r w:rsidR="00AD02FF">
        <w:rPr>
          <w:rFonts w:cs="Times New Roman"/>
        </w:rPr>
        <w:t xml:space="preserve"> First, </w:t>
      </w:r>
      <w:r w:rsidR="007238FC">
        <w:rPr>
          <w:rFonts w:cs="Times New Roman"/>
        </w:rPr>
        <w:t xml:space="preserve">it asserts </w:t>
      </w:r>
      <w:r w:rsidR="00AD02FF">
        <w:rPr>
          <w:rFonts w:cs="Times New Roman"/>
        </w:rPr>
        <w:t>the legal issues relating to the rate freeze are novel and oral argument is necessary for the PUCO to evaluate whether or not to enforce the rate freeze.</w:t>
      </w:r>
      <w:r>
        <w:rPr>
          <w:rStyle w:val="FootnoteReference"/>
          <w:rFonts w:cs="Times New Roman"/>
        </w:rPr>
        <w:footnoteReference w:id="5"/>
      </w:r>
      <w:r w:rsidR="00AD02FF">
        <w:rPr>
          <w:rFonts w:cs="Times New Roman"/>
        </w:rPr>
        <w:t xml:space="preserve"> </w:t>
      </w:r>
      <w:r w:rsidR="00331517">
        <w:rPr>
          <w:rFonts w:cs="Times New Roman"/>
        </w:rPr>
        <w:t xml:space="preserve">In this regard DP&amp;L is mistaken. </w:t>
      </w:r>
      <w:r w:rsidR="00AD02FF">
        <w:rPr>
          <w:rFonts w:cs="Times New Roman"/>
        </w:rPr>
        <w:t xml:space="preserve">And second, </w:t>
      </w:r>
      <w:r w:rsidR="007238FC">
        <w:rPr>
          <w:rFonts w:cs="Times New Roman"/>
        </w:rPr>
        <w:t>it asserts its usual sad song about its need for more money</w:t>
      </w:r>
      <w:r w:rsidR="00CB7FEA">
        <w:rPr>
          <w:rFonts w:cs="Times New Roman"/>
        </w:rPr>
        <w:t xml:space="preserve"> from consumers</w:t>
      </w:r>
      <w:r w:rsidR="007238FC">
        <w:rPr>
          <w:rFonts w:cs="Times New Roman"/>
        </w:rPr>
        <w:t>, this time that</w:t>
      </w:r>
      <w:r w:rsidR="00DD17CD">
        <w:rPr>
          <w:rFonts w:cs="Times New Roman"/>
        </w:rPr>
        <w:t xml:space="preserve"> </w:t>
      </w:r>
      <w:r w:rsidR="00922C83">
        <w:rPr>
          <w:rFonts w:cs="Times New Roman"/>
        </w:rPr>
        <w:t>“</w:t>
      </w:r>
      <w:r w:rsidRPr="00922C83" w:rsidR="00922C83">
        <w:rPr>
          <w:rFonts w:cs="Times New Roman"/>
        </w:rPr>
        <w:t>the rate freeze issue is of vital importance to AES Ohio and its customers.</w:t>
      </w:r>
      <w:r w:rsidR="00922C83">
        <w:rPr>
          <w:rFonts w:cs="Times New Roman"/>
        </w:rPr>
        <w:t>”</w:t>
      </w:r>
      <w:r>
        <w:rPr>
          <w:rStyle w:val="FootnoteReference"/>
          <w:rFonts w:cs="Times New Roman"/>
        </w:rPr>
        <w:footnoteReference w:id="6"/>
      </w:r>
      <w:r w:rsidR="00922C83">
        <w:rPr>
          <w:rFonts w:cs="Times New Roman"/>
        </w:rPr>
        <w:t xml:space="preserve"> </w:t>
      </w:r>
      <w:r w:rsidR="00331517">
        <w:rPr>
          <w:rFonts w:cs="Times New Roman"/>
        </w:rPr>
        <w:t>On this we agree with DP&amp;L.</w:t>
      </w:r>
      <w:r w:rsidR="00DD17CD">
        <w:rPr>
          <w:rFonts w:cs="Times New Roman"/>
        </w:rPr>
        <w:t xml:space="preserve"> </w:t>
      </w:r>
      <w:r w:rsidR="00331517">
        <w:rPr>
          <w:rFonts w:cs="Times New Roman"/>
        </w:rPr>
        <w:t>DP&amp;L should honor its rate freeze commitment to its consumers because it is of vital importance to DP&amp;L’s</w:t>
      </w:r>
      <w:r w:rsidR="00DD17CD">
        <w:rPr>
          <w:rFonts w:cs="Times New Roman"/>
        </w:rPr>
        <w:t xml:space="preserve"> </w:t>
      </w:r>
      <w:r w:rsidRPr="00047CA1" w:rsidR="00047CA1">
        <w:rPr>
          <w:rFonts w:cs="Times New Roman"/>
        </w:rPr>
        <w:t>approximately 500,000 residential utility consumers</w:t>
      </w:r>
      <w:r w:rsidR="00331517">
        <w:rPr>
          <w:rFonts w:cs="Times New Roman"/>
        </w:rPr>
        <w:t>.</w:t>
      </w:r>
      <w:r w:rsidR="00DD17CD">
        <w:rPr>
          <w:rFonts w:cs="Times New Roman"/>
        </w:rPr>
        <w:t xml:space="preserve"> </w:t>
      </w:r>
    </w:p>
    <w:p w:rsidR="00B17F64" w:rsidRPr="006A593F" w:rsidP="006A593F" w14:paraId="08257E53" w14:textId="5F26F5FE">
      <w:pPr>
        <w:pStyle w:val="ListParagraph"/>
        <w:numPr>
          <w:ilvl w:val="0"/>
          <w:numId w:val="3"/>
        </w:numPr>
        <w:spacing w:line="240" w:lineRule="auto"/>
        <w:ind w:left="1440" w:hanging="720"/>
        <w:rPr>
          <w:rFonts w:cs="Times New Roman"/>
          <w:b/>
          <w:bCs/>
        </w:rPr>
      </w:pPr>
      <w:r w:rsidRPr="006A593F">
        <w:rPr>
          <w:rFonts w:cs="Times New Roman"/>
          <w:b/>
          <w:bCs/>
        </w:rPr>
        <w:t xml:space="preserve">The legal issues relating to </w:t>
      </w:r>
      <w:r w:rsidR="003C5DF2">
        <w:rPr>
          <w:rFonts w:cs="Times New Roman"/>
          <w:b/>
          <w:bCs/>
        </w:rPr>
        <w:t>DP&amp;L’s commitment to freeze rates to consumers are</w:t>
      </w:r>
      <w:r w:rsidRPr="006A593F">
        <w:rPr>
          <w:rFonts w:cs="Times New Roman"/>
          <w:b/>
          <w:bCs/>
        </w:rPr>
        <w:t xml:space="preserve"> not </w:t>
      </w:r>
      <w:r w:rsidR="00DA1D6C">
        <w:rPr>
          <w:rFonts w:cs="Times New Roman"/>
          <w:b/>
          <w:bCs/>
        </w:rPr>
        <w:t>“</w:t>
      </w:r>
      <w:r w:rsidRPr="006A593F">
        <w:rPr>
          <w:rFonts w:cs="Times New Roman"/>
          <w:b/>
          <w:bCs/>
        </w:rPr>
        <w:t>novel</w:t>
      </w:r>
      <w:r w:rsidR="00DA1D6C">
        <w:rPr>
          <w:rFonts w:cs="Times New Roman"/>
          <w:b/>
          <w:bCs/>
        </w:rPr>
        <w:t>”</w:t>
      </w:r>
      <w:r w:rsidRPr="006A593F">
        <w:rPr>
          <w:rFonts w:cs="Times New Roman"/>
          <w:b/>
          <w:bCs/>
        </w:rPr>
        <w:t xml:space="preserve"> and oral argument is unnecessary for the PUCO to evaluate whether or not to </w:t>
      </w:r>
      <w:r w:rsidRPr="006A593F" w:rsidR="006A593F">
        <w:rPr>
          <w:rFonts w:cs="Times New Roman"/>
          <w:b/>
          <w:bCs/>
        </w:rPr>
        <w:t>enforce the rate freeze.</w:t>
      </w:r>
    </w:p>
    <w:p w:rsidR="00C55E60" w:rsidRPr="00C55E60" w:rsidP="00C55E60" w14:paraId="3EAC20A0" w14:textId="227404C0">
      <w:pPr>
        <w:spacing w:after="0" w:line="480" w:lineRule="auto"/>
        <w:ind w:firstLine="720"/>
        <w:rPr>
          <w:rFonts w:cs="Times New Roman"/>
          <w:szCs w:val="24"/>
        </w:rPr>
      </w:pPr>
      <w:r>
        <w:rPr>
          <w:rFonts w:cs="Times New Roman"/>
          <w:szCs w:val="24"/>
        </w:rPr>
        <w:t xml:space="preserve">It’s interesting that DP&amp;L would argue that the rate freeze issue is </w:t>
      </w:r>
      <w:r w:rsidR="00FE52FE">
        <w:rPr>
          <w:rFonts w:cs="Times New Roman"/>
          <w:szCs w:val="24"/>
        </w:rPr>
        <w:t>“</w:t>
      </w:r>
      <w:r>
        <w:rPr>
          <w:rFonts w:cs="Times New Roman"/>
          <w:szCs w:val="24"/>
        </w:rPr>
        <w:t>novel</w:t>
      </w:r>
      <w:r w:rsidR="00FE52FE">
        <w:rPr>
          <w:rFonts w:cs="Times New Roman"/>
          <w:szCs w:val="24"/>
        </w:rPr>
        <w:t>”</w:t>
      </w:r>
      <w:r>
        <w:rPr>
          <w:rFonts w:cs="Times New Roman"/>
          <w:szCs w:val="24"/>
        </w:rPr>
        <w:t xml:space="preserve"> as a reason for oral argument. Novel means “</w:t>
      </w:r>
      <w:r w:rsidRPr="00C55E60">
        <w:rPr>
          <w:rFonts w:cs="Times New Roman"/>
          <w:szCs w:val="24"/>
        </w:rPr>
        <w:t xml:space="preserve">new and </w:t>
      </w:r>
      <w:r w:rsidRPr="00DD17CD">
        <w:rPr>
          <w:rFonts w:cs="Times New Roman"/>
          <w:b/>
          <w:bCs/>
          <w:szCs w:val="24"/>
        </w:rPr>
        <w:t>original</w:t>
      </w:r>
      <w:r w:rsidRPr="00C55E60">
        <w:rPr>
          <w:rFonts w:cs="Times New Roman"/>
          <w:szCs w:val="24"/>
        </w:rPr>
        <w:t xml:space="preserve">, not like anything </w:t>
      </w:r>
      <w:r w:rsidRPr="00DD17CD">
        <w:rPr>
          <w:rFonts w:cs="Times New Roman"/>
          <w:b/>
          <w:bCs/>
          <w:szCs w:val="24"/>
        </w:rPr>
        <w:t>seen</w:t>
      </w:r>
      <w:r w:rsidRPr="00C55E60">
        <w:rPr>
          <w:rFonts w:cs="Times New Roman"/>
          <w:szCs w:val="24"/>
        </w:rPr>
        <w:t xml:space="preserve"> before</w:t>
      </w:r>
      <w:r>
        <w:rPr>
          <w:rFonts w:cs="Times New Roman"/>
          <w:szCs w:val="24"/>
        </w:rPr>
        <w:t>.”</w:t>
      </w:r>
      <w:r>
        <w:rPr>
          <w:rStyle w:val="FootnoteReference"/>
          <w:rFonts w:cs="Times New Roman"/>
          <w:szCs w:val="24"/>
        </w:rPr>
        <w:footnoteReference w:id="7"/>
      </w:r>
    </w:p>
    <w:p w:rsidR="00255110" w:rsidP="00E8526A" w14:paraId="01327622" w14:textId="0BFF7FA3">
      <w:pPr>
        <w:spacing w:after="0" w:line="480" w:lineRule="auto"/>
        <w:ind w:firstLine="720"/>
        <w:rPr>
          <w:rFonts w:cs="Times New Roman"/>
          <w:szCs w:val="24"/>
        </w:rPr>
      </w:pPr>
      <w:r>
        <w:rPr>
          <w:rFonts w:cs="Times New Roman"/>
          <w:szCs w:val="24"/>
        </w:rPr>
        <w:t>For one thing, DP&amp;L was granted a favorable electric security plan</w:t>
      </w:r>
      <w:r w:rsidR="00C55E60">
        <w:rPr>
          <w:rFonts w:cs="Times New Roman"/>
          <w:szCs w:val="24"/>
        </w:rPr>
        <w:t xml:space="preserve"> – years ago – </w:t>
      </w:r>
      <w:r>
        <w:rPr>
          <w:rFonts w:cs="Times New Roman"/>
          <w:szCs w:val="24"/>
        </w:rPr>
        <w:t xml:space="preserve">with the rate freeze included. A rate freeze is not a </w:t>
      </w:r>
      <w:r w:rsidR="00DA1D6C">
        <w:rPr>
          <w:rFonts w:cs="Times New Roman"/>
          <w:szCs w:val="24"/>
        </w:rPr>
        <w:t>“</w:t>
      </w:r>
      <w:r>
        <w:rPr>
          <w:rFonts w:cs="Times New Roman"/>
          <w:szCs w:val="24"/>
        </w:rPr>
        <w:t>novel</w:t>
      </w:r>
      <w:r w:rsidR="00DA1D6C">
        <w:rPr>
          <w:rFonts w:cs="Times New Roman"/>
          <w:szCs w:val="24"/>
        </w:rPr>
        <w:t>”</w:t>
      </w:r>
      <w:r>
        <w:rPr>
          <w:rFonts w:cs="Times New Roman"/>
          <w:szCs w:val="24"/>
        </w:rPr>
        <w:t xml:space="preserve"> idea for a settlement. </w:t>
      </w:r>
    </w:p>
    <w:p w:rsidR="00FE52FE" w:rsidP="00E8526A" w14:paraId="2CE07918" w14:textId="53E8A360">
      <w:pPr>
        <w:spacing w:after="0" w:line="480" w:lineRule="auto"/>
        <w:ind w:firstLine="720"/>
        <w:rPr>
          <w:rFonts w:cs="Times New Roman"/>
          <w:szCs w:val="24"/>
        </w:rPr>
      </w:pPr>
      <w:r>
        <w:rPr>
          <w:rFonts w:cs="Times New Roman"/>
          <w:szCs w:val="24"/>
        </w:rPr>
        <w:t>But m</w:t>
      </w:r>
      <w:r w:rsidR="00EC4666">
        <w:rPr>
          <w:rFonts w:cs="Times New Roman"/>
          <w:szCs w:val="24"/>
        </w:rPr>
        <w:t xml:space="preserve">aybe DP&amp;L </w:t>
      </w:r>
      <w:r w:rsidR="00C55E60">
        <w:rPr>
          <w:rFonts w:cs="Times New Roman"/>
          <w:szCs w:val="24"/>
        </w:rPr>
        <w:t>at that time</w:t>
      </w:r>
      <w:r>
        <w:rPr>
          <w:rFonts w:cs="Times New Roman"/>
          <w:szCs w:val="24"/>
        </w:rPr>
        <w:t xml:space="preserve"> </w:t>
      </w:r>
      <w:r w:rsidR="00EC4666">
        <w:rPr>
          <w:rFonts w:cs="Times New Roman"/>
          <w:szCs w:val="24"/>
        </w:rPr>
        <w:t>viewed the rate freeze</w:t>
      </w:r>
      <w:r w:rsidR="00C55E60">
        <w:rPr>
          <w:rFonts w:cs="Times New Roman"/>
          <w:szCs w:val="24"/>
        </w:rPr>
        <w:t xml:space="preserve"> as novel</w:t>
      </w:r>
      <w:r w:rsidR="00EC4666">
        <w:rPr>
          <w:rFonts w:cs="Times New Roman"/>
          <w:szCs w:val="24"/>
        </w:rPr>
        <w:t xml:space="preserve"> in a good way when </w:t>
      </w:r>
      <w:r>
        <w:rPr>
          <w:rFonts w:cs="Times New Roman"/>
          <w:szCs w:val="24"/>
        </w:rPr>
        <w:t>that</w:t>
      </w:r>
      <w:r w:rsidR="00EC4666">
        <w:rPr>
          <w:rFonts w:cs="Times New Roman"/>
          <w:szCs w:val="24"/>
        </w:rPr>
        <w:t xml:space="preserve"> helped </w:t>
      </w:r>
      <w:r>
        <w:rPr>
          <w:rFonts w:cs="Times New Roman"/>
          <w:szCs w:val="24"/>
        </w:rPr>
        <w:t xml:space="preserve">gain </w:t>
      </w:r>
      <w:r w:rsidR="00EC4666">
        <w:rPr>
          <w:rFonts w:cs="Times New Roman"/>
          <w:szCs w:val="24"/>
        </w:rPr>
        <w:t xml:space="preserve">OCC’s </w:t>
      </w:r>
      <w:r>
        <w:rPr>
          <w:rFonts w:cs="Times New Roman"/>
          <w:szCs w:val="24"/>
        </w:rPr>
        <w:t>signature on a settlement and the PUCO’s signatures on a</w:t>
      </w:r>
      <w:r w:rsidR="0015396D">
        <w:rPr>
          <w:rFonts w:cs="Times New Roman"/>
          <w:szCs w:val="24"/>
        </w:rPr>
        <w:t xml:space="preserve"> favorable</w:t>
      </w:r>
      <w:r>
        <w:rPr>
          <w:rFonts w:cs="Times New Roman"/>
          <w:szCs w:val="24"/>
        </w:rPr>
        <w:t xml:space="preserve"> order. But now DP&amp;L views novelty </w:t>
      </w:r>
      <w:r w:rsidR="00C06B16">
        <w:rPr>
          <w:rFonts w:cs="Times New Roman"/>
          <w:szCs w:val="24"/>
        </w:rPr>
        <w:t xml:space="preserve">in a bad way </w:t>
      </w:r>
      <w:r>
        <w:rPr>
          <w:rFonts w:cs="Times New Roman"/>
          <w:szCs w:val="24"/>
        </w:rPr>
        <w:t>as</w:t>
      </w:r>
      <w:r w:rsidR="00C55E60">
        <w:rPr>
          <w:rFonts w:cs="Times New Roman"/>
          <w:szCs w:val="24"/>
        </w:rPr>
        <w:t xml:space="preserve"> a problem for it</w:t>
      </w:r>
      <w:r>
        <w:rPr>
          <w:rFonts w:cs="Times New Roman"/>
          <w:szCs w:val="24"/>
        </w:rPr>
        <w:t>. The PUCO should not accept</w:t>
      </w:r>
      <w:r w:rsidR="00C55E60">
        <w:rPr>
          <w:rFonts w:cs="Times New Roman"/>
          <w:szCs w:val="24"/>
        </w:rPr>
        <w:t xml:space="preserve"> DP&amp;L’s </w:t>
      </w:r>
      <w:r w:rsidR="00AD574B">
        <w:rPr>
          <w:rFonts w:cs="Times New Roman"/>
          <w:szCs w:val="24"/>
        </w:rPr>
        <w:t xml:space="preserve">flexible </w:t>
      </w:r>
      <w:r w:rsidR="00C0190E">
        <w:rPr>
          <w:rFonts w:cs="Times New Roman"/>
          <w:szCs w:val="24"/>
        </w:rPr>
        <w:t>idea</w:t>
      </w:r>
      <w:r w:rsidR="00C55E60">
        <w:rPr>
          <w:rFonts w:cs="Times New Roman"/>
          <w:szCs w:val="24"/>
        </w:rPr>
        <w:t xml:space="preserve"> of novelty</w:t>
      </w:r>
      <w:r>
        <w:rPr>
          <w:rFonts w:cs="Times New Roman"/>
          <w:szCs w:val="24"/>
        </w:rPr>
        <w:t xml:space="preserve"> as a reason for </w:t>
      </w:r>
      <w:r w:rsidR="00C55E60">
        <w:rPr>
          <w:rFonts w:cs="Times New Roman"/>
          <w:szCs w:val="24"/>
        </w:rPr>
        <w:t xml:space="preserve">a </w:t>
      </w:r>
      <w:r>
        <w:rPr>
          <w:rFonts w:cs="Times New Roman"/>
          <w:szCs w:val="24"/>
        </w:rPr>
        <w:t>belated oral argument.</w:t>
      </w:r>
    </w:p>
    <w:p w:rsidR="00AA3EC9" w:rsidRPr="00DD17CD" w:rsidP="00DD17CD" w14:paraId="15E603FD" w14:textId="3672861E">
      <w:pPr>
        <w:pStyle w:val="ListParagraph"/>
        <w:numPr>
          <w:ilvl w:val="0"/>
          <w:numId w:val="3"/>
        </w:numPr>
        <w:spacing w:line="240" w:lineRule="auto"/>
        <w:ind w:left="1440" w:hanging="720"/>
        <w:rPr>
          <w:rFonts w:cs="Times New Roman"/>
          <w:b/>
          <w:bCs/>
          <w:szCs w:val="24"/>
        </w:rPr>
      </w:pPr>
      <w:r w:rsidRPr="00DD17CD">
        <w:rPr>
          <w:rFonts w:cs="Times New Roman"/>
          <w:b/>
          <w:bCs/>
          <w:szCs w:val="24"/>
        </w:rPr>
        <w:t>DP&amp;L’s us</w:t>
      </w:r>
      <w:r w:rsidRPr="00DD17CD" w:rsidR="00D00639">
        <w:rPr>
          <w:rFonts w:cs="Times New Roman"/>
          <w:b/>
          <w:bCs/>
          <w:szCs w:val="24"/>
        </w:rPr>
        <w:t xml:space="preserve">es the word “novel” as grounds for its motion, but “novel” is the required standard for an interlocutory appeal, which DP&amp;L did not </w:t>
      </w:r>
      <w:r w:rsidRPr="00DD17CD" w:rsidR="00B21B15">
        <w:rPr>
          <w:rFonts w:cs="Times New Roman"/>
          <w:b/>
          <w:bCs/>
          <w:szCs w:val="24"/>
        </w:rPr>
        <w:t>request.</w:t>
      </w:r>
    </w:p>
    <w:p w:rsidR="009B3504" w:rsidP="00E8526A" w14:paraId="4F3B216E" w14:textId="73DD0AC5">
      <w:pPr>
        <w:spacing w:after="0" w:line="480" w:lineRule="auto"/>
        <w:ind w:firstLine="720"/>
        <w:rPr>
          <w:rFonts w:cs="Times New Roman"/>
          <w:szCs w:val="24"/>
        </w:rPr>
      </w:pPr>
      <w:r>
        <w:rPr>
          <w:rFonts w:cs="Times New Roman"/>
          <w:szCs w:val="24"/>
        </w:rPr>
        <w:t xml:space="preserve">Additionally, </w:t>
      </w:r>
      <w:r w:rsidR="00FE52FE">
        <w:rPr>
          <w:rFonts w:cs="Times New Roman"/>
          <w:szCs w:val="24"/>
        </w:rPr>
        <w:t xml:space="preserve">DP&amp;L’s use of the word </w:t>
      </w:r>
      <w:r w:rsidR="00B50AB9">
        <w:rPr>
          <w:rFonts w:cs="Times New Roman"/>
          <w:szCs w:val="24"/>
        </w:rPr>
        <w:t>“</w:t>
      </w:r>
      <w:r w:rsidR="00FE52FE">
        <w:rPr>
          <w:rFonts w:cs="Times New Roman"/>
          <w:szCs w:val="24"/>
        </w:rPr>
        <w:t>novel</w:t>
      </w:r>
      <w:r w:rsidR="00B50AB9">
        <w:rPr>
          <w:rFonts w:cs="Times New Roman"/>
          <w:szCs w:val="24"/>
        </w:rPr>
        <w:t>”</w:t>
      </w:r>
      <w:r w:rsidR="00FE52FE">
        <w:rPr>
          <w:rFonts w:cs="Times New Roman"/>
          <w:szCs w:val="24"/>
        </w:rPr>
        <w:t xml:space="preserve"> is, of course, a standard for obtaining certification of an interlocutory appeal, per O.A.C. 4901-1-15(B).</w:t>
      </w:r>
      <w:r w:rsidR="00DD17CD">
        <w:rPr>
          <w:rFonts w:cs="Times New Roman"/>
          <w:szCs w:val="24"/>
        </w:rPr>
        <w:t xml:space="preserve"> </w:t>
      </w:r>
      <w:r w:rsidR="00B50AB9">
        <w:rPr>
          <w:rFonts w:cs="Times New Roman"/>
          <w:szCs w:val="24"/>
        </w:rPr>
        <w:t xml:space="preserve">But DP&amp;L did not take its opportunity to file an interlocutory appeal for an oral argument when the Attorney Examiner ruled on the briefing schedule as the end to the case process. </w:t>
      </w:r>
      <w:r w:rsidR="00CA58D4">
        <w:rPr>
          <w:rFonts w:cs="Times New Roman"/>
          <w:szCs w:val="24"/>
        </w:rPr>
        <w:t>The PUCO has recently been critical of OCC for not raising an issue before an Attorney Examiner when it had the opportunity.</w:t>
      </w:r>
      <w:r>
        <w:rPr>
          <w:rStyle w:val="FootnoteReference"/>
          <w:rFonts w:cs="Times New Roman"/>
          <w:szCs w:val="24"/>
        </w:rPr>
        <w:footnoteReference w:id="8"/>
      </w:r>
      <w:r w:rsidR="00DD17CD">
        <w:rPr>
          <w:rFonts w:cs="Times New Roman"/>
          <w:szCs w:val="24"/>
        </w:rPr>
        <w:t xml:space="preserve"> </w:t>
      </w:r>
    </w:p>
    <w:p w:rsidR="009B3504" w:rsidRPr="00DD17CD" w:rsidP="00EC3488" w14:paraId="608BDC55" w14:textId="27C3B4DA">
      <w:pPr>
        <w:pStyle w:val="ListParagraph"/>
        <w:numPr>
          <w:ilvl w:val="0"/>
          <w:numId w:val="3"/>
        </w:numPr>
        <w:spacing w:line="240" w:lineRule="auto"/>
        <w:ind w:left="1440" w:hanging="720"/>
        <w:rPr>
          <w:rFonts w:cs="Times New Roman"/>
          <w:b/>
          <w:bCs/>
          <w:szCs w:val="24"/>
        </w:rPr>
      </w:pPr>
      <w:r w:rsidRPr="00DD17CD">
        <w:rPr>
          <w:rFonts w:cs="Times New Roman"/>
          <w:b/>
          <w:bCs/>
          <w:szCs w:val="24"/>
        </w:rPr>
        <w:t xml:space="preserve">PUCO precedent does not permit the filing of a motion </w:t>
      </w:r>
      <w:r w:rsidRPr="00DD17CD" w:rsidR="00AE5988">
        <w:rPr>
          <w:rFonts w:cs="Times New Roman"/>
          <w:b/>
          <w:bCs/>
          <w:szCs w:val="24"/>
        </w:rPr>
        <w:t>when an interlocutory appeal was the appropriate pleading.</w:t>
      </w:r>
    </w:p>
    <w:p w:rsidR="00DA1D6C" w:rsidP="00E8526A" w14:paraId="444DF94D" w14:textId="77777777">
      <w:pPr>
        <w:spacing w:after="0" w:line="480" w:lineRule="auto"/>
        <w:ind w:firstLine="720"/>
        <w:rPr>
          <w:rFonts w:cs="Times New Roman"/>
          <w:szCs w:val="24"/>
        </w:rPr>
      </w:pPr>
      <w:r>
        <w:rPr>
          <w:rFonts w:cs="Times New Roman"/>
          <w:szCs w:val="24"/>
        </w:rPr>
        <w:t>T</w:t>
      </w:r>
      <w:r w:rsidR="00101539">
        <w:rPr>
          <w:rFonts w:cs="Times New Roman"/>
          <w:szCs w:val="24"/>
        </w:rPr>
        <w:t xml:space="preserve">here is PUCO precedent against filing a </w:t>
      </w:r>
      <w:r w:rsidR="0029272D">
        <w:rPr>
          <w:rFonts w:cs="Times New Roman"/>
          <w:szCs w:val="24"/>
        </w:rPr>
        <w:t xml:space="preserve">motion when an </w:t>
      </w:r>
      <w:r w:rsidR="00101539">
        <w:rPr>
          <w:rFonts w:cs="Times New Roman"/>
          <w:szCs w:val="24"/>
        </w:rPr>
        <w:t xml:space="preserve">interlocutory appeal </w:t>
      </w:r>
      <w:r w:rsidR="0029272D">
        <w:rPr>
          <w:rFonts w:cs="Times New Roman"/>
          <w:szCs w:val="24"/>
        </w:rPr>
        <w:t>w</w:t>
      </w:r>
      <w:r w:rsidR="00101539">
        <w:rPr>
          <w:rFonts w:cs="Times New Roman"/>
          <w:szCs w:val="24"/>
        </w:rPr>
        <w:t>as called for.</w:t>
      </w:r>
      <w:r w:rsidRPr="00DD13E4" w:rsidR="00101539">
        <w:rPr>
          <w:rStyle w:val="FootnoteReference"/>
          <w:rFonts w:cs="Times New Roman"/>
          <w:szCs w:val="24"/>
        </w:rPr>
        <w:t xml:space="preserve"> </w:t>
      </w:r>
      <w:r>
        <w:rPr>
          <w:rStyle w:val="FootnoteReference"/>
          <w:rFonts w:cs="Times New Roman"/>
          <w:szCs w:val="24"/>
        </w:rPr>
        <w:footnoteReference w:id="9"/>
      </w:r>
      <w:r w:rsidR="00101539">
        <w:rPr>
          <w:rFonts w:cs="Times New Roman"/>
          <w:szCs w:val="24"/>
        </w:rPr>
        <w:t xml:space="preserve"> </w:t>
      </w:r>
      <w:r w:rsidRPr="001573DE" w:rsidR="001573DE">
        <w:rPr>
          <w:rFonts w:cs="Times New Roman"/>
          <w:szCs w:val="24"/>
        </w:rPr>
        <w:t xml:space="preserve">Interlocutory appeals of Attorney Examiner rulings must be filed within five days of the ruling, under </w:t>
      </w:r>
      <w:r w:rsidR="001573DE">
        <w:rPr>
          <w:rFonts w:cs="Times New Roman"/>
          <w:szCs w:val="24"/>
        </w:rPr>
        <w:t>O.A.C</w:t>
      </w:r>
      <w:r w:rsidRPr="001573DE" w:rsidR="001573DE">
        <w:rPr>
          <w:rFonts w:cs="Times New Roman"/>
          <w:szCs w:val="24"/>
        </w:rPr>
        <w:t xml:space="preserve"> 4901-1-15.</w:t>
      </w:r>
      <w:r w:rsidR="00DD17CD">
        <w:rPr>
          <w:rFonts w:cs="Times New Roman"/>
          <w:szCs w:val="24"/>
        </w:rPr>
        <w:t xml:space="preserve"> </w:t>
      </w:r>
      <w:r w:rsidRPr="001573DE" w:rsidR="001573DE">
        <w:rPr>
          <w:rFonts w:cs="Times New Roman"/>
          <w:szCs w:val="24"/>
        </w:rPr>
        <w:t>That rule also allows parties who do not take an interlocutory appeal to address the ruling in their initial brief or any other appropriate filing.</w:t>
      </w:r>
      <w:r>
        <w:rPr>
          <w:rStyle w:val="FootnoteReference"/>
          <w:rFonts w:cs="Times New Roman"/>
          <w:szCs w:val="24"/>
        </w:rPr>
        <w:footnoteReference w:id="10"/>
      </w:r>
      <w:r w:rsidR="00DD17CD">
        <w:rPr>
          <w:rFonts w:cs="Times New Roman"/>
          <w:szCs w:val="24"/>
        </w:rPr>
        <w:t xml:space="preserve"> </w:t>
      </w:r>
      <w:r w:rsidR="001D21A3">
        <w:rPr>
          <w:rFonts w:cs="Times New Roman"/>
          <w:szCs w:val="24"/>
        </w:rPr>
        <w:t xml:space="preserve">DP&amp;L had the opportunity to address this issue in its initial brief and has the opportunity do so on reply. </w:t>
      </w:r>
      <w:r w:rsidR="00101539">
        <w:rPr>
          <w:rFonts w:cs="Times New Roman"/>
          <w:szCs w:val="24"/>
        </w:rPr>
        <w:t>DP&amp;L’s motion is out of order and should be denied.</w:t>
      </w:r>
      <w:r w:rsidR="00313300">
        <w:rPr>
          <w:rFonts w:cs="Times New Roman"/>
          <w:szCs w:val="24"/>
        </w:rPr>
        <w:t xml:space="preserve"> </w:t>
      </w:r>
    </w:p>
    <w:p w:rsidR="00DA1D6C" w:rsidRPr="00DA1D6C" w:rsidP="00DA1D6C" w14:paraId="0B73ED7A" w14:textId="1B711130">
      <w:pPr>
        <w:pStyle w:val="ListParagraph"/>
        <w:numPr>
          <w:ilvl w:val="0"/>
          <w:numId w:val="3"/>
        </w:numPr>
        <w:spacing w:after="0" w:line="480" w:lineRule="auto"/>
        <w:ind w:left="1440" w:hanging="720"/>
        <w:rPr>
          <w:rFonts w:cs="Times New Roman"/>
          <w:b/>
          <w:bCs/>
          <w:szCs w:val="24"/>
        </w:rPr>
      </w:pPr>
      <w:r w:rsidRPr="00DA1D6C">
        <w:rPr>
          <w:rFonts w:cs="Times New Roman"/>
          <w:b/>
          <w:bCs/>
          <w:szCs w:val="24"/>
        </w:rPr>
        <w:t xml:space="preserve">DP&amp;L </w:t>
      </w:r>
      <w:r w:rsidRPr="00DA1D6C">
        <w:rPr>
          <w:rFonts w:cs="Times New Roman"/>
          <w:b/>
          <w:bCs/>
          <w:szCs w:val="24"/>
          <w:u w:val="single"/>
        </w:rPr>
        <w:t>chose</w:t>
      </w:r>
      <w:r w:rsidRPr="00DA1D6C">
        <w:rPr>
          <w:rFonts w:cs="Times New Roman"/>
          <w:b/>
          <w:bCs/>
          <w:szCs w:val="24"/>
        </w:rPr>
        <w:t xml:space="preserve"> to </w:t>
      </w:r>
      <w:r>
        <w:rPr>
          <w:rFonts w:cs="Times New Roman"/>
          <w:b/>
          <w:bCs/>
          <w:szCs w:val="24"/>
        </w:rPr>
        <w:t>revert to ESP I</w:t>
      </w:r>
      <w:r w:rsidRPr="00DA1D6C">
        <w:rPr>
          <w:rFonts w:cs="Times New Roman"/>
          <w:b/>
          <w:bCs/>
          <w:szCs w:val="24"/>
        </w:rPr>
        <w:t>.</w:t>
      </w:r>
    </w:p>
    <w:p w:rsidR="00E8526A" w:rsidRPr="00E8526A" w:rsidP="00E8526A" w14:paraId="5F523704" w14:textId="7E61DD4E">
      <w:pPr>
        <w:spacing w:after="0" w:line="480" w:lineRule="auto"/>
        <w:ind w:firstLine="720"/>
        <w:rPr>
          <w:rFonts w:cs="Times New Roman"/>
          <w:szCs w:val="24"/>
        </w:rPr>
      </w:pPr>
      <w:r w:rsidRPr="00E8526A">
        <w:rPr>
          <w:rFonts w:cs="Times New Roman"/>
          <w:szCs w:val="24"/>
        </w:rPr>
        <w:t>Under R.C. 4928.143(C)(2)(b), if a utility withdraws from its electric security plan, the PUCO “shall issue such order as is necessary to continue the provisions, terms, and conditions of the utility’s most recent standard service offer...until a subsequent offer is authorized pursuant to this section of section 4928.142 of the Revised Code.” The PUCO has interpreted this statute to mean that when a utility withdraws from its current ESP, it reverts to its previous ESP in its entirety.</w:t>
      </w:r>
      <w:r>
        <w:rPr>
          <w:rStyle w:val="FootnoteReference"/>
          <w:szCs w:val="24"/>
        </w:rPr>
        <w:footnoteReference w:id="11"/>
      </w:r>
      <w:r w:rsidRPr="00E8526A">
        <w:rPr>
          <w:rFonts w:cs="Times New Roman"/>
          <w:szCs w:val="24"/>
        </w:rPr>
        <w:t xml:space="preserve"> </w:t>
      </w:r>
    </w:p>
    <w:p w:rsidR="00F00E08" w:rsidP="00E8526A" w14:paraId="344A4160" w14:textId="11631209">
      <w:pPr>
        <w:spacing w:after="0" w:line="480" w:lineRule="auto"/>
        <w:ind w:firstLine="720"/>
        <w:rPr>
          <w:rFonts w:cs="Times New Roman"/>
        </w:rPr>
      </w:pPr>
      <w:r>
        <w:rPr>
          <w:rFonts w:cs="Times New Roman"/>
        </w:rPr>
        <w:t xml:space="preserve">DP&amp;L argues that </w:t>
      </w:r>
      <w:r w:rsidR="00D2640C">
        <w:rPr>
          <w:rFonts w:cs="Times New Roman"/>
        </w:rPr>
        <w:t>“th</w:t>
      </w:r>
      <w:r w:rsidRPr="00D2640C" w:rsidR="00D2640C">
        <w:rPr>
          <w:rFonts w:cs="Times New Roman"/>
        </w:rPr>
        <w:t xml:space="preserve">e legal issues relating to the rate freeze are novel, and oral argument will assist the Commission to evaluate them. Specifically, after AES Ohio terminated ESP III, it is undisputed that the Commission was required ("shall") to implement the </w:t>
      </w:r>
      <w:r w:rsidR="0078206E">
        <w:rPr>
          <w:rFonts w:cs="Times New Roman"/>
        </w:rPr>
        <w:t>‘</w:t>
      </w:r>
      <w:r w:rsidRPr="00D2640C" w:rsidR="00D2640C">
        <w:rPr>
          <w:rFonts w:cs="Times New Roman"/>
        </w:rPr>
        <w:t>provisions, terms, and conditions of [AES Ohio's] most recent standard service offer.</w:t>
      </w:r>
      <w:r w:rsidR="0078206E">
        <w:rPr>
          <w:rFonts w:cs="Times New Roman"/>
        </w:rPr>
        <w:t>’</w:t>
      </w:r>
      <w:r w:rsidR="00F76457">
        <w:rPr>
          <w:rFonts w:cs="Times New Roman"/>
        </w:rPr>
        <w:t xml:space="preserve"> </w:t>
      </w:r>
      <w:r w:rsidRPr="00D2640C" w:rsidR="00D2640C">
        <w:rPr>
          <w:rFonts w:cs="Times New Roman"/>
        </w:rPr>
        <w:t>R.C. 4928.143(C)(2)(b).</w:t>
      </w:r>
      <w:r w:rsidR="00F76457">
        <w:rPr>
          <w:rFonts w:cs="Times New Roman"/>
        </w:rPr>
        <w:t xml:space="preserve"> </w:t>
      </w:r>
      <w:r w:rsidRPr="00D2640C" w:rsidR="00D2640C">
        <w:rPr>
          <w:rFonts w:cs="Times New Roman"/>
        </w:rPr>
        <w:t>The parties disagree about what that means.</w:t>
      </w:r>
      <w:r w:rsidR="00D2640C">
        <w:rPr>
          <w:rFonts w:cs="Times New Roman"/>
        </w:rPr>
        <w:t>”</w:t>
      </w:r>
      <w:r>
        <w:rPr>
          <w:rStyle w:val="FootnoteReference"/>
          <w:rFonts w:cs="Times New Roman"/>
        </w:rPr>
        <w:footnoteReference w:id="12"/>
      </w:r>
      <w:r w:rsidR="00D2640C">
        <w:rPr>
          <w:rFonts w:cs="Times New Roman"/>
        </w:rPr>
        <w:t xml:space="preserve"> </w:t>
      </w:r>
    </w:p>
    <w:p w:rsidR="00DA1D6C" w:rsidP="00DA1D6C" w14:paraId="1488D884" w14:textId="77777777">
      <w:pPr>
        <w:spacing w:after="0" w:line="480" w:lineRule="auto"/>
        <w:ind w:firstLine="720"/>
        <w:rPr>
          <w:rFonts w:cs="Times New Roman"/>
        </w:rPr>
      </w:pPr>
      <w:r>
        <w:rPr>
          <w:rFonts w:cs="Times New Roman"/>
        </w:rPr>
        <w:t>As OCC has argued multiple times in this case,</w:t>
      </w:r>
      <w:r>
        <w:rPr>
          <w:rStyle w:val="FootnoteReference"/>
          <w:rFonts w:cs="Times New Roman"/>
        </w:rPr>
        <w:footnoteReference w:id="13"/>
      </w:r>
      <w:r>
        <w:rPr>
          <w:rFonts w:cs="Times New Roman"/>
        </w:rPr>
        <w:t xml:space="preserve"> and in other cases, DP&amp;L unilaterally chose to revert to ESP I and did so knowing full well that its commitment to freeze rates to consumers was part of the settlement. DP&amp;L is once again attempting to cherry-pick pro-utility provisions of its ESP I (the $76 million annual stability charge) , while disavowing any pro-consumer provisions (its commitment to freeze rates to consumers) that it does not like.</w:t>
      </w:r>
      <w:r>
        <w:rPr>
          <w:rStyle w:val="FootnoteReference"/>
          <w:rFonts w:cs="Times New Roman"/>
        </w:rPr>
        <w:footnoteReference w:id="14"/>
      </w:r>
      <w:r>
        <w:rPr>
          <w:rFonts w:cs="Times New Roman"/>
        </w:rPr>
        <w:t xml:space="preserve"> The PUCO should put a stop to this. Now. </w:t>
      </w:r>
      <w:r w:rsidRPr="00DA1D6C">
        <w:rPr>
          <w:rFonts w:cs="Times New Roman"/>
        </w:rPr>
        <w:t>Parties have had numerous opportunities to argue this issue – before the PUCO and the Ohio Supreme Court. The issues are no longer “novel.” The PUCO has an adequate record before it that will allow them to make a well-informed decision.</w:t>
      </w:r>
      <w:r w:rsidRPr="00DA1D6C" w:rsidR="00DD17CD">
        <w:rPr>
          <w:rFonts w:cs="Times New Roman"/>
        </w:rPr>
        <w:t xml:space="preserve"> </w:t>
      </w:r>
      <w:r w:rsidRPr="00DA1D6C">
        <w:rPr>
          <w:rFonts w:cs="Times New Roman"/>
        </w:rPr>
        <w:t>Oral argument is not necessary</w:t>
      </w:r>
      <w:r>
        <w:rPr>
          <w:rFonts w:cs="Times New Roman"/>
        </w:rPr>
        <w:t xml:space="preserve">. </w:t>
      </w:r>
    </w:p>
    <w:p w:rsidR="00D434B4" w:rsidRPr="00890A14" w:rsidP="00DA1D6C" w14:paraId="5F3B1C38" w14:textId="60E6EA23">
      <w:pPr>
        <w:spacing w:line="240" w:lineRule="auto"/>
        <w:ind w:left="1440" w:hanging="720"/>
        <w:rPr>
          <w:rFonts w:cs="Times New Roman"/>
          <w:b/>
          <w:bCs/>
        </w:rPr>
      </w:pPr>
      <w:r w:rsidRPr="00DA1D6C">
        <w:rPr>
          <w:rFonts w:cs="Times New Roman"/>
          <w:b/>
          <w:bCs/>
        </w:rPr>
        <w:t>E.</w:t>
      </w:r>
      <w:r>
        <w:rPr>
          <w:rFonts w:cs="Times New Roman"/>
        </w:rPr>
        <w:t xml:space="preserve"> </w:t>
      </w:r>
      <w:r>
        <w:rPr>
          <w:rFonts w:cs="Times New Roman"/>
        </w:rPr>
        <w:tab/>
      </w:r>
      <w:r w:rsidRPr="00DD17CD" w:rsidR="003D74DE">
        <w:rPr>
          <w:b/>
          <w:bCs/>
        </w:rPr>
        <w:t>DP&amp;L's commitment to freeze rates to consumers</w:t>
      </w:r>
      <w:r w:rsidR="001A433E">
        <w:t xml:space="preserve"> </w:t>
      </w:r>
      <w:r w:rsidRPr="00890A14" w:rsidR="00511BE8">
        <w:rPr>
          <w:rFonts w:cs="Times New Roman"/>
          <w:b/>
          <w:bCs/>
        </w:rPr>
        <w:t xml:space="preserve">is of vital importance for both consumer protection </w:t>
      </w:r>
      <w:r w:rsidRPr="00890A14" w:rsidR="00890A14">
        <w:rPr>
          <w:rFonts w:cs="Times New Roman"/>
          <w:b/>
          <w:bCs/>
        </w:rPr>
        <w:t xml:space="preserve">and for </w:t>
      </w:r>
      <w:r w:rsidR="003D74DE">
        <w:rPr>
          <w:rFonts w:cs="Times New Roman"/>
          <w:b/>
          <w:bCs/>
        </w:rPr>
        <w:t>DP&amp;L</w:t>
      </w:r>
      <w:r w:rsidRPr="00890A14" w:rsidR="00511BE8">
        <w:rPr>
          <w:rFonts w:cs="Times New Roman"/>
          <w:b/>
          <w:bCs/>
        </w:rPr>
        <w:t xml:space="preserve">, but not for </w:t>
      </w:r>
      <w:r w:rsidRPr="00890A14" w:rsidR="00890A14">
        <w:rPr>
          <w:rFonts w:cs="Times New Roman"/>
          <w:b/>
          <w:bCs/>
        </w:rPr>
        <w:t>the same reasons.</w:t>
      </w:r>
    </w:p>
    <w:p w:rsidR="00AF5FC0" w:rsidP="00F36E94" w14:paraId="60A29331" w14:textId="77777777">
      <w:pPr>
        <w:spacing w:after="0" w:line="480" w:lineRule="auto"/>
        <w:ind w:firstLine="720"/>
        <w:rPr>
          <w:rFonts w:cs="Times New Roman"/>
        </w:rPr>
      </w:pPr>
      <w:r>
        <w:rPr>
          <w:rFonts w:cs="Times New Roman"/>
        </w:rPr>
        <w:t xml:space="preserve">DP&amp;L </w:t>
      </w:r>
      <w:r w:rsidR="00890A14">
        <w:rPr>
          <w:rFonts w:cs="Times New Roman"/>
        </w:rPr>
        <w:t xml:space="preserve">also </w:t>
      </w:r>
      <w:r>
        <w:rPr>
          <w:rFonts w:cs="Times New Roman"/>
        </w:rPr>
        <w:t xml:space="preserve">asserts that </w:t>
      </w:r>
      <w:r w:rsidR="005D71D5">
        <w:rPr>
          <w:rFonts w:cs="Times New Roman"/>
        </w:rPr>
        <w:t>the rate freeze issue “</w:t>
      </w:r>
      <w:r w:rsidR="00E50928">
        <w:rPr>
          <w:rFonts w:cs="Times New Roman"/>
        </w:rPr>
        <w:t xml:space="preserve">is </w:t>
      </w:r>
      <w:r w:rsidRPr="005D71D5" w:rsidR="005D71D5">
        <w:rPr>
          <w:rFonts w:cs="Times New Roman"/>
        </w:rPr>
        <w:t>of vital importance to AES Ohio and its customers</w:t>
      </w:r>
      <w:r w:rsidR="00E50928">
        <w:rPr>
          <w:rFonts w:cs="Times New Roman"/>
        </w:rPr>
        <w:t>…</w:t>
      </w:r>
      <w:r w:rsidRPr="005D71D5" w:rsidR="005D71D5">
        <w:rPr>
          <w:rFonts w:cs="Times New Roman"/>
        </w:rPr>
        <w:t>AES Ohio's current rates were set based upon a 2015 test year, and costs have increased significantly since then</w:t>
      </w:r>
      <w:r w:rsidR="00E50928">
        <w:rPr>
          <w:rFonts w:cs="Times New Roman"/>
        </w:rPr>
        <w:t>.</w:t>
      </w:r>
      <w:r w:rsidRPr="005D71D5" w:rsidR="005D71D5">
        <w:rPr>
          <w:rFonts w:cs="Times New Roman"/>
        </w:rPr>
        <w:t xml:space="preserve"> For example, the cost to trim vegetation on a mile of AES Ohio's distribution lines has increased by 170% since 2015.</w:t>
      </w:r>
      <w:r w:rsidR="00E50928">
        <w:rPr>
          <w:rFonts w:cs="Times New Roman"/>
        </w:rPr>
        <w:t xml:space="preserve">” </w:t>
      </w:r>
    </w:p>
    <w:p w:rsidR="00671266" w:rsidRPr="00423400" w:rsidP="00F36E94" w14:paraId="2088E310" w14:textId="1D11C4D2">
      <w:pPr>
        <w:spacing w:after="0" w:line="480" w:lineRule="auto"/>
        <w:ind w:firstLine="720"/>
        <w:rPr>
          <w:rFonts w:cs="Times New Roman"/>
          <w:szCs w:val="24"/>
        </w:rPr>
      </w:pPr>
      <w:r>
        <w:rPr>
          <w:rFonts w:cs="Times New Roman"/>
        </w:rPr>
        <w:t xml:space="preserve">But DP&amp;L knew this when it </w:t>
      </w:r>
      <w:r>
        <w:rPr>
          <w:rFonts w:cs="Times New Roman"/>
          <w:i/>
          <w:iCs/>
        </w:rPr>
        <w:t xml:space="preserve">chose </w:t>
      </w:r>
      <w:r>
        <w:rPr>
          <w:rFonts w:cs="Times New Roman"/>
        </w:rPr>
        <w:t>to revert to ESP I. Consumers should not be forced to pay more because DP&amp;L might have miscalculated the financial implications of its decision to revert to ESP I. DP&amp;L still is collecting more than $75 million per year from consumers in through its so-called rate stability charge (“RSC”) – a stability charge that would not withstand legal challenge today, given post-2009 Supreme Court rulings and PUCO decisions. Under the 2009 plan, while the stability charge is</w:t>
      </w:r>
      <w:r w:rsidR="00DD17CD">
        <w:rPr>
          <w:rFonts w:cs="Times New Roman"/>
        </w:rPr>
        <w:t xml:space="preserve"> </w:t>
      </w:r>
      <w:r>
        <w:rPr>
          <w:rFonts w:cs="Times New Roman"/>
        </w:rPr>
        <w:t xml:space="preserve">being collected, consumers were to benefit from DP&amp;L’s commitment to freeze distribution rates. </w:t>
      </w:r>
      <w:r w:rsidRPr="00423400">
        <w:rPr>
          <w:rFonts w:cs="Times New Roman"/>
          <w:szCs w:val="24"/>
        </w:rPr>
        <w:t xml:space="preserve">To protect consumers, the PUCO should enforce the terms of ESP I in their entirely, including </w:t>
      </w:r>
      <w:r>
        <w:rPr>
          <w:rFonts w:cs="Times New Roman"/>
          <w:szCs w:val="24"/>
        </w:rPr>
        <w:t>DP&amp;L’s commitment to freeze rates</w:t>
      </w:r>
      <w:r w:rsidRPr="00423400">
        <w:rPr>
          <w:rFonts w:cs="Times New Roman"/>
          <w:szCs w:val="24"/>
        </w:rPr>
        <w:t xml:space="preserve">, which is an agreed-upon consumer protection. </w:t>
      </w:r>
    </w:p>
    <w:p w:rsidR="00671266" w:rsidRPr="00423400" w:rsidP="00671266" w14:paraId="3E7BB0A8" w14:textId="46A23BE8">
      <w:pPr>
        <w:spacing w:after="0" w:line="480" w:lineRule="auto"/>
        <w:ind w:firstLine="720"/>
        <w:rPr>
          <w:rFonts w:cs="Times New Roman"/>
          <w:szCs w:val="24"/>
        </w:rPr>
      </w:pPr>
      <w:r w:rsidRPr="00423400">
        <w:rPr>
          <w:rFonts w:cs="Times New Roman"/>
          <w:szCs w:val="24"/>
        </w:rPr>
        <w:t xml:space="preserve">To the contrary, the PUCO’s interpretation of R.C. 4928.143(C)(2)(b)—that a utility reverts to its most recent ESP in its entirety—compels such a conclusion. The PUCO must freeze DP&amp;L’s base rates at whatever level they were set at the time DP&amp;L reverted to ESP I. DP&amp;L reverted to ESP I in December 2019. Thus, the PUCO is required to enforce </w:t>
      </w:r>
      <w:r w:rsidR="005E7646">
        <w:rPr>
          <w:rFonts w:cs="Times New Roman"/>
          <w:szCs w:val="24"/>
        </w:rPr>
        <w:t>DP&amp;L’s commitment to freeze rates</w:t>
      </w:r>
      <w:r w:rsidRPr="00423400">
        <w:rPr>
          <w:rFonts w:cs="Times New Roman"/>
          <w:szCs w:val="24"/>
        </w:rPr>
        <w:t xml:space="preserve"> for as long as ESP </w:t>
      </w:r>
      <w:r w:rsidR="00DA1D6C">
        <w:rPr>
          <w:rFonts w:cs="Times New Roman"/>
          <w:szCs w:val="24"/>
        </w:rPr>
        <w:t>I</w:t>
      </w:r>
      <w:r w:rsidRPr="00423400">
        <w:rPr>
          <w:rFonts w:cs="Times New Roman"/>
          <w:szCs w:val="24"/>
        </w:rPr>
        <w:t xml:space="preserve"> remains in effect. </w:t>
      </w:r>
    </w:p>
    <w:p w:rsidR="008B2D1D" w:rsidRPr="00423400" w:rsidP="008B2D1D" w14:paraId="29ACBD98" w14:textId="59E68885">
      <w:pPr>
        <w:spacing w:after="0" w:line="480" w:lineRule="auto"/>
        <w:ind w:firstLine="720"/>
        <w:rPr>
          <w:szCs w:val="24"/>
        </w:rPr>
      </w:pPr>
      <w:r>
        <w:rPr>
          <w:rFonts w:cs="Times New Roman"/>
          <w:szCs w:val="24"/>
        </w:rPr>
        <w:t xml:space="preserve">OCC’s expert witness </w:t>
      </w:r>
      <w:r w:rsidRPr="00423400">
        <w:rPr>
          <w:rFonts w:cs="Times New Roman"/>
          <w:szCs w:val="24"/>
        </w:rPr>
        <w:t>Mr. Willis recommend</w:t>
      </w:r>
      <w:r>
        <w:rPr>
          <w:rFonts w:cs="Times New Roman"/>
          <w:szCs w:val="24"/>
        </w:rPr>
        <w:t>ed</w:t>
      </w:r>
      <w:r w:rsidRPr="00423400">
        <w:rPr>
          <w:rFonts w:cs="Times New Roman"/>
          <w:szCs w:val="24"/>
        </w:rPr>
        <w:t xml:space="preserve"> that rates to DP&amp;L residential consumers be frozen at the current levels as supported in OCC’s August 5, 2021, Motion to Dismiss DP&amp;L’s Application for a Rate Increase.</w:t>
      </w:r>
      <w:r>
        <w:rPr>
          <w:rStyle w:val="FootnoteReference"/>
          <w:szCs w:val="24"/>
        </w:rPr>
        <w:footnoteReference w:id="15"/>
      </w:r>
      <w:r w:rsidRPr="00423400">
        <w:rPr>
          <w:rFonts w:cs="Times New Roman"/>
          <w:szCs w:val="24"/>
        </w:rPr>
        <w:t xml:space="preserve"> This recommendation is consistent with the settlement that DP&amp;L previously agreed to as part of ESP I.</w:t>
      </w:r>
      <w:r>
        <w:rPr>
          <w:rStyle w:val="FootnoteReference"/>
          <w:szCs w:val="24"/>
        </w:rPr>
        <w:footnoteReference w:id="16"/>
      </w:r>
      <w:r w:rsidRPr="00423400">
        <w:rPr>
          <w:rFonts w:cs="Times New Roman"/>
          <w:szCs w:val="24"/>
        </w:rPr>
        <w:t xml:space="preserve"> </w:t>
      </w:r>
      <w:r w:rsidRPr="00423400">
        <w:rPr>
          <w:szCs w:val="24"/>
        </w:rPr>
        <w:t xml:space="preserve">And it is consistent with the PUCO rulings that “the Commission cannot arbitrarily choose some of the various provisions of the ESP to continue after the termination date of the ESP and choose other provisions of the ESP not to continue.” </w:t>
      </w:r>
      <w:r w:rsidRPr="00423400">
        <w:rPr>
          <w:i/>
          <w:iCs/>
          <w:szCs w:val="24"/>
        </w:rPr>
        <w:t>In re Application of Dayton Power &amp; Light Co. for Approval of its Market Rate offer,</w:t>
      </w:r>
      <w:r w:rsidRPr="00423400">
        <w:rPr>
          <w:szCs w:val="24"/>
        </w:rPr>
        <w:t xml:space="preserve"> Case No. 12-426-EL-SS), Entry on Rehearing at </w:t>
      </w:r>
      <w:r w:rsidRPr="00423400">
        <w:rPr>
          <w:rFonts w:cs="Times New Roman"/>
          <w:szCs w:val="24"/>
        </w:rPr>
        <w:t>¶</w:t>
      </w:r>
      <w:r w:rsidRPr="00423400">
        <w:rPr>
          <w:szCs w:val="24"/>
        </w:rPr>
        <w:t xml:space="preserve">10 (Feb. 19, 2013). </w:t>
      </w:r>
    </w:p>
    <w:p w:rsidR="00BF6747" w:rsidP="00203A86" w14:paraId="1DBFDE9B" w14:textId="77777777">
      <w:pPr>
        <w:spacing w:after="0" w:line="480" w:lineRule="auto"/>
        <w:ind w:firstLine="720"/>
        <w:rPr>
          <w:rFonts w:cs="Times New Roman"/>
          <w:szCs w:val="24"/>
        </w:rPr>
      </w:pPr>
      <w:r w:rsidRPr="00423400">
        <w:rPr>
          <w:rFonts w:cs="Times New Roman"/>
          <w:szCs w:val="24"/>
        </w:rPr>
        <w:t>After the hearing in this case, DP&amp;L filed rebuttal testimony to attempt to rebut OCC’s witness Mr. Willis’s recommendation that the PUCO should freeze DP&amp;L’s distribution rates at their current level.</w:t>
      </w:r>
      <w:r>
        <w:rPr>
          <w:rStyle w:val="FootnoteReference"/>
          <w:szCs w:val="24"/>
        </w:rPr>
        <w:footnoteReference w:id="17"/>
      </w:r>
      <w:r w:rsidRPr="00423400">
        <w:rPr>
          <w:rFonts w:cs="Times New Roman"/>
          <w:szCs w:val="24"/>
        </w:rPr>
        <w:t xml:space="preserve"> DP&amp;L witness Ms. Storm indicated that “freezing AES Ohio's distribution rates at their current level would have a negative effect on AES Ohio's ability to provide service by forcing the Company to reduce spending to levels that may not maintain compliance, proactive maintenance, or line clearance.”</w:t>
      </w:r>
      <w:r>
        <w:rPr>
          <w:rStyle w:val="FootnoteReference"/>
          <w:szCs w:val="24"/>
        </w:rPr>
        <w:footnoteReference w:id="18"/>
      </w:r>
      <w:r w:rsidRPr="00423400">
        <w:rPr>
          <w:rFonts w:cs="Times New Roman"/>
          <w:szCs w:val="24"/>
        </w:rPr>
        <w:t xml:space="preserve"> </w:t>
      </w:r>
    </w:p>
    <w:p w:rsidR="00203A86" w:rsidRPr="00423400" w:rsidP="00203A86" w14:paraId="6F7DAE4A" w14:textId="6C29E194">
      <w:pPr>
        <w:spacing w:after="0" w:line="480" w:lineRule="auto"/>
        <w:ind w:firstLine="720"/>
        <w:rPr>
          <w:rFonts w:cs="Times New Roman"/>
          <w:szCs w:val="24"/>
        </w:rPr>
      </w:pPr>
      <w:r w:rsidRPr="00423400">
        <w:rPr>
          <w:rFonts w:cs="Times New Roman"/>
          <w:szCs w:val="24"/>
        </w:rPr>
        <w:t xml:space="preserve">But Ms. Storm misses the point. DP&amp;L is </w:t>
      </w:r>
      <w:r w:rsidRPr="00423400">
        <w:rPr>
          <w:rFonts w:cs="Times New Roman"/>
          <w:i/>
          <w:iCs/>
          <w:szCs w:val="24"/>
        </w:rPr>
        <w:t xml:space="preserve">required </w:t>
      </w:r>
      <w:r w:rsidRPr="00423400">
        <w:rPr>
          <w:rFonts w:cs="Times New Roman"/>
          <w:szCs w:val="24"/>
        </w:rPr>
        <w:t xml:space="preserve">to provide safe, adequate, and reliable service to consumers. And this requirement stands regardless of whether DP&amp;L receives rate increases. </w:t>
      </w:r>
      <w:r w:rsidRPr="00423400">
        <w:rPr>
          <w:i/>
          <w:iCs/>
          <w:szCs w:val="24"/>
        </w:rPr>
        <w:t>See</w:t>
      </w:r>
      <w:r w:rsidRPr="00423400">
        <w:rPr>
          <w:szCs w:val="24"/>
        </w:rPr>
        <w:t xml:space="preserve"> R.C. 4905.22 (“every public utility shall furnish necessary and adequate service and facilities***.”)</w:t>
      </w:r>
      <w:r>
        <w:rPr>
          <w:szCs w:val="24"/>
        </w:rPr>
        <w:t>.</w:t>
      </w:r>
      <w:r w:rsidRPr="00423400">
        <w:rPr>
          <w:szCs w:val="24"/>
        </w:rPr>
        <w:t xml:space="preserve"> </w:t>
      </w:r>
      <w:r w:rsidRPr="00423400">
        <w:rPr>
          <w:rFonts w:cs="Times New Roman"/>
          <w:szCs w:val="24"/>
        </w:rPr>
        <w:t>And Ms. Storm admitted in her testimony that this is entirely within the control of DP&amp;L. In her testimony, she claimed this would require DP&amp;L to reduce operation and maintenance ("O&amp;M") expenses by over $25 million for 2022-2024 and reduce capital spending by more than $120 million for the same period.</w:t>
      </w:r>
      <w:r>
        <w:rPr>
          <w:rStyle w:val="FootnoteReference"/>
          <w:szCs w:val="24"/>
        </w:rPr>
        <w:footnoteReference w:id="19"/>
      </w:r>
      <w:r w:rsidRPr="00423400">
        <w:rPr>
          <w:rFonts w:cs="Times New Roman"/>
          <w:szCs w:val="24"/>
        </w:rPr>
        <w:t xml:space="preserve"> At hearing, however, she admitted that DP&amp;L would need to revise its budget if the PUCO rejects the rate increase, and there could be other available sources of funding for O&amp;M expenses.</w:t>
      </w:r>
      <w:r>
        <w:rPr>
          <w:rStyle w:val="FootnoteReference"/>
          <w:szCs w:val="24"/>
        </w:rPr>
        <w:footnoteReference w:id="20"/>
      </w:r>
      <w:r w:rsidRPr="00423400">
        <w:rPr>
          <w:rFonts w:cs="Times New Roman"/>
          <w:szCs w:val="24"/>
        </w:rPr>
        <w:t xml:space="preserve"> </w:t>
      </w:r>
    </w:p>
    <w:p w:rsidR="00883779" w:rsidP="00203A86" w14:paraId="2AC2AB14" w14:textId="54F857D5">
      <w:pPr>
        <w:spacing w:after="0" w:line="480" w:lineRule="auto"/>
        <w:ind w:firstLine="720"/>
        <w:rPr>
          <w:rFonts w:cs="Times New Roman"/>
          <w:szCs w:val="24"/>
        </w:rPr>
      </w:pPr>
      <w:r w:rsidRPr="00423400">
        <w:rPr>
          <w:rFonts w:cs="Times New Roman"/>
          <w:szCs w:val="24"/>
        </w:rPr>
        <w:t xml:space="preserve">DP&amp;L controls its spending. DP&amp;L controls when it comes in for a rate case. DP&amp;L controls the fact that it withdrew from ESP III and reverted to ESP I. ESP I contains </w:t>
      </w:r>
      <w:r>
        <w:rPr>
          <w:rFonts w:cs="Times New Roman"/>
          <w:szCs w:val="24"/>
        </w:rPr>
        <w:t xml:space="preserve">DP&amp;L’s commitment to consumers to freeze rates while it is collecting </w:t>
      </w:r>
      <w:r w:rsidRPr="00423400">
        <w:rPr>
          <w:rFonts w:cs="Times New Roman"/>
          <w:szCs w:val="24"/>
        </w:rPr>
        <w:t xml:space="preserve">a rate </w:t>
      </w:r>
      <w:r>
        <w:rPr>
          <w:rFonts w:cs="Times New Roman"/>
          <w:szCs w:val="24"/>
        </w:rPr>
        <w:t>stability charge and is operating under its 2009 electric security plan</w:t>
      </w:r>
      <w:r w:rsidRPr="00423400">
        <w:rPr>
          <w:rFonts w:cs="Times New Roman"/>
          <w:szCs w:val="24"/>
        </w:rPr>
        <w:t xml:space="preserve">. The PUCO should not permit DP&amp;L to cherry-pick provisions of ESP I because it does not like the rate freeze. </w:t>
      </w:r>
    </w:p>
    <w:p w:rsidR="00203A86" w:rsidP="00203A86" w14:paraId="43944F2F" w14:textId="2DC86CE1">
      <w:pPr>
        <w:spacing w:after="0" w:line="480" w:lineRule="auto"/>
        <w:ind w:firstLine="720"/>
        <w:rPr>
          <w:szCs w:val="24"/>
        </w:rPr>
      </w:pPr>
      <w:r>
        <w:rPr>
          <w:rFonts w:cs="Times New Roman"/>
          <w:szCs w:val="24"/>
        </w:rPr>
        <w:t xml:space="preserve">And </w:t>
      </w:r>
      <w:r w:rsidRPr="00423400">
        <w:rPr>
          <w:rFonts w:cs="Times New Roman"/>
          <w:szCs w:val="24"/>
        </w:rPr>
        <w:t>DP&amp;L is far from broke.</w:t>
      </w:r>
      <w:r>
        <w:rPr>
          <w:rFonts w:cs="Times New Roman"/>
          <w:szCs w:val="24"/>
        </w:rPr>
        <w:t xml:space="preserve"> </w:t>
      </w:r>
      <w:r w:rsidRPr="00423400">
        <w:rPr>
          <w:rFonts w:cs="Times New Roman"/>
          <w:szCs w:val="24"/>
        </w:rPr>
        <w:t>DP&amp;L is collecting a $79 million per year non-cost</w:t>
      </w:r>
      <w:r w:rsidR="0083698F">
        <w:rPr>
          <w:rFonts w:cs="Times New Roman"/>
          <w:szCs w:val="24"/>
        </w:rPr>
        <w:t>-</w:t>
      </w:r>
      <w:r w:rsidRPr="00423400">
        <w:rPr>
          <w:rFonts w:cs="Times New Roman"/>
          <w:szCs w:val="24"/>
        </w:rPr>
        <w:t>based stability/</w:t>
      </w:r>
      <w:r>
        <w:rPr>
          <w:rFonts w:cs="Times New Roman"/>
          <w:szCs w:val="24"/>
        </w:rPr>
        <w:t>provider of last resort (“</w:t>
      </w:r>
      <w:r w:rsidRPr="00423400">
        <w:rPr>
          <w:rFonts w:cs="Times New Roman"/>
          <w:szCs w:val="24"/>
        </w:rPr>
        <w:t>POLR</w:t>
      </w:r>
      <w:r>
        <w:rPr>
          <w:rFonts w:cs="Times New Roman"/>
          <w:szCs w:val="24"/>
        </w:rPr>
        <w:t>”)</w:t>
      </w:r>
      <w:r w:rsidRPr="00423400">
        <w:rPr>
          <w:rFonts w:cs="Times New Roman"/>
          <w:szCs w:val="24"/>
        </w:rPr>
        <w:t xml:space="preserve"> charge from Dayton-area consumers until its next electric security plan is in place. And DP&amp;L has produced no evidence, in this case (or others) that justifies that revenue collection from consumers. DP&amp;L is not the only party suffering financial difficulties. Consumers are suffering as well resulting</w:t>
      </w:r>
      <w:r>
        <w:rPr>
          <w:rFonts w:cs="Times New Roman"/>
          <w:szCs w:val="24"/>
        </w:rPr>
        <w:t xml:space="preserve"> </w:t>
      </w:r>
      <w:r w:rsidRPr="00423400">
        <w:rPr>
          <w:rFonts w:cs="Times New Roman"/>
          <w:szCs w:val="24"/>
        </w:rPr>
        <w:t>from the ongoing coronavirus pandemic.</w:t>
      </w:r>
      <w:r w:rsidRPr="00C6526B" w:rsidR="000A49B9">
        <w:rPr>
          <w:szCs w:val="24"/>
        </w:rPr>
        <w:t xml:space="preserve"> For example, </w:t>
      </w:r>
      <w:r w:rsidR="00E021F2">
        <w:rPr>
          <w:szCs w:val="24"/>
        </w:rPr>
        <w:t>29.6</w:t>
      </w:r>
      <w:r w:rsidR="00661C84">
        <w:rPr>
          <w:szCs w:val="24"/>
        </w:rPr>
        <w:t>%</w:t>
      </w:r>
      <w:r w:rsidRPr="00C6526B" w:rsidR="000A49B9">
        <w:rPr>
          <w:szCs w:val="24"/>
        </w:rPr>
        <w:t xml:space="preserve"> of Ohioans living in</w:t>
      </w:r>
      <w:r w:rsidR="004340A3">
        <w:rPr>
          <w:szCs w:val="24"/>
        </w:rPr>
        <w:t xml:space="preserve"> the</w:t>
      </w:r>
      <w:r w:rsidRPr="00C6526B" w:rsidR="000A49B9">
        <w:rPr>
          <w:szCs w:val="24"/>
        </w:rPr>
        <w:t xml:space="preserve"> Dayton </w:t>
      </w:r>
      <w:r w:rsidR="00EC1306">
        <w:rPr>
          <w:szCs w:val="24"/>
        </w:rPr>
        <w:t xml:space="preserve">area </w:t>
      </w:r>
      <w:r w:rsidRPr="00C6526B" w:rsidR="000A49B9">
        <w:rPr>
          <w:szCs w:val="24"/>
        </w:rPr>
        <w:t>live in poverty conditions</w:t>
      </w:r>
      <w:r w:rsidR="00661C84">
        <w:rPr>
          <w:szCs w:val="24"/>
        </w:rPr>
        <w:t>,</w:t>
      </w:r>
      <w:r>
        <w:rPr>
          <w:rStyle w:val="FootnoteReference"/>
          <w:szCs w:val="24"/>
        </w:rPr>
        <w:footnoteReference w:id="21"/>
      </w:r>
      <w:r w:rsidRPr="00C6526B" w:rsidR="000A49B9">
        <w:rPr>
          <w:szCs w:val="24"/>
        </w:rPr>
        <w:t xml:space="preserve"> and </w:t>
      </w:r>
      <w:r w:rsidR="008A03F7">
        <w:rPr>
          <w:szCs w:val="24"/>
        </w:rPr>
        <w:t xml:space="preserve">food insecurity in </w:t>
      </w:r>
      <w:r w:rsidR="00E9219F">
        <w:rPr>
          <w:szCs w:val="24"/>
        </w:rPr>
        <w:t>Montgomery</w:t>
      </w:r>
      <w:r w:rsidR="008A03F7">
        <w:rPr>
          <w:szCs w:val="24"/>
        </w:rPr>
        <w:t xml:space="preserve"> County is at 17.5%</w:t>
      </w:r>
      <w:r w:rsidRPr="00C6526B" w:rsidR="000A49B9">
        <w:rPr>
          <w:szCs w:val="24"/>
        </w:rPr>
        <w:t>.</w:t>
      </w:r>
      <w:r>
        <w:rPr>
          <w:rStyle w:val="FootnoteReference"/>
          <w:szCs w:val="24"/>
        </w:rPr>
        <w:footnoteReference w:id="22"/>
      </w:r>
      <w:r w:rsidR="008A03F7">
        <w:rPr>
          <w:szCs w:val="24"/>
        </w:rPr>
        <w:t xml:space="preserve"> </w:t>
      </w:r>
      <w:r w:rsidR="00E9219F">
        <w:rPr>
          <w:szCs w:val="24"/>
        </w:rPr>
        <w:t>Dayton</w:t>
      </w:r>
      <w:r w:rsidR="00EC1306">
        <w:rPr>
          <w:szCs w:val="24"/>
        </w:rPr>
        <w:t>-</w:t>
      </w:r>
      <w:r w:rsidR="00E9219F">
        <w:rPr>
          <w:szCs w:val="24"/>
        </w:rPr>
        <w:t>area consumers already struggle to eat</w:t>
      </w:r>
      <w:r w:rsidR="00EC1306">
        <w:rPr>
          <w:szCs w:val="24"/>
        </w:rPr>
        <w:t>.</w:t>
      </w:r>
      <w:r w:rsidR="00E9219F">
        <w:rPr>
          <w:szCs w:val="24"/>
        </w:rPr>
        <w:t xml:space="preserve"> </w:t>
      </w:r>
      <w:r w:rsidR="00EC1306">
        <w:rPr>
          <w:szCs w:val="24"/>
        </w:rPr>
        <w:t>A</w:t>
      </w:r>
      <w:r w:rsidR="00E9219F">
        <w:rPr>
          <w:szCs w:val="24"/>
        </w:rPr>
        <w:t xml:space="preserve">nd </w:t>
      </w:r>
      <w:r w:rsidR="00E9219F">
        <w:rPr>
          <w:rFonts w:cs="Times New Roman"/>
          <w:szCs w:val="24"/>
        </w:rPr>
        <w:t>c</w:t>
      </w:r>
      <w:r w:rsidRPr="00423400">
        <w:rPr>
          <w:rFonts w:cs="Times New Roman"/>
          <w:szCs w:val="24"/>
        </w:rPr>
        <w:t>onsumers that cannot afford their service will be disconnected</w:t>
      </w:r>
      <w:r w:rsidR="00E9219F">
        <w:rPr>
          <w:rFonts w:cs="Times New Roman"/>
          <w:szCs w:val="24"/>
        </w:rPr>
        <w:t>;</w:t>
      </w:r>
      <w:r w:rsidRPr="00423400">
        <w:rPr>
          <w:rFonts w:cs="Times New Roman"/>
          <w:szCs w:val="24"/>
        </w:rPr>
        <w:t xml:space="preserve"> </w:t>
      </w:r>
      <w:r w:rsidRPr="00423400">
        <w:rPr>
          <w:szCs w:val="24"/>
        </w:rPr>
        <w:t>and DP&amp;L will lose even more revenue. It is mutually beneficial for DP&amp;L to work with the money they have to maintain service than to raise rates to the extent that disconnections increase.</w:t>
      </w:r>
      <w:r w:rsidR="00C6526B">
        <w:rPr>
          <w:szCs w:val="24"/>
        </w:rPr>
        <w:t xml:space="preserve"> </w:t>
      </w:r>
    </w:p>
    <w:p w:rsidR="00F00E08" w:rsidP="00203A86" w14:paraId="2F322C61" w14:textId="5348A9FF">
      <w:pPr>
        <w:spacing w:after="0" w:line="480" w:lineRule="auto"/>
        <w:ind w:firstLine="720"/>
        <w:rPr>
          <w:rFonts w:cs="Times New Roman"/>
          <w:szCs w:val="24"/>
        </w:rPr>
      </w:pPr>
      <w:r w:rsidRPr="00423400">
        <w:rPr>
          <w:rFonts w:cs="Times New Roman"/>
          <w:szCs w:val="24"/>
        </w:rPr>
        <w:t xml:space="preserve">The PUCO should deny </w:t>
      </w:r>
      <w:r>
        <w:rPr>
          <w:rFonts w:cs="Times New Roman"/>
          <w:szCs w:val="24"/>
        </w:rPr>
        <w:t>DP&amp;L’s motion for oral argument, and it should</w:t>
      </w:r>
      <w:r w:rsidRPr="00423400">
        <w:rPr>
          <w:rFonts w:cs="Times New Roman"/>
          <w:szCs w:val="24"/>
        </w:rPr>
        <w:t xml:space="preserve"> dismiss DP&amp;L’s application for an increase until the expiration of ESP I. </w:t>
      </w:r>
      <w:r w:rsidR="00AD146D">
        <w:rPr>
          <w:rFonts w:cs="Times New Roman"/>
        </w:rPr>
        <w:t>But if DP&amp;L is given the opportunity for oral argument on this issue (which it shouldn’t), then OCC should likewise be given the opportunity for oral argument on DP&amp;L’s collection of the stability charge from consumers.</w:t>
      </w:r>
    </w:p>
    <w:p w:rsidR="009F3D82" w:rsidRPr="00FC1550" w:rsidP="009F3D82" w14:paraId="3554196C" w14:textId="77777777">
      <w:pPr>
        <w:spacing w:after="0" w:line="240" w:lineRule="auto"/>
        <w:ind w:firstLine="720"/>
        <w:rPr>
          <w:b/>
          <w:bCs/>
          <w:szCs w:val="24"/>
        </w:rPr>
      </w:pPr>
    </w:p>
    <w:p w:rsidR="00FC1550" w:rsidRPr="00FC1550" w:rsidP="00FC1550" w14:paraId="3397CC93" w14:textId="65BA5E2F">
      <w:pPr>
        <w:pStyle w:val="ListParagraph"/>
        <w:widowControl w:val="0"/>
        <w:numPr>
          <w:ilvl w:val="0"/>
          <w:numId w:val="2"/>
        </w:numPr>
        <w:spacing w:after="0" w:line="480" w:lineRule="auto"/>
        <w:ind w:left="720"/>
        <w:rPr>
          <w:rFonts w:cs="Times New Roman"/>
          <w:b/>
          <w:bCs/>
          <w:szCs w:val="24"/>
        </w:rPr>
      </w:pPr>
      <w:r w:rsidRPr="00FC1550">
        <w:rPr>
          <w:rFonts w:cs="Times New Roman"/>
          <w:b/>
          <w:bCs/>
          <w:szCs w:val="24"/>
        </w:rPr>
        <w:t>CONCLUSION</w:t>
      </w:r>
    </w:p>
    <w:p w:rsidR="008F7091" w:rsidP="00174949" w14:paraId="661175BF" w14:textId="4B5CEB8C">
      <w:pPr>
        <w:widowControl w:val="0"/>
        <w:spacing w:after="0" w:line="480" w:lineRule="auto"/>
        <w:ind w:firstLine="720"/>
      </w:pPr>
      <w:r w:rsidRPr="00423400">
        <w:rPr>
          <w:rFonts w:cs="Times New Roman"/>
          <w:szCs w:val="24"/>
        </w:rPr>
        <w:t xml:space="preserve">For consumer protection, the PUCO should </w:t>
      </w:r>
      <w:r w:rsidR="0069464A">
        <w:rPr>
          <w:rFonts w:cs="Times New Roman"/>
          <w:szCs w:val="24"/>
        </w:rPr>
        <w:t>deny DP&amp;L’s Motion for oral argument in this case</w:t>
      </w:r>
      <w:r w:rsidR="00174949">
        <w:rPr>
          <w:rFonts w:cs="Times New Roman"/>
          <w:szCs w:val="24"/>
        </w:rPr>
        <w:t xml:space="preserve">. </w:t>
      </w:r>
      <w:r w:rsidR="005740C4">
        <w:rPr>
          <w:rFonts w:cs="Times New Roman"/>
          <w:szCs w:val="24"/>
        </w:rPr>
        <w:t>Th</w:t>
      </w:r>
      <w:r w:rsidR="00174949">
        <w:rPr>
          <w:rFonts w:cs="Times New Roman"/>
          <w:szCs w:val="24"/>
        </w:rPr>
        <w:t>e</w:t>
      </w:r>
      <w:r w:rsidR="005740C4">
        <w:rPr>
          <w:rFonts w:cs="Times New Roman"/>
          <w:szCs w:val="24"/>
        </w:rPr>
        <w:t>s</w:t>
      </w:r>
      <w:r w:rsidR="00174949">
        <w:rPr>
          <w:rFonts w:cs="Times New Roman"/>
          <w:szCs w:val="24"/>
        </w:rPr>
        <w:t>e</w:t>
      </w:r>
      <w:r w:rsidR="005740C4">
        <w:rPr>
          <w:rFonts w:cs="Times New Roman"/>
          <w:szCs w:val="24"/>
        </w:rPr>
        <w:t xml:space="preserve"> issue</w:t>
      </w:r>
      <w:r w:rsidR="007E47A7">
        <w:rPr>
          <w:rFonts w:cs="Times New Roman"/>
          <w:szCs w:val="24"/>
        </w:rPr>
        <w:t>s</w:t>
      </w:r>
      <w:r w:rsidR="005740C4">
        <w:rPr>
          <w:rFonts w:cs="Times New Roman"/>
          <w:szCs w:val="24"/>
        </w:rPr>
        <w:t xml:space="preserve"> ha</w:t>
      </w:r>
      <w:r w:rsidR="004B1655">
        <w:rPr>
          <w:rFonts w:cs="Times New Roman"/>
          <w:szCs w:val="24"/>
        </w:rPr>
        <w:t>ve</w:t>
      </w:r>
      <w:r w:rsidR="005740C4">
        <w:rPr>
          <w:rFonts w:cs="Times New Roman"/>
          <w:szCs w:val="24"/>
        </w:rPr>
        <w:t xml:space="preserve"> been </w:t>
      </w:r>
      <w:r w:rsidR="00FC1550">
        <w:rPr>
          <w:rFonts w:cs="Times New Roman"/>
          <w:szCs w:val="24"/>
        </w:rPr>
        <w:t>thoroughly</w:t>
      </w:r>
      <w:r w:rsidR="005740C4">
        <w:rPr>
          <w:rFonts w:cs="Times New Roman"/>
          <w:szCs w:val="24"/>
        </w:rPr>
        <w:t xml:space="preserve"> argued in this case, and there is sufficient record evidence for the PUCO to </w:t>
      </w:r>
      <w:r w:rsidR="0018641A">
        <w:rPr>
          <w:rFonts w:cs="Times New Roman"/>
          <w:szCs w:val="24"/>
        </w:rPr>
        <w:t>decide</w:t>
      </w:r>
      <w:r w:rsidR="005740C4">
        <w:rPr>
          <w:rFonts w:cs="Times New Roman"/>
          <w:szCs w:val="24"/>
        </w:rPr>
        <w:t>. Granting DP&amp;L oral argument will only give the Utility yet another bite at the apple</w:t>
      </w:r>
      <w:r w:rsidR="00FC1550">
        <w:rPr>
          <w:rFonts w:cs="Times New Roman"/>
          <w:szCs w:val="24"/>
        </w:rPr>
        <w:t xml:space="preserve"> after the case has been fully briefed.</w:t>
      </w:r>
    </w:p>
    <w:p w:rsidR="00EC3488" w14:paraId="51A9052E" w14:textId="2748EFDC">
      <w:r>
        <w:br w:type="page"/>
      </w:r>
    </w:p>
    <w:p w:rsidR="00EC3488" w:rsidP="00EC3488" w14:paraId="6F772239" w14:textId="77777777">
      <w:pPr>
        <w:spacing w:after="0" w:line="240" w:lineRule="auto"/>
        <w:ind w:left="3600"/>
      </w:pPr>
      <w:r>
        <w:t xml:space="preserve">Respectfully Submitted, </w:t>
      </w:r>
    </w:p>
    <w:p w:rsidR="00EC3488" w:rsidP="00EC3488" w14:paraId="7B958B37" w14:textId="77777777">
      <w:pPr>
        <w:spacing w:after="0" w:line="240" w:lineRule="auto"/>
        <w:ind w:left="3600"/>
      </w:pPr>
    </w:p>
    <w:p w:rsidR="00366C8A" w:rsidP="00EC3488" w14:paraId="61B15795" w14:textId="4868E7E8">
      <w:pPr>
        <w:spacing w:after="0" w:line="240" w:lineRule="auto"/>
        <w:ind w:left="3600"/>
      </w:pPr>
      <w:r w:rsidRPr="00156752">
        <w:t>Bruce Weston</w:t>
      </w:r>
      <w:r w:rsidR="00F76457">
        <w:t xml:space="preserve"> </w:t>
      </w:r>
      <w:r w:rsidRPr="00156752">
        <w:t xml:space="preserve">(0016973) </w:t>
      </w:r>
      <w:r>
        <w:br/>
      </w:r>
      <w:r w:rsidRPr="00156752">
        <w:t>Ohio Consumers’ Counsel</w:t>
      </w:r>
    </w:p>
    <w:p w:rsidR="00EC3488" w:rsidP="00EC3488" w14:paraId="192D5DA7" w14:textId="7C6E7C8C">
      <w:pPr>
        <w:spacing w:after="0" w:line="240" w:lineRule="auto"/>
        <w:ind w:left="3600"/>
      </w:pPr>
    </w:p>
    <w:p w:rsidR="00EC3488" w:rsidP="00EC3488" w14:paraId="35ACFF7F" w14:textId="77777777">
      <w:pPr>
        <w:spacing w:after="0" w:line="240" w:lineRule="auto"/>
        <w:ind w:left="3600"/>
      </w:pPr>
    </w:p>
    <w:p w:rsidR="00A07342" w:rsidRPr="00A07342" w:rsidP="00392563" w14:paraId="7FDD1B81" w14:textId="1658268A">
      <w:pPr>
        <w:pStyle w:val="ListParagraph"/>
        <w:spacing w:line="240" w:lineRule="auto"/>
        <w:ind w:left="3600"/>
        <w:rPr>
          <w:rFonts w:cs="Times New Roman"/>
          <w:i/>
          <w:iCs/>
          <w:szCs w:val="24"/>
          <w:u w:val="single"/>
        </w:rPr>
      </w:pPr>
      <w:r>
        <w:rPr>
          <w:rFonts w:cs="Times New Roman"/>
          <w:i/>
          <w:iCs/>
          <w:szCs w:val="24"/>
          <w:u w:val="single"/>
        </w:rPr>
        <w:t>/s/ Ambrosia E. Wilson</w:t>
      </w:r>
    </w:p>
    <w:p w:rsidR="00392563" w:rsidRPr="00423400" w:rsidP="00392563" w14:paraId="3C3A101B" w14:textId="0114390B">
      <w:pPr>
        <w:pStyle w:val="ListParagraph"/>
        <w:spacing w:line="240" w:lineRule="auto"/>
        <w:ind w:left="3600"/>
        <w:rPr>
          <w:rFonts w:cs="Times New Roman"/>
          <w:szCs w:val="24"/>
        </w:rPr>
      </w:pPr>
      <w:r w:rsidRPr="00423400">
        <w:rPr>
          <w:rFonts w:cs="Times New Roman"/>
          <w:szCs w:val="24"/>
        </w:rPr>
        <w:t xml:space="preserve">John Finnigan (0018689) </w:t>
      </w:r>
      <w:r w:rsidRPr="00423400">
        <w:rPr>
          <w:rFonts w:cs="Times New Roman"/>
          <w:szCs w:val="24"/>
        </w:rPr>
        <w:br/>
        <w:t xml:space="preserve">Counsel of Record </w:t>
      </w:r>
      <w:r w:rsidRPr="00423400">
        <w:rPr>
          <w:rFonts w:cs="Times New Roman"/>
          <w:szCs w:val="24"/>
        </w:rPr>
        <w:br/>
        <w:t xml:space="preserve">Ambrosia E. Wilson (0096598) </w:t>
      </w:r>
      <w:r w:rsidRPr="00423400">
        <w:rPr>
          <w:rFonts w:cs="Times New Roman"/>
          <w:szCs w:val="24"/>
        </w:rPr>
        <w:br/>
        <w:t xml:space="preserve">Assistant Consumers' Counsel </w:t>
      </w:r>
    </w:p>
    <w:p w:rsidR="00392563" w:rsidRPr="00423400" w:rsidP="00392563" w14:paraId="1A88A9BD" w14:textId="77777777">
      <w:pPr>
        <w:pStyle w:val="ListParagraph"/>
        <w:spacing w:line="240" w:lineRule="auto"/>
        <w:ind w:left="3600"/>
        <w:rPr>
          <w:rFonts w:cs="Times New Roman"/>
          <w:szCs w:val="24"/>
        </w:rPr>
      </w:pPr>
    </w:p>
    <w:p w:rsidR="00392563" w:rsidRPr="00423400" w:rsidP="00392563" w14:paraId="07E4678B" w14:textId="77777777">
      <w:pPr>
        <w:pStyle w:val="ListParagraph"/>
        <w:spacing w:line="240" w:lineRule="auto"/>
        <w:ind w:left="3600"/>
        <w:rPr>
          <w:rFonts w:cs="Times New Roman"/>
          <w:szCs w:val="24"/>
        </w:rPr>
      </w:pPr>
      <w:r w:rsidRPr="00423400">
        <w:rPr>
          <w:rFonts w:cs="Times New Roman"/>
          <w:b/>
          <w:bCs/>
          <w:szCs w:val="24"/>
        </w:rPr>
        <w:t>Office of the Ohio Consumers' Counsel</w:t>
      </w:r>
    </w:p>
    <w:p w:rsidR="00392563" w:rsidRPr="00423400" w:rsidP="00392563" w14:paraId="6064F598" w14:textId="77777777">
      <w:pPr>
        <w:pStyle w:val="ListParagraph"/>
        <w:spacing w:line="240" w:lineRule="auto"/>
        <w:ind w:left="3600"/>
        <w:rPr>
          <w:rFonts w:cs="Times New Roman"/>
          <w:szCs w:val="24"/>
        </w:rPr>
      </w:pPr>
      <w:r w:rsidRPr="00423400">
        <w:rPr>
          <w:rFonts w:cs="Times New Roman"/>
          <w:szCs w:val="24"/>
        </w:rPr>
        <w:t xml:space="preserve">65 East State Street, Suite 700 </w:t>
      </w:r>
      <w:r w:rsidRPr="00423400">
        <w:rPr>
          <w:rFonts w:cs="Times New Roman"/>
          <w:szCs w:val="24"/>
        </w:rPr>
        <w:br/>
        <w:t xml:space="preserve">Columbus, Ohio 43215 </w:t>
      </w:r>
      <w:r w:rsidRPr="00423400">
        <w:rPr>
          <w:rFonts w:cs="Times New Roman"/>
          <w:szCs w:val="24"/>
        </w:rPr>
        <w:br/>
        <w:t xml:space="preserve">Telephone [Finnigan]: (614) 466-9585 </w:t>
      </w:r>
    </w:p>
    <w:p w:rsidR="00313752" w:rsidP="00392563" w14:paraId="1C2EA79B" w14:textId="2868F552">
      <w:pPr>
        <w:pStyle w:val="ListParagraph"/>
        <w:spacing w:line="240" w:lineRule="auto"/>
        <w:ind w:left="3600"/>
        <w:rPr>
          <w:rFonts w:cs="Times New Roman"/>
          <w:szCs w:val="24"/>
        </w:rPr>
      </w:pPr>
      <w:r w:rsidRPr="00423400">
        <w:rPr>
          <w:rFonts w:cs="Times New Roman"/>
          <w:szCs w:val="24"/>
        </w:rPr>
        <w:t xml:space="preserve">Telephone [Wilson]: (614) 466-1292 </w:t>
      </w:r>
      <w:r w:rsidRPr="000D08E9">
        <w:rPr>
          <w:rFonts w:cs="Times New Roman"/>
          <w:color w:val="0000FF"/>
          <w:szCs w:val="24"/>
          <w:u w:val="single"/>
        </w:rPr>
        <w:t xml:space="preserve">john.finnigan@occ.ohio.gov </w:t>
      </w:r>
      <w:r w:rsidRPr="000D08E9">
        <w:rPr>
          <w:rFonts w:cs="Times New Roman"/>
          <w:color w:val="0000FF"/>
          <w:szCs w:val="24"/>
          <w:u w:val="single"/>
        </w:rPr>
        <w:br/>
        <w:t>ambrosia.wilson@occ.ohio.gov</w:t>
      </w:r>
      <w:r>
        <w:rPr>
          <w:rFonts w:cs="Times New Roman"/>
          <w:szCs w:val="24"/>
        </w:rPr>
        <w:br/>
      </w:r>
      <w:r w:rsidRPr="00423400">
        <w:rPr>
          <w:rFonts w:cs="Times New Roman"/>
          <w:szCs w:val="24"/>
        </w:rPr>
        <w:t>(willing to accept service by e-mail)</w:t>
      </w:r>
      <w:r>
        <w:rPr>
          <w:rFonts w:cs="Times New Roman"/>
          <w:szCs w:val="24"/>
        </w:rPr>
        <w:br w:type="page"/>
      </w:r>
    </w:p>
    <w:p w:rsidR="00313752" w:rsidRPr="00423400" w:rsidP="00313752" w14:paraId="2FF5EF58" w14:textId="77777777">
      <w:pPr>
        <w:jc w:val="center"/>
        <w:rPr>
          <w:rFonts w:cs="Times New Roman"/>
          <w:b/>
          <w:bCs/>
          <w:szCs w:val="24"/>
          <w:u w:val="single"/>
        </w:rPr>
      </w:pPr>
      <w:r w:rsidRPr="00423400">
        <w:rPr>
          <w:rFonts w:cs="Times New Roman"/>
          <w:b/>
          <w:bCs/>
          <w:szCs w:val="24"/>
          <w:u w:val="single"/>
        </w:rPr>
        <w:t>CERTIFICATE OF SERVICE</w:t>
      </w:r>
    </w:p>
    <w:p w:rsidR="00313752" w:rsidRPr="00423400" w:rsidP="00313752" w14:paraId="08EBCE0D" w14:textId="52B2758F">
      <w:pPr>
        <w:spacing w:line="480" w:lineRule="atLeast"/>
        <w:rPr>
          <w:rFonts w:cs="Times New Roman"/>
          <w:szCs w:val="24"/>
        </w:rPr>
      </w:pPr>
      <w:r w:rsidRPr="00423400">
        <w:rPr>
          <w:rFonts w:cs="Times New Roman"/>
          <w:szCs w:val="24"/>
        </w:rPr>
        <w:tab/>
        <w:t xml:space="preserve">I hereby certify that a copy of this </w:t>
      </w:r>
      <w:r w:rsidR="00DD17CD">
        <w:rPr>
          <w:rFonts w:cs="Times New Roman"/>
          <w:iCs/>
          <w:szCs w:val="24"/>
        </w:rPr>
        <w:t>Memorandum Contra</w:t>
      </w:r>
      <w:r w:rsidRPr="00423400">
        <w:rPr>
          <w:rFonts w:cs="Times New Roman"/>
          <w:szCs w:val="24"/>
        </w:rPr>
        <w:t xml:space="preserve"> was served on the persons stated below </w:t>
      </w:r>
      <w:r w:rsidRPr="00423400">
        <w:rPr>
          <w:rFonts w:cs="Times New Roman"/>
          <w:i/>
          <w:szCs w:val="24"/>
        </w:rPr>
        <w:t>via</w:t>
      </w:r>
      <w:r w:rsidRPr="00423400">
        <w:rPr>
          <w:rFonts w:cs="Times New Roman"/>
          <w:szCs w:val="24"/>
        </w:rPr>
        <w:t xml:space="preserve"> electronic transmission, this </w:t>
      </w:r>
      <w:r w:rsidR="00DD17CD">
        <w:rPr>
          <w:rFonts w:cs="Times New Roman"/>
          <w:szCs w:val="24"/>
        </w:rPr>
        <w:t>21st</w:t>
      </w:r>
      <w:r w:rsidRPr="00423400">
        <w:rPr>
          <w:rFonts w:cs="Times New Roman"/>
          <w:szCs w:val="24"/>
        </w:rPr>
        <w:t xml:space="preserve"> day of March 2022.</w:t>
      </w:r>
    </w:p>
    <w:p w:rsidR="00313752" w:rsidRPr="00423400" w:rsidP="00313752" w14:paraId="594C7C59" w14:textId="77777777">
      <w:pPr>
        <w:tabs>
          <w:tab w:val="left" w:pos="4320"/>
        </w:tabs>
        <w:spacing w:after="0"/>
        <w:rPr>
          <w:rFonts w:cs="Times New Roman"/>
          <w:szCs w:val="24"/>
        </w:rPr>
      </w:pPr>
      <w:r w:rsidRPr="00423400">
        <w:rPr>
          <w:rFonts w:cs="Times New Roman"/>
          <w:szCs w:val="24"/>
        </w:rPr>
        <w:tab/>
      </w:r>
    </w:p>
    <w:p w:rsidR="00313752" w:rsidRPr="00423400" w:rsidP="00313752" w14:paraId="664B41F0" w14:textId="77777777">
      <w:pPr>
        <w:tabs>
          <w:tab w:val="left" w:pos="4320"/>
        </w:tabs>
        <w:spacing w:after="0"/>
        <w:rPr>
          <w:rFonts w:cs="Times New Roman"/>
          <w:i/>
          <w:szCs w:val="24"/>
          <w:u w:val="single"/>
        </w:rPr>
      </w:pPr>
      <w:r w:rsidRPr="00423400">
        <w:rPr>
          <w:rFonts w:cs="Times New Roman"/>
          <w:szCs w:val="24"/>
        </w:rPr>
        <w:tab/>
      </w:r>
      <w:r w:rsidRPr="00423400">
        <w:rPr>
          <w:rFonts w:cs="Times New Roman"/>
          <w:i/>
          <w:szCs w:val="24"/>
          <w:u w:val="single"/>
        </w:rPr>
        <w:t>/s/ Ambrosia E. Wilson</w:t>
      </w:r>
      <w:r w:rsidRPr="00423400">
        <w:rPr>
          <w:rFonts w:cs="Times New Roman"/>
          <w:i/>
          <w:szCs w:val="24"/>
          <w:u w:val="single"/>
        </w:rPr>
        <w:tab/>
      </w:r>
      <w:r w:rsidRPr="00423400">
        <w:rPr>
          <w:rFonts w:cs="Times New Roman"/>
          <w:i/>
          <w:szCs w:val="24"/>
          <w:u w:val="single"/>
        </w:rPr>
        <w:tab/>
      </w:r>
    </w:p>
    <w:p w:rsidR="00313752" w:rsidRPr="00423400" w:rsidP="00313752" w14:paraId="702D8BB2" w14:textId="77777777">
      <w:pPr>
        <w:tabs>
          <w:tab w:val="left" w:pos="4320"/>
        </w:tabs>
        <w:spacing w:after="0"/>
        <w:rPr>
          <w:rFonts w:cs="Times New Roman"/>
          <w:szCs w:val="24"/>
        </w:rPr>
      </w:pPr>
      <w:r w:rsidRPr="00423400">
        <w:rPr>
          <w:rFonts w:cs="Times New Roman"/>
          <w:szCs w:val="24"/>
        </w:rPr>
        <w:tab/>
        <w:t>Ambrosia E. Wilson</w:t>
      </w:r>
    </w:p>
    <w:p w:rsidR="00313752" w:rsidRPr="00423400" w:rsidP="00313752" w14:paraId="1E552101" w14:textId="77777777">
      <w:pPr>
        <w:tabs>
          <w:tab w:val="left" w:pos="4320"/>
        </w:tabs>
        <w:spacing w:after="0"/>
        <w:rPr>
          <w:rFonts w:cs="Times New Roman"/>
          <w:szCs w:val="24"/>
        </w:rPr>
      </w:pPr>
      <w:r w:rsidRPr="00423400">
        <w:rPr>
          <w:rFonts w:cs="Times New Roman"/>
          <w:szCs w:val="24"/>
        </w:rPr>
        <w:tab/>
        <w:t>Assistant Consumers’ Counsel</w:t>
      </w:r>
    </w:p>
    <w:p w:rsidR="00313752" w:rsidRPr="00423400" w:rsidP="00313752" w14:paraId="42DFE839" w14:textId="77777777">
      <w:pPr>
        <w:pStyle w:val="CommentSubject"/>
        <w:spacing w:after="0"/>
        <w:rPr>
          <w:rFonts w:cs="Times New Roman"/>
          <w:sz w:val="24"/>
          <w:szCs w:val="24"/>
        </w:rPr>
      </w:pPr>
    </w:p>
    <w:p w:rsidR="00313752" w:rsidRPr="00423400" w:rsidP="00313752" w14:paraId="22DCA9C7" w14:textId="77777777">
      <w:pPr>
        <w:pStyle w:val="CommentText"/>
        <w:rPr>
          <w:rFonts w:cs="Times New Roman"/>
          <w:sz w:val="24"/>
          <w:szCs w:val="24"/>
        </w:rPr>
      </w:pPr>
      <w:r w:rsidRPr="00423400">
        <w:rPr>
          <w:rFonts w:cs="Times New Roman"/>
          <w:sz w:val="24"/>
          <w:szCs w:val="24"/>
        </w:rPr>
        <w:t>The PUCO’s e-filing system will electronically serve notice of the filing of this document on the following parties:</w:t>
      </w:r>
    </w:p>
    <w:p w:rsidR="00313752" w:rsidRPr="00423400" w:rsidP="00313752" w14:paraId="0669ED52" w14:textId="77777777">
      <w:pPr>
        <w:pStyle w:val="CommentText"/>
        <w:spacing w:after="0"/>
        <w:jc w:val="center"/>
        <w:rPr>
          <w:rFonts w:cs="Times New Roman"/>
          <w:b/>
          <w:bCs/>
          <w:sz w:val="24"/>
          <w:szCs w:val="24"/>
          <w:u w:val="single"/>
        </w:rPr>
      </w:pPr>
      <w:r w:rsidRPr="00423400">
        <w:rPr>
          <w:rFonts w:cs="Times New Roman"/>
          <w:b/>
          <w:bCs/>
          <w:sz w:val="24"/>
          <w:szCs w:val="24"/>
          <w:u w:val="single"/>
        </w:rPr>
        <w:t>SERVICE LIST</w:t>
      </w:r>
    </w:p>
    <w:p w:rsidR="00313752" w:rsidRPr="00423400" w:rsidP="00313752" w14:paraId="28C214D8" w14:textId="77777777">
      <w:pPr>
        <w:pStyle w:val="CommentText"/>
        <w:spacing w:after="0"/>
        <w:jc w:val="center"/>
        <w:rPr>
          <w:rFonts w:cs="Times New Roman"/>
          <w:b/>
          <w:sz w:val="24"/>
          <w:szCs w:val="24"/>
          <w:u w:val="single"/>
        </w:rPr>
      </w:pPr>
    </w:p>
    <w:tbl>
      <w:tblPr>
        <w:tblW w:w="12892" w:type="dxa"/>
        <w:tblInd w:w="0" w:type="dxa"/>
        <w:tblCellMar>
          <w:top w:w="0" w:type="dxa"/>
          <w:left w:w="108" w:type="dxa"/>
          <w:bottom w:w="0" w:type="dxa"/>
          <w:right w:w="108" w:type="dxa"/>
        </w:tblCellMar>
        <w:tblLook w:val="01E0"/>
      </w:tblPr>
      <w:tblGrid>
        <w:gridCol w:w="4388"/>
        <w:gridCol w:w="4252"/>
        <w:gridCol w:w="4252"/>
      </w:tblGrid>
      <w:tr w14:paraId="1B482B52" w14:textId="77777777" w:rsidTr="0050551B">
        <w:tblPrEx>
          <w:tblW w:w="12892" w:type="dxa"/>
          <w:tblInd w:w="0" w:type="dxa"/>
          <w:tblCellMar>
            <w:top w:w="0" w:type="dxa"/>
            <w:left w:w="108" w:type="dxa"/>
            <w:bottom w:w="0" w:type="dxa"/>
            <w:right w:w="108" w:type="dxa"/>
          </w:tblCellMar>
          <w:tblLook w:val="01E0"/>
        </w:tblPrEx>
        <w:tc>
          <w:tcPr>
            <w:tcW w:w="4388" w:type="dxa"/>
            <w:shd w:val="clear" w:color="auto" w:fill="auto"/>
          </w:tcPr>
          <w:p w:rsidR="00313752" w:rsidRPr="000D08E9" w:rsidP="0050551B" w14:paraId="38A662D5" w14:textId="77777777">
            <w:pPr>
              <w:adjustRightInd w:val="0"/>
              <w:spacing w:after="0"/>
              <w:rPr>
                <w:rStyle w:val="DefaultParagraphFont"/>
                <w:rFonts w:ascii="Times New Roman" w:hAnsi="Times New Roman" w:eastAsiaTheme="minorHAnsi" w:cstheme="minorBidi"/>
                <w:color w:val="0000FF"/>
                <w:sz w:val="24"/>
                <w:szCs w:val="24"/>
                <w:u w:val="single"/>
                <w:lang w:val="en-US" w:eastAsia="en-US" w:bidi="ar-SA"/>
              </w:rPr>
            </w:pPr>
            <w:r w:rsidRPr="000D08E9">
              <w:rPr>
                <w:rFonts w:ascii="Times New Roman" w:eastAsia="Courier New" w:hAnsi="Times New Roman" w:cstheme="minorBidi"/>
                <w:bCs/>
                <w:color w:val="0000FF"/>
                <w:sz w:val="24"/>
                <w:szCs w:val="24"/>
                <w:u w:val="single"/>
                <w:lang w:val="en-US" w:eastAsia="en-US" w:bidi="ar-SA"/>
              </w:rPr>
              <w:t>j</w:t>
            </w:r>
            <w:r w:rsidRPr="000D08E9">
              <w:rPr>
                <w:rFonts w:ascii="Times New Roman" w:eastAsia="Courier New" w:hAnsi="Times New Roman" w:cstheme="minorBidi"/>
                <w:color w:val="0000FF"/>
                <w:sz w:val="24"/>
                <w:szCs w:val="24"/>
                <w:u w:val="single"/>
                <w:lang w:val="en-US" w:eastAsia="en-US" w:bidi="ar-SA"/>
              </w:rPr>
              <w:t>odi.bair@ohioAGO.gov</w:t>
            </w:r>
          </w:p>
          <w:p w:rsidR="00313752" w:rsidRPr="000D08E9" w:rsidP="0050551B" w14:paraId="622A6057" w14:textId="77777777">
            <w:pPr>
              <w:adjustRightInd w:val="0"/>
              <w:spacing w:after="0"/>
              <w:rPr>
                <w:rStyle w:val="Hyperlink"/>
                <w:rFonts w:ascii="Times New Roman" w:eastAsia="Courier New" w:hAnsi="Times New Roman" w:cstheme="minorBidi"/>
                <w:color w:val="0000FF"/>
                <w:sz w:val="24"/>
                <w:szCs w:val="24"/>
                <w:u w:val="single"/>
                <w:lang w:val="en-US" w:eastAsia="en-US" w:bidi="ar-SA"/>
              </w:rPr>
            </w:pPr>
            <w:r w:rsidRPr="000D08E9">
              <w:rPr>
                <w:rFonts w:ascii="Times New Roman" w:eastAsia="Courier New" w:hAnsi="Times New Roman" w:cstheme="minorBidi"/>
                <w:color w:val="0000FF"/>
                <w:sz w:val="24"/>
                <w:szCs w:val="24"/>
                <w:u w:val="single"/>
                <w:lang w:val="en-US" w:eastAsia="en-US" w:bidi="ar-SA"/>
              </w:rPr>
              <w:t>kyle.kern@ohioAGO.gov</w:t>
            </w:r>
          </w:p>
          <w:p w:rsidR="00313752" w:rsidRPr="000D08E9" w:rsidP="0050551B" w14:paraId="0EBED714" w14:textId="77777777">
            <w:pPr>
              <w:adjustRightInd w:val="0"/>
              <w:spacing w:after="0"/>
              <w:rPr>
                <w:rStyle w:val="DefaultParagraphFont"/>
                <w:rFonts w:ascii="Times New Roman" w:hAnsi="Times New Roman" w:eastAsiaTheme="minorHAnsi" w:cstheme="minorBidi"/>
                <w:color w:val="0000FF"/>
                <w:sz w:val="24"/>
                <w:szCs w:val="24"/>
                <w:u w:val="single"/>
                <w:lang w:val="en-US" w:eastAsia="en-US" w:bidi="ar-SA"/>
              </w:rPr>
            </w:pPr>
            <w:r w:rsidRPr="000D08E9">
              <w:rPr>
                <w:rStyle w:val="Hyperlink"/>
                <w:rFonts w:ascii="Times New Roman" w:eastAsia="Courier New" w:hAnsi="Times New Roman" w:cstheme="minorBidi"/>
                <w:color w:val="0000FF"/>
                <w:sz w:val="24"/>
                <w:szCs w:val="24"/>
                <w:u w:val="single"/>
                <w:lang w:val="en-US" w:eastAsia="en-US" w:bidi="ar-SA"/>
              </w:rPr>
              <w:t>werner.margard@ohioAGO.gov</w:t>
            </w:r>
          </w:p>
          <w:p w:rsidR="00313752" w:rsidRPr="000D08E9" w:rsidP="0050551B" w14:paraId="4A4DDC34" w14:textId="77777777">
            <w:pPr>
              <w:adjustRightInd w:val="0"/>
              <w:spacing w:after="0"/>
              <w:rPr>
                <w:rStyle w:val="DefaultParagraphFont"/>
                <w:rFonts w:ascii="Times New Roman" w:hAnsi="Times New Roman" w:eastAsiaTheme="minorHAnsi" w:cstheme="minorBidi"/>
                <w:bCs/>
                <w:color w:val="0000FF"/>
                <w:sz w:val="24"/>
                <w:szCs w:val="24"/>
                <w:u w:val="single"/>
                <w:lang w:val="en-US" w:eastAsia="en-US" w:bidi="ar-SA"/>
              </w:rPr>
            </w:pPr>
            <w:r w:rsidRPr="000D08E9">
              <w:rPr>
                <w:rFonts w:ascii="Times New Roman" w:eastAsia="Courier New" w:hAnsi="Times New Roman" w:cstheme="minorBidi"/>
                <w:bCs/>
                <w:color w:val="0000FF"/>
                <w:sz w:val="24"/>
                <w:szCs w:val="24"/>
                <w:u w:val="single"/>
                <w:lang w:val="en-US" w:eastAsia="en-US" w:bidi="ar-SA"/>
              </w:rPr>
              <w:t>chelsea.fletcher@ohioAGO.gov</w:t>
            </w:r>
          </w:p>
          <w:p w:rsidR="00313752" w:rsidRPr="000D08E9" w:rsidP="0050551B" w14:paraId="28058ABD"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bmckenney@mcneeslaw.com</w:t>
            </w:r>
          </w:p>
          <w:p w:rsidR="00313752" w:rsidRPr="000D08E9" w:rsidP="0050551B" w14:paraId="77A831F3"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mjsettineri@vorys.com</w:t>
            </w:r>
          </w:p>
          <w:p w:rsidR="00313752" w:rsidRPr="000D08E9" w:rsidP="0050551B" w14:paraId="0A912773"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glpetrucci@vorys.com</w:t>
            </w:r>
          </w:p>
          <w:p w:rsidR="00313752" w:rsidRPr="000D08E9" w:rsidP="0050551B" w14:paraId="7DA3171A"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dromig@armadapower.com</w:t>
            </w:r>
          </w:p>
          <w:p w:rsidR="00313752" w:rsidRPr="000D08E9" w:rsidP="0050551B" w14:paraId="74BA46B7"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dparram@bricker.com</w:t>
            </w:r>
          </w:p>
          <w:p w:rsidR="00313752" w:rsidRPr="000D08E9" w:rsidP="0050551B" w14:paraId="2937C781"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rmains@bricker.com</w:t>
            </w:r>
          </w:p>
          <w:p w:rsidR="00313752" w:rsidRPr="000D08E9" w:rsidP="0050551B" w14:paraId="5BED5E6D" w14:textId="77777777">
            <w:pPr>
              <w:pStyle w:val="BodyText"/>
              <w:spacing w:after="0" w:line="240" w:lineRule="auto"/>
              <w:jc w:val="both"/>
              <w:rPr>
                <w:rStyle w:val="Hyperlink"/>
                <w:rFonts w:ascii="Times New Roman" w:eastAsia="Courier New" w:hAnsi="Times New Roman" w:cs="Times New Roman"/>
                <w:bCs/>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ccox@elpc.org</w:t>
            </w:r>
          </w:p>
          <w:p w:rsidR="00313752" w:rsidRPr="000D08E9" w:rsidP="0050551B" w14:paraId="3C4C6F23" w14:textId="77777777">
            <w:pPr>
              <w:pStyle w:val="BodyText"/>
              <w:spacing w:after="0" w:line="240" w:lineRule="auto"/>
              <w:jc w:val="both"/>
              <w:rPr>
                <w:rStyle w:val="Hyperlink"/>
                <w:rFonts w:ascii="Times New Roman" w:eastAsia="Courier New" w:hAnsi="Times New Roman" w:cs="Times New Roman"/>
                <w:bCs/>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khernstein@bricker.com</w:t>
            </w:r>
          </w:p>
          <w:p w:rsidR="00313752" w:rsidRPr="000D08E9" w:rsidP="0050551B" w14:paraId="5B506F00" w14:textId="77777777">
            <w:pPr>
              <w:pStyle w:val="BodyText"/>
              <w:spacing w:after="0" w:line="240" w:lineRule="auto"/>
              <w:jc w:val="both"/>
              <w:rPr>
                <w:rStyle w:val="Hyperlink"/>
                <w:rFonts w:ascii="Times New Roman" w:eastAsia="Courier New" w:hAnsi="Times New Roman" w:cs="Times New Roman"/>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m</w:t>
            </w:r>
            <w:r w:rsidRPr="000D08E9">
              <w:rPr>
                <w:rFonts w:ascii="Times New Roman" w:eastAsia="Courier New" w:hAnsi="Times New Roman" w:cs="Times New Roman"/>
                <w:color w:val="0000FF"/>
                <w:sz w:val="24"/>
                <w:szCs w:val="24"/>
                <w:u w:val="single"/>
                <w:lang w:val="en-US" w:eastAsia="en-US" w:bidi="ar-SA"/>
              </w:rPr>
              <w:t>warnock@bricker.com</w:t>
            </w:r>
          </w:p>
          <w:p w:rsidR="00313752" w:rsidRPr="000D08E9" w:rsidP="0050551B" w14:paraId="37BF324F" w14:textId="77777777">
            <w:pPr>
              <w:pStyle w:val="BodyText"/>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rsidRPr="000D08E9">
              <w:rPr>
                <w:rStyle w:val="Hyperlink"/>
                <w:rFonts w:ascii="Times New Roman" w:eastAsia="Courier New" w:hAnsi="Times New Roman" w:cs="Times New Roman"/>
                <w:color w:val="0000FF"/>
                <w:sz w:val="24"/>
                <w:szCs w:val="24"/>
                <w:u w:val="single"/>
                <w:lang w:val="en-US" w:eastAsia="en-US" w:bidi="ar-SA"/>
              </w:rPr>
              <w:t>dborchers@bricker.com</w:t>
            </w:r>
          </w:p>
          <w:p w:rsidR="00313752" w:rsidRPr="000D08E9" w:rsidP="0050551B" w14:paraId="3CF9DC56"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little@litohio.com</w:t>
            </w:r>
          </w:p>
          <w:p w:rsidR="00313752" w:rsidRPr="000D08E9" w:rsidP="0050551B" w14:paraId="5886AEB3"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hogan@litohio.com</w:t>
            </w:r>
          </w:p>
          <w:p w:rsidR="00313752" w:rsidRPr="000D08E9" w:rsidP="0050551B" w14:paraId="41E8F29A"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ktreadway@oneenergyllc.com</w:t>
            </w:r>
          </w:p>
          <w:p w:rsidR="00313752" w:rsidRPr="000D08E9" w:rsidP="0050551B" w14:paraId="20AFD52A"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jdunn@oneenergyllc.com</w:t>
            </w:r>
          </w:p>
          <w:p w:rsidR="00313752" w:rsidRPr="000D08E9" w:rsidP="0050551B" w14:paraId="14917039"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whitt@whitt-sturtevant.com</w:t>
            </w:r>
          </w:p>
          <w:p w:rsidR="00313752" w:rsidRPr="000D08E9" w:rsidP="0050551B" w14:paraId="2A8AE485"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fykes@whitt-sturtevant.com</w:t>
            </w:r>
          </w:p>
          <w:p w:rsidR="00313752" w:rsidRPr="000D08E9" w:rsidP="0050551B" w14:paraId="2D6D836E" w14:textId="77777777">
            <w:pPr>
              <w:adjustRightInd w:val="0"/>
              <w:spacing w:after="0"/>
              <w:rPr>
                <w:rStyle w:val="DefaultParagraphFont"/>
                <w:rFonts w:ascii="Times New Roman" w:hAnsi="Times New Roman" w:eastAsiaTheme="minorHAnsi" w:cstheme="minorBidi"/>
                <w:bCs/>
                <w:color w:val="0000FF"/>
                <w:sz w:val="24"/>
                <w:szCs w:val="24"/>
                <w:u w:val="single"/>
                <w:lang w:val="en-US" w:eastAsia="en-US" w:bidi="ar-SA"/>
              </w:rPr>
            </w:pPr>
            <w:r w:rsidRPr="000D08E9">
              <w:rPr>
                <w:rFonts w:ascii="Times New Roman" w:eastAsia="Courier New" w:hAnsi="Times New Roman" w:cstheme="minorBidi"/>
                <w:bCs/>
                <w:color w:val="0000FF"/>
                <w:sz w:val="24"/>
                <w:szCs w:val="24"/>
                <w:u w:val="single"/>
                <w:lang w:val="en-US" w:eastAsia="en-US" w:bidi="ar-SA"/>
              </w:rPr>
              <w:t>rhartley@fbtlaw.com</w:t>
            </w:r>
          </w:p>
          <w:p w:rsidR="00313752" w:rsidRPr="000D08E9" w:rsidP="0050551B" w14:paraId="5D57E6E1" w14:textId="77777777">
            <w:pPr>
              <w:adjustRightInd w:val="0"/>
              <w:spacing w:after="0"/>
              <w:rPr>
                <w:rStyle w:val="DefaultParagraphFont"/>
                <w:rFonts w:ascii="Times New Roman" w:hAnsi="Times New Roman" w:eastAsiaTheme="minorHAnsi" w:cstheme="minorBidi"/>
                <w:bCs/>
                <w:color w:val="0000FF"/>
                <w:sz w:val="24"/>
                <w:szCs w:val="24"/>
                <w:u w:val="single"/>
                <w:lang w:val="en-US" w:eastAsia="en-US" w:bidi="ar-SA"/>
              </w:rPr>
            </w:pPr>
            <w:r w:rsidRPr="000D08E9">
              <w:rPr>
                <w:rFonts w:ascii="Times New Roman" w:eastAsia="Courier New" w:hAnsi="Times New Roman" w:cstheme="minorBidi"/>
                <w:bCs/>
                <w:color w:val="0000FF"/>
                <w:sz w:val="24"/>
                <w:szCs w:val="24"/>
                <w:u w:val="single"/>
                <w:lang w:val="en-US" w:eastAsia="en-US" w:bidi="ar-SA"/>
              </w:rPr>
              <w:t>cwieg@fbtlaw.com</w:t>
            </w:r>
          </w:p>
          <w:p w:rsidR="00313752" w:rsidRPr="000D08E9" w:rsidP="0050551B" w14:paraId="1041305D" w14:textId="77777777">
            <w:pPr>
              <w:adjustRightInd w:val="0"/>
              <w:spacing w:after="0"/>
              <w:rPr>
                <w:rStyle w:val="DefaultParagraphFont"/>
                <w:rFonts w:ascii="Times New Roman" w:hAnsi="Times New Roman" w:eastAsiaTheme="minorHAnsi" w:cstheme="minorBidi"/>
                <w:bCs/>
                <w:color w:val="0000FF"/>
                <w:sz w:val="24"/>
                <w:szCs w:val="24"/>
                <w:u w:val="single"/>
                <w:lang w:val="en-US" w:eastAsia="en-US" w:bidi="ar-SA"/>
              </w:rPr>
            </w:pPr>
            <w:r w:rsidRPr="000D08E9">
              <w:rPr>
                <w:rFonts w:ascii="Times New Roman" w:eastAsia="Courier New" w:hAnsi="Times New Roman" w:cstheme="minorBidi"/>
                <w:bCs/>
                <w:color w:val="0000FF"/>
                <w:sz w:val="24"/>
                <w:szCs w:val="24"/>
                <w:u w:val="single"/>
                <w:lang w:val="en-US" w:eastAsia="en-US" w:bidi="ar-SA"/>
              </w:rPr>
              <w:t>talexander@beneschlaw.com</w:t>
            </w:r>
          </w:p>
          <w:p w:rsidR="00313752" w:rsidRPr="000D08E9" w:rsidP="0050551B" w14:paraId="2FE92578" w14:textId="77777777">
            <w:pPr>
              <w:adjustRightInd w:val="0"/>
              <w:spacing w:after="0"/>
              <w:rPr>
                <w:rStyle w:val="DefaultParagraphFont"/>
                <w:rFonts w:ascii="Times New Roman" w:hAnsi="Times New Roman" w:eastAsiaTheme="minorHAnsi" w:cstheme="minorBidi"/>
                <w:bCs/>
                <w:color w:val="0000FF"/>
                <w:sz w:val="24"/>
                <w:szCs w:val="24"/>
                <w:u w:val="single"/>
                <w:lang w:val="en-US" w:eastAsia="en-US" w:bidi="ar-SA"/>
              </w:rPr>
            </w:pPr>
            <w:r w:rsidRPr="000D08E9">
              <w:rPr>
                <w:rFonts w:ascii="Times New Roman" w:eastAsia="Courier New" w:hAnsi="Times New Roman" w:cstheme="minorBidi"/>
                <w:bCs/>
                <w:color w:val="0000FF"/>
                <w:sz w:val="24"/>
                <w:szCs w:val="24"/>
                <w:u w:val="single"/>
                <w:lang w:val="en-US" w:eastAsia="en-US" w:bidi="ar-SA"/>
              </w:rPr>
              <w:t>khehmeyer@beneschlaw.com</w:t>
            </w:r>
          </w:p>
          <w:p w:rsidR="00313752" w:rsidRPr="000D08E9" w:rsidP="0050551B" w14:paraId="1E4F4396" w14:textId="77777777">
            <w:pPr>
              <w:adjustRightInd w:val="0"/>
              <w:spacing w:after="0"/>
              <w:rPr>
                <w:rStyle w:val="DefaultParagraphFont"/>
                <w:rFonts w:ascii="Times New Roman" w:hAnsi="Times New Roman" w:eastAsiaTheme="minorHAnsi" w:cstheme="minorBidi"/>
                <w:bCs/>
                <w:color w:val="0000FF"/>
                <w:sz w:val="24"/>
                <w:szCs w:val="24"/>
                <w:u w:val="single"/>
                <w:lang w:val="en-US" w:eastAsia="en-US" w:bidi="ar-SA"/>
              </w:rPr>
            </w:pPr>
            <w:r w:rsidRPr="000D08E9">
              <w:rPr>
                <w:rFonts w:ascii="Times New Roman" w:eastAsia="Courier New" w:hAnsi="Times New Roman" w:cstheme="minorBidi"/>
                <w:bCs/>
                <w:color w:val="0000FF"/>
                <w:sz w:val="24"/>
                <w:szCs w:val="24"/>
                <w:u w:val="single"/>
                <w:lang w:val="en-US" w:eastAsia="en-US" w:bidi="ar-SA"/>
              </w:rPr>
              <w:t>ssiewe@beneschlaw.com</w:t>
            </w:r>
          </w:p>
          <w:p w:rsidR="00313752" w:rsidRPr="00423400" w:rsidP="0050551B" w14:paraId="61E0A6E9" w14:textId="77777777">
            <w:pPr>
              <w:autoSpaceDE w:val="0"/>
              <w:autoSpaceDN w:val="0"/>
              <w:adjustRightInd w:val="0"/>
              <w:spacing w:after="0"/>
              <w:rPr>
                <w:rStyle w:val="DefaultParagraphFont"/>
                <w:rFonts w:ascii="Times New Roman" w:hAnsi="Times New Roman" w:eastAsiaTheme="minorHAnsi" w:cs="Times New Roman"/>
                <w:bCs/>
                <w:sz w:val="24"/>
                <w:szCs w:val="24"/>
                <w:lang w:val="en-US" w:eastAsia="en-US" w:bidi="ar-SA"/>
              </w:rPr>
            </w:pPr>
          </w:p>
          <w:p w:rsidR="00313752" w:rsidRPr="00423400" w:rsidP="0050551B" w14:paraId="0270152F" w14:textId="77777777">
            <w:pPr>
              <w:spacing w:after="0"/>
              <w:rPr>
                <w:rStyle w:val="DefaultParagraphFont"/>
                <w:rFonts w:ascii="Times New Roman" w:hAnsi="Times New Roman" w:eastAsiaTheme="minorHAnsi" w:cs="Times New Roman"/>
                <w:bCs/>
                <w:sz w:val="24"/>
                <w:szCs w:val="24"/>
                <w:lang w:val="en-US" w:eastAsia="en-US" w:bidi="ar-SA"/>
              </w:rPr>
            </w:pPr>
            <w:r w:rsidRPr="00423400">
              <w:rPr>
                <w:rFonts w:ascii="Times New Roman" w:hAnsi="Times New Roman" w:eastAsiaTheme="minorHAnsi" w:cs="Times New Roman"/>
                <w:bCs/>
                <w:sz w:val="24"/>
                <w:szCs w:val="24"/>
                <w:lang w:val="en-US" w:eastAsia="en-US" w:bidi="ar-SA"/>
              </w:rPr>
              <w:t>Attorney Examiners:</w:t>
            </w:r>
          </w:p>
          <w:p w:rsidR="00313752" w:rsidRPr="00423400" w:rsidP="0050551B" w14:paraId="20E96C11" w14:textId="77777777">
            <w:pPr>
              <w:adjustRightInd w:val="0"/>
              <w:spacing w:after="0"/>
              <w:rPr>
                <w:rStyle w:val="DefaultParagraphFont"/>
                <w:rFonts w:ascii="Times New Roman" w:hAnsi="Times New Roman" w:eastAsiaTheme="minorHAnsi" w:cs="Times New Roman"/>
                <w:color w:val="0000FF"/>
                <w:sz w:val="24"/>
                <w:szCs w:val="24"/>
                <w:u w:val="single"/>
                <w:lang w:val="en-US" w:eastAsia="en-US" w:bidi="ar-SA"/>
              </w:rPr>
            </w:pPr>
            <w:r w:rsidRPr="00423400">
              <w:rPr>
                <w:rFonts w:ascii="Times New Roman" w:hAnsi="Times New Roman" w:eastAsiaTheme="minorHAnsi" w:cs="Times New Roman"/>
                <w:color w:val="0000FF"/>
                <w:sz w:val="24"/>
                <w:szCs w:val="24"/>
                <w:u w:val="single"/>
                <w:lang w:val="en-US" w:eastAsia="en-US" w:bidi="ar-SA"/>
              </w:rPr>
              <w:t>patricia.schabo@puco.ohio.gov</w:t>
            </w:r>
          </w:p>
          <w:p w:rsidR="00313752" w:rsidRPr="00423400" w:rsidP="0050551B" w14:paraId="35E3804D" w14:textId="77777777">
            <w:pPr>
              <w:spacing w:after="0"/>
              <w:rPr>
                <w:rStyle w:val="DefaultParagraphFont"/>
                <w:rFonts w:ascii="Times New Roman" w:hAnsi="Times New Roman" w:eastAsiaTheme="minorHAnsi" w:cs="Times New Roman"/>
                <w:bCs/>
                <w:sz w:val="24"/>
                <w:szCs w:val="24"/>
                <w:lang w:val="en-US" w:eastAsia="en-US" w:bidi="ar-SA"/>
              </w:rPr>
            </w:pPr>
            <w:r w:rsidRPr="00423400">
              <w:rPr>
                <w:rFonts w:ascii="Times New Roman" w:hAnsi="Times New Roman" w:eastAsiaTheme="minorHAnsi" w:cs="Times New Roman"/>
                <w:color w:val="0000FF"/>
                <w:sz w:val="24"/>
                <w:szCs w:val="24"/>
                <w:u w:val="single"/>
                <w:lang w:val="en-US" w:eastAsia="en-US" w:bidi="ar-SA"/>
              </w:rPr>
              <w:t>Michael.williams@puco.ohio.gov</w:t>
            </w:r>
          </w:p>
        </w:tc>
        <w:tc>
          <w:tcPr>
            <w:tcW w:w="4252" w:type="dxa"/>
          </w:tcPr>
          <w:p w:rsidR="00313752" w:rsidRPr="000D08E9" w:rsidP="0050551B" w14:paraId="73BDD652"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bojko@carpenterlipps.com</w:t>
            </w:r>
          </w:p>
          <w:p w:rsidR="00313752" w:rsidRPr="000D08E9" w:rsidP="0050551B" w14:paraId="54D40B83" w14:textId="77777777">
            <w:pPr>
              <w:pStyle w:val="BodyText"/>
              <w:spacing w:after="0" w:line="240" w:lineRule="auto"/>
              <w:jc w:val="both"/>
              <w:rPr>
                <w:rStyle w:val="Hyperlink"/>
                <w:rFonts w:ascii="Times New Roman" w:eastAsia="Courier New" w:hAnsi="Times New Roman" w:cs="Times New Roman"/>
                <w:bCs/>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paul@carpenterlipps.com</w:t>
            </w:r>
          </w:p>
          <w:p w:rsidR="00313752" w:rsidRPr="000D08E9" w:rsidP="0050551B" w14:paraId="65CA8704" w14:textId="77777777">
            <w:pPr>
              <w:pStyle w:val="BodyText"/>
              <w:spacing w:after="0" w:line="240" w:lineRule="auto"/>
              <w:jc w:val="both"/>
              <w:rPr>
                <w:rStyle w:val="Hyperlink"/>
                <w:rFonts w:ascii="Times New Roman" w:eastAsia="Courier New" w:hAnsi="Times New Roman" w:cs="Times New Roman"/>
                <w:bCs/>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donadio@carpenterlipps.com</w:t>
            </w:r>
          </w:p>
          <w:p w:rsidR="00313752" w:rsidRPr="000D08E9" w:rsidP="0050551B" w14:paraId="25AA89E8"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r w:rsidRPr="000D08E9">
              <w:rPr>
                <w:rStyle w:val="Hyperlink"/>
                <w:rFonts w:ascii="Times New Roman" w:eastAsia="Courier New" w:hAnsi="Times New Roman" w:cs="Times New Roman"/>
                <w:color w:val="0000FF"/>
                <w:sz w:val="24"/>
                <w:szCs w:val="24"/>
                <w:u w:val="single"/>
                <w:lang w:val="en-US" w:eastAsia="en-US" w:bidi="ar-SA"/>
              </w:rPr>
              <w:t>wygonski@carpenterlipps.com</w:t>
            </w:r>
          </w:p>
          <w:p w:rsidR="00313752" w:rsidRPr="000D08E9" w:rsidP="0050551B" w14:paraId="1A7960E0"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michael.schuler@aes.com</w:t>
            </w:r>
          </w:p>
          <w:p w:rsidR="00313752" w:rsidRPr="000D08E9" w:rsidP="0050551B" w14:paraId="3D8631D0" w14:textId="77777777">
            <w:pPr>
              <w:adjustRightInd w:val="0"/>
              <w:spacing w:after="0" w:line="240" w:lineRule="auto"/>
              <w:rPr>
                <w:rStyle w:val="DefaultParagraphFont"/>
                <w:rFonts w:ascii="Times New Roman" w:hAnsi="Times New Roman" w:eastAsiaTheme="minorHAnsi" w:cstheme="minorBidi"/>
                <w:color w:val="0000FF"/>
                <w:sz w:val="24"/>
                <w:szCs w:val="24"/>
                <w:u w:val="single"/>
                <w:lang w:val="en-US" w:eastAsia="en-US" w:bidi="ar-SA"/>
              </w:rPr>
            </w:pPr>
            <w:r w:rsidRPr="000D08E9">
              <w:rPr>
                <w:rFonts w:ascii="Times New Roman" w:hAnsi="Times New Roman" w:eastAsiaTheme="minorHAnsi" w:cstheme="minorBidi"/>
                <w:color w:val="0000FF"/>
                <w:sz w:val="24"/>
                <w:szCs w:val="24"/>
                <w:u w:val="single"/>
                <w:lang w:val="en-US" w:eastAsia="en-US" w:bidi="ar-SA"/>
              </w:rPr>
              <w:t>jsharkey@ficlaw.com</w:t>
            </w:r>
          </w:p>
          <w:p w:rsidR="00313752" w:rsidRPr="000D08E9" w:rsidP="0050551B" w14:paraId="6031DA7E" w14:textId="77777777">
            <w:pPr>
              <w:adjustRightInd w:val="0"/>
              <w:spacing w:after="0" w:line="240" w:lineRule="auto"/>
              <w:rPr>
                <w:rStyle w:val="DefaultParagraphFont"/>
                <w:rFonts w:ascii="Times New Roman" w:hAnsi="Times New Roman" w:eastAsiaTheme="minorHAnsi" w:cstheme="minorBidi"/>
                <w:color w:val="0000FF"/>
                <w:sz w:val="24"/>
                <w:szCs w:val="24"/>
                <w:u w:val="single"/>
                <w:lang w:val="en-US" w:eastAsia="en-US" w:bidi="ar-SA"/>
              </w:rPr>
            </w:pPr>
            <w:r w:rsidRPr="000D08E9">
              <w:rPr>
                <w:rFonts w:ascii="Times New Roman" w:hAnsi="Times New Roman" w:eastAsiaTheme="minorHAnsi" w:cstheme="minorBidi"/>
                <w:color w:val="0000FF"/>
                <w:sz w:val="24"/>
                <w:szCs w:val="24"/>
                <w:u w:val="single"/>
                <w:lang w:val="en-US" w:eastAsia="en-US" w:bidi="ar-SA"/>
              </w:rPr>
              <w:t>djireland@ficlaw.com</w:t>
            </w:r>
          </w:p>
          <w:p w:rsidR="00313752" w:rsidRPr="000D08E9" w:rsidP="0050551B" w14:paraId="7397FD1F" w14:textId="77777777">
            <w:pPr>
              <w:adjustRightInd w:val="0"/>
              <w:spacing w:after="0" w:line="240" w:lineRule="auto"/>
              <w:rPr>
                <w:rStyle w:val="DefaultParagraphFont"/>
                <w:rFonts w:ascii="Times New Roman" w:hAnsi="Times New Roman" w:eastAsiaTheme="minorHAnsi" w:cstheme="minorBidi"/>
                <w:color w:val="0000FF"/>
                <w:sz w:val="24"/>
                <w:szCs w:val="24"/>
                <w:u w:val="single"/>
                <w:lang w:val="en-US" w:eastAsia="en-US" w:bidi="ar-SA"/>
              </w:rPr>
            </w:pPr>
            <w:r w:rsidRPr="000D08E9">
              <w:rPr>
                <w:rFonts w:ascii="Times New Roman" w:hAnsi="Times New Roman" w:eastAsiaTheme="minorHAnsi" w:cstheme="minorBidi"/>
                <w:color w:val="0000FF"/>
                <w:sz w:val="24"/>
                <w:szCs w:val="24"/>
                <w:u w:val="single"/>
                <w:lang w:val="en-US" w:eastAsia="en-US" w:bidi="ar-SA"/>
              </w:rPr>
              <w:t>mwatt@ficlaw.com</w:t>
            </w:r>
          </w:p>
          <w:p w:rsidR="00313752" w:rsidRPr="000D08E9" w:rsidP="0050551B" w14:paraId="28D676F0" w14:textId="77777777">
            <w:pPr>
              <w:adjustRightInd w:val="0"/>
              <w:spacing w:after="0" w:line="240" w:lineRule="auto"/>
              <w:rPr>
                <w:rStyle w:val="DefaultParagraphFont"/>
                <w:rFonts w:ascii="Times New Roman" w:hAnsi="Times New Roman" w:eastAsiaTheme="minorHAnsi" w:cstheme="minorBidi"/>
                <w:color w:val="0000FF"/>
                <w:sz w:val="24"/>
                <w:szCs w:val="24"/>
                <w:u w:val="single"/>
                <w:lang w:val="en-US" w:eastAsia="en-US" w:bidi="ar-SA"/>
              </w:rPr>
            </w:pPr>
            <w:r w:rsidRPr="000D08E9">
              <w:rPr>
                <w:rFonts w:ascii="Times New Roman" w:hAnsi="Times New Roman" w:eastAsiaTheme="minorHAnsi" w:cstheme="minorBidi"/>
                <w:color w:val="0000FF"/>
                <w:sz w:val="24"/>
                <w:szCs w:val="24"/>
                <w:u w:val="single"/>
                <w:lang w:val="en-US" w:eastAsia="en-US" w:bidi="ar-SA"/>
              </w:rPr>
              <w:t>jweber@elpc.org</w:t>
            </w:r>
          </w:p>
          <w:p w:rsidR="00313752" w:rsidRPr="000D08E9" w:rsidP="0050551B" w14:paraId="469DA596" w14:textId="77777777">
            <w:pPr>
              <w:adjustRightInd w:val="0"/>
              <w:spacing w:after="0" w:line="240" w:lineRule="auto"/>
              <w:rPr>
                <w:rStyle w:val="DefaultParagraphFont"/>
                <w:rFonts w:ascii="Times New Roman" w:hAnsi="Times New Roman" w:eastAsiaTheme="minorHAnsi" w:cstheme="minorBidi"/>
                <w:color w:val="0000FF"/>
                <w:sz w:val="24"/>
                <w:szCs w:val="24"/>
                <w:u w:val="single"/>
                <w:lang w:val="en-US" w:eastAsia="en-US" w:bidi="ar-SA"/>
              </w:rPr>
            </w:pPr>
            <w:r w:rsidRPr="000D08E9">
              <w:rPr>
                <w:rFonts w:ascii="Times New Roman" w:hAnsi="Times New Roman" w:eastAsiaTheme="minorHAnsi" w:cstheme="minorBidi"/>
                <w:color w:val="0000FF"/>
                <w:sz w:val="24"/>
                <w:szCs w:val="24"/>
                <w:u w:val="single"/>
                <w:lang w:val="en-US" w:eastAsia="en-US" w:bidi="ar-SA"/>
              </w:rPr>
              <w:t>christopher.hollon@aes.com</w:t>
            </w:r>
          </w:p>
          <w:p w:rsidR="00313752" w:rsidRPr="000D08E9" w:rsidP="0050551B" w14:paraId="28E64183" w14:textId="77777777">
            <w:pPr>
              <w:adjustRightInd w:val="0"/>
              <w:spacing w:after="0" w:line="240" w:lineRule="auto"/>
              <w:rPr>
                <w:rStyle w:val="DefaultParagraphFont"/>
                <w:rFonts w:ascii="Times New Roman" w:hAnsi="Times New Roman" w:eastAsiaTheme="minorHAnsi" w:cstheme="minorBidi"/>
                <w:color w:val="0000FF"/>
                <w:sz w:val="24"/>
                <w:szCs w:val="24"/>
                <w:u w:val="single"/>
                <w:lang w:val="en-US" w:eastAsia="en-US" w:bidi="ar-SA"/>
              </w:rPr>
            </w:pPr>
            <w:r w:rsidRPr="000D08E9">
              <w:rPr>
                <w:rFonts w:ascii="Times New Roman" w:hAnsi="Times New Roman" w:eastAsiaTheme="minorHAnsi" w:cstheme="minorBidi"/>
                <w:color w:val="0000FF"/>
                <w:sz w:val="24"/>
                <w:szCs w:val="24"/>
                <w:u w:val="single"/>
                <w:lang w:val="en-US" w:eastAsia="en-US" w:bidi="ar-SA"/>
              </w:rPr>
              <w:t>mkurtz@BKLlawfirm.com</w:t>
            </w:r>
          </w:p>
          <w:p w:rsidR="00313752" w:rsidRPr="000D08E9" w:rsidP="0050551B" w14:paraId="246C0626" w14:textId="77777777">
            <w:pPr>
              <w:adjustRightInd w:val="0"/>
              <w:spacing w:after="0" w:line="240" w:lineRule="auto"/>
              <w:rPr>
                <w:rStyle w:val="DefaultParagraphFont"/>
                <w:rFonts w:ascii="Times New Roman" w:hAnsi="Times New Roman" w:eastAsiaTheme="minorHAnsi" w:cstheme="minorBidi"/>
                <w:color w:val="0000FF"/>
                <w:sz w:val="24"/>
                <w:szCs w:val="24"/>
                <w:u w:val="single"/>
                <w:lang w:val="en-US" w:eastAsia="en-US" w:bidi="ar-SA"/>
              </w:rPr>
            </w:pPr>
            <w:r w:rsidRPr="000D08E9">
              <w:rPr>
                <w:rFonts w:ascii="Times New Roman" w:hAnsi="Times New Roman" w:eastAsiaTheme="minorHAnsi" w:cstheme="minorBidi"/>
                <w:color w:val="0000FF"/>
                <w:sz w:val="24"/>
                <w:szCs w:val="24"/>
                <w:u w:val="single"/>
                <w:lang w:val="en-US" w:eastAsia="en-US" w:bidi="ar-SA"/>
              </w:rPr>
              <w:t>kboehm@BKLlawfirm.com</w:t>
            </w:r>
          </w:p>
          <w:p w:rsidR="00313752" w:rsidRPr="000D08E9" w:rsidP="0050551B" w14:paraId="5F34A530" w14:textId="77777777">
            <w:pPr>
              <w:pStyle w:val="BodyText"/>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rsidRPr="000D08E9">
              <w:rPr>
                <w:rFonts w:ascii="Times New Roman" w:eastAsia="Courier New" w:hAnsi="Times New Roman" w:cs="Times New Roman"/>
                <w:color w:val="0000FF"/>
                <w:sz w:val="24"/>
                <w:szCs w:val="24"/>
                <w:u w:val="single"/>
                <w:lang w:val="en-US" w:eastAsia="en-US" w:bidi="ar-SA"/>
              </w:rPr>
              <w:t>jkylercohn@BKLlawfirm.com</w:t>
            </w:r>
          </w:p>
          <w:p w:rsidR="00313752" w:rsidRPr="000D08E9" w:rsidP="0050551B" w14:paraId="01B203EC"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r w:rsidRPr="000D08E9">
              <w:rPr>
                <w:rFonts w:ascii="Times New Roman" w:eastAsia="Courier New" w:hAnsi="Times New Roman" w:cs="Times New Roman"/>
                <w:color w:val="0000FF"/>
                <w:sz w:val="24"/>
                <w:szCs w:val="24"/>
                <w:u w:val="single"/>
                <w:lang w:val="en-US" w:eastAsia="en-US" w:bidi="ar-SA"/>
              </w:rPr>
              <w:t>b</w:t>
            </w:r>
            <w:r w:rsidRPr="000D08E9">
              <w:rPr>
                <w:rFonts w:ascii="Times New Roman" w:eastAsia="Courier New" w:hAnsi="Times New Roman" w:cs="Times New Roman"/>
                <w:bCs/>
                <w:color w:val="0000FF"/>
                <w:sz w:val="24"/>
                <w:szCs w:val="24"/>
                <w:u w:val="single"/>
                <w:lang w:val="en-US" w:eastAsia="en-US" w:bidi="ar-SA"/>
              </w:rPr>
              <w:t>ethany.allen@igs.com</w:t>
            </w:r>
          </w:p>
          <w:p w:rsidR="00313752" w:rsidRPr="000D08E9" w:rsidP="0050551B" w14:paraId="254D3447"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Joe.oliker@igs.com</w:t>
            </w:r>
          </w:p>
          <w:p w:rsidR="00313752" w:rsidRPr="000D08E9" w:rsidP="0050551B" w14:paraId="1DDB3C79"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Michael.nugent@igs.com</w:t>
            </w:r>
          </w:p>
          <w:p w:rsidR="00313752" w:rsidRPr="000D08E9" w:rsidP="0050551B" w14:paraId="7EABACAB"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Evan.betterton@igs.com</w:t>
            </w:r>
          </w:p>
          <w:p w:rsidR="00313752" w:rsidRPr="000D08E9" w:rsidP="0050551B" w14:paraId="1B0C1D9A"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Stephanie.chmiel@thompsonhine.com</w:t>
            </w:r>
          </w:p>
          <w:p w:rsidR="00313752" w:rsidRPr="000D08E9" w:rsidP="0050551B" w14:paraId="3AD84BA0"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Kevin.oles@thompsonhine.com</w:t>
            </w:r>
          </w:p>
          <w:p w:rsidR="00313752" w:rsidRPr="000D08E9" w:rsidP="0050551B" w14:paraId="16DA1930"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Fdarr2019@gmail.com</w:t>
            </w:r>
          </w:p>
          <w:p w:rsidR="00313752" w:rsidRPr="000D08E9" w:rsidP="0050551B" w14:paraId="4804F4AB"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rdove@keglerbrown.com</w:t>
            </w:r>
          </w:p>
          <w:p w:rsidR="00313752" w:rsidRPr="000D08E9" w:rsidP="0050551B" w14:paraId="012B20BD"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cgrundmann@spilmanlaw.com</w:t>
            </w:r>
          </w:p>
          <w:p w:rsidR="00313752" w:rsidRPr="000D08E9" w:rsidP="0050551B" w14:paraId="6E939340"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dwilliamson@spilmanlaw.com</w:t>
            </w:r>
          </w:p>
          <w:p w:rsidR="00313752" w:rsidRPr="000D08E9" w:rsidP="0050551B" w14:paraId="2E84FEFB"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mpritchard@mcneeslaw.com</w:t>
            </w:r>
          </w:p>
          <w:p w:rsidR="00313752" w:rsidRPr="000D08E9" w:rsidP="0050551B" w14:paraId="3F36A472"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rglover@mcneeslaw.com</w:t>
            </w:r>
          </w:p>
          <w:p w:rsidR="00313752" w:rsidRPr="000D08E9" w:rsidP="0050551B" w14:paraId="2E4F8B46"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mleppla@theOEC.org</w:t>
            </w:r>
          </w:p>
          <w:p w:rsidR="00313752" w:rsidRPr="000D08E9" w:rsidP="0050551B" w14:paraId="3C9EB873"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tdougherty@theOEC.org</w:t>
            </w:r>
          </w:p>
          <w:p w:rsidR="00313752" w:rsidRPr="000D08E9" w:rsidP="0050551B" w14:paraId="3016DA36" w14:textId="77777777">
            <w:pPr>
              <w:pStyle w:val="BodyText"/>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r w:rsidRPr="000D08E9">
              <w:rPr>
                <w:rFonts w:ascii="Times New Roman" w:eastAsia="Courier New" w:hAnsi="Times New Roman" w:cs="Times New Roman"/>
                <w:bCs/>
                <w:color w:val="0000FF"/>
                <w:sz w:val="24"/>
                <w:szCs w:val="24"/>
                <w:u w:val="single"/>
                <w:lang w:val="en-US" w:eastAsia="en-US" w:bidi="ar-SA"/>
              </w:rPr>
              <w:t>ctavenor@theOEC.org</w:t>
            </w:r>
          </w:p>
          <w:p w:rsidR="00313752" w:rsidRPr="00423400" w:rsidP="0050551B" w14:paraId="77BE1990" w14:textId="77777777">
            <w:pPr>
              <w:pStyle w:val="BodyText"/>
              <w:spacing w:after="0" w:line="240" w:lineRule="auto"/>
              <w:jc w:val="both"/>
              <w:rPr>
                <w:rStyle w:val="DefaultParagraphFont"/>
                <w:rFonts w:ascii="Times New Roman" w:hAnsi="Times New Roman" w:eastAsiaTheme="minorHAnsi" w:cs="Times New Roman"/>
                <w:color w:val="0000FF"/>
                <w:sz w:val="24"/>
                <w:szCs w:val="24"/>
                <w:u w:val="single"/>
                <w:lang w:val="en-US" w:eastAsia="en-US" w:bidi="ar-SA"/>
              </w:rPr>
            </w:pPr>
          </w:p>
        </w:tc>
        <w:tc>
          <w:tcPr>
            <w:tcW w:w="4252" w:type="dxa"/>
            <w:shd w:val="clear" w:color="auto" w:fill="auto"/>
          </w:tcPr>
          <w:p w:rsidR="00313752" w:rsidRPr="00423400" w:rsidP="0050551B" w14:paraId="52E7A23F" w14:textId="77777777">
            <w:pPr>
              <w:pStyle w:val="BodyText"/>
              <w:spacing w:after="0" w:line="240" w:lineRule="auto"/>
              <w:jc w:val="both"/>
              <w:rPr>
                <w:rStyle w:val="DefaultParagraphFont"/>
                <w:rFonts w:ascii="Times New Roman" w:hAnsi="Times New Roman" w:eastAsiaTheme="minorHAnsi" w:cs="Times New Roman"/>
                <w:color w:val="0000FF"/>
                <w:sz w:val="24"/>
                <w:szCs w:val="24"/>
                <w:u w:val="single"/>
                <w:lang w:val="en-US" w:eastAsia="en-US" w:bidi="ar-SA"/>
              </w:rPr>
            </w:pPr>
          </w:p>
        </w:tc>
      </w:tr>
    </w:tbl>
    <w:p w:rsidR="00392563" w:rsidP="00A56089" w14:paraId="4A65350A" w14:textId="77777777">
      <w:pPr>
        <w:spacing w:line="240" w:lineRule="auto"/>
        <w:ind w:left="3600"/>
      </w:pPr>
    </w:p>
    <w:sectPr w:rsidSect="009F3D82">
      <w:footerReference w:type="default" r:id="rId12"/>
      <w:pgSz w:w="12240" w:h="15840"/>
      <w:pgMar w:top="1440" w:right="1800" w:bottom="1440"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2C35" w14:paraId="43ED4F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551B" w14:paraId="6B50406A" w14:textId="20BD4AF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2C35" w14:paraId="147C9F7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34084351"/>
      <w:docPartObj>
        <w:docPartGallery w:val="Page Numbers (Bottom of Page)"/>
        <w:docPartUnique/>
      </w:docPartObj>
    </w:sdtPr>
    <w:sdtEndPr>
      <w:rPr>
        <w:noProof/>
      </w:rPr>
    </w:sdtEndPr>
    <w:sdtContent>
      <w:p w:rsidR="00DD17CD" w14:paraId="5E2089D5" w14:textId="47328AE1">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78DD" w:rsidP="00C90489" w14:paraId="1581CA8A" w14:textId="77777777">
      <w:pPr>
        <w:spacing w:after="0" w:line="240" w:lineRule="auto"/>
      </w:pPr>
      <w:r>
        <w:separator/>
      </w:r>
    </w:p>
  </w:footnote>
  <w:footnote w:type="continuationSeparator" w:id="1">
    <w:p w:rsidR="00D478DD" w:rsidP="00C90489" w14:paraId="563E0323" w14:textId="77777777">
      <w:pPr>
        <w:spacing w:after="0" w:line="240" w:lineRule="auto"/>
      </w:pPr>
      <w:r>
        <w:continuationSeparator/>
      </w:r>
    </w:p>
  </w:footnote>
  <w:footnote w:id="2">
    <w:p w:rsidR="00331517" w:rsidP="00DD17CD" w14:paraId="7DAAFE08" w14:textId="71C1EC6C">
      <w:pPr>
        <w:pStyle w:val="FootnoteText"/>
        <w:spacing w:after="120"/>
      </w:pPr>
      <w:r>
        <w:rPr>
          <w:rStyle w:val="FootnoteReference"/>
        </w:rPr>
        <w:footnoteRef/>
      </w:r>
      <w:r>
        <w:t xml:space="preserve"> </w:t>
      </w:r>
      <w:r w:rsidRPr="000D36E2" w:rsidR="002044E4">
        <w:rPr>
          <w:rFonts w:cs="Times New Roman"/>
        </w:rPr>
        <w:t xml:space="preserve">Case No. 08-1094-EL-SSO, et. al., </w:t>
      </w:r>
      <w:r w:rsidRPr="000D36E2" w:rsidR="000D36E2">
        <w:rPr>
          <w:rFonts w:cs="Times New Roman"/>
        </w:rPr>
        <w:t xml:space="preserve">Memorandum Contra DP&amp;L’s Motions to </w:t>
      </w:r>
      <w:r w:rsidRPr="00DD17CD" w:rsidR="000D36E2">
        <w:rPr>
          <w:rFonts w:cs="Times New Roman"/>
          <w:color w:val="232323"/>
        </w:rPr>
        <w:t>Withdraw Its Application and Implement Previously Authorized Rates (To Increase Charges to Consumers) by The Office of The Ohio Consumers' Counsel, The Ohio Manufacturers' Association Energy Group The Kroger Company and IGS Energy</w:t>
      </w:r>
      <w:r w:rsidR="000D36E2">
        <w:rPr>
          <w:rFonts w:cs="Times New Roman"/>
          <w:color w:val="232323"/>
        </w:rPr>
        <w:t xml:space="preserve"> (December 4, 2019).</w:t>
      </w:r>
    </w:p>
  </w:footnote>
  <w:footnote w:id="3">
    <w:p w:rsidR="0050551B" w:rsidP="00FE1591" w14:paraId="5C5AF564" w14:textId="77777777">
      <w:pPr>
        <w:pStyle w:val="FootnoteText"/>
        <w:spacing w:after="120"/>
      </w:pPr>
      <w:r>
        <w:rPr>
          <w:rStyle w:val="FootnoteReference"/>
        </w:rPr>
        <w:footnoteRef/>
      </w:r>
      <w:r>
        <w:t xml:space="preserve"> Motion to Dismiss DP&amp;L’s Application (August 5, 2021).</w:t>
      </w:r>
    </w:p>
  </w:footnote>
  <w:footnote w:id="4">
    <w:p w:rsidR="0050551B" w14:paraId="26D19777" w14:textId="77777777">
      <w:pPr>
        <w:pStyle w:val="FootnoteText"/>
        <w:spacing w:after="120"/>
      </w:pPr>
      <w:r>
        <w:rPr>
          <w:rStyle w:val="FootnoteReference"/>
        </w:rPr>
        <w:footnoteRef/>
      </w:r>
      <w:r>
        <w:t xml:space="preserve"> Application for Rehearing (November 19, 2021).</w:t>
      </w:r>
    </w:p>
  </w:footnote>
  <w:footnote w:id="5">
    <w:p w:rsidR="0050551B" w14:paraId="483A98ED" w14:textId="43B45D5F">
      <w:pPr>
        <w:pStyle w:val="FootnoteText"/>
        <w:spacing w:after="120"/>
      </w:pPr>
      <w:r>
        <w:rPr>
          <w:rStyle w:val="FootnoteReference"/>
        </w:rPr>
        <w:footnoteRef/>
      </w:r>
      <w:r>
        <w:t xml:space="preserve"> DP&amp;L’s Motion at 3.</w:t>
      </w:r>
    </w:p>
  </w:footnote>
  <w:footnote w:id="6">
    <w:p w:rsidR="0050551B" w14:paraId="72477E74" w14:textId="54A90D25">
      <w:pPr>
        <w:pStyle w:val="FootnoteText"/>
        <w:spacing w:after="120"/>
      </w:pPr>
      <w:r>
        <w:rPr>
          <w:rStyle w:val="FootnoteReference"/>
        </w:rPr>
        <w:footnoteRef/>
      </w:r>
      <w:r>
        <w:t xml:space="preserve"> DP&amp;L’s Motion at 4.</w:t>
      </w:r>
    </w:p>
  </w:footnote>
  <w:footnote w:id="7">
    <w:p w:rsidR="003C5DF2" w:rsidP="00DD17CD" w14:paraId="57E6FF5B" w14:textId="336B8BB1">
      <w:pPr>
        <w:pStyle w:val="FootnoteText"/>
        <w:spacing w:after="120"/>
      </w:pPr>
      <w:r w:rsidRPr="00975B49">
        <w:rPr>
          <w:rStyle w:val="FootnoteReference"/>
        </w:rPr>
        <w:footnoteRef/>
      </w:r>
      <w:r w:rsidRPr="00975B49">
        <w:t xml:space="preserve"> </w:t>
      </w:r>
      <w:r w:rsidRPr="00DD17CD" w:rsidR="00435025">
        <w:rPr>
          <w:i/>
          <w:iCs/>
        </w:rPr>
        <w:t>See</w:t>
      </w:r>
      <w:r w:rsidRPr="00DD17CD" w:rsidR="00435025">
        <w:t xml:space="preserve"> </w:t>
      </w:r>
      <w:r w:rsidR="005E04C4">
        <w:rPr>
          <w:i/>
          <w:iCs/>
        </w:rPr>
        <w:t xml:space="preserve">Novel, </w:t>
      </w:r>
      <w:r w:rsidRPr="00DD17CD" w:rsidR="00322FFA">
        <w:t xml:space="preserve">Cambridge Dictionary, </w:t>
      </w:r>
      <w:r w:rsidRPr="00975B49" w:rsidR="00975B49">
        <w:t>https://dictionary.cambridge.org/us/dictionary/english/novel.</w:t>
      </w:r>
    </w:p>
  </w:footnote>
  <w:footnote w:id="8">
    <w:p w:rsidR="00B21B15" w:rsidP="00DD17CD" w14:paraId="01307FCE" w14:textId="7CAE53AD">
      <w:pPr>
        <w:pStyle w:val="FootnoteText"/>
        <w:spacing w:after="120"/>
      </w:pPr>
      <w:r>
        <w:rPr>
          <w:rStyle w:val="FootnoteReference"/>
        </w:rPr>
        <w:footnoteRef/>
      </w:r>
      <w:r w:rsidR="00840AB2">
        <w:t xml:space="preserve"> </w:t>
      </w:r>
      <w:r w:rsidR="002B285B">
        <w:t>Case No. 17-</w:t>
      </w:r>
      <w:r w:rsidR="00D547BD">
        <w:t>974</w:t>
      </w:r>
      <w:r w:rsidR="002B285B">
        <w:t>-EL-</w:t>
      </w:r>
      <w:r w:rsidR="00DD0D30">
        <w:t>UNC</w:t>
      </w:r>
      <w:r w:rsidR="002B285B">
        <w:t xml:space="preserve">, </w:t>
      </w:r>
      <w:r w:rsidR="00840AB2">
        <w:t>Entry</w:t>
      </w:r>
      <w:r>
        <w:t xml:space="preserve"> </w:t>
      </w:r>
      <w:r w:rsidR="00271C4D">
        <w:t>a</w:t>
      </w:r>
      <w:r w:rsidR="00C70462">
        <w:t>t</w:t>
      </w:r>
      <w:r w:rsidR="00271C4D">
        <w:t xml:space="preserve"> </w:t>
      </w:r>
      <w:r w:rsidR="00C70462">
        <w:t>¶</w:t>
      </w:r>
      <w:r w:rsidR="00DD0D30">
        <w:t>22</w:t>
      </w:r>
      <w:r w:rsidR="002B285B">
        <w:t xml:space="preserve"> (February 1</w:t>
      </w:r>
      <w:r w:rsidR="00DD0D30">
        <w:t>0</w:t>
      </w:r>
      <w:r w:rsidR="002B285B">
        <w:t>, 2022).</w:t>
      </w:r>
    </w:p>
  </w:footnote>
  <w:footnote w:id="9">
    <w:p w:rsidR="00101539" w:rsidP="00FE1591" w14:paraId="7A95C28C" w14:textId="1D9D82B1">
      <w:pPr>
        <w:pStyle w:val="FootnoteText"/>
        <w:spacing w:after="120"/>
      </w:pPr>
      <w:r>
        <w:rPr>
          <w:rStyle w:val="FootnoteReference"/>
        </w:rPr>
        <w:footnoteRef/>
      </w:r>
      <w:r>
        <w:t xml:space="preserve"> </w:t>
      </w:r>
      <w:r w:rsidRPr="00633EB1" w:rsidR="00822990">
        <w:rPr>
          <w:rFonts w:cs="Times New Roman"/>
          <w:i/>
          <w:iCs/>
          <w:szCs w:val="24"/>
        </w:rPr>
        <w:t>See</w:t>
      </w:r>
      <w:r w:rsidRPr="001573DE" w:rsidR="00822990">
        <w:rPr>
          <w:rFonts w:cs="Times New Roman"/>
          <w:szCs w:val="24"/>
        </w:rPr>
        <w:t xml:space="preserve"> Case No. 05-1444-GA-UNC, Entry </w:t>
      </w:r>
      <w:r w:rsidR="00822990">
        <w:rPr>
          <w:rFonts w:cs="Times New Roman"/>
          <w:szCs w:val="24"/>
        </w:rPr>
        <w:t xml:space="preserve">at ¶10 </w:t>
      </w:r>
      <w:r w:rsidRPr="001573DE" w:rsidR="00822990">
        <w:rPr>
          <w:rFonts w:cs="Times New Roman"/>
          <w:szCs w:val="24"/>
        </w:rPr>
        <w:t>(February 12, 2007)</w:t>
      </w:r>
      <w:r w:rsidR="00822990">
        <w:rPr>
          <w:rFonts w:cs="Times New Roman"/>
          <w:szCs w:val="24"/>
        </w:rPr>
        <w:t>.</w:t>
      </w:r>
    </w:p>
  </w:footnote>
  <w:footnote w:id="10">
    <w:p w:rsidR="00EF10BC" w:rsidP="00DD17CD" w14:paraId="58D2041C" w14:textId="36D26DB1">
      <w:pPr>
        <w:pStyle w:val="FootnoteText"/>
        <w:spacing w:after="120"/>
      </w:pPr>
      <w:r>
        <w:rPr>
          <w:rStyle w:val="FootnoteReference"/>
        </w:rPr>
        <w:footnoteRef/>
      </w:r>
      <w:r>
        <w:t xml:space="preserve"> </w:t>
      </w:r>
      <w:r w:rsidR="00FE1591">
        <w:rPr>
          <w:rFonts w:cs="Times New Roman"/>
          <w:szCs w:val="24"/>
        </w:rPr>
        <w:t>O.A.C</w:t>
      </w:r>
      <w:r w:rsidRPr="001573DE" w:rsidR="00FE1591">
        <w:rPr>
          <w:rFonts w:cs="Times New Roman"/>
          <w:szCs w:val="24"/>
        </w:rPr>
        <w:t xml:space="preserve"> 4901-1-15</w:t>
      </w:r>
      <w:r w:rsidR="00FE1591">
        <w:rPr>
          <w:rFonts w:cs="Times New Roman"/>
          <w:szCs w:val="24"/>
        </w:rPr>
        <w:t>.</w:t>
      </w:r>
    </w:p>
  </w:footnote>
  <w:footnote w:id="11">
    <w:p w:rsidR="0050551B" w:rsidRPr="00C25749" w:rsidP="00FE1591" w14:paraId="70156B84" w14:textId="318E6C8D">
      <w:pPr>
        <w:pStyle w:val="FootnoteText"/>
        <w:spacing w:after="120"/>
      </w:pPr>
      <w:r w:rsidRPr="00C25749">
        <w:rPr>
          <w:rStyle w:val="FootnoteReference"/>
        </w:rPr>
        <w:footnoteRef/>
      </w:r>
      <w:r w:rsidRPr="00C25749">
        <w:t xml:space="preserve"> OCC does not concede that this is the correct legal interpretation, as OCC has argued that the law only requires the utility to revert to its most recent standard service offer, not its entire electric security plan. It </w:t>
      </w:r>
      <w:r w:rsidR="00094BAF">
        <w:t xml:space="preserve">is an issues that OCC has appealed. </w:t>
      </w:r>
      <w:r w:rsidRPr="00DD17CD" w:rsidR="00094BAF">
        <w:rPr>
          <w:i/>
          <w:iCs/>
        </w:rPr>
        <w:t>See</w:t>
      </w:r>
      <w:r w:rsidR="00094BAF">
        <w:t xml:space="preserve"> </w:t>
      </w:r>
      <w:r w:rsidR="00CF4DB4">
        <w:t>S.Ct. Case No. 2021-1068.</w:t>
      </w:r>
    </w:p>
  </w:footnote>
  <w:footnote w:id="12">
    <w:p w:rsidR="0050551B" w14:paraId="35D119DC" w14:textId="739DA26D">
      <w:pPr>
        <w:pStyle w:val="FootnoteText"/>
        <w:spacing w:after="120"/>
      </w:pPr>
      <w:r>
        <w:rPr>
          <w:rStyle w:val="FootnoteReference"/>
        </w:rPr>
        <w:footnoteRef/>
      </w:r>
      <w:r>
        <w:t xml:space="preserve"> DP&amp;L’s Motion at 3.</w:t>
      </w:r>
    </w:p>
  </w:footnote>
  <w:footnote w:id="13">
    <w:p w:rsidR="004B1024" w:rsidRPr="002C709C" w14:paraId="45007346" w14:textId="77777777">
      <w:pPr>
        <w:pStyle w:val="FootnoteText"/>
        <w:spacing w:after="120"/>
        <w:rPr>
          <w:i/>
          <w:iCs/>
        </w:rPr>
      </w:pPr>
      <w:r>
        <w:rPr>
          <w:rStyle w:val="FootnoteReference"/>
        </w:rPr>
        <w:footnoteRef/>
      </w:r>
      <w:r>
        <w:t xml:space="preserve"> </w:t>
      </w:r>
      <w:r w:rsidRPr="002C709C">
        <w:rPr>
          <w:i/>
          <w:iCs/>
        </w:rPr>
        <w:t>See</w:t>
      </w:r>
      <w:r>
        <w:t xml:space="preserve"> Notes 1-5, </w:t>
      </w:r>
      <w:r>
        <w:rPr>
          <w:i/>
          <w:iCs/>
        </w:rPr>
        <w:t>supra.</w:t>
      </w:r>
    </w:p>
  </w:footnote>
  <w:footnote w:id="14">
    <w:p w:rsidR="004B1024" w14:paraId="3D532D2E" w14:textId="77777777">
      <w:pPr>
        <w:pStyle w:val="FootnoteText"/>
        <w:spacing w:after="120"/>
      </w:pPr>
      <w:r>
        <w:rPr>
          <w:rStyle w:val="FootnoteReference"/>
        </w:rPr>
        <w:footnoteRef/>
      </w:r>
      <w:r>
        <w:t xml:space="preserve"> </w:t>
      </w:r>
      <w:r>
        <w:rPr>
          <w:i/>
          <w:iCs/>
        </w:rPr>
        <w:t>Id.</w:t>
      </w:r>
    </w:p>
  </w:footnote>
  <w:footnote w:id="15">
    <w:p w:rsidR="0050551B" w:rsidRPr="00C25749" w14:paraId="09C2F3F4" w14:textId="32EE6220">
      <w:pPr>
        <w:pStyle w:val="FootnoteText"/>
        <w:spacing w:after="120"/>
      </w:pPr>
      <w:r w:rsidRPr="00C25749">
        <w:rPr>
          <w:rStyle w:val="FootnoteReference"/>
        </w:rPr>
        <w:footnoteRef/>
      </w:r>
      <w:r w:rsidRPr="00C25749">
        <w:t xml:space="preserve"> </w:t>
      </w:r>
      <w:r>
        <w:rPr>
          <w:i/>
          <w:iCs/>
        </w:rPr>
        <w:t>Id.</w:t>
      </w:r>
    </w:p>
  </w:footnote>
  <w:footnote w:id="16">
    <w:p w:rsidR="0050551B" w:rsidRPr="00C25749" w14:paraId="17157FF4" w14:textId="77777777">
      <w:pPr>
        <w:pStyle w:val="FootnoteText"/>
        <w:spacing w:after="120"/>
      </w:pPr>
      <w:r w:rsidRPr="00C25749">
        <w:rPr>
          <w:rStyle w:val="FootnoteReference"/>
        </w:rPr>
        <w:footnoteRef/>
      </w:r>
      <w:r w:rsidRPr="00C25749">
        <w:t xml:space="preserve"> ESP I 2009 Opinion at 5, 9.</w:t>
      </w:r>
    </w:p>
  </w:footnote>
  <w:footnote w:id="17">
    <w:p w:rsidR="0050551B" w:rsidRPr="00C25749" w14:paraId="4307A31F" w14:textId="77777777">
      <w:pPr>
        <w:pStyle w:val="FootnoteText"/>
        <w:spacing w:after="120"/>
      </w:pPr>
      <w:r w:rsidRPr="00C25749">
        <w:rPr>
          <w:rStyle w:val="FootnoteReference"/>
        </w:rPr>
        <w:footnoteRef/>
      </w:r>
      <w:r w:rsidRPr="00C25749">
        <w:t xml:space="preserve"> Rebuttal Testimony of Kathryn Storm at 1 (February 2, 2022) (“Storm Rebuttal”).</w:t>
      </w:r>
    </w:p>
  </w:footnote>
  <w:footnote w:id="18">
    <w:p w:rsidR="0050551B" w:rsidRPr="00C25749" w14:paraId="1709B6B4" w14:textId="77777777">
      <w:pPr>
        <w:pStyle w:val="FootnoteText"/>
        <w:spacing w:after="120"/>
      </w:pPr>
      <w:r w:rsidRPr="00C25749">
        <w:rPr>
          <w:rStyle w:val="FootnoteReference"/>
        </w:rPr>
        <w:footnoteRef/>
      </w:r>
      <w:r w:rsidRPr="00C25749">
        <w:t xml:space="preserve"> Storm Rebuttal at 3.</w:t>
      </w:r>
    </w:p>
  </w:footnote>
  <w:footnote w:id="19">
    <w:p w:rsidR="0050551B" w:rsidRPr="00C25749" w14:paraId="6AB2D415" w14:textId="77777777">
      <w:pPr>
        <w:pStyle w:val="FootnoteText"/>
        <w:spacing w:after="120"/>
      </w:pPr>
      <w:r w:rsidRPr="00C25749">
        <w:rPr>
          <w:rStyle w:val="FootnoteReference"/>
        </w:rPr>
        <w:footnoteRef/>
      </w:r>
      <w:r w:rsidRPr="00C25749">
        <w:t xml:space="preserve"> </w:t>
      </w:r>
      <w:r w:rsidRPr="00C25749">
        <w:rPr>
          <w:i/>
          <w:iCs/>
        </w:rPr>
        <w:t>Id</w:t>
      </w:r>
      <w:r w:rsidRPr="00C25749">
        <w:t>. at 4.</w:t>
      </w:r>
    </w:p>
  </w:footnote>
  <w:footnote w:id="20">
    <w:p w:rsidR="0050551B" w:rsidRPr="00C25749" w14:paraId="697F0869" w14:textId="77777777">
      <w:pPr>
        <w:pStyle w:val="FootnoteText"/>
        <w:spacing w:after="120"/>
      </w:pPr>
      <w:r w:rsidRPr="00C25749">
        <w:rPr>
          <w:rStyle w:val="FootnoteReference"/>
        </w:rPr>
        <w:footnoteRef/>
      </w:r>
      <w:r w:rsidRPr="00C25749">
        <w:t xml:space="preserve"> Tr. Vol. VII at 1489-1537 (Cross-Examination of Kathryn Storm by Mr. Finnigan) (February 7, 2022).</w:t>
      </w:r>
    </w:p>
  </w:footnote>
  <w:footnote w:id="21">
    <w:p w:rsidR="00661C84" w:rsidP="00DD17CD" w14:paraId="2A0E5C7D" w14:textId="504AE2DE">
      <w:pPr>
        <w:pStyle w:val="FootnoteText"/>
        <w:spacing w:after="120"/>
      </w:pPr>
      <w:r>
        <w:rPr>
          <w:rStyle w:val="FootnoteReference"/>
        </w:rPr>
        <w:footnoteRef/>
      </w:r>
      <w:r>
        <w:t xml:space="preserve"> </w:t>
      </w:r>
      <w:r w:rsidR="0023021D">
        <w:t xml:space="preserve">United States Census Bureau, </w:t>
      </w:r>
      <w:r w:rsidRPr="00DD17CD" w:rsidR="0023021D">
        <w:rPr>
          <w:i/>
          <w:iCs/>
        </w:rPr>
        <w:t>QuickFacts: Dayt</w:t>
      </w:r>
      <w:r w:rsidRPr="00DD17CD" w:rsidR="00DA38A8">
        <w:rPr>
          <w:i/>
          <w:iCs/>
        </w:rPr>
        <w:t>on city, Ohio</w:t>
      </w:r>
      <w:r w:rsidR="0023021D">
        <w:t>,</w:t>
      </w:r>
      <w:r w:rsidR="00DA38A8">
        <w:t xml:space="preserve"> </w:t>
      </w:r>
      <w:r w:rsidR="009B2C3F">
        <w:t xml:space="preserve">available at </w:t>
      </w:r>
      <w:r w:rsidRPr="009B2C3F" w:rsidR="009B2C3F">
        <w:t>https://www.census.gov/quickfacts/daytoncityohio</w:t>
      </w:r>
      <w:r w:rsidR="009B2C3F">
        <w:t>.</w:t>
      </w:r>
    </w:p>
  </w:footnote>
  <w:footnote w:id="22">
    <w:p w:rsidR="008A03F7" w:rsidRPr="00DD5697" w:rsidP="00DD17CD" w14:paraId="37D9B352" w14:textId="3EA257E8">
      <w:pPr>
        <w:pStyle w:val="FootnoteText"/>
        <w:spacing w:after="120"/>
      </w:pPr>
      <w:r>
        <w:rPr>
          <w:rStyle w:val="FootnoteReference"/>
        </w:rPr>
        <w:footnoteRef/>
      </w:r>
      <w:r w:rsidR="00DD17CD">
        <w:t xml:space="preserve"> </w:t>
      </w:r>
      <w:r w:rsidR="00DD5697">
        <w:t>Montgomery County</w:t>
      </w:r>
      <w:r w:rsidR="004340A3">
        <w:rPr>
          <w:i/>
          <w:iCs/>
        </w:rPr>
        <w:t>,</w:t>
      </w:r>
      <w:r w:rsidR="00DD5697">
        <w:rPr>
          <w:i/>
          <w:iCs/>
        </w:rPr>
        <w:t xml:space="preserve"> Food for Thought</w:t>
      </w:r>
      <w:r w:rsidR="00DD5697">
        <w:t xml:space="preserve">, available at </w:t>
      </w:r>
      <w:r w:rsidRPr="00E11997" w:rsidR="00E11997">
        <w:t>https://www.mcohio.org/residents/mc_food_policy/food_for_thought.php</w:t>
      </w:r>
      <w:r w:rsidR="00E1199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2C35" w14:paraId="1637BD7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2C35" w14:paraId="7D72B8A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2C35" w14:paraId="1EA438D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885C84"/>
    <w:multiLevelType w:val="hybridMultilevel"/>
    <w:tmpl w:val="3D182140"/>
    <w:lvl w:ilvl="0">
      <w:start w:val="1"/>
      <w:numFmt w:val="upperLetter"/>
      <w:lvlText w:val="%1."/>
      <w:lvlJc w:val="left"/>
      <w:pPr>
        <w:ind w:left="1080" w:hanging="360"/>
      </w:pPr>
      <w:rPr>
        <w:rFonts w:hint="default"/>
        <w:b/>
        <w:bCs/>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2A011636"/>
    <w:multiLevelType w:val="hybridMultilevel"/>
    <w:tmpl w:val="8FDC74E8"/>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28C2E80"/>
    <w:multiLevelType w:val="hybridMultilevel"/>
    <w:tmpl w:val="24483DC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89"/>
    <w:rsid w:val="00006BFC"/>
    <w:rsid w:val="00016376"/>
    <w:rsid w:val="00017EBB"/>
    <w:rsid w:val="00036BC4"/>
    <w:rsid w:val="000379C4"/>
    <w:rsid w:val="00040DD4"/>
    <w:rsid w:val="00044E98"/>
    <w:rsid w:val="00045743"/>
    <w:rsid w:val="00047CA1"/>
    <w:rsid w:val="00054F84"/>
    <w:rsid w:val="00066BA3"/>
    <w:rsid w:val="00071323"/>
    <w:rsid w:val="00094BAF"/>
    <w:rsid w:val="000A49B9"/>
    <w:rsid w:val="000C1FBA"/>
    <w:rsid w:val="000C7BB0"/>
    <w:rsid w:val="000D08E9"/>
    <w:rsid w:val="000D36E2"/>
    <w:rsid w:val="000D3CD1"/>
    <w:rsid w:val="000D6AB6"/>
    <w:rsid w:val="000E27E7"/>
    <w:rsid w:val="000E3672"/>
    <w:rsid w:val="000E3B64"/>
    <w:rsid w:val="000F7898"/>
    <w:rsid w:val="00101539"/>
    <w:rsid w:val="00110339"/>
    <w:rsid w:val="001110ED"/>
    <w:rsid w:val="00125A8D"/>
    <w:rsid w:val="00134331"/>
    <w:rsid w:val="0015396D"/>
    <w:rsid w:val="00156752"/>
    <w:rsid w:val="001573DE"/>
    <w:rsid w:val="00160216"/>
    <w:rsid w:val="00171BD2"/>
    <w:rsid w:val="00174949"/>
    <w:rsid w:val="001754A4"/>
    <w:rsid w:val="0018641A"/>
    <w:rsid w:val="00191FAB"/>
    <w:rsid w:val="00193B24"/>
    <w:rsid w:val="001A0ABD"/>
    <w:rsid w:val="001A12A3"/>
    <w:rsid w:val="001A31A0"/>
    <w:rsid w:val="001A433E"/>
    <w:rsid w:val="001A5A16"/>
    <w:rsid w:val="001D0BB5"/>
    <w:rsid w:val="001D139C"/>
    <w:rsid w:val="001D21A3"/>
    <w:rsid w:val="0020101E"/>
    <w:rsid w:val="00203A86"/>
    <w:rsid w:val="002044E4"/>
    <w:rsid w:val="00205004"/>
    <w:rsid w:val="00207FBF"/>
    <w:rsid w:val="0023021D"/>
    <w:rsid w:val="00231A99"/>
    <w:rsid w:val="00236DF2"/>
    <w:rsid w:val="00244F7F"/>
    <w:rsid w:val="002506FC"/>
    <w:rsid w:val="00255110"/>
    <w:rsid w:val="00257A8C"/>
    <w:rsid w:val="00271C4D"/>
    <w:rsid w:val="00274913"/>
    <w:rsid w:val="00283E3B"/>
    <w:rsid w:val="00287A9A"/>
    <w:rsid w:val="0029272D"/>
    <w:rsid w:val="00295FAB"/>
    <w:rsid w:val="002A01C3"/>
    <w:rsid w:val="002A3097"/>
    <w:rsid w:val="002B285B"/>
    <w:rsid w:val="002B30EC"/>
    <w:rsid w:val="002C709C"/>
    <w:rsid w:val="002D0A6B"/>
    <w:rsid w:val="002D5A8E"/>
    <w:rsid w:val="002E196C"/>
    <w:rsid w:val="002F2A16"/>
    <w:rsid w:val="003109E8"/>
    <w:rsid w:val="003120B8"/>
    <w:rsid w:val="00313300"/>
    <w:rsid w:val="00313752"/>
    <w:rsid w:val="00322FFA"/>
    <w:rsid w:val="00331517"/>
    <w:rsid w:val="00340844"/>
    <w:rsid w:val="00342D8A"/>
    <w:rsid w:val="00352C35"/>
    <w:rsid w:val="00356244"/>
    <w:rsid w:val="00356BDB"/>
    <w:rsid w:val="003608B5"/>
    <w:rsid w:val="00365D32"/>
    <w:rsid w:val="00366C8A"/>
    <w:rsid w:val="0037292A"/>
    <w:rsid w:val="00373E59"/>
    <w:rsid w:val="0037770A"/>
    <w:rsid w:val="00390512"/>
    <w:rsid w:val="00392563"/>
    <w:rsid w:val="00396698"/>
    <w:rsid w:val="003A47BB"/>
    <w:rsid w:val="003A6F63"/>
    <w:rsid w:val="003A6FC2"/>
    <w:rsid w:val="003B228D"/>
    <w:rsid w:val="003B4AD1"/>
    <w:rsid w:val="003C5DF2"/>
    <w:rsid w:val="003D4F9A"/>
    <w:rsid w:val="003D6F50"/>
    <w:rsid w:val="003D74DE"/>
    <w:rsid w:val="003F6E0D"/>
    <w:rsid w:val="004005C1"/>
    <w:rsid w:val="004168EB"/>
    <w:rsid w:val="00421AD3"/>
    <w:rsid w:val="00423400"/>
    <w:rsid w:val="004249BD"/>
    <w:rsid w:val="004312C3"/>
    <w:rsid w:val="004340A3"/>
    <w:rsid w:val="00435025"/>
    <w:rsid w:val="00440F67"/>
    <w:rsid w:val="004464FA"/>
    <w:rsid w:val="00451CBA"/>
    <w:rsid w:val="00457DC4"/>
    <w:rsid w:val="00462B49"/>
    <w:rsid w:val="00462C79"/>
    <w:rsid w:val="00481885"/>
    <w:rsid w:val="004A65BB"/>
    <w:rsid w:val="004B1024"/>
    <w:rsid w:val="004B1655"/>
    <w:rsid w:val="004C5D4F"/>
    <w:rsid w:val="004D12E1"/>
    <w:rsid w:val="004D67F0"/>
    <w:rsid w:val="004F42ED"/>
    <w:rsid w:val="004F4DBC"/>
    <w:rsid w:val="004F6975"/>
    <w:rsid w:val="0050278A"/>
    <w:rsid w:val="00504851"/>
    <w:rsid w:val="0050551B"/>
    <w:rsid w:val="00507C61"/>
    <w:rsid w:val="00511BE8"/>
    <w:rsid w:val="00543A92"/>
    <w:rsid w:val="005456B3"/>
    <w:rsid w:val="00570647"/>
    <w:rsid w:val="00572E40"/>
    <w:rsid w:val="005740C4"/>
    <w:rsid w:val="00577F10"/>
    <w:rsid w:val="00581914"/>
    <w:rsid w:val="00585F6E"/>
    <w:rsid w:val="005925E9"/>
    <w:rsid w:val="00594939"/>
    <w:rsid w:val="005C5D27"/>
    <w:rsid w:val="005D0BF7"/>
    <w:rsid w:val="005D71D5"/>
    <w:rsid w:val="005E0304"/>
    <w:rsid w:val="005E04C4"/>
    <w:rsid w:val="005E7646"/>
    <w:rsid w:val="005F4E61"/>
    <w:rsid w:val="006039BD"/>
    <w:rsid w:val="00613F45"/>
    <w:rsid w:val="006160F8"/>
    <w:rsid w:val="006240A0"/>
    <w:rsid w:val="006276A8"/>
    <w:rsid w:val="006314CB"/>
    <w:rsid w:val="00633EB1"/>
    <w:rsid w:val="00652BD5"/>
    <w:rsid w:val="00661C84"/>
    <w:rsid w:val="00671266"/>
    <w:rsid w:val="00672278"/>
    <w:rsid w:val="00682C2E"/>
    <w:rsid w:val="00686CF1"/>
    <w:rsid w:val="0069464A"/>
    <w:rsid w:val="006A593F"/>
    <w:rsid w:val="006B5909"/>
    <w:rsid w:val="006B6079"/>
    <w:rsid w:val="006B7642"/>
    <w:rsid w:val="006C622C"/>
    <w:rsid w:val="006C7E06"/>
    <w:rsid w:val="006D3872"/>
    <w:rsid w:val="006E11B8"/>
    <w:rsid w:val="007238FC"/>
    <w:rsid w:val="00742031"/>
    <w:rsid w:val="00763165"/>
    <w:rsid w:val="0078206E"/>
    <w:rsid w:val="00787FBD"/>
    <w:rsid w:val="00795A5B"/>
    <w:rsid w:val="007A6AC4"/>
    <w:rsid w:val="007B7666"/>
    <w:rsid w:val="007C5AAB"/>
    <w:rsid w:val="007C7C41"/>
    <w:rsid w:val="007D18A3"/>
    <w:rsid w:val="007E064B"/>
    <w:rsid w:val="007E4264"/>
    <w:rsid w:val="007E47A7"/>
    <w:rsid w:val="007F0825"/>
    <w:rsid w:val="008022F7"/>
    <w:rsid w:val="00822990"/>
    <w:rsid w:val="00832A19"/>
    <w:rsid w:val="008344B1"/>
    <w:rsid w:val="0083698F"/>
    <w:rsid w:val="00840304"/>
    <w:rsid w:val="00840AB2"/>
    <w:rsid w:val="00843319"/>
    <w:rsid w:val="00843DF6"/>
    <w:rsid w:val="008468CA"/>
    <w:rsid w:val="00851F69"/>
    <w:rsid w:val="00865EB1"/>
    <w:rsid w:val="00867894"/>
    <w:rsid w:val="00871474"/>
    <w:rsid w:val="00874B1D"/>
    <w:rsid w:val="008764AA"/>
    <w:rsid w:val="00876EEC"/>
    <w:rsid w:val="008777BF"/>
    <w:rsid w:val="00883779"/>
    <w:rsid w:val="00886772"/>
    <w:rsid w:val="00890A14"/>
    <w:rsid w:val="00893E38"/>
    <w:rsid w:val="008A03F7"/>
    <w:rsid w:val="008B01EB"/>
    <w:rsid w:val="008B2D1D"/>
    <w:rsid w:val="008B6CAA"/>
    <w:rsid w:val="008C0CAD"/>
    <w:rsid w:val="008C3534"/>
    <w:rsid w:val="008E56D1"/>
    <w:rsid w:val="008F202B"/>
    <w:rsid w:val="008F7091"/>
    <w:rsid w:val="0090144A"/>
    <w:rsid w:val="00905B35"/>
    <w:rsid w:val="00913EA2"/>
    <w:rsid w:val="009144BE"/>
    <w:rsid w:val="00922C83"/>
    <w:rsid w:val="00927BB8"/>
    <w:rsid w:val="00951CB6"/>
    <w:rsid w:val="00956610"/>
    <w:rsid w:val="00971234"/>
    <w:rsid w:val="0097527B"/>
    <w:rsid w:val="00975B49"/>
    <w:rsid w:val="0098109B"/>
    <w:rsid w:val="00987669"/>
    <w:rsid w:val="009923F6"/>
    <w:rsid w:val="009A283A"/>
    <w:rsid w:val="009B2C3F"/>
    <w:rsid w:val="009B3504"/>
    <w:rsid w:val="009B6280"/>
    <w:rsid w:val="009F3D82"/>
    <w:rsid w:val="009F42C9"/>
    <w:rsid w:val="009F65D3"/>
    <w:rsid w:val="00A07342"/>
    <w:rsid w:val="00A16E42"/>
    <w:rsid w:val="00A23633"/>
    <w:rsid w:val="00A37D5B"/>
    <w:rsid w:val="00A41829"/>
    <w:rsid w:val="00A56089"/>
    <w:rsid w:val="00A73487"/>
    <w:rsid w:val="00A751EC"/>
    <w:rsid w:val="00A87BAD"/>
    <w:rsid w:val="00AA3EC9"/>
    <w:rsid w:val="00AA55DE"/>
    <w:rsid w:val="00AD02FF"/>
    <w:rsid w:val="00AD146D"/>
    <w:rsid w:val="00AD2E36"/>
    <w:rsid w:val="00AD574B"/>
    <w:rsid w:val="00AE0B7F"/>
    <w:rsid w:val="00AE5988"/>
    <w:rsid w:val="00AF5FC0"/>
    <w:rsid w:val="00B11795"/>
    <w:rsid w:val="00B17F64"/>
    <w:rsid w:val="00B21B15"/>
    <w:rsid w:val="00B224FA"/>
    <w:rsid w:val="00B3499C"/>
    <w:rsid w:val="00B413DF"/>
    <w:rsid w:val="00B43FD8"/>
    <w:rsid w:val="00B50AB9"/>
    <w:rsid w:val="00B67F75"/>
    <w:rsid w:val="00B80432"/>
    <w:rsid w:val="00B928D0"/>
    <w:rsid w:val="00BA0845"/>
    <w:rsid w:val="00BA59C2"/>
    <w:rsid w:val="00BB5D46"/>
    <w:rsid w:val="00BC2790"/>
    <w:rsid w:val="00BD57B6"/>
    <w:rsid w:val="00BE3F6F"/>
    <w:rsid w:val="00BF506A"/>
    <w:rsid w:val="00BF6747"/>
    <w:rsid w:val="00C0190E"/>
    <w:rsid w:val="00C020B4"/>
    <w:rsid w:val="00C0368A"/>
    <w:rsid w:val="00C06B16"/>
    <w:rsid w:val="00C20CFD"/>
    <w:rsid w:val="00C214B5"/>
    <w:rsid w:val="00C23A71"/>
    <w:rsid w:val="00C25749"/>
    <w:rsid w:val="00C32205"/>
    <w:rsid w:val="00C34B49"/>
    <w:rsid w:val="00C471F6"/>
    <w:rsid w:val="00C55E60"/>
    <w:rsid w:val="00C6526B"/>
    <w:rsid w:val="00C70462"/>
    <w:rsid w:val="00C77272"/>
    <w:rsid w:val="00C90489"/>
    <w:rsid w:val="00CA0DBE"/>
    <w:rsid w:val="00CA58D4"/>
    <w:rsid w:val="00CA7B4C"/>
    <w:rsid w:val="00CB2A4F"/>
    <w:rsid w:val="00CB64C3"/>
    <w:rsid w:val="00CB70A8"/>
    <w:rsid w:val="00CB7FEA"/>
    <w:rsid w:val="00CC18F1"/>
    <w:rsid w:val="00CF0172"/>
    <w:rsid w:val="00CF4DB4"/>
    <w:rsid w:val="00D00639"/>
    <w:rsid w:val="00D13EAB"/>
    <w:rsid w:val="00D23AAB"/>
    <w:rsid w:val="00D2640C"/>
    <w:rsid w:val="00D434B4"/>
    <w:rsid w:val="00D4528F"/>
    <w:rsid w:val="00D478DD"/>
    <w:rsid w:val="00D547BD"/>
    <w:rsid w:val="00D62CB4"/>
    <w:rsid w:val="00D64E17"/>
    <w:rsid w:val="00D679F5"/>
    <w:rsid w:val="00D67BB4"/>
    <w:rsid w:val="00D71B97"/>
    <w:rsid w:val="00D72FE0"/>
    <w:rsid w:val="00D80950"/>
    <w:rsid w:val="00D85FE8"/>
    <w:rsid w:val="00D90AEB"/>
    <w:rsid w:val="00DA0A73"/>
    <w:rsid w:val="00DA1D6C"/>
    <w:rsid w:val="00DA38A8"/>
    <w:rsid w:val="00DB46B3"/>
    <w:rsid w:val="00DB693F"/>
    <w:rsid w:val="00DC0FB5"/>
    <w:rsid w:val="00DD0D30"/>
    <w:rsid w:val="00DD13E4"/>
    <w:rsid w:val="00DD17CD"/>
    <w:rsid w:val="00DD5697"/>
    <w:rsid w:val="00DE4D9C"/>
    <w:rsid w:val="00DF2F3E"/>
    <w:rsid w:val="00DF567A"/>
    <w:rsid w:val="00E021F2"/>
    <w:rsid w:val="00E07878"/>
    <w:rsid w:val="00E11997"/>
    <w:rsid w:val="00E11F44"/>
    <w:rsid w:val="00E139B9"/>
    <w:rsid w:val="00E159A4"/>
    <w:rsid w:val="00E16E53"/>
    <w:rsid w:val="00E23DF4"/>
    <w:rsid w:val="00E303D3"/>
    <w:rsid w:val="00E46387"/>
    <w:rsid w:val="00E50928"/>
    <w:rsid w:val="00E57284"/>
    <w:rsid w:val="00E703DD"/>
    <w:rsid w:val="00E726CF"/>
    <w:rsid w:val="00E8526A"/>
    <w:rsid w:val="00E9219F"/>
    <w:rsid w:val="00EA3BBC"/>
    <w:rsid w:val="00EA40F5"/>
    <w:rsid w:val="00EC1306"/>
    <w:rsid w:val="00EC3488"/>
    <w:rsid w:val="00EC433C"/>
    <w:rsid w:val="00EC4666"/>
    <w:rsid w:val="00EC479D"/>
    <w:rsid w:val="00EC6F19"/>
    <w:rsid w:val="00EF0012"/>
    <w:rsid w:val="00EF10BC"/>
    <w:rsid w:val="00F00E08"/>
    <w:rsid w:val="00F028C0"/>
    <w:rsid w:val="00F03518"/>
    <w:rsid w:val="00F12F40"/>
    <w:rsid w:val="00F14F42"/>
    <w:rsid w:val="00F36E94"/>
    <w:rsid w:val="00F63D85"/>
    <w:rsid w:val="00F70E7C"/>
    <w:rsid w:val="00F7123A"/>
    <w:rsid w:val="00F76457"/>
    <w:rsid w:val="00FA0540"/>
    <w:rsid w:val="00FA1879"/>
    <w:rsid w:val="00FB4BB9"/>
    <w:rsid w:val="00FC1550"/>
    <w:rsid w:val="00FC2527"/>
    <w:rsid w:val="00FE1591"/>
    <w:rsid w:val="00FE52FE"/>
    <w:rsid w:val="00FF7C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22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unhideWhenUsed/>
    <w:qFormat/>
    <w:rsid w:val="00C90489"/>
    <w:pPr>
      <w:spacing w:after="0" w:line="240" w:lineRule="auto"/>
    </w:pPr>
    <w:rPr>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rsid w:val="00C90489"/>
    <w:rPr>
      <w:rFonts w:ascii="Times New Roman" w:hAnsi="Times New Roman"/>
      <w:sz w:val="20"/>
      <w:szCs w:val="20"/>
    </w:rPr>
  </w:style>
  <w:style w:type="character" w:styleId="FootnoteReference">
    <w:name w:val="footnote reference"/>
    <w:aliases w:val="(NECG) Footnote Reference,.,Appel note de bas de p,Styl,Style 11,Style 12,Style 124,Style 13,Style 15,Style 17,Style 18,Style 19,Style 20,Style 21,Style 28,Style 3,Style 4,Style 42,Style 7,Style 8,Style 9,fnr,fr,fr1,fr2,fr3,o,o1,o2,o3"/>
    <w:basedOn w:val="DefaultParagraphFont"/>
    <w:uiPriority w:val="99"/>
    <w:unhideWhenUsed/>
    <w:qFormat/>
    <w:rsid w:val="00C90489"/>
    <w:rPr>
      <w:vertAlign w:val="superscript"/>
    </w:rPr>
  </w:style>
  <w:style w:type="table" w:styleId="TableGrid">
    <w:name w:val="Table Grid"/>
    <w:basedOn w:val="TableNormal"/>
    <w:uiPriority w:val="39"/>
    <w:rsid w:val="00283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7C06"/>
    <w:rPr>
      <w:color w:val="0563C1" w:themeColor="hyperlink"/>
      <w:u w:val="single"/>
    </w:rPr>
  </w:style>
  <w:style w:type="character" w:customStyle="1" w:styleId="UnresolvedMention1">
    <w:name w:val="Unresolved Mention1"/>
    <w:basedOn w:val="DefaultParagraphFont"/>
    <w:uiPriority w:val="99"/>
    <w:semiHidden/>
    <w:unhideWhenUsed/>
    <w:rsid w:val="00FF7C06"/>
    <w:rPr>
      <w:color w:val="605E5C"/>
      <w:shd w:val="clear" w:color="auto" w:fill="E1DFDD"/>
    </w:rPr>
  </w:style>
  <w:style w:type="character" w:styleId="CommentReference">
    <w:name w:val="annotation reference"/>
    <w:basedOn w:val="DefaultParagraphFont"/>
    <w:uiPriority w:val="99"/>
    <w:semiHidden/>
    <w:unhideWhenUsed/>
    <w:rsid w:val="00A23633"/>
    <w:rPr>
      <w:sz w:val="16"/>
      <w:szCs w:val="16"/>
    </w:rPr>
  </w:style>
  <w:style w:type="paragraph" w:styleId="CommentText">
    <w:name w:val="annotation text"/>
    <w:basedOn w:val="Normal"/>
    <w:link w:val="CommentTextChar"/>
    <w:semiHidden/>
    <w:unhideWhenUsed/>
    <w:rsid w:val="00A23633"/>
    <w:pPr>
      <w:spacing w:line="240" w:lineRule="auto"/>
    </w:pPr>
    <w:rPr>
      <w:sz w:val="20"/>
      <w:szCs w:val="20"/>
    </w:rPr>
  </w:style>
  <w:style w:type="character" w:customStyle="1" w:styleId="CommentTextChar">
    <w:name w:val="Comment Text Char"/>
    <w:basedOn w:val="DefaultParagraphFont"/>
    <w:link w:val="CommentText"/>
    <w:semiHidden/>
    <w:rsid w:val="00A23633"/>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A23633"/>
    <w:rPr>
      <w:b/>
      <w:bCs/>
    </w:rPr>
  </w:style>
  <w:style w:type="character" w:customStyle="1" w:styleId="CommentSubjectChar">
    <w:name w:val="Comment Subject Char"/>
    <w:basedOn w:val="CommentTextChar"/>
    <w:link w:val="CommentSubject"/>
    <w:semiHidden/>
    <w:rsid w:val="00A23633"/>
    <w:rPr>
      <w:rFonts w:ascii="Times New Roman" w:hAnsi="Times New Roman"/>
      <w:b/>
      <w:bCs/>
      <w:sz w:val="20"/>
      <w:szCs w:val="20"/>
    </w:rPr>
  </w:style>
  <w:style w:type="paragraph" w:styleId="ListParagraph">
    <w:name w:val="List Paragraph"/>
    <w:basedOn w:val="Normal"/>
    <w:uiPriority w:val="34"/>
    <w:qFormat/>
    <w:rsid w:val="00D67BB4"/>
    <w:pPr>
      <w:ind w:left="720"/>
      <w:contextualSpacing/>
    </w:pPr>
  </w:style>
  <w:style w:type="paragraph" w:styleId="Header">
    <w:name w:val="header"/>
    <w:basedOn w:val="Normal"/>
    <w:link w:val="HeaderChar"/>
    <w:uiPriority w:val="99"/>
    <w:unhideWhenUsed/>
    <w:rsid w:val="00585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F6E"/>
    <w:rPr>
      <w:rFonts w:ascii="Times New Roman" w:hAnsi="Times New Roman"/>
      <w:sz w:val="24"/>
    </w:rPr>
  </w:style>
  <w:style w:type="paragraph" w:styleId="Footer">
    <w:name w:val="footer"/>
    <w:basedOn w:val="Normal"/>
    <w:link w:val="FooterChar"/>
    <w:uiPriority w:val="99"/>
    <w:unhideWhenUsed/>
    <w:rsid w:val="00585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F6E"/>
    <w:rPr>
      <w:rFonts w:ascii="Times New Roman" w:hAnsi="Times New Roman"/>
      <w:sz w:val="24"/>
    </w:rPr>
  </w:style>
  <w:style w:type="paragraph" w:styleId="BodyText">
    <w:name w:val="Body Text"/>
    <w:basedOn w:val="Normal"/>
    <w:link w:val="BodyTextChar"/>
    <w:rsid w:val="00313752"/>
    <w:pPr>
      <w:spacing w:after="0" w:line="240" w:lineRule="auto"/>
      <w:jc w:val="both"/>
    </w:pPr>
    <w:rPr>
      <w:rFonts w:eastAsia="Times New Roman" w:cs="Times New Roman"/>
      <w:szCs w:val="20"/>
    </w:rPr>
  </w:style>
  <w:style w:type="character" w:customStyle="1" w:styleId="BodyTextChar">
    <w:name w:val="Body Text Char"/>
    <w:basedOn w:val="DefaultParagraphFont"/>
    <w:link w:val="BodyText"/>
    <w:rsid w:val="0031375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464FA"/>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4464F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22F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EF438-75B8-455F-A3CC-CA33E883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2022-03-21T20:53:19Z</dcterms:created>
  <dcterms:modified xsi:type="dcterms:W3CDTF">2022-03-21T20:53:19Z</dcterms:modified>
</cp:coreProperties>
</file>