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A1" w:rsidRDefault="00F014A1">
      <w:pPr>
        <w:rPr>
          <w:b/>
          <w:sz w:val="24"/>
          <w:u w:val="single"/>
        </w:rPr>
      </w:pPr>
    </w:p>
    <w:p w:rsidR="00B54B55" w:rsidRPr="00B54B55" w:rsidRDefault="00B54B55" w:rsidP="00B54B55">
      <w:pPr>
        <w:widowControl w:val="0"/>
        <w:jc w:val="center"/>
        <w:rPr>
          <w:rFonts w:eastAsia="Times New Roman"/>
          <w:b/>
          <w:sz w:val="24"/>
        </w:rPr>
      </w:pPr>
      <w:r w:rsidRPr="00B54B55">
        <w:rPr>
          <w:rFonts w:eastAsia="Times New Roman"/>
          <w:b/>
          <w:sz w:val="24"/>
        </w:rPr>
        <w:t>BEFORE</w:t>
      </w:r>
    </w:p>
    <w:p w:rsidR="00B54B55" w:rsidRPr="00B54B55" w:rsidRDefault="00B54B55" w:rsidP="00B54B55">
      <w:pPr>
        <w:widowControl w:val="0"/>
        <w:spacing w:after="200" w:line="276" w:lineRule="auto"/>
        <w:jc w:val="center"/>
        <w:rPr>
          <w:rFonts w:eastAsia="Calibri"/>
          <w:b/>
          <w:sz w:val="24"/>
        </w:rPr>
      </w:pPr>
      <w:r w:rsidRPr="00B54B55">
        <w:rPr>
          <w:rFonts w:eastAsia="Calibri"/>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54B55" w:rsidRPr="00B54B55" w:rsidTr="003558B0">
        <w:trPr>
          <w:trHeight w:val="873"/>
          <w:jc w:val="center"/>
        </w:trPr>
        <w:tc>
          <w:tcPr>
            <w:tcW w:w="4739" w:type="dxa"/>
          </w:tcPr>
          <w:p w:rsidR="00B54B55" w:rsidRPr="00B54B55" w:rsidRDefault="00B54B55" w:rsidP="00FF2284">
            <w:pPr>
              <w:autoSpaceDE w:val="0"/>
              <w:autoSpaceDN w:val="0"/>
              <w:adjustRightInd w:val="0"/>
              <w:rPr>
                <w:rFonts w:eastAsia="Calibri"/>
                <w:sz w:val="24"/>
              </w:rPr>
            </w:pPr>
            <w:r w:rsidRPr="00B54B55">
              <w:rPr>
                <w:rFonts w:eastAsia="Calibri"/>
                <w:sz w:val="24"/>
              </w:rPr>
              <w:t>In the Matter of the Application of Ohio</w:t>
            </w:r>
          </w:p>
          <w:p w:rsidR="00B54B55" w:rsidRPr="00B54B55" w:rsidRDefault="00B54B55" w:rsidP="00FF2284">
            <w:pPr>
              <w:autoSpaceDE w:val="0"/>
              <w:autoSpaceDN w:val="0"/>
              <w:adjustRightInd w:val="0"/>
              <w:rPr>
                <w:rFonts w:eastAsia="Calibri"/>
                <w:sz w:val="24"/>
              </w:rPr>
            </w:pPr>
            <w:r w:rsidRPr="00B54B55">
              <w:rPr>
                <w:rFonts w:eastAsia="Calibri"/>
                <w:sz w:val="24"/>
              </w:rPr>
              <w:t>Edison Company, The Cleveland Electric</w:t>
            </w:r>
          </w:p>
          <w:p w:rsidR="00B54B55" w:rsidRPr="00B54B55" w:rsidRDefault="00B54B55" w:rsidP="00FF2284">
            <w:pPr>
              <w:autoSpaceDE w:val="0"/>
              <w:autoSpaceDN w:val="0"/>
              <w:adjustRightInd w:val="0"/>
              <w:rPr>
                <w:rFonts w:eastAsia="Calibri"/>
                <w:sz w:val="24"/>
              </w:rPr>
            </w:pPr>
            <w:r w:rsidRPr="00B54B55">
              <w:rPr>
                <w:rFonts w:eastAsia="Calibri"/>
                <w:sz w:val="24"/>
              </w:rPr>
              <w:t>Illuminating Company and The Toledo</w:t>
            </w:r>
          </w:p>
          <w:p w:rsidR="00B54B55" w:rsidRPr="00B54B55" w:rsidRDefault="00B54B55" w:rsidP="00FF2284">
            <w:pPr>
              <w:autoSpaceDE w:val="0"/>
              <w:autoSpaceDN w:val="0"/>
              <w:adjustRightInd w:val="0"/>
              <w:rPr>
                <w:rFonts w:eastAsia="Calibri"/>
                <w:sz w:val="24"/>
              </w:rPr>
            </w:pPr>
            <w:r w:rsidRPr="00B54B55">
              <w:rPr>
                <w:rFonts w:eastAsia="Calibri"/>
                <w:sz w:val="24"/>
              </w:rPr>
              <w:t>Edison Company for Authority to Provide</w:t>
            </w:r>
          </w:p>
          <w:p w:rsidR="00B54B55" w:rsidRPr="00B54B55" w:rsidRDefault="00B54B55" w:rsidP="00FF2284">
            <w:pPr>
              <w:autoSpaceDE w:val="0"/>
              <w:autoSpaceDN w:val="0"/>
              <w:adjustRightInd w:val="0"/>
              <w:rPr>
                <w:rFonts w:eastAsia="Calibri"/>
                <w:sz w:val="24"/>
              </w:rPr>
            </w:pPr>
            <w:r w:rsidRPr="00B54B55">
              <w:rPr>
                <w:rFonts w:eastAsia="Calibri"/>
                <w:sz w:val="24"/>
              </w:rPr>
              <w:t xml:space="preserve">for a Standard Service Offer Pursuant to </w:t>
            </w:r>
            <w:bookmarkStart w:id="0" w:name="_GoBack"/>
            <w:bookmarkEnd w:id="0"/>
            <w:r w:rsidRPr="00B54B55">
              <w:rPr>
                <w:rFonts w:eastAsia="Calibri"/>
                <w:sz w:val="24"/>
              </w:rPr>
              <w:t>R.C. 4928.143 in the Form of an Electric Security Plan</w:t>
            </w:r>
          </w:p>
        </w:tc>
        <w:tc>
          <w:tcPr>
            <w:tcW w:w="630" w:type="dxa"/>
          </w:tcPr>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left"/>
              <w:rPr>
                <w:rFonts w:eastAsia="Calibri"/>
                <w:sz w:val="24"/>
              </w:rPr>
            </w:pPr>
          </w:p>
        </w:tc>
        <w:tc>
          <w:tcPr>
            <w:tcW w:w="3928" w:type="dxa"/>
          </w:tcPr>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r w:rsidRPr="00B54B55">
              <w:rPr>
                <w:rFonts w:eastAsia="Calibri"/>
                <w:sz w:val="24"/>
              </w:rPr>
              <w:t>Case No. 14-1297-EL-SSO</w:t>
            </w: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tc>
      </w:tr>
    </w:tbl>
    <w:p w:rsidR="00B54B55" w:rsidRPr="00B54B55" w:rsidRDefault="00B54B55" w:rsidP="00963246">
      <w:pPr>
        <w:spacing w:after="200" w:line="276" w:lineRule="auto"/>
        <w:jc w:val="center"/>
        <w:rPr>
          <w:rFonts w:eastAsia="Calibri"/>
          <w:b/>
          <w:bCs/>
          <w:sz w:val="24"/>
        </w:rPr>
      </w:pPr>
      <w:r w:rsidRPr="00B54B55">
        <w:rPr>
          <w:rFonts w:eastAsia="Calibri"/>
          <w:b/>
          <w:bCs/>
          <w:sz w:val="24"/>
        </w:rPr>
        <w:t>______________________________________</w:t>
      </w:r>
    </w:p>
    <w:p w:rsidR="00B54B55" w:rsidRPr="00B54B55" w:rsidRDefault="00752B10" w:rsidP="00B54B55">
      <w:pPr>
        <w:spacing w:after="200" w:line="276" w:lineRule="auto"/>
        <w:jc w:val="center"/>
        <w:rPr>
          <w:rFonts w:eastAsia="Calibri"/>
          <w:b/>
          <w:bCs/>
          <w:sz w:val="24"/>
        </w:rPr>
      </w:pPr>
      <w:r>
        <w:rPr>
          <w:rFonts w:eastAsia="Calibri"/>
          <w:b/>
          <w:bCs/>
          <w:sz w:val="24"/>
        </w:rPr>
        <w:t>REPLY</w:t>
      </w:r>
      <w:r w:rsidR="00F135F3">
        <w:rPr>
          <w:rFonts w:eastAsia="Calibri"/>
          <w:b/>
          <w:bCs/>
          <w:sz w:val="24"/>
        </w:rPr>
        <w:t xml:space="preserve"> BRIEF</w:t>
      </w:r>
      <w:r w:rsidR="00B54B55">
        <w:rPr>
          <w:rFonts w:eastAsia="Calibri"/>
          <w:b/>
          <w:bCs/>
          <w:sz w:val="24"/>
        </w:rPr>
        <w:t xml:space="preserve"> OF INTERSTATE GAS SUPPLY, INC.</w:t>
      </w:r>
    </w:p>
    <w:p w:rsidR="00B54B55" w:rsidRPr="00B54B55" w:rsidRDefault="00B54B55" w:rsidP="00B54B55">
      <w:pPr>
        <w:spacing w:after="200" w:line="276" w:lineRule="auto"/>
        <w:jc w:val="center"/>
        <w:rPr>
          <w:rFonts w:eastAsia="Calibri"/>
          <w:b/>
          <w:bCs/>
          <w:sz w:val="24"/>
        </w:rPr>
      </w:pPr>
      <w:r w:rsidRPr="00B54B55">
        <w:rPr>
          <w:rFonts w:eastAsia="Calibri"/>
          <w:b/>
          <w:bCs/>
          <w:sz w:val="24"/>
        </w:rPr>
        <w:t>______________________________________</w:t>
      </w:r>
    </w:p>
    <w:p w:rsidR="00B54B55" w:rsidRPr="00B54B55" w:rsidRDefault="00B54B55" w:rsidP="00B54B55">
      <w:pPr>
        <w:spacing w:after="200" w:line="276" w:lineRule="auto"/>
        <w:rPr>
          <w:rFonts w:eastAsia="Calibri"/>
          <w:b/>
          <w:bCs/>
          <w:sz w:val="24"/>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FA18B2" w:rsidRDefault="00FA18B2">
      <w:pPr>
        <w:rPr>
          <w:b/>
          <w:sz w:val="24"/>
          <w:u w:val="single"/>
        </w:rPr>
      </w:pPr>
    </w:p>
    <w:p w:rsidR="00FA18B2" w:rsidRDefault="00FA18B2">
      <w:pPr>
        <w:rPr>
          <w:b/>
          <w:sz w:val="24"/>
          <w:u w:val="single"/>
        </w:rPr>
      </w:pPr>
    </w:p>
    <w:p w:rsidR="00FA18B2" w:rsidRDefault="00FA18B2">
      <w:pPr>
        <w:rPr>
          <w:b/>
          <w:sz w:val="24"/>
          <w:u w:val="single"/>
        </w:rPr>
      </w:pPr>
    </w:p>
    <w:p w:rsidR="00FA18B2" w:rsidRDefault="00FA18B2">
      <w:pPr>
        <w:rPr>
          <w:b/>
          <w:sz w:val="24"/>
          <w:u w:val="single"/>
        </w:rPr>
      </w:pPr>
    </w:p>
    <w:p w:rsidR="00FA18B2" w:rsidRDefault="00FA18B2">
      <w:pPr>
        <w:rPr>
          <w:b/>
          <w:sz w:val="24"/>
          <w:u w:val="single"/>
        </w:rPr>
      </w:pPr>
    </w:p>
    <w:p w:rsidR="00B54B55" w:rsidRDefault="00B54B55">
      <w:pPr>
        <w:rPr>
          <w:b/>
          <w:sz w:val="24"/>
          <w:u w:val="single"/>
        </w:rPr>
      </w:pPr>
    </w:p>
    <w:p w:rsidR="00FA18B2" w:rsidRPr="007B3399" w:rsidRDefault="00FA18B2" w:rsidP="00FA18B2">
      <w:pPr>
        <w:ind w:left="5040"/>
        <w:rPr>
          <w:sz w:val="24"/>
        </w:rPr>
      </w:pPr>
      <w:r>
        <w:rPr>
          <w:rFonts w:eastAsia="Arial"/>
          <w:sz w:val="24"/>
        </w:rPr>
        <w:t xml:space="preserve">Joseph Oliker </w:t>
      </w:r>
      <w:r>
        <w:rPr>
          <w:sz w:val="24"/>
        </w:rPr>
        <w:t>(0086088)</w:t>
      </w:r>
    </w:p>
    <w:p w:rsidR="00FA18B2" w:rsidRDefault="00FA18B2" w:rsidP="00FA18B2">
      <w:pPr>
        <w:ind w:left="5040"/>
        <w:rPr>
          <w:rFonts w:eastAsia="Calibri"/>
          <w:sz w:val="24"/>
          <w:u w:val="single"/>
        </w:rPr>
      </w:pPr>
      <w:r>
        <w:rPr>
          <w:rFonts w:eastAsia="Arial"/>
          <w:sz w:val="24"/>
        </w:rPr>
        <w:t xml:space="preserve">Counsel of Record </w:t>
      </w:r>
    </w:p>
    <w:p w:rsidR="00FA18B2" w:rsidRDefault="00FA18B2" w:rsidP="00FA18B2">
      <w:pPr>
        <w:ind w:left="5040"/>
        <w:rPr>
          <w:sz w:val="24"/>
        </w:rPr>
      </w:pPr>
      <w:r>
        <w:rPr>
          <w:sz w:val="24"/>
        </w:rPr>
        <w:t>Email:  joliker@igsenergy.com</w:t>
      </w:r>
    </w:p>
    <w:p w:rsidR="00FA18B2" w:rsidRDefault="00FA18B2" w:rsidP="00FA18B2">
      <w:pPr>
        <w:ind w:left="5040"/>
        <w:rPr>
          <w:sz w:val="24"/>
        </w:rPr>
      </w:pPr>
      <w:r>
        <w:rPr>
          <w:sz w:val="24"/>
        </w:rPr>
        <w:t>IGS Energy</w:t>
      </w:r>
    </w:p>
    <w:p w:rsidR="00FA18B2" w:rsidRDefault="00FA18B2" w:rsidP="00FA18B2">
      <w:pPr>
        <w:ind w:left="5040"/>
        <w:rPr>
          <w:sz w:val="24"/>
        </w:rPr>
      </w:pPr>
      <w:r>
        <w:rPr>
          <w:sz w:val="24"/>
        </w:rPr>
        <w:t>6100 Emerald Parkway</w:t>
      </w:r>
    </w:p>
    <w:p w:rsidR="00FA18B2" w:rsidRDefault="00FA18B2" w:rsidP="00FA18B2">
      <w:pPr>
        <w:ind w:left="5040"/>
        <w:rPr>
          <w:sz w:val="24"/>
        </w:rPr>
      </w:pPr>
      <w:r>
        <w:rPr>
          <w:sz w:val="24"/>
        </w:rPr>
        <w:t>Dublin, Ohio 43016</w:t>
      </w:r>
    </w:p>
    <w:p w:rsidR="00FA18B2" w:rsidRDefault="00FA18B2" w:rsidP="00FA18B2">
      <w:pPr>
        <w:ind w:left="5040"/>
        <w:rPr>
          <w:sz w:val="24"/>
        </w:rPr>
      </w:pPr>
      <w:r>
        <w:rPr>
          <w:sz w:val="24"/>
        </w:rPr>
        <w:t>Telephone:</w:t>
      </w:r>
      <w:r>
        <w:rPr>
          <w:sz w:val="24"/>
        </w:rPr>
        <w:tab/>
        <w:t>(614) 659-5000</w:t>
      </w:r>
    </w:p>
    <w:p w:rsidR="00FA18B2" w:rsidRDefault="00FA18B2" w:rsidP="00FA18B2">
      <w:pPr>
        <w:ind w:left="5040"/>
        <w:rPr>
          <w:sz w:val="24"/>
        </w:rPr>
      </w:pPr>
      <w:r>
        <w:rPr>
          <w:sz w:val="24"/>
        </w:rPr>
        <w:t>Facsimile:</w:t>
      </w:r>
      <w:r>
        <w:rPr>
          <w:sz w:val="24"/>
        </w:rPr>
        <w:tab/>
        <w:t>(614) 659-5073</w:t>
      </w:r>
    </w:p>
    <w:p w:rsidR="00FA18B2" w:rsidRDefault="00FA18B2" w:rsidP="00FA18B2">
      <w:pPr>
        <w:ind w:left="5040"/>
        <w:rPr>
          <w:sz w:val="24"/>
        </w:rPr>
      </w:pPr>
    </w:p>
    <w:p w:rsidR="00B54B55" w:rsidRPr="00FA18B2" w:rsidRDefault="00FA18B2" w:rsidP="00FA18B2">
      <w:pPr>
        <w:spacing w:line="480" w:lineRule="auto"/>
        <w:ind w:left="5040"/>
        <w:rPr>
          <w:b/>
          <w:i/>
          <w:sz w:val="22"/>
          <w:szCs w:val="22"/>
        </w:rPr>
      </w:pPr>
      <w:proofErr w:type="gramStart"/>
      <w:r w:rsidRPr="00B54B55">
        <w:rPr>
          <w:b/>
          <w:i/>
          <w:sz w:val="22"/>
          <w:szCs w:val="22"/>
        </w:rPr>
        <w:t>Attorney</w:t>
      </w:r>
      <w:r w:rsidR="005B0359">
        <w:rPr>
          <w:b/>
          <w:i/>
          <w:sz w:val="22"/>
          <w:szCs w:val="22"/>
        </w:rPr>
        <w:t xml:space="preserve"> for Interstate Gas Supply, Inc.</w:t>
      </w:r>
      <w:proofErr w:type="gramEnd"/>
    </w:p>
    <w:p w:rsidR="00F40E07" w:rsidRDefault="00F40E07">
      <w:pPr>
        <w:rPr>
          <w:b/>
          <w:sz w:val="24"/>
          <w:u w:val="single"/>
        </w:rPr>
      </w:pPr>
    </w:p>
    <w:p w:rsidR="00963246" w:rsidRDefault="00963246">
      <w:pPr>
        <w:rPr>
          <w:b/>
          <w:sz w:val="24"/>
          <w:u w:val="single"/>
        </w:rPr>
      </w:pPr>
    </w:p>
    <w:p w:rsidR="00963246" w:rsidRDefault="00963246">
      <w:pPr>
        <w:rPr>
          <w:b/>
          <w:sz w:val="24"/>
          <w:u w:val="single"/>
        </w:rPr>
      </w:pPr>
    </w:p>
    <w:p w:rsidR="00602FF8" w:rsidRPr="00B54B55" w:rsidRDefault="00602FF8" w:rsidP="00602FF8">
      <w:pPr>
        <w:widowControl w:val="0"/>
        <w:jc w:val="center"/>
        <w:rPr>
          <w:rFonts w:eastAsia="Times New Roman"/>
          <w:b/>
          <w:sz w:val="24"/>
        </w:rPr>
      </w:pPr>
      <w:r w:rsidRPr="00B54B55">
        <w:rPr>
          <w:rFonts w:eastAsia="Times New Roman"/>
          <w:b/>
          <w:sz w:val="24"/>
        </w:rPr>
        <w:lastRenderedPageBreak/>
        <w:t>BEFORE</w:t>
      </w:r>
    </w:p>
    <w:p w:rsidR="00602FF8" w:rsidRPr="00B54B55" w:rsidRDefault="00602FF8" w:rsidP="00602FF8">
      <w:pPr>
        <w:widowControl w:val="0"/>
        <w:spacing w:after="200" w:line="276" w:lineRule="auto"/>
        <w:jc w:val="center"/>
        <w:rPr>
          <w:rFonts w:eastAsia="Calibri"/>
          <w:b/>
          <w:sz w:val="24"/>
        </w:rPr>
      </w:pPr>
      <w:r w:rsidRPr="00B54B55">
        <w:rPr>
          <w:rFonts w:eastAsia="Calibri"/>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602FF8" w:rsidRPr="00B54B55" w:rsidTr="009540D1">
        <w:trPr>
          <w:trHeight w:val="873"/>
          <w:jc w:val="center"/>
        </w:trPr>
        <w:tc>
          <w:tcPr>
            <w:tcW w:w="4739" w:type="dxa"/>
          </w:tcPr>
          <w:p w:rsidR="00602FF8" w:rsidRPr="00B54B55" w:rsidRDefault="00602FF8" w:rsidP="009540D1">
            <w:pPr>
              <w:autoSpaceDE w:val="0"/>
              <w:autoSpaceDN w:val="0"/>
              <w:adjustRightInd w:val="0"/>
              <w:jc w:val="left"/>
              <w:rPr>
                <w:rFonts w:eastAsia="Calibri"/>
                <w:sz w:val="24"/>
              </w:rPr>
            </w:pPr>
            <w:r w:rsidRPr="00B54B55">
              <w:rPr>
                <w:rFonts w:eastAsia="Calibri"/>
                <w:sz w:val="24"/>
              </w:rPr>
              <w:t>In the Matter of the Application of Ohio</w:t>
            </w:r>
          </w:p>
          <w:p w:rsidR="00602FF8" w:rsidRPr="00B54B55" w:rsidRDefault="00602FF8" w:rsidP="009540D1">
            <w:pPr>
              <w:autoSpaceDE w:val="0"/>
              <w:autoSpaceDN w:val="0"/>
              <w:adjustRightInd w:val="0"/>
              <w:jc w:val="left"/>
              <w:rPr>
                <w:rFonts w:eastAsia="Calibri"/>
                <w:sz w:val="24"/>
              </w:rPr>
            </w:pPr>
            <w:r w:rsidRPr="00B54B55">
              <w:rPr>
                <w:rFonts w:eastAsia="Calibri"/>
                <w:sz w:val="24"/>
              </w:rPr>
              <w:t>Edison Company, The Cleveland Electric</w:t>
            </w:r>
          </w:p>
          <w:p w:rsidR="00602FF8" w:rsidRPr="00B54B55" w:rsidRDefault="00602FF8" w:rsidP="009540D1">
            <w:pPr>
              <w:autoSpaceDE w:val="0"/>
              <w:autoSpaceDN w:val="0"/>
              <w:adjustRightInd w:val="0"/>
              <w:jc w:val="left"/>
              <w:rPr>
                <w:rFonts w:eastAsia="Calibri"/>
                <w:sz w:val="24"/>
              </w:rPr>
            </w:pPr>
            <w:r w:rsidRPr="00B54B55">
              <w:rPr>
                <w:rFonts w:eastAsia="Calibri"/>
                <w:sz w:val="24"/>
              </w:rPr>
              <w:t>Illuminating Company and The Toledo</w:t>
            </w:r>
          </w:p>
          <w:p w:rsidR="00602FF8" w:rsidRPr="00B54B55" w:rsidRDefault="00602FF8" w:rsidP="009540D1">
            <w:pPr>
              <w:autoSpaceDE w:val="0"/>
              <w:autoSpaceDN w:val="0"/>
              <w:adjustRightInd w:val="0"/>
              <w:jc w:val="left"/>
              <w:rPr>
                <w:rFonts w:eastAsia="Calibri"/>
                <w:sz w:val="24"/>
              </w:rPr>
            </w:pPr>
            <w:r w:rsidRPr="00B54B55">
              <w:rPr>
                <w:rFonts w:eastAsia="Calibri"/>
                <w:sz w:val="24"/>
              </w:rPr>
              <w:t>Edison Company for Authority to Provide</w:t>
            </w:r>
          </w:p>
          <w:p w:rsidR="00602FF8" w:rsidRPr="00B54B55" w:rsidRDefault="00602FF8" w:rsidP="009540D1">
            <w:pPr>
              <w:autoSpaceDE w:val="0"/>
              <w:autoSpaceDN w:val="0"/>
              <w:adjustRightInd w:val="0"/>
              <w:jc w:val="left"/>
              <w:rPr>
                <w:rFonts w:eastAsia="Calibri"/>
                <w:sz w:val="24"/>
              </w:rPr>
            </w:pPr>
            <w:r w:rsidRPr="00B54B55">
              <w:rPr>
                <w:rFonts w:eastAsia="Calibri"/>
                <w:sz w:val="24"/>
              </w:rPr>
              <w:t>for a Standard Service Offer Pursuant to R.C. 4928.143 in the Form of an Electric Security Plan</w:t>
            </w:r>
          </w:p>
        </w:tc>
        <w:tc>
          <w:tcPr>
            <w:tcW w:w="630" w:type="dxa"/>
          </w:tcPr>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center"/>
              <w:rPr>
                <w:rFonts w:eastAsia="Calibri"/>
                <w:sz w:val="24"/>
              </w:rPr>
            </w:pPr>
            <w:r w:rsidRPr="00B54B55">
              <w:rPr>
                <w:rFonts w:eastAsia="Calibri"/>
                <w:sz w:val="24"/>
              </w:rPr>
              <w:t>)</w:t>
            </w:r>
          </w:p>
          <w:p w:rsidR="00602FF8" w:rsidRPr="00B54B55" w:rsidRDefault="00602FF8" w:rsidP="009540D1">
            <w:pPr>
              <w:widowControl w:val="0"/>
              <w:jc w:val="left"/>
              <w:rPr>
                <w:rFonts w:eastAsia="Calibri"/>
                <w:sz w:val="24"/>
              </w:rPr>
            </w:pPr>
          </w:p>
        </w:tc>
        <w:tc>
          <w:tcPr>
            <w:tcW w:w="3928" w:type="dxa"/>
          </w:tcPr>
          <w:p w:rsidR="00602FF8" w:rsidRPr="00B54B55" w:rsidRDefault="00602FF8" w:rsidP="009540D1">
            <w:pPr>
              <w:widowControl w:val="0"/>
              <w:jc w:val="left"/>
              <w:rPr>
                <w:rFonts w:eastAsia="Calibri"/>
                <w:sz w:val="24"/>
              </w:rPr>
            </w:pPr>
          </w:p>
          <w:p w:rsidR="00602FF8" w:rsidRPr="00B54B55" w:rsidRDefault="00602FF8" w:rsidP="009540D1">
            <w:pPr>
              <w:widowControl w:val="0"/>
              <w:jc w:val="left"/>
              <w:rPr>
                <w:rFonts w:eastAsia="Calibri"/>
                <w:sz w:val="24"/>
              </w:rPr>
            </w:pPr>
          </w:p>
          <w:p w:rsidR="00602FF8" w:rsidRPr="00B54B55" w:rsidRDefault="00602FF8" w:rsidP="009540D1">
            <w:pPr>
              <w:widowControl w:val="0"/>
              <w:jc w:val="left"/>
              <w:rPr>
                <w:rFonts w:eastAsia="Calibri"/>
                <w:sz w:val="24"/>
              </w:rPr>
            </w:pPr>
            <w:r w:rsidRPr="00B54B55">
              <w:rPr>
                <w:rFonts w:eastAsia="Calibri"/>
                <w:sz w:val="24"/>
              </w:rPr>
              <w:t>Case No. 14-1297-EL-SSO</w:t>
            </w:r>
          </w:p>
          <w:p w:rsidR="00602FF8" w:rsidRPr="00B54B55" w:rsidRDefault="00602FF8" w:rsidP="009540D1">
            <w:pPr>
              <w:widowControl w:val="0"/>
              <w:jc w:val="left"/>
              <w:rPr>
                <w:rFonts w:eastAsia="Calibri"/>
                <w:sz w:val="24"/>
              </w:rPr>
            </w:pPr>
          </w:p>
          <w:p w:rsidR="00602FF8" w:rsidRPr="00B54B55" w:rsidRDefault="00602FF8" w:rsidP="009540D1">
            <w:pPr>
              <w:widowControl w:val="0"/>
              <w:jc w:val="left"/>
              <w:rPr>
                <w:rFonts w:eastAsia="Calibri"/>
                <w:sz w:val="24"/>
              </w:rPr>
            </w:pPr>
          </w:p>
          <w:p w:rsidR="00602FF8" w:rsidRPr="00B54B55" w:rsidRDefault="00602FF8" w:rsidP="009540D1">
            <w:pPr>
              <w:widowControl w:val="0"/>
              <w:jc w:val="left"/>
              <w:rPr>
                <w:rFonts w:eastAsia="Calibri"/>
                <w:sz w:val="24"/>
              </w:rPr>
            </w:pPr>
          </w:p>
          <w:p w:rsidR="00602FF8" w:rsidRPr="00B54B55" w:rsidRDefault="00602FF8" w:rsidP="009540D1">
            <w:pPr>
              <w:widowControl w:val="0"/>
              <w:jc w:val="left"/>
              <w:rPr>
                <w:rFonts w:eastAsia="Calibri"/>
                <w:sz w:val="24"/>
              </w:rPr>
            </w:pPr>
          </w:p>
          <w:p w:rsidR="00602FF8" w:rsidRPr="00B54B55" w:rsidRDefault="00602FF8" w:rsidP="009540D1">
            <w:pPr>
              <w:widowControl w:val="0"/>
              <w:jc w:val="left"/>
              <w:rPr>
                <w:rFonts w:eastAsia="Calibri"/>
                <w:sz w:val="24"/>
              </w:rPr>
            </w:pPr>
          </w:p>
        </w:tc>
      </w:tr>
    </w:tbl>
    <w:p w:rsidR="00602FF8" w:rsidRPr="00B54B55" w:rsidRDefault="00602FF8" w:rsidP="00963246">
      <w:pPr>
        <w:spacing w:after="200" w:line="276" w:lineRule="auto"/>
        <w:jc w:val="center"/>
        <w:rPr>
          <w:rFonts w:eastAsia="Calibri"/>
          <w:b/>
          <w:bCs/>
          <w:sz w:val="24"/>
        </w:rPr>
      </w:pPr>
      <w:r w:rsidRPr="00B54B55">
        <w:rPr>
          <w:rFonts w:eastAsia="Calibri"/>
          <w:b/>
          <w:bCs/>
          <w:sz w:val="24"/>
        </w:rPr>
        <w:t>______________________________________</w:t>
      </w:r>
    </w:p>
    <w:p w:rsidR="00602FF8" w:rsidRPr="00B54B55" w:rsidRDefault="00076B77" w:rsidP="00602FF8">
      <w:pPr>
        <w:spacing w:after="200" w:line="276" w:lineRule="auto"/>
        <w:jc w:val="center"/>
        <w:rPr>
          <w:rFonts w:eastAsia="Calibri"/>
          <w:b/>
          <w:bCs/>
          <w:sz w:val="24"/>
        </w:rPr>
      </w:pPr>
      <w:r>
        <w:rPr>
          <w:rFonts w:eastAsia="Calibri"/>
          <w:b/>
          <w:bCs/>
          <w:sz w:val="24"/>
        </w:rPr>
        <w:t>REPLY B</w:t>
      </w:r>
      <w:r w:rsidR="00602FF8">
        <w:rPr>
          <w:rFonts w:eastAsia="Calibri"/>
          <w:b/>
          <w:bCs/>
          <w:sz w:val="24"/>
        </w:rPr>
        <w:t>RIEF OF INTERSTATE GAS SUPPLY, INC.</w:t>
      </w:r>
    </w:p>
    <w:p w:rsidR="00602FF8" w:rsidRPr="00B54B55" w:rsidRDefault="00602FF8" w:rsidP="00602FF8">
      <w:pPr>
        <w:spacing w:after="200" w:line="276" w:lineRule="auto"/>
        <w:jc w:val="center"/>
        <w:rPr>
          <w:rFonts w:eastAsia="Calibri"/>
          <w:b/>
          <w:bCs/>
          <w:sz w:val="24"/>
        </w:rPr>
      </w:pPr>
      <w:r w:rsidRPr="00B54B55">
        <w:rPr>
          <w:rFonts w:eastAsia="Calibri"/>
          <w:b/>
          <w:bCs/>
          <w:sz w:val="24"/>
        </w:rPr>
        <w:t>______________________________________</w:t>
      </w:r>
    </w:p>
    <w:p w:rsidR="00602FF8" w:rsidRDefault="00602FF8">
      <w:pPr>
        <w:rPr>
          <w:b/>
          <w:sz w:val="24"/>
        </w:rPr>
      </w:pPr>
    </w:p>
    <w:p w:rsidR="00EE1363" w:rsidRDefault="00536BA7" w:rsidP="00FA18B2">
      <w:pPr>
        <w:ind w:left="360"/>
        <w:rPr>
          <w:b/>
          <w:sz w:val="24"/>
          <w:u w:val="single"/>
        </w:rPr>
      </w:pPr>
      <w:r>
        <w:rPr>
          <w:b/>
          <w:sz w:val="24"/>
        </w:rPr>
        <w:t xml:space="preserve">I. </w:t>
      </w:r>
      <w:r w:rsidR="00EE1363">
        <w:rPr>
          <w:b/>
          <w:sz w:val="24"/>
          <w:u w:val="single"/>
        </w:rPr>
        <w:t>INTRODUCTION</w:t>
      </w:r>
    </w:p>
    <w:p w:rsidR="00EE1363" w:rsidRDefault="00EE1363">
      <w:pPr>
        <w:rPr>
          <w:b/>
          <w:sz w:val="24"/>
        </w:rPr>
      </w:pPr>
      <w:r>
        <w:rPr>
          <w:b/>
          <w:sz w:val="24"/>
        </w:rPr>
        <w:tab/>
      </w:r>
    </w:p>
    <w:p w:rsidR="00C92B9E" w:rsidRDefault="00F135F3" w:rsidP="00F135F3">
      <w:pPr>
        <w:spacing w:line="480" w:lineRule="auto"/>
        <w:rPr>
          <w:sz w:val="24"/>
        </w:rPr>
      </w:pPr>
      <w:r>
        <w:rPr>
          <w:sz w:val="24"/>
        </w:rPr>
        <w:tab/>
        <w:t xml:space="preserve">On December 1, 2015, </w:t>
      </w:r>
      <w:r w:rsidR="00C92B9E">
        <w:rPr>
          <w:sz w:val="24"/>
        </w:rPr>
        <w:t>Ohio Edison Company, Toledo Edison Company</w:t>
      </w:r>
      <w:r w:rsidR="00C92B9E" w:rsidRPr="00594202">
        <w:rPr>
          <w:sz w:val="24"/>
        </w:rPr>
        <w:t>, and Cleveland Electric Illuminating Company</w:t>
      </w:r>
      <w:r w:rsidR="00C92B9E">
        <w:rPr>
          <w:sz w:val="24"/>
        </w:rPr>
        <w:t xml:space="preserve"> (collectively “FirstEnergy”) </w:t>
      </w:r>
      <w:r>
        <w:rPr>
          <w:sz w:val="24"/>
        </w:rPr>
        <w:t>and a diverse group of parties, submitted a Joint Stipulation and Recommendation (“Stipulation”) to resolve the outstanding issues presented in this proceeding.  On January 14, 2016</w:t>
      </w:r>
      <w:r w:rsidR="004C48C4">
        <w:rPr>
          <w:sz w:val="24"/>
        </w:rPr>
        <w:t xml:space="preserve">, </w:t>
      </w:r>
      <w:r>
        <w:rPr>
          <w:sz w:val="24"/>
        </w:rPr>
        <w:t>Interstate Gas Supply, Inc.</w:t>
      </w:r>
      <w:r w:rsidR="00C92B9E">
        <w:rPr>
          <w:sz w:val="24"/>
        </w:rPr>
        <w:t xml:space="preserve"> (“IGS”) joine</w:t>
      </w:r>
      <w:r w:rsidR="004C64A0">
        <w:rPr>
          <w:sz w:val="24"/>
        </w:rPr>
        <w:t>d the Stipulation as a signatory party</w:t>
      </w:r>
      <w:r w:rsidR="00A8408F">
        <w:rPr>
          <w:sz w:val="24"/>
        </w:rPr>
        <w:t>.</w:t>
      </w:r>
      <w:r w:rsidR="001E7147">
        <w:rPr>
          <w:sz w:val="24"/>
        </w:rPr>
        <w:t xml:space="preserve">  On February 16, 2016, IGS submitted its initial brief recommending that the Commission approve the Stipulation, as well as a placeholder retail incentive rider (“Incentive Rider”) set at zero, which shall be the subject of a future FirstEnergy application. </w:t>
      </w:r>
    </w:p>
    <w:p w:rsidR="00A8408F" w:rsidRDefault="005E5979" w:rsidP="00A00FA8">
      <w:pPr>
        <w:spacing w:line="480" w:lineRule="auto"/>
        <w:rPr>
          <w:sz w:val="24"/>
        </w:rPr>
      </w:pPr>
      <w:r>
        <w:rPr>
          <w:sz w:val="24"/>
        </w:rPr>
        <w:tab/>
        <w:t>The Office of the Ohio Consumers’ Counsel (“OCC”), the Ohio Manufacturers’ Association Energy Group (“OMAEG”)</w:t>
      </w:r>
      <w:r w:rsidR="00A944ED">
        <w:rPr>
          <w:sz w:val="24"/>
        </w:rPr>
        <w:t>, Constellation New Energy, Inc. and Exelon Generation Company LLC (“Exelon”), and</w:t>
      </w:r>
      <w:r>
        <w:rPr>
          <w:sz w:val="24"/>
        </w:rPr>
        <w:t xml:space="preserve"> the Retail Energy Supply Association</w:t>
      </w:r>
      <w:r w:rsidR="00A944ED">
        <w:rPr>
          <w:sz w:val="24"/>
        </w:rPr>
        <w:t xml:space="preserve"> (“RESA”)</w:t>
      </w:r>
      <w:r>
        <w:rPr>
          <w:sz w:val="24"/>
        </w:rPr>
        <w:t xml:space="preserve"> take issue wi</w:t>
      </w:r>
      <w:r w:rsidR="00A944ED">
        <w:rPr>
          <w:sz w:val="24"/>
        </w:rPr>
        <w:t>th</w:t>
      </w:r>
      <w:r w:rsidR="004C48C4">
        <w:rPr>
          <w:sz w:val="24"/>
        </w:rPr>
        <w:t xml:space="preserve"> IGS’s support of Stipulation</w:t>
      </w:r>
      <w:r w:rsidR="00A944ED">
        <w:rPr>
          <w:sz w:val="24"/>
        </w:rPr>
        <w:t>.  These</w:t>
      </w:r>
      <w:r>
        <w:rPr>
          <w:sz w:val="24"/>
        </w:rPr>
        <w:t xml:space="preserve"> parties</w:t>
      </w:r>
      <w:r w:rsidR="004C48C4">
        <w:rPr>
          <w:sz w:val="24"/>
        </w:rPr>
        <w:t xml:space="preserve"> claim that the existence of the separate</w:t>
      </w:r>
      <w:r w:rsidR="004C48C4" w:rsidRPr="004C48C4">
        <w:t xml:space="preserve"> </w:t>
      </w:r>
      <w:r w:rsidR="004C48C4" w:rsidRPr="004C48C4">
        <w:rPr>
          <w:sz w:val="24"/>
        </w:rPr>
        <w:t xml:space="preserve">Competitive Market Enhancement </w:t>
      </w:r>
      <w:proofErr w:type="gramStart"/>
      <w:r w:rsidR="004C48C4" w:rsidRPr="004C48C4">
        <w:rPr>
          <w:sz w:val="24"/>
        </w:rPr>
        <w:t>Agree</w:t>
      </w:r>
      <w:r w:rsidR="004C48C4">
        <w:rPr>
          <w:sz w:val="24"/>
        </w:rPr>
        <w:t xml:space="preserve">ment  </w:t>
      </w:r>
      <w:r w:rsidR="001E7147">
        <w:rPr>
          <w:sz w:val="24"/>
        </w:rPr>
        <w:t>(</w:t>
      </w:r>
      <w:proofErr w:type="gramEnd"/>
      <w:r w:rsidR="001E7147">
        <w:rPr>
          <w:sz w:val="24"/>
        </w:rPr>
        <w:t>“Enhancement Agreement”)—an</w:t>
      </w:r>
      <w:r w:rsidR="004C48C4">
        <w:rPr>
          <w:sz w:val="24"/>
        </w:rPr>
        <w:t xml:space="preserve"> agreement designed to improve the competitive </w:t>
      </w:r>
      <w:r w:rsidR="004C48C4">
        <w:rPr>
          <w:sz w:val="24"/>
        </w:rPr>
        <w:lastRenderedPageBreak/>
        <w:t>market—between IGS and FirstEnergy</w:t>
      </w:r>
      <w:r>
        <w:rPr>
          <w:sz w:val="24"/>
        </w:rPr>
        <w:t xml:space="preserve"> is evidence that the Stipulation was not the product of</w:t>
      </w:r>
      <w:r w:rsidR="001E7147">
        <w:rPr>
          <w:sz w:val="24"/>
        </w:rPr>
        <w:t xml:space="preserve"> serious</w:t>
      </w:r>
      <w:r>
        <w:rPr>
          <w:sz w:val="24"/>
        </w:rPr>
        <w:t xml:space="preserve"> bargaining between knowledgeable and capable parties.</w:t>
      </w:r>
      <w:r w:rsidR="00A944ED">
        <w:rPr>
          <w:sz w:val="24"/>
        </w:rPr>
        <w:t xml:space="preserve">  </w:t>
      </w:r>
      <w:r>
        <w:rPr>
          <w:sz w:val="24"/>
        </w:rPr>
        <w:t xml:space="preserve">As discussed </w:t>
      </w:r>
      <w:r w:rsidR="00A944ED">
        <w:rPr>
          <w:sz w:val="24"/>
        </w:rPr>
        <w:t>below, these parties a</w:t>
      </w:r>
      <w:r>
        <w:rPr>
          <w:sz w:val="24"/>
        </w:rPr>
        <w:t>re incor</w:t>
      </w:r>
      <w:r w:rsidR="004C48C4">
        <w:rPr>
          <w:sz w:val="24"/>
        </w:rPr>
        <w:t xml:space="preserve">rect. </w:t>
      </w:r>
    </w:p>
    <w:p w:rsidR="0052155C" w:rsidRDefault="00A8408F" w:rsidP="0052155C">
      <w:pPr>
        <w:spacing w:line="480" w:lineRule="auto"/>
        <w:ind w:left="360"/>
        <w:rPr>
          <w:b/>
          <w:sz w:val="24"/>
          <w:u w:val="single"/>
        </w:rPr>
      </w:pPr>
      <w:r>
        <w:rPr>
          <w:b/>
          <w:sz w:val="24"/>
        </w:rPr>
        <w:t xml:space="preserve">II. </w:t>
      </w:r>
      <w:r>
        <w:rPr>
          <w:b/>
          <w:sz w:val="24"/>
          <w:u w:val="single"/>
        </w:rPr>
        <w:t>BACKGROUND AND ARGUMENT</w:t>
      </w:r>
    </w:p>
    <w:p w:rsidR="009D1E33" w:rsidRDefault="005E5979" w:rsidP="006F2683">
      <w:pPr>
        <w:spacing w:line="480" w:lineRule="auto"/>
        <w:rPr>
          <w:sz w:val="24"/>
        </w:rPr>
      </w:pPr>
      <w:r>
        <w:rPr>
          <w:b/>
          <w:sz w:val="24"/>
        </w:rPr>
        <w:tab/>
      </w:r>
      <w:r w:rsidR="006F2683">
        <w:rPr>
          <w:sz w:val="24"/>
        </w:rPr>
        <w:t>RESA and Exelon claim that FirstEnergy and IGS hid the Enhancement Agreement</w:t>
      </w:r>
      <w:r w:rsidR="009D1E33">
        <w:rPr>
          <w:sz w:val="24"/>
        </w:rPr>
        <w:t>; announced it after several parties had completed cross-examination</w:t>
      </w:r>
      <w:r w:rsidR="006F2683">
        <w:rPr>
          <w:sz w:val="24"/>
        </w:rPr>
        <w:t>; and that</w:t>
      </w:r>
      <w:r w:rsidR="009D1E33">
        <w:rPr>
          <w:sz w:val="24"/>
        </w:rPr>
        <w:t xml:space="preserve"> the stipulation resulted from an exclusionary process</w:t>
      </w:r>
      <w:r w:rsidR="00991A9F">
        <w:rPr>
          <w:sz w:val="24"/>
        </w:rPr>
        <w:t xml:space="preserve"> in violation of the precedent set forth in </w:t>
      </w:r>
      <w:r w:rsidR="00991A9F">
        <w:rPr>
          <w:i/>
          <w:sz w:val="24"/>
        </w:rPr>
        <w:t xml:space="preserve">Time Warner AXS v. Pub. </w:t>
      </w:r>
      <w:proofErr w:type="gramStart"/>
      <w:r w:rsidR="00991A9F">
        <w:rPr>
          <w:i/>
          <w:sz w:val="24"/>
        </w:rPr>
        <w:t xml:space="preserve">Util. </w:t>
      </w:r>
      <w:proofErr w:type="spellStart"/>
      <w:r w:rsidR="00991A9F">
        <w:rPr>
          <w:i/>
          <w:sz w:val="24"/>
        </w:rPr>
        <w:t>Comm’n</w:t>
      </w:r>
      <w:proofErr w:type="spellEnd"/>
      <w:r w:rsidR="00991A9F">
        <w:rPr>
          <w:i/>
          <w:sz w:val="24"/>
        </w:rPr>
        <w:t xml:space="preserve"> of Ohio</w:t>
      </w:r>
      <w:r w:rsidR="00991A9F">
        <w:rPr>
          <w:sz w:val="24"/>
        </w:rPr>
        <w:t>,</w:t>
      </w:r>
      <w:r w:rsidR="00991A9F" w:rsidRPr="00991A9F">
        <w:t xml:space="preserve"> </w:t>
      </w:r>
      <w:r w:rsidR="00991A9F" w:rsidRPr="00991A9F">
        <w:rPr>
          <w:sz w:val="24"/>
        </w:rPr>
        <w:t>75 Ohio St.3d 229</w:t>
      </w:r>
      <w:r w:rsidR="004C48C4">
        <w:rPr>
          <w:sz w:val="24"/>
        </w:rPr>
        <w:t xml:space="preserve">, </w:t>
      </w:r>
      <w:r w:rsidR="00991A9F">
        <w:rPr>
          <w:sz w:val="24"/>
        </w:rPr>
        <w:t xml:space="preserve">footnote 2 </w:t>
      </w:r>
      <w:r w:rsidR="00991A9F" w:rsidRPr="00991A9F">
        <w:rPr>
          <w:sz w:val="24"/>
        </w:rPr>
        <w:t>(1996)</w:t>
      </w:r>
      <w:r w:rsidR="00991A9F">
        <w:rPr>
          <w:sz w:val="24"/>
        </w:rPr>
        <w:t>.</w:t>
      </w:r>
      <w:proofErr w:type="gramEnd"/>
      <w:r w:rsidR="001E7147">
        <w:rPr>
          <w:rStyle w:val="FootnoteReference"/>
          <w:sz w:val="24"/>
        </w:rPr>
        <w:footnoteReference w:id="1"/>
      </w:r>
      <w:r w:rsidR="006F2683">
        <w:rPr>
          <w:sz w:val="24"/>
        </w:rPr>
        <w:t xml:space="preserve"> </w:t>
      </w:r>
      <w:r w:rsidR="004C48C4">
        <w:rPr>
          <w:sz w:val="24"/>
        </w:rPr>
        <w:t>Similarly, OCC claims that there could not have been serious bargaining around the Stipulation because the Enhancement Agreement exists only between FirstEnergy and IGS.</w:t>
      </w:r>
      <w:r w:rsidR="005A7D8B">
        <w:rPr>
          <w:rStyle w:val="FootnoteReference"/>
          <w:sz w:val="24"/>
        </w:rPr>
        <w:footnoteReference w:id="2"/>
      </w:r>
      <w:r w:rsidR="004C48C4">
        <w:rPr>
          <w:sz w:val="24"/>
        </w:rPr>
        <w:t xml:space="preserve">  Likewise, OMAEG claims that because the terms of the Enhancement Agreement were not disclosed to the parties during the bargaining process</w:t>
      </w:r>
      <w:r w:rsidR="002817E1">
        <w:rPr>
          <w:sz w:val="24"/>
        </w:rPr>
        <w:t>,</w:t>
      </w:r>
      <w:r w:rsidR="004C48C4">
        <w:rPr>
          <w:sz w:val="24"/>
        </w:rPr>
        <w:t xml:space="preserve"> it raises serious questions regarding the transparency of the bargaining process.</w:t>
      </w:r>
      <w:r w:rsidR="005A7D8B">
        <w:rPr>
          <w:rStyle w:val="FootnoteReference"/>
          <w:sz w:val="24"/>
        </w:rPr>
        <w:footnoteReference w:id="3"/>
      </w:r>
      <w:r w:rsidR="007D1E2D">
        <w:rPr>
          <w:sz w:val="24"/>
        </w:rPr>
        <w:t xml:space="preserve">  E</w:t>
      </w:r>
      <w:r w:rsidR="002817E1">
        <w:rPr>
          <w:sz w:val="24"/>
        </w:rPr>
        <w:t xml:space="preserve">ach </w:t>
      </w:r>
      <w:r w:rsidR="004C48C4">
        <w:rPr>
          <w:sz w:val="24"/>
        </w:rPr>
        <w:t>of these similar claims lacks merit.</w:t>
      </w:r>
    </w:p>
    <w:p w:rsidR="006F2683" w:rsidRDefault="006F2683" w:rsidP="006F2683">
      <w:pPr>
        <w:spacing w:line="480" w:lineRule="auto"/>
        <w:rPr>
          <w:sz w:val="24"/>
        </w:rPr>
      </w:pPr>
      <w:r>
        <w:rPr>
          <w:sz w:val="24"/>
        </w:rPr>
        <w:tab/>
        <w:t xml:space="preserve">RESA’s and Exelon’s claim that the Enhancement Agreement was “hidden” is completely incorrect.  </w:t>
      </w:r>
      <w:r w:rsidR="008E503E">
        <w:rPr>
          <w:sz w:val="24"/>
        </w:rPr>
        <w:t>The parties announced the addition of IGS as a signatory party while</w:t>
      </w:r>
      <w:r w:rsidR="004C48C4">
        <w:rPr>
          <w:sz w:val="24"/>
        </w:rPr>
        <w:t xml:space="preserve"> the ink was still drying.  </w:t>
      </w:r>
      <w:r w:rsidR="008E503E">
        <w:rPr>
          <w:sz w:val="24"/>
        </w:rPr>
        <w:t xml:space="preserve">FirstEnergy expeditiously served on parties to the proceeding that same day, despite the fact that the Commission’s rules would have </w:t>
      </w:r>
      <w:r w:rsidR="008E503E">
        <w:rPr>
          <w:sz w:val="24"/>
        </w:rPr>
        <w:lastRenderedPageBreak/>
        <w:t>allowed FirstEnergy to wait five business days to supplement its response to a discovery related to agreements associated with the proceeding.</w:t>
      </w:r>
      <w:r w:rsidR="008E503E">
        <w:rPr>
          <w:rStyle w:val="FootnoteReference"/>
          <w:sz w:val="24"/>
        </w:rPr>
        <w:footnoteReference w:id="4"/>
      </w:r>
      <w:r w:rsidR="008E503E">
        <w:rPr>
          <w:sz w:val="24"/>
        </w:rPr>
        <w:t xml:space="preserve">  </w:t>
      </w:r>
    </w:p>
    <w:p w:rsidR="00083FDD" w:rsidRDefault="00083FDD" w:rsidP="008E503E">
      <w:pPr>
        <w:spacing w:line="480" w:lineRule="auto"/>
        <w:ind w:firstLine="720"/>
        <w:rPr>
          <w:sz w:val="24"/>
        </w:rPr>
      </w:pPr>
      <w:r w:rsidRPr="008E503E">
        <w:rPr>
          <w:sz w:val="24"/>
        </w:rPr>
        <w:t>Contrary to RESA’s claim, all parties were permitted to cross-examine FirstEnergy witness Mikkelsen rega</w:t>
      </w:r>
      <w:r w:rsidR="004C48C4">
        <w:rPr>
          <w:sz w:val="24"/>
        </w:rPr>
        <w:t>rding the Enhancement Agreement.</w:t>
      </w:r>
      <w:r w:rsidR="00AF23C1">
        <w:rPr>
          <w:sz w:val="24"/>
        </w:rPr>
        <w:t xml:space="preserve">  Indeed, RESA’s and Exelon’s counsel (the parties are represented by the same law firm) was permitted to cross-examine Ms. Mikkelsen </w:t>
      </w:r>
      <w:r w:rsidR="00AF23C1">
        <w:rPr>
          <w:i/>
          <w:sz w:val="24"/>
        </w:rPr>
        <w:t>on two separate days</w:t>
      </w:r>
      <w:r w:rsidR="007D1E2D">
        <w:rPr>
          <w:sz w:val="24"/>
        </w:rPr>
        <w:t xml:space="preserve"> to ensure that those parties</w:t>
      </w:r>
      <w:r w:rsidR="00AF23C1">
        <w:rPr>
          <w:sz w:val="24"/>
        </w:rPr>
        <w:t xml:space="preserve"> had an opportunity to discuss the Enhancement Agreement with FirstEnergy</w:t>
      </w:r>
      <w:r w:rsidR="00231A2E">
        <w:rPr>
          <w:sz w:val="24"/>
        </w:rPr>
        <w:t>.</w:t>
      </w:r>
      <w:r w:rsidR="00231A2E">
        <w:rPr>
          <w:rStyle w:val="FootnoteReference"/>
          <w:sz w:val="24"/>
        </w:rPr>
        <w:footnoteReference w:id="5"/>
      </w:r>
    </w:p>
    <w:p w:rsidR="00A6770D" w:rsidRDefault="00AF23C1" w:rsidP="00A6770D">
      <w:pPr>
        <w:spacing w:line="480" w:lineRule="auto"/>
        <w:ind w:firstLine="720"/>
        <w:rPr>
          <w:sz w:val="24"/>
        </w:rPr>
      </w:pPr>
      <w:r>
        <w:rPr>
          <w:sz w:val="24"/>
        </w:rPr>
        <w:t xml:space="preserve">Moreover, </w:t>
      </w:r>
      <w:r w:rsidR="00083FDD" w:rsidRPr="00AF23C1">
        <w:rPr>
          <w:sz w:val="24"/>
        </w:rPr>
        <w:t>RESA’s</w:t>
      </w:r>
      <w:r>
        <w:rPr>
          <w:sz w:val="24"/>
        </w:rPr>
        <w:t xml:space="preserve"> and Exelon’s</w:t>
      </w:r>
      <w:r w:rsidR="00083FDD" w:rsidRPr="00AF23C1">
        <w:rPr>
          <w:sz w:val="24"/>
        </w:rPr>
        <w:t xml:space="preserve"> claim that the Enhancement Agreement is “akin to exclusionary settlement discussions”</w:t>
      </w:r>
      <w:r w:rsidR="007D1E2D">
        <w:rPr>
          <w:rStyle w:val="FootnoteReference"/>
          <w:sz w:val="24"/>
        </w:rPr>
        <w:footnoteReference w:id="6"/>
      </w:r>
      <w:r w:rsidR="00083FDD" w:rsidRPr="00AF23C1">
        <w:rPr>
          <w:sz w:val="24"/>
        </w:rPr>
        <w:t xml:space="preserve"> </w:t>
      </w:r>
      <w:r>
        <w:rPr>
          <w:sz w:val="24"/>
        </w:rPr>
        <w:t>mischaracterize</w:t>
      </w:r>
      <w:r w:rsidR="004C48C4">
        <w:rPr>
          <w:sz w:val="24"/>
        </w:rPr>
        <w:t>s</w:t>
      </w:r>
      <w:r w:rsidR="00083FDD" w:rsidRPr="00AF23C1">
        <w:rPr>
          <w:sz w:val="24"/>
        </w:rPr>
        <w:t xml:space="preserve"> the issue under consideration in this case</w:t>
      </w:r>
      <w:r w:rsidR="00DF1664" w:rsidRPr="00AF23C1">
        <w:rPr>
          <w:sz w:val="24"/>
        </w:rPr>
        <w:t xml:space="preserve"> as well as the </w:t>
      </w:r>
      <w:r w:rsidR="00DF1664" w:rsidRPr="00AF23C1">
        <w:rPr>
          <w:i/>
          <w:sz w:val="24"/>
        </w:rPr>
        <w:t xml:space="preserve">Time Warner </w:t>
      </w:r>
      <w:r>
        <w:rPr>
          <w:sz w:val="24"/>
        </w:rPr>
        <w:t>holding</w:t>
      </w:r>
      <w:r w:rsidR="00083FDD" w:rsidRPr="00AF23C1">
        <w:rPr>
          <w:sz w:val="24"/>
        </w:rPr>
        <w:t>.</w:t>
      </w:r>
      <w:r w:rsidR="00A6770D">
        <w:rPr>
          <w:rStyle w:val="FootnoteReference"/>
          <w:sz w:val="24"/>
        </w:rPr>
        <w:footnoteReference w:id="7"/>
      </w:r>
      <w:r w:rsidR="00DF1664" w:rsidRPr="00AF23C1">
        <w:rPr>
          <w:sz w:val="24"/>
        </w:rPr>
        <w:t xml:space="preserve">  First, it is important to note that the Commission is evaluating the Stipulation—not the Enhancement Agreement.</w:t>
      </w:r>
      <w:r>
        <w:rPr>
          <w:sz w:val="24"/>
        </w:rPr>
        <w:t xml:space="preserve"> </w:t>
      </w:r>
      <w:r w:rsidR="004C48C4">
        <w:rPr>
          <w:sz w:val="24"/>
        </w:rPr>
        <w:t xml:space="preserve"> </w:t>
      </w:r>
      <w:r w:rsidR="00DF1664" w:rsidRPr="00AF23C1">
        <w:rPr>
          <w:sz w:val="24"/>
        </w:rPr>
        <w:t>W</w:t>
      </w:r>
      <w:r w:rsidR="00A6770D">
        <w:rPr>
          <w:sz w:val="24"/>
        </w:rPr>
        <w:t>hether other parties</w:t>
      </w:r>
      <w:r w:rsidR="00DF1664" w:rsidRPr="00AF23C1">
        <w:rPr>
          <w:sz w:val="24"/>
        </w:rPr>
        <w:t xml:space="preserve"> attend</w:t>
      </w:r>
      <w:r w:rsidR="00A6770D">
        <w:rPr>
          <w:sz w:val="24"/>
        </w:rPr>
        <w:t>ed</w:t>
      </w:r>
      <w:r w:rsidR="00DF1664" w:rsidRPr="00AF23C1">
        <w:rPr>
          <w:sz w:val="24"/>
        </w:rPr>
        <w:t xml:space="preserve"> the negotiation of an agreement not presently before the Commission is simply irrelevan</w:t>
      </w:r>
      <w:r w:rsidR="00A6770D">
        <w:rPr>
          <w:sz w:val="24"/>
        </w:rPr>
        <w:t xml:space="preserve">t; all parties </w:t>
      </w:r>
      <w:r w:rsidR="00A6770D" w:rsidRPr="00AF23C1">
        <w:rPr>
          <w:sz w:val="24"/>
        </w:rPr>
        <w:t>attend</w:t>
      </w:r>
      <w:r w:rsidR="00A6770D">
        <w:rPr>
          <w:sz w:val="24"/>
        </w:rPr>
        <w:t>ed</w:t>
      </w:r>
      <w:r w:rsidR="00A6770D" w:rsidRPr="00AF23C1">
        <w:rPr>
          <w:sz w:val="24"/>
        </w:rPr>
        <w:t xml:space="preserve"> th</w:t>
      </w:r>
      <w:r w:rsidR="00A6770D">
        <w:rPr>
          <w:sz w:val="24"/>
        </w:rPr>
        <w:t>e negotiations that impacted the</w:t>
      </w:r>
      <w:r w:rsidR="00A6770D" w:rsidRPr="00AF23C1">
        <w:rPr>
          <w:sz w:val="24"/>
        </w:rPr>
        <w:t xml:space="preserve"> substance</w:t>
      </w:r>
      <w:r w:rsidR="00A6770D">
        <w:rPr>
          <w:sz w:val="24"/>
        </w:rPr>
        <w:t xml:space="preserve"> of the Stipulation</w:t>
      </w:r>
      <w:r w:rsidR="00A6770D" w:rsidRPr="00AF23C1">
        <w:rPr>
          <w:sz w:val="24"/>
        </w:rPr>
        <w:t>.</w:t>
      </w:r>
      <w:r w:rsidR="00DF1664" w:rsidRPr="00AF23C1">
        <w:rPr>
          <w:sz w:val="24"/>
        </w:rPr>
        <w:t xml:space="preserve">  The Enhancement Agreement had no bearing on </w:t>
      </w:r>
      <w:r w:rsidR="001C30FB">
        <w:rPr>
          <w:sz w:val="24"/>
        </w:rPr>
        <w:t xml:space="preserve">the substance of </w:t>
      </w:r>
      <w:r w:rsidR="00A6770D">
        <w:rPr>
          <w:sz w:val="24"/>
        </w:rPr>
        <w:t xml:space="preserve">the Stipulation.  </w:t>
      </w:r>
    </w:p>
    <w:p w:rsidR="00083FDD" w:rsidRPr="00083FDD" w:rsidRDefault="004C48C4" w:rsidP="001C30FB">
      <w:pPr>
        <w:spacing w:line="480" w:lineRule="auto"/>
        <w:ind w:firstLine="720"/>
        <w:rPr>
          <w:sz w:val="24"/>
        </w:rPr>
      </w:pPr>
      <w:r>
        <w:rPr>
          <w:sz w:val="24"/>
        </w:rPr>
        <w:t xml:space="preserve">Second, </w:t>
      </w:r>
      <w:r w:rsidR="00083FDD" w:rsidRPr="00AF23C1">
        <w:rPr>
          <w:i/>
          <w:sz w:val="24"/>
        </w:rPr>
        <w:t>Time Warner</w:t>
      </w:r>
      <w:r>
        <w:rPr>
          <w:i/>
          <w:sz w:val="24"/>
        </w:rPr>
        <w:t xml:space="preserve"> </w:t>
      </w:r>
      <w:r>
        <w:rPr>
          <w:sz w:val="24"/>
        </w:rPr>
        <w:t>is</w:t>
      </w:r>
      <w:r w:rsidR="001C30FB">
        <w:rPr>
          <w:sz w:val="24"/>
        </w:rPr>
        <w:t xml:space="preserve"> </w:t>
      </w:r>
      <w:r w:rsidR="00A6770D">
        <w:rPr>
          <w:sz w:val="24"/>
        </w:rPr>
        <w:t>in</w:t>
      </w:r>
      <w:r w:rsidR="001C30FB">
        <w:rPr>
          <w:sz w:val="24"/>
        </w:rPr>
        <w:t>applicable. In that case</w:t>
      </w:r>
      <w:r w:rsidR="00083FDD" w:rsidRPr="00AF23C1">
        <w:rPr>
          <w:sz w:val="24"/>
        </w:rPr>
        <w:t xml:space="preserve">, the Court expressed concern when the “stipulation arose from settlement talks from which an entire customer class </w:t>
      </w:r>
      <w:r w:rsidR="00083FDD" w:rsidRPr="00AF23C1">
        <w:rPr>
          <w:sz w:val="24"/>
        </w:rPr>
        <w:lastRenderedPageBreak/>
        <w:t>was intentionally excluded.”</w:t>
      </w:r>
      <w:r w:rsidR="007D1E2D">
        <w:rPr>
          <w:rStyle w:val="FootnoteReference"/>
          <w:sz w:val="24"/>
        </w:rPr>
        <w:footnoteReference w:id="8"/>
      </w:r>
      <w:r w:rsidR="00083FDD" w:rsidRPr="00AF23C1">
        <w:rPr>
          <w:sz w:val="24"/>
        </w:rPr>
        <w:t xml:space="preserve">  Here, no class of customer or </w:t>
      </w:r>
      <w:proofErr w:type="spellStart"/>
      <w:r w:rsidR="00083FDD" w:rsidRPr="00AF23C1">
        <w:rPr>
          <w:sz w:val="24"/>
        </w:rPr>
        <w:t>intervenor</w:t>
      </w:r>
      <w:proofErr w:type="spellEnd"/>
      <w:r w:rsidR="00083FDD" w:rsidRPr="00AF23C1">
        <w:rPr>
          <w:sz w:val="24"/>
        </w:rPr>
        <w:t xml:space="preserve"> was excluded from negotiations </w:t>
      </w:r>
      <w:r w:rsidR="00083FDD" w:rsidRPr="00A6770D">
        <w:rPr>
          <w:i/>
          <w:sz w:val="24"/>
        </w:rPr>
        <w:t>related to the Stipulation</w:t>
      </w:r>
      <w:r w:rsidR="00083FDD" w:rsidRPr="00AF23C1">
        <w:rPr>
          <w:sz w:val="24"/>
        </w:rPr>
        <w:t>.</w:t>
      </w:r>
      <w:r w:rsidR="00A6770D">
        <w:rPr>
          <w:sz w:val="24"/>
        </w:rPr>
        <w:t xml:space="preserve">  </w:t>
      </w:r>
      <w:r w:rsidR="00D201FB">
        <w:rPr>
          <w:sz w:val="24"/>
        </w:rPr>
        <w:t>Indeed, the exact opposite</w:t>
      </w:r>
      <w:r w:rsidR="00A6770D">
        <w:rPr>
          <w:sz w:val="24"/>
        </w:rPr>
        <w:t xml:space="preserve"> is true—</w:t>
      </w:r>
      <w:r w:rsidR="00D201FB">
        <w:rPr>
          <w:sz w:val="24"/>
        </w:rPr>
        <w:t>every party had a seat at the table</w:t>
      </w:r>
      <w:r w:rsidR="00A6770D">
        <w:rPr>
          <w:sz w:val="24"/>
        </w:rPr>
        <w:t>.</w:t>
      </w:r>
      <w:r w:rsidR="00DF1664" w:rsidRPr="00AF23C1">
        <w:rPr>
          <w:sz w:val="24"/>
        </w:rPr>
        <w:t xml:space="preserve"> </w:t>
      </w:r>
      <w:r>
        <w:rPr>
          <w:sz w:val="24"/>
        </w:rPr>
        <w:t xml:space="preserve"> </w:t>
      </w:r>
      <w:r w:rsidR="00DF1664" w:rsidRPr="00AF23C1">
        <w:rPr>
          <w:sz w:val="24"/>
        </w:rPr>
        <w:t xml:space="preserve">Thus, </w:t>
      </w:r>
      <w:r w:rsidR="00A6770D">
        <w:rPr>
          <w:i/>
          <w:sz w:val="24"/>
        </w:rPr>
        <w:t>Time Warner</w:t>
      </w:r>
      <w:r>
        <w:rPr>
          <w:sz w:val="24"/>
        </w:rPr>
        <w:t xml:space="preserve"> supports the seriousness of the bargaining over the Stipulation.</w:t>
      </w:r>
      <w:r w:rsidR="00083FDD" w:rsidRPr="00083FDD">
        <w:rPr>
          <w:sz w:val="24"/>
        </w:rPr>
        <w:t xml:space="preserve">  </w:t>
      </w:r>
    </w:p>
    <w:p w:rsidR="001241E7" w:rsidRDefault="00AF23C1" w:rsidP="001C30FB">
      <w:pPr>
        <w:spacing w:line="480" w:lineRule="auto"/>
        <w:ind w:firstLine="720"/>
        <w:rPr>
          <w:sz w:val="24"/>
        </w:rPr>
      </w:pPr>
      <w:r>
        <w:rPr>
          <w:sz w:val="24"/>
        </w:rPr>
        <w:t xml:space="preserve">Finally, </w:t>
      </w:r>
      <w:r w:rsidR="001C30FB">
        <w:rPr>
          <w:sz w:val="24"/>
        </w:rPr>
        <w:t>OCC attacks the substance of the portion of the</w:t>
      </w:r>
      <w:r>
        <w:rPr>
          <w:sz w:val="24"/>
        </w:rPr>
        <w:t xml:space="preserve"> </w:t>
      </w:r>
      <w:r w:rsidR="001C30FB">
        <w:rPr>
          <w:sz w:val="24"/>
        </w:rPr>
        <w:t>Enhancement Agreem</w:t>
      </w:r>
      <w:r w:rsidR="001D34D3">
        <w:rPr>
          <w:sz w:val="24"/>
        </w:rPr>
        <w:t xml:space="preserve">ent which relates to the </w:t>
      </w:r>
      <w:r w:rsidR="001C30FB">
        <w:rPr>
          <w:sz w:val="24"/>
        </w:rPr>
        <w:t xml:space="preserve">Incentive Rider.  OCC claims that </w:t>
      </w:r>
      <w:r w:rsidR="002817E1">
        <w:rPr>
          <w:sz w:val="24"/>
        </w:rPr>
        <w:t xml:space="preserve">the </w:t>
      </w:r>
      <w:r w:rsidR="001C30FB">
        <w:rPr>
          <w:sz w:val="24"/>
        </w:rPr>
        <w:t xml:space="preserve">provision would result in an unreasonable price to consumers by falsely inflating the SSO price.  </w:t>
      </w:r>
      <w:proofErr w:type="gramStart"/>
      <w:r w:rsidR="001C30FB">
        <w:rPr>
          <w:sz w:val="24"/>
        </w:rPr>
        <w:t>OCC at 43.</w:t>
      </w:r>
      <w:proofErr w:type="gramEnd"/>
      <w:r w:rsidR="001C30FB">
        <w:rPr>
          <w:sz w:val="24"/>
        </w:rPr>
        <w:t xml:space="preserve">  As IGS indicated in its testimony and Initial Brief, </w:t>
      </w:r>
      <w:r w:rsidR="00073C1A">
        <w:rPr>
          <w:sz w:val="24"/>
        </w:rPr>
        <w:t>while competition has developed well for the industrial class of customers in Firs</w:t>
      </w:r>
      <w:r w:rsidR="004C48C4">
        <w:rPr>
          <w:sz w:val="24"/>
        </w:rPr>
        <w:t>tEnergy’s service territory, most of the</w:t>
      </w:r>
      <w:r w:rsidR="00073C1A">
        <w:rPr>
          <w:sz w:val="24"/>
        </w:rPr>
        <w:t xml:space="preserve"> residentia</w:t>
      </w:r>
      <w:r w:rsidR="004C48C4">
        <w:rPr>
          <w:sz w:val="24"/>
        </w:rPr>
        <w:t>l switching has occurred as</w:t>
      </w:r>
      <w:r w:rsidR="00073C1A">
        <w:rPr>
          <w:sz w:val="24"/>
        </w:rPr>
        <w:t xml:space="preserve"> the result of municipal aggregation.</w:t>
      </w:r>
      <w:r w:rsidR="00166C76">
        <w:rPr>
          <w:rStyle w:val="FootnoteReference"/>
          <w:sz w:val="24"/>
        </w:rPr>
        <w:footnoteReference w:id="9"/>
      </w:r>
      <w:r w:rsidR="00073C1A">
        <w:rPr>
          <w:sz w:val="24"/>
        </w:rPr>
        <w:t xml:space="preserve">  </w:t>
      </w:r>
      <w:r w:rsidR="001241E7">
        <w:rPr>
          <w:sz w:val="24"/>
        </w:rPr>
        <w:t>Thus, Mr. White stated that “it can</w:t>
      </w:r>
      <w:r w:rsidR="001241E7" w:rsidRPr="001241E7">
        <w:rPr>
          <w:sz w:val="24"/>
        </w:rPr>
        <w:t xml:space="preserve"> be concluded that the Ohio competitive el</w:t>
      </w:r>
      <w:r w:rsidR="001241E7">
        <w:rPr>
          <w:sz w:val="24"/>
        </w:rPr>
        <w:t xml:space="preserve">ectric markets have done a good </w:t>
      </w:r>
      <w:r w:rsidR="001241E7" w:rsidRPr="001241E7">
        <w:rPr>
          <w:sz w:val="24"/>
        </w:rPr>
        <w:t>job encouraging opt-out aggregation in the FirstEnergy service territory, but have</w:t>
      </w:r>
      <w:r w:rsidR="001241E7">
        <w:rPr>
          <w:sz w:val="24"/>
        </w:rPr>
        <w:t xml:space="preserve"> </w:t>
      </w:r>
      <w:r w:rsidR="001241E7" w:rsidRPr="001241E7">
        <w:rPr>
          <w:sz w:val="24"/>
        </w:rPr>
        <w:t>done a poor job at encouraging customers to affirm</w:t>
      </w:r>
      <w:r w:rsidR="001241E7">
        <w:rPr>
          <w:sz w:val="24"/>
        </w:rPr>
        <w:t xml:space="preserve">atively enroll in a competitive </w:t>
      </w:r>
      <w:r w:rsidR="001241E7" w:rsidRPr="001241E7">
        <w:rPr>
          <w:sz w:val="24"/>
        </w:rPr>
        <w:t>product or otherwise engage in the competitive market.</w:t>
      </w:r>
      <w:r w:rsidR="001241E7">
        <w:rPr>
          <w:sz w:val="24"/>
        </w:rPr>
        <w:t>”</w:t>
      </w:r>
      <w:r w:rsidR="00166C76">
        <w:rPr>
          <w:rStyle w:val="FootnoteReference"/>
          <w:sz w:val="24"/>
        </w:rPr>
        <w:footnoteReference w:id="10"/>
      </w:r>
      <w:r w:rsidR="001241E7">
        <w:rPr>
          <w:sz w:val="24"/>
        </w:rPr>
        <w:t xml:space="preserve">  </w:t>
      </w:r>
      <w:r w:rsidR="00073C1A">
        <w:rPr>
          <w:sz w:val="24"/>
        </w:rPr>
        <w:t xml:space="preserve">Mr. White further recommended that the Commission modify FirstEnergy’s </w:t>
      </w:r>
      <w:r w:rsidR="00073C1A" w:rsidRPr="00C3511D">
        <w:rPr>
          <w:sz w:val="24"/>
        </w:rPr>
        <w:t>ESP to address this shortcoming.</w:t>
      </w:r>
    </w:p>
    <w:p w:rsidR="004E0A4C" w:rsidRDefault="001C30FB" w:rsidP="001C30FB">
      <w:pPr>
        <w:spacing w:line="480" w:lineRule="auto"/>
        <w:ind w:firstLine="720"/>
        <w:rPr>
          <w:sz w:val="24"/>
        </w:rPr>
      </w:pPr>
      <w:r>
        <w:rPr>
          <w:sz w:val="24"/>
        </w:rPr>
        <w:t>FirstEnergy witness Mikkelsen testified, the Incentive Rider</w:t>
      </w:r>
      <w:r w:rsidR="009065BA">
        <w:rPr>
          <w:sz w:val="24"/>
        </w:rPr>
        <w:t xml:space="preserve"> “would </w:t>
      </w:r>
      <w:r w:rsidR="009065BA" w:rsidRPr="009065BA">
        <w:rPr>
          <w:sz w:val="24"/>
        </w:rPr>
        <w:t>potentially create greater supplier interest in</w:t>
      </w:r>
      <w:r w:rsidR="009065BA">
        <w:rPr>
          <w:sz w:val="24"/>
        </w:rPr>
        <w:t xml:space="preserve"> </w:t>
      </w:r>
      <w:r w:rsidR="009065BA" w:rsidRPr="009065BA">
        <w:rPr>
          <w:sz w:val="24"/>
        </w:rPr>
        <w:t>participating in</w:t>
      </w:r>
      <w:r w:rsidR="009065BA">
        <w:rPr>
          <w:sz w:val="24"/>
        </w:rPr>
        <w:t xml:space="preserve"> the competitive market for the </w:t>
      </w:r>
      <w:r w:rsidR="009065BA" w:rsidRPr="009065BA">
        <w:rPr>
          <w:sz w:val="24"/>
        </w:rPr>
        <w:t>c</w:t>
      </w:r>
      <w:r w:rsidR="00536055">
        <w:rPr>
          <w:sz w:val="24"/>
        </w:rPr>
        <w:t xml:space="preserve">ompanies and, in turn, provide . . . </w:t>
      </w:r>
      <w:r w:rsidR="009065BA" w:rsidRPr="009065BA">
        <w:rPr>
          <w:sz w:val="24"/>
        </w:rPr>
        <w:t>a more</w:t>
      </w:r>
      <w:r w:rsidR="009065BA">
        <w:rPr>
          <w:sz w:val="24"/>
        </w:rPr>
        <w:t xml:space="preserve"> </w:t>
      </w:r>
      <w:r w:rsidR="009065BA" w:rsidRPr="009065BA">
        <w:rPr>
          <w:sz w:val="24"/>
        </w:rPr>
        <w:t>robust competitive e</w:t>
      </w:r>
      <w:r w:rsidR="009065BA">
        <w:rPr>
          <w:sz w:val="24"/>
        </w:rPr>
        <w:t xml:space="preserve">nvironment for the </w:t>
      </w:r>
      <w:r w:rsidR="009065BA">
        <w:rPr>
          <w:sz w:val="24"/>
        </w:rPr>
        <w:lastRenderedPageBreak/>
        <w:t xml:space="preserve">customers of </w:t>
      </w:r>
      <w:r w:rsidR="009065BA" w:rsidRPr="009065BA">
        <w:rPr>
          <w:sz w:val="24"/>
        </w:rPr>
        <w:t>the companies.</w:t>
      </w:r>
      <w:r w:rsidR="009065BA">
        <w:rPr>
          <w:sz w:val="24"/>
        </w:rPr>
        <w:t>”</w:t>
      </w:r>
      <w:r w:rsidR="004C64A0">
        <w:rPr>
          <w:rStyle w:val="FootnoteReference"/>
          <w:sz w:val="24"/>
        </w:rPr>
        <w:footnoteReference w:id="11"/>
      </w:r>
      <w:r w:rsidR="00F72C93">
        <w:rPr>
          <w:sz w:val="24"/>
        </w:rPr>
        <w:t xml:space="preserve"> </w:t>
      </w:r>
      <w:r w:rsidR="00827F13">
        <w:rPr>
          <w:sz w:val="24"/>
        </w:rPr>
        <w:t>A</w:t>
      </w:r>
      <w:r w:rsidR="00F72C93">
        <w:rPr>
          <w:sz w:val="24"/>
        </w:rPr>
        <w:t xml:space="preserve"> similar proposal is currently under consideration as part of the stipulation and recommendation submitted in Ohio Power Company’s supplemental purchase power</w:t>
      </w:r>
      <w:r w:rsidR="00827F13">
        <w:rPr>
          <w:sz w:val="24"/>
        </w:rPr>
        <w:t xml:space="preserve"> agreement</w:t>
      </w:r>
      <w:r w:rsidR="00F72C93">
        <w:rPr>
          <w:sz w:val="24"/>
        </w:rPr>
        <w:t xml:space="preserve"> proceeding, which is supported by the Commission Staff.</w:t>
      </w:r>
      <w:r w:rsidR="009065BA">
        <w:rPr>
          <w:sz w:val="24"/>
        </w:rPr>
        <w:t xml:space="preserve">  </w:t>
      </w:r>
    </w:p>
    <w:p w:rsidR="004E0A4C" w:rsidRDefault="004E0A4C" w:rsidP="004E0A4C">
      <w:pPr>
        <w:spacing w:line="480" w:lineRule="auto"/>
        <w:ind w:firstLine="720"/>
        <w:rPr>
          <w:sz w:val="24"/>
        </w:rPr>
      </w:pPr>
      <w:r>
        <w:rPr>
          <w:sz w:val="24"/>
        </w:rPr>
        <w:t>Moreover, IGS has identified that the standard service offer avoids costs that are necessary to provide retail electric service.</w:t>
      </w:r>
      <w:r>
        <w:rPr>
          <w:rStyle w:val="FootnoteReference"/>
          <w:sz w:val="24"/>
        </w:rPr>
        <w:footnoteReference w:id="12"/>
      </w:r>
      <w:r>
        <w:rPr>
          <w:sz w:val="24"/>
        </w:rPr>
        <w:t xml:space="preserve">  Authorizing a placeholder Incentive Rider will provide FirstEnergy with an opportunity to submit a proposal to increase the comparability of the default rate and retail products in the market and otherwise incentivize shopping.</w:t>
      </w:r>
      <w:r w:rsidR="0093314B">
        <w:rPr>
          <w:sz w:val="24"/>
        </w:rPr>
        <w:t xml:space="preserve">  The Commission will ultimately render a determination on the appropriateness of including a charge in the Incentive Rider in a separate proceeding and </w:t>
      </w:r>
      <w:r>
        <w:rPr>
          <w:sz w:val="24"/>
        </w:rPr>
        <w:t xml:space="preserve">OCC will have </w:t>
      </w:r>
      <w:r w:rsidR="0093314B">
        <w:rPr>
          <w:sz w:val="24"/>
        </w:rPr>
        <w:t>an opportunity to participate in that process.  T</w:t>
      </w:r>
      <w:r>
        <w:rPr>
          <w:sz w:val="24"/>
        </w:rPr>
        <w:t xml:space="preserve">hus, </w:t>
      </w:r>
      <w:r w:rsidR="0093314B">
        <w:rPr>
          <w:sz w:val="24"/>
        </w:rPr>
        <w:t>OCC’s arguments</w:t>
      </w:r>
      <w:r>
        <w:rPr>
          <w:sz w:val="24"/>
        </w:rPr>
        <w:t xml:space="preserve"> are premature and can be considered at a later date.</w:t>
      </w:r>
    </w:p>
    <w:p w:rsidR="00BE7C1A" w:rsidRPr="00BE7C1A" w:rsidRDefault="00BE7C1A" w:rsidP="00FA18B2">
      <w:pPr>
        <w:pStyle w:val="PlainText"/>
        <w:spacing w:line="480" w:lineRule="auto"/>
        <w:ind w:firstLine="360"/>
        <w:jc w:val="both"/>
        <w:rPr>
          <w:rFonts w:ascii="Arial" w:hAnsi="Arial" w:cs="Arial"/>
          <w:b/>
          <w:sz w:val="24"/>
          <w:szCs w:val="24"/>
        </w:rPr>
      </w:pPr>
      <w:r>
        <w:rPr>
          <w:rFonts w:ascii="Arial" w:hAnsi="Arial" w:cs="Arial"/>
          <w:b/>
          <w:sz w:val="24"/>
          <w:szCs w:val="24"/>
        </w:rPr>
        <w:t xml:space="preserve">III. </w:t>
      </w:r>
      <w:r w:rsidRPr="00BE7C1A">
        <w:rPr>
          <w:rFonts w:ascii="Arial" w:hAnsi="Arial" w:cs="Arial"/>
          <w:b/>
          <w:sz w:val="24"/>
          <w:szCs w:val="24"/>
          <w:u w:val="single"/>
        </w:rPr>
        <w:t>CONCLUSION</w:t>
      </w:r>
    </w:p>
    <w:p w:rsidR="00073C1A" w:rsidRPr="004C64A0" w:rsidRDefault="00BE7C1A" w:rsidP="004C64A0">
      <w:pPr>
        <w:pStyle w:val="PlainText"/>
        <w:spacing w:line="480" w:lineRule="auto"/>
        <w:jc w:val="both"/>
        <w:rPr>
          <w:rFonts w:ascii="Arial" w:hAnsi="Arial" w:cs="Arial"/>
          <w:sz w:val="24"/>
          <w:szCs w:val="24"/>
        </w:rPr>
      </w:pPr>
      <w:r>
        <w:rPr>
          <w:rFonts w:ascii="Arial" w:hAnsi="Arial" w:cs="Arial"/>
          <w:sz w:val="24"/>
          <w:szCs w:val="24"/>
        </w:rPr>
        <w:tab/>
      </w:r>
      <w:r w:rsidR="00477A16">
        <w:rPr>
          <w:rFonts w:ascii="Arial" w:hAnsi="Arial" w:cs="Arial"/>
          <w:sz w:val="24"/>
          <w:szCs w:val="24"/>
        </w:rPr>
        <w:t>While many parties have tried to shift the focus of this proceeding to the Enhancement Agreement, the fact is that the Enhancement Agreement did not impact the subs</w:t>
      </w:r>
      <w:r w:rsidR="00827F13">
        <w:rPr>
          <w:rFonts w:ascii="Arial" w:hAnsi="Arial" w:cs="Arial"/>
          <w:sz w:val="24"/>
          <w:szCs w:val="24"/>
        </w:rPr>
        <w:t>tance of the Stipulation.  T</w:t>
      </w:r>
      <w:r w:rsidR="00477A16">
        <w:rPr>
          <w:rFonts w:ascii="Arial" w:hAnsi="Arial" w:cs="Arial"/>
          <w:sz w:val="24"/>
          <w:szCs w:val="24"/>
        </w:rPr>
        <w:t xml:space="preserve">he Commission is not currently evaluating the substance of the Enhancement Agreement or the process through which it was entered—that agreement will be the subject of future proceedings and additional due process. </w:t>
      </w:r>
      <w:r w:rsidR="00827F13">
        <w:rPr>
          <w:rFonts w:ascii="Arial" w:hAnsi="Arial" w:cs="Arial"/>
          <w:sz w:val="24"/>
          <w:szCs w:val="24"/>
        </w:rPr>
        <w:t xml:space="preserve">Thus, it is clear that the Stipulation was the product of serious bargaining and should be approved.  </w:t>
      </w:r>
    </w:p>
    <w:p w:rsidR="00F135F3" w:rsidRDefault="00F135F3" w:rsidP="00073C1A">
      <w:pPr>
        <w:rPr>
          <w:sz w:val="24"/>
        </w:rPr>
      </w:pPr>
    </w:p>
    <w:p w:rsidR="00B54B55" w:rsidRDefault="00B54B55" w:rsidP="00B54B55">
      <w:pPr>
        <w:ind w:left="5040"/>
        <w:rPr>
          <w:rFonts w:eastAsia="Calibri"/>
          <w:sz w:val="24"/>
        </w:rPr>
      </w:pPr>
      <w:r>
        <w:rPr>
          <w:rFonts w:eastAsia="Calibri"/>
          <w:sz w:val="24"/>
        </w:rPr>
        <w:lastRenderedPageBreak/>
        <w:t>Respectfully submitted,</w:t>
      </w:r>
    </w:p>
    <w:p w:rsidR="00B54B55" w:rsidRDefault="00B54B55" w:rsidP="00B54B55">
      <w:pPr>
        <w:rPr>
          <w:rFonts w:eastAsia="Calibri"/>
          <w:sz w:val="24"/>
        </w:rPr>
      </w:pPr>
    </w:p>
    <w:p w:rsidR="00B54B55" w:rsidRDefault="00B54B55" w:rsidP="00B54B55">
      <w:pPr>
        <w:ind w:left="5040"/>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p>
    <w:p w:rsidR="00B54B55" w:rsidRDefault="00B54B55" w:rsidP="00B54B55">
      <w:pPr>
        <w:ind w:left="5040"/>
        <w:rPr>
          <w:rFonts w:eastAsia="Arial"/>
          <w:i/>
          <w:sz w:val="24"/>
          <w:u w:val="single"/>
        </w:rPr>
      </w:pPr>
      <w:r>
        <w:rPr>
          <w:rFonts w:eastAsia="Arial"/>
          <w:i/>
          <w:sz w:val="24"/>
          <w:u w:val="single"/>
        </w:rPr>
        <w:t>/s/ Joseph Oliker</w:t>
      </w:r>
    </w:p>
    <w:p w:rsidR="00B54B55" w:rsidRPr="007B3399" w:rsidRDefault="00B54B55" w:rsidP="00B54B55">
      <w:pPr>
        <w:ind w:left="5040"/>
        <w:rPr>
          <w:sz w:val="24"/>
        </w:rPr>
      </w:pPr>
      <w:r>
        <w:rPr>
          <w:rFonts w:eastAsia="Arial"/>
          <w:sz w:val="24"/>
        </w:rPr>
        <w:t xml:space="preserve">Joseph Oliker </w:t>
      </w:r>
      <w:r>
        <w:rPr>
          <w:sz w:val="24"/>
        </w:rPr>
        <w:t>(0086088)</w:t>
      </w:r>
    </w:p>
    <w:p w:rsidR="00B54B55" w:rsidRDefault="00B54B55" w:rsidP="00B54B55">
      <w:pPr>
        <w:ind w:left="5040"/>
        <w:rPr>
          <w:rFonts w:eastAsia="Calibri"/>
          <w:sz w:val="24"/>
          <w:u w:val="single"/>
        </w:rPr>
      </w:pPr>
      <w:r>
        <w:rPr>
          <w:rFonts w:eastAsia="Arial"/>
          <w:sz w:val="24"/>
        </w:rPr>
        <w:t xml:space="preserve">Counsel of Record </w:t>
      </w:r>
    </w:p>
    <w:p w:rsidR="00B54B55" w:rsidRDefault="00B54B55" w:rsidP="00B54B55">
      <w:pPr>
        <w:ind w:left="5040"/>
        <w:rPr>
          <w:sz w:val="24"/>
        </w:rPr>
      </w:pPr>
      <w:r>
        <w:rPr>
          <w:sz w:val="24"/>
        </w:rPr>
        <w:t>Email:  joliker@igsenergy.com</w:t>
      </w:r>
    </w:p>
    <w:p w:rsidR="00B54B55" w:rsidRDefault="00B54B55" w:rsidP="00B54B55">
      <w:pPr>
        <w:ind w:left="5040"/>
        <w:rPr>
          <w:sz w:val="24"/>
        </w:rPr>
      </w:pPr>
      <w:r>
        <w:rPr>
          <w:sz w:val="24"/>
        </w:rPr>
        <w:t>IGS Energy</w:t>
      </w:r>
    </w:p>
    <w:p w:rsidR="00B54B55" w:rsidRDefault="00B54B55" w:rsidP="00B54B55">
      <w:pPr>
        <w:ind w:left="5040"/>
        <w:rPr>
          <w:sz w:val="24"/>
        </w:rPr>
      </w:pPr>
      <w:r>
        <w:rPr>
          <w:sz w:val="24"/>
        </w:rPr>
        <w:t>6100 Emerald Parkway</w:t>
      </w:r>
    </w:p>
    <w:p w:rsidR="00B54B55" w:rsidRDefault="00B54B55" w:rsidP="00B54B55">
      <w:pPr>
        <w:ind w:left="5040"/>
        <w:rPr>
          <w:sz w:val="24"/>
        </w:rPr>
      </w:pPr>
      <w:r>
        <w:rPr>
          <w:sz w:val="24"/>
        </w:rPr>
        <w:t>Dublin, Ohio 43016</w:t>
      </w:r>
    </w:p>
    <w:p w:rsidR="00B54B55" w:rsidRDefault="00B54B55" w:rsidP="00B54B55">
      <w:pPr>
        <w:ind w:left="5040"/>
        <w:rPr>
          <w:sz w:val="24"/>
        </w:rPr>
      </w:pPr>
      <w:r>
        <w:rPr>
          <w:sz w:val="24"/>
        </w:rPr>
        <w:t>Telephone:</w:t>
      </w:r>
      <w:r>
        <w:rPr>
          <w:sz w:val="24"/>
        </w:rPr>
        <w:tab/>
        <w:t>(614) 659-5000</w:t>
      </w:r>
    </w:p>
    <w:p w:rsidR="00B54B55" w:rsidRDefault="00B54B55" w:rsidP="00B54B55">
      <w:pPr>
        <w:ind w:left="5040"/>
        <w:rPr>
          <w:sz w:val="24"/>
        </w:rPr>
      </w:pPr>
      <w:r>
        <w:rPr>
          <w:sz w:val="24"/>
        </w:rPr>
        <w:t>Facsimile:</w:t>
      </w:r>
      <w:r>
        <w:rPr>
          <w:sz w:val="24"/>
        </w:rPr>
        <w:tab/>
        <w:t>(614) 659-5073</w:t>
      </w:r>
    </w:p>
    <w:p w:rsidR="00B54B55" w:rsidRDefault="00B54B55" w:rsidP="00B54B55">
      <w:pPr>
        <w:ind w:left="5040"/>
        <w:rPr>
          <w:sz w:val="24"/>
        </w:rPr>
      </w:pPr>
    </w:p>
    <w:p w:rsidR="00F40E07" w:rsidRDefault="00B54B55" w:rsidP="00BA64F2">
      <w:pPr>
        <w:spacing w:line="480" w:lineRule="auto"/>
        <w:ind w:left="5040"/>
        <w:rPr>
          <w:b/>
          <w:i/>
          <w:sz w:val="22"/>
          <w:szCs w:val="22"/>
        </w:rPr>
      </w:pPr>
      <w:proofErr w:type="gramStart"/>
      <w:r w:rsidRPr="00B54B55">
        <w:rPr>
          <w:b/>
          <w:i/>
          <w:sz w:val="22"/>
          <w:szCs w:val="22"/>
        </w:rPr>
        <w:t>Attorney</w:t>
      </w:r>
      <w:r w:rsidR="00BA64F2">
        <w:rPr>
          <w:b/>
          <w:i/>
          <w:sz w:val="22"/>
          <w:szCs w:val="22"/>
        </w:rPr>
        <w:t xml:space="preserve"> for Interstate Gas Supply, Inc.</w:t>
      </w:r>
      <w:proofErr w:type="gramEnd"/>
    </w:p>
    <w:p w:rsidR="00536055" w:rsidRDefault="00536055" w:rsidP="00BA64F2">
      <w:pPr>
        <w:spacing w:line="480" w:lineRule="auto"/>
        <w:ind w:left="5040"/>
        <w:rPr>
          <w:b/>
          <w:i/>
          <w:sz w:val="22"/>
          <w:szCs w:val="22"/>
        </w:rPr>
      </w:pPr>
    </w:p>
    <w:p w:rsidR="0092305F" w:rsidRDefault="0092305F"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7D1E2D" w:rsidRDefault="007D1E2D" w:rsidP="00F72C93">
      <w:pPr>
        <w:spacing w:line="480" w:lineRule="auto"/>
        <w:rPr>
          <w:b/>
          <w:i/>
          <w:sz w:val="22"/>
          <w:szCs w:val="22"/>
        </w:rPr>
      </w:pPr>
    </w:p>
    <w:p w:rsidR="00963246" w:rsidRDefault="00963246" w:rsidP="00F72C93">
      <w:pPr>
        <w:spacing w:line="480" w:lineRule="auto"/>
        <w:rPr>
          <w:b/>
          <w:i/>
          <w:sz w:val="22"/>
          <w:szCs w:val="22"/>
        </w:rPr>
      </w:pPr>
    </w:p>
    <w:p w:rsidR="00963246" w:rsidRDefault="00963246" w:rsidP="00F72C93">
      <w:pPr>
        <w:spacing w:line="480" w:lineRule="auto"/>
        <w:rPr>
          <w:b/>
          <w:i/>
          <w:sz w:val="22"/>
          <w:szCs w:val="22"/>
        </w:rPr>
      </w:pPr>
    </w:p>
    <w:p w:rsidR="0092305F" w:rsidRPr="00BA64F2" w:rsidRDefault="0092305F" w:rsidP="00F72C93">
      <w:pPr>
        <w:spacing w:line="480" w:lineRule="auto"/>
        <w:rPr>
          <w:b/>
          <w:i/>
          <w:sz w:val="22"/>
          <w:szCs w:val="22"/>
        </w:rPr>
      </w:pPr>
    </w:p>
    <w:p w:rsidR="00B54B55" w:rsidRPr="009D71F6" w:rsidRDefault="00B54B55" w:rsidP="00B54B55">
      <w:pPr>
        <w:suppressLineNumbers/>
        <w:jc w:val="center"/>
        <w:rPr>
          <w:rFonts w:eastAsia="Arial"/>
          <w:b/>
          <w:sz w:val="24"/>
          <w:u w:val="single"/>
        </w:rPr>
      </w:pPr>
      <w:r w:rsidRPr="009D71F6">
        <w:rPr>
          <w:rFonts w:eastAsia="Arial"/>
          <w:b/>
          <w:sz w:val="24"/>
          <w:u w:val="single"/>
        </w:rPr>
        <w:lastRenderedPageBreak/>
        <w:t>CERTIFICATE OF SERVICE</w:t>
      </w:r>
    </w:p>
    <w:p w:rsidR="00B54B55" w:rsidRPr="009D71F6" w:rsidRDefault="00B54B55" w:rsidP="00B54B55">
      <w:pPr>
        <w:suppressLineNumbers/>
        <w:jc w:val="center"/>
        <w:rPr>
          <w:rFonts w:eastAsia="Arial"/>
          <w:b/>
          <w:sz w:val="24"/>
          <w:u w:val="single"/>
        </w:rPr>
      </w:pPr>
    </w:p>
    <w:p w:rsidR="00B54B55" w:rsidRPr="009D71F6" w:rsidRDefault="00B54B55" w:rsidP="00B54B55">
      <w:pPr>
        <w:suppressLineNumbers/>
        <w:rPr>
          <w:rFonts w:eastAsia="Calibri"/>
          <w:sz w:val="24"/>
        </w:rPr>
      </w:pPr>
      <w:r w:rsidRPr="009D71F6">
        <w:rPr>
          <w:rFonts w:eastAsia="Arial"/>
          <w:sz w:val="24"/>
        </w:rPr>
        <w:tab/>
      </w:r>
      <w:r>
        <w:rPr>
          <w:rFonts w:eastAsia="Calibri"/>
          <w:sz w:val="24"/>
        </w:rPr>
        <w:t>The unders</w:t>
      </w:r>
      <w:r w:rsidRPr="009D71F6">
        <w:rPr>
          <w:rFonts w:eastAsia="Calibri"/>
          <w:sz w:val="24"/>
        </w:rPr>
        <w:t>igned hereby certifies that a copy of the foregoing</w:t>
      </w:r>
      <w:r>
        <w:rPr>
          <w:rFonts w:eastAsia="Calibri"/>
          <w:sz w:val="24"/>
        </w:rPr>
        <w:t xml:space="preserve"> </w:t>
      </w:r>
      <w:r w:rsidR="0092305F">
        <w:rPr>
          <w:rFonts w:eastAsia="Calibri"/>
          <w:i/>
          <w:sz w:val="24"/>
        </w:rPr>
        <w:t>Reply</w:t>
      </w:r>
      <w:r w:rsidR="00BA64F2">
        <w:rPr>
          <w:rFonts w:eastAsia="Calibri"/>
          <w:i/>
          <w:sz w:val="24"/>
        </w:rPr>
        <w:t xml:space="preserve"> Brief</w:t>
      </w:r>
      <w:r>
        <w:rPr>
          <w:rFonts w:eastAsia="Calibri"/>
          <w:i/>
          <w:sz w:val="24"/>
        </w:rPr>
        <w:t xml:space="preserve"> of Interstate Gas Supply, Inc. </w:t>
      </w:r>
      <w:r w:rsidRPr="009D71F6">
        <w:rPr>
          <w:rFonts w:eastAsia="Calibri"/>
          <w:sz w:val="24"/>
        </w:rPr>
        <w:t xml:space="preserve">was served this </w:t>
      </w:r>
      <w:r w:rsidR="0092305F">
        <w:rPr>
          <w:rFonts w:eastAsia="Calibri"/>
          <w:sz w:val="24"/>
        </w:rPr>
        <w:t>the 26</w:t>
      </w:r>
      <w:r w:rsidR="00BA64F2">
        <w:rPr>
          <w:rFonts w:eastAsia="Calibri"/>
          <w:sz w:val="24"/>
        </w:rPr>
        <w:t>th day of February 2016</w:t>
      </w:r>
      <w:r w:rsidRPr="009D71F6">
        <w:rPr>
          <w:rFonts w:eastAsia="Calibri"/>
          <w:sz w:val="24"/>
        </w:rPr>
        <w:t xml:space="preserve"> via electronic mail upon the following:</w:t>
      </w:r>
    </w:p>
    <w:p w:rsidR="006E13EC" w:rsidRDefault="006E13EC" w:rsidP="006E13EC">
      <w:pPr>
        <w:suppressLineNumbers/>
        <w:rPr>
          <w:rFonts w:eastAsia="Calibri"/>
          <w:sz w:val="24"/>
        </w:rPr>
      </w:pPr>
    </w:p>
    <w:p w:rsidR="006E13EC" w:rsidRPr="00F46354" w:rsidRDefault="006E13EC" w:rsidP="006E13EC">
      <w:pPr>
        <w:suppressLineNumbers/>
        <w:rPr>
          <w:sz w:val="16"/>
          <w:szCs w:val="16"/>
        </w:rPr>
      </w:pPr>
    </w:p>
    <w:tbl>
      <w:tblPr>
        <w:tblStyle w:val="TableGrid"/>
        <w:tblW w:w="0" w:type="auto"/>
        <w:tblLook w:val="04A0" w:firstRow="1" w:lastRow="0" w:firstColumn="1" w:lastColumn="0" w:noHBand="0" w:noVBand="1"/>
      </w:tblPr>
      <w:tblGrid>
        <w:gridCol w:w="4788"/>
        <w:gridCol w:w="4788"/>
      </w:tblGrid>
      <w:tr w:rsidR="006E13EC" w:rsidRPr="0004430E" w:rsidTr="005C00AF">
        <w:tc>
          <w:tcPr>
            <w:tcW w:w="4788" w:type="dxa"/>
          </w:tcPr>
          <w:p w:rsidR="006E13EC" w:rsidRPr="006E13EC" w:rsidRDefault="006E13EC" w:rsidP="005C00AF">
            <w:pPr>
              <w:jc w:val="both"/>
              <w:rPr>
                <w:rFonts w:ascii="Arial" w:hAnsi="Arial" w:cs="Arial"/>
              </w:rPr>
            </w:pPr>
            <w:r w:rsidRPr="006E13EC">
              <w:rPr>
                <w:rFonts w:ascii="Arial" w:hAnsi="Arial" w:cs="Arial"/>
              </w:rPr>
              <w:t xml:space="preserve">Thomas.mcnamee@puc.state.oh.us Thomas.lindgren@puc.state.oh.us Ryan.orourke@puc.state.oh.us </w:t>
            </w:r>
          </w:p>
          <w:p w:rsidR="006E13EC" w:rsidRPr="006E13EC" w:rsidRDefault="006E13EC" w:rsidP="005C00AF">
            <w:pPr>
              <w:jc w:val="both"/>
              <w:rPr>
                <w:rFonts w:ascii="Arial" w:hAnsi="Arial" w:cs="Arial"/>
              </w:rPr>
            </w:pPr>
            <w:r w:rsidRPr="006E13EC">
              <w:rPr>
                <w:rFonts w:ascii="Arial" w:hAnsi="Arial" w:cs="Arial"/>
              </w:rPr>
              <w:t xml:space="preserve">mkurtz@BKLlawfirm.com kboehm@BKLlawfirm.com jkylercohn@BKLlawfirm.com stnourse@aep.com </w:t>
            </w:r>
          </w:p>
          <w:p w:rsidR="006E13EC" w:rsidRPr="006E13EC" w:rsidRDefault="00B30ABA" w:rsidP="005C00AF">
            <w:pPr>
              <w:jc w:val="both"/>
              <w:rPr>
                <w:rFonts w:ascii="Arial" w:hAnsi="Arial" w:cs="Arial"/>
              </w:rPr>
            </w:pPr>
            <w:hyperlink r:id="rId9" w:history="1">
              <w:r w:rsidR="006E13EC" w:rsidRPr="006E13EC">
                <w:rPr>
                  <w:rStyle w:val="Hyperlink"/>
                  <w:rFonts w:ascii="Arial" w:hAnsi="Arial" w:cs="Arial"/>
                  <w:color w:val="auto"/>
                  <w:u w:val="none"/>
                </w:rPr>
                <w:t>mjsatterwhite@aep.com</w:t>
              </w:r>
            </w:hyperlink>
            <w:r w:rsidR="006E13EC" w:rsidRPr="006E13EC">
              <w:rPr>
                <w:rFonts w:ascii="Arial" w:hAnsi="Arial" w:cs="Arial"/>
              </w:rPr>
              <w:t xml:space="preserve"> </w:t>
            </w:r>
          </w:p>
          <w:p w:rsidR="006E13EC" w:rsidRPr="006E13EC" w:rsidRDefault="006E13EC" w:rsidP="005C00AF">
            <w:pPr>
              <w:jc w:val="both"/>
              <w:rPr>
                <w:rFonts w:ascii="Arial" w:hAnsi="Arial" w:cs="Arial"/>
              </w:rPr>
            </w:pPr>
            <w:r w:rsidRPr="006E13EC">
              <w:rPr>
                <w:rFonts w:ascii="Arial" w:hAnsi="Arial" w:cs="Arial"/>
              </w:rPr>
              <w:t xml:space="preserve">yalami@aep.com joseph.clark@directenergy.com ghull@eckertseamans.com </w:t>
            </w:r>
          </w:p>
          <w:p w:rsidR="006E13EC" w:rsidRPr="006E13EC" w:rsidRDefault="006E13EC" w:rsidP="005C00AF">
            <w:pPr>
              <w:jc w:val="both"/>
              <w:rPr>
                <w:rFonts w:ascii="Arial" w:hAnsi="Arial" w:cs="Arial"/>
              </w:rPr>
            </w:pPr>
            <w:r w:rsidRPr="006E13EC">
              <w:rPr>
                <w:rFonts w:ascii="Arial" w:hAnsi="Arial" w:cs="Arial"/>
              </w:rPr>
              <w:t xml:space="preserve">myurick@taftlaw.com zkravitz@taftlaw.com </w:t>
            </w:r>
            <w:hyperlink r:id="rId10" w:history="1">
              <w:r w:rsidRPr="006E13EC">
                <w:rPr>
                  <w:rStyle w:val="Hyperlink"/>
                  <w:rFonts w:ascii="Arial" w:hAnsi="Arial" w:cs="Arial"/>
                  <w:color w:val="auto"/>
                  <w:u w:val="none"/>
                </w:rPr>
                <w:t>Schmidt@sppgrp.com</w:t>
              </w:r>
            </w:hyperlink>
            <w:r w:rsidRPr="006E13EC">
              <w:rPr>
                <w:rFonts w:ascii="Arial" w:hAnsi="Arial" w:cs="Arial"/>
              </w:rPr>
              <w:t xml:space="preserve"> </w:t>
            </w:r>
          </w:p>
          <w:p w:rsidR="006E13EC" w:rsidRPr="006E13EC" w:rsidRDefault="00B30ABA" w:rsidP="005C00AF">
            <w:pPr>
              <w:jc w:val="both"/>
              <w:rPr>
                <w:rFonts w:ascii="Arial" w:hAnsi="Arial" w:cs="Arial"/>
              </w:rPr>
            </w:pPr>
            <w:hyperlink r:id="rId11" w:history="1">
              <w:r w:rsidR="006E13EC" w:rsidRPr="006E13EC">
                <w:rPr>
                  <w:rStyle w:val="Hyperlink"/>
                  <w:rFonts w:ascii="Arial" w:hAnsi="Arial" w:cs="Arial"/>
                  <w:color w:val="auto"/>
                  <w:u w:val="none"/>
                </w:rPr>
                <w:t>ricks@ohanet.org</w:t>
              </w:r>
            </w:hyperlink>
            <w:r w:rsidR="006E13EC" w:rsidRPr="006E13EC">
              <w:rPr>
                <w:rFonts w:ascii="Arial" w:hAnsi="Arial" w:cs="Arial"/>
              </w:rPr>
              <w:t xml:space="preserve"> </w:t>
            </w:r>
          </w:p>
          <w:p w:rsidR="006E13EC" w:rsidRPr="006E13EC" w:rsidRDefault="006E13EC" w:rsidP="005C00AF">
            <w:pPr>
              <w:jc w:val="both"/>
              <w:rPr>
                <w:rFonts w:ascii="Arial" w:hAnsi="Arial" w:cs="Arial"/>
              </w:rPr>
            </w:pPr>
            <w:r w:rsidRPr="006E13EC">
              <w:rPr>
                <w:rFonts w:ascii="Arial" w:hAnsi="Arial" w:cs="Arial"/>
              </w:rPr>
              <w:t xml:space="preserve">tobrien@bricker.com </w:t>
            </w:r>
          </w:p>
          <w:p w:rsidR="006E13EC" w:rsidRPr="006E13EC" w:rsidRDefault="00B30ABA" w:rsidP="005C00AF">
            <w:pPr>
              <w:jc w:val="both"/>
              <w:rPr>
                <w:rFonts w:ascii="Arial" w:hAnsi="Arial" w:cs="Arial"/>
              </w:rPr>
            </w:pPr>
            <w:hyperlink r:id="rId12" w:history="1">
              <w:r w:rsidR="006E13EC" w:rsidRPr="006E13EC">
                <w:rPr>
                  <w:rStyle w:val="Hyperlink"/>
                  <w:rFonts w:ascii="Arial" w:hAnsi="Arial" w:cs="Arial"/>
                  <w:color w:val="auto"/>
                  <w:u w:val="none"/>
                </w:rPr>
                <w:t>mkl@bbrslaw.com</w:t>
              </w:r>
            </w:hyperlink>
            <w:r w:rsidR="006E13EC" w:rsidRPr="006E13EC">
              <w:rPr>
                <w:rFonts w:ascii="Arial" w:hAnsi="Arial" w:cs="Arial"/>
              </w:rPr>
              <w:t xml:space="preserve"> </w:t>
            </w:r>
          </w:p>
          <w:p w:rsidR="006E13EC" w:rsidRPr="006E13EC" w:rsidRDefault="006E13EC" w:rsidP="005C00AF">
            <w:pPr>
              <w:jc w:val="both"/>
              <w:rPr>
                <w:rFonts w:ascii="Arial" w:hAnsi="Arial" w:cs="Arial"/>
              </w:rPr>
            </w:pPr>
            <w:r w:rsidRPr="006E13EC">
              <w:rPr>
                <w:rFonts w:ascii="Arial" w:hAnsi="Arial" w:cs="Arial"/>
              </w:rPr>
              <w:t xml:space="preserve">gas@bbrslaw.com </w:t>
            </w:r>
          </w:p>
          <w:p w:rsidR="006E13EC" w:rsidRPr="006E13EC" w:rsidRDefault="00B30ABA" w:rsidP="005C00AF">
            <w:pPr>
              <w:jc w:val="both"/>
              <w:rPr>
                <w:rFonts w:ascii="Arial" w:hAnsi="Arial" w:cs="Arial"/>
              </w:rPr>
            </w:pPr>
            <w:hyperlink r:id="rId13" w:history="1">
              <w:r w:rsidR="006E13EC" w:rsidRPr="006E13EC">
                <w:rPr>
                  <w:rStyle w:val="Hyperlink"/>
                  <w:rFonts w:ascii="Arial" w:hAnsi="Arial" w:cs="Arial"/>
                  <w:color w:val="auto"/>
                  <w:u w:val="none"/>
                </w:rPr>
                <w:t>ojk@bbrslaw.com</w:t>
              </w:r>
            </w:hyperlink>
            <w:r w:rsidR="006E13EC" w:rsidRPr="006E13EC">
              <w:rPr>
                <w:rFonts w:ascii="Arial" w:hAnsi="Arial" w:cs="Arial"/>
              </w:rPr>
              <w:t xml:space="preserve"> </w:t>
            </w:r>
          </w:p>
          <w:p w:rsidR="006E13EC" w:rsidRPr="006E13EC" w:rsidRDefault="006E13EC" w:rsidP="005C00AF">
            <w:pPr>
              <w:jc w:val="both"/>
              <w:rPr>
                <w:rFonts w:ascii="Arial" w:hAnsi="Arial" w:cs="Arial"/>
              </w:rPr>
            </w:pPr>
            <w:r w:rsidRPr="006E13EC">
              <w:rPr>
                <w:rFonts w:ascii="Arial" w:hAnsi="Arial" w:cs="Arial"/>
              </w:rPr>
              <w:t xml:space="preserve">wttpmlc@aol.com lhawrot@spilmanlaw.com </w:t>
            </w:r>
          </w:p>
          <w:p w:rsidR="006E13EC" w:rsidRPr="006E13EC" w:rsidRDefault="006E13EC" w:rsidP="005C00AF">
            <w:pPr>
              <w:jc w:val="both"/>
              <w:rPr>
                <w:rFonts w:ascii="Arial" w:hAnsi="Arial" w:cs="Arial"/>
              </w:rPr>
            </w:pPr>
            <w:r w:rsidRPr="006E13EC">
              <w:rPr>
                <w:rFonts w:ascii="Arial" w:hAnsi="Arial" w:cs="Arial"/>
              </w:rPr>
              <w:t xml:space="preserve">dwilliamson@spilmanlaw.com blanghenry@city.cleveland.oh.us hmadorsky@city.cleveland.oh.us </w:t>
            </w:r>
          </w:p>
          <w:p w:rsidR="006E13EC" w:rsidRPr="006E13EC" w:rsidRDefault="006E13EC" w:rsidP="005C00AF">
            <w:pPr>
              <w:jc w:val="both"/>
              <w:rPr>
                <w:rFonts w:ascii="Arial" w:hAnsi="Arial" w:cs="Arial"/>
              </w:rPr>
            </w:pPr>
            <w:r w:rsidRPr="006E13EC">
              <w:rPr>
                <w:rFonts w:ascii="Arial" w:hAnsi="Arial" w:cs="Arial"/>
              </w:rPr>
              <w:t xml:space="preserve">kryan@city.cleveland.oh.us jscheaf@mcdonaldhopkins.com gkrassen@bricker.com dstinson@bricker.com </w:t>
            </w:r>
          </w:p>
          <w:p w:rsidR="006E13EC" w:rsidRPr="006E13EC" w:rsidRDefault="006E13EC" w:rsidP="005C00AF">
            <w:pPr>
              <w:jc w:val="both"/>
              <w:rPr>
                <w:rFonts w:ascii="Arial" w:hAnsi="Arial" w:cs="Arial"/>
              </w:rPr>
            </w:pPr>
            <w:r w:rsidRPr="006E13EC">
              <w:rPr>
                <w:rFonts w:ascii="Arial" w:hAnsi="Arial" w:cs="Arial"/>
              </w:rPr>
              <w:t>dborchers@bricker.com</w:t>
            </w:r>
          </w:p>
          <w:p w:rsidR="006E13EC" w:rsidRPr="006E13EC" w:rsidRDefault="006E13EC" w:rsidP="005C00AF">
            <w:pPr>
              <w:jc w:val="both"/>
              <w:rPr>
                <w:rFonts w:ascii="Arial" w:hAnsi="Arial" w:cs="Arial"/>
              </w:rPr>
            </w:pPr>
            <w:r w:rsidRPr="006E13EC">
              <w:rPr>
                <w:rFonts w:ascii="Arial" w:hAnsi="Arial" w:cs="Arial"/>
              </w:rPr>
              <w:t xml:space="preserve">drinebolt@ohiopartners.org meissnerjoseph@yahoo.com LeslieKovacik@toledo.oh.gov trhayslaw@gmail.com </w:t>
            </w:r>
          </w:p>
          <w:p w:rsidR="006E13EC" w:rsidRPr="006E13EC" w:rsidRDefault="006E13EC" w:rsidP="005C00AF">
            <w:pPr>
              <w:jc w:val="both"/>
              <w:rPr>
                <w:rFonts w:ascii="Arial" w:hAnsi="Arial" w:cs="Arial"/>
              </w:rPr>
            </w:pPr>
            <w:r w:rsidRPr="006E13EC">
              <w:rPr>
                <w:rFonts w:ascii="Arial" w:hAnsi="Arial" w:cs="Arial"/>
              </w:rPr>
              <w:t xml:space="preserve">Jeffrey.mayes@monitoringanalytics.com mhpetricoff@vorys.com mjsettineri@vorys.com </w:t>
            </w:r>
          </w:p>
          <w:p w:rsidR="006E13EC" w:rsidRPr="006E13EC" w:rsidRDefault="006E13EC" w:rsidP="005C00AF">
            <w:pPr>
              <w:jc w:val="both"/>
              <w:rPr>
                <w:rFonts w:ascii="Arial" w:hAnsi="Arial" w:cs="Arial"/>
              </w:rPr>
            </w:pPr>
            <w:r w:rsidRPr="006E13EC">
              <w:rPr>
                <w:rFonts w:ascii="Arial" w:hAnsi="Arial" w:cs="Arial"/>
              </w:rPr>
              <w:t xml:space="preserve">glpetrucci@vorys.com msoules@earthjustice.org </w:t>
            </w:r>
            <w:hyperlink r:id="rId14" w:history="1">
              <w:r w:rsidRPr="006E13EC">
                <w:rPr>
                  <w:rStyle w:val="Hyperlink"/>
                  <w:rFonts w:ascii="Arial" w:hAnsi="Arial" w:cs="Arial"/>
                  <w:color w:val="auto"/>
                  <w:u w:val="none"/>
                </w:rPr>
                <w:t>sfisk@earthjustice.org</w:t>
              </w:r>
            </w:hyperlink>
          </w:p>
          <w:p w:rsidR="006E13EC" w:rsidRPr="006E13EC" w:rsidRDefault="006E13EC" w:rsidP="005C00AF">
            <w:pPr>
              <w:jc w:val="both"/>
              <w:rPr>
                <w:rFonts w:ascii="Arial" w:hAnsi="Arial" w:cs="Arial"/>
              </w:rPr>
            </w:pPr>
            <w:r w:rsidRPr="006E13EC">
              <w:rPr>
                <w:rFonts w:ascii="Arial" w:hAnsi="Arial" w:cs="Arial"/>
              </w:rPr>
              <w:t>Larry.sauer@occ.ohio.gov</w:t>
            </w:r>
          </w:p>
          <w:p w:rsidR="006E13EC" w:rsidRPr="006E13EC" w:rsidRDefault="006E13EC" w:rsidP="005C00AF">
            <w:pPr>
              <w:jc w:val="both"/>
              <w:rPr>
                <w:rFonts w:ascii="Arial" w:hAnsi="Arial" w:cs="Arial"/>
              </w:rPr>
            </w:pPr>
            <w:r w:rsidRPr="006E13EC">
              <w:rPr>
                <w:rFonts w:ascii="Arial" w:hAnsi="Arial" w:cs="Arial"/>
              </w:rPr>
              <w:lastRenderedPageBreak/>
              <w:t>Michael.schuler@occ.ohio.gov</w:t>
            </w:r>
          </w:p>
          <w:p w:rsidR="006E13EC" w:rsidRPr="006E13EC" w:rsidRDefault="006E13EC" w:rsidP="005C00AF">
            <w:pPr>
              <w:jc w:val="both"/>
              <w:rPr>
                <w:rFonts w:ascii="Arial" w:hAnsi="Arial" w:cs="Arial"/>
              </w:rPr>
            </w:pPr>
          </w:p>
        </w:tc>
        <w:tc>
          <w:tcPr>
            <w:tcW w:w="4788" w:type="dxa"/>
          </w:tcPr>
          <w:p w:rsidR="006E13EC" w:rsidRPr="006E13EC" w:rsidRDefault="006E13EC" w:rsidP="005C00AF">
            <w:pPr>
              <w:jc w:val="both"/>
              <w:rPr>
                <w:rFonts w:ascii="Arial" w:hAnsi="Arial" w:cs="Arial"/>
              </w:rPr>
            </w:pPr>
            <w:r w:rsidRPr="006E13EC">
              <w:rPr>
                <w:rFonts w:ascii="Arial" w:hAnsi="Arial" w:cs="Arial"/>
              </w:rPr>
              <w:lastRenderedPageBreak/>
              <w:t xml:space="preserve">burkj@firstenergycorp.com cdunn@firstenergycorp.com </w:t>
            </w:r>
            <w:hyperlink r:id="rId15" w:history="1">
              <w:r w:rsidRPr="006E13EC">
                <w:rPr>
                  <w:rStyle w:val="Hyperlink"/>
                  <w:rFonts w:ascii="Arial" w:hAnsi="Arial" w:cs="Arial"/>
                  <w:color w:val="auto"/>
                  <w:u w:val="none"/>
                </w:rPr>
                <w:t>jlang@calfee.com</w:t>
              </w:r>
            </w:hyperlink>
            <w:r w:rsidRPr="006E13EC">
              <w:rPr>
                <w:rFonts w:ascii="Arial" w:hAnsi="Arial" w:cs="Arial"/>
              </w:rPr>
              <w:t xml:space="preserve"> </w:t>
            </w:r>
          </w:p>
          <w:p w:rsidR="006E13EC" w:rsidRPr="006E13EC" w:rsidRDefault="006E13EC" w:rsidP="005C00AF">
            <w:pPr>
              <w:jc w:val="both"/>
              <w:rPr>
                <w:rFonts w:ascii="Arial" w:hAnsi="Arial" w:cs="Arial"/>
              </w:rPr>
            </w:pPr>
            <w:r w:rsidRPr="006E13EC">
              <w:rPr>
                <w:rFonts w:ascii="Arial" w:hAnsi="Arial" w:cs="Arial"/>
              </w:rPr>
              <w:t xml:space="preserve">talexander@calfee.com </w:t>
            </w:r>
          </w:p>
          <w:p w:rsidR="006E13EC" w:rsidRPr="006E13EC" w:rsidRDefault="006E13EC" w:rsidP="005C00AF">
            <w:pPr>
              <w:jc w:val="both"/>
              <w:rPr>
                <w:rFonts w:ascii="Arial" w:hAnsi="Arial" w:cs="Arial"/>
              </w:rPr>
            </w:pPr>
            <w:r w:rsidRPr="006E13EC">
              <w:rPr>
                <w:rFonts w:ascii="Arial" w:hAnsi="Arial" w:cs="Arial"/>
              </w:rPr>
              <w:t xml:space="preserve">dakutik@jonesday.com sam@mwncmh.com </w:t>
            </w:r>
          </w:p>
          <w:p w:rsidR="006E13EC" w:rsidRPr="006E13EC" w:rsidRDefault="006E13EC" w:rsidP="005C00AF">
            <w:pPr>
              <w:jc w:val="both"/>
              <w:rPr>
                <w:rFonts w:ascii="Arial" w:hAnsi="Arial" w:cs="Arial"/>
              </w:rPr>
            </w:pPr>
            <w:r w:rsidRPr="006E13EC">
              <w:rPr>
                <w:rFonts w:ascii="Arial" w:hAnsi="Arial" w:cs="Arial"/>
              </w:rPr>
              <w:t xml:space="preserve">fdarr@mwncmh.com mpritchard@mwncmh.com cmooney@ohiopartners.org </w:t>
            </w:r>
          </w:p>
          <w:p w:rsidR="006E13EC" w:rsidRPr="006E13EC" w:rsidRDefault="006E13EC" w:rsidP="005C00AF">
            <w:pPr>
              <w:jc w:val="both"/>
              <w:rPr>
                <w:rFonts w:ascii="Arial" w:hAnsi="Arial" w:cs="Arial"/>
              </w:rPr>
            </w:pPr>
            <w:r w:rsidRPr="006E13EC">
              <w:rPr>
                <w:rFonts w:ascii="Arial" w:hAnsi="Arial" w:cs="Arial"/>
              </w:rPr>
              <w:t xml:space="preserve">callwein@wamenergylaw.com mswhite@igsenergy.com Bojko@carpenterlipps.com </w:t>
            </w:r>
          </w:p>
          <w:p w:rsidR="006E13EC" w:rsidRPr="006E13EC" w:rsidRDefault="006E13EC" w:rsidP="005C00AF">
            <w:pPr>
              <w:jc w:val="both"/>
              <w:rPr>
                <w:rFonts w:ascii="Arial" w:hAnsi="Arial" w:cs="Arial"/>
              </w:rPr>
            </w:pPr>
            <w:r w:rsidRPr="006E13EC">
              <w:rPr>
                <w:rFonts w:ascii="Arial" w:hAnsi="Arial" w:cs="Arial"/>
              </w:rPr>
              <w:t xml:space="preserve">Allison@carpenterlipps.com hussey@carpenterlipps.com barthroyer@aol.com athompson@taftlaw.com </w:t>
            </w:r>
          </w:p>
          <w:p w:rsidR="006E13EC" w:rsidRPr="006E13EC" w:rsidRDefault="006E13EC" w:rsidP="005C00AF">
            <w:pPr>
              <w:jc w:val="both"/>
              <w:rPr>
                <w:rFonts w:ascii="Arial" w:hAnsi="Arial" w:cs="Arial"/>
              </w:rPr>
            </w:pPr>
            <w:r w:rsidRPr="006E13EC">
              <w:rPr>
                <w:rFonts w:ascii="Arial" w:hAnsi="Arial" w:cs="Arial"/>
              </w:rPr>
              <w:t xml:space="preserve">Christopher.miller@icemiller.com Gregory.dunn@icemiller.com Jeremy.grayem@icemiller.com </w:t>
            </w:r>
          </w:p>
          <w:p w:rsidR="006E13EC" w:rsidRPr="006E13EC" w:rsidRDefault="006E13EC" w:rsidP="005C00AF">
            <w:pPr>
              <w:jc w:val="both"/>
              <w:rPr>
                <w:rFonts w:ascii="Arial" w:hAnsi="Arial" w:cs="Arial"/>
              </w:rPr>
            </w:pPr>
            <w:r w:rsidRPr="006E13EC">
              <w:rPr>
                <w:rFonts w:ascii="Arial" w:hAnsi="Arial" w:cs="Arial"/>
              </w:rPr>
              <w:t xml:space="preserve">blanghenry@city.cleveland.oh.us hmadorsky@city.cleveland.oh.us kryan@city.cleveland.oh.us </w:t>
            </w:r>
          </w:p>
          <w:p w:rsidR="006E13EC" w:rsidRPr="006E13EC" w:rsidRDefault="00B30ABA" w:rsidP="005C00AF">
            <w:pPr>
              <w:jc w:val="both"/>
              <w:rPr>
                <w:rFonts w:ascii="Arial" w:hAnsi="Arial" w:cs="Arial"/>
              </w:rPr>
            </w:pPr>
            <w:hyperlink r:id="rId16" w:history="1">
              <w:r w:rsidR="006E13EC" w:rsidRPr="006E13EC">
                <w:rPr>
                  <w:rStyle w:val="Hyperlink"/>
                  <w:rFonts w:ascii="Arial" w:hAnsi="Arial" w:cs="Arial"/>
                  <w:color w:val="auto"/>
                  <w:u w:val="none"/>
                </w:rPr>
                <w:t>tdougherty@theOEC.org</w:t>
              </w:r>
            </w:hyperlink>
          </w:p>
          <w:p w:rsidR="006E13EC" w:rsidRPr="006E13EC" w:rsidRDefault="006E13EC" w:rsidP="005C00AF">
            <w:pPr>
              <w:jc w:val="both"/>
              <w:rPr>
                <w:rFonts w:ascii="Arial" w:hAnsi="Arial" w:cs="Arial"/>
              </w:rPr>
            </w:pPr>
            <w:r w:rsidRPr="006E13EC">
              <w:rPr>
                <w:rFonts w:ascii="Arial" w:hAnsi="Arial" w:cs="Arial"/>
              </w:rPr>
              <w:t xml:space="preserve"> </w:t>
            </w:r>
            <w:hyperlink r:id="rId17" w:history="1">
              <w:r w:rsidRPr="006E13EC">
                <w:rPr>
                  <w:rStyle w:val="Hyperlink"/>
                  <w:rFonts w:ascii="Arial" w:hAnsi="Arial" w:cs="Arial"/>
                  <w:color w:val="auto"/>
                  <w:u w:val="none"/>
                </w:rPr>
                <w:t>finnigan@edf.org</w:t>
              </w:r>
            </w:hyperlink>
            <w:r w:rsidRPr="006E13EC">
              <w:rPr>
                <w:rFonts w:ascii="Arial" w:hAnsi="Arial" w:cs="Arial"/>
              </w:rPr>
              <w:t xml:space="preserve"> </w:t>
            </w:r>
          </w:p>
          <w:p w:rsidR="006E13EC" w:rsidRPr="006E13EC" w:rsidRDefault="006E13EC" w:rsidP="005C00AF">
            <w:pPr>
              <w:jc w:val="both"/>
              <w:rPr>
                <w:rFonts w:ascii="Arial" w:hAnsi="Arial" w:cs="Arial"/>
              </w:rPr>
            </w:pPr>
            <w:r w:rsidRPr="006E13EC">
              <w:rPr>
                <w:rFonts w:ascii="Arial" w:hAnsi="Arial" w:cs="Arial"/>
              </w:rPr>
              <w:t xml:space="preserve">Marilyn@wflawfirm.com todonnell@dickinsonwright.com </w:t>
            </w:r>
          </w:p>
          <w:p w:rsidR="006E13EC" w:rsidRPr="006E13EC" w:rsidRDefault="006E13EC" w:rsidP="005C00AF">
            <w:pPr>
              <w:jc w:val="both"/>
              <w:rPr>
                <w:rFonts w:ascii="Arial" w:hAnsi="Arial" w:cs="Arial"/>
              </w:rPr>
            </w:pPr>
            <w:r w:rsidRPr="006E13EC">
              <w:rPr>
                <w:rFonts w:ascii="Arial" w:hAnsi="Arial" w:cs="Arial"/>
              </w:rPr>
              <w:t xml:space="preserve">matt@matthewcoxlaw.com </w:t>
            </w:r>
            <w:hyperlink r:id="rId18" w:history="1">
              <w:r w:rsidRPr="006E13EC">
                <w:rPr>
                  <w:rStyle w:val="Hyperlink"/>
                  <w:rFonts w:ascii="Arial" w:hAnsi="Arial" w:cs="Arial"/>
                  <w:color w:val="auto"/>
                  <w:u w:val="none"/>
                </w:rPr>
                <w:t>mfleisher@elpc.org</w:t>
              </w:r>
            </w:hyperlink>
          </w:p>
          <w:p w:rsidR="006E13EC" w:rsidRPr="006E13EC" w:rsidRDefault="006E13EC" w:rsidP="005C00AF">
            <w:pPr>
              <w:jc w:val="both"/>
              <w:rPr>
                <w:rFonts w:ascii="Arial" w:hAnsi="Arial" w:cs="Arial"/>
              </w:rPr>
            </w:pPr>
            <w:r w:rsidRPr="006E13EC">
              <w:rPr>
                <w:rFonts w:ascii="Arial" w:hAnsi="Arial" w:cs="Arial"/>
              </w:rPr>
              <w:t xml:space="preserve">mitch.dutton@fpl.com selisar@mwncmh.com ccunningham@akronohio.gov asonderman@keglerbrown.com </w:t>
            </w:r>
          </w:p>
          <w:p w:rsidR="006E13EC" w:rsidRPr="006E13EC" w:rsidRDefault="006E13EC" w:rsidP="005C00AF">
            <w:pPr>
              <w:jc w:val="both"/>
              <w:rPr>
                <w:rFonts w:ascii="Arial" w:hAnsi="Arial" w:cs="Arial"/>
              </w:rPr>
            </w:pPr>
            <w:r w:rsidRPr="006E13EC">
              <w:rPr>
                <w:rFonts w:ascii="Arial" w:hAnsi="Arial" w:cs="Arial"/>
              </w:rPr>
              <w:t xml:space="preserve">sechler@carpenterlipps.com gpoulos@enernoc.com toddm@wamenergylaw.com amy.spiller@duke-energy.com </w:t>
            </w:r>
          </w:p>
          <w:p w:rsidR="006E13EC" w:rsidRPr="006E13EC" w:rsidRDefault="006E13EC" w:rsidP="005C00AF">
            <w:pPr>
              <w:jc w:val="both"/>
              <w:rPr>
                <w:rFonts w:ascii="Arial" w:hAnsi="Arial" w:cs="Arial"/>
              </w:rPr>
            </w:pPr>
            <w:r w:rsidRPr="006E13EC">
              <w:rPr>
                <w:rFonts w:ascii="Arial" w:hAnsi="Arial" w:cs="Arial"/>
              </w:rPr>
              <w:t>Jeanne.kingery@duke-energy.com dwilliamson@spilmanlaw.com lhawrot@spilmanlaw.com</w:t>
            </w:r>
          </w:p>
          <w:p w:rsidR="006E13EC" w:rsidRPr="006E13EC" w:rsidRDefault="006E13EC" w:rsidP="005C00AF">
            <w:pPr>
              <w:jc w:val="both"/>
              <w:rPr>
                <w:rFonts w:ascii="Arial" w:hAnsi="Arial" w:cs="Arial"/>
              </w:rPr>
            </w:pPr>
            <w:r w:rsidRPr="006E13EC">
              <w:rPr>
                <w:rFonts w:ascii="Arial" w:hAnsi="Arial" w:cs="Arial"/>
              </w:rPr>
              <w:t>Kevin.moore@occ.ohio.gov</w:t>
            </w:r>
          </w:p>
          <w:p w:rsidR="006E13EC" w:rsidRPr="006E13EC" w:rsidRDefault="006E13EC" w:rsidP="005C00AF">
            <w:pPr>
              <w:jc w:val="both"/>
              <w:rPr>
                <w:rFonts w:ascii="Arial" w:hAnsi="Arial" w:cs="Arial"/>
              </w:rPr>
            </w:pPr>
          </w:p>
          <w:p w:rsidR="006E13EC" w:rsidRPr="006E13EC" w:rsidRDefault="006E13EC" w:rsidP="005C00AF">
            <w:pPr>
              <w:jc w:val="both"/>
              <w:rPr>
                <w:rFonts w:ascii="Arial" w:hAnsi="Arial" w:cs="Arial"/>
              </w:rPr>
            </w:pPr>
          </w:p>
        </w:tc>
      </w:tr>
    </w:tbl>
    <w:p w:rsidR="00B54B55" w:rsidRDefault="00B54B55" w:rsidP="00B54B55">
      <w:pPr>
        <w:suppressLineNumbers/>
        <w:rPr>
          <w:rFonts w:eastAsia="Calibri"/>
          <w:sz w:val="24"/>
        </w:rPr>
      </w:pPr>
    </w:p>
    <w:p w:rsidR="00B54B55" w:rsidRDefault="00B54B55" w:rsidP="00B54B55">
      <w:pPr>
        <w:suppressLineNumbers/>
        <w:rPr>
          <w:rFonts w:eastAsia="Calibri"/>
          <w:sz w:val="24"/>
        </w:rPr>
      </w:pPr>
    </w:p>
    <w:p w:rsidR="00B54B55" w:rsidRPr="006E13EC" w:rsidRDefault="00B54B55" w:rsidP="00B54B55">
      <w:pPr>
        <w:suppressLineNumbers/>
        <w:jc w:val="center"/>
        <w:rPr>
          <w:b/>
          <w:i/>
          <w:sz w:val="24"/>
          <w:u w:val="single"/>
        </w:rPr>
      </w:pPr>
      <w:r>
        <w:rPr>
          <w:rFonts w:ascii="Times New Roman" w:hAnsi="Times New Roman" w:cs="Times New Roman"/>
          <w:sz w:val="24"/>
        </w:rPr>
        <w:tab/>
      </w:r>
      <w:r>
        <w:rPr>
          <w:rFonts w:ascii="Times New Roman" w:hAnsi="Times New Roman" w:cs="Times New Roman"/>
          <w:sz w:val="24"/>
        </w:rPr>
        <w:tab/>
      </w:r>
      <w:r w:rsidRPr="00CF174E">
        <w:rPr>
          <w:sz w:val="24"/>
        </w:rPr>
        <w:tab/>
      </w:r>
      <w:r w:rsidRPr="006E13EC">
        <w:rPr>
          <w:b/>
          <w:i/>
          <w:sz w:val="24"/>
          <w:u w:val="single"/>
        </w:rPr>
        <w:t>/s/Joseph Oliker</w:t>
      </w:r>
    </w:p>
    <w:p w:rsidR="00B54B55" w:rsidRDefault="00B54B55" w:rsidP="00B54B55">
      <w:pPr>
        <w:ind w:left="4320"/>
      </w:pPr>
      <w:r>
        <w:rPr>
          <w:sz w:val="24"/>
        </w:rPr>
        <w:t xml:space="preserve">        </w:t>
      </w:r>
      <w:r w:rsidR="00E43CDE">
        <w:rPr>
          <w:sz w:val="24"/>
        </w:rPr>
        <w:t>Counsel for Interstate Gas Supply, Inc.</w:t>
      </w:r>
    </w:p>
    <w:p w:rsidR="00B54B55" w:rsidRDefault="00B54B55" w:rsidP="00D91257"/>
    <w:p w:rsidR="00B54B55" w:rsidRDefault="00B54B55" w:rsidP="00D91257"/>
    <w:p w:rsidR="00B54B55" w:rsidRDefault="00B54B55" w:rsidP="00D91257"/>
    <w:sectPr w:rsidR="00B54B5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BA" w:rsidRDefault="00B30ABA" w:rsidP="00567136">
      <w:r>
        <w:separator/>
      </w:r>
    </w:p>
  </w:endnote>
  <w:endnote w:type="continuationSeparator" w:id="0">
    <w:p w:rsidR="00B30ABA" w:rsidRDefault="00B30ABA" w:rsidP="0056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6" w:rsidRDefault="00963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285012"/>
      <w:docPartObj>
        <w:docPartGallery w:val="Page Numbers (Bottom of Page)"/>
        <w:docPartUnique/>
      </w:docPartObj>
    </w:sdtPr>
    <w:sdtEndPr>
      <w:rPr>
        <w:noProof/>
      </w:rPr>
    </w:sdtEndPr>
    <w:sdtContent>
      <w:p w:rsidR="009741B6" w:rsidRDefault="009741B6">
        <w:pPr>
          <w:pStyle w:val="Footer"/>
          <w:jc w:val="center"/>
        </w:pPr>
        <w:r>
          <w:fldChar w:fldCharType="begin"/>
        </w:r>
        <w:r>
          <w:instrText xml:space="preserve"> PAGE   \* MERGEFORMAT </w:instrText>
        </w:r>
        <w:r>
          <w:fldChar w:fldCharType="separate"/>
        </w:r>
        <w:r w:rsidR="00E2642B">
          <w:rPr>
            <w:noProof/>
          </w:rPr>
          <w:t>1</w:t>
        </w:r>
        <w:r>
          <w:rPr>
            <w:noProof/>
          </w:rPr>
          <w:fldChar w:fldCharType="end"/>
        </w:r>
      </w:p>
    </w:sdtContent>
  </w:sdt>
  <w:p w:rsidR="00025C03" w:rsidRDefault="00025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6" w:rsidRDefault="00963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BA" w:rsidRDefault="00B30ABA" w:rsidP="00567136">
      <w:r>
        <w:separator/>
      </w:r>
    </w:p>
  </w:footnote>
  <w:footnote w:type="continuationSeparator" w:id="0">
    <w:p w:rsidR="00B30ABA" w:rsidRDefault="00B30ABA" w:rsidP="00567136">
      <w:r>
        <w:continuationSeparator/>
      </w:r>
    </w:p>
  </w:footnote>
  <w:footnote w:id="1">
    <w:p w:rsidR="001E7147" w:rsidRDefault="001E7147">
      <w:pPr>
        <w:pStyle w:val="FootnoteText"/>
      </w:pPr>
      <w:r>
        <w:rPr>
          <w:rStyle w:val="FootnoteReference"/>
        </w:rPr>
        <w:footnoteRef/>
      </w:r>
      <w:r>
        <w:t xml:space="preserve"> RESA Brief at 42-44; Exelon Brief at </w:t>
      </w:r>
      <w:r w:rsidR="005A7D8B">
        <w:t>63-66.</w:t>
      </w:r>
    </w:p>
    <w:p w:rsidR="005A7D8B" w:rsidRDefault="005A7D8B">
      <w:pPr>
        <w:pStyle w:val="FootnoteText"/>
      </w:pPr>
    </w:p>
  </w:footnote>
  <w:footnote w:id="2">
    <w:p w:rsidR="005A7D8B" w:rsidRDefault="005A7D8B">
      <w:pPr>
        <w:pStyle w:val="FootnoteText"/>
      </w:pPr>
      <w:r w:rsidRPr="005A7D8B">
        <w:rPr>
          <w:rStyle w:val="FootnoteReference"/>
        </w:rPr>
        <w:footnoteRef/>
      </w:r>
      <w:r w:rsidRPr="005A7D8B">
        <w:t xml:space="preserve"> </w:t>
      </w:r>
      <w:proofErr w:type="gramStart"/>
      <w:r w:rsidRPr="005A7D8B">
        <w:t>OCC Brief at 42.</w:t>
      </w:r>
      <w:proofErr w:type="gramEnd"/>
    </w:p>
    <w:p w:rsidR="005A7D8B" w:rsidRPr="005A7D8B" w:rsidRDefault="005A7D8B">
      <w:pPr>
        <w:pStyle w:val="FootnoteText"/>
      </w:pPr>
    </w:p>
  </w:footnote>
  <w:footnote w:id="3">
    <w:p w:rsidR="005A7D8B" w:rsidRDefault="005A7D8B">
      <w:pPr>
        <w:pStyle w:val="FootnoteText"/>
      </w:pPr>
      <w:r>
        <w:rPr>
          <w:rStyle w:val="FootnoteReference"/>
        </w:rPr>
        <w:footnoteRef/>
      </w:r>
      <w:r>
        <w:t xml:space="preserve"> OMAEG Brief at 75-76.</w:t>
      </w:r>
    </w:p>
    <w:p w:rsidR="00E2642B" w:rsidRDefault="00E2642B">
      <w:pPr>
        <w:pStyle w:val="FootnoteText"/>
      </w:pPr>
    </w:p>
  </w:footnote>
  <w:footnote w:id="4">
    <w:p w:rsidR="008E503E" w:rsidRDefault="008E503E">
      <w:pPr>
        <w:pStyle w:val="FootnoteText"/>
      </w:pPr>
      <w:r>
        <w:rPr>
          <w:rStyle w:val="FootnoteReference"/>
        </w:rPr>
        <w:footnoteRef/>
      </w:r>
      <w:r w:rsidR="0052085B">
        <w:t xml:space="preserve"> Under 4901-1-16</w:t>
      </w:r>
      <w:r w:rsidRPr="008E503E">
        <w:t xml:space="preserve">(E) </w:t>
      </w:r>
      <w:r>
        <w:t>provides that “</w:t>
      </w:r>
      <w:r w:rsidR="0052085B">
        <w:t>[t]</w:t>
      </w:r>
      <w:r w:rsidRPr="008E503E">
        <w:t>he supplementation of responses required under paragraphs (D</w:t>
      </w:r>
      <w:proofErr w:type="gramStart"/>
      <w:r w:rsidRPr="008E503E">
        <w:t>)(</w:t>
      </w:r>
      <w:proofErr w:type="gramEnd"/>
      <w:r w:rsidRPr="008E503E">
        <w:t>1) to (D)(3) and (D)(6) of this rule shall be provided within five business days of discovery of the new information.</w:t>
      </w:r>
      <w:r>
        <w:t>”  In this case, FirstEnergy supplemented its response on the date that it learned of new information.</w:t>
      </w:r>
    </w:p>
    <w:p w:rsidR="005A7D8B" w:rsidRDefault="005A7D8B">
      <w:pPr>
        <w:pStyle w:val="FootnoteText"/>
      </w:pPr>
    </w:p>
  </w:footnote>
  <w:footnote w:id="5">
    <w:p w:rsidR="00231A2E" w:rsidRDefault="00231A2E" w:rsidP="00231A2E">
      <w:pPr>
        <w:pStyle w:val="FootnoteText"/>
      </w:pPr>
      <w:r>
        <w:rPr>
          <w:rStyle w:val="FootnoteReference"/>
        </w:rPr>
        <w:footnoteRef/>
      </w:r>
      <w:r>
        <w:t xml:space="preserve"> </w:t>
      </w:r>
      <w:r>
        <w:rPr>
          <w:i/>
        </w:rPr>
        <w:t xml:space="preserve">See </w:t>
      </w:r>
      <w:r>
        <w:t>Tr. Vol. XXXVI at 7672-7757; Tr. Vol. XXXVII at 7917.</w:t>
      </w:r>
    </w:p>
    <w:p w:rsidR="00A6770D" w:rsidRPr="00231A2E" w:rsidRDefault="00A6770D" w:rsidP="00231A2E">
      <w:pPr>
        <w:pStyle w:val="FootnoteText"/>
      </w:pPr>
    </w:p>
  </w:footnote>
  <w:footnote w:id="6">
    <w:p w:rsidR="007D1E2D" w:rsidRDefault="007D1E2D">
      <w:pPr>
        <w:pStyle w:val="FootnoteText"/>
      </w:pPr>
      <w:r>
        <w:rPr>
          <w:rStyle w:val="FootnoteReference"/>
        </w:rPr>
        <w:footnoteRef/>
      </w:r>
      <w:r>
        <w:t xml:space="preserve"> Exelon Brief at 65; </w:t>
      </w:r>
      <w:r>
        <w:rPr>
          <w:i/>
        </w:rPr>
        <w:t xml:space="preserve">see </w:t>
      </w:r>
      <w:r>
        <w:t>also RESA Brief at 43.</w:t>
      </w:r>
    </w:p>
    <w:p w:rsidR="007D1E2D" w:rsidRPr="007D1E2D" w:rsidRDefault="007D1E2D">
      <w:pPr>
        <w:pStyle w:val="FootnoteText"/>
      </w:pPr>
    </w:p>
  </w:footnote>
  <w:footnote w:id="7">
    <w:p w:rsidR="00A6770D" w:rsidRDefault="00A6770D">
      <w:pPr>
        <w:pStyle w:val="FootnoteText"/>
      </w:pPr>
      <w:r>
        <w:rPr>
          <w:rStyle w:val="FootnoteReference"/>
        </w:rPr>
        <w:footnoteRef/>
      </w:r>
      <w:r w:rsidRPr="00A6770D">
        <w:t xml:space="preserve"> OMAEG’s </w:t>
      </w:r>
      <w:r>
        <w:t xml:space="preserve">similarly raises a </w:t>
      </w:r>
      <w:r w:rsidRPr="00A6770D">
        <w:t>concern that no party was aware of or participated in the negotiation of the Enh</w:t>
      </w:r>
      <w:r>
        <w:t>ancement Agreement.</w:t>
      </w:r>
      <w:r w:rsidR="007D1E2D">
        <w:t xml:space="preserve">  </w:t>
      </w:r>
      <w:proofErr w:type="gramStart"/>
      <w:r w:rsidR="007D1E2D">
        <w:t>OMAEG Brief at 75.</w:t>
      </w:r>
      <w:proofErr w:type="gramEnd"/>
    </w:p>
    <w:p w:rsidR="007D1E2D" w:rsidRDefault="007D1E2D">
      <w:pPr>
        <w:pStyle w:val="FootnoteText"/>
      </w:pPr>
    </w:p>
  </w:footnote>
  <w:footnote w:id="8">
    <w:p w:rsidR="007D1E2D" w:rsidRDefault="007D1E2D">
      <w:pPr>
        <w:pStyle w:val="FootnoteText"/>
      </w:pPr>
      <w:r>
        <w:rPr>
          <w:rStyle w:val="FootnoteReference"/>
        </w:rPr>
        <w:footnoteRef/>
      </w:r>
      <w:r w:rsidRPr="007D1E2D">
        <w:t xml:space="preserve"> </w:t>
      </w:r>
      <w:r w:rsidRPr="007D1E2D">
        <w:rPr>
          <w:i/>
        </w:rPr>
        <w:t>Time Warner</w:t>
      </w:r>
      <w:r w:rsidRPr="007D1E2D">
        <w:t xml:space="preserve"> at footnote 2</w:t>
      </w:r>
      <w:r>
        <w:t>.</w:t>
      </w:r>
    </w:p>
    <w:p w:rsidR="007D1E2D" w:rsidRDefault="007D1E2D">
      <w:pPr>
        <w:pStyle w:val="FootnoteText"/>
      </w:pPr>
    </w:p>
  </w:footnote>
  <w:footnote w:id="9">
    <w:p w:rsidR="00166C76" w:rsidRDefault="00166C76">
      <w:pPr>
        <w:pStyle w:val="FootnoteText"/>
      </w:pPr>
      <w:r>
        <w:rPr>
          <w:rStyle w:val="FootnoteReference"/>
        </w:rPr>
        <w:footnoteRef/>
      </w:r>
      <w:r>
        <w:t xml:space="preserve"> </w:t>
      </w:r>
      <w:proofErr w:type="gramStart"/>
      <w:r>
        <w:t xml:space="preserve">IGS </w:t>
      </w:r>
      <w:proofErr w:type="spellStart"/>
      <w:r>
        <w:t>Exs</w:t>
      </w:r>
      <w:proofErr w:type="spellEnd"/>
      <w:r>
        <w:t>.</w:t>
      </w:r>
      <w:proofErr w:type="gramEnd"/>
      <w:r>
        <w:t xml:space="preserve"> 11 and 12 at 3</w:t>
      </w:r>
      <w:r w:rsidR="00095576">
        <w:t>, 5-6, Ex. MW-4</w:t>
      </w:r>
      <w:r>
        <w:t xml:space="preserve"> (Aug. 18, 2015) (Ex. 11 contains the public version of Mr. White’s Supplemental Direct Testimony).</w:t>
      </w:r>
    </w:p>
    <w:p w:rsidR="00231A2E" w:rsidRDefault="00231A2E">
      <w:pPr>
        <w:pStyle w:val="FootnoteText"/>
      </w:pPr>
    </w:p>
  </w:footnote>
  <w:footnote w:id="10">
    <w:p w:rsidR="00166C76" w:rsidRDefault="00166C76">
      <w:pPr>
        <w:pStyle w:val="FootnoteText"/>
      </w:pPr>
      <w:r>
        <w:rPr>
          <w:rStyle w:val="FootnoteReference"/>
        </w:rPr>
        <w:footnoteRef/>
      </w:r>
      <w:r>
        <w:t xml:space="preserve"> </w:t>
      </w:r>
      <w:proofErr w:type="gramStart"/>
      <w:r w:rsidRPr="0052085B">
        <w:t>Id</w:t>
      </w:r>
      <w:r>
        <w:rPr>
          <w:i/>
        </w:rPr>
        <w:t>.</w:t>
      </w:r>
      <w:r>
        <w:t xml:space="preserve"> at 17.</w:t>
      </w:r>
      <w:proofErr w:type="gramEnd"/>
    </w:p>
    <w:p w:rsidR="00166C76" w:rsidRPr="00166C76" w:rsidRDefault="00166C76">
      <w:pPr>
        <w:pStyle w:val="FootnoteText"/>
      </w:pPr>
    </w:p>
  </w:footnote>
  <w:footnote w:id="11">
    <w:p w:rsidR="004C64A0" w:rsidRDefault="004C64A0">
      <w:pPr>
        <w:pStyle w:val="FootnoteText"/>
      </w:pPr>
      <w:r w:rsidRPr="004C64A0">
        <w:rPr>
          <w:rStyle w:val="FootnoteReference"/>
        </w:rPr>
        <w:footnoteRef/>
      </w:r>
      <w:r w:rsidRPr="004C64A0">
        <w:t xml:space="preserve"> </w:t>
      </w:r>
      <w:proofErr w:type="gramStart"/>
      <w:r w:rsidRPr="004C64A0">
        <w:t>Tr. Vol. XXXVII at 7927-28.</w:t>
      </w:r>
      <w:proofErr w:type="gramEnd"/>
      <w:r w:rsidRPr="004C64A0">
        <w:t xml:space="preserve">  </w:t>
      </w:r>
    </w:p>
    <w:p w:rsidR="006E13EC" w:rsidRDefault="006E13EC">
      <w:pPr>
        <w:pStyle w:val="FootnoteText"/>
      </w:pPr>
    </w:p>
  </w:footnote>
  <w:footnote w:id="12">
    <w:p w:rsidR="004E0A4C" w:rsidRDefault="004E0A4C" w:rsidP="004E0A4C">
      <w:pPr>
        <w:pStyle w:val="FootnoteText"/>
      </w:pPr>
      <w:r>
        <w:rPr>
          <w:rStyle w:val="FootnoteReference"/>
        </w:rPr>
        <w:footnoteRef/>
      </w:r>
      <w:r>
        <w:t xml:space="preserve"> </w:t>
      </w:r>
      <w:r>
        <w:rPr>
          <w:i/>
        </w:rPr>
        <w:t xml:space="preserve">See generally </w:t>
      </w:r>
      <w:r w:rsidRPr="004E0A4C">
        <w:rPr>
          <w:i/>
        </w:rPr>
        <w:t xml:space="preserve">In </w:t>
      </w:r>
      <w:r>
        <w:rPr>
          <w:i/>
        </w:rPr>
        <w:t xml:space="preserve">the Matter of the Commission’s </w:t>
      </w:r>
      <w:r w:rsidRPr="004E0A4C">
        <w:rPr>
          <w:i/>
        </w:rPr>
        <w:t>Investiga</w:t>
      </w:r>
      <w:r>
        <w:rPr>
          <w:i/>
        </w:rPr>
        <w:t xml:space="preserve">tion of Ohio’s Retail Electric </w:t>
      </w:r>
      <w:r w:rsidRPr="004E0A4C">
        <w:rPr>
          <w:i/>
        </w:rPr>
        <w:t>Service Market</w:t>
      </w:r>
      <w:r>
        <w:t>,</w:t>
      </w:r>
      <w:r>
        <w:rPr>
          <w:i/>
        </w:rPr>
        <w:t xml:space="preserve"> </w:t>
      </w:r>
      <w:r>
        <w:t>Comments of Interstate Gas Supply, Inc. at 3-4 (Mar. 1, 2014) (Administrative notice taken in Tr. Vol. XLI at 8578).</w:t>
      </w:r>
    </w:p>
    <w:p w:rsidR="004E0A4C" w:rsidRPr="004E0A4C" w:rsidRDefault="004E0A4C" w:rsidP="004E0A4C">
      <w:pPr>
        <w:pStyle w:val="FootnoteText"/>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6" w:rsidRDefault="00963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6" w:rsidRDefault="00963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6" w:rsidRDefault="00963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23E09"/>
    <w:multiLevelType w:val="hybridMultilevel"/>
    <w:tmpl w:val="644E7B5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nsid w:val="475B4072"/>
    <w:multiLevelType w:val="hybridMultilevel"/>
    <w:tmpl w:val="184E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126377"/>
    <w:multiLevelType w:val="hybridMultilevel"/>
    <w:tmpl w:val="A8461AB6"/>
    <w:lvl w:ilvl="0" w:tplc="8848C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73941"/>
    <w:multiLevelType w:val="hybridMultilevel"/>
    <w:tmpl w:val="33966788"/>
    <w:lvl w:ilvl="0" w:tplc="ABEC0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E15556"/>
    <w:multiLevelType w:val="hybridMultilevel"/>
    <w:tmpl w:val="F8F2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DC"/>
    <w:rsid w:val="00025C03"/>
    <w:rsid w:val="0004003B"/>
    <w:rsid w:val="000402F2"/>
    <w:rsid w:val="00073C1A"/>
    <w:rsid w:val="00076B77"/>
    <w:rsid w:val="00083FDD"/>
    <w:rsid w:val="0008567F"/>
    <w:rsid w:val="00095576"/>
    <w:rsid w:val="000C128D"/>
    <w:rsid w:val="000C421F"/>
    <w:rsid w:val="000F3DDA"/>
    <w:rsid w:val="001241E7"/>
    <w:rsid w:val="001301EA"/>
    <w:rsid w:val="00152A59"/>
    <w:rsid w:val="00166C76"/>
    <w:rsid w:val="001939A7"/>
    <w:rsid w:val="001C30FB"/>
    <w:rsid w:val="001D34D3"/>
    <w:rsid w:val="001D79D3"/>
    <w:rsid w:val="001E0936"/>
    <w:rsid w:val="001E7147"/>
    <w:rsid w:val="001F2CB8"/>
    <w:rsid w:val="00231A2E"/>
    <w:rsid w:val="0023378D"/>
    <w:rsid w:val="00233D14"/>
    <w:rsid w:val="00237EF0"/>
    <w:rsid w:val="00257587"/>
    <w:rsid w:val="0027162A"/>
    <w:rsid w:val="002817E1"/>
    <w:rsid w:val="002E0FEA"/>
    <w:rsid w:val="002E2A53"/>
    <w:rsid w:val="0031099A"/>
    <w:rsid w:val="00362FCF"/>
    <w:rsid w:val="00367CF2"/>
    <w:rsid w:val="00382605"/>
    <w:rsid w:val="003826F1"/>
    <w:rsid w:val="00384E83"/>
    <w:rsid w:val="00390EB8"/>
    <w:rsid w:val="00391C20"/>
    <w:rsid w:val="00395CFA"/>
    <w:rsid w:val="003A0A72"/>
    <w:rsid w:val="003E0C49"/>
    <w:rsid w:val="003E29EB"/>
    <w:rsid w:val="004038A8"/>
    <w:rsid w:val="004151D6"/>
    <w:rsid w:val="0043751B"/>
    <w:rsid w:val="00477A16"/>
    <w:rsid w:val="004A0CB7"/>
    <w:rsid w:val="004C48C4"/>
    <w:rsid w:val="004C64A0"/>
    <w:rsid w:val="004E0A4C"/>
    <w:rsid w:val="004F19F8"/>
    <w:rsid w:val="0052085B"/>
    <w:rsid w:val="0052155C"/>
    <w:rsid w:val="00531315"/>
    <w:rsid w:val="00531BA8"/>
    <w:rsid w:val="00536055"/>
    <w:rsid w:val="00536BA7"/>
    <w:rsid w:val="00567136"/>
    <w:rsid w:val="00574CA0"/>
    <w:rsid w:val="005A2FEC"/>
    <w:rsid w:val="005A7D8B"/>
    <w:rsid w:val="005B0359"/>
    <w:rsid w:val="005B2F6E"/>
    <w:rsid w:val="005B442B"/>
    <w:rsid w:val="005C4210"/>
    <w:rsid w:val="005C7733"/>
    <w:rsid w:val="005E495F"/>
    <w:rsid w:val="005E5979"/>
    <w:rsid w:val="005E7350"/>
    <w:rsid w:val="00602FF8"/>
    <w:rsid w:val="006C48DA"/>
    <w:rsid w:val="006E13EC"/>
    <w:rsid w:val="006F2683"/>
    <w:rsid w:val="006F29BC"/>
    <w:rsid w:val="00717D85"/>
    <w:rsid w:val="00752B10"/>
    <w:rsid w:val="00773484"/>
    <w:rsid w:val="007A55F2"/>
    <w:rsid w:val="007B2E82"/>
    <w:rsid w:val="007C709A"/>
    <w:rsid w:val="007D1E2D"/>
    <w:rsid w:val="008072FB"/>
    <w:rsid w:val="00827F13"/>
    <w:rsid w:val="008532BE"/>
    <w:rsid w:val="00866AB1"/>
    <w:rsid w:val="00871648"/>
    <w:rsid w:val="008824A3"/>
    <w:rsid w:val="008E503E"/>
    <w:rsid w:val="009065BA"/>
    <w:rsid w:val="0092305F"/>
    <w:rsid w:val="00923F8A"/>
    <w:rsid w:val="0093314B"/>
    <w:rsid w:val="00963246"/>
    <w:rsid w:val="009741B6"/>
    <w:rsid w:val="00991A9F"/>
    <w:rsid w:val="00997BC6"/>
    <w:rsid w:val="009A5AB4"/>
    <w:rsid w:val="009D0DEA"/>
    <w:rsid w:val="009D1E33"/>
    <w:rsid w:val="009D3E1D"/>
    <w:rsid w:val="009D4321"/>
    <w:rsid w:val="009F5B55"/>
    <w:rsid w:val="00A00FA8"/>
    <w:rsid w:val="00A123C0"/>
    <w:rsid w:val="00A360FA"/>
    <w:rsid w:val="00A550F4"/>
    <w:rsid w:val="00A6770D"/>
    <w:rsid w:val="00A8408F"/>
    <w:rsid w:val="00A9327C"/>
    <w:rsid w:val="00A944ED"/>
    <w:rsid w:val="00AB32F8"/>
    <w:rsid w:val="00AB4526"/>
    <w:rsid w:val="00AC41A6"/>
    <w:rsid w:val="00AC5858"/>
    <w:rsid w:val="00AD7DB7"/>
    <w:rsid w:val="00AE19F3"/>
    <w:rsid w:val="00AF23C1"/>
    <w:rsid w:val="00B21E27"/>
    <w:rsid w:val="00B30ABA"/>
    <w:rsid w:val="00B34523"/>
    <w:rsid w:val="00B54B55"/>
    <w:rsid w:val="00B91E9F"/>
    <w:rsid w:val="00BA64F2"/>
    <w:rsid w:val="00BB6D3E"/>
    <w:rsid w:val="00BE6203"/>
    <w:rsid w:val="00BE7C1A"/>
    <w:rsid w:val="00BF7083"/>
    <w:rsid w:val="00C10EA8"/>
    <w:rsid w:val="00C16443"/>
    <w:rsid w:val="00C3511D"/>
    <w:rsid w:val="00C47514"/>
    <w:rsid w:val="00C52E40"/>
    <w:rsid w:val="00C92B9E"/>
    <w:rsid w:val="00D01446"/>
    <w:rsid w:val="00D15A2F"/>
    <w:rsid w:val="00D201FB"/>
    <w:rsid w:val="00D60A9C"/>
    <w:rsid w:val="00D73F09"/>
    <w:rsid w:val="00D774F0"/>
    <w:rsid w:val="00D808EE"/>
    <w:rsid w:val="00D91257"/>
    <w:rsid w:val="00DD1693"/>
    <w:rsid w:val="00DD5278"/>
    <w:rsid w:val="00DD770E"/>
    <w:rsid w:val="00DF1664"/>
    <w:rsid w:val="00E2642B"/>
    <w:rsid w:val="00E27ADC"/>
    <w:rsid w:val="00E43CDE"/>
    <w:rsid w:val="00E56C4F"/>
    <w:rsid w:val="00E82CFB"/>
    <w:rsid w:val="00EB0737"/>
    <w:rsid w:val="00EB33B1"/>
    <w:rsid w:val="00EE1363"/>
    <w:rsid w:val="00F014A1"/>
    <w:rsid w:val="00F135F3"/>
    <w:rsid w:val="00F220CE"/>
    <w:rsid w:val="00F32E1F"/>
    <w:rsid w:val="00F40E07"/>
    <w:rsid w:val="00F440CD"/>
    <w:rsid w:val="00F51D57"/>
    <w:rsid w:val="00F64957"/>
    <w:rsid w:val="00F72C93"/>
    <w:rsid w:val="00F744F3"/>
    <w:rsid w:val="00F800EA"/>
    <w:rsid w:val="00F86C35"/>
    <w:rsid w:val="00F94405"/>
    <w:rsid w:val="00FA18B2"/>
    <w:rsid w:val="00FD3DC7"/>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F2"/>
    <w:pPr>
      <w:ind w:left="720"/>
      <w:contextualSpacing/>
    </w:pPr>
  </w:style>
  <w:style w:type="paragraph" w:styleId="FootnoteText">
    <w:name w:val="footnote text"/>
    <w:basedOn w:val="Normal"/>
    <w:link w:val="FootnoteTextChar"/>
    <w:uiPriority w:val="99"/>
    <w:semiHidden/>
    <w:unhideWhenUsed/>
    <w:rsid w:val="00567136"/>
    <w:rPr>
      <w:szCs w:val="20"/>
    </w:rPr>
  </w:style>
  <w:style w:type="character" w:customStyle="1" w:styleId="FootnoteTextChar">
    <w:name w:val="Footnote Text Char"/>
    <w:basedOn w:val="DefaultParagraphFont"/>
    <w:link w:val="FootnoteText"/>
    <w:uiPriority w:val="99"/>
    <w:semiHidden/>
    <w:rsid w:val="00567136"/>
    <w:rPr>
      <w:szCs w:val="20"/>
    </w:rPr>
  </w:style>
  <w:style w:type="character" w:styleId="FootnoteReference">
    <w:name w:val="footnote reference"/>
    <w:basedOn w:val="DefaultParagraphFont"/>
    <w:uiPriority w:val="99"/>
    <w:semiHidden/>
    <w:unhideWhenUsed/>
    <w:rsid w:val="00567136"/>
    <w:rPr>
      <w:vertAlign w:val="superscript"/>
    </w:rPr>
  </w:style>
  <w:style w:type="character" w:styleId="Hyperlink">
    <w:name w:val="Hyperlink"/>
    <w:basedOn w:val="DefaultParagraphFont"/>
    <w:uiPriority w:val="99"/>
    <w:unhideWhenUsed/>
    <w:rsid w:val="005E7350"/>
    <w:rPr>
      <w:color w:val="0000FF" w:themeColor="hyperlink"/>
      <w:u w:val="single"/>
    </w:rPr>
  </w:style>
  <w:style w:type="table" w:styleId="TableGrid">
    <w:name w:val="Table Grid"/>
    <w:basedOn w:val="TableNormal"/>
    <w:uiPriority w:val="59"/>
    <w:rsid w:val="00B54B55"/>
    <w:pPr>
      <w:jc w:val="left"/>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F8A"/>
    <w:rPr>
      <w:sz w:val="16"/>
      <w:szCs w:val="16"/>
    </w:rPr>
  </w:style>
  <w:style w:type="paragraph" w:styleId="CommentText">
    <w:name w:val="annotation text"/>
    <w:basedOn w:val="Normal"/>
    <w:link w:val="CommentTextChar"/>
    <w:uiPriority w:val="99"/>
    <w:semiHidden/>
    <w:unhideWhenUsed/>
    <w:rsid w:val="00923F8A"/>
    <w:rPr>
      <w:szCs w:val="20"/>
    </w:rPr>
  </w:style>
  <w:style w:type="character" w:customStyle="1" w:styleId="CommentTextChar">
    <w:name w:val="Comment Text Char"/>
    <w:basedOn w:val="DefaultParagraphFont"/>
    <w:link w:val="CommentText"/>
    <w:uiPriority w:val="99"/>
    <w:semiHidden/>
    <w:rsid w:val="00923F8A"/>
    <w:rPr>
      <w:szCs w:val="20"/>
    </w:rPr>
  </w:style>
  <w:style w:type="paragraph" w:styleId="CommentSubject">
    <w:name w:val="annotation subject"/>
    <w:basedOn w:val="CommentText"/>
    <w:next w:val="CommentText"/>
    <w:link w:val="CommentSubjectChar"/>
    <w:uiPriority w:val="99"/>
    <w:semiHidden/>
    <w:unhideWhenUsed/>
    <w:rsid w:val="00923F8A"/>
    <w:rPr>
      <w:b/>
      <w:bCs/>
    </w:rPr>
  </w:style>
  <w:style w:type="character" w:customStyle="1" w:styleId="CommentSubjectChar">
    <w:name w:val="Comment Subject Char"/>
    <w:basedOn w:val="CommentTextChar"/>
    <w:link w:val="CommentSubject"/>
    <w:uiPriority w:val="99"/>
    <w:semiHidden/>
    <w:rsid w:val="00923F8A"/>
    <w:rPr>
      <w:b/>
      <w:bCs/>
      <w:szCs w:val="20"/>
    </w:rPr>
  </w:style>
  <w:style w:type="paragraph" w:styleId="BalloonText">
    <w:name w:val="Balloon Text"/>
    <w:basedOn w:val="Normal"/>
    <w:link w:val="BalloonTextChar"/>
    <w:uiPriority w:val="99"/>
    <w:semiHidden/>
    <w:unhideWhenUsed/>
    <w:rsid w:val="00923F8A"/>
    <w:rPr>
      <w:rFonts w:ascii="Tahoma" w:hAnsi="Tahoma" w:cs="Tahoma"/>
      <w:sz w:val="16"/>
      <w:szCs w:val="16"/>
    </w:rPr>
  </w:style>
  <w:style w:type="character" w:customStyle="1" w:styleId="BalloonTextChar">
    <w:name w:val="Balloon Text Char"/>
    <w:basedOn w:val="DefaultParagraphFont"/>
    <w:link w:val="BalloonText"/>
    <w:uiPriority w:val="99"/>
    <w:semiHidden/>
    <w:rsid w:val="00923F8A"/>
    <w:rPr>
      <w:rFonts w:ascii="Tahoma" w:hAnsi="Tahoma" w:cs="Tahoma"/>
      <w:sz w:val="16"/>
      <w:szCs w:val="16"/>
    </w:rPr>
  </w:style>
  <w:style w:type="paragraph" w:styleId="Header">
    <w:name w:val="header"/>
    <w:basedOn w:val="Normal"/>
    <w:link w:val="HeaderChar"/>
    <w:uiPriority w:val="99"/>
    <w:unhideWhenUsed/>
    <w:rsid w:val="00025C03"/>
    <w:pPr>
      <w:tabs>
        <w:tab w:val="center" w:pos="4680"/>
        <w:tab w:val="right" w:pos="9360"/>
      </w:tabs>
    </w:pPr>
  </w:style>
  <w:style w:type="character" w:customStyle="1" w:styleId="HeaderChar">
    <w:name w:val="Header Char"/>
    <w:basedOn w:val="DefaultParagraphFont"/>
    <w:link w:val="Header"/>
    <w:uiPriority w:val="99"/>
    <w:rsid w:val="00025C03"/>
  </w:style>
  <w:style w:type="paragraph" w:styleId="Footer">
    <w:name w:val="footer"/>
    <w:basedOn w:val="Normal"/>
    <w:link w:val="FooterChar"/>
    <w:uiPriority w:val="99"/>
    <w:unhideWhenUsed/>
    <w:rsid w:val="00025C03"/>
    <w:pPr>
      <w:tabs>
        <w:tab w:val="center" w:pos="4680"/>
        <w:tab w:val="right" w:pos="9360"/>
      </w:tabs>
    </w:pPr>
  </w:style>
  <w:style w:type="character" w:customStyle="1" w:styleId="FooterChar">
    <w:name w:val="Footer Char"/>
    <w:basedOn w:val="DefaultParagraphFont"/>
    <w:link w:val="Footer"/>
    <w:uiPriority w:val="99"/>
    <w:rsid w:val="00025C03"/>
  </w:style>
  <w:style w:type="paragraph" w:styleId="PlainText">
    <w:name w:val="Plain Text"/>
    <w:basedOn w:val="Normal"/>
    <w:link w:val="PlainTextChar"/>
    <w:uiPriority w:val="99"/>
    <w:unhideWhenUsed/>
    <w:rsid w:val="00C3511D"/>
    <w:pPr>
      <w:jc w:val="left"/>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C3511D"/>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F2"/>
    <w:pPr>
      <w:ind w:left="720"/>
      <w:contextualSpacing/>
    </w:pPr>
  </w:style>
  <w:style w:type="paragraph" w:styleId="FootnoteText">
    <w:name w:val="footnote text"/>
    <w:basedOn w:val="Normal"/>
    <w:link w:val="FootnoteTextChar"/>
    <w:uiPriority w:val="99"/>
    <w:semiHidden/>
    <w:unhideWhenUsed/>
    <w:rsid w:val="00567136"/>
    <w:rPr>
      <w:szCs w:val="20"/>
    </w:rPr>
  </w:style>
  <w:style w:type="character" w:customStyle="1" w:styleId="FootnoteTextChar">
    <w:name w:val="Footnote Text Char"/>
    <w:basedOn w:val="DefaultParagraphFont"/>
    <w:link w:val="FootnoteText"/>
    <w:uiPriority w:val="99"/>
    <w:semiHidden/>
    <w:rsid w:val="00567136"/>
    <w:rPr>
      <w:szCs w:val="20"/>
    </w:rPr>
  </w:style>
  <w:style w:type="character" w:styleId="FootnoteReference">
    <w:name w:val="footnote reference"/>
    <w:basedOn w:val="DefaultParagraphFont"/>
    <w:uiPriority w:val="99"/>
    <w:semiHidden/>
    <w:unhideWhenUsed/>
    <w:rsid w:val="00567136"/>
    <w:rPr>
      <w:vertAlign w:val="superscript"/>
    </w:rPr>
  </w:style>
  <w:style w:type="character" w:styleId="Hyperlink">
    <w:name w:val="Hyperlink"/>
    <w:basedOn w:val="DefaultParagraphFont"/>
    <w:uiPriority w:val="99"/>
    <w:unhideWhenUsed/>
    <w:rsid w:val="005E7350"/>
    <w:rPr>
      <w:color w:val="0000FF" w:themeColor="hyperlink"/>
      <w:u w:val="single"/>
    </w:rPr>
  </w:style>
  <w:style w:type="table" w:styleId="TableGrid">
    <w:name w:val="Table Grid"/>
    <w:basedOn w:val="TableNormal"/>
    <w:uiPriority w:val="59"/>
    <w:rsid w:val="00B54B55"/>
    <w:pPr>
      <w:jc w:val="left"/>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F8A"/>
    <w:rPr>
      <w:sz w:val="16"/>
      <w:szCs w:val="16"/>
    </w:rPr>
  </w:style>
  <w:style w:type="paragraph" w:styleId="CommentText">
    <w:name w:val="annotation text"/>
    <w:basedOn w:val="Normal"/>
    <w:link w:val="CommentTextChar"/>
    <w:uiPriority w:val="99"/>
    <w:semiHidden/>
    <w:unhideWhenUsed/>
    <w:rsid w:val="00923F8A"/>
    <w:rPr>
      <w:szCs w:val="20"/>
    </w:rPr>
  </w:style>
  <w:style w:type="character" w:customStyle="1" w:styleId="CommentTextChar">
    <w:name w:val="Comment Text Char"/>
    <w:basedOn w:val="DefaultParagraphFont"/>
    <w:link w:val="CommentText"/>
    <w:uiPriority w:val="99"/>
    <w:semiHidden/>
    <w:rsid w:val="00923F8A"/>
    <w:rPr>
      <w:szCs w:val="20"/>
    </w:rPr>
  </w:style>
  <w:style w:type="paragraph" w:styleId="CommentSubject">
    <w:name w:val="annotation subject"/>
    <w:basedOn w:val="CommentText"/>
    <w:next w:val="CommentText"/>
    <w:link w:val="CommentSubjectChar"/>
    <w:uiPriority w:val="99"/>
    <w:semiHidden/>
    <w:unhideWhenUsed/>
    <w:rsid w:val="00923F8A"/>
    <w:rPr>
      <w:b/>
      <w:bCs/>
    </w:rPr>
  </w:style>
  <w:style w:type="character" w:customStyle="1" w:styleId="CommentSubjectChar">
    <w:name w:val="Comment Subject Char"/>
    <w:basedOn w:val="CommentTextChar"/>
    <w:link w:val="CommentSubject"/>
    <w:uiPriority w:val="99"/>
    <w:semiHidden/>
    <w:rsid w:val="00923F8A"/>
    <w:rPr>
      <w:b/>
      <w:bCs/>
      <w:szCs w:val="20"/>
    </w:rPr>
  </w:style>
  <w:style w:type="paragraph" w:styleId="BalloonText">
    <w:name w:val="Balloon Text"/>
    <w:basedOn w:val="Normal"/>
    <w:link w:val="BalloonTextChar"/>
    <w:uiPriority w:val="99"/>
    <w:semiHidden/>
    <w:unhideWhenUsed/>
    <w:rsid w:val="00923F8A"/>
    <w:rPr>
      <w:rFonts w:ascii="Tahoma" w:hAnsi="Tahoma" w:cs="Tahoma"/>
      <w:sz w:val="16"/>
      <w:szCs w:val="16"/>
    </w:rPr>
  </w:style>
  <w:style w:type="character" w:customStyle="1" w:styleId="BalloonTextChar">
    <w:name w:val="Balloon Text Char"/>
    <w:basedOn w:val="DefaultParagraphFont"/>
    <w:link w:val="BalloonText"/>
    <w:uiPriority w:val="99"/>
    <w:semiHidden/>
    <w:rsid w:val="00923F8A"/>
    <w:rPr>
      <w:rFonts w:ascii="Tahoma" w:hAnsi="Tahoma" w:cs="Tahoma"/>
      <w:sz w:val="16"/>
      <w:szCs w:val="16"/>
    </w:rPr>
  </w:style>
  <w:style w:type="paragraph" w:styleId="Header">
    <w:name w:val="header"/>
    <w:basedOn w:val="Normal"/>
    <w:link w:val="HeaderChar"/>
    <w:uiPriority w:val="99"/>
    <w:unhideWhenUsed/>
    <w:rsid w:val="00025C03"/>
    <w:pPr>
      <w:tabs>
        <w:tab w:val="center" w:pos="4680"/>
        <w:tab w:val="right" w:pos="9360"/>
      </w:tabs>
    </w:pPr>
  </w:style>
  <w:style w:type="character" w:customStyle="1" w:styleId="HeaderChar">
    <w:name w:val="Header Char"/>
    <w:basedOn w:val="DefaultParagraphFont"/>
    <w:link w:val="Header"/>
    <w:uiPriority w:val="99"/>
    <w:rsid w:val="00025C03"/>
  </w:style>
  <w:style w:type="paragraph" w:styleId="Footer">
    <w:name w:val="footer"/>
    <w:basedOn w:val="Normal"/>
    <w:link w:val="FooterChar"/>
    <w:uiPriority w:val="99"/>
    <w:unhideWhenUsed/>
    <w:rsid w:val="00025C03"/>
    <w:pPr>
      <w:tabs>
        <w:tab w:val="center" w:pos="4680"/>
        <w:tab w:val="right" w:pos="9360"/>
      </w:tabs>
    </w:pPr>
  </w:style>
  <w:style w:type="character" w:customStyle="1" w:styleId="FooterChar">
    <w:name w:val="Footer Char"/>
    <w:basedOn w:val="DefaultParagraphFont"/>
    <w:link w:val="Footer"/>
    <w:uiPriority w:val="99"/>
    <w:rsid w:val="00025C03"/>
  </w:style>
  <w:style w:type="paragraph" w:styleId="PlainText">
    <w:name w:val="Plain Text"/>
    <w:basedOn w:val="Normal"/>
    <w:link w:val="PlainTextChar"/>
    <w:uiPriority w:val="99"/>
    <w:unhideWhenUsed/>
    <w:rsid w:val="00C3511D"/>
    <w:pPr>
      <w:jc w:val="left"/>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C3511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jk@bbrslaw.com" TargetMode="External"/><Relationship Id="rId18" Type="http://schemas.openxmlformats.org/officeDocument/2006/relationships/hyperlink" Target="mailto:mfleisher@elp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kl@bbrslaw.com" TargetMode="External"/><Relationship Id="rId17" Type="http://schemas.openxmlformats.org/officeDocument/2006/relationships/hyperlink" Target="mailto:finnigan@edf.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dougherty@theOE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ks@ohanet.or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lang@calfee.com" TargetMode="External"/><Relationship Id="rId23" Type="http://schemas.openxmlformats.org/officeDocument/2006/relationships/header" Target="header3.xml"/><Relationship Id="rId10" Type="http://schemas.openxmlformats.org/officeDocument/2006/relationships/hyperlink" Target="mailto:Schmidt@sppgrp.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jsatterwhite@aep.com" TargetMode="External"/><Relationship Id="rId14" Type="http://schemas.openxmlformats.org/officeDocument/2006/relationships/hyperlink" Target="mailto:sfisk@earthjustice.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3E29-BE12-404E-BF84-CA610541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Words>
  <Characters>9460</Characters>
  <Application>Microsoft Office Word</Application>
  <DocSecurity>0</DocSecurity>
  <Lines>326</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2016-02-26T15:57:00Z</dcterms:created>
  <dcterms:modified xsi:type="dcterms:W3CDTF">2016-02-26T21:31:00Z</dcterms:modified>
</cp:coreProperties>
</file>