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663D6A" w:rsidTr="007669EA">
        <w:tc>
          <w:tcPr>
            <w:tcW w:w="4689" w:type="dxa"/>
          </w:tcPr>
          <w:p w:rsidR="001A5C2F" w:rsidRPr="00221496" w:rsidRDefault="00663D6A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714BD8">
              <w:rPr>
                <w:rFonts w:ascii="Times New Roman" w:hAnsi="Times New Roman"/>
                <w:sz w:val="26"/>
                <w:szCs w:val="26"/>
              </w:rPr>
              <w:t xml:space="preserve"> the Alternative Energy Resources Report for calendar Year 2012 from Verde Energy USA Ohio, LLC</w:t>
            </w:r>
          </w:p>
        </w:tc>
        <w:tc>
          <w:tcPr>
            <w:tcW w:w="289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8" w:type="dxa"/>
          </w:tcPr>
          <w:p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714BD8">
              <w:rPr>
                <w:rFonts w:ascii="Times New Roman" w:hAnsi="Times New Roman"/>
                <w:sz w:val="26"/>
                <w:szCs w:val="26"/>
              </w:rPr>
              <w:t>13-735-EL-ACP</w:t>
            </w:r>
          </w:p>
        </w:tc>
      </w:tr>
    </w:tbl>
    <w:p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663D6A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E10679" w:rsidRDefault="00714BD8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REVIEW AND RECOMMENDATIONS</w:t>
      </w:r>
    </w:p>
    <w:p w:rsidR="00663D6A" w:rsidRPr="002D54AC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Toc257632572"/>
      <w:bookmarkStart w:id="1" w:name="_Toc257632676"/>
      <w:bookmarkStart w:id="2" w:name="_Toc257637808"/>
      <w:bookmarkStart w:id="3" w:name="_Toc257798062"/>
      <w:bookmarkStart w:id="4" w:name="_Toc260124108"/>
      <w:bookmarkStart w:id="5" w:name="_Toc260125213"/>
      <w:bookmarkStart w:id="6" w:name="_Toc260212953"/>
      <w:r>
        <w:rPr>
          <w:rFonts w:ascii="Times New Roman" w:hAnsi="Times New Roman"/>
          <w:sz w:val="26"/>
          <w:szCs w:val="26"/>
        </w:rPr>
        <w:t xml:space="preserve">SUBMITTED ON BEHALF </w:t>
      </w:r>
      <w:r w:rsidRPr="002D54AC">
        <w:rPr>
          <w:rFonts w:ascii="Times New Roman" w:hAnsi="Times New Roman"/>
          <w:sz w:val="26"/>
          <w:szCs w:val="26"/>
        </w:rPr>
        <w:t xml:space="preserve">OF THE STAFF </w:t>
      </w:r>
      <w:r>
        <w:rPr>
          <w:rFonts w:ascii="Times New Roman" w:hAnsi="Times New Roman"/>
          <w:sz w:val="26"/>
          <w:szCs w:val="26"/>
        </w:rPr>
        <w:t>OF</w:t>
      </w:r>
      <w:bookmarkEnd w:id="0"/>
      <w:bookmarkEnd w:id="1"/>
      <w:bookmarkEnd w:id="2"/>
      <w:bookmarkEnd w:id="3"/>
      <w:bookmarkEnd w:id="4"/>
      <w:bookmarkEnd w:id="5"/>
      <w:bookmarkEnd w:id="6"/>
    </w:p>
    <w:p w:rsidR="00663D6A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7" w:name="_Toc257632573"/>
      <w:bookmarkStart w:id="8" w:name="_Toc257632677"/>
      <w:bookmarkStart w:id="9" w:name="_Toc257637809"/>
      <w:bookmarkStart w:id="10" w:name="_Toc257798063"/>
      <w:bookmarkStart w:id="11" w:name="_Toc260124109"/>
      <w:bookmarkStart w:id="12" w:name="_Toc260125214"/>
      <w:bookmarkStart w:id="13" w:name="_Toc260212954"/>
      <w:r w:rsidRPr="002D54AC">
        <w:rPr>
          <w:rFonts w:ascii="Times New Roman" w:hAnsi="Times New Roman"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rFonts w:ascii="Times New Roman" w:hAnsi="Times New Roman"/>
              <w:sz w:val="26"/>
              <w:szCs w:val="26"/>
            </w:rPr>
            <w:t>OHIO</w:t>
          </w:r>
        </w:smartTag>
      </w:smartTag>
      <w:bookmarkEnd w:id="7"/>
      <w:bookmarkEnd w:id="8"/>
      <w:bookmarkEnd w:id="9"/>
      <w:bookmarkEnd w:id="10"/>
      <w:bookmarkEnd w:id="11"/>
      <w:bookmarkEnd w:id="12"/>
      <w:bookmarkEnd w:id="13"/>
      <w:r w:rsidRPr="002D54AC">
        <w:rPr>
          <w:rFonts w:ascii="Times New Roman" w:hAnsi="Times New Roman"/>
          <w:sz w:val="26"/>
          <w:szCs w:val="26"/>
        </w:rPr>
        <w:t xml:space="preserve"> </w:t>
      </w:r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14BD8" w:rsidRPr="008B5807" w:rsidRDefault="00714BD8" w:rsidP="00714BD8">
      <w:pPr>
        <w:pStyle w:val="textstyle0"/>
      </w:pPr>
      <w:bookmarkStart w:id="14" w:name="_Toc260212958"/>
      <w:r>
        <w:tab/>
      </w:r>
      <w:r w:rsidRPr="008B5807">
        <w:t>On March 27, 2013, Verde Energy USA Ohio, LLC (Verde or Company) filed a Request for Waiver specifically seeking authorization to deviate from the baseline calcu</w:t>
      </w:r>
      <w:r w:rsidR="007669EA">
        <w:softHyphen/>
      </w:r>
      <w:r w:rsidRPr="008B5807">
        <w:t>lation methodology detailed in Ohio Administrative Code (O.A.C.) 4901:1-40-03(B)(2)(b).</w:t>
      </w:r>
    </w:p>
    <w:p w:rsidR="00714BD8" w:rsidRPr="008B5807" w:rsidRDefault="00714BD8" w:rsidP="00714BD8">
      <w:pPr>
        <w:pStyle w:val="textstyle0"/>
      </w:pPr>
      <w:r>
        <w:tab/>
      </w:r>
      <w:r w:rsidRPr="008B5807">
        <w:t xml:space="preserve">O.A.C. 4901:1-40-02(B) indicates that the </w:t>
      </w:r>
      <w:r>
        <w:t xml:space="preserve">Public Utilities </w:t>
      </w:r>
      <w:r w:rsidRPr="008B5807">
        <w:t xml:space="preserve">Commission </w:t>
      </w:r>
      <w:r>
        <w:t xml:space="preserve">of Ohio (Commission) </w:t>
      </w:r>
      <w:r w:rsidRPr="008B5807">
        <w:t xml:space="preserve">may waive any portion of this rule provided that the request does not involve a statutory mandate.  While </w:t>
      </w:r>
      <w:r>
        <w:t xml:space="preserve">R.C. </w:t>
      </w:r>
      <w:r w:rsidRPr="008B5807">
        <w:t>4928.64(B) does address the baseline computa</w:t>
      </w:r>
      <w:r w:rsidR="007669EA">
        <w:softHyphen/>
      </w:r>
      <w:r w:rsidRPr="008B5807">
        <w:t>tion for companies with sales during the preceding three calendar years, it does not pre</w:t>
      </w:r>
      <w:r w:rsidR="007669EA">
        <w:softHyphen/>
      </w:r>
      <w:r w:rsidRPr="008B5807">
        <w:t xml:space="preserve">sent a methodology for competitive electric providers with a more limited Ohio electric retail sales history.  Therefore, Staff concludes that the Commission may waive O.A.C. 4901:1-40-03(B)(2)(b) if it deems it appropriate to do so.  </w:t>
      </w:r>
    </w:p>
    <w:p w:rsidR="00714BD8" w:rsidRPr="008B5807" w:rsidRDefault="00714BD8" w:rsidP="00714BD8">
      <w:pPr>
        <w:pStyle w:val="textstyle0"/>
      </w:pPr>
      <w:r>
        <w:tab/>
      </w:r>
      <w:r w:rsidRPr="008B5807">
        <w:t>The rule dictates that active electric service companies utilize a reasonable projec</w:t>
      </w:r>
      <w:r w:rsidR="007669EA">
        <w:softHyphen/>
      </w:r>
      <w:r w:rsidRPr="008B5807">
        <w:t xml:space="preserve">tion of sales for a calendar year as their alternative energy portfolio standard (AEPS) </w:t>
      </w:r>
      <w:r w:rsidRPr="008B5807">
        <w:lastRenderedPageBreak/>
        <w:t>compliance baseline in the event that they do no</w:t>
      </w:r>
      <w:r>
        <w:t>t</w:t>
      </w:r>
      <w:r w:rsidRPr="008B5807">
        <w:t xml:space="preserve"> have any retail electric sales in the state during the three calendar years preceding the compliance year.  </w:t>
      </w:r>
    </w:p>
    <w:p w:rsidR="00714BD8" w:rsidRPr="008B5807" w:rsidRDefault="00714BD8" w:rsidP="00714BD8">
      <w:pPr>
        <w:pStyle w:val="textstyle0"/>
      </w:pPr>
      <w:r>
        <w:tab/>
      </w:r>
      <w:r w:rsidRPr="008B5807">
        <w:t>Verde asserts that it had no sales during 2009</w:t>
      </w:r>
      <w:r>
        <w:t>-</w:t>
      </w:r>
      <w:r w:rsidRPr="008B5807">
        <w:t>2011, but that it began operations in Ohio in approximately July 2012.</w:t>
      </w:r>
      <w:r w:rsidRPr="008B5807">
        <w:rPr>
          <w:rStyle w:val="FootnoteReference"/>
          <w:rFonts w:ascii="Palatino Linotype" w:hAnsi="Palatino Linotype"/>
        </w:rPr>
        <w:footnoteReference w:id="1"/>
      </w:r>
      <w:r w:rsidRPr="008B5807">
        <w:t xml:space="preserve">  In such a scenario, O.A.C. 4901:1-40-03(B)(2)(b) would require that Verde’s AEPS compliance baseline for the 2012 compliance year con</w:t>
      </w:r>
      <w:r w:rsidR="007669EA">
        <w:softHyphen/>
      </w:r>
      <w:r w:rsidRPr="008B5807">
        <w:t>sist of a reasonable projection of its sales for a calendar year.  However, the Company is proposing to use its actual 2012 retail sales as its baseline rather than a projection of sales.</w:t>
      </w:r>
    </w:p>
    <w:p w:rsidR="00714BD8" w:rsidRPr="008B5807" w:rsidRDefault="00714BD8" w:rsidP="00714BD8">
      <w:pPr>
        <w:pStyle w:val="textstyle0"/>
      </w:pPr>
      <w:r>
        <w:tab/>
      </w:r>
      <w:r w:rsidRPr="008B5807">
        <w:t>The use of projected sales, as detailed in O.A.C. 4901:1-40-03(B)(2)(b)</w:t>
      </w:r>
      <w:r>
        <w:t>,</w:t>
      </w:r>
      <w:r w:rsidRPr="008B5807">
        <w:t xml:space="preserve"> was intended to facilitate a company’s compliance planning in that it could quantify its com</w:t>
      </w:r>
      <w:r w:rsidR="007669EA">
        <w:softHyphen/>
      </w:r>
      <w:r w:rsidRPr="008B5807">
        <w:t xml:space="preserve">pliance requirements earlier in the year. </w:t>
      </w:r>
      <w:r>
        <w:t xml:space="preserve"> </w:t>
      </w:r>
      <w:r w:rsidRPr="008B5807">
        <w:t>However, Staff acknowledges that the use of actual sales data, as proposed by Verde, is more accurate than using projected data and</w:t>
      </w:r>
      <w:r>
        <w:t>,</w:t>
      </w:r>
      <w:r w:rsidRPr="008B5807">
        <w:t xml:space="preserve"> therefore</w:t>
      </w:r>
      <w:r>
        <w:t>,</w:t>
      </w:r>
      <w:r w:rsidRPr="008B5807">
        <w:t xml:space="preserve"> Staff recommends that the requested waiver be granted. </w:t>
      </w:r>
    </w:p>
    <w:p w:rsidR="00714BD8" w:rsidRPr="008B5807" w:rsidRDefault="00714BD8" w:rsidP="00714BD8">
      <w:pPr>
        <w:pStyle w:val="textstyle0"/>
      </w:pPr>
      <w:r>
        <w:tab/>
      </w:r>
      <w:r w:rsidRPr="008B5807">
        <w:t>If granted, the proposed use of actual Ohio sales from 2012 would comprise the compliance baseline for purposes of the Company’s filing requirement for the 2012 com</w:t>
      </w:r>
      <w:r w:rsidR="007669EA">
        <w:softHyphen/>
      </w:r>
      <w:r w:rsidRPr="008B5807">
        <w:t>pliance year under O.A.C. 4901:1-40-05.  The annual filing requirement under O.A.C. 4901:1-40-03(C) should be unaffected by this waiver request.</w:t>
      </w:r>
    </w:p>
    <w:bookmarkEnd w:id="14"/>
    <w:p w:rsidR="00200A0A" w:rsidRPr="0064436A" w:rsidRDefault="007669EA" w:rsidP="007A2B5F">
      <w:pPr>
        <w:tabs>
          <w:tab w:val="left" w:pos="9348"/>
        </w:tabs>
        <w:spacing w:line="480" w:lineRule="auto"/>
        <w:ind w:left="504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00A0A" w:rsidRPr="0064436A">
        <w:rPr>
          <w:sz w:val="26"/>
          <w:szCs w:val="26"/>
        </w:rPr>
        <w:lastRenderedPageBreak/>
        <w:t>Respectfully submitted,</w:t>
      </w:r>
    </w:p>
    <w:p w:rsidR="00200A0A" w:rsidRPr="0064436A" w:rsidRDefault="00C9096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64436A" w:rsidRDefault="005C4FA3" w:rsidP="00200A0A">
      <w:pPr>
        <w:tabs>
          <w:tab w:val="left" w:pos="9348"/>
        </w:tabs>
        <w:ind w:left="5040"/>
        <w:rPr>
          <w:sz w:val="26"/>
          <w:szCs w:val="26"/>
          <w:u w:val="single"/>
        </w:rPr>
      </w:pPr>
      <w:r>
        <w:rPr>
          <w:rFonts w:ascii="Viner Hand ITC" w:hAnsi="Viner Hand ITC"/>
          <w:sz w:val="28"/>
          <w:szCs w:val="28"/>
          <w:u w:val="single"/>
        </w:rPr>
        <w:t>/s/ Thomas G. Lindgren</w:t>
      </w:r>
      <w:r w:rsidR="00200A0A" w:rsidRPr="0064436A">
        <w:rPr>
          <w:sz w:val="26"/>
          <w:szCs w:val="26"/>
          <w:u w:val="single"/>
        </w:rPr>
        <w:tab/>
      </w:r>
    </w:p>
    <w:p w:rsidR="00E45A7D" w:rsidRPr="0064436A" w:rsidRDefault="00E45A7D" w:rsidP="00E45A7D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Thomas G. Lindgren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E45A7D" w:rsidRDefault="005C4FA3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  <w:hyperlink r:id="rId8" w:history="1">
        <w:r w:rsidR="00E45A7D" w:rsidRPr="00E20D0E">
          <w:rPr>
            <w:rStyle w:val="Hyperlink"/>
            <w:sz w:val="26"/>
            <w:szCs w:val="26"/>
          </w:rPr>
          <w:t>thomas.lindgren@puc.state.oh.us</w:t>
        </w:r>
      </w:hyperlink>
    </w:p>
    <w:p w:rsidR="007669EA" w:rsidRDefault="007669EA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7669EA" w:rsidRDefault="007669EA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7669EA" w:rsidRDefault="007669EA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7669EA" w:rsidRPr="0064436A" w:rsidRDefault="007669EA" w:rsidP="00E45A7D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64436A" w:rsidRDefault="00200A0A" w:rsidP="00200A0A">
      <w:pPr>
        <w:tabs>
          <w:tab w:val="left" w:pos="9348"/>
        </w:tabs>
        <w:ind w:left="5040"/>
        <w:rPr>
          <w:b/>
          <w:sz w:val="26"/>
          <w:szCs w:val="26"/>
        </w:rPr>
      </w:pPr>
    </w:p>
    <w:p w:rsidR="00200A0A" w:rsidRPr="00934B92" w:rsidRDefault="00C95499" w:rsidP="0064436A">
      <w:pPr>
        <w:pStyle w:val="Heading1"/>
      </w:pPr>
      <w:bookmarkStart w:id="15" w:name="_Toc205862526"/>
      <w:bookmarkStart w:id="16" w:name="_Toc260212964"/>
      <w:r w:rsidRPr="00934B92">
        <w:rPr>
          <w:caps w:val="0"/>
        </w:rPr>
        <w:t>PROOF OF SERVICE</w:t>
      </w:r>
      <w:bookmarkEnd w:id="15"/>
      <w:bookmarkEnd w:id="16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714BD8">
        <w:rPr>
          <w:b/>
        </w:rPr>
        <w:t>Review and Recommendations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7669EA">
        <w:t>via electronic mail</w:t>
      </w:r>
      <w:r w:rsidR="00200A0A" w:rsidRPr="00934B92">
        <w:t xml:space="preserve"> upon </w:t>
      </w:r>
      <w:r w:rsidR="007669EA">
        <w:t xml:space="preserve">applicant’s counsel, Stephen M. Howard, Vorys, Sater, Seymour &amp; Pease, 52 East Gay Street, Columbus, Ohio, 43215, </w:t>
      </w:r>
      <w:hyperlink r:id="rId9" w:history="1">
        <w:r w:rsidR="007669EA" w:rsidRPr="0064775F">
          <w:rPr>
            <w:rStyle w:val="Hyperlink"/>
          </w:rPr>
          <w:t>smhoward@vorys.com</w:t>
        </w:r>
      </w:hyperlink>
      <w:r w:rsidR="00721F2D">
        <w:t xml:space="preserve">, </w:t>
      </w:r>
      <w:r w:rsidR="00200A0A" w:rsidRPr="00934B92">
        <w:t xml:space="preserve">this </w:t>
      </w:r>
      <w:r w:rsidR="005C4FA3">
        <w:t>3</w:t>
      </w:r>
      <w:r w:rsidR="005C4FA3" w:rsidRPr="005C4FA3">
        <w:rPr>
          <w:vertAlign w:val="superscript"/>
        </w:rPr>
        <w:t>rd</w:t>
      </w:r>
      <w:r w:rsidR="005C4FA3">
        <w:t xml:space="preserve"> </w:t>
      </w:r>
      <w:r w:rsidR="004B6358">
        <w:t>d</w:t>
      </w:r>
      <w:r w:rsidR="00200A0A" w:rsidRPr="00934B92">
        <w:t xml:space="preserve">ay of </w:t>
      </w:r>
      <w:r w:rsidR="00714BD8">
        <w:t>April, 2013</w:t>
      </w:r>
      <w:r w:rsidR="00200A0A" w:rsidRPr="00934B92">
        <w:t>.</w:t>
      </w:r>
      <w:bookmarkStart w:id="17" w:name="_GoBack"/>
      <w:bookmarkEnd w:id="17"/>
    </w:p>
    <w:p w:rsidR="00200A0A" w:rsidRPr="00DF3D54" w:rsidRDefault="005C4FA3" w:rsidP="007669EA">
      <w:pPr>
        <w:tabs>
          <w:tab w:val="right" w:pos="9360"/>
        </w:tabs>
        <w:ind w:left="5040"/>
        <w:jc w:val="both"/>
        <w:rPr>
          <w:u w:val="single"/>
        </w:rPr>
      </w:pPr>
      <w:r>
        <w:rPr>
          <w:rFonts w:ascii="Viner Hand ITC" w:hAnsi="Viner Hand ITC"/>
          <w:sz w:val="28"/>
          <w:szCs w:val="28"/>
          <w:u w:val="single"/>
        </w:rPr>
        <w:t>/s/ Thomas G. Lindgren</w:t>
      </w:r>
      <w:r w:rsidR="00200A0A" w:rsidRPr="00DF3D54">
        <w:rPr>
          <w:u w:val="single"/>
        </w:rPr>
        <w:tab/>
      </w:r>
    </w:p>
    <w:p w:rsidR="00200A0A" w:rsidRPr="00DF3D54" w:rsidRDefault="007669EA" w:rsidP="007669EA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Thomas G. Lindgren</w:t>
      </w:r>
    </w:p>
    <w:p w:rsidR="00977F01" w:rsidRPr="00DF3D54" w:rsidRDefault="00200A0A" w:rsidP="005C4FA3">
      <w:pPr>
        <w:ind w:left="5040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sectPr w:rsidR="00977F01" w:rsidRPr="00DF3D54" w:rsidSect="003B12DD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D8" w:rsidRDefault="00714BD8" w:rsidP="008866FC">
      <w:pPr>
        <w:pStyle w:val="Title"/>
      </w:pPr>
      <w:r>
        <w:separator/>
      </w:r>
    </w:p>
  </w:endnote>
  <w:endnote w:type="continuationSeparator" w:id="0">
    <w:p w:rsidR="00714BD8" w:rsidRDefault="00714BD8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5C4FA3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D8" w:rsidRDefault="00714BD8" w:rsidP="00663D6A">
      <w:pPr>
        <w:pStyle w:val="Title"/>
        <w:jc w:val="left"/>
      </w:pPr>
      <w:r>
        <w:separator/>
      </w:r>
    </w:p>
  </w:footnote>
  <w:footnote w:type="continuationSeparator" w:id="0">
    <w:p w:rsidR="00714BD8" w:rsidRDefault="00714BD8" w:rsidP="008866FC">
      <w:pPr>
        <w:pStyle w:val="Title"/>
      </w:pPr>
      <w:r>
        <w:continuationSeparator/>
      </w:r>
    </w:p>
  </w:footnote>
  <w:footnote w:id="1">
    <w:p w:rsidR="00714BD8" w:rsidRDefault="00714BD8" w:rsidP="00714BD8">
      <w:pPr>
        <w:pStyle w:val="FootnoteText"/>
        <w:tabs>
          <w:tab w:val="left" w:pos="720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>Received its CRES certification in March 2012 and began operations approximately July, 2012 (Company’s Request for Waiver).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D8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4FA3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BD8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9EA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uiPriority w:val="99"/>
    <w:locked/>
    <w:rsid w:val="006A3730"/>
    <w:rPr>
      <w:sz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indgren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howard@vor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3487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3</cp:revision>
  <cp:lastPrinted>2010-04-28T14:16:00Z</cp:lastPrinted>
  <dcterms:created xsi:type="dcterms:W3CDTF">2013-04-03T15:33:00Z</dcterms:created>
  <dcterms:modified xsi:type="dcterms:W3CDTF">2013-04-03T17:11:00Z</dcterms:modified>
</cp:coreProperties>
</file>