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62" w:rsidRPr="006F05E6" w:rsidRDefault="00E34C62" w:rsidP="00E34C62">
      <w:pPr>
        <w:pStyle w:val="Title"/>
        <w:rPr>
          <w:rFonts w:ascii="Arial" w:hAnsi="Arial" w:cs="Arial"/>
          <w:smallCaps/>
          <w:sz w:val="28"/>
          <w:szCs w:val="28"/>
        </w:rPr>
      </w:pPr>
      <w:r w:rsidRPr="006F05E6">
        <w:rPr>
          <w:rFonts w:ascii="Arial" w:hAnsi="Arial" w:cs="Arial"/>
          <w:sz w:val="28"/>
          <w:szCs w:val="28"/>
        </w:rPr>
        <w:t>B</w:t>
      </w:r>
      <w:r w:rsidRPr="006F05E6">
        <w:rPr>
          <w:rFonts w:ascii="Arial" w:hAnsi="Arial" w:cs="Arial"/>
          <w:smallCaps/>
          <w:sz w:val="28"/>
          <w:szCs w:val="28"/>
        </w:rPr>
        <w:t>efore</w:t>
      </w:r>
    </w:p>
    <w:p w:rsidR="00E34C62" w:rsidRPr="006F05E6" w:rsidRDefault="00E34C62" w:rsidP="00E34C62">
      <w:pPr>
        <w:pStyle w:val="Subtitle"/>
        <w:rPr>
          <w:rFonts w:cs="Arial"/>
          <w:sz w:val="28"/>
          <w:szCs w:val="28"/>
        </w:rPr>
      </w:pPr>
      <w:r w:rsidRPr="006F05E6">
        <w:rPr>
          <w:rFonts w:cs="Arial"/>
          <w:sz w:val="28"/>
          <w:szCs w:val="28"/>
        </w:rPr>
        <w:t>The Public Utilities Commission Of Ohio</w:t>
      </w:r>
    </w:p>
    <w:p w:rsidR="00E34C62" w:rsidRDefault="00E34C62" w:rsidP="00E34C62">
      <w:pPr>
        <w:pStyle w:val="Title"/>
        <w:rPr>
          <w:rFonts w:ascii="Arial" w:hAnsi="Arial" w:cs="Arial"/>
          <w:b w:val="0"/>
          <w:bCs w:val="0"/>
        </w:rPr>
      </w:pPr>
    </w:p>
    <w:p w:rsidR="00E34C62" w:rsidRDefault="00E34C62" w:rsidP="00E34C62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E34C62" w:rsidRDefault="00E34C62" w:rsidP="00E34C62">
      <w:pPr>
        <w:pStyle w:val="Title"/>
        <w:tabs>
          <w:tab w:val="left" w:pos="4320"/>
          <w:tab w:val="left" w:pos="4680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In the Matter of the Application of</w:t>
      </w:r>
      <w:r>
        <w:rPr>
          <w:rFonts w:ascii="Arial" w:hAnsi="Arial" w:cs="Arial"/>
          <w:b w:val="0"/>
          <w:bCs w:val="0"/>
        </w:rPr>
        <w:tab/>
        <w:t>)</w:t>
      </w:r>
    </w:p>
    <w:p w:rsidR="00E34C62" w:rsidRDefault="00E34C62" w:rsidP="00E34C62">
      <w:pPr>
        <w:pStyle w:val="Title"/>
        <w:tabs>
          <w:tab w:val="left" w:pos="4320"/>
          <w:tab w:val="left" w:pos="4680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Ohio Gas Company to Change its</w:t>
      </w:r>
      <w:r>
        <w:rPr>
          <w:rFonts w:ascii="Arial" w:hAnsi="Arial" w:cs="Arial"/>
          <w:b w:val="0"/>
          <w:bCs w:val="0"/>
        </w:rPr>
        <w:tab/>
        <w:t>)</w:t>
      </w:r>
      <w:r>
        <w:rPr>
          <w:rFonts w:ascii="Arial" w:hAnsi="Arial" w:cs="Arial"/>
          <w:b w:val="0"/>
          <w:bCs w:val="0"/>
        </w:rPr>
        <w:tab/>
      </w:r>
      <w:r w:rsidR="00EB579D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>Case No. 16-</w:t>
      </w:r>
      <w:r w:rsidR="00C456F4">
        <w:rPr>
          <w:rFonts w:ascii="Arial" w:hAnsi="Arial" w:cs="Arial"/>
          <w:b w:val="0"/>
          <w:bCs w:val="0"/>
        </w:rPr>
        <w:t>2124</w:t>
      </w:r>
      <w:r w:rsidR="00982600">
        <w:rPr>
          <w:rFonts w:ascii="Arial" w:hAnsi="Arial" w:cs="Arial"/>
          <w:b w:val="0"/>
          <w:bCs w:val="0"/>
        </w:rPr>
        <w:t>-GA-AAM</w:t>
      </w:r>
    </w:p>
    <w:p w:rsidR="00E34C62" w:rsidRDefault="00E34C62" w:rsidP="00E34C62">
      <w:pPr>
        <w:pStyle w:val="Title"/>
        <w:tabs>
          <w:tab w:val="left" w:pos="4320"/>
          <w:tab w:val="left" w:pos="4680"/>
        </w:tabs>
        <w:jc w:val="left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t>Depreciation Accrual Rates.</w:t>
      </w:r>
      <w:proofErr w:type="gramEnd"/>
      <w:r>
        <w:rPr>
          <w:rFonts w:ascii="Arial" w:hAnsi="Arial" w:cs="Arial"/>
          <w:b w:val="0"/>
          <w:bCs w:val="0"/>
        </w:rPr>
        <w:tab/>
        <w:t>)</w:t>
      </w:r>
    </w:p>
    <w:p w:rsidR="00E34C62" w:rsidRDefault="00E34C62" w:rsidP="00E34C62">
      <w:pPr>
        <w:pStyle w:val="Title"/>
        <w:tabs>
          <w:tab w:val="left" w:pos="4320"/>
        </w:tabs>
        <w:rPr>
          <w:rFonts w:ascii="Arial" w:hAnsi="Arial" w:cs="Arial"/>
          <w:b w:val="0"/>
          <w:bCs w:val="0"/>
        </w:rPr>
      </w:pPr>
    </w:p>
    <w:p w:rsidR="00E34C62" w:rsidRDefault="00E34C62" w:rsidP="00E34C62">
      <w:pPr>
        <w:pStyle w:val="Title"/>
        <w:tabs>
          <w:tab w:val="left" w:pos="4320"/>
        </w:tabs>
        <w:rPr>
          <w:rFonts w:ascii="Arial" w:hAnsi="Arial" w:cs="Arial"/>
          <w:b w:val="0"/>
          <w:bCs w:val="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</w:pPr>
    </w:p>
    <w:p w:rsidR="00E34C62" w:rsidRDefault="00E34C62" w:rsidP="00E34C62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cs="Arial"/>
          <w:b/>
          <w:bCs/>
        </w:rPr>
      </w:pPr>
    </w:p>
    <w:p w:rsidR="00E34C62" w:rsidRDefault="00E34C62" w:rsidP="00E34C62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APPLICATION</w:t>
      </w:r>
    </w:p>
    <w:p w:rsidR="00E34C62" w:rsidRDefault="00E34C62" w:rsidP="00E34C62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b/>
          <w:bCs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b/>
          <w:bCs/>
          <w:szCs w:val="20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cs="Arial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cs="Arial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cs="Arial"/>
        </w:rPr>
      </w:pPr>
    </w:p>
    <w:p w:rsidR="00E34C62" w:rsidRDefault="00E34C62" w:rsidP="00E34C62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cs="Arial"/>
        </w:rPr>
      </w:pPr>
    </w:p>
    <w:p w:rsidR="00E34C62" w:rsidRPr="00DC790B" w:rsidRDefault="00E34C62" w:rsidP="00E34C62">
      <w:pPr>
        <w:widowControl w:val="0"/>
        <w:ind w:left="4320"/>
        <w:jc w:val="both"/>
        <w:rPr>
          <w:rFonts w:eastAsia="Calibri" w:cs="Arial"/>
          <w:bCs/>
          <w:szCs w:val="20"/>
        </w:rPr>
      </w:pPr>
      <w:r w:rsidRPr="00DC790B">
        <w:rPr>
          <w:rFonts w:eastAsia="Calibri" w:cs="Arial"/>
          <w:bCs/>
          <w:szCs w:val="20"/>
        </w:rPr>
        <w:t>Frank P. Darr (Reg. No. 0025469)</w:t>
      </w:r>
    </w:p>
    <w:p w:rsidR="00E34C62" w:rsidRPr="00DC790B" w:rsidRDefault="00E34C62" w:rsidP="00E34C62">
      <w:pPr>
        <w:widowControl w:val="0"/>
        <w:ind w:left="4320"/>
        <w:jc w:val="both"/>
        <w:rPr>
          <w:rFonts w:eastAsia="Calibri" w:cs="Arial"/>
          <w:bCs/>
          <w:szCs w:val="20"/>
        </w:rPr>
      </w:pPr>
      <w:r w:rsidRPr="00DC790B">
        <w:rPr>
          <w:rFonts w:eastAsia="Calibri" w:cs="Arial"/>
          <w:bCs/>
          <w:szCs w:val="20"/>
        </w:rPr>
        <w:t>Trial Attorney</w:t>
      </w:r>
    </w:p>
    <w:p w:rsidR="00E34C62" w:rsidRPr="00DC790B" w:rsidRDefault="00E34C62" w:rsidP="00E34C62">
      <w:pPr>
        <w:widowControl w:val="0"/>
        <w:ind w:left="4320" w:right="-288"/>
        <w:jc w:val="both"/>
        <w:rPr>
          <w:szCs w:val="20"/>
        </w:rPr>
      </w:pPr>
      <w:r w:rsidRPr="00DC790B">
        <w:rPr>
          <w:szCs w:val="20"/>
        </w:rPr>
        <w:t>Matthew R. Pritchard (Reg. No. 0088070)</w:t>
      </w:r>
    </w:p>
    <w:p w:rsidR="00E34C62" w:rsidRPr="00DC790B" w:rsidRDefault="00E34C62" w:rsidP="00E34C62">
      <w:pPr>
        <w:widowControl w:val="0"/>
        <w:ind w:left="4320"/>
        <w:jc w:val="both"/>
        <w:rPr>
          <w:rFonts w:eastAsia="Calibri" w:cs="Arial"/>
          <w:bCs/>
          <w:smallCaps/>
          <w:szCs w:val="20"/>
        </w:rPr>
      </w:pPr>
      <w:r w:rsidRPr="00DC790B">
        <w:rPr>
          <w:rFonts w:eastAsia="Calibri" w:cs="Arial"/>
          <w:bCs/>
          <w:smallCaps/>
          <w:szCs w:val="20"/>
        </w:rPr>
        <w:t>McNees Wallace &amp; Nurick LLC</w:t>
      </w:r>
    </w:p>
    <w:p w:rsidR="00E34C62" w:rsidRPr="00DC790B" w:rsidRDefault="00E34C62" w:rsidP="00E34C62">
      <w:pPr>
        <w:widowControl w:val="0"/>
        <w:ind w:left="4320"/>
        <w:jc w:val="both"/>
        <w:rPr>
          <w:rFonts w:eastAsia="Calibri" w:cs="Arial"/>
          <w:b/>
          <w:bCs/>
          <w:szCs w:val="20"/>
        </w:rPr>
      </w:pPr>
      <w:r w:rsidRPr="00DC790B">
        <w:rPr>
          <w:rFonts w:eastAsia="Calibri" w:cs="Arial"/>
          <w:bCs/>
          <w:szCs w:val="20"/>
        </w:rPr>
        <w:t>Fifth Third Center</w:t>
      </w:r>
    </w:p>
    <w:p w:rsidR="00E34C62" w:rsidRPr="00DC790B" w:rsidRDefault="00E34C62" w:rsidP="00E34C62">
      <w:pPr>
        <w:widowControl w:val="0"/>
        <w:ind w:left="4320"/>
        <w:jc w:val="both"/>
        <w:rPr>
          <w:rFonts w:eastAsia="Calibri" w:cs="Arial"/>
          <w:b/>
          <w:bCs/>
          <w:szCs w:val="20"/>
        </w:rPr>
      </w:pPr>
      <w:r w:rsidRPr="00DC790B">
        <w:rPr>
          <w:rFonts w:eastAsia="Calibri" w:cs="Arial"/>
          <w:bCs/>
          <w:szCs w:val="20"/>
        </w:rPr>
        <w:t>21 East State Street, 17</w:t>
      </w:r>
      <w:r w:rsidRPr="00DC790B">
        <w:rPr>
          <w:rFonts w:eastAsia="Calibri" w:cs="Arial"/>
          <w:bCs/>
          <w:szCs w:val="20"/>
          <w:vertAlign w:val="superscript"/>
        </w:rPr>
        <w:t>TH</w:t>
      </w:r>
      <w:r w:rsidRPr="00DC790B">
        <w:rPr>
          <w:rFonts w:eastAsia="Calibri" w:cs="Arial"/>
          <w:bCs/>
          <w:szCs w:val="20"/>
        </w:rPr>
        <w:t xml:space="preserve"> Floor</w:t>
      </w:r>
    </w:p>
    <w:p w:rsidR="00E34C62" w:rsidRPr="00DC790B" w:rsidRDefault="00E34C62" w:rsidP="00E34C62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szCs w:val="20"/>
        </w:rPr>
      </w:pPr>
      <w:r w:rsidRPr="00DC790B">
        <w:rPr>
          <w:rFonts w:eastAsia="Calibri" w:cs="Arial"/>
          <w:szCs w:val="20"/>
        </w:rPr>
        <w:t>Columbus, OH  43215</w:t>
      </w:r>
    </w:p>
    <w:p w:rsidR="00E34C62" w:rsidRPr="00DC790B" w:rsidRDefault="00E34C62" w:rsidP="00E34C62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szCs w:val="20"/>
        </w:rPr>
      </w:pPr>
      <w:r w:rsidRPr="00DC790B">
        <w:rPr>
          <w:rFonts w:eastAsia="Calibri" w:cs="Arial"/>
          <w:szCs w:val="20"/>
        </w:rPr>
        <w:t>Telephone:  (614) 469-8000</w:t>
      </w:r>
    </w:p>
    <w:p w:rsidR="00E34C62" w:rsidRPr="00DC790B" w:rsidRDefault="00E34C62" w:rsidP="00E34C62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  <w:szCs w:val="20"/>
        </w:rPr>
      </w:pPr>
      <w:r w:rsidRPr="00DC790B">
        <w:rPr>
          <w:rFonts w:eastAsia="Calibri" w:cs="Arial"/>
          <w:color w:val="000000"/>
          <w:szCs w:val="20"/>
        </w:rPr>
        <w:t>Telecopier:  (614) 469-4653</w:t>
      </w:r>
    </w:p>
    <w:p w:rsidR="00E34C62" w:rsidRPr="00DC790B" w:rsidRDefault="00ED43A7" w:rsidP="00E34C62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  <w:szCs w:val="20"/>
        </w:rPr>
      </w:pPr>
      <w:hyperlink r:id="rId7" w:history="1">
        <w:r w:rsidR="00E34C62" w:rsidRPr="00DC790B">
          <w:rPr>
            <w:rFonts w:eastAsia="Calibri" w:cs="Arial"/>
            <w:color w:val="0000FF"/>
            <w:szCs w:val="20"/>
            <w:u w:val="single"/>
          </w:rPr>
          <w:t>fdarr@mwncmh.com</w:t>
        </w:r>
      </w:hyperlink>
      <w:r w:rsidR="00E34C62" w:rsidRPr="00DC790B">
        <w:rPr>
          <w:rFonts w:eastAsia="Calibri" w:cs="Arial"/>
          <w:szCs w:val="20"/>
        </w:rPr>
        <w:t xml:space="preserve"> </w:t>
      </w:r>
    </w:p>
    <w:p w:rsidR="00E34C62" w:rsidRPr="00DC790B" w:rsidRDefault="00E34C62" w:rsidP="00E34C62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  <w:szCs w:val="20"/>
        </w:rPr>
      </w:pPr>
      <w:r w:rsidRPr="00DC790B">
        <w:rPr>
          <w:rFonts w:eastAsia="Calibri" w:cs="Arial"/>
          <w:color w:val="000000"/>
          <w:szCs w:val="20"/>
        </w:rPr>
        <w:t>(</w:t>
      </w:r>
      <w:proofErr w:type="gramStart"/>
      <w:r w:rsidRPr="00DC790B">
        <w:rPr>
          <w:rFonts w:eastAsia="Calibri" w:cs="Arial"/>
          <w:color w:val="000000"/>
          <w:szCs w:val="20"/>
        </w:rPr>
        <w:t>willing</w:t>
      </w:r>
      <w:proofErr w:type="gramEnd"/>
      <w:r w:rsidRPr="00DC790B">
        <w:rPr>
          <w:rFonts w:eastAsia="Calibri" w:cs="Arial"/>
          <w:color w:val="000000"/>
          <w:szCs w:val="20"/>
        </w:rPr>
        <w:t xml:space="preserve"> to accept service by e-mail)</w:t>
      </w:r>
    </w:p>
    <w:p w:rsidR="00E34C62" w:rsidRPr="00DC790B" w:rsidRDefault="00ED43A7" w:rsidP="00E34C62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hyperlink r:id="rId8" w:history="1">
        <w:r w:rsidR="00E34C62" w:rsidRPr="00DC790B">
          <w:rPr>
            <w:rFonts w:cs="Arial"/>
            <w:bCs/>
            <w:color w:val="0000FF"/>
            <w:u w:val="single"/>
          </w:rPr>
          <w:t>mpritchard@mwncmh.com</w:t>
        </w:r>
      </w:hyperlink>
      <w:r w:rsidR="00E34C62" w:rsidRPr="00DC790B">
        <w:rPr>
          <w:rFonts w:cs="Arial"/>
          <w:bCs/>
          <w:color w:val="000000"/>
        </w:rPr>
        <w:t xml:space="preserve"> </w:t>
      </w:r>
    </w:p>
    <w:p w:rsidR="00E34C62" w:rsidRPr="00DC790B" w:rsidRDefault="00E34C62" w:rsidP="00E34C62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proofErr w:type="gramStart"/>
      <w:r w:rsidRPr="00DC790B">
        <w:rPr>
          <w:rFonts w:cs="Arial"/>
          <w:bCs/>
          <w:color w:val="000000"/>
        </w:rPr>
        <w:t>willing</w:t>
      </w:r>
      <w:proofErr w:type="gramEnd"/>
      <w:r w:rsidRPr="00DC790B">
        <w:rPr>
          <w:rFonts w:cs="Arial"/>
          <w:bCs/>
          <w:color w:val="000000"/>
        </w:rPr>
        <w:t xml:space="preserve"> to accept service by e-mail</w:t>
      </w:r>
    </w:p>
    <w:p w:rsidR="00E34C62" w:rsidRDefault="00E34C62" w:rsidP="00E34C62">
      <w:pPr>
        <w:pStyle w:val="Title"/>
        <w:ind w:right="-720"/>
        <w:jc w:val="left"/>
        <w:rPr>
          <w:rFonts w:ascii="Arial" w:hAnsi="Arial" w:cs="Arial"/>
          <w:b w:val="0"/>
        </w:rPr>
      </w:pPr>
    </w:p>
    <w:p w:rsidR="00E34C62" w:rsidRDefault="00B41DB3" w:rsidP="00E34C62">
      <w:pPr>
        <w:pStyle w:val="Title"/>
        <w:ind w:right="-720"/>
        <w:jc w:val="left"/>
        <w:rPr>
          <w:rFonts w:ascii="Arial" w:hAnsi="Arial" w:cs="Arial"/>
        </w:rPr>
        <w:sectPr w:rsidR="00E34C62" w:rsidSect="00252A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October 2</w:t>
      </w:r>
      <w:r w:rsidR="00AD2E14">
        <w:rPr>
          <w:rFonts w:ascii="Arial" w:hAnsi="Arial" w:cs="Arial"/>
        </w:rPr>
        <w:t>6</w:t>
      </w:r>
      <w:bookmarkStart w:id="0" w:name="_GoBack"/>
      <w:bookmarkEnd w:id="0"/>
      <w:r w:rsidR="00E34C62">
        <w:rPr>
          <w:rFonts w:ascii="Arial" w:hAnsi="Arial" w:cs="Arial"/>
        </w:rPr>
        <w:t>, 2016</w:t>
      </w:r>
      <w:r w:rsidR="00E34C62">
        <w:rPr>
          <w:rFonts w:ascii="Arial" w:hAnsi="Arial" w:cs="Arial"/>
        </w:rPr>
        <w:tab/>
      </w:r>
      <w:r w:rsidR="00E34C62">
        <w:rPr>
          <w:rFonts w:ascii="Arial" w:hAnsi="Arial" w:cs="Arial"/>
        </w:rPr>
        <w:tab/>
      </w:r>
      <w:r w:rsidR="00E34C62">
        <w:rPr>
          <w:rFonts w:ascii="Arial" w:hAnsi="Arial" w:cs="Arial"/>
        </w:rPr>
        <w:tab/>
      </w:r>
      <w:r w:rsidR="00E34C62">
        <w:rPr>
          <w:rFonts w:ascii="Arial" w:hAnsi="Arial" w:cs="Arial"/>
        </w:rPr>
        <w:tab/>
        <w:t>Attorneys for Ohio Gas Company</w:t>
      </w:r>
    </w:p>
    <w:p w:rsidR="00982600" w:rsidRDefault="00982600" w:rsidP="00982600">
      <w:pPr>
        <w:pStyle w:val="Title"/>
        <w:rPr>
          <w:rFonts w:ascii="Arial" w:hAnsi="Arial" w:cs="Arial"/>
          <w:smallCaps/>
          <w:sz w:val="32"/>
        </w:rPr>
      </w:pPr>
      <w:r>
        <w:rPr>
          <w:rFonts w:ascii="Arial" w:hAnsi="Arial" w:cs="Arial"/>
          <w:sz w:val="32"/>
        </w:rPr>
        <w:lastRenderedPageBreak/>
        <w:t>B</w:t>
      </w:r>
      <w:r>
        <w:rPr>
          <w:rFonts w:ascii="Arial" w:hAnsi="Arial" w:cs="Arial"/>
          <w:smallCaps/>
          <w:sz w:val="32"/>
        </w:rPr>
        <w:t>efore</w:t>
      </w:r>
    </w:p>
    <w:p w:rsidR="00982600" w:rsidRDefault="00982600" w:rsidP="00982600">
      <w:pPr>
        <w:pStyle w:val="Subtitle"/>
        <w:rPr>
          <w:rFonts w:cs="Arial"/>
        </w:rPr>
      </w:pPr>
      <w:r>
        <w:rPr>
          <w:rFonts w:cs="Arial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</w:rPr>
            <w:t>Ohio</w:t>
          </w:r>
        </w:smartTag>
      </w:smartTag>
    </w:p>
    <w:p w:rsidR="00982600" w:rsidRDefault="00982600" w:rsidP="00982600">
      <w:pPr>
        <w:pStyle w:val="Title"/>
        <w:rPr>
          <w:rFonts w:ascii="Arial" w:hAnsi="Arial" w:cs="Arial"/>
          <w:b w:val="0"/>
          <w:bCs w:val="0"/>
        </w:rPr>
      </w:pPr>
    </w:p>
    <w:p w:rsidR="00982600" w:rsidRDefault="00982600" w:rsidP="00982600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982600" w:rsidRDefault="00982600" w:rsidP="00982600">
      <w:pPr>
        <w:pStyle w:val="Title"/>
        <w:tabs>
          <w:tab w:val="left" w:pos="4320"/>
          <w:tab w:val="left" w:pos="4680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In the Matter of the Application of</w:t>
      </w:r>
      <w:r>
        <w:rPr>
          <w:rFonts w:ascii="Arial" w:hAnsi="Arial" w:cs="Arial"/>
          <w:b w:val="0"/>
          <w:bCs w:val="0"/>
        </w:rPr>
        <w:tab/>
        <w:t>)</w:t>
      </w:r>
    </w:p>
    <w:p w:rsidR="00982600" w:rsidRDefault="00982600" w:rsidP="00982600">
      <w:pPr>
        <w:pStyle w:val="Title"/>
        <w:tabs>
          <w:tab w:val="left" w:pos="4320"/>
          <w:tab w:val="left" w:pos="4680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Ohio Gas Company to Change its</w:t>
      </w:r>
      <w:r>
        <w:rPr>
          <w:rFonts w:ascii="Arial" w:hAnsi="Arial" w:cs="Arial"/>
          <w:b w:val="0"/>
          <w:bCs w:val="0"/>
        </w:rPr>
        <w:tab/>
        <w:t>)</w:t>
      </w:r>
      <w:r>
        <w:rPr>
          <w:rFonts w:ascii="Arial" w:hAnsi="Arial" w:cs="Arial"/>
          <w:b w:val="0"/>
          <w:bCs w:val="0"/>
        </w:rPr>
        <w:tab/>
      </w:r>
      <w:r w:rsidR="00EB579D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>Case No. 16-</w:t>
      </w:r>
      <w:r w:rsidR="00C456F4">
        <w:rPr>
          <w:rFonts w:ascii="Arial" w:hAnsi="Arial" w:cs="Arial"/>
          <w:b w:val="0"/>
          <w:bCs w:val="0"/>
        </w:rPr>
        <w:t>2124</w:t>
      </w:r>
      <w:r>
        <w:rPr>
          <w:rFonts w:ascii="Arial" w:hAnsi="Arial" w:cs="Arial"/>
          <w:b w:val="0"/>
          <w:bCs w:val="0"/>
        </w:rPr>
        <w:t>-GA-AAM</w:t>
      </w:r>
    </w:p>
    <w:p w:rsidR="00982600" w:rsidRDefault="00982600" w:rsidP="00982600">
      <w:pPr>
        <w:pStyle w:val="Title"/>
        <w:tabs>
          <w:tab w:val="left" w:pos="4320"/>
          <w:tab w:val="left" w:pos="4680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Depreciation Accrual Rates.</w:t>
      </w:r>
      <w:r>
        <w:rPr>
          <w:rFonts w:ascii="Arial" w:hAnsi="Arial" w:cs="Arial"/>
          <w:b w:val="0"/>
          <w:bCs w:val="0"/>
        </w:rPr>
        <w:tab/>
        <w:t>)</w:t>
      </w:r>
    </w:p>
    <w:p w:rsidR="00982600" w:rsidRDefault="00982600" w:rsidP="000F3712">
      <w:pPr>
        <w:pStyle w:val="Title"/>
        <w:tabs>
          <w:tab w:val="left" w:pos="4320"/>
        </w:tabs>
        <w:jc w:val="left"/>
        <w:rPr>
          <w:rFonts w:ascii="Arial" w:hAnsi="Arial" w:cs="Arial"/>
          <w:b w:val="0"/>
          <w:bCs w:val="0"/>
        </w:rPr>
      </w:pPr>
    </w:p>
    <w:p w:rsidR="00982600" w:rsidRDefault="00982600" w:rsidP="00982600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</w:pPr>
    </w:p>
    <w:p w:rsidR="00982600" w:rsidRDefault="00982600" w:rsidP="00982600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cs="Arial"/>
          <w:b/>
          <w:bCs/>
        </w:rPr>
      </w:pPr>
    </w:p>
    <w:p w:rsidR="00982600" w:rsidRDefault="00982600" w:rsidP="00982600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APPLICATION</w:t>
      </w:r>
    </w:p>
    <w:p w:rsidR="00982600" w:rsidRDefault="00982600" w:rsidP="00982600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b/>
          <w:bCs/>
        </w:rPr>
      </w:pPr>
    </w:p>
    <w:p w:rsidR="003C6815" w:rsidRPr="0007091C" w:rsidRDefault="003C6815" w:rsidP="0007091C">
      <w:pPr>
        <w:spacing w:line="480" w:lineRule="auto"/>
        <w:rPr>
          <w:b/>
          <w:caps/>
        </w:rPr>
      </w:pPr>
    </w:p>
    <w:p w:rsidR="003C6815" w:rsidRDefault="00FC6B56" w:rsidP="00EB579D">
      <w:pPr>
        <w:spacing w:line="480" w:lineRule="auto"/>
        <w:ind w:firstLine="720"/>
        <w:jc w:val="both"/>
      </w:pPr>
      <w:r>
        <w:t>For its Application, Ohio Gas Company states as follows:</w:t>
      </w:r>
    </w:p>
    <w:p w:rsidR="00BE2798" w:rsidRDefault="00F4152A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>The Ohio Gas Company (“Ohio Gas”) is a public utility subject to the jurisdiction of the Public Utilities Commission of Ohio (“Commission”).</w:t>
      </w:r>
    </w:p>
    <w:p w:rsidR="00DE1444" w:rsidRDefault="00DE1444" w:rsidP="00EB579D">
      <w:pPr>
        <w:pStyle w:val="ListParagraph"/>
        <w:ind w:left="1440"/>
        <w:jc w:val="both"/>
      </w:pPr>
    </w:p>
    <w:p w:rsidR="00F4152A" w:rsidRDefault="005E6EF4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>Under R.C. 4905.13, t</w:t>
      </w:r>
      <w:r w:rsidR="00602888">
        <w:t xml:space="preserve">he Commission has authority to </w:t>
      </w:r>
      <w:r w:rsidR="002C463A">
        <w:t>establish a system of accounts to be kept by a public utility</w:t>
      </w:r>
      <w:r w:rsidR="003B3E71">
        <w:t xml:space="preserve">.  </w:t>
      </w:r>
    </w:p>
    <w:p w:rsidR="00B67D21" w:rsidRDefault="00B67D21" w:rsidP="00EB579D">
      <w:pPr>
        <w:jc w:val="both"/>
      </w:pPr>
    </w:p>
    <w:p w:rsidR="003B3E71" w:rsidRDefault="00A604B0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>Under R.C. 4905.18, the Commission shall ascertain, determine, and prescribe proper and adequate charges for depreciation and may prescribe changes in such charges for depreciation as it finds necessary.</w:t>
      </w:r>
    </w:p>
    <w:p w:rsidR="00B67D21" w:rsidRDefault="00B67D21" w:rsidP="00EB579D">
      <w:pPr>
        <w:jc w:val="both"/>
      </w:pPr>
    </w:p>
    <w:p w:rsidR="00484DD8" w:rsidRDefault="003C6815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>Under this autho</w:t>
      </w:r>
      <w:r w:rsidR="00660CEF">
        <w:t xml:space="preserve">rity, the Commission prescribed depreciation accrual rates by order in Case No. 03-1853-GA-AAM that became effective on January 1, 2003.  The authorized depreciation rates have been </w:t>
      </w:r>
      <w:r w:rsidR="006F4786">
        <w:t xml:space="preserve">in </w:t>
      </w:r>
      <w:r w:rsidR="00660CEF">
        <w:t>effect unchanged since January 1, 2003.</w:t>
      </w:r>
    </w:p>
    <w:p w:rsidR="00B67D21" w:rsidRDefault="00B67D21" w:rsidP="00EB579D">
      <w:pPr>
        <w:jc w:val="both"/>
      </w:pPr>
    </w:p>
    <w:p w:rsidR="00C0619D" w:rsidRDefault="004824A2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 xml:space="preserve">At the request of Ohio Gas, the Staff of the Commission has performed </w:t>
      </w:r>
      <w:r w:rsidR="00CB6B73">
        <w:t>a</w:t>
      </w:r>
      <w:r>
        <w:t xml:space="preserve"> </w:t>
      </w:r>
      <w:r w:rsidR="00BA2368">
        <w:t>depreciation study</w:t>
      </w:r>
      <w:r>
        <w:t xml:space="preserve"> of Ohio Gas’s </w:t>
      </w:r>
      <w:r w:rsidR="006F4786">
        <w:t xml:space="preserve">plant </w:t>
      </w:r>
      <w:r>
        <w:t>depreciation accrual rates</w:t>
      </w:r>
      <w:r w:rsidR="006F4786">
        <w:t xml:space="preserve">, average </w:t>
      </w:r>
      <w:r w:rsidR="006F4786">
        <w:lastRenderedPageBreak/>
        <w:t>service lives, a</w:t>
      </w:r>
      <w:r w:rsidR="002C33DE">
        <w:t>nd net salvage values</w:t>
      </w:r>
      <w:r>
        <w:t xml:space="preserve"> and proposed several adjustments.</w:t>
      </w:r>
      <w:r w:rsidR="00CB6B73">
        <w:t xml:space="preserve">  The current and proposed accrual rates </w:t>
      </w:r>
      <w:r w:rsidR="00D5307C">
        <w:t xml:space="preserve">and a calculation of the change in the annual depreciation expense that would result from the adjustments to the depreciation accrual rates </w:t>
      </w:r>
      <w:r w:rsidR="00CB6B73">
        <w:t>are set out in Attachment A.</w:t>
      </w:r>
    </w:p>
    <w:p w:rsidR="00F933F4" w:rsidRDefault="00F933F4" w:rsidP="00F933F4">
      <w:pPr>
        <w:pStyle w:val="ListParagraph"/>
      </w:pPr>
    </w:p>
    <w:p w:rsidR="00F933F4" w:rsidRDefault="00F933F4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>A tabulation of the current and proposed depreciation accrual rates including average service lives and net salvage values for several plant accounts is contained in Attachment B.</w:t>
      </w:r>
    </w:p>
    <w:p w:rsidR="00B67D21" w:rsidRDefault="00B67D21" w:rsidP="00EB579D">
      <w:pPr>
        <w:jc w:val="both"/>
      </w:pPr>
    </w:p>
    <w:p w:rsidR="0009098D" w:rsidRDefault="00CF5A05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 xml:space="preserve">The </w:t>
      </w:r>
      <w:r w:rsidR="00BB2B9A">
        <w:t xml:space="preserve">proposed </w:t>
      </w:r>
      <w:r>
        <w:t>depreciation accrual rates set out in Attachment A</w:t>
      </w:r>
      <w:r w:rsidR="00F933F4">
        <w:t xml:space="preserve"> and B</w:t>
      </w:r>
      <w:r>
        <w:t xml:space="preserve"> are just and reasonable and should be adopted by the Commission.</w:t>
      </w:r>
    </w:p>
    <w:p w:rsidR="00BF0A84" w:rsidRDefault="00BF0A84" w:rsidP="00EB579D">
      <w:pPr>
        <w:jc w:val="both"/>
      </w:pPr>
    </w:p>
    <w:p w:rsidR="00C0619D" w:rsidRDefault="00CF5A05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 xml:space="preserve">Ohio Gas requests that the proposed depreciation accrual rates set out in Attachment A </w:t>
      </w:r>
      <w:r w:rsidR="00F933F4">
        <w:t xml:space="preserve">and B </w:t>
      </w:r>
      <w:r>
        <w:t>be made effective as of January 1, 2016.</w:t>
      </w:r>
    </w:p>
    <w:p w:rsidR="00BF0A84" w:rsidRDefault="00BF0A84" w:rsidP="00EB579D">
      <w:pPr>
        <w:jc w:val="both"/>
      </w:pPr>
    </w:p>
    <w:p w:rsidR="00E345FE" w:rsidRDefault="00E345FE" w:rsidP="00EB579D">
      <w:pPr>
        <w:pStyle w:val="ListParagraph"/>
        <w:numPr>
          <w:ilvl w:val="0"/>
          <w:numId w:val="1"/>
        </w:numPr>
        <w:spacing w:line="480" w:lineRule="auto"/>
        <w:ind w:left="1440" w:hanging="720"/>
        <w:jc w:val="both"/>
      </w:pPr>
      <w:r>
        <w:t>Commission approval of the changes described in this Application will not result in any increase in rate or charge at this time.</w:t>
      </w:r>
    </w:p>
    <w:p w:rsidR="00BF0A84" w:rsidRDefault="00BF0A84" w:rsidP="00EB579D">
      <w:pPr>
        <w:jc w:val="both"/>
      </w:pPr>
    </w:p>
    <w:p w:rsidR="00FC6B56" w:rsidRDefault="00107942" w:rsidP="00EB579D">
      <w:pPr>
        <w:spacing w:line="480" w:lineRule="auto"/>
        <w:ind w:firstLine="720"/>
        <w:jc w:val="both"/>
      </w:pPr>
      <w:r>
        <w:t>WHEREFORE</w:t>
      </w:r>
      <w:r w:rsidR="009C4510">
        <w:t xml:space="preserve">, Ohio Gas requests that the Commission authorize Ohio Gas to adopt the </w:t>
      </w:r>
      <w:r w:rsidR="00121836">
        <w:t>depreciation accrual rates set out in Attachment A</w:t>
      </w:r>
      <w:r w:rsidR="00D219C6">
        <w:t xml:space="preserve"> and B</w:t>
      </w:r>
      <w:r w:rsidR="0009098D">
        <w:t>, effective as of January 1, 2016</w:t>
      </w:r>
      <w:r w:rsidR="00121836">
        <w:t>.</w:t>
      </w:r>
    </w:p>
    <w:p w:rsidR="00C85ADD" w:rsidRPr="00C85ADD" w:rsidRDefault="00C85ADD" w:rsidP="00C85ADD">
      <w:pPr>
        <w:ind w:left="3600" w:firstLine="720"/>
        <w:jc w:val="both"/>
        <w:rPr>
          <w:rFonts w:eastAsia="Times New Roman" w:cs="Arial"/>
        </w:rPr>
      </w:pPr>
      <w:r w:rsidRPr="00C85ADD">
        <w:rPr>
          <w:rFonts w:eastAsia="Times New Roman" w:cs="Arial"/>
        </w:rPr>
        <w:t>Respectfully submitted,</w:t>
      </w:r>
    </w:p>
    <w:p w:rsidR="00C85ADD" w:rsidRPr="00C85ADD" w:rsidRDefault="00C85ADD" w:rsidP="00C85ADD">
      <w:pPr>
        <w:jc w:val="both"/>
        <w:rPr>
          <w:rFonts w:eastAsia="Times New Roman" w:cs="Arial"/>
        </w:rPr>
      </w:pPr>
    </w:p>
    <w:p w:rsidR="00C85ADD" w:rsidRPr="00C85ADD" w:rsidRDefault="00C85ADD" w:rsidP="00C85ADD">
      <w:pPr>
        <w:jc w:val="both"/>
        <w:rPr>
          <w:rFonts w:eastAsia="Times New Roman" w:cs="Arial"/>
        </w:rPr>
      </w:pPr>
    </w:p>
    <w:p w:rsidR="00C85ADD" w:rsidRPr="00C85ADD" w:rsidRDefault="00C85ADD" w:rsidP="00C85ADD">
      <w:pPr>
        <w:jc w:val="both"/>
        <w:rPr>
          <w:rFonts w:eastAsia="Times New Roman" w:cs="Arial"/>
          <w:i/>
          <w:u w:val="single"/>
        </w:rPr>
      </w:pPr>
      <w:r w:rsidRPr="00C85ADD">
        <w:rPr>
          <w:rFonts w:eastAsia="Times New Roman" w:cs="Arial"/>
        </w:rPr>
        <w:tab/>
      </w:r>
      <w:r w:rsidRPr="00C85ADD">
        <w:rPr>
          <w:rFonts w:eastAsia="Times New Roman" w:cs="Arial"/>
        </w:rPr>
        <w:tab/>
      </w:r>
      <w:r w:rsidRPr="00C85ADD">
        <w:rPr>
          <w:rFonts w:eastAsia="Times New Roman" w:cs="Arial"/>
        </w:rPr>
        <w:tab/>
      </w:r>
      <w:r w:rsidRPr="00C85ADD">
        <w:rPr>
          <w:rFonts w:eastAsia="Times New Roman" w:cs="Arial"/>
        </w:rPr>
        <w:tab/>
      </w:r>
      <w:r w:rsidRPr="00C85ADD">
        <w:rPr>
          <w:rFonts w:eastAsia="Times New Roman" w:cs="Arial"/>
        </w:rPr>
        <w:tab/>
      </w:r>
      <w:r w:rsidRPr="00C85ADD">
        <w:rPr>
          <w:rFonts w:eastAsia="Times New Roman" w:cs="Arial"/>
        </w:rPr>
        <w:tab/>
      </w:r>
      <w:r w:rsidRPr="00C85ADD">
        <w:rPr>
          <w:rFonts w:eastAsia="Times New Roman" w:cs="Arial"/>
          <w:i/>
          <w:u w:val="single"/>
        </w:rPr>
        <w:t>/s/ Frank P. Darr</w:t>
      </w:r>
      <w:r w:rsidRPr="00C85ADD">
        <w:rPr>
          <w:rFonts w:eastAsia="Times New Roman" w:cs="Arial"/>
          <w:i/>
          <w:u w:val="single"/>
        </w:rPr>
        <w:tab/>
      </w:r>
      <w:r w:rsidRPr="00C85ADD">
        <w:rPr>
          <w:rFonts w:eastAsia="Times New Roman" w:cs="Arial"/>
          <w:i/>
          <w:u w:val="single"/>
        </w:rPr>
        <w:tab/>
      </w:r>
      <w:r w:rsidRPr="00C85ADD">
        <w:rPr>
          <w:rFonts w:eastAsia="Times New Roman" w:cs="Arial"/>
          <w:i/>
          <w:u w:val="single"/>
        </w:rPr>
        <w:tab/>
      </w:r>
      <w:r w:rsidRPr="00C85ADD">
        <w:rPr>
          <w:rFonts w:eastAsia="Times New Roman" w:cs="Arial"/>
          <w:i/>
          <w:u w:val="single"/>
        </w:rPr>
        <w:tab/>
      </w:r>
    </w:p>
    <w:p w:rsidR="00C85ADD" w:rsidRPr="00C85ADD" w:rsidRDefault="00C85ADD" w:rsidP="00C85ADD">
      <w:pPr>
        <w:widowControl w:val="0"/>
        <w:ind w:left="4320"/>
        <w:jc w:val="both"/>
        <w:rPr>
          <w:rFonts w:eastAsia="Calibri" w:cs="Arial"/>
          <w:bCs/>
          <w:szCs w:val="20"/>
        </w:rPr>
      </w:pPr>
      <w:r w:rsidRPr="00C85ADD">
        <w:rPr>
          <w:rFonts w:eastAsia="Calibri" w:cs="Arial"/>
          <w:bCs/>
          <w:szCs w:val="20"/>
        </w:rPr>
        <w:t>Frank P. Darr (Reg. No. 0025469)</w:t>
      </w:r>
    </w:p>
    <w:p w:rsidR="00C85ADD" w:rsidRPr="00C85ADD" w:rsidRDefault="00C85ADD" w:rsidP="00C85ADD">
      <w:pPr>
        <w:widowControl w:val="0"/>
        <w:ind w:left="4320"/>
        <w:jc w:val="both"/>
        <w:rPr>
          <w:rFonts w:eastAsia="Calibri" w:cs="Arial"/>
          <w:bCs/>
          <w:szCs w:val="20"/>
        </w:rPr>
      </w:pPr>
      <w:r w:rsidRPr="00C85ADD">
        <w:rPr>
          <w:rFonts w:eastAsia="Calibri" w:cs="Arial"/>
          <w:bCs/>
          <w:szCs w:val="20"/>
        </w:rPr>
        <w:t>Trial Attorney</w:t>
      </w:r>
    </w:p>
    <w:p w:rsidR="00C85ADD" w:rsidRPr="00C85ADD" w:rsidRDefault="00C85ADD" w:rsidP="00C85ADD">
      <w:pPr>
        <w:widowControl w:val="0"/>
        <w:ind w:left="4320" w:right="-288"/>
        <w:jc w:val="both"/>
        <w:rPr>
          <w:rFonts w:eastAsia="Times New Roman" w:cs="Times New Roman"/>
          <w:szCs w:val="20"/>
        </w:rPr>
      </w:pPr>
      <w:r w:rsidRPr="00C85ADD">
        <w:rPr>
          <w:rFonts w:eastAsia="Times New Roman" w:cs="Times New Roman"/>
          <w:szCs w:val="20"/>
        </w:rPr>
        <w:t>Matthew R. Pritchard (Reg. No. 0088070)</w:t>
      </w:r>
    </w:p>
    <w:p w:rsidR="00C85ADD" w:rsidRPr="00C85ADD" w:rsidRDefault="00C85ADD" w:rsidP="00C85ADD">
      <w:pPr>
        <w:widowControl w:val="0"/>
        <w:ind w:left="4320"/>
        <w:jc w:val="both"/>
        <w:rPr>
          <w:rFonts w:eastAsia="Calibri" w:cs="Arial"/>
          <w:bCs/>
          <w:smallCaps/>
          <w:szCs w:val="20"/>
        </w:rPr>
      </w:pPr>
      <w:r w:rsidRPr="00C85ADD">
        <w:rPr>
          <w:rFonts w:eastAsia="Calibri" w:cs="Arial"/>
          <w:bCs/>
          <w:smallCaps/>
          <w:szCs w:val="20"/>
        </w:rPr>
        <w:t>McNees Wallace &amp; Nurick LLC</w:t>
      </w:r>
    </w:p>
    <w:p w:rsidR="00C85ADD" w:rsidRPr="00C85ADD" w:rsidRDefault="00C85ADD" w:rsidP="00C85ADD">
      <w:pPr>
        <w:widowControl w:val="0"/>
        <w:ind w:left="4320"/>
        <w:jc w:val="both"/>
        <w:rPr>
          <w:rFonts w:eastAsia="Calibri" w:cs="Arial"/>
          <w:b/>
          <w:bCs/>
          <w:szCs w:val="20"/>
        </w:rPr>
      </w:pPr>
      <w:r w:rsidRPr="00C85ADD">
        <w:rPr>
          <w:rFonts w:eastAsia="Calibri" w:cs="Arial"/>
          <w:bCs/>
          <w:szCs w:val="20"/>
        </w:rPr>
        <w:t>Fifth Third Center</w:t>
      </w:r>
    </w:p>
    <w:p w:rsidR="00C85ADD" w:rsidRPr="00C85ADD" w:rsidRDefault="00C85ADD" w:rsidP="00C85ADD">
      <w:pPr>
        <w:widowControl w:val="0"/>
        <w:ind w:left="4320"/>
        <w:jc w:val="both"/>
        <w:rPr>
          <w:rFonts w:eastAsia="Calibri" w:cs="Arial"/>
          <w:b/>
          <w:bCs/>
          <w:szCs w:val="20"/>
        </w:rPr>
      </w:pPr>
      <w:r w:rsidRPr="00C85ADD">
        <w:rPr>
          <w:rFonts w:eastAsia="Calibri" w:cs="Arial"/>
          <w:bCs/>
          <w:szCs w:val="20"/>
        </w:rPr>
        <w:lastRenderedPageBreak/>
        <w:t>21 East State Street, 17</w:t>
      </w:r>
      <w:r w:rsidRPr="00C85ADD">
        <w:rPr>
          <w:rFonts w:eastAsia="Calibri" w:cs="Arial"/>
          <w:bCs/>
          <w:szCs w:val="20"/>
          <w:vertAlign w:val="superscript"/>
        </w:rPr>
        <w:t>TH</w:t>
      </w:r>
      <w:r w:rsidRPr="00C85ADD">
        <w:rPr>
          <w:rFonts w:eastAsia="Calibri" w:cs="Arial"/>
          <w:bCs/>
          <w:szCs w:val="20"/>
        </w:rPr>
        <w:t xml:space="preserve"> Floor</w:t>
      </w:r>
    </w:p>
    <w:p w:rsidR="00C85ADD" w:rsidRPr="00C85ADD" w:rsidRDefault="00C85ADD" w:rsidP="00C85ADD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szCs w:val="20"/>
        </w:rPr>
      </w:pPr>
      <w:r w:rsidRPr="00C85ADD">
        <w:rPr>
          <w:rFonts w:eastAsia="Calibri" w:cs="Arial"/>
          <w:szCs w:val="20"/>
        </w:rPr>
        <w:t>Columbus, OH  43215</w:t>
      </w:r>
    </w:p>
    <w:p w:rsidR="00C85ADD" w:rsidRPr="00C85ADD" w:rsidRDefault="00C85ADD" w:rsidP="00C85ADD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szCs w:val="20"/>
        </w:rPr>
      </w:pPr>
      <w:r w:rsidRPr="00C85ADD">
        <w:rPr>
          <w:rFonts w:eastAsia="Calibri" w:cs="Arial"/>
          <w:szCs w:val="20"/>
        </w:rPr>
        <w:t>Telephone:  (614) 469-8000</w:t>
      </w:r>
    </w:p>
    <w:p w:rsidR="00C85ADD" w:rsidRPr="00C85ADD" w:rsidRDefault="00C85ADD" w:rsidP="00C85ADD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  <w:szCs w:val="20"/>
        </w:rPr>
      </w:pPr>
      <w:r w:rsidRPr="00C85ADD">
        <w:rPr>
          <w:rFonts w:eastAsia="Calibri" w:cs="Arial"/>
          <w:color w:val="000000"/>
          <w:szCs w:val="20"/>
        </w:rPr>
        <w:t>Telecopier:  (614) 469-4653</w:t>
      </w:r>
    </w:p>
    <w:p w:rsidR="00C85ADD" w:rsidRPr="00C85ADD" w:rsidRDefault="00ED43A7" w:rsidP="00C85ADD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  <w:szCs w:val="20"/>
        </w:rPr>
      </w:pPr>
      <w:hyperlink r:id="rId15" w:history="1">
        <w:r w:rsidR="00C85ADD" w:rsidRPr="00C85ADD">
          <w:rPr>
            <w:rFonts w:eastAsia="Calibri" w:cs="Arial"/>
            <w:color w:val="0000FF"/>
            <w:szCs w:val="20"/>
            <w:u w:val="single"/>
          </w:rPr>
          <w:t>fdarr@mwncmh.com</w:t>
        </w:r>
      </w:hyperlink>
      <w:r w:rsidR="00C85ADD" w:rsidRPr="00C85ADD">
        <w:rPr>
          <w:rFonts w:eastAsia="Calibri" w:cs="Arial"/>
          <w:szCs w:val="20"/>
        </w:rPr>
        <w:t xml:space="preserve"> </w:t>
      </w:r>
    </w:p>
    <w:p w:rsidR="00C85ADD" w:rsidRPr="00C85ADD" w:rsidRDefault="00C85ADD" w:rsidP="00C85ADD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  <w:szCs w:val="20"/>
        </w:rPr>
      </w:pPr>
      <w:r w:rsidRPr="00C85ADD">
        <w:rPr>
          <w:rFonts w:eastAsia="Calibri" w:cs="Arial"/>
          <w:color w:val="000000"/>
          <w:szCs w:val="20"/>
        </w:rPr>
        <w:t>(willing to accept service by e-mail)</w:t>
      </w:r>
    </w:p>
    <w:p w:rsidR="00C85ADD" w:rsidRPr="00C85ADD" w:rsidRDefault="00ED43A7" w:rsidP="00C85ADD">
      <w:pPr>
        <w:autoSpaceDE w:val="0"/>
        <w:autoSpaceDN w:val="0"/>
        <w:adjustRightInd w:val="0"/>
        <w:ind w:left="4320"/>
        <w:rPr>
          <w:rFonts w:eastAsia="Times New Roman" w:cs="Arial"/>
          <w:bCs/>
          <w:color w:val="000000"/>
        </w:rPr>
      </w:pPr>
      <w:hyperlink r:id="rId16" w:history="1">
        <w:r w:rsidR="00C85ADD" w:rsidRPr="00C85ADD">
          <w:rPr>
            <w:rFonts w:eastAsia="Times New Roman" w:cs="Arial"/>
            <w:bCs/>
            <w:color w:val="0000FF"/>
            <w:u w:val="single"/>
          </w:rPr>
          <w:t>mpritchard@mwncmh.com</w:t>
        </w:r>
      </w:hyperlink>
      <w:r w:rsidR="00C85ADD" w:rsidRPr="00C85ADD">
        <w:rPr>
          <w:rFonts w:eastAsia="Times New Roman" w:cs="Arial"/>
          <w:bCs/>
          <w:color w:val="000000"/>
        </w:rPr>
        <w:t xml:space="preserve"> </w:t>
      </w:r>
    </w:p>
    <w:p w:rsidR="00C85ADD" w:rsidRPr="00C85ADD" w:rsidRDefault="00C85ADD" w:rsidP="00C85ADD">
      <w:pPr>
        <w:autoSpaceDE w:val="0"/>
        <w:autoSpaceDN w:val="0"/>
        <w:adjustRightInd w:val="0"/>
        <w:ind w:left="4320"/>
        <w:rPr>
          <w:rFonts w:eastAsia="Times New Roman" w:cs="Arial"/>
          <w:bCs/>
          <w:color w:val="000000"/>
        </w:rPr>
      </w:pPr>
      <w:r w:rsidRPr="00C85ADD">
        <w:rPr>
          <w:rFonts w:eastAsia="Times New Roman" w:cs="Arial"/>
          <w:bCs/>
          <w:color w:val="000000"/>
        </w:rPr>
        <w:t>willing to accept service by e-mail</w:t>
      </w:r>
    </w:p>
    <w:p w:rsidR="00C85ADD" w:rsidRPr="00C85ADD" w:rsidRDefault="00C85ADD" w:rsidP="00C85ADD">
      <w:pPr>
        <w:autoSpaceDE w:val="0"/>
        <w:autoSpaceDN w:val="0"/>
        <w:adjustRightInd w:val="0"/>
        <w:ind w:left="3600" w:firstLine="720"/>
        <w:rPr>
          <w:rFonts w:eastAsia="Times New Roman" w:cs="Arial"/>
          <w:bCs/>
        </w:rPr>
      </w:pPr>
    </w:p>
    <w:p w:rsidR="003729FF" w:rsidRDefault="00C85ADD" w:rsidP="00653494">
      <w:pPr>
        <w:ind w:left="4320" w:right="-720"/>
        <w:rPr>
          <w:rFonts w:eastAsia="Times New Roman" w:cs="Arial"/>
          <w:b/>
          <w:bCs/>
        </w:rPr>
        <w:sectPr w:rsidR="003729FF" w:rsidSect="00412B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C85ADD">
        <w:rPr>
          <w:rFonts w:eastAsia="Times New Roman" w:cs="Arial"/>
          <w:b/>
          <w:bCs/>
        </w:rPr>
        <w:t>Attorneys for Ohio Gas Company</w:t>
      </w:r>
    </w:p>
    <w:p w:rsidR="003729FF" w:rsidRDefault="003729FF" w:rsidP="004864E4">
      <w:pPr>
        <w:ind w:left="-720" w:right="-720"/>
        <w:jc w:val="center"/>
      </w:pPr>
    </w:p>
    <w:p w:rsidR="003729FF" w:rsidRDefault="003729FF" w:rsidP="004864E4">
      <w:pPr>
        <w:ind w:left="-720" w:right="-720"/>
        <w:jc w:val="center"/>
      </w:pPr>
    </w:p>
    <w:p w:rsidR="003729FF" w:rsidRDefault="003729FF" w:rsidP="004864E4">
      <w:pPr>
        <w:ind w:left="-720" w:right="-720"/>
        <w:jc w:val="center"/>
      </w:pPr>
    </w:p>
    <w:p w:rsidR="00C456F4" w:rsidRDefault="00121836" w:rsidP="004864E4">
      <w:pPr>
        <w:ind w:left="-720" w:right="-720"/>
        <w:jc w:val="center"/>
        <w:rPr>
          <w:b/>
          <w:caps/>
        </w:rPr>
        <w:sectPr w:rsidR="00C456F4" w:rsidSect="00C0405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D5226">
        <w:rPr>
          <w:b/>
          <w:caps/>
        </w:rPr>
        <w:t>Attachment A</w:t>
      </w:r>
    </w:p>
    <w:p w:rsidR="00E37FB0" w:rsidRDefault="00E37FB0" w:rsidP="004864E4">
      <w:pPr>
        <w:ind w:left="-720" w:right="-720"/>
        <w:jc w:val="center"/>
        <w:rPr>
          <w:b/>
          <w:caps/>
        </w:rPr>
      </w:pPr>
    </w:p>
    <w:p w:rsidR="00E37FB0" w:rsidRDefault="00E37FB0" w:rsidP="004864E4">
      <w:pPr>
        <w:ind w:left="-720" w:right="-720"/>
        <w:jc w:val="center"/>
        <w:rPr>
          <w:b/>
          <w:caps/>
        </w:rPr>
      </w:pPr>
    </w:p>
    <w:p w:rsidR="00E37FB0" w:rsidRDefault="00E37FB0" w:rsidP="004864E4">
      <w:pPr>
        <w:ind w:left="-720" w:right="-720"/>
        <w:jc w:val="center"/>
        <w:rPr>
          <w:b/>
          <w:caps/>
        </w:rPr>
      </w:pPr>
    </w:p>
    <w:p w:rsidR="00BF7695" w:rsidRPr="00AD5226" w:rsidRDefault="00C456F4" w:rsidP="004864E4">
      <w:pPr>
        <w:ind w:left="-720" w:right="-720"/>
        <w:jc w:val="center"/>
        <w:rPr>
          <w:b/>
          <w:caps/>
        </w:rPr>
      </w:pPr>
      <w:r>
        <w:rPr>
          <w:b/>
          <w:caps/>
        </w:rPr>
        <w:t>Attachment B</w:t>
      </w:r>
    </w:p>
    <w:p w:rsidR="003729FF" w:rsidRDefault="003729FF" w:rsidP="004864E4">
      <w:pPr>
        <w:ind w:left="-720" w:right="-720"/>
        <w:jc w:val="center"/>
      </w:pPr>
    </w:p>
    <w:sectPr w:rsidR="003729FF" w:rsidSect="00C0405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30" w:rsidRDefault="00C80E30" w:rsidP="00C80E30">
      <w:r>
        <w:separator/>
      </w:r>
    </w:p>
  </w:endnote>
  <w:endnote w:type="continuationSeparator" w:id="0">
    <w:p w:rsidR="00C80E30" w:rsidRDefault="00C80E30" w:rsidP="00C8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62" w:rsidRDefault="00E34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34C62" w:rsidRDefault="00E34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62" w:rsidRPr="00412B00" w:rsidRDefault="00D219C6">
    <w:pPr>
      <w:pStyle w:val="Footer"/>
      <w:framePr w:wrap="around" w:vAnchor="text" w:hAnchor="margin" w:xAlign="center" w:y="1"/>
      <w:jc w:val="center"/>
      <w:rPr>
        <w:rStyle w:val="PageNumber"/>
        <w:rFonts w:cs="Arial"/>
      </w:rPr>
    </w:pPr>
    <w:r w:rsidRPr="00D219C6">
      <w:rPr>
        <w:rStyle w:val="PageNumber"/>
        <w:rFonts w:cs="Arial"/>
        <w:noProof/>
        <w:sz w:val="16"/>
      </w:rPr>
      <w:t>{C51219: }</w:t>
    </w:r>
    <w:r w:rsidR="00E34C62" w:rsidRPr="00412B00">
      <w:rPr>
        <w:rStyle w:val="PageNumber"/>
        <w:rFonts w:cs="Arial"/>
      </w:rPr>
      <w:fldChar w:fldCharType="begin"/>
    </w:r>
    <w:r w:rsidR="00E34C62" w:rsidRPr="00412B00">
      <w:rPr>
        <w:rStyle w:val="PageNumber"/>
        <w:rFonts w:cs="Arial"/>
      </w:rPr>
      <w:instrText xml:space="preserve">PAGE  </w:instrText>
    </w:r>
    <w:r w:rsidR="00E34C62" w:rsidRPr="00412B00">
      <w:rPr>
        <w:rStyle w:val="PageNumber"/>
        <w:rFonts w:cs="Arial"/>
      </w:rPr>
      <w:fldChar w:fldCharType="separate"/>
    </w:r>
    <w:r w:rsidR="00C75C3E">
      <w:rPr>
        <w:rStyle w:val="PageNumber"/>
        <w:rFonts w:cs="Arial"/>
        <w:noProof/>
      </w:rPr>
      <w:t>4</w:t>
    </w:r>
    <w:r w:rsidR="00E34C62" w:rsidRPr="00412B00">
      <w:rPr>
        <w:rStyle w:val="PageNumber"/>
        <w:rFonts w:cs="Arial"/>
      </w:rPr>
      <w:fldChar w:fldCharType="end"/>
    </w:r>
  </w:p>
  <w:p w:rsidR="00E34C62" w:rsidRPr="00412B00" w:rsidRDefault="00E34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00" w:rsidRPr="00412B00" w:rsidRDefault="00D219C6">
    <w:pPr>
      <w:pStyle w:val="Footer"/>
    </w:pPr>
    <w:r w:rsidRPr="00D219C6">
      <w:rPr>
        <w:noProof/>
        <w:sz w:val="16"/>
      </w:rPr>
      <w:t>{C51219: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0" w:rsidRDefault="00C80E3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00" w:rsidRPr="00412B00" w:rsidRDefault="00D219C6" w:rsidP="00A75461">
    <w:pPr>
      <w:pStyle w:val="Footer"/>
    </w:pPr>
    <w:r w:rsidRPr="00D219C6">
      <w:rPr>
        <w:noProof/>
        <w:sz w:val="16"/>
      </w:rPr>
      <w:t>{C51219: }</w:t>
    </w:r>
    <w:sdt>
      <w:sdtPr>
        <w:id w:val="406647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5461">
          <w:tab/>
        </w:r>
        <w:r w:rsidR="00412B00" w:rsidRPr="00412B00">
          <w:fldChar w:fldCharType="begin"/>
        </w:r>
        <w:r w:rsidR="00412B00" w:rsidRPr="00412B00">
          <w:instrText xml:space="preserve"> PAGE   \* MERGEFORMAT </w:instrText>
        </w:r>
        <w:r w:rsidR="00412B00" w:rsidRPr="00412B00">
          <w:fldChar w:fldCharType="separate"/>
        </w:r>
        <w:r w:rsidR="00ED43A7">
          <w:rPr>
            <w:noProof/>
          </w:rPr>
          <w:t>3</w:t>
        </w:r>
        <w:r w:rsidR="00412B00" w:rsidRPr="00412B00">
          <w:rPr>
            <w:noProof/>
          </w:rPr>
          <w:fldChar w:fldCharType="end"/>
        </w:r>
      </w:sdtContent>
    </w:sdt>
  </w:p>
  <w:p w:rsidR="00C80E30" w:rsidRPr="00412B00" w:rsidRDefault="00C80E3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0" w:rsidRPr="00C80E30" w:rsidRDefault="00D219C6">
    <w:pPr>
      <w:pStyle w:val="Footer"/>
    </w:pPr>
    <w:r w:rsidRPr="00D219C6">
      <w:rPr>
        <w:noProof/>
        <w:sz w:val="16"/>
      </w:rPr>
      <w:t>{C51219: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30" w:rsidRDefault="00C80E30" w:rsidP="00C80E3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80E30" w:rsidRDefault="00C80E30" w:rsidP="00C8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E" w:rsidRDefault="00C75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E" w:rsidRDefault="00C75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E" w:rsidRDefault="00C75C3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0" w:rsidRDefault="00C80E3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0" w:rsidRDefault="00C80E3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0" w:rsidRDefault="00C80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310E"/>
    <w:multiLevelType w:val="hybridMultilevel"/>
    <w:tmpl w:val="00CA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2A"/>
    <w:rsid w:val="0007091C"/>
    <w:rsid w:val="0009098D"/>
    <w:rsid w:val="000F3712"/>
    <w:rsid w:val="00107942"/>
    <w:rsid w:val="00121836"/>
    <w:rsid w:val="00217E3F"/>
    <w:rsid w:val="00252A5A"/>
    <w:rsid w:val="002C33DE"/>
    <w:rsid w:val="002C463A"/>
    <w:rsid w:val="003729FF"/>
    <w:rsid w:val="003769E3"/>
    <w:rsid w:val="00390D4D"/>
    <w:rsid w:val="003B3E71"/>
    <w:rsid w:val="003C6815"/>
    <w:rsid w:val="00402C2B"/>
    <w:rsid w:val="00412B00"/>
    <w:rsid w:val="004824A2"/>
    <w:rsid w:val="00484DD8"/>
    <w:rsid w:val="004864E4"/>
    <w:rsid w:val="00544BD8"/>
    <w:rsid w:val="005E6EF4"/>
    <w:rsid w:val="00602888"/>
    <w:rsid w:val="00653494"/>
    <w:rsid w:val="00660CEF"/>
    <w:rsid w:val="006D7A38"/>
    <w:rsid w:val="006F05E6"/>
    <w:rsid w:val="006F4786"/>
    <w:rsid w:val="008E3BF4"/>
    <w:rsid w:val="008F1FBA"/>
    <w:rsid w:val="00950ECD"/>
    <w:rsid w:val="00982600"/>
    <w:rsid w:val="009C4510"/>
    <w:rsid w:val="00A604B0"/>
    <w:rsid w:val="00A75461"/>
    <w:rsid w:val="00AD2E14"/>
    <w:rsid w:val="00AD5226"/>
    <w:rsid w:val="00B41DB3"/>
    <w:rsid w:val="00B67D21"/>
    <w:rsid w:val="00B92945"/>
    <w:rsid w:val="00BA2368"/>
    <w:rsid w:val="00BB2B9A"/>
    <w:rsid w:val="00BE2798"/>
    <w:rsid w:val="00BF0A84"/>
    <w:rsid w:val="00BF7695"/>
    <w:rsid w:val="00C0405A"/>
    <w:rsid w:val="00C0619D"/>
    <w:rsid w:val="00C456F4"/>
    <w:rsid w:val="00C75C3E"/>
    <w:rsid w:val="00C80E30"/>
    <w:rsid w:val="00C85ADD"/>
    <w:rsid w:val="00CB6B73"/>
    <w:rsid w:val="00CF5A05"/>
    <w:rsid w:val="00D219C6"/>
    <w:rsid w:val="00D5307C"/>
    <w:rsid w:val="00DE1444"/>
    <w:rsid w:val="00E13077"/>
    <w:rsid w:val="00E313F2"/>
    <w:rsid w:val="00E345FE"/>
    <w:rsid w:val="00E34C62"/>
    <w:rsid w:val="00E37FB0"/>
    <w:rsid w:val="00EB579D"/>
    <w:rsid w:val="00ED43A7"/>
    <w:rsid w:val="00F4152A"/>
    <w:rsid w:val="00F4464D"/>
    <w:rsid w:val="00F933F4"/>
    <w:rsid w:val="00F970D9"/>
    <w:rsid w:val="00FC6B5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FEFB-48DF-4976-BC4A-0DE6052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2A"/>
    <w:pPr>
      <w:ind w:left="720"/>
      <w:contextualSpacing/>
    </w:pPr>
  </w:style>
  <w:style w:type="table" w:styleId="TableGrid">
    <w:name w:val="Table Grid"/>
    <w:basedOn w:val="TableNormal"/>
    <w:uiPriority w:val="59"/>
    <w:rsid w:val="003C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E30"/>
  </w:style>
  <w:style w:type="paragraph" w:styleId="Footer">
    <w:name w:val="footer"/>
    <w:basedOn w:val="Normal"/>
    <w:link w:val="FooterChar"/>
    <w:uiPriority w:val="99"/>
    <w:unhideWhenUsed/>
    <w:rsid w:val="00C8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E30"/>
  </w:style>
  <w:style w:type="paragraph" w:styleId="NoSpacing">
    <w:name w:val="No Spacing"/>
    <w:uiPriority w:val="1"/>
    <w:qFormat/>
    <w:rsid w:val="00BF7695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909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E34C62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E34C62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E34C62"/>
    <w:pPr>
      <w:tabs>
        <w:tab w:val="center" w:pos="4680"/>
      </w:tabs>
      <w:jc w:val="center"/>
    </w:pPr>
    <w:rPr>
      <w:rFonts w:eastAsia="Times New Roman" w:cs="Times New Roman"/>
      <w:b/>
      <w:smallCap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E34C62"/>
    <w:rPr>
      <w:rFonts w:eastAsia="Times New Roman" w:cs="Times New Roman"/>
      <w:b/>
      <w:smallCaps/>
      <w:sz w:val="32"/>
      <w:szCs w:val="20"/>
    </w:rPr>
  </w:style>
  <w:style w:type="character" w:styleId="PageNumber">
    <w:name w:val="page number"/>
    <w:basedOn w:val="DefaultParagraphFont"/>
    <w:rsid w:val="00E34C62"/>
  </w:style>
  <w:style w:type="paragraph" w:styleId="BalloonText">
    <w:name w:val="Balloon Text"/>
    <w:basedOn w:val="Normal"/>
    <w:link w:val="BalloonTextChar"/>
    <w:uiPriority w:val="99"/>
    <w:semiHidden/>
    <w:unhideWhenUsed/>
    <w:rsid w:val="00AD2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itchard@mwncmh.com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fdarr@mwncmh.com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mpritchard@mwncmh.com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darr@mwncmh.co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537</Words>
  <Characters>2867</Characters>
  <Application>Microsoft Office Word</Application>
  <DocSecurity>0</DocSecurity>
  <PresentationFormat>15|.DOCX</PresentationFormat>
  <Lines>130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gas; application to adjust depreciation accrual rates (C51219).DOCX</vt:lpstr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gas; application to adjust depreciation accrual rates (C51219).DOCX</dc:title>
  <dc:subject>C51219: /font=8</dc:subject>
  <dc:creator>Frank Darr</dc:creator>
  <cp:keywords/>
  <dc:description/>
  <cp:lastModifiedBy>Karen Bowman</cp:lastModifiedBy>
  <cp:revision>9</cp:revision>
  <cp:lastPrinted>2016-10-26T14:46:00Z</cp:lastPrinted>
  <dcterms:created xsi:type="dcterms:W3CDTF">2016-10-24T21:16:00Z</dcterms:created>
  <dcterms:modified xsi:type="dcterms:W3CDTF">2016-10-26T14:48:00Z</dcterms:modified>
</cp:coreProperties>
</file>