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8B35" w14:textId="77777777" w:rsidR="002C3E2E" w:rsidRPr="007249C1" w:rsidRDefault="002C3E2E" w:rsidP="002C3E2E">
      <w:pPr>
        <w:spacing w:line="240" w:lineRule="auto"/>
        <w:jc w:val="center"/>
        <w:rPr>
          <w:rFonts w:eastAsia="Calibri" w:cs="Arial"/>
          <w:b/>
          <w:smallCaps/>
          <w:sz w:val="28"/>
          <w:szCs w:val="28"/>
        </w:rPr>
      </w:pPr>
      <w:r w:rsidRPr="007249C1">
        <w:rPr>
          <w:rFonts w:eastAsia="Calibri" w:cs="Arial"/>
          <w:b/>
          <w:smallCaps/>
          <w:sz w:val="28"/>
          <w:szCs w:val="28"/>
        </w:rPr>
        <w:t>Before</w:t>
      </w:r>
    </w:p>
    <w:p w14:paraId="6D9A5927" w14:textId="77777777" w:rsidR="002C3E2E" w:rsidRDefault="002C3E2E" w:rsidP="002C3E2E">
      <w:pPr>
        <w:spacing w:line="240" w:lineRule="auto"/>
        <w:jc w:val="center"/>
        <w:rPr>
          <w:rFonts w:eastAsia="Calibri" w:cs="Arial"/>
          <w:b/>
          <w:smallCaps/>
          <w:sz w:val="28"/>
          <w:szCs w:val="28"/>
        </w:rPr>
      </w:pPr>
      <w:r w:rsidRPr="007249C1">
        <w:rPr>
          <w:rFonts w:eastAsia="Calibri" w:cs="Arial"/>
          <w:b/>
          <w:smallCaps/>
          <w:sz w:val="28"/>
          <w:szCs w:val="28"/>
        </w:rPr>
        <w:t>The Public Utilities Commission of Ohio</w:t>
      </w:r>
    </w:p>
    <w:p w14:paraId="555B1265" w14:textId="77777777" w:rsidR="002C3E2E" w:rsidRDefault="002C3E2E" w:rsidP="002C3E2E">
      <w:pPr>
        <w:spacing w:line="240" w:lineRule="auto"/>
        <w:jc w:val="center"/>
        <w:rPr>
          <w:rFonts w:eastAsia="Calibri" w:cs="Arial"/>
          <w:b/>
          <w:smallCaps/>
        </w:rPr>
      </w:pPr>
    </w:p>
    <w:p w14:paraId="21DD95D1" w14:textId="77777777" w:rsidR="002C3E2E" w:rsidRPr="00754DB3" w:rsidRDefault="002C3E2E" w:rsidP="002C3E2E">
      <w:pPr>
        <w:spacing w:line="240" w:lineRule="auto"/>
        <w:jc w:val="center"/>
        <w:rPr>
          <w:rFonts w:eastAsia="Calibri" w:cs="Arial"/>
          <w:b/>
          <w:smallCaps/>
        </w:rPr>
      </w:pPr>
    </w:p>
    <w:p w14:paraId="4CC946B2"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60A9F759"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16-395-EL-SSO</w:t>
      </w:r>
    </w:p>
    <w:p w14:paraId="7383059E"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Approval of Its Electric Security Plan</w:t>
      </w:r>
      <w:r w:rsidRPr="00754DB3">
        <w:rPr>
          <w:rFonts w:cs="Arial"/>
        </w:rPr>
        <w:tab/>
        <w:t>)</w:t>
      </w:r>
    </w:p>
    <w:p w14:paraId="047B7B02" w14:textId="77777777" w:rsidR="002C3E2E" w:rsidRPr="00754DB3" w:rsidRDefault="002C3E2E" w:rsidP="002C3E2E">
      <w:pPr>
        <w:tabs>
          <w:tab w:val="left" w:pos="4680"/>
          <w:tab w:val="left" w:pos="5220"/>
        </w:tabs>
        <w:autoSpaceDE w:val="0"/>
        <w:autoSpaceDN w:val="0"/>
        <w:adjustRightInd w:val="0"/>
        <w:spacing w:line="240" w:lineRule="auto"/>
        <w:rPr>
          <w:rFonts w:cs="Arial"/>
        </w:rPr>
      </w:pPr>
    </w:p>
    <w:p w14:paraId="102AB1E7"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50F7AAE8"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16-396-EL-ATA</w:t>
      </w:r>
    </w:p>
    <w:p w14:paraId="486464C4"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Approval of Revised Tariffs</w:t>
      </w:r>
      <w:r w:rsidRPr="00754DB3">
        <w:rPr>
          <w:rFonts w:cs="Arial"/>
        </w:rPr>
        <w:tab/>
        <w:t>)</w:t>
      </w:r>
    </w:p>
    <w:p w14:paraId="4E7A8EEA" w14:textId="77777777" w:rsidR="002C3E2E" w:rsidRPr="00754DB3" w:rsidRDefault="002C3E2E" w:rsidP="002C3E2E">
      <w:pPr>
        <w:tabs>
          <w:tab w:val="left" w:pos="4680"/>
          <w:tab w:val="left" w:pos="5220"/>
        </w:tabs>
        <w:autoSpaceDE w:val="0"/>
        <w:autoSpaceDN w:val="0"/>
        <w:adjustRightInd w:val="0"/>
        <w:spacing w:line="240" w:lineRule="auto"/>
        <w:rPr>
          <w:rFonts w:cs="Arial"/>
        </w:rPr>
      </w:pPr>
    </w:p>
    <w:p w14:paraId="4EC98D6F"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2543C0C7"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16-397-EL-AAM</w:t>
      </w:r>
    </w:p>
    <w:p w14:paraId="334769E3"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Approval of Certain Accounting Authority</w:t>
      </w:r>
      <w:r w:rsidRPr="00754DB3">
        <w:rPr>
          <w:rFonts w:cs="Arial"/>
        </w:rPr>
        <w:tab/>
        <w:t>)</w:t>
      </w:r>
    </w:p>
    <w:p w14:paraId="55B5E9E7"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Pursuant to Ohio Rev. Code § 4905.13</w:t>
      </w:r>
      <w:r w:rsidRPr="00754DB3">
        <w:rPr>
          <w:rFonts w:cs="Arial"/>
        </w:rPr>
        <w:tab/>
        <w:t>)</w:t>
      </w:r>
    </w:p>
    <w:p w14:paraId="3EDB24DA" w14:textId="77777777" w:rsidR="002C3E2E" w:rsidRPr="00AC2E18" w:rsidRDefault="002C3E2E" w:rsidP="002C3E2E">
      <w:pPr>
        <w:tabs>
          <w:tab w:val="left" w:pos="4680"/>
          <w:tab w:val="left" w:pos="5220"/>
        </w:tabs>
        <w:autoSpaceDE w:val="0"/>
        <w:autoSpaceDN w:val="0"/>
        <w:adjustRightInd w:val="0"/>
        <w:spacing w:line="240" w:lineRule="auto"/>
        <w:rPr>
          <w:rFonts w:cs="Arial"/>
        </w:rPr>
      </w:pPr>
    </w:p>
    <w:p w14:paraId="7821822E" w14:textId="77777777" w:rsidR="002C3E2E" w:rsidRDefault="002C3E2E" w:rsidP="002C3E2E">
      <w:pPr>
        <w:tabs>
          <w:tab w:val="left" w:pos="5040"/>
        </w:tabs>
        <w:spacing w:line="240" w:lineRule="auto"/>
        <w:rPr>
          <w:rFonts w:eastAsia="Times New Roman" w:cs="Arial"/>
        </w:rPr>
      </w:pPr>
    </w:p>
    <w:p w14:paraId="388C0763" w14:textId="77777777" w:rsidR="002C3E2E" w:rsidRPr="003046A9" w:rsidRDefault="002C3E2E" w:rsidP="002C3E2E">
      <w:pPr>
        <w:pBdr>
          <w:bottom w:val="single" w:sz="12" w:space="1" w:color="auto"/>
        </w:pBdr>
        <w:tabs>
          <w:tab w:val="left" w:pos="5040"/>
        </w:tabs>
        <w:spacing w:line="240" w:lineRule="auto"/>
        <w:rPr>
          <w:rFonts w:eastAsia="Times New Roman" w:cs="Arial"/>
        </w:rPr>
      </w:pPr>
    </w:p>
    <w:p w14:paraId="6F04315C" w14:textId="77777777" w:rsidR="002C3E2E" w:rsidRPr="000F2E9D" w:rsidRDefault="002C3E2E" w:rsidP="002C3E2E">
      <w:pPr>
        <w:spacing w:line="240" w:lineRule="auto"/>
        <w:rPr>
          <w:rFonts w:cs="Arial"/>
          <w:b/>
        </w:rPr>
      </w:pPr>
    </w:p>
    <w:p w14:paraId="0EE692CE" w14:textId="3E554B68" w:rsidR="002C3E2E" w:rsidRDefault="002C3E2E" w:rsidP="002C3E2E">
      <w:pPr>
        <w:spacing w:line="240" w:lineRule="auto"/>
        <w:jc w:val="center"/>
        <w:rPr>
          <w:rFonts w:ascii="Arial Bold" w:hAnsi="Arial Bold" w:cs="Arial"/>
          <w:b/>
          <w:smallCaps/>
          <w:sz w:val="28"/>
          <w:szCs w:val="28"/>
        </w:rPr>
      </w:pPr>
      <w:r w:rsidRPr="002E2906">
        <w:rPr>
          <w:rFonts w:ascii="Arial Bold" w:hAnsi="Arial Bold" w:cs="Arial"/>
          <w:b/>
          <w:smallCaps/>
          <w:sz w:val="28"/>
          <w:szCs w:val="28"/>
        </w:rPr>
        <w:t>Industrial Energy Users-Ohio’s</w:t>
      </w:r>
      <w:r>
        <w:rPr>
          <w:rFonts w:ascii="Arial Bold" w:hAnsi="Arial Bold" w:cs="Arial"/>
          <w:b/>
          <w:smallCaps/>
          <w:sz w:val="28"/>
          <w:szCs w:val="28"/>
        </w:rPr>
        <w:t xml:space="preserve"> Reply to</w:t>
      </w:r>
      <w:r w:rsidRPr="002E2906">
        <w:rPr>
          <w:rFonts w:ascii="Arial Bold" w:hAnsi="Arial Bold" w:cs="Arial"/>
          <w:b/>
          <w:smallCaps/>
          <w:sz w:val="28"/>
          <w:szCs w:val="28"/>
        </w:rPr>
        <w:t xml:space="preserve"> </w:t>
      </w:r>
      <w:r>
        <w:rPr>
          <w:rFonts w:ascii="Arial Bold" w:hAnsi="Arial Bold" w:cs="Arial"/>
          <w:b/>
          <w:smallCaps/>
          <w:sz w:val="28"/>
          <w:szCs w:val="28"/>
        </w:rPr>
        <w:t>The Dayton Power and Light Company’s Memorandum in Opposition to Discovery Responses from The Dayton Power and Light Company</w:t>
      </w:r>
      <w:r w:rsidR="00D65E5E">
        <w:rPr>
          <w:rFonts w:ascii="Arial Bold" w:hAnsi="Arial Bold" w:cs="Arial"/>
          <w:b/>
          <w:smallCaps/>
          <w:sz w:val="28"/>
          <w:szCs w:val="28"/>
        </w:rPr>
        <w:t>, Request for Hearing</w:t>
      </w:r>
    </w:p>
    <w:p w14:paraId="693AB5BC" w14:textId="77777777" w:rsidR="00C23D8A" w:rsidRPr="008810B2" w:rsidRDefault="00C23D8A" w:rsidP="00C23D8A">
      <w:pPr>
        <w:pBdr>
          <w:bottom w:val="single" w:sz="12" w:space="1" w:color="auto"/>
        </w:pBdr>
        <w:spacing w:line="240" w:lineRule="auto"/>
        <w:jc w:val="center"/>
        <w:rPr>
          <w:rFonts w:ascii="Arial Bold" w:hAnsi="Arial Bold" w:cs="Arial"/>
          <w:b/>
          <w:smallCaps/>
          <w:szCs w:val="24"/>
        </w:rPr>
      </w:pPr>
    </w:p>
    <w:p w14:paraId="13D392E7" w14:textId="77777777" w:rsidR="002C3E2E" w:rsidRDefault="002C3E2E" w:rsidP="002C3E2E">
      <w:pPr>
        <w:spacing w:line="240" w:lineRule="auto"/>
        <w:jc w:val="center"/>
        <w:rPr>
          <w:rFonts w:eastAsia="Times New Roman" w:cs="Arial"/>
          <w:b/>
          <w:smallCaps/>
          <w:u w:val="single"/>
        </w:rPr>
      </w:pPr>
    </w:p>
    <w:p w14:paraId="36B775FF" w14:textId="77777777" w:rsidR="002C3E2E" w:rsidRDefault="002C3E2E" w:rsidP="002C3E2E">
      <w:pPr>
        <w:spacing w:line="240" w:lineRule="auto"/>
        <w:jc w:val="center"/>
        <w:rPr>
          <w:rFonts w:eastAsia="Times New Roman" w:cs="Arial"/>
          <w:b/>
          <w:smallCaps/>
          <w:u w:val="single"/>
        </w:rPr>
      </w:pPr>
    </w:p>
    <w:p w14:paraId="37367574" w14:textId="1336304F" w:rsidR="002C3E2E" w:rsidRDefault="002C3E2E" w:rsidP="002C3E2E">
      <w:pPr>
        <w:spacing w:line="240" w:lineRule="auto"/>
        <w:jc w:val="center"/>
        <w:rPr>
          <w:rFonts w:eastAsia="Times New Roman" w:cs="Arial"/>
          <w:b/>
          <w:smallCaps/>
          <w:u w:val="single"/>
        </w:rPr>
      </w:pPr>
    </w:p>
    <w:p w14:paraId="20E80365" w14:textId="4973399C" w:rsidR="00AA0209" w:rsidRDefault="00AA0209" w:rsidP="002C3E2E">
      <w:pPr>
        <w:spacing w:line="240" w:lineRule="auto"/>
        <w:jc w:val="center"/>
        <w:rPr>
          <w:rFonts w:eastAsia="Times New Roman" w:cs="Arial"/>
          <w:b/>
          <w:smallCaps/>
          <w:u w:val="single"/>
        </w:rPr>
      </w:pPr>
    </w:p>
    <w:p w14:paraId="647603E4" w14:textId="62CE10FB" w:rsidR="00AA0209" w:rsidRDefault="00AA0209" w:rsidP="002C3E2E">
      <w:pPr>
        <w:spacing w:line="240" w:lineRule="auto"/>
        <w:jc w:val="center"/>
        <w:rPr>
          <w:rFonts w:eastAsia="Times New Roman" w:cs="Arial"/>
          <w:b/>
          <w:smallCaps/>
          <w:u w:val="single"/>
        </w:rPr>
      </w:pPr>
    </w:p>
    <w:p w14:paraId="166E58A2" w14:textId="77777777" w:rsidR="00AA0209" w:rsidRPr="00A51BA2" w:rsidRDefault="00AA0209" w:rsidP="002C3E2E">
      <w:pPr>
        <w:spacing w:line="240" w:lineRule="auto"/>
        <w:jc w:val="center"/>
        <w:rPr>
          <w:rFonts w:eastAsia="Times New Roman" w:cs="Arial"/>
          <w:b/>
          <w:smallCaps/>
          <w:u w:val="single"/>
        </w:rPr>
      </w:pPr>
    </w:p>
    <w:p w14:paraId="3F44B75C" w14:textId="77777777" w:rsidR="002C3E2E" w:rsidRPr="00A51BA2" w:rsidRDefault="002C3E2E" w:rsidP="002C3E2E">
      <w:pPr>
        <w:spacing w:line="240" w:lineRule="auto"/>
        <w:rPr>
          <w:rFonts w:eastAsia="Times New Roman" w:cs="Arial"/>
          <w:b/>
          <w:smallCaps/>
          <w:u w:val="single"/>
        </w:rPr>
      </w:pPr>
    </w:p>
    <w:p w14:paraId="4A3B248E" w14:textId="77777777" w:rsidR="002C3E2E" w:rsidRDefault="002C3E2E" w:rsidP="002C3E2E">
      <w:pPr>
        <w:tabs>
          <w:tab w:val="left" w:pos="720"/>
          <w:tab w:val="left" w:pos="4320"/>
          <w:tab w:val="right" w:pos="8640"/>
        </w:tabs>
        <w:spacing w:line="240" w:lineRule="auto"/>
        <w:ind w:left="4320"/>
        <w:rPr>
          <w:rFonts w:eastAsia="Calibri" w:cs="Arial"/>
        </w:rPr>
      </w:pPr>
    </w:p>
    <w:p w14:paraId="59F63726" w14:textId="77777777" w:rsidR="002C3E2E" w:rsidRDefault="002C3E2E" w:rsidP="002C3E2E">
      <w:pPr>
        <w:widowControl w:val="0"/>
        <w:spacing w:line="240" w:lineRule="auto"/>
        <w:ind w:left="4140"/>
        <w:rPr>
          <w:rFonts w:eastAsia="Calibri" w:cs="Arial"/>
          <w:bCs/>
        </w:rPr>
      </w:pPr>
      <w:r>
        <w:rPr>
          <w:rFonts w:eastAsia="Calibri" w:cs="Arial"/>
          <w:bCs/>
        </w:rPr>
        <w:t>Frank P. Darr (Reg. No. 0025469)</w:t>
      </w:r>
    </w:p>
    <w:p w14:paraId="55AE854B" w14:textId="77777777" w:rsidR="002C3E2E" w:rsidRDefault="002C3E2E" w:rsidP="002C3E2E">
      <w:pPr>
        <w:widowControl w:val="0"/>
        <w:spacing w:line="240" w:lineRule="auto"/>
        <w:ind w:left="4140"/>
        <w:rPr>
          <w:rFonts w:eastAsia="Calibri" w:cs="Arial"/>
          <w:bCs/>
        </w:rPr>
      </w:pPr>
      <w:r>
        <w:rPr>
          <w:rFonts w:eastAsia="Calibri" w:cs="Arial"/>
          <w:bCs/>
        </w:rPr>
        <w:t>Counsel of Record</w:t>
      </w:r>
    </w:p>
    <w:p w14:paraId="233C7BF1" w14:textId="77777777" w:rsidR="002C3E2E" w:rsidRDefault="002C3E2E" w:rsidP="002C3E2E">
      <w:pPr>
        <w:widowControl w:val="0"/>
        <w:spacing w:line="240" w:lineRule="auto"/>
        <w:ind w:left="4140"/>
        <w:rPr>
          <w:rFonts w:eastAsia="Calibri" w:cs="Arial"/>
          <w:b/>
          <w:bCs/>
        </w:rPr>
      </w:pPr>
      <w:r>
        <w:rPr>
          <w:rFonts w:eastAsia="Calibri" w:cs="Arial"/>
          <w:bCs/>
        </w:rPr>
        <w:t>Matthew R. Pritchard (Reg. No. 0088070)</w:t>
      </w:r>
    </w:p>
    <w:p w14:paraId="626BA364" w14:textId="77777777" w:rsidR="002C3E2E" w:rsidRDefault="002C3E2E" w:rsidP="002C3E2E">
      <w:pPr>
        <w:widowControl w:val="0"/>
        <w:spacing w:line="240" w:lineRule="auto"/>
        <w:ind w:left="4140"/>
        <w:rPr>
          <w:rFonts w:eastAsia="Calibri" w:cs="Arial"/>
          <w:b/>
          <w:bCs/>
          <w:smallCaps/>
        </w:rPr>
      </w:pPr>
      <w:r>
        <w:rPr>
          <w:rFonts w:eastAsia="Calibri" w:cs="Arial"/>
          <w:bCs/>
          <w:smallCaps/>
        </w:rPr>
        <w:t>McNees Wallace &amp; Nurick LLC</w:t>
      </w:r>
    </w:p>
    <w:p w14:paraId="5668212C" w14:textId="77777777" w:rsidR="002C3E2E" w:rsidRDefault="002C3E2E" w:rsidP="002C3E2E">
      <w:pPr>
        <w:widowControl w:val="0"/>
        <w:spacing w:line="240" w:lineRule="auto"/>
        <w:ind w:left="414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73CD79C3" w14:textId="77777777" w:rsidR="002C3E2E" w:rsidRDefault="002C3E2E" w:rsidP="002C3E2E">
      <w:pPr>
        <w:tabs>
          <w:tab w:val="left" w:pos="-1440"/>
          <w:tab w:val="left" w:pos="-720"/>
          <w:tab w:val="left" w:pos="5040"/>
          <w:tab w:val="center" w:pos="7200"/>
        </w:tabs>
        <w:overflowPunct w:val="0"/>
        <w:autoSpaceDE w:val="0"/>
        <w:autoSpaceDN w:val="0"/>
        <w:adjustRightInd w:val="0"/>
        <w:spacing w:line="240" w:lineRule="auto"/>
        <w:ind w:left="4140"/>
        <w:rPr>
          <w:rFonts w:eastAsia="Calibri" w:cs="Arial"/>
        </w:rPr>
      </w:pPr>
      <w:r>
        <w:rPr>
          <w:rFonts w:eastAsia="Calibri" w:cs="Arial"/>
        </w:rPr>
        <w:t>Columbus, OH  43215</w:t>
      </w:r>
    </w:p>
    <w:p w14:paraId="2CC51372" w14:textId="77777777" w:rsidR="002C3E2E" w:rsidRDefault="002C3E2E" w:rsidP="002C3E2E">
      <w:pPr>
        <w:tabs>
          <w:tab w:val="left" w:pos="-1440"/>
          <w:tab w:val="left" w:pos="-720"/>
          <w:tab w:val="left" w:pos="5040"/>
          <w:tab w:val="center" w:pos="7200"/>
        </w:tabs>
        <w:overflowPunct w:val="0"/>
        <w:autoSpaceDE w:val="0"/>
        <w:autoSpaceDN w:val="0"/>
        <w:adjustRightInd w:val="0"/>
        <w:spacing w:line="240" w:lineRule="auto"/>
        <w:ind w:left="4140"/>
        <w:rPr>
          <w:rFonts w:eastAsia="Calibri" w:cs="Arial"/>
        </w:rPr>
      </w:pPr>
      <w:r>
        <w:rPr>
          <w:rFonts w:eastAsia="Calibri" w:cs="Arial"/>
        </w:rPr>
        <w:t>Telephone</w:t>
      </w:r>
      <w:proofErr w:type="gramStart"/>
      <w:r>
        <w:rPr>
          <w:rFonts w:eastAsia="Calibri" w:cs="Arial"/>
        </w:rPr>
        <w:t>:  (</w:t>
      </w:r>
      <w:proofErr w:type="gramEnd"/>
      <w:r>
        <w:rPr>
          <w:rFonts w:eastAsia="Calibri" w:cs="Arial"/>
        </w:rPr>
        <w:t>614) 469-8000</w:t>
      </w:r>
    </w:p>
    <w:p w14:paraId="1F87BB95" w14:textId="77777777" w:rsidR="002C3E2E" w:rsidRDefault="002C3E2E" w:rsidP="002C3E2E">
      <w:pPr>
        <w:tabs>
          <w:tab w:val="left" w:pos="-1440"/>
          <w:tab w:val="left" w:pos="-720"/>
          <w:tab w:val="left" w:pos="5040"/>
          <w:tab w:val="center" w:pos="7200"/>
        </w:tabs>
        <w:overflowPunct w:val="0"/>
        <w:autoSpaceDE w:val="0"/>
        <w:autoSpaceDN w:val="0"/>
        <w:adjustRightInd w:val="0"/>
        <w:spacing w:line="240" w:lineRule="auto"/>
        <w:ind w:left="4140"/>
        <w:rPr>
          <w:rFonts w:eastAsia="Calibri" w:cs="Arial"/>
        </w:rPr>
      </w:pPr>
      <w:proofErr w:type="spellStart"/>
      <w:r>
        <w:rPr>
          <w:rFonts w:eastAsia="Calibri" w:cs="Arial"/>
        </w:rPr>
        <w:t>Telecopier</w:t>
      </w:r>
      <w:proofErr w:type="spellEnd"/>
      <w:proofErr w:type="gramStart"/>
      <w:r>
        <w:rPr>
          <w:rFonts w:eastAsia="Calibri" w:cs="Arial"/>
        </w:rPr>
        <w:t>:  (</w:t>
      </w:r>
      <w:proofErr w:type="gramEnd"/>
      <w:r>
        <w:rPr>
          <w:rFonts w:eastAsia="Calibri" w:cs="Arial"/>
        </w:rPr>
        <w:t>614) 469-4653</w:t>
      </w:r>
    </w:p>
    <w:p w14:paraId="3533FB53" w14:textId="77777777" w:rsidR="002C3E2E" w:rsidRDefault="002C3E2E" w:rsidP="002C3E2E">
      <w:pPr>
        <w:tabs>
          <w:tab w:val="left" w:pos="-1440"/>
          <w:tab w:val="left" w:pos="-720"/>
          <w:tab w:val="left" w:pos="5040"/>
          <w:tab w:val="center" w:pos="7200"/>
        </w:tabs>
        <w:overflowPunct w:val="0"/>
        <w:autoSpaceDE w:val="0"/>
        <w:autoSpaceDN w:val="0"/>
        <w:adjustRightInd w:val="0"/>
        <w:spacing w:line="240" w:lineRule="auto"/>
        <w:ind w:left="4140"/>
        <w:rPr>
          <w:rFonts w:eastAsia="Calibri" w:cs="Arial"/>
          <w:color w:val="000000"/>
        </w:rPr>
      </w:pPr>
      <w:r>
        <w:rPr>
          <w:rFonts w:eastAsia="Calibri" w:cs="Arial"/>
        </w:rPr>
        <w:t>fdarr@mwncmh.com</w:t>
      </w:r>
    </w:p>
    <w:p w14:paraId="263D81D6" w14:textId="77777777" w:rsidR="002C3E2E" w:rsidRDefault="002C3E2E" w:rsidP="002C3E2E">
      <w:pPr>
        <w:tabs>
          <w:tab w:val="left" w:pos="-1440"/>
          <w:tab w:val="left" w:pos="-720"/>
          <w:tab w:val="left" w:pos="5040"/>
          <w:tab w:val="center" w:pos="7200"/>
        </w:tabs>
        <w:overflowPunct w:val="0"/>
        <w:autoSpaceDE w:val="0"/>
        <w:autoSpaceDN w:val="0"/>
        <w:adjustRightInd w:val="0"/>
        <w:spacing w:line="240" w:lineRule="auto"/>
        <w:ind w:left="4140"/>
        <w:rPr>
          <w:rFonts w:eastAsia="Calibri" w:cs="Arial"/>
          <w:color w:val="000000"/>
        </w:rPr>
      </w:pPr>
      <w:r>
        <w:rPr>
          <w:rFonts w:eastAsia="Calibri" w:cs="Arial"/>
          <w:color w:val="000000"/>
        </w:rPr>
        <w:t>(willing to accept service by e-mail)</w:t>
      </w:r>
    </w:p>
    <w:p w14:paraId="20AAAAB0" w14:textId="77777777" w:rsidR="002C3E2E" w:rsidRDefault="002C3E2E" w:rsidP="002C3E2E">
      <w:pPr>
        <w:tabs>
          <w:tab w:val="left" w:pos="-1440"/>
          <w:tab w:val="left" w:pos="-720"/>
          <w:tab w:val="left" w:pos="5040"/>
          <w:tab w:val="center" w:pos="7200"/>
        </w:tabs>
        <w:overflowPunct w:val="0"/>
        <w:autoSpaceDE w:val="0"/>
        <w:autoSpaceDN w:val="0"/>
        <w:adjustRightInd w:val="0"/>
        <w:spacing w:line="240" w:lineRule="auto"/>
        <w:ind w:left="4140"/>
        <w:rPr>
          <w:rFonts w:eastAsia="Calibri" w:cs="Arial"/>
          <w:smallCaps/>
          <w:color w:val="000000"/>
        </w:rPr>
      </w:pPr>
      <w:r>
        <w:rPr>
          <w:rFonts w:eastAsia="Calibri" w:cs="Arial"/>
          <w:color w:val="000000"/>
        </w:rPr>
        <w:t>mpritchard@mwncmh.com</w:t>
      </w:r>
    </w:p>
    <w:p w14:paraId="4E62E167" w14:textId="77777777" w:rsidR="002C3E2E" w:rsidRDefault="002C3E2E" w:rsidP="002C3E2E">
      <w:pPr>
        <w:tabs>
          <w:tab w:val="left" w:pos="-1440"/>
          <w:tab w:val="left" w:pos="-720"/>
          <w:tab w:val="left" w:pos="5040"/>
          <w:tab w:val="center" w:pos="7200"/>
        </w:tabs>
        <w:overflowPunct w:val="0"/>
        <w:autoSpaceDE w:val="0"/>
        <w:autoSpaceDN w:val="0"/>
        <w:adjustRightInd w:val="0"/>
        <w:spacing w:line="240" w:lineRule="auto"/>
        <w:ind w:left="4140"/>
        <w:rPr>
          <w:rFonts w:eastAsia="Calibri" w:cs="Arial"/>
          <w:color w:val="000000"/>
        </w:rPr>
      </w:pPr>
      <w:r>
        <w:rPr>
          <w:rFonts w:eastAsia="Calibri" w:cs="Arial"/>
          <w:color w:val="000000"/>
        </w:rPr>
        <w:t>(willing to accept service by e-mail)</w:t>
      </w:r>
    </w:p>
    <w:p w14:paraId="426E007D" w14:textId="77777777" w:rsidR="002C3E2E" w:rsidRDefault="002C3E2E" w:rsidP="002C3E2E">
      <w:pPr>
        <w:tabs>
          <w:tab w:val="left" w:pos="-1440"/>
          <w:tab w:val="left" w:pos="-720"/>
          <w:tab w:val="left" w:pos="5040"/>
          <w:tab w:val="center" w:pos="7200"/>
        </w:tabs>
        <w:overflowPunct w:val="0"/>
        <w:autoSpaceDE w:val="0"/>
        <w:autoSpaceDN w:val="0"/>
        <w:adjustRightInd w:val="0"/>
        <w:spacing w:line="240" w:lineRule="auto"/>
        <w:ind w:left="4140"/>
        <w:rPr>
          <w:rFonts w:eastAsia="Calibri" w:cs="Arial"/>
          <w:b/>
          <w:smallCaps/>
        </w:rPr>
      </w:pPr>
    </w:p>
    <w:p w14:paraId="11158D9C" w14:textId="77777777" w:rsidR="002C3E2E" w:rsidRPr="0034578C" w:rsidRDefault="00D65E5E" w:rsidP="002C3E2E">
      <w:pPr>
        <w:spacing w:line="240" w:lineRule="auto"/>
        <w:ind w:left="4140" w:hanging="4320"/>
        <w:rPr>
          <w:rFonts w:ascii="Arial Bold" w:eastAsia="Times New Roman" w:hAnsi="Arial Bold" w:cs="Arial"/>
          <w:smallCaps/>
          <w:sz w:val="28"/>
          <w:u w:val="single"/>
        </w:rPr>
      </w:pPr>
      <w:r>
        <w:rPr>
          <w:rFonts w:ascii="Arial Bold" w:eastAsia="Calibri" w:hAnsi="Arial Bold" w:cs="Arial"/>
          <w:b/>
          <w:smallCaps/>
        </w:rPr>
        <w:t>September 12</w:t>
      </w:r>
      <w:r w:rsidR="002C3E2E" w:rsidRPr="0034578C">
        <w:rPr>
          <w:rFonts w:ascii="Arial Bold" w:eastAsia="Calibri" w:hAnsi="Arial Bold" w:cs="Arial"/>
          <w:b/>
          <w:smallCaps/>
        </w:rPr>
        <w:t>, 2016</w:t>
      </w:r>
      <w:r w:rsidR="002C3E2E" w:rsidRPr="0034578C">
        <w:rPr>
          <w:rFonts w:ascii="Arial Bold" w:eastAsia="Calibri" w:hAnsi="Arial Bold" w:cs="Arial"/>
          <w:b/>
          <w:smallCaps/>
        </w:rPr>
        <w:tab/>
        <w:t>Attorneys for Industrial Energy Users-Ohio</w:t>
      </w:r>
    </w:p>
    <w:p w14:paraId="02E6571E" w14:textId="77777777" w:rsidR="002C3E2E" w:rsidRPr="0034578C" w:rsidRDefault="002C3E2E" w:rsidP="002C3E2E">
      <w:pPr>
        <w:spacing w:line="240" w:lineRule="auto"/>
        <w:jc w:val="center"/>
        <w:rPr>
          <w:rFonts w:ascii="Arial Bold" w:eastAsia="Times New Roman" w:hAnsi="Arial Bold" w:cs="Arial"/>
          <w:b/>
          <w:smallCaps/>
          <w:sz w:val="28"/>
        </w:rPr>
        <w:sectPr w:rsidR="002C3E2E" w:rsidRPr="0034578C" w:rsidSect="008810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38" w:left="1440" w:header="720" w:footer="720" w:gutter="0"/>
          <w:pgNumType w:start="1"/>
          <w:cols w:space="720"/>
          <w:titlePg/>
          <w:docGrid w:linePitch="326"/>
        </w:sectPr>
      </w:pPr>
    </w:p>
    <w:sdt>
      <w:sdtPr>
        <w:rPr>
          <w:rFonts w:ascii="Arial" w:eastAsiaTheme="minorHAnsi" w:hAnsi="Arial" w:cstheme="minorBidi"/>
          <w:color w:val="auto"/>
          <w:sz w:val="24"/>
          <w:szCs w:val="22"/>
        </w:rPr>
        <w:id w:val="-1920021040"/>
        <w:docPartObj>
          <w:docPartGallery w:val="Table of Contents"/>
          <w:docPartUnique/>
        </w:docPartObj>
      </w:sdtPr>
      <w:sdtEndPr>
        <w:rPr>
          <w:b/>
          <w:bCs/>
          <w:noProof/>
        </w:rPr>
      </w:sdtEndPr>
      <w:sdtContent>
        <w:p w14:paraId="59A8CB46" w14:textId="77777777" w:rsidR="002C3E2E" w:rsidRPr="008618B4" w:rsidRDefault="002C3E2E" w:rsidP="002C3E2E">
          <w:pPr>
            <w:pStyle w:val="TOCHeading"/>
            <w:jc w:val="center"/>
            <w:rPr>
              <w:rFonts w:ascii="Arial Bold" w:hAnsi="Arial Bold" w:cs="Arial"/>
              <w:b/>
              <w:smallCaps/>
              <w:color w:val="auto"/>
              <w:sz w:val="28"/>
            </w:rPr>
          </w:pPr>
          <w:r w:rsidRPr="008618B4">
            <w:rPr>
              <w:rFonts w:ascii="Arial Bold" w:hAnsi="Arial Bold" w:cs="Arial"/>
              <w:b/>
              <w:smallCaps/>
              <w:color w:val="auto"/>
              <w:sz w:val="28"/>
            </w:rPr>
            <w:t>Table of Contents</w:t>
          </w:r>
        </w:p>
        <w:p w14:paraId="3B8B312C" w14:textId="77777777" w:rsidR="002C3E2E" w:rsidRPr="0029120A" w:rsidRDefault="002C3E2E" w:rsidP="0029120A">
          <w:pPr>
            <w:pStyle w:val="TOC1"/>
            <w:rPr>
              <w:u w:val="single"/>
            </w:rPr>
          </w:pPr>
          <w:r w:rsidRPr="0029120A">
            <w:rPr>
              <w:u w:val="single"/>
            </w:rPr>
            <w:t>Page</w:t>
          </w:r>
        </w:p>
        <w:p w14:paraId="65EA2F50" w14:textId="0B5EFDE7" w:rsidR="00F36210" w:rsidRPr="00245082" w:rsidRDefault="002C3E2E" w:rsidP="0029120A">
          <w:pPr>
            <w:pStyle w:val="TOC1"/>
            <w:rPr>
              <w:rFonts w:asciiTheme="minorHAnsi" w:eastAsiaTheme="minorEastAsia" w:hAnsiTheme="minorHAnsi"/>
              <w:sz w:val="22"/>
            </w:rPr>
          </w:pPr>
          <w:r w:rsidRPr="00843BA6">
            <w:fldChar w:fldCharType="begin"/>
          </w:r>
          <w:r w:rsidRPr="00843BA6">
            <w:instrText xml:space="preserve"> TOC \o "1-3" \h \z \u </w:instrText>
          </w:r>
          <w:r w:rsidRPr="00843BA6">
            <w:fldChar w:fldCharType="separate"/>
          </w:r>
          <w:hyperlink w:anchor="_Toc461450502" w:history="1">
            <w:r w:rsidR="00F36210" w:rsidRPr="00245082">
              <w:rPr>
                <w:rStyle w:val="Hyperlink"/>
                <w:u w:val="none"/>
              </w:rPr>
              <w:t>I.</w:t>
            </w:r>
            <w:r w:rsidR="00F36210" w:rsidRPr="00245082">
              <w:rPr>
                <w:rFonts w:asciiTheme="minorHAnsi" w:eastAsiaTheme="minorEastAsia" w:hAnsiTheme="minorHAnsi"/>
                <w:sz w:val="22"/>
              </w:rPr>
              <w:tab/>
            </w:r>
            <w:r w:rsidR="00F36210" w:rsidRPr="00245082">
              <w:rPr>
                <w:rStyle w:val="Hyperlink"/>
                <w:u w:val="none"/>
              </w:rPr>
              <w:t>ARGUMENT</w:t>
            </w:r>
            <w:r w:rsidR="00F36210" w:rsidRPr="00DD24E0">
              <w:rPr>
                <w:b w:val="0"/>
                <w:webHidden/>
              </w:rPr>
              <w:tab/>
            </w:r>
            <w:r w:rsidR="00F36210" w:rsidRPr="00DD24E0">
              <w:rPr>
                <w:b w:val="0"/>
                <w:webHidden/>
              </w:rPr>
              <w:fldChar w:fldCharType="begin"/>
            </w:r>
            <w:r w:rsidR="00F36210" w:rsidRPr="00DD24E0">
              <w:rPr>
                <w:b w:val="0"/>
                <w:webHidden/>
              </w:rPr>
              <w:instrText xml:space="preserve"> PAGEREF _Toc461450502 \h </w:instrText>
            </w:r>
            <w:r w:rsidR="00F36210" w:rsidRPr="00DD24E0">
              <w:rPr>
                <w:b w:val="0"/>
                <w:webHidden/>
              </w:rPr>
            </w:r>
            <w:r w:rsidR="00F36210" w:rsidRPr="00DD24E0">
              <w:rPr>
                <w:b w:val="0"/>
                <w:webHidden/>
              </w:rPr>
              <w:fldChar w:fldCharType="separate"/>
            </w:r>
            <w:r w:rsidR="00FA02D4">
              <w:rPr>
                <w:b w:val="0"/>
                <w:webHidden/>
              </w:rPr>
              <w:t>2</w:t>
            </w:r>
            <w:r w:rsidR="00F36210" w:rsidRPr="00DD24E0">
              <w:rPr>
                <w:b w:val="0"/>
                <w:webHidden/>
              </w:rPr>
              <w:fldChar w:fldCharType="end"/>
            </w:r>
          </w:hyperlink>
        </w:p>
        <w:p w14:paraId="6425F118" w14:textId="519EF2A6" w:rsidR="00F36210" w:rsidRDefault="0064608B">
          <w:pPr>
            <w:pStyle w:val="TOC2"/>
            <w:tabs>
              <w:tab w:val="left" w:pos="1440"/>
            </w:tabs>
            <w:rPr>
              <w:rFonts w:asciiTheme="minorHAnsi" w:eastAsiaTheme="minorEastAsia" w:hAnsiTheme="minorHAnsi"/>
              <w:noProof/>
              <w:sz w:val="22"/>
            </w:rPr>
          </w:pPr>
          <w:hyperlink w:anchor="_Toc461450503" w:history="1">
            <w:r w:rsidR="00F36210" w:rsidRPr="00592D32">
              <w:rPr>
                <w:rStyle w:val="Hyperlink"/>
                <w:noProof/>
              </w:rPr>
              <w:t>A.</w:t>
            </w:r>
            <w:r w:rsidR="00F36210">
              <w:rPr>
                <w:rFonts w:asciiTheme="minorHAnsi" w:eastAsiaTheme="minorEastAsia" w:hAnsiTheme="minorHAnsi"/>
                <w:noProof/>
                <w:sz w:val="22"/>
              </w:rPr>
              <w:tab/>
            </w:r>
            <w:r w:rsidR="00F36210" w:rsidRPr="00592D32">
              <w:rPr>
                <w:rStyle w:val="Hyperlink"/>
                <w:noProof/>
              </w:rPr>
              <w:t>The requested impairment analyses are within the proper scope of discovery</w:t>
            </w:r>
            <w:r w:rsidR="00F36210">
              <w:rPr>
                <w:noProof/>
                <w:webHidden/>
              </w:rPr>
              <w:tab/>
            </w:r>
            <w:r w:rsidR="00F36210">
              <w:rPr>
                <w:noProof/>
                <w:webHidden/>
              </w:rPr>
              <w:fldChar w:fldCharType="begin"/>
            </w:r>
            <w:r w:rsidR="00F36210">
              <w:rPr>
                <w:noProof/>
                <w:webHidden/>
              </w:rPr>
              <w:instrText xml:space="preserve"> PAGEREF _Toc461450503 \h </w:instrText>
            </w:r>
            <w:r w:rsidR="00F36210">
              <w:rPr>
                <w:noProof/>
                <w:webHidden/>
              </w:rPr>
            </w:r>
            <w:r w:rsidR="00F36210">
              <w:rPr>
                <w:noProof/>
                <w:webHidden/>
              </w:rPr>
              <w:fldChar w:fldCharType="separate"/>
            </w:r>
            <w:r w:rsidR="00FA02D4">
              <w:rPr>
                <w:noProof/>
                <w:webHidden/>
              </w:rPr>
              <w:t>2</w:t>
            </w:r>
            <w:r w:rsidR="00F36210">
              <w:rPr>
                <w:noProof/>
                <w:webHidden/>
              </w:rPr>
              <w:fldChar w:fldCharType="end"/>
            </w:r>
          </w:hyperlink>
        </w:p>
        <w:p w14:paraId="1E9F082D" w14:textId="0EF58450" w:rsidR="00F36210" w:rsidRDefault="0064608B">
          <w:pPr>
            <w:pStyle w:val="TOC2"/>
            <w:tabs>
              <w:tab w:val="left" w:pos="1440"/>
            </w:tabs>
            <w:rPr>
              <w:rFonts w:asciiTheme="minorHAnsi" w:eastAsiaTheme="minorEastAsia" w:hAnsiTheme="minorHAnsi"/>
              <w:noProof/>
              <w:sz w:val="22"/>
            </w:rPr>
          </w:pPr>
          <w:hyperlink w:anchor="_Toc461450504" w:history="1">
            <w:r w:rsidR="00F36210" w:rsidRPr="00592D32">
              <w:rPr>
                <w:rStyle w:val="Hyperlink"/>
                <w:noProof/>
              </w:rPr>
              <w:t>B.</w:t>
            </w:r>
            <w:r w:rsidR="00F36210">
              <w:rPr>
                <w:rFonts w:asciiTheme="minorHAnsi" w:eastAsiaTheme="minorEastAsia" w:hAnsiTheme="minorHAnsi"/>
                <w:noProof/>
                <w:sz w:val="22"/>
              </w:rPr>
              <w:tab/>
            </w:r>
            <w:r w:rsidR="00F36210" w:rsidRPr="00592D32">
              <w:rPr>
                <w:rStyle w:val="Hyperlink"/>
                <w:noProof/>
              </w:rPr>
              <w:t>The documents are within DP&amp;L’s possession, custody, or control</w:t>
            </w:r>
            <w:r w:rsidR="00F36210">
              <w:rPr>
                <w:noProof/>
                <w:webHidden/>
              </w:rPr>
              <w:tab/>
            </w:r>
            <w:r w:rsidR="00F36210">
              <w:rPr>
                <w:noProof/>
                <w:webHidden/>
              </w:rPr>
              <w:fldChar w:fldCharType="begin"/>
            </w:r>
            <w:r w:rsidR="00F36210">
              <w:rPr>
                <w:noProof/>
                <w:webHidden/>
              </w:rPr>
              <w:instrText xml:space="preserve"> PAGEREF _Toc461450504 \h </w:instrText>
            </w:r>
            <w:r w:rsidR="00F36210">
              <w:rPr>
                <w:noProof/>
                <w:webHidden/>
              </w:rPr>
            </w:r>
            <w:r w:rsidR="00F36210">
              <w:rPr>
                <w:noProof/>
                <w:webHidden/>
              </w:rPr>
              <w:fldChar w:fldCharType="separate"/>
            </w:r>
            <w:r w:rsidR="00FA02D4">
              <w:rPr>
                <w:noProof/>
                <w:webHidden/>
              </w:rPr>
              <w:t>3</w:t>
            </w:r>
            <w:r w:rsidR="00F36210">
              <w:rPr>
                <w:noProof/>
                <w:webHidden/>
              </w:rPr>
              <w:fldChar w:fldCharType="end"/>
            </w:r>
          </w:hyperlink>
        </w:p>
        <w:p w14:paraId="560973BF" w14:textId="1C7A5C66" w:rsidR="00F36210" w:rsidRDefault="0064608B">
          <w:pPr>
            <w:pStyle w:val="TOC2"/>
            <w:tabs>
              <w:tab w:val="left" w:pos="1440"/>
            </w:tabs>
            <w:rPr>
              <w:rFonts w:asciiTheme="minorHAnsi" w:eastAsiaTheme="minorEastAsia" w:hAnsiTheme="minorHAnsi"/>
              <w:noProof/>
              <w:sz w:val="22"/>
            </w:rPr>
          </w:pPr>
          <w:hyperlink w:anchor="_Toc461450505" w:history="1">
            <w:r w:rsidR="00F36210" w:rsidRPr="00592D32">
              <w:rPr>
                <w:rStyle w:val="Hyperlink"/>
                <w:noProof/>
              </w:rPr>
              <w:t>C.</w:t>
            </w:r>
            <w:r w:rsidR="00F36210">
              <w:rPr>
                <w:rFonts w:asciiTheme="minorHAnsi" w:eastAsiaTheme="minorEastAsia" w:hAnsiTheme="minorHAnsi"/>
                <w:noProof/>
                <w:sz w:val="22"/>
              </w:rPr>
              <w:tab/>
            </w:r>
            <w:r w:rsidR="00F36210" w:rsidRPr="00592D32">
              <w:rPr>
                <w:rStyle w:val="Hyperlink"/>
                <w:noProof/>
              </w:rPr>
              <w:t>Private contracts do not trump the discovery process</w:t>
            </w:r>
            <w:r w:rsidR="00F36210">
              <w:rPr>
                <w:noProof/>
                <w:webHidden/>
              </w:rPr>
              <w:tab/>
            </w:r>
            <w:r w:rsidR="00F36210">
              <w:rPr>
                <w:noProof/>
                <w:webHidden/>
              </w:rPr>
              <w:fldChar w:fldCharType="begin"/>
            </w:r>
            <w:r w:rsidR="00F36210">
              <w:rPr>
                <w:noProof/>
                <w:webHidden/>
              </w:rPr>
              <w:instrText xml:space="preserve"> PAGEREF _Toc461450505 \h </w:instrText>
            </w:r>
            <w:r w:rsidR="00F36210">
              <w:rPr>
                <w:noProof/>
                <w:webHidden/>
              </w:rPr>
            </w:r>
            <w:r w:rsidR="00F36210">
              <w:rPr>
                <w:noProof/>
                <w:webHidden/>
              </w:rPr>
              <w:fldChar w:fldCharType="separate"/>
            </w:r>
            <w:r w:rsidR="00FA02D4">
              <w:rPr>
                <w:noProof/>
                <w:webHidden/>
              </w:rPr>
              <w:t>4</w:t>
            </w:r>
            <w:r w:rsidR="00F36210">
              <w:rPr>
                <w:noProof/>
                <w:webHidden/>
              </w:rPr>
              <w:fldChar w:fldCharType="end"/>
            </w:r>
          </w:hyperlink>
        </w:p>
        <w:p w14:paraId="43AA5894" w14:textId="74D6D6DD" w:rsidR="00F36210" w:rsidRDefault="0064608B">
          <w:pPr>
            <w:pStyle w:val="TOC2"/>
            <w:tabs>
              <w:tab w:val="left" w:pos="1440"/>
            </w:tabs>
            <w:rPr>
              <w:rFonts w:asciiTheme="minorHAnsi" w:eastAsiaTheme="minorEastAsia" w:hAnsiTheme="minorHAnsi"/>
              <w:noProof/>
              <w:sz w:val="22"/>
            </w:rPr>
          </w:pPr>
          <w:hyperlink w:anchor="_Toc461450506" w:history="1">
            <w:r w:rsidR="00F36210" w:rsidRPr="00592D32">
              <w:rPr>
                <w:rStyle w:val="Hyperlink"/>
                <w:noProof/>
              </w:rPr>
              <w:t>D.</w:t>
            </w:r>
            <w:r w:rsidR="00F36210">
              <w:rPr>
                <w:rFonts w:asciiTheme="minorHAnsi" w:eastAsiaTheme="minorEastAsia" w:hAnsiTheme="minorHAnsi"/>
                <w:noProof/>
                <w:sz w:val="22"/>
              </w:rPr>
              <w:tab/>
            </w:r>
            <w:r w:rsidR="00F36210" w:rsidRPr="00592D32">
              <w:rPr>
                <w:rStyle w:val="Hyperlink"/>
                <w:noProof/>
              </w:rPr>
              <w:t>The market projections in the impairment analyses are not subject to any claim of privilege, and any remaining information that might have been privileged in the documents has likely been waived</w:t>
            </w:r>
            <w:r w:rsidR="00F36210">
              <w:rPr>
                <w:noProof/>
                <w:webHidden/>
              </w:rPr>
              <w:tab/>
            </w:r>
            <w:r w:rsidR="00F36210">
              <w:rPr>
                <w:noProof/>
                <w:webHidden/>
              </w:rPr>
              <w:fldChar w:fldCharType="begin"/>
            </w:r>
            <w:r w:rsidR="00F36210">
              <w:rPr>
                <w:noProof/>
                <w:webHidden/>
              </w:rPr>
              <w:instrText xml:space="preserve"> PAGEREF _Toc461450506 \h </w:instrText>
            </w:r>
            <w:r w:rsidR="00F36210">
              <w:rPr>
                <w:noProof/>
                <w:webHidden/>
              </w:rPr>
            </w:r>
            <w:r w:rsidR="00F36210">
              <w:rPr>
                <w:noProof/>
                <w:webHidden/>
              </w:rPr>
              <w:fldChar w:fldCharType="separate"/>
            </w:r>
            <w:r w:rsidR="00FA02D4">
              <w:rPr>
                <w:noProof/>
                <w:webHidden/>
              </w:rPr>
              <w:t>5</w:t>
            </w:r>
            <w:r w:rsidR="00F36210">
              <w:rPr>
                <w:noProof/>
                <w:webHidden/>
              </w:rPr>
              <w:fldChar w:fldCharType="end"/>
            </w:r>
          </w:hyperlink>
        </w:p>
        <w:p w14:paraId="7914F8B5" w14:textId="557C3F1B" w:rsidR="00F36210" w:rsidRPr="00245082" w:rsidRDefault="0064608B" w:rsidP="0029120A">
          <w:pPr>
            <w:pStyle w:val="TOC1"/>
            <w:rPr>
              <w:rFonts w:asciiTheme="minorHAnsi" w:eastAsiaTheme="minorEastAsia" w:hAnsiTheme="minorHAnsi"/>
              <w:sz w:val="22"/>
            </w:rPr>
          </w:pPr>
          <w:hyperlink w:anchor="_Toc461450507" w:history="1">
            <w:r w:rsidR="00F36210" w:rsidRPr="00245082">
              <w:rPr>
                <w:rStyle w:val="Hyperlink"/>
                <w:u w:val="none"/>
              </w:rPr>
              <w:t>II.</w:t>
            </w:r>
            <w:r w:rsidR="00F36210" w:rsidRPr="00245082">
              <w:rPr>
                <w:rFonts w:asciiTheme="minorHAnsi" w:eastAsiaTheme="minorEastAsia" w:hAnsiTheme="minorHAnsi"/>
                <w:sz w:val="22"/>
              </w:rPr>
              <w:tab/>
            </w:r>
            <w:r w:rsidR="00F36210" w:rsidRPr="00245082">
              <w:rPr>
                <w:rStyle w:val="Hyperlink"/>
                <w:u w:val="none"/>
              </w:rPr>
              <w:t>CONCLUSION</w:t>
            </w:r>
            <w:r w:rsidR="00F36210" w:rsidRPr="00DD24E0">
              <w:rPr>
                <w:b w:val="0"/>
                <w:webHidden/>
              </w:rPr>
              <w:tab/>
            </w:r>
            <w:r w:rsidR="00F36210" w:rsidRPr="00DD24E0">
              <w:rPr>
                <w:b w:val="0"/>
                <w:webHidden/>
              </w:rPr>
              <w:fldChar w:fldCharType="begin"/>
            </w:r>
            <w:r w:rsidR="00F36210" w:rsidRPr="00DD24E0">
              <w:rPr>
                <w:b w:val="0"/>
                <w:webHidden/>
              </w:rPr>
              <w:instrText xml:space="preserve"> PAGEREF _Toc461450507 \h </w:instrText>
            </w:r>
            <w:r w:rsidR="00F36210" w:rsidRPr="00DD24E0">
              <w:rPr>
                <w:b w:val="0"/>
                <w:webHidden/>
              </w:rPr>
            </w:r>
            <w:r w:rsidR="00F36210" w:rsidRPr="00DD24E0">
              <w:rPr>
                <w:b w:val="0"/>
                <w:webHidden/>
              </w:rPr>
              <w:fldChar w:fldCharType="separate"/>
            </w:r>
            <w:r w:rsidR="00FA02D4">
              <w:rPr>
                <w:b w:val="0"/>
                <w:webHidden/>
              </w:rPr>
              <w:t>11</w:t>
            </w:r>
            <w:r w:rsidR="00F36210" w:rsidRPr="00DD24E0">
              <w:rPr>
                <w:b w:val="0"/>
                <w:webHidden/>
              </w:rPr>
              <w:fldChar w:fldCharType="end"/>
            </w:r>
          </w:hyperlink>
        </w:p>
        <w:p w14:paraId="34963AE1" w14:textId="4D5E80DB" w:rsidR="002C3E2E" w:rsidRDefault="002C3E2E" w:rsidP="002C3E2E">
          <w:r w:rsidRPr="00843BA6">
            <w:rPr>
              <w:b/>
              <w:bCs/>
              <w:noProof/>
            </w:rPr>
            <w:fldChar w:fldCharType="end"/>
          </w:r>
        </w:p>
      </w:sdtContent>
    </w:sdt>
    <w:p w14:paraId="025D9EC9" w14:textId="77777777" w:rsidR="002C3E2E" w:rsidRDefault="002C3E2E" w:rsidP="002C3E2E">
      <w:pPr>
        <w:spacing w:line="240" w:lineRule="auto"/>
        <w:jc w:val="center"/>
        <w:rPr>
          <w:rFonts w:eastAsia="Calibri" w:cs="Arial"/>
          <w:b/>
          <w:smallCaps/>
          <w:sz w:val="28"/>
          <w:szCs w:val="28"/>
        </w:rPr>
        <w:sectPr w:rsidR="002C3E2E" w:rsidSect="0033150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14:paraId="5CA13EB7" w14:textId="77777777" w:rsidR="002C3E2E" w:rsidRPr="007249C1" w:rsidRDefault="002C3E2E" w:rsidP="002C3E2E">
      <w:pPr>
        <w:spacing w:line="240" w:lineRule="auto"/>
        <w:jc w:val="center"/>
        <w:rPr>
          <w:rFonts w:eastAsia="Calibri" w:cs="Arial"/>
          <w:b/>
          <w:smallCaps/>
          <w:sz w:val="28"/>
          <w:szCs w:val="28"/>
        </w:rPr>
      </w:pPr>
      <w:r w:rsidRPr="007249C1">
        <w:rPr>
          <w:rFonts w:eastAsia="Calibri" w:cs="Arial"/>
          <w:b/>
          <w:smallCaps/>
          <w:sz w:val="28"/>
          <w:szCs w:val="28"/>
        </w:rPr>
        <w:lastRenderedPageBreak/>
        <w:t>Before</w:t>
      </w:r>
    </w:p>
    <w:p w14:paraId="30EFC714" w14:textId="77777777" w:rsidR="002C3E2E" w:rsidRDefault="002C3E2E" w:rsidP="002C3E2E">
      <w:pPr>
        <w:spacing w:line="240" w:lineRule="auto"/>
        <w:jc w:val="center"/>
        <w:rPr>
          <w:rFonts w:eastAsia="Calibri" w:cs="Arial"/>
          <w:b/>
          <w:smallCaps/>
          <w:sz w:val="28"/>
          <w:szCs w:val="28"/>
        </w:rPr>
      </w:pPr>
      <w:r w:rsidRPr="007249C1">
        <w:rPr>
          <w:rFonts w:eastAsia="Calibri" w:cs="Arial"/>
          <w:b/>
          <w:smallCaps/>
          <w:sz w:val="28"/>
          <w:szCs w:val="28"/>
        </w:rPr>
        <w:t>The Public Utilities Commission of Ohio</w:t>
      </w:r>
    </w:p>
    <w:p w14:paraId="79B51783" w14:textId="77777777" w:rsidR="002C3E2E" w:rsidRDefault="002C3E2E" w:rsidP="002C3E2E">
      <w:pPr>
        <w:spacing w:line="240" w:lineRule="auto"/>
        <w:jc w:val="center"/>
        <w:rPr>
          <w:rFonts w:eastAsia="Calibri" w:cs="Arial"/>
          <w:b/>
          <w:smallCaps/>
        </w:rPr>
      </w:pPr>
    </w:p>
    <w:p w14:paraId="33540735" w14:textId="77777777" w:rsidR="002C3E2E" w:rsidRPr="00754DB3" w:rsidRDefault="002C3E2E" w:rsidP="002C3E2E">
      <w:pPr>
        <w:spacing w:line="240" w:lineRule="auto"/>
        <w:jc w:val="center"/>
        <w:rPr>
          <w:rFonts w:eastAsia="Calibri" w:cs="Arial"/>
          <w:b/>
          <w:smallCaps/>
        </w:rPr>
      </w:pPr>
    </w:p>
    <w:p w14:paraId="39A55798"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171E25CF"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16-395-EL-SSO</w:t>
      </w:r>
    </w:p>
    <w:p w14:paraId="7A9D2387"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Approval of Its Electric Security Plan</w:t>
      </w:r>
      <w:r w:rsidRPr="00754DB3">
        <w:rPr>
          <w:rFonts w:cs="Arial"/>
        </w:rPr>
        <w:tab/>
        <w:t>)</w:t>
      </w:r>
    </w:p>
    <w:p w14:paraId="7968EE1F" w14:textId="77777777" w:rsidR="002C3E2E" w:rsidRPr="00754DB3" w:rsidRDefault="002C3E2E" w:rsidP="002C3E2E">
      <w:pPr>
        <w:tabs>
          <w:tab w:val="left" w:pos="4680"/>
          <w:tab w:val="left" w:pos="5220"/>
        </w:tabs>
        <w:autoSpaceDE w:val="0"/>
        <w:autoSpaceDN w:val="0"/>
        <w:adjustRightInd w:val="0"/>
        <w:spacing w:line="240" w:lineRule="auto"/>
        <w:rPr>
          <w:rFonts w:cs="Arial"/>
        </w:rPr>
      </w:pPr>
    </w:p>
    <w:p w14:paraId="498413AC"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6AF3836D"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16-396-EL-ATA</w:t>
      </w:r>
    </w:p>
    <w:p w14:paraId="1B05D38D"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Approval of Revised Tariffs</w:t>
      </w:r>
      <w:r w:rsidRPr="00754DB3">
        <w:rPr>
          <w:rFonts w:cs="Arial"/>
        </w:rPr>
        <w:tab/>
        <w:t>)</w:t>
      </w:r>
    </w:p>
    <w:p w14:paraId="499191E0" w14:textId="77777777" w:rsidR="002C3E2E" w:rsidRPr="00754DB3" w:rsidRDefault="002C3E2E" w:rsidP="002C3E2E">
      <w:pPr>
        <w:tabs>
          <w:tab w:val="left" w:pos="4680"/>
          <w:tab w:val="left" w:pos="5220"/>
        </w:tabs>
        <w:autoSpaceDE w:val="0"/>
        <w:autoSpaceDN w:val="0"/>
        <w:adjustRightInd w:val="0"/>
        <w:spacing w:line="240" w:lineRule="auto"/>
        <w:rPr>
          <w:rFonts w:cs="Arial"/>
        </w:rPr>
      </w:pPr>
    </w:p>
    <w:p w14:paraId="70962D6B"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In the Matter of the Application of</w:t>
      </w:r>
      <w:r w:rsidRPr="00754DB3">
        <w:rPr>
          <w:rFonts w:cs="Arial"/>
        </w:rPr>
        <w:tab/>
        <w:t>)</w:t>
      </w:r>
    </w:p>
    <w:p w14:paraId="4C59430D"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The Dayton Power and Light Company for</w:t>
      </w:r>
      <w:r w:rsidRPr="00754DB3">
        <w:rPr>
          <w:rFonts w:cs="Arial"/>
        </w:rPr>
        <w:tab/>
        <w:t>)</w:t>
      </w:r>
      <w:r w:rsidRPr="00754DB3">
        <w:rPr>
          <w:rFonts w:cs="Arial"/>
        </w:rPr>
        <w:tab/>
        <w:t>Case No. 16-397-EL-AAM</w:t>
      </w:r>
    </w:p>
    <w:p w14:paraId="176E3A31"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Approval of Certain Accounting Authority</w:t>
      </w:r>
      <w:r w:rsidRPr="00754DB3">
        <w:rPr>
          <w:rFonts w:cs="Arial"/>
        </w:rPr>
        <w:tab/>
        <w:t>)</w:t>
      </w:r>
    </w:p>
    <w:p w14:paraId="7ABB35ED" w14:textId="77777777" w:rsidR="002C3E2E" w:rsidRPr="00754DB3" w:rsidRDefault="002C3E2E" w:rsidP="002C3E2E">
      <w:pPr>
        <w:tabs>
          <w:tab w:val="left" w:pos="4680"/>
          <w:tab w:val="left" w:pos="5220"/>
        </w:tabs>
        <w:autoSpaceDE w:val="0"/>
        <w:autoSpaceDN w:val="0"/>
        <w:adjustRightInd w:val="0"/>
        <w:spacing w:line="240" w:lineRule="auto"/>
        <w:rPr>
          <w:rFonts w:cs="Arial"/>
        </w:rPr>
      </w:pPr>
      <w:r w:rsidRPr="00754DB3">
        <w:rPr>
          <w:rFonts w:cs="Arial"/>
        </w:rPr>
        <w:t>Pursuant to Ohio Rev. Code § 4905.13</w:t>
      </w:r>
      <w:r w:rsidRPr="00754DB3">
        <w:rPr>
          <w:rFonts w:cs="Arial"/>
        </w:rPr>
        <w:tab/>
        <w:t>)</w:t>
      </w:r>
    </w:p>
    <w:p w14:paraId="7B10B3EA" w14:textId="77777777" w:rsidR="002C3E2E" w:rsidRPr="00AC2E18" w:rsidRDefault="002C3E2E" w:rsidP="002C3E2E">
      <w:pPr>
        <w:tabs>
          <w:tab w:val="left" w:pos="4680"/>
          <w:tab w:val="left" w:pos="5220"/>
        </w:tabs>
        <w:autoSpaceDE w:val="0"/>
        <w:autoSpaceDN w:val="0"/>
        <w:adjustRightInd w:val="0"/>
        <w:spacing w:line="240" w:lineRule="auto"/>
        <w:rPr>
          <w:rFonts w:cs="Arial"/>
        </w:rPr>
      </w:pPr>
    </w:p>
    <w:p w14:paraId="7745F8EC" w14:textId="77777777" w:rsidR="008810B2" w:rsidRPr="003046A9" w:rsidRDefault="008810B2" w:rsidP="008810B2">
      <w:pPr>
        <w:pBdr>
          <w:bottom w:val="single" w:sz="12" w:space="1" w:color="auto"/>
        </w:pBdr>
        <w:tabs>
          <w:tab w:val="left" w:pos="5040"/>
        </w:tabs>
        <w:spacing w:line="240" w:lineRule="auto"/>
        <w:rPr>
          <w:rFonts w:eastAsia="Times New Roman" w:cs="Arial"/>
        </w:rPr>
      </w:pPr>
    </w:p>
    <w:p w14:paraId="526B63E1" w14:textId="77777777" w:rsidR="008810B2" w:rsidRPr="000F2E9D" w:rsidRDefault="008810B2" w:rsidP="008810B2">
      <w:pPr>
        <w:spacing w:line="240" w:lineRule="auto"/>
        <w:rPr>
          <w:rFonts w:cs="Arial"/>
          <w:b/>
        </w:rPr>
      </w:pPr>
    </w:p>
    <w:p w14:paraId="7CE3892C" w14:textId="77777777" w:rsidR="008810B2" w:rsidRDefault="008810B2" w:rsidP="008810B2">
      <w:pPr>
        <w:spacing w:line="240" w:lineRule="auto"/>
        <w:jc w:val="center"/>
        <w:rPr>
          <w:rFonts w:ascii="Arial Bold" w:hAnsi="Arial Bold" w:cs="Arial"/>
          <w:b/>
          <w:smallCaps/>
          <w:sz w:val="28"/>
          <w:szCs w:val="28"/>
        </w:rPr>
      </w:pPr>
      <w:r w:rsidRPr="002E2906">
        <w:rPr>
          <w:rFonts w:ascii="Arial Bold" w:hAnsi="Arial Bold" w:cs="Arial"/>
          <w:b/>
          <w:smallCaps/>
          <w:sz w:val="28"/>
          <w:szCs w:val="28"/>
        </w:rPr>
        <w:t>Industrial Energy Users-Ohio’s</w:t>
      </w:r>
      <w:r>
        <w:rPr>
          <w:rFonts w:ascii="Arial Bold" w:hAnsi="Arial Bold" w:cs="Arial"/>
          <w:b/>
          <w:smallCaps/>
          <w:sz w:val="28"/>
          <w:szCs w:val="28"/>
        </w:rPr>
        <w:t xml:space="preserve"> Reply to</w:t>
      </w:r>
      <w:r w:rsidRPr="002E2906">
        <w:rPr>
          <w:rFonts w:ascii="Arial Bold" w:hAnsi="Arial Bold" w:cs="Arial"/>
          <w:b/>
          <w:smallCaps/>
          <w:sz w:val="28"/>
          <w:szCs w:val="28"/>
        </w:rPr>
        <w:t xml:space="preserve"> </w:t>
      </w:r>
      <w:r>
        <w:rPr>
          <w:rFonts w:ascii="Arial Bold" w:hAnsi="Arial Bold" w:cs="Arial"/>
          <w:b/>
          <w:smallCaps/>
          <w:sz w:val="28"/>
          <w:szCs w:val="28"/>
        </w:rPr>
        <w:t>The Dayton Power and Light Company’s Memorandum in Opposition to Discovery Responses from The Dayton Power and Light Company, Request for Hearing</w:t>
      </w:r>
    </w:p>
    <w:p w14:paraId="40126667" w14:textId="77777777" w:rsidR="008810B2" w:rsidRPr="008810B2" w:rsidRDefault="008810B2" w:rsidP="008810B2">
      <w:pPr>
        <w:pBdr>
          <w:bottom w:val="single" w:sz="12" w:space="1" w:color="auto"/>
        </w:pBdr>
        <w:spacing w:line="240" w:lineRule="auto"/>
        <w:jc w:val="center"/>
        <w:rPr>
          <w:rFonts w:ascii="Arial Bold" w:hAnsi="Arial Bold" w:cs="Arial"/>
          <w:b/>
          <w:smallCaps/>
          <w:szCs w:val="24"/>
        </w:rPr>
      </w:pPr>
    </w:p>
    <w:p w14:paraId="1CEF5C5B" w14:textId="6D082DE3" w:rsidR="008810B2" w:rsidRDefault="008810B2" w:rsidP="008810B2">
      <w:pPr>
        <w:spacing w:line="240" w:lineRule="auto"/>
        <w:jc w:val="center"/>
        <w:rPr>
          <w:rFonts w:eastAsia="Times New Roman" w:cs="Arial"/>
          <w:b/>
          <w:smallCaps/>
          <w:u w:val="single"/>
        </w:rPr>
      </w:pPr>
    </w:p>
    <w:p w14:paraId="6DD5557F" w14:textId="77777777" w:rsidR="008810B2" w:rsidRDefault="008810B2" w:rsidP="008810B2">
      <w:pPr>
        <w:spacing w:line="240" w:lineRule="auto"/>
        <w:jc w:val="center"/>
        <w:rPr>
          <w:rFonts w:eastAsia="Times New Roman" w:cs="Arial"/>
          <w:b/>
          <w:smallCaps/>
          <w:u w:val="single"/>
        </w:rPr>
      </w:pPr>
    </w:p>
    <w:p w14:paraId="5B6BE4EB" w14:textId="41E7F635" w:rsidR="005D4D32" w:rsidRDefault="00620BD5" w:rsidP="00206319">
      <w:r>
        <w:tab/>
        <w:t xml:space="preserve">Industrial Energy Users-Ohio (“IEU-Ohio”) has served discovery on The Dayton Power and Light Company </w:t>
      </w:r>
      <w:r w:rsidR="0067313C">
        <w:t xml:space="preserve">(“DP&amp;L”) </w:t>
      </w:r>
      <w:r>
        <w:t xml:space="preserve">seeking </w:t>
      </w:r>
      <w:r w:rsidR="00DD62CB">
        <w:t xml:space="preserve">impairment </w:t>
      </w:r>
      <w:r w:rsidR="00662931">
        <w:t>analyses from DP&amp;L that contain projections of market prices and projections of revenue for its generation plants.</w:t>
      </w:r>
      <w:r w:rsidR="00206319">
        <w:t xml:space="preserve">  DP&amp;L has </w:t>
      </w:r>
      <w:r w:rsidR="00EB31DA">
        <w:t>acknowledged</w:t>
      </w:r>
      <w:r w:rsidR="00206319">
        <w:t xml:space="preserve"> that there are several documents responsive to IEU-Ohio’s discovery request</w:t>
      </w:r>
      <w:r w:rsidR="0033233C">
        <w:t>, but claims it does not have possession of the documents to produce them</w:t>
      </w:r>
      <w:r w:rsidR="00EB31DA">
        <w:t>.</w:t>
      </w:r>
      <w:r w:rsidR="00206319">
        <w:t xml:space="preserve"> </w:t>
      </w:r>
      <w:r w:rsidR="00EB31DA">
        <w:t xml:space="preserve"> </w:t>
      </w:r>
      <w:r w:rsidR="00BE2154">
        <w:t xml:space="preserve">It is IEU-Ohio’s understanding that the responsive documents were created by either AES </w:t>
      </w:r>
      <w:r w:rsidR="0067313C">
        <w:t xml:space="preserve">Corporation (“AES”) </w:t>
      </w:r>
      <w:r w:rsidR="00BE2154">
        <w:t xml:space="preserve">shared service employees or an outside consultant, Deloitte, and that all of the responsive documents are </w:t>
      </w:r>
      <w:r w:rsidR="00613DDB">
        <w:t xml:space="preserve">physically located at AES.  However, these analyses were created for DP&amp;L and were paid for by DP&amp;L and therefore </w:t>
      </w:r>
      <w:r w:rsidR="00BA0551">
        <w:t xml:space="preserve">are within DP&amp;L’s control.  </w:t>
      </w:r>
    </w:p>
    <w:p w14:paraId="5539FA57" w14:textId="3B05F3B8" w:rsidR="00BE2154" w:rsidRDefault="005D4D32" w:rsidP="005D4D32">
      <w:pPr>
        <w:ind w:firstLine="720"/>
      </w:pPr>
      <w:r>
        <w:lastRenderedPageBreak/>
        <w:t>DP&amp;L also claims that it should not have to produce any of the impairment</w:t>
      </w:r>
      <w:r w:rsidR="00BE2154">
        <w:t xml:space="preserve"> </w:t>
      </w:r>
      <w:r>
        <w:t xml:space="preserve">analyses because only the most recent one is relevant, the documents </w:t>
      </w:r>
      <w:r w:rsidR="008F7F10">
        <w:t>created</w:t>
      </w:r>
      <w:r>
        <w:t xml:space="preserve"> by Deloitte </w:t>
      </w:r>
      <w:r w:rsidR="008F7F10">
        <w:t xml:space="preserve">contain provisions that </w:t>
      </w:r>
      <w:r>
        <w:t xml:space="preserve">restrict their use and disclosure, and </w:t>
      </w:r>
      <w:r w:rsidR="008F7F10">
        <w:t xml:space="preserve">the documents contain privileged information.  As demonstrated in IEU-Ohio’s </w:t>
      </w:r>
      <w:r w:rsidR="0067313C">
        <w:t>M</w:t>
      </w:r>
      <w:r w:rsidR="008F7F10">
        <w:t xml:space="preserve">otion to </w:t>
      </w:r>
      <w:r w:rsidR="0067313C">
        <w:t>C</w:t>
      </w:r>
      <w:r w:rsidR="008F7F10">
        <w:t>ompel,</w:t>
      </w:r>
      <w:r w:rsidR="0067313C">
        <w:rPr>
          <w:rStyle w:val="FootnoteReference"/>
        </w:rPr>
        <w:footnoteReference w:id="1"/>
      </w:r>
      <w:r w:rsidR="008F7F10">
        <w:t xml:space="preserve"> parties cannot by contract </w:t>
      </w:r>
      <w:r w:rsidR="00893DB2">
        <w:t>restrict third parties</w:t>
      </w:r>
      <w:r w:rsidR="00735545">
        <w:t>’</w:t>
      </w:r>
      <w:r w:rsidR="00893DB2">
        <w:t>, such as IEU-Ohio, access to documents through the discovery process.  Furthermore, based on the assertions in DP&amp;L’s Memo Contra</w:t>
      </w:r>
      <w:r w:rsidR="00047B4E">
        <w:t>,</w:t>
      </w:r>
      <w:r w:rsidR="00155C4C">
        <w:rPr>
          <w:rStyle w:val="FootnoteReference"/>
        </w:rPr>
        <w:footnoteReference w:id="2"/>
      </w:r>
      <w:r w:rsidR="00893DB2">
        <w:t xml:space="preserve"> it appears that any claim to privilege has been waived.</w:t>
      </w:r>
    </w:p>
    <w:p w14:paraId="2C45B5D2" w14:textId="10AE8D9D" w:rsidR="00893DB2" w:rsidRDefault="00893DB2" w:rsidP="005D4D32">
      <w:pPr>
        <w:ind w:firstLine="720"/>
      </w:pPr>
      <w:r>
        <w:t xml:space="preserve">As discussed in additional </w:t>
      </w:r>
      <w:r w:rsidR="00047B4E">
        <w:t xml:space="preserve">detail </w:t>
      </w:r>
      <w:r>
        <w:t xml:space="preserve">below, the </w:t>
      </w:r>
      <w:r w:rsidR="00047B4E">
        <w:t>Public Utilities Commission of Ohio (“</w:t>
      </w:r>
      <w:r>
        <w:t>Commission</w:t>
      </w:r>
      <w:r w:rsidR="00047B4E">
        <w:t>”)</w:t>
      </w:r>
      <w:r>
        <w:t xml:space="preserve"> should grant IEU-Ohio’s </w:t>
      </w:r>
      <w:r w:rsidR="00CF254B">
        <w:t>M</w:t>
      </w:r>
      <w:r>
        <w:t xml:space="preserve">otion to </w:t>
      </w:r>
      <w:r w:rsidR="00CF254B">
        <w:t>C</w:t>
      </w:r>
      <w:r>
        <w:t>ompel.</w:t>
      </w:r>
    </w:p>
    <w:p w14:paraId="095D0771" w14:textId="77777777" w:rsidR="00C76366" w:rsidRDefault="00C76366" w:rsidP="00C76366">
      <w:pPr>
        <w:pStyle w:val="Heading1"/>
      </w:pPr>
      <w:bookmarkStart w:id="0" w:name="_Toc461450502"/>
      <w:r>
        <w:t>argument</w:t>
      </w:r>
      <w:bookmarkEnd w:id="0"/>
    </w:p>
    <w:p w14:paraId="50F33ED6" w14:textId="77777777" w:rsidR="003F6D6F" w:rsidRDefault="003F6D6F" w:rsidP="003F6D6F">
      <w:pPr>
        <w:pStyle w:val="Heading2"/>
      </w:pPr>
      <w:bookmarkStart w:id="1" w:name="_Toc461450503"/>
      <w:r>
        <w:t>The requested impairment analyses are within the proper scope of discovery</w:t>
      </w:r>
      <w:bookmarkEnd w:id="1"/>
    </w:p>
    <w:p w14:paraId="1EBE67D8" w14:textId="42E468BA" w:rsidR="00D907EF" w:rsidRDefault="005028D9" w:rsidP="003339B6">
      <w:pPr>
        <w:ind w:firstLine="720"/>
      </w:pPr>
      <w:r>
        <w:t xml:space="preserve">The results of the most recent </w:t>
      </w:r>
      <w:r w:rsidR="003339B6">
        <w:t xml:space="preserve">impairment analysis </w:t>
      </w:r>
      <w:r w:rsidR="0092712F">
        <w:t xml:space="preserve">demonstrate that </w:t>
      </w:r>
      <w:r w:rsidR="00662931">
        <w:t xml:space="preserve">projections </w:t>
      </w:r>
      <w:r w:rsidR="00B6306A">
        <w:t xml:space="preserve">required under accounting rules and reported to the </w:t>
      </w:r>
      <w:r w:rsidR="00047B4E">
        <w:t>Securities and Exchange Commission (“</w:t>
      </w:r>
      <w:r w:rsidR="00B6306A">
        <w:t>SEC</w:t>
      </w:r>
      <w:r w:rsidR="00047B4E">
        <w:t>”)</w:t>
      </w:r>
      <w:r w:rsidR="00B6306A">
        <w:t xml:space="preserve"> </w:t>
      </w:r>
      <w:r w:rsidR="00662931">
        <w:t xml:space="preserve">differ significantly from the projections DP&amp;L has presented in its </w:t>
      </w:r>
      <w:proofErr w:type="spellStart"/>
      <w:r w:rsidR="00662931">
        <w:t>prefiled</w:t>
      </w:r>
      <w:proofErr w:type="spellEnd"/>
      <w:r w:rsidR="00662931">
        <w:t xml:space="preserve"> direct </w:t>
      </w:r>
      <w:r w:rsidR="008C7671">
        <w:t xml:space="preserve">testimony in support of the </w:t>
      </w:r>
      <w:r w:rsidR="00047B4E">
        <w:t>Reliable Energy Rider (“</w:t>
      </w:r>
      <w:r w:rsidR="008C7671">
        <w:t>RER</w:t>
      </w:r>
      <w:r w:rsidR="00047B4E">
        <w:t>”)</w:t>
      </w:r>
      <w:r w:rsidR="00DF1251">
        <w:t>.</w:t>
      </w:r>
      <w:r w:rsidR="008C7671">
        <w:t xml:space="preserve">  </w:t>
      </w:r>
      <w:r w:rsidR="00DC10D7">
        <w:t xml:space="preserve">DP&amp;L </w:t>
      </w:r>
      <w:r w:rsidR="00D46625">
        <w:t>does not dispute</w:t>
      </w:r>
      <w:r w:rsidR="00DC10D7">
        <w:t xml:space="preserve"> that its most recent internal impairment analysis is relevant and within the proper scope of discover</w:t>
      </w:r>
      <w:r w:rsidR="00D46625">
        <w:t xml:space="preserve">y.  </w:t>
      </w:r>
    </w:p>
    <w:p w14:paraId="09A2839E" w14:textId="77777777" w:rsidR="00CB315F" w:rsidRDefault="00D46625" w:rsidP="003339B6">
      <w:pPr>
        <w:ind w:firstLine="720"/>
      </w:pPr>
      <w:r>
        <w:lastRenderedPageBreak/>
        <w:t xml:space="preserve">As to prior impairment analyses, DP&amp;L </w:t>
      </w:r>
      <w:r w:rsidR="00CB315F">
        <w:t>argues that the “older impairment analyses (</w:t>
      </w:r>
      <w:r w:rsidR="00CB315F">
        <w:rPr>
          <w:u w:val="single"/>
        </w:rPr>
        <w:t>i.e.</w:t>
      </w:r>
      <w:r w:rsidR="00CB315F">
        <w:t>, the ones prior to the analysis underlying the June 30, 2016 SEC disclosure) are simply not relevant to any issue in the case.”</w:t>
      </w:r>
      <w:r w:rsidR="00CB315F">
        <w:rPr>
          <w:rStyle w:val="FootnoteReference"/>
        </w:rPr>
        <w:footnoteReference w:id="3"/>
      </w:r>
      <w:r w:rsidR="00CB315F">
        <w:t xml:space="preserve">  </w:t>
      </w:r>
      <w:r w:rsidR="003F6D6F">
        <w:t>DP&amp;L is incorrect.</w:t>
      </w:r>
    </w:p>
    <w:p w14:paraId="3A9FF614" w14:textId="77777777" w:rsidR="00CB315F" w:rsidRDefault="00CB315F" w:rsidP="00CB315F">
      <w:r>
        <w:tab/>
        <w:t xml:space="preserve">The prior impairment analyses may shed light on DP&amp;L’s ability to predict market prices over an extended period of time.  The RER proposal is for a 10-year term.  DP&amp;L relies on 10-year projections of market prices to predict that over its 10-year life the RER proposal will result in a net credit for customers.  Thus, at issue in the case is the potential range of error in the market price forecasts that drive the RER projections.  </w:t>
      </w:r>
    </w:p>
    <w:p w14:paraId="25B02127" w14:textId="4F928874" w:rsidR="00CB315F" w:rsidRDefault="00CB315F" w:rsidP="00CB315F">
      <w:r>
        <w:tab/>
      </w:r>
      <w:r w:rsidR="0033233C">
        <w:t>Furthermore, the prior analyses may shed light on the prudenc</w:t>
      </w:r>
      <w:r w:rsidR="00E13463">
        <w:t>e</w:t>
      </w:r>
      <w:r w:rsidR="0033233C">
        <w:t xml:space="preserve"> of DP&amp;L’s prior and proposed actions</w:t>
      </w:r>
      <w:r w:rsidR="00CF6B72">
        <w:t xml:space="preserve"> in light of DP&amp;L’s proposal to shift future risk as to the operating performance and costs of the plants to customers via the RER.</w:t>
      </w:r>
    </w:p>
    <w:p w14:paraId="70F49E5F" w14:textId="77777777" w:rsidR="00CB315F" w:rsidRDefault="00CB315F" w:rsidP="00CB315F">
      <w:r>
        <w:tab/>
        <w:t>In sum, the impairment analyses IEU-Ohio seeks are reasonably calculated to lead to the discovery of admissible evidence.</w:t>
      </w:r>
    </w:p>
    <w:p w14:paraId="736C8E1B" w14:textId="77777777" w:rsidR="008A6375" w:rsidRDefault="008A6375" w:rsidP="003F6D6F">
      <w:pPr>
        <w:pStyle w:val="Heading2"/>
      </w:pPr>
      <w:bookmarkStart w:id="2" w:name="_Toc461450504"/>
      <w:r>
        <w:t>The documents are within DP&amp;L’s possession</w:t>
      </w:r>
      <w:r w:rsidR="000343ED">
        <w:t>,</w:t>
      </w:r>
      <w:r>
        <w:t xml:space="preserve"> custody, or control</w:t>
      </w:r>
      <w:bookmarkEnd w:id="2"/>
    </w:p>
    <w:p w14:paraId="26949BB8" w14:textId="77777777" w:rsidR="008A6375" w:rsidRPr="008A6375" w:rsidRDefault="008A6375" w:rsidP="008A6375">
      <w:pPr>
        <w:ind w:firstLine="720"/>
      </w:pPr>
      <w:r>
        <w:t xml:space="preserve">DP&amp;L claims that the responsive impairment analysis documents are in the possession of AES and therefore beyond the reach of IEU-Ohio’s discovery requests.  In response to IEU-Ohio’s discovery, </w:t>
      </w:r>
      <w:r w:rsidR="00034321">
        <w:t xml:space="preserve">however, </w:t>
      </w:r>
      <w:r>
        <w:t>DP&amp;L acknowledged that DP&amp;L paid for the impairment analysis performed by Deloitte.</w:t>
      </w:r>
      <w:r>
        <w:rPr>
          <w:rStyle w:val="FootnoteReference"/>
        </w:rPr>
        <w:footnoteReference w:id="4"/>
      </w:r>
      <w:r>
        <w:t xml:space="preserve">  Based on communication with DP&amp;L’s counsel, IEU-Ohio believes the Deloitte documents relate to at least the most recent </w:t>
      </w:r>
      <w:r>
        <w:lastRenderedPageBreak/>
        <w:t>impairment analysis.  Documents are properly discoverable if in a party’s possession, custody</w:t>
      </w:r>
      <w:r w:rsidR="000343ED">
        <w:t>,</w:t>
      </w:r>
      <w:r>
        <w:t xml:space="preserve"> or control, where control turns on the legal right to obtain </w:t>
      </w:r>
      <w:r w:rsidR="000343ED">
        <w:t xml:space="preserve">a </w:t>
      </w:r>
      <w:r>
        <w:t>document</w:t>
      </w:r>
      <w:r w:rsidR="009D3E6E">
        <w:t xml:space="preserve"> on demand</w:t>
      </w:r>
      <w:r>
        <w:t>.</w:t>
      </w:r>
      <w:r w:rsidR="009D3E6E">
        <w:rPr>
          <w:rStyle w:val="FootnoteReference"/>
        </w:rPr>
        <w:footnoteReference w:id="5"/>
      </w:r>
      <w:r>
        <w:t xml:space="preserve">   The fact that DP&amp;L paid for the analysis yields but one conclusion; it has a legal right to the document.  Thus, the impairment analyses paid for by DP&amp;L are properly discoverable.  </w:t>
      </w:r>
    </w:p>
    <w:p w14:paraId="2E26A9B4" w14:textId="77777777" w:rsidR="00F965EF" w:rsidRDefault="009B412E" w:rsidP="003F6D6F">
      <w:pPr>
        <w:pStyle w:val="Heading2"/>
      </w:pPr>
      <w:bookmarkStart w:id="3" w:name="_Toc461450505"/>
      <w:r>
        <w:t xml:space="preserve">Private </w:t>
      </w:r>
      <w:r w:rsidR="00F965EF">
        <w:t>contracts do not trump the discovery process</w:t>
      </w:r>
      <w:bookmarkEnd w:id="3"/>
    </w:p>
    <w:p w14:paraId="1C491949" w14:textId="280AEC71" w:rsidR="003E77F3" w:rsidRDefault="00046B9A" w:rsidP="00046B9A">
      <w:pPr>
        <w:ind w:firstLine="720"/>
      </w:pPr>
      <w:r>
        <w:t xml:space="preserve">The absurdity of DP&amp;L’s contention that the Deloitte documents are not subject to discovery because DP&amp;L and Deloitte </w:t>
      </w:r>
      <w:r w:rsidR="0081272D">
        <w:t xml:space="preserve">agreed as much needs little attention.  </w:t>
      </w:r>
      <w:r w:rsidR="00384437">
        <w:t>If the Deloitte documents contain information that meets the definition of trade secrets, they may nonetheless be discovered under a protective ag</w:t>
      </w:r>
      <w:r w:rsidR="00486B4D">
        <w:t>reement, such as that which IEU</w:t>
      </w:r>
      <w:r w:rsidR="00486B4D">
        <w:noBreakHyphen/>
      </w:r>
      <w:r w:rsidR="00384437">
        <w:t xml:space="preserve">Ohio has with DP&amp;L in this case.  </w:t>
      </w:r>
      <w:r w:rsidR="002632E2">
        <w:t xml:space="preserve">Any attempt by private parties </w:t>
      </w:r>
      <w:r w:rsidR="008A03DA">
        <w:t>to rely on contracts to shield</w:t>
      </w:r>
      <w:r w:rsidR="002632E2">
        <w:t xml:space="preserve"> certain information in their possession </w:t>
      </w:r>
      <w:r w:rsidR="00154BFD">
        <w:t xml:space="preserve">from </w:t>
      </w:r>
      <w:r w:rsidR="002632E2">
        <w:t xml:space="preserve">the discovery process </w:t>
      </w:r>
      <w:r w:rsidR="008A03DA">
        <w:t>renders the contractual provision void under Ohio law.</w:t>
      </w:r>
      <w:r w:rsidR="00154BFD">
        <w:rPr>
          <w:rStyle w:val="FootnoteReference"/>
        </w:rPr>
        <w:footnoteReference w:id="6"/>
      </w:r>
      <w:r w:rsidR="008A03DA">
        <w:t xml:space="preserve">  </w:t>
      </w:r>
    </w:p>
    <w:p w14:paraId="3B5BD685" w14:textId="17060478" w:rsidR="001C625D" w:rsidRDefault="00556CFF" w:rsidP="009A523C">
      <w:pPr>
        <w:ind w:firstLine="720"/>
      </w:pPr>
      <w:r>
        <w:t>Separately</w:t>
      </w:r>
      <w:r w:rsidR="001C625D">
        <w:t xml:space="preserve"> an</w:t>
      </w:r>
      <w:r w:rsidR="008A03DA">
        <w:t>d</w:t>
      </w:r>
      <w:r w:rsidR="001C625D">
        <w:t xml:space="preserve"> apart from IEU-Ohio’s right to obtain the impairment analyses under the Commission’s discovery rules, the impairmen</w:t>
      </w:r>
      <w:r w:rsidR="004C1F40">
        <w:t>t analyses performed by AES or Deloitte</w:t>
      </w:r>
      <w:r w:rsidR="001C625D">
        <w:t xml:space="preserve"> are available to the Commission under both state and federal law. </w:t>
      </w:r>
      <w:r w:rsidR="00486B4D">
        <w:t xml:space="preserve"> R.C. </w:t>
      </w:r>
      <w:r w:rsidR="004E7D0B">
        <w:t xml:space="preserve">4928.18 provides that the Commission may access the books and records of any affiliate of DP&amp;L.  At the federal level, </w:t>
      </w:r>
      <w:r w:rsidR="005C0BF1">
        <w:t>t</w:t>
      </w:r>
      <w:r w:rsidR="00DB40EF">
        <w:t xml:space="preserve">he Energy Policy Act </w:t>
      </w:r>
      <w:r w:rsidR="00DF223D">
        <w:t xml:space="preserve">of </w:t>
      </w:r>
      <w:r w:rsidR="005131C6">
        <w:t>2005</w:t>
      </w:r>
      <w:r w:rsidR="00DB40EF">
        <w:t xml:space="preserve"> </w:t>
      </w:r>
      <w:r w:rsidR="005C0BF1">
        <w:t>(“</w:t>
      </w:r>
      <w:proofErr w:type="spellStart"/>
      <w:r w:rsidR="005C0BF1">
        <w:t>EPAct</w:t>
      </w:r>
      <w:proofErr w:type="spellEnd"/>
      <w:r w:rsidR="005C0BF1">
        <w:t xml:space="preserve">”) </w:t>
      </w:r>
      <w:r w:rsidR="004E7D0B">
        <w:t xml:space="preserve">provides that any state </w:t>
      </w:r>
      <w:r w:rsidR="005C0BF1">
        <w:t>c</w:t>
      </w:r>
      <w:r w:rsidR="004E7D0B">
        <w:t xml:space="preserve">ommission with jurisdiction over a public utility </w:t>
      </w:r>
      <w:r w:rsidR="003C617F">
        <w:t xml:space="preserve">in a holding company system </w:t>
      </w:r>
      <w:r w:rsidR="004E7D0B">
        <w:t>may</w:t>
      </w:r>
      <w:r w:rsidR="0095740F">
        <w:t xml:space="preserve"> access the books and records of</w:t>
      </w:r>
      <w:r w:rsidR="004E7D0B">
        <w:t xml:space="preserve"> </w:t>
      </w:r>
      <w:r w:rsidR="0095740F">
        <w:t xml:space="preserve">the holding company and any associate company that are necessary for the state </w:t>
      </w:r>
      <w:r w:rsidR="005C0BF1">
        <w:t>c</w:t>
      </w:r>
      <w:r w:rsidR="0095740F">
        <w:t xml:space="preserve">ommission to reasonably discharge its </w:t>
      </w:r>
      <w:r w:rsidR="009A523C">
        <w:lastRenderedPageBreak/>
        <w:t>duties</w:t>
      </w:r>
      <w:r w:rsidR="0095740F">
        <w:t>.</w:t>
      </w:r>
      <w:r w:rsidR="005131C6">
        <w:rPr>
          <w:rStyle w:val="FootnoteReference"/>
        </w:rPr>
        <w:footnoteReference w:id="7"/>
      </w:r>
      <w:r w:rsidR="004E7D0B">
        <w:t xml:space="preserve">  Accordingly, under both state and federal law, the impairment analyses in AES’ possession that relate to the value of generation plants recorded on DP&amp;L’s books and for which DP&amp;L seeks cost recovery in this proceeding through the RER must be turned over t</w:t>
      </w:r>
      <w:r w:rsidR="006E2720">
        <w:t>o the Commission upon request.</w:t>
      </w:r>
    </w:p>
    <w:p w14:paraId="4D416D5B" w14:textId="77777777" w:rsidR="009A523C" w:rsidRDefault="009A523C" w:rsidP="009A523C">
      <w:pPr>
        <w:pStyle w:val="Heading2"/>
      </w:pPr>
      <w:bookmarkStart w:id="4" w:name="_Toc461450506"/>
      <w:r>
        <w:t>The market projections in the impairment analyses are not subject to any claim of privilege, and any remaining information that might have been privileged in the documents has likely been waived</w:t>
      </w:r>
      <w:bookmarkEnd w:id="4"/>
    </w:p>
    <w:p w14:paraId="620D0902" w14:textId="43899EA9" w:rsidR="00856B37" w:rsidRDefault="00C129D4" w:rsidP="001C625D">
      <w:pPr>
        <w:ind w:firstLine="720"/>
      </w:pPr>
      <w:r>
        <w:t xml:space="preserve">Finally, DP&amp;L claims </w:t>
      </w:r>
      <w:r w:rsidR="00856B37">
        <w:t xml:space="preserve">that the impairment analyses should not be ordered to be produced because they </w:t>
      </w:r>
      <w:r w:rsidR="00E8653A">
        <w:t>contain privileged information.  In support of this claim</w:t>
      </w:r>
      <w:r w:rsidR="005C0BF1">
        <w:t>,</w:t>
      </w:r>
      <w:r w:rsidR="00E8653A">
        <w:t xml:space="preserve"> DP&amp;L asserts that “the impairment analysis documents include privileged advice of counsel”</w:t>
      </w:r>
      <w:r w:rsidR="007D536D">
        <w:t xml:space="preserve"> and that “the documents contain the attorneys’ analysis of legal issues.”</w:t>
      </w:r>
      <w:r w:rsidR="007D536D">
        <w:rPr>
          <w:rStyle w:val="FootnoteReference"/>
        </w:rPr>
        <w:footnoteReference w:id="8"/>
      </w:r>
      <w:r w:rsidR="001C2027">
        <w:t xml:space="preserve">  DP&amp;L bears the burden of demonstrating that the documents contain privileged information and these two blanket assertions fall well short of an affirmative demonstration that there is privileged information in the documents.</w:t>
      </w:r>
      <w:r w:rsidR="001C2027">
        <w:rPr>
          <w:rStyle w:val="FootnoteReference"/>
        </w:rPr>
        <w:footnoteReference w:id="9"/>
      </w:r>
    </w:p>
    <w:p w14:paraId="291F8079" w14:textId="13728A05" w:rsidR="001A2DA7" w:rsidRDefault="0072041A" w:rsidP="001C625D">
      <w:pPr>
        <w:ind w:firstLine="720"/>
      </w:pPr>
      <w:r>
        <w:t>Moreover</w:t>
      </w:r>
      <w:r w:rsidR="00C129D4">
        <w:t xml:space="preserve">, </w:t>
      </w:r>
      <w:r>
        <w:t xml:space="preserve">an impairment analysis </w:t>
      </w:r>
      <w:r w:rsidR="006F1492">
        <w:t xml:space="preserve">is unrelated </w:t>
      </w:r>
      <w:r w:rsidR="00DC5602">
        <w:t xml:space="preserve">to legal advice protected by the </w:t>
      </w:r>
      <w:r w:rsidR="001A2DA7">
        <w:t>attorney</w:t>
      </w:r>
      <w:r w:rsidR="005C0BF1">
        <w:t>-</w:t>
      </w:r>
      <w:r w:rsidR="001A2DA7">
        <w:t xml:space="preserve">client </w:t>
      </w:r>
      <w:r w:rsidR="00DC5602">
        <w:t xml:space="preserve">privilege </w:t>
      </w:r>
      <w:r w:rsidR="001A2DA7">
        <w:t xml:space="preserve">or </w:t>
      </w:r>
      <w:r w:rsidR="00DC5602">
        <w:t xml:space="preserve">an attorney’s </w:t>
      </w:r>
      <w:r w:rsidR="001A2DA7">
        <w:t>work</w:t>
      </w:r>
      <w:r w:rsidR="005C0BF1">
        <w:t>-</w:t>
      </w:r>
      <w:r w:rsidR="001A2DA7">
        <w:t xml:space="preserve">product </w:t>
      </w:r>
      <w:r w:rsidR="00DC5602">
        <w:t xml:space="preserve">protected by the work-product </w:t>
      </w:r>
      <w:r w:rsidR="001A2DA7">
        <w:t xml:space="preserve">privilege.  An impairment analysis is required in the ordinary course of business pursuant to accounting rules so that investors and regulators can ensure that a company’s books accurately reflect the value of certain assets.  </w:t>
      </w:r>
      <w:r w:rsidR="00CB4ED4">
        <w:t>The analysis itself is suppose</w:t>
      </w:r>
      <w:r w:rsidR="00EE3B78">
        <w:t>d</w:t>
      </w:r>
      <w:r w:rsidR="00CB4ED4">
        <w:t xml:space="preserve"> to reflect the market value of certain assets, and in the context of the valuation of DP&amp;L’s generation plants include assumptions about future market prices </w:t>
      </w:r>
      <w:r w:rsidR="00CB4ED4">
        <w:lastRenderedPageBreak/>
        <w:t>and future revenue for each plant.  Because the impairment analyses</w:t>
      </w:r>
      <w:r w:rsidR="001A2DA7">
        <w:t xml:space="preserve"> are required in the ordinary course of business, they, by definition, cannot be attorney work</w:t>
      </w:r>
      <w:r w:rsidR="00EE3B78">
        <w:t>-</w:t>
      </w:r>
      <w:r w:rsidR="001A2DA7">
        <w:t>product prepared in anticipation of litigation.</w:t>
      </w:r>
      <w:r w:rsidR="004F3BB1">
        <w:rPr>
          <w:rStyle w:val="FootnoteReference"/>
        </w:rPr>
        <w:footnoteReference w:id="10"/>
      </w:r>
    </w:p>
    <w:p w14:paraId="38906744" w14:textId="1F395006" w:rsidR="00894F1D" w:rsidRDefault="00255628" w:rsidP="001C625D">
      <w:pPr>
        <w:ind w:firstLine="720"/>
      </w:pPr>
      <w:r>
        <w:t>Additionally</w:t>
      </w:r>
      <w:r w:rsidR="00CB4ED4">
        <w:t xml:space="preserve">, the projections of market prices and projections of market revenue for DP&amp;L’s generation plants </w:t>
      </w:r>
      <w:r w:rsidR="00EE3B78">
        <w:t xml:space="preserve">are </w:t>
      </w:r>
      <w:r w:rsidR="00CB4ED4">
        <w:t>the product of experts</w:t>
      </w:r>
      <w:r w:rsidR="00EE3B78">
        <w:t>’</w:t>
      </w:r>
      <w:r w:rsidR="00CB4ED4">
        <w:t xml:space="preserve"> analyses of the plants</w:t>
      </w:r>
      <w:r w:rsidR="00EE3B78">
        <w:t>’</w:t>
      </w:r>
      <w:r w:rsidR="00CB4ED4">
        <w:t xml:space="preserve"> operation in future market conditions.  These projections have nothing to do with legal advice.</w:t>
      </w:r>
    </w:p>
    <w:p w14:paraId="16D67638" w14:textId="1E369E7E" w:rsidR="00CB4ED4" w:rsidRDefault="00894F1D" w:rsidP="001C625D">
      <w:pPr>
        <w:ind w:firstLine="720"/>
      </w:pPr>
      <w:r>
        <w:t xml:space="preserve">Thus, the core of the impairment analysis documents </w:t>
      </w:r>
      <w:r w:rsidR="00486B4D">
        <w:t>is</w:t>
      </w:r>
      <w:r>
        <w:t xml:space="preserve"> not subject to the attorney</w:t>
      </w:r>
      <w:r w:rsidR="00EE3B78">
        <w:t>-</w:t>
      </w:r>
      <w:r>
        <w:t>client or work</w:t>
      </w:r>
      <w:r w:rsidR="00EE3B78">
        <w:t>-</w:t>
      </w:r>
      <w:r>
        <w:t xml:space="preserve">product privileges.  Whether the documents contain any recitation of other information that might fall under one of the privileges is not </w:t>
      </w:r>
      <w:r w:rsidR="00306F2D">
        <w:t>clear because DP&amp;L has failed to meet its burden of demonstrating specifically what information in the responsive documents should be treated as privilege</w:t>
      </w:r>
      <w:r w:rsidR="00EE3B78">
        <w:t>d</w:t>
      </w:r>
      <w:r w:rsidR="00306F2D">
        <w:t>.</w:t>
      </w:r>
      <w:r w:rsidR="00DC6C18">
        <w:t xml:space="preserve">  Moreover, such a conclusion would require an </w:t>
      </w:r>
      <w:r w:rsidR="00DC6C18" w:rsidRPr="00C95C4A">
        <w:rPr>
          <w:i/>
        </w:rPr>
        <w:t>in</w:t>
      </w:r>
      <w:r w:rsidR="006C18AA" w:rsidRPr="00C95C4A">
        <w:rPr>
          <w:i/>
        </w:rPr>
        <w:t xml:space="preserve"> </w:t>
      </w:r>
      <w:r w:rsidR="00DC6C18" w:rsidRPr="00C95C4A">
        <w:rPr>
          <w:i/>
        </w:rPr>
        <w:t>camera</w:t>
      </w:r>
      <w:r w:rsidR="00DC6C18">
        <w:t xml:space="preserve"> review by the Attorney Examiners.  But, to the extent that there is </w:t>
      </w:r>
      <w:r w:rsidR="00AD377A">
        <w:t xml:space="preserve">privileged </w:t>
      </w:r>
      <w:r w:rsidR="00DC6C18">
        <w:t xml:space="preserve">information in the impairment analysis documents that </w:t>
      </w:r>
      <w:r w:rsidR="00D26752">
        <w:t xml:space="preserve">does not render the entire impairment analysis documents </w:t>
      </w:r>
      <w:r w:rsidR="002A378A">
        <w:t>not subject to discovery</w:t>
      </w:r>
      <w:r w:rsidR="006C18AA">
        <w:t>, t</w:t>
      </w:r>
      <w:r w:rsidR="002A378A">
        <w:t>he appropriate course of action is to redact the privileged information.</w:t>
      </w:r>
    </w:p>
    <w:p w14:paraId="3C820601" w14:textId="204611E5" w:rsidR="008F4D15" w:rsidRDefault="00370044" w:rsidP="001C625D">
      <w:pPr>
        <w:ind w:firstLine="720"/>
      </w:pPr>
      <w:r>
        <w:t>Furthermore, to the extent the impairment analysis documents</w:t>
      </w:r>
      <w:r w:rsidR="00D43E23">
        <w:t xml:space="preserve"> contain </w:t>
      </w:r>
      <w:r w:rsidR="0049601C">
        <w:t>information that might have fallen under the attorney</w:t>
      </w:r>
      <w:r w:rsidR="00EE3B78">
        <w:t>-</w:t>
      </w:r>
      <w:r w:rsidR="0049601C">
        <w:t>client or work</w:t>
      </w:r>
      <w:r w:rsidR="00EE3B78">
        <w:t>-</w:t>
      </w:r>
      <w:r w:rsidR="0049601C">
        <w:t>product privileges, the claim of privilege</w:t>
      </w:r>
      <w:r w:rsidR="00D43E23">
        <w:t xml:space="preserve"> has likely been waived.  </w:t>
      </w:r>
      <w:r w:rsidR="00E8075B">
        <w:t>Disclosures of privileged information to third parties generally waives the claim of privilege.</w:t>
      </w:r>
      <w:r w:rsidR="0049601C">
        <w:rPr>
          <w:rStyle w:val="FootnoteReference"/>
        </w:rPr>
        <w:footnoteReference w:id="11"/>
      </w:r>
      <w:r w:rsidR="00E8075B">
        <w:t xml:space="preserve">  </w:t>
      </w:r>
      <w:r w:rsidR="00255628">
        <w:t>Disclosures between corporate affiliates can also waive the privilege.</w:t>
      </w:r>
    </w:p>
    <w:p w14:paraId="632D2F06" w14:textId="0617A37F" w:rsidR="008F4D15" w:rsidRDefault="003775DF" w:rsidP="001C625D">
      <w:pPr>
        <w:ind w:firstLine="720"/>
      </w:pPr>
      <w:r>
        <w:lastRenderedPageBreak/>
        <w:t xml:space="preserve">The United States Third Circuit Court of Appeals </w:t>
      </w:r>
      <w:r w:rsidR="00FF41D3">
        <w:t xml:space="preserve">(“Third Circuit) </w:t>
      </w:r>
      <w:r>
        <w:t xml:space="preserve">recently provided an in-depth analysis of the application </w:t>
      </w:r>
      <w:r w:rsidR="00CC2CDA">
        <w:t xml:space="preserve">of the waiver </w:t>
      </w:r>
      <w:r>
        <w:t>of t</w:t>
      </w:r>
      <w:r w:rsidR="00D0366D">
        <w:t xml:space="preserve">he attorney-client privilege </w:t>
      </w:r>
      <w:r>
        <w:t>in scenarios that involve corporate parents, subsidiaries</w:t>
      </w:r>
      <w:r w:rsidR="00D0366D">
        <w:t>, and affiliates.</w:t>
      </w:r>
      <w:r w:rsidR="00D0366D">
        <w:rPr>
          <w:rStyle w:val="FootnoteReference"/>
        </w:rPr>
        <w:footnoteReference w:id="12"/>
      </w:r>
      <w:r>
        <w:t xml:space="preserve"> </w:t>
      </w:r>
      <w:r w:rsidR="004F597A">
        <w:t>Noting the “conceptual muddle” of the application of the attorney-client privilege i</w:t>
      </w:r>
      <w:r w:rsidR="00B4315B">
        <w:t>n the context, the Third Circuit reviewed the most cited reasons by courts for not construing the sharing of information within the corporate family as waiver of the privilege</w:t>
      </w:r>
      <w:r w:rsidR="00CC2CDA">
        <w:t>; single entity, community-of-interest, and joint client</w:t>
      </w:r>
      <w:r w:rsidR="00B4315B">
        <w:t>.</w:t>
      </w:r>
      <w:r w:rsidR="00B4315B">
        <w:rPr>
          <w:rStyle w:val="FootnoteReference"/>
        </w:rPr>
        <w:footnoteReference w:id="13"/>
      </w:r>
    </w:p>
    <w:p w14:paraId="5771F124" w14:textId="29A1A0CC" w:rsidR="00B83611" w:rsidRDefault="00E4504C" w:rsidP="001C625D">
      <w:pPr>
        <w:ind w:firstLine="720"/>
      </w:pPr>
      <w:r>
        <w:t>Initially</w:t>
      </w:r>
      <w:r w:rsidR="00F31618">
        <w:t>, the Third Circuit rejected the notion that the entire corporate family should be treated as a single entity for purposes of the attorney-client privilege.</w:t>
      </w:r>
      <w:r w:rsidR="00F31618">
        <w:rPr>
          <w:rStyle w:val="FootnoteReference"/>
        </w:rPr>
        <w:footnoteReference w:id="14"/>
      </w:r>
      <w:r w:rsidR="00050759">
        <w:t xml:space="preserve">  </w:t>
      </w:r>
      <w:r w:rsidR="00B95D7D">
        <w:t>“[T]</w:t>
      </w:r>
      <w:proofErr w:type="spellStart"/>
      <w:r w:rsidR="00B95D7D">
        <w:t>reating</w:t>
      </w:r>
      <w:proofErr w:type="spellEnd"/>
      <w:r w:rsidR="00B95D7D">
        <w:t xml:space="preserve"> members of a corporate family as one client fails to respect the corporate form</w:t>
      </w:r>
      <w:r w:rsidR="004F1976">
        <w:t xml:space="preserve"> [and the] bedrock principle of corporate law </w:t>
      </w:r>
      <w:r w:rsidR="00BB486F">
        <w:t xml:space="preserve">. . . </w:t>
      </w:r>
      <w:r w:rsidR="004F1976">
        <w:t xml:space="preserve">that courts must respect entity separateness </w:t>
      </w:r>
      <w:r w:rsidR="00FF41D3">
        <w:t xml:space="preserve">unless </w:t>
      </w:r>
      <w:r w:rsidR="004F1976">
        <w:t>doing so would work inordinate inequity.”</w:t>
      </w:r>
      <w:r w:rsidR="00ED2878">
        <w:rPr>
          <w:rStyle w:val="FootnoteReference"/>
        </w:rPr>
        <w:footnoteReference w:id="15"/>
      </w:r>
      <w:r w:rsidR="00B95D7D">
        <w:t xml:space="preserve"> </w:t>
      </w:r>
      <w:r w:rsidR="008864ED">
        <w:t xml:space="preserve"> </w:t>
      </w:r>
    </w:p>
    <w:p w14:paraId="493CC480" w14:textId="3977844C" w:rsidR="004A25A0" w:rsidRPr="00DC5EAE" w:rsidRDefault="00EB7200" w:rsidP="001C625D">
      <w:pPr>
        <w:ind w:firstLine="720"/>
      </w:pPr>
      <w:r>
        <w:t xml:space="preserve">Turning to multiple client scenarios, the Third Circuit next reviewed whether the community-of-interest (or common-interest) doctrine was applicable.  </w:t>
      </w:r>
      <w:r w:rsidR="00E4504C">
        <w:t>T</w:t>
      </w:r>
      <w:r>
        <w:t>he Third Circuit noted</w:t>
      </w:r>
      <w:r w:rsidR="00E4504C">
        <w:t xml:space="preserve"> that</w:t>
      </w:r>
      <w:r>
        <w:t xml:space="preserve"> “to be eligible for continued protection, the communication must be shared with the </w:t>
      </w:r>
      <w:r w:rsidRPr="00B31F9C">
        <w:t>attorney</w:t>
      </w:r>
      <w:r>
        <w:t xml:space="preserve"> of the member of the community of interest.”</w:t>
      </w:r>
      <w:r>
        <w:rPr>
          <w:rStyle w:val="FootnoteReference"/>
        </w:rPr>
        <w:footnoteReference w:id="16"/>
      </w:r>
      <w:r>
        <w:t xml:space="preserve">  </w:t>
      </w:r>
      <w:r w:rsidR="00DF0287">
        <w:t xml:space="preserve">The community-of-interest </w:t>
      </w:r>
      <w:r w:rsidR="00C21C06">
        <w:t>doctrine</w:t>
      </w:r>
      <w:r w:rsidR="00DF0287">
        <w:t xml:space="preserve"> does not apply where the information is shared with non-attorneys.</w:t>
      </w:r>
      <w:r w:rsidR="00DF0287">
        <w:rPr>
          <w:rStyle w:val="FootnoteReference"/>
        </w:rPr>
        <w:footnoteReference w:id="17"/>
      </w:r>
      <w:r w:rsidR="00DF0287">
        <w:t xml:space="preserve">  </w:t>
      </w:r>
      <w:r w:rsidR="00B31F9C">
        <w:lastRenderedPageBreak/>
        <w:t xml:space="preserve">Additionally, </w:t>
      </w:r>
      <w:r w:rsidR="001A23AD">
        <w:t>“</w:t>
      </w:r>
      <w:r w:rsidR="00B31F9C">
        <w:t>all members of the community of interest must share a common legal interest in the shared communication.</w:t>
      </w:r>
      <w:r w:rsidR="001A23AD">
        <w:t>”</w:t>
      </w:r>
      <w:r w:rsidR="001A23AD">
        <w:rPr>
          <w:rStyle w:val="FootnoteReference"/>
        </w:rPr>
        <w:footnoteReference w:id="18"/>
      </w:r>
      <w:r w:rsidR="001A23AD">
        <w:t xml:space="preserve">  </w:t>
      </w:r>
      <w:r w:rsidR="00FB2373">
        <w:t>The community</w:t>
      </w:r>
      <w:r w:rsidR="00E8797F">
        <w:t>-</w:t>
      </w:r>
      <w:r w:rsidR="00FB2373">
        <w:t>of</w:t>
      </w:r>
      <w:r w:rsidR="00E8797F">
        <w:t>-</w:t>
      </w:r>
      <w:r w:rsidR="00FB2373">
        <w:t>interest must be affirmatively demonstrated as “it assumes too</w:t>
      </w:r>
      <w:r w:rsidR="00DC5EAE">
        <w:t xml:space="preserve"> much,” the Third Circuit found, “to think that members of a corporate family necessarily have a substantially similar </w:t>
      </w:r>
      <w:r w:rsidR="00DC5EAE" w:rsidRPr="00DD62CB">
        <w:rPr>
          <w:i/>
        </w:rPr>
        <w:t>legal</w:t>
      </w:r>
      <w:r w:rsidR="00DC5EAE">
        <w:t xml:space="preserve"> interest . . . in </w:t>
      </w:r>
      <w:r w:rsidR="00DC5EAE">
        <w:rPr>
          <w:i/>
        </w:rPr>
        <w:t>all</w:t>
      </w:r>
      <w:r w:rsidR="00DC5EAE">
        <w:t xml:space="preserve"> of each other’s communications.”</w:t>
      </w:r>
      <w:r w:rsidR="00DC5EAE">
        <w:rPr>
          <w:rStyle w:val="FootnoteReference"/>
        </w:rPr>
        <w:footnoteReference w:id="19"/>
      </w:r>
    </w:p>
    <w:p w14:paraId="3B4B34D9" w14:textId="73DA6640" w:rsidR="00EB7200" w:rsidRDefault="004A5974" w:rsidP="001C625D">
      <w:pPr>
        <w:ind w:firstLine="720"/>
      </w:pPr>
      <w:r>
        <w:t>Eliminating the single client rationale, and finding that community</w:t>
      </w:r>
      <w:r w:rsidR="00226601">
        <w:t>-</w:t>
      </w:r>
      <w:r>
        <w:t>of</w:t>
      </w:r>
      <w:r w:rsidR="00226601">
        <w:t>-</w:t>
      </w:r>
      <w:r>
        <w:t>interest situation inapplicable to most disputes, the Third Circuit concluded that “[</w:t>
      </w:r>
      <w:proofErr w:type="spellStart"/>
      <w:r>
        <w:t>i</w:t>
      </w:r>
      <w:proofErr w:type="spellEnd"/>
      <w:r>
        <w:t>]t makes most sense, then, to rest not applying the disclosure rule to many intra-group disclosures on the ground that the members of the corporate family are joint clients.”</w:t>
      </w:r>
      <w:r>
        <w:rPr>
          <w:rStyle w:val="FootnoteReference"/>
        </w:rPr>
        <w:footnoteReference w:id="20"/>
      </w:r>
      <w:r w:rsidR="002C641F">
        <w:t xml:space="preserve">  Under the joint client exception, privilege is not waived where separate clients share a common legal interest and are represented by a common attorney.</w:t>
      </w:r>
      <w:r w:rsidR="002C641F">
        <w:rPr>
          <w:rStyle w:val="FootnoteReference"/>
        </w:rPr>
        <w:footnoteReference w:id="21"/>
      </w:r>
    </w:p>
    <w:p w14:paraId="4F373436" w14:textId="2F75F1A3" w:rsidR="00C36EF5" w:rsidRDefault="00AA3F34" w:rsidP="001C625D">
      <w:pPr>
        <w:ind w:firstLine="720"/>
      </w:pPr>
      <w:r>
        <w:t xml:space="preserve">The </w:t>
      </w:r>
      <w:r w:rsidR="000D43E0">
        <w:t xml:space="preserve">Ohio </w:t>
      </w:r>
      <w:r>
        <w:t>Eighth and Tenth District Courts of Appeals</w:t>
      </w:r>
      <w:r w:rsidR="00372D70">
        <w:t xml:space="preserve"> have both adopted the rationale set forth in </w:t>
      </w:r>
      <w:r w:rsidR="00372D70">
        <w:rPr>
          <w:i/>
        </w:rPr>
        <w:t>Teleglobe</w:t>
      </w:r>
      <w:r w:rsidR="00893204">
        <w:t>,</w:t>
      </w:r>
      <w:r w:rsidR="00372D70" w:rsidRPr="00705773">
        <w:rPr>
          <w:rStyle w:val="FootnoteReference"/>
        </w:rPr>
        <w:footnoteReference w:id="22"/>
      </w:r>
      <w:r w:rsidR="00705773">
        <w:t xml:space="preserve"> </w:t>
      </w:r>
      <w:r w:rsidR="00893204">
        <w:t>with t</w:t>
      </w:r>
      <w:r w:rsidR="00C36EF5">
        <w:t xml:space="preserve">he Tenth District Court of Appeals </w:t>
      </w:r>
      <w:r w:rsidR="00226601">
        <w:t xml:space="preserve">(“Tenth District”) </w:t>
      </w:r>
      <w:r w:rsidR="00893204">
        <w:t>noting</w:t>
      </w:r>
      <w:r w:rsidR="00C36EF5">
        <w:t xml:space="preserve"> that there is no material difference between Ohio’s attorney-client privilege and the federal attorney-client privilege.</w:t>
      </w:r>
      <w:r w:rsidR="00C36EF5">
        <w:rPr>
          <w:rStyle w:val="FootnoteReference"/>
        </w:rPr>
        <w:footnoteReference w:id="23"/>
      </w:r>
    </w:p>
    <w:p w14:paraId="13DACB1E" w14:textId="316624A7" w:rsidR="00C41382" w:rsidRPr="00705773" w:rsidRDefault="002A351A" w:rsidP="001C625D">
      <w:pPr>
        <w:ind w:firstLine="720"/>
      </w:pPr>
      <w:r>
        <w:t>Penning the decision for the Tenth District</w:t>
      </w:r>
      <w:r w:rsidR="00A57023">
        <w:t xml:space="preserve"> in </w:t>
      </w:r>
      <w:r w:rsidR="00A57023">
        <w:rPr>
          <w:i/>
        </w:rPr>
        <w:t>MA Equipment Leasing I LLC v. Tilton</w:t>
      </w:r>
      <w:r>
        <w:t xml:space="preserve">, now </w:t>
      </w:r>
      <w:r w:rsidR="00394CD0">
        <w:t>Ohio Supreme</w:t>
      </w:r>
      <w:r>
        <w:t xml:space="preserve"> Court Justice French </w:t>
      </w:r>
      <w:r w:rsidR="005D3C79">
        <w:t xml:space="preserve">noted that </w:t>
      </w:r>
      <w:r w:rsidR="00394CD0">
        <w:t xml:space="preserve">separate corporate entities </w:t>
      </w:r>
      <w:r w:rsidR="00394CD0">
        <w:lastRenderedPageBreak/>
        <w:t>within the corporate family “do not constitute a single client” for purposes of the attorney-client privilege.</w:t>
      </w:r>
      <w:r w:rsidR="00394CD0">
        <w:rPr>
          <w:rStyle w:val="FootnoteReference"/>
        </w:rPr>
        <w:footnoteReference w:id="24"/>
      </w:r>
      <w:r w:rsidR="00394CD0">
        <w:t xml:space="preserve">  </w:t>
      </w:r>
      <w:r w:rsidR="004A6DDC">
        <w:t xml:space="preserve">However, the Tenth District concluded that waiver of </w:t>
      </w:r>
      <w:r w:rsidR="00F973E1">
        <w:t>the privilege would not apply if the companies could demonstrate a joint-client relationship existed.</w:t>
      </w:r>
      <w:r w:rsidR="00F973E1">
        <w:rPr>
          <w:rStyle w:val="FootnoteReference"/>
        </w:rPr>
        <w:footnoteReference w:id="25"/>
      </w:r>
    </w:p>
    <w:p w14:paraId="4BAF0D06" w14:textId="4B820541" w:rsidR="007E77C0" w:rsidRDefault="00373AF0" w:rsidP="001C625D">
      <w:pPr>
        <w:ind w:firstLine="720"/>
      </w:pPr>
      <w:r>
        <w:t>T</w:t>
      </w:r>
      <w:r w:rsidR="00DF6933">
        <w:t xml:space="preserve">he Tenth District </w:t>
      </w:r>
      <w:r>
        <w:t xml:space="preserve">then reviewed whether </w:t>
      </w:r>
      <w:r w:rsidR="00DF6933">
        <w:t xml:space="preserve">appellants </w:t>
      </w:r>
      <w:r>
        <w:t>had</w:t>
      </w:r>
      <w:r w:rsidR="00DF6933">
        <w:t xml:space="preserve"> demonstrate</w:t>
      </w:r>
      <w:r w:rsidR="00F5582B">
        <w:t>d</w:t>
      </w:r>
      <w:r w:rsidR="00DF6933">
        <w:t xml:space="preserve"> that both corporate entities were represented by the same counsel and that they had a common legal interest.</w:t>
      </w:r>
      <w:r w:rsidR="00DF6933">
        <w:rPr>
          <w:rStyle w:val="FootnoteReference"/>
        </w:rPr>
        <w:footnoteReference w:id="26"/>
      </w:r>
      <w:r w:rsidR="00DF6933">
        <w:t xml:space="preserve">  </w:t>
      </w:r>
      <w:r w:rsidR="00456D3E">
        <w:t>Applying the</w:t>
      </w:r>
      <w:r w:rsidR="000D43E0">
        <w:t xml:space="preserve"> law to the</w:t>
      </w:r>
      <w:r w:rsidR="00456D3E">
        <w:t xml:space="preserve"> facts, the Tenth District determined that the appellants had failed to demonstrate that its attorney was also engaged as an attorney for the subsidiary company.</w:t>
      </w:r>
      <w:r w:rsidR="001A09C7">
        <w:rPr>
          <w:rStyle w:val="FootnoteReference"/>
        </w:rPr>
        <w:footnoteReference w:id="27"/>
      </w:r>
      <w:r w:rsidR="00456D3E">
        <w:t xml:space="preserve">  The Tenth District also upheld the trial court’s determination that </w:t>
      </w:r>
      <w:r w:rsidR="00BE4030">
        <w:t>“corporate affiliation does not, as a matter of law, e</w:t>
      </w:r>
      <w:r w:rsidR="00A76EC7">
        <w:t>stablish either a community of interest or that the affiliates have a substantially similar legal interest.”</w:t>
      </w:r>
      <w:r w:rsidR="00A76EC7">
        <w:rPr>
          <w:rStyle w:val="FootnoteReference"/>
        </w:rPr>
        <w:footnoteReference w:id="28"/>
      </w:r>
      <w:r w:rsidR="00456D3E">
        <w:t xml:space="preserve"> </w:t>
      </w:r>
      <w:r w:rsidR="00DF6933">
        <w:t xml:space="preserve"> </w:t>
      </w:r>
      <w:r>
        <w:t>Finally, the</w:t>
      </w:r>
      <w:r w:rsidR="007E77C0">
        <w:t xml:space="preserve"> Tenth District rejected </w:t>
      </w:r>
      <w:r w:rsidR="00273602">
        <w:t>appellant’s</w:t>
      </w:r>
      <w:r w:rsidR="007E77C0">
        <w:t xml:space="preserve"> argument that the trial court’s ruling would limit </w:t>
      </w:r>
      <w:r w:rsidR="00705AF8">
        <w:t>“</w:t>
      </w:r>
      <w:r w:rsidR="007E77C0">
        <w:t>the ability of corporate parents to engage in privileged communications with outside counsel for a subsidiary.</w:t>
      </w:r>
      <w:r>
        <w:t>”</w:t>
      </w:r>
      <w:r w:rsidR="007E77C0">
        <w:rPr>
          <w:rStyle w:val="FootnoteReference"/>
        </w:rPr>
        <w:footnoteReference w:id="29"/>
      </w:r>
      <w:r w:rsidR="007E77C0">
        <w:t xml:space="preserve">  </w:t>
      </w:r>
      <w:r w:rsidR="000D43E0">
        <w:t>The court found that the argument was circular and blurred the distinction between single-client, joint-client, and community-of-interest rationales.</w:t>
      </w:r>
      <w:r w:rsidR="000D43E0">
        <w:rPr>
          <w:rStyle w:val="FootnoteReference"/>
        </w:rPr>
        <w:footnoteReference w:id="30"/>
      </w:r>
    </w:p>
    <w:p w14:paraId="771C5257" w14:textId="77777777" w:rsidR="005A0FAB" w:rsidRDefault="005A0FAB">
      <w:pPr>
        <w:spacing w:line="240" w:lineRule="auto"/>
      </w:pPr>
      <w:r>
        <w:br w:type="page"/>
      </w:r>
    </w:p>
    <w:p w14:paraId="304A8D4C" w14:textId="712C8067" w:rsidR="00765999" w:rsidRDefault="008A7061" w:rsidP="001C625D">
      <w:pPr>
        <w:ind w:firstLine="720"/>
      </w:pPr>
      <w:r>
        <w:lastRenderedPageBreak/>
        <w:t xml:space="preserve">Turning to </w:t>
      </w:r>
      <w:r w:rsidR="00F5582B">
        <w:t xml:space="preserve">the </w:t>
      </w:r>
      <w:r>
        <w:t xml:space="preserve">facts in this proceeding, it is apparent that the community-of-interest doctrine is inapplicable.  </w:t>
      </w:r>
      <w:r w:rsidR="003925D2">
        <w:t>DP&amp;L claims</w:t>
      </w:r>
      <w:r w:rsidR="00F91BD2">
        <w:t xml:space="preserve"> in </w:t>
      </w:r>
      <w:r w:rsidR="005A0FAB">
        <w:t>its</w:t>
      </w:r>
      <w:r w:rsidR="00F91BD2">
        <w:t xml:space="preserve"> Memo Contra</w:t>
      </w:r>
      <w:r w:rsidR="003925D2">
        <w:t xml:space="preserve"> that the privileged information relates to its attorney’s legal advice and mental impressions.</w:t>
      </w:r>
      <w:r w:rsidR="00F91BD2">
        <w:rPr>
          <w:rStyle w:val="FootnoteReference"/>
        </w:rPr>
        <w:footnoteReference w:id="31"/>
      </w:r>
      <w:r w:rsidR="003925D2">
        <w:t xml:space="preserve">  </w:t>
      </w:r>
      <w:r w:rsidR="00B0119E">
        <w:t>T</w:t>
      </w:r>
      <w:r w:rsidR="003925D2">
        <w:t xml:space="preserve">his purported legal advice and the mental impressions were </w:t>
      </w:r>
      <w:r w:rsidR="00B0119E">
        <w:t xml:space="preserve">then </w:t>
      </w:r>
      <w:r w:rsidR="003925D2">
        <w:t>provided t</w:t>
      </w:r>
      <w:r w:rsidR="00B0119E">
        <w:t xml:space="preserve">o employees engaged in accounting activities that relied on the impairment analysis documents to prepare and file the SEC Form 10-Q </w:t>
      </w:r>
      <w:r w:rsidR="00602F93">
        <w:t>in which</w:t>
      </w:r>
      <w:r w:rsidR="00B0119E">
        <w:t xml:space="preserve"> DP&amp;L</w:t>
      </w:r>
      <w:r w:rsidR="00897226">
        <w:t xml:space="preserve"> acknowledged the impairments.</w:t>
      </w:r>
      <w:r w:rsidR="00D23D78">
        <w:t xml:space="preserve">  </w:t>
      </w:r>
      <w:r w:rsidR="00897226">
        <w:t>Because the purported privileged information was shared with non-attorneys</w:t>
      </w:r>
      <w:r w:rsidR="00F5582B">
        <w:t>,</w:t>
      </w:r>
      <w:r w:rsidR="00897226">
        <w:t xml:space="preserve"> the community-of-interest doctrine is inapplicable.</w:t>
      </w:r>
    </w:p>
    <w:p w14:paraId="371B6D3C" w14:textId="2B782771" w:rsidR="006D25AE" w:rsidRDefault="00897226" w:rsidP="001C625D">
      <w:pPr>
        <w:ind w:firstLine="720"/>
      </w:pPr>
      <w:r>
        <w:t xml:space="preserve">There is also no demonstration in DP&amp;L’s Memo Contra that its attorneys </w:t>
      </w:r>
      <w:r w:rsidR="007168F9">
        <w:t>(that</w:t>
      </w:r>
      <w:r>
        <w:t xml:space="preserve"> provided the purported privileged information contained in the impairment analyses</w:t>
      </w:r>
      <w:r w:rsidR="007168F9">
        <w:t>)</w:t>
      </w:r>
      <w:r>
        <w:t xml:space="preserve"> are also engaged as attorneys for each of the corporate entities that have seen the purported privileged information.  </w:t>
      </w:r>
      <w:r w:rsidR="000F6955">
        <w:t>DP&amp;L also acknowledges in its Memo Contra that its attorneys</w:t>
      </w:r>
      <w:r w:rsidR="00F13A54">
        <w:t>’</w:t>
      </w:r>
      <w:r w:rsidR="000F6955">
        <w:t xml:space="preserve"> purported privileged information is contained in the impairment analysis documents that reside in AES’ possession.</w:t>
      </w:r>
      <w:r w:rsidR="000F6955">
        <w:rPr>
          <w:rStyle w:val="FootnoteReference"/>
        </w:rPr>
        <w:footnoteReference w:id="32"/>
      </w:r>
      <w:r w:rsidR="000F6955">
        <w:t xml:space="preserve">  Because the information DP&amp;L purports is privileged has been provided to another party, </w:t>
      </w:r>
      <w:r w:rsidR="000F6955">
        <w:rPr>
          <w:i/>
        </w:rPr>
        <w:t>i.e.</w:t>
      </w:r>
      <w:r w:rsidR="000F6955">
        <w:t xml:space="preserve"> AES, </w:t>
      </w:r>
      <w:r>
        <w:t xml:space="preserve">at the very least DP&amp;L must demonstrate that its attorneys have also been engaged by AES </w:t>
      </w:r>
      <w:r w:rsidR="00F91BD2">
        <w:t xml:space="preserve">in the same matter.  </w:t>
      </w:r>
    </w:p>
    <w:p w14:paraId="03CF939F" w14:textId="67ED05F2" w:rsidR="0017570E" w:rsidRDefault="0017570E" w:rsidP="0017570E">
      <w:pPr>
        <w:ind w:firstLine="720"/>
      </w:pPr>
      <w:r>
        <w:t>Accordingly, the information contained in the impairment analysis documents is either not the type of information covered by the attorney</w:t>
      </w:r>
      <w:r w:rsidR="00AD6956">
        <w:t>-</w:t>
      </w:r>
      <w:r>
        <w:t>client or work</w:t>
      </w:r>
      <w:r w:rsidR="00AD6956">
        <w:t>-</w:t>
      </w:r>
      <w:r>
        <w:t>product privileges, or, if it had been subject to such a privilege has likely been waived by DP&amp;L</w:t>
      </w:r>
      <w:r w:rsidR="00A23691">
        <w:t>’s</w:t>
      </w:r>
      <w:r>
        <w:t xml:space="preserve"> voluntary disclosure of the privileged information to another party.</w:t>
      </w:r>
    </w:p>
    <w:p w14:paraId="4D5EDAE8" w14:textId="77777777" w:rsidR="0017570E" w:rsidRDefault="0017570E" w:rsidP="0017570E">
      <w:pPr>
        <w:pStyle w:val="Heading1"/>
      </w:pPr>
      <w:bookmarkStart w:id="5" w:name="_Toc461450507"/>
      <w:r>
        <w:lastRenderedPageBreak/>
        <w:t>conclusion</w:t>
      </w:r>
      <w:bookmarkEnd w:id="5"/>
    </w:p>
    <w:p w14:paraId="4B00CD33" w14:textId="49B71A9F" w:rsidR="00467F5A" w:rsidRDefault="006011FC" w:rsidP="0017570E">
      <w:pPr>
        <w:ind w:firstLine="720"/>
      </w:pPr>
      <w:r>
        <w:t>As discussed above, the documents IEU-Ohio seeks in INT 4-19 and RPD 4-1 are within DP&amp;L’s possession, custody, or control.  The information is relevant and reasonably calculated to lead to the discovery of relevant information and there is no justifiable basis for prohibiting the discovery of the information.  Accordingly, the Commission should grant IEU-Ohio’s Motion to Compel.</w:t>
      </w:r>
    </w:p>
    <w:p w14:paraId="78CCEBF9" w14:textId="77777777" w:rsidR="00331505" w:rsidRDefault="00331505" w:rsidP="00331505">
      <w:pPr>
        <w:tabs>
          <w:tab w:val="left" w:pos="4320"/>
          <w:tab w:val="right" w:pos="8640"/>
        </w:tabs>
        <w:spacing w:line="240" w:lineRule="auto"/>
        <w:ind w:left="4140"/>
        <w:rPr>
          <w:rFonts w:eastAsia="Times New Roman" w:cs="Arial"/>
        </w:rPr>
      </w:pPr>
      <w:r>
        <w:rPr>
          <w:rFonts w:eastAsia="Times New Roman" w:cs="Arial"/>
        </w:rPr>
        <w:t>Respectfully submitted,</w:t>
      </w:r>
      <w:r w:rsidDel="00B74E43">
        <w:rPr>
          <w:rFonts w:eastAsia="Times New Roman" w:cs="Arial"/>
        </w:rPr>
        <w:t xml:space="preserve"> </w:t>
      </w:r>
    </w:p>
    <w:p w14:paraId="6885B67A" w14:textId="77777777" w:rsidR="00331505" w:rsidRDefault="00331505" w:rsidP="00331505">
      <w:pPr>
        <w:tabs>
          <w:tab w:val="left" w:pos="4320"/>
          <w:tab w:val="right" w:pos="8640"/>
        </w:tabs>
        <w:spacing w:line="240" w:lineRule="auto"/>
        <w:ind w:left="4140"/>
        <w:rPr>
          <w:rFonts w:eastAsia="Times New Roman" w:cs="Arial"/>
          <w:i/>
          <w:u w:val="single"/>
        </w:rPr>
      </w:pPr>
    </w:p>
    <w:p w14:paraId="6CB64C72" w14:textId="77777777" w:rsidR="00331505" w:rsidRPr="00935789" w:rsidRDefault="00331505" w:rsidP="00331505">
      <w:pPr>
        <w:tabs>
          <w:tab w:val="right" w:pos="8640"/>
        </w:tabs>
        <w:spacing w:line="240" w:lineRule="auto"/>
        <w:ind w:left="4140"/>
        <w:rPr>
          <w:rFonts w:eastAsia="Times New Roman" w:cs="Arial"/>
          <w:i/>
          <w:u w:val="single"/>
        </w:rPr>
      </w:pPr>
      <w:r w:rsidRPr="00935789">
        <w:rPr>
          <w:rFonts w:eastAsia="Times New Roman" w:cs="Arial"/>
          <w:i/>
          <w:u w:val="single"/>
        </w:rPr>
        <w:t xml:space="preserve">/s/ </w:t>
      </w:r>
      <w:r>
        <w:rPr>
          <w:rFonts w:eastAsia="Times New Roman" w:cs="Arial"/>
          <w:i/>
          <w:u w:val="single"/>
        </w:rPr>
        <w:t>Matthew R. Pritchard</w:t>
      </w:r>
      <w:r w:rsidRPr="00935789">
        <w:rPr>
          <w:rFonts w:eastAsia="Times New Roman" w:cs="Arial"/>
          <w:i/>
          <w:u w:val="single"/>
        </w:rPr>
        <w:tab/>
      </w:r>
    </w:p>
    <w:p w14:paraId="289FA15C" w14:textId="77777777" w:rsidR="00331505" w:rsidRDefault="00331505" w:rsidP="00331505">
      <w:pPr>
        <w:widowControl w:val="0"/>
        <w:spacing w:line="240" w:lineRule="auto"/>
        <w:ind w:left="4140"/>
        <w:rPr>
          <w:rFonts w:eastAsia="Calibri" w:cs="Arial"/>
          <w:bCs/>
        </w:rPr>
      </w:pPr>
      <w:r>
        <w:rPr>
          <w:rFonts w:eastAsia="Calibri" w:cs="Arial"/>
          <w:bCs/>
        </w:rPr>
        <w:t>Frank P. Darr (Reg. No. 0025469)</w:t>
      </w:r>
    </w:p>
    <w:p w14:paraId="0EFE084A" w14:textId="77777777" w:rsidR="00331505" w:rsidRDefault="00331505" w:rsidP="00331505">
      <w:pPr>
        <w:widowControl w:val="0"/>
        <w:spacing w:line="240" w:lineRule="auto"/>
        <w:ind w:left="4140"/>
        <w:rPr>
          <w:rFonts w:eastAsia="Calibri" w:cs="Arial"/>
          <w:bCs/>
        </w:rPr>
      </w:pPr>
      <w:r>
        <w:rPr>
          <w:rFonts w:eastAsia="Calibri" w:cs="Arial"/>
          <w:bCs/>
        </w:rPr>
        <w:t>Counsel of Record</w:t>
      </w:r>
    </w:p>
    <w:p w14:paraId="4290A565" w14:textId="77777777" w:rsidR="00331505" w:rsidRDefault="00331505" w:rsidP="00331505">
      <w:pPr>
        <w:widowControl w:val="0"/>
        <w:spacing w:line="240" w:lineRule="auto"/>
        <w:ind w:left="4140"/>
        <w:rPr>
          <w:rFonts w:eastAsia="Calibri" w:cs="Arial"/>
          <w:b/>
          <w:bCs/>
        </w:rPr>
      </w:pPr>
      <w:r>
        <w:rPr>
          <w:rFonts w:eastAsia="Calibri" w:cs="Arial"/>
          <w:bCs/>
        </w:rPr>
        <w:t>Matthew R. Pritchard (Reg. No. 0088070)</w:t>
      </w:r>
    </w:p>
    <w:p w14:paraId="4225FB78" w14:textId="77777777" w:rsidR="00331505" w:rsidRDefault="00331505" w:rsidP="00331505">
      <w:pPr>
        <w:widowControl w:val="0"/>
        <w:tabs>
          <w:tab w:val="left" w:pos="4320"/>
        </w:tabs>
        <w:spacing w:line="240" w:lineRule="auto"/>
        <w:ind w:left="4140"/>
        <w:rPr>
          <w:rFonts w:eastAsia="Times New Roman" w:cs="Arial"/>
          <w:bCs/>
          <w:smallCaps/>
        </w:rPr>
      </w:pPr>
      <w:r>
        <w:rPr>
          <w:rFonts w:eastAsia="Times New Roman" w:cs="Arial"/>
          <w:bCs/>
          <w:smallCaps/>
        </w:rPr>
        <w:t>McNees Wallace &amp; Nurick LLC</w:t>
      </w:r>
    </w:p>
    <w:p w14:paraId="462CF406" w14:textId="77777777" w:rsidR="00331505" w:rsidRDefault="00331505" w:rsidP="00331505">
      <w:pPr>
        <w:widowControl w:val="0"/>
        <w:tabs>
          <w:tab w:val="left" w:pos="4320"/>
        </w:tabs>
        <w:spacing w:line="240" w:lineRule="auto"/>
        <w:ind w:left="4140"/>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14:paraId="459A6452" w14:textId="77777777" w:rsidR="00331505" w:rsidRDefault="00331505" w:rsidP="00331505">
      <w:pPr>
        <w:tabs>
          <w:tab w:val="left" w:pos="4320"/>
        </w:tabs>
        <w:spacing w:line="240" w:lineRule="auto"/>
        <w:ind w:left="4140"/>
        <w:rPr>
          <w:rFonts w:eastAsia="Times New Roman" w:cs="Arial"/>
        </w:rPr>
      </w:pPr>
      <w:r>
        <w:rPr>
          <w:rFonts w:eastAsia="Times New Roman" w:cs="Arial"/>
        </w:rPr>
        <w:t>Columbus, OH  43215</w:t>
      </w:r>
    </w:p>
    <w:p w14:paraId="4F0764F8" w14:textId="77777777" w:rsidR="00331505" w:rsidRDefault="00331505" w:rsidP="00331505">
      <w:pPr>
        <w:tabs>
          <w:tab w:val="left" w:pos="4320"/>
        </w:tabs>
        <w:spacing w:line="240" w:lineRule="auto"/>
        <w:ind w:left="4140"/>
        <w:rPr>
          <w:rFonts w:eastAsia="Times New Roman" w:cs="Arial"/>
        </w:rPr>
      </w:pPr>
      <w:r>
        <w:rPr>
          <w:rFonts w:eastAsia="Times New Roman" w:cs="Arial"/>
        </w:rPr>
        <w:t>Telephone</w:t>
      </w:r>
      <w:proofErr w:type="gramStart"/>
      <w:r>
        <w:rPr>
          <w:rFonts w:eastAsia="Times New Roman" w:cs="Arial"/>
        </w:rPr>
        <w:t>:  (</w:t>
      </w:r>
      <w:proofErr w:type="gramEnd"/>
      <w:r>
        <w:rPr>
          <w:rFonts w:eastAsia="Times New Roman" w:cs="Arial"/>
        </w:rPr>
        <w:t>614) 469-8000</w:t>
      </w:r>
    </w:p>
    <w:p w14:paraId="69B96D5C" w14:textId="77777777" w:rsidR="00331505" w:rsidRDefault="00331505" w:rsidP="00331505">
      <w:pPr>
        <w:tabs>
          <w:tab w:val="left" w:pos="4320"/>
        </w:tabs>
        <w:spacing w:line="240" w:lineRule="auto"/>
        <w:ind w:left="4140"/>
        <w:rPr>
          <w:rFonts w:eastAsia="Times New Roman" w:cs="Arial"/>
        </w:rPr>
      </w:pPr>
      <w:proofErr w:type="spellStart"/>
      <w:r>
        <w:rPr>
          <w:rFonts w:eastAsia="Times New Roman" w:cs="Arial"/>
        </w:rPr>
        <w:t>Telecopier</w:t>
      </w:r>
      <w:proofErr w:type="spellEnd"/>
      <w:proofErr w:type="gramStart"/>
      <w:r>
        <w:rPr>
          <w:rFonts w:eastAsia="Times New Roman" w:cs="Arial"/>
        </w:rPr>
        <w:t>:  (</w:t>
      </w:r>
      <w:proofErr w:type="gramEnd"/>
      <w:r>
        <w:rPr>
          <w:rFonts w:eastAsia="Times New Roman" w:cs="Arial"/>
        </w:rPr>
        <w:t>614) 469-4653</w:t>
      </w:r>
    </w:p>
    <w:p w14:paraId="09A55883" w14:textId="77777777" w:rsidR="00331505" w:rsidRDefault="00331505" w:rsidP="00331505">
      <w:pPr>
        <w:spacing w:line="240" w:lineRule="auto"/>
        <w:ind w:left="4140"/>
        <w:rPr>
          <w:rFonts w:eastAsia="Times New Roman" w:cs="Arial"/>
        </w:rPr>
      </w:pPr>
      <w:r>
        <w:rPr>
          <w:rFonts w:eastAsia="Times New Roman" w:cs="Arial"/>
        </w:rPr>
        <w:t>fdarr@mwncmh.com</w:t>
      </w:r>
    </w:p>
    <w:p w14:paraId="27415742" w14:textId="77777777" w:rsidR="00331505" w:rsidRDefault="00331505" w:rsidP="00331505">
      <w:pPr>
        <w:spacing w:line="240" w:lineRule="auto"/>
        <w:ind w:left="4140"/>
        <w:rPr>
          <w:rFonts w:eastAsia="Times New Roman" w:cs="Arial"/>
        </w:rPr>
      </w:pPr>
      <w:r>
        <w:rPr>
          <w:rFonts w:eastAsia="Times New Roman" w:cs="Arial"/>
        </w:rPr>
        <w:t>mpritchard@mwncmh.com</w:t>
      </w:r>
    </w:p>
    <w:p w14:paraId="10BD4543" w14:textId="77777777" w:rsidR="00331505" w:rsidRDefault="00331505" w:rsidP="00331505">
      <w:pPr>
        <w:spacing w:line="240" w:lineRule="auto"/>
        <w:ind w:left="4140"/>
        <w:rPr>
          <w:rFonts w:eastAsia="Times New Roman" w:cs="Arial"/>
        </w:rPr>
      </w:pPr>
    </w:p>
    <w:p w14:paraId="4816DD5A" w14:textId="77777777" w:rsidR="00331505" w:rsidRDefault="00331505" w:rsidP="00331505">
      <w:pPr>
        <w:spacing w:line="240" w:lineRule="auto"/>
        <w:ind w:left="4140"/>
        <w:rPr>
          <w:rFonts w:ascii="Arial Bold" w:eastAsia="Times New Roman" w:hAnsi="Arial Bold" w:cs="Arial"/>
          <w:b/>
          <w:smallCaps/>
        </w:rPr>
      </w:pPr>
      <w:r w:rsidRPr="00E418F7">
        <w:rPr>
          <w:rFonts w:ascii="Arial Bold" w:eastAsia="Times New Roman" w:hAnsi="Arial Bold" w:cs="Arial"/>
          <w:b/>
          <w:bCs/>
          <w:smallCaps/>
        </w:rPr>
        <w:t>Attorneys for</w:t>
      </w:r>
      <w:r w:rsidRPr="00E418F7">
        <w:rPr>
          <w:rFonts w:ascii="Arial Bold" w:eastAsia="Times New Roman" w:hAnsi="Arial Bold" w:cs="Arial"/>
          <w:smallCaps/>
        </w:rPr>
        <w:t xml:space="preserve"> </w:t>
      </w:r>
      <w:r w:rsidRPr="00E418F7">
        <w:rPr>
          <w:rFonts w:ascii="Arial Bold" w:eastAsia="Times New Roman" w:hAnsi="Arial Bold" w:cs="Arial"/>
          <w:b/>
          <w:smallCaps/>
        </w:rPr>
        <w:t>Industrial Energy Users-Ohio</w:t>
      </w:r>
    </w:p>
    <w:p w14:paraId="2DE182D8" w14:textId="77777777" w:rsidR="0064608B" w:rsidRDefault="0064608B" w:rsidP="00331505">
      <w:pPr>
        <w:spacing w:line="240" w:lineRule="auto"/>
        <w:rPr>
          <w:highlight w:val="yellow"/>
        </w:rPr>
        <w:sectPr w:rsidR="0064608B" w:rsidSect="00D65E5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3AB87AC3" w14:textId="6780738F" w:rsidR="00331505" w:rsidRDefault="00331505" w:rsidP="0064608B">
      <w:pPr>
        <w:spacing w:line="240" w:lineRule="auto"/>
        <w:ind w:right="630"/>
        <w:jc w:val="right"/>
        <w:rPr>
          <w:b/>
        </w:rPr>
      </w:pPr>
      <w:r w:rsidRPr="00867E8A">
        <w:rPr>
          <w:b/>
        </w:rPr>
        <w:lastRenderedPageBreak/>
        <w:t>Attachment A</w:t>
      </w:r>
    </w:p>
    <w:p w14:paraId="0E111A0E" w14:textId="0002884D" w:rsidR="0064608B" w:rsidRDefault="00983D8D" w:rsidP="00983D8D">
      <w:pPr>
        <w:spacing w:line="240" w:lineRule="auto"/>
        <w:jc w:val="center"/>
        <w:rPr>
          <w:b/>
        </w:rPr>
      </w:pPr>
      <w:r w:rsidRPr="00983D8D">
        <w:rPr>
          <w:b/>
          <w:noProof/>
        </w:rPr>
        <w:drawing>
          <wp:inline distT="0" distB="0" distL="0" distR="0" wp14:anchorId="0BAC91DE" wp14:editId="38147B8F">
            <wp:extent cx="6565512" cy="8440286"/>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78668" cy="8457199"/>
                    </a:xfrm>
                    <a:prstGeom prst="rect">
                      <a:avLst/>
                    </a:prstGeom>
                    <a:noFill/>
                    <a:ln>
                      <a:noFill/>
                    </a:ln>
                  </pic:spPr>
                </pic:pic>
              </a:graphicData>
            </a:graphic>
          </wp:inline>
        </w:drawing>
      </w:r>
    </w:p>
    <w:p w14:paraId="524A5505" w14:textId="2D74CC2A" w:rsidR="00331505" w:rsidRDefault="00331505" w:rsidP="0017570E">
      <w:pPr>
        <w:ind w:firstLine="720"/>
        <w:sectPr w:rsidR="00331505" w:rsidSect="00E96D43">
          <w:pgSz w:w="12240" w:h="15840" w:code="1"/>
          <w:pgMar w:top="720" w:right="720" w:bottom="720" w:left="720" w:header="720" w:footer="720" w:gutter="0"/>
          <w:pgNumType w:start="1"/>
          <w:cols w:space="720"/>
          <w:titlePg/>
          <w:docGrid w:linePitch="360"/>
        </w:sectPr>
      </w:pPr>
    </w:p>
    <w:p w14:paraId="628240CF" w14:textId="77777777" w:rsidR="005D2A70" w:rsidRDefault="006663B0" w:rsidP="00331505">
      <w:pPr>
        <w:tabs>
          <w:tab w:val="left" w:pos="2160"/>
          <w:tab w:val="left" w:pos="2280"/>
        </w:tabs>
        <w:jc w:val="center"/>
        <w:rPr>
          <w:rFonts w:ascii="Arial Bold" w:hAnsi="Arial Bold" w:cs="Arial"/>
          <w:b/>
          <w:smallCaps/>
          <w:sz w:val="28"/>
          <w:u w:val="single"/>
        </w:rPr>
        <w:sectPr w:rsidR="005D2A70" w:rsidSect="00331505">
          <w:headerReference w:type="even" r:id="rId27"/>
          <w:headerReference w:type="default" r:id="rId28"/>
          <w:footerReference w:type="even" r:id="rId29"/>
          <w:footerReference w:type="default" r:id="rId30"/>
          <w:headerReference w:type="first" r:id="rId31"/>
          <w:footerReference w:type="first" r:id="rId32"/>
          <w:pgSz w:w="12240" w:h="15840" w:code="1"/>
          <w:pgMar w:top="1296" w:right="1440" w:bottom="1440" w:left="1440" w:header="720" w:footer="720" w:gutter="0"/>
          <w:cols w:space="720"/>
          <w:titlePg/>
          <w:docGrid w:linePitch="360"/>
        </w:sectPr>
      </w:pPr>
      <w:r w:rsidRPr="006663B0">
        <w:rPr>
          <w:rFonts w:ascii="Arial Bold" w:hAnsi="Arial Bold" w:cs="Arial"/>
          <w:b/>
          <w:smallCaps/>
          <w:noProof/>
          <w:sz w:val="28"/>
          <w:u w:val="single"/>
        </w:rPr>
        <w:lastRenderedPageBreak/>
        <w:drawing>
          <wp:inline distT="0" distB="0" distL="0" distR="0" wp14:anchorId="51C5299C" wp14:editId="102EB6EE">
            <wp:extent cx="6349422" cy="84656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2017" cy="8469112"/>
                    </a:xfrm>
                    <a:prstGeom prst="rect">
                      <a:avLst/>
                    </a:prstGeom>
                    <a:noFill/>
                    <a:ln>
                      <a:noFill/>
                    </a:ln>
                  </pic:spPr>
                </pic:pic>
              </a:graphicData>
            </a:graphic>
          </wp:inline>
        </w:drawing>
      </w:r>
    </w:p>
    <w:p w14:paraId="29D4C2B0" w14:textId="31B53FF5" w:rsidR="006663B0" w:rsidRDefault="00B121DF" w:rsidP="006663B0">
      <w:pPr>
        <w:tabs>
          <w:tab w:val="left" w:pos="2160"/>
          <w:tab w:val="left" w:pos="2280"/>
        </w:tabs>
        <w:rPr>
          <w:rFonts w:ascii="Arial Bold" w:hAnsi="Arial Bold" w:cs="Arial"/>
          <w:b/>
          <w:smallCaps/>
          <w:sz w:val="28"/>
          <w:u w:val="single"/>
        </w:rPr>
      </w:pPr>
      <w:r w:rsidRPr="00B121DF">
        <w:rPr>
          <w:rFonts w:ascii="Arial Bold" w:hAnsi="Arial Bold" w:cs="Arial"/>
          <w:b/>
          <w:smallCaps/>
          <w:noProof/>
          <w:sz w:val="28"/>
          <w:u w:val="single"/>
        </w:rPr>
        <w:lastRenderedPageBreak/>
        <w:drawing>
          <wp:inline distT="0" distB="0" distL="0" distR="0" wp14:anchorId="6DDAB14F" wp14:editId="1F2C7996">
            <wp:extent cx="5943600" cy="801485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8014855"/>
                    </a:xfrm>
                    <a:prstGeom prst="rect">
                      <a:avLst/>
                    </a:prstGeom>
                    <a:noFill/>
                    <a:ln>
                      <a:noFill/>
                    </a:ln>
                  </pic:spPr>
                </pic:pic>
              </a:graphicData>
            </a:graphic>
          </wp:inline>
        </w:drawing>
      </w:r>
    </w:p>
    <w:p w14:paraId="11636982" w14:textId="77777777" w:rsidR="00BD3712" w:rsidRDefault="00BD3712" w:rsidP="006663B0">
      <w:pPr>
        <w:tabs>
          <w:tab w:val="left" w:pos="2160"/>
          <w:tab w:val="left" w:pos="2280"/>
        </w:tabs>
        <w:rPr>
          <w:rFonts w:ascii="Arial Bold" w:hAnsi="Arial Bold" w:cs="Arial"/>
          <w:b/>
          <w:smallCaps/>
          <w:sz w:val="28"/>
          <w:u w:val="single"/>
        </w:rPr>
        <w:sectPr w:rsidR="00BD3712" w:rsidSect="00331505">
          <w:pgSz w:w="12240" w:h="15840" w:code="1"/>
          <w:pgMar w:top="1296" w:right="1440" w:bottom="1440" w:left="1440" w:header="720" w:footer="720" w:gutter="0"/>
          <w:cols w:space="720"/>
          <w:titlePg/>
          <w:docGrid w:linePitch="360"/>
        </w:sectPr>
      </w:pPr>
    </w:p>
    <w:p w14:paraId="08AC73EA" w14:textId="3B6B98E1" w:rsidR="00331505" w:rsidRDefault="00331505" w:rsidP="00331505">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5AE79C57" w14:textId="41453530" w:rsidR="00331505" w:rsidRPr="00E66B49" w:rsidRDefault="00331505" w:rsidP="00331505">
      <w:pPr>
        <w:pStyle w:val="BodyText"/>
        <w:ind w:firstLine="720"/>
      </w:pPr>
      <w:r w:rsidRPr="00E66B49">
        <w:t>In accordance with Rule 4901-1-05, Ohio Ad</w:t>
      </w:r>
      <w:r>
        <w:t>ministrative Code, the PUCO's e</w:t>
      </w:r>
      <w:r>
        <w:noBreakHyphen/>
      </w:r>
      <w:r w:rsidRPr="00E66B49">
        <w:t xml:space="preserve">filing system will electronically serve notice of the filing of this document upon the following parties.  In addition, I hereby certify that a service copy of the foregoing </w:t>
      </w:r>
      <w:r w:rsidR="00AD6956" w:rsidRPr="00C95C4A">
        <w:rPr>
          <w:i/>
        </w:rPr>
        <w:t>Industrial Energy Users-Ohio’s Reply to The Dayton Power and Light Company’s Memorandum in Opposition to</w:t>
      </w:r>
      <w:r w:rsidR="00AD6956">
        <w:t xml:space="preserve"> </w:t>
      </w:r>
      <w:r>
        <w:rPr>
          <w:i/>
        </w:rPr>
        <w:t>Industrial Energy Users-Ohio’s Motion to Compel Discovery Responses from The Dayton Power and Light Company</w:t>
      </w:r>
      <w:r w:rsidR="00F36210">
        <w:rPr>
          <w:i/>
        </w:rPr>
        <w:t>, Request for Hearing</w:t>
      </w:r>
      <w:r>
        <w:rPr>
          <w:i/>
        </w:rPr>
        <w:t xml:space="preserve"> </w:t>
      </w:r>
      <w:r w:rsidRPr="00E66B49">
        <w:t xml:space="preserve">was sent by, or on behalf of, the undersigned counsel for IEU-Ohio to the following parties of record this </w:t>
      </w:r>
      <w:r w:rsidR="00F36210">
        <w:t>12</w:t>
      </w:r>
      <w:r w:rsidR="00F36210" w:rsidRPr="00DD62CB">
        <w:rPr>
          <w:vertAlign w:val="superscript"/>
        </w:rPr>
        <w:t>th</w:t>
      </w:r>
      <w:r w:rsidR="00F36210">
        <w:t xml:space="preserve"> </w:t>
      </w:r>
      <w:r w:rsidRPr="00E66B49">
        <w:t xml:space="preserve">day of </w:t>
      </w:r>
      <w:r w:rsidR="00F36210">
        <w:t>September</w:t>
      </w:r>
      <w:r w:rsidR="00316951">
        <w:t xml:space="preserve"> </w:t>
      </w:r>
      <w:r>
        <w:t xml:space="preserve">2016, </w:t>
      </w:r>
      <w:r w:rsidRPr="00E66B49">
        <w:rPr>
          <w:i/>
        </w:rPr>
        <w:t>via</w:t>
      </w:r>
      <w:r w:rsidRPr="00E66B49">
        <w:t xml:space="preserve"> electronic transmission. </w:t>
      </w:r>
    </w:p>
    <w:p w14:paraId="0265A8A0" w14:textId="77777777" w:rsidR="00331505" w:rsidRPr="00320E03" w:rsidRDefault="00331505" w:rsidP="00331505">
      <w:pPr>
        <w:tabs>
          <w:tab w:val="center" w:pos="7200"/>
          <w:tab w:val="right" w:pos="9360"/>
        </w:tabs>
        <w:spacing w:line="240" w:lineRule="auto"/>
        <w:ind w:left="5040"/>
        <w:rPr>
          <w:rFonts w:cs="Arial"/>
          <w:i/>
          <w:u w:val="single"/>
        </w:rPr>
      </w:pPr>
      <w:r w:rsidRPr="00320E03">
        <w:rPr>
          <w:rFonts w:cs="Arial"/>
          <w:i/>
          <w:u w:val="single"/>
        </w:rPr>
        <w:t xml:space="preserve">/s/ </w:t>
      </w:r>
      <w:r>
        <w:rPr>
          <w:rFonts w:cs="Arial"/>
          <w:i/>
          <w:u w:val="single"/>
        </w:rPr>
        <w:t>Matthew R. Pritchard</w:t>
      </w:r>
      <w:r w:rsidRPr="00320E03">
        <w:rPr>
          <w:rFonts w:cs="Arial"/>
          <w:i/>
          <w:u w:val="single"/>
        </w:rPr>
        <w:tab/>
      </w:r>
    </w:p>
    <w:p w14:paraId="1102AEA3" w14:textId="77777777" w:rsidR="00331505" w:rsidRDefault="00331505" w:rsidP="00331505">
      <w:pPr>
        <w:tabs>
          <w:tab w:val="center" w:pos="7200"/>
          <w:tab w:val="right" w:pos="9360"/>
        </w:tabs>
        <w:spacing w:line="240" w:lineRule="auto"/>
        <w:ind w:left="5760"/>
        <w:rPr>
          <w:rFonts w:cs="Arial"/>
        </w:rPr>
      </w:pPr>
      <w:r>
        <w:rPr>
          <w:rFonts w:cs="Arial"/>
        </w:rPr>
        <w:t>Matthew R. Pritchard</w:t>
      </w:r>
    </w:p>
    <w:p w14:paraId="2EF252A6" w14:textId="77777777" w:rsidR="00331505" w:rsidRDefault="00331505" w:rsidP="00331505">
      <w:pPr>
        <w:tabs>
          <w:tab w:val="center" w:pos="7200"/>
          <w:tab w:val="right" w:pos="9360"/>
        </w:tabs>
        <w:spacing w:line="240" w:lineRule="auto"/>
        <w:ind w:left="5760"/>
        <w:rPr>
          <w:rFonts w:cs="Arial"/>
        </w:rPr>
      </w:pPr>
    </w:p>
    <w:p w14:paraId="215973F6" w14:textId="77777777" w:rsidR="00331505" w:rsidRDefault="00331505" w:rsidP="00331505">
      <w:pPr>
        <w:autoSpaceDE w:val="0"/>
        <w:autoSpaceDN w:val="0"/>
        <w:adjustRightInd w:val="0"/>
        <w:spacing w:line="240" w:lineRule="auto"/>
        <w:rPr>
          <w:rFonts w:cs="Arial"/>
          <w:sz w:val="20"/>
          <w:szCs w:val="20"/>
        </w:rPr>
        <w:sectPr w:rsidR="00331505" w:rsidSect="00331505">
          <w:pgSz w:w="12240" w:h="15840" w:code="1"/>
          <w:pgMar w:top="1296" w:right="1440" w:bottom="1440" w:left="1440" w:header="720" w:footer="720" w:gutter="0"/>
          <w:cols w:space="720"/>
          <w:titlePg/>
          <w:docGrid w:linePitch="360"/>
        </w:sectPr>
      </w:pPr>
    </w:p>
    <w:p w14:paraId="7FC26D0B"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Charles J. Faruki</w:t>
      </w:r>
    </w:p>
    <w:p w14:paraId="60DE468A"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(Counsel of Record)</w:t>
      </w:r>
    </w:p>
    <w:p w14:paraId="4A450C9A"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D. Jeffrey Ireland</w:t>
      </w:r>
    </w:p>
    <w:p w14:paraId="56013C12"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Jeffrey S. Sharkey</w:t>
      </w:r>
    </w:p>
    <w:p w14:paraId="086A6D5D"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FARUKI IRELAND &amp; COX P.L.L.</w:t>
      </w:r>
    </w:p>
    <w:p w14:paraId="75F22EB2"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110 North Main Street, Suite 1600</w:t>
      </w:r>
    </w:p>
    <w:p w14:paraId="66F65F6B"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Dayton, OH 45402</w:t>
      </w:r>
    </w:p>
    <w:p w14:paraId="14B77659"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cfaruki@ficlaw.com</w:t>
      </w:r>
    </w:p>
    <w:p w14:paraId="5D43EC14"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djireland@ficlaw.com</w:t>
      </w:r>
    </w:p>
    <w:p w14:paraId="11C49A81"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jsharkey@ficlaw.com</w:t>
      </w:r>
    </w:p>
    <w:p w14:paraId="3E67F52B"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p>
    <w:p w14:paraId="35355634" w14:textId="77777777" w:rsidR="00331505" w:rsidRPr="00C95C4A" w:rsidRDefault="00331505" w:rsidP="00316951">
      <w:pPr>
        <w:autoSpaceDE w:val="0"/>
        <w:autoSpaceDN w:val="0"/>
        <w:adjustRightInd w:val="0"/>
        <w:spacing w:line="240" w:lineRule="auto"/>
        <w:jc w:val="left"/>
        <w:rPr>
          <w:rFonts w:cs="Arial"/>
          <w:b/>
          <w:color w:val="000000" w:themeColor="text1"/>
          <w:sz w:val="20"/>
          <w:szCs w:val="20"/>
        </w:rPr>
      </w:pPr>
      <w:r w:rsidRPr="00C95C4A">
        <w:rPr>
          <w:rFonts w:cs="Arial"/>
          <w:b/>
          <w:color w:val="000000" w:themeColor="text1"/>
          <w:sz w:val="20"/>
          <w:szCs w:val="20"/>
        </w:rPr>
        <w:t>Counsel for The Dayton Power and</w:t>
      </w:r>
    </w:p>
    <w:p w14:paraId="5A38CBBA" w14:textId="77777777" w:rsidR="00331505" w:rsidRPr="00C95C4A" w:rsidRDefault="00331505" w:rsidP="00316951">
      <w:pPr>
        <w:spacing w:line="240" w:lineRule="auto"/>
        <w:jc w:val="left"/>
        <w:rPr>
          <w:rFonts w:cs="Arial"/>
          <w:b/>
          <w:color w:val="000000" w:themeColor="text1"/>
          <w:sz w:val="20"/>
          <w:szCs w:val="20"/>
        </w:rPr>
      </w:pPr>
      <w:r w:rsidRPr="00C95C4A">
        <w:rPr>
          <w:rFonts w:cs="Arial"/>
          <w:b/>
          <w:color w:val="000000" w:themeColor="text1"/>
          <w:sz w:val="20"/>
          <w:szCs w:val="20"/>
        </w:rPr>
        <w:t>Light Company</w:t>
      </w:r>
    </w:p>
    <w:p w14:paraId="4FEC794F" w14:textId="77777777" w:rsidR="00331505" w:rsidRPr="00C95C4A" w:rsidRDefault="00331505" w:rsidP="00316951">
      <w:pPr>
        <w:spacing w:line="240" w:lineRule="auto"/>
        <w:jc w:val="left"/>
        <w:rPr>
          <w:rFonts w:cs="Arial"/>
          <w:color w:val="000000" w:themeColor="text1"/>
          <w:sz w:val="20"/>
          <w:szCs w:val="20"/>
        </w:rPr>
      </w:pPr>
    </w:p>
    <w:p w14:paraId="3DF6A444"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Madeline Fleisher</w:t>
      </w:r>
    </w:p>
    <w:p w14:paraId="3A089301"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Kristin Field</w:t>
      </w:r>
    </w:p>
    <w:p w14:paraId="75FC6015"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Environmental Law &amp; Policy Center</w:t>
      </w:r>
    </w:p>
    <w:p w14:paraId="6DFEF3D9"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21 West Broad St., Suite 500</w:t>
      </w:r>
    </w:p>
    <w:p w14:paraId="68DDAD29"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1B48FC4D"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mfleisher@elpc.org</w:t>
      </w:r>
    </w:p>
    <w:p w14:paraId="5A03D9DB" w14:textId="77777777" w:rsidR="00331505" w:rsidRPr="00C95C4A" w:rsidRDefault="00331505" w:rsidP="00316951">
      <w:pPr>
        <w:autoSpaceDE w:val="0"/>
        <w:autoSpaceDN w:val="0"/>
        <w:adjustRightInd w:val="0"/>
        <w:spacing w:line="240" w:lineRule="auto"/>
        <w:jc w:val="left"/>
        <w:rPr>
          <w:rFonts w:cs="Arial"/>
          <w:iCs/>
          <w:color w:val="000000" w:themeColor="text1"/>
          <w:sz w:val="20"/>
          <w:szCs w:val="20"/>
        </w:rPr>
      </w:pPr>
    </w:p>
    <w:p w14:paraId="60C99620" w14:textId="77777777" w:rsidR="00331505" w:rsidRPr="00C95C4A" w:rsidRDefault="00331505" w:rsidP="00316951">
      <w:pPr>
        <w:autoSpaceDE w:val="0"/>
        <w:autoSpaceDN w:val="0"/>
        <w:adjustRightInd w:val="0"/>
        <w:spacing w:line="240" w:lineRule="auto"/>
        <w:jc w:val="left"/>
        <w:rPr>
          <w:rFonts w:ascii="Arial Bold" w:hAnsi="Arial Bold" w:cs="Arial"/>
          <w:b/>
          <w:iCs/>
          <w:color w:val="000000" w:themeColor="text1"/>
          <w:sz w:val="20"/>
          <w:szCs w:val="20"/>
        </w:rPr>
      </w:pPr>
      <w:r w:rsidRPr="00C95C4A">
        <w:rPr>
          <w:rFonts w:ascii="Arial Bold" w:hAnsi="Arial Bold" w:cs="Arial"/>
          <w:b/>
          <w:iCs/>
          <w:color w:val="000000" w:themeColor="text1"/>
          <w:sz w:val="20"/>
          <w:szCs w:val="20"/>
        </w:rPr>
        <w:t>Counsel for the Environmental Law &amp;</w:t>
      </w:r>
    </w:p>
    <w:p w14:paraId="30913539" w14:textId="77777777" w:rsidR="00331505" w:rsidRPr="00C95C4A" w:rsidRDefault="00331505" w:rsidP="00316951">
      <w:pPr>
        <w:spacing w:line="240" w:lineRule="auto"/>
        <w:jc w:val="left"/>
        <w:rPr>
          <w:rFonts w:ascii="Arial Bold" w:hAnsi="Arial Bold" w:cs="Arial"/>
          <w:b/>
          <w:iCs/>
          <w:color w:val="000000" w:themeColor="text1"/>
          <w:sz w:val="20"/>
          <w:szCs w:val="20"/>
        </w:rPr>
      </w:pPr>
      <w:r w:rsidRPr="00C95C4A">
        <w:rPr>
          <w:rFonts w:ascii="Arial Bold" w:hAnsi="Arial Bold" w:cs="Arial"/>
          <w:b/>
          <w:iCs/>
          <w:color w:val="000000" w:themeColor="text1"/>
          <w:sz w:val="20"/>
          <w:szCs w:val="20"/>
        </w:rPr>
        <w:t>Policy Center</w:t>
      </w:r>
    </w:p>
    <w:p w14:paraId="4DB39F40" w14:textId="77777777" w:rsidR="00331505" w:rsidRPr="00C95C4A" w:rsidRDefault="00331505" w:rsidP="00316951">
      <w:pPr>
        <w:spacing w:line="240" w:lineRule="auto"/>
        <w:jc w:val="left"/>
        <w:rPr>
          <w:rFonts w:cs="Arial"/>
          <w:color w:val="000000" w:themeColor="text1"/>
          <w:sz w:val="20"/>
          <w:szCs w:val="20"/>
        </w:rPr>
      </w:pPr>
    </w:p>
    <w:p w14:paraId="7EF14864" w14:textId="6F9D8437" w:rsidR="00331505" w:rsidRPr="00C95C4A" w:rsidRDefault="00A152B6" w:rsidP="00316951">
      <w:pPr>
        <w:autoSpaceDE w:val="0"/>
        <w:autoSpaceDN w:val="0"/>
        <w:adjustRightInd w:val="0"/>
        <w:spacing w:line="240" w:lineRule="auto"/>
        <w:jc w:val="left"/>
        <w:rPr>
          <w:rFonts w:cs="Arial"/>
          <w:color w:val="000000" w:themeColor="text1"/>
          <w:sz w:val="20"/>
          <w:szCs w:val="20"/>
        </w:rPr>
      </w:pPr>
      <w:r>
        <w:rPr>
          <w:rFonts w:cs="Arial"/>
          <w:color w:val="000000" w:themeColor="text1"/>
          <w:sz w:val="20"/>
          <w:szCs w:val="20"/>
        </w:rPr>
        <w:br w:type="column"/>
      </w:r>
      <w:r w:rsidR="00331505" w:rsidRPr="00C95C4A">
        <w:rPr>
          <w:rFonts w:cs="Arial"/>
          <w:color w:val="000000" w:themeColor="text1"/>
          <w:sz w:val="20"/>
          <w:szCs w:val="20"/>
        </w:rPr>
        <w:t>Jeffrey W. Mayes</w:t>
      </w:r>
    </w:p>
    <w:p w14:paraId="097324FC"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General Counsel</w:t>
      </w:r>
    </w:p>
    <w:p w14:paraId="215E8661"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Monitoring Analytics, LLC</w:t>
      </w:r>
    </w:p>
    <w:p w14:paraId="4255FEDF"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2621 Van Buren Avenue, Suite 160</w:t>
      </w:r>
    </w:p>
    <w:p w14:paraId="781F7D5C"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Valley Forge Corporate Center</w:t>
      </w:r>
    </w:p>
    <w:p w14:paraId="6B193625"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Eagleville, PA  19403</w:t>
      </w:r>
    </w:p>
    <w:p w14:paraId="413F0FDE" w14:textId="77777777" w:rsidR="00331505" w:rsidRPr="00C95C4A" w:rsidRDefault="0064608B" w:rsidP="00316951">
      <w:pPr>
        <w:spacing w:line="240" w:lineRule="auto"/>
        <w:jc w:val="left"/>
        <w:rPr>
          <w:rFonts w:cs="Arial"/>
          <w:iCs/>
          <w:color w:val="000000" w:themeColor="text1"/>
          <w:sz w:val="20"/>
          <w:szCs w:val="20"/>
        </w:rPr>
      </w:pPr>
      <w:hyperlink r:id="rId35" w:history="1">
        <w:r w:rsidR="00331505" w:rsidRPr="00C95C4A">
          <w:rPr>
            <w:rStyle w:val="Hyperlink"/>
            <w:iCs/>
            <w:color w:val="000000" w:themeColor="text1"/>
            <w:sz w:val="20"/>
            <w:szCs w:val="20"/>
            <w:u w:val="none"/>
          </w:rPr>
          <w:t>jeffrey.mayes@monitoringanalytics.com</w:t>
        </w:r>
      </w:hyperlink>
    </w:p>
    <w:p w14:paraId="2B509D2E" w14:textId="77777777" w:rsidR="00331505" w:rsidRPr="00C95C4A" w:rsidRDefault="00331505" w:rsidP="00316951">
      <w:pPr>
        <w:spacing w:line="240" w:lineRule="auto"/>
        <w:jc w:val="left"/>
        <w:rPr>
          <w:rFonts w:cs="Arial"/>
          <w:iCs/>
          <w:color w:val="000000" w:themeColor="text1"/>
          <w:sz w:val="20"/>
          <w:szCs w:val="20"/>
        </w:rPr>
      </w:pPr>
    </w:p>
    <w:p w14:paraId="4EAAA5E8" w14:textId="77777777" w:rsidR="00331505" w:rsidRPr="00C95C4A" w:rsidRDefault="00331505" w:rsidP="00316951">
      <w:pPr>
        <w:spacing w:line="240" w:lineRule="auto"/>
        <w:jc w:val="left"/>
        <w:rPr>
          <w:rFonts w:ascii="Arial Bold" w:hAnsi="Arial Bold" w:cs="Arial"/>
          <w:b/>
          <w:iCs/>
          <w:color w:val="000000" w:themeColor="text1"/>
          <w:sz w:val="20"/>
          <w:szCs w:val="20"/>
        </w:rPr>
      </w:pPr>
      <w:r w:rsidRPr="00C95C4A">
        <w:rPr>
          <w:rFonts w:ascii="Arial Bold" w:hAnsi="Arial Bold" w:cs="Arial"/>
          <w:b/>
          <w:iCs/>
          <w:color w:val="000000" w:themeColor="text1"/>
          <w:sz w:val="20"/>
          <w:szCs w:val="20"/>
        </w:rPr>
        <w:t>Counsel for Monitoring Analytics, LLC</w:t>
      </w:r>
    </w:p>
    <w:p w14:paraId="4EB6D9B1" w14:textId="77777777" w:rsidR="00A152B6" w:rsidRDefault="00A152B6" w:rsidP="00316951">
      <w:pPr>
        <w:autoSpaceDE w:val="0"/>
        <w:autoSpaceDN w:val="0"/>
        <w:adjustRightInd w:val="0"/>
        <w:spacing w:line="240" w:lineRule="auto"/>
        <w:jc w:val="left"/>
        <w:rPr>
          <w:rFonts w:cs="Arial"/>
          <w:color w:val="000000" w:themeColor="text1"/>
          <w:sz w:val="20"/>
          <w:szCs w:val="20"/>
        </w:rPr>
      </w:pPr>
    </w:p>
    <w:p w14:paraId="03AB97F7" w14:textId="7F0C8BB1"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Evelyn R. Robinson</w:t>
      </w:r>
    </w:p>
    <w:p w14:paraId="68F19AAC"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PJM Interconnection, L.L.C.</w:t>
      </w:r>
    </w:p>
    <w:p w14:paraId="17C79E51"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2750 Monroe Boulevard</w:t>
      </w:r>
    </w:p>
    <w:p w14:paraId="60113721"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Audubon, PA 19403</w:t>
      </w:r>
    </w:p>
    <w:p w14:paraId="0F7CE58D" w14:textId="77777777" w:rsidR="00331505" w:rsidRPr="00C95C4A" w:rsidRDefault="0064608B" w:rsidP="00316951">
      <w:pPr>
        <w:spacing w:line="240" w:lineRule="auto"/>
        <w:jc w:val="left"/>
        <w:rPr>
          <w:rFonts w:cs="Arial"/>
          <w:iCs/>
          <w:color w:val="000000" w:themeColor="text1"/>
          <w:sz w:val="20"/>
          <w:szCs w:val="20"/>
        </w:rPr>
      </w:pPr>
      <w:hyperlink r:id="rId36" w:history="1">
        <w:r w:rsidR="00331505" w:rsidRPr="00C95C4A">
          <w:rPr>
            <w:rStyle w:val="Hyperlink"/>
            <w:iCs/>
            <w:color w:val="000000" w:themeColor="text1"/>
            <w:sz w:val="20"/>
            <w:szCs w:val="20"/>
            <w:u w:val="none"/>
          </w:rPr>
          <w:t>evelyn.robinson@pjm.com</w:t>
        </w:r>
      </w:hyperlink>
    </w:p>
    <w:p w14:paraId="457F0FAA" w14:textId="77777777" w:rsidR="00331505" w:rsidRPr="00C95C4A" w:rsidRDefault="00331505" w:rsidP="00316951">
      <w:pPr>
        <w:spacing w:line="240" w:lineRule="auto"/>
        <w:jc w:val="left"/>
        <w:rPr>
          <w:rFonts w:cs="Arial"/>
          <w:iCs/>
          <w:color w:val="000000" w:themeColor="text1"/>
          <w:sz w:val="20"/>
          <w:szCs w:val="20"/>
        </w:rPr>
      </w:pPr>
    </w:p>
    <w:p w14:paraId="3688C480" w14:textId="77777777" w:rsidR="00331505" w:rsidRPr="00C95C4A" w:rsidRDefault="00331505" w:rsidP="00316951">
      <w:pPr>
        <w:autoSpaceDE w:val="0"/>
        <w:autoSpaceDN w:val="0"/>
        <w:adjustRightInd w:val="0"/>
        <w:spacing w:line="240" w:lineRule="auto"/>
        <w:jc w:val="left"/>
        <w:rPr>
          <w:rFonts w:ascii="Arial Bold" w:hAnsi="Arial Bold" w:cs="Arial"/>
          <w:b/>
          <w:iCs/>
          <w:color w:val="000000" w:themeColor="text1"/>
          <w:sz w:val="20"/>
          <w:szCs w:val="20"/>
        </w:rPr>
      </w:pPr>
      <w:r w:rsidRPr="00C95C4A">
        <w:rPr>
          <w:rFonts w:ascii="Arial Bold" w:hAnsi="Arial Bold" w:cs="Arial"/>
          <w:b/>
          <w:iCs/>
          <w:color w:val="000000" w:themeColor="text1"/>
          <w:sz w:val="20"/>
          <w:szCs w:val="20"/>
        </w:rPr>
        <w:t>Counsel for PJM Interconnection, L.L.C.</w:t>
      </w:r>
    </w:p>
    <w:p w14:paraId="37E730E0" w14:textId="77777777" w:rsidR="00331505" w:rsidRPr="00C95C4A" w:rsidRDefault="00331505" w:rsidP="00316951">
      <w:pPr>
        <w:spacing w:line="240" w:lineRule="auto"/>
        <w:jc w:val="left"/>
        <w:rPr>
          <w:rFonts w:cs="Arial"/>
          <w:iCs/>
          <w:color w:val="000000" w:themeColor="text1"/>
          <w:sz w:val="20"/>
          <w:szCs w:val="20"/>
        </w:rPr>
      </w:pPr>
    </w:p>
    <w:p w14:paraId="5C8FD2A0" w14:textId="77777777" w:rsidR="00A152B6" w:rsidRPr="00C95C4A" w:rsidRDefault="00A152B6"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Kevin R. Schmidt (Reg. No. 0086722)</w:t>
      </w:r>
    </w:p>
    <w:p w14:paraId="14901C65" w14:textId="77777777" w:rsidR="00A152B6" w:rsidRPr="00C95C4A" w:rsidRDefault="00A152B6"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Strategic Public Partners</w:t>
      </w:r>
    </w:p>
    <w:p w14:paraId="779E011D" w14:textId="77777777" w:rsidR="00A152B6" w:rsidRPr="00C95C4A" w:rsidRDefault="00A152B6"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88 East Broad Street, Suite 1770</w:t>
      </w:r>
    </w:p>
    <w:p w14:paraId="039DBF1C" w14:textId="77777777" w:rsidR="00A152B6" w:rsidRPr="00C95C4A" w:rsidRDefault="00A152B6"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55B9352A" w14:textId="77777777" w:rsidR="00A152B6" w:rsidRPr="00C95C4A" w:rsidRDefault="00A152B6"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schmidt@sppgrp.com</w:t>
      </w:r>
    </w:p>
    <w:p w14:paraId="3D397B9A" w14:textId="77777777" w:rsidR="00A152B6" w:rsidRPr="00C95C4A" w:rsidRDefault="00A152B6" w:rsidP="00316951">
      <w:pPr>
        <w:spacing w:line="240" w:lineRule="auto"/>
        <w:jc w:val="left"/>
        <w:rPr>
          <w:rFonts w:cs="Arial"/>
          <w:color w:val="000000" w:themeColor="text1"/>
          <w:sz w:val="20"/>
          <w:szCs w:val="20"/>
        </w:rPr>
      </w:pPr>
    </w:p>
    <w:p w14:paraId="614799A3" w14:textId="77777777" w:rsidR="00A152B6" w:rsidRPr="00C95C4A" w:rsidRDefault="00A152B6"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Energy Professionals of Ohio</w:t>
      </w:r>
    </w:p>
    <w:p w14:paraId="22275BA5" w14:textId="77777777" w:rsidR="00A152B6" w:rsidRDefault="00A152B6" w:rsidP="00316951">
      <w:pPr>
        <w:autoSpaceDE w:val="0"/>
        <w:autoSpaceDN w:val="0"/>
        <w:adjustRightInd w:val="0"/>
        <w:spacing w:line="240" w:lineRule="auto"/>
        <w:jc w:val="left"/>
        <w:rPr>
          <w:rFonts w:cs="Arial"/>
          <w:color w:val="000000" w:themeColor="text1"/>
          <w:sz w:val="20"/>
          <w:szCs w:val="20"/>
        </w:rPr>
        <w:sectPr w:rsidR="00A152B6" w:rsidSect="00331505">
          <w:type w:val="continuous"/>
          <w:pgSz w:w="12240" w:h="15840" w:code="1"/>
          <w:pgMar w:top="1440" w:right="1440" w:bottom="1440" w:left="1440" w:header="720" w:footer="720" w:gutter="0"/>
          <w:cols w:num="2" w:space="720"/>
          <w:titlePg/>
          <w:docGrid w:linePitch="360"/>
        </w:sectPr>
      </w:pPr>
    </w:p>
    <w:p w14:paraId="3B4ADB11" w14:textId="42751EB2"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lastRenderedPageBreak/>
        <w:t>David F. Boehm, Esq.</w:t>
      </w:r>
    </w:p>
    <w:p w14:paraId="41C2DEE9"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Michael L. Kurtz, Esq.</w:t>
      </w:r>
    </w:p>
    <w:p w14:paraId="6BEE7246"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Kurt J. Boehm, Esq.</w:t>
      </w:r>
    </w:p>
    <w:p w14:paraId="35A2DB45"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Jody Kyler Cohn, Esq.</w:t>
      </w:r>
    </w:p>
    <w:p w14:paraId="43C2B903"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Boehm, Kurtz &amp; Lowry</w:t>
      </w:r>
    </w:p>
    <w:p w14:paraId="204084DA"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36 East Seventh Street, Suite 1510</w:t>
      </w:r>
    </w:p>
    <w:p w14:paraId="66357416"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Cincinnati, OH  45202</w:t>
      </w:r>
    </w:p>
    <w:p w14:paraId="2BB3687A"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dboehm@BKLlawfirm.com mkurtzt@BKLlawfirm.com</w:t>
      </w:r>
    </w:p>
    <w:p w14:paraId="1CBBED29"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kboehm@BKLlawfirm.com</w:t>
      </w:r>
    </w:p>
    <w:p w14:paraId="7085F364" w14:textId="77777777" w:rsidR="00331505" w:rsidRPr="00C95C4A" w:rsidRDefault="00331505" w:rsidP="00316951">
      <w:pPr>
        <w:autoSpaceDE w:val="0"/>
        <w:autoSpaceDN w:val="0"/>
        <w:adjustRightInd w:val="0"/>
        <w:spacing w:line="240" w:lineRule="auto"/>
        <w:jc w:val="left"/>
        <w:rPr>
          <w:rFonts w:cs="Arial"/>
          <w:color w:val="000000" w:themeColor="text1"/>
          <w:sz w:val="20"/>
          <w:szCs w:val="20"/>
        </w:rPr>
      </w:pPr>
      <w:r w:rsidRPr="00C95C4A">
        <w:rPr>
          <w:rFonts w:cs="Arial"/>
          <w:color w:val="000000" w:themeColor="text1"/>
          <w:sz w:val="20"/>
          <w:szCs w:val="20"/>
        </w:rPr>
        <w:t>jkylercohn@BKLlawfirm.com</w:t>
      </w:r>
    </w:p>
    <w:p w14:paraId="5DD737B1" w14:textId="77777777" w:rsidR="00331505" w:rsidRPr="00C95C4A" w:rsidRDefault="00331505" w:rsidP="00316951">
      <w:pPr>
        <w:spacing w:line="240" w:lineRule="auto"/>
        <w:jc w:val="left"/>
        <w:rPr>
          <w:rFonts w:cs="Arial"/>
          <w:color w:val="000000" w:themeColor="text1"/>
          <w:sz w:val="20"/>
          <w:szCs w:val="20"/>
        </w:rPr>
      </w:pPr>
    </w:p>
    <w:p w14:paraId="24805E97"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Ohio Energy Group</w:t>
      </w:r>
    </w:p>
    <w:p w14:paraId="6BB97FCC" w14:textId="77777777" w:rsidR="00331505" w:rsidRPr="00C95C4A" w:rsidRDefault="00331505" w:rsidP="00316951">
      <w:pPr>
        <w:spacing w:line="240" w:lineRule="auto"/>
        <w:jc w:val="left"/>
        <w:rPr>
          <w:rFonts w:cs="Arial"/>
          <w:color w:val="000000" w:themeColor="text1"/>
          <w:sz w:val="20"/>
          <w:szCs w:val="20"/>
        </w:rPr>
      </w:pPr>
    </w:p>
    <w:p w14:paraId="5B7583CE" w14:textId="5847DB71"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William J. Michael</w:t>
      </w:r>
    </w:p>
    <w:p w14:paraId="464E6DF2"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Counsel of Record</w:t>
      </w:r>
    </w:p>
    <w:p w14:paraId="49DCBD46"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Kevin F. Moore</w:t>
      </w:r>
    </w:p>
    <w:p w14:paraId="3455F089"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10 West Broad Street, Suite 1800</w:t>
      </w:r>
    </w:p>
    <w:p w14:paraId="5FF983E5"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43215-3485</w:t>
      </w:r>
    </w:p>
    <w:p w14:paraId="0245D704" w14:textId="77777777" w:rsidR="00331505" w:rsidRPr="00C95C4A" w:rsidRDefault="0064608B" w:rsidP="00316951">
      <w:pPr>
        <w:spacing w:line="240" w:lineRule="auto"/>
        <w:jc w:val="left"/>
        <w:rPr>
          <w:rFonts w:cs="Arial"/>
          <w:color w:val="000000" w:themeColor="text1"/>
          <w:sz w:val="20"/>
          <w:szCs w:val="20"/>
        </w:rPr>
      </w:pPr>
      <w:hyperlink r:id="rId37" w:history="1">
        <w:r w:rsidR="00331505" w:rsidRPr="00C95C4A">
          <w:rPr>
            <w:rStyle w:val="Hyperlink"/>
            <w:color w:val="000000" w:themeColor="text1"/>
            <w:sz w:val="20"/>
            <w:szCs w:val="20"/>
            <w:u w:val="none"/>
          </w:rPr>
          <w:t>William.Michael@occ.ohio.gov</w:t>
        </w:r>
      </w:hyperlink>
    </w:p>
    <w:p w14:paraId="4C565A5E" w14:textId="77777777" w:rsidR="00331505" w:rsidRPr="00C95C4A" w:rsidRDefault="0064608B" w:rsidP="00316951">
      <w:pPr>
        <w:spacing w:line="240" w:lineRule="auto"/>
        <w:jc w:val="left"/>
        <w:rPr>
          <w:rFonts w:cs="Arial"/>
          <w:color w:val="000000" w:themeColor="text1"/>
          <w:sz w:val="20"/>
          <w:szCs w:val="20"/>
        </w:rPr>
      </w:pPr>
      <w:hyperlink r:id="rId38" w:history="1">
        <w:r w:rsidR="00331505" w:rsidRPr="00C95C4A">
          <w:rPr>
            <w:rStyle w:val="Hyperlink"/>
            <w:color w:val="000000" w:themeColor="text1"/>
            <w:sz w:val="20"/>
            <w:szCs w:val="20"/>
            <w:u w:val="none"/>
          </w:rPr>
          <w:t>Kevin.Moore@occ.ohio.gov</w:t>
        </w:r>
      </w:hyperlink>
    </w:p>
    <w:p w14:paraId="27D59E8B" w14:textId="77777777" w:rsidR="00331505" w:rsidRPr="00C95C4A" w:rsidRDefault="00331505" w:rsidP="00316951">
      <w:pPr>
        <w:spacing w:line="240" w:lineRule="auto"/>
        <w:jc w:val="left"/>
        <w:rPr>
          <w:rFonts w:cs="Arial"/>
          <w:color w:val="000000" w:themeColor="text1"/>
          <w:sz w:val="20"/>
          <w:szCs w:val="20"/>
        </w:rPr>
      </w:pPr>
    </w:p>
    <w:p w14:paraId="49301589"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Office of the Ohio Consumers’ Counsel</w:t>
      </w:r>
    </w:p>
    <w:p w14:paraId="54B6F6D8" w14:textId="77777777" w:rsidR="00331505" w:rsidRPr="00C95C4A" w:rsidRDefault="00331505" w:rsidP="00316951">
      <w:pPr>
        <w:spacing w:line="240" w:lineRule="auto"/>
        <w:jc w:val="left"/>
        <w:rPr>
          <w:rFonts w:cs="Arial"/>
          <w:color w:val="000000" w:themeColor="text1"/>
          <w:sz w:val="20"/>
          <w:szCs w:val="20"/>
        </w:rPr>
      </w:pPr>
    </w:p>
    <w:p w14:paraId="0A28A0A7"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Ryan P. O’Rourke</w:t>
      </w:r>
    </w:p>
    <w:p w14:paraId="53A7D486"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 xml:space="preserve">Carpenter </w:t>
      </w:r>
      <w:proofErr w:type="spellStart"/>
      <w:r w:rsidRPr="00C95C4A">
        <w:rPr>
          <w:rFonts w:cs="Arial"/>
          <w:color w:val="000000" w:themeColor="text1"/>
          <w:sz w:val="20"/>
          <w:szCs w:val="20"/>
        </w:rPr>
        <w:t>Lipps</w:t>
      </w:r>
      <w:proofErr w:type="spellEnd"/>
      <w:r w:rsidRPr="00C95C4A">
        <w:rPr>
          <w:rFonts w:cs="Arial"/>
          <w:color w:val="000000" w:themeColor="text1"/>
          <w:sz w:val="20"/>
          <w:szCs w:val="20"/>
        </w:rPr>
        <w:t xml:space="preserve"> &amp; Leland LLP</w:t>
      </w:r>
    </w:p>
    <w:p w14:paraId="6890F8CF"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280 Plaza, Suite 1300</w:t>
      </w:r>
    </w:p>
    <w:p w14:paraId="1CA61F21"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280 North High Street</w:t>
      </w:r>
    </w:p>
    <w:p w14:paraId="2C04E71E"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5323313B"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O’Rourke@carpenterlipps.com</w:t>
      </w:r>
    </w:p>
    <w:p w14:paraId="08247B47" w14:textId="77777777" w:rsidR="00331505" w:rsidRPr="00C95C4A" w:rsidRDefault="00331505" w:rsidP="00316951">
      <w:pPr>
        <w:spacing w:line="240" w:lineRule="auto"/>
        <w:jc w:val="left"/>
        <w:rPr>
          <w:rFonts w:cs="Arial"/>
          <w:color w:val="000000" w:themeColor="text1"/>
          <w:sz w:val="20"/>
          <w:szCs w:val="20"/>
        </w:rPr>
      </w:pPr>
    </w:p>
    <w:p w14:paraId="7A9A1A45"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The Kroger Co.</w:t>
      </w:r>
    </w:p>
    <w:p w14:paraId="04EED436" w14:textId="77777777" w:rsidR="00331505" w:rsidRPr="00C95C4A" w:rsidRDefault="00331505" w:rsidP="00316951">
      <w:pPr>
        <w:spacing w:line="240" w:lineRule="auto"/>
        <w:jc w:val="left"/>
        <w:rPr>
          <w:rFonts w:cs="Arial"/>
          <w:color w:val="000000" w:themeColor="text1"/>
          <w:sz w:val="20"/>
          <w:szCs w:val="20"/>
        </w:rPr>
      </w:pPr>
    </w:p>
    <w:p w14:paraId="594FDAEE"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Kimberly W. Bojko</w:t>
      </w:r>
    </w:p>
    <w:p w14:paraId="678EC8F4"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 xml:space="preserve">Danielle M. </w:t>
      </w:r>
      <w:proofErr w:type="spellStart"/>
      <w:r w:rsidRPr="00C95C4A">
        <w:rPr>
          <w:rFonts w:cs="Arial"/>
          <w:color w:val="000000" w:themeColor="text1"/>
          <w:sz w:val="20"/>
          <w:szCs w:val="20"/>
        </w:rPr>
        <w:t>Ghiloni</w:t>
      </w:r>
      <w:proofErr w:type="spellEnd"/>
    </w:p>
    <w:p w14:paraId="6BC03971"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 xml:space="preserve">Carpenter </w:t>
      </w:r>
      <w:proofErr w:type="spellStart"/>
      <w:r w:rsidRPr="00C95C4A">
        <w:rPr>
          <w:rFonts w:cs="Arial"/>
          <w:color w:val="000000" w:themeColor="text1"/>
          <w:sz w:val="20"/>
          <w:szCs w:val="20"/>
        </w:rPr>
        <w:t>Lipps</w:t>
      </w:r>
      <w:proofErr w:type="spellEnd"/>
      <w:r w:rsidRPr="00C95C4A">
        <w:rPr>
          <w:rFonts w:cs="Arial"/>
          <w:color w:val="000000" w:themeColor="text1"/>
          <w:sz w:val="20"/>
          <w:szCs w:val="20"/>
        </w:rPr>
        <w:t xml:space="preserve"> &amp; Leland LLP</w:t>
      </w:r>
    </w:p>
    <w:p w14:paraId="4868871B"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280 North High Street, Suite 1300</w:t>
      </w:r>
    </w:p>
    <w:p w14:paraId="6D13F5BE"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31C7592F" w14:textId="77777777" w:rsidR="00331505" w:rsidRPr="00C95C4A" w:rsidRDefault="0064608B" w:rsidP="00316951">
      <w:pPr>
        <w:spacing w:line="240" w:lineRule="auto"/>
        <w:jc w:val="left"/>
        <w:rPr>
          <w:rFonts w:cs="Arial"/>
          <w:color w:val="000000" w:themeColor="text1"/>
          <w:sz w:val="20"/>
          <w:szCs w:val="20"/>
        </w:rPr>
      </w:pPr>
      <w:hyperlink r:id="rId39" w:history="1">
        <w:r w:rsidR="00331505" w:rsidRPr="00C95C4A">
          <w:rPr>
            <w:rStyle w:val="Hyperlink"/>
            <w:color w:val="000000" w:themeColor="text1"/>
            <w:sz w:val="20"/>
            <w:szCs w:val="20"/>
            <w:u w:val="none"/>
          </w:rPr>
          <w:t>Bojko@carpenterlipps.com</w:t>
        </w:r>
      </w:hyperlink>
    </w:p>
    <w:p w14:paraId="47B52DED" w14:textId="77777777" w:rsidR="00331505" w:rsidRPr="00C95C4A" w:rsidRDefault="0064608B" w:rsidP="00316951">
      <w:pPr>
        <w:spacing w:line="240" w:lineRule="auto"/>
        <w:jc w:val="left"/>
        <w:rPr>
          <w:rFonts w:cs="Arial"/>
          <w:color w:val="000000" w:themeColor="text1"/>
          <w:sz w:val="20"/>
          <w:szCs w:val="20"/>
        </w:rPr>
      </w:pPr>
      <w:hyperlink r:id="rId40" w:history="1">
        <w:r w:rsidR="00331505" w:rsidRPr="00C95C4A">
          <w:rPr>
            <w:rStyle w:val="Hyperlink"/>
            <w:color w:val="000000" w:themeColor="text1"/>
            <w:sz w:val="20"/>
            <w:szCs w:val="20"/>
            <w:u w:val="none"/>
          </w:rPr>
          <w:t>Ghiloni@carpenterlipps.com</w:t>
        </w:r>
      </w:hyperlink>
    </w:p>
    <w:p w14:paraId="0CAFAC60" w14:textId="77777777" w:rsidR="00331505" w:rsidRPr="00C95C4A" w:rsidRDefault="00331505" w:rsidP="00316951">
      <w:pPr>
        <w:spacing w:line="240" w:lineRule="auto"/>
        <w:jc w:val="left"/>
        <w:rPr>
          <w:rFonts w:cs="Arial"/>
          <w:color w:val="000000" w:themeColor="text1"/>
          <w:sz w:val="20"/>
          <w:szCs w:val="20"/>
        </w:rPr>
      </w:pPr>
    </w:p>
    <w:p w14:paraId="4A749918"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the Ohio Manufacturers’ Association Energy Group</w:t>
      </w:r>
    </w:p>
    <w:p w14:paraId="76220CBA" w14:textId="77777777" w:rsidR="00331505" w:rsidRPr="00C95C4A" w:rsidRDefault="00331505" w:rsidP="00316951">
      <w:pPr>
        <w:spacing w:line="240" w:lineRule="auto"/>
        <w:jc w:val="left"/>
        <w:rPr>
          <w:rFonts w:cs="Arial"/>
          <w:color w:val="000000" w:themeColor="text1"/>
          <w:sz w:val="20"/>
          <w:szCs w:val="20"/>
        </w:rPr>
      </w:pPr>
    </w:p>
    <w:p w14:paraId="11D3799E" w14:textId="77777777" w:rsidR="00A152B6" w:rsidRPr="00C95C4A" w:rsidRDefault="00A152B6" w:rsidP="00316951">
      <w:pPr>
        <w:spacing w:line="240" w:lineRule="auto"/>
        <w:jc w:val="left"/>
        <w:rPr>
          <w:rFonts w:cs="Arial"/>
          <w:color w:val="000000" w:themeColor="text1"/>
          <w:sz w:val="20"/>
          <w:szCs w:val="20"/>
        </w:rPr>
      </w:pPr>
      <w:r w:rsidRPr="00C95C4A">
        <w:rPr>
          <w:rFonts w:cs="Arial"/>
          <w:color w:val="000000" w:themeColor="text1"/>
          <w:sz w:val="20"/>
          <w:szCs w:val="20"/>
        </w:rPr>
        <w:t>Colleen L. Mooney</w:t>
      </w:r>
    </w:p>
    <w:p w14:paraId="78ED5259" w14:textId="77777777" w:rsidR="00A152B6" w:rsidRPr="00C95C4A" w:rsidRDefault="00A152B6" w:rsidP="00316951">
      <w:pPr>
        <w:spacing w:line="240" w:lineRule="auto"/>
        <w:jc w:val="left"/>
        <w:rPr>
          <w:rFonts w:cs="Arial"/>
          <w:color w:val="000000" w:themeColor="text1"/>
          <w:sz w:val="20"/>
          <w:szCs w:val="20"/>
        </w:rPr>
      </w:pPr>
      <w:r w:rsidRPr="00C95C4A">
        <w:rPr>
          <w:rFonts w:cs="Arial"/>
          <w:color w:val="000000" w:themeColor="text1"/>
          <w:sz w:val="20"/>
          <w:szCs w:val="20"/>
        </w:rPr>
        <w:t>231 West Lima Street</w:t>
      </w:r>
    </w:p>
    <w:p w14:paraId="437D2A20" w14:textId="77777777" w:rsidR="00A152B6" w:rsidRPr="00C95C4A" w:rsidRDefault="00A152B6" w:rsidP="00316951">
      <w:pPr>
        <w:spacing w:line="240" w:lineRule="auto"/>
        <w:jc w:val="left"/>
        <w:rPr>
          <w:rFonts w:cs="Arial"/>
          <w:color w:val="000000" w:themeColor="text1"/>
          <w:sz w:val="20"/>
          <w:szCs w:val="20"/>
        </w:rPr>
      </w:pPr>
      <w:r w:rsidRPr="00C95C4A">
        <w:rPr>
          <w:rFonts w:cs="Arial"/>
          <w:color w:val="000000" w:themeColor="text1"/>
          <w:sz w:val="20"/>
          <w:szCs w:val="20"/>
        </w:rPr>
        <w:t>PO Box 1793</w:t>
      </w:r>
    </w:p>
    <w:p w14:paraId="33C5E8F7" w14:textId="77777777" w:rsidR="00A152B6" w:rsidRPr="00C95C4A" w:rsidRDefault="00A152B6" w:rsidP="00316951">
      <w:pPr>
        <w:spacing w:line="240" w:lineRule="auto"/>
        <w:jc w:val="left"/>
        <w:rPr>
          <w:rFonts w:cs="Arial"/>
          <w:color w:val="000000" w:themeColor="text1"/>
          <w:sz w:val="20"/>
          <w:szCs w:val="20"/>
        </w:rPr>
      </w:pPr>
      <w:r w:rsidRPr="00C95C4A">
        <w:rPr>
          <w:rFonts w:cs="Arial"/>
          <w:color w:val="000000" w:themeColor="text1"/>
          <w:sz w:val="20"/>
          <w:szCs w:val="20"/>
        </w:rPr>
        <w:t>Findlay, OH  45839-1793</w:t>
      </w:r>
    </w:p>
    <w:p w14:paraId="4A870F51" w14:textId="77777777" w:rsidR="00A152B6" w:rsidRPr="00C95C4A" w:rsidRDefault="0064608B" w:rsidP="00316951">
      <w:pPr>
        <w:spacing w:line="240" w:lineRule="auto"/>
        <w:jc w:val="left"/>
        <w:rPr>
          <w:rFonts w:cs="Arial"/>
          <w:color w:val="000000" w:themeColor="text1"/>
          <w:sz w:val="20"/>
          <w:szCs w:val="20"/>
        </w:rPr>
      </w:pPr>
      <w:hyperlink r:id="rId41" w:history="1">
        <w:r w:rsidR="00A152B6" w:rsidRPr="00C95C4A">
          <w:rPr>
            <w:rStyle w:val="Hyperlink"/>
            <w:color w:val="000000" w:themeColor="text1"/>
            <w:sz w:val="20"/>
            <w:szCs w:val="20"/>
            <w:u w:val="none"/>
          </w:rPr>
          <w:t>cmooney@ohiopartners.org</w:t>
        </w:r>
      </w:hyperlink>
    </w:p>
    <w:p w14:paraId="3A636A1F" w14:textId="77777777" w:rsidR="00A152B6" w:rsidRPr="00C95C4A" w:rsidRDefault="00A152B6" w:rsidP="00316951">
      <w:pPr>
        <w:spacing w:line="240" w:lineRule="auto"/>
        <w:jc w:val="left"/>
        <w:rPr>
          <w:rFonts w:cs="Arial"/>
          <w:color w:val="000000" w:themeColor="text1"/>
          <w:sz w:val="20"/>
          <w:szCs w:val="20"/>
        </w:rPr>
      </w:pPr>
    </w:p>
    <w:p w14:paraId="12EAFCFC" w14:textId="77777777" w:rsidR="00A152B6" w:rsidRPr="00C95C4A" w:rsidRDefault="00A152B6"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Ohio Partners for Affordable Energy</w:t>
      </w:r>
    </w:p>
    <w:p w14:paraId="5BF7FB3B" w14:textId="77777777" w:rsidR="00A152B6" w:rsidRPr="00C95C4A" w:rsidRDefault="00A152B6" w:rsidP="00316951">
      <w:pPr>
        <w:spacing w:line="240" w:lineRule="auto"/>
        <w:jc w:val="left"/>
        <w:rPr>
          <w:rFonts w:cs="Arial"/>
          <w:color w:val="000000" w:themeColor="text1"/>
          <w:sz w:val="20"/>
          <w:szCs w:val="20"/>
        </w:rPr>
      </w:pPr>
    </w:p>
    <w:p w14:paraId="134F21B3" w14:textId="0252EF71" w:rsidR="00331505" w:rsidRPr="00C95C4A" w:rsidRDefault="00A152B6" w:rsidP="00316951">
      <w:pPr>
        <w:spacing w:line="240" w:lineRule="auto"/>
        <w:jc w:val="left"/>
        <w:rPr>
          <w:rFonts w:cs="Arial"/>
          <w:color w:val="000000" w:themeColor="text1"/>
          <w:sz w:val="20"/>
          <w:szCs w:val="20"/>
        </w:rPr>
      </w:pPr>
      <w:r>
        <w:rPr>
          <w:rFonts w:cs="Arial"/>
          <w:color w:val="000000" w:themeColor="text1"/>
          <w:sz w:val="20"/>
          <w:szCs w:val="20"/>
        </w:rPr>
        <w:br w:type="column"/>
      </w:r>
      <w:r w:rsidR="00331505" w:rsidRPr="00C95C4A">
        <w:rPr>
          <w:rFonts w:cs="Arial"/>
          <w:color w:val="000000" w:themeColor="text1"/>
          <w:sz w:val="20"/>
          <w:szCs w:val="20"/>
        </w:rPr>
        <w:t xml:space="preserve">Michael J. </w:t>
      </w:r>
      <w:proofErr w:type="spellStart"/>
      <w:r w:rsidR="00331505" w:rsidRPr="00C95C4A">
        <w:rPr>
          <w:rFonts w:cs="Arial"/>
          <w:color w:val="000000" w:themeColor="text1"/>
          <w:sz w:val="20"/>
          <w:szCs w:val="20"/>
        </w:rPr>
        <w:t>Settineri</w:t>
      </w:r>
      <w:proofErr w:type="spellEnd"/>
    </w:p>
    <w:p w14:paraId="5DCC99AE"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Stephen M. Howard</w:t>
      </w:r>
    </w:p>
    <w:p w14:paraId="0D309742"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 xml:space="preserve">Gretchen L. </w:t>
      </w:r>
      <w:proofErr w:type="spellStart"/>
      <w:r w:rsidRPr="00C95C4A">
        <w:rPr>
          <w:rFonts w:cs="Arial"/>
          <w:color w:val="000000" w:themeColor="text1"/>
          <w:sz w:val="20"/>
          <w:szCs w:val="20"/>
        </w:rPr>
        <w:t>Petrucci</w:t>
      </w:r>
      <w:proofErr w:type="spellEnd"/>
    </w:p>
    <w:p w14:paraId="1C2779CC"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 xml:space="preserve">Ilya </w:t>
      </w:r>
      <w:proofErr w:type="spellStart"/>
      <w:r w:rsidRPr="00C95C4A">
        <w:rPr>
          <w:rFonts w:cs="Arial"/>
          <w:color w:val="000000" w:themeColor="text1"/>
          <w:sz w:val="20"/>
          <w:szCs w:val="20"/>
        </w:rPr>
        <w:t>Batikov</w:t>
      </w:r>
      <w:proofErr w:type="spellEnd"/>
    </w:p>
    <w:p w14:paraId="31785124" w14:textId="77777777" w:rsidR="00331505" w:rsidRPr="00C95C4A" w:rsidRDefault="00331505" w:rsidP="00316951">
      <w:pPr>
        <w:spacing w:line="240" w:lineRule="auto"/>
        <w:jc w:val="left"/>
        <w:rPr>
          <w:rFonts w:cs="Arial"/>
          <w:color w:val="000000" w:themeColor="text1"/>
          <w:sz w:val="20"/>
          <w:szCs w:val="20"/>
        </w:rPr>
      </w:pPr>
      <w:proofErr w:type="spellStart"/>
      <w:r w:rsidRPr="00C95C4A">
        <w:rPr>
          <w:rFonts w:cs="Arial"/>
          <w:color w:val="000000" w:themeColor="text1"/>
          <w:sz w:val="20"/>
          <w:szCs w:val="20"/>
        </w:rPr>
        <w:t>Vorys</w:t>
      </w:r>
      <w:proofErr w:type="spellEnd"/>
      <w:r w:rsidRPr="00C95C4A">
        <w:rPr>
          <w:rFonts w:cs="Arial"/>
          <w:color w:val="000000" w:themeColor="text1"/>
          <w:sz w:val="20"/>
          <w:szCs w:val="20"/>
        </w:rPr>
        <w:t xml:space="preserve">, </w:t>
      </w:r>
      <w:proofErr w:type="spellStart"/>
      <w:r w:rsidRPr="00C95C4A">
        <w:rPr>
          <w:rFonts w:cs="Arial"/>
          <w:color w:val="000000" w:themeColor="text1"/>
          <w:sz w:val="20"/>
          <w:szCs w:val="20"/>
        </w:rPr>
        <w:t>Sater</w:t>
      </w:r>
      <w:proofErr w:type="spellEnd"/>
      <w:r w:rsidRPr="00C95C4A">
        <w:rPr>
          <w:rFonts w:cs="Arial"/>
          <w:color w:val="000000" w:themeColor="text1"/>
          <w:sz w:val="20"/>
          <w:szCs w:val="20"/>
        </w:rPr>
        <w:t>, Seymour and Pease LLP</w:t>
      </w:r>
    </w:p>
    <w:p w14:paraId="6FCD973C"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52 E. Gay Street</w:t>
      </w:r>
    </w:p>
    <w:p w14:paraId="3D2FCBBD"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6DA7DDB6" w14:textId="77777777" w:rsidR="00331505" w:rsidRPr="00C95C4A" w:rsidRDefault="0064608B" w:rsidP="00316951">
      <w:pPr>
        <w:spacing w:line="240" w:lineRule="auto"/>
        <w:jc w:val="left"/>
        <w:rPr>
          <w:rFonts w:cs="Arial"/>
          <w:color w:val="000000" w:themeColor="text1"/>
          <w:sz w:val="20"/>
          <w:szCs w:val="20"/>
        </w:rPr>
      </w:pPr>
      <w:hyperlink r:id="rId42" w:history="1">
        <w:r w:rsidR="00331505" w:rsidRPr="00C95C4A">
          <w:rPr>
            <w:rStyle w:val="Hyperlink"/>
            <w:color w:val="000000" w:themeColor="text1"/>
            <w:sz w:val="20"/>
            <w:szCs w:val="20"/>
            <w:u w:val="none"/>
          </w:rPr>
          <w:t>mjsettineri@vorys.com</w:t>
        </w:r>
      </w:hyperlink>
    </w:p>
    <w:p w14:paraId="5BF176F7" w14:textId="77777777" w:rsidR="00331505" w:rsidRPr="00C95C4A" w:rsidRDefault="0064608B" w:rsidP="00316951">
      <w:pPr>
        <w:spacing w:line="240" w:lineRule="auto"/>
        <w:jc w:val="left"/>
        <w:rPr>
          <w:rFonts w:cs="Arial"/>
          <w:color w:val="000000" w:themeColor="text1"/>
          <w:sz w:val="20"/>
          <w:szCs w:val="20"/>
        </w:rPr>
      </w:pPr>
      <w:hyperlink r:id="rId43" w:history="1">
        <w:r w:rsidR="00331505" w:rsidRPr="00C95C4A">
          <w:rPr>
            <w:rStyle w:val="Hyperlink"/>
            <w:color w:val="000000" w:themeColor="text1"/>
            <w:sz w:val="20"/>
            <w:szCs w:val="20"/>
            <w:u w:val="none"/>
          </w:rPr>
          <w:t>smhoward@vorys.co</w:t>
        </w:r>
      </w:hyperlink>
      <w:r w:rsidR="00331505" w:rsidRPr="00C95C4A">
        <w:rPr>
          <w:rFonts w:cs="Arial"/>
          <w:color w:val="000000" w:themeColor="text1"/>
          <w:sz w:val="20"/>
          <w:szCs w:val="20"/>
        </w:rPr>
        <w:t>m</w:t>
      </w:r>
    </w:p>
    <w:p w14:paraId="596DD8A4" w14:textId="77777777" w:rsidR="00331505" w:rsidRPr="00C95C4A" w:rsidRDefault="0064608B" w:rsidP="00316951">
      <w:pPr>
        <w:spacing w:line="240" w:lineRule="auto"/>
        <w:jc w:val="left"/>
        <w:rPr>
          <w:rFonts w:cs="Arial"/>
          <w:color w:val="000000" w:themeColor="text1"/>
          <w:sz w:val="20"/>
          <w:szCs w:val="20"/>
        </w:rPr>
      </w:pPr>
      <w:hyperlink r:id="rId44" w:history="1">
        <w:r w:rsidR="00331505" w:rsidRPr="00C95C4A">
          <w:rPr>
            <w:rStyle w:val="Hyperlink"/>
            <w:color w:val="000000" w:themeColor="text1"/>
            <w:sz w:val="20"/>
            <w:szCs w:val="20"/>
            <w:u w:val="none"/>
          </w:rPr>
          <w:t>glpetrucci@vorys.com</w:t>
        </w:r>
      </w:hyperlink>
    </w:p>
    <w:p w14:paraId="661CEF88" w14:textId="77777777" w:rsidR="00331505" w:rsidRPr="00C95C4A" w:rsidRDefault="0064608B" w:rsidP="00316951">
      <w:pPr>
        <w:spacing w:line="240" w:lineRule="auto"/>
        <w:jc w:val="left"/>
        <w:rPr>
          <w:rFonts w:cs="Arial"/>
          <w:color w:val="000000" w:themeColor="text1"/>
          <w:sz w:val="20"/>
          <w:szCs w:val="20"/>
        </w:rPr>
      </w:pPr>
      <w:hyperlink r:id="rId45" w:history="1">
        <w:r w:rsidR="00331505" w:rsidRPr="00C95C4A">
          <w:rPr>
            <w:rStyle w:val="Hyperlink"/>
            <w:color w:val="000000" w:themeColor="text1"/>
            <w:sz w:val="20"/>
            <w:szCs w:val="20"/>
            <w:u w:val="none"/>
          </w:rPr>
          <w:t>ibatikov@vorys.com</w:t>
        </w:r>
      </w:hyperlink>
    </w:p>
    <w:p w14:paraId="7F1E1A15" w14:textId="77777777" w:rsidR="00331505" w:rsidRPr="00C95C4A" w:rsidRDefault="00331505" w:rsidP="00316951">
      <w:pPr>
        <w:spacing w:line="240" w:lineRule="auto"/>
        <w:jc w:val="left"/>
        <w:rPr>
          <w:rFonts w:cs="Arial"/>
          <w:color w:val="000000" w:themeColor="text1"/>
          <w:sz w:val="20"/>
          <w:szCs w:val="20"/>
        </w:rPr>
      </w:pPr>
    </w:p>
    <w:p w14:paraId="40DB8420"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Dynegy Inc., PJM Power Providers Group and the Electric Power Supply Association and the Retail Energy Supply Association</w:t>
      </w:r>
    </w:p>
    <w:p w14:paraId="40689A10" w14:textId="77777777" w:rsidR="00331505" w:rsidRPr="00C95C4A" w:rsidRDefault="00331505" w:rsidP="00316951">
      <w:pPr>
        <w:spacing w:line="240" w:lineRule="auto"/>
        <w:jc w:val="left"/>
        <w:rPr>
          <w:rFonts w:cs="Arial"/>
          <w:color w:val="000000" w:themeColor="text1"/>
          <w:sz w:val="20"/>
          <w:szCs w:val="20"/>
        </w:rPr>
      </w:pPr>
    </w:p>
    <w:p w14:paraId="07EB3ADF"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Joseph Oliker</w:t>
      </w:r>
    </w:p>
    <w:p w14:paraId="663E356E"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IGS Energy</w:t>
      </w:r>
    </w:p>
    <w:p w14:paraId="7B94B48B"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6100 Emerald Parkway</w:t>
      </w:r>
    </w:p>
    <w:p w14:paraId="12DF34CE"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Dublin, OH  43016</w:t>
      </w:r>
    </w:p>
    <w:p w14:paraId="17F98380" w14:textId="77777777" w:rsidR="00331505" w:rsidRPr="00C95C4A" w:rsidRDefault="0064608B" w:rsidP="00316951">
      <w:pPr>
        <w:spacing w:line="240" w:lineRule="auto"/>
        <w:jc w:val="left"/>
        <w:rPr>
          <w:rFonts w:cs="Arial"/>
          <w:color w:val="000000" w:themeColor="text1"/>
          <w:sz w:val="20"/>
          <w:szCs w:val="20"/>
        </w:rPr>
      </w:pPr>
      <w:hyperlink r:id="rId46" w:history="1">
        <w:r w:rsidR="00331505" w:rsidRPr="00C95C4A">
          <w:rPr>
            <w:rStyle w:val="Hyperlink"/>
            <w:color w:val="000000" w:themeColor="text1"/>
            <w:sz w:val="20"/>
            <w:szCs w:val="20"/>
            <w:u w:val="none"/>
          </w:rPr>
          <w:t>joliker@igsenergy.com</w:t>
        </w:r>
      </w:hyperlink>
    </w:p>
    <w:p w14:paraId="5A3695F9" w14:textId="77777777" w:rsidR="00331505" w:rsidRPr="00C95C4A" w:rsidRDefault="00331505" w:rsidP="00316951">
      <w:pPr>
        <w:spacing w:line="240" w:lineRule="auto"/>
        <w:jc w:val="left"/>
        <w:rPr>
          <w:rFonts w:cs="Arial"/>
          <w:color w:val="000000" w:themeColor="text1"/>
          <w:sz w:val="20"/>
          <w:szCs w:val="20"/>
        </w:rPr>
      </w:pPr>
    </w:p>
    <w:p w14:paraId="7B244E71"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IGS Energy</w:t>
      </w:r>
    </w:p>
    <w:p w14:paraId="3AE22EDA" w14:textId="77777777" w:rsidR="00331505" w:rsidRPr="00C95C4A" w:rsidRDefault="00331505" w:rsidP="00316951">
      <w:pPr>
        <w:spacing w:line="240" w:lineRule="auto"/>
        <w:jc w:val="left"/>
        <w:rPr>
          <w:rFonts w:cs="Arial"/>
          <w:color w:val="000000" w:themeColor="text1"/>
          <w:sz w:val="20"/>
          <w:szCs w:val="20"/>
        </w:rPr>
      </w:pPr>
    </w:p>
    <w:p w14:paraId="122C26F5" w14:textId="1C7D741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Michael D. Dortch</w:t>
      </w:r>
    </w:p>
    <w:p w14:paraId="42DF3C9A"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Richard R. Parsons</w:t>
      </w:r>
    </w:p>
    <w:p w14:paraId="0924B13F" w14:textId="77777777" w:rsidR="00331505" w:rsidRPr="00C95C4A" w:rsidRDefault="00331505" w:rsidP="00316951">
      <w:pPr>
        <w:spacing w:line="240" w:lineRule="auto"/>
        <w:jc w:val="left"/>
        <w:rPr>
          <w:rFonts w:cs="Arial"/>
          <w:color w:val="000000" w:themeColor="text1"/>
          <w:sz w:val="20"/>
          <w:szCs w:val="20"/>
        </w:rPr>
      </w:pPr>
      <w:proofErr w:type="spellStart"/>
      <w:r w:rsidRPr="00C95C4A">
        <w:rPr>
          <w:rFonts w:cs="Arial"/>
          <w:color w:val="000000" w:themeColor="text1"/>
          <w:sz w:val="20"/>
          <w:szCs w:val="20"/>
        </w:rPr>
        <w:t>Kravitz</w:t>
      </w:r>
      <w:proofErr w:type="spellEnd"/>
      <w:r w:rsidRPr="00C95C4A">
        <w:rPr>
          <w:rFonts w:cs="Arial"/>
          <w:color w:val="000000" w:themeColor="text1"/>
          <w:sz w:val="20"/>
          <w:szCs w:val="20"/>
        </w:rPr>
        <w:t>, Brown &amp; Dortch, LLC</w:t>
      </w:r>
    </w:p>
    <w:p w14:paraId="5FB0746F"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65 East State Street, Suite 200</w:t>
      </w:r>
    </w:p>
    <w:p w14:paraId="0F6FA928"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49B92D69" w14:textId="77777777" w:rsidR="00331505" w:rsidRPr="00C95C4A" w:rsidRDefault="0064608B" w:rsidP="00316951">
      <w:pPr>
        <w:spacing w:line="240" w:lineRule="auto"/>
        <w:jc w:val="left"/>
        <w:rPr>
          <w:rFonts w:cs="Arial"/>
          <w:color w:val="000000" w:themeColor="text1"/>
          <w:sz w:val="20"/>
          <w:szCs w:val="20"/>
        </w:rPr>
      </w:pPr>
      <w:hyperlink r:id="rId47" w:history="1">
        <w:r w:rsidR="00331505" w:rsidRPr="00C95C4A">
          <w:rPr>
            <w:rStyle w:val="Hyperlink"/>
            <w:color w:val="000000" w:themeColor="text1"/>
            <w:sz w:val="20"/>
            <w:szCs w:val="20"/>
            <w:u w:val="none"/>
          </w:rPr>
          <w:t>mdortch@kravitzllc.com</w:t>
        </w:r>
      </w:hyperlink>
    </w:p>
    <w:p w14:paraId="600FF2BA" w14:textId="77777777" w:rsidR="00331505" w:rsidRPr="00C95C4A" w:rsidRDefault="0064608B" w:rsidP="00316951">
      <w:pPr>
        <w:spacing w:line="240" w:lineRule="auto"/>
        <w:jc w:val="left"/>
        <w:rPr>
          <w:rFonts w:cs="Arial"/>
          <w:color w:val="000000" w:themeColor="text1"/>
          <w:sz w:val="20"/>
          <w:szCs w:val="20"/>
        </w:rPr>
      </w:pPr>
      <w:hyperlink r:id="rId48" w:history="1">
        <w:r w:rsidR="00331505" w:rsidRPr="00C95C4A">
          <w:rPr>
            <w:rStyle w:val="Hyperlink"/>
            <w:color w:val="000000" w:themeColor="text1"/>
            <w:sz w:val="20"/>
            <w:szCs w:val="20"/>
            <w:u w:val="none"/>
          </w:rPr>
          <w:t>rparsons@kravitzllc.com</w:t>
        </w:r>
      </w:hyperlink>
    </w:p>
    <w:p w14:paraId="5EDFC4C0" w14:textId="77777777" w:rsidR="00331505" w:rsidRPr="00C95C4A" w:rsidRDefault="00331505" w:rsidP="00316951">
      <w:pPr>
        <w:spacing w:line="240" w:lineRule="auto"/>
        <w:jc w:val="left"/>
        <w:rPr>
          <w:rFonts w:cs="Arial"/>
          <w:color w:val="000000" w:themeColor="text1"/>
          <w:sz w:val="20"/>
          <w:szCs w:val="20"/>
        </w:rPr>
      </w:pPr>
    </w:p>
    <w:p w14:paraId="498BEB44"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Noble Americas Energy Solutions LLC</w:t>
      </w:r>
    </w:p>
    <w:p w14:paraId="17CD70AA" w14:textId="77777777" w:rsidR="00331505" w:rsidRPr="00C95C4A" w:rsidRDefault="00331505" w:rsidP="00316951">
      <w:pPr>
        <w:spacing w:line="240" w:lineRule="auto"/>
        <w:jc w:val="left"/>
        <w:rPr>
          <w:rFonts w:cs="Arial"/>
          <w:color w:val="000000" w:themeColor="text1"/>
          <w:sz w:val="20"/>
          <w:szCs w:val="20"/>
        </w:rPr>
      </w:pPr>
    </w:p>
    <w:p w14:paraId="2B6374F6"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Trent Dougherty</w:t>
      </w:r>
    </w:p>
    <w:p w14:paraId="218AD3B7"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1145 Chesapeake Ave., Suite I</w:t>
      </w:r>
    </w:p>
    <w:p w14:paraId="65E8DEDB"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43212-3449</w:t>
      </w:r>
    </w:p>
    <w:p w14:paraId="31BA6D6C" w14:textId="77777777" w:rsidR="00331505" w:rsidRPr="00C95C4A" w:rsidRDefault="0064608B" w:rsidP="00316951">
      <w:pPr>
        <w:spacing w:line="240" w:lineRule="auto"/>
        <w:jc w:val="left"/>
        <w:rPr>
          <w:rFonts w:cs="Arial"/>
          <w:color w:val="000000" w:themeColor="text1"/>
          <w:sz w:val="20"/>
          <w:szCs w:val="20"/>
        </w:rPr>
      </w:pPr>
      <w:hyperlink r:id="rId49" w:history="1">
        <w:r w:rsidR="00331505" w:rsidRPr="00C95C4A">
          <w:rPr>
            <w:rStyle w:val="Hyperlink"/>
            <w:color w:val="000000" w:themeColor="text1"/>
            <w:sz w:val="20"/>
            <w:szCs w:val="20"/>
            <w:u w:val="none"/>
          </w:rPr>
          <w:t>tdougherty@theOEC.org</w:t>
        </w:r>
      </w:hyperlink>
    </w:p>
    <w:p w14:paraId="5804975C" w14:textId="77777777" w:rsidR="00331505" w:rsidRPr="00C95C4A" w:rsidRDefault="00331505" w:rsidP="00316951">
      <w:pPr>
        <w:spacing w:line="240" w:lineRule="auto"/>
        <w:jc w:val="left"/>
        <w:rPr>
          <w:rFonts w:cs="Arial"/>
          <w:color w:val="000000" w:themeColor="text1"/>
          <w:sz w:val="20"/>
          <w:szCs w:val="20"/>
        </w:rPr>
      </w:pPr>
    </w:p>
    <w:p w14:paraId="432F7711"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the Ohio Environmental Council and Environmental Defense Fund</w:t>
      </w:r>
    </w:p>
    <w:p w14:paraId="0EF7AE6E" w14:textId="77777777" w:rsidR="00331505" w:rsidRPr="00C95C4A" w:rsidRDefault="00331505" w:rsidP="00316951">
      <w:pPr>
        <w:spacing w:line="240" w:lineRule="auto"/>
        <w:jc w:val="left"/>
        <w:rPr>
          <w:rFonts w:cs="Arial"/>
          <w:color w:val="000000" w:themeColor="text1"/>
          <w:sz w:val="20"/>
          <w:szCs w:val="20"/>
        </w:rPr>
      </w:pPr>
    </w:p>
    <w:p w14:paraId="4EEB70FA"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Joel E. Sechler</w:t>
      </w:r>
    </w:p>
    <w:p w14:paraId="3959F772"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 xml:space="preserve">Carpenter </w:t>
      </w:r>
      <w:proofErr w:type="spellStart"/>
      <w:r w:rsidRPr="00C95C4A">
        <w:rPr>
          <w:rFonts w:cs="Arial"/>
          <w:color w:val="000000" w:themeColor="text1"/>
          <w:sz w:val="20"/>
          <w:szCs w:val="20"/>
        </w:rPr>
        <w:t>Lipps</w:t>
      </w:r>
      <w:proofErr w:type="spellEnd"/>
      <w:r w:rsidRPr="00C95C4A">
        <w:rPr>
          <w:rFonts w:cs="Arial"/>
          <w:color w:val="000000" w:themeColor="text1"/>
          <w:sz w:val="20"/>
          <w:szCs w:val="20"/>
        </w:rPr>
        <w:t xml:space="preserve"> &amp; Leland LLP</w:t>
      </w:r>
    </w:p>
    <w:p w14:paraId="4B7694F9"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280 North High Street, Suite 1300</w:t>
      </w:r>
    </w:p>
    <w:p w14:paraId="1F3DF604"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2713BDF6" w14:textId="77777777" w:rsidR="00331505" w:rsidRPr="00C95C4A" w:rsidRDefault="0064608B" w:rsidP="00316951">
      <w:pPr>
        <w:spacing w:line="240" w:lineRule="auto"/>
        <w:jc w:val="left"/>
        <w:rPr>
          <w:rFonts w:cs="Arial"/>
          <w:color w:val="000000" w:themeColor="text1"/>
          <w:sz w:val="20"/>
          <w:szCs w:val="20"/>
        </w:rPr>
      </w:pPr>
      <w:hyperlink r:id="rId50" w:history="1">
        <w:r w:rsidR="00331505" w:rsidRPr="00C95C4A">
          <w:rPr>
            <w:rStyle w:val="Hyperlink"/>
            <w:color w:val="000000" w:themeColor="text1"/>
            <w:sz w:val="20"/>
            <w:szCs w:val="20"/>
            <w:u w:val="none"/>
          </w:rPr>
          <w:t>Sechler@carpenterlipps.com</w:t>
        </w:r>
      </w:hyperlink>
    </w:p>
    <w:p w14:paraId="3B6B5D49" w14:textId="77777777" w:rsidR="00331505" w:rsidRPr="00C95C4A" w:rsidRDefault="00331505" w:rsidP="00316951">
      <w:pPr>
        <w:spacing w:line="240" w:lineRule="auto"/>
        <w:jc w:val="left"/>
        <w:rPr>
          <w:rFonts w:cs="Arial"/>
          <w:color w:val="000000" w:themeColor="text1"/>
          <w:sz w:val="20"/>
          <w:szCs w:val="20"/>
        </w:rPr>
      </w:pPr>
    </w:p>
    <w:p w14:paraId="016EB78D" w14:textId="77777777" w:rsidR="00A152B6" w:rsidRDefault="00A152B6" w:rsidP="00316951">
      <w:pPr>
        <w:spacing w:line="240" w:lineRule="auto"/>
        <w:jc w:val="left"/>
        <w:rPr>
          <w:rFonts w:cs="Arial"/>
          <w:color w:val="000000" w:themeColor="text1"/>
          <w:sz w:val="20"/>
          <w:szCs w:val="20"/>
        </w:rPr>
        <w:sectPr w:rsidR="00A152B6" w:rsidSect="00A152B6">
          <w:pgSz w:w="12240" w:h="15840" w:code="1"/>
          <w:pgMar w:top="1440" w:right="1440" w:bottom="1440" w:left="1440" w:header="720" w:footer="720" w:gutter="0"/>
          <w:cols w:num="2" w:space="720"/>
          <w:titlePg/>
          <w:docGrid w:linePitch="360"/>
        </w:sectPr>
      </w:pPr>
    </w:p>
    <w:p w14:paraId="20E687F9" w14:textId="71F5E568"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lastRenderedPageBreak/>
        <w:t xml:space="preserve">Gregory J. </w:t>
      </w:r>
      <w:proofErr w:type="spellStart"/>
      <w:r w:rsidRPr="00C95C4A">
        <w:rPr>
          <w:rFonts w:cs="Arial"/>
          <w:color w:val="000000" w:themeColor="text1"/>
          <w:sz w:val="20"/>
          <w:szCs w:val="20"/>
        </w:rPr>
        <w:t>Poulos</w:t>
      </w:r>
      <w:proofErr w:type="spellEnd"/>
    </w:p>
    <w:p w14:paraId="46FB15C0" w14:textId="77777777" w:rsidR="00331505" w:rsidRPr="00C95C4A" w:rsidRDefault="00331505" w:rsidP="00316951">
      <w:pPr>
        <w:spacing w:line="240" w:lineRule="auto"/>
        <w:jc w:val="left"/>
        <w:rPr>
          <w:rFonts w:cs="Arial"/>
          <w:color w:val="000000" w:themeColor="text1"/>
          <w:sz w:val="20"/>
          <w:szCs w:val="20"/>
        </w:rPr>
      </w:pPr>
      <w:proofErr w:type="spellStart"/>
      <w:r w:rsidRPr="00C95C4A">
        <w:rPr>
          <w:rFonts w:cs="Arial"/>
          <w:color w:val="000000" w:themeColor="text1"/>
          <w:sz w:val="20"/>
          <w:szCs w:val="20"/>
        </w:rPr>
        <w:t>EnerNOC</w:t>
      </w:r>
      <w:proofErr w:type="spellEnd"/>
      <w:r w:rsidRPr="00C95C4A">
        <w:rPr>
          <w:rFonts w:cs="Arial"/>
          <w:color w:val="000000" w:themeColor="text1"/>
          <w:sz w:val="20"/>
          <w:szCs w:val="20"/>
        </w:rPr>
        <w:t>, Inc.</w:t>
      </w:r>
    </w:p>
    <w:p w14:paraId="297E4CBB"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PO Box 29492</w:t>
      </w:r>
    </w:p>
    <w:p w14:paraId="6D525D93"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43229</w:t>
      </w:r>
    </w:p>
    <w:p w14:paraId="0BDCC0B9" w14:textId="77777777" w:rsidR="00331505" w:rsidRPr="00C95C4A" w:rsidRDefault="0064608B" w:rsidP="00316951">
      <w:pPr>
        <w:spacing w:line="240" w:lineRule="auto"/>
        <w:jc w:val="left"/>
        <w:rPr>
          <w:rFonts w:cs="Arial"/>
          <w:color w:val="000000" w:themeColor="text1"/>
          <w:sz w:val="20"/>
          <w:szCs w:val="20"/>
        </w:rPr>
      </w:pPr>
      <w:hyperlink r:id="rId51" w:history="1">
        <w:r w:rsidR="00331505" w:rsidRPr="00C95C4A">
          <w:rPr>
            <w:rStyle w:val="Hyperlink"/>
            <w:color w:val="000000" w:themeColor="text1"/>
            <w:sz w:val="20"/>
            <w:szCs w:val="20"/>
            <w:u w:val="none"/>
          </w:rPr>
          <w:t>gpoulos@enernoc.com</w:t>
        </w:r>
      </w:hyperlink>
    </w:p>
    <w:p w14:paraId="2EDA3779" w14:textId="77777777" w:rsidR="00331505" w:rsidRPr="00C95C4A" w:rsidRDefault="00331505" w:rsidP="00316951">
      <w:pPr>
        <w:spacing w:line="240" w:lineRule="auto"/>
        <w:jc w:val="left"/>
        <w:rPr>
          <w:rFonts w:cs="Arial"/>
          <w:color w:val="000000" w:themeColor="text1"/>
          <w:sz w:val="20"/>
          <w:szCs w:val="20"/>
        </w:rPr>
      </w:pPr>
    </w:p>
    <w:p w14:paraId="048EF4A1"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 xml:space="preserve">Counsel for </w:t>
      </w:r>
      <w:proofErr w:type="spellStart"/>
      <w:r w:rsidRPr="00C95C4A">
        <w:rPr>
          <w:rFonts w:ascii="Arial Bold" w:hAnsi="Arial Bold" w:cs="Arial"/>
          <w:b/>
          <w:color w:val="000000" w:themeColor="text1"/>
          <w:sz w:val="20"/>
          <w:szCs w:val="20"/>
        </w:rPr>
        <w:t>EnerNOC</w:t>
      </w:r>
      <w:proofErr w:type="spellEnd"/>
      <w:r w:rsidRPr="00C95C4A">
        <w:rPr>
          <w:rFonts w:ascii="Arial Bold" w:hAnsi="Arial Bold" w:cs="Arial"/>
          <w:b/>
          <w:color w:val="000000" w:themeColor="text1"/>
          <w:sz w:val="20"/>
          <w:szCs w:val="20"/>
        </w:rPr>
        <w:t>, Inc.</w:t>
      </w:r>
    </w:p>
    <w:p w14:paraId="7B4B6587" w14:textId="77777777" w:rsidR="00331505" w:rsidRPr="00C95C4A" w:rsidRDefault="00331505" w:rsidP="00316951">
      <w:pPr>
        <w:spacing w:line="240" w:lineRule="auto"/>
        <w:jc w:val="left"/>
        <w:rPr>
          <w:rFonts w:cs="Arial"/>
          <w:color w:val="000000" w:themeColor="text1"/>
          <w:sz w:val="20"/>
          <w:szCs w:val="20"/>
        </w:rPr>
      </w:pPr>
    </w:p>
    <w:p w14:paraId="1682F038"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Richard L. Sites</w:t>
      </w:r>
    </w:p>
    <w:p w14:paraId="384657B5"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Regulatory Counsel</w:t>
      </w:r>
    </w:p>
    <w:p w14:paraId="7D9F798A"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Ohio Hospital Association</w:t>
      </w:r>
    </w:p>
    <w:p w14:paraId="6A06AB93"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155 East Broad Street, 3</w:t>
      </w:r>
      <w:r w:rsidRPr="00C95C4A">
        <w:rPr>
          <w:rFonts w:eastAsia="Calibri" w:cs="Arial"/>
          <w:color w:val="000000" w:themeColor="text1"/>
          <w:sz w:val="20"/>
          <w:szCs w:val="20"/>
          <w:vertAlign w:val="superscript"/>
        </w:rPr>
        <w:t>rd</w:t>
      </w:r>
      <w:r w:rsidRPr="00C95C4A">
        <w:rPr>
          <w:rFonts w:eastAsia="Calibri" w:cs="Arial"/>
          <w:color w:val="000000" w:themeColor="text1"/>
          <w:sz w:val="20"/>
          <w:szCs w:val="20"/>
        </w:rPr>
        <w:t xml:space="preserve"> Floor</w:t>
      </w:r>
    </w:p>
    <w:p w14:paraId="1CF11DC4"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Columbus, OH  43215-3620</w:t>
      </w:r>
    </w:p>
    <w:p w14:paraId="690FA93D" w14:textId="77777777" w:rsidR="00331505" w:rsidRPr="00C95C4A" w:rsidRDefault="0064608B" w:rsidP="00316951">
      <w:pPr>
        <w:spacing w:line="240" w:lineRule="auto"/>
        <w:jc w:val="left"/>
        <w:rPr>
          <w:rFonts w:eastAsia="Calibri" w:cs="Arial"/>
          <w:color w:val="000000" w:themeColor="text1"/>
          <w:sz w:val="20"/>
          <w:szCs w:val="20"/>
        </w:rPr>
      </w:pPr>
      <w:hyperlink r:id="rId52" w:history="1">
        <w:r w:rsidR="00331505" w:rsidRPr="00C95C4A">
          <w:rPr>
            <w:rStyle w:val="Hyperlink"/>
            <w:rFonts w:eastAsia="Calibri"/>
            <w:color w:val="000000" w:themeColor="text1"/>
            <w:sz w:val="20"/>
            <w:szCs w:val="20"/>
            <w:u w:val="none"/>
          </w:rPr>
          <w:t>rick.sites@ohiohospitals.org</w:t>
        </w:r>
      </w:hyperlink>
    </w:p>
    <w:p w14:paraId="18DC7C7A" w14:textId="77777777" w:rsidR="00331505" w:rsidRPr="00C95C4A" w:rsidRDefault="00331505" w:rsidP="00316951">
      <w:pPr>
        <w:spacing w:line="240" w:lineRule="auto"/>
        <w:jc w:val="left"/>
        <w:rPr>
          <w:rFonts w:eastAsia="Calibri" w:cs="Arial"/>
          <w:color w:val="000000" w:themeColor="text1"/>
          <w:sz w:val="20"/>
          <w:szCs w:val="20"/>
        </w:rPr>
      </w:pPr>
    </w:p>
    <w:p w14:paraId="6279EAB3"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Matthew Warnock</w:t>
      </w:r>
    </w:p>
    <w:p w14:paraId="7A2DAF8A"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 xml:space="preserve">Dylan </w:t>
      </w:r>
      <w:proofErr w:type="spellStart"/>
      <w:r w:rsidRPr="00C95C4A">
        <w:rPr>
          <w:rFonts w:eastAsia="Calibri" w:cs="Arial"/>
          <w:color w:val="000000" w:themeColor="text1"/>
          <w:sz w:val="20"/>
          <w:szCs w:val="20"/>
        </w:rPr>
        <w:t>Borchers</w:t>
      </w:r>
      <w:proofErr w:type="spellEnd"/>
    </w:p>
    <w:p w14:paraId="45B42B28"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 xml:space="preserve">Bricker &amp; </w:t>
      </w:r>
      <w:proofErr w:type="spellStart"/>
      <w:r w:rsidRPr="00C95C4A">
        <w:rPr>
          <w:rFonts w:eastAsia="Calibri" w:cs="Arial"/>
          <w:color w:val="000000" w:themeColor="text1"/>
          <w:sz w:val="20"/>
          <w:szCs w:val="20"/>
        </w:rPr>
        <w:t>Eckler</w:t>
      </w:r>
      <w:proofErr w:type="spellEnd"/>
      <w:r w:rsidRPr="00C95C4A">
        <w:rPr>
          <w:rFonts w:eastAsia="Calibri" w:cs="Arial"/>
          <w:color w:val="000000" w:themeColor="text1"/>
          <w:sz w:val="20"/>
          <w:szCs w:val="20"/>
        </w:rPr>
        <w:t xml:space="preserve"> LLP</w:t>
      </w:r>
    </w:p>
    <w:p w14:paraId="2BE87845"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100 South Third Street</w:t>
      </w:r>
    </w:p>
    <w:p w14:paraId="105AC7A3"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Columbus, OH  43215-4291</w:t>
      </w:r>
    </w:p>
    <w:p w14:paraId="05A96028" w14:textId="77777777" w:rsidR="00331505" w:rsidRPr="00C95C4A" w:rsidRDefault="0064608B" w:rsidP="00316951">
      <w:pPr>
        <w:spacing w:line="240" w:lineRule="auto"/>
        <w:jc w:val="left"/>
        <w:rPr>
          <w:rFonts w:eastAsia="Calibri" w:cs="Arial"/>
          <w:color w:val="000000" w:themeColor="text1"/>
          <w:sz w:val="20"/>
          <w:szCs w:val="20"/>
        </w:rPr>
      </w:pPr>
      <w:hyperlink r:id="rId53" w:history="1">
        <w:r w:rsidR="00331505" w:rsidRPr="00C95C4A">
          <w:rPr>
            <w:rStyle w:val="Hyperlink"/>
            <w:rFonts w:eastAsia="Calibri"/>
            <w:color w:val="000000" w:themeColor="text1"/>
            <w:sz w:val="20"/>
            <w:szCs w:val="20"/>
            <w:u w:val="none"/>
          </w:rPr>
          <w:t>mwarnock@bricker.com</w:t>
        </w:r>
      </w:hyperlink>
    </w:p>
    <w:p w14:paraId="4DDA8AE3" w14:textId="77777777" w:rsidR="00331505" w:rsidRPr="00C95C4A" w:rsidRDefault="0064608B" w:rsidP="00316951">
      <w:pPr>
        <w:spacing w:line="240" w:lineRule="auto"/>
        <w:jc w:val="left"/>
        <w:rPr>
          <w:rFonts w:eastAsia="Calibri" w:cs="Arial"/>
          <w:color w:val="000000" w:themeColor="text1"/>
          <w:sz w:val="20"/>
          <w:szCs w:val="20"/>
        </w:rPr>
      </w:pPr>
      <w:hyperlink r:id="rId54" w:history="1">
        <w:r w:rsidR="00331505" w:rsidRPr="00C95C4A">
          <w:rPr>
            <w:rStyle w:val="Hyperlink"/>
            <w:rFonts w:eastAsia="Calibri"/>
            <w:color w:val="000000" w:themeColor="text1"/>
            <w:sz w:val="20"/>
            <w:szCs w:val="20"/>
            <w:u w:val="none"/>
          </w:rPr>
          <w:t>dborchers@bricker.com</w:t>
        </w:r>
      </w:hyperlink>
    </w:p>
    <w:p w14:paraId="540F14AF" w14:textId="77777777" w:rsidR="00331505" w:rsidRPr="00C95C4A" w:rsidRDefault="00331505" w:rsidP="00316951">
      <w:pPr>
        <w:spacing w:line="240" w:lineRule="auto"/>
        <w:jc w:val="left"/>
        <w:rPr>
          <w:rFonts w:eastAsia="Calibri" w:cs="Arial"/>
          <w:color w:val="000000" w:themeColor="text1"/>
          <w:sz w:val="20"/>
          <w:szCs w:val="20"/>
        </w:rPr>
      </w:pPr>
    </w:p>
    <w:p w14:paraId="61995ED4" w14:textId="77777777" w:rsidR="00331505" w:rsidRPr="00C95C4A" w:rsidRDefault="00331505" w:rsidP="00316951">
      <w:pPr>
        <w:spacing w:line="240" w:lineRule="auto"/>
        <w:jc w:val="left"/>
        <w:rPr>
          <w:rFonts w:ascii="Arial Bold" w:eastAsia="Calibri" w:hAnsi="Arial Bold" w:cs="Arial"/>
          <w:b/>
          <w:color w:val="000000" w:themeColor="text1"/>
          <w:sz w:val="20"/>
          <w:szCs w:val="20"/>
        </w:rPr>
      </w:pPr>
      <w:r w:rsidRPr="00C95C4A">
        <w:rPr>
          <w:rFonts w:ascii="Arial Bold" w:eastAsia="Calibri" w:hAnsi="Arial Bold" w:cs="Arial"/>
          <w:b/>
          <w:color w:val="000000" w:themeColor="text1"/>
          <w:sz w:val="20"/>
          <w:szCs w:val="20"/>
        </w:rPr>
        <w:t>Counsel for The Ohio Hospital Association</w:t>
      </w:r>
    </w:p>
    <w:p w14:paraId="53D7E260" w14:textId="77777777" w:rsidR="00331505" w:rsidRPr="00C95C4A" w:rsidRDefault="00331505" w:rsidP="00316951">
      <w:pPr>
        <w:spacing w:line="240" w:lineRule="auto"/>
        <w:jc w:val="left"/>
        <w:rPr>
          <w:rFonts w:ascii="Arial Bold" w:eastAsia="Calibri" w:hAnsi="Arial Bold" w:cs="Arial"/>
          <w:b/>
          <w:color w:val="000000" w:themeColor="text1"/>
          <w:sz w:val="20"/>
          <w:szCs w:val="20"/>
        </w:rPr>
      </w:pPr>
    </w:p>
    <w:p w14:paraId="1C146447"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 xml:space="preserve">Richard C. </w:t>
      </w:r>
      <w:proofErr w:type="spellStart"/>
      <w:r w:rsidRPr="00C95C4A">
        <w:rPr>
          <w:rFonts w:eastAsia="Calibri" w:cs="Arial"/>
          <w:color w:val="000000" w:themeColor="text1"/>
          <w:sz w:val="20"/>
          <w:szCs w:val="20"/>
        </w:rPr>
        <w:t>Sahli</w:t>
      </w:r>
      <w:proofErr w:type="spellEnd"/>
    </w:p>
    <w:p w14:paraId="5557C4BE"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 xml:space="preserve">Richard </w:t>
      </w:r>
      <w:proofErr w:type="spellStart"/>
      <w:r w:rsidRPr="00C95C4A">
        <w:rPr>
          <w:rFonts w:eastAsia="Calibri" w:cs="Arial"/>
          <w:color w:val="000000" w:themeColor="text1"/>
          <w:sz w:val="20"/>
          <w:szCs w:val="20"/>
        </w:rPr>
        <w:t>Sahli</w:t>
      </w:r>
      <w:proofErr w:type="spellEnd"/>
      <w:r w:rsidRPr="00C95C4A">
        <w:rPr>
          <w:rFonts w:eastAsia="Calibri" w:cs="Arial"/>
          <w:color w:val="000000" w:themeColor="text1"/>
          <w:sz w:val="20"/>
          <w:szCs w:val="20"/>
        </w:rPr>
        <w:t xml:space="preserve"> Law Office, LLC</w:t>
      </w:r>
    </w:p>
    <w:p w14:paraId="23239BC5"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981 Pinewood Lane</w:t>
      </w:r>
    </w:p>
    <w:p w14:paraId="281B99E0"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Columbus, OH  43230-3662</w:t>
      </w:r>
    </w:p>
    <w:p w14:paraId="45EB00E3" w14:textId="77777777" w:rsidR="00331505" w:rsidRPr="00C95C4A" w:rsidRDefault="0064608B" w:rsidP="00316951">
      <w:pPr>
        <w:spacing w:line="240" w:lineRule="auto"/>
        <w:jc w:val="left"/>
        <w:rPr>
          <w:rFonts w:eastAsia="Calibri" w:cs="Arial"/>
          <w:color w:val="000000" w:themeColor="text1"/>
          <w:sz w:val="20"/>
          <w:szCs w:val="20"/>
        </w:rPr>
      </w:pPr>
      <w:hyperlink r:id="rId55" w:history="1">
        <w:r w:rsidR="00331505" w:rsidRPr="00C95C4A">
          <w:rPr>
            <w:rStyle w:val="Hyperlink"/>
            <w:rFonts w:eastAsia="Calibri"/>
            <w:color w:val="000000" w:themeColor="text1"/>
            <w:sz w:val="20"/>
            <w:szCs w:val="20"/>
            <w:u w:val="none"/>
          </w:rPr>
          <w:t>rsahli@columbus.rr.com</w:t>
        </w:r>
      </w:hyperlink>
    </w:p>
    <w:p w14:paraId="638DEE7D" w14:textId="77777777" w:rsidR="00331505" w:rsidRPr="00C95C4A" w:rsidRDefault="00331505" w:rsidP="00316951">
      <w:pPr>
        <w:spacing w:line="240" w:lineRule="auto"/>
        <w:jc w:val="left"/>
        <w:rPr>
          <w:rFonts w:eastAsia="Calibri" w:cs="Arial"/>
          <w:color w:val="000000" w:themeColor="text1"/>
          <w:sz w:val="20"/>
          <w:szCs w:val="20"/>
        </w:rPr>
      </w:pPr>
    </w:p>
    <w:p w14:paraId="57030C13"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Tony Mendoza</w:t>
      </w:r>
    </w:p>
    <w:p w14:paraId="2AF30680"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Sierra Club Environmental Law Program</w:t>
      </w:r>
    </w:p>
    <w:p w14:paraId="484D2EEC"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2101 Webster St., 13</w:t>
      </w:r>
      <w:r w:rsidRPr="00C95C4A">
        <w:rPr>
          <w:rFonts w:eastAsia="Calibri" w:cs="Arial"/>
          <w:color w:val="000000" w:themeColor="text1"/>
          <w:sz w:val="20"/>
          <w:szCs w:val="20"/>
          <w:vertAlign w:val="superscript"/>
        </w:rPr>
        <w:t>th</w:t>
      </w:r>
      <w:r w:rsidRPr="00C95C4A">
        <w:rPr>
          <w:rFonts w:eastAsia="Calibri" w:cs="Arial"/>
          <w:color w:val="000000" w:themeColor="text1"/>
          <w:sz w:val="20"/>
          <w:szCs w:val="20"/>
        </w:rPr>
        <w:t xml:space="preserve"> Floor</w:t>
      </w:r>
    </w:p>
    <w:p w14:paraId="540DE614"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Oakland, CA  94612</w:t>
      </w:r>
    </w:p>
    <w:p w14:paraId="34407F02" w14:textId="77777777" w:rsidR="00331505" w:rsidRPr="00C95C4A" w:rsidRDefault="0064608B" w:rsidP="00316951">
      <w:pPr>
        <w:spacing w:line="240" w:lineRule="auto"/>
        <w:jc w:val="left"/>
        <w:rPr>
          <w:rFonts w:eastAsia="Calibri" w:cs="Arial"/>
          <w:color w:val="000000" w:themeColor="text1"/>
          <w:sz w:val="20"/>
          <w:szCs w:val="20"/>
        </w:rPr>
      </w:pPr>
      <w:hyperlink r:id="rId56" w:history="1">
        <w:r w:rsidR="00331505" w:rsidRPr="00C95C4A">
          <w:rPr>
            <w:rStyle w:val="Hyperlink"/>
            <w:rFonts w:eastAsia="Calibri"/>
            <w:color w:val="000000" w:themeColor="text1"/>
            <w:sz w:val="20"/>
            <w:szCs w:val="20"/>
            <w:u w:val="none"/>
          </w:rPr>
          <w:t>Tony.mendoza@sierraclub.org</w:t>
        </w:r>
      </w:hyperlink>
    </w:p>
    <w:p w14:paraId="29553F3A" w14:textId="77777777" w:rsidR="00331505" w:rsidRPr="00C95C4A" w:rsidRDefault="00331505" w:rsidP="00316951">
      <w:pPr>
        <w:spacing w:line="240" w:lineRule="auto"/>
        <w:jc w:val="left"/>
        <w:rPr>
          <w:rFonts w:eastAsia="Calibri" w:cs="Arial"/>
          <w:color w:val="000000" w:themeColor="text1"/>
          <w:sz w:val="20"/>
          <w:szCs w:val="20"/>
        </w:rPr>
      </w:pPr>
    </w:p>
    <w:p w14:paraId="46676332" w14:textId="77777777" w:rsidR="00331505" w:rsidRPr="00C95C4A" w:rsidRDefault="00331505" w:rsidP="00316951">
      <w:pPr>
        <w:spacing w:line="240" w:lineRule="auto"/>
        <w:jc w:val="left"/>
        <w:rPr>
          <w:rFonts w:ascii="Arial Bold" w:eastAsia="Calibri" w:hAnsi="Arial Bold" w:cs="Arial"/>
          <w:b/>
          <w:color w:val="000000" w:themeColor="text1"/>
          <w:sz w:val="20"/>
          <w:szCs w:val="20"/>
        </w:rPr>
      </w:pPr>
      <w:r w:rsidRPr="00C95C4A">
        <w:rPr>
          <w:rFonts w:ascii="Arial Bold" w:eastAsia="Calibri" w:hAnsi="Arial Bold" w:cs="Arial"/>
          <w:b/>
          <w:color w:val="000000" w:themeColor="text1"/>
          <w:sz w:val="20"/>
          <w:szCs w:val="20"/>
        </w:rPr>
        <w:t>Counsel for Sierra Club</w:t>
      </w:r>
    </w:p>
    <w:p w14:paraId="075547D0" w14:textId="77777777" w:rsidR="00331505" w:rsidRPr="00C95C4A" w:rsidRDefault="00331505" w:rsidP="00316951">
      <w:pPr>
        <w:spacing w:line="240" w:lineRule="auto"/>
        <w:jc w:val="left"/>
        <w:rPr>
          <w:rFonts w:ascii="Arial Bold" w:eastAsia="Calibri" w:hAnsi="Arial Bold" w:cs="Arial"/>
          <w:b/>
          <w:color w:val="000000" w:themeColor="text1"/>
          <w:sz w:val="20"/>
          <w:szCs w:val="20"/>
        </w:rPr>
      </w:pPr>
    </w:p>
    <w:p w14:paraId="6DB0B773"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Steven D. Lesser</w:t>
      </w:r>
    </w:p>
    <w:p w14:paraId="2F7A9C28"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James F. Lang</w:t>
      </w:r>
    </w:p>
    <w:p w14:paraId="0DC57B3B"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N. Trevor Alexander</w:t>
      </w:r>
    </w:p>
    <w:p w14:paraId="6C1551F5"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Calfee, Halter &amp; Griswold LLP</w:t>
      </w:r>
    </w:p>
    <w:p w14:paraId="08F627CE"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41 S. High St.</w:t>
      </w:r>
    </w:p>
    <w:p w14:paraId="6661D0CA"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1200 Huntington Center</w:t>
      </w:r>
    </w:p>
    <w:p w14:paraId="5193D61C"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Columbus, OH  43215</w:t>
      </w:r>
    </w:p>
    <w:p w14:paraId="2F89CC43" w14:textId="77777777" w:rsidR="00331505" w:rsidRPr="00C95C4A" w:rsidRDefault="0064608B" w:rsidP="00316951">
      <w:pPr>
        <w:spacing w:line="240" w:lineRule="auto"/>
        <w:jc w:val="left"/>
        <w:rPr>
          <w:rFonts w:eastAsia="Calibri" w:cs="Arial"/>
          <w:color w:val="000000" w:themeColor="text1"/>
          <w:sz w:val="20"/>
          <w:szCs w:val="20"/>
        </w:rPr>
      </w:pPr>
      <w:hyperlink r:id="rId57" w:history="1">
        <w:r w:rsidR="00331505" w:rsidRPr="00C95C4A">
          <w:rPr>
            <w:rStyle w:val="Hyperlink"/>
            <w:rFonts w:eastAsia="Calibri"/>
            <w:color w:val="000000" w:themeColor="text1"/>
            <w:sz w:val="20"/>
            <w:szCs w:val="20"/>
            <w:u w:val="none"/>
          </w:rPr>
          <w:t>slesser@calfee.com</w:t>
        </w:r>
      </w:hyperlink>
    </w:p>
    <w:p w14:paraId="546DE2E2" w14:textId="77777777" w:rsidR="00331505" w:rsidRPr="00C95C4A" w:rsidRDefault="0064608B" w:rsidP="00316951">
      <w:pPr>
        <w:spacing w:line="240" w:lineRule="auto"/>
        <w:jc w:val="left"/>
        <w:rPr>
          <w:rFonts w:eastAsia="Calibri" w:cs="Arial"/>
          <w:color w:val="000000" w:themeColor="text1"/>
          <w:sz w:val="20"/>
          <w:szCs w:val="20"/>
        </w:rPr>
      </w:pPr>
      <w:hyperlink r:id="rId58" w:history="1">
        <w:r w:rsidR="00331505" w:rsidRPr="00C95C4A">
          <w:rPr>
            <w:rStyle w:val="Hyperlink"/>
            <w:rFonts w:eastAsia="Calibri"/>
            <w:color w:val="000000" w:themeColor="text1"/>
            <w:sz w:val="20"/>
            <w:szCs w:val="20"/>
            <w:u w:val="none"/>
          </w:rPr>
          <w:t>jlang@calfee.com</w:t>
        </w:r>
      </w:hyperlink>
    </w:p>
    <w:p w14:paraId="16A5C8F4" w14:textId="77777777" w:rsidR="00331505" w:rsidRPr="00C95C4A" w:rsidRDefault="0064608B" w:rsidP="00316951">
      <w:pPr>
        <w:spacing w:line="240" w:lineRule="auto"/>
        <w:jc w:val="left"/>
        <w:rPr>
          <w:rFonts w:eastAsia="Calibri" w:cs="Arial"/>
          <w:color w:val="000000" w:themeColor="text1"/>
          <w:sz w:val="20"/>
          <w:szCs w:val="20"/>
        </w:rPr>
      </w:pPr>
      <w:hyperlink r:id="rId59" w:history="1">
        <w:r w:rsidR="00331505" w:rsidRPr="00C95C4A">
          <w:rPr>
            <w:rStyle w:val="Hyperlink"/>
            <w:rFonts w:eastAsia="Calibri"/>
            <w:color w:val="000000" w:themeColor="text1"/>
            <w:sz w:val="20"/>
            <w:szCs w:val="20"/>
            <w:u w:val="none"/>
          </w:rPr>
          <w:t>talexander@calfee.com</w:t>
        </w:r>
      </w:hyperlink>
    </w:p>
    <w:p w14:paraId="711AEBBD" w14:textId="77777777" w:rsidR="00331505" w:rsidRPr="00C95C4A" w:rsidRDefault="00331505" w:rsidP="00316951">
      <w:pPr>
        <w:spacing w:line="240" w:lineRule="auto"/>
        <w:jc w:val="left"/>
        <w:rPr>
          <w:rFonts w:eastAsia="Calibri" w:cs="Arial"/>
          <w:color w:val="000000" w:themeColor="text1"/>
          <w:sz w:val="20"/>
          <w:szCs w:val="20"/>
        </w:rPr>
      </w:pPr>
    </w:p>
    <w:p w14:paraId="30D2AD38" w14:textId="77777777" w:rsidR="00331505" w:rsidRPr="00C95C4A" w:rsidRDefault="00331505" w:rsidP="00316951">
      <w:pPr>
        <w:spacing w:line="240" w:lineRule="auto"/>
        <w:jc w:val="left"/>
        <w:rPr>
          <w:rFonts w:ascii="Arial Bold" w:eastAsia="Calibri" w:hAnsi="Arial Bold" w:cs="Arial"/>
          <w:b/>
          <w:color w:val="000000" w:themeColor="text1"/>
          <w:sz w:val="20"/>
          <w:szCs w:val="20"/>
        </w:rPr>
      </w:pPr>
      <w:r w:rsidRPr="00C95C4A">
        <w:rPr>
          <w:rFonts w:ascii="Arial Bold" w:eastAsia="Calibri" w:hAnsi="Arial Bold" w:cs="Arial"/>
          <w:b/>
          <w:color w:val="000000" w:themeColor="text1"/>
          <w:sz w:val="20"/>
          <w:szCs w:val="20"/>
        </w:rPr>
        <w:t>Counsel for the City of Dayton and Honda of America Mfg., Inc.</w:t>
      </w:r>
    </w:p>
    <w:p w14:paraId="1D4C050D" w14:textId="77777777" w:rsidR="00331505" w:rsidRPr="00C95C4A" w:rsidRDefault="00331505" w:rsidP="00316951">
      <w:pPr>
        <w:spacing w:line="240" w:lineRule="auto"/>
        <w:jc w:val="left"/>
        <w:rPr>
          <w:rFonts w:ascii="Arial Bold" w:eastAsia="Calibri" w:hAnsi="Arial Bold" w:cs="Arial"/>
          <w:b/>
          <w:color w:val="000000" w:themeColor="text1"/>
          <w:sz w:val="20"/>
          <w:szCs w:val="20"/>
        </w:rPr>
      </w:pPr>
    </w:p>
    <w:p w14:paraId="086A970C" w14:textId="09CCA251" w:rsidR="00331505" w:rsidRPr="00C95C4A" w:rsidRDefault="00A152B6" w:rsidP="00316951">
      <w:pPr>
        <w:spacing w:line="240" w:lineRule="auto"/>
        <w:jc w:val="left"/>
        <w:rPr>
          <w:rFonts w:cs="Arial"/>
          <w:color w:val="000000" w:themeColor="text1"/>
          <w:sz w:val="20"/>
          <w:szCs w:val="20"/>
        </w:rPr>
      </w:pPr>
      <w:r>
        <w:rPr>
          <w:rFonts w:cs="Arial"/>
          <w:color w:val="000000" w:themeColor="text1"/>
          <w:sz w:val="20"/>
          <w:szCs w:val="20"/>
        </w:rPr>
        <w:br w:type="column"/>
      </w:r>
      <w:r w:rsidR="00331505" w:rsidRPr="00C95C4A">
        <w:rPr>
          <w:rFonts w:cs="Arial"/>
          <w:color w:val="000000" w:themeColor="text1"/>
          <w:sz w:val="20"/>
          <w:szCs w:val="20"/>
        </w:rPr>
        <w:t>Amy B. Spiller</w:t>
      </w:r>
    </w:p>
    <w:p w14:paraId="7C315A3B"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Elizabeth H. Watts</w:t>
      </w:r>
    </w:p>
    <w:p w14:paraId="0C5F9674"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Jeanne W. Kingery</w:t>
      </w:r>
    </w:p>
    <w:p w14:paraId="4A1B8DEC"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139 East Fourth Street</w:t>
      </w:r>
    </w:p>
    <w:p w14:paraId="1E206FE7"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1303-Main</w:t>
      </w:r>
    </w:p>
    <w:p w14:paraId="5D71AA3D"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Cincinnati, OH  45202</w:t>
      </w:r>
    </w:p>
    <w:p w14:paraId="6C9CBE46"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Amy.Spiller@Duke-Energy.com</w:t>
      </w:r>
    </w:p>
    <w:p w14:paraId="543C74A5"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elizabeth.watts@duke-energy.com</w:t>
      </w:r>
    </w:p>
    <w:p w14:paraId="2E53C977"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Jeanne.kingery@duke-energy.com</w:t>
      </w:r>
    </w:p>
    <w:p w14:paraId="5F64A6CE" w14:textId="77777777" w:rsidR="00331505" w:rsidRPr="00C95C4A" w:rsidRDefault="00331505" w:rsidP="00316951">
      <w:pPr>
        <w:spacing w:line="240" w:lineRule="auto"/>
        <w:jc w:val="left"/>
        <w:rPr>
          <w:rFonts w:cs="Arial"/>
          <w:color w:val="000000" w:themeColor="text1"/>
          <w:sz w:val="20"/>
          <w:szCs w:val="20"/>
        </w:rPr>
      </w:pPr>
    </w:p>
    <w:p w14:paraId="33601F1A" w14:textId="39B53EB4" w:rsidR="00331505" w:rsidRPr="00C95C4A" w:rsidRDefault="00331505" w:rsidP="00316951">
      <w:pPr>
        <w:spacing w:line="240" w:lineRule="auto"/>
        <w:jc w:val="left"/>
        <w:rPr>
          <w:rFonts w:ascii="Arial Bold" w:eastAsia="Calibri" w:hAnsi="Arial Bold" w:cs="Arial"/>
          <w:b/>
          <w:color w:val="000000" w:themeColor="text1"/>
          <w:sz w:val="20"/>
          <w:szCs w:val="20"/>
        </w:rPr>
      </w:pPr>
      <w:r w:rsidRPr="00C95C4A">
        <w:rPr>
          <w:rFonts w:ascii="Arial Bold" w:eastAsia="Calibri" w:hAnsi="Arial Bold" w:cs="Arial"/>
          <w:b/>
          <w:color w:val="000000" w:themeColor="text1"/>
          <w:sz w:val="20"/>
          <w:szCs w:val="20"/>
        </w:rPr>
        <w:t>Counsel for D</w:t>
      </w:r>
      <w:r w:rsidR="00A152B6">
        <w:rPr>
          <w:rFonts w:ascii="Arial Bold" w:eastAsia="Calibri" w:hAnsi="Arial Bold" w:cs="Arial"/>
          <w:b/>
          <w:color w:val="000000" w:themeColor="text1"/>
          <w:sz w:val="20"/>
          <w:szCs w:val="20"/>
        </w:rPr>
        <w:t>uke E</w:t>
      </w:r>
      <w:r w:rsidRPr="00C95C4A">
        <w:rPr>
          <w:rFonts w:ascii="Arial Bold" w:eastAsia="Calibri" w:hAnsi="Arial Bold" w:cs="Arial"/>
          <w:b/>
          <w:color w:val="000000" w:themeColor="text1"/>
          <w:sz w:val="20"/>
          <w:szCs w:val="20"/>
        </w:rPr>
        <w:t>nergy Ohio, Inc.</w:t>
      </w:r>
    </w:p>
    <w:p w14:paraId="0996025D" w14:textId="77777777" w:rsidR="00331505" w:rsidRPr="00C95C4A" w:rsidRDefault="00331505" w:rsidP="00316951">
      <w:pPr>
        <w:spacing w:line="240" w:lineRule="auto"/>
        <w:jc w:val="left"/>
        <w:rPr>
          <w:rFonts w:cs="Arial"/>
          <w:color w:val="000000" w:themeColor="text1"/>
          <w:sz w:val="20"/>
          <w:szCs w:val="20"/>
        </w:rPr>
      </w:pPr>
    </w:p>
    <w:p w14:paraId="5AE55C10"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 xml:space="preserve">Lisa </w:t>
      </w:r>
      <w:proofErr w:type="spellStart"/>
      <w:r w:rsidRPr="00C95C4A">
        <w:rPr>
          <w:rFonts w:eastAsia="Calibri" w:cs="Arial"/>
          <w:color w:val="000000" w:themeColor="text1"/>
          <w:sz w:val="20"/>
          <w:szCs w:val="20"/>
        </w:rPr>
        <w:t>Hawrot</w:t>
      </w:r>
      <w:proofErr w:type="spellEnd"/>
    </w:p>
    <w:p w14:paraId="2C09A715" w14:textId="77777777" w:rsidR="00331505" w:rsidRPr="00C95C4A" w:rsidRDefault="00331505" w:rsidP="00316951">
      <w:pPr>
        <w:spacing w:line="240" w:lineRule="auto"/>
        <w:jc w:val="left"/>
        <w:rPr>
          <w:rFonts w:eastAsia="Calibri" w:cs="Arial"/>
          <w:color w:val="000000" w:themeColor="text1"/>
          <w:sz w:val="20"/>
          <w:szCs w:val="20"/>
        </w:rPr>
      </w:pPr>
      <w:proofErr w:type="spellStart"/>
      <w:r w:rsidRPr="00C95C4A">
        <w:rPr>
          <w:rFonts w:eastAsia="Calibri" w:cs="Arial"/>
          <w:color w:val="000000" w:themeColor="text1"/>
          <w:sz w:val="20"/>
          <w:szCs w:val="20"/>
        </w:rPr>
        <w:t>Spilman</w:t>
      </w:r>
      <w:proofErr w:type="spellEnd"/>
      <w:r w:rsidRPr="00C95C4A">
        <w:rPr>
          <w:rFonts w:eastAsia="Calibri" w:cs="Arial"/>
          <w:color w:val="000000" w:themeColor="text1"/>
          <w:sz w:val="20"/>
          <w:szCs w:val="20"/>
        </w:rPr>
        <w:t xml:space="preserve"> Thomas &amp; Battle, PLLC</w:t>
      </w:r>
    </w:p>
    <w:p w14:paraId="095B9F3B"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Century Centre Building</w:t>
      </w:r>
    </w:p>
    <w:p w14:paraId="1AF862AB"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1233 Main Street, Suite 4000</w:t>
      </w:r>
    </w:p>
    <w:p w14:paraId="45EDF17E"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Wheeling, WV 26003</w:t>
      </w:r>
    </w:p>
    <w:p w14:paraId="54565187" w14:textId="77777777" w:rsidR="00331505" w:rsidRPr="00C95C4A" w:rsidRDefault="0064608B" w:rsidP="00316951">
      <w:pPr>
        <w:spacing w:line="240" w:lineRule="auto"/>
        <w:jc w:val="left"/>
        <w:rPr>
          <w:rFonts w:eastAsia="Calibri" w:cs="Arial"/>
          <w:color w:val="000000" w:themeColor="text1"/>
          <w:sz w:val="20"/>
          <w:szCs w:val="20"/>
        </w:rPr>
      </w:pPr>
      <w:hyperlink r:id="rId60" w:history="1">
        <w:r w:rsidR="00331505" w:rsidRPr="00C95C4A">
          <w:rPr>
            <w:rStyle w:val="Hyperlink"/>
            <w:rFonts w:eastAsia="Calibri"/>
            <w:color w:val="000000" w:themeColor="text1"/>
            <w:sz w:val="20"/>
            <w:szCs w:val="20"/>
            <w:u w:val="none"/>
          </w:rPr>
          <w:t>lhawrot@spilmanlaw.com</w:t>
        </w:r>
      </w:hyperlink>
    </w:p>
    <w:p w14:paraId="2D233471" w14:textId="77777777" w:rsidR="00555AC1" w:rsidRDefault="00555AC1" w:rsidP="00316951">
      <w:pPr>
        <w:spacing w:line="240" w:lineRule="auto"/>
        <w:jc w:val="left"/>
        <w:rPr>
          <w:rFonts w:eastAsia="Calibri" w:cs="Arial"/>
          <w:color w:val="000000" w:themeColor="text1"/>
          <w:sz w:val="20"/>
          <w:szCs w:val="20"/>
        </w:rPr>
      </w:pPr>
    </w:p>
    <w:p w14:paraId="0E829152" w14:textId="64B92091"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Derrick Price Williamson</w:t>
      </w:r>
    </w:p>
    <w:p w14:paraId="420DB222" w14:textId="77777777" w:rsidR="00331505" w:rsidRPr="00C95C4A" w:rsidRDefault="00331505" w:rsidP="00316951">
      <w:pPr>
        <w:spacing w:line="240" w:lineRule="auto"/>
        <w:jc w:val="left"/>
        <w:rPr>
          <w:rFonts w:eastAsia="Calibri" w:cs="Arial"/>
          <w:color w:val="000000" w:themeColor="text1"/>
          <w:sz w:val="20"/>
          <w:szCs w:val="20"/>
        </w:rPr>
      </w:pPr>
      <w:proofErr w:type="spellStart"/>
      <w:r w:rsidRPr="00C95C4A">
        <w:rPr>
          <w:rFonts w:eastAsia="Calibri" w:cs="Arial"/>
          <w:color w:val="000000" w:themeColor="text1"/>
          <w:sz w:val="20"/>
          <w:szCs w:val="20"/>
        </w:rPr>
        <w:t>Spilman</w:t>
      </w:r>
      <w:proofErr w:type="spellEnd"/>
      <w:r w:rsidRPr="00C95C4A">
        <w:rPr>
          <w:rFonts w:eastAsia="Calibri" w:cs="Arial"/>
          <w:color w:val="000000" w:themeColor="text1"/>
          <w:sz w:val="20"/>
          <w:szCs w:val="20"/>
        </w:rPr>
        <w:t xml:space="preserve"> Thomas &amp; Battle, PLLC</w:t>
      </w:r>
    </w:p>
    <w:p w14:paraId="227796CC"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1100 Bent Creek Blvd., Suite 101</w:t>
      </w:r>
    </w:p>
    <w:p w14:paraId="60E0DEC8"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Mechanicsburg, PA  17050</w:t>
      </w:r>
    </w:p>
    <w:p w14:paraId="2DCF9438" w14:textId="77777777" w:rsidR="00331505" w:rsidRPr="00C95C4A" w:rsidRDefault="0064608B" w:rsidP="00316951">
      <w:pPr>
        <w:spacing w:line="240" w:lineRule="auto"/>
        <w:jc w:val="left"/>
        <w:rPr>
          <w:rFonts w:cs="Arial"/>
          <w:color w:val="000000" w:themeColor="text1"/>
          <w:sz w:val="20"/>
          <w:szCs w:val="20"/>
        </w:rPr>
      </w:pPr>
      <w:hyperlink r:id="rId61" w:history="1">
        <w:r w:rsidR="00331505" w:rsidRPr="00C95C4A">
          <w:rPr>
            <w:rStyle w:val="Hyperlink"/>
            <w:color w:val="000000" w:themeColor="text1"/>
            <w:sz w:val="20"/>
            <w:szCs w:val="20"/>
            <w:u w:val="none"/>
          </w:rPr>
          <w:t>dwilliamson@spilmanlaw.com</w:t>
        </w:r>
      </w:hyperlink>
    </w:p>
    <w:p w14:paraId="0F7601F6" w14:textId="77777777" w:rsidR="00331505" w:rsidRPr="00C95C4A" w:rsidRDefault="00331505" w:rsidP="00316951">
      <w:pPr>
        <w:spacing w:line="240" w:lineRule="auto"/>
        <w:jc w:val="left"/>
        <w:rPr>
          <w:rFonts w:cs="Arial"/>
          <w:color w:val="000000" w:themeColor="text1"/>
          <w:sz w:val="20"/>
          <w:szCs w:val="20"/>
        </w:rPr>
      </w:pPr>
    </w:p>
    <w:p w14:paraId="3D35F722"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Carrie M. Harris</w:t>
      </w:r>
    </w:p>
    <w:p w14:paraId="5A56B91A" w14:textId="77777777" w:rsidR="00331505" w:rsidRPr="00C95C4A" w:rsidRDefault="00331505" w:rsidP="00316951">
      <w:pPr>
        <w:spacing w:line="240" w:lineRule="auto"/>
        <w:jc w:val="left"/>
        <w:rPr>
          <w:rFonts w:cs="Arial"/>
          <w:color w:val="000000" w:themeColor="text1"/>
          <w:sz w:val="20"/>
          <w:szCs w:val="20"/>
        </w:rPr>
      </w:pPr>
      <w:proofErr w:type="spellStart"/>
      <w:r w:rsidRPr="00C95C4A">
        <w:rPr>
          <w:rFonts w:cs="Arial"/>
          <w:color w:val="000000" w:themeColor="text1"/>
          <w:sz w:val="20"/>
          <w:szCs w:val="20"/>
        </w:rPr>
        <w:t>Spilman</w:t>
      </w:r>
      <w:proofErr w:type="spellEnd"/>
      <w:r w:rsidRPr="00C95C4A">
        <w:rPr>
          <w:rFonts w:cs="Arial"/>
          <w:color w:val="000000" w:themeColor="text1"/>
          <w:sz w:val="20"/>
          <w:szCs w:val="20"/>
        </w:rPr>
        <w:t xml:space="preserve"> Thomas &amp; Battle, PLLC</w:t>
      </w:r>
    </w:p>
    <w:p w14:paraId="4C080DE9"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310 First Street, Suite 1100</w:t>
      </w:r>
    </w:p>
    <w:p w14:paraId="6C0A79F6"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PO Box 90</w:t>
      </w:r>
    </w:p>
    <w:p w14:paraId="68F5B5CB"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Roanoke, VA  24002-0090</w:t>
      </w:r>
    </w:p>
    <w:p w14:paraId="354C2E73" w14:textId="77777777" w:rsidR="00331505" w:rsidRPr="00C95C4A" w:rsidRDefault="0064608B" w:rsidP="00316951">
      <w:pPr>
        <w:spacing w:line="240" w:lineRule="auto"/>
        <w:jc w:val="left"/>
        <w:rPr>
          <w:rFonts w:cs="Arial"/>
          <w:color w:val="000000" w:themeColor="text1"/>
          <w:sz w:val="20"/>
          <w:szCs w:val="20"/>
        </w:rPr>
      </w:pPr>
      <w:hyperlink r:id="rId62" w:history="1">
        <w:r w:rsidR="00331505" w:rsidRPr="00C95C4A">
          <w:rPr>
            <w:rStyle w:val="Hyperlink"/>
            <w:color w:val="000000" w:themeColor="text1"/>
            <w:sz w:val="20"/>
            <w:szCs w:val="20"/>
            <w:u w:val="none"/>
          </w:rPr>
          <w:t>charis@spilmanlaw.com</w:t>
        </w:r>
      </w:hyperlink>
    </w:p>
    <w:p w14:paraId="469EB55D" w14:textId="77777777" w:rsidR="00331505" w:rsidRPr="00C95C4A" w:rsidRDefault="00331505" w:rsidP="00316951">
      <w:pPr>
        <w:spacing w:line="240" w:lineRule="auto"/>
        <w:jc w:val="left"/>
        <w:rPr>
          <w:rFonts w:cs="Arial"/>
          <w:color w:val="000000" w:themeColor="text1"/>
          <w:sz w:val="20"/>
          <w:szCs w:val="20"/>
        </w:rPr>
      </w:pPr>
    </w:p>
    <w:p w14:paraId="51A0847B"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to Wal-Mart Stores East, LP and Sam’s East, Inc.</w:t>
      </w:r>
    </w:p>
    <w:p w14:paraId="16073868" w14:textId="77777777" w:rsidR="00331505" w:rsidRPr="00C95C4A" w:rsidRDefault="00331505" w:rsidP="00316951">
      <w:pPr>
        <w:spacing w:line="240" w:lineRule="auto"/>
        <w:jc w:val="left"/>
        <w:rPr>
          <w:rFonts w:cs="Arial"/>
          <w:color w:val="000000" w:themeColor="text1"/>
          <w:sz w:val="20"/>
          <w:szCs w:val="20"/>
        </w:rPr>
      </w:pPr>
    </w:p>
    <w:p w14:paraId="2E0B9977"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Terrence O’Donnell</w:t>
      </w:r>
    </w:p>
    <w:p w14:paraId="0E0B401A"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Raymond Seiler</w:t>
      </w:r>
    </w:p>
    <w:p w14:paraId="60A6DF10"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Dickinson Wright PLLC</w:t>
      </w:r>
    </w:p>
    <w:p w14:paraId="7CC85CCC"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150 E. Gay Street, Suite 2400</w:t>
      </w:r>
    </w:p>
    <w:p w14:paraId="2D9D0535"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7BDD88E8" w14:textId="77777777" w:rsidR="00331505" w:rsidRPr="00C95C4A" w:rsidRDefault="0064608B" w:rsidP="00316951">
      <w:pPr>
        <w:spacing w:line="240" w:lineRule="auto"/>
        <w:jc w:val="left"/>
        <w:rPr>
          <w:rFonts w:cs="Arial"/>
          <w:color w:val="000000" w:themeColor="text1"/>
          <w:sz w:val="20"/>
          <w:szCs w:val="20"/>
        </w:rPr>
      </w:pPr>
      <w:hyperlink r:id="rId63" w:history="1">
        <w:r w:rsidR="00331505" w:rsidRPr="00C95C4A">
          <w:rPr>
            <w:rStyle w:val="Hyperlink"/>
            <w:color w:val="000000" w:themeColor="text1"/>
            <w:sz w:val="20"/>
            <w:szCs w:val="20"/>
            <w:u w:val="none"/>
          </w:rPr>
          <w:t>todonnell@dickinsonwright.com</w:t>
        </w:r>
      </w:hyperlink>
    </w:p>
    <w:p w14:paraId="7CDA377F" w14:textId="77777777" w:rsidR="00331505" w:rsidRPr="00C95C4A" w:rsidRDefault="0064608B" w:rsidP="00316951">
      <w:pPr>
        <w:spacing w:line="240" w:lineRule="auto"/>
        <w:jc w:val="left"/>
        <w:rPr>
          <w:rFonts w:cs="Arial"/>
          <w:color w:val="000000" w:themeColor="text1"/>
          <w:sz w:val="20"/>
          <w:szCs w:val="20"/>
        </w:rPr>
      </w:pPr>
      <w:hyperlink r:id="rId64" w:history="1">
        <w:r w:rsidR="00331505" w:rsidRPr="00C95C4A">
          <w:rPr>
            <w:rStyle w:val="Hyperlink"/>
            <w:color w:val="000000" w:themeColor="text1"/>
            <w:sz w:val="20"/>
            <w:szCs w:val="20"/>
            <w:u w:val="none"/>
          </w:rPr>
          <w:t>rseiler@dickinsonwright.com</w:t>
        </w:r>
      </w:hyperlink>
    </w:p>
    <w:p w14:paraId="5A8FEFDB" w14:textId="77777777" w:rsidR="00331505" w:rsidRPr="00C95C4A" w:rsidRDefault="00331505" w:rsidP="00316951">
      <w:pPr>
        <w:spacing w:line="240" w:lineRule="auto"/>
        <w:jc w:val="left"/>
        <w:rPr>
          <w:rFonts w:cs="Arial"/>
          <w:color w:val="000000" w:themeColor="text1"/>
          <w:sz w:val="20"/>
          <w:szCs w:val="20"/>
        </w:rPr>
      </w:pPr>
    </w:p>
    <w:p w14:paraId="5EF193FA"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to Mid-Atlantic Renewable Energy Coalition</w:t>
      </w:r>
    </w:p>
    <w:p w14:paraId="74C6BB7A" w14:textId="77777777" w:rsidR="00331505" w:rsidRPr="00C95C4A" w:rsidRDefault="00331505" w:rsidP="00316951">
      <w:pPr>
        <w:spacing w:line="240" w:lineRule="auto"/>
        <w:jc w:val="left"/>
        <w:rPr>
          <w:rFonts w:cs="Arial"/>
          <w:color w:val="000000" w:themeColor="text1"/>
          <w:sz w:val="20"/>
          <w:szCs w:val="20"/>
        </w:rPr>
      </w:pPr>
    </w:p>
    <w:p w14:paraId="07133979"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Ellis Jacobs</w:t>
      </w:r>
    </w:p>
    <w:p w14:paraId="07909E11"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130 West Second Street, Suite 700 East</w:t>
      </w:r>
    </w:p>
    <w:p w14:paraId="520CB41D"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Dayton, OH  45402</w:t>
      </w:r>
    </w:p>
    <w:p w14:paraId="4C669061" w14:textId="77777777" w:rsidR="00331505" w:rsidRPr="00C95C4A" w:rsidRDefault="0064608B" w:rsidP="00316951">
      <w:pPr>
        <w:spacing w:line="240" w:lineRule="auto"/>
        <w:jc w:val="left"/>
        <w:rPr>
          <w:rFonts w:cs="Arial"/>
          <w:color w:val="000000" w:themeColor="text1"/>
          <w:sz w:val="20"/>
          <w:szCs w:val="20"/>
        </w:rPr>
      </w:pPr>
      <w:hyperlink r:id="rId65" w:history="1">
        <w:r w:rsidR="00331505" w:rsidRPr="00C95C4A">
          <w:rPr>
            <w:rStyle w:val="Hyperlink"/>
            <w:color w:val="000000" w:themeColor="text1"/>
            <w:sz w:val="20"/>
            <w:szCs w:val="20"/>
            <w:u w:val="none"/>
          </w:rPr>
          <w:t>ejacobs@ablelaw.org</w:t>
        </w:r>
      </w:hyperlink>
    </w:p>
    <w:p w14:paraId="15BDBCE5" w14:textId="77777777" w:rsidR="00331505" w:rsidRPr="00C95C4A" w:rsidRDefault="00331505" w:rsidP="00316951">
      <w:pPr>
        <w:spacing w:line="240" w:lineRule="auto"/>
        <w:jc w:val="left"/>
        <w:rPr>
          <w:rFonts w:cs="Arial"/>
          <w:color w:val="000000" w:themeColor="text1"/>
          <w:sz w:val="20"/>
          <w:szCs w:val="20"/>
        </w:rPr>
      </w:pPr>
    </w:p>
    <w:p w14:paraId="2B0466FF"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to Edgemont Neighborhood Coalition and Advocates for Basic Legal Equality</w:t>
      </w:r>
    </w:p>
    <w:p w14:paraId="62F01B41" w14:textId="77777777" w:rsidR="00331505" w:rsidRPr="00C95C4A" w:rsidRDefault="00331505" w:rsidP="00316951">
      <w:pPr>
        <w:spacing w:line="240" w:lineRule="auto"/>
        <w:jc w:val="left"/>
        <w:rPr>
          <w:rFonts w:cs="Arial"/>
          <w:color w:val="000000" w:themeColor="text1"/>
          <w:sz w:val="20"/>
          <w:szCs w:val="20"/>
        </w:rPr>
      </w:pPr>
    </w:p>
    <w:p w14:paraId="73BF04EC" w14:textId="77777777" w:rsidR="00A152B6" w:rsidRDefault="00A152B6" w:rsidP="00316951">
      <w:pPr>
        <w:spacing w:line="240" w:lineRule="auto"/>
        <w:jc w:val="left"/>
        <w:rPr>
          <w:rFonts w:cs="Arial"/>
          <w:color w:val="000000" w:themeColor="text1"/>
          <w:sz w:val="20"/>
          <w:szCs w:val="20"/>
        </w:rPr>
        <w:sectPr w:rsidR="00A152B6" w:rsidSect="00A152B6">
          <w:pgSz w:w="12240" w:h="15840" w:code="1"/>
          <w:pgMar w:top="1440" w:right="1440" w:bottom="1440" w:left="1440" w:header="720" w:footer="720" w:gutter="0"/>
          <w:cols w:num="2" w:space="720"/>
          <w:titlePg/>
          <w:docGrid w:linePitch="360"/>
        </w:sectPr>
      </w:pPr>
    </w:p>
    <w:p w14:paraId="3052658E" w14:textId="56BEE0B3"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lastRenderedPageBreak/>
        <w:t>John R. Doll</w:t>
      </w:r>
    </w:p>
    <w:p w14:paraId="640EC35D"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Matthew T. Crawford</w:t>
      </w:r>
    </w:p>
    <w:p w14:paraId="2569AB44"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111 W. First Street, Suite 1100</w:t>
      </w:r>
    </w:p>
    <w:p w14:paraId="61DC196E"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Dayton, OH  45402-1156</w:t>
      </w:r>
    </w:p>
    <w:p w14:paraId="53C886F9" w14:textId="77777777" w:rsidR="00331505" w:rsidRPr="00C95C4A" w:rsidRDefault="0064608B" w:rsidP="00316951">
      <w:pPr>
        <w:spacing w:line="240" w:lineRule="auto"/>
        <w:jc w:val="left"/>
        <w:rPr>
          <w:rFonts w:cs="Arial"/>
          <w:color w:val="000000" w:themeColor="text1"/>
          <w:sz w:val="20"/>
          <w:szCs w:val="20"/>
        </w:rPr>
      </w:pPr>
      <w:hyperlink r:id="rId66" w:history="1">
        <w:r w:rsidR="00331505" w:rsidRPr="00C95C4A">
          <w:rPr>
            <w:rStyle w:val="Hyperlink"/>
            <w:color w:val="000000" w:themeColor="text1"/>
            <w:sz w:val="20"/>
            <w:szCs w:val="20"/>
            <w:u w:val="none"/>
          </w:rPr>
          <w:t>jdoll@djflawfirm.com</w:t>
        </w:r>
      </w:hyperlink>
    </w:p>
    <w:p w14:paraId="4EEEDB84" w14:textId="77777777" w:rsidR="00331505" w:rsidRPr="00C95C4A" w:rsidRDefault="0064608B" w:rsidP="00316951">
      <w:pPr>
        <w:spacing w:line="240" w:lineRule="auto"/>
        <w:jc w:val="left"/>
        <w:rPr>
          <w:rFonts w:cs="Arial"/>
          <w:color w:val="000000" w:themeColor="text1"/>
          <w:sz w:val="20"/>
          <w:szCs w:val="20"/>
        </w:rPr>
      </w:pPr>
      <w:hyperlink r:id="rId67" w:history="1">
        <w:r w:rsidR="00331505" w:rsidRPr="00C95C4A">
          <w:rPr>
            <w:rStyle w:val="Hyperlink"/>
            <w:color w:val="000000" w:themeColor="text1"/>
            <w:sz w:val="20"/>
            <w:szCs w:val="20"/>
            <w:u w:val="none"/>
          </w:rPr>
          <w:t>mcrawcord@djflawfirm.com</w:t>
        </w:r>
      </w:hyperlink>
    </w:p>
    <w:p w14:paraId="3C6847B9" w14:textId="77777777" w:rsidR="00331505" w:rsidRPr="00C95C4A" w:rsidRDefault="00331505" w:rsidP="00316951">
      <w:pPr>
        <w:spacing w:line="240" w:lineRule="auto"/>
        <w:jc w:val="left"/>
        <w:rPr>
          <w:rFonts w:cs="Arial"/>
          <w:color w:val="000000" w:themeColor="text1"/>
          <w:sz w:val="20"/>
          <w:szCs w:val="20"/>
        </w:rPr>
      </w:pPr>
    </w:p>
    <w:p w14:paraId="079445D9"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Utility Workers of America, Local 175</w:t>
      </w:r>
    </w:p>
    <w:p w14:paraId="5E484DCD" w14:textId="77777777" w:rsidR="00331505" w:rsidRPr="00C95C4A" w:rsidRDefault="00331505" w:rsidP="00316951">
      <w:pPr>
        <w:spacing w:line="240" w:lineRule="auto"/>
        <w:jc w:val="left"/>
        <w:rPr>
          <w:rFonts w:cs="Arial"/>
          <w:color w:val="000000" w:themeColor="text1"/>
          <w:sz w:val="20"/>
          <w:szCs w:val="20"/>
        </w:rPr>
      </w:pPr>
    </w:p>
    <w:p w14:paraId="16DDA59D"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 xml:space="preserve">Devin </w:t>
      </w:r>
      <w:proofErr w:type="spellStart"/>
      <w:r w:rsidRPr="00C95C4A">
        <w:rPr>
          <w:rFonts w:cs="Arial"/>
          <w:color w:val="000000" w:themeColor="text1"/>
          <w:sz w:val="20"/>
          <w:szCs w:val="20"/>
        </w:rPr>
        <w:t>Parram</w:t>
      </w:r>
      <w:proofErr w:type="spellEnd"/>
    </w:p>
    <w:p w14:paraId="50274057"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Taft Stettinius &amp; Hollister LLP</w:t>
      </w:r>
    </w:p>
    <w:p w14:paraId="0CDC2E50"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65 E. State St., Suite 1000</w:t>
      </w:r>
    </w:p>
    <w:p w14:paraId="75E96B55"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16C78588" w14:textId="77777777" w:rsidR="00331505" w:rsidRPr="00C95C4A" w:rsidRDefault="0064608B" w:rsidP="00316951">
      <w:pPr>
        <w:spacing w:line="240" w:lineRule="auto"/>
        <w:jc w:val="left"/>
        <w:rPr>
          <w:rFonts w:cs="Arial"/>
          <w:color w:val="000000" w:themeColor="text1"/>
          <w:sz w:val="20"/>
          <w:szCs w:val="20"/>
        </w:rPr>
      </w:pPr>
      <w:hyperlink r:id="rId68" w:history="1">
        <w:r w:rsidR="00331505" w:rsidRPr="00C95C4A">
          <w:rPr>
            <w:rStyle w:val="Hyperlink"/>
            <w:color w:val="000000" w:themeColor="text1"/>
            <w:sz w:val="20"/>
            <w:szCs w:val="20"/>
            <w:u w:val="none"/>
          </w:rPr>
          <w:t>dparram@taftlaw.com</w:t>
        </w:r>
      </w:hyperlink>
    </w:p>
    <w:p w14:paraId="7F5A6A60" w14:textId="77777777" w:rsidR="00331505" w:rsidRPr="00C95C4A" w:rsidRDefault="00331505" w:rsidP="00316951">
      <w:pPr>
        <w:spacing w:line="240" w:lineRule="auto"/>
        <w:jc w:val="left"/>
        <w:rPr>
          <w:rFonts w:cs="Arial"/>
          <w:color w:val="000000" w:themeColor="text1"/>
          <w:sz w:val="20"/>
          <w:szCs w:val="20"/>
        </w:rPr>
      </w:pPr>
    </w:p>
    <w:p w14:paraId="4AAFD903" w14:textId="77777777" w:rsidR="00331505" w:rsidRPr="00C95C4A" w:rsidRDefault="00331505" w:rsidP="00316951">
      <w:pPr>
        <w:spacing w:line="240" w:lineRule="auto"/>
        <w:jc w:val="left"/>
        <w:rPr>
          <w:rFonts w:ascii="Arial Bold" w:hAnsi="Arial Bold" w:cs="Arial"/>
          <w:b/>
          <w:color w:val="000000" w:themeColor="text1"/>
          <w:sz w:val="20"/>
          <w:szCs w:val="20"/>
        </w:rPr>
      </w:pPr>
      <w:r w:rsidRPr="00C95C4A">
        <w:rPr>
          <w:rFonts w:ascii="Arial Bold" w:hAnsi="Arial Bold" w:cs="Arial"/>
          <w:b/>
          <w:color w:val="000000" w:themeColor="text1"/>
          <w:sz w:val="20"/>
          <w:szCs w:val="20"/>
        </w:rPr>
        <w:t>Counsel for People Working Cooperatively, Inc.</w:t>
      </w:r>
    </w:p>
    <w:p w14:paraId="572536E8" w14:textId="17BDEED8" w:rsidR="00331505" w:rsidRDefault="00331505" w:rsidP="00316951">
      <w:pPr>
        <w:spacing w:line="240" w:lineRule="auto"/>
        <w:jc w:val="left"/>
        <w:rPr>
          <w:rFonts w:cs="Arial"/>
          <w:color w:val="000000" w:themeColor="text1"/>
          <w:sz w:val="20"/>
          <w:szCs w:val="20"/>
        </w:rPr>
      </w:pPr>
    </w:p>
    <w:p w14:paraId="3F9EB821" w14:textId="2F98B84A"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William L. Wright</w:t>
      </w:r>
    </w:p>
    <w:p w14:paraId="470A8E06"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Chief, Public Utilities Section</w:t>
      </w:r>
    </w:p>
    <w:p w14:paraId="7AF75351" w14:textId="77777777" w:rsidR="00331505" w:rsidRPr="00C95C4A" w:rsidRDefault="00331505" w:rsidP="00316951">
      <w:pPr>
        <w:autoSpaceDE w:val="0"/>
        <w:autoSpaceDN w:val="0"/>
        <w:adjustRightInd w:val="0"/>
        <w:snapToGrid w:val="0"/>
        <w:spacing w:line="240" w:lineRule="auto"/>
        <w:jc w:val="left"/>
        <w:rPr>
          <w:rFonts w:cs="Arial"/>
          <w:color w:val="000000" w:themeColor="text1"/>
          <w:sz w:val="20"/>
          <w:szCs w:val="20"/>
        </w:rPr>
      </w:pPr>
      <w:r w:rsidRPr="00C95C4A">
        <w:rPr>
          <w:rFonts w:cs="Arial"/>
          <w:color w:val="000000" w:themeColor="text1"/>
          <w:sz w:val="20"/>
          <w:szCs w:val="20"/>
        </w:rPr>
        <w:t>Office of Attorney General</w:t>
      </w:r>
    </w:p>
    <w:p w14:paraId="7D445424" w14:textId="77777777" w:rsidR="00331505" w:rsidRPr="00C95C4A" w:rsidRDefault="00331505" w:rsidP="00316951">
      <w:pPr>
        <w:autoSpaceDE w:val="0"/>
        <w:autoSpaceDN w:val="0"/>
        <w:adjustRightInd w:val="0"/>
        <w:snapToGrid w:val="0"/>
        <w:spacing w:line="240" w:lineRule="auto"/>
        <w:jc w:val="left"/>
        <w:rPr>
          <w:rFonts w:cs="Arial"/>
          <w:color w:val="000000" w:themeColor="text1"/>
          <w:sz w:val="20"/>
          <w:szCs w:val="20"/>
        </w:rPr>
      </w:pPr>
      <w:r w:rsidRPr="00C95C4A">
        <w:rPr>
          <w:rFonts w:cs="Arial"/>
          <w:color w:val="000000" w:themeColor="text1"/>
          <w:sz w:val="20"/>
          <w:szCs w:val="20"/>
        </w:rPr>
        <w:t>30 East Broad Street, 16th Floor</w:t>
      </w:r>
    </w:p>
    <w:p w14:paraId="415CE3E3" w14:textId="77777777" w:rsidR="00331505" w:rsidRPr="00C95C4A" w:rsidRDefault="00331505" w:rsidP="00316951">
      <w:pPr>
        <w:autoSpaceDE w:val="0"/>
        <w:autoSpaceDN w:val="0"/>
        <w:adjustRightInd w:val="0"/>
        <w:snapToGrid w:val="0"/>
        <w:spacing w:line="240" w:lineRule="auto"/>
        <w:jc w:val="left"/>
        <w:rPr>
          <w:rFonts w:cs="Arial"/>
          <w:color w:val="000000" w:themeColor="text1"/>
          <w:sz w:val="20"/>
          <w:szCs w:val="20"/>
        </w:rPr>
      </w:pPr>
      <w:r w:rsidRPr="00C95C4A">
        <w:rPr>
          <w:rFonts w:cs="Arial"/>
          <w:color w:val="000000" w:themeColor="text1"/>
          <w:sz w:val="20"/>
          <w:szCs w:val="20"/>
        </w:rPr>
        <w:t>Columbus, OH 43215</w:t>
      </w:r>
    </w:p>
    <w:p w14:paraId="239F4A37" w14:textId="77777777" w:rsidR="00331505" w:rsidRPr="00C95C4A" w:rsidRDefault="00331505" w:rsidP="00316951">
      <w:pPr>
        <w:spacing w:line="240" w:lineRule="auto"/>
        <w:jc w:val="left"/>
        <w:rPr>
          <w:rFonts w:cs="Arial"/>
          <w:color w:val="000000" w:themeColor="text1"/>
          <w:sz w:val="20"/>
          <w:szCs w:val="20"/>
        </w:rPr>
      </w:pPr>
      <w:r w:rsidRPr="00C95C4A">
        <w:rPr>
          <w:rFonts w:cs="Arial"/>
          <w:color w:val="000000" w:themeColor="text1"/>
          <w:sz w:val="20"/>
          <w:szCs w:val="20"/>
        </w:rPr>
        <w:t>william.wright@ohioattorneygeneral.gov</w:t>
      </w:r>
    </w:p>
    <w:p w14:paraId="30EEF626" w14:textId="77777777" w:rsidR="00331505" w:rsidRPr="00C95C4A" w:rsidRDefault="00331505" w:rsidP="00316951">
      <w:pPr>
        <w:spacing w:line="240" w:lineRule="auto"/>
        <w:jc w:val="left"/>
        <w:rPr>
          <w:rFonts w:eastAsia="Calibri" w:cs="Arial"/>
          <w:color w:val="000000" w:themeColor="text1"/>
          <w:sz w:val="20"/>
          <w:szCs w:val="20"/>
        </w:rPr>
      </w:pPr>
    </w:p>
    <w:p w14:paraId="5A65E54C" w14:textId="77777777" w:rsidR="00331505" w:rsidRPr="00C95C4A" w:rsidRDefault="00331505" w:rsidP="00316951">
      <w:pPr>
        <w:spacing w:line="240" w:lineRule="auto"/>
        <w:jc w:val="left"/>
        <w:rPr>
          <w:rFonts w:eastAsia="Calibri" w:cs="Arial"/>
          <w:b/>
          <w:color w:val="000000" w:themeColor="text1"/>
          <w:sz w:val="20"/>
          <w:szCs w:val="20"/>
        </w:rPr>
      </w:pPr>
      <w:r w:rsidRPr="00C95C4A">
        <w:rPr>
          <w:rFonts w:eastAsia="Calibri" w:cs="Arial"/>
          <w:b/>
          <w:color w:val="000000" w:themeColor="text1"/>
          <w:sz w:val="20"/>
          <w:szCs w:val="20"/>
        </w:rPr>
        <w:t>Counsel for the Staff of the Public Utilities Commission of Ohio</w:t>
      </w:r>
    </w:p>
    <w:p w14:paraId="121A781E" w14:textId="77777777" w:rsidR="00331505" w:rsidRPr="00C95C4A" w:rsidRDefault="00331505" w:rsidP="00316951">
      <w:pPr>
        <w:spacing w:line="240" w:lineRule="auto"/>
        <w:jc w:val="left"/>
        <w:rPr>
          <w:rFonts w:eastAsia="Calibri" w:cs="Arial"/>
          <w:b/>
          <w:color w:val="000000" w:themeColor="text1"/>
          <w:sz w:val="20"/>
          <w:szCs w:val="20"/>
        </w:rPr>
      </w:pPr>
    </w:p>
    <w:p w14:paraId="1C7ED2C5"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Bryce McKenney</w:t>
      </w:r>
    </w:p>
    <w:p w14:paraId="48688810"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Gregory Price</w:t>
      </w:r>
    </w:p>
    <w:p w14:paraId="6D38A600"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Attorney Examiners</w:t>
      </w:r>
    </w:p>
    <w:p w14:paraId="31454630"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Legal Department</w:t>
      </w:r>
      <w:bookmarkStart w:id="6" w:name="_GoBack"/>
      <w:bookmarkEnd w:id="6"/>
    </w:p>
    <w:p w14:paraId="49A26066"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Public Utilities Commission of Ohio</w:t>
      </w:r>
    </w:p>
    <w:p w14:paraId="75591566"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180 East Broad Street, 12</w:t>
      </w:r>
      <w:r w:rsidRPr="00C95C4A">
        <w:rPr>
          <w:rFonts w:eastAsia="Calibri" w:cs="Arial"/>
          <w:color w:val="000000" w:themeColor="text1"/>
          <w:sz w:val="20"/>
          <w:szCs w:val="20"/>
          <w:vertAlign w:val="superscript"/>
        </w:rPr>
        <w:t>th</w:t>
      </w:r>
      <w:r w:rsidRPr="00C95C4A">
        <w:rPr>
          <w:rFonts w:eastAsia="Calibri" w:cs="Arial"/>
          <w:color w:val="000000" w:themeColor="text1"/>
          <w:sz w:val="20"/>
          <w:szCs w:val="20"/>
        </w:rPr>
        <w:t xml:space="preserve"> Floor</w:t>
      </w:r>
    </w:p>
    <w:p w14:paraId="7596DCEB"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Columbus OH  43215</w:t>
      </w:r>
    </w:p>
    <w:p w14:paraId="37A60EBF"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bryce.mckenney@puc.state.oh.us</w:t>
      </w:r>
    </w:p>
    <w:p w14:paraId="78907419" w14:textId="77777777" w:rsidR="00331505" w:rsidRPr="00C95C4A" w:rsidRDefault="00331505" w:rsidP="00316951">
      <w:pPr>
        <w:spacing w:line="240" w:lineRule="auto"/>
        <w:jc w:val="left"/>
        <w:rPr>
          <w:rFonts w:eastAsia="Calibri" w:cs="Arial"/>
          <w:color w:val="000000" w:themeColor="text1"/>
          <w:sz w:val="20"/>
          <w:szCs w:val="20"/>
        </w:rPr>
      </w:pPr>
      <w:r w:rsidRPr="00C95C4A">
        <w:rPr>
          <w:rFonts w:eastAsia="Calibri" w:cs="Arial"/>
          <w:color w:val="000000" w:themeColor="text1"/>
          <w:sz w:val="20"/>
          <w:szCs w:val="20"/>
        </w:rPr>
        <w:t>gregory.price@puc.state.oh.us</w:t>
      </w:r>
    </w:p>
    <w:p w14:paraId="58C2E48F" w14:textId="77777777" w:rsidR="00331505" w:rsidRPr="00C95C4A" w:rsidRDefault="00331505" w:rsidP="00316951">
      <w:pPr>
        <w:spacing w:line="240" w:lineRule="auto"/>
        <w:jc w:val="left"/>
        <w:rPr>
          <w:rFonts w:eastAsia="Calibri" w:cs="Arial"/>
          <w:color w:val="000000" w:themeColor="text1"/>
          <w:sz w:val="20"/>
          <w:szCs w:val="20"/>
        </w:rPr>
      </w:pPr>
    </w:p>
    <w:p w14:paraId="57308991" w14:textId="1CCDADDB" w:rsidR="005D2A70" w:rsidRDefault="00331505" w:rsidP="00316951">
      <w:pPr>
        <w:spacing w:line="240" w:lineRule="auto"/>
        <w:jc w:val="left"/>
        <w:rPr>
          <w:rFonts w:ascii="Arial Bold" w:eastAsia="Calibri" w:hAnsi="Arial Bold" w:cs="Arial"/>
          <w:b/>
          <w:color w:val="000000" w:themeColor="text1"/>
          <w:sz w:val="20"/>
          <w:szCs w:val="20"/>
        </w:rPr>
      </w:pPr>
      <w:r w:rsidRPr="00C95C4A">
        <w:rPr>
          <w:rFonts w:ascii="Arial Bold" w:eastAsia="Calibri" w:hAnsi="Arial Bold" w:cs="Arial"/>
          <w:b/>
          <w:color w:val="000000" w:themeColor="text1"/>
          <w:sz w:val="20"/>
          <w:szCs w:val="20"/>
        </w:rPr>
        <w:t>Attorney Examiners</w:t>
      </w:r>
    </w:p>
    <w:p w14:paraId="2D832FCE" w14:textId="3E696EE2" w:rsidR="00D65E5E" w:rsidRPr="00A152B6" w:rsidRDefault="00D65E5E" w:rsidP="00316951">
      <w:pPr>
        <w:spacing w:line="240" w:lineRule="auto"/>
        <w:jc w:val="left"/>
        <w:rPr>
          <w:rFonts w:ascii="Arial Bold" w:eastAsia="Calibri" w:hAnsi="Arial Bold" w:cs="Arial"/>
          <w:b/>
          <w:color w:val="000000" w:themeColor="text1"/>
          <w:sz w:val="20"/>
          <w:szCs w:val="20"/>
        </w:rPr>
      </w:pPr>
    </w:p>
    <w:sectPr w:rsidR="00D65E5E" w:rsidRPr="00A152B6" w:rsidSect="00331505">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670D" w14:textId="77777777" w:rsidR="0064608B" w:rsidRDefault="0064608B" w:rsidP="00F65473">
      <w:pPr>
        <w:spacing w:line="240" w:lineRule="auto"/>
      </w:pPr>
      <w:r>
        <w:separator/>
      </w:r>
    </w:p>
  </w:endnote>
  <w:endnote w:type="continuationSeparator" w:id="0">
    <w:p w14:paraId="4D2F2F53" w14:textId="77777777" w:rsidR="0064608B" w:rsidRDefault="0064608B" w:rsidP="00F65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8EB1" w14:textId="77777777" w:rsidR="0064608B" w:rsidRDefault="0064608B">
    <w:pPr>
      <w:pStyle w:val="Footer"/>
      <w:framePr w:wrap="around" w:vAnchor="text" w:hAnchor="margin" w:xAlign="center" w:y="1"/>
      <w:rPr>
        <w:rStyle w:val="PageNumber"/>
      </w:rPr>
    </w:pPr>
    <w:r>
      <w:rPr>
        <w:rStyle w:val="PageNumber"/>
        <w:noProof/>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E2E85B" w14:textId="77777777" w:rsidR="0064608B" w:rsidRDefault="0064608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5F3C" w14:textId="77777777" w:rsidR="0064608B" w:rsidRDefault="0064608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BB4C4" w14:textId="02D2BE01" w:rsidR="0064608B" w:rsidRPr="000C3B01" w:rsidRDefault="0090256C">
    <w:pPr>
      <w:pStyle w:val="Footer"/>
    </w:pPr>
    <w:r w:rsidRPr="0090256C">
      <w:rPr>
        <w:noProof/>
        <w:sz w:val="16"/>
      </w:rPr>
      <w:t>{C50924:2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DBAB7" w14:textId="7704A3D1" w:rsidR="0064608B" w:rsidRPr="000C3B01" w:rsidRDefault="0090256C">
    <w:pPr>
      <w:pStyle w:val="Footer"/>
    </w:pPr>
    <w:r w:rsidRPr="0090256C">
      <w:rPr>
        <w:noProof/>
        <w:sz w:val="16"/>
      </w:rPr>
      <w:t>{C50924:2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4743" w14:textId="76C1573D" w:rsidR="0064608B" w:rsidRDefault="0090256C">
    <w:pPr>
      <w:pStyle w:val="Footer"/>
      <w:rPr>
        <w:rFonts w:cs="Arial"/>
        <w:noProof/>
        <w:sz w:val="16"/>
      </w:rPr>
    </w:pPr>
    <w:r w:rsidRPr="0090256C">
      <w:rPr>
        <w:rFonts w:cs="Arial"/>
        <w:noProof/>
        <w:sz w:val="16"/>
      </w:rPr>
      <w:t>{C50924:2 }</w:t>
    </w:r>
    <w:r w:rsidR="0064608B">
      <w:rPr>
        <w:rFonts w:cs="Arial"/>
        <w:noProof/>
        <w:sz w:val="16"/>
      </w:rPr>
      <w:tab/>
    </w:r>
    <w:r w:rsidR="0064608B">
      <w:rPr>
        <w:rFonts w:cs="Arial"/>
        <w:noProof/>
      </w:rPr>
      <w:fldChar w:fldCharType="begin"/>
    </w:r>
    <w:r w:rsidR="0064608B">
      <w:rPr>
        <w:rFonts w:cs="Arial"/>
        <w:noProof/>
      </w:rPr>
      <w:instrText xml:space="preserve"> PAGE   \* MERGEFORMAT </w:instrText>
    </w:r>
    <w:r w:rsidR="0064608B">
      <w:rPr>
        <w:rFonts w:cs="Arial"/>
        <w:noProof/>
      </w:rPr>
      <w:fldChar w:fldCharType="separate"/>
    </w:r>
    <w:r w:rsidR="0064608B">
      <w:rPr>
        <w:rFonts w:cs="Arial"/>
        <w:noProof/>
      </w:rPr>
      <w:t>i</w:t>
    </w:r>
    <w:r w:rsidR="0064608B">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FDD8" w14:textId="2E0CEA3B" w:rsidR="0064608B" w:rsidRDefault="0090256C">
    <w:pPr>
      <w:pStyle w:val="Footer"/>
      <w:rPr>
        <w:rFonts w:cs="Arial"/>
      </w:rPr>
    </w:pPr>
    <w:r w:rsidRPr="0090256C">
      <w:rPr>
        <w:rFonts w:cs="Arial"/>
        <w:noProof/>
        <w:sz w:val="16"/>
      </w:rPr>
      <w:t>{C50924:2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7E47" w14:textId="77777777" w:rsidR="0064608B" w:rsidRDefault="006460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6351" w14:textId="5E4595EF" w:rsidR="0064608B" w:rsidRPr="004F3764" w:rsidRDefault="0090256C">
    <w:pPr>
      <w:pStyle w:val="Footer"/>
    </w:pPr>
    <w:r w:rsidRPr="0090256C">
      <w:rPr>
        <w:noProof/>
        <w:sz w:val="16"/>
      </w:rPr>
      <w:t>{C50924:2 }</w:t>
    </w:r>
    <w:r w:rsidR="0064608B">
      <w:rPr>
        <w:noProof/>
        <w:sz w:val="16"/>
      </w:rPr>
      <w:tab/>
    </w:r>
    <w:r w:rsidR="0064608B" w:rsidRPr="00237F3B">
      <w:rPr>
        <w:noProof/>
        <w:sz w:val="22"/>
      </w:rPr>
      <w:fldChar w:fldCharType="begin"/>
    </w:r>
    <w:r w:rsidR="0064608B" w:rsidRPr="00237F3B">
      <w:rPr>
        <w:noProof/>
        <w:sz w:val="22"/>
      </w:rPr>
      <w:instrText xml:space="preserve"> PAGE   \* MERGEFORMAT </w:instrText>
    </w:r>
    <w:r w:rsidR="0064608B" w:rsidRPr="00237F3B">
      <w:rPr>
        <w:noProof/>
        <w:sz w:val="22"/>
      </w:rPr>
      <w:fldChar w:fldCharType="separate"/>
    </w:r>
    <w:r w:rsidR="00FA02D4">
      <w:rPr>
        <w:noProof/>
        <w:sz w:val="22"/>
      </w:rPr>
      <w:t>i</w:t>
    </w:r>
    <w:r w:rsidR="0064608B" w:rsidRPr="00237F3B">
      <w:rPr>
        <w:noProo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DDA0" w14:textId="77777777" w:rsidR="0064608B" w:rsidRPr="004F3764" w:rsidRDefault="0064608B">
    <w:pPr>
      <w:pStyle w:val="Footer"/>
    </w:pPr>
    <w:r w:rsidRPr="00F55C3B">
      <w:rPr>
        <w:noProof/>
        <w:sz w:val="16"/>
      </w:rPr>
      <w:t>{C50742:2 }</w:t>
    </w:r>
    <w:r>
      <w:rPr>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E59A" w14:textId="77777777" w:rsidR="0064608B" w:rsidRDefault="0064608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4FE8" w14:textId="0CCB2958" w:rsidR="0064608B" w:rsidRPr="00F65473" w:rsidRDefault="0090256C">
    <w:pPr>
      <w:pStyle w:val="Footer"/>
    </w:pPr>
    <w:r w:rsidRPr="0090256C">
      <w:rPr>
        <w:noProof/>
        <w:sz w:val="16"/>
      </w:rPr>
      <w:t>{C50924:2 }</w:t>
    </w:r>
    <w:r w:rsidR="0064608B">
      <w:rPr>
        <w:noProof/>
        <w:sz w:val="16"/>
      </w:rPr>
      <w:tab/>
    </w:r>
    <w:r w:rsidR="0064608B" w:rsidRPr="00D65E5E">
      <w:rPr>
        <w:noProof/>
        <w:sz w:val="22"/>
      </w:rPr>
      <w:fldChar w:fldCharType="begin"/>
    </w:r>
    <w:r w:rsidR="0064608B" w:rsidRPr="00D65E5E">
      <w:rPr>
        <w:noProof/>
        <w:sz w:val="22"/>
      </w:rPr>
      <w:instrText xml:space="preserve"> PAGE   \* MERGEFORMAT </w:instrText>
    </w:r>
    <w:r w:rsidR="0064608B" w:rsidRPr="00D65E5E">
      <w:rPr>
        <w:noProof/>
        <w:sz w:val="22"/>
      </w:rPr>
      <w:fldChar w:fldCharType="separate"/>
    </w:r>
    <w:r w:rsidR="00FA02D4">
      <w:rPr>
        <w:noProof/>
        <w:sz w:val="22"/>
      </w:rPr>
      <w:t>11</w:t>
    </w:r>
    <w:r w:rsidR="0064608B" w:rsidRPr="00D65E5E">
      <w:rPr>
        <w:noProof/>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D46E" w14:textId="05AB8435" w:rsidR="0064608B" w:rsidRPr="00F65473" w:rsidRDefault="0090256C">
    <w:pPr>
      <w:pStyle w:val="Footer"/>
    </w:pPr>
    <w:r w:rsidRPr="0090256C">
      <w:rPr>
        <w:noProof/>
        <w:sz w:val="16"/>
      </w:rPr>
      <w:t>{C50924:2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4FA4" w14:textId="77777777" w:rsidR="0064608B" w:rsidRDefault="0064608B" w:rsidP="00F65473">
      <w:pPr>
        <w:spacing w:line="240" w:lineRule="auto"/>
        <w:rPr>
          <w:noProof/>
        </w:rPr>
      </w:pPr>
      <w:r>
        <w:rPr>
          <w:noProof/>
        </w:rPr>
        <w:separator/>
      </w:r>
    </w:p>
  </w:footnote>
  <w:footnote w:type="continuationSeparator" w:id="0">
    <w:p w14:paraId="05AA584B" w14:textId="77777777" w:rsidR="0064608B" w:rsidRDefault="0064608B" w:rsidP="00F65473">
      <w:pPr>
        <w:spacing w:line="240" w:lineRule="auto"/>
      </w:pPr>
      <w:r>
        <w:continuationSeparator/>
      </w:r>
    </w:p>
  </w:footnote>
  <w:footnote w:id="1">
    <w:p w14:paraId="57055F00" w14:textId="273643FF" w:rsidR="0064608B" w:rsidRDefault="0064608B">
      <w:pPr>
        <w:pStyle w:val="FootnoteText"/>
      </w:pPr>
      <w:r>
        <w:rPr>
          <w:rStyle w:val="FootnoteReference"/>
        </w:rPr>
        <w:footnoteRef/>
      </w:r>
      <w:r>
        <w:t xml:space="preserve"> Industrial Energy Users-Ohio’s Motion to Compel Discovery Responses from The Dayton Power and Light Company and Memorandum in Support (Aug. 30, 2016) (“IEU-Ohio Motion to Compel”).</w:t>
      </w:r>
    </w:p>
  </w:footnote>
  <w:footnote w:id="2">
    <w:p w14:paraId="041A6802" w14:textId="0D1ABD05" w:rsidR="0064608B" w:rsidRDefault="0064608B">
      <w:pPr>
        <w:pStyle w:val="FootnoteText"/>
      </w:pPr>
      <w:r>
        <w:rPr>
          <w:rStyle w:val="FootnoteReference"/>
        </w:rPr>
        <w:footnoteRef/>
      </w:r>
      <w:r>
        <w:t xml:space="preserve"> The Dayton Power and Light Company’s Memorandum in Opposition to Industrial Energy Users-Ohio’s Motion to Compel Discovery Responses from The Dayton Power AND Light Company, Request for Hearing (Sept. 7, 2016) (“DP&amp;L Memo Contra”).</w:t>
      </w:r>
    </w:p>
  </w:footnote>
  <w:footnote w:id="3">
    <w:p w14:paraId="0414C283" w14:textId="44E38F30" w:rsidR="0064608B" w:rsidRDefault="0064608B" w:rsidP="00CB315F">
      <w:pPr>
        <w:pStyle w:val="FootnoteText"/>
      </w:pPr>
      <w:r>
        <w:rPr>
          <w:rStyle w:val="FootnoteReference"/>
        </w:rPr>
        <w:footnoteRef/>
      </w:r>
      <w:r>
        <w:t xml:space="preserve"> DP&amp;L Memo Contra at 11.</w:t>
      </w:r>
    </w:p>
  </w:footnote>
  <w:footnote w:id="4">
    <w:p w14:paraId="2B76CE65" w14:textId="67DB569D" w:rsidR="0064608B" w:rsidRDefault="0064608B" w:rsidP="008A6375">
      <w:pPr>
        <w:pStyle w:val="FootnoteText"/>
      </w:pPr>
      <w:r>
        <w:rPr>
          <w:rStyle w:val="FootnoteReference"/>
        </w:rPr>
        <w:footnoteRef/>
      </w:r>
      <w:r>
        <w:t xml:space="preserve"> DP&amp;L objected to responding to IEU-Ohio’s </w:t>
      </w:r>
      <w:r w:rsidRPr="008B1111">
        <w:t xml:space="preserve">INT </w:t>
      </w:r>
      <w:r w:rsidRPr="00CF6B72">
        <w:t>6-12</w:t>
      </w:r>
      <w:r>
        <w:t xml:space="preserve"> in which IEU-Ohio requested DP&amp;L to identify whether DP&amp;L was billed for any of the impairment analysis.  Through efforts to resolve that discovery issue, DP&amp;L provided an informal supplemental response indicating that DP&amp;L paid for the Deloitte analysis.  </w:t>
      </w:r>
      <w:r w:rsidRPr="008B1111">
        <w:t>Attachment A</w:t>
      </w:r>
      <w:r w:rsidRPr="00CF6B72">
        <w:t>.  IEU</w:t>
      </w:r>
      <w:r>
        <w:t xml:space="preserve">-Ohio is still working with DP&amp;L to obtain a formal supplemental discovery response and a response to whether DP&amp;L paid for or was allocated the costs to create the other impairment analyses and related documents DP&amp;L had identified as responsive to IEU-Ohio INT 4-19 and RPD 4-1.  </w:t>
      </w:r>
    </w:p>
  </w:footnote>
  <w:footnote w:id="5">
    <w:p w14:paraId="07D8B204" w14:textId="77777777" w:rsidR="0064608B" w:rsidRPr="009D3E6E" w:rsidRDefault="0064608B">
      <w:pPr>
        <w:pStyle w:val="FootnoteText"/>
      </w:pPr>
      <w:r>
        <w:rPr>
          <w:rStyle w:val="FootnoteReference"/>
        </w:rPr>
        <w:footnoteRef/>
      </w:r>
      <w:r>
        <w:t xml:space="preserve"> IEU-Ohio Motion to Compel at 13 (</w:t>
      </w:r>
      <w:r>
        <w:rPr>
          <w:i/>
        </w:rPr>
        <w:t xml:space="preserve">citing </w:t>
      </w:r>
      <w:r w:rsidRPr="009D3E6E">
        <w:t>Anderson’s Ohio Civil Rules Practice with Forms (2015)).</w:t>
      </w:r>
    </w:p>
  </w:footnote>
  <w:footnote w:id="6">
    <w:p w14:paraId="7C886A5C" w14:textId="6077C1AE" w:rsidR="0064608B" w:rsidRPr="00154BFD" w:rsidRDefault="0064608B">
      <w:pPr>
        <w:pStyle w:val="FootnoteText"/>
      </w:pPr>
      <w:r>
        <w:rPr>
          <w:rStyle w:val="FootnoteReference"/>
        </w:rPr>
        <w:footnoteRef/>
      </w:r>
      <w:r>
        <w:t xml:space="preserve"> </w:t>
      </w:r>
      <w:r>
        <w:rPr>
          <w:i/>
        </w:rPr>
        <w:t>Id.</w:t>
      </w:r>
      <w:r>
        <w:t xml:space="preserve"> at 10-11.</w:t>
      </w:r>
    </w:p>
  </w:footnote>
  <w:footnote w:id="7">
    <w:p w14:paraId="1F31F535" w14:textId="659F91B5" w:rsidR="0064608B" w:rsidRDefault="0064608B">
      <w:pPr>
        <w:pStyle w:val="FootnoteText"/>
      </w:pPr>
      <w:r>
        <w:rPr>
          <w:rStyle w:val="FootnoteReference"/>
        </w:rPr>
        <w:footnoteRef/>
      </w:r>
      <w:r>
        <w:t xml:space="preserve"> 42 U.S.C. 16453 Sec. 1265.</w:t>
      </w:r>
    </w:p>
  </w:footnote>
  <w:footnote w:id="8">
    <w:p w14:paraId="5A98BD1B" w14:textId="77777777" w:rsidR="0064608B" w:rsidRDefault="0064608B">
      <w:pPr>
        <w:pStyle w:val="FootnoteText"/>
      </w:pPr>
      <w:r>
        <w:rPr>
          <w:rStyle w:val="FootnoteReference"/>
        </w:rPr>
        <w:footnoteRef/>
      </w:r>
      <w:r>
        <w:t xml:space="preserve"> DP&amp;L Memo Contra at 6, 8.</w:t>
      </w:r>
    </w:p>
  </w:footnote>
  <w:footnote w:id="9">
    <w:p w14:paraId="309BA042" w14:textId="32233F46" w:rsidR="0064608B" w:rsidRPr="00B2157A" w:rsidRDefault="0064608B">
      <w:pPr>
        <w:pStyle w:val="FootnoteText"/>
      </w:pPr>
      <w:r>
        <w:rPr>
          <w:rStyle w:val="FootnoteReference"/>
        </w:rPr>
        <w:footnoteRef/>
      </w:r>
      <w:r>
        <w:t xml:space="preserve"> </w:t>
      </w:r>
      <w:r>
        <w:rPr>
          <w:i/>
        </w:rPr>
        <w:t>MA Equip. Leasing I, LLC v. Tilton</w:t>
      </w:r>
      <w:r>
        <w:t>¸ 2012-Ohio-4668, 980 N.E.2d 1072, ¶ 21 (Ohio App. Ct. 10</w:t>
      </w:r>
      <w:r w:rsidRPr="007C157E">
        <w:rPr>
          <w:vertAlign w:val="superscript"/>
        </w:rPr>
        <w:t>th</w:t>
      </w:r>
      <w:r>
        <w:t xml:space="preserve"> District) (“The trial court was correct that the burden of showing that evidence ought to be excluded under the attorney-client privilege rests upon the party asserting the privilege.”).</w:t>
      </w:r>
    </w:p>
  </w:footnote>
  <w:footnote w:id="10">
    <w:p w14:paraId="5D5FC995" w14:textId="294E2195" w:rsidR="0064608B" w:rsidRDefault="0064608B">
      <w:pPr>
        <w:pStyle w:val="FootnoteText"/>
      </w:pPr>
      <w:r>
        <w:rPr>
          <w:rStyle w:val="FootnoteReference"/>
        </w:rPr>
        <w:footnoteRef/>
      </w:r>
      <w:r>
        <w:t xml:space="preserve"> </w:t>
      </w:r>
      <w:r w:rsidRPr="00245082">
        <w:rPr>
          <w:i/>
          <w:iCs/>
        </w:rPr>
        <w:t>DeMarco v. Allstate Ins. Co.</w:t>
      </w:r>
      <w:r w:rsidRPr="00245082">
        <w:t>, 2014-Ohio-933 ¶ 23 (10th Dist. Ct. App.).</w:t>
      </w:r>
    </w:p>
  </w:footnote>
  <w:footnote w:id="11">
    <w:p w14:paraId="3EC54F84" w14:textId="279E8B87" w:rsidR="0064608B" w:rsidRPr="00D775C8" w:rsidRDefault="0064608B">
      <w:pPr>
        <w:pStyle w:val="FootnoteText"/>
      </w:pPr>
      <w:r>
        <w:rPr>
          <w:rStyle w:val="FootnoteReference"/>
        </w:rPr>
        <w:footnoteRef/>
      </w:r>
      <w:r>
        <w:t xml:space="preserve"> IEU-Ohio Motion to Compel at </w:t>
      </w:r>
      <w:r w:rsidRPr="00255628">
        <w:t>1</w:t>
      </w:r>
      <w:r w:rsidRPr="008B1111">
        <w:t>7-18</w:t>
      </w:r>
      <w:r>
        <w:t xml:space="preserve"> (</w:t>
      </w:r>
      <w:r>
        <w:rPr>
          <w:i/>
        </w:rPr>
        <w:t>quoting</w:t>
      </w:r>
      <w:r>
        <w:t xml:space="preserve"> </w:t>
      </w:r>
      <w:r>
        <w:rPr>
          <w:i/>
        </w:rPr>
        <w:t>MA Equip.</w:t>
      </w:r>
      <w:r>
        <w:t xml:space="preserve">¸ 2012-Ohio-4668 ¶ 20 </w:t>
      </w:r>
      <w:r>
        <w:rPr>
          <w:i/>
        </w:rPr>
        <w:t>and citing Mid-American Natl. Bank and Trust Co. v. Cincinnati Ins. Co.</w:t>
      </w:r>
      <w:r>
        <w:t>, 74 Ohio App.3d, 599 N.E.2d 699, 704 (6</w:t>
      </w:r>
      <w:r w:rsidRPr="00D775C8">
        <w:rPr>
          <w:vertAlign w:val="superscript"/>
        </w:rPr>
        <w:t>th</w:t>
      </w:r>
      <w:r>
        <w:t xml:space="preserve"> Dist. 1991)).</w:t>
      </w:r>
    </w:p>
  </w:footnote>
  <w:footnote w:id="12">
    <w:p w14:paraId="3288547E" w14:textId="77777777" w:rsidR="0064608B" w:rsidRPr="00D0366D" w:rsidRDefault="0064608B">
      <w:pPr>
        <w:pStyle w:val="FootnoteText"/>
      </w:pPr>
      <w:r>
        <w:rPr>
          <w:rStyle w:val="FootnoteReference"/>
        </w:rPr>
        <w:footnoteRef/>
      </w:r>
      <w:r>
        <w:t xml:space="preserve"> </w:t>
      </w:r>
      <w:r>
        <w:rPr>
          <w:i/>
        </w:rPr>
        <w:t xml:space="preserve">Teleglobe </w:t>
      </w:r>
      <w:proofErr w:type="spellStart"/>
      <w:r>
        <w:rPr>
          <w:i/>
        </w:rPr>
        <w:t>Communs</w:t>
      </w:r>
      <w:proofErr w:type="spellEnd"/>
      <w:r>
        <w:rPr>
          <w:i/>
        </w:rPr>
        <w:t>. Corp. v. BCE, Inc.</w:t>
      </w:r>
      <w:r>
        <w:t>, 493 F.3d 345 (2007).</w:t>
      </w:r>
    </w:p>
  </w:footnote>
  <w:footnote w:id="13">
    <w:p w14:paraId="331E41F0" w14:textId="7D5D7EA1" w:rsidR="0064608B" w:rsidRPr="00D65FEE" w:rsidRDefault="0064608B">
      <w:pPr>
        <w:pStyle w:val="FootnoteText"/>
      </w:pPr>
      <w:r>
        <w:rPr>
          <w:rStyle w:val="FootnoteReference"/>
        </w:rPr>
        <w:footnoteRef/>
      </w:r>
      <w:r>
        <w:t xml:space="preserve"> </w:t>
      </w:r>
      <w:r>
        <w:rPr>
          <w:i/>
        </w:rPr>
        <w:t>MA Equip</w:t>
      </w:r>
      <w:r>
        <w:t>.,</w:t>
      </w:r>
      <w:r w:rsidRPr="00BB486F">
        <w:t xml:space="preserve"> </w:t>
      </w:r>
      <w:r>
        <w:t>2012-Ohio-4668 ¶ 25 (</w:t>
      </w:r>
      <w:r>
        <w:rPr>
          <w:i/>
        </w:rPr>
        <w:t>citing Teleglobe</w:t>
      </w:r>
      <w:r>
        <w:t>, 493 F.3d at 361-70).</w:t>
      </w:r>
    </w:p>
  </w:footnote>
  <w:footnote w:id="14">
    <w:p w14:paraId="2F353AC1" w14:textId="77777777" w:rsidR="0064608B" w:rsidRDefault="0064608B">
      <w:pPr>
        <w:pStyle w:val="FootnoteText"/>
      </w:pPr>
      <w:r>
        <w:rPr>
          <w:rStyle w:val="FootnoteReference"/>
        </w:rPr>
        <w:footnoteRef/>
      </w:r>
      <w:r>
        <w:t xml:space="preserve"> </w:t>
      </w:r>
      <w:r>
        <w:rPr>
          <w:i/>
        </w:rPr>
        <w:t>Teleglobe</w:t>
      </w:r>
      <w:r>
        <w:t>, 493 F.3d at 371.</w:t>
      </w:r>
    </w:p>
  </w:footnote>
  <w:footnote w:id="15">
    <w:p w14:paraId="281BD7F4" w14:textId="77777777" w:rsidR="0064608B" w:rsidRDefault="0064608B">
      <w:pPr>
        <w:pStyle w:val="FootnoteText"/>
      </w:pPr>
      <w:r>
        <w:rPr>
          <w:rStyle w:val="FootnoteReference"/>
        </w:rPr>
        <w:footnoteRef/>
      </w:r>
      <w:r>
        <w:t xml:space="preserve"> </w:t>
      </w:r>
      <w:r>
        <w:rPr>
          <w:i/>
        </w:rPr>
        <w:t>Id.</w:t>
      </w:r>
      <w:r>
        <w:t xml:space="preserve"> </w:t>
      </w:r>
    </w:p>
  </w:footnote>
  <w:footnote w:id="16">
    <w:p w14:paraId="4F387D50" w14:textId="77777777" w:rsidR="0064608B" w:rsidRPr="00B31F9C" w:rsidRDefault="0064608B" w:rsidP="00EB7200">
      <w:pPr>
        <w:pStyle w:val="FootnoteText"/>
      </w:pPr>
      <w:r>
        <w:rPr>
          <w:rStyle w:val="FootnoteReference"/>
        </w:rPr>
        <w:footnoteRef/>
      </w:r>
      <w:r>
        <w:t xml:space="preserve"> </w:t>
      </w:r>
      <w:r>
        <w:rPr>
          <w:i/>
        </w:rPr>
        <w:t>Id.</w:t>
      </w:r>
      <w:r>
        <w:t xml:space="preserve"> at 364.</w:t>
      </w:r>
    </w:p>
  </w:footnote>
  <w:footnote w:id="17">
    <w:p w14:paraId="452C3F74" w14:textId="68A4B1DE" w:rsidR="0064608B" w:rsidRPr="00AD6042" w:rsidRDefault="0064608B" w:rsidP="00DF0287">
      <w:pPr>
        <w:pStyle w:val="FootnoteText"/>
      </w:pPr>
      <w:r>
        <w:rPr>
          <w:rStyle w:val="FootnoteReference"/>
        </w:rPr>
        <w:footnoteRef/>
      </w:r>
      <w:r>
        <w:t xml:space="preserve"> </w:t>
      </w:r>
      <w:r>
        <w:rPr>
          <w:i/>
        </w:rPr>
        <w:t>Id</w:t>
      </w:r>
      <w:r w:rsidRPr="00DD62CB">
        <w:t>.</w:t>
      </w:r>
      <w:r>
        <w:t xml:space="preserve"> </w:t>
      </w:r>
      <w:r w:rsidRPr="00DD62CB">
        <w:t>at 364-365</w:t>
      </w:r>
      <w:r>
        <w:rPr>
          <w:i/>
        </w:rPr>
        <w:t xml:space="preserve"> </w:t>
      </w:r>
      <w:r>
        <w:t xml:space="preserve">(“Because the common-interest privilege is an exception to the disclosure rule, which exists to prevent abuse, the privilege should not be used as a </w:t>
      </w:r>
      <w:r w:rsidRPr="00291608">
        <w:rPr>
          <w:i/>
        </w:rPr>
        <w:t>post hoc</w:t>
      </w:r>
      <w:r>
        <w:t xml:space="preserve"> justification for a client’s impermissible disclosures.  The attorney-sharing requirement helps prevent abuse by ensuring that the common-interest privilege only supplants the disclosure rule when attorneys, not clients, decide to share information in order to coordinate legal strategies.”); </w:t>
      </w:r>
      <w:r>
        <w:rPr>
          <w:i/>
        </w:rPr>
        <w:t>id.</w:t>
      </w:r>
      <w:r>
        <w:t xml:space="preserve"> at 372 (“Moreover, the community-of-interest privilege only applies when those separate attorneys disclose information to one another, not when parties communicate directly.”).</w:t>
      </w:r>
    </w:p>
  </w:footnote>
  <w:footnote w:id="18">
    <w:p w14:paraId="4D8B135E" w14:textId="77777777" w:rsidR="0064608B" w:rsidRPr="00AD6042" w:rsidRDefault="0064608B">
      <w:pPr>
        <w:pStyle w:val="FootnoteText"/>
      </w:pPr>
      <w:r>
        <w:rPr>
          <w:rStyle w:val="FootnoteReference"/>
        </w:rPr>
        <w:footnoteRef/>
      </w:r>
      <w:r>
        <w:t xml:space="preserve"> </w:t>
      </w:r>
      <w:r>
        <w:rPr>
          <w:i/>
        </w:rPr>
        <w:t>Id.</w:t>
      </w:r>
      <w:r>
        <w:t xml:space="preserve"> at 364</w:t>
      </w:r>
    </w:p>
  </w:footnote>
  <w:footnote w:id="19">
    <w:p w14:paraId="6B72C8E6" w14:textId="77777777" w:rsidR="0064608B" w:rsidRPr="00DC5EAE" w:rsidRDefault="0064608B">
      <w:pPr>
        <w:pStyle w:val="FootnoteText"/>
      </w:pPr>
      <w:r>
        <w:rPr>
          <w:rStyle w:val="FootnoteReference"/>
        </w:rPr>
        <w:footnoteRef/>
      </w:r>
      <w:r>
        <w:t xml:space="preserve"> </w:t>
      </w:r>
      <w:r>
        <w:rPr>
          <w:i/>
        </w:rPr>
        <w:t>Id.</w:t>
      </w:r>
      <w:r>
        <w:t xml:space="preserve"> at 372 (emphasis in original). </w:t>
      </w:r>
    </w:p>
  </w:footnote>
  <w:footnote w:id="20">
    <w:p w14:paraId="2D9211E6" w14:textId="77777777" w:rsidR="0064608B" w:rsidRPr="004A5974" w:rsidRDefault="0064608B">
      <w:pPr>
        <w:pStyle w:val="FootnoteText"/>
        <w:rPr>
          <w:i/>
        </w:rPr>
      </w:pPr>
      <w:r>
        <w:rPr>
          <w:rStyle w:val="FootnoteReference"/>
        </w:rPr>
        <w:footnoteRef/>
      </w:r>
      <w:r>
        <w:t xml:space="preserve"> </w:t>
      </w:r>
      <w:r>
        <w:rPr>
          <w:i/>
        </w:rPr>
        <w:t>Id.</w:t>
      </w:r>
    </w:p>
  </w:footnote>
  <w:footnote w:id="21">
    <w:p w14:paraId="1C918E4D" w14:textId="47BFDD77" w:rsidR="0064608B" w:rsidRPr="009E45FC" w:rsidRDefault="0064608B">
      <w:pPr>
        <w:pStyle w:val="FootnoteText"/>
      </w:pPr>
      <w:r>
        <w:rPr>
          <w:rStyle w:val="FootnoteReference"/>
        </w:rPr>
        <w:footnoteRef/>
      </w:r>
      <w:r>
        <w:t xml:space="preserve"> </w:t>
      </w:r>
      <w:r>
        <w:rPr>
          <w:i/>
        </w:rPr>
        <w:t>Id.</w:t>
      </w:r>
      <w:r>
        <w:t xml:space="preserve"> at 362, 369; </w:t>
      </w:r>
      <w:r>
        <w:rPr>
          <w:i/>
        </w:rPr>
        <w:t>MA Equip.</w:t>
      </w:r>
      <w:r>
        <w:t>, 2012-Ohio-4668 at ¶ 30.</w:t>
      </w:r>
    </w:p>
  </w:footnote>
  <w:footnote w:id="22">
    <w:p w14:paraId="57C55F39" w14:textId="420D16CF" w:rsidR="0064608B" w:rsidRPr="00305807" w:rsidRDefault="0064608B">
      <w:pPr>
        <w:pStyle w:val="FootnoteText"/>
      </w:pPr>
      <w:r>
        <w:rPr>
          <w:rStyle w:val="FootnoteReference"/>
        </w:rPr>
        <w:footnoteRef/>
      </w:r>
      <w:r>
        <w:t xml:space="preserve"> </w:t>
      </w:r>
      <w:r>
        <w:rPr>
          <w:i/>
        </w:rPr>
        <w:t xml:space="preserve">Galati v. </w:t>
      </w:r>
      <w:proofErr w:type="spellStart"/>
      <w:r>
        <w:rPr>
          <w:i/>
        </w:rPr>
        <w:t>Pettorini</w:t>
      </w:r>
      <w:proofErr w:type="spellEnd"/>
      <w:r>
        <w:t>, 2015-Ohio-1305 at ¶ 36 (Ohio Ct. App. 8</w:t>
      </w:r>
      <w:r w:rsidRPr="00B23918">
        <w:rPr>
          <w:vertAlign w:val="superscript"/>
        </w:rPr>
        <w:t>th</w:t>
      </w:r>
      <w:r>
        <w:t xml:space="preserve"> Dist.) (“While we recognize that </w:t>
      </w:r>
      <w:proofErr w:type="gramStart"/>
      <w:r>
        <w:rPr>
          <w:i/>
        </w:rPr>
        <w:t>In</w:t>
      </w:r>
      <w:proofErr w:type="gramEnd"/>
      <w:r>
        <w:rPr>
          <w:i/>
        </w:rPr>
        <w:t xml:space="preserve"> re Teleglobe</w:t>
      </w:r>
      <w:r>
        <w:t xml:space="preserve"> is not binding on this court, both the Federal Sixth Circuit and Ohio’s Tenth Appellate District have cited </w:t>
      </w:r>
      <w:r>
        <w:rPr>
          <w:i/>
        </w:rPr>
        <w:t>In re Teleglobe</w:t>
      </w:r>
      <w:r>
        <w:t xml:space="preserve"> with approval.… We find </w:t>
      </w:r>
      <w:proofErr w:type="gramStart"/>
      <w:r>
        <w:rPr>
          <w:i/>
        </w:rPr>
        <w:t>In</w:t>
      </w:r>
      <w:proofErr w:type="gramEnd"/>
      <w:r>
        <w:rPr>
          <w:i/>
        </w:rPr>
        <w:t xml:space="preserve"> re Teleglobe </w:t>
      </w:r>
      <w:r>
        <w:t xml:space="preserve">to be instructive in this case as well.”); </w:t>
      </w:r>
      <w:r>
        <w:rPr>
          <w:i/>
        </w:rPr>
        <w:t>MA Equip.</w:t>
      </w:r>
      <w:r>
        <w:t xml:space="preserve">, 2012-Ohio-4668 at ¶ 21-42. </w:t>
      </w:r>
    </w:p>
  </w:footnote>
  <w:footnote w:id="23">
    <w:p w14:paraId="49E2F02A" w14:textId="77777777" w:rsidR="0064608B" w:rsidRDefault="0064608B">
      <w:pPr>
        <w:pStyle w:val="FootnoteText"/>
      </w:pPr>
      <w:r>
        <w:rPr>
          <w:rStyle w:val="FootnoteReference"/>
        </w:rPr>
        <w:footnoteRef/>
      </w:r>
      <w:r>
        <w:t xml:space="preserve"> </w:t>
      </w:r>
      <w:r>
        <w:rPr>
          <w:i/>
        </w:rPr>
        <w:t>MA Equip.</w:t>
      </w:r>
      <w:r>
        <w:t>, 2012-Ohio-4668 at ¶ 20.</w:t>
      </w:r>
    </w:p>
  </w:footnote>
  <w:footnote w:id="24">
    <w:p w14:paraId="222448A9" w14:textId="55A3D72C" w:rsidR="0064608B" w:rsidRPr="00394CD0" w:rsidRDefault="0064608B">
      <w:pPr>
        <w:pStyle w:val="FootnoteText"/>
      </w:pPr>
      <w:r>
        <w:rPr>
          <w:rStyle w:val="FootnoteReference"/>
        </w:rPr>
        <w:footnoteRef/>
      </w:r>
      <w:r>
        <w:t xml:space="preserve"> </w:t>
      </w:r>
      <w:r>
        <w:rPr>
          <w:i/>
        </w:rPr>
        <w:t>Id</w:t>
      </w:r>
      <w:r w:rsidRPr="00F44C0D">
        <w:t>.</w:t>
      </w:r>
      <w:r>
        <w:t xml:space="preserve"> at ¶ 34.</w:t>
      </w:r>
    </w:p>
  </w:footnote>
  <w:footnote w:id="25">
    <w:p w14:paraId="65044738" w14:textId="77777777" w:rsidR="0064608B" w:rsidRPr="00F973E1" w:rsidRDefault="0064608B">
      <w:pPr>
        <w:pStyle w:val="FootnoteText"/>
        <w:rPr>
          <w:i/>
        </w:rPr>
      </w:pPr>
      <w:r>
        <w:rPr>
          <w:rStyle w:val="FootnoteReference"/>
        </w:rPr>
        <w:footnoteRef/>
      </w:r>
      <w:r>
        <w:t xml:space="preserve"> </w:t>
      </w:r>
      <w:r>
        <w:rPr>
          <w:i/>
        </w:rPr>
        <w:t>Id.</w:t>
      </w:r>
    </w:p>
  </w:footnote>
  <w:footnote w:id="26">
    <w:p w14:paraId="702D28A6" w14:textId="087F3153" w:rsidR="0064608B" w:rsidRPr="005C3DE2" w:rsidRDefault="0064608B">
      <w:pPr>
        <w:pStyle w:val="FootnoteText"/>
      </w:pPr>
      <w:r>
        <w:rPr>
          <w:rStyle w:val="FootnoteReference"/>
        </w:rPr>
        <w:footnoteRef/>
      </w:r>
      <w:r>
        <w:t xml:space="preserve"> </w:t>
      </w:r>
      <w:r>
        <w:rPr>
          <w:i/>
        </w:rPr>
        <w:t xml:space="preserve">Id. </w:t>
      </w:r>
      <w:r>
        <w:t>at ¶¶ 37, 40.</w:t>
      </w:r>
    </w:p>
  </w:footnote>
  <w:footnote w:id="27">
    <w:p w14:paraId="0F7D6B6F" w14:textId="550FEF24" w:rsidR="0064608B" w:rsidRPr="001A09C7" w:rsidRDefault="0064608B">
      <w:pPr>
        <w:pStyle w:val="FootnoteText"/>
      </w:pPr>
      <w:r>
        <w:rPr>
          <w:rStyle w:val="FootnoteReference"/>
        </w:rPr>
        <w:footnoteRef/>
      </w:r>
      <w:r>
        <w:t xml:space="preserve"> </w:t>
      </w:r>
      <w:r>
        <w:rPr>
          <w:i/>
        </w:rPr>
        <w:t>Id.</w:t>
      </w:r>
      <w:r>
        <w:t xml:space="preserve"> at ¶ 40.</w:t>
      </w:r>
    </w:p>
  </w:footnote>
  <w:footnote w:id="28">
    <w:p w14:paraId="598F3001" w14:textId="7CFEE053" w:rsidR="0064608B" w:rsidRPr="00A76EC7" w:rsidRDefault="0064608B">
      <w:pPr>
        <w:pStyle w:val="FootnoteText"/>
      </w:pPr>
      <w:r>
        <w:rPr>
          <w:rStyle w:val="FootnoteReference"/>
        </w:rPr>
        <w:footnoteRef/>
      </w:r>
      <w:r>
        <w:t xml:space="preserve"> </w:t>
      </w:r>
      <w:r>
        <w:rPr>
          <w:i/>
        </w:rPr>
        <w:t>Id.</w:t>
      </w:r>
      <w:r>
        <w:t xml:space="preserve"> at ¶ 41.</w:t>
      </w:r>
    </w:p>
  </w:footnote>
  <w:footnote w:id="29">
    <w:p w14:paraId="6531766B" w14:textId="1FF30E0F" w:rsidR="0064608B" w:rsidRPr="00DF6933" w:rsidRDefault="0064608B" w:rsidP="007E77C0">
      <w:pPr>
        <w:pStyle w:val="FootnoteText"/>
      </w:pPr>
      <w:r>
        <w:rPr>
          <w:rStyle w:val="FootnoteReference"/>
        </w:rPr>
        <w:footnoteRef/>
      </w:r>
      <w:r>
        <w:t xml:space="preserve"> </w:t>
      </w:r>
      <w:r>
        <w:rPr>
          <w:i/>
        </w:rPr>
        <w:t>Id.</w:t>
      </w:r>
      <w:r>
        <w:t xml:space="preserve"> at ¶ 36.</w:t>
      </w:r>
    </w:p>
  </w:footnote>
  <w:footnote w:id="30">
    <w:p w14:paraId="1EBFA53D" w14:textId="71E63AF3" w:rsidR="0064608B" w:rsidRPr="00C95C4A" w:rsidRDefault="0064608B">
      <w:pPr>
        <w:pStyle w:val="FootnoteText"/>
        <w:rPr>
          <w:i/>
        </w:rPr>
      </w:pPr>
      <w:r>
        <w:rPr>
          <w:rStyle w:val="FootnoteReference"/>
        </w:rPr>
        <w:footnoteRef/>
      </w:r>
      <w:r>
        <w:t xml:space="preserve"> </w:t>
      </w:r>
      <w:r>
        <w:rPr>
          <w:i/>
        </w:rPr>
        <w:t>Id.</w:t>
      </w:r>
    </w:p>
  </w:footnote>
  <w:footnote w:id="31">
    <w:p w14:paraId="3598E1D4" w14:textId="2EB015E0" w:rsidR="0064608B" w:rsidRDefault="0064608B">
      <w:pPr>
        <w:pStyle w:val="FootnoteText"/>
      </w:pPr>
      <w:r>
        <w:rPr>
          <w:rStyle w:val="FootnoteReference"/>
        </w:rPr>
        <w:footnoteRef/>
      </w:r>
      <w:r>
        <w:t xml:space="preserve"> DP&amp;L Memo Contra at 8 (“Here, the analysis of DP&amp;L’s attorneys that is contained in the impairment documents” is privileged).</w:t>
      </w:r>
    </w:p>
  </w:footnote>
  <w:footnote w:id="32">
    <w:p w14:paraId="451C5EA1" w14:textId="5D871E06" w:rsidR="0064608B" w:rsidRPr="00983386" w:rsidRDefault="0064608B" w:rsidP="000F6955">
      <w:pPr>
        <w:pStyle w:val="FootnoteText"/>
      </w:pPr>
      <w:r>
        <w:rPr>
          <w:rStyle w:val="FootnoteReference"/>
        </w:rPr>
        <w:footnoteRef/>
      </w:r>
      <w:r>
        <w:t xml:space="preserve"> </w:t>
      </w:r>
      <w:r>
        <w:rPr>
          <w:i/>
        </w:rPr>
        <w:t xml:space="preserve">See DP&amp;L </w:t>
      </w:r>
      <w:r>
        <w:t xml:space="preserve">Memo Contra at 1 (“The documents at issue are AES documents”); </w:t>
      </w:r>
      <w:r>
        <w:rPr>
          <w:i/>
        </w:rPr>
        <w:t>id.</w:t>
      </w:r>
      <w:r>
        <w:t xml:space="preserve"> at 3 (“the impairment documents at issue are AES documents . . . [and] AES has not consented to the production of those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2C30" w14:textId="77777777" w:rsidR="00E96D43" w:rsidRDefault="00E96D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E961" w14:textId="77777777" w:rsidR="0064608B" w:rsidRDefault="006460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D5037" w14:textId="77777777" w:rsidR="0064608B" w:rsidRDefault="006460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F2B4" w14:textId="77777777" w:rsidR="0064608B" w:rsidRDefault="00646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79A1" w14:textId="77777777" w:rsidR="00E96D43" w:rsidRDefault="00E96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755E" w14:textId="77777777" w:rsidR="00E96D43" w:rsidRDefault="00E96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F376B" w14:textId="77777777" w:rsidR="0064608B" w:rsidRDefault="006460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5BD2" w14:textId="77777777" w:rsidR="0064608B" w:rsidRDefault="006460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6718" w14:textId="77777777" w:rsidR="0064608B" w:rsidRDefault="006460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E8A0" w14:textId="77777777" w:rsidR="0064608B" w:rsidRDefault="006460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4D71" w14:textId="77777777" w:rsidR="0064608B" w:rsidRDefault="006460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A5F0" w14:textId="77777777" w:rsidR="0064608B" w:rsidRDefault="00646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44AF"/>
    <w:multiLevelType w:val="multilevel"/>
    <w:tmpl w:val="A1247B0C"/>
    <w:name w:val="IEU-Ohio PUCO Basic-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PUCO Basic&lt;/Name&gt;&lt;Description&gt;General pleading format&lt;/Description&gt;&lt;FilterID&gt;0&lt;/FilterID&gt;&lt;CustomTOCAttached&gt;false&lt;/CustomTOCAttached&gt;&lt;DefaultTOCSchemeID&gt;0&lt;/DefaultTOCSchemeID&gt;&lt;BitMapID&gt;2&lt;/BitMapID&gt;&lt;Hidden&gt;false&lt;/Hidden&gt;&lt;ListIndexUsed&gt;0&lt;/ListIndexUsed&gt;&lt;CapturedDocument&gt;M:\CLIENTS\18480\FE\C50135.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EnforceSchemeFont" w:val="False"/>
    <w:docVar w:name="LastSchemeChoice" w:val="IEU-Ohio PUCO Basic"/>
    <w:docVar w:name="LastSchemeUniqueID" w:val="1"/>
    <w:docVar w:name="LegacyNa" w:val="False"/>
  </w:docVars>
  <w:rsids>
    <w:rsidRoot w:val="00F65473"/>
    <w:rsid w:val="00004850"/>
    <w:rsid w:val="00012D6C"/>
    <w:rsid w:val="00034321"/>
    <w:rsid w:val="000343ED"/>
    <w:rsid w:val="0003528B"/>
    <w:rsid w:val="00046B9A"/>
    <w:rsid w:val="00047B4E"/>
    <w:rsid w:val="00050759"/>
    <w:rsid w:val="00051B9B"/>
    <w:rsid w:val="00056E25"/>
    <w:rsid w:val="000633BD"/>
    <w:rsid w:val="00083B8A"/>
    <w:rsid w:val="000B6E4F"/>
    <w:rsid w:val="000C1E34"/>
    <w:rsid w:val="000D43E0"/>
    <w:rsid w:val="000F4F9E"/>
    <w:rsid w:val="000F5376"/>
    <w:rsid w:val="000F6955"/>
    <w:rsid w:val="00122DE0"/>
    <w:rsid w:val="001239D8"/>
    <w:rsid w:val="00135082"/>
    <w:rsid w:val="00154BFD"/>
    <w:rsid w:val="00155C4C"/>
    <w:rsid w:val="00170974"/>
    <w:rsid w:val="0017570E"/>
    <w:rsid w:val="001A09C7"/>
    <w:rsid w:val="001A23AD"/>
    <w:rsid w:val="001A2DA7"/>
    <w:rsid w:val="001C2027"/>
    <w:rsid w:val="001C625D"/>
    <w:rsid w:val="001E45D5"/>
    <w:rsid w:val="001F44A9"/>
    <w:rsid w:val="00206319"/>
    <w:rsid w:val="00217E3F"/>
    <w:rsid w:val="00226601"/>
    <w:rsid w:val="00245082"/>
    <w:rsid w:val="00255628"/>
    <w:rsid w:val="00260E50"/>
    <w:rsid w:val="002632E2"/>
    <w:rsid w:val="00267407"/>
    <w:rsid w:val="00273602"/>
    <w:rsid w:val="00287B4E"/>
    <w:rsid w:val="0029120A"/>
    <w:rsid w:val="00291608"/>
    <w:rsid w:val="0029712E"/>
    <w:rsid w:val="002A3117"/>
    <w:rsid w:val="002A351A"/>
    <w:rsid w:val="002A378A"/>
    <w:rsid w:val="002A6435"/>
    <w:rsid w:val="002C3E2E"/>
    <w:rsid w:val="002C641F"/>
    <w:rsid w:val="002E5FC6"/>
    <w:rsid w:val="002F08F8"/>
    <w:rsid w:val="002F39A3"/>
    <w:rsid w:val="00305807"/>
    <w:rsid w:val="00306F2D"/>
    <w:rsid w:val="003167F9"/>
    <w:rsid w:val="00316951"/>
    <w:rsid w:val="00317323"/>
    <w:rsid w:val="00331505"/>
    <w:rsid w:val="0033233C"/>
    <w:rsid w:val="003339B6"/>
    <w:rsid w:val="003422EF"/>
    <w:rsid w:val="00344499"/>
    <w:rsid w:val="00346DAC"/>
    <w:rsid w:val="003661DA"/>
    <w:rsid w:val="003664F5"/>
    <w:rsid w:val="00370044"/>
    <w:rsid w:val="00372D70"/>
    <w:rsid w:val="00373AF0"/>
    <w:rsid w:val="003775DF"/>
    <w:rsid w:val="00384437"/>
    <w:rsid w:val="003925D2"/>
    <w:rsid w:val="00394CD0"/>
    <w:rsid w:val="003C617F"/>
    <w:rsid w:val="003E77F3"/>
    <w:rsid w:val="003F6D6F"/>
    <w:rsid w:val="00405F97"/>
    <w:rsid w:val="004303D6"/>
    <w:rsid w:val="00454D8E"/>
    <w:rsid w:val="00456D3E"/>
    <w:rsid w:val="004610ED"/>
    <w:rsid w:val="00464479"/>
    <w:rsid w:val="00467F5A"/>
    <w:rsid w:val="0047157F"/>
    <w:rsid w:val="00486B4D"/>
    <w:rsid w:val="0049601C"/>
    <w:rsid w:val="004A25A0"/>
    <w:rsid w:val="004A5974"/>
    <w:rsid w:val="004A6DDC"/>
    <w:rsid w:val="004B4FE8"/>
    <w:rsid w:val="004C1F40"/>
    <w:rsid w:val="004E7D0B"/>
    <w:rsid w:val="004F1976"/>
    <w:rsid w:val="004F3BB1"/>
    <w:rsid w:val="004F597A"/>
    <w:rsid w:val="004F7749"/>
    <w:rsid w:val="005028D9"/>
    <w:rsid w:val="005131C6"/>
    <w:rsid w:val="005172F0"/>
    <w:rsid w:val="00545393"/>
    <w:rsid w:val="0055416C"/>
    <w:rsid w:val="00555AC1"/>
    <w:rsid w:val="00556CFF"/>
    <w:rsid w:val="005722F3"/>
    <w:rsid w:val="00583C12"/>
    <w:rsid w:val="005867EF"/>
    <w:rsid w:val="005A0FAB"/>
    <w:rsid w:val="005A20A0"/>
    <w:rsid w:val="005C0BF1"/>
    <w:rsid w:val="005C3DE2"/>
    <w:rsid w:val="005D2A70"/>
    <w:rsid w:val="005D3C79"/>
    <w:rsid w:val="005D4D32"/>
    <w:rsid w:val="005E14D8"/>
    <w:rsid w:val="006011FC"/>
    <w:rsid w:val="00602F93"/>
    <w:rsid w:val="006054E5"/>
    <w:rsid w:val="00613DDB"/>
    <w:rsid w:val="00620BD5"/>
    <w:rsid w:val="00634FAB"/>
    <w:rsid w:val="00637731"/>
    <w:rsid w:val="00640790"/>
    <w:rsid w:val="0064608B"/>
    <w:rsid w:val="00662931"/>
    <w:rsid w:val="00665518"/>
    <w:rsid w:val="006663B0"/>
    <w:rsid w:val="00670BBC"/>
    <w:rsid w:val="0067313C"/>
    <w:rsid w:val="006C1288"/>
    <w:rsid w:val="006C18AA"/>
    <w:rsid w:val="006D25AE"/>
    <w:rsid w:val="006E2720"/>
    <w:rsid w:val="006E3594"/>
    <w:rsid w:val="006F1492"/>
    <w:rsid w:val="007007BD"/>
    <w:rsid w:val="00705773"/>
    <w:rsid w:val="00705AF8"/>
    <w:rsid w:val="007168F9"/>
    <w:rsid w:val="0072041A"/>
    <w:rsid w:val="00730B18"/>
    <w:rsid w:val="00735545"/>
    <w:rsid w:val="00743968"/>
    <w:rsid w:val="00746BAF"/>
    <w:rsid w:val="00761322"/>
    <w:rsid w:val="00765999"/>
    <w:rsid w:val="00766ABE"/>
    <w:rsid w:val="0078424A"/>
    <w:rsid w:val="00784DBF"/>
    <w:rsid w:val="007A0D9B"/>
    <w:rsid w:val="007C157E"/>
    <w:rsid w:val="007D536D"/>
    <w:rsid w:val="007E77C0"/>
    <w:rsid w:val="0081272D"/>
    <w:rsid w:val="0081544F"/>
    <w:rsid w:val="00831F42"/>
    <w:rsid w:val="00856B37"/>
    <w:rsid w:val="008810B2"/>
    <w:rsid w:val="008864ED"/>
    <w:rsid w:val="00893204"/>
    <w:rsid w:val="00893DB2"/>
    <w:rsid w:val="00894F1D"/>
    <w:rsid w:val="00897226"/>
    <w:rsid w:val="008A03DA"/>
    <w:rsid w:val="008A6375"/>
    <w:rsid w:val="008A7061"/>
    <w:rsid w:val="008B1111"/>
    <w:rsid w:val="008C7671"/>
    <w:rsid w:val="008E3BF4"/>
    <w:rsid w:val="008F4D15"/>
    <w:rsid w:val="008F5840"/>
    <w:rsid w:val="008F7F10"/>
    <w:rsid w:val="0090256C"/>
    <w:rsid w:val="00904E19"/>
    <w:rsid w:val="009257FA"/>
    <w:rsid w:val="00926621"/>
    <w:rsid w:val="0092712F"/>
    <w:rsid w:val="00937B1E"/>
    <w:rsid w:val="0095448C"/>
    <w:rsid w:val="0095740F"/>
    <w:rsid w:val="00983386"/>
    <w:rsid w:val="00983D8D"/>
    <w:rsid w:val="009A2703"/>
    <w:rsid w:val="009A523C"/>
    <w:rsid w:val="009B412E"/>
    <w:rsid w:val="009D1B8B"/>
    <w:rsid w:val="009D3E6E"/>
    <w:rsid w:val="009E45FC"/>
    <w:rsid w:val="009F06C1"/>
    <w:rsid w:val="00A05D3F"/>
    <w:rsid w:val="00A06D2A"/>
    <w:rsid w:val="00A152B6"/>
    <w:rsid w:val="00A23691"/>
    <w:rsid w:val="00A31E54"/>
    <w:rsid w:val="00A45B40"/>
    <w:rsid w:val="00A57023"/>
    <w:rsid w:val="00A76EC7"/>
    <w:rsid w:val="00A84650"/>
    <w:rsid w:val="00AA0209"/>
    <w:rsid w:val="00AA3F34"/>
    <w:rsid w:val="00AD3382"/>
    <w:rsid w:val="00AD377A"/>
    <w:rsid w:val="00AD6042"/>
    <w:rsid w:val="00AD6956"/>
    <w:rsid w:val="00AD6AAC"/>
    <w:rsid w:val="00AD7206"/>
    <w:rsid w:val="00AE4386"/>
    <w:rsid w:val="00AE5A4D"/>
    <w:rsid w:val="00B0119E"/>
    <w:rsid w:val="00B121DF"/>
    <w:rsid w:val="00B2157A"/>
    <w:rsid w:val="00B23918"/>
    <w:rsid w:val="00B23B63"/>
    <w:rsid w:val="00B31F9C"/>
    <w:rsid w:val="00B4315B"/>
    <w:rsid w:val="00B552F4"/>
    <w:rsid w:val="00B6306A"/>
    <w:rsid w:val="00B64AB5"/>
    <w:rsid w:val="00B73EE9"/>
    <w:rsid w:val="00B83611"/>
    <w:rsid w:val="00B95D7D"/>
    <w:rsid w:val="00BA0551"/>
    <w:rsid w:val="00BB486F"/>
    <w:rsid w:val="00BD3712"/>
    <w:rsid w:val="00BE2154"/>
    <w:rsid w:val="00BE4030"/>
    <w:rsid w:val="00BE6133"/>
    <w:rsid w:val="00C0405A"/>
    <w:rsid w:val="00C129D4"/>
    <w:rsid w:val="00C21C06"/>
    <w:rsid w:val="00C23D8A"/>
    <w:rsid w:val="00C36EF5"/>
    <w:rsid w:val="00C41382"/>
    <w:rsid w:val="00C76366"/>
    <w:rsid w:val="00C9477A"/>
    <w:rsid w:val="00C95C4A"/>
    <w:rsid w:val="00C96D25"/>
    <w:rsid w:val="00CA44A7"/>
    <w:rsid w:val="00CA75DF"/>
    <w:rsid w:val="00CB315F"/>
    <w:rsid w:val="00CB4ED4"/>
    <w:rsid w:val="00CC2CDA"/>
    <w:rsid w:val="00CC478F"/>
    <w:rsid w:val="00CE1B94"/>
    <w:rsid w:val="00CE2FE3"/>
    <w:rsid w:val="00CF254B"/>
    <w:rsid w:val="00CF6B72"/>
    <w:rsid w:val="00D0366D"/>
    <w:rsid w:val="00D04DFB"/>
    <w:rsid w:val="00D1787B"/>
    <w:rsid w:val="00D23D78"/>
    <w:rsid w:val="00D26752"/>
    <w:rsid w:val="00D37DAB"/>
    <w:rsid w:val="00D43E23"/>
    <w:rsid w:val="00D46625"/>
    <w:rsid w:val="00D5712C"/>
    <w:rsid w:val="00D65E5E"/>
    <w:rsid w:val="00D65FEE"/>
    <w:rsid w:val="00D775C8"/>
    <w:rsid w:val="00D807FA"/>
    <w:rsid w:val="00D907EF"/>
    <w:rsid w:val="00DB40EF"/>
    <w:rsid w:val="00DC10D7"/>
    <w:rsid w:val="00DC5602"/>
    <w:rsid w:val="00DC5EAE"/>
    <w:rsid w:val="00DC6C18"/>
    <w:rsid w:val="00DC6D16"/>
    <w:rsid w:val="00DD24E0"/>
    <w:rsid w:val="00DD62CB"/>
    <w:rsid w:val="00DF0287"/>
    <w:rsid w:val="00DF1251"/>
    <w:rsid w:val="00DF223D"/>
    <w:rsid w:val="00DF6933"/>
    <w:rsid w:val="00E03DDF"/>
    <w:rsid w:val="00E13463"/>
    <w:rsid w:val="00E22BF6"/>
    <w:rsid w:val="00E26544"/>
    <w:rsid w:val="00E34135"/>
    <w:rsid w:val="00E4504C"/>
    <w:rsid w:val="00E45F50"/>
    <w:rsid w:val="00E5495B"/>
    <w:rsid w:val="00E8075B"/>
    <w:rsid w:val="00E8653A"/>
    <w:rsid w:val="00E8797F"/>
    <w:rsid w:val="00E96D43"/>
    <w:rsid w:val="00EB31DA"/>
    <w:rsid w:val="00EB7200"/>
    <w:rsid w:val="00ED2878"/>
    <w:rsid w:val="00EE3B78"/>
    <w:rsid w:val="00EF086C"/>
    <w:rsid w:val="00F13A54"/>
    <w:rsid w:val="00F31618"/>
    <w:rsid w:val="00F36210"/>
    <w:rsid w:val="00F44C0D"/>
    <w:rsid w:val="00F50034"/>
    <w:rsid w:val="00F5582B"/>
    <w:rsid w:val="00F65473"/>
    <w:rsid w:val="00F86037"/>
    <w:rsid w:val="00F91BD2"/>
    <w:rsid w:val="00F965EF"/>
    <w:rsid w:val="00F973E1"/>
    <w:rsid w:val="00FA02D4"/>
    <w:rsid w:val="00FB2373"/>
    <w:rsid w:val="00FC622F"/>
    <w:rsid w:val="00FF41D3"/>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086C"/>
    <w:pPr>
      <w:spacing w:line="480" w:lineRule="auto"/>
    </w:pPr>
    <w:rPr>
      <w:szCs w:val="22"/>
    </w:rPr>
  </w:style>
  <w:style w:type="paragraph" w:styleId="Heading1">
    <w:name w:val="heading 1"/>
    <w:basedOn w:val="Normal"/>
    <w:next w:val="Normal"/>
    <w:link w:val="Heading1Char"/>
    <w:uiPriority w:val="9"/>
    <w:qFormat/>
    <w:rsid w:val="001F44A9"/>
    <w:pPr>
      <w:numPr>
        <w:numId w:val="1"/>
      </w:numPr>
      <w:spacing w:before="180" w:after="240" w:line="240" w:lineRule="auto"/>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1F44A9"/>
    <w:pPr>
      <w:numPr>
        <w:ilvl w:val="1"/>
        <w:numId w:val="1"/>
      </w:numPr>
      <w:tabs>
        <w:tab w:val="left" w:pos="1440"/>
      </w:tabs>
      <w:spacing w:after="240" w:line="240" w:lineRule="auto"/>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1F44A9"/>
    <w:pPr>
      <w:numPr>
        <w:ilvl w:val="2"/>
        <w:numId w:val="1"/>
      </w:numPr>
      <w:tabs>
        <w:tab w:val="left" w:pos="2160"/>
      </w:tabs>
      <w:spacing w:after="240" w:line="240" w:lineRule="auto"/>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1F44A9"/>
    <w:pPr>
      <w:numPr>
        <w:ilvl w:val="3"/>
        <w:numId w:val="1"/>
      </w:numPr>
      <w:tabs>
        <w:tab w:val="left" w:pos="2880"/>
      </w:tabs>
      <w:spacing w:after="240" w:line="240" w:lineRule="auto"/>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1F44A9"/>
    <w:pPr>
      <w:numPr>
        <w:ilvl w:val="4"/>
        <w:numId w:val="1"/>
      </w:numPr>
      <w:tabs>
        <w:tab w:val="left" w:pos="3600"/>
      </w:tabs>
      <w:spacing w:after="240" w:line="240" w:lineRule="auto"/>
      <w:outlineLvl w:val="4"/>
    </w:pPr>
    <w:rPr>
      <w:rFonts w:eastAsiaTheme="majorEastAsia" w:cs="Arial"/>
      <w:color w:val="243F60" w:themeColor="accent1" w:themeShade="7F"/>
    </w:rPr>
  </w:style>
  <w:style w:type="paragraph" w:styleId="Heading6">
    <w:name w:val="heading 6"/>
    <w:basedOn w:val="Normal"/>
    <w:next w:val="Normal"/>
    <w:link w:val="Heading6Char"/>
    <w:uiPriority w:val="9"/>
    <w:semiHidden/>
    <w:unhideWhenUsed/>
    <w:qFormat/>
    <w:rsid w:val="001F44A9"/>
    <w:pPr>
      <w:numPr>
        <w:ilvl w:val="5"/>
        <w:numId w:val="1"/>
      </w:numPr>
      <w:tabs>
        <w:tab w:val="left" w:pos="4320"/>
      </w:tabs>
      <w:spacing w:after="240" w:line="240" w:lineRule="auto"/>
      <w:outlineLvl w:val="5"/>
    </w:pPr>
    <w:rPr>
      <w:rFonts w:eastAsiaTheme="majorEastAsia" w:cs="Arial"/>
      <w:color w:val="243F60" w:themeColor="accent1" w:themeShade="7F"/>
    </w:rPr>
  </w:style>
  <w:style w:type="paragraph" w:styleId="Heading7">
    <w:name w:val="heading 7"/>
    <w:basedOn w:val="Normal"/>
    <w:next w:val="Normal"/>
    <w:link w:val="Heading7Char"/>
    <w:uiPriority w:val="9"/>
    <w:semiHidden/>
    <w:unhideWhenUsed/>
    <w:qFormat/>
    <w:rsid w:val="001F44A9"/>
    <w:pPr>
      <w:numPr>
        <w:ilvl w:val="6"/>
        <w:numId w:val="1"/>
      </w:numPr>
      <w:tabs>
        <w:tab w:val="left" w:pos="5040"/>
      </w:tabs>
      <w:spacing w:after="240" w:line="240" w:lineRule="auto"/>
      <w:outlineLvl w:val="6"/>
    </w:pPr>
    <w:rPr>
      <w:rFonts w:eastAsiaTheme="majorEastAsia" w:cs="Arial"/>
      <w:iCs/>
      <w:color w:val="404040" w:themeColor="text1" w:themeTint="BF"/>
    </w:rPr>
  </w:style>
  <w:style w:type="paragraph" w:styleId="Heading8">
    <w:name w:val="heading 8"/>
    <w:basedOn w:val="Normal"/>
    <w:next w:val="Normal"/>
    <w:link w:val="Heading8Char"/>
    <w:uiPriority w:val="9"/>
    <w:semiHidden/>
    <w:unhideWhenUsed/>
    <w:qFormat/>
    <w:rsid w:val="001F44A9"/>
    <w:pPr>
      <w:numPr>
        <w:ilvl w:val="7"/>
        <w:numId w:val="1"/>
      </w:numPr>
      <w:tabs>
        <w:tab w:val="left" w:pos="5760"/>
      </w:tabs>
      <w:spacing w:after="240" w:line="240" w:lineRule="auto"/>
      <w:outlineLvl w:val="7"/>
    </w:pPr>
    <w:rPr>
      <w:rFonts w:eastAsiaTheme="majorEastAsia" w:cs="Arial"/>
      <w:color w:val="404040" w:themeColor="text1" w:themeTint="BF"/>
      <w:szCs w:val="21"/>
    </w:rPr>
  </w:style>
  <w:style w:type="paragraph" w:styleId="Heading9">
    <w:name w:val="heading 9"/>
    <w:basedOn w:val="Normal"/>
    <w:next w:val="Normal"/>
    <w:link w:val="Heading9Char"/>
    <w:uiPriority w:val="9"/>
    <w:semiHidden/>
    <w:unhideWhenUsed/>
    <w:qFormat/>
    <w:rsid w:val="001F44A9"/>
    <w:pPr>
      <w:numPr>
        <w:ilvl w:val="8"/>
        <w:numId w:val="1"/>
      </w:numPr>
      <w:tabs>
        <w:tab w:val="left" w:pos="6480"/>
      </w:tabs>
      <w:spacing w:after="240" w:line="240" w:lineRule="auto"/>
      <w:outlineLvl w:val="8"/>
    </w:pPr>
    <w:rPr>
      <w:rFonts w:eastAsiaTheme="majorEastAsia" w:cs="Arial"/>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 Char,fn,char,ft"/>
    <w:basedOn w:val="Normal"/>
    <w:link w:val="FootnoteTextChar"/>
    <w:uiPriority w:val="99"/>
    <w:unhideWhenUsed/>
    <w:qFormat/>
    <w:rsid w:val="00EF086C"/>
    <w:pPr>
      <w:spacing w:after="120" w:line="240" w:lineRule="auto"/>
    </w:pPr>
    <w:rPr>
      <w:rFonts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EF086C"/>
    <w:rPr>
      <w:rFonts w:cs="Arial"/>
      <w:sz w:val="20"/>
      <w:szCs w:val="20"/>
    </w:rPr>
  </w:style>
  <w:style w:type="paragraph" w:customStyle="1" w:styleId="Footnotes">
    <w:name w:val="Footnotes"/>
    <w:basedOn w:val="Normal"/>
    <w:qFormat/>
    <w:rsid w:val="0003528B"/>
    <w:pPr>
      <w:spacing w:after="120" w:line="240" w:lineRule="auto"/>
    </w:pPr>
    <w:rPr>
      <w:rFonts w:cs="Times New Roman"/>
      <w:sz w:val="20"/>
      <w:szCs w:val="24"/>
    </w:rPr>
  </w:style>
  <w:style w:type="paragraph" w:styleId="Header">
    <w:name w:val="header"/>
    <w:basedOn w:val="Normal"/>
    <w:link w:val="HeaderChar"/>
    <w:unhideWhenUsed/>
    <w:rsid w:val="00F65473"/>
    <w:pPr>
      <w:tabs>
        <w:tab w:val="center" w:pos="4680"/>
        <w:tab w:val="right" w:pos="9360"/>
      </w:tabs>
      <w:spacing w:line="240" w:lineRule="auto"/>
    </w:pPr>
  </w:style>
  <w:style w:type="character" w:customStyle="1" w:styleId="HeaderChar">
    <w:name w:val="Header Char"/>
    <w:basedOn w:val="DefaultParagraphFont"/>
    <w:link w:val="Header"/>
    <w:rsid w:val="00F65473"/>
    <w:rPr>
      <w:szCs w:val="22"/>
    </w:rPr>
  </w:style>
  <w:style w:type="paragraph" w:styleId="Footer">
    <w:name w:val="footer"/>
    <w:basedOn w:val="Normal"/>
    <w:link w:val="FooterChar"/>
    <w:unhideWhenUsed/>
    <w:rsid w:val="00F65473"/>
    <w:pPr>
      <w:tabs>
        <w:tab w:val="center" w:pos="4680"/>
        <w:tab w:val="right" w:pos="9360"/>
      </w:tabs>
      <w:spacing w:line="240" w:lineRule="auto"/>
    </w:pPr>
  </w:style>
  <w:style w:type="character" w:customStyle="1" w:styleId="FooterChar">
    <w:name w:val="Footer Char"/>
    <w:basedOn w:val="DefaultParagraphFont"/>
    <w:link w:val="Footer"/>
    <w:rsid w:val="00F65473"/>
    <w:rPr>
      <w:szCs w:val="22"/>
    </w:rPr>
  </w:style>
  <w:style w:type="character" w:styleId="FootnoteReference">
    <w:name w:val="footnote reference"/>
    <w:basedOn w:val="DefaultParagraphFont"/>
    <w:uiPriority w:val="99"/>
    <w:semiHidden/>
    <w:unhideWhenUsed/>
    <w:rsid w:val="00A84650"/>
    <w:rPr>
      <w:vertAlign w:val="superscript"/>
    </w:rPr>
  </w:style>
  <w:style w:type="character" w:customStyle="1" w:styleId="Heading1Char">
    <w:name w:val="Heading 1 Char"/>
    <w:basedOn w:val="DefaultParagraphFont"/>
    <w:link w:val="Heading1"/>
    <w:uiPriority w:val="9"/>
    <w:rsid w:val="001F44A9"/>
    <w:rPr>
      <w:rFonts w:eastAsiaTheme="majorEastAsia" w:cs="Arial"/>
      <w:b/>
      <w:caps/>
      <w:szCs w:val="32"/>
      <w:u w:val="single"/>
    </w:rPr>
  </w:style>
  <w:style w:type="character" w:customStyle="1" w:styleId="Heading2Char">
    <w:name w:val="Heading 2 Char"/>
    <w:basedOn w:val="DefaultParagraphFont"/>
    <w:link w:val="Heading2"/>
    <w:uiPriority w:val="9"/>
    <w:rsid w:val="001F44A9"/>
    <w:rPr>
      <w:rFonts w:eastAsiaTheme="majorEastAsia" w:cs="Arial"/>
      <w:b/>
      <w:szCs w:val="26"/>
    </w:rPr>
  </w:style>
  <w:style w:type="character" w:customStyle="1" w:styleId="Heading3Char">
    <w:name w:val="Heading 3 Char"/>
    <w:basedOn w:val="DefaultParagraphFont"/>
    <w:link w:val="Heading3"/>
    <w:uiPriority w:val="9"/>
    <w:semiHidden/>
    <w:rsid w:val="001F44A9"/>
    <w:rPr>
      <w:rFonts w:eastAsiaTheme="majorEastAsia" w:cs="Arial"/>
      <w:b/>
    </w:rPr>
  </w:style>
  <w:style w:type="character" w:customStyle="1" w:styleId="Heading4Char">
    <w:name w:val="Heading 4 Char"/>
    <w:basedOn w:val="DefaultParagraphFont"/>
    <w:link w:val="Heading4"/>
    <w:uiPriority w:val="9"/>
    <w:semiHidden/>
    <w:rsid w:val="001F44A9"/>
    <w:rPr>
      <w:rFonts w:eastAsiaTheme="majorEastAsia" w:cs="Arial"/>
      <w:b/>
      <w:i/>
      <w:iCs/>
      <w:szCs w:val="22"/>
    </w:rPr>
  </w:style>
  <w:style w:type="character" w:customStyle="1" w:styleId="Heading5Char">
    <w:name w:val="Heading 5 Char"/>
    <w:basedOn w:val="DefaultParagraphFont"/>
    <w:link w:val="Heading5"/>
    <w:uiPriority w:val="9"/>
    <w:semiHidden/>
    <w:rsid w:val="001F44A9"/>
    <w:rPr>
      <w:rFonts w:eastAsiaTheme="majorEastAsia" w:cs="Arial"/>
      <w:color w:val="243F60" w:themeColor="accent1" w:themeShade="7F"/>
      <w:szCs w:val="22"/>
    </w:rPr>
  </w:style>
  <w:style w:type="character" w:customStyle="1" w:styleId="Heading6Char">
    <w:name w:val="Heading 6 Char"/>
    <w:basedOn w:val="DefaultParagraphFont"/>
    <w:link w:val="Heading6"/>
    <w:uiPriority w:val="9"/>
    <w:semiHidden/>
    <w:rsid w:val="001F44A9"/>
    <w:rPr>
      <w:rFonts w:eastAsiaTheme="majorEastAsia" w:cs="Arial"/>
      <w:color w:val="243F60" w:themeColor="accent1" w:themeShade="7F"/>
      <w:szCs w:val="22"/>
    </w:rPr>
  </w:style>
  <w:style w:type="character" w:customStyle="1" w:styleId="Heading7Char">
    <w:name w:val="Heading 7 Char"/>
    <w:basedOn w:val="DefaultParagraphFont"/>
    <w:link w:val="Heading7"/>
    <w:uiPriority w:val="9"/>
    <w:semiHidden/>
    <w:rsid w:val="001F44A9"/>
    <w:rPr>
      <w:rFonts w:eastAsiaTheme="majorEastAsia" w:cs="Arial"/>
      <w:iCs/>
      <w:color w:val="404040" w:themeColor="text1" w:themeTint="BF"/>
      <w:szCs w:val="22"/>
    </w:rPr>
  </w:style>
  <w:style w:type="character" w:customStyle="1" w:styleId="Heading8Char">
    <w:name w:val="Heading 8 Char"/>
    <w:basedOn w:val="DefaultParagraphFont"/>
    <w:link w:val="Heading8"/>
    <w:uiPriority w:val="9"/>
    <w:semiHidden/>
    <w:rsid w:val="001F44A9"/>
    <w:rPr>
      <w:rFonts w:eastAsiaTheme="majorEastAsia" w:cs="Arial"/>
      <w:color w:val="404040" w:themeColor="text1" w:themeTint="BF"/>
      <w:szCs w:val="21"/>
    </w:rPr>
  </w:style>
  <w:style w:type="character" w:customStyle="1" w:styleId="Heading9Char">
    <w:name w:val="Heading 9 Char"/>
    <w:basedOn w:val="DefaultParagraphFont"/>
    <w:link w:val="Heading9"/>
    <w:uiPriority w:val="9"/>
    <w:semiHidden/>
    <w:rsid w:val="001F44A9"/>
    <w:rPr>
      <w:rFonts w:eastAsiaTheme="majorEastAsia" w:cs="Arial"/>
      <w:iCs/>
      <w:color w:val="404040" w:themeColor="text1" w:themeTint="BF"/>
      <w:szCs w:val="21"/>
    </w:rPr>
  </w:style>
  <w:style w:type="paragraph" w:styleId="BodyText">
    <w:name w:val="Body Text"/>
    <w:basedOn w:val="Normal"/>
    <w:link w:val="BodyTextChar"/>
    <w:uiPriority w:val="99"/>
    <w:semiHidden/>
    <w:unhideWhenUsed/>
    <w:rsid w:val="001F44A9"/>
    <w:pPr>
      <w:spacing w:after="120"/>
    </w:pPr>
  </w:style>
  <w:style w:type="character" w:customStyle="1" w:styleId="BodyTextChar">
    <w:name w:val="Body Text Char"/>
    <w:basedOn w:val="DefaultParagraphFont"/>
    <w:link w:val="BodyText"/>
    <w:uiPriority w:val="99"/>
    <w:semiHidden/>
    <w:rsid w:val="001F44A9"/>
    <w:rPr>
      <w:szCs w:val="22"/>
    </w:rPr>
  </w:style>
  <w:style w:type="paragraph" w:styleId="BalloonText">
    <w:name w:val="Balloon Text"/>
    <w:basedOn w:val="Normal"/>
    <w:link w:val="BalloonTextChar"/>
    <w:uiPriority w:val="99"/>
    <w:semiHidden/>
    <w:unhideWhenUsed/>
    <w:rsid w:val="00AD6A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AC"/>
    <w:rPr>
      <w:rFonts w:ascii="Segoe UI" w:hAnsi="Segoe UI" w:cs="Segoe UI"/>
      <w:sz w:val="18"/>
      <w:szCs w:val="18"/>
    </w:rPr>
  </w:style>
  <w:style w:type="character" w:styleId="Hyperlink">
    <w:name w:val="Hyperlink"/>
    <w:basedOn w:val="DefaultParagraphFont"/>
    <w:uiPriority w:val="99"/>
    <w:unhideWhenUsed/>
    <w:rsid w:val="002C3E2E"/>
    <w:rPr>
      <w:color w:val="0000FF"/>
      <w:u w:val="single"/>
    </w:rPr>
  </w:style>
  <w:style w:type="character" w:styleId="PageNumber">
    <w:name w:val="page number"/>
    <w:basedOn w:val="DefaultParagraphFont"/>
    <w:rsid w:val="002C3E2E"/>
  </w:style>
  <w:style w:type="paragraph" w:styleId="TOCHeading">
    <w:name w:val="TOC Heading"/>
    <w:basedOn w:val="Heading1"/>
    <w:next w:val="Normal"/>
    <w:uiPriority w:val="39"/>
    <w:unhideWhenUsed/>
    <w:qFormat/>
    <w:rsid w:val="002C3E2E"/>
    <w:pPr>
      <w:keepNext/>
      <w:keepLines/>
      <w:numPr>
        <w:numId w:val="0"/>
      </w:numPr>
      <w:spacing w:before="240" w:after="0" w:line="259" w:lineRule="auto"/>
      <w:jc w:val="left"/>
      <w:outlineLvl w:val="9"/>
    </w:pPr>
    <w:rPr>
      <w:rFonts w:asciiTheme="majorHAnsi" w:hAnsiTheme="majorHAnsi" w:cstheme="majorBidi"/>
      <w:b w:val="0"/>
      <w:caps w:val="0"/>
      <w:color w:val="365F91" w:themeColor="accent1" w:themeShade="BF"/>
      <w:sz w:val="32"/>
      <w:u w:val="none"/>
    </w:rPr>
  </w:style>
  <w:style w:type="paragraph" w:styleId="TOC1">
    <w:name w:val="toc 1"/>
    <w:basedOn w:val="Normal"/>
    <w:next w:val="Normal"/>
    <w:autoRedefine/>
    <w:uiPriority w:val="39"/>
    <w:unhideWhenUsed/>
    <w:rsid w:val="0029120A"/>
    <w:pPr>
      <w:tabs>
        <w:tab w:val="right" w:leader="dot" w:pos="9180"/>
      </w:tabs>
      <w:spacing w:after="100"/>
      <w:ind w:left="720" w:right="90" w:hanging="720"/>
      <w:jc w:val="right"/>
    </w:pPr>
    <w:rPr>
      <w:b/>
      <w:noProof/>
    </w:rPr>
  </w:style>
  <w:style w:type="paragraph" w:styleId="TOC2">
    <w:name w:val="toc 2"/>
    <w:basedOn w:val="Normal"/>
    <w:next w:val="Normal"/>
    <w:autoRedefine/>
    <w:uiPriority w:val="39"/>
    <w:unhideWhenUsed/>
    <w:rsid w:val="002C3E2E"/>
    <w:pPr>
      <w:tabs>
        <w:tab w:val="right" w:leader="dot" w:pos="9180"/>
      </w:tabs>
      <w:spacing w:after="180" w:line="240" w:lineRule="auto"/>
      <w:ind w:left="1440" w:right="720" w:hanging="720"/>
    </w:pPr>
  </w:style>
  <w:style w:type="character" w:styleId="CommentReference">
    <w:name w:val="annotation reference"/>
    <w:basedOn w:val="DefaultParagraphFont"/>
    <w:uiPriority w:val="99"/>
    <w:semiHidden/>
    <w:unhideWhenUsed/>
    <w:rsid w:val="00226601"/>
    <w:rPr>
      <w:sz w:val="16"/>
      <w:szCs w:val="16"/>
    </w:rPr>
  </w:style>
  <w:style w:type="paragraph" w:styleId="CommentText">
    <w:name w:val="annotation text"/>
    <w:basedOn w:val="Normal"/>
    <w:link w:val="CommentTextChar"/>
    <w:uiPriority w:val="99"/>
    <w:semiHidden/>
    <w:unhideWhenUsed/>
    <w:rsid w:val="00226601"/>
    <w:pPr>
      <w:spacing w:line="240" w:lineRule="auto"/>
    </w:pPr>
    <w:rPr>
      <w:sz w:val="20"/>
      <w:szCs w:val="20"/>
    </w:rPr>
  </w:style>
  <w:style w:type="character" w:customStyle="1" w:styleId="CommentTextChar">
    <w:name w:val="Comment Text Char"/>
    <w:basedOn w:val="DefaultParagraphFont"/>
    <w:link w:val="CommentText"/>
    <w:uiPriority w:val="99"/>
    <w:semiHidden/>
    <w:rsid w:val="00226601"/>
    <w:rPr>
      <w:sz w:val="20"/>
      <w:szCs w:val="20"/>
    </w:rPr>
  </w:style>
  <w:style w:type="paragraph" w:styleId="CommentSubject">
    <w:name w:val="annotation subject"/>
    <w:basedOn w:val="CommentText"/>
    <w:next w:val="CommentText"/>
    <w:link w:val="CommentSubjectChar"/>
    <w:uiPriority w:val="99"/>
    <w:semiHidden/>
    <w:unhideWhenUsed/>
    <w:rsid w:val="00226601"/>
    <w:rPr>
      <w:b/>
      <w:bCs/>
    </w:rPr>
  </w:style>
  <w:style w:type="character" w:customStyle="1" w:styleId="CommentSubjectChar">
    <w:name w:val="Comment Subject Char"/>
    <w:basedOn w:val="CommentTextChar"/>
    <w:link w:val="CommentSubject"/>
    <w:uiPriority w:val="99"/>
    <w:semiHidden/>
    <w:rsid w:val="00226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emf"/><Relationship Id="rId39" Type="http://schemas.openxmlformats.org/officeDocument/2006/relationships/hyperlink" Target="mailto:Bojko@carpenterlipps.com" TargetMode="External"/><Relationship Id="rId21" Type="http://schemas.openxmlformats.org/officeDocument/2006/relationships/header" Target="header8.xml"/><Relationship Id="rId34" Type="http://schemas.openxmlformats.org/officeDocument/2006/relationships/image" Target="media/image3.emf"/><Relationship Id="rId42" Type="http://schemas.openxmlformats.org/officeDocument/2006/relationships/hyperlink" Target="mailto:mjsettineri@vorys.com" TargetMode="External"/><Relationship Id="rId47" Type="http://schemas.openxmlformats.org/officeDocument/2006/relationships/hyperlink" Target="mailto:mdortch@kravitzllc.com" TargetMode="External"/><Relationship Id="rId50" Type="http://schemas.openxmlformats.org/officeDocument/2006/relationships/hyperlink" Target="mailto:Sechler@carpenterlipps.com" TargetMode="External"/><Relationship Id="rId55" Type="http://schemas.openxmlformats.org/officeDocument/2006/relationships/hyperlink" Target="mailto:rsahli@columbus.rr.com" TargetMode="External"/><Relationship Id="rId63" Type="http://schemas.openxmlformats.org/officeDocument/2006/relationships/hyperlink" Target="mailto:todonnell@dickinsonwright.com" TargetMode="External"/><Relationship Id="rId68" Type="http://schemas.openxmlformats.org/officeDocument/2006/relationships/hyperlink" Target="mailto:dparram@taftlaw.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yperlink" Target="mailto:William.Michael@occ.ohio.gov" TargetMode="External"/><Relationship Id="rId40" Type="http://schemas.openxmlformats.org/officeDocument/2006/relationships/hyperlink" Target="mailto:Ghiloni@carpenterlipps.com" TargetMode="External"/><Relationship Id="rId45" Type="http://schemas.openxmlformats.org/officeDocument/2006/relationships/hyperlink" Target="mailto:ibatikov@vorys.com" TargetMode="External"/><Relationship Id="rId53" Type="http://schemas.openxmlformats.org/officeDocument/2006/relationships/hyperlink" Target="mailto:mwarnock@bricker.com" TargetMode="External"/><Relationship Id="rId58" Type="http://schemas.openxmlformats.org/officeDocument/2006/relationships/hyperlink" Target="mailto:jlang@calfee.com" TargetMode="External"/><Relationship Id="rId66" Type="http://schemas.openxmlformats.org/officeDocument/2006/relationships/hyperlink" Target="mailto:jdoll@djflawfirm.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mailto:evelyn.robinson@pjm.com" TargetMode="External"/><Relationship Id="rId49" Type="http://schemas.openxmlformats.org/officeDocument/2006/relationships/hyperlink" Target="mailto:tdougherty@theOEC.org" TargetMode="External"/><Relationship Id="rId57" Type="http://schemas.openxmlformats.org/officeDocument/2006/relationships/hyperlink" Target="mailto:slesser@calfee.com" TargetMode="External"/><Relationship Id="rId61" Type="http://schemas.openxmlformats.org/officeDocument/2006/relationships/hyperlink" Target="mailto:dwilliamson@spilmanlaw.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yperlink" Target="mailto:glpetrucci@vorys.com" TargetMode="External"/><Relationship Id="rId52" Type="http://schemas.openxmlformats.org/officeDocument/2006/relationships/hyperlink" Target="mailto:rick.sites@ohiohospitals.org" TargetMode="External"/><Relationship Id="rId60" Type="http://schemas.openxmlformats.org/officeDocument/2006/relationships/hyperlink" Target="mailto:lhawrot@spilmanlaw.com" TargetMode="External"/><Relationship Id="rId65" Type="http://schemas.openxmlformats.org/officeDocument/2006/relationships/hyperlink" Target="mailto:ejacobs@ablelaw.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mailto:jeffrey.mayes@monitoringanalytics.com" TargetMode="External"/><Relationship Id="rId43" Type="http://schemas.openxmlformats.org/officeDocument/2006/relationships/hyperlink" Target="mailto:smhoward@vorys.co" TargetMode="External"/><Relationship Id="rId48" Type="http://schemas.openxmlformats.org/officeDocument/2006/relationships/hyperlink" Target="mailto:rparsons@kravitzllc.com" TargetMode="External"/><Relationship Id="rId56" Type="http://schemas.openxmlformats.org/officeDocument/2006/relationships/hyperlink" Target="mailto:Tony.mendoza@sierraclub.org" TargetMode="External"/><Relationship Id="rId64" Type="http://schemas.openxmlformats.org/officeDocument/2006/relationships/hyperlink" Target="mailto:rseiler@dickinsonwright.com"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gpoulos@enernoc.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emf"/><Relationship Id="rId38" Type="http://schemas.openxmlformats.org/officeDocument/2006/relationships/hyperlink" Target="mailto:Kevin.Moore@occ.ohio.gov" TargetMode="External"/><Relationship Id="rId46" Type="http://schemas.openxmlformats.org/officeDocument/2006/relationships/hyperlink" Target="mailto:joliker@igsenergy.com" TargetMode="External"/><Relationship Id="rId59" Type="http://schemas.openxmlformats.org/officeDocument/2006/relationships/hyperlink" Target="mailto:talexander@calfee.com" TargetMode="External"/><Relationship Id="rId67" Type="http://schemas.openxmlformats.org/officeDocument/2006/relationships/hyperlink" Target="mailto:mcrawcord@djflawfirm.com" TargetMode="External"/><Relationship Id="rId20" Type="http://schemas.openxmlformats.org/officeDocument/2006/relationships/header" Target="header7.xml"/><Relationship Id="rId41" Type="http://schemas.openxmlformats.org/officeDocument/2006/relationships/hyperlink" Target="mailto:cmooney@ohiopartners.org" TargetMode="External"/><Relationship Id="rId54" Type="http://schemas.openxmlformats.org/officeDocument/2006/relationships/hyperlink" Target="mailto:dborchers@bricker.com" TargetMode="External"/><Relationship Id="rId62" Type="http://schemas.openxmlformats.org/officeDocument/2006/relationships/hyperlink" Target="mailto:charis@spilmanlaw.co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5A15-3EA8-45C3-9601-F21878DF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3452</Words>
  <Characters>20003</Characters>
  <Application>Microsoft Office Word</Application>
  <DocSecurity>0</DocSecurity>
  <PresentationFormat>14|.DOCX</PresentationFormat>
  <Lines>615</Lines>
  <Paragraphs>327</Paragraphs>
  <ScaleCrop>false</ScaleCrop>
  <HeadingPairs>
    <vt:vector size="2" baseType="variant">
      <vt:variant>
        <vt:lpstr>Title</vt:lpstr>
      </vt:variant>
      <vt:variant>
        <vt:i4>1</vt:i4>
      </vt:variant>
    </vt:vector>
  </HeadingPairs>
  <TitlesOfParts>
    <vt:vector size="1" baseType="lpstr">
      <vt:lpstr>16-395 IEU Reply to DP&amp;L Memo Contra Motion to Compel (C50924-2).DOCX</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16-395 IEU Reply to DP&amp;L Memo Contra Motion to Compel (C50924-2).DOCX</dc:title>
  <dc:subject>C50924:2 /font=8</dc:subject>
  <dc:creator/>
  <cp:keywords/>
  <dc:description/>
  <cp:lastModifiedBy/>
  <cp:revision>1</cp:revision>
  <dcterms:created xsi:type="dcterms:W3CDTF">2016-09-12T20:14:00Z</dcterms:created>
  <dcterms:modified xsi:type="dcterms:W3CDTF">2016-09-12T20:14:00Z</dcterms:modified>
</cp:coreProperties>
</file>