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df" ContentType="application/pdf"/>
  <Override PartName="/word/webSettings.xml" ContentType="application/vnd.openxmlformats-officedocument.wordprocessingml.webSettings+xml"/>
  <Override PartName="/word/theme/theme1.xml" ContentType="application/vnd.openxmlformats-officedocument.theme+xml"/>
  <Default Extension="jpeg" ContentType="image/jpeg"/>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037" w:rsidRDefault="00986037" w:rsidP="00986037">
      <w:pPr>
        <w:widowControl w:val="0"/>
        <w:autoSpaceDE w:val="0"/>
        <w:autoSpaceDN w:val="0"/>
        <w:adjustRightInd w:val="0"/>
        <w:jc w:val="center"/>
      </w:pPr>
      <w:r>
        <w:t>BEFORE</w:t>
      </w:r>
    </w:p>
    <w:p w:rsidR="00986037" w:rsidRDefault="00986037" w:rsidP="00986037">
      <w:pPr>
        <w:widowControl w:val="0"/>
        <w:autoSpaceDE w:val="0"/>
        <w:autoSpaceDN w:val="0"/>
        <w:adjustRightInd w:val="0"/>
        <w:jc w:val="center"/>
        <w:sectPr w:rsidR="00986037">
          <w:type w:val="continuous"/>
          <w:pgSz w:w="12240" w:h="15840"/>
          <w:pgMar w:top="1440" w:right="1440" w:bottom="1440" w:left="1440" w:gutter="0"/>
        </w:sectPr>
      </w:pPr>
      <w:r>
        <w:t>THE PUBLIC UTILITIES COMMISSION OF OHIO</w:t>
      </w:r>
    </w:p>
    <w:p w:rsidR="00986037" w:rsidRDefault="00986037" w:rsidP="00986037">
      <w:pPr>
        <w:widowControl w:val="0"/>
        <w:autoSpaceDE w:val="0"/>
        <w:autoSpaceDN w:val="0"/>
        <w:adjustRightInd w:val="0"/>
        <w:jc w:val="center"/>
      </w:pPr>
    </w:p>
    <w:p w:rsidR="00986037" w:rsidRDefault="00986037" w:rsidP="00986037">
      <w:pPr>
        <w:widowControl w:val="0"/>
        <w:autoSpaceDE w:val="0"/>
        <w:autoSpaceDN w:val="0"/>
        <w:adjustRightInd w:val="0"/>
        <w:jc w:val="center"/>
        <w:sectPr w:rsidR="00986037">
          <w:type w:val="continuous"/>
          <w:pgSz w:w="12240" w:h="15840"/>
          <w:pgMar w:top="1440" w:right="1440" w:bottom="1440" w:left="1440" w:gutter="0"/>
        </w:sectPr>
      </w:pPr>
    </w:p>
    <w:p w:rsidR="00986037" w:rsidRDefault="00986037" w:rsidP="00986037">
      <w:pPr>
        <w:widowControl w:val="0"/>
        <w:autoSpaceDE w:val="0"/>
        <w:autoSpaceDN w:val="0"/>
        <w:adjustRightInd w:val="0"/>
      </w:pPr>
      <w:r>
        <w:t xml:space="preserve">In the Matter of the </w:t>
      </w:r>
      <w:proofErr w:type="gramStart"/>
      <w:r>
        <w:t>Commission’s               )</w:t>
      </w:r>
      <w:proofErr w:type="gramEnd"/>
    </w:p>
    <w:p w:rsidR="00986037" w:rsidRDefault="00986037" w:rsidP="00986037">
      <w:pPr>
        <w:widowControl w:val="0"/>
        <w:autoSpaceDE w:val="0"/>
        <w:autoSpaceDN w:val="0"/>
        <w:adjustRightInd w:val="0"/>
      </w:pPr>
      <w:r>
        <w:t>Review of Chapter 4901:1-22</w:t>
      </w:r>
      <w:proofErr w:type="gramStart"/>
      <w:r>
        <w:t>,  Ohio</w:t>
      </w:r>
      <w:proofErr w:type="gramEnd"/>
      <w:r>
        <w:tab/>
        <w:t xml:space="preserve">          )</w:t>
      </w:r>
    </w:p>
    <w:p w:rsidR="00986037" w:rsidRDefault="00986037" w:rsidP="00986037">
      <w:pPr>
        <w:widowControl w:val="0"/>
        <w:autoSpaceDE w:val="0"/>
        <w:autoSpaceDN w:val="0"/>
        <w:adjustRightInd w:val="0"/>
      </w:pPr>
      <w:r>
        <w:t xml:space="preserve">Administrative Code, </w:t>
      </w:r>
      <w:proofErr w:type="gramStart"/>
      <w:r>
        <w:t>Regarding</w:t>
      </w:r>
      <w:r>
        <w:tab/>
        <w:t xml:space="preserve">          )</w:t>
      </w:r>
      <w:proofErr w:type="gramEnd"/>
    </w:p>
    <w:p w:rsidR="00986037" w:rsidRDefault="00986037" w:rsidP="00986037">
      <w:pPr>
        <w:widowControl w:val="0"/>
        <w:autoSpaceDE w:val="0"/>
        <w:autoSpaceDN w:val="0"/>
        <w:adjustRightInd w:val="0"/>
      </w:pPr>
      <w:r>
        <w:t xml:space="preserve">Interconnection </w:t>
      </w:r>
      <w:proofErr w:type="gramStart"/>
      <w:r>
        <w:t>Services</w:t>
      </w:r>
      <w:r>
        <w:tab/>
      </w:r>
      <w:r>
        <w:tab/>
        <w:t xml:space="preserve">          )</w:t>
      </w:r>
      <w:proofErr w:type="gramEnd"/>
    </w:p>
    <w:p w:rsidR="00986037" w:rsidRDefault="00986037" w:rsidP="00986037">
      <w:pPr>
        <w:widowControl w:val="0"/>
        <w:autoSpaceDE w:val="0"/>
        <w:autoSpaceDN w:val="0"/>
        <w:adjustRightInd w:val="0"/>
      </w:pPr>
    </w:p>
    <w:p w:rsidR="00986037" w:rsidRDefault="00986037" w:rsidP="00986037">
      <w:pPr>
        <w:widowControl w:val="0"/>
        <w:autoSpaceDE w:val="0"/>
        <w:autoSpaceDN w:val="0"/>
        <w:adjustRightInd w:val="0"/>
      </w:pPr>
    </w:p>
    <w:p w:rsidR="00986037" w:rsidRDefault="00986037" w:rsidP="00986037">
      <w:pPr>
        <w:widowControl w:val="0"/>
        <w:autoSpaceDE w:val="0"/>
        <w:autoSpaceDN w:val="0"/>
        <w:adjustRightInd w:val="0"/>
      </w:pPr>
      <w:r>
        <w:t>Case No. 12-2051-EL-ORD</w:t>
      </w:r>
    </w:p>
    <w:p w:rsidR="00986037" w:rsidRDefault="00986037" w:rsidP="00986037">
      <w:pPr>
        <w:widowControl w:val="0"/>
        <w:autoSpaceDE w:val="0"/>
        <w:autoSpaceDN w:val="0"/>
        <w:adjustRightInd w:val="0"/>
      </w:pPr>
      <w:r>
        <w:t xml:space="preserve"> </w:t>
      </w:r>
      <w:r>
        <w:tab/>
      </w:r>
    </w:p>
    <w:p w:rsidR="00986037" w:rsidRDefault="00986037" w:rsidP="00986037">
      <w:pPr>
        <w:widowControl w:val="0"/>
        <w:autoSpaceDE w:val="0"/>
        <w:autoSpaceDN w:val="0"/>
        <w:adjustRightInd w:val="0"/>
        <w:sectPr w:rsidR="00986037">
          <w:type w:val="continuous"/>
          <w:pgSz w:w="12240" w:h="15840"/>
          <w:pgMar w:top="1440" w:right="1440" w:bottom="1440" w:left="1440" w:gutter="0"/>
          <w:cols w:num="2"/>
        </w:sectPr>
      </w:pPr>
      <w:r>
        <w:tab/>
      </w:r>
      <w:r>
        <w:tab/>
      </w:r>
    </w:p>
    <w:p w:rsidR="00986037" w:rsidRDefault="00986037" w:rsidP="00986037">
      <w:pPr>
        <w:widowControl w:val="0"/>
        <w:autoSpaceDE w:val="0"/>
        <w:autoSpaceDN w:val="0"/>
        <w:adjustRightInd w:val="0"/>
        <w:jc w:val="center"/>
      </w:pPr>
    </w:p>
    <w:p w:rsidR="00986037" w:rsidRDefault="00986037" w:rsidP="00986037">
      <w:pPr>
        <w:widowControl w:val="0"/>
        <w:autoSpaceDE w:val="0"/>
        <w:autoSpaceDN w:val="0"/>
        <w:adjustRightInd w:val="0"/>
        <w:jc w:val="center"/>
      </w:pPr>
    </w:p>
    <w:p w:rsidR="00986037" w:rsidRDefault="00986037" w:rsidP="00986037">
      <w:pPr>
        <w:widowControl w:val="0"/>
        <w:autoSpaceDE w:val="0"/>
        <w:autoSpaceDN w:val="0"/>
        <w:adjustRightInd w:val="0"/>
        <w:jc w:val="center"/>
      </w:pPr>
    </w:p>
    <w:p w:rsidR="00986037" w:rsidRDefault="00986037" w:rsidP="00986037">
      <w:pPr>
        <w:widowControl w:val="0"/>
        <w:autoSpaceDE w:val="0"/>
        <w:autoSpaceDN w:val="0"/>
        <w:adjustRightInd w:val="0"/>
        <w:jc w:val="center"/>
      </w:pPr>
    </w:p>
    <w:p w:rsidR="00986037" w:rsidRDefault="00986037" w:rsidP="00986037">
      <w:pPr>
        <w:widowControl w:val="0"/>
        <w:autoSpaceDE w:val="0"/>
        <w:autoSpaceDN w:val="0"/>
        <w:adjustRightInd w:val="0"/>
        <w:jc w:val="center"/>
      </w:pPr>
    </w:p>
    <w:p w:rsidR="00986037" w:rsidRDefault="00986037" w:rsidP="00986037">
      <w:pPr>
        <w:widowControl w:val="0"/>
        <w:autoSpaceDE w:val="0"/>
        <w:autoSpaceDN w:val="0"/>
        <w:adjustRightInd w:val="0"/>
        <w:jc w:val="center"/>
      </w:pPr>
    </w:p>
    <w:p w:rsidR="00986037" w:rsidRDefault="00986037" w:rsidP="00986037">
      <w:pPr>
        <w:widowControl w:val="0"/>
        <w:autoSpaceDE w:val="0"/>
        <w:autoSpaceDN w:val="0"/>
        <w:adjustRightInd w:val="0"/>
        <w:jc w:val="center"/>
      </w:pPr>
    </w:p>
    <w:p w:rsidR="00986037" w:rsidRDefault="00986037" w:rsidP="00986037">
      <w:pPr>
        <w:widowControl w:val="0"/>
        <w:autoSpaceDE w:val="0"/>
        <w:autoSpaceDN w:val="0"/>
        <w:adjustRightInd w:val="0"/>
        <w:jc w:val="center"/>
      </w:pPr>
    </w:p>
    <w:p w:rsidR="00986037" w:rsidRDefault="00986037" w:rsidP="00986037">
      <w:pPr>
        <w:widowControl w:val="0"/>
        <w:autoSpaceDE w:val="0"/>
        <w:autoSpaceDN w:val="0"/>
        <w:adjustRightInd w:val="0"/>
        <w:jc w:val="center"/>
      </w:pPr>
    </w:p>
    <w:p w:rsidR="00986037" w:rsidRDefault="00986037" w:rsidP="00986037">
      <w:pPr>
        <w:widowControl w:val="0"/>
        <w:autoSpaceDE w:val="0"/>
        <w:autoSpaceDN w:val="0"/>
        <w:adjustRightInd w:val="0"/>
        <w:jc w:val="center"/>
      </w:pPr>
    </w:p>
    <w:p w:rsidR="00986037" w:rsidRDefault="00986037" w:rsidP="00986037">
      <w:pPr>
        <w:widowControl w:val="0"/>
        <w:autoSpaceDE w:val="0"/>
        <w:autoSpaceDN w:val="0"/>
        <w:adjustRightInd w:val="0"/>
        <w:jc w:val="center"/>
        <w:sectPr w:rsidR="00986037">
          <w:type w:val="continuous"/>
          <w:pgSz w:w="12240" w:h="15840"/>
          <w:pgMar w:top="1440" w:right="1440" w:bottom="1440" w:left="1440" w:gutter="0"/>
        </w:sectPr>
      </w:pPr>
    </w:p>
    <w:p w:rsidR="00950FBB" w:rsidRDefault="00950FBB" w:rsidP="00950FBB">
      <w:pPr>
        <w:widowControl w:val="0"/>
        <w:autoSpaceDE w:val="0"/>
        <w:autoSpaceDN w:val="0"/>
        <w:adjustRightInd w:val="0"/>
        <w:jc w:val="center"/>
      </w:pPr>
    </w:p>
    <w:p w:rsidR="00950FBB" w:rsidRDefault="00DD08B4" w:rsidP="00950FBB">
      <w:pPr>
        <w:widowControl w:val="0"/>
        <w:autoSpaceDE w:val="0"/>
        <w:autoSpaceDN w:val="0"/>
        <w:adjustRightInd w:val="0"/>
        <w:jc w:val="center"/>
        <w:rPr>
          <w:b/>
        </w:rPr>
      </w:pPr>
      <w:r>
        <w:rPr>
          <w:b/>
        </w:rPr>
        <w:t xml:space="preserve">REPLY </w:t>
      </w:r>
      <w:r w:rsidR="00950FBB">
        <w:rPr>
          <w:b/>
        </w:rPr>
        <w:t>COMMENTS OF INTERSTATE RENEWABLE ENERGY</w:t>
      </w:r>
    </w:p>
    <w:p w:rsidR="00950FBB" w:rsidRDefault="00950FBB" w:rsidP="00950FBB">
      <w:pPr>
        <w:widowControl w:val="0"/>
        <w:autoSpaceDE w:val="0"/>
        <w:autoSpaceDN w:val="0"/>
        <w:adjustRightInd w:val="0"/>
        <w:jc w:val="center"/>
        <w:rPr>
          <w:b/>
        </w:rPr>
      </w:pPr>
      <w:r>
        <w:rPr>
          <w:b/>
        </w:rPr>
        <w:t>COUNCIL, INC. ON PROPOSED MODIFICATIONS</w:t>
      </w:r>
    </w:p>
    <w:p w:rsidR="00950FBB" w:rsidRPr="00950FBB" w:rsidRDefault="00950FBB" w:rsidP="00950FBB">
      <w:pPr>
        <w:widowControl w:val="0"/>
        <w:autoSpaceDE w:val="0"/>
        <w:autoSpaceDN w:val="0"/>
        <w:adjustRightInd w:val="0"/>
        <w:jc w:val="center"/>
        <w:rPr>
          <w:b/>
        </w:rPr>
      </w:pPr>
      <w:r>
        <w:rPr>
          <w:b/>
        </w:rPr>
        <w:t>TO INTERCONNECTION SERVICES AND STANDARDS</w:t>
      </w:r>
    </w:p>
    <w:p w:rsidR="00986037" w:rsidRDefault="00986037" w:rsidP="00950FBB">
      <w:pPr>
        <w:widowControl w:val="0"/>
        <w:autoSpaceDE w:val="0"/>
        <w:autoSpaceDN w:val="0"/>
        <w:adjustRightInd w:val="0"/>
        <w:jc w:val="center"/>
      </w:pPr>
    </w:p>
    <w:p w:rsidR="00986037" w:rsidRDefault="00986037" w:rsidP="007701E6">
      <w:pPr>
        <w:widowControl w:val="0"/>
        <w:autoSpaceDE w:val="0"/>
        <w:autoSpaceDN w:val="0"/>
        <w:adjustRightInd w:val="0"/>
      </w:pPr>
    </w:p>
    <w:p w:rsidR="00986037" w:rsidRDefault="00986037" w:rsidP="007701E6">
      <w:pPr>
        <w:widowControl w:val="0"/>
        <w:autoSpaceDE w:val="0"/>
        <w:autoSpaceDN w:val="0"/>
        <w:adjustRightInd w:val="0"/>
      </w:pPr>
    </w:p>
    <w:p w:rsidR="00986037" w:rsidRDefault="00986037" w:rsidP="007701E6">
      <w:pPr>
        <w:widowControl w:val="0"/>
        <w:autoSpaceDE w:val="0"/>
        <w:autoSpaceDN w:val="0"/>
        <w:adjustRightInd w:val="0"/>
      </w:pPr>
    </w:p>
    <w:p w:rsidR="00986037" w:rsidRDefault="00986037" w:rsidP="007701E6">
      <w:pPr>
        <w:widowControl w:val="0"/>
        <w:autoSpaceDE w:val="0"/>
        <w:autoSpaceDN w:val="0"/>
        <w:adjustRightInd w:val="0"/>
      </w:pPr>
    </w:p>
    <w:p w:rsidR="00986037" w:rsidRDefault="00986037" w:rsidP="007701E6">
      <w:pPr>
        <w:widowControl w:val="0"/>
        <w:autoSpaceDE w:val="0"/>
        <w:autoSpaceDN w:val="0"/>
        <w:adjustRightInd w:val="0"/>
      </w:pPr>
    </w:p>
    <w:p w:rsidR="00986037" w:rsidRDefault="00986037" w:rsidP="007701E6">
      <w:pPr>
        <w:widowControl w:val="0"/>
        <w:autoSpaceDE w:val="0"/>
        <w:autoSpaceDN w:val="0"/>
        <w:adjustRightInd w:val="0"/>
      </w:pPr>
    </w:p>
    <w:p w:rsidR="00986037" w:rsidRDefault="00986037" w:rsidP="007701E6">
      <w:pPr>
        <w:widowControl w:val="0"/>
        <w:autoSpaceDE w:val="0"/>
        <w:autoSpaceDN w:val="0"/>
        <w:adjustRightInd w:val="0"/>
      </w:pPr>
    </w:p>
    <w:p w:rsidR="00986037" w:rsidRDefault="00986037" w:rsidP="007701E6">
      <w:pPr>
        <w:widowControl w:val="0"/>
        <w:autoSpaceDE w:val="0"/>
        <w:autoSpaceDN w:val="0"/>
        <w:adjustRightInd w:val="0"/>
      </w:pPr>
    </w:p>
    <w:p w:rsidR="00986037" w:rsidRDefault="00986037" w:rsidP="00986037">
      <w:pPr>
        <w:widowControl w:val="0"/>
        <w:autoSpaceDE w:val="0"/>
        <w:autoSpaceDN w:val="0"/>
        <w:adjustRightInd w:val="0"/>
        <w:ind w:left="5670"/>
      </w:pPr>
      <w:proofErr w:type="spellStart"/>
      <w:r>
        <w:t>Thadeus</w:t>
      </w:r>
      <w:proofErr w:type="spellEnd"/>
      <w:r>
        <w:t xml:space="preserve"> B. Culley</w:t>
      </w:r>
    </w:p>
    <w:p w:rsidR="00986037" w:rsidRDefault="00986037" w:rsidP="00986037">
      <w:pPr>
        <w:widowControl w:val="0"/>
        <w:autoSpaceDE w:val="0"/>
        <w:autoSpaceDN w:val="0"/>
        <w:adjustRightInd w:val="0"/>
        <w:ind w:left="5670"/>
      </w:pPr>
      <w:r>
        <w:t xml:space="preserve">Keyes, Fox &amp; </w:t>
      </w:r>
      <w:proofErr w:type="spellStart"/>
      <w:r>
        <w:t>Wiedman</w:t>
      </w:r>
      <w:proofErr w:type="spellEnd"/>
      <w:r>
        <w:t xml:space="preserve"> LLP</w:t>
      </w:r>
    </w:p>
    <w:p w:rsidR="00986037" w:rsidRDefault="00986037" w:rsidP="00986037">
      <w:pPr>
        <w:widowControl w:val="0"/>
        <w:autoSpaceDE w:val="0"/>
        <w:autoSpaceDN w:val="0"/>
        <w:adjustRightInd w:val="0"/>
        <w:ind w:left="5670"/>
      </w:pPr>
      <w:r>
        <w:t>436 13</w:t>
      </w:r>
      <w:r w:rsidRPr="00D16C58">
        <w:rPr>
          <w:vertAlign w:val="superscript"/>
        </w:rPr>
        <w:t>th</w:t>
      </w:r>
      <w:r>
        <w:t xml:space="preserve"> Street, Suite 1305</w:t>
      </w:r>
    </w:p>
    <w:p w:rsidR="00986037" w:rsidRDefault="00986037" w:rsidP="00986037">
      <w:pPr>
        <w:widowControl w:val="0"/>
        <w:autoSpaceDE w:val="0"/>
        <w:autoSpaceDN w:val="0"/>
        <w:adjustRightInd w:val="0"/>
        <w:ind w:left="5670"/>
      </w:pPr>
      <w:r>
        <w:t>Oakland, CA 94612</w:t>
      </w:r>
    </w:p>
    <w:p w:rsidR="00986037" w:rsidRDefault="00986037" w:rsidP="00986037">
      <w:pPr>
        <w:widowControl w:val="0"/>
        <w:autoSpaceDE w:val="0"/>
        <w:autoSpaceDN w:val="0"/>
        <w:adjustRightInd w:val="0"/>
        <w:ind w:left="5670"/>
      </w:pPr>
      <w:r>
        <w:t>510-314-8205</w:t>
      </w:r>
    </w:p>
    <w:p w:rsidR="00986037" w:rsidRDefault="00305B4F" w:rsidP="00986037">
      <w:pPr>
        <w:widowControl w:val="0"/>
        <w:autoSpaceDE w:val="0"/>
        <w:autoSpaceDN w:val="0"/>
        <w:adjustRightInd w:val="0"/>
        <w:ind w:left="5670"/>
      </w:pPr>
      <w:hyperlink r:id="rId5" w:history="1">
        <w:r w:rsidR="00986037" w:rsidRPr="005B724B">
          <w:rPr>
            <w:rStyle w:val="Hyperlink"/>
          </w:rPr>
          <w:t>tculley@kfwlaw.com</w:t>
        </w:r>
      </w:hyperlink>
    </w:p>
    <w:p w:rsidR="00986037" w:rsidRDefault="00986037" w:rsidP="00986037">
      <w:pPr>
        <w:widowControl w:val="0"/>
        <w:autoSpaceDE w:val="0"/>
        <w:autoSpaceDN w:val="0"/>
        <w:adjustRightInd w:val="0"/>
        <w:ind w:left="5670"/>
      </w:pPr>
    </w:p>
    <w:p w:rsidR="00986037" w:rsidRDefault="00986037" w:rsidP="00986037">
      <w:pPr>
        <w:widowControl w:val="0"/>
        <w:autoSpaceDE w:val="0"/>
        <w:autoSpaceDN w:val="0"/>
        <w:adjustRightInd w:val="0"/>
        <w:ind w:left="5670"/>
      </w:pPr>
      <w:r>
        <w:t>On behalf of the Interstate Renewable</w:t>
      </w:r>
    </w:p>
    <w:p w:rsidR="00986037" w:rsidRPr="00D16C58" w:rsidRDefault="00986037" w:rsidP="00986037">
      <w:pPr>
        <w:widowControl w:val="0"/>
        <w:autoSpaceDE w:val="0"/>
        <w:autoSpaceDN w:val="0"/>
        <w:adjustRightInd w:val="0"/>
        <w:ind w:left="5670"/>
      </w:pPr>
      <w:r>
        <w:t>Energy Council, Inc.</w:t>
      </w:r>
      <w:r>
        <w:tab/>
      </w:r>
      <w:r>
        <w:tab/>
      </w:r>
      <w:r>
        <w:tab/>
      </w:r>
    </w:p>
    <w:p w:rsidR="00986037" w:rsidRDefault="00986037" w:rsidP="007701E6">
      <w:pPr>
        <w:widowControl w:val="0"/>
        <w:autoSpaceDE w:val="0"/>
        <w:autoSpaceDN w:val="0"/>
        <w:adjustRightInd w:val="0"/>
      </w:pPr>
    </w:p>
    <w:p w:rsidR="00986037" w:rsidRDefault="00DD08B4" w:rsidP="007701E6">
      <w:pPr>
        <w:widowControl w:val="0"/>
        <w:autoSpaceDE w:val="0"/>
        <w:autoSpaceDN w:val="0"/>
        <w:adjustRightInd w:val="0"/>
        <w:sectPr w:rsidR="00986037">
          <w:footerReference w:type="even" r:id="rId6"/>
          <w:footerReference w:type="default" r:id="rId7"/>
          <w:type w:val="continuous"/>
          <w:pgSz w:w="12240" w:h="15840"/>
          <w:pgMar w:top="1440" w:right="1440" w:bottom="1440" w:left="1440" w:gutter="0"/>
        </w:sectPr>
      </w:pPr>
      <w:r>
        <w:t>December 4</w:t>
      </w:r>
      <w:r w:rsidR="00986037">
        <w:t>, 2012</w:t>
      </w:r>
    </w:p>
    <w:p w:rsidR="00537E0F" w:rsidRDefault="00537E0F" w:rsidP="007701E6">
      <w:pPr>
        <w:widowControl w:val="0"/>
        <w:autoSpaceDE w:val="0"/>
        <w:autoSpaceDN w:val="0"/>
        <w:adjustRightInd w:val="0"/>
      </w:pPr>
    </w:p>
    <w:p w:rsidR="009B0077" w:rsidRDefault="009B0077" w:rsidP="009B0077">
      <w:pPr>
        <w:widowControl w:val="0"/>
        <w:autoSpaceDE w:val="0"/>
        <w:autoSpaceDN w:val="0"/>
        <w:adjustRightInd w:val="0"/>
        <w:jc w:val="center"/>
      </w:pPr>
      <w:r>
        <w:t>BEFORE</w:t>
      </w:r>
    </w:p>
    <w:p w:rsidR="009B0077" w:rsidRDefault="009B0077" w:rsidP="009B0077">
      <w:pPr>
        <w:widowControl w:val="0"/>
        <w:autoSpaceDE w:val="0"/>
        <w:autoSpaceDN w:val="0"/>
        <w:adjustRightInd w:val="0"/>
        <w:jc w:val="center"/>
        <w:sectPr w:rsidR="009B0077">
          <w:pgSz w:w="12240" w:h="15840"/>
          <w:pgMar w:top="1440" w:right="1440" w:bottom="1440" w:left="1440" w:gutter="0"/>
          <w:pgNumType w:start="1"/>
          <w:titlePg/>
        </w:sectPr>
      </w:pPr>
      <w:r>
        <w:t>THE PUBLIC UTILITIES COMMISSION OF OHIO</w:t>
      </w:r>
    </w:p>
    <w:p w:rsidR="009B0077" w:rsidRDefault="009B0077" w:rsidP="009B0077">
      <w:pPr>
        <w:widowControl w:val="0"/>
        <w:autoSpaceDE w:val="0"/>
        <w:autoSpaceDN w:val="0"/>
        <w:adjustRightInd w:val="0"/>
        <w:jc w:val="center"/>
      </w:pPr>
    </w:p>
    <w:p w:rsidR="009B0077" w:rsidRDefault="009B0077" w:rsidP="009B0077">
      <w:pPr>
        <w:widowControl w:val="0"/>
        <w:autoSpaceDE w:val="0"/>
        <w:autoSpaceDN w:val="0"/>
        <w:adjustRightInd w:val="0"/>
        <w:jc w:val="center"/>
        <w:sectPr w:rsidR="009B0077">
          <w:type w:val="continuous"/>
          <w:pgSz w:w="12240" w:h="15840"/>
          <w:pgMar w:top="1440" w:right="1440" w:bottom="1440" w:left="1440" w:gutter="0"/>
        </w:sectPr>
      </w:pPr>
    </w:p>
    <w:p w:rsidR="009B0077" w:rsidRDefault="009B0077" w:rsidP="009B0077">
      <w:pPr>
        <w:widowControl w:val="0"/>
        <w:autoSpaceDE w:val="0"/>
        <w:autoSpaceDN w:val="0"/>
        <w:adjustRightInd w:val="0"/>
      </w:pPr>
      <w:r>
        <w:t xml:space="preserve">In the Matter of the </w:t>
      </w:r>
      <w:proofErr w:type="gramStart"/>
      <w:r>
        <w:t>Commission’s               )</w:t>
      </w:r>
      <w:proofErr w:type="gramEnd"/>
    </w:p>
    <w:p w:rsidR="009B0077" w:rsidRDefault="009B0077" w:rsidP="009B0077">
      <w:pPr>
        <w:widowControl w:val="0"/>
        <w:autoSpaceDE w:val="0"/>
        <w:autoSpaceDN w:val="0"/>
        <w:adjustRightInd w:val="0"/>
      </w:pPr>
      <w:r>
        <w:t>Review of Chapter 4901:1-22</w:t>
      </w:r>
      <w:proofErr w:type="gramStart"/>
      <w:r>
        <w:t>,  Ohio</w:t>
      </w:r>
      <w:proofErr w:type="gramEnd"/>
      <w:r>
        <w:tab/>
        <w:t xml:space="preserve">          )</w:t>
      </w:r>
    </w:p>
    <w:p w:rsidR="009B0077" w:rsidRDefault="009B0077" w:rsidP="009B0077">
      <w:pPr>
        <w:widowControl w:val="0"/>
        <w:autoSpaceDE w:val="0"/>
        <w:autoSpaceDN w:val="0"/>
        <w:adjustRightInd w:val="0"/>
      </w:pPr>
      <w:r>
        <w:t xml:space="preserve">Administrative Code, </w:t>
      </w:r>
      <w:proofErr w:type="gramStart"/>
      <w:r>
        <w:t>Regarding</w:t>
      </w:r>
      <w:r>
        <w:tab/>
        <w:t xml:space="preserve">          )</w:t>
      </w:r>
      <w:proofErr w:type="gramEnd"/>
    </w:p>
    <w:p w:rsidR="009B0077" w:rsidRDefault="009B0077" w:rsidP="009B0077">
      <w:pPr>
        <w:widowControl w:val="0"/>
        <w:autoSpaceDE w:val="0"/>
        <w:autoSpaceDN w:val="0"/>
        <w:adjustRightInd w:val="0"/>
      </w:pPr>
      <w:r>
        <w:t xml:space="preserve">Interconnection </w:t>
      </w:r>
      <w:proofErr w:type="gramStart"/>
      <w:r>
        <w:t>Services</w:t>
      </w:r>
      <w:r>
        <w:tab/>
      </w:r>
      <w:r>
        <w:tab/>
        <w:t xml:space="preserve">          )</w:t>
      </w:r>
      <w:proofErr w:type="gramEnd"/>
    </w:p>
    <w:p w:rsidR="009B0077" w:rsidRDefault="009B0077" w:rsidP="009B0077">
      <w:pPr>
        <w:widowControl w:val="0"/>
        <w:autoSpaceDE w:val="0"/>
        <w:autoSpaceDN w:val="0"/>
        <w:adjustRightInd w:val="0"/>
      </w:pPr>
    </w:p>
    <w:p w:rsidR="009B0077" w:rsidRDefault="009B0077" w:rsidP="009B0077">
      <w:pPr>
        <w:widowControl w:val="0"/>
        <w:autoSpaceDE w:val="0"/>
        <w:autoSpaceDN w:val="0"/>
        <w:adjustRightInd w:val="0"/>
      </w:pPr>
    </w:p>
    <w:p w:rsidR="009B0077" w:rsidRDefault="009B0077" w:rsidP="009B0077">
      <w:pPr>
        <w:widowControl w:val="0"/>
        <w:autoSpaceDE w:val="0"/>
        <w:autoSpaceDN w:val="0"/>
        <w:adjustRightInd w:val="0"/>
      </w:pPr>
      <w:r>
        <w:t>Case No. 12-2051-EL-ORD</w:t>
      </w:r>
    </w:p>
    <w:p w:rsidR="009B0077" w:rsidRDefault="009B0077" w:rsidP="009B0077">
      <w:pPr>
        <w:widowControl w:val="0"/>
        <w:autoSpaceDE w:val="0"/>
        <w:autoSpaceDN w:val="0"/>
        <w:adjustRightInd w:val="0"/>
      </w:pPr>
      <w:r>
        <w:t xml:space="preserve"> </w:t>
      </w:r>
      <w:r>
        <w:tab/>
      </w:r>
    </w:p>
    <w:p w:rsidR="009B0077" w:rsidRDefault="009B0077" w:rsidP="00C62D70">
      <w:pPr>
        <w:widowControl w:val="0"/>
        <w:autoSpaceDE w:val="0"/>
        <w:autoSpaceDN w:val="0"/>
        <w:adjustRightInd w:val="0"/>
        <w:sectPr w:rsidR="009B0077">
          <w:type w:val="continuous"/>
          <w:pgSz w:w="12240" w:h="15840"/>
          <w:pgMar w:top="1440" w:right="1440" w:bottom="1440" w:left="1440" w:gutter="0"/>
          <w:cols w:num="2"/>
        </w:sectPr>
      </w:pPr>
    </w:p>
    <w:p w:rsidR="009B0077" w:rsidRDefault="009B0077" w:rsidP="009B0077">
      <w:pPr>
        <w:widowControl w:val="0"/>
        <w:autoSpaceDE w:val="0"/>
        <w:autoSpaceDN w:val="0"/>
        <w:adjustRightInd w:val="0"/>
        <w:jc w:val="center"/>
        <w:sectPr w:rsidR="009B0077">
          <w:type w:val="continuous"/>
          <w:pgSz w:w="12240" w:h="15840"/>
          <w:pgMar w:top="1440" w:right="1440" w:bottom="1440" w:left="1440" w:gutter="0"/>
        </w:sectPr>
      </w:pPr>
    </w:p>
    <w:p w:rsidR="00950FBB" w:rsidRDefault="00950FBB" w:rsidP="00950FBB">
      <w:pPr>
        <w:widowControl w:val="0"/>
        <w:autoSpaceDE w:val="0"/>
        <w:autoSpaceDN w:val="0"/>
        <w:adjustRightInd w:val="0"/>
        <w:jc w:val="center"/>
      </w:pPr>
    </w:p>
    <w:p w:rsidR="00950FBB" w:rsidRDefault="00DD08B4" w:rsidP="00950FBB">
      <w:pPr>
        <w:widowControl w:val="0"/>
        <w:autoSpaceDE w:val="0"/>
        <w:autoSpaceDN w:val="0"/>
        <w:adjustRightInd w:val="0"/>
        <w:jc w:val="center"/>
        <w:rPr>
          <w:b/>
        </w:rPr>
      </w:pPr>
      <w:r>
        <w:rPr>
          <w:b/>
        </w:rPr>
        <w:t xml:space="preserve">REPLY </w:t>
      </w:r>
      <w:r w:rsidR="00950FBB">
        <w:rPr>
          <w:b/>
        </w:rPr>
        <w:t>COMMENTS OF INTERSTATE RENEWABLE ENERGY</w:t>
      </w:r>
    </w:p>
    <w:p w:rsidR="00950FBB" w:rsidRDefault="00950FBB" w:rsidP="00950FBB">
      <w:pPr>
        <w:widowControl w:val="0"/>
        <w:autoSpaceDE w:val="0"/>
        <w:autoSpaceDN w:val="0"/>
        <w:adjustRightInd w:val="0"/>
        <w:jc w:val="center"/>
        <w:rPr>
          <w:b/>
        </w:rPr>
      </w:pPr>
      <w:r>
        <w:rPr>
          <w:b/>
        </w:rPr>
        <w:t>COUNCIL, INC. ON PROPOSED MODIFICATIONS</w:t>
      </w:r>
    </w:p>
    <w:p w:rsidR="00950FBB" w:rsidRPr="00950FBB" w:rsidRDefault="00950FBB" w:rsidP="00950FBB">
      <w:pPr>
        <w:widowControl w:val="0"/>
        <w:autoSpaceDE w:val="0"/>
        <w:autoSpaceDN w:val="0"/>
        <w:adjustRightInd w:val="0"/>
        <w:jc w:val="center"/>
        <w:rPr>
          <w:b/>
        </w:rPr>
      </w:pPr>
      <w:r>
        <w:rPr>
          <w:b/>
        </w:rPr>
        <w:t>TO INTERCONNECTION SERVICES AND STANDARDS</w:t>
      </w:r>
    </w:p>
    <w:p w:rsidR="001E52D1" w:rsidRDefault="001E52D1" w:rsidP="001E52D1">
      <w:pPr>
        <w:widowControl w:val="0"/>
        <w:autoSpaceDE w:val="0"/>
        <w:autoSpaceDN w:val="0"/>
        <w:adjustRightInd w:val="0"/>
        <w:spacing w:line="480" w:lineRule="auto"/>
        <w:rPr>
          <w:b/>
        </w:rPr>
      </w:pPr>
    </w:p>
    <w:p w:rsidR="001E52D1" w:rsidRDefault="001E52D1" w:rsidP="001E52D1">
      <w:pPr>
        <w:widowControl w:val="0"/>
        <w:autoSpaceDE w:val="0"/>
        <w:autoSpaceDN w:val="0"/>
        <w:adjustRightInd w:val="0"/>
        <w:spacing w:line="480" w:lineRule="auto"/>
      </w:pPr>
      <w:r>
        <w:rPr>
          <w:b/>
        </w:rPr>
        <w:tab/>
      </w:r>
      <w:r w:rsidR="00570217">
        <w:t>Pursuant to</w:t>
      </w:r>
      <w:r>
        <w:t xml:space="preserve"> Rules of </w:t>
      </w:r>
      <w:r w:rsidR="00570217">
        <w:t xml:space="preserve">Administrative Provisions </w:t>
      </w:r>
      <w:r>
        <w:t>and Procedure</w:t>
      </w:r>
      <w:r w:rsidR="00570217">
        <w:t xml:space="preserve">, Chapter 4901:1-1, </w:t>
      </w:r>
      <w:r w:rsidR="00570217">
        <w:rPr>
          <w:i/>
        </w:rPr>
        <w:t>et seq.</w:t>
      </w:r>
      <w:r w:rsidR="00570217">
        <w:t>, Ohio Administrative Code (O.A.C.),</w:t>
      </w:r>
      <w:r>
        <w:t xml:space="preserve"> </w:t>
      </w:r>
      <w:r w:rsidR="0045302A">
        <w:t xml:space="preserve">and the Public Utilities </w:t>
      </w:r>
      <w:r>
        <w:t>Commission</w:t>
      </w:r>
      <w:r w:rsidR="0045302A">
        <w:t xml:space="preserve"> of Ohio</w:t>
      </w:r>
      <w:r>
        <w:t>’s</w:t>
      </w:r>
      <w:r w:rsidR="0045302A">
        <w:t xml:space="preserve"> (Commission)</w:t>
      </w:r>
      <w:r>
        <w:t xml:space="preserve"> Entry dated October 17, 2012, the Interstate Renewable Energy Council, Inc. (IREC) </w:t>
      </w:r>
      <w:r w:rsidR="00DD08B4">
        <w:t xml:space="preserve">appreciates the opportunity to reply to opening comments submitted on the </w:t>
      </w:r>
      <w:r>
        <w:t xml:space="preserve">proposed rule changes to Chapter 4901:1-22, </w:t>
      </w:r>
      <w:r w:rsidR="00570217">
        <w:t>O.A.C.</w:t>
      </w:r>
      <w:r w:rsidR="00D56B3E">
        <w:t xml:space="preserve"> (Interconnection Rule)</w:t>
      </w:r>
      <w:r>
        <w:t>.</w:t>
      </w:r>
    </w:p>
    <w:p w:rsidR="000D1D88" w:rsidRDefault="001E52D1" w:rsidP="00DD08B4">
      <w:pPr>
        <w:widowControl w:val="0"/>
        <w:autoSpaceDE w:val="0"/>
        <w:autoSpaceDN w:val="0"/>
        <w:adjustRightInd w:val="0"/>
        <w:spacing w:line="480" w:lineRule="auto"/>
      </w:pPr>
      <w:r>
        <w:tab/>
      </w:r>
      <w:r w:rsidR="000D1D88">
        <w:t xml:space="preserve">IREC replies here on </w:t>
      </w:r>
      <w:r w:rsidR="004B1D70">
        <w:t xml:space="preserve">three </w:t>
      </w:r>
      <w:r w:rsidR="000D1D88">
        <w:t>issues raised by other parties:</w:t>
      </w:r>
    </w:p>
    <w:p w:rsidR="00305B4F" w:rsidRDefault="000D1D88">
      <w:pPr>
        <w:pStyle w:val="ListParagraph"/>
        <w:widowControl w:val="0"/>
        <w:numPr>
          <w:ilvl w:val="0"/>
          <w:numId w:val="37"/>
        </w:numPr>
        <w:autoSpaceDE w:val="0"/>
        <w:autoSpaceDN w:val="0"/>
        <w:adjustRightInd w:val="0"/>
        <w:spacing w:before="120" w:after="240" w:line="360" w:lineRule="auto"/>
        <w:contextualSpacing w:val="0"/>
      </w:pPr>
      <w:r>
        <w:rPr>
          <w:b/>
        </w:rPr>
        <w:t>Rais</w:t>
      </w:r>
      <w:r w:rsidR="006950EB">
        <w:rPr>
          <w:b/>
        </w:rPr>
        <w:t>ing</w:t>
      </w:r>
      <w:r>
        <w:rPr>
          <w:b/>
        </w:rPr>
        <w:t xml:space="preserve"> Level 1 eligibility to 25 kW or less. </w:t>
      </w:r>
      <w:r w:rsidR="00232C4E">
        <w:t>IREC</w:t>
      </w:r>
      <w:r w:rsidR="00DD08B4">
        <w:t xml:space="preserve"> supports the comments of </w:t>
      </w:r>
      <w:r w:rsidR="00E929C9">
        <w:t>Ohio</w:t>
      </w:r>
      <w:r w:rsidR="00B92400">
        <w:t xml:space="preserve"> Power Company (Ohio Power), </w:t>
      </w:r>
      <w:r w:rsidR="00E929C9">
        <w:t>Dayton Power &amp; Light Company (DP&amp;L)</w:t>
      </w:r>
      <w:r w:rsidR="00B92400">
        <w:t xml:space="preserve">, and </w:t>
      </w:r>
      <w:r w:rsidR="00B92400" w:rsidRPr="00F5032B">
        <w:t>Office of the Ohio Consumers’ Counsel (OCC)</w:t>
      </w:r>
      <w:r w:rsidR="0000354E">
        <w:t xml:space="preserve"> </w:t>
      </w:r>
      <w:r w:rsidR="00DD08B4">
        <w:t xml:space="preserve">to increase the eligibility size for Level 1 interconnection review </w:t>
      </w:r>
      <w:r w:rsidR="0000354E">
        <w:t>to 25 kW or less</w:t>
      </w:r>
      <w:r w:rsidR="00B92400">
        <w:t>.</w:t>
      </w:r>
      <w:r w:rsidR="00DD08B4">
        <w:t xml:space="preserve"> </w:t>
      </w:r>
    </w:p>
    <w:p w:rsidR="00305B4F" w:rsidRDefault="000D1D88">
      <w:pPr>
        <w:pStyle w:val="ListParagraph"/>
        <w:widowControl w:val="0"/>
        <w:numPr>
          <w:ilvl w:val="0"/>
          <w:numId w:val="37"/>
        </w:numPr>
        <w:autoSpaceDE w:val="0"/>
        <w:autoSpaceDN w:val="0"/>
        <w:adjustRightInd w:val="0"/>
        <w:spacing w:before="120" w:after="240" w:line="360" w:lineRule="auto"/>
        <w:contextualSpacing w:val="0"/>
        <w:rPr>
          <w:b/>
        </w:rPr>
      </w:pPr>
      <w:r w:rsidRPr="004B1D70">
        <w:rPr>
          <w:b/>
        </w:rPr>
        <w:t>Clarif</w:t>
      </w:r>
      <w:r w:rsidR="006950EB">
        <w:rPr>
          <w:b/>
        </w:rPr>
        <w:t>ying</w:t>
      </w:r>
      <w:r w:rsidRPr="004B1D70">
        <w:rPr>
          <w:b/>
        </w:rPr>
        <w:t xml:space="preserve"> Level 1 and Lev</w:t>
      </w:r>
      <w:r w:rsidR="004B1D70" w:rsidRPr="004B1D70">
        <w:rPr>
          <w:b/>
        </w:rPr>
        <w:t>el 2 approval criteria language.</w:t>
      </w:r>
      <w:r w:rsidRPr="00A7290B">
        <w:t xml:space="preserve"> </w:t>
      </w:r>
      <w:r w:rsidR="00DD08B4" w:rsidRPr="00A7290B">
        <w:t xml:space="preserve">IREC agrees with </w:t>
      </w:r>
      <w:r w:rsidR="00E929C9" w:rsidRPr="00A7290B">
        <w:t>Ohio Power and DP&amp;L</w:t>
      </w:r>
      <w:r w:rsidRPr="00A7290B">
        <w:t xml:space="preserve"> that</w:t>
      </w:r>
      <w:r w:rsidR="00E929C9" w:rsidRPr="00A7290B">
        <w:t xml:space="preserve"> </w:t>
      </w:r>
      <w:r w:rsidR="005F43DD">
        <w:t>the</w:t>
      </w:r>
      <w:r w:rsidRPr="00A7290B">
        <w:t xml:space="preserve"> </w:t>
      </w:r>
      <w:r w:rsidR="00E929C9" w:rsidRPr="00A7290B">
        <w:t>approval criteria</w:t>
      </w:r>
      <w:r w:rsidRPr="00A7290B">
        <w:t xml:space="preserve"> language</w:t>
      </w:r>
      <w:r w:rsidR="005F43DD">
        <w:t xml:space="preserve"> in </w:t>
      </w:r>
      <w:r w:rsidR="00E929C9" w:rsidRPr="00A7290B">
        <w:t xml:space="preserve">Sections </w:t>
      </w:r>
      <w:r w:rsidR="00B32071" w:rsidRPr="00A7290B">
        <w:t xml:space="preserve">4901:1-22-06(B)(1)(b) and </w:t>
      </w:r>
      <w:r w:rsidR="00E929C9" w:rsidRPr="00A7290B">
        <w:t>4901:1-22-07</w:t>
      </w:r>
      <w:r w:rsidR="00B32071" w:rsidRPr="00A7290B">
        <w:t>(B)(1)(d)</w:t>
      </w:r>
      <w:r w:rsidR="00CC3E19" w:rsidRPr="00A7290B">
        <w:t xml:space="preserve"> </w:t>
      </w:r>
      <w:r w:rsidR="005F43DD" w:rsidRPr="00A7290B">
        <w:t>could be improved and clarified</w:t>
      </w:r>
      <w:r w:rsidR="005F43DD">
        <w:t xml:space="preserve">. To accomplish this, IREC suggests adopting </w:t>
      </w:r>
      <w:r w:rsidR="006950EB">
        <w:t xml:space="preserve">Section 2.2.1.2 of </w:t>
      </w:r>
      <w:r w:rsidR="00DD08B4" w:rsidRPr="00A7290B">
        <w:t>the Federal Energy Regulatory Commission’s</w:t>
      </w:r>
      <w:r w:rsidR="005F43DD">
        <w:t xml:space="preserve"> (FERC)</w:t>
      </w:r>
      <w:r w:rsidR="00DD08B4" w:rsidRPr="00A7290B">
        <w:t xml:space="preserve"> Small Generator In</w:t>
      </w:r>
      <w:r w:rsidR="00CC3E19" w:rsidRPr="00A7290B">
        <w:t xml:space="preserve">terconnection Procedures (SGIP). </w:t>
      </w:r>
      <w:r w:rsidR="0000354E" w:rsidRPr="00A7290B">
        <w:t xml:space="preserve"> </w:t>
      </w:r>
    </w:p>
    <w:p w:rsidR="00305B4F" w:rsidRDefault="004B1D70">
      <w:pPr>
        <w:pStyle w:val="ListParagraph"/>
        <w:widowControl w:val="0"/>
        <w:numPr>
          <w:ilvl w:val="0"/>
          <w:numId w:val="37"/>
        </w:numPr>
        <w:autoSpaceDE w:val="0"/>
        <w:autoSpaceDN w:val="0"/>
        <w:adjustRightInd w:val="0"/>
        <w:spacing w:before="120" w:after="240" w:line="360" w:lineRule="auto"/>
        <w:contextualSpacing w:val="0"/>
        <w:rPr>
          <w:b/>
        </w:rPr>
      </w:pPr>
      <w:r>
        <w:rPr>
          <w:b/>
        </w:rPr>
        <w:t>Provid</w:t>
      </w:r>
      <w:r w:rsidR="006950EB">
        <w:rPr>
          <w:b/>
        </w:rPr>
        <w:t>ing</w:t>
      </w:r>
      <w:r>
        <w:rPr>
          <w:b/>
        </w:rPr>
        <w:t xml:space="preserve"> public a</w:t>
      </w:r>
      <w:r w:rsidR="000D1D88" w:rsidRPr="004B1D70">
        <w:rPr>
          <w:b/>
        </w:rPr>
        <w:t>ccess to queue data.</w:t>
      </w:r>
      <w:r w:rsidR="000D1D88" w:rsidRPr="00A7290B">
        <w:rPr>
          <w:b/>
        </w:rPr>
        <w:t xml:space="preserve"> </w:t>
      </w:r>
      <w:r w:rsidR="0000354E" w:rsidRPr="00A7290B">
        <w:t xml:space="preserve">In regards to public access to queue data, </w:t>
      </w:r>
      <w:r w:rsidR="00DD08B4" w:rsidRPr="00A7290B">
        <w:t xml:space="preserve">IREC </w:t>
      </w:r>
      <w:r w:rsidR="00B92400" w:rsidRPr="00A7290B">
        <w:t xml:space="preserve">agrees with OCC </w:t>
      </w:r>
      <w:r w:rsidR="00064D53">
        <w:t xml:space="preserve">and Interstate Gas Supply (IGS) </w:t>
      </w:r>
      <w:r w:rsidR="00B32071" w:rsidRPr="00A7290B">
        <w:t xml:space="preserve">that basic queue data </w:t>
      </w:r>
      <w:r w:rsidR="00A7290B">
        <w:t>should</w:t>
      </w:r>
      <w:r w:rsidR="00B32071" w:rsidRPr="00A7290B">
        <w:t xml:space="preserve"> not reveal confidential customer information</w:t>
      </w:r>
      <w:r w:rsidR="005F43DD">
        <w:t>.</w:t>
      </w:r>
    </w:p>
    <w:p w:rsidR="005F43DD" w:rsidRDefault="005F43DD" w:rsidP="00873AF9">
      <w:pPr>
        <w:widowControl w:val="0"/>
        <w:autoSpaceDE w:val="0"/>
        <w:autoSpaceDN w:val="0"/>
        <w:adjustRightInd w:val="0"/>
        <w:spacing w:before="120" w:after="240"/>
        <w:ind w:left="720" w:hanging="720"/>
        <w:rPr>
          <w:b/>
        </w:rPr>
        <w:sectPr w:rsidR="005F43DD">
          <w:type w:val="continuous"/>
          <w:pgSz w:w="12240" w:h="15840"/>
          <w:pgMar w:top="1440" w:right="1440" w:bottom="1440" w:left="1440" w:gutter="0"/>
          <w:titlePg/>
        </w:sectPr>
      </w:pPr>
    </w:p>
    <w:p w:rsidR="00D101ED" w:rsidRPr="00763E4F" w:rsidRDefault="00873AF9" w:rsidP="00873AF9">
      <w:pPr>
        <w:widowControl w:val="0"/>
        <w:autoSpaceDE w:val="0"/>
        <w:autoSpaceDN w:val="0"/>
        <w:adjustRightInd w:val="0"/>
        <w:spacing w:before="120" w:after="240"/>
        <w:ind w:left="720" w:hanging="720"/>
        <w:rPr>
          <w:b/>
        </w:rPr>
      </w:pPr>
      <w:r>
        <w:rPr>
          <w:b/>
        </w:rPr>
        <w:t>I</w:t>
      </w:r>
      <w:r w:rsidR="00096338">
        <w:rPr>
          <w:b/>
        </w:rPr>
        <w:t>.</w:t>
      </w:r>
      <w:r w:rsidR="00096338">
        <w:rPr>
          <w:b/>
        </w:rPr>
        <w:tab/>
      </w:r>
      <w:r w:rsidR="00763E4F">
        <w:rPr>
          <w:b/>
        </w:rPr>
        <w:t>Raising</w:t>
      </w:r>
      <w:r w:rsidR="008B7543">
        <w:rPr>
          <w:b/>
        </w:rPr>
        <w:t xml:space="preserve"> Level 1 </w:t>
      </w:r>
      <w:r w:rsidR="00763E4F">
        <w:rPr>
          <w:b/>
        </w:rPr>
        <w:t xml:space="preserve">Eligibility to </w:t>
      </w:r>
      <w:r w:rsidR="008B7543">
        <w:rPr>
          <w:b/>
        </w:rPr>
        <w:t>25 kW or Less</w:t>
      </w:r>
      <w:r w:rsidR="00D101ED">
        <w:rPr>
          <w:b/>
        </w:rPr>
        <w:t xml:space="preserve"> Is Consistent with Best Practices</w:t>
      </w:r>
      <w:r w:rsidR="00763E4F">
        <w:rPr>
          <w:b/>
        </w:rPr>
        <w:t xml:space="preserve"> </w:t>
      </w:r>
      <w:r w:rsidR="005A561A">
        <w:rPr>
          <w:b/>
        </w:rPr>
        <w:t xml:space="preserve">and </w:t>
      </w:r>
      <w:r w:rsidR="00763E4F">
        <w:rPr>
          <w:b/>
        </w:rPr>
        <w:t xml:space="preserve">Will </w:t>
      </w:r>
      <w:r w:rsidR="00441E38">
        <w:rPr>
          <w:b/>
        </w:rPr>
        <w:t>Reduce the Application Processing Cost for Both Utilities and C</w:t>
      </w:r>
      <w:r w:rsidR="00441E38" w:rsidRPr="00441E38">
        <w:rPr>
          <w:b/>
        </w:rPr>
        <w:t>ustomers</w:t>
      </w:r>
      <w:r w:rsidR="00441E38">
        <w:rPr>
          <w:b/>
        </w:rPr>
        <w:t xml:space="preserve">. </w:t>
      </w:r>
    </w:p>
    <w:p w:rsidR="001A75CB" w:rsidRDefault="003651DD" w:rsidP="00401D8B">
      <w:pPr>
        <w:widowControl w:val="0"/>
        <w:autoSpaceDE w:val="0"/>
        <w:autoSpaceDN w:val="0"/>
        <w:adjustRightInd w:val="0"/>
        <w:spacing w:line="480" w:lineRule="auto"/>
      </w:pPr>
      <w:r>
        <w:tab/>
        <w:t>IREC</w:t>
      </w:r>
      <w:r w:rsidR="00401D8B">
        <w:t xml:space="preserve"> supports</w:t>
      </w:r>
      <w:r w:rsidR="00B92400">
        <w:t xml:space="preserve"> </w:t>
      </w:r>
      <w:r>
        <w:t>the comments of</w:t>
      </w:r>
      <w:r w:rsidR="00B92400">
        <w:t xml:space="preserve"> Ohio Power, DP&amp;L, and OCC </w:t>
      </w:r>
      <w:r w:rsidR="006950EB">
        <w:t xml:space="preserve">proposing an </w:t>
      </w:r>
      <w:r w:rsidR="00B92400">
        <w:t>increase</w:t>
      </w:r>
      <w:r w:rsidR="00401D8B">
        <w:t xml:space="preserve"> </w:t>
      </w:r>
      <w:r w:rsidR="006950EB">
        <w:t xml:space="preserve">in </w:t>
      </w:r>
      <w:r w:rsidR="00401D8B">
        <w:t xml:space="preserve">Level 1 eligibility </w:t>
      </w:r>
      <w:r w:rsidR="006950EB">
        <w:t>from</w:t>
      </w:r>
      <w:r w:rsidR="005F43DD">
        <w:t xml:space="preserve"> 10 kW or less to </w:t>
      </w:r>
      <w:r w:rsidR="00401D8B">
        <w:t>25 kW or less</w:t>
      </w:r>
      <w:r w:rsidR="006950EB">
        <w:t xml:space="preserve"> for inverter-based generators</w:t>
      </w:r>
      <w:r w:rsidR="00401D8B">
        <w:t xml:space="preserve">. </w:t>
      </w:r>
      <w:r w:rsidR="00864E8D">
        <w:t>The primary benefits of Ohio’s current Level 1 process</w:t>
      </w:r>
      <w:r w:rsidR="00864E8D" w:rsidRPr="00444439">
        <w:t xml:space="preserve"> are </w:t>
      </w:r>
      <w:r w:rsidR="006950EB">
        <w:t>a</w:t>
      </w:r>
      <w:r w:rsidR="006950EB" w:rsidRPr="00444439">
        <w:t xml:space="preserve"> </w:t>
      </w:r>
      <w:r w:rsidR="00864E8D" w:rsidRPr="00444439">
        <w:t xml:space="preserve">reduced cost and </w:t>
      </w:r>
      <w:r w:rsidR="006950EB">
        <w:t xml:space="preserve">the </w:t>
      </w:r>
      <w:r w:rsidR="00864E8D" w:rsidRPr="00444439">
        <w:t xml:space="preserve">ability to submit a relatively short, combined application and interconnection agreement. These benefits accrue to </w:t>
      </w:r>
      <w:r w:rsidR="00864E8D">
        <w:t xml:space="preserve">both (a) </w:t>
      </w:r>
      <w:r w:rsidR="00864E8D" w:rsidRPr="00444439">
        <w:t>customers installing small, inverter-based systems</w:t>
      </w:r>
      <w:r w:rsidR="006950EB">
        <w:t>, through reduced application times</w:t>
      </w:r>
      <w:r w:rsidR="00864E8D" w:rsidRPr="00444439">
        <w:t xml:space="preserve">, and </w:t>
      </w:r>
      <w:r w:rsidR="00864E8D">
        <w:t xml:space="preserve">(b) </w:t>
      </w:r>
      <w:r w:rsidR="00864E8D" w:rsidRPr="00444439">
        <w:t>utilities</w:t>
      </w:r>
      <w:r w:rsidR="006950EB">
        <w:t>,</w:t>
      </w:r>
      <w:r w:rsidR="00864E8D" w:rsidRPr="00444439">
        <w:t xml:space="preserve"> through the reduction in administrative time spent processing a separate interconnection agreement.</w:t>
      </w:r>
      <w:r w:rsidR="00864E8D">
        <w:t xml:space="preserve"> </w:t>
      </w:r>
      <w:r w:rsidR="00F5032B">
        <w:t xml:space="preserve">Raising the Level 1 cap </w:t>
      </w:r>
      <w:r w:rsidR="00401D8B">
        <w:t xml:space="preserve">to 25 kW </w:t>
      </w:r>
      <w:r w:rsidR="006950EB">
        <w:t xml:space="preserve">will </w:t>
      </w:r>
      <w:r w:rsidR="00401D8B">
        <w:t xml:space="preserve">expedite the process for an </w:t>
      </w:r>
      <w:r>
        <w:t xml:space="preserve">even larger portion of </w:t>
      </w:r>
      <w:r w:rsidR="00401D8B">
        <w:t>customers</w:t>
      </w:r>
      <w:r w:rsidR="006950EB" w:rsidRPr="006950EB">
        <w:t xml:space="preserve"> </w:t>
      </w:r>
      <w:r w:rsidR="006950EB">
        <w:t>and in doing so reduce the application processing cost for both utilities and customers</w:t>
      </w:r>
      <w:r w:rsidR="00401D8B">
        <w:t>.</w:t>
      </w:r>
      <w:r w:rsidR="00F5032B">
        <w:rPr>
          <w:rStyle w:val="FootnoteReference"/>
        </w:rPr>
        <w:footnoteReference w:id="-1"/>
      </w:r>
      <w:r w:rsidR="00F5032B">
        <w:t xml:space="preserve"> </w:t>
      </w:r>
    </w:p>
    <w:p w:rsidR="00305B4F" w:rsidRDefault="00864E8D">
      <w:pPr>
        <w:widowControl w:val="0"/>
        <w:autoSpaceDE w:val="0"/>
        <w:autoSpaceDN w:val="0"/>
        <w:adjustRightInd w:val="0"/>
        <w:spacing w:line="480" w:lineRule="auto"/>
      </w:pPr>
      <w:r>
        <w:tab/>
      </w:r>
      <w:r w:rsidR="006950EB">
        <w:t>Although a number of states</w:t>
      </w:r>
      <w:r w:rsidRPr="00444439">
        <w:t xml:space="preserve"> </w:t>
      </w:r>
      <w:r w:rsidR="006950EB">
        <w:t xml:space="preserve">and </w:t>
      </w:r>
      <w:r>
        <w:t>SGIP feature a 10 kW inverter-based p</w:t>
      </w:r>
      <w:r w:rsidRPr="00444439">
        <w:t>rocess</w:t>
      </w:r>
      <w:r w:rsidR="006950EB">
        <w:t>, s</w:t>
      </w:r>
      <w:r w:rsidR="00CA4145">
        <w:t xml:space="preserve">everal </w:t>
      </w:r>
      <w:r w:rsidR="001A75CB" w:rsidRPr="00EF098B">
        <w:t xml:space="preserve">states have </w:t>
      </w:r>
      <w:r w:rsidR="004C2B0D">
        <w:t xml:space="preserve">recently </w:t>
      </w:r>
      <w:r w:rsidR="001A75CB" w:rsidRPr="00EF098B">
        <w:t>expan</w:t>
      </w:r>
      <w:r w:rsidR="00CA4145">
        <w:t>d</w:t>
      </w:r>
      <w:r w:rsidR="006950EB">
        <w:t>ed</w:t>
      </w:r>
      <w:r w:rsidR="00CA4145">
        <w:t xml:space="preserve"> </w:t>
      </w:r>
      <w:r w:rsidR="005A561A">
        <w:t xml:space="preserve">this </w:t>
      </w:r>
      <w:r w:rsidR="001A75CB" w:rsidRPr="00EF098B">
        <w:t xml:space="preserve">quick, inexpensive, and user-friendly </w:t>
      </w:r>
      <w:r w:rsidR="006950EB">
        <w:t xml:space="preserve">interconnection </w:t>
      </w:r>
      <w:r w:rsidR="001A75CB" w:rsidRPr="00EF098B">
        <w:t xml:space="preserve">to </w:t>
      </w:r>
      <w:r w:rsidR="006950EB">
        <w:t xml:space="preserve">generators </w:t>
      </w:r>
      <w:r w:rsidR="001A75CB" w:rsidRPr="00EF098B">
        <w:t>of larger sizes. For example, O</w:t>
      </w:r>
      <w:r w:rsidR="003651DD">
        <w:t xml:space="preserve">regon, </w:t>
      </w:r>
      <w:r w:rsidR="003651DD" w:rsidRPr="00935CA0">
        <w:t>Massachusetts</w:t>
      </w:r>
      <w:r w:rsidR="003651DD">
        <w:t>, and West Virginia</w:t>
      </w:r>
      <w:r w:rsidR="003651DD">
        <w:rPr>
          <w:rStyle w:val="FootnoteReference"/>
        </w:rPr>
        <w:footnoteReference w:id="0"/>
      </w:r>
      <w:r w:rsidR="003651DD">
        <w:t xml:space="preserve"> provide</w:t>
      </w:r>
      <w:r w:rsidR="001A75CB" w:rsidRPr="00EF098B">
        <w:t xml:space="preserve"> a simplified process for inver</w:t>
      </w:r>
      <w:r w:rsidR="003651DD">
        <w:t>ter-based systems 25 kW or less</w:t>
      </w:r>
      <w:r w:rsidR="001A75CB" w:rsidRPr="00EF098B">
        <w:t>.</w:t>
      </w:r>
      <w:r w:rsidR="001A75CB">
        <w:t xml:space="preserve"> </w:t>
      </w:r>
      <w:r w:rsidR="006950EB">
        <w:t>In addition</w:t>
      </w:r>
      <w:r w:rsidR="00BC1EC5">
        <w:t xml:space="preserve">, </w:t>
      </w:r>
      <w:r w:rsidR="003651DD">
        <w:t xml:space="preserve">the </w:t>
      </w:r>
      <w:r w:rsidR="006950EB">
        <w:t xml:space="preserve">Washington </w:t>
      </w:r>
      <w:r w:rsidR="001A75CB">
        <w:t>Utilities and Transportation Commissi</w:t>
      </w:r>
      <w:r w:rsidR="00B92400">
        <w:t>on</w:t>
      </w:r>
      <w:r w:rsidR="00BC1EC5">
        <w:t xml:space="preserve"> </w:t>
      </w:r>
      <w:r w:rsidR="006950EB">
        <w:t>recently</w:t>
      </w:r>
      <w:r w:rsidR="001A75CB">
        <w:t xml:space="preserve"> proposed </w:t>
      </w:r>
      <w:r w:rsidR="00135746">
        <w:t>a simplified</w:t>
      </w:r>
      <w:r w:rsidR="00B92400">
        <w:t xml:space="preserve"> process</w:t>
      </w:r>
      <w:r w:rsidR="001A75CB">
        <w:t xml:space="preserve"> for </w:t>
      </w:r>
      <w:r w:rsidR="00135746">
        <w:t xml:space="preserve">inverter-based generators </w:t>
      </w:r>
      <w:r w:rsidR="001A75CB">
        <w:t>25 kW or less.</w:t>
      </w:r>
      <w:r w:rsidR="001A75CB">
        <w:rPr>
          <w:rStyle w:val="FootnoteReference"/>
        </w:rPr>
        <w:footnoteReference w:id="1"/>
      </w:r>
      <w:r w:rsidR="00BD5EBA">
        <w:t xml:space="preserve"> Accordingly, IREC agrees with Ohio Power, DP&amp;L, and OCC that </w:t>
      </w:r>
      <w:r w:rsidR="00BD5EBA" w:rsidRPr="00935CA0">
        <w:t>it makes sense to ensure administrative e</w:t>
      </w:r>
      <w:r w:rsidR="00BD5EBA" w:rsidRPr="00A23390">
        <w:t xml:space="preserve">ase in </w:t>
      </w:r>
      <w:r w:rsidR="00BD5EBA">
        <w:t xml:space="preserve">the </w:t>
      </w:r>
      <w:r w:rsidR="00BD5EBA" w:rsidRPr="00A23390">
        <w:t>interconnecti</w:t>
      </w:r>
      <w:r w:rsidR="00BD5EBA">
        <w:t>o</w:t>
      </w:r>
      <w:r w:rsidR="00BD5EBA" w:rsidRPr="00A23390">
        <w:t>n</w:t>
      </w:r>
      <w:r w:rsidR="00BD5EBA">
        <w:t xml:space="preserve"> of</w:t>
      </w:r>
      <w:r w:rsidR="00BD5EBA" w:rsidRPr="00A23390">
        <w:t xml:space="preserve"> generators</w:t>
      </w:r>
      <w:r w:rsidR="00BD5EBA">
        <w:t xml:space="preserve"> up to 25 kW</w:t>
      </w:r>
      <w:r w:rsidR="00BD5EBA" w:rsidRPr="00A23390">
        <w:t>.</w:t>
      </w:r>
    </w:p>
    <w:p w:rsidR="00C82755" w:rsidRDefault="001A75CB" w:rsidP="00BD5EBA">
      <w:pPr>
        <w:widowControl w:val="0"/>
        <w:autoSpaceDE w:val="0"/>
        <w:autoSpaceDN w:val="0"/>
        <w:adjustRightInd w:val="0"/>
        <w:spacing w:line="480" w:lineRule="auto"/>
        <w:rPr>
          <w:b/>
        </w:rPr>
        <w:sectPr w:rsidR="00C82755">
          <w:pgSz w:w="12240" w:h="15840"/>
          <w:pgMar w:top="1440" w:right="1440" w:bottom="1440" w:left="1440" w:gutter="0"/>
          <w:titlePg/>
        </w:sectPr>
      </w:pPr>
      <w:r>
        <w:tab/>
      </w:r>
    </w:p>
    <w:p w:rsidR="006F3F86" w:rsidRPr="00C111BA" w:rsidRDefault="00873AF9" w:rsidP="006F3F86">
      <w:pPr>
        <w:widowControl w:val="0"/>
        <w:autoSpaceDE w:val="0"/>
        <w:autoSpaceDN w:val="0"/>
        <w:adjustRightInd w:val="0"/>
        <w:spacing w:before="120" w:after="240"/>
        <w:ind w:left="720" w:hanging="720"/>
        <w:rPr>
          <w:b/>
        </w:rPr>
      </w:pPr>
      <w:r>
        <w:rPr>
          <w:b/>
        </w:rPr>
        <w:t>II.</w:t>
      </w:r>
      <w:r>
        <w:rPr>
          <w:b/>
        </w:rPr>
        <w:tab/>
      </w:r>
      <w:r w:rsidR="00D101ED">
        <w:rPr>
          <w:b/>
        </w:rPr>
        <w:t xml:space="preserve">Making Sections </w:t>
      </w:r>
      <w:r w:rsidR="00F5032B" w:rsidRPr="00F5032B">
        <w:rPr>
          <w:b/>
          <w:bCs/>
        </w:rPr>
        <w:t>4901:1-22-06(B)(1)(b) and 4901:1-22-07(B)(1)(d)</w:t>
      </w:r>
      <w:r w:rsidR="00F5032B">
        <w:t xml:space="preserve"> </w:t>
      </w:r>
      <w:r w:rsidR="00D101ED">
        <w:rPr>
          <w:b/>
        </w:rPr>
        <w:t>Consistent</w:t>
      </w:r>
      <w:r w:rsidR="00C111BA">
        <w:rPr>
          <w:b/>
        </w:rPr>
        <w:t xml:space="preserve"> with SGIP Screen 2.2.1.2</w:t>
      </w:r>
      <w:r w:rsidR="00D101ED">
        <w:rPr>
          <w:b/>
        </w:rPr>
        <w:t xml:space="preserve"> Will Improve Clarity </w:t>
      </w:r>
      <w:r w:rsidR="006F3F86">
        <w:rPr>
          <w:b/>
        </w:rPr>
        <w:t xml:space="preserve">for </w:t>
      </w:r>
      <w:r w:rsidR="005F43DD">
        <w:rPr>
          <w:b/>
        </w:rPr>
        <w:t>Utilitie</w:t>
      </w:r>
      <w:r w:rsidR="006F3F86">
        <w:rPr>
          <w:b/>
        </w:rPr>
        <w:t>s and Developers.</w:t>
      </w:r>
      <w:r w:rsidR="006F3F86">
        <w:rPr>
          <w:b/>
        </w:rPr>
        <w:tab/>
      </w:r>
    </w:p>
    <w:p w:rsidR="00F12D1B" w:rsidRPr="00763E4F" w:rsidRDefault="006F3F86" w:rsidP="00064D53">
      <w:pPr>
        <w:widowControl w:val="0"/>
        <w:autoSpaceDE w:val="0"/>
        <w:autoSpaceDN w:val="0"/>
        <w:adjustRightInd w:val="0"/>
        <w:spacing w:line="480" w:lineRule="auto"/>
      </w:pPr>
      <w:r>
        <w:tab/>
      </w:r>
      <w:r w:rsidR="00B92400">
        <w:t>DP&amp;L</w:t>
      </w:r>
      <w:r>
        <w:t xml:space="preserve"> and Ohio Po</w:t>
      </w:r>
      <w:r w:rsidR="005F43DD">
        <w:t xml:space="preserve">wer </w:t>
      </w:r>
      <w:r w:rsidR="00BD5EBA">
        <w:t xml:space="preserve">highlighted </w:t>
      </w:r>
      <w:r w:rsidR="005F43DD">
        <w:t>in opening comments</w:t>
      </w:r>
      <w:r w:rsidR="00091862">
        <w:rPr>
          <w:rStyle w:val="FootnoteReference"/>
        </w:rPr>
        <w:footnoteReference w:id="2"/>
      </w:r>
      <w:r w:rsidR="005F43DD">
        <w:t xml:space="preserve"> </w:t>
      </w:r>
      <w:r w:rsidR="00BD5EBA">
        <w:t xml:space="preserve">that </w:t>
      </w:r>
      <w:r w:rsidR="005F43DD">
        <w:t xml:space="preserve">the current </w:t>
      </w:r>
      <w:r w:rsidR="00BD5EBA">
        <w:t xml:space="preserve">technical screens </w:t>
      </w:r>
      <w:r w:rsidR="00D72CDB">
        <w:t xml:space="preserve">leave room for clarification regarding the allowable level of aggregate generation on a portion of the distribution </w:t>
      </w:r>
      <w:r w:rsidR="00091862">
        <w:t xml:space="preserve">grid, which </w:t>
      </w:r>
      <w:r w:rsidR="00BD5EBA">
        <w:t xml:space="preserve">level </w:t>
      </w:r>
      <w:r w:rsidR="00091862">
        <w:t>varies depending on whether an applicant makes a Level 1 or a Level 2 interconnection request</w:t>
      </w:r>
      <w:r>
        <w:t>.</w:t>
      </w:r>
      <w:r>
        <w:rPr>
          <w:rStyle w:val="FootnoteReference"/>
        </w:rPr>
        <w:footnoteReference w:id="3"/>
      </w:r>
      <w:r>
        <w:t xml:space="preserve"> </w:t>
      </w:r>
      <w:r w:rsidR="00BD5EBA">
        <w:t xml:space="preserve">To remedy this, </w:t>
      </w:r>
      <w:r>
        <w:t xml:space="preserve">IREC proposes adopting the </w:t>
      </w:r>
      <w:r w:rsidR="00BD5EBA">
        <w:t xml:space="preserve">present </w:t>
      </w:r>
      <w:r>
        <w:t>SGIP screen</w:t>
      </w:r>
      <w:r w:rsidR="00D72CDB">
        <w:t xml:space="preserve"> </w:t>
      </w:r>
      <w:r w:rsidR="00BD5EBA">
        <w:t xml:space="preserve">language </w:t>
      </w:r>
      <w:r w:rsidR="00D72CDB">
        <w:t xml:space="preserve">for both Level 1 and Level 2 review </w:t>
      </w:r>
      <w:r w:rsidR="00BD5EBA">
        <w:t xml:space="preserve">to </w:t>
      </w:r>
      <w:r w:rsidR="00D72CDB">
        <w:t xml:space="preserve">clarify the rules and provide for consistent application by basing the aggregate generation limit on the peak load of a line section, as measured at </w:t>
      </w:r>
      <w:r w:rsidR="00763E4F">
        <w:t xml:space="preserve">the </w:t>
      </w:r>
      <w:r w:rsidR="00D72CDB">
        <w:t>substation. Adopting SGIP S</w:t>
      </w:r>
      <w:r>
        <w:t>ection 2.2.1.2</w:t>
      </w:r>
      <w:r>
        <w:rPr>
          <w:rStyle w:val="FootnoteReference"/>
        </w:rPr>
        <w:footnoteReference w:id="4"/>
      </w:r>
      <w:r>
        <w:t xml:space="preserve"> </w:t>
      </w:r>
      <w:r w:rsidR="00763E4F">
        <w:t>will</w:t>
      </w:r>
      <w:r>
        <w:t xml:space="preserve"> </w:t>
      </w:r>
      <w:r w:rsidR="00763E4F">
        <w:t>make</w:t>
      </w:r>
      <w:r w:rsidR="00D72CDB">
        <w:t xml:space="preserve"> Ohio </w:t>
      </w:r>
      <w:r w:rsidR="00763E4F">
        <w:t>rules</w:t>
      </w:r>
      <w:r w:rsidR="00D72CDB">
        <w:t xml:space="preserve"> consiste</w:t>
      </w:r>
      <w:r w:rsidR="00763E4F">
        <w:t>nt</w:t>
      </w:r>
      <w:r>
        <w:t xml:space="preserve"> with FERC-jurisdictional </w:t>
      </w:r>
      <w:r w:rsidRPr="005F43DD">
        <w:t>pr</w:t>
      </w:r>
      <w:r w:rsidR="00064D53">
        <w:t xml:space="preserve">ocedures </w:t>
      </w:r>
      <w:r w:rsidR="005F43DD" w:rsidRPr="005F43DD">
        <w:t xml:space="preserve">in </w:t>
      </w:r>
      <w:r w:rsidR="00763E4F">
        <w:t xml:space="preserve">use in </w:t>
      </w:r>
      <w:r w:rsidR="005F43DD" w:rsidRPr="005F43DD">
        <w:t>Ohio</w:t>
      </w:r>
      <w:r w:rsidRPr="005F43DD">
        <w:t>.</w:t>
      </w:r>
      <w:r w:rsidR="00BD5EBA">
        <w:t xml:space="preserve"> IREC noted in its opening comments that utilities providing FERC-jurisdictional transmission service are fa</w:t>
      </w:r>
      <w:r w:rsidR="00763E4F">
        <w:t xml:space="preserve">miliar with SGIP and developers, which </w:t>
      </w:r>
      <w:r w:rsidR="00BD5EBA">
        <w:t>oft</w:t>
      </w:r>
      <w:r w:rsidR="00763E4F">
        <w:t xml:space="preserve">en operate in multiple states, </w:t>
      </w:r>
      <w:r w:rsidR="00BD5EBA">
        <w:t xml:space="preserve">are familiar with SGIP because </w:t>
      </w:r>
      <w:r w:rsidR="00763E4F">
        <w:t>it</w:t>
      </w:r>
      <w:r w:rsidR="00BD5EBA">
        <w:t xml:space="preserve"> has informed many states’ interconnection procedures. IREC supports greater compatibility between Ohio’s technical screening process and that of SGIP</w:t>
      </w:r>
      <w:r w:rsidR="00763E4F">
        <w:t xml:space="preserve"> and encourages the Commission to </w:t>
      </w:r>
      <w:r w:rsidR="00441E38">
        <w:t>Make</w:t>
      </w:r>
      <w:r w:rsidR="00441E38" w:rsidRPr="00441E38">
        <w:t xml:space="preserve"> Sections </w:t>
      </w:r>
      <w:r w:rsidR="00441E38" w:rsidRPr="00441E38">
        <w:rPr>
          <w:bCs/>
        </w:rPr>
        <w:t>4901:1-22-06(B)(1)(b) and 4901:1-22-07(B)(1)(d)</w:t>
      </w:r>
      <w:r w:rsidR="00441E38">
        <w:t xml:space="preserve"> c</w:t>
      </w:r>
      <w:r w:rsidR="00441E38" w:rsidRPr="00441E38">
        <w:t>onsistent with SGIP Screen 2.2.1.2</w:t>
      </w:r>
      <w:r w:rsidR="00763E4F">
        <w:t>.</w:t>
      </w:r>
    </w:p>
    <w:p w:rsidR="00BB3886" w:rsidRDefault="00C111BA" w:rsidP="006F3F86">
      <w:pPr>
        <w:widowControl w:val="0"/>
        <w:autoSpaceDE w:val="0"/>
        <w:autoSpaceDN w:val="0"/>
        <w:adjustRightInd w:val="0"/>
        <w:spacing w:before="120" w:after="240"/>
        <w:ind w:left="720" w:hanging="720"/>
        <w:rPr>
          <w:b/>
        </w:rPr>
      </w:pPr>
      <w:r>
        <w:rPr>
          <w:b/>
        </w:rPr>
        <w:t>III</w:t>
      </w:r>
      <w:r w:rsidR="00096338">
        <w:rPr>
          <w:b/>
        </w:rPr>
        <w:t>.</w:t>
      </w:r>
      <w:r w:rsidR="00096338">
        <w:rPr>
          <w:b/>
        </w:rPr>
        <w:tab/>
      </w:r>
      <w:r w:rsidR="00D101ED">
        <w:rPr>
          <w:b/>
        </w:rPr>
        <w:t xml:space="preserve">Increased Access to </w:t>
      </w:r>
      <w:r>
        <w:rPr>
          <w:b/>
        </w:rPr>
        <w:t xml:space="preserve">Queue Data </w:t>
      </w:r>
      <w:r w:rsidR="00D101ED">
        <w:rPr>
          <w:b/>
        </w:rPr>
        <w:t xml:space="preserve">Can </w:t>
      </w:r>
      <w:r>
        <w:rPr>
          <w:b/>
        </w:rPr>
        <w:t>Be A</w:t>
      </w:r>
      <w:r w:rsidR="00D101ED">
        <w:rPr>
          <w:b/>
        </w:rPr>
        <w:t xml:space="preserve">ccomplished Without </w:t>
      </w:r>
      <w:r>
        <w:rPr>
          <w:b/>
        </w:rPr>
        <w:t>Compromising Customer Confidentiality Concerns.</w:t>
      </w:r>
    </w:p>
    <w:p w:rsidR="00E41BE3" w:rsidRPr="00F12D1B" w:rsidRDefault="006F3F86" w:rsidP="001E52D1">
      <w:pPr>
        <w:widowControl w:val="0"/>
        <w:autoSpaceDE w:val="0"/>
        <w:autoSpaceDN w:val="0"/>
        <w:adjustRightInd w:val="0"/>
        <w:spacing w:line="480" w:lineRule="auto"/>
      </w:pPr>
      <w:r>
        <w:tab/>
        <w:t xml:space="preserve">IREC continues to support making queue data publicly available and agrees with the </w:t>
      </w:r>
      <w:r w:rsidR="0050770F">
        <w:t>comments of OCC</w:t>
      </w:r>
      <w:r>
        <w:t xml:space="preserve"> and Interstate Gas </w:t>
      </w:r>
      <w:r w:rsidR="00B92400">
        <w:t xml:space="preserve">Supply, Inc. </w:t>
      </w:r>
      <w:r>
        <w:t xml:space="preserve">that such data could </w:t>
      </w:r>
      <w:r w:rsidR="005F43DD">
        <w:t xml:space="preserve">aid </w:t>
      </w:r>
      <w:r>
        <w:t xml:space="preserve">developers. IREC also understands the confidentiality </w:t>
      </w:r>
      <w:r w:rsidR="005F43DD">
        <w:t>and administrative concerns of utilities in providing this data, but</w:t>
      </w:r>
      <w:r>
        <w:t xml:space="preserve"> </w:t>
      </w:r>
      <w:r w:rsidR="00F06074">
        <w:t>agrees with IGS</w:t>
      </w:r>
      <w:r>
        <w:t xml:space="preserve"> that </w:t>
      </w:r>
      <w:r w:rsidR="005F43DD">
        <w:t>basic queue data—which is required disclosure for all FERC-jurisdictional interconnections—does not pose a confidentiality concern.</w:t>
      </w:r>
      <w:r>
        <w:t xml:space="preserve"> </w:t>
      </w:r>
    </w:p>
    <w:p w:rsidR="00D16C58" w:rsidRPr="00C111BA" w:rsidRDefault="00C111BA" w:rsidP="001E52D1">
      <w:pPr>
        <w:widowControl w:val="0"/>
        <w:autoSpaceDE w:val="0"/>
        <w:autoSpaceDN w:val="0"/>
        <w:adjustRightInd w:val="0"/>
        <w:spacing w:line="480" w:lineRule="auto"/>
        <w:rPr>
          <w:b/>
        </w:rPr>
      </w:pPr>
      <w:r w:rsidRPr="00C111BA">
        <w:rPr>
          <w:b/>
        </w:rPr>
        <w:t>V.</w:t>
      </w:r>
      <w:r w:rsidRPr="00C111BA">
        <w:rPr>
          <w:b/>
        </w:rPr>
        <w:tab/>
        <w:t>Conclusion</w:t>
      </w:r>
      <w:r w:rsidR="00CA51CE" w:rsidRPr="00C111BA">
        <w:rPr>
          <w:b/>
        </w:rPr>
        <w:tab/>
      </w:r>
    </w:p>
    <w:p w:rsidR="00064D53" w:rsidRDefault="001A75CB" w:rsidP="001E52D1">
      <w:pPr>
        <w:widowControl w:val="0"/>
        <w:autoSpaceDE w:val="0"/>
        <w:autoSpaceDN w:val="0"/>
        <w:adjustRightInd w:val="0"/>
        <w:spacing w:line="480" w:lineRule="auto"/>
      </w:pPr>
      <w:r>
        <w:rPr>
          <w:b/>
        </w:rPr>
        <w:tab/>
      </w:r>
      <w:r>
        <w:t>IREC appreciates the opportunity to submit these reply comments. IREC encourages the Commission to raise the eligibility limit of Level 1 interconnection review to 25 kW or less and ado</w:t>
      </w:r>
      <w:r w:rsidR="006F3F86">
        <w:t xml:space="preserve">pt the </w:t>
      </w:r>
      <w:r w:rsidR="00763E4F">
        <w:t xml:space="preserve">technical </w:t>
      </w:r>
      <w:r w:rsidR="006F3F86">
        <w:t xml:space="preserve">screen </w:t>
      </w:r>
      <w:r w:rsidR="00763E4F">
        <w:t xml:space="preserve">language </w:t>
      </w:r>
      <w:r w:rsidR="006F3F86">
        <w:t>used in SGIP § 2.2.1.2</w:t>
      </w:r>
      <w:r w:rsidR="00763E4F">
        <w:t xml:space="preserve"> to screen for fast track eligibility</w:t>
      </w:r>
      <w:r w:rsidR="006F3F86">
        <w:t>.</w:t>
      </w:r>
    </w:p>
    <w:p w:rsidR="001A75CB" w:rsidRDefault="00064D53" w:rsidP="001E52D1">
      <w:pPr>
        <w:widowControl w:val="0"/>
        <w:autoSpaceDE w:val="0"/>
        <w:autoSpaceDN w:val="0"/>
        <w:adjustRightInd w:val="0"/>
        <w:spacing w:line="480" w:lineRule="auto"/>
      </w:pPr>
      <w:r>
        <w:rPr>
          <w:noProof/>
        </w:rPr>
        <w:drawing>
          <wp:anchor distT="0" distB="0" distL="114300" distR="114300" simplePos="0" relativeHeight="251658240" behindDoc="1" locked="0" layoutInCell="1" allowOverlap="1">
            <wp:simplePos x="0" y="0"/>
            <wp:positionH relativeFrom="column">
              <wp:posOffset>4454525</wp:posOffset>
            </wp:positionH>
            <wp:positionV relativeFrom="paragraph">
              <wp:posOffset>193040</wp:posOffset>
            </wp:positionV>
            <wp:extent cx="454660" cy="1591310"/>
            <wp:effectExtent l="584200" t="0" r="561340" b="0"/>
            <wp:wrapNone/>
            <wp:docPr id="3" name="Picture 2" descr="Thad's Signature 3.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d's Signature 3.pdf"/>
                    <pic:cNvPicPr/>
                  </pic:nvPicPr>
                  <ve:AlternateContent xmlns:ma="http://schemas.microsoft.com/office/mac/drawingml/2008/main">
                    <ve:Choice Requires="ma">
                      <pic:blipFill>
                        <a:blip r:embed="rId9"/>
                        <a:stretch>
                          <a:fillRect/>
                        </a:stretch>
                      </pic:blipFill>
                    </ve:Choice>
                    <ve:Fallback xmlns:ma="http://schemas.microsoft.com/office/mac/drawingml/2008/main" xmln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pic:blipFill>
                        <a:blip r:embed="rId11"/>
                        <a:stretch>
                          <a:fillRect/>
                        </a:stretch>
                      </pic:blipFill>
                    </ve:Fallback>
                  </ve:AlternateContent>
                  <pic:spPr>
                    <a:xfrm rot="16200000">
                      <a:off x="0" y="0"/>
                      <a:ext cx="454660" cy="1591310"/>
                    </a:xfrm>
                    <a:prstGeom prst="rect">
                      <a:avLst/>
                    </a:prstGeom>
                  </pic:spPr>
                </pic:pic>
              </a:graphicData>
            </a:graphic>
          </wp:anchor>
        </w:drawing>
      </w:r>
    </w:p>
    <w:p w:rsidR="00D16C58" w:rsidRDefault="00A7290B" w:rsidP="001E52D1">
      <w:pPr>
        <w:widowControl w:val="0"/>
        <w:autoSpaceDE w:val="0"/>
        <w:autoSpaceDN w:val="0"/>
        <w:adjustRightInd w:val="0"/>
        <w:spacing w:line="480" w:lineRule="auto"/>
      </w:pPr>
      <w:r>
        <w:tab/>
      </w:r>
      <w:r>
        <w:tab/>
      </w:r>
      <w:r>
        <w:tab/>
      </w:r>
      <w:r>
        <w:tab/>
      </w:r>
      <w:r>
        <w:tab/>
      </w:r>
      <w:r w:rsidR="00D16C58">
        <w:t>Respectfully submitted</w:t>
      </w:r>
      <w:r w:rsidR="00D101ED">
        <w:t xml:space="preserve"> on December 4</w:t>
      </w:r>
      <w:r w:rsidR="00D16C58">
        <w:t>,</w:t>
      </w:r>
      <w:r w:rsidR="00D101ED">
        <w:t xml:space="preserve"> 2012,</w:t>
      </w:r>
    </w:p>
    <w:p w:rsidR="00D16C58" w:rsidRDefault="00D16C58" w:rsidP="00D16C58">
      <w:pPr>
        <w:widowControl w:val="0"/>
        <w:tabs>
          <w:tab w:val="left" w:pos="5773"/>
        </w:tabs>
        <w:autoSpaceDE w:val="0"/>
        <w:autoSpaceDN w:val="0"/>
        <w:adjustRightInd w:val="0"/>
        <w:spacing w:line="480" w:lineRule="auto"/>
      </w:pPr>
      <w:r>
        <w:tab/>
      </w:r>
    </w:p>
    <w:p w:rsidR="00D16C58" w:rsidRDefault="00D16C58" w:rsidP="00D16C58">
      <w:pPr>
        <w:widowControl w:val="0"/>
        <w:autoSpaceDE w:val="0"/>
        <w:autoSpaceDN w:val="0"/>
        <w:adjustRightInd w:val="0"/>
        <w:ind w:left="5670"/>
      </w:pPr>
      <w:r>
        <w:t>___________________________</w:t>
      </w:r>
    </w:p>
    <w:p w:rsidR="00D16C58" w:rsidRDefault="00D16C58" w:rsidP="00D16C58">
      <w:pPr>
        <w:widowControl w:val="0"/>
        <w:autoSpaceDE w:val="0"/>
        <w:autoSpaceDN w:val="0"/>
        <w:adjustRightInd w:val="0"/>
        <w:ind w:left="5670"/>
      </w:pPr>
      <w:proofErr w:type="spellStart"/>
      <w:r>
        <w:t>Thadeus</w:t>
      </w:r>
      <w:proofErr w:type="spellEnd"/>
      <w:r>
        <w:t xml:space="preserve"> B. Culley</w:t>
      </w:r>
    </w:p>
    <w:p w:rsidR="00D16C58" w:rsidRDefault="00D16C58" w:rsidP="00D16C58">
      <w:pPr>
        <w:widowControl w:val="0"/>
        <w:autoSpaceDE w:val="0"/>
        <w:autoSpaceDN w:val="0"/>
        <w:adjustRightInd w:val="0"/>
        <w:ind w:left="5670"/>
      </w:pPr>
      <w:r>
        <w:t xml:space="preserve">Keyes, Fox &amp; </w:t>
      </w:r>
      <w:proofErr w:type="spellStart"/>
      <w:r>
        <w:t>Wiedman</w:t>
      </w:r>
      <w:proofErr w:type="spellEnd"/>
      <w:r>
        <w:t xml:space="preserve"> LLP</w:t>
      </w:r>
    </w:p>
    <w:p w:rsidR="00D16C58" w:rsidRDefault="00D16C58" w:rsidP="00D16C58">
      <w:pPr>
        <w:widowControl w:val="0"/>
        <w:autoSpaceDE w:val="0"/>
        <w:autoSpaceDN w:val="0"/>
        <w:adjustRightInd w:val="0"/>
        <w:ind w:left="5670"/>
      </w:pPr>
      <w:r>
        <w:t>436 13</w:t>
      </w:r>
      <w:r w:rsidRPr="00D16C58">
        <w:rPr>
          <w:vertAlign w:val="superscript"/>
        </w:rPr>
        <w:t>th</w:t>
      </w:r>
      <w:r>
        <w:t xml:space="preserve"> Street, Suite 1305</w:t>
      </w:r>
    </w:p>
    <w:p w:rsidR="00D16C58" w:rsidRDefault="00D16C58" w:rsidP="00D16C58">
      <w:pPr>
        <w:widowControl w:val="0"/>
        <w:autoSpaceDE w:val="0"/>
        <w:autoSpaceDN w:val="0"/>
        <w:adjustRightInd w:val="0"/>
        <w:ind w:left="5670"/>
      </w:pPr>
      <w:r>
        <w:t>Oakland, CA 94612</w:t>
      </w:r>
    </w:p>
    <w:p w:rsidR="00D16C58" w:rsidRDefault="00D16C58" w:rsidP="00D16C58">
      <w:pPr>
        <w:widowControl w:val="0"/>
        <w:autoSpaceDE w:val="0"/>
        <w:autoSpaceDN w:val="0"/>
        <w:adjustRightInd w:val="0"/>
        <w:ind w:left="5670"/>
      </w:pPr>
      <w:r>
        <w:t>510-314-8205</w:t>
      </w:r>
    </w:p>
    <w:p w:rsidR="00D16C58" w:rsidRDefault="00305B4F" w:rsidP="00D16C58">
      <w:pPr>
        <w:widowControl w:val="0"/>
        <w:autoSpaceDE w:val="0"/>
        <w:autoSpaceDN w:val="0"/>
        <w:adjustRightInd w:val="0"/>
        <w:ind w:left="5670"/>
      </w:pPr>
      <w:hyperlink r:id="rId12" w:history="1">
        <w:r w:rsidR="00D16C58" w:rsidRPr="005B724B">
          <w:rPr>
            <w:rStyle w:val="Hyperlink"/>
          </w:rPr>
          <w:t>tculley@kfwlaw.com</w:t>
        </w:r>
      </w:hyperlink>
    </w:p>
    <w:p w:rsidR="00D16C58" w:rsidRDefault="00D16C58" w:rsidP="00D16C58">
      <w:pPr>
        <w:widowControl w:val="0"/>
        <w:autoSpaceDE w:val="0"/>
        <w:autoSpaceDN w:val="0"/>
        <w:adjustRightInd w:val="0"/>
        <w:ind w:left="5670"/>
      </w:pPr>
    </w:p>
    <w:p w:rsidR="00D16C58" w:rsidRDefault="00D16C58" w:rsidP="00D16C58">
      <w:pPr>
        <w:widowControl w:val="0"/>
        <w:autoSpaceDE w:val="0"/>
        <w:autoSpaceDN w:val="0"/>
        <w:adjustRightInd w:val="0"/>
        <w:ind w:left="5670"/>
      </w:pPr>
      <w:r>
        <w:t>On behalf of the Interstate Renewable</w:t>
      </w:r>
    </w:p>
    <w:p w:rsidR="00200E50" w:rsidRDefault="00D16C58">
      <w:pPr>
        <w:widowControl w:val="0"/>
        <w:autoSpaceDE w:val="0"/>
        <w:autoSpaceDN w:val="0"/>
        <w:adjustRightInd w:val="0"/>
        <w:ind w:left="5670"/>
      </w:pPr>
      <w:r>
        <w:t>Energy Council, Inc.</w:t>
      </w:r>
      <w:r>
        <w:tab/>
      </w:r>
    </w:p>
    <w:sectPr w:rsidR="00200E50" w:rsidSect="005F43DD">
      <w:pgSz w:w="12240" w:h="15840"/>
      <w:pgMar w:top="1440" w:right="1440" w:bottom="1440" w:left="1440" w:gutter="0"/>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EBA" w:rsidRDefault="00305B4F" w:rsidP="00D101ED">
    <w:pPr>
      <w:pStyle w:val="Footer"/>
      <w:framePr w:wrap="around" w:vAnchor="text" w:hAnchor="margin" w:xAlign="center" w:y="1"/>
      <w:rPr>
        <w:rStyle w:val="PageNumber"/>
      </w:rPr>
    </w:pPr>
    <w:r>
      <w:rPr>
        <w:rStyle w:val="PageNumber"/>
      </w:rPr>
      <w:fldChar w:fldCharType="begin"/>
    </w:r>
    <w:r w:rsidR="00BD5EBA">
      <w:rPr>
        <w:rStyle w:val="PageNumber"/>
      </w:rPr>
      <w:instrText xml:space="preserve">PAGE  </w:instrText>
    </w:r>
    <w:r>
      <w:rPr>
        <w:rStyle w:val="PageNumber"/>
      </w:rPr>
      <w:fldChar w:fldCharType="end"/>
    </w:r>
  </w:p>
  <w:p w:rsidR="00BD5EBA" w:rsidRDefault="00BD5EBA">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EBA" w:rsidRDefault="00305B4F" w:rsidP="00D101ED">
    <w:pPr>
      <w:pStyle w:val="Footer"/>
      <w:framePr w:wrap="around" w:vAnchor="text" w:hAnchor="margin" w:xAlign="center" w:y="1"/>
      <w:rPr>
        <w:rStyle w:val="PageNumber"/>
      </w:rPr>
    </w:pPr>
    <w:r>
      <w:rPr>
        <w:rStyle w:val="PageNumber"/>
      </w:rPr>
      <w:fldChar w:fldCharType="begin"/>
    </w:r>
    <w:r w:rsidR="00BD5EBA">
      <w:rPr>
        <w:rStyle w:val="PageNumber"/>
      </w:rPr>
      <w:instrText xml:space="preserve">PAGE  </w:instrText>
    </w:r>
    <w:r>
      <w:rPr>
        <w:rStyle w:val="PageNumber"/>
      </w:rPr>
      <w:fldChar w:fldCharType="separate"/>
    </w:r>
    <w:r w:rsidR="005A561A">
      <w:rPr>
        <w:rStyle w:val="PageNumber"/>
        <w:noProof/>
      </w:rPr>
      <w:t>4</w:t>
    </w:r>
    <w:r>
      <w:rPr>
        <w:rStyle w:val="PageNumber"/>
      </w:rPr>
      <w:fldChar w:fldCharType="end"/>
    </w:r>
  </w:p>
  <w:p w:rsidR="00BD5EBA" w:rsidRDefault="00BD5EBA">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BD5EBA" w:rsidRPr="005F43DD" w:rsidRDefault="00BD5EBA" w:rsidP="00F27480">
      <w:pPr>
        <w:pStyle w:val="FootnoteText"/>
        <w:spacing w:after="60"/>
        <w:ind w:left="360" w:hanging="360"/>
      </w:pPr>
      <w:r w:rsidRPr="005F43DD">
        <w:rPr>
          <w:rStyle w:val="FootnoteReference"/>
        </w:rPr>
        <w:footnoteRef/>
      </w:r>
      <w:r w:rsidRPr="005F43DD">
        <w:t xml:space="preserve"> </w:t>
      </w:r>
      <w:r>
        <w:tab/>
      </w:r>
      <w:r w:rsidRPr="005F43DD">
        <w:rPr>
          <w:i/>
        </w:rPr>
        <w:t xml:space="preserve">See </w:t>
      </w:r>
      <w:r w:rsidRPr="005F43DD">
        <w:t>OCC comments at p. 3, Ohio Power comments at pp.1-2, DP&amp;L comments at p. 3.</w:t>
      </w:r>
    </w:p>
  </w:footnote>
  <w:footnote w:id="0">
    <w:p w:rsidR="00BD5EBA" w:rsidRDefault="00BD5EBA" w:rsidP="00F27480">
      <w:pPr>
        <w:pStyle w:val="FootnoteText"/>
        <w:ind w:left="360" w:hanging="360"/>
      </w:pPr>
      <w:r>
        <w:rPr>
          <w:rStyle w:val="FootnoteReference"/>
        </w:rPr>
        <w:footnoteRef/>
      </w:r>
      <w:r>
        <w:t xml:space="preserve"> </w:t>
      </w:r>
      <w:r>
        <w:tab/>
        <w:t xml:space="preserve">In 2010, the West Virginia Public Service Commission adopted a Level 1 interconnection process for inverter-based systems up to 25 kW that was based on </w:t>
      </w:r>
      <w:proofErr w:type="spellStart"/>
      <w:r>
        <w:t>IREC’s</w:t>
      </w:r>
      <w:proofErr w:type="spellEnd"/>
      <w:r>
        <w:t xml:space="preserve"> Model Interconnection Procedures. </w:t>
      </w:r>
      <w:proofErr w:type="spellStart"/>
      <w:r w:rsidRPr="005F43DD">
        <w:t>IREC’s</w:t>
      </w:r>
      <w:proofErr w:type="spellEnd"/>
      <w:r w:rsidRPr="005F43DD">
        <w:t xml:space="preserve"> Model Interconnection Procedures, 2009 edition, </w:t>
      </w:r>
      <w:r>
        <w:t xml:space="preserve">are </w:t>
      </w:r>
      <w:r w:rsidRPr="005F43DD">
        <w:rPr>
          <w:i/>
        </w:rPr>
        <w:t>available at</w:t>
      </w:r>
      <w:r w:rsidRPr="005F43DD">
        <w:t xml:space="preserve"> </w:t>
      </w:r>
      <w:hyperlink r:id="rId1" w:history="1">
        <w:r w:rsidRPr="005F43DD">
          <w:rPr>
            <w:rStyle w:val="Hyperlink"/>
            <w:i/>
          </w:rPr>
          <w:t>http://</w:t>
        </w:r>
        <w:r w:rsidRPr="005F43DD">
          <w:rPr>
            <w:rStyle w:val="Hyperlink"/>
          </w:rPr>
          <w:t>irecusa.org/wp.../IREC-Interconnection-Procedures-2010final.pdf</w:t>
        </w:r>
      </w:hyperlink>
      <w:r w:rsidRPr="005F43DD">
        <w:rPr>
          <w:rStyle w:val="HTMLCite"/>
          <w:i w:val="0"/>
        </w:rPr>
        <w:t xml:space="preserve">. </w:t>
      </w:r>
      <w:r w:rsidRPr="005F43DD">
        <w:rPr>
          <w:rStyle w:val="HTMLCite"/>
        </w:rPr>
        <w:t xml:space="preserve"> </w:t>
      </w:r>
    </w:p>
  </w:footnote>
  <w:footnote w:id="1">
    <w:p w:rsidR="00BD5EBA" w:rsidRPr="005F43DD" w:rsidRDefault="00BD5EBA" w:rsidP="00F27480">
      <w:pPr>
        <w:pStyle w:val="FootnoteText"/>
        <w:spacing w:after="60"/>
        <w:ind w:left="360" w:hanging="360"/>
      </w:pPr>
      <w:r w:rsidRPr="005F43DD">
        <w:rPr>
          <w:rStyle w:val="FootnoteReference"/>
        </w:rPr>
        <w:footnoteRef/>
      </w:r>
      <w:r w:rsidRPr="005F43DD">
        <w:t xml:space="preserve"> </w:t>
      </w:r>
      <w:r>
        <w:tab/>
      </w:r>
      <w:r w:rsidRPr="005F43DD">
        <w:rPr>
          <w:i/>
        </w:rPr>
        <w:t xml:space="preserve">See Notice of Opportunity to Submit Written Comments on Interconnection Draft Rules, </w:t>
      </w:r>
      <w:r w:rsidRPr="005F43DD">
        <w:t xml:space="preserve">UTC Docket No. </w:t>
      </w:r>
      <w:proofErr w:type="gramStart"/>
      <w:r w:rsidRPr="005F43DD">
        <w:t>UE-112133 (November 2012).</w:t>
      </w:r>
      <w:proofErr w:type="gramEnd"/>
    </w:p>
  </w:footnote>
  <w:footnote w:id="2">
    <w:p w:rsidR="00BD5EBA" w:rsidRDefault="00BD5EBA" w:rsidP="00091862">
      <w:pPr>
        <w:pStyle w:val="FootnoteText"/>
        <w:spacing w:after="60"/>
        <w:ind w:left="360" w:hanging="360"/>
      </w:pPr>
      <w:r>
        <w:rPr>
          <w:rStyle w:val="FootnoteReference"/>
        </w:rPr>
        <w:footnoteRef/>
      </w:r>
      <w:r>
        <w:t xml:space="preserve"> </w:t>
      </w:r>
      <w:r>
        <w:tab/>
      </w:r>
      <w:r>
        <w:rPr>
          <w:i/>
        </w:rPr>
        <w:t xml:space="preserve">See </w:t>
      </w:r>
      <w:r w:rsidRPr="005F43DD">
        <w:t>Ohio Power comments at pp. 2-3; DP&amp;L comments at p. 3.</w:t>
      </w:r>
      <w:r>
        <w:t xml:space="preserve"> </w:t>
      </w:r>
    </w:p>
  </w:footnote>
  <w:footnote w:id="3">
    <w:p w:rsidR="00BD5EBA" w:rsidRPr="005F43DD" w:rsidRDefault="00BD5EBA" w:rsidP="00F27480">
      <w:pPr>
        <w:pStyle w:val="FootnoteText"/>
        <w:spacing w:after="60"/>
        <w:ind w:left="360" w:hanging="360"/>
      </w:pPr>
      <w:r w:rsidRPr="005F43DD">
        <w:rPr>
          <w:rStyle w:val="FootnoteReference"/>
        </w:rPr>
        <w:footnoteRef/>
      </w:r>
      <w:r w:rsidRPr="005F43DD">
        <w:t xml:space="preserve"> </w:t>
      </w:r>
      <w:r>
        <w:tab/>
        <w:t xml:space="preserve">For example, the Level 1 screen provides that “aggregate generation on the circuit . . . may not exceed fifteen per cent of the peak load on the smallest part of the primary distribution system that could remain connected after operation of sectionalizing devices.” </w:t>
      </w:r>
      <w:r w:rsidRPr="00D72CDB">
        <w:rPr>
          <w:bCs/>
        </w:rPr>
        <w:t>4901:1-22-06(B)(1)(b)</w:t>
      </w:r>
      <w:r>
        <w:rPr>
          <w:bCs/>
        </w:rPr>
        <w:t>. The Level 2 screen, on the other hand, measures this 15 percent limit based on the “total circuit peak load” and the “distribution circuit line section annual peak load.”</w:t>
      </w:r>
      <w:r w:rsidRPr="00F5032B">
        <w:rPr>
          <w:b/>
          <w:bCs/>
        </w:rPr>
        <w:t xml:space="preserve"> </w:t>
      </w:r>
      <w:r w:rsidRPr="00091862">
        <w:rPr>
          <w:bCs/>
        </w:rPr>
        <w:t>4901:1-22-07(B)(1)(d).</w:t>
      </w:r>
      <w:r>
        <w:t xml:space="preserve"> </w:t>
      </w:r>
    </w:p>
  </w:footnote>
  <w:footnote w:id="4">
    <w:p w:rsidR="00BD5EBA" w:rsidRPr="005F43DD" w:rsidRDefault="00BD5EBA" w:rsidP="00F27480">
      <w:pPr>
        <w:pStyle w:val="FootnoteText"/>
        <w:spacing w:after="60"/>
        <w:ind w:left="360" w:hanging="360"/>
      </w:pPr>
      <w:r w:rsidRPr="005F43DD">
        <w:rPr>
          <w:rStyle w:val="FootnoteReference"/>
        </w:rPr>
        <w:footnoteRef/>
      </w:r>
      <w:r w:rsidRPr="005F43DD">
        <w:t xml:space="preserve"> </w:t>
      </w:r>
      <w:r>
        <w:tab/>
      </w:r>
      <w:r w:rsidRPr="005F43DD">
        <w:t>SGIP § 2.2.1.2: “For interconnection of a proposed Small Generating Facility to a radial distribution circuit, the aggregated generation, including the proposed Small Generating Facility, on the circuit shall not exceed 15 % of the line section annual peak load as most recently measured at the substation.  A line section is that portion of a Transmission Provider’s electric system connected to a customer bounded by automatic sectionalizing devices or the end of the distribution line.”</w:t>
      </w:r>
    </w:p>
    <w:p w:rsidR="00BD5EBA" w:rsidRPr="005F43DD" w:rsidRDefault="00BD5EBA" w:rsidP="00F27480">
      <w:pPr>
        <w:pStyle w:val="FootnoteText"/>
        <w:spacing w:after="60"/>
        <w:ind w:left="360" w:hanging="360"/>
      </w:pP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050B"/>
    <w:multiLevelType w:val="hybridMultilevel"/>
    <w:tmpl w:val="2928564C"/>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C1EAF"/>
    <w:multiLevelType w:val="hybridMultilevel"/>
    <w:tmpl w:val="3610632A"/>
    <w:lvl w:ilvl="0" w:tplc="CA84B5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8936DB0"/>
    <w:multiLevelType w:val="hybridMultilevel"/>
    <w:tmpl w:val="8F60C46C"/>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9B5FF0"/>
    <w:multiLevelType w:val="hybridMultilevel"/>
    <w:tmpl w:val="946EA74C"/>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CD6060"/>
    <w:multiLevelType w:val="hybridMultilevel"/>
    <w:tmpl w:val="2A0A3298"/>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AC4087"/>
    <w:multiLevelType w:val="hybridMultilevel"/>
    <w:tmpl w:val="9E5E1778"/>
    <w:lvl w:ilvl="0" w:tplc="CA84B57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B667CC"/>
    <w:multiLevelType w:val="hybridMultilevel"/>
    <w:tmpl w:val="899A5172"/>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E64E3A"/>
    <w:multiLevelType w:val="hybridMultilevel"/>
    <w:tmpl w:val="B50C2822"/>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096B1D"/>
    <w:multiLevelType w:val="hybridMultilevel"/>
    <w:tmpl w:val="00CE30F0"/>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4F5CF4"/>
    <w:multiLevelType w:val="hybridMultilevel"/>
    <w:tmpl w:val="734486F4"/>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8D44BB"/>
    <w:multiLevelType w:val="hybridMultilevel"/>
    <w:tmpl w:val="D8E46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E65302"/>
    <w:multiLevelType w:val="hybridMultilevel"/>
    <w:tmpl w:val="852ECEA0"/>
    <w:lvl w:ilvl="0" w:tplc="CA84B574">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2">
    <w:nsid w:val="369811EA"/>
    <w:multiLevelType w:val="hybridMultilevel"/>
    <w:tmpl w:val="C1DE0FA0"/>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F641C5"/>
    <w:multiLevelType w:val="hybridMultilevel"/>
    <w:tmpl w:val="D69A4AEE"/>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5464AB"/>
    <w:multiLevelType w:val="hybridMultilevel"/>
    <w:tmpl w:val="7098F6A8"/>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1A66A4"/>
    <w:multiLevelType w:val="hybridMultilevel"/>
    <w:tmpl w:val="C00ADA86"/>
    <w:lvl w:ilvl="0" w:tplc="CA84B5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1CC53B7"/>
    <w:multiLevelType w:val="hybridMultilevel"/>
    <w:tmpl w:val="BAA85A32"/>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7C28B1"/>
    <w:multiLevelType w:val="hybridMultilevel"/>
    <w:tmpl w:val="74BCCD5E"/>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8903C1"/>
    <w:multiLevelType w:val="hybridMultilevel"/>
    <w:tmpl w:val="F4B8D010"/>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33706D"/>
    <w:multiLevelType w:val="hybridMultilevel"/>
    <w:tmpl w:val="C42C3CE4"/>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64386A"/>
    <w:multiLevelType w:val="hybridMultilevel"/>
    <w:tmpl w:val="D6E80948"/>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53069E"/>
    <w:multiLevelType w:val="hybridMultilevel"/>
    <w:tmpl w:val="F3F005FA"/>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062AF4"/>
    <w:multiLevelType w:val="hybridMultilevel"/>
    <w:tmpl w:val="11B25862"/>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D1104B"/>
    <w:multiLevelType w:val="hybridMultilevel"/>
    <w:tmpl w:val="9C805AE0"/>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281030"/>
    <w:multiLevelType w:val="hybridMultilevel"/>
    <w:tmpl w:val="6924E0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99D2F17"/>
    <w:multiLevelType w:val="hybridMultilevel"/>
    <w:tmpl w:val="898E8650"/>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06309B"/>
    <w:multiLevelType w:val="hybridMultilevel"/>
    <w:tmpl w:val="F1E0BD6C"/>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847D60"/>
    <w:multiLevelType w:val="hybridMultilevel"/>
    <w:tmpl w:val="4404A354"/>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791405"/>
    <w:multiLevelType w:val="hybridMultilevel"/>
    <w:tmpl w:val="E476193E"/>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D96203"/>
    <w:multiLevelType w:val="hybridMultilevel"/>
    <w:tmpl w:val="BAAA7E08"/>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890321"/>
    <w:multiLevelType w:val="hybridMultilevel"/>
    <w:tmpl w:val="73A4D2BE"/>
    <w:lvl w:ilvl="0" w:tplc="3F76151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25110F9"/>
    <w:multiLevelType w:val="hybridMultilevel"/>
    <w:tmpl w:val="94A61D9A"/>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5967FF"/>
    <w:multiLevelType w:val="hybridMultilevel"/>
    <w:tmpl w:val="EAFAFC9C"/>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1D71AD"/>
    <w:multiLevelType w:val="multilevel"/>
    <w:tmpl w:val="94726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10149C"/>
    <w:multiLevelType w:val="hybridMultilevel"/>
    <w:tmpl w:val="A180491E"/>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F35978"/>
    <w:multiLevelType w:val="hybridMultilevel"/>
    <w:tmpl w:val="390249BC"/>
    <w:lvl w:ilvl="0" w:tplc="CA84B5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643D0A"/>
    <w:multiLevelType w:val="hybridMultilevel"/>
    <w:tmpl w:val="C374AB16"/>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8"/>
  </w:num>
  <w:num w:numId="4">
    <w:abstractNumId w:val="3"/>
  </w:num>
  <w:num w:numId="5">
    <w:abstractNumId w:val="16"/>
  </w:num>
  <w:num w:numId="6">
    <w:abstractNumId w:val="19"/>
  </w:num>
  <w:num w:numId="7">
    <w:abstractNumId w:val="14"/>
  </w:num>
  <w:num w:numId="8">
    <w:abstractNumId w:val="0"/>
  </w:num>
  <w:num w:numId="9">
    <w:abstractNumId w:val="24"/>
  </w:num>
  <w:num w:numId="10">
    <w:abstractNumId w:val="35"/>
  </w:num>
  <w:num w:numId="11">
    <w:abstractNumId w:val="12"/>
  </w:num>
  <w:num w:numId="12">
    <w:abstractNumId w:val="26"/>
  </w:num>
  <w:num w:numId="13">
    <w:abstractNumId w:val="15"/>
  </w:num>
  <w:num w:numId="14">
    <w:abstractNumId w:val="9"/>
  </w:num>
  <w:num w:numId="15">
    <w:abstractNumId w:val="20"/>
  </w:num>
  <w:num w:numId="16">
    <w:abstractNumId w:val="27"/>
  </w:num>
  <w:num w:numId="17">
    <w:abstractNumId w:val="31"/>
  </w:num>
  <w:num w:numId="18">
    <w:abstractNumId w:val="28"/>
  </w:num>
  <w:num w:numId="19">
    <w:abstractNumId w:val="6"/>
  </w:num>
  <w:num w:numId="20">
    <w:abstractNumId w:val="21"/>
  </w:num>
  <w:num w:numId="21">
    <w:abstractNumId w:val="36"/>
  </w:num>
  <w:num w:numId="22">
    <w:abstractNumId w:val="23"/>
  </w:num>
  <w:num w:numId="23">
    <w:abstractNumId w:val="34"/>
  </w:num>
  <w:num w:numId="24">
    <w:abstractNumId w:val="7"/>
  </w:num>
  <w:num w:numId="25">
    <w:abstractNumId w:val="22"/>
  </w:num>
  <w:num w:numId="26">
    <w:abstractNumId w:val="1"/>
  </w:num>
  <w:num w:numId="27">
    <w:abstractNumId w:val="2"/>
  </w:num>
  <w:num w:numId="28">
    <w:abstractNumId w:val="11"/>
  </w:num>
  <w:num w:numId="29">
    <w:abstractNumId w:val="33"/>
  </w:num>
  <w:num w:numId="30">
    <w:abstractNumId w:val="25"/>
  </w:num>
  <w:num w:numId="31">
    <w:abstractNumId w:val="17"/>
  </w:num>
  <w:num w:numId="32">
    <w:abstractNumId w:val="18"/>
  </w:num>
  <w:num w:numId="33">
    <w:abstractNumId w:val="29"/>
  </w:num>
  <w:num w:numId="34">
    <w:abstractNumId w:val="32"/>
  </w:num>
  <w:num w:numId="35">
    <w:abstractNumId w:val="30"/>
  </w:num>
  <w:num w:numId="36">
    <w:abstractNumId w:val="10"/>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revisionView w:formatting="0"/>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E0350"/>
    <w:rsid w:val="00002FD0"/>
    <w:rsid w:val="0000354E"/>
    <w:rsid w:val="00007B63"/>
    <w:rsid w:val="00016A78"/>
    <w:rsid w:val="000440E5"/>
    <w:rsid w:val="000470BD"/>
    <w:rsid w:val="000523AC"/>
    <w:rsid w:val="00064D53"/>
    <w:rsid w:val="00067F95"/>
    <w:rsid w:val="0008286D"/>
    <w:rsid w:val="00091862"/>
    <w:rsid w:val="000949BE"/>
    <w:rsid w:val="00094C58"/>
    <w:rsid w:val="00096338"/>
    <w:rsid w:val="000A0BB0"/>
    <w:rsid w:val="000A5E06"/>
    <w:rsid w:val="000B25F1"/>
    <w:rsid w:val="000D1D88"/>
    <w:rsid w:val="000E0729"/>
    <w:rsid w:val="001128DB"/>
    <w:rsid w:val="00120BA2"/>
    <w:rsid w:val="00135746"/>
    <w:rsid w:val="00155D41"/>
    <w:rsid w:val="00165DA9"/>
    <w:rsid w:val="00171D47"/>
    <w:rsid w:val="00176052"/>
    <w:rsid w:val="00184512"/>
    <w:rsid w:val="001A75CB"/>
    <w:rsid w:val="001B101B"/>
    <w:rsid w:val="001B2623"/>
    <w:rsid w:val="001E0350"/>
    <w:rsid w:val="001E52D1"/>
    <w:rsid w:val="001F2C81"/>
    <w:rsid w:val="00200E50"/>
    <w:rsid w:val="00204DFA"/>
    <w:rsid w:val="00214E76"/>
    <w:rsid w:val="00232C4E"/>
    <w:rsid w:val="00247AE5"/>
    <w:rsid w:val="00253CD8"/>
    <w:rsid w:val="002735B3"/>
    <w:rsid w:val="00274BFA"/>
    <w:rsid w:val="0028506A"/>
    <w:rsid w:val="00287A14"/>
    <w:rsid w:val="00290C16"/>
    <w:rsid w:val="002A00DA"/>
    <w:rsid w:val="002A1607"/>
    <w:rsid w:val="002A28EC"/>
    <w:rsid w:val="002B454C"/>
    <w:rsid w:val="002D1A9A"/>
    <w:rsid w:val="002D4E32"/>
    <w:rsid w:val="002E24F0"/>
    <w:rsid w:val="002E2830"/>
    <w:rsid w:val="002E6F7B"/>
    <w:rsid w:val="002F0463"/>
    <w:rsid w:val="002F1948"/>
    <w:rsid w:val="002F5CA5"/>
    <w:rsid w:val="00305B4F"/>
    <w:rsid w:val="00305BF4"/>
    <w:rsid w:val="00310D64"/>
    <w:rsid w:val="0031380B"/>
    <w:rsid w:val="003156F0"/>
    <w:rsid w:val="00317C72"/>
    <w:rsid w:val="0032510D"/>
    <w:rsid w:val="0033106B"/>
    <w:rsid w:val="00331F14"/>
    <w:rsid w:val="003329A7"/>
    <w:rsid w:val="00337D92"/>
    <w:rsid w:val="00340BA9"/>
    <w:rsid w:val="00345696"/>
    <w:rsid w:val="003651DD"/>
    <w:rsid w:val="00373C05"/>
    <w:rsid w:val="00374592"/>
    <w:rsid w:val="00374B27"/>
    <w:rsid w:val="003764B9"/>
    <w:rsid w:val="0037750E"/>
    <w:rsid w:val="003B0757"/>
    <w:rsid w:val="003B5D12"/>
    <w:rsid w:val="003B5EB2"/>
    <w:rsid w:val="003D0521"/>
    <w:rsid w:val="003D0AE6"/>
    <w:rsid w:val="003D1725"/>
    <w:rsid w:val="003D5796"/>
    <w:rsid w:val="003E34BC"/>
    <w:rsid w:val="003F0BC5"/>
    <w:rsid w:val="003F6C32"/>
    <w:rsid w:val="00401D8B"/>
    <w:rsid w:val="00402095"/>
    <w:rsid w:val="004106BC"/>
    <w:rsid w:val="00441E38"/>
    <w:rsid w:val="00446575"/>
    <w:rsid w:val="0045302A"/>
    <w:rsid w:val="00471003"/>
    <w:rsid w:val="00485883"/>
    <w:rsid w:val="004861F1"/>
    <w:rsid w:val="00490BDC"/>
    <w:rsid w:val="004B0648"/>
    <w:rsid w:val="004B1D70"/>
    <w:rsid w:val="004B2E49"/>
    <w:rsid w:val="004B3905"/>
    <w:rsid w:val="004B7A61"/>
    <w:rsid w:val="004C2B0D"/>
    <w:rsid w:val="004E3D58"/>
    <w:rsid w:val="004F005A"/>
    <w:rsid w:val="005032F5"/>
    <w:rsid w:val="0050770F"/>
    <w:rsid w:val="005109A9"/>
    <w:rsid w:val="005202D6"/>
    <w:rsid w:val="00526779"/>
    <w:rsid w:val="005316D1"/>
    <w:rsid w:val="00537E0F"/>
    <w:rsid w:val="00560D0F"/>
    <w:rsid w:val="00566A14"/>
    <w:rsid w:val="00570217"/>
    <w:rsid w:val="005707C4"/>
    <w:rsid w:val="00576874"/>
    <w:rsid w:val="005836BC"/>
    <w:rsid w:val="0058768C"/>
    <w:rsid w:val="00587D61"/>
    <w:rsid w:val="005A561A"/>
    <w:rsid w:val="005A5F64"/>
    <w:rsid w:val="005B3479"/>
    <w:rsid w:val="005B4C31"/>
    <w:rsid w:val="005C57B2"/>
    <w:rsid w:val="005D12A4"/>
    <w:rsid w:val="005D5684"/>
    <w:rsid w:val="005F2709"/>
    <w:rsid w:val="005F43DD"/>
    <w:rsid w:val="00605235"/>
    <w:rsid w:val="00605282"/>
    <w:rsid w:val="00607DF6"/>
    <w:rsid w:val="0061140A"/>
    <w:rsid w:val="00617CD0"/>
    <w:rsid w:val="00622B04"/>
    <w:rsid w:val="00625F8C"/>
    <w:rsid w:val="006514B8"/>
    <w:rsid w:val="00653D11"/>
    <w:rsid w:val="00656B4A"/>
    <w:rsid w:val="00670367"/>
    <w:rsid w:val="00676EA6"/>
    <w:rsid w:val="006950EB"/>
    <w:rsid w:val="006A7250"/>
    <w:rsid w:val="006C04BC"/>
    <w:rsid w:val="006D0C0A"/>
    <w:rsid w:val="006D57DB"/>
    <w:rsid w:val="006D72B4"/>
    <w:rsid w:val="006D7666"/>
    <w:rsid w:val="006E068F"/>
    <w:rsid w:val="006E6703"/>
    <w:rsid w:val="006F3F86"/>
    <w:rsid w:val="006F502A"/>
    <w:rsid w:val="007025BF"/>
    <w:rsid w:val="007048DE"/>
    <w:rsid w:val="00710C45"/>
    <w:rsid w:val="0071604C"/>
    <w:rsid w:val="00716D4B"/>
    <w:rsid w:val="00723992"/>
    <w:rsid w:val="007258A9"/>
    <w:rsid w:val="00763E4F"/>
    <w:rsid w:val="00764214"/>
    <w:rsid w:val="007647AF"/>
    <w:rsid w:val="007701E6"/>
    <w:rsid w:val="00770C22"/>
    <w:rsid w:val="00776F68"/>
    <w:rsid w:val="007A198D"/>
    <w:rsid w:val="007C51AE"/>
    <w:rsid w:val="007C6F0A"/>
    <w:rsid w:val="007D1B23"/>
    <w:rsid w:val="007D20B4"/>
    <w:rsid w:val="007F1765"/>
    <w:rsid w:val="007F6AC0"/>
    <w:rsid w:val="008129DE"/>
    <w:rsid w:val="0081346E"/>
    <w:rsid w:val="008313CE"/>
    <w:rsid w:val="0084307F"/>
    <w:rsid w:val="0084414B"/>
    <w:rsid w:val="00854A87"/>
    <w:rsid w:val="0086445F"/>
    <w:rsid w:val="00864E8D"/>
    <w:rsid w:val="00873AF9"/>
    <w:rsid w:val="00873D0D"/>
    <w:rsid w:val="00876C14"/>
    <w:rsid w:val="00884BE9"/>
    <w:rsid w:val="008905C3"/>
    <w:rsid w:val="008933D5"/>
    <w:rsid w:val="008941EF"/>
    <w:rsid w:val="008B7543"/>
    <w:rsid w:val="008C3997"/>
    <w:rsid w:val="008D7D6B"/>
    <w:rsid w:val="008E71A1"/>
    <w:rsid w:val="008E7455"/>
    <w:rsid w:val="008F12D0"/>
    <w:rsid w:val="008F19D0"/>
    <w:rsid w:val="008F3E8B"/>
    <w:rsid w:val="008F630F"/>
    <w:rsid w:val="0090530D"/>
    <w:rsid w:val="00907404"/>
    <w:rsid w:val="00913256"/>
    <w:rsid w:val="0091380A"/>
    <w:rsid w:val="00916A4D"/>
    <w:rsid w:val="00921994"/>
    <w:rsid w:val="00940C1D"/>
    <w:rsid w:val="0094501D"/>
    <w:rsid w:val="0094633E"/>
    <w:rsid w:val="00946587"/>
    <w:rsid w:val="00950FBB"/>
    <w:rsid w:val="009541C1"/>
    <w:rsid w:val="00965879"/>
    <w:rsid w:val="009804BC"/>
    <w:rsid w:val="009810F6"/>
    <w:rsid w:val="00981D88"/>
    <w:rsid w:val="00986037"/>
    <w:rsid w:val="00990049"/>
    <w:rsid w:val="00991647"/>
    <w:rsid w:val="009963AF"/>
    <w:rsid w:val="009A0B3F"/>
    <w:rsid w:val="009A1AF7"/>
    <w:rsid w:val="009A65B2"/>
    <w:rsid w:val="009B0077"/>
    <w:rsid w:val="009B08FA"/>
    <w:rsid w:val="009C6B1F"/>
    <w:rsid w:val="009C7354"/>
    <w:rsid w:val="009D6C14"/>
    <w:rsid w:val="009E214E"/>
    <w:rsid w:val="009E2D33"/>
    <w:rsid w:val="009E31E2"/>
    <w:rsid w:val="009E6800"/>
    <w:rsid w:val="009F14B1"/>
    <w:rsid w:val="009F15AB"/>
    <w:rsid w:val="00A05CA5"/>
    <w:rsid w:val="00A066FB"/>
    <w:rsid w:val="00A07CC4"/>
    <w:rsid w:val="00A12D24"/>
    <w:rsid w:val="00A22489"/>
    <w:rsid w:val="00A24085"/>
    <w:rsid w:val="00A40AC9"/>
    <w:rsid w:val="00A41015"/>
    <w:rsid w:val="00A428C5"/>
    <w:rsid w:val="00A42C9F"/>
    <w:rsid w:val="00A45AF6"/>
    <w:rsid w:val="00A65002"/>
    <w:rsid w:val="00A67B2A"/>
    <w:rsid w:val="00A72790"/>
    <w:rsid w:val="00A7290B"/>
    <w:rsid w:val="00A753A2"/>
    <w:rsid w:val="00A76064"/>
    <w:rsid w:val="00A822EB"/>
    <w:rsid w:val="00A90326"/>
    <w:rsid w:val="00AA004F"/>
    <w:rsid w:val="00AA42CD"/>
    <w:rsid w:val="00AB07D6"/>
    <w:rsid w:val="00AB5024"/>
    <w:rsid w:val="00AD4E29"/>
    <w:rsid w:val="00AE57DD"/>
    <w:rsid w:val="00AE6EB9"/>
    <w:rsid w:val="00AF1D51"/>
    <w:rsid w:val="00AF628F"/>
    <w:rsid w:val="00B1714F"/>
    <w:rsid w:val="00B2483B"/>
    <w:rsid w:val="00B30DC8"/>
    <w:rsid w:val="00B31FCF"/>
    <w:rsid w:val="00B32071"/>
    <w:rsid w:val="00B34B45"/>
    <w:rsid w:val="00B4385A"/>
    <w:rsid w:val="00B4689F"/>
    <w:rsid w:val="00B55501"/>
    <w:rsid w:val="00B64138"/>
    <w:rsid w:val="00B702A8"/>
    <w:rsid w:val="00B8142F"/>
    <w:rsid w:val="00B83F35"/>
    <w:rsid w:val="00B91DD3"/>
    <w:rsid w:val="00B92400"/>
    <w:rsid w:val="00BB06F9"/>
    <w:rsid w:val="00BB3886"/>
    <w:rsid w:val="00BB667F"/>
    <w:rsid w:val="00BC1EC5"/>
    <w:rsid w:val="00BD0998"/>
    <w:rsid w:val="00BD0E44"/>
    <w:rsid w:val="00BD5074"/>
    <w:rsid w:val="00BD5EBA"/>
    <w:rsid w:val="00BD74D3"/>
    <w:rsid w:val="00BE065C"/>
    <w:rsid w:val="00BE33B0"/>
    <w:rsid w:val="00BF01B1"/>
    <w:rsid w:val="00BF0FE5"/>
    <w:rsid w:val="00C05336"/>
    <w:rsid w:val="00C1070B"/>
    <w:rsid w:val="00C10B79"/>
    <w:rsid w:val="00C111BA"/>
    <w:rsid w:val="00C26D28"/>
    <w:rsid w:val="00C3237E"/>
    <w:rsid w:val="00C32773"/>
    <w:rsid w:val="00C43865"/>
    <w:rsid w:val="00C544EB"/>
    <w:rsid w:val="00C62D70"/>
    <w:rsid w:val="00C65080"/>
    <w:rsid w:val="00C676CE"/>
    <w:rsid w:val="00C82755"/>
    <w:rsid w:val="00C85A67"/>
    <w:rsid w:val="00C95576"/>
    <w:rsid w:val="00CA4145"/>
    <w:rsid w:val="00CA4B43"/>
    <w:rsid w:val="00CA51CE"/>
    <w:rsid w:val="00CA5C7D"/>
    <w:rsid w:val="00CA647F"/>
    <w:rsid w:val="00CA7031"/>
    <w:rsid w:val="00CB29DD"/>
    <w:rsid w:val="00CB5A16"/>
    <w:rsid w:val="00CC3E19"/>
    <w:rsid w:val="00CD22B7"/>
    <w:rsid w:val="00CE1EA3"/>
    <w:rsid w:val="00CE4D17"/>
    <w:rsid w:val="00CE6300"/>
    <w:rsid w:val="00CE779A"/>
    <w:rsid w:val="00CF00CF"/>
    <w:rsid w:val="00CF40AA"/>
    <w:rsid w:val="00D01B39"/>
    <w:rsid w:val="00D0431A"/>
    <w:rsid w:val="00D101ED"/>
    <w:rsid w:val="00D1262A"/>
    <w:rsid w:val="00D16C58"/>
    <w:rsid w:val="00D27249"/>
    <w:rsid w:val="00D3106C"/>
    <w:rsid w:val="00D34CA4"/>
    <w:rsid w:val="00D43412"/>
    <w:rsid w:val="00D5104A"/>
    <w:rsid w:val="00D52394"/>
    <w:rsid w:val="00D52D97"/>
    <w:rsid w:val="00D541E9"/>
    <w:rsid w:val="00D56B3E"/>
    <w:rsid w:val="00D72CDB"/>
    <w:rsid w:val="00D75A67"/>
    <w:rsid w:val="00D75B35"/>
    <w:rsid w:val="00D861EF"/>
    <w:rsid w:val="00D8640A"/>
    <w:rsid w:val="00D91B10"/>
    <w:rsid w:val="00D929F0"/>
    <w:rsid w:val="00D97241"/>
    <w:rsid w:val="00DB0B1B"/>
    <w:rsid w:val="00DB321A"/>
    <w:rsid w:val="00DD08B4"/>
    <w:rsid w:val="00DF0C56"/>
    <w:rsid w:val="00DF7C96"/>
    <w:rsid w:val="00E06C34"/>
    <w:rsid w:val="00E13D2C"/>
    <w:rsid w:val="00E22445"/>
    <w:rsid w:val="00E41BE3"/>
    <w:rsid w:val="00E51076"/>
    <w:rsid w:val="00E5162D"/>
    <w:rsid w:val="00E61FD3"/>
    <w:rsid w:val="00E66BED"/>
    <w:rsid w:val="00E706C8"/>
    <w:rsid w:val="00E7147E"/>
    <w:rsid w:val="00E803E9"/>
    <w:rsid w:val="00E8743D"/>
    <w:rsid w:val="00E8743E"/>
    <w:rsid w:val="00E929C9"/>
    <w:rsid w:val="00E932A0"/>
    <w:rsid w:val="00EB17D2"/>
    <w:rsid w:val="00EB4212"/>
    <w:rsid w:val="00EB5998"/>
    <w:rsid w:val="00EF2A3B"/>
    <w:rsid w:val="00EF30F7"/>
    <w:rsid w:val="00EF40B6"/>
    <w:rsid w:val="00F01719"/>
    <w:rsid w:val="00F020DA"/>
    <w:rsid w:val="00F06074"/>
    <w:rsid w:val="00F1077F"/>
    <w:rsid w:val="00F12D1B"/>
    <w:rsid w:val="00F161B0"/>
    <w:rsid w:val="00F202CD"/>
    <w:rsid w:val="00F27480"/>
    <w:rsid w:val="00F32CEF"/>
    <w:rsid w:val="00F44865"/>
    <w:rsid w:val="00F44F2F"/>
    <w:rsid w:val="00F46789"/>
    <w:rsid w:val="00F5032B"/>
    <w:rsid w:val="00FA4454"/>
    <w:rsid w:val="00FC43B4"/>
    <w:rsid w:val="00FD1AD5"/>
    <w:rsid w:val="00FD2DAB"/>
    <w:rsid w:val="00FD6983"/>
    <w:rsid w:val="00FE154D"/>
    <w:rsid w:val="00FE6384"/>
    <w:rsid w:val="00FE7979"/>
    <w:rsid w:val="00FE7C5D"/>
    <w:rsid w:val="00FF094B"/>
    <w:rsid w:val="00FF0F07"/>
    <w:rsid w:val="00FF6B44"/>
  </w:rsids>
  <m:mathPr>
    <m:mathFont m:val="Garamon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D541E9"/>
    <w:rPr>
      <w:rFonts w:ascii="Times New Roman" w:eastAsia="Cambria" w:hAnsi="Times New Roman" w:cs="Times New Roman"/>
    </w:rPr>
  </w:style>
  <w:style w:type="paragraph" w:styleId="Heading1">
    <w:name w:val="heading 1"/>
    <w:basedOn w:val="Normal"/>
    <w:next w:val="Normal"/>
    <w:link w:val="Heading1Char"/>
    <w:rsid w:val="001A75C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9B226B"/>
    <w:rPr>
      <w:rFonts w:ascii="Lucida Grande" w:eastAsiaTheme="minorHAnsi" w:hAnsi="Lucida Grande" w:cstheme="minorBidi"/>
      <w:sz w:val="18"/>
      <w:szCs w:val="18"/>
    </w:rPr>
  </w:style>
  <w:style w:type="character" w:customStyle="1" w:styleId="BalloonTextChar">
    <w:name w:val="Balloon Text Char"/>
    <w:basedOn w:val="DefaultParagraphFont"/>
    <w:link w:val="BalloonText"/>
    <w:uiPriority w:val="99"/>
    <w:semiHidden/>
    <w:rsid w:val="00BD49B0"/>
    <w:rPr>
      <w:rFonts w:ascii="Lucida Grande" w:hAnsi="Lucida Grande"/>
      <w:sz w:val="18"/>
      <w:szCs w:val="18"/>
    </w:rPr>
  </w:style>
  <w:style w:type="character" w:customStyle="1" w:styleId="BalloonTextChar0">
    <w:name w:val="Balloon Text Char"/>
    <w:basedOn w:val="DefaultParagraphFont"/>
    <w:link w:val="BalloonText"/>
    <w:uiPriority w:val="99"/>
    <w:semiHidden/>
    <w:rsid w:val="00BD49B0"/>
    <w:rPr>
      <w:rFonts w:ascii="Lucida Grande" w:hAnsi="Lucida Grande"/>
      <w:sz w:val="18"/>
      <w:szCs w:val="18"/>
    </w:rPr>
  </w:style>
  <w:style w:type="character" w:customStyle="1" w:styleId="BalloonTextChar2">
    <w:name w:val="Balloon Text Char"/>
    <w:basedOn w:val="DefaultParagraphFont"/>
    <w:link w:val="BalloonText"/>
    <w:uiPriority w:val="99"/>
    <w:semiHidden/>
    <w:rsid w:val="006B505D"/>
    <w:rPr>
      <w:rFonts w:ascii="Lucida Grande" w:hAnsi="Lucida Grande"/>
      <w:sz w:val="18"/>
      <w:szCs w:val="18"/>
    </w:rPr>
  </w:style>
  <w:style w:type="character" w:customStyle="1" w:styleId="BalloonTextChar3">
    <w:name w:val="Balloon Text Char"/>
    <w:basedOn w:val="DefaultParagraphFont"/>
    <w:link w:val="BalloonText"/>
    <w:uiPriority w:val="99"/>
    <w:semiHidden/>
    <w:rsid w:val="00BD49B0"/>
    <w:rPr>
      <w:rFonts w:ascii="Lucida Grande" w:hAnsi="Lucida Grande"/>
      <w:sz w:val="18"/>
      <w:szCs w:val="18"/>
    </w:rPr>
  </w:style>
  <w:style w:type="character" w:customStyle="1" w:styleId="BalloonTextChar4">
    <w:name w:val="Balloon Text Char"/>
    <w:basedOn w:val="DefaultParagraphFont"/>
    <w:link w:val="BalloonText"/>
    <w:uiPriority w:val="99"/>
    <w:semiHidden/>
    <w:rsid w:val="00BD49B0"/>
    <w:rPr>
      <w:rFonts w:ascii="Lucida Grande" w:hAnsi="Lucida Grande"/>
      <w:sz w:val="18"/>
      <w:szCs w:val="18"/>
    </w:rPr>
  </w:style>
  <w:style w:type="character" w:customStyle="1" w:styleId="BalloonTextChar5">
    <w:name w:val="Balloon Text Char"/>
    <w:basedOn w:val="DefaultParagraphFont"/>
    <w:link w:val="BalloonText"/>
    <w:uiPriority w:val="99"/>
    <w:semiHidden/>
    <w:rsid w:val="00BD49B0"/>
    <w:rPr>
      <w:rFonts w:ascii="Lucida Grande" w:hAnsi="Lucida Grande"/>
      <w:sz w:val="18"/>
      <w:szCs w:val="18"/>
    </w:rPr>
  </w:style>
  <w:style w:type="character" w:customStyle="1" w:styleId="BalloonTextChar6">
    <w:name w:val="Balloon Text Char"/>
    <w:basedOn w:val="DefaultParagraphFont"/>
    <w:link w:val="BalloonText"/>
    <w:uiPriority w:val="99"/>
    <w:semiHidden/>
    <w:rsid w:val="002B54F1"/>
    <w:rPr>
      <w:rFonts w:ascii="Lucida Grande" w:hAnsi="Lucida Grande"/>
      <w:sz w:val="18"/>
      <w:szCs w:val="18"/>
    </w:rPr>
  </w:style>
  <w:style w:type="character" w:customStyle="1" w:styleId="BalloonTextChar7">
    <w:name w:val="Balloon Text Char"/>
    <w:basedOn w:val="DefaultParagraphFont"/>
    <w:link w:val="BalloonText"/>
    <w:uiPriority w:val="99"/>
    <w:semiHidden/>
    <w:rsid w:val="002B54F1"/>
    <w:rPr>
      <w:rFonts w:ascii="Lucida Grande" w:hAnsi="Lucida Grande"/>
      <w:sz w:val="18"/>
      <w:szCs w:val="18"/>
    </w:rPr>
  </w:style>
  <w:style w:type="character" w:customStyle="1" w:styleId="BalloonTextChar8">
    <w:name w:val="Balloon Text Char"/>
    <w:basedOn w:val="DefaultParagraphFont"/>
    <w:link w:val="BalloonText"/>
    <w:uiPriority w:val="99"/>
    <w:semiHidden/>
    <w:rsid w:val="002B54F1"/>
    <w:rPr>
      <w:rFonts w:ascii="Lucida Grande" w:hAnsi="Lucida Grande"/>
      <w:sz w:val="18"/>
      <w:szCs w:val="18"/>
    </w:rPr>
  </w:style>
  <w:style w:type="character" w:customStyle="1" w:styleId="BalloonTextChar9">
    <w:name w:val="Balloon Text Char"/>
    <w:basedOn w:val="DefaultParagraphFont"/>
    <w:link w:val="BalloonText"/>
    <w:uiPriority w:val="99"/>
    <w:semiHidden/>
    <w:rsid w:val="00650D0D"/>
    <w:rPr>
      <w:rFonts w:ascii="Lucida Grande" w:hAnsi="Lucida Grande"/>
      <w:sz w:val="18"/>
      <w:szCs w:val="18"/>
    </w:rPr>
  </w:style>
  <w:style w:type="character" w:customStyle="1" w:styleId="BalloonTextChara">
    <w:name w:val="Balloon Text Char"/>
    <w:basedOn w:val="DefaultParagraphFont"/>
    <w:link w:val="BalloonText"/>
    <w:uiPriority w:val="99"/>
    <w:semiHidden/>
    <w:rsid w:val="002B54F1"/>
    <w:rPr>
      <w:rFonts w:ascii="Lucida Grande" w:hAnsi="Lucida Grande"/>
      <w:sz w:val="18"/>
      <w:szCs w:val="18"/>
    </w:rPr>
  </w:style>
  <w:style w:type="character" w:customStyle="1" w:styleId="BalloonTextCharb">
    <w:name w:val="Balloon Text Char"/>
    <w:basedOn w:val="DefaultParagraphFont"/>
    <w:link w:val="BalloonText"/>
    <w:uiPriority w:val="99"/>
    <w:semiHidden/>
    <w:rsid w:val="00F4232F"/>
    <w:rPr>
      <w:rFonts w:ascii="Lucida Grande" w:hAnsi="Lucida Grande"/>
      <w:sz w:val="18"/>
      <w:szCs w:val="18"/>
    </w:rPr>
  </w:style>
  <w:style w:type="character" w:customStyle="1" w:styleId="BalloonTextCharc">
    <w:name w:val="Balloon Text Char"/>
    <w:basedOn w:val="DefaultParagraphFont"/>
    <w:link w:val="BalloonText"/>
    <w:uiPriority w:val="99"/>
    <w:semiHidden/>
    <w:rsid w:val="00F4232F"/>
    <w:rPr>
      <w:rFonts w:ascii="Lucida Grande" w:hAnsi="Lucida Grande"/>
      <w:sz w:val="18"/>
      <w:szCs w:val="18"/>
    </w:rPr>
  </w:style>
  <w:style w:type="character" w:customStyle="1" w:styleId="BalloonTextChard">
    <w:name w:val="Balloon Text Char"/>
    <w:basedOn w:val="DefaultParagraphFont"/>
    <w:link w:val="BalloonText"/>
    <w:uiPriority w:val="99"/>
    <w:semiHidden/>
    <w:rsid w:val="0040047B"/>
    <w:rPr>
      <w:rFonts w:ascii="Lucida Grande" w:hAnsi="Lucida Grande"/>
      <w:sz w:val="18"/>
      <w:szCs w:val="18"/>
    </w:rPr>
  </w:style>
  <w:style w:type="character" w:customStyle="1" w:styleId="BalloonTextChare">
    <w:name w:val="Balloon Text Char"/>
    <w:basedOn w:val="DefaultParagraphFont"/>
    <w:link w:val="BalloonText"/>
    <w:uiPriority w:val="99"/>
    <w:semiHidden/>
    <w:rsid w:val="0040047B"/>
    <w:rPr>
      <w:rFonts w:ascii="Lucida Grande" w:hAnsi="Lucida Grande"/>
      <w:sz w:val="18"/>
      <w:szCs w:val="18"/>
    </w:rPr>
  </w:style>
  <w:style w:type="character" w:customStyle="1" w:styleId="BalloonTextCharf">
    <w:name w:val="Balloon Text Char"/>
    <w:basedOn w:val="DefaultParagraphFont"/>
    <w:link w:val="BalloonText"/>
    <w:uiPriority w:val="99"/>
    <w:semiHidden/>
    <w:rsid w:val="00D45238"/>
    <w:rPr>
      <w:rFonts w:ascii="Lucida Grande" w:hAnsi="Lucida Grande"/>
      <w:sz w:val="18"/>
      <w:szCs w:val="18"/>
    </w:rPr>
  </w:style>
  <w:style w:type="character" w:customStyle="1" w:styleId="BalloonTextCharf0">
    <w:name w:val="Balloon Text Char"/>
    <w:basedOn w:val="DefaultParagraphFont"/>
    <w:link w:val="BalloonText"/>
    <w:uiPriority w:val="99"/>
    <w:semiHidden/>
    <w:rsid w:val="00D45238"/>
    <w:rPr>
      <w:rFonts w:ascii="Lucida Grande" w:hAnsi="Lucida Grande"/>
      <w:sz w:val="18"/>
      <w:szCs w:val="18"/>
    </w:rPr>
  </w:style>
  <w:style w:type="character" w:customStyle="1" w:styleId="BalloonTextCharf1">
    <w:name w:val="Balloon Text Char"/>
    <w:basedOn w:val="DefaultParagraphFont"/>
    <w:link w:val="BalloonText"/>
    <w:uiPriority w:val="99"/>
    <w:semiHidden/>
    <w:rsid w:val="00AE77BE"/>
    <w:rPr>
      <w:rFonts w:ascii="Lucida Grande" w:hAnsi="Lucida Grande"/>
      <w:sz w:val="18"/>
      <w:szCs w:val="18"/>
    </w:rPr>
  </w:style>
  <w:style w:type="character" w:customStyle="1" w:styleId="BalloonTextCharf2">
    <w:name w:val="Balloon Text Char"/>
    <w:basedOn w:val="DefaultParagraphFont"/>
    <w:link w:val="BalloonText"/>
    <w:uiPriority w:val="99"/>
    <w:semiHidden/>
    <w:rsid w:val="00AE77BE"/>
    <w:rPr>
      <w:rFonts w:ascii="Lucida Grande" w:hAnsi="Lucida Grande"/>
      <w:sz w:val="18"/>
      <w:szCs w:val="18"/>
    </w:rPr>
  </w:style>
  <w:style w:type="character" w:customStyle="1" w:styleId="BalloonTextCharf3">
    <w:name w:val="Balloon Text Char"/>
    <w:basedOn w:val="DefaultParagraphFont"/>
    <w:link w:val="BalloonText"/>
    <w:uiPriority w:val="99"/>
    <w:semiHidden/>
    <w:rsid w:val="005D34D1"/>
    <w:rPr>
      <w:rFonts w:ascii="Lucida Grande" w:hAnsi="Lucida Grande"/>
      <w:sz w:val="18"/>
      <w:szCs w:val="18"/>
    </w:rPr>
  </w:style>
  <w:style w:type="character" w:customStyle="1" w:styleId="BalloonTextCharf4">
    <w:name w:val="Balloon Text Char"/>
    <w:basedOn w:val="DefaultParagraphFont"/>
    <w:link w:val="BalloonText"/>
    <w:uiPriority w:val="99"/>
    <w:semiHidden/>
    <w:rsid w:val="005D34D1"/>
    <w:rPr>
      <w:rFonts w:ascii="Lucida Grande" w:hAnsi="Lucida Grande"/>
      <w:sz w:val="18"/>
      <w:szCs w:val="18"/>
    </w:rPr>
  </w:style>
  <w:style w:type="character" w:customStyle="1" w:styleId="BalloonTextCharf5">
    <w:name w:val="Balloon Text Char"/>
    <w:basedOn w:val="DefaultParagraphFont"/>
    <w:link w:val="BalloonText"/>
    <w:uiPriority w:val="99"/>
    <w:semiHidden/>
    <w:rsid w:val="005D34D1"/>
    <w:rPr>
      <w:rFonts w:ascii="Lucida Grande" w:hAnsi="Lucida Grande"/>
      <w:sz w:val="18"/>
      <w:szCs w:val="18"/>
    </w:rPr>
  </w:style>
  <w:style w:type="character" w:customStyle="1" w:styleId="BalloonTextCharf6">
    <w:name w:val="Balloon Text Char"/>
    <w:basedOn w:val="DefaultParagraphFont"/>
    <w:link w:val="BalloonText"/>
    <w:uiPriority w:val="99"/>
    <w:semiHidden/>
    <w:rsid w:val="000A2F20"/>
    <w:rPr>
      <w:rFonts w:ascii="Lucida Grande" w:hAnsi="Lucida Grande"/>
      <w:sz w:val="18"/>
      <w:szCs w:val="18"/>
    </w:rPr>
  </w:style>
  <w:style w:type="character" w:customStyle="1" w:styleId="BalloonTextCharf7">
    <w:name w:val="Balloon Text Char"/>
    <w:basedOn w:val="DefaultParagraphFont"/>
    <w:link w:val="BalloonText"/>
    <w:uiPriority w:val="99"/>
    <w:semiHidden/>
    <w:rsid w:val="00CD4EA0"/>
    <w:rPr>
      <w:rFonts w:ascii="Lucida Grande" w:hAnsi="Lucida Grande"/>
      <w:sz w:val="18"/>
      <w:szCs w:val="18"/>
    </w:rPr>
  </w:style>
  <w:style w:type="character" w:customStyle="1" w:styleId="BalloonTextCharf8">
    <w:name w:val="Balloon Text Char"/>
    <w:basedOn w:val="DefaultParagraphFont"/>
    <w:link w:val="BalloonText"/>
    <w:uiPriority w:val="99"/>
    <w:semiHidden/>
    <w:rsid w:val="00532AA8"/>
    <w:rPr>
      <w:rFonts w:ascii="Lucida Grande" w:hAnsi="Lucida Grande"/>
      <w:sz w:val="18"/>
      <w:szCs w:val="18"/>
    </w:rPr>
  </w:style>
  <w:style w:type="character" w:customStyle="1" w:styleId="BalloonTextCharf9">
    <w:name w:val="Balloon Text Char"/>
    <w:basedOn w:val="DefaultParagraphFont"/>
    <w:link w:val="BalloonText"/>
    <w:uiPriority w:val="99"/>
    <w:semiHidden/>
    <w:rsid w:val="00D75505"/>
    <w:rPr>
      <w:rFonts w:ascii="Lucida Grande" w:hAnsi="Lucida Grande"/>
      <w:sz w:val="18"/>
      <w:szCs w:val="18"/>
    </w:rPr>
  </w:style>
  <w:style w:type="character" w:customStyle="1" w:styleId="BalloonTextCharfa">
    <w:name w:val="Balloon Text Char"/>
    <w:basedOn w:val="DefaultParagraphFont"/>
    <w:link w:val="BalloonText"/>
    <w:uiPriority w:val="99"/>
    <w:semiHidden/>
    <w:rsid w:val="009E1D66"/>
    <w:rPr>
      <w:rFonts w:ascii="Lucida Grande" w:hAnsi="Lucida Grande"/>
      <w:sz w:val="18"/>
      <w:szCs w:val="18"/>
    </w:rPr>
  </w:style>
  <w:style w:type="character" w:customStyle="1" w:styleId="BalloonTextCharfb">
    <w:name w:val="Balloon Text Char"/>
    <w:basedOn w:val="DefaultParagraphFont"/>
    <w:link w:val="BalloonText"/>
    <w:uiPriority w:val="99"/>
    <w:semiHidden/>
    <w:rsid w:val="0093757D"/>
    <w:rPr>
      <w:rFonts w:ascii="Lucida Grande" w:hAnsi="Lucida Grande"/>
      <w:sz w:val="18"/>
      <w:szCs w:val="18"/>
    </w:rPr>
  </w:style>
  <w:style w:type="character" w:customStyle="1" w:styleId="BalloonTextChar1">
    <w:name w:val="Balloon Text Char1"/>
    <w:basedOn w:val="DefaultParagraphFont"/>
    <w:link w:val="BalloonText"/>
    <w:uiPriority w:val="99"/>
    <w:semiHidden/>
    <w:rsid w:val="009B226B"/>
    <w:rPr>
      <w:rFonts w:ascii="Lucida Grande" w:hAnsi="Lucida Grande"/>
      <w:sz w:val="18"/>
      <w:szCs w:val="18"/>
    </w:rPr>
  </w:style>
  <w:style w:type="paragraph" w:customStyle="1" w:styleId="HeadingI">
    <w:name w:val="Heading I"/>
    <w:basedOn w:val="Normal"/>
    <w:autoRedefine/>
    <w:qFormat/>
    <w:rsid w:val="00D14B25"/>
    <w:pPr>
      <w:tabs>
        <w:tab w:val="left" w:pos="720"/>
      </w:tabs>
      <w:spacing w:after="120"/>
      <w:ind w:left="720" w:hanging="720"/>
    </w:pPr>
    <w:rPr>
      <w:b/>
      <w:caps/>
      <w:szCs w:val="22"/>
    </w:rPr>
  </w:style>
  <w:style w:type="paragraph" w:styleId="FootnoteText">
    <w:name w:val="footnote text"/>
    <w:aliases w:val="Footnote Text Char2 Char,Footnote Text Char1 Char Char,Footnote Text Char Char Char Char,Footnote Text Char2 Char Char Char Char,Footnote Text Char1 Char1 Char1 Char Char Char"/>
    <w:basedOn w:val="Normal"/>
    <w:link w:val="FootnoteTextChar"/>
    <w:unhideWhenUsed/>
    <w:rsid w:val="00D541E9"/>
  </w:style>
  <w:style w:type="character" w:customStyle="1" w:styleId="FootnoteTextChar">
    <w:name w:val="Footnote Text Char"/>
    <w:aliases w:val="Footnote Text Char2 Char Char,Footnote Text Char1 Char Char Char,Footnote Text Char Char Char Char Char,Footnote Text Char2 Char Char Char Char Char,Footnote Text Char1 Char1 Char1 Char Char Char Char"/>
    <w:basedOn w:val="DefaultParagraphFont"/>
    <w:link w:val="FootnoteText"/>
    <w:rsid w:val="00D541E9"/>
    <w:rPr>
      <w:rFonts w:ascii="Times New Roman" w:eastAsia="Cambria" w:hAnsi="Times New Roman" w:cs="Times New Roman"/>
    </w:rPr>
  </w:style>
  <w:style w:type="character" w:styleId="FootnoteReference">
    <w:name w:val="footnote reference"/>
    <w:aliases w:val="o"/>
    <w:basedOn w:val="DefaultParagraphFont"/>
    <w:unhideWhenUsed/>
    <w:rsid w:val="00D541E9"/>
    <w:rPr>
      <w:vertAlign w:val="superscript"/>
    </w:rPr>
  </w:style>
  <w:style w:type="character" w:styleId="Hyperlink">
    <w:name w:val="Hyperlink"/>
    <w:basedOn w:val="DefaultParagraphFont"/>
    <w:rsid w:val="00D541E9"/>
    <w:rPr>
      <w:color w:val="0000FF" w:themeColor="hyperlink"/>
      <w:u w:val="single"/>
    </w:rPr>
  </w:style>
  <w:style w:type="paragraph" w:styleId="Header">
    <w:name w:val="header"/>
    <w:basedOn w:val="Normal"/>
    <w:link w:val="HeaderChar"/>
    <w:uiPriority w:val="99"/>
    <w:semiHidden/>
    <w:unhideWhenUsed/>
    <w:rsid w:val="000E0729"/>
    <w:pPr>
      <w:tabs>
        <w:tab w:val="center" w:pos="4320"/>
        <w:tab w:val="right" w:pos="8640"/>
      </w:tabs>
    </w:pPr>
  </w:style>
  <w:style w:type="character" w:customStyle="1" w:styleId="HeaderChar">
    <w:name w:val="Header Char"/>
    <w:basedOn w:val="DefaultParagraphFont"/>
    <w:link w:val="Header"/>
    <w:uiPriority w:val="99"/>
    <w:semiHidden/>
    <w:rsid w:val="000E0729"/>
    <w:rPr>
      <w:rFonts w:ascii="Times New Roman" w:eastAsia="Cambria" w:hAnsi="Times New Roman" w:cs="Times New Roman"/>
    </w:rPr>
  </w:style>
  <w:style w:type="paragraph" w:styleId="Footer">
    <w:name w:val="footer"/>
    <w:basedOn w:val="Normal"/>
    <w:link w:val="FooterChar"/>
    <w:uiPriority w:val="99"/>
    <w:semiHidden/>
    <w:unhideWhenUsed/>
    <w:rsid w:val="000E0729"/>
    <w:pPr>
      <w:tabs>
        <w:tab w:val="center" w:pos="4320"/>
        <w:tab w:val="right" w:pos="8640"/>
      </w:tabs>
    </w:pPr>
  </w:style>
  <w:style w:type="character" w:customStyle="1" w:styleId="FooterChar">
    <w:name w:val="Footer Char"/>
    <w:basedOn w:val="DefaultParagraphFont"/>
    <w:link w:val="Footer"/>
    <w:uiPriority w:val="99"/>
    <w:semiHidden/>
    <w:rsid w:val="000E0729"/>
    <w:rPr>
      <w:rFonts w:ascii="Times New Roman" w:eastAsia="Cambria" w:hAnsi="Times New Roman" w:cs="Times New Roman"/>
    </w:rPr>
  </w:style>
  <w:style w:type="character" w:styleId="HTMLCite">
    <w:name w:val="HTML Cite"/>
    <w:basedOn w:val="DefaultParagraphFont"/>
    <w:uiPriority w:val="99"/>
    <w:rsid w:val="009541C1"/>
    <w:rPr>
      <w:i/>
    </w:rPr>
  </w:style>
  <w:style w:type="character" w:styleId="FollowedHyperlink">
    <w:name w:val="FollowedHyperlink"/>
    <w:basedOn w:val="DefaultParagraphFont"/>
    <w:uiPriority w:val="99"/>
    <w:semiHidden/>
    <w:unhideWhenUsed/>
    <w:rsid w:val="009E31E2"/>
    <w:rPr>
      <w:color w:val="800080" w:themeColor="followedHyperlink"/>
      <w:u w:val="single"/>
    </w:rPr>
  </w:style>
  <w:style w:type="paragraph" w:styleId="ListParagraph">
    <w:name w:val="List Paragraph"/>
    <w:basedOn w:val="Normal"/>
    <w:uiPriority w:val="34"/>
    <w:qFormat/>
    <w:rsid w:val="00D01B39"/>
    <w:pPr>
      <w:ind w:left="720"/>
      <w:contextualSpacing/>
    </w:pPr>
  </w:style>
  <w:style w:type="character" w:styleId="CommentReference">
    <w:name w:val="annotation reference"/>
    <w:basedOn w:val="DefaultParagraphFont"/>
    <w:rsid w:val="00991647"/>
    <w:rPr>
      <w:sz w:val="18"/>
      <w:szCs w:val="18"/>
    </w:rPr>
  </w:style>
  <w:style w:type="paragraph" w:styleId="CommentText">
    <w:name w:val="annotation text"/>
    <w:basedOn w:val="Normal"/>
    <w:link w:val="CommentTextChar"/>
    <w:rsid w:val="00991647"/>
  </w:style>
  <w:style w:type="character" w:customStyle="1" w:styleId="CommentTextChar">
    <w:name w:val="Comment Text Char"/>
    <w:basedOn w:val="DefaultParagraphFont"/>
    <w:link w:val="CommentText"/>
    <w:rsid w:val="00991647"/>
    <w:rPr>
      <w:rFonts w:ascii="Times New Roman" w:eastAsia="Cambria" w:hAnsi="Times New Roman" w:cs="Times New Roman"/>
    </w:rPr>
  </w:style>
  <w:style w:type="paragraph" w:styleId="CommentSubject">
    <w:name w:val="annotation subject"/>
    <w:basedOn w:val="CommentText"/>
    <w:next w:val="CommentText"/>
    <w:link w:val="CommentSubjectChar"/>
    <w:rsid w:val="00991647"/>
    <w:rPr>
      <w:b/>
      <w:bCs/>
      <w:sz w:val="20"/>
      <w:szCs w:val="20"/>
    </w:rPr>
  </w:style>
  <w:style w:type="character" w:customStyle="1" w:styleId="CommentSubjectChar">
    <w:name w:val="Comment Subject Char"/>
    <w:basedOn w:val="CommentTextChar"/>
    <w:link w:val="CommentSubject"/>
    <w:rsid w:val="00991647"/>
    <w:rPr>
      <w:b/>
      <w:bCs/>
      <w:sz w:val="20"/>
      <w:szCs w:val="20"/>
    </w:rPr>
  </w:style>
  <w:style w:type="table" w:styleId="TableGrid">
    <w:name w:val="Table Grid"/>
    <w:basedOn w:val="TableNormal"/>
    <w:rsid w:val="00A7606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D16C58"/>
  </w:style>
  <w:style w:type="character" w:customStyle="1" w:styleId="EndnoteTextChar">
    <w:name w:val="Endnote Text Char"/>
    <w:basedOn w:val="DefaultParagraphFont"/>
    <w:link w:val="EndnoteText"/>
    <w:uiPriority w:val="99"/>
    <w:rsid w:val="001A75CB"/>
    <w:rPr>
      <w:rFonts w:eastAsiaTheme="minorEastAsia"/>
    </w:rPr>
  </w:style>
  <w:style w:type="paragraph" w:styleId="EndnoteText">
    <w:name w:val="endnote text"/>
    <w:basedOn w:val="Normal"/>
    <w:link w:val="EndnoteTextChar"/>
    <w:uiPriority w:val="99"/>
    <w:unhideWhenUsed/>
    <w:rsid w:val="001A75CB"/>
    <w:rPr>
      <w:rFonts w:asciiTheme="minorHAnsi" w:eastAsiaTheme="minorEastAsia" w:hAnsiTheme="minorHAnsi" w:cstheme="minorBidi"/>
    </w:rPr>
  </w:style>
  <w:style w:type="character" w:customStyle="1" w:styleId="EndnoteTextChar1">
    <w:name w:val="Endnote Text Char1"/>
    <w:basedOn w:val="DefaultParagraphFont"/>
    <w:link w:val="EndnoteText"/>
    <w:rsid w:val="001A75CB"/>
    <w:rPr>
      <w:rFonts w:ascii="Times New Roman" w:eastAsia="Cambria" w:hAnsi="Times New Roman" w:cs="Times New Roman"/>
    </w:rPr>
  </w:style>
  <w:style w:type="character" w:styleId="EndnoteReference">
    <w:name w:val="endnote reference"/>
    <w:basedOn w:val="DefaultParagraphFont"/>
    <w:uiPriority w:val="99"/>
    <w:unhideWhenUsed/>
    <w:rsid w:val="001A75CB"/>
    <w:rPr>
      <w:vertAlign w:val="superscript"/>
    </w:rPr>
  </w:style>
  <w:style w:type="paragraph" w:customStyle="1" w:styleId="BlockTextParagraph">
    <w:name w:val="Block Text Paragraph"/>
    <w:basedOn w:val="Normal"/>
    <w:link w:val="BlockTextParagraphChar"/>
    <w:qFormat/>
    <w:rsid w:val="001A75CB"/>
    <w:pPr>
      <w:spacing w:after="240"/>
      <w:jc w:val="both"/>
    </w:pPr>
    <w:rPr>
      <w:rFonts w:eastAsiaTheme="minorEastAsia"/>
      <w:lang w:eastAsia="ja-JP"/>
    </w:rPr>
  </w:style>
  <w:style w:type="character" w:customStyle="1" w:styleId="BlockTextParagraphChar">
    <w:name w:val="Block Text Paragraph Char"/>
    <w:basedOn w:val="DefaultParagraphFont"/>
    <w:link w:val="BlockTextParagraph"/>
    <w:rsid w:val="001A75CB"/>
    <w:rPr>
      <w:rFonts w:ascii="Times New Roman" w:eastAsiaTheme="minorEastAsia" w:hAnsi="Times New Roman" w:cs="Times New Roman"/>
      <w:lang w:eastAsia="ja-JP"/>
    </w:rPr>
  </w:style>
  <w:style w:type="character" w:customStyle="1" w:styleId="Heading1Char">
    <w:name w:val="Heading 1 Char"/>
    <w:basedOn w:val="DefaultParagraphFont"/>
    <w:link w:val="Heading1"/>
    <w:rsid w:val="001A75CB"/>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r="http://schemas.openxmlformats.org/officeDocument/2006/relationships" xmlns:w="http://schemas.openxmlformats.org/wordprocessingml/2006/main">
  <w:divs>
    <w:div w:id="742217634">
      <w:bodyDiv w:val="1"/>
      <w:marLeft w:val="0"/>
      <w:marRight w:val="0"/>
      <w:marTop w:val="0"/>
      <w:marBottom w:val="0"/>
      <w:divBdr>
        <w:top w:val="none" w:sz="0" w:space="0" w:color="auto"/>
        <w:left w:val="none" w:sz="0" w:space="0" w:color="auto"/>
        <w:bottom w:val="none" w:sz="0" w:space="0" w:color="auto"/>
        <w:right w:val="none" w:sz="0" w:space="0" w:color="auto"/>
      </w:divBdr>
    </w:div>
    <w:div w:id="1591694823">
      <w:bodyDiv w:val="1"/>
      <w:marLeft w:val="0"/>
      <w:marRight w:val="0"/>
      <w:marTop w:val="0"/>
      <w:marBottom w:val="0"/>
      <w:divBdr>
        <w:top w:val="none" w:sz="0" w:space="0" w:color="auto"/>
        <w:left w:val="none" w:sz="0" w:space="0" w:color="auto"/>
        <w:bottom w:val="none" w:sz="0" w:space="0" w:color="auto"/>
        <w:right w:val="none" w:sz="0" w:space="0" w:color="auto"/>
      </w:divBdr>
    </w:div>
    <w:div w:id="17987972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hyperlink" Target="mailto:tculley@kfwlaw.com"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tculley@kfwlaw.com" TargetMode="Externa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notes" Target="footnotes.xml"/><Relationship Id="rId9" Type="http://schemas.openxmlformats.org/officeDocument/2006/relationships/image" Target="media/image1.pdf"/></Relationships>
</file>

<file path=word/_rels/footnotes.xml.rels><?xml version="1.0" encoding="UTF-8" standalone="yes"?>
<Relationships xmlns="http://schemas.openxmlformats.org/package/2006/relationships"><Relationship Id="rId1" Type="http://schemas.openxmlformats.org/officeDocument/2006/relationships/hyperlink" Target="http://irecusa.org/wp.../IREC-Interconnection-Procedures-2010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937</Words>
  <Characters>5344</Characters>
  <Application>Microsoft Macintosh Word</Application>
  <DocSecurity>0</DocSecurity>
  <Lines>44</Lines>
  <Paragraphs>10</Paragraphs>
  <ScaleCrop>false</ScaleCrop>
  <Company>Keyes &amp; Fox LLP</Company>
  <LinksUpToDate>false</LinksUpToDate>
  <CharactersWithSpaces>6562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Thad Culley</dc:creator>
  <cp:keywords/>
  <cp:lastModifiedBy>Thad Culley</cp:lastModifiedBy>
  <cp:revision>3</cp:revision>
  <cp:lastPrinted>2012-12-04T18:12:00Z</cp:lastPrinted>
  <dcterms:created xsi:type="dcterms:W3CDTF">2012-12-04T06:20:00Z</dcterms:created>
  <dcterms:modified xsi:type="dcterms:W3CDTF">2012-12-04T18:53:00Z</dcterms:modified>
</cp:coreProperties>
</file>