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7A8317" w14:textId="77777777" w:rsidR="00D85F76" w:rsidRPr="003C4C79" w:rsidRDefault="00D85F76" w:rsidP="00D85F76">
      <w:pPr>
        <w:jc w:val="center"/>
        <w:rPr>
          <w:b/>
          <w:sz w:val="36"/>
          <w:szCs w:val="36"/>
        </w:rPr>
      </w:pPr>
      <w:r w:rsidRPr="003C4C79">
        <w:rPr>
          <w:b/>
          <w:sz w:val="36"/>
          <w:szCs w:val="36"/>
        </w:rPr>
        <w:t>UNITED STATES</w:t>
      </w:r>
    </w:p>
    <w:p w14:paraId="6A03D375" w14:textId="77777777" w:rsidR="00D85F76" w:rsidRPr="003C4C79" w:rsidRDefault="00D85F76" w:rsidP="00D85F76">
      <w:pPr>
        <w:jc w:val="center"/>
        <w:rPr>
          <w:b/>
          <w:sz w:val="36"/>
          <w:szCs w:val="36"/>
        </w:rPr>
      </w:pPr>
      <w:r w:rsidRPr="003C4C79">
        <w:rPr>
          <w:b/>
          <w:sz w:val="36"/>
          <w:szCs w:val="36"/>
        </w:rPr>
        <w:t>Environmental Protection Agency</w:t>
      </w:r>
    </w:p>
    <w:p w14:paraId="2FD421FF" w14:textId="77777777" w:rsidR="00D85F76" w:rsidRPr="003C4C79" w:rsidRDefault="00D85F76" w:rsidP="00D85F76"/>
    <w:p w14:paraId="7828FC17" w14:textId="3871CF37" w:rsidR="00D85F76" w:rsidRPr="003C4C79" w:rsidRDefault="00606290" w:rsidP="00D85F76">
      <w:pPr>
        <w:jc w:val="center"/>
        <w:rPr>
          <w:b/>
          <w:sz w:val="36"/>
          <w:szCs w:val="36"/>
        </w:rPr>
      </w:pPr>
      <w:r w:rsidRPr="003C4C79">
        <w:rPr>
          <w:b/>
          <w:sz w:val="36"/>
          <w:szCs w:val="36"/>
        </w:rPr>
        <w:t>Docket ID No</w:t>
      </w:r>
      <w:proofErr w:type="gramStart"/>
      <w:r w:rsidRPr="003C4C79">
        <w:rPr>
          <w:b/>
          <w:sz w:val="36"/>
          <w:szCs w:val="36"/>
        </w:rPr>
        <w:t xml:space="preserve">. </w:t>
      </w:r>
      <w:proofErr w:type="gramEnd"/>
      <w:r w:rsidRPr="003C4C79">
        <w:rPr>
          <w:b/>
          <w:sz w:val="36"/>
          <w:szCs w:val="36"/>
        </w:rPr>
        <w:t>EPA-HQ-OAR-2013-0495</w:t>
      </w:r>
      <w:r w:rsidR="00EE1C77">
        <w:rPr>
          <w:b/>
          <w:sz w:val="36"/>
          <w:szCs w:val="36"/>
        </w:rPr>
        <w:t>-0001</w:t>
      </w:r>
    </w:p>
    <w:p w14:paraId="575BF0FF" w14:textId="77777777" w:rsidR="00D85F76" w:rsidRPr="003C4C79" w:rsidRDefault="00D85F76" w:rsidP="00D85F76"/>
    <w:p w14:paraId="7D393D2D" w14:textId="77777777" w:rsidR="00D85F76" w:rsidRPr="003C4C79" w:rsidRDefault="00D85F76" w:rsidP="00D85F76"/>
    <w:p w14:paraId="17ECDFAF" w14:textId="77777777" w:rsidR="00D85F76" w:rsidRPr="003C4C79" w:rsidRDefault="00D85F76" w:rsidP="00D85F76"/>
    <w:p w14:paraId="754E0B9F" w14:textId="77777777" w:rsidR="00D85F76" w:rsidRPr="003C4C79" w:rsidRDefault="00D85F76" w:rsidP="00D85F76"/>
    <w:p w14:paraId="4E20C4CD" w14:textId="77777777" w:rsidR="00D85F76" w:rsidRPr="003C4C79" w:rsidRDefault="00D85F76" w:rsidP="00D85F76"/>
    <w:p w14:paraId="5A2AD7FE" w14:textId="77777777" w:rsidR="00D85F76" w:rsidRPr="003C4C79" w:rsidRDefault="00D85F76" w:rsidP="00D85F76"/>
    <w:p w14:paraId="38AD1E37" w14:textId="77777777" w:rsidR="00D85F76" w:rsidRPr="003C4C79" w:rsidRDefault="00D85F76" w:rsidP="00D85F76"/>
    <w:p w14:paraId="646CEFE2" w14:textId="77777777" w:rsidR="00D85F76" w:rsidRPr="003C4C79" w:rsidRDefault="00D85F76" w:rsidP="00D85F76"/>
    <w:p w14:paraId="423B8B04" w14:textId="77777777" w:rsidR="00D85F76" w:rsidRPr="003C4C79" w:rsidRDefault="00D85F76" w:rsidP="00D85F76"/>
    <w:p w14:paraId="0150F119" w14:textId="77777777" w:rsidR="00D85F76" w:rsidRPr="003C4C79" w:rsidRDefault="00D85F76" w:rsidP="00D85F76"/>
    <w:p w14:paraId="193DFAFD" w14:textId="77777777" w:rsidR="00D85F76" w:rsidRPr="003C4C79" w:rsidRDefault="00D85F76" w:rsidP="00D85F76">
      <w:pPr>
        <w:tabs>
          <w:tab w:val="left" w:pos="9360"/>
        </w:tabs>
        <w:spacing w:after="240"/>
        <w:rPr>
          <w:u w:val="single"/>
        </w:rPr>
      </w:pPr>
      <w:r w:rsidRPr="003C4C79">
        <w:rPr>
          <w:u w:val="single"/>
        </w:rPr>
        <w:tab/>
      </w:r>
    </w:p>
    <w:p w14:paraId="79D28A82" w14:textId="77777777" w:rsidR="00D85F76" w:rsidRPr="003C4C79" w:rsidRDefault="00D85F76" w:rsidP="00D85F76">
      <w:pPr>
        <w:jc w:val="center"/>
        <w:rPr>
          <w:b/>
          <w:sz w:val="48"/>
          <w:szCs w:val="48"/>
        </w:rPr>
      </w:pPr>
      <w:r w:rsidRPr="003C4C79">
        <w:rPr>
          <w:b/>
          <w:sz w:val="48"/>
          <w:szCs w:val="48"/>
        </w:rPr>
        <w:t>COMMENTS</w:t>
      </w:r>
    </w:p>
    <w:p w14:paraId="1D189753" w14:textId="77777777" w:rsidR="00D85F76" w:rsidRPr="003C4C79" w:rsidRDefault="00D85F76" w:rsidP="00D85F76">
      <w:pPr>
        <w:jc w:val="center"/>
        <w:rPr>
          <w:b/>
          <w:sz w:val="36"/>
          <w:szCs w:val="36"/>
        </w:rPr>
      </w:pPr>
      <w:r w:rsidRPr="003C4C79">
        <w:rPr>
          <w:b/>
          <w:sz w:val="36"/>
          <w:szCs w:val="36"/>
        </w:rPr>
        <w:t>SUBMITTED ON BEHALF OF</w:t>
      </w:r>
    </w:p>
    <w:p w14:paraId="53721136" w14:textId="77777777" w:rsidR="00D85F76" w:rsidRPr="003C4C79" w:rsidRDefault="00D85F76" w:rsidP="00D85F76">
      <w:pPr>
        <w:jc w:val="center"/>
        <w:rPr>
          <w:b/>
          <w:sz w:val="36"/>
          <w:szCs w:val="36"/>
        </w:rPr>
      </w:pPr>
      <w:r w:rsidRPr="003C4C79">
        <w:rPr>
          <w:b/>
          <w:sz w:val="36"/>
          <w:szCs w:val="36"/>
        </w:rPr>
        <w:t>THE PUBLIC UTILITIES COMMISSION OF OHIO</w:t>
      </w:r>
    </w:p>
    <w:p w14:paraId="5A0B1816" w14:textId="77777777" w:rsidR="00D85F76" w:rsidRPr="003C4C79" w:rsidRDefault="00D85F76" w:rsidP="00D85F76">
      <w:pPr>
        <w:tabs>
          <w:tab w:val="left" w:pos="9360"/>
        </w:tabs>
        <w:rPr>
          <w:u w:val="single"/>
        </w:rPr>
      </w:pPr>
      <w:r w:rsidRPr="003C4C79">
        <w:rPr>
          <w:u w:val="single"/>
        </w:rPr>
        <w:tab/>
      </w:r>
    </w:p>
    <w:p w14:paraId="76A7EB2A" w14:textId="77777777" w:rsidR="00D85F76" w:rsidRPr="003C4C79" w:rsidRDefault="00D85F76" w:rsidP="00D85F76">
      <w:pPr>
        <w:rPr>
          <w:b/>
          <w:sz w:val="36"/>
          <w:szCs w:val="36"/>
        </w:rPr>
      </w:pPr>
    </w:p>
    <w:p w14:paraId="22F5AF08" w14:textId="77777777" w:rsidR="00D85F76" w:rsidRPr="003C4C79" w:rsidRDefault="00D85F76" w:rsidP="00D85F76">
      <w:pPr>
        <w:rPr>
          <w:b/>
          <w:sz w:val="36"/>
          <w:szCs w:val="36"/>
        </w:rPr>
      </w:pPr>
    </w:p>
    <w:p w14:paraId="46489AA6" w14:textId="77777777" w:rsidR="00D85F76" w:rsidRPr="003C4C79" w:rsidRDefault="00D85F76" w:rsidP="00D85F76">
      <w:pPr>
        <w:rPr>
          <w:b/>
          <w:sz w:val="36"/>
          <w:szCs w:val="36"/>
        </w:rPr>
      </w:pPr>
    </w:p>
    <w:p w14:paraId="6A61BCDA" w14:textId="77777777" w:rsidR="00D85F76" w:rsidRPr="003C4C79" w:rsidRDefault="00D85F76" w:rsidP="00D85F76">
      <w:pPr>
        <w:rPr>
          <w:b/>
          <w:sz w:val="36"/>
          <w:szCs w:val="36"/>
        </w:rPr>
      </w:pPr>
    </w:p>
    <w:p w14:paraId="4296DC46" w14:textId="77777777" w:rsidR="00D85F76" w:rsidRPr="003C4C79" w:rsidRDefault="00D85F76" w:rsidP="00D85F76">
      <w:pPr>
        <w:rPr>
          <w:b/>
          <w:sz w:val="36"/>
          <w:szCs w:val="36"/>
        </w:rPr>
      </w:pPr>
    </w:p>
    <w:p w14:paraId="308D448B" w14:textId="77777777" w:rsidR="00D85F76" w:rsidRPr="003C4C79" w:rsidRDefault="00D85F76" w:rsidP="00D85F76">
      <w:pPr>
        <w:rPr>
          <w:b/>
          <w:sz w:val="36"/>
          <w:szCs w:val="36"/>
        </w:rPr>
      </w:pPr>
    </w:p>
    <w:p w14:paraId="368B5D8A" w14:textId="77777777" w:rsidR="00D85F76" w:rsidRPr="003C4C79" w:rsidRDefault="00D85F76" w:rsidP="00D85F76">
      <w:pPr>
        <w:rPr>
          <w:b/>
          <w:sz w:val="36"/>
          <w:szCs w:val="36"/>
        </w:rPr>
      </w:pPr>
    </w:p>
    <w:p w14:paraId="1B905732" w14:textId="77777777" w:rsidR="00D85F76" w:rsidRPr="003C4C79" w:rsidRDefault="00D85F76" w:rsidP="00D85F76">
      <w:pPr>
        <w:rPr>
          <w:b/>
          <w:sz w:val="36"/>
          <w:szCs w:val="36"/>
        </w:rPr>
      </w:pPr>
    </w:p>
    <w:p w14:paraId="0B6DC766" w14:textId="77777777" w:rsidR="00D85F76" w:rsidRPr="003C4C79" w:rsidRDefault="00D85F76" w:rsidP="00D85F76">
      <w:pPr>
        <w:rPr>
          <w:b/>
          <w:sz w:val="36"/>
          <w:szCs w:val="36"/>
        </w:rPr>
      </w:pPr>
    </w:p>
    <w:p w14:paraId="0D874A4E" w14:textId="77777777" w:rsidR="00D85F76" w:rsidRPr="003C4C79" w:rsidRDefault="00D85F76" w:rsidP="00D85F76">
      <w:pPr>
        <w:rPr>
          <w:b/>
          <w:sz w:val="36"/>
          <w:szCs w:val="36"/>
        </w:rPr>
      </w:pPr>
    </w:p>
    <w:p w14:paraId="1A3A594C" w14:textId="77777777" w:rsidR="00D85F76" w:rsidRPr="003C4C79" w:rsidRDefault="00D85F76" w:rsidP="00D85F76">
      <w:pPr>
        <w:rPr>
          <w:b/>
          <w:sz w:val="36"/>
          <w:szCs w:val="36"/>
        </w:rPr>
      </w:pPr>
    </w:p>
    <w:p w14:paraId="4B806C9C" w14:textId="77777777" w:rsidR="00D85F76" w:rsidRPr="003C4C79" w:rsidRDefault="00D85F76" w:rsidP="00D85F76">
      <w:pPr>
        <w:rPr>
          <w:b/>
          <w:sz w:val="36"/>
          <w:szCs w:val="36"/>
        </w:rPr>
      </w:pPr>
    </w:p>
    <w:p w14:paraId="18D378C3" w14:textId="77777777" w:rsidR="00D85F76" w:rsidRPr="003C4C79" w:rsidRDefault="00D85F76" w:rsidP="00D85F76">
      <w:pPr>
        <w:rPr>
          <w:b/>
          <w:sz w:val="36"/>
          <w:szCs w:val="36"/>
        </w:rPr>
      </w:pPr>
    </w:p>
    <w:p w14:paraId="03CC8D63" w14:textId="77777777" w:rsidR="00D85F76" w:rsidRPr="003C4C79" w:rsidRDefault="00D85F76" w:rsidP="00D85F76">
      <w:pPr>
        <w:rPr>
          <w:b/>
          <w:sz w:val="36"/>
          <w:szCs w:val="36"/>
        </w:rPr>
      </w:pPr>
    </w:p>
    <w:p w14:paraId="5958B973" w14:textId="77777777" w:rsidR="00D85F76" w:rsidRPr="003C4C79" w:rsidRDefault="00D85F76" w:rsidP="00D85F76">
      <w:pPr>
        <w:jc w:val="center"/>
        <w:rPr>
          <w:b/>
          <w:sz w:val="28"/>
          <w:szCs w:val="28"/>
        </w:rPr>
      </w:pPr>
    </w:p>
    <w:p w14:paraId="3BCF4A3E" w14:textId="62813135" w:rsidR="00D85F76" w:rsidRPr="003C4C79" w:rsidRDefault="00954B30" w:rsidP="00D85F76">
      <w:pPr>
        <w:jc w:val="center"/>
        <w:rPr>
          <w:b/>
          <w:sz w:val="28"/>
          <w:szCs w:val="28"/>
        </w:rPr>
        <w:sectPr w:rsidR="00D85F76" w:rsidRPr="003C4C79" w:rsidSect="00282C37">
          <w:footerReference w:type="default" r:id="rId9"/>
          <w:pgSz w:w="12240" w:h="15840" w:code="1"/>
          <w:pgMar w:top="1440" w:right="1440" w:bottom="1440" w:left="1440" w:header="720" w:footer="432" w:gutter="0"/>
          <w:pgNumType w:start="1"/>
          <w:cols w:space="720"/>
          <w:titlePg/>
          <w:docGrid w:linePitch="360"/>
        </w:sectPr>
      </w:pPr>
      <w:r>
        <w:rPr>
          <w:b/>
          <w:sz w:val="28"/>
          <w:szCs w:val="28"/>
        </w:rPr>
        <w:t xml:space="preserve">April </w:t>
      </w:r>
      <w:r w:rsidR="00AC34B1">
        <w:rPr>
          <w:b/>
          <w:sz w:val="28"/>
          <w:szCs w:val="28"/>
        </w:rPr>
        <w:t>9,</w:t>
      </w:r>
      <w:r w:rsidR="00BA2AAC" w:rsidRPr="003C4C79">
        <w:rPr>
          <w:b/>
          <w:sz w:val="28"/>
          <w:szCs w:val="28"/>
        </w:rPr>
        <w:t xml:space="preserve"> 2014</w:t>
      </w:r>
    </w:p>
    <w:p w14:paraId="104669C6" w14:textId="77777777" w:rsidR="006E291C" w:rsidRDefault="00D85F76">
      <w:pPr>
        <w:pStyle w:val="TOC1"/>
        <w:rPr>
          <w:rFonts w:asciiTheme="minorHAnsi" w:eastAsiaTheme="minorEastAsia" w:hAnsiTheme="minorHAnsi" w:cstheme="minorBidi"/>
          <w:noProof/>
          <w:sz w:val="22"/>
          <w:szCs w:val="22"/>
        </w:rPr>
      </w:pPr>
      <w:r w:rsidRPr="003C4C79">
        <w:rPr>
          <w:b/>
          <w:sz w:val="36"/>
          <w:szCs w:val="36"/>
        </w:rPr>
        <w:lastRenderedPageBreak/>
        <w:fldChar w:fldCharType="begin"/>
      </w:r>
      <w:r w:rsidRPr="003C4C79">
        <w:rPr>
          <w:b/>
          <w:sz w:val="36"/>
          <w:szCs w:val="36"/>
        </w:rPr>
        <w:instrText xml:space="preserve"> TOC \o "1-3" \u </w:instrText>
      </w:r>
      <w:r w:rsidRPr="003C4C79">
        <w:rPr>
          <w:b/>
          <w:sz w:val="36"/>
          <w:szCs w:val="36"/>
        </w:rPr>
        <w:fldChar w:fldCharType="separate"/>
      </w:r>
      <w:r w:rsidR="006E291C" w:rsidRPr="00000955">
        <w:rPr>
          <w:noProof/>
        </w:rPr>
        <w:t>I.</w:t>
      </w:r>
      <w:r w:rsidR="006E291C">
        <w:rPr>
          <w:rFonts w:asciiTheme="minorHAnsi" w:eastAsiaTheme="minorEastAsia" w:hAnsiTheme="minorHAnsi" w:cstheme="minorBidi"/>
          <w:noProof/>
          <w:sz w:val="22"/>
          <w:szCs w:val="22"/>
        </w:rPr>
        <w:tab/>
      </w:r>
      <w:r w:rsidR="006E291C" w:rsidRPr="00000955">
        <w:rPr>
          <w:noProof/>
        </w:rPr>
        <w:t>INTRODUCTION</w:t>
      </w:r>
      <w:r w:rsidR="006E291C">
        <w:rPr>
          <w:noProof/>
        </w:rPr>
        <w:tab/>
      </w:r>
      <w:r w:rsidR="006E291C">
        <w:rPr>
          <w:noProof/>
        </w:rPr>
        <w:fldChar w:fldCharType="begin"/>
      </w:r>
      <w:r w:rsidR="006E291C">
        <w:rPr>
          <w:noProof/>
        </w:rPr>
        <w:instrText xml:space="preserve"> PAGEREF _Toc384819356 \h </w:instrText>
      </w:r>
      <w:r w:rsidR="006E291C">
        <w:rPr>
          <w:noProof/>
        </w:rPr>
      </w:r>
      <w:r w:rsidR="006E291C">
        <w:rPr>
          <w:noProof/>
        </w:rPr>
        <w:fldChar w:fldCharType="separate"/>
      </w:r>
      <w:r w:rsidR="006E291C">
        <w:rPr>
          <w:noProof/>
        </w:rPr>
        <w:t>1</w:t>
      </w:r>
      <w:r w:rsidR="006E291C">
        <w:rPr>
          <w:noProof/>
        </w:rPr>
        <w:fldChar w:fldCharType="end"/>
      </w:r>
    </w:p>
    <w:p w14:paraId="78548261" w14:textId="77777777" w:rsidR="006E291C" w:rsidRDefault="006E291C">
      <w:pPr>
        <w:pStyle w:val="TOC2"/>
        <w:rPr>
          <w:rFonts w:asciiTheme="minorHAnsi" w:eastAsiaTheme="minorEastAsia" w:hAnsiTheme="minorHAnsi" w:cstheme="minorBidi"/>
          <w:noProof/>
          <w:sz w:val="22"/>
          <w:szCs w:val="22"/>
        </w:rPr>
      </w:pPr>
      <w:r>
        <w:rPr>
          <w:noProof/>
        </w:rPr>
        <w:t>A. Section 111 of the Clear Air Act New Source Performance Standards</w:t>
      </w:r>
      <w:r>
        <w:rPr>
          <w:noProof/>
        </w:rPr>
        <w:tab/>
      </w:r>
      <w:r>
        <w:rPr>
          <w:noProof/>
        </w:rPr>
        <w:fldChar w:fldCharType="begin"/>
      </w:r>
      <w:r>
        <w:rPr>
          <w:noProof/>
        </w:rPr>
        <w:instrText xml:space="preserve"> PAGEREF _Toc384819357 \h </w:instrText>
      </w:r>
      <w:r>
        <w:rPr>
          <w:noProof/>
        </w:rPr>
      </w:r>
      <w:r>
        <w:rPr>
          <w:noProof/>
        </w:rPr>
        <w:fldChar w:fldCharType="separate"/>
      </w:r>
      <w:r>
        <w:rPr>
          <w:noProof/>
        </w:rPr>
        <w:t>2</w:t>
      </w:r>
      <w:r>
        <w:rPr>
          <w:noProof/>
        </w:rPr>
        <w:fldChar w:fldCharType="end"/>
      </w:r>
    </w:p>
    <w:p w14:paraId="5D1ABEF2" w14:textId="77777777" w:rsidR="006E291C" w:rsidRDefault="006E291C">
      <w:pPr>
        <w:pStyle w:val="TOC2"/>
        <w:rPr>
          <w:rFonts w:asciiTheme="minorHAnsi" w:eastAsiaTheme="minorEastAsia" w:hAnsiTheme="minorHAnsi" w:cstheme="minorBidi"/>
          <w:noProof/>
          <w:sz w:val="22"/>
          <w:szCs w:val="22"/>
        </w:rPr>
      </w:pPr>
      <w:r>
        <w:rPr>
          <w:noProof/>
        </w:rPr>
        <w:t>B. Changes to Proposed Rulemaking</w:t>
      </w:r>
      <w:r>
        <w:rPr>
          <w:noProof/>
        </w:rPr>
        <w:tab/>
      </w:r>
      <w:r>
        <w:rPr>
          <w:noProof/>
        </w:rPr>
        <w:fldChar w:fldCharType="begin"/>
      </w:r>
      <w:r>
        <w:rPr>
          <w:noProof/>
        </w:rPr>
        <w:instrText xml:space="preserve"> PAGEREF _Toc384819358 \h </w:instrText>
      </w:r>
      <w:r>
        <w:rPr>
          <w:noProof/>
        </w:rPr>
      </w:r>
      <w:r>
        <w:rPr>
          <w:noProof/>
        </w:rPr>
        <w:fldChar w:fldCharType="separate"/>
      </w:r>
      <w:r>
        <w:rPr>
          <w:noProof/>
        </w:rPr>
        <w:t>3</w:t>
      </w:r>
      <w:r>
        <w:rPr>
          <w:noProof/>
        </w:rPr>
        <w:fldChar w:fldCharType="end"/>
      </w:r>
    </w:p>
    <w:p w14:paraId="661C1F8E" w14:textId="77777777" w:rsidR="006E291C" w:rsidRDefault="006E291C">
      <w:pPr>
        <w:pStyle w:val="TOC2"/>
        <w:rPr>
          <w:rFonts w:asciiTheme="minorHAnsi" w:eastAsiaTheme="minorEastAsia" w:hAnsiTheme="minorHAnsi" w:cstheme="minorBidi"/>
          <w:noProof/>
          <w:sz w:val="22"/>
          <w:szCs w:val="22"/>
        </w:rPr>
      </w:pPr>
      <w:r>
        <w:rPr>
          <w:noProof/>
        </w:rPr>
        <w:t>C. Regional Perspective</w:t>
      </w:r>
      <w:r>
        <w:rPr>
          <w:noProof/>
        </w:rPr>
        <w:tab/>
      </w:r>
      <w:r>
        <w:rPr>
          <w:noProof/>
        </w:rPr>
        <w:fldChar w:fldCharType="begin"/>
      </w:r>
      <w:r>
        <w:rPr>
          <w:noProof/>
        </w:rPr>
        <w:instrText xml:space="preserve"> PAGEREF _Toc384819359 \h </w:instrText>
      </w:r>
      <w:r>
        <w:rPr>
          <w:noProof/>
        </w:rPr>
      </w:r>
      <w:r>
        <w:rPr>
          <w:noProof/>
        </w:rPr>
        <w:fldChar w:fldCharType="separate"/>
      </w:r>
      <w:r>
        <w:rPr>
          <w:noProof/>
        </w:rPr>
        <w:t>5</w:t>
      </w:r>
      <w:r>
        <w:rPr>
          <w:noProof/>
        </w:rPr>
        <w:fldChar w:fldCharType="end"/>
      </w:r>
    </w:p>
    <w:p w14:paraId="5FF37C07" w14:textId="77777777" w:rsidR="006E291C" w:rsidRDefault="006E291C">
      <w:pPr>
        <w:pStyle w:val="TOC1"/>
        <w:rPr>
          <w:rFonts w:asciiTheme="minorHAnsi" w:eastAsiaTheme="minorEastAsia" w:hAnsiTheme="minorHAnsi" w:cstheme="minorBidi"/>
          <w:noProof/>
          <w:sz w:val="22"/>
          <w:szCs w:val="22"/>
        </w:rPr>
      </w:pPr>
      <w:r w:rsidRPr="00000955">
        <w:rPr>
          <w:noProof/>
        </w:rPr>
        <w:t>II.</w:t>
      </w:r>
      <w:r>
        <w:rPr>
          <w:rFonts w:asciiTheme="minorHAnsi" w:eastAsiaTheme="minorEastAsia" w:hAnsiTheme="minorHAnsi" w:cstheme="minorBidi"/>
          <w:noProof/>
          <w:sz w:val="22"/>
          <w:szCs w:val="22"/>
        </w:rPr>
        <w:tab/>
      </w:r>
      <w:r w:rsidRPr="00000955">
        <w:rPr>
          <w:noProof/>
        </w:rPr>
        <w:t>COMMENTS</w:t>
      </w:r>
      <w:r>
        <w:rPr>
          <w:noProof/>
        </w:rPr>
        <w:tab/>
      </w:r>
      <w:r>
        <w:rPr>
          <w:noProof/>
        </w:rPr>
        <w:fldChar w:fldCharType="begin"/>
      </w:r>
      <w:r>
        <w:rPr>
          <w:noProof/>
        </w:rPr>
        <w:instrText xml:space="preserve"> PAGEREF _Toc384819360 \h </w:instrText>
      </w:r>
      <w:r>
        <w:rPr>
          <w:noProof/>
        </w:rPr>
      </w:r>
      <w:r>
        <w:rPr>
          <w:noProof/>
        </w:rPr>
        <w:fldChar w:fldCharType="separate"/>
      </w:r>
      <w:r>
        <w:rPr>
          <w:noProof/>
        </w:rPr>
        <w:t>7</w:t>
      </w:r>
      <w:r>
        <w:rPr>
          <w:noProof/>
        </w:rPr>
        <w:fldChar w:fldCharType="end"/>
      </w:r>
    </w:p>
    <w:p w14:paraId="1AE9F289" w14:textId="77777777" w:rsidR="006E291C" w:rsidRDefault="006E291C">
      <w:pPr>
        <w:pStyle w:val="TOC2"/>
        <w:tabs>
          <w:tab w:val="left" w:pos="1320"/>
        </w:tabs>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The PUCO has serious concerns about protecting Ohio consumers from high electric prices and from unexpected outages based on EPA’s Proposed 111(b) Rule.</w:t>
      </w:r>
      <w:r>
        <w:rPr>
          <w:noProof/>
        </w:rPr>
        <w:tab/>
      </w:r>
      <w:r>
        <w:rPr>
          <w:noProof/>
        </w:rPr>
        <w:fldChar w:fldCharType="begin"/>
      </w:r>
      <w:r>
        <w:rPr>
          <w:noProof/>
        </w:rPr>
        <w:instrText xml:space="preserve"> PAGEREF _Toc384819361 \h </w:instrText>
      </w:r>
      <w:r>
        <w:rPr>
          <w:noProof/>
        </w:rPr>
      </w:r>
      <w:r>
        <w:rPr>
          <w:noProof/>
        </w:rPr>
        <w:fldChar w:fldCharType="separate"/>
      </w:r>
      <w:r>
        <w:rPr>
          <w:noProof/>
        </w:rPr>
        <w:t>7</w:t>
      </w:r>
      <w:r>
        <w:rPr>
          <w:noProof/>
        </w:rPr>
        <w:fldChar w:fldCharType="end"/>
      </w:r>
    </w:p>
    <w:p w14:paraId="1C0A2B04" w14:textId="77777777" w:rsidR="006E291C" w:rsidRDefault="006E291C">
      <w:pPr>
        <w:pStyle w:val="TOC2"/>
        <w:tabs>
          <w:tab w:val="left" w:pos="1320"/>
        </w:tabs>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The PUCO is concerned about the proposed rule’s reliance upon and specification of CCS technology and requests the EPA consider other viable alternatives reflective of current technology.</w:t>
      </w:r>
      <w:r>
        <w:rPr>
          <w:noProof/>
        </w:rPr>
        <w:tab/>
      </w:r>
      <w:r>
        <w:rPr>
          <w:noProof/>
        </w:rPr>
        <w:fldChar w:fldCharType="begin"/>
      </w:r>
      <w:r>
        <w:rPr>
          <w:noProof/>
        </w:rPr>
        <w:instrText xml:space="preserve"> PAGEREF _Toc384819362 \h </w:instrText>
      </w:r>
      <w:r>
        <w:rPr>
          <w:noProof/>
        </w:rPr>
      </w:r>
      <w:r>
        <w:rPr>
          <w:noProof/>
        </w:rPr>
        <w:fldChar w:fldCharType="separate"/>
      </w:r>
      <w:r>
        <w:rPr>
          <w:noProof/>
        </w:rPr>
        <w:t>12</w:t>
      </w:r>
      <w:r>
        <w:rPr>
          <w:noProof/>
        </w:rPr>
        <w:fldChar w:fldCharType="end"/>
      </w:r>
    </w:p>
    <w:p w14:paraId="4D21099A" w14:textId="77777777" w:rsidR="006E291C" w:rsidRDefault="006E291C">
      <w:pPr>
        <w:pStyle w:val="TOC1"/>
        <w:rPr>
          <w:rFonts w:asciiTheme="minorHAnsi" w:eastAsiaTheme="minorEastAsia" w:hAnsiTheme="minorHAnsi" w:cstheme="minorBidi"/>
          <w:noProof/>
          <w:sz w:val="22"/>
          <w:szCs w:val="22"/>
        </w:rPr>
      </w:pPr>
      <w:r w:rsidRPr="00000955">
        <w:rPr>
          <w:noProof/>
        </w:rPr>
        <w:t>III.</w:t>
      </w:r>
      <w:r>
        <w:rPr>
          <w:rFonts w:asciiTheme="minorHAnsi" w:eastAsiaTheme="minorEastAsia" w:hAnsiTheme="minorHAnsi" w:cstheme="minorBidi"/>
          <w:noProof/>
          <w:sz w:val="22"/>
          <w:szCs w:val="22"/>
        </w:rPr>
        <w:tab/>
      </w:r>
      <w:r w:rsidRPr="00000955">
        <w:rPr>
          <w:noProof/>
        </w:rPr>
        <w:t>CONCLUSION</w:t>
      </w:r>
      <w:r>
        <w:rPr>
          <w:noProof/>
        </w:rPr>
        <w:tab/>
      </w:r>
      <w:r>
        <w:rPr>
          <w:noProof/>
        </w:rPr>
        <w:fldChar w:fldCharType="begin"/>
      </w:r>
      <w:r>
        <w:rPr>
          <w:noProof/>
        </w:rPr>
        <w:instrText xml:space="preserve"> PAGEREF _Toc384819363 \h </w:instrText>
      </w:r>
      <w:r>
        <w:rPr>
          <w:noProof/>
        </w:rPr>
      </w:r>
      <w:r>
        <w:rPr>
          <w:noProof/>
        </w:rPr>
        <w:fldChar w:fldCharType="separate"/>
      </w:r>
      <w:r>
        <w:rPr>
          <w:noProof/>
        </w:rPr>
        <w:t>17</w:t>
      </w:r>
      <w:r>
        <w:rPr>
          <w:noProof/>
        </w:rPr>
        <w:fldChar w:fldCharType="end"/>
      </w:r>
    </w:p>
    <w:p w14:paraId="22A65ACC" w14:textId="77777777" w:rsidR="00D85F76" w:rsidRPr="003C4C79" w:rsidRDefault="00D85F76" w:rsidP="00D85F76">
      <w:pPr>
        <w:jc w:val="center"/>
        <w:rPr>
          <w:b/>
          <w:sz w:val="36"/>
          <w:szCs w:val="36"/>
        </w:rPr>
        <w:sectPr w:rsidR="00D85F76" w:rsidRPr="003C4C79" w:rsidSect="00282C37">
          <w:headerReference w:type="first" r:id="rId10"/>
          <w:footerReference w:type="first" r:id="rId11"/>
          <w:pgSz w:w="12240" w:h="15840" w:code="1"/>
          <w:pgMar w:top="1440" w:right="1440" w:bottom="1440" w:left="1440" w:header="720" w:footer="432" w:gutter="0"/>
          <w:pgNumType w:fmt="lowerRoman" w:start="1"/>
          <w:cols w:space="720"/>
          <w:titlePg/>
          <w:docGrid w:linePitch="360"/>
        </w:sectPr>
      </w:pPr>
      <w:r w:rsidRPr="003C4C79">
        <w:rPr>
          <w:b/>
          <w:sz w:val="36"/>
          <w:szCs w:val="36"/>
        </w:rPr>
        <w:fldChar w:fldCharType="end"/>
      </w:r>
    </w:p>
    <w:p w14:paraId="62F5FDF4" w14:textId="77777777" w:rsidR="00D85F76" w:rsidRPr="003C4C79" w:rsidRDefault="00D85F76" w:rsidP="00D85F76">
      <w:pPr>
        <w:jc w:val="center"/>
        <w:rPr>
          <w:b/>
          <w:sz w:val="36"/>
          <w:szCs w:val="36"/>
        </w:rPr>
      </w:pPr>
      <w:r w:rsidRPr="003C4C79">
        <w:rPr>
          <w:b/>
          <w:sz w:val="36"/>
          <w:szCs w:val="36"/>
        </w:rPr>
        <w:lastRenderedPageBreak/>
        <w:t>UNITED STATES</w:t>
      </w:r>
    </w:p>
    <w:p w14:paraId="121C5C2D" w14:textId="77777777" w:rsidR="00D85F76" w:rsidRPr="003C4C79" w:rsidRDefault="00D85F76" w:rsidP="00D85F76">
      <w:pPr>
        <w:jc w:val="center"/>
        <w:rPr>
          <w:b/>
          <w:sz w:val="36"/>
          <w:szCs w:val="36"/>
        </w:rPr>
      </w:pPr>
      <w:r w:rsidRPr="003C4C79">
        <w:rPr>
          <w:b/>
          <w:sz w:val="36"/>
          <w:szCs w:val="36"/>
        </w:rPr>
        <w:t>Environmental Protection Agency</w:t>
      </w:r>
    </w:p>
    <w:p w14:paraId="6508D85A" w14:textId="77777777" w:rsidR="00D85F76" w:rsidRPr="003C4C79" w:rsidRDefault="00D85F76" w:rsidP="00D85F76"/>
    <w:p w14:paraId="1F60E2C4" w14:textId="01273731" w:rsidR="00D85F76" w:rsidRPr="003C4C79" w:rsidRDefault="00CF7D27" w:rsidP="00D85F76">
      <w:pPr>
        <w:jc w:val="center"/>
        <w:rPr>
          <w:b/>
          <w:sz w:val="36"/>
          <w:szCs w:val="36"/>
        </w:rPr>
      </w:pPr>
      <w:r w:rsidRPr="003C4C79">
        <w:rPr>
          <w:b/>
          <w:sz w:val="36"/>
          <w:szCs w:val="36"/>
        </w:rPr>
        <w:t>Docket ID No</w:t>
      </w:r>
      <w:proofErr w:type="gramStart"/>
      <w:r w:rsidRPr="003C4C79">
        <w:rPr>
          <w:b/>
          <w:sz w:val="36"/>
          <w:szCs w:val="36"/>
        </w:rPr>
        <w:t xml:space="preserve">. </w:t>
      </w:r>
      <w:proofErr w:type="gramEnd"/>
      <w:r w:rsidRPr="003C4C79">
        <w:rPr>
          <w:b/>
          <w:sz w:val="36"/>
          <w:szCs w:val="36"/>
        </w:rPr>
        <w:t>EPA-HQ-OAR-2013-0495</w:t>
      </w:r>
      <w:r w:rsidR="00EE1C77">
        <w:rPr>
          <w:b/>
          <w:sz w:val="36"/>
          <w:szCs w:val="36"/>
        </w:rPr>
        <w:t>-0001</w:t>
      </w:r>
    </w:p>
    <w:p w14:paraId="62E84C86" w14:textId="77777777" w:rsidR="00D85F76" w:rsidRPr="003C4C79" w:rsidRDefault="00D85F76" w:rsidP="00D85F76"/>
    <w:p w14:paraId="04CC89EC" w14:textId="77777777" w:rsidR="00D85F76" w:rsidRPr="003C4C79" w:rsidRDefault="00D85F76" w:rsidP="00D85F76"/>
    <w:p w14:paraId="35D3E306" w14:textId="77777777" w:rsidR="00D85F76" w:rsidRPr="003C4C79" w:rsidRDefault="00D85F76" w:rsidP="00D85F76"/>
    <w:p w14:paraId="1CB9312D" w14:textId="77777777" w:rsidR="00D85F76" w:rsidRPr="003C4C79" w:rsidRDefault="00D85F76" w:rsidP="00D85F76">
      <w:pPr>
        <w:tabs>
          <w:tab w:val="left" w:pos="9360"/>
        </w:tabs>
        <w:spacing w:after="240"/>
        <w:rPr>
          <w:u w:val="single"/>
        </w:rPr>
      </w:pPr>
      <w:r w:rsidRPr="003C4C79">
        <w:rPr>
          <w:u w:val="single"/>
        </w:rPr>
        <w:tab/>
      </w:r>
    </w:p>
    <w:p w14:paraId="07A05694" w14:textId="77777777" w:rsidR="00D85F76" w:rsidRPr="003C4C79" w:rsidRDefault="00D85F76" w:rsidP="00D85F76">
      <w:pPr>
        <w:jc w:val="center"/>
        <w:rPr>
          <w:b/>
          <w:sz w:val="48"/>
          <w:szCs w:val="48"/>
        </w:rPr>
      </w:pPr>
      <w:r w:rsidRPr="003C4C79">
        <w:rPr>
          <w:b/>
          <w:sz w:val="48"/>
          <w:szCs w:val="48"/>
        </w:rPr>
        <w:t>COMMENTS</w:t>
      </w:r>
    </w:p>
    <w:p w14:paraId="2D262D54" w14:textId="77777777" w:rsidR="00D85F76" w:rsidRPr="003C4C79" w:rsidRDefault="00D85F76" w:rsidP="00D85F76">
      <w:pPr>
        <w:jc w:val="center"/>
        <w:rPr>
          <w:b/>
          <w:sz w:val="36"/>
          <w:szCs w:val="36"/>
        </w:rPr>
      </w:pPr>
      <w:r w:rsidRPr="003C4C79">
        <w:rPr>
          <w:b/>
          <w:sz w:val="36"/>
          <w:szCs w:val="36"/>
        </w:rPr>
        <w:t>SUBMITTED ON BEHALF OF</w:t>
      </w:r>
    </w:p>
    <w:p w14:paraId="2CA5C6E2" w14:textId="77777777" w:rsidR="00D85F76" w:rsidRPr="003C4C79" w:rsidRDefault="00D85F76" w:rsidP="00D85F76">
      <w:pPr>
        <w:jc w:val="center"/>
        <w:rPr>
          <w:b/>
          <w:sz w:val="36"/>
          <w:szCs w:val="36"/>
        </w:rPr>
      </w:pPr>
      <w:r w:rsidRPr="003C4C79">
        <w:rPr>
          <w:b/>
          <w:sz w:val="36"/>
          <w:szCs w:val="36"/>
        </w:rPr>
        <w:t>THE PUBLIC UTILITIES COMMISSION OF OHIO</w:t>
      </w:r>
    </w:p>
    <w:p w14:paraId="6ECB9DFF" w14:textId="77777777" w:rsidR="00D85F76" w:rsidRPr="003C4C79" w:rsidRDefault="00D85F76" w:rsidP="00D85F76">
      <w:pPr>
        <w:tabs>
          <w:tab w:val="left" w:pos="9360"/>
        </w:tabs>
        <w:spacing w:after="240"/>
        <w:rPr>
          <w:u w:val="single"/>
        </w:rPr>
      </w:pPr>
      <w:r w:rsidRPr="003C4C79">
        <w:rPr>
          <w:u w:val="single"/>
        </w:rPr>
        <w:tab/>
      </w:r>
    </w:p>
    <w:p w14:paraId="07E3EBB1" w14:textId="77777777" w:rsidR="00D85F76" w:rsidRPr="003C4C79" w:rsidRDefault="00D85F76" w:rsidP="00F74DE6">
      <w:pPr>
        <w:pStyle w:val="Heading1"/>
        <w:rPr>
          <w:rFonts w:cs="Times New Roman"/>
        </w:rPr>
      </w:pPr>
      <w:bookmarkStart w:id="0" w:name="_Toc384819356"/>
      <w:r w:rsidRPr="003C4C79">
        <w:rPr>
          <w:rFonts w:cs="Times New Roman"/>
        </w:rPr>
        <w:t>INTRODUCTION</w:t>
      </w:r>
      <w:bookmarkEnd w:id="0"/>
    </w:p>
    <w:p w14:paraId="4DD58BD0" w14:textId="045F626E" w:rsidR="00D85F76" w:rsidRPr="003C4C79" w:rsidRDefault="00D85F76" w:rsidP="00D85F76">
      <w:pPr>
        <w:pStyle w:val="textstyle"/>
      </w:pPr>
      <w:r w:rsidRPr="003C4C79">
        <w:tab/>
        <w:t>The Public Utilities Commission of Ohio (PUCO) appreciates the opportunity pro</w:t>
      </w:r>
      <w:r w:rsidRPr="003C4C79">
        <w:softHyphen/>
        <w:t>vided by the United States Environmental Protection Agency (EPA) to comment on the proposed rule.  The mission of the PUCO is to assure our citizens adequate, safe, and reliable public utility services at a fair price</w:t>
      </w:r>
      <w:r w:rsidR="00EC6146" w:rsidRPr="003C4C79">
        <w:t xml:space="preserve"> in a competitive market</w:t>
      </w:r>
      <w:r w:rsidRPr="003C4C79">
        <w:t xml:space="preserve">.  </w:t>
      </w:r>
      <w:r w:rsidR="00EC6146" w:rsidRPr="003C4C79">
        <w:t>As</w:t>
      </w:r>
      <w:r w:rsidRPr="003C4C79">
        <w:t xml:space="preserve"> a</w:t>
      </w:r>
      <w:r w:rsidR="00EC6146" w:rsidRPr="003C4C79">
        <w:t xml:space="preserve"> restructured</w:t>
      </w:r>
      <w:r w:rsidRPr="003C4C79">
        <w:t xml:space="preserve"> retail electric competition state</w:t>
      </w:r>
      <w:r w:rsidR="00EC6146" w:rsidRPr="003C4C79">
        <w:t xml:space="preserve">, Ohio no </w:t>
      </w:r>
      <w:r w:rsidR="00A44814" w:rsidRPr="003C4C79">
        <w:t xml:space="preserve">longer </w:t>
      </w:r>
      <w:r w:rsidR="00EC6146" w:rsidRPr="003C4C79">
        <w:t>regulates</w:t>
      </w:r>
      <w:r w:rsidRPr="003C4C79">
        <w:t xml:space="preserve"> integrated resource planning</w:t>
      </w:r>
      <w:r w:rsidR="004B27C9">
        <w:t>, such that</w:t>
      </w:r>
      <w:r w:rsidRPr="003C4C79">
        <w:t xml:space="preserve"> in large measure, genera</w:t>
      </w:r>
      <w:r w:rsidRPr="003C4C79">
        <w:softHyphen/>
        <w:t xml:space="preserve">tion investments are made based upon the independent judgments of market participants.  As a result, </w:t>
      </w:r>
      <w:r w:rsidR="00EC6146" w:rsidRPr="003C4C79">
        <w:t>the PUCO is</w:t>
      </w:r>
      <w:r w:rsidRPr="003C4C79">
        <w:t xml:space="preserve"> keenly interested in the abil</w:t>
      </w:r>
      <w:r w:rsidR="00444CD2">
        <w:softHyphen/>
      </w:r>
      <w:r w:rsidRPr="003C4C79">
        <w:t>ity of market participants to make invest</w:t>
      </w:r>
      <w:r w:rsidRPr="003C4C79">
        <w:softHyphen/>
        <w:t xml:space="preserve">ment decisions unencumbered by regulatory uncertainty. </w:t>
      </w:r>
      <w:r w:rsidR="00444CD2">
        <w:t xml:space="preserve"> </w:t>
      </w:r>
      <w:r w:rsidRPr="003C4C79">
        <w:t>Additionally, the PUCO is con</w:t>
      </w:r>
      <w:r w:rsidRPr="003C4C79">
        <w:softHyphen/>
        <w:t>cerned about the effects on electricity prices caused by the proposed rule’s classification of the new source category and the treatment of new and existing generation resources.  Because this proposed rule may unduly affect regulatory certainty with regard to the clas</w:t>
      </w:r>
      <w:r w:rsidRPr="003C4C79">
        <w:softHyphen/>
        <w:t xml:space="preserve">sification of new and existing resources and </w:t>
      </w:r>
      <w:r w:rsidRPr="003C4C79">
        <w:lastRenderedPageBreak/>
        <w:t>therefore the long-term adequacy, safety, reliabil</w:t>
      </w:r>
      <w:r w:rsidRPr="003C4C79">
        <w:softHyphen/>
        <w:t>ity, and cost of generating electricity in Ohio, the PUCO offers these comments.</w:t>
      </w:r>
    </w:p>
    <w:p w14:paraId="10A16A00" w14:textId="40F58A9C" w:rsidR="00EC6146" w:rsidRPr="005B66A6" w:rsidRDefault="00C25041" w:rsidP="00444CD2">
      <w:pPr>
        <w:pStyle w:val="Heading2"/>
      </w:pPr>
      <w:bookmarkStart w:id="1" w:name="_Toc384819357"/>
      <w:r w:rsidRPr="005B66A6">
        <w:t xml:space="preserve">A. </w:t>
      </w:r>
      <w:r w:rsidR="00444CD2">
        <w:tab/>
      </w:r>
      <w:r w:rsidR="00EC6146" w:rsidRPr="005B66A6">
        <w:t>Section 111 of the Clear Air Act New Source Performance Standards</w:t>
      </w:r>
      <w:bookmarkEnd w:id="1"/>
    </w:p>
    <w:p w14:paraId="14619257" w14:textId="646B66BE" w:rsidR="00DB0DFC" w:rsidRPr="003C4C79" w:rsidRDefault="00D85F76" w:rsidP="00C25041">
      <w:pPr>
        <w:pStyle w:val="textstyle"/>
        <w:ind w:firstLine="720"/>
      </w:pPr>
      <w:r w:rsidRPr="003C4C79">
        <w:t>Section 111 of the Clean Air Act (CAA) establishes mechanisms for controlling emissions of air pollutants from stationary sources.</w:t>
      </w:r>
      <w:r w:rsidRPr="003C4C79">
        <w:rPr>
          <w:rStyle w:val="FootnoteReference"/>
          <w:bCs/>
          <w:kern w:val="32"/>
        </w:rPr>
        <w:footnoteReference w:id="1"/>
      </w:r>
      <w:r w:rsidRPr="003C4C79">
        <w:t xml:space="preserve">  Under Section 111(b), the Adminis</w:t>
      </w:r>
      <w:r w:rsidRPr="003C4C79">
        <w:softHyphen/>
        <w:t xml:space="preserve">trator of the EPA is required to issue New Source Performance Standards (NSPS), which apply to new stationary sources of emissions.  </w:t>
      </w:r>
      <w:r w:rsidR="00DB0DFC" w:rsidRPr="003C4C79">
        <w:t xml:space="preserve">In the </w:t>
      </w:r>
      <w:r w:rsidR="00BA2AAC" w:rsidRPr="003C4C79">
        <w:t>April 2012</w:t>
      </w:r>
      <w:r w:rsidR="00DB0DFC" w:rsidRPr="003C4C79">
        <w:t xml:space="preserve"> proposal, pursuant </w:t>
      </w:r>
      <w:r w:rsidRPr="003C4C79">
        <w:t xml:space="preserve">to Section 111 of the CAA, the Administrator </w:t>
      </w:r>
      <w:r w:rsidR="00DB0DFC" w:rsidRPr="003C4C79">
        <w:t xml:space="preserve">proposed a </w:t>
      </w:r>
      <w:r w:rsidRPr="003C4C79">
        <w:t xml:space="preserve">NSPS to reduce Greenhouse Gas (GHG) emissions </w:t>
      </w:r>
      <w:r w:rsidR="003C4C79">
        <w:t>by limit</w:t>
      </w:r>
      <w:r w:rsidR="003C4C79">
        <w:softHyphen/>
        <w:t xml:space="preserve">ing the </w:t>
      </w:r>
      <w:r w:rsidR="002D0110">
        <w:t>CO</w:t>
      </w:r>
      <w:r w:rsidR="002D0110">
        <w:rPr>
          <w:vertAlign w:val="subscript"/>
        </w:rPr>
        <w:t>2</w:t>
      </w:r>
      <w:r w:rsidR="003C4C79">
        <w:t>/</w:t>
      </w:r>
      <w:r w:rsidR="002D0110">
        <w:t>MWh</w:t>
      </w:r>
      <w:r w:rsidR="003C4C79">
        <w:t xml:space="preserve"> </w:t>
      </w:r>
      <w:r w:rsidRPr="003C4C79">
        <w:t xml:space="preserve">(1,000 </w:t>
      </w:r>
      <w:r w:rsidR="002D0110">
        <w:t>lb</w:t>
      </w:r>
      <w:r w:rsidRPr="003C4C79">
        <w:t xml:space="preserve">. </w:t>
      </w:r>
      <w:r w:rsidR="002D0110">
        <w:t>CO</w:t>
      </w:r>
      <w:r w:rsidR="002D0110">
        <w:rPr>
          <w:vertAlign w:val="subscript"/>
        </w:rPr>
        <w:t>2</w:t>
      </w:r>
      <w:r w:rsidRPr="003C4C79">
        <w:t>/</w:t>
      </w:r>
      <w:r w:rsidR="002D0110">
        <w:t>MWh</w:t>
      </w:r>
      <w:r w:rsidRPr="003C4C79">
        <w:t>) emitted by fossil fuel-fired elec</w:t>
      </w:r>
      <w:r w:rsidRPr="003C4C79">
        <w:softHyphen/>
        <w:t xml:space="preserve">tric generating units (EGUs).  The proposal </w:t>
      </w:r>
      <w:r w:rsidR="00DB0DFC" w:rsidRPr="003C4C79">
        <w:t xml:space="preserve">included </w:t>
      </w:r>
      <w:r w:rsidRPr="003C4C79">
        <w:t>combining electric utility steam gener</w:t>
      </w:r>
      <w:r w:rsidRPr="003C4C79">
        <w:softHyphen/>
        <w:t>ating units fueled by coal and by natural gas into a new source category for the pur</w:t>
      </w:r>
      <w:r w:rsidRPr="003C4C79">
        <w:softHyphen/>
        <w:t>pose of setting performance standards for new fossil</w:t>
      </w:r>
      <w:r w:rsidR="002D0110">
        <w:t xml:space="preserve"> </w:t>
      </w:r>
      <w:r w:rsidRPr="003C4C79">
        <w:t>fuel</w:t>
      </w:r>
      <w:r w:rsidR="002D0110">
        <w:t>-</w:t>
      </w:r>
      <w:r w:rsidRPr="003C4C79">
        <w:t>fired EGUs.  The pro</w:t>
      </w:r>
      <w:r w:rsidR="00444CD2">
        <w:softHyphen/>
      </w:r>
      <w:r w:rsidRPr="003C4C79">
        <w:t xml:space="preserve">posal also </w:t>
      </w:r>
      <w:r w:rsidR="00DB0DFC" w:rsidRPr="003C4C79">
        <w:t xml:space="preserve">included </w:t>
      </w:r>
      <w:r w:rsidRPr="003C4C79">
        <w:t xml:space="preserve">the establishment of an alternative 30-year averaging compliance option for complying with the NSPS.  This compliance option within the proposal would allow a new EGU to operate with emissions levels that do not immediately meet the NSPS so long as the average emissions level for the 30-year period is equal to the NSPS of 1,000 lb. </w:t>
      </w:r>
      <w:r w:rsidR="002D0110">
        <w:t>CO</w:t>
      </w:r>
      <w:r w:rsidR="002D0110">
        <w:rPr>
          <w:vertAlign w:val="subscript"/>
        </w:rPr>
        <w:t>2</w:t>
      </w:r>
      <w:r w:rsidRPr="003C4C79">
        <w:t>/</w:t>
      </w:r>
      <w:r w:rsidR="002D0110">
        <w:t>MWh</w:t>
      </w:r>
      <w:r w:rsidRPr="003C4C79">
        <w:t xml:space="preserve">.  </w:t>
      </w:r>
    </w:p>
    <w:p w14:paraId="595D0625" w14:textId="363B5431" w:rsidR="00EC6146" w:rsidRPr="003C4C79" w:rsidRDefault="005B66A6" w:rsidP="00444CD2">
      <w:pPr>
        <w:pStyle w:val="Heading2"/>
      </w:pPr>
      <w:bookmarkStart w:id="3" w:name="_Toc384819358"/>
      <w:r>
        <w:t xml:space="preserve">B. </w:t>
      </w:r>
      <w:r w:rsidR="00444CD2">
        <w:tab/>
      </w:r>
      <w:r w:rsidR="00EC6146" w:rsidRPr="003C4C79">
        <w:t>Changes to Proposed Rulemaking</w:t>
      </w:r>
      <w:bookmarkEnd w:id="3"/>
    </w:p>
    <w:p w14:paraId="7E37DD08" w14:textId="22CBB301" w:rsidR="00DB0DFC" w:rsidRPr="003C4C79" w:rsidRDefault="00444CD2" w:rsidP="00444CD2">
      <w:pPr>
        <w:pStyle w:val="textstyle"/>
      </w:pPr>
      <w:r>
        <w:tab/>
      </w:r>
      <w:r w:rsidR="004B27C9">
        <w:t xml:space="preserve">The </w:t>
      </w:r>
      <w:r w:rsidR="00503119" w:rsidRPr="003C4C79">
        <w:t xml:space="preserve">EPA issued a revision </w:t>
      </w:r>
      <w:r w:rsidR="00EC6146" w:rsidRPr="003C4C79">
        <w:t xml:space="preserve">to the proposed rule making </w:t>
      </w:r>
      <w:r w:rsidR="00503119" w:rsidRPr="003C4C79">
        <w:t xml:space="preserve">in January 2014.  </w:t>
      </w:r>
      <w:r w:rsidR="00DB0DFC" w:rsidRPr="003C4C79">
        <w:t>The differ</w:t>
      </w:r>
      <w:r>
        <w:softHyphen/>
      </w:r>
      <w:r w:rsidR="00DB0DFC" w:rsidRPr="003C4C79">
        <w:t>ences between the April 2012 Rulemaking (EPA-HQ-OAE-2011-0660) and January 2014 Rulemaking (EPA-HQ-OAR-2013-0495</w:t>
      </w:r>
      <w:r w:rsidR="00EE1C77">
        <w:t>-0001</w:t>
      </w:r>
      <w:r w:rsidR="00DB0DFC" w:rsidRPr="003C4C79">
        <w:t>)</w:t>
      </w:r>
      <w:r w:rsidR="00503119" w:rsidRPr="003C4C79">
        <w:t xml:space="preserve"> are delineated </w:t>
      </w:r>
      <w:r w:rsidR="00EC6146" w:rsidRPr="003C4C79">
        <w:t>below.</w:t>
      </w:r>
    </w:p>
    <w:p w14:paraId="40277C69" w14:textId="56D51274" w:rsidR="00DB0DFC" w:rsidRPr="003C4C79" w:rsidRDefault="00444CD2" w:rsidP="00444CD2">
      <w:pPr>
        <w:pStyle w:val="textstyle"/>
      </w:pPr>
      <w:r>
        <w:tab/>
      </w:r>
      <w:r w:rsidR="00DB0DFC" w:rsidRPr="003C4C79">
        <w:t>First, the April 2012 proposal set one standard and one Best System of Emission Reduction (BSER) for all fossil-fuel fired units.</w:t>
      </w:r>
      <w:r>
        <w:t xml:space="preserve"> </w:t>
      </w:r>
      <w:r w:rsidR="00DB0DFC" w:rsidRPr="003C4C79">
        <w:t xml:space="preserve"> This January 2014 rule proposes three different emissions standards and two separate BSERs based on the category of gener</w:t>
      </w:r>
      <w:r>
        <w:softHyphen/>
      </w:r>
      <w:r w:rsidR="00DB0DFC" w:rsidRPr="003C4C79">
        <w:t xml:space="preserve">ator. </w:t>
      </w:r>
      <w:r>
        <w:t xml:space="preserve"> </w:t>
      </w:r>
      <w:r w:rsidR="00DB0DFC" w:rsidRPr="003C4C79">
        <w:t>The EPA states it made this change because in the first rule proposal, the EPA pri</w:t>
      </w:r>
      <w:r>
        <w:softHyphen/>
      </w:r>
      <w:r w:rsidR="00DB0DFC" w:rsidRPr="003C4C79">
        <w:t xml:space="preserve">marily relied on models that projected there would be no new </w:t>
      </w:r>
      <w:r w:rsidR="001035C5">
        <w:t>coal-fired</w:t>
      </w:r>
      <w:r w:rsidR="00DB0DFC" w:rsidRPr="003C4C79">
        <w:t xml:space="preserve"> generation con</w:t>
      </w:r>
      <w:r>
        <w:softHyphen/>
      </w:r>
      <w:r w:rsidR="00DB0DFC" w:rsidRPr="003C4C79">
        <w:t xml:space="preserve">struction through the year 2030 without </w:t>
      </w:r>
      <w:r w:rsidR="00D10E44" w:rsidRPr="003C4C79">
        <w:t>carbon capture and s</w:t>
      </w:r>
      <w:r w:rsidR="00A24612">
        <w:t>equestration</w:t>
      </w:r>
      <w:r w:rsidR="00D10E44" w:rsidRPr="003C4C79">
        <w:t xml:space="preserve"> </w:t>
      </w:r>
      <w:r w:rsidR="005A3A0D" w:rsidRPr="003C4C79">
        <w:t>(</w:t>
      </w:r>
      <w:r w:rsidR="00DB0DFC" w:rsidRPr="003C4C79">
        <w:t>CCS</w:t>
      </w:r>
      <w:r w:rsidR="005A3A0D" w:rsidRPr="003C4C79">
        <w:t>)</w:t>
      </w:r>
      <w:r w:rsidR="00DB0DFC" w:rsidRPr="003C4C79">
        <w:t xml:space="preserve">. </w:t>
      </w:r>
      <w:r>
        <w:t xml:space="preserve"> </w:t>
      </w:r>
      <w:r w:rsidR="00DB0DFC" w:rsidRPr="003C4C79">
        <w:t>How</w:t>
      </w:r>
      <w:r>
        <w:softHyphen/>
      </w:r>
      <w:r w:rsidR="00DB0DFC" w:rsidRPr="003C4C79">
        <w:t xml:space="preserve">ever, comments and new information indicated new coal-fired generating capacity could be constructed within the rule’s planning timeframe. </w:t>
      </w:r>
      <w:r>
        <w:t xml:space="preserve"> </w:t>
      </w:r>
      <w:r w:rsidR="00DB0DFC" w:rsidRPr="003C4C79">
        <w:t>In response to this information, and to allow for resource diversity, the EPA created separate standards for coal versus natural gas</w:t>
      </w:r>
      <w:r w:rsidR="004B27C9">
        <w:t>-</w:t>
      </w:r>
      <w:r w:rsidR="00DB0DFC" w:rsidRPr="003C4C79">
        <w:t xml:space="preserve">fired EGUs. </w:t>
      </w:r>
    </w:p>
    <w:p w14:paraId="3976324B" w14:textId="5D39EC32" w:rsidR="00DB0DFC" w:rsidRPr="003C4C79" w:rsidRDefault="00444CD2" w:rsidP="00444CD2">
      <w:pPr>
        <w:pStyle w:val="textstyle"/>
      </w:pPr>
      <w:r>
        <w:tab/>
      </w:r>
      <w:r w:rsidR="00DB0DFC" w:rsidRPr="003C4C79">
        <w:t>The three different emission limits are: (1) a limit of 1,000 lb</w:t>
      </w:r>
      <w:r w:rsidR="002D0110">
        <w:t>.</w:t>
      </w:r>
      <w:r w:rsidR="00DB0DFC" w:rsidRPr="003C4C79">
        <w:t xml:space="preserve"> </w:t>
      </w:r>
      <w:r w:rsidR="002D0110">
        <w:t>CO</w:t>
      </w:r>
      <w:r w:rsidR="002D0110">
        <w:rPr>
          <w:vertAlign w:val="subscript"/>
        </w:rPr>
        <w:t>2</w:t>
      </w:r>
      <w:r w:rsidR="00DB0DFC" w:rsidRPr="003C4C79">
        <w:t>/</w:t>
      </w:r>
      <w:r w:rsidR="002D0110">
        <w:t>MWh</w:t>
      </w:r>
      <w:r w:rsidR="00DB0DFC" w:rsidRPr="003C4C79">
        <w:t xml:space="preserve"> for large natural gas </w:t>
      </w:r>
      <w:r w:rsidR="00FD1E1B">
        <w:t xml:space="preserve">combined cycle turbines </w:t>
      </w:r>
      <w:r w:rsidR="00DB0DFC" w:rsidRPr="003C4C79">
        <w:t>(NGCCs)</w:t>
      </w:r>
      <w:r w:rsidR="00BA1B36" w:rsidRPr="003C4C79">
        <w:t>;</w:t>
      </w:r>
      <w:r w:rsidR="00DB0DFC" w:rsidRPr="003C4C79">
        <w:t xml:space="preserve"> (2) a limit of 1,100 </w:t>
      </w:r>
      <w:r w:rsidR="002D0110">
        <w:t>lb.</w:t>
      </w:r>
      <w:r w:rsidR="00DB0DFC" w:rsidRPr="003C4C79">
        <w:t xml:space="preserve"> </w:t>
      </w:r>
      <w:r w:rsidR="002D0110">
        <w:t>CO</w:t>
      </w:r>
      <w:r w:rsidR="002D0110">
        <w:rPr>
          <w:vertAlign w:val="subscript"/>
        </w:rPr>
        <w:t>2</w:t>
      </w:r>
      <w:r w:rsidR="00DB0DFC" w:rsidRPr="003C4C79">
        <w:t>/</w:t>
      </w:r>
      <w:r w:rsidR="002D0110">
        <w:t>MWh</w:t>
      </w:r>
      <w:r w:rsidR="00DB0DFC" w:rsidRPr="003C4C79">
        <w:t xml:space="preserve"> for small </w:t>
      </w:r>
      <w:r w:rsidR="00FD1E1B">
        <w:t>NGCCs</w:t>
      </w:r>
      <w:r w:rsidR="00BA1B36" w:rsidRPr="003C4C79">
        <w:t>;</w:t>
      </w:r>
      <w:r w:rsidR="00DB0DFC" w:rsidRPr="003C4C79">
        <w:t xml:space="preserve"> and (3) a limit of 1,100 </w:t>
      </w:r>
      <w:r w:rsidR="002D0110">
        <w:t>lb.</w:t>
      </w:r>
      <w:r w:rsidR="00DB0DFC" w:rsidRPr="003C4C79">
        <w:t xml:space="preserve"> </w:t>
      </w:r>
      <w:r w:rsidR="002D0110">
        <w:t>CO</w:t>
      </w:r>
      <w:r w:rsidR="002D0110">
        <w:rPr>
          <w:vertAlign w:val="subscript"/>
        </w:rPr>
        <w:t>2</w:t>
      </w:r>
      <w:r w:rsidR="00DB0DFC" w:rsidRPr="003C4C79">
        <w:t>/</w:t>
      </w:r>
      <w:r w:rsidR="002D0110">
        <w:t>MWh</w:t>
      </w:r>
      <w:r w:rsidR="00DB0DFC" w:rsidRPr="003C4C79">
        <w:t xml:space="preserve"> for </w:t>
      </w:r>
      <w:r w:rsidR="005D53A8">
        <w:t>coal</w:t>
      </w:r>
      <w:r w:rsidR="00DB0DFC" w:rsidRPr="003C4C79">
        <w:t xml:space="preserve">-fired utility boilers and </w:t>
      </w:r>
      <w:r w:rsidR="00FD1E1B">
        <w:t>integrated gasification combined cycle (</w:t>
      </w:r>
      <w:r w:rsidR="00DB0DFC" w:rsidRPr="003C4C79">
        <w:t>IGCC</w:t>
      </w:r>
      <w:r w:rsidR="00FD1E1B">
        <w:t>)</w:t>
      </w:r>
      <w:r w:rsidR="00DB0DFC" w:rsidRPr="003C4C79">
        <w:t xml:space="preserve"> units. </w:t>
      </w:r>
      <w:r w:rsidR="00712152">
        <w:t xml:space="preserve"> </w:t>
      </w:r>
      <w:r w:rsidR="00DB0DFC" w:rsidRPr="003C4C79">
        <w:t>The two BSER standards are: (1) partial integration of CCS for fossil fuel-fired electric steam generating units and IGCC units and (2) natural gas combined cycle technology (no CCS will be required</w:t>
      </w:r>
      <w:r w:rsidR="005D53A8">
        <w:t xml:space="preserve"> at this time</w:t>
      </w:r>
      <w:r w:rsidR="00DB0DFC" w:rsidRPr="003C4C79">
        <w:t xml:space="preserve">) for natural gas-fired stationary combustion turbines. </w:t>
      </w:r>
    </w:p>
    <w:p w14:paraId="067432DA" w14:textId="63CF808C" w:rsidR="00DB0DFC" w:rsidRPr="003C4C79" w:rsidRDefault="00444CD2" w:rsidP="00444CD2">
      <w:pPr>
        <w:pStyle w:val="textstyle"/>
      </w:pPr>
      <w:r>
        <w:lastRenderedPageBreak/>
        <w:tab/>
      </w:r>
      <w:r w:rsidR="00DB0DFC" w:rsidRPr="003C4C79">
        <w:t xml:space="preserve">Second, instead of an alternative 30-year averaging compliance option for new solid fuel-fired EGUs, the EPA proposed an alternative 7-year (84-operating month) averaging option for </w:t>
      </w:r>
      <w:r w:rsidR="005D53A8">
        <w:t xml:space="preserve">coal-fired </w:t>
      </w:r>
      <w:r w:rsidR="00DB0DFC" w:rsidRPr="003C4C79">
        <w:t xml:space="preserve">boilers and IGCCs. </w:t>
      </w:r>
      <w:r>
        <w:t xml:space="preserve"> </w:t>
      </w:r>
      <w:r w:rsidR="00DB0DFC" w:rsidRPr="003C4C79">
        <w:t>The EPA has proposed the 84-oper</w:t>
      </w:r>
      <w:r>
        <w:softHyphen/>
      </w:r>
      <w:r w:rsidR="00DB0DFC" w:rsidRPr="003C4C79">
        <w:t xml:space="preserve">ating month average be between 1,000 </w:t>
      </w:r>
      <w:r w:rsidR="002D0110">
        <w:t>lb.</w:t>
      </w:r>
      <w:r w:rsidR="00DB0DFC" w:rsidRPr="003C4C79">
        <w:t xml:space="preserve"> </w:t>
      </w:r>
      <w:r w:rsidR="002D0110">
        <w:t>CO</w:t>
      </w:r>
      <w:r w:rsidR="002D0110">
        <w:rPr>
          <w:vertAlign w:val="subscript"/>
        </w:rPr>
        <w:t>2</w:t>
      </w:r>
      <w:r w:rsidR="00DB0DFC" w:rsidRPr="003C4C79">
        <w:t>/</w:t>
      </w:r>
      <w:r w:rsidR="002D0110">
        <w:t>MWh</w:t>
      </w:r>
      <w:r w:rsidR="00DB0DFC" w:rsidRPr="003C4C79">
        <w:t xml:space="preserve"> and 1,050 </w:t>
      </w:r>
      <w:r w:rsidR="002D0110">
        <w:t>lb.</w:t>
      </w:r>
      <w:r w:rsidR="00DB0DFC" w:rsidRPr="003C4C79">
        <w:t xml:space="preserve"> </w:t>
      </w:r>
      <w:r w:rsidR="002D0110">
        <w:t>CO</w:t>
      </w:r>
      <w:r w:rsidR="002D0110">
        <w:rPr>
          <w:vertAlign w:val="subscript"/>
        </w:rPr>
        <w:t>2</w:t>
      </w:r>
      <w:r w:rsidR="00DB0DFC" w:rsidRPr="003C4C79">
        <w:t>/</w:t>
      </w:r>
      <w:r w:rsidR="002D0110">
        <w:t>MWh</w:t>
      </w:r>
      <w:r w:rsidR="00DB0DFC" w:rsidRPr="003C4C79">
        <w:t xml:space="preserve"> and is requesting comment on the appropriate standard that would make the 84-month option as stringent, or more stringent than the 12-month standard. </w:t>
      </w:r>
    </w:p>
    <w:p w14:paraId="32CF933D" w14:textId="426A05D6" w:rsidR="00DB0DFC" w:rsidRPr="003C4C79" w:rsidRDefault="00444CD2" w:rsidP="00444CD2">
      <w:pPr>
        <w:pStyle w:val="textstyle"/>
      </w:pPr>
      <w:r>
        <w:tab/>
      </w:r>
      <w:r w:rsidR="00DB0DFC" w:rsidRPr="003C4C79">
        <w:t xml:space="preserve">Third, the applicability requirements proposed today differ from the applicability requirements in the original proposal.  Formerly, the rule applied to an EGU that could potentially supply more than </w:t>
      </w:r>
      <w:r w:rsidR="004B27C9">
        <w:t>one-third</w:t>
      </w:r>
      <w:r w:rsidR="00DB0DFC" w:rsidRPr="003C4C79">
        <w:t xml:space="preserve"> of its potential electric output, but did not neces</w:t>
      </w:r>
      <w:r>
        <w:softHyphen/>
      </w:r>
      <w:r w:rsidR="00DB0DFC" w:rsidRPr="003C4C79">
        <w:t xml:space="preserve">sarily do so. </w:t>
      </w:r>
      <w:r>
        <w:t xml:space="preserve"> </w:t>
      </w:r>
      <w:r w:rsidR="00DB0DFC" w:rsidRPr="003C4C79">
        <w:t xml:space="preserve">Under the new proposed rule, an EGU must be intended to and actually generate more than </w:t>
      </w:r>
      <w:r w:rsidR="004B27C9">
        <w:t>one-third</w:t>
      </w:r>
      <w:r w:rsidR="00DB0DFC" w:rsidRPr="003C4C79">
        <w:t xml:space="preserve"> of its potential electric output on a three year rolling aver</w:t>
      </w:r>
      <w:r>
        <w:softHyphen/>
      </w:r>
      <w:r w:rsidR="00DB0DFC" w:rsidRPr="003C4C79">
        <w:t xml:space="preserve">age for the rule to apply. </w:t>
      </w:r>
      <w:r>
        <w:t xml:space="preserve"> </w:t>
      </w:r>
      <w:r w:rsidR="00DB0DFC" w:rsidRPr="003C4C79">
        <w:t>This proposed rule makes clear that a unit that was not orig</w:t>
      </w:r>
      <w:r>
        <w:softHyphen/>
      </w:r>
      <w:r w:rsidR="00DB0DFC" w:rsidRPr="003C4C79">
        <w:t xml:space="preserve">inally constructed to supply more than </w:t>
      </w:r>
      <w:r w:rsidR="004B27C9">
        <w:t>one third</w:t>
      </w:r>
      <w:r w:rsidR="00DB0DFC" w:rsidRPr="003C4C79">
        <w:t xml:space="preserve"> of its potential electric output to the grid, but does so for one year, does not become affected. </w:t>
      </w:r>
      <w:r>
        <w:t xml:space="preserve"> </w:t>
      </w:r>
      <w:r w:rsidR="00DB0DFC" w:rsidRPr="003C4C79">
        <w:t xml:space="preserve">Also, the rule now applies to an EGU that is constructed to supply “more than 219,000 </w:t>
      </w:r>
      <w:r w:rsidR="002D0110">
        <w:t>MWh</w:t>
      </w:r>
      <w:r w:rsidR="00DB0DFC" w:rsidRPr="003C4C79">
        <w:t xml:space="preserve">,” as opposed to “25 MW,” net-electrical output to the grid. </w:t>
      </w:r>
      <w:r>
        <w:t xml:space="preserve"> </w:t>
      </w:r>
      <w:r w:rsidR="00DB0DFC" w:rsidRPr="003C4C79">
        <w:t>Finally, additional language is proposed for the defini</w:t>
      </w:r>
      <w:r>
        <w:softHyphen/>
      </w:r>
      <w:r w:rsidR="00DB0DFC" w:rsidRPr="003C4C79">
        <w:t xml:space="preserve">tion of a steam generating unit, IGCC, and stationary combustion turbine so that the rule will also apply to “any integrated equipment that provides electricity or useful thermal output to either the affected facility or auxiliary equipment.” </w:t>
      </w:r>
    </w:p>
    <w:p w14:paraId="60504DEB" w14:textId="7D68F450" w:rsidR="00DB0DFC" w:rsidRPr="003C4C79" w:rsidRDefault="00444CD2" w:rsidP="00444CD2">
      <w:pPr>
        <w:pStyle w:val="textstyle"/>
      </w:pPr>
      <w:r>
        <w:tab/>
      </w:r>
      <w:r w:rsidR="00DB0DFC" w:rsidRPr="003C4C79">
        <w:t>Fourth, the proposed rule will now apply to some previously excluded “transi</w:t>
      </w:r>
      <w:r>
        <w:softHyphen/>
      </w:r>
      <w:r w:rsidR="00DB0DFC" w:rsidRPr="003C4C79">
        <w:t xml:space="preserve">tional sources.” </w:t>
      </w:r>
      <w:r>
        <w:t xml:space="preserve"> </w:t>
      </w:r>
      <w:r w:rsidR="00DB0DFC" w:rsidRPr="003C4C79">
        <w:t xml:space="preserve">In the April 2012 proposal, fifteen projects were distinguished from other EGU projects as “potential transitional sources” to which the proposed rule </w:t>
      </w:r>
      <w:r w:rsidR="00DB0DFC" w:rsidRPr="003C4C79">
        <w:lastRenderedPageBreak/>
        <w:t xml:space="preserve">did not apply. </w:t>
      </w:r>
      <w:r>
        <w:t xml:space="preserve"> </w:t>
      </w:r>
      <w:r w:rsidR="00DB0DFC" w:rsidRPr="003C4C79">
        <w:t>This proposal does not continue that distinction, except for possibly three projects</w:t>
      </w:r>
      <w:r w:rsidR="004F5C6B" w:rsidRPr="003C4C79">
        <w:t xml:space="preserve"> in Michigan, Georgia and Kansas</w:t>
      </w:r>
      <w:r w:rsidR="00DB0DFC" w:rsidRPr="003C4C79">
        <w:t xml:space="preserve"> (Wolverine, Washington County, and Holcomb). </w:t>
      </w:r>
      <w:r>
        <w:t xml:space="preserve"> </w:t>
      </w:r>
      <w:r w:rsidR="00DB0DFC" w:rsidRPr="003C4C79">
        <w:t xml:space="preserve">Under the January 2014 proposed rule, any former “potential transitional source” that commences construction after publication of this proposal will be subject to the final </w:t>
      </w:r>
      <w:r w:rsidR="002D0110">
        <w:t>CO</w:t>
      </w:r>
      <w:r w:rsidR="002D0110" w:rsidRPr="00444CD2">
        <w:t>2</w:t>
      </w:r>
      <w:r w:rsidR="00DB0DFC" w:rsidRPr="003C4C79">
        <w:t xml:space="preserve"> standards established in this rulemaking and any source that commenced construc</w:t>
      </w:r>
      <w:r>
        <w:softHyphen/>
      </w:r>
      <w:r w:rsidR="00DB0DFC" w:rsidRPr="003C4C79">
        <w:t xml:space="preserve">tion prior to publication of this proposal will be subject to the </w:t>
      </w:r>
      <w:r w:rsidR="002D0110">
        <w:t>CO</w:t>
      </w:r>
      <w:r w:rsidR="002D0110" w:rsidRPr="00444CD2">
        <w:t>2</w:t>
      </w:r>
      <w:r w:rsidR="00DB0DFC" w:rsidRPr="003C4C79">
        <w:t xml:space="preserve"> standards under CAA section 111(d).</w:t>
      </w:r>
    </w:p>
    <w:p w14:paraId="200E558E" w14:textId="51D48733" w:rsidR="00C25041" w:rsidRPr="005B66A6" w:rsidRDefault="005B66A6" w:rsidP="00444CD2">
      <w:pPr>
        <w:pStyle w:val="Heading2"/>
      </w:pPr>
      <w:bookmarkStart w:id="4" w:name="_Toc384819359"/>
      <w:r>
        <w:t xml:space="preserve">C. </w:t>
      </w:r>
      <w:r w:rsidR="00444CD2">
        <w:tab/>
      </w:r>
      <w:r w:rsidR="00445571" w:rsidRPr="005B66A6">
        <w:t>Regional Perspective</w:t>
      </w:r>
      <w:bookmarkEnd w:id="4"/>
    </w:p>
    <w:p w14:paraId="14192BFB" w14:textId="6C915234" w:rsidR="00F15623" w:rsidRPr="003C4C79" w:rsidRDefault="00444CD2" w:rsidP="00444CD2">
      <w:pPr>
        <w:pStyle w:val="textstyle"/>
      </w:pPr>
      <w:r>
        <w:tab/>
      </w:r>
      <w:r w:rsidR="00BA75AB" w:rsidRPr="003C4C79">
        <w:t xml:space="preserve">Although the EPA’s rules acknowledge that a different set of standards are required when analyzing generators based on fuel type, the rules seem to </w:t>
      </w:r>
      <w:r w:rsidR="00F15623" w:rsidRPr="003C4C79">
        <w:t>assume that all states will be able to accommodate these new standards regardless of current market con</w:t>
      </w:r>
      <w:r>
        <w:softHyphen/>
      </w:r>
      <w:r w:rsidR="00F15623" w:rsidRPr="003C4C79">
        <w:t>ditions or generation portfolios.  With this in mind</w:t>
      </w:r>
      <w:r w:rsidR="00BA75AB" w:rsidRPr="003C4C79">
        <w:t>, t</w:t>
      </w:r>
      <w:r w:rsidR="00445571" w:rsidRPr="003C4C79">
        <w:t xml:space="preserve">he PUCO urges the EPA to analyze the potential impacts of its proposed standards on individual regional transmission organizations (RTOs) especially as they may impact states with various fuel generation portfolios and market structures.  </w:t>
      </w:r>
    </w:p>
    <w:p w14:paraId="655BFD3D" w14:textId="41A8A559" w:rsidR="00F15623" w:rsidRPr="003C4C79" w:rsidRDefault="00444CD2" w:rsidP="00444CD2">
      <w:pPr>
        <w:pStyle w:val="textstyle"/>
      </w:pPr>
      <w:r>
        <w:tab/>
      </w:r>
      <w:r w:rsidR="00C22847" w:rsidRPr="003C4C79">
        <w:t>Ohio is part of the PJM I</w:t>
      </w:r>
      <w:r w:rsidR="00F15623" w:rsidRPr="003C4C79">
        <w:t>nterconnection system, which is responsible for coordinat</w:t>
      </w:r>
      <w:r>
        <w:softHyphen/>
      </w:r>
      <w:r w:rsidR="00F15623" w:rsidRPr="003C4C79">
        <w:t xml:space="preserve">ing the operations of the electrical power system from Illinois to New Jersey.  Although all </w:t>
      </w:r>
      <w:r w:rsidR="00A24612">
        <w:t xml:space="preserve">members </w:t>
      </w:r>
      <w:r w:rsidR="00C22847" w:rsidRPr="003C4C79">
        <w:t xml:space="preserve">are </w:t>
      </w:r>
      <w:r w:rsidR="00F15623" w:rsidRPr="003C4C79">
        <w:t>a part of “one pool</w:t>
      </w:r>
      <w:r w:rsidR="00FD1E1B">
        <w:t>,</w:t>
      </w:r>
      <w:r w:rsidR="00F15623" w:rsidRPr="003C4C79">
        <w:t>” PJM is composed of both vertically-inte</w:t>
      </w:r>
      <w:r>
        <w:softHyphen/>
      </w:r>
      <w:r w:rsidR="00F15623" w:rsidRPr="003C4C79">
        <w:t xml:space="preserve">grated as well as restructured markets.  </w:t>
      </w:r>
      <w:r w:rsidR="00725CDD" w:rsidRPr="003C4C79">
        <w:t>One key difference between the market-based regulatory construct (which includes Ohio) and a vertically</w:t>
      </w:r>
      <w:r w:rsidR="00C22847" w:rsidRPr="003C4C79">
        <w:t>-</w:t>
      </w:r>
      <w:r w:rsidR="00725CDD" w:rsidRPr="003C4C79">
        <w:t>integrated regulatory con</w:t>
      </w:r>
      <w:r>
        <w:softHyphen/>
      </w:r>
      <w:r w:rsidR="00725CDD" w:rsidRPr="003C4C79">
        <w:t xml:space="preserve">struct is the funding of new EGUs.  In a vertically-integrated system, regulatory </w:t>
      </w:r>
      <w:r w:rsidR="00725CDD" w:rsidRPr="003C4C79">
        <w:lastRenderedPageBreak/>
        <w:t xml:space="preserve">entities can require the development of new generation resources, regardless of current or future economic viability, with costs </w:t>
      </w:r>
      <w:r w:rsidR="00A24612">
        <w:t>financed</w:t>
      </w:r>
      <w:r w:rsidR="00725CDD" w:rsidRPr="003C4C79">
        <w:t xml:space="preserve"> by rate-payers.  On the other hand, in the market-based system, the market incentivizes new generation by sending price signals </w:t>
      </w:r>
      <w:r w:rsidR="00D83128" w:rsidRPr="003C4C79">
        <w:t xml:space="preserve">to market participants </w:t>
      </w:r>
      <w:r w:rsidR="00725CDD" w:rsidRPr="003C4C79">
        <w:t xml:space="preserve">that new generation is needed.   </w:t>
      </w:r>
      <w:r w:rsidR="00F15623" w:rsidRPr="003C4C79">
        <w:t xml:space="preserve">  </w:t>
      </w:r>
    </w:p>
    <w:p w14:paraId="7A310CB2" w14:textId="24AF50FC" w:rsidR="00C22847" w:rsidRPr="003C4C79" w:rsidRDefault="00444CD2" w:rsidP="00444CD2">
      <w:pPr>
        <w:pStyle w:val="textstyle"/>
      </w:pPr>
      <w:r>
        <w:tab/>
      </w:r>
      <w:r w:rsidR="00445571" w:rsidRPr="003C4C79">
        <w:t>Due to the Clean Air Interstate Rule (CAIR)</w:t>
      </w:r>
      <w:r w:rsidR="005B66A6">
        <w:t>,</w:t>
      </w:r>
      <w:r w:rsidR="00445571" w:rsidRPr="003C4C79">
        <w:t xml:space="preserve"> Mercury and Air Toxic Standards (MATS)</w:t>
      </w:r>
      <w:r w:rsidR="005B66A6">
        <w:t>,</w:t>
      </w:r>
      <w:r w:rsidR="00445571" w:rsidRPr="003C4C79">
        <w:t xml:space="preserve"> Boiler MACT</w:t>
      </w:r>
      <w:r w:rsidR="005B66A6">
        <w:t>,</w:t>
      </w:r>
      <w:r w:rsidR="00445571" w:rsidRPr="003C4C79">
        <w:t xml:space="preserve"> and other rules that the U.S. EPA has proposed and imple</w:t>
      </w:r>
      <w:r>
        <w:softHyphen/>
      </w:r>
      <w:r w:rsidR="00445571" w:rsidRPr="003C4C79">
        <w:t>mented over the past few years</w:t>
      </w:r>
      <w:r w:rsidR="005B66A6">
        <w:t>;</w:t>
      </w:r>
      <w:r w:rsidR="00445571" w:rsidRPr="003C4C79">
        <w:t xml:space="preserve"> low natural gas prices</w:t>
      </w:r>
      <w:r w:rsidR="005B66A6">
        <w:t>;</w:t>
      </w:r>
      <w:r w:rsidR="005331A0">
        <w:t xml:space="preserve"> and economic conditions that have reduced demand</w:t>
      </w:r>
      <w:r w:rsidR="00445571" w:rsidRPr="003C4C79">
        <w:t xml:space="preserve">, Ohio generation owners have made the business decision to retire nearly 5 GW of coal-fired generation between now and 2015. </w:t>
      </w:r>
      <w:r>
        <w:t xml:space="preserve"> </w:t>
      </w:r>
      <w:r w:rsidR="00445571" w:rsidRPr="003C4C79">
        <w:t xml:space="preserve">More generating units are expected to be slated for retirement beyond that time period.  </w:t>
      </w:r>
      <w:r w:rsidR="00725CDD" w:rsidRPr="003C4C79">
        <w:t>In fact, t</w:t>
      </w:r>
      <w:r w:rsidR="00445571" w:rsidRPr="003C4C79">
        <w:t xml:space="preserve">he </w:t>
      </w:r>
      <w:r w:rsidR="00725CDD" w:rsidRPr="003C4C79">
        <w:t xml:space="preserve">entire </w:t>
      </w:r>
      <w:r w:rsidR="00445571" w:rsidRPr="003C4C79">
        <w:t xml:space="preserve">PJM region is experiencing the same </w:t>
      </w:r>
      <w:r w:rsidR="005331A0">
        <w:t xml:space="preserve">accelerated </w:t>
      </w:r>
      <w:r w:rsidR="00445571" w:rsidRPr="003C4C79">
        <w:t>trend in coal generation retirements, with over 17 GW retired to date in the region.  While some of this initial price impact can be mitigated in traditional</w:t>
      </w:r>
      <w:r w:rsidR="00D83128" w:rsidRPr="003C4C79">
        <w:t>,</w:t>
      </w:r>
      <w:r w:rsidR="00445571" w:rsidRPr="003C4C79">
        <w:t xml:space="preserve"> vertically</w:t>
      </w:r>
      <w:r w:rsidR="00D83128" w:rsidRPr="003C4C79">
        <w:t>-</w:t>
      </w:r>
      <w:r w:rsidR="00445571" w:rsidRPr="003C4C79">
        <w:t>integrated states, restructured states like Ohio will require market participants to construct new generation resources with little lead time</w:t>
      </w:r>
      <w:r w:rsidR="005B66A6">
        <w:t>,</w:t>
      </w:r>
      <w:r w:rsidR="00445571" w:rsidRPr="003C4C79">
        <w:t xml:space="preserve"> most likely relying heavily on NGCCs.</w:t>
      </w:r>
      <w:r w:rsidR="00C22847" w:rsidRPr="003C4C79">
        <w:t xml:space="preserve">  As will be elaborated upon later in these com</w:t>
      </w:r>
      <w:r>
        <w:softHyphen/>
      </w:r>
      <w:r w:rsidR="00C22847" w:rsidRPr="003C4C79">
        <w:t xml:space="preserve">ments, this over-reliance on natural gas for electricity generation leaves Ohio and the PJM region as a whole susceptible to volatile price spikes and impaired reliability. </w:t>
      </w:r>
    </w:p>
    <w:p w14:paraId="533C6C1F" w14:textId="6632DDCE" w:rsidR="00445571" w:rsidRPr="003C4C79" w:rsidRDefault="00444CD2" w:rsidP="00444CD2">
      <w:pPr>
        <w:pStyle w:val="textstyle"/>
      </w:pPr>
      <w:r>
        <w:tab/>
      </w:r>
      <w:r w:rsidR="00445571" w:rsidRPr="003C4C79">
        <w:t>Rather than rely on a “one size fits all</w:t>
      </w:r>
      <w:r w:rsidR="00E85415">
        <w:t>”</w:t>
      </w:r>
      <w:r w:rsidR="00445571" w:rsidRPr="003C4C79">
        <w:t xml:space="preserve"> approach</w:t>
      </w:r>
      <w:r w:rsidR="00282C37">
        <w:t>,</w:t>
      </w:r>
      <w:r w:rsidR="00445571" w:rsidRPr="003C4C79">
        <w:t xml:space="preserve"> the PUCO urge</w:t>
      </w:r>
      <w:r w:rsidR="00B4272D">
        <w:t>s</w:t>
      </w:r>
      <w:r w:rsidR="00445571" w:rsidRPr="003C4C79">
        <w:t xml:space="preserve"> the EPA to allow greater flexibility for regions to evaluate their options in complying with future rules</w:t>
      </w:r>
      <w:r w:rsidR="00A24612">
        <w:t xml:space="preserve"> and avoid the continued</w:t>
      </w:r>
      <w:r w:rsidR="00445571" w:rsidRPr="003C4C79">
        <w:t xml:space="preserve"> “dash to gas” that this rule </w:t>
      </w:r>
      <w:r w:rsidR="00A24612">
        <w:t>appears</w:t>
      </w:r>
      <w:r w:rsidR="00445571" w:rsidRPr="003C4C79">
        <w:t xml:space="preserve"> to mandate.</w:t>
      </w:r>
    </w:p>
    <w:p w14:paraId="03CA2A82" w14:textId="7E7EC92C" w:rsidR="00D85F76" w:rsidRPr="003C4C79" w:rsidRDefault="00444CD2" w:rsidP="00444CD2">
      <w:pPr>
        <w:pStyle w:val="textstyle"/>
      </w:pPr>
      <w:r>
        <w:tab/>
      </w:r>
      <w:r w:rsidR="00D85F76" w:rsidRPr="003C4C79">
        <w:t xml:space="preserve">The concerns that the PUCO has with the </w:t>
      </w:r>
      <w:r w:rsidR="0092173B" w:rsidRPr="003C4C79">
        <w:t xml:space="preserve">latest </w:t>
      </w:r>
      <w:r w:rsidR="00D85F76" w:rsidRPr="003C4C79">
        <w:t>proposed rule are detailed in the comments</w:t>
      </w:r>
      <w:r w:rsidR="00EA244C" w:rsidRPr="003C4C79">
        <w:t xml:space="preserve"> below</w:t>
      </w:r>
      <w:r w:rsidR="00D85F76" w:rsidRPr="003C4C79">
        <w:t>.</w:t>
      </w:r>
    </w:p>
    <w:p w14:paraId="7DCD738C" w14:textId="77777777" w:rsidR="00D85F76" w:rsidRPr="003C4C79" w:rsidRDefault="00D85F76" w:rsidP="00F74DE6">
      <w:pPr>
        <w:pStyle w:val="Heading1"/>
        <w:rPr>
          <w:rFonts w:cs="Times New Roman"/>
        </w:rPr>
      </w:pPr>
      <w:bookmarkStart w:id="5" w:name="_Toc327358181"/>
      <w:bookmarkStart w:id="6" w:name="_Toc384819360"/>
      <w:r w:rsidRPr="003C4C79">
        <w:rPr>
          <w:rFonts w:cs="Times New Roman"/>
        </w:rPr>
        <w:lastRenderedPageBreak/>
        <w:t>COMMENTS</w:t>
      </w:r>
      <w:bookmarkEnd w:id="5"/>
      <w:bookmarkEnd w:id="6"/>
    </w:p>
    <w:p w14:paraId="1C6F9D47" w14:textId="1BFF2DE1" w:rsidR="005D2A87" w:rsidRPr="00430626" w:rsidRDefault="00444CD2" w:rsidP="00444CD2">
      <w:pPr>
        <w:pStyle w:val="Heading2"/>
      </w:pPr>
      <w:r>
        <w:t>A.</w:t>
      </w:r>
      <w:r>
        <w:tab/>
      </w:r>
      <w:bookmarkStart w:id="7" w:name="_Toc327358182"/>
      <w:bookmarkStart w:id="8" w:name="_Toc384819361"/>
      <w:r w:rsidR="00D85F76" w:rsidRPr="00430626">
        <w:t>The PUCO</w:t>
      </w:r>
      <w:bookmarkEnd w:id="7"/>
      <w:r w:rsidR="005D2A87" w:rsidRPr="00430626">
        <w:t xml:space="preserve"> has serious concerns about protecting Ohio consum</w:t>
      </w:r>
      <w:r>
        <w:softHyphen/>
      </w:r>
      <w:r w:rsidR="005D2A87" w:rsidRPr="00430626">
        <w:t>ers from high electric prices and from unexpected outages based on EPA’s Proposed 111(b) Rule</w:t>
      </w:r>
      <w:r w:rsidR="005F0ED8">
        <w:t>.</w:t>
      </w:r>
      <w:bookmarkEnd w:id="8"/>
    </w:p>
    <w:p w14:paraId="58893C33" w14:textId="2768D470" w:rsidR="002D4E73" w:rsidRDefault="00430626" w:rsidP="00430626">
      <w:pPr>
        <w:pStyle w:val="textstyle"/>
      </w:pPr>
      <w:r>
        <w:tab/>
      </w:r>
      <w:r w:rsidR="00EF5E04">
        <w:t>With the PJM region</w:t>
      </w:r>
      <w:r w:rsidR="00E12108">
        <w:t xml:space="preserve"> still </w:t>
      </w:r>
      <w:r w:rsidR="0035516C">
        <w:t>reeling from</w:t>
      </w:r>
      <w:r w:rsidR="00E12108">
        <w:t xml:space="preserve"> the pr</w:t>
      </w:r>
      <w:r w:rsidR="00B957BF">
        <w:t>ice and reliability impacts of</w:t>
      </w:r>
      <w:r w:rsidR="005D2A87" w:rsidRPr="005D2A87">
        <w:t xml:space="preserve"> </w:t>
      </w:r>
      <w:r w:rsidR="005D2A87">
        <w:t>last year’s summer</w:t>
      </w:r>
      <w:r w:rsidR="006E0813">
        <w:t xml:space="preserve"> crises</w:t>
      </w:r>
      <w:r w:rsidR="002D4E73">
        <w:t xml:space="preserve"> </w:t>
      </w:r>
      <w:r w:rsidR="005D2A87">
        <w:t xml:space="preserve">and </w:t>
      </w:r>
      <w:r w:rsidR="00C25041">
        <w:t xml:space="preserve">the </w:t>
      </w:r>
      <w:r w:rsidR="005D2A87">
        <w:t xml:space="preserve">more recent </w:t>
      </w:r>
      <w:r w:rsidR="00E12108">
        <w:t xml:space="preserve">polar vortex </w:t>
      </w:r>
      <w:r w:rsidR="00B957BF">
        <w:t>weather events, the PUCO</w:t>
      </w:r>
      <w:r w:rsidR="00E12108">
        <w:t xml:space="preserve"> urge</w:t>
      </w:r>
      <w:r w:rsidR="00B957BF">
        <w:t>s</w:t>
      </w:r>
      <w:r w:rsidR="00E12108">
        <w:t xml:space="preserve"> the EPA to analyze the potential impacts of the proposed rule on an already capacity</w:t>
      </w:r>
      <w:r w:rsidR="00E85415">
        <w:t>-</w:t>
      </w:r>
      <w:r w:rsidR="005D0026">
        <w:t>con</w:t>
      </w:r>
      <w:r w:rsidR="00444CD2">
        <w:softHyphen/>
      </w:r>
      <w:r w:rsidR="005D0026">
        <w:t>strained</w:t>
      </w:r>
      <w:r w:rsidR="00E12108">
        <w:t xml:space="preserve"> market</w:t>
      </w:r>
      <w:r w:rsidR="00507A8F">
        <w:t>place</w:t>
      </w:r>
      <w:r w:rsidR="00FE16E2">
        <w:t>, as described below</w:t>
      </w:r>
      <w:r w:rsidR="00E12108">
        <w:t xml:space="preserve">.  </w:t>
      </w:r>
      <w:r w:rsidR="002D4E73">
        <w:t>As demonstrat</w:t>
      </w:r>
      <w:r>
        <w:t>ed by these events in both the summer and w</w:t>
      </w:r>
      <w:r w:rsidR="002D4E73">
        <w:t xml:space="preserve">inter periods in PJM, we are fearful that </w:t>
      </w:r>
      <w:r>
        <w:t>these crises represent a “</w:t>
      </w:r>
      <w:r w:rsidR="002D4E73">
        <w:t>new nor</w:t>
      </w:r>
      <w:r w:rsidR="00444CD2">
        <w:softHyphen/>
      </w:r>
      <w:r w:rsidR="002D4E73">
        <w:t>m</w:t>
      </w:r>
      <w:r>
        <w:t>al</w:t>
      </w:r>
      <w:r w:rsidR="002D4E73">
        <w:t>.</w:t>
      </w:r>
      <w:r w:rsidR="00B957BF">
        <w:t>”</w:t>
      </w:r>
      <w:r w:rsidR="002D4E73">
        <w:t xml:space="preserve">  The PJM region, as well as other regions, is experiencing base load coal retire</w:t>
      </w:r>
      <w:r w:rsidR="00444CD2">
        <w:softHyphen/>
      </w:r>
      <w:r w:rsidR="002D4E73">
        <w:t xml:space="preserve">ments. </w:t>
      </w:r>
      <w:r w:rsidR="00444CD2">
        <w:t xml:space="preserve"> </w:t>
      </w:r>
      <w:r w:rsidR="001615F8">
        <w:t>In fact, b</w:t>
      </w:r>
      <w:r w:rsidR="0035516C">
        <w:t xml:space="preserve">etween 2009 and 2013, the PJM region saw </w:t>
      </w:r>
      <w:r w:rsidR="001615F8">
        <w:t>an unprecedented level of coal generation retirements with nearly 10,200 MW</w:t>
      </w:r>
      <w:r w:rsidR="0035516C">
        <w:t xml:space="preserve"> taken offline.  </w:t>
      </w:r>
      <w:r w:rsidR="001615F8" w:rsidRPr="00371FDE">
        <w:t xml:space="preserve">Looking ahead, the </w:t>
      </w:r>
      <w:r w:rsidR="00371FDE" w:rsidRPr="00371FDE">
        <w:t>PJM region</w:t>
      </w:r>
      <w:r w:rsidR="003B1A80" w:rsidRPr="00371FDE">
        <w:t xml:space="preserve"> </w:t>
      </w:r>
      <w:r w:rsidR="001615F8" w:rsidRPr="00371FDE">
        <w:t xml:space="preserve">is bracing for an additional </w:t>
      </w:r>
      <w:r w:rsidR="00DD51CA" w:rsidRPr="00371FDE">
        <w:t>8,</w:t>
      </w:r>
      <w:r w:rsidR="00371FDE">
        <w:t>252</w:t>
      </w:r>
      <w:r w:rsidR="001615F8" w:rsidRPr="00371FDE">
        <w:t xml:space="preserve"> MW</w:t>
      </w:r>
      <w:r w:rsidR="00DD51CA" w:rsidRPr="00371FDE">
        <w:t xml:space="preserve"> </w:t>
      </w:r>
      <w:r w:rsidR="001615F8" w:rsidRPr="00371FDE">
        <w:t xml:space="preserve">of coal generation </w:t>
      </w:r>
      <w:r w:rsidR="00DD51CA" w:rsidRPr="00371FDE">
        <w:t>scheduled to retire by 2015</w:t>
      </w:r>
      <w:r w:rsidR="000603D1" w:rsidRPr="00371FDE">
        <w:t>, m</w:t>
      </w:r>
      <w:r w:rsidR="001615F8" w:rsidRPr="00371FDE">
        <w:t>uch of which was</w:t>
      </w:r>
      <w:r w:rsidR="000603D1" w:rsidRPr="00371FDE">
        <w:t xml:space="preserve"> called upon in these recent events to </w:t>
      </w:r>
      <w:r w:rsidR="001615F8" w:rsidRPr="00371FDE">
        <w:t>meet</w:t>
      </w:r>
      <w:r w:rsidR="000603D1" w:rsidRPr="00371FDE">
        <w:t xml:space="preserve"> the needs of the </w:t>
      </w:r>
      <w:r w:rsidR="001615F8" w:rsidRPr="00371FDE">
        <w:t>system</w:t>
      </w:r>
      <w:r w:rsidR="000603D1" w:rsidRPr="00371FDE">
        <w:t>.</w:t>
      </w:r>
      <w:r w:rsidR="003B1A80" w:rsidRPr="00371FDE">
        <w:rPr>
          <w:rStyle w:val="FootnoteReference"/>
        </w:rPr>
        <w:t xml:space="preserve"> </w:t>
      </w:r>
      <w:r w:rsidR="003B1A80" w:rsidRPr="00371FDE">
        <w:rPr>
          <w:rStyle w:val="FootnoteReference"/>
        </w:rPr>
        <w:footnoteReference w:id="2"/>
      </w:r>
      <w:r w:rsidR="000603D1">
        <w:t xml:space="preserve"> </w:t>
      </w:r>
      <w:r w:rsidR="00444CD2">
        <w:t xml:space="preserve"> </w:t>
      </w:r>
      <w:r w:rsidR="001615F8">
        <w:t>These retirements are coming at a time when</w:t>
      </w:r>
      <w:r w:rsidR="002D4E73">
        <w:t xml:space="preserve"> new electricity peak demand highs are being set and natural gas demands, both peaks and averages, are far exceeding averages and expectations over the last five years. </w:t>
      </w:r>
      <w:r w:rsidR="00444CD2">
        <w:t xml:space="preserve"> </w:t>
      </w:r>
      <w:r w:rsidR="001615F8">
        <w:t>A</w:t>
      </w:r>
      <w:r w:rsidR="002D4E73">
        <w:t>lready, outages are occurring,</w:t>
      </w:r>
      <w:r w:rsidR="00E85415">
        <w:rPr>
          <w:rStyle w:val="FootnoteReference"/>
        </w:rPr>
        <w:footnoteReference w:id="3"/>
      </w:r>
      <w:r w:rsidR="002D4E73">
        <w:t xml:space="preserve"> and electricity and gas prices are repeatedly reaching all time records.</w:t>
      </w:r>
      <w:r w:rsidR="005F0ED8">
        <w:rPr>
          <w:rStyle w:val="FootnoteReference"/>
        </w:rPr>
        <w:footnoteReference w:id="4"/>
      </w:r>
      <w:r w:rsidR="000603D1">
        <w:t xml:space="preserve">  </w:t>
      </w:r>
    </w:p>
    <w:p w14:paraId="5091C44E" w14:textId="35AE2A8C" w:rsidR="00921084" w:rsidRDefault="00444CD2" w:rsidP="00444CD2">
      <w:pPr>
        <w:pStyle w:val="textstyle"/>
      </w:pPr>
      <w:r>
        <w:lastRenderedPageBreak/>
        <w:tab/>
      </w:r>
      <w:r w:rsidR="00E12108">
        <w:t xml:space="preserve">In Ohio, </w:t>
      </w:r>
      <w:r w:rsidR="005D0026">
        <w:t>along with other</w:t>
      </w:r>
      <w:r w:rsidR="00E12108">
        <w:t xml:space="preserve"> restructured markets, regulatory bodies rely on the mar</w:t>
      </w:r>
      <w:r>
        <w:softHyphen/>
      </w:r>
      <w:r w:rsidR="00E12108">
        <w:t xml:space="preserve">ket to send adequate price signals to investors to </w:t>
      </w:r>
      <w:r w:rsidR="005D0026">
        <w:t>build</w:t>
      </w:r>
      <w:r w:rsidR="00E12108">
        <w:t xml:space="preserve"> new generation</w:t>
      </w:r>
      <w:r w:rsidR="005D0026">
        <w:t xml:space="preserve"> resources</w:t>
      </w:r>
      <w:r w:rsidR="00E12108">
        <w:t xml:space="preserve">.  </w:t>
      </w:r>
      <w:r w:rsidR="001615F8">
        <w:t xml:space="preserve">Although </w:t>
      </w:r>
      <w:r w:rsidR="00507A8F">
        <w:t>PJM</w:t>
      </w:r>
      <w:r w:rsidR="005D0026">
        <w:t>,</w:t>
      </w:r>
      <w:r w:rsidR="00507A8F">
        <w:t xml:space="preserve"> as the RTO</w:t>
      </w:r>
      <w:r w:rsidR="005D0026">
        <w:t>,</w:t>
      </w:r>
      <w:r w:rsidR="00507A8F">
        <w:t xml:space="preserve"> </w:t>
      </w:r>
      <w:r w:rsidR="005D53CE">
        <w:t xml:space="preserve">is responsible </w:t>
      </w:r>
      <w:r w:rsidR="00507A8F">
        <w:t>to ensure adequate reliability</w:t>
      </w:r>
      <w:r w:rsidR="001615F8">
        <w:t>,</w:t>
      </w:r>
      <w:r w:rsidR="00507A8F">
        <w:t xml:space="preserve"> </w:t>
      </w:r>
      <w:r w:rsidR="001615F8">
        <w:t>a</w:t>
      </w:r>
      <w:r w:rsidR="005D53CE">
        <w:t xml:space="preserve">n overreach by the EPA under this rule could result in </w:t>
      </w:r>
      <w:r w:rsidR="005D0026">
        <w:t>many</w:t>
      </w:r>
      <w:r w:rsidR="00507A8F">
        <w:t xml:space="preserve"> </w:t>
      </w:r>
      <w:r w:rsidR="005D0026">
        <w:t>of the</w:t>
      </w:r>
      <w:r w:rsidR="00507A8F">
        <w:t xml:space="preserve"> less efficient</w:t>
      </w:r>
      <w:r w:rsidR="00D07312">
        <w:t>, but reliable,</w:t>
      </w:r>
      <w:r w:rsidR="00507A8F">
        <w:t xml:space="preserve"> coal units </w:t>
      </w:r>
      <w:r w:rsidR="005D53CE">
        <w:t>being</w:t>
      </w:r>
      <w:r w:rsidR="00507A8F">
        <w:t xml:space="preserve"> </w:t>
      </w:r>
      <w:r w:rsidR="001615F8">
        <w:t xml:space="preserve">prematurely </w:t>
      </w:r>
      <w:r w:rsidR="00507A8F">
        <w:t>priced out of the market</w:t>
      </w:r>
      <w:r w:rsidR="005D53CE">
        <w:t>.</w:t>
      </w:r>
      <w:r w:rsidR="00507A8F">
        <w:t xml:space="preserve">  </w:t>
      </w:r>
      <w:r w:rsidR="001615F8">
        <w:t>T</w:t>
      </w:r>
      <w:r w:rsidR="00921084">
        <w:t xml:space="preserve">he PUCO holds that instead of </w:t>
      </w:r>
      <w:r w:rsidR="00507A8F">
        <w:t>coal units slowly and systematically giv</w:t>
      </w:r>
      <w:r w:rsidR="005D53CE">
        <w:t>ing</w:t>
      </w:r>
      <w:r w:rsidR="00507A8F">
        <w:t xml:space="preserve"> way </w:t>
      </w:r>
      <w:r w:rsidR="005D53CE">
        <w:t>to</w:t>
      </w:r>
      <w:r w:rsidR="00507A8F">
        <w:t xml:space="preserve"> more efficient generation, this rule aggravates an already stressed capacity market with</w:t>
      </w:r>
      <w:r w:rsidR="005D0026">
        <w:t>out allowing adequate</w:t>
      </w:r>
      <w:r w:rsidR="00507A8F">
        <w:t xml:space="preserve"> new firm </w:t>
      </w:r>
      <w:r w:rsidR="00D07312">
        <w:t xml:space="preserve">base load </w:t>
      </w:r>
      <w:r w:rsidR="00507A8F">
        <w:t>genera</w:t>
      </w:r>
      <w:r>
        <w:softHyphen/>
      </w:r>
      <w:r w:rsidR="00507A8F">
        <w:t xml:space="preserve">tion capacity to </w:t>
      </w:r>
      <w:r w:rsidR="005D0026">
        <w:t xml:space="preserve">be built to </w:t>
      </w:r>
      <w:r w:rsidR="00507A8F">
        <w:t xml:space="preserve">offset the retiring plants.  </w:t>
      </w:r>
      <w:r w:rsidR="00921084">
        <w:t xml:space="preserve">  </w:t>
      </w:r>
    </w:p>
    <w:p w14:paraId="0D238CD9" w14:textId="6B12A42A" w:rsidR="00C62E7F" w:rsidRDefault="00444CD2" w:rsidP="00444CD2">
      <w:pPr>
        <w:pStyle w:val="textstyle"/>
      </w:pPr>
      <w:r>
        <w:tab/>
      </w:r>
      <w:r w:rsidR="005D0026">
        <w:t xml:space="preserve">Without </w:t>
      </w:r>
      <w:r w:rsidR="00D07312">
        <w:t xml:space="preserve">adequate </w:t>
      </w:r>
      <w:r w:rsidR="005D0026">
        <w:t xml:space="preserve">new </w:t>
      </w:r>
      <w:r w:rsidR="00D07312">
        <w:t xml:space="preserve">or existing </w:t>
      </w:r>
      <w:r w:rsidR="005D0026">
        <w:t xml:space="preserve">coal generation, the Ohio market </w:t>
      </w:r>
      <w:r w:rsidR="00D07312">
        <w:t>is certain</w:t>
      </w:r>
      <w:r w:rsidR="005E09B3">
        <w:t xml:space="preserve"> to</w:t>
      </w:r>
      <w:r w:rsidR="00D07312">
        <w:t xml:space="preserve"> </w:t>
      </w:r>
      <w:r w:rsidR="005D0026">
        <w:t>become increasingly reliant on natural gas generation to ensure capacity</w:t>
      </w:r>
      <w:r w:rsidR="00E12108">
        <w:t xml:space="preserve">.  </w:t>
      </w:r>
      <w:r w:rsidR="00C33DFC">
        <w:t>However</w:t>
      </w:r>
      <w:r w:rsidR="002D4E73">
        <w:t>,</w:t>
      </w:r>
      <w:r w:rsidR="005D0026">
        <w:t xml:space="preserve"> as demonstrated in </w:t>
      </w:r>
      <w:r w:rsidR="002D4E73">
        <w:t xml:space="preserve">the aforementioned </w:t>
      </w:r>
      <w:r w:rsidR="005D0026">
        <w:t xml:space="preserve">weather events, </w:t>
      </w:r>
      <w:r w:rsidR="00C33DFC">
        <w:t>some of our region’s existing natural gas generation is not able to secure the firm natural gas transmission required to handle</w:t>
      </w:r>
      <w:r w:rsidR="001615F8">
        <w:t xml:space="preserve"> generating in peak times.  These constraints</w:t>
      </w:r>
      <w:r w:rsidR="00B957BF">
        <w:t xml:space="preserve"> are</w:t>
      </w:r>
      <w:r w:rsidR="00C33DFC">
        <w:t xml:space="preserve"> </w:t>
      </w:r>
      <w:r w:rsidR="005D0026">
        <w:t>d</w:t>
      </w:r>
      <w:r w:rsidR="00921084">
        <w:t xml:space="preserve">ue to </w:t>
      </w:r>
      <w:r w:rsidR="005D53CE">
        <w:t>both limited</w:t>
      </w:r>
      <w:r w:rsidR="00921084">
        <w:t xml:space="preserve"> natural gas transmis</w:t>
      </w:r>
      <w:r>
        <w:softHyphen/>
      </w:r>
      <w:r w:rsidR="00921084">
        <w:t>sion infrastructure</w:t>
      </w:r>
      <w:r w:rsidR="00B957BF">
        <w:t xml:space="preserve"> as well as</w:t>
      </w:r>
      <w:r w:rsidR="005D53CE">
        <w:t xml:space="preserve"> the extraordinary costs associated with ensuring firm capac</w:t>
      </w:r>
      <w:r>
        <w:softHyphen/>
      </w:r>
      <w:r w:rsidR="005D53CE">
        <w:t xml:space="preserve">ity for peak </w:t>
      </w:r>
      <w:r w:rsidR="00C33DFC">
        <w:t>demand</w:t>
      </w:r>
      <w:r w:rsidR="00783DFA">
        <w:t>.</w:t>
      </w:r>
      <w:r w:rsidR="00E12108">
        <w:t xml:space="preserve">  </w:t>
      </w:r>
      <w:r w:rsidR="005D0026">
        <w:t xml:space="preserve">As more gas is required to maintain grid reliability, these events could </w:t>
      </w:r>
      <w:r w:rsidR="00115BAA">
        <w:t xml:space="preserve">potentially </w:t>
      </w:r>
      <w:r w:rsidR="005D0026">
        <w:t xml:space="preserve">become increasingly frequent and leave the region susceptible to </w:t>
      </w:r>
      <w:r w:rsidR="00115BAA">
        <w:t>vola</w:t>
      </w:r>
      <w:r>
        <w:softHyphen/>
      </w:r>
      <w:r w:rsidR="00115BAA">
        <w:t xml:space="preserve">tile price swings. </w:t>
      </w:r>
      <w:r>
        <w:t xml:space="preserve"> </w:t>
      </w:r>
      <w:r w:rsidR="00115BAA">
        <w:t xml:space="preserve">With ensuring overall system reliability as an agency goal, </w:t>
      </w:r>
      <w:r w:rsidR="00783DFA">
        <w:t xml:space="preserve">the PUCO </w:t>
      </w:r>
      <w:r w:rsidR="00115BAA">
        <w:t xml:space="preserve">is concerned that the rule has the potential to undermine two critical components that are vital to overall system reliability: </w:t>
      </w:r>
      <w:r w:rsidR="008670B6">
        <w:t xml:space="preserve">diverse resource generation and </w:t>
      </w:r>
      <w:r w:rsidR="00115BAA">
        <w:t>price stability</w:t>
      </w:r>
      <w:r w:rsidR="008670B6">
        <w:t>.</w:t>
      </w:r>
      <w:r w:rsidR="00783DFA">
        <w:t xml:space="preserve">  </w:t>
      </w:r>
    </w:p>
    <w:p w14:paraId="230DCFB2" w14:textId="7F19B4B9" w:rsidR="00D85F76" w:rsidRPr="003C4C79" w:rsidRDefault="00444CD2" w:rsidP="00444CD2">
      <w:pPr>
        <w:pStyle w:val="textstyle"/>
      </w:pPr>
      <w:r>
        <w:lastRenderedPageBreak/>
        <w:tab/>
      </w:r>
      <w:r w:rsidR="00D85F76" w:rsidRPr="003C4C79">
        <w:t xml:space="preserve">It is the </w:t>
      </w:r>
      <w:r w:rsidR="008A2AA5" w:rsidRPr="003C4C79">
        <w:t xml:space="preserve">policy of the state of Ohio and PUCO’s </w:t>
      </w:r>
      <w:r w:rsidR="00D85F76" w:rsidRPr="003C4C79">
        <w:t xml:space="preserve">responsibility to ensure the </w:t>
      </w:r>
      <w:r w:rsidR="002D4E73">
        <w:t>reliabil</w:t>
      </w:r>
      <w:r>
        <w:softHyphen/>
      </w:r>
      <w:r w:rsidR="002D4E73">
        <w:t xml:space="preserve">ity </w:t>
      </w:r>
      <w:r w:rsidR="00D85F76" w:rsidRPr="003C4C79">
        <w:t>of electricity resources.</w:t>
      </w:r>
      <w:r w:rsidR="00D90431" w:rsidRPr="003C4C79">
        <w:rPr>
          <w:rStyle w:val="FootnoteReference"/>
        </w:rPr>
        <w:footnoteReference w:id="5"/>
      </w:r>
      <w:r w:rsidR="00D85F76" w:rsidRPr="003C4C79">
        <w:t xml:space="preserve">  </w:t>
      </w:r>
      <w:r w:rsidR="00D07312">
        <w:t xml:space="preserve">With that mission in mind, </w:t>
      </w:r>
      <w:r w:rsidR="00D90431" w:rsidRPr="003C4C79">
        <w:t>Ohio fully supports the development and use of domestic fuel suppl</w:t>
      </w:r>
      <w:r w:rsidR="003B18D7">
        <w:t>ies</w:t>
      </w:r>
      <w:r w:rsidR="00D90431" w:rsidRPr="003C4C79">
        <w:t xml:space="preserve"> of all sources, including natural gas. </w:t>
      </w:r>
      <w:r>
        <w:t xml:space="preserve"> </w:t>
      </w:r>
      <w:r w:rsidR="00A628E8" w:rsidRPr="003C4C79">
        <w:t xml:space="preserve">On the federal level, the PUCO has been supportive of </w:t>
      </w:r>
      <w:r w:rsidR="00C33DFC">
        <w:t>the</w:t>
      </w:r>
      <w:r w:rsidR="00A628E8" w:rsidRPr="003C4C79">
        <w:t xml:space="preserve"> “all-of-the-above” energy strategy that holds the promise of ensuring improved long-term energy security, affordability, and reliability.</w:t>
      </w:r>
      <w:r w:rsidR="00D90431" w:rsidRPr="003C4C79">
        <w:t xml:space="preserve"> </w:t>
      </w:r>
      <w:r>
        <w:t xml:space="preserve"> </w:t>
      </w:r>
      <w:r w:rsidR="00D85F76" w:rsidRPr="003C4C79">
        <w:t>However, the proposed rule may cre</w:t>
      </w:r>
      <w:r w:rsidR="00D85F76" w:rsidRPr="003C4C79">
        <w:softHyphen/>
        <w:t>ate an unnecessary challenge to electric resource diversity</w:t>
      </w:r>
      <w:r w:rsidR="009923BD" w:rsidRPr="003C4C79">
        <w:t xml:space="preserve"> given the fact that coal-fired generation can not truly be considered</w:t>
      </w:r>
      <w:r w:rsidR="0092173B" w:rsidRPr="003C4C79">
        <w:t xml:space="preserve"> </w:t>
      </w:r>
      <w:r w:rsidR="00D90431" w:rsidRPr="003C4C79">
        <w:t>a viable generation option</w:t>
      </w:r>
      <w:r w:rsidR="00DD51CA">
        <w:t xml:space="preserve"> in the future</w:t>
      </w:r>
      <w:r w:rsidR="00D85F76" w:rsidRPr="003C4C79">
        <w:t>.  The proposed rule relies heavily on the develop</w:t>
      </w:r>
      <w:r>
        <w:softHyphen/>
      </w:r>
      <w:r w:rsidR="00D85F76" w:rsidRPr="003C4C79">
        <w:t>ment of natural gas, reasoning that “in light of a number of eco</w:t>
      </w:r>
      <w:r w:rsidR="00D85F76" w:rsidRPr="003C4C79">
        <w:softHyphen/>
        <w:t>nomic factors, including the increased availability and significantly lower price of natural gas, energy industry modeling forecasts uniformly predict that few, if any, new coal-fired plants will be built in the foreseeable future.”</w:t>
      </w:r>
      <w:r w:rsidR="00D85F76" w:rsidRPr="003C4C79">
        <w:rPr>
          <w:vertAlign w:val="superscript"/>
        </w:rPr>
        <w:footnoteReference w:id="6"/>
      </w:r>
      <w:r w:rsidR="009923BD" w:rsidRPr="003C4C79">
        <w:t xml:space="preserve">  Indeed, </w:t>
      </w:r>
      <w:r w:rsidR="00E85415">
        <w:t>the</w:t>
      </w:r>
      <w:r w:rsidR="009923BD" w:rsidRPr="003C4C79">
        <w:t xml:space="preserve"> EPA</w:t>
      </w:r>
      <w:r w:rsidR="008A2AA5" w:rsidRPr="003C4C79">
        <w:t>’s rules will make a perceived zero coal future a self-fulfilling prophecy</w:t>
      </w:r>
      <w:r w:rsidR="00E5310D" w:rsidRPr="003C4C79">
        <w:t>.</w:t>
      </w:r>
    </w:p>
    <w:p w14:paraId="308943F0" w14:textId="1A0E25AD" w:rsidR="00D90431" w:rsidRPr="003C4C79" w:rsidRDefault="00D85F76" w:rsidP="00D85F76">
      <w:pPr>
        <w:pStyle w:val="textstyle"/>
      </w:pPr>
      <w:r w:rsidRPr="003C4C79">
        <w:tab/>
      </w:r>
      <w:r w:rsidR="003B18D7">
        <w:t xml:space="preserve">Before enacting rules which may </w:t>
      </w:r>
      <w:r w:rsidR="0097080B">
        <w:t>arbitrarily pre</w:t>
      </w:r>
      <w:r w:rsidR="003B18D7">
        <w:t xml:space="preserve">cipitate this shift away from coal, the </w:t>
      </w:r>
      <w:r w:rsidR="00DD51CA">
        <w:t xml:space="preserve">EPA should </w:t>
      </w:r>
      <w:r w:rsidR="003B18D7">
        <w:t xml:space="preserve">carefully </w:t>
      </w:r>
      <w:r w:rsidR="00DD51CA">
        <w:t xml:space="preserve">consider </w:t>
      </w:r>
      <w:r w:rsidR="003B18D7">
        <w:t xml:space="preserve">the long-term implications of this move on </w:t>
      </w:r>
      <w:r w:rsidR="0097080B">
        <w:t>customers</w:t>
      </w:r>
      <w:r w:rsidR="00E85415">
        <w:t>’</w:t>
      </w:r>
      <w:r w:rsidR="0097080B">
        <w:t xml:space="preserve"> </w:t>
      </w:r>
      <w:r w:rsidR="003B18D7">
        <w:t>electricity rates.</w:t>
      </w:r>
      <w:r w:rsidR="00DD51CA">
        <w:t xml:space="preserve"> </w:t>
      </w:r>
      <w:r w:rsidR="00444CD2">
        <w:t xml:space="preserve"> </w:t>
      </w:r>
      <w:r w:rsidR="0066180C" w:rsidRPr="003C4C79">
        <w:t>T</w:t>
      </w:r>
      <w:r w:rsidRPr="003C4C79">
        <w:t xml:space="preserve">he proposed rule is founded on </w:t>
      </w:r>
      <w:r w:rsidR="00E85415">
        <w:t xml:space="preserve">the </w:t>
      </w:r>
      <w:r w:rsidRPr="003C4C79">
        <w:t xml:space="preserve">EPA’s prediction that NGCC units are “likely to be the predominant fossil fuel-fired technology for new generation in the </w:t>
      </w:r>
      <w:r w:rsidRPr="003C4C79">
        <w:lastRenderedPageBreak/>
        <w:t>future.”</w:t>
      </w:r>
      <w:r w:rsidRPr="003C4C79">
        <w:rPr>
          <w:vertAlign w:val="superscript"/>
        </w:rPr>
        <w:footnoteReference w:id="7"/>
      </w:r>
      <w:r w:rsidRPr="003C4C79">
        <w:t xml:space="preserve"> </w:t>
      </w:r>
      <w:r w:rsidR="00444CD2">
        <w:t xml:space="preserve"> </w:t>
      </w:r>
      <w:r w:rsidR="00DD51CA">
        <w:t>C</w:t>
      </w:r>
      <w:r w:rsidRPr="003C4C79">
        <w:t>urrent market forces seem to support the EPA’s projection that construction of new coal-fired EGUs is unlikely</w:t>
      </w:r>
      <w:r w:rsidR="003B18D7">
        <w:t>;</w:t>
      </w:r>
      <w:r w:rsidRPr="003C4C79">
        <w:t xml:space="preserve"> natural gas prices are </w:t>
      </w:r>
      <w:r w:rsidR="00A17467" w:rsidRPr="003C4C79">
        <w:t>lower than ten years ago</w:t>
      </w:r>
      <w:r w:rsidRPr="003C4C79">
        <w:t>,</w:t>
      </w:r>
      <w:r w:rsidRPr="003C4C79">
        <w:rPr>
          <w:vertAlign w:val="superscript"/>
        </w:rPr>
        <w:footnoteReference w:id="8"/>
      </w:r>
      <w:r w:rsidRPr="003C4C79">
        <w:t xml:space="preserve"> coal prices are </w:t>
      </w:r>
      <w:r w:rsidR="00A17467" w:rsidRPr="003C4C79">
        <w:t>slowly increasing</w:t>
      </w:r>
      <w:r w:rsidRPr="003C4C79">
        <w:t>,</w:t>
      </w:r>
      <w:r w:rsidR="00A17467" w:rsidRPr="003C4C79">
        <w:rPr>
          <w:rStyle w:val="FootnoteReference"/>
        </w:rPr>
        <w:footnoteReference w:id="9"/>
      </w:r>
      <w:r w:rsidRPr="003C4C79">
        <w:t xml:space="preserve"> and there is slow growth in the demand for electricity.</w:t>
      </w:r>
      <w:r w:rsidRPr="003C4C79">
        <w:rPr>
          <w:vertAlign w:val="superscript"/>
        </w:rPr>
        <w:footnoteReference w:id="10"/>
      </w:r>
      <w:r w:rsidRPr="003C4C79">
        <w:t xml:space="preserve">  However, the market is ever changing and natural gas prices have historically been vola</w:t>
      </w:r>
      <w:r w:rsidR="00444CD2">
        <w:softHyphen/>
      </w:r>
      <w:r w:rsidRPr="003C4C79">
        <w:t>tile.</w:t>
      </w:r>
      <w:r w:rsidR="00D90431" w:rsidRPr="003C4C79">
        <w:rPr>
          <w:rStyle w:val="FootnoteReference"/>
        </w:rPr>
        <w:footnoteReference w:id="11"/>
      </w:r>
      <w:r w:rsidRPr="003C4C79">
        <w:t xml:space="preserve">  </w:t>
      </w:r>
      <w:r w:rsidR="008A2AA5" w:rsidRPr="003C4C79">
        <w:t xml:space="preserve">This volatility was particularly apparent in </w:t>
      </w:r>
      <w:r w:rsidRPr="003C4C79">
        <w:t xml:space="preserve">2008, </w:t>
      </w:r>
      <w:r w:rsidR="008A2AA5" w:rsidRPr="003C4C79">
        <w:t xml:space="preserve">when </w:t>
      </w:r>
      <w:r w:rsidRPr="003C4C79">
        <w:t xml:space="preserve">the Henry Hub Natural Gas Spot Price surpassed </w:t>
      </w:r>
      <w:r w:rsidR="008A2AA5" w:rsidRPr="003C4C79">
        <w:t xml:space="preserve">the </w:t>
      </w:r>
      <w:r w:rsidRPr="003C4C79">
        <w:t>$10 and even the $13 mark.</w:t>
      </w:r>
      <w:r w:rsidRPr="003C4C79">
        <w:rPr>
          <w:vertAlign w:val="superscript"/>
        </w:rPr>
        <w:footnoteReference w:id="12"/>
      </w:r>
      <w:r w:rsidRPr="003C4C79">
        <w:t xml:space="preserve">  </w:t>
      </w:r>
      <w:r w:rsidR="008A2AA5" w:rsidRPr="003C4C79">
        <w:t>More recently, while the 2013 Henry Hub Natural Gas Spot Price average remained relatively low</w:t>
      </w:r>
      <w:r w:rsidR="00E85415">
        <w:t>,</w:t>
      </w:r>
      <w:r w:rsidR="008A2AA5" w:rsidRPr="003C4C79">
        <w:t xml:space="preserve"> in the $4 range,</w:t>
      </w:r>
      <w:r w:rsidR="00D90431" w:rsidRPr="003C4C79">
        <w:t xml:space="preserve"> d</w:t>
      </w:r>
      <w:r w:rsidR="00FF57CB" w:rsidRPr="003C4C79">
        <w:t>uring this winter season</w:t>
      </w:r>
      <w:r w:rsidR="0017122A" w:rsidRPr="003C4C79">
        <w:t xml:space="preserve"> </w:t>
      </w:r>
      <w:r w:rsidR="00FF57CB" w:rsidRPr="003C4C79">
        <w:t xml:space="preserve">natural gas prices </w:t>
      </w:r>
      <w:r w:rsidR="0017122A" w:rsidRPr="003C4C79">
        <w:t xml:space="preserve">spiked </w:t>
      </w:r>
      <w:r w:rsidR="00687B38" w:rsidRPr="003C4C79">
        <w:t xml:space="preserve">to </w:t>
      </w:r>
      <w:r w:rsidR="00FF57CB" w:rsidRPr="003C4C79">
        <w:t>around $8.</w:t>
      </w:r>
      <w:r w:rsidR="00D90431" w:rsidRPr="003C4C79">
        <w:rPr>
          <w:rStyle w:val="FootnoteReference"/>
        </w:rPr>
        <w:footnoteReference w:id="13"/>
      </w:r>
      <w:r w:rsidR="00FF57CB" w:rsidRPr="003C4C79">
        <w:t xml:space="preserve">  With the recent </w:t>
      </w:r>
      <w:r w:rsidR="001124CC" w:rsidRPr="003C4C79">
        <w:t xml:space="preserve">wave of </w:t>
      </w:r>
      <w:r w:rsidR="00FF57CB" w:rsidRPr="003C4C79">
        <w:t>coal-fired generation retirements</w:t>
      </w:r>
      <w:r w:rsidR="00D90431" w:rsidRPr="003C4C79">
        <w:t xml:space="preserve"> </w:t>
      </w:r>
      <w:r w:rsidR="001124CC" w:rsidRPr="003C4C79">
        <w:t>across the</w:t>
      </w:r>
      <w:r w:rsidR="00D90431" w:rsidRPr="003C4C79">
        <w:t xml:space="preserve"> PJM region</w:t>
      </w:r>
      <w:r w:rsidR="001124CC" w:rsidRPr="003C4C79">
        <w:t>,</w:t>
      </w:r>
      <w:r w:rsidR="00D90431" w:rsidRPr="003C4C79">
        <w:t xml:space="preserve"> </w:t>
      </w:r>
      <w:r w:rsidR="00FF57CB" w:rsidRPr="003C4C79">
        <w:t xml:space="preserve">natural gas fired units are </w:t>
      </w:r>
      <w:r w:rsidR="00BA1B36" w:rsidRPr="003C4C79">
        <w:t xml:space="preserve">increasingly </w:t>
      </w:r>
      <w:r w:rsidR="00FF57CB" w:rsidRPr="003C4C79">
        <w:t>on the margin</w:t>
      </w:r>
      <w:r w:rsidR="00484880">
        <w:t xml:space="preserve">, </w:t>
      </w:r>
      <w:r w:rsidR="00484880" w:rsidRPr="00444CD2">
        <w:rPr>
          <w:i/>
        </w:rPr>
        <w:t>i.e</w:t>
      </w:r>
      <w:r w:rsidR="00484880">
        <w:t>. generators</w:t>
      </w:r>
      <w:r w:rsidR="00484880" w:rsidRPr="00484880">
        <w:t xml:space="preserve"> that submit the highest accepted offer and thus set the spot market electricity price at a given time</w:t>
      </w:r>
      <w:r w:rsidR="00E85415">
        <w:t>,</w:t>
      </w:r>
      <w:r w:rsidR="001124CC" w:rsidRPr="003C4C79">
        <w:t xml:space="preserve"> leading to increased electric price volatility.</w:t>
      </w:r>
      <w:r w:rsidR="00FF57CB" w:rsidRPr="003C4C79">
        <w:t xml:space="preserve">  </w:t>
      </w:r>
    </w:p>
    <w:p w14:paraId="63E5A33F" w14:textId="00A056CB" w:rsidR="00D85F76" w:rsidRPr="003C4C79" w:rsidRDefault="00444CD2" w:rsidP="00444CD2">
      <w:pPr>
        <w:pStyle w:val="textstyle"/>
      </w:pPr>
      <w:r>
        <w:tab/>
      </w:r>
      <w:r w:rsidR="001124CC" w:rsidRPr="003C4C79">
        <w:t xml:space="preserve">Accounting for 21% of </w:t>
      </w:r>
      <w:r w:rsidR="00190429" w:rsidRPr="003C4C79">
        <w:t>PJM’s</w:t>
      </w:r>
      <w:r w:rsidR="001124CC" w:rsidRPr="003C4C79">
        <w:t xml:space="preserve"> load,</w:t>
      </w:r>
      <w:r w:rsidR="00D90431" w:rsidRPr="003C4C79">
        <w:t xml:space="preserve"> Ohio </w:t>
      </w:r>
      <w:r w:rsidR="00E85415">
        <w:t>Locational Marginal Pricing (</w:t>
      </w:r>
      <w:r w:rsidR="005E09B3">
        <w:t>LMP</w:t>
      </w:r>
      <w:r w:rsidR="00E85415">
        <w:t>)</w:t>
      </w:r>
      <w:r w:rsidR="005E09B3">
        <w:t xml:space="preserve"> </w:t>
      </w:r>
      <w:r w:rsidR="00190429" w:rsidRPr="003C4C79">
        <w:t>sky</w:t>
      </w:r>
      <w:r>
        <w:softHyphen/>
      </w:r>
      <w:r w:rsidR="00190429" w:rsidRPr="003C4C79">
        <w:t>rocket</w:t>
      </w:r>
      <w:r w:rsidR="005E09B3">
        <w:t>ed</w:t>
      </w:r>
      <w:r w:rsidR="00190429" w:rsidRPr="003C4C79">
        <w:t xml:space="preserve"> this January </w:t>
      </w:r>
      <w:r w:rsidR="00190429" w:rsidRPr="00B957BF">
        <w:t>due to a combination of PJM’s greater reliance on</w:t>
      </w:r>
      <w:r w:rsidR="001124CC" w:rsidRPr="00B957BF">
        <w:t xml:space="preserve"> natural gas </w:t>
      </w:r>
      <w:r w:rsidR="00190429" w:rsidRPr="00B957BF">
        <w:lastRenderedPageBreak/>
        <w:t xml:space="preserve">for </w:t>
      </w:r>
      <w:r w:rsidR="001124CC" w:rsidRPr="00B957BF">
        <w:t>electric generation an</w:t>
      </w:r>
      <w:r w:rsidR="00190429" w:rsidRPr="00B957BF">
        <w:t xml:space="preserve">d </w:t>
      </w:r>
      <w:r w:rsidR="001124CC" w:rsidRPr="00B957BF">
        <w:t xml:space="preserve">price volatility </w:t>
      </w:r>
      <w:r w:rsidR="00190429" w:rsidRPr="00B957BF">
        <w:t>in natural gas spot markets</w:t>
      </w:r>
      <w:r w:rsidR="00190429" w:rsidRPr="003C4C79">
        <w:t>.</w:t>
      </w:r>
      <w:r w:rsidR="001C349E" w:rsidRPr="003C4C79">
        <w:rPr>
          <w:rStyle w:val="FootnoteReference"/>
        </w:rPr>
        <w:footnoteReference w:id="14"/>
      </w:r>
      <w:r w:rsidR="00D90431" w:rsidRPr="003C4C79">
        <w:t xml:space="preserve"> </w:t>
      </w:r>
      <w:r>
        <w:t xml:space="preserve"> </w:t>
      </w:r>
      <w:r w:rsidR="001B5136" w:rsidRPr="003C4C79">
        <w:t>Within the RTO, p</w:t>
      </w:r>
      <w:r w:rsidR="00FF57CB" w:rsidRPr="003C4C79">
        <w:t xml:space="preserve">rices can </w:t>
      </w:r>
      <w:r w:rsidR="001B5136" w:rsidRPr="003C4C79">
        <w:t>range</w:t>
      </w:r>
      <w:r w:rsidR="00FF57CB" w:rsidRPr="003C4C79">
        <w:t xml:space="preserve"> from </w:t>
      </w:r>
      <w:r w:rsidR="00BA2AAC" w:rsidRPr="003C4C79">
        <w:t>roughly $35</w:t>
      </w:r>
      <w:r w:rsidR="00190429" w:rsidRPr="003C4C79">
        <w:t>/</w:t>
      </w:r>
      <w:r w:rsidR="00BA2AAC" w:rsidRPr="003C4C79">
        <w:t xml:space="preserve"> </w:t>
      </w:r>
      <w:r w:rsidR="002D0110">
        <w:t>MWh</w:t>
      </w:r>
      <w:r w:rsidR="006406A1">
        <w:t xml:space="preserve"> to over $1,800</w:t>
      </w:r>
      <w:r w:rsidR="00BA2AAC" w:rsidRPr="003C4C79">
        <w:t>.</w:t>
      </w:r>
      <w:r w:rsidR="00A17467" w:rsidRPr="003C4C79">
        <w:rPr>
          <w:rStyle w:val="FootnoteReference"/>
        </w:rPr>
        <w:footnoteReference w:id="15"/>
      </w:r>
      <w:r w:rsidR="00BA2AAC" w:rsidRPr="003C4C79">
        <w:t xml:space="preserve">  </w:t>
      </w:r>
      <w:r w:rsidR="0025375F">
        <w:t>With this in mind, t</w:t>
      </w:r>
      <w:r w:rsidR="00D85F76" w:rsidRPr="003C4C79">
        <w:t xml:space="preserve">he PUCO urges the EPA to use caution when proposing rules based upon a forecast focused only upon the </w:t>
      </w:r>
      <w:r w:rsidR="0094395A">
        <w:t xml:space="preserve">speculative </w:t>
      </w:r>
      <w:r w:rsidR="001B5136" w:rsidRPr="003C4C79">
        <w:t xml:space="preserve">long-term </w:t>
      </w:r>
      <w:r w:rsidR="00D85F76" w:rsidRPr="003C4C79">
        <w:t xml:space="preserve">outlook for natural gas. </w:t>
      </w:r>
      <w:r>
        <w:t xml:space="preserve"> </w:t>
      </w:r>
      <w:r w:rsidR="003B18D7">
        <w:t>The EIA’s 2007 Annual Report stated in part:</w:t>
      </w:r>
    </w:p>
    <w:p w14:paraId="7BB4A1F1" w14:textId="77777777" w:rsidR="00D85F76" w:rsidRPr="003C4C79" w:rsidRDefault="00D85F76" w:rsidP="00D85F76">
      <w:pPr>
        <w:pStyle w:val="Blockquote"/>
      </w:pPr>
      <w:r w:rsidRPr="003C4C79">
        <w:t>Energy market projections are subject to much uncertainty.  Many of the events that shape energy markets are random and cannot be anticipated, including severe weather, political dis</w:t>
      </w:r>
      <w:r w:rsidRPr="003C4C79">
        <w:softHyphen/>
        <w:t>ruptions, strikes, and technological breakthroughs.  In addi</w:t>
      </w:r>
      <w:r w:rsidRPr="003C4C79">
        <w:softHyphen/>
        <w:t>tion, future developments in technologies, demographics, and resources cannot be foreseen with certainty.</w:t>
      </w:r>
      <w:r w:rsidRPr="003C4C79">
        <w:rPr>
          <w:vertAlign w:val="superscript"/>
        </w:rPr>
        <w:footnoteReference w:id="16"/>
      </w:r>
    </w:p>
    <w:p w14:paraId="4E9BA9A2" w14:textId="77777777" w:rsidR="0025375F" w:rsidRDefault="00D85F76" w:rsidP="00EF5E04">
      <w:pPr>
        <w:pStyle w:val="textstyle"/>
      </w:pPr>
      <w:r w:rsidRPr="003C4C79">
        <w:tab/>
        <w:t xml:space="preserve">Market forces may continue to make natural gas units more cost-effective than the construction of new coal-fired or </w:t>
      </w:r>
      <w:r w:rsidR="002D0110">
        <w:t>pet coke-fired</w:t>
      </w:r>
      <w:r w:rsidRPr="003C4C79">
        <w:t xml:space="preserve"> units.  However, the </w:t>
      </w:r>
      <w:r w:rsidR="005A3A0D" w:rsidRPr="003C4C79">
        <w:t xml:space="preserve">CAA </w:t>
      </w:r>
      <w:r w:rsidRPr="003C4C79">
        <w:t>grants the Administrator discretion to distinguish among classes, types, and sizes within catego</w:t>
      </w:r>
      <w:r w:rsidRPr="003C4C79">
        <w:softHyphen/>
        <w:t>ries of new sources for the purpose of establishing NSPS.</w:t>
      </w:r>
      <w:r w:rsidRPr="003C4C79">
        <w:rPr>
          <w:rStyle w:val="FootnoteReference"/>
          <w:bCs/>
          <w:kern w:val="32"/>
        </w:rPr>
        <w:footnoteReference w:id="17"/>
      </w:r>
      <w:r w:rsidRPr="003C4C79">
        <w:t xml:space="preserve">  </w:t>
      </w:r>
    </w:p>
    <w:p w14:paraId="21F087E6" w14:textId="1750776A" w:rsidR="00070493" w:rsidRDefault="00444CD2" w:rsidP="00444CD2">
      <w:pPr>
        <w:pStyle w:val="textstyle"/>
      </w:pPr>
      <w:r>
        <w:tab/>
      </w:r>
      <w:r w:rsidR="0025375F">
        <w:t>With these concerns in mind and in order to preserve grid reliability</w:t>
      </w:r>
      <w:r w:rsidR="00D85F76" w:rsidRPr="003C4C79">
        <w:t xml:space="preserve">, the PUCO urges the Administrator to use </w:t>
      </w:r>
      <w:r w:rsidR="0025375F">
        <w:t>its</w:t>
      </w:r>
      <w:r w:rsidR="00D85F76" w:rsidRPr="003C4C79">
        <w:t xml:space="preserve"> discretion to develop an emission limitation achievable through the application of the </w:t>
      </w:r>
      <w:r w:rsidR="001B5136" w:rsidRPr="003C4C79">
        <w:t>BSER.</w:t>
      </w:r>
      <w:r w:rsidR="00D85F76" w:rsidRPr="003C4C79">
        <w:t xml:space="preserve"> </w:t>
      </w:r>
      <w:r>
        <w:t xml:space="preserve"> </w:t>
      </w:r>
      <w:r w:rsidR="001B5136" w:rsidRPr="003C4C79">
        <w:t>This approach should take</w:t>
      </w:r>
      <w:r w:rsidR="00D85F76" w:rsidRPr="003C4C79">
        <w:t xml:space="preserve"> into </w:t>
      </w:r>
      <w:r w:rsidR="00484880">
        <w:t xml:space="preserve">account </w:t>
      </w:r>
      <w:r w:rsidR="00D85F76" w:rsidRPr="003C4C79">
        <w:t xml:space="preserve">the cost of achieving such reduction </w:t>
      </w:r>
      <w:r w:rsidR="001B5136" w:rsidRPr="003C4C79">
        <w:t xml:space="preserve">with the </w:t>
      </w:r>
      <w:r w:rsidR="00D85F76" w:rsidRPr="003C4C79">
        <w:t>health</w:t>
      </w:r>
      <w:r w:rsidR="001B5136" w:rsidRPr="003C4C79">
        <w:t>,</w:t>
      </w:r>
      <w:r w:rsidR="00D85F76" w:rsidRPr="003C4C79">
        <w:t xml:space="preserve"> environmental</w:t>
      </w:r>
      <w:r w:rsidR="001B5136" w:rsidRPr="003C4C79">
        <w:t xml:space="preserve">, and energy market impacts of </w:t>
      </w:r>
      <w:r w:rsidR="001B5136" w:rsidRPr="003C4C79">
        <w:lastRenderedPageBreak/>
        <w:t xml:space="preserve">maintaining </w:t>
      </w:r>
      <w:r w:rsidR="00D85F76" w:rsidRPr="003C4C79">
        <w:t xml:space="preserve">coal-fired EGUs. </w:t>
      </w:r>
      <w:r>
        <w:t xml:space="preserve"> </w:t>
      </w:r>
      <w:r w:rsidR="00D85F76" w:rsidRPr="003C4C79">
        <w:t xml:space="preserve">The PUCO is concerned that the proposed rule would effectively limit coal-fired or </w:t>
      </w:r>
      <w:r w:rsidR="002D0110">
        <w:t>pet coke-fired</w:t>
      </w:r>
      <w:r w:rsidR="00D85F76" w:rsidRPr="003C4C79">
        <w:t xml:space="preserve"> generation from being constructed, even in instances where it may be necessary to</w:t>
      </w:r>
      <w:r w:rsidR="00DD51CA">
        <w:t xml:space="preserve"> increase reliability by hedg</w:t>
      </w:r>
      <w:r w:rsidR="00C17141">
        <w:t>ing against market vol</w:t>
      </w:r>
      <w:r>
        <w:softHyphen/>
      </w:r>
      <w:r w:rsidR="00C17141">
        <w:t xml:space="preserve">atility.  </w:t>
      </w:r>
      <w:r w:rsidR="0092173B" w:rsidRPr="003C4C79">
        <w:t xml:space="preserve">The </w:t>
      </w:r>
      <w:r w:rsidR="00D85F76" w:rsidRPr="003C4C79">
        <w:t xml:space="preserve">Administrator should use </w:t>
      </w:r>
      <w:r w:rsidR="0025375F">
        <w:t xml:space="preserve">its </w:t>
      </w:r>
      <w:r w:rsidR="00D85F76" w:rsidRPr="003C4C79">
        <w:t xml:space="preserve">discretion to </w:t>
      </w:r>
      <w:r w:rsidR="001764E0" w:rsidRPr="003C4C79">
        <w:t xml:space="preserve">conduct </w:t>
      </w:r>
      <w:r w:rsidR="0025375F">
        <w:t xml:space="preserve">either </w:t>
      </w:r>
      <w:r w:rsidR="001764E0" w:rsidRPr="003C4C79">
        <w:t>a true cost</w:t>
      </w:r>
      <w:r w:rsidR="00DF72DD">
        <w:t>-</w:t>
      </w:r>
      <w:r w:rsidR="001764E0" w:rsidRPr="003C4C79">
        <w:t xml:space="preserve">benefit analysis using non-pilot scale examples of CCS on </w:t>
      </w:r>
      <w:r w:rsidR="001035C5">
        <w:t>coal-fired</w:t>
      </w:r>
      <w:r w:rsidR="001764E0" w:rsidRPr="003C4C79">
        <w:t xml:space="preserve"> boilers</w:t>
      </w:r>
      <w:r w:rsidR="0025375F">
        <w:t xml:space="preserve"> or a system-wide cost</w:t>
      </w:r>
      <w:r w:rsidR="00DF72DD">
        <w:t>-</w:t>
      </w:r>
      <w:r w:rsidR="0025375F">
        <w:t>benefit analysis</w:t>
      </w:r>
      <w:r w:rsidR="001764E0" w:rsidRPr="003C4C79">
        <w:t xml:space="preserve"> to determine </w:t>
      </w:r>
      <w:r w:rsidR="00DD4C2E">
        <w:t xml:space="preserve">at </w:t>
      </w:r>
      <w:r w:rsidR="001764E0" w:rsidRPr="003C4C79">
        <w:t xml:space="preserve">what level the coal-fired generation </w:t>
      </w:r>
      <w:r w:rsidR="0092173B" w:rsidRPr="003C4C79">
        <w:t xml:space="preserve">emissions </w:t>
      </w:r>
      <w:r w:rsidR="001764E0" w:rsidRPr="003C4C79">
        <w:t xml:space="preserve">limit should be set.  </w:t>
      </w:r>
      <w:r w:rsidR="0025375F">
        <w:t xml:space="preserve">In order to ensure that the </w:t>
      </w:r>
      <w:r w:rsidR="00592576">
        <w:t xml:space="preserve">analysis </w:t>
      </w:r>
      <w:r w:rsidR="0097080B">
        <w:t xml:space="preserve">only </w:t>
      </w:r>
      <w:r w:rsidR="00592576">
        <w:t>incorporates applicable projects</w:t>
      </w:r>
      <w:r w:rsidR="0025375F">
        <w:t>, t</w:t>
      </w:r>
      <w:r w:rsidR="001764E0" w:rsidRPr="003C4C79">
        <w:t>he</w:t>
      </w:r>
      <w:r w:rsidR="0092173B" w:rsidRPr="003C4C79">
        <w:t xml:space="preserve"> economic baseline of the analysis should not be </w:t>
      </w:r>
      <w:r w:rsidR="0025375F">
        <w:t>calculated</w:t>
      </w:r>
      <w:r w:rsidR="0025375F" w:rsidRPr="003C4C79">
        <w:t xml:space="preserve"> </w:t>
      </w:r>
      <w:r w:rsidR="0092173B" w:rsidRPr="003C4C79">
        <w:t xml:space="preserve">based upon </w:t>
      </w:r>
      <w:r w:rsidR="00592576">
        <w:t>generators</w:t>
      </w:r>
      <w:r w:rsidR="00592576" w:rsidRPr="003C4C79">
        <w:t xml:space="preserve"> </w:t>
      </w:r>
      <w:r w:rsidR="0017122A" w:rsidRPr="003C4C79">
        <w:t xml:space="preserve">that </w:t>
      </w:r>
      <w:r w:rsidR="001764E0" w:rsidRPr="003C4C79">
        <w:t xml:space="preserve">were </w:t>
      </w:r>
      <w:r w:rsidR="0092173B" w:rsidRPr="003C4C79">
        <w:t>shut</w:t>
      </w:r>
      <w:r w:rsidR="0025375F">
        <w:t xml:space="preserve"> </w:t>
      </w:r>
      <w:r w:rsidR="0092173B" w:rsidRPr="003C4C79">
        <w:t>down</w:t>
      </w:r>
      <w:r w:rsidR="001764E0" w:rsidRPr="003C4C79">
        <w:t xml:space="preserve"> due to high costs.</w:t>
      </w:r>
      <w:r w:rsidR="0025375F">
        <w:t xml:space="preserve">  The PUCO believes that by developing </w:t>
      </w:r>
      <w:proofErr w:type="gramStart"/>
      <w:r w:rsidR="0025375F">
        <w:t>a</w:t>
      </w:r>
      <w:r w:rsidR="00DD4C2E">
        <w:t>n</w:t>
      </w:r>
      <w:r w:rsidR="0025375F">
        <w:t xml:space="preserve"> emissions</w:t>
      </w:r>
      <w:proofErr w:type="gramEnd"/>
      <w:r w:rsidR="0025375F">
        <w:t xml:space="preserve"> limitation based on BSER, PJM will be able to maintain reliability, limit costs, and ensure resource diversity</w:t>
      </w:r>
      <w:r w:rsidR="00DF72DD">
        <w:t>,</w:t>
      </w:r>
      <w:r w:rsidR="0025375F">
        <w:t xml:space="preserve"> while at the same time achieving the necessary reductions in CO</w:t>
      </w:r>
      <w:r w:rsidR="0025375F" w:rsidRPr="00DF72DD">
        <w:rPr>
          <w:vertAlign w:val="subscript"/>
        </w:rPr>
        <w:t>2</w:t>
      </w:r>
      <w:r w:rsidR="0025375F">
        <w:t xml:space="preserve"> emissions.</w:t>
      </w:r>
    </w:p>
    <w:p w14:paraId="0E53A194" w14:textId="7CD3E8D6" w:rsidR="00EF5E04" w:rsidRPr="003C4C79" w:rsidRDefault="00444CD2" w:rsidP="00444CD2">
      <w:pPr>
        <w:pStyle w:val="Heading2"/>
      </w:pPr>
      <w:bookmarkStart w:id="9" w:name="_Toc384819362"/>
      <w:r>
        <w:t>B.</w:t>
      </w:r>
      <w:r>
        <w:tab/>
      </w:r>
      <w:r w:rsidR="00EF5E04" w:rsidRPr="003C4C79">
        <w:t>The PUCO is concerned about the proposed rule’s reli</w:t>
      </w:r>
      <w:r w:rsidR="00EF5E04" w:rsidRPr="003C4C79">
        <w:softHyphen/>
        <w:t xml:space="preserve">ance upon and specification of </w:t>
      </w:r>
      <w:r w:rsidR="00CC3588">
        <w:t>CCS</w:t>
      </w:r>
      <w:r w:rsidR="00EF5E04">
        <w:t xml:space="preserve"> tech</w:t>
      </w:r>
      <w:r w:rsidR="000F49C5">
        <w:t>n</w:t>
      </w:r>
      <w:r w:rsidR="00EF5E04">
        <w:softHyphen/>
      </w:r>
      <w:r w:rsidR="00EF5E04" w:rsidRPr="003C4C79">
        <w:t>ology</w:t>
      </w:r>
      <w:r w:rsidR="000F49C5">
        <w:t xml:space="preserve"> and requests the EPA con</w:t>
      </w:r>
      <w:r>
        <w:softHyphen/>
      </w:r>
      <w:r w:rsidR="000F49C5">
        <w:t>sider other viable alternatives reflective of current technology</w:t>
      </w:r>
      <w:r w:rsidR="00EF5E04" w:rsidRPr="003C4C79">
        <w:t>.</w:t>
      </w:r>
      <w:bookmarkEnd w:id="9"/>
    </w:p>
    <w:p w14:paraId="396A6848" w14:textId="1D2F491F" w:rsidR="00EF5E04" w:rsidRPr="003C4C79" w:rsidRDefault="00EF5E04" w:rsidP="00CC3588">
      <w:pPr>
        <w:pStyle w:val="textstyle"/>
      </w:pPr>
      <w:r w:rsidRPr="003C4C79">
        <w:tab/>
        <w:t xml:space="preserve">The proposed rule dictates that CCS technology must be implemented by a coal-fired generating unit.  Since CCS is the only system of emissions reduction that a coal-fired or </w:t>
      </w:r>
      <w:r>
        <w:t>pet coke-fired</w:t>
      </w:r>
      <w:r w:rsidRPr="003C4C79">
        <w:t xml:space="preserve"> generating unit can apply to meet the proposed standard, the only conclusion to draw is that the Administrator has determined that CCS has been ade</w:t>
      </w:r>
      <w:r w:rsidR="00444CD2">
        <w:softHyphen/>
      </w:r>
      <w:r w:rsidRPr="003C4C79">
        <w:t xml:space="preserve">quately demonstrated.  </w:t>
      </w:r>
      <w:r w:rsidR="00592576" w:rsidRPr="003C4C79">
        <w:t xml:space="preserve">The PUCO is greatly concerned that </w:t>
      </w:r>
      <w:r w:rsidR="00592576">
        <w:t>CCS</w:t>
      </w:r>
      <w:r w:rsidR="00592576" w:rsidRPr="003C4C79">
        <w:t xml:space="preserve"> technology has not been adequately demonstrated as a presently viable</w:t>
      </w:r>
      <w:r w:rsidR="0094395A">
        <w:t xml:space="preserve"> </w:t>
      </w:r>
      <w:r w:rsidR="0094395A" w:rsidRPr="003C4C79">
        <w:t>commercial</w:t>
      </w:r>
      <w:r w:rsidR="0094395A">
        <w:t xml:space="preserve"> </w:t>
      </w:r>
      <w:r w:rsidR="00592576" w:rsidRPr="003C4C79">
        <w:t xml:space="preserve">solution. </w:t>
      </w:r>
      <w:r w:rsidR="00444CD2">
        <w:t xml:space="preserve"> </w:t>
      </w:r>
      <w:r w:rsidRPr="003C4C79">
        <w:t>When determining that a technology has been adequately demonstrated, the Administra</w:t>
      </w:r>
      <w:r w:rsidRPr="003C4C79">
        <w:softHyphen/>
        <w:t xml:space="preserve">tor must </w:t>
      </w:r>
      <w:r w:rsidRPr="003C4C79">
        <w:lastRenderedPageBreak/>
        <w:t>take into account the costs of the technology.</w:t>
      </w:r>
      <w:r w:rsidRPr="003C4C79">
        <w:rPr>
          <w:rStyle w:val="FootnoteReference"/>
        </w:rPr>
        <w:footnoteReference w:id="18"/>
      </w:r>
      <w:r w:rsidRPr="003C4C79">
        <w:t xml:space="preserve">  CCS technology has not yet demonstrated that it can reduce emissions in an economically feasible manner.</w:t>
      </w:r>
      <w:r w:rsidRPr="003C4C79">
        <w:rPr>
          <w:rStyle w:val="FootnoteReference"/>
        </w:rPr>
        <w:footnoteReference w:id="19"/>
      </w:r>
      <w:r w:rsidRPr="003C4C79">
        <w:t xml:space="preserve">  The Administrator acknowl</w:t>
      </w:r>
      <w:r w:rsidR="00444CD2">
        <w:softHyphen/>
      </w:r>
      <w:r w:rsidRPr="003C4C79">
        <w:t xml:space="preserve">edges that the addition of CCS would </w:t>
      </w:r>
      <w:r>
        <w:t>substantially increase the cost</w:t>
      </w:r>
      <w:r w:rsidRPr="003C4C79">
        <w:t xml:space="preserve"> of a new coal-fired power plant, but asserts that companies interested in building new coal-fired power plants may have access to government pro</w:t>
      </w:r>
      <w:r w:rsidRPr="003C4C79">
        <w:softHyphen/>
        <w:t>grams for assistance and forecasts that the costs of CCS will decline in the future as CCS matures and is utilized more widely.</w:t>
      </w:r>
      <w:r w:rsidRPr="003C4C79">
        <w:rPr>
          <w:rStyle w:val="FootnoteReference"/>
        </w:rPr>
        <w:footnoteReference w:id="20"/>
      </w:r>
      <w:r w:rsidRPr="003C4C79">
        <w:t xml:space="preserve"> </w:t>
      </w:r>
      <w:r w:rsidR="00444CD2">
        <w:t xml:space="preserve"> </w:t>
      </w:r>
      <w:r w:rsidRPr="003C4C79">
        <w:t>The PUCO is con</w:t>
      </w:r>
      <w:r w:rsidRPr="003C4C79">
        <w:softHyphen/>
        <w:t>cerned that in a period of budget uncertainty, the level of funding available</w:t>
      </w:r>
      <w:r w:rsidR="00592576">
        <w:t xml:space="preserve"> in the future</w:t>
      </w:r>
      <w:r w:rsidRPr="003C4C79">
        <w:t xml:space="preserve"> may be less than the EPA asserts and that the costs of CCS may decline less than forecasted.  Further, in a restructured market, the impact on market</w:t>
      </w:r>
      <w:r w:rsidR="00050AE0">
        <w:t>-</w:t>
      </w:r>
      <w:r w:rsidRPr="003C4C79">
        <w:t>based investment decisions is even more dramatically impacted by reliance on government funding availa</w:t>
      </w:r>
      <w:r w:rsidR="00444CD2">
        <w:softHyphen/>
      </w:r>
      <w:r w:rsidRPr="003C4C79">
        <w:t xml:space="preserve">bility as merchant generators do not have customers from whom they can recover costs like traditional, vertically-integrated utilities. </w:t>
      </w:r>
      <w:r w:rsidR="00444CD2">
        <w:t xml:space="preserve"> </w:t>
      </w:r>
      <w:r w:rsidRPr="003C4C79">
        <w:t xml:space="preserve">This </w:t>
      </w:r>
      <w:r w:rsidRPr="003C4C79">
        <w:lastRenderedPageBreak/>
        <w:t xml:space="preserve">distinction is critical and should be an important consideration in this rulemaking.  This is all the more reason to allow for state and regional consideration and flexibility. </w:t>
      </w:r>
    </w:p>
    <w:p w14:paraId="422F70DE" w14:textId="5B585B3F" w:rsidR="00EF5E04" w:rsidRPr="003C4C79" w:rsidRDefault="00444CD2" w:rsidP="00444CD2">
      <w:pPr>
        <w:pStyle w:val="textstyle"/>
      </w:pPr>
      <w:r>
        <w:rPr>
          <w:lang w:val="en"/>
        </w:rPr>
        <w:tab/>
      </w:r>
      <w:r w:rsidR="00EF5E04" w:rsidRPr="003C4C79">
        <w:rPr>
          <w:lang w:val="en"/>
        </w:rPr>
        <w:t xml:space="preserve">When </w:t>
      </w:r>
      <w:r w:rsidR="00EF5E04">
        <w:t>CO</w:t>
      </w:r>
      <w:r w:rsidR="00EF5E04">
        <w:rPr>
          <w:vertAlign w:val="subscript"/>
        </w:rPr>
        <w:t>2</w:t>
      </w:r>
      <w:r w:rsidR="00EF5E04" w:rsidRPr="003C4C79">
        <w:rPr>
          <w:lang w:val="en"/>
        </w:rPr>
        <w:t xml:space="preserve"> capture and storage is compared to other technical options for reducing </w:t>
      </w:r>
      <w:r w:rsidR="00EF5E04">
        <w:t>CO</w:t>
      </w:r>
      <w:r w:rsidR="00EF5E04">
        <w:rPr>
          <w:vertAlign w:val="subscript"/>
        </w:rPr>
        <w:t>2</w:t>
      </w:r>
      <w:r w:rsidR="00EF5E04" w:rsidRPr="003C4C79">
        <w:rPr>
          <w:lang w:val="en"/>
        </w:rPr>
        <w:t xml:space="preserve"> emissions, 10-40% more energy is needed for producing the same amount of elec</w:t>
      </w:r>
      <w:r>
        <w:rPr>
          <w:lang w:val="en"/>
        </w:rPr>
        <w:softHyphen/>
      </w:r>
      <w:r w:rsidR="00EF5E04" w:rsidRPr="003C4C79">
        <w:rPr>
          <w:lang w:val="en"/>
        </w:rPr>
        <w:t xml:space="preserve">tricity; therefore, it is expected that </w:t>
      </w:r>
      <w:r w:rsidR="00EF5E04">
        <w:rPr>
          <w:lang w:val="en"/>
        </w:rPr>
        <w:t>CCS</w:t>
      </w:r>
      <w:r w:rsidR="00EF5E04" w:rsidRPr="003C4C79">
        <w:rPr>
          <w:lang w:val="en"/>
        </w:rPr>
        <w:t xml:space="preserve"> would raise the cost of producing electricity by about 20 to 50%.</w:t>
      </w:r>
      <w:r w:rsidR="00EF5E04" w:rsidRPr="003C4C79">
        <w:rPr>
          <w:rStyle w:val="FootnoteReference"/>
          <w:sz w:val="24"/>
          <w:szCs w:val="24"/>
          <w:lang w:val="en"/>
        </w:rPr>
        <w:footnoteReference w:id="21"/>
      </w:r>
      <w:r w:rsidR="00EF5E04" w:rsidRPr="003C4C79">
        <w:t xml:space="preserve">  The few projects that have demonstrated </w:t>
      </w:r>
      <w:r w:rsidR="00592576">
        <w:t xml:space="preserve">carbon </w:t>
      </w:r>
      <w:r w:rsidR="00EF5E04" w:rsidRPr="003C4C79">
        <w:t>capture results have been small pilot projects where the company conducting the pilot was not expected to recover the costs of the project through the energy market.</w:t>
      </w:r>
      <w:r w:rsidR="0097080B" w:rsidRPr="0097080B">
        <w:rPr>
          <w:rStyle w:val="FootnoteReference"/>
        </w:rPr>
        <w:t xml:space="preserve"> </w:t>
      </w:r>
      <w:r w:rsidR="0097080B" w:rsidRPr="003C4C79">
        <w:rPr>
          <w:rStyle w:val="FootnoteReference"/>
        </w:rPr>
        <w:footnoteReference w:id="22"/>
      </w:r>
      <w:r w:rsidR="00EF5E04" w:rsidRPr="003C4C79">
        <w:t xml:space="preserve">   The cost of installing CCS tech</w:t>
      </w:r>
      <w:r w:rsidR="00EF5E04" w:rsidRPr="003C4C79">
        <w:softHyphen/>
        <w:t>nology at present is too high for it to be considered a viable economic means of com</w:t>
      </w:r>
      <w:r>
        <w:softHyphen/>
      </w:r>
      <w:r w:rsidR="00EF5E04" w:rsidRPr="003C4C79">
        <w:t>plying with the standard.</w:t>
      </w:r>
      <w:r w:rsidR="00EF5E04" w:rsidRPr="003C4C79">
        <w:rPr>
          <w:rStyle w:val="FootnoteReference"/>
        </w:rPr>
        <w:footnoteReference w:id="23"/>
      </w:r>
      <w:r w:rsidR="00EF5E04" w:rsidRPr="003C4C79">
        <w:t xml:space="preserve">    </w:t>
      </w:r>
    </w:p>
    <w:p w14:paraId="3109BEE7" w14:textId="44EED35D" w:rsidR="00EF5E04" w:rsidRPr="003C4C79" w:rsidRDefault="00EF5E04" w:rsidP="00444CD2">
      <w:pPr>
        <w:pStyle w:val="textstyle"/>
      </w:pPr>
      <w:r w:rsidRPr="003C4C79">
        <w:tab/>
        <w:t>Furthermore, the PUCO is concerned that the proposed rule actually requires the installation or operation of CCS as a particular technological system of emission reduc</w:t>
      </w:r>
      <w:r w:rsidRPr="003C4C79">
        <w:softHyphen/>
        <w:t>tion, which seems to contradict the plain meaning of the CAA.</w:t>
      </w:r>
      <w:r w:rsidRPr="003C4C79">
        <w:rPr>
          <w:rStyle w:val="FootnoteReference"/>
        </w:rPr>
        <w:footnoteReference w:id="24"/>
      </w:r>
      <w:r w:rsidR="00444CD2">
        <w:t xml:space="preserve"> </w:t>
      </w:r>
      <w:r w:rsidRPr="003C4C79">
        <w:t xml:space="preserve"> In the pro</w:t>
      </w:r>
      <w:r w:rsidRPr="003C4C79">
        <w:softHyphen/>
        <w:t xml:space="preserve">posed rule, the EPA acknowledges that any new coal-fired or </w:t>
      </w:r>
      <w:r>
        <w:t>pet coke-fired</w:t>
      </w:r>
      <w:r w:rsidRPr="003C4C79">
        <w:t xml:space="preserve"> EGUs will have to use </w:t>
      </w:r>
      <w:r w:rsidRPr="003C4C79">
        <w:lastRenderedPageBreak/>
        <w:t>CCS technology to meet the standard in the proposed rule.</w:t>
      </w:r>
      <w:r w:rsidRPr="003C4C79">
        <w:rPr>
          <w:rStyle w:val="FootnoteReference"/>
        </w:rPr>
        <w:footnoteReference w:id="25"/>
      </w:r>
      <w:r w:rsidRPr="003C4C79">
        <w:t xml:space="preserve">  And yet, the CAA prohib</w:t>
      </w:r>
      <w:r w:rsidRPr="003C4C79">
        <w:softHyphen/>
        <w:t>its the specification of a particular technology to meet performance standards.</w:t>
      </w:r>
      <w:r w:rsidRPr="003C4C79">
        <w:rPr>
          <w:rStyle w:val="FootnoteReference"/>
        </w:rPr>
        <w:footnoteReference w:id="26"/>
      </w:r>
      <w:r w:rsidRPr="003C4C79">
        <w:t xml:space="preserve"> </w:t>
      </w:r>
      <w:r w:rsidR="00444CD2">
        <w:t xml:space="preserve"> </w:t>
      </w:r>
      <w:r w:rsidRPr="003C4C79">
        <w:t>Setting a stand</w:t>
      </w:r>
      <w:r w:rsidR="00444CD2">
        <w:softHyphen/>
      </w:r>
      <w:r w:rsidRPr="003C4C79">
        <w:t xml:space="preserve">ard of performance that can only be </w:t>
      </w:r>
      <w:r w:rsidR="00FE16E2">
        <w:t>met</w:t>
      </w:r>
      <w:r w:rsidRPr="003C4C79">
        <w:t xml:space="preserve"> using a particular tech</w:t>
      </w:r>
      <w:r w:rsidRPr="003C4C79">
        <w:softHyphen/>
        <w:t>nological system is to require the installation and opera</w:t>
      </w:r>
      <w:r w:rsidRPr="003C4C79">
        <w:softHyphen/>
        <w:t>tion of that particular technologi</w:t>
      </w:r>
      <w:r w:rsidRPr="003C4C79">
        <w:softHyphen/>
        <w:t>cal system.  The pro</w:t>
      </w:r>
      <w:r w:rsidR="00444CD2">
        <w:softHyphen/>
      </w:r>
      <w:r w:rsidRPr="003C4C79">
        <w:t xml:space="preserve">posed rule requires that any new or modified coal-fired or </w:t>
      </w:r>
      <w:r>
        <w:t>pet coke-fired</w:t>
      </w:r>
      <w:r w:rsidRPr="003C4C79">
        <w:t xml:space="preserve"> source install and operate CCS technology to comply with the NSPS.  </w:t>
      </w:r>
    </w:p>
    <w:p w14:paraId="5DED7DFB" w14:textId="4F28294D" w:rsidR="00EF5E04" w:rsidRDefault="00444CD2" w:rsidP="00444CD2">
      <w:pPr>
        <w:pStyle w:val="textstyle"/>
      </w:pPr>
      <w:r>
        <w:tab/>
      </w:r>
      <w:r w:rsidR="00EF5E04" w:rsidRPr="003C4C79">
        <w:t xml:space="preserve">In addition to the economics directly related to the energy production, there are a host of other unresolved issues around CCS that add to the uncertainty of the feasibility of the technology.  For instance, there is the necessary transport and associated cost and safety concerns. </w:t>
      </w:r>
      <w:r>
        <w:t xml:space="preserve"> </w:t>
      </w:r>
      <w:r w:rsidR="00EF5E04" w:rsidRPr="003C4C79">
        <w:t xml:space="preserve">There is a potential </w:t>
      </w:r>
      <w:r w:rsidR="00EF5E04">
        <w:t>additional cost of storage, if enhanced oil r</w:t>
      </w:r>
      <w:r w:rsidR="00EF5E04" w:rsidRPr="003C4C79">
        <w:t xml:space="preserve">ecovery is not an option.  Another concern is leakage of stored </w:t>
      </w:r>
      <w:r w:rsidR="00EF5E04" w:rsidRPr="00413427">
        <w:t>CO</w:t>
      </w:r>
      <w:r w:rsidR="00EF5E04" w:rsidRPr="00413427">
        <w:rPr>
          <w:vertAlign w:val="subscript"/>
        </w:rPr>
        <w:t>2</w:t>
      </w:r>
      <w:r w:rsidR="00EF5E04" w:rsidRPr="0097080B">
        <w:t xml:space="preserve"> </w:t>
      </w:r>
      <w:r w:rsidR="00EF5E04" w:rsidRPr="003C4C79">
        <w:t>and whether that will com</w:t>
      </w:r>
      <w:r>
        <w:softHyphen/>
      </w:r>
      <w:r w:rsidR="00EF5E04" w:rsidRPr="003C4C79">
        <w:t>promise CCS as a GH</w:t>
      </w:r>
      <w:r>
        <w:t xml:space="preserve">G emission mitigation option. </w:t>
      </w:r>
      <w:r w:rsidR="00EF5E04" w:rsidRPr="00D05FC2">
        <w:t xml:space="preserve"> </w:t>
      </w:r>
      <w:r w:rsidR="00EF5E04">
        <w:t>Furthermore</w:t>
      </w:r>
      <w:r w:rsidR="00EF5E04" w:rsidRPr="00D05FC2">
        <w:t>, the rule does not ade</w:t>
      </w:r>
      <w:r>
        <w:softHyphen/>
      </w:r>
      <w:r w:rsidR="00EF5E04" w:rsidRPr="00D05FC2">
        <w:t>quately consider geographical and geologic variables as to the viability of CCS</w:t>
      </w:r>
      <w:r w:rsidRPr="00D05FC2">
        <w:t>.</w:t>
      </w:r>
      <w:r>
        <w:t xml:space="preserve">  </w:t>
      </w:r>
      <w:r w:rsidR="00EF5E04">
        <w:t xml:space="preserve">For instance, CCS may not be an option in certain areas due to proximity to fault lines or </w:t>
      </w:r>
      <w:r w:rsidR="00EF5E04">
        <w:lastRenderedPageBreak/>
        <w:t>other natural formation.  Finally</w:t>
      </w:r>
      <w:r w:rsidR="00EF5E04" w:rsidRPr="003C4C79">
        <w:t>, it</w:t>
      </w:r>
      <w:r w:rsidR="00EF5E04">
        <w:t xml:space="preserve"> is important that the EPA recognize many</w:t>
      </w:r>
      <w:r w:rsidR="00EF5E04" w:rsidRPr="003C4C79">
        <w:t xml:space="preserve"> legal issues</w:t>
      </w:r>
      <w:r w:rsidR="00EF5E04">
        <w:t xml:space="preserve"> surrounding CCS</w:t>
      </w:r>
      <w:r w:rsidR="00EF5E04" w:rsidRPr="003C4C79">
        <w:t xml:space="preserve"> remain unresolved, such as mineral rights</w:t>
      </w:r>
      <w:r w:rsidR="0094395A">
        <w:t>, pore space ownership</w:t>
      </w:r>
      <w:r w:rsidR="00EF5E04" w:rsidRPr="003C4C79">
        <w:t xml:space="preserve"> and liability </w:t>
      </w:r>
      <w:r w:rsidR="00EF5E04">
        <w:t>obligations</w:t>
      </w:r>
      <w:r w:rsidR="00EF5E04" w:rsidRPr="003C4C79">
        <w:t>.</w:t>
      </w:r>
      <w:r w:rsidR="00EF5E04">
        <w:t xml:space="preserve">  </w:t>
      </w:r>
    </w:p>
    <w:p w14:paraId="285F9B8D" w14:textId="666CF6B8" w:rsidR="000603D1" w:rsidRDefault="00444CD2" w:rsidP="00444CD2">
      <w:pPr>
        <w:pStyle w:val="textstyle"/>
      </w:pPr>
      <w:r>
        <w:tab/>
      </w:r>
      <w:r w:rsidR="000603D1">
        <w:t>It should be noted that even with the absence of successful deployment of commer</w:t>
      </w:r>
      <w:r>
        <w:softHyphen/>
      </w:r>
      <w:r w:rsidR="000603D1">
        <w:t>cial CCS technology</w:t>
      </w:r>
      <w:r w:rsidR="00E100BA">
        <w:t>, t</w:t>
      </w:r>
      <w:r w:rsidR="000603D1">
        <w:t>he U.S. Electricity Sector CO</w:t>
      </w:r>
      <w:r w:rsidR="000603D1" w:rsidRPr="00FE16E2">
        <w:rPr>
          <w:vertAlign w:val="subscript"/>
        </w:rPr>
        <w:t>2</w:t>
      </w:r>
      <w:r w:rsidR="000603D1">
        <w:t xml:space="preserve"> emission</w:t>
      </w:r>
      <w:r w:rsidR="00E100BA">
        <w:t>s</w:t>
      </w:r>
      <w:r w:rsidR="000603D1">
        <w:t xml:space="preserve"> have decrease</w:t>
      </w:r>
      <w:r w:rsidR="00E100BA">
        <w:t>d</w:t>
      </w:r>
      <w:r w:rsidR="000603D1">
        <w:t xml:space="preserve"> nearly 11%</w:t>
      </w:r>
      <w:r w:rsidR="00E100BA">
        <w:t xml:space="preserve"> since 2005</w:t>
      </w:r>
      <w:r w:rsidR="000603D1">
        <w:t xml:space="preserve">.  </w:t>
      </w:r>
      <w:r w:rsidR="00B957BF">
        <w:t xml:space="preserve">In fact, </w:t>
      </w:r>
      <w:r w:rsidR="000603D1">
        <w:t>Ohio has</w:t>
      </w:r>
      <w:r w:rsidR="00E100BA">
        <w:t xml:space="preserve"> accomplished over </w:t>
      </w:r>
      <w:r w:rsidR="00DD4C2E">
        <w:t xml:space="preserve">a </w:t>
      </w:r>
      <w:r w:rsidR="00E100BA">
        <w:t>22% reduction,</w:t>
      </w:r>
      <w:r w:rsidR="000603D1">
        <w:t xml:space="preserve"> with no</w:t>
      </w:r>
      <w:r w:rsidR="00E100BA">
        <w:t xml:space="preserve"> CCS technology deployment.  </w:t>
      </w:r>
    </w:p>
    <w:p w14:paraId="50C1F4B6" w14:textId="3BD5C9A7" w:rsidR="000603D1" w:rsidRPr="003C4C79" w:rsidRDefault="000603D1" w:rsidP="00EF5E04">
      <w:pPr>
        <w:pStyle w:val="Default"/>
        <w:spacing w:line="480" w:lineRule="auto"/>
        <w:ind w:firstLine="720"/>
        <w:jc w:val="both"/>
        <w:rPr>
          <w:rFonts w:ascii="Times New Roman" w:eastAsia="Times New Roman" w:hAnsi="Times New Roman" w:cs="Times New Roman"/>
          <w:color w:val="auto"/>
          <w:sz w:val="26"/>
          <w:szCs w:val="26"/>
        </w:rPr>
      </w:pPr>
      <w:r>
        <w:rPr>
          <w:noProof/>
        </w:rPr>
        <w:drawing>
          <wp:inline distT="0" distB="0" distL="0" distR="0" wp14:anchorId="13A5D5DA" wp14:editId="5C09B8ED">
            <wp:extent cx="5486400" cy="3432810"/>
            <wp:effectExtent l="0" t="0" r="1905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5F14524" w14:textId="77777777" w:rsidR="00E100BA" w:rsidRDefault="00E100BA" w:rsidP="00EF5E04">
      <w:pPr>
        <w:pStyle w:val="Default"/>
        <w:spacing w:line="480" w:lineRule="auto"/>
        <w:ind w:firstLine="720"/>
        <w:jc w:val="both"/>
        <w:rPr>
          <w:rFonts w:ascii="Times New Roman" w:eastAsia="Times New Roman" w:hAnsi="Times New Roman" w:cs="Times New Roman"/>
          <w:color w:val="auto"/>
          <w:sz w:val="26"/>
          <w:szCs w:val="26"/>
        </w:rPr>
      </w:pPr>
    </w:p>
    <w:p w14:paraId="7B06ECC2" w14:textId="6D47F3FD" w:rsidR="00EF5E04" w:rsidRPr="003C4C79" w:rsidRDefault="00444CD2" w:rsidP="00444CD2">
      <w:pPr>
        <w:pStyle w:val="textstyle"/>
      </w:pPr>
      <w:r>
        <w:tab/>
      </w:r>
      <w:r w:rsidR="00EF5E04" w:rsidRPr="003C4C79">
        <w:t>The proposed rule should provide an economically feasible compli</w:t>
      </w:r>
      <w:r w:rsidR="00EF5E04" w:rsidRPr="003C4C79">
        <w:softHyphen/>
        <w:t xml:space="preserve">ance option for units using a fuel other than natural gas.  </w:t>
      </w:r>
      <w:r w:rsidR="0097080B">
        <w:t xml:space="preserve">An </w:t>
      </w:r>
      <w:r w:rsidR="00EF5E04" w:rsidRPr="003C4C79">
        <w:t>“</w:t>
      </w:r>
      <w:r w:rsidR="0097080B">
        <w:t>a</w:t>
      </w:r>
      <w:r w:rsidR="00EF5E04" w:rsidRPr="003C4C79">
        <w:t xml:space="preserve">ll of the above” </w:t>
      </w:r>
      <w:r w:rsidR="0097080B">
        <w:t xml:space="preserve">energy strategy </w:t>
      </w:r>
      <w:r w:rsidR="00EF5E04" w:rsidRPr="00FE16E2">
        <w:rPr>
          <w:i/>
        </w:rPr>
        <w:t>must</w:t>
      </w:r>
      <w:r w:rsidR="00EF5E04" w:rsidRPr="003C4C79">
        <w:t xml:space="preserve"> be economical.  Making coal uneconomic by requiring CCS and expecting rate</w:t>
      </w:r>
      <w:r w:rsidR="00FE16E2">
        <w:t>-</w:t>
      </w:r>
      <w:r w:rsidR="00EF5E04" w:rsidRPr="003C4C79">
        <w:t xml:space="preserve">payer or shareholder cost recovery makes it impossible to ensure base load reliability.  The PUCO </w:t>
      </w:r>
      <w:r w:rsidR="00EF5E04" w:rsidRPr="003C4C79">
        <w:lastRenderedPageBreak/>
        <w:t>is concerned that without adequate funding and/or demonstrated economic viability, CCS technology is not an eco</w:t>
      </w:r>
      <w:r w:rsidR="00EF5E04" w:rsidRPr="003C4C79">
        <w:softHyphen/>
        <w:t xml:space="preserve">nomically viable means for a coal-fired or </w:t>
      </w:r>
      <w:r w:rsidR="00EF5E04">
        <w:t>pet coke-fired</w:t>
      </w:r>
      <w:r w:rsidR="00EF5E04" w:rsidRPr="003C4C79">
        <w:t xml:space="preserve"> unit to comply with the stand</w:t>
      </w:r>
      <w:r w:rsidR="00EF5E04" w:rsidRPr="003C4C79">
        <w:softHyphen/>
        <w:t>ard</w:t>
      </w:r>
      <w:r w:rsidRPr="003C4C79">
        <w:t xml:space="preserve">.  </w:t>
      </w:r>
      <w:r w:rsidR="009B31BA">
        <w:t>Nor is it necessary</w:t>
      </w:r>
      <w:r>
        <w:t xml:space="preserve">.  </w:t>
      </w:r>
      <w:r w:rsidR="00EF5E04" w:rsidRPr="003C4C79">
        <w:t>By eliminating coal from the energy gen</w:t>
      </w:r>
      <w:r>
        <w:softHyphen/>
      </w:r>
      <w:r w:rsidR="00EF5E04" w:rsidRPr="003C4C79">
        <w:t xml:space="preserve">eration mix the proposed rule stands to jeopardize grid reliability, public safety, and affordability of utility service. </w:t>
      </w:r>
    </w:p>
    <w:p w14:paraId="53B5C1DE" w14:textId="780E4BA7" w:rsidR="00EF5E04" w:rsidRDefault="00444CD2" w:rsidP="00444CD2">
      <w:pPr>
        <w:pStyle w:val="textstyle"/>
      </w:pPr>
      <w:r>
        <w:tab/>
      </w:r>
      <w:r w:rsidR="00EF5E04" w:rsidRPr="003C4C79">
        <w:t xml:space="preserve">The cost of installing CCS on a new coal boiler is sufficiently high to make it extremely unlikely for a regulated utility or merchant generator to consider construction of </w:t>
      </w:r>
      <w:r w:rsidR="00EF5E04">
        <w:t>coal-fired</w:t>
      </w:r>
      <w:r w:rsidR="00EF5E04" w:rsidRPr="003C4C79">
        <w:t xml:space="preserve"> generation when constructing new generation resources.  According to EIA</w:t>
      </w:r>
      <w:r w:rsidR="00FE16E2">
        <w:t>,</w:t>
      </w:r>
      <w:r w:rsidR="00EF5E04" w:rsidRPr="003C4C79">
        <w:t xml:space="preserve"> the cost of a new advanced </w:t>
      </w:r>
      <w:r w:rsidR="00EF5E04">
        <w:t>coal-fired</w:t>
      </w:r>
      <w:r w:rsidR="00EF5E04" w:rsidRPr="003C4C79">
        <w:t xml:space="preserve"> boiler with CCS is $135.5/</w:t>
      </w:r>
      <w:r w:rsidR="00EF5E04">
        <w:t>MWh</w:t>
      </w:r>
      <w:r w:rsidR="00FE16E2">
        <w:t>,</w:t>
      </w:r>
      <w:r w:rsidR="00EF5E04" w:rsidRPr="003C4C79">
        <w:t xml:space="preserve"> whereas new conventional coal</w:t>
      </w:r>
      <w:r w:rsidR="00EF5E04">
        <w:t xml:space="preserve"> </w:t>
      </w:r>
      <w:r w:rsidR="00EF5E04" w:rsidRPr="003C4C79">
        <w:t>is $100/</w:t>
      </w:r>
      <w:r w:rsidR="00EF5E04">
        <w:t>MWh</w:t>
      </w:r>
      <w:r w:rsidR="00EF5E04" w:rsidRPr="003C4C79">
        <w:t>, the cost of new advanced nuclear (considered an expen</w:t>
      </w:r>
      <w:r>
        <w:softHyphen/>
      </w:r>
      <w:r w:rsidR="00EF5E04" w:rsidRPr="003C4C79">
        <w:t>sive option) is $108/</w:t>
      </w:r>
      <w:r w:rsidR="00EF5E04">
        <w:t>MWh</w:t>
      </w:r>
      <w:r w:rsidR="00FE16E2">
        <w:t>,</w:t>
      </w:r>
      <w:r w:rsidR="00EF5E04" w:rsidRPr="003C4C79">
        <w:t xml:space="preserve"> and a new natural gas combined cycle plant is $67/</w:t>
      </w:r>
      <w:r w:rsidR="00EF5E04">
        <w:t>MWh</w:t>
      </w:r>
      <w:r w:rsidR="00EF5E04" w:rsidRPr="003C4C79">
        <w:t>.</w:t>
      </w:r>
      <w:r w:rsidR="00EF5E04" w:rsidRPr="003C4C79">
        <w:rPr>
          <w:rStyle w:val="FootnoteReference"/>
        </w:rPr>
        <w:footnoteReference w:id="27"/>
      </w:r>
      <w:r w:rsidR="00EF5E04" w:rsidRPr="003C4C79">
        <w:t xml:space="preserve">   </w:t>
      </w:r>
    </w:p>
    <w:p w14:paraId="156A5B4C" w14:textId="245D5B1F" w:rsidR="00F65E76" w:rsidRPr="00015463" w:rsidRDefault="00444CD2" w:rsidP="00444CD2">
      <w:pPr>
        <w:pStyle w:val="textstyle"/>
      </w:pPr>
      <w:r>
        <w:tab/>
      </w:r>
      <w:r w:rsidR="00015463" w:rsidRPr="00015463">
        <w:t xml:space="preserve">It is with these concerns in mind that the PUCO urges the EPA to accept standards </w:t>
      </w:r>
      <w:r w:rsidR="00FE16E2">
        <w:t>that</w:t>
      </w:r>
      <w:r w:rsidR="00FE16E2" w:rsidRPr="00015463">
        <w:t xml:space="preserve"> </w:t>
      </w:r>
      <w:r w:rsidR="00015463" w:rsidRPr="00015463">
        <w:t>will allow for the development of supercritical coal plant configurations</w:t>
      </w:r>
      <w:r w:rsidR="009B31BA">
        <w:t xml:space="preserve"> and options other than gas generation</w:t>
      </w:r>
      <w:r w:rsidR="0097080B">
        <w:t xml:space="preserve"> alone</w:t>
      </w:r>
      <w:r w:rsidR="00015463" w:rsidRPr="00015463">
        <w:t>.  By accepting these standards, it would accomplish the EPA</w:t>
      </w:r>
      <w:r w:rsidR="00B957BF">
        <w:t>’</w:t>
      </w:r>
      <w:r w:rsidR="00015463" w:rsidRPr="00015463">
        <w:t>s goal of lower carbon emissions but grant regions currently reliant on coal genera</w:t>
      </w:r>
      <w:r>
        <w:softHyphen/>
      </w:r>
      <w:r w:rsidR="00015463" w:rsidRPr="00015463">
        <w:t xml:space="preserve">tion cost-effective opportunities to ensure overall system reliability. </w:t>
      </w:r>
    </w:p>
    <w:p w14:paraId="606096E5" w14:textId="77777777" w:rsidR="00D85F76" w:rsidRPr="003C4C79" w:rsidRDefault="00D85F76" w:rsidP="00F74DE6">
      <w:pPr>
        <w:pStyle w:val="Heading1"/>
        <w:rPr>
          <w:rFonts w:cs="Times New Roman"/>
        </w:rPr>
      </w:pPr>
      <w:bookmarkStart w:id="10" w:name="_Toc327358184"/>
      <w:bookmarkStart w:id="11" w:name="_Toc384819363"/>
      <w:r w:rsidRPr="003C4C79">
        <w:rPr>
          <w:rFonts w:cs="Times New Roman"/>
        </w:rPr>
        <w:lastRenderedPageBreak/>
        <w:t>CONCLUSION</w:t>
      </w:r>
      <w:bookmarkEnd w:id="10"/>
      <w:bookmarkEnd w:id="11"/>
    </w:p>
    <w:p w14:paraId="7489CB6B" w14:textId="005E889B" w:rsidR="00D85F76" w:rsidRPr="003C4C79" w:rsidRDefault="00D85F76" w:rsidP="00D85F76">
      <w:pPr>
        <w:pStyle w:val="textstyle"/>
      </w:pPr>
      <w:r w:rsidRPr="003C4C79">
        <w:tab/>
        <w:t>The Public Utilities Commission of Ohio appreciates the opportunity provided by the EPA to</w:t>
      </w:r>
      <w:r w:rsidR="00015463">
        <w:t xml:space="preserve"> comment on the proposed rule.  T</w:t>
      </w:r>
      <w:r w:rsidRPr="003C4C79">
        <w:t xml:space="preserve">he PUCO is concerned that the proposed rule relies too heavily on </w:t>
      </w:r>
      <w:r w:rsidR="00015463">
        <w:t xml:space="preserve">theoretical </w:t>
      </w:r>
      <w:r w:rsidRPr="003C4C79">
        <w:t>car</w:t>
      </w:r>
      <w:r w:rsidRPr="003C4C79">
        <w:softHyphen/>
        <w:t xml:space="preserve">bon capture </w:t>
      </w:r>
      <w:r w:rsidR="00015463">
        <w:t>technology without offering genera</w:t>
      </w:r>
      <w:r w:rsidR="00444CD2">
        <w:softHyphen/>
      </w:r>
      <w:r w:rsidR="00015463">
        <w:t xml:space="preserve">tors an adequate cost-effective alternative.  </w:t>
      </w:r>
      <w:r w:rsidR="009B31BA">
        <w:t>T</w:t>
      </w:r>
      <w:r w:rsidR="00015463">
        <w:t>he PUCO believes that this rule will exacer</w:t>
      </w:r>
      <w:r w:rsidR="00444CD2">
        <w:softHyphen/>
      </w:r>
      <w:r w:rsidR="00015463">
        <w:t>bate the region’s “dash to gas” for electric generation.  As outlined, a regional over-reli</w:t>
      </w:r>
      <w:r w:rsidR="00444CD2">
        <w:softHyphen/>
      </w:r>
      <w:r w:rsidR="00015463">
        <w:t xml:space="preserve">ance on natural gas has the potential </w:t>
      </w:r>
      <w:r w:rsidR="00FE16E2">
        <w:t>to stress</w:t>
      </w:r>
      <w:r w:rsidR="00015463">
        <w:t xml:space="preserve"> the region’s already constrained </w:t>
      </w:r>
      <w:r w:rsidR="009B31BA">
        <w:t xml:space="preserve">electricity markets and </w:t>
      </w:r>
      <w:r w:rsidR="00015463">
        <w:t>natural gas infrastructure</w:t>
      </w:r>
      <w:r w:rsidR="00FE16E2">
        <w:t>,</w:t>
      </w:r>
      <w:r w:rsidR="00015463">
        <w:t xml:space="preserve"> resulting in decreased reliability and </w:t>
      </w:r>
      <w:r w:rsidR="00FE16E2">
        <w:t xml:space="preserve">leaving </w:t>
      </w:r>
      <w:r w:rsidR="00015463">
        <w:t xml:space="preserve">the region </w:t>
      </w:r>
      <w:r w:rsidR="00871B68">
        <w:t xml:space="preserve">increasingly </w:t>
      </w:r>
      <w:r w:rsidR="00015463">
        <w:t xml:space="preserve">susceptible to volatile price swings.  </w:t>
      </w:r>
      <w:r w:rsidR="006406A1">
        <w:t>The PUCO encourages the EPA to promote a</w:t>
      </w:r>
      <w:r w:rsidR="009B31BA">
        <w:t>n</w:t>
      </w:r>
      <w:r w:rsidR="006406A1">
        <w:t xml:space="preserve"> “all of the above” policy framework</w:t>
      </w:r>
      <w:r w:rsidR="00FE16E2">
        <w:t>,</w:t>
      </w:r>
      <w:r w:rsidR="006406A1">
        <w:t xml:space="preserve"> which would allow states the flexi</w:t>
      </w:r>
      <w:r w:rsidR="00444CD2">
        <w:softHyphen/>
      </w:r>
      <w:r w:rsidR="006406A1">
        <w:t xml:space="preserve">bility to promote increased system efficiencies without threatening grid reliability.  </w:t>
      </w:r>
    </w:p>
    <w:p w14:paraId="53957396" w14:textId="77777777" w:rsidR="00495F89" w:rsidRPr="003C4C79" w:rsidRDefault="00495F89" w:rsidP="00D85F76">
      <w:pPr>
        <w:ind w:left="4320"/>
        <w:rPr>
          <w:sz w:val="26"/>
          <w:szCs w:val="26"/>
        </w:rPr>
      </w:pPr>
    </w:p>
    <w:p w14:paraId="654DCE37" w14:textId="77777777" w:rsidR="00D85F76" w:rsidRPr="003C4C79" w:rsidRDefault="00D85F76" w:rsidP="00D85F76">
      <w:pPr>
        <w:ind w:left="4320"/>
        <w:rPr>
          <w:sz w:val="26"/>
          <w:szCs w:val="26"/>
        </w:rPr>
      </w:pPr>
      <w:r w:rsidRPr="003C4C79">
        <w:rPr>
          <w:sz w:val="26"/>
          <w:szCs w:val="26"/>
        </w:rPr>
        <w:t>Respectfully submitted,</w:t>
      </w:r>
    </w:p>
    <w:p w14:paraId="74ED080B" w14:textId="2E2D08AC" w:rsidR="00D85F76" w:rsidRPr="003C4C79" w:rsidRDefault="00D85F76" w:rsidP="00D85F76">
      <w:pPr>
        <w:ind w:left="4320"/>
        <w:rPr>
          <w:sz w:val="26"/>
          <w:szCs w:val="26"/>
        </w:rPr>
      </w:pPr>
    </w:p>
    <w:p w14:paraId="3CFA2CDB" w14:textId="6456D510" w:rsidR="008855B0" w:rsidRPr="008855B0" w:rsidRDefault="008855B0" w:rsidP="00444CD2">
      <w:pPr>
        <w:tabs>
          <w:tab w:val="left" w:pos="9360"/>
        </w:tabs>
        <w:ind w:left="3600" w:firstLine="720"/>
        <w:rPr>
          <w:rFonts w:ascii="Viner Hand ITC" w:hAnsi="Viner Hand ITC"/>
          <w:sz w:val="28"/>
          <w:szCs w:val="28"/>
          <w:u w:val="single"/>
        </w:rPr>
      </w:pPr>
      <w:r w:rsidRPr="008855B0">
        <w:rPr>
          <w:rFonts w:ascii="Viner Hand ITC" w:hAnsi="Viner Hand ITC"/>
          <w:sz w:val="28"/>
          <w:szCs w:val="28"/>
          <w:u w:val="single"/>
        </w:rPr>
        <w:t>/s/ Katie L. Johnson</w:t>
      </w:r>
      <w:r w:rsidR="00444CD2">
        <w:rPr>
          <w:rFonts w:ascii="Viner Hand ITC" w:hAnsi="Viner Hand ITC"/>
          <w:sz w:val="28"/>
          <w:szCs w:val="28"/>
          <w:u w:val="single"/>
        </w:rPr>
        <w:tab/>
      </w:r>
    </w:p>
    <w:p w14:paraId="170597AC" w14:textId="1AA62E54" w:rsidR="00D85F76" w:rsidRPr="003C4C79" w:rsidRDefault="00E56D34" w:rsidP="00D85F76">
      <w:pPr>
        <w:ind w:left="4320"/>
        <w:rPr>
          <w:b/>
          <w:sz w:val="26"/>
          <w:szCs w:val="26"/>
        </w:rPr>
      </w:pPr>
      <w:r w:rsidRPr="003C4C79">
        <w:rPr>
          <w:b/>
          <w:sz w:val="26"/>
          <w:szCs w:val="26"/>
        </w:rPr>
        <w:t>Katie L. Johnson</w:t>
      </w:r>
    </w:p>
    <w:p w14:paraId="4C98684B" w14:textId="77777777" w:rsidR="00D85F76" w:rsidRPr="003C4C79" w:rsidRDefault="00D85F76" w:rsidP="00D85F76">
      <w:pPr>
        <w:ind w:left="4320"/>
        <w:rPr>
          <w:sz w:val="26"/>
          <w:szCs w:val="26"/>
        </w:rPr>
      </w:pPr>
      <w:r w:rsidRPr="003C4C79">
        <w:rPr>
          <w:sz w:val="26"/>
          <w:szCs w:val="26"/>
        </w:rPr>
        <w:t>180 East Broad Street, 6th Floor</w:t>
      </w:r>
    </w:p>
    <w:p w14:paraId="0DE5D1AD" w14:textId="77777777" w:rsidR="00D85F76" w:rsidRPr="003C4C79" w:rsidRDefault="00D85F76" w:rsidP="00D85F76">
      <w:pPr>
        <w:ind w:left="4320"/>
        <w:rPr>
          <w:sz w:val="26"/>
          <w:szCs w:val="26"/>
        </w:rPr>
      </w:pPr>
      <w:r w:rsidRPr="003C4C79">
        <w:rPr>
          <w:sz w:val="26"/>
          <w:szCs w:val="26"/>
        </w:rPr>
        <w:t>Columbus, OH  43215-3793</w:t>
      </w:r>
    </w:p>
    <w:p w14:paraId="44A997D0" w14:textId="4ED232DB" w:rsidR="00D85F76" w:rsidRPr="003C4C79" w:rsidRDefault="00E56D34" w:rsidP="00D85F76">
      <w:pPr>
        <w:ind w:left="4320"/>
        <w:rPr>
          <w:sz w:val="26"/>
          <w:szCs w:val="26"/>
        </w:rPr>
      </w:pPr>
      <w:r w:rsidRPr="003C4C79">
        <w:rPr>
          <w:sz w:val="26"/>
          <w:szCs w:val="26"/>
        </w:rPr>
        <w:t>614.644</w:t>
      </w:r>
      <w:r w:rsidR="00D85F76" w:rsidRPr="003C4C79">
        <w:rPr>
          <w:sz w:val="26"/>
          <w:szCs w:val="26"/>
        </w:rPr>
        <w:t>.</w:t>
      </w:r>
      <w:r w:rsidRPr="003C4C79">
        <w:rPr>
          <w:sz w:val="26"/>
          <w:szCs w:val="26"/>
        </w:rPr>
        <w:t>8588</w:t>
      </w:r>
      <w:r w:rsidR="00D85F76" w:rsidRPr="003C4C79">
        <w:rPr>
          <w:sz w:val="26"/>
          <w:szCs w:val="26"/>
        </w:rPr>
        <w:t xml:space="preserve"> (telephone)</w:t>
      </w:r>
    </w:p>
    <w:p w14:paraId="3931E8B8" w14:textId="77777777" w:rsidR="00D85F76" w:rsidRPr="003C4C79" w:rsidRDefault="00D85F76" w:rsidP="00D85F76">
      <w:pPr>
        <w:ind w:left="4320"/>
        <w:rPr>
          <w:sz w:val="26"/>
          <w:szCs w:val="26"/>
        </w:rPr>
      </w:pPr>
      <w:r w:rsidRPr="003C4C79">
        <w:rPr>
          <w:sz w:val="26"/>
          <w:szCs w:val="26"/>
        </w:rPr>
        <w:t>614.644.8764 (fax)</w:t>
      </w:r>
    </w:p>
    <w:p w14:paraId="4AB9B2BC" w14:textId="2A11DB98" w:rsidR="00D85F76" w:rsidRPr="003C4C79" w:rsidRDefault="00784DD8" w:rsidP="00D85F76">
      <w:pPr>
        <w:ind w:left="4320"/>
        <w:rPr>
          <w:sz w:val="26"/>
          <w:szCs w:val="26"/>
        </w:rPr>
      </w:pPr>
      <w:hyperlink r:id="rId13" w:history="1">
        <w:r w:rsidR="00E56D34" w:rsidRPr="003C4C79">
          <w:rPr>
            <w:rStyle w:val="Hyperlink"/>
            <w:sz w:val="26"/>
            <w:szCs w:val="26"/>
          </w:rPr>
          <w:t>katie.johnson@puc.state.oh.us</w:t>
        </w:r>
      </w:hyperlink>
    </w:p>
    <w:p w14:paraId="510AB29C" w14:textId="77777777" w:rsidR="00D85F76" w:rsidRPr="003C4C79" w:rsidRDefault="00D85F76" w:rsidP="00D85F76">
      <w:pPr>
        <w:ind w:left="4320"/>
        <w:rPr>
          <w:sz w:val="26"/>
          <w:szCs w:val="26"/>
        </w:rPr>
      </w:pPr>
    </w:p>
    <w:p w14:paraId="2272DC1F" w14:textId="77777777" w:rsidR="00D85F76" w:rsidRPr="003C4C79" w:rsidRDefault="00D85F76" w:rsidP="00D85F76">
      <w:pPr>
        <w:ind w:left="4320"/>
        <w:rPr>
          <w:b/>
          <w:sz w:val="26"/>
          <w:szCs w:val="26"/>
        </w:rPr>
      </w:pPr>
      <w:r w:rsidRPr="003C4C79">
        <w:rPr>
          <w:b/>
          <w:sz w:val="26"/>
          <w:szCs w:val="26"/>
        </w:rPr>
        <w:t xml:space="preserve">Counsel for The Public Utilities Commission </w:t>
      </w:r>
    </w:p>
    <w:p w14:paraId="2B7355BF" w14:textId="77777777" w:rsidR="00D85F76" w:rsidRPr="003C4C79" w:rsidRDefault="00D85F76" w:rsidP="00D85F76">
      <w:pPr>
        <w:ind w:left="4320"/>
        <w:rPr>
          <w:b/>
          <w:sz w:val="26"/>
          <w:szCs w:val="26"/>
        </w:rPr>
      </w:pPr>
      <w:r w:rsidRPr="003C4C79">
        <w:rPr>
          <w:b/>
          <w:sz w:val="26"/>
          <w:szCs w:val="26"/>
        </w:rPr>
        <w:t>of Ohio</w:t>
      </w:r>
    </w:p>
    <w:p w14:paraId="02AD5AFB" w14:textId="77777777" w:rsidR="00D85F76" w:rsidRPr="003C4C79" w:rsidRDefault="00D85F76" w:rsidP="00D85F76">
      <w:pPr>
        <w:ind w:left="4320"/>
        <w:rPr>
          <w:b/>
          <w:sz w:val="26"/>
          <w:szCs w:val="26"/>
        </w:rPr>
      </w:pPr>
    </w:p>
    <w:p w14:paraId="4F87F373" w14:textId="77777777" w:rsidR="00D85F76" w:rsidRPr="003C4C79" w:rsidRDefault="00D85F76" w:rsidP="00D85F76">
      <w:pPr>
        <w:ind w:left="4320"/>
        <w:rPr>
          <w:b/>
          <w:sz w:val="26"/>
          <w:szCs w:val="26"/>
        </w:rPr>
      </w:pPr>
    </w:p>
    <w:p w14:paraId="2D935953" w14:textId="77777777" w:rsidR="00D85F76" w:rsidRPr="003C4C79" w:rsidRDefault="00D85F76" w:rsidP="00D85F76">
      <w:pPr>
        <w:rPr>
          <w:rFonts w:eastAsia="Calibri"/>
        </w:rPr>
      </w:pPr>
    </w:p>
    <w:p w14:paraId="08D687C4" w14:textId="7AC671B6" w:rsidR="00D85F76" w:rsidRPr="003C4C79" w:rsidRDefault="00D85F76" w:rsidP="00D85F76">
      <w:pPr>
        <w:pStyle w:val="textstyle"/>
        <w:rPr>
          <w:rFonts w:eastAsia="Calibri"/>
        </w:rPr>
      </w:pPr>
      <w:r w:rsidRPr="003C4C79">
        <w:rPr>
          <w:rFonts w:eastAsia="Calibri"/>
        </w:rPr>
        <w:t xml:space="preserve">Dated at Columbus, Ohio, this </w:t>
      </w:r>
      <w:r w:rsidR="00B63CD4">
        <w:rPr>
          <w:rFonts w:eastAsia="Calibri"/>
        </w:rPr>
        <w:t>9</w:t>
      </w:r>
      <w:r w:rsidR="00BA2AAC" w:rsidRPr="003C4C79">
        <w:rPr>
          <w:rFonts w:eastAsia="Calibri"/>
          <w:vertAlign w:val="superscript"/>
        </w:rPr>
        <w:t>th</w:t>
      </w:r>
      <w:r w:rsidR="00BA2AAC" w:rsidRPr="003C4C79">
        <w:rPr>
          <w:rFonts w:eastAsia="Calibri"/>
        </w:rPr>
        <w:t xml:space="preserve"> </w:t>
      </w:r>
      <w:r w:rsidRPr="003C4C79">
        <w:rPr>
          <w:rFonts w:eastAsia="Calibri"/>
        </w:rPr>
        <w:t xml:space="preserve">day of </w:t>
      </w:r>
      <w:r w:rsidR="0094395A">
        <w:rPr>
          <w:rFonts w:eastAsia="Calibri"/>
        </w:rPr>
        <w:t xml:space="preserve">April, </w:t>
      </w:r>
      <w:r w:rsidR="00BA2AAC" w:rsidRPr="003C4C79">
        <w:rPr>
          <w:rFonts w:eastAsia="Calibri"/>
        </w:rPr>
        <w:t>2014</w:t>
      </w:r>
      <w:r w:rsidRPr="003C4C79">
        <w:rPr>
          <w:rFonts w:eastAsia="Calibri"/>
        </w:rPr>
        <w:t>.</w:t>
      </w:r>
    </w:p>
    <w:p w14:paraId="2923300A" w14:textId="77777777" w:rsidR="00274477" w:rsidRPr="003C4C79" w:rsidRDefault="00274477"/>
    <w:sectPr w:rsidR="00274477" w:rsidRPr="003C4C79" w:rsidSect="00282C37">
      <w:headerReference w:type="default" r:id="rId14"/>
      <w:footerReference w:type="default" r:id="rId15"/>
      <w:headerReference w:type="first" r:id="rId16"/>
      <w:footerReference w:type="first" r:id="rId17"/>
      <w:pgSz w:w="12240" w:h="15840" w:code="1"/>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0043D" w14:textId="77777777" w:rsidR="009869EC" w:rsidRDefault="009869EC" w:rsidP="00D85F76">
      <w:r>
        <w:separator/>
      </w:r>
    </w:p>
  </w:endnote>
  <w:endnote w:type="continuationSeparator" w:id="0">
    <w:p w14:paraId="61306E89" w14:textId="77777777" w:rsidR="009869EC" w:rsidRDefault="009869EC" w:rsidP="00D85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96F39" w14:textId="291D9D24" w:rsidR="00D85F76" w:rsidRPr="003A1CED" w:rsidRDefault="00D85F76" w:rsidP="00282C3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076445"/>
      <w:docPartObj>
        <w:docPartGallery w:val="Page Numbers (Bottom of Page)"/>
        <w:docPartUnique/>
      </w:docPartObj>
    </w:sdtPr>
    <w:sdtEndPr>
      <w:rPr>
        <w:noProof/>
      </w:rPr>
    </w:sdtEndPr>
    <w:sdtContent>
      <w:p w14:paraId="1DB13A47" w14:textId="77777777" w:rsidR="00D85F76" w:rsidRDefault="00D85F76" w:rsidP="00282C37">
        <w:pPr>
          <w:pStyle w:val="Footer"/>
          <w:jc w:val="center"/>
        </w:pPr>
        <w:r>
          <w:fldChar w:fldCharType="begin"/>
        </w:r>
        <w:r>
          <w:instrText xml:space="preserve"> PAGE   \* MERGEFORMAT </w:instrText>
        </w:r>
        <w:r>
          <w:fldChar w:fldCharType="separate"/>
        </w:r>
        <w:r w:rsidR="00444CD2">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260594"/>
      <w:docPartObj>
        <w:docPartGallery w:val="Page Numbers (Bottom of Page)"/>
        <w:docPartUnique/>
      </w:docPartObj>
    </w:sdtPr>
    <w:sdtEndPr>
      <w:rPr>
        <w:noProof/>
      </w:rPr>
    </w:sdtEndPr>
    <w:sdtContent>
      <w:p w14:paraId="3A6A0BEC" w14:textId="77777777" w:rsidR="00282C37" w:rsidRPr="003A1CED" w:rsidRDefault="0007795B" w:rsidP="00282C37">
        <w:pPr>
          <w:pStyle w:val="Footer"/>
          <w:jc w:val="center"/>
        </w:pPr>
        <w:r>
          <w:fldChar w:fldCharType="begin"/>
        </w:r>
        <w:r>
          <w:instrText xml:space="preserve"> PAGE   \* MERGEFORMAT </w:instrText>
        </w:r>
        <w:r>
          <w:fldChar w:fldCharType="separate"/>
        </w:r>
        <w:r w:rsidR="00784DD8">
          <w:rPr>
            <w:noProof/>
          </w:rPr>
          <w:t>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AEE27" w14:textId="77777777" w:rsidR="00282C37" w:rsidRPr="00942A38" w:rsidRDefault="00282C37" w:rsidP="00282C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F61E9" w14:textId="77777777" w:rsidR="009869EC" w:rsidRDefault="009869EC" w:rsidP="00D85F76">
      <w:r>
        <w:separator/>
      </w:r>
    </w:p>
  </w:footnote>
  <w:footnote w:type="continuationSeparator" w:id="0">
    <w:p w14:paraId="033302F2" w14:textId="77777777" w:rsidR="009869EC" w:rsidRDefault="009869EC" w:rsidP="00D85F76">
      <w:r>
        <w:continuationSeparator/>
      </w:r>
    </w:p>
  </w:footnote>
  <w:footnote w:id="1">
    <w:p w14:paraId="29D4EF69" w14:textId="6598E94E" w:rsidR="00D85F76" w:rsidRDefault="00D85F76" w:rsidP="00444CD2">
      <w:pPr>
        <w:pStyle w:val="FootnoteText"/>
      </w:pPr>
      <w:bookmarkStart w:id="2" w:name="_GoBack"/>
      <w:bookmarkEnd w:id="2"/>
      <w:r>
        <w:rPr>
          <w:rStyle w:val="FootnoteReference"/>
        </w:rPr>
        <w:footnoteRef/>
      </w:r>
      <w:r w:rsidR="00D22662">
        <w:t xml:space="preserve"> </w:t>
      </w:r>
      <w:r w:rsidR="00444CD2">
        <w:tab/>
      </w:r>
      <w:r w:rsidR="00444CD2">
        <w:tab/>
      </w:r>
      <w:r>
        <w:t>42 U.S.C. § 7411 (2012).</w:t>
      </w:r>
    </w:p>
  </w:footnote>
  <w:footnote w:id="2">
    <w:p w14:paraId="6FCF8BA8" w14:textId="71BE1595" w:rsidR="003B1A80" w:rsidRPr="00444CD2" w:rsidRDefault="003B1A80" w:rsidP="00444CD2">
      <w:pPr>
        <w:pStyle w:val="FootnoteText"/>
      </w:pPr>
      <w:r>
        <w:rPr>
          <w:rStyle w:val="FootnoteReference"/>
        </w:rPr>
        <w:footnoteRef/>
      </w:r>
      <w:r>
        <w:t xml:space="preserve"> </w:t>
      </w:r>
      <w:r w:rsidR="00444CD2">
        <w:tab/>
      </w:r>
      <w:r w:rsidR="00444CD2" w:rsidRPr="00444CD2">
        <w:tab/>
      </w:r>
      <w:r w:rsidRPr="00444CD2">
        <w:t>Michael Niven and Neil Powell, “Upcoming, recent coal-fired power unit retire</w:t>
      </w:r>
      <w:r w:rsidR="00784DD8">
        <w:softHyphen/>
      </w:r>
      <w:r w:rsidRPr="00444CD2">
        <w:t>ments”, SNL, March 25, 2014</w:t>
      </w:r>
      <w:r w:rsidR="00E85415" w:rsidRPr="00444CD2">
        <w:t>.</w:t>
      </w:r>
    </w:p>
  </w:footnote>
  <w:footnote w:id="3">
    <w:p w14:paraId="1608E1BB" w14:textId="72199981" w:rsidR="00E85415" w:rsidRDefault="00E85415" w:rsidP="00444CD2">
      <w:pPr>
        <w:pStyle w:val="FootnoteText"/>
      </w:pPr>
      <w:r>
        <w:rPr>
          <w:rStyle w:val="FootnoteReference"/>
        </w:rPr>
        <w:footnoteRef/>
      </w:r>
      <w:r>
        <w:t xml:space="preserve"> </w:t>
      </w:r>
      <w:r w:rsidR="00444CD2">
        <w:tab/>
      </w:r>
      <w:r w:rsidR="00444CD2">
        <w:tab/>
      </w:r>
      <w:r>
        <w:t>Esther Whieldon, “PJM called 5 blackouts to prevent cascading outages during September heat wave,” SNL, September 26, 2013.</w:t>
      </w:r>
    </w:p>
  </w:footnote>
  <w:footnote w:id="4">
    <w:p w14:paraId="43555254" w14:textId="64B6E8B7" w:rsidR="005F0ED8" w:rsidRDefault="005F0ED8" w:rsidP="00444CD2">
      <w:pPr>
        <w:pStyle w:val="FootnoteText"/>
      </w:pPr>
      <w:r>
        <w:rPr>
          <w:rStyle w:val="FootnoteReference"/>
        </w:rPr>
        <w:footnoteRef/>
      </w:r>
      <w:r>
        <w:t xml:space="preserve"> </w:t>
      </w:r>
      <w:r w:rsidR="00444CD2">
        <w:tab/>
      </w:r>
      <w:r w:rsidR="00444CD2">
        <w:tab/>
      </w:r>
      <w:r>
        <w:t>Everett Wheeler and Peter Marrin, “Gas reliance under renewed scrutiny after epic power price spikes,” SNL, January 27, 2014</w:t>
      </w:r>
      <w:r w:rsidR="00E85415">
        <w:t>.</w:t>
      </w:r>
    </w:p>
  </w:footnote>
  <w:footnote w:id="5">
    <w:p w14:paraId="72908D7D" w14:textId="5E78D22A" w:rsidR="00D90431" w:rsidRDefault="00D90431" w:rsidP="00444CD2">
      <w:pPr>
        <w:pStyle w:val="FootnoteText"/>
      </w:pPr>
      <w:r>
        <w:rPr>
          <w:rStyle w:val="FootnoteReference"/>
        </w:rPr>
        <w:footnoteRef/>
      </w:r>
      <w:r>
        <w:t xml:space="preserve"> </w:t>
      </w:r>
      <w:r w:rsidR="00444CD2">
        <w:tab/>
      </w:r>
      <w:r w:rsidR="00444CD2">
        <w:tab/>
      </w:r>
      <w:r w:rsidR="00E42EFE">
        <w:t>ORC 4928.02 (C).</w:t>
      </w:r>
      <w:r w:rsidR="00444CD2">
        <w:t xml:space="preserve"> </w:t>
      </w:r>
      <w:r w:rsidR="00E42EFE">
        <w:t xml:space="preserve"> “</w:t>
      </w:r>
      <w:r w:rsidR="00E42EFE" w:rsidRPr="002B056D">
        <w:t>It is the policy of this state to</w:t>
      </w:r>
      <w:r w:rsidR="00444CD2">
        <w:t xml:space="preserve"> </w:t>
      </w:r>
      <w:r w:rsidR="00E42EFE">
        <w:t>...</w:t>
      </w:r>
      <w:r w:rsidR="00E42EFE" w:rsidRPr="002B056D">
        <w:t xml:space="preserve"> Ensure diversity of electric</w:t>
      </w:r>
      <w:r w:rsidR="00784DD8">
        <w:softHyphen/>
      </w:r>
      <w:r w:rsidR="00E42EFE" w:rsidRPr="002B056D">
        <w:t>ity</w:t>
      </w:r>
      <w:r w:rsidR="00E42EFE">
        <w:t xml:space="preserve"> supplies and suppliers</w:t>
      </w:r>
      <w:r w:rsidR="00E85415">
        <w:t>…</w:t>
      </w:r>
      <w:r w:rsidR="00E42EFE">
        <w:t>”</w:t>
      </w:r>
    </w:p>
  </w:footnote>
  <w:footnote w:id="6">
    <w:p w14:paraId="1556F104" w14:textId="6774B9CA" w:rsidR="00D85F76" w:rsidRPr="00C158D8" w:rsidRDefault="00D85F76" w:rsidP="00444CD2">
      <w:pPr>
        <w:pStyle w:val="FootnoteText"/>
      </w:pPr>
      <w:r w:rsidRPr="00C158D8">
        <w:rPr>
          <w:rStyle w:val="FootnoteReference"/>
        </w:rPr>
        <w:footnoteRef/>
      </w:r>
      <w:r w:rsidRPr="00C158D8">
        <w:t xml:space="preserve"> </w:t>
      </w:r>
      <w:r w:rsidR="00444CD2">
        <w:tab/>
      </w:r>
      <w:r w:rsidR="00444CD2">
        <w:tab/>
      </w:r>
      <w:r w:rsidRPr="00C158D8">
        <w:t>Standards of Performance for Greenhouse Gas Emissions for New Stationary Sources: Electric Generating Units, 77 FR 22394.</w:t>
      </w:r>
    </w:p>
  </w:footnote>
  <w:footnote w:id="7">
    <w:p w14:paraId="4368EA1D" w14:textId="3CA7ED46" w:rsidR="00D85F76" w:rsidRPr="00C158D8" w:rsidRDefault="00D85F76" w:rsidP="00444CD2">
      <w:pPr>
        <w:pStyle w:val="FootnoteText"/>
      </w:pPr>
      <w:r w:rsidRPr="00C158D8">
        <w:rPr>
          <w:rStyle w:val="FootnoteReference"/>
        </w:rPr>
        <w:footnoteRef/>
      </w:r>
      <w:r w:rsidRPr="00C158D8">
        <w:t xml:space="preserve"> </w:t>
      </w:r>
      <w:r w:rsidR="00444CD2">
        <w:tab/>
      </w:r>
      <w:r w:rsidR="00444CD2">
        <w:tab/>
      </w:r>
      <w:r w:rsidRPr="00C158D8">
        <w:t>Standards of Performance for Greenhouse Gas Emissions for New Stationary Sources: Electric Generating Units, 77 FR 22398.</w:t>
      </w:r>
    </w:p>
  </w:footnote>
  <w:footnote w:id="8">
    <w:p w14:paraId="2AEA3533" w14:textId="57CF0768" w:rsidR="00D85F76" w:rsidRPr="00C158D8" w:rsidRDefault="00D85F76" w:rsidP="00444CD2">
      <w:pPr>
        <w:pStyle w:val="FootnoteText"/>
      </w:pPr>
      <w:r w:rsidRPr="00C158D8">
        <w:rPr>
          <w:rStyle w:val="FootnoteReference"/>
        </w:rPr>
        <w:footnoteRef/>
      </w:r>
      <w:r w:rsidRPr="00C158D8">
        <w:t xml:space="preserve"> </w:t>
      </w:r>
      <w:r w:rsidR="00444CD2">
        <w:tab/>
      </w:r>
      <w:r w:rsidR="00444CD2">
        <w:tab/>
      </w:r>
      <w:r w:rsidR="00E85415" w:rsidRPr="008A203E">
        <w:t>U.S. Energy Information Administration</w:t>
      </w:r>
      <w:r w:rsidR="00E85415">
        <w:t xml:space="preserve"> (EIA)</w:t>
      </w:r>
      <w:r w:rsidR="00A017F4">
        <w:t>,</w:t>
      </w:r>
      <w:r w:rsidR="00E85415" w:rsidRPr="00E85415">
        <w:t xml:space="preserve"> </w:t>
      </w:r>
      <w:r w:rsidR="00E85415" w:rsidRPr="00A017F4">
        <w:t xml:space="preserve">Annual Energy Outlook 2012 Early Release Overview, </w:t>
      </w:r>
      <w:r w:rsidR="00E85415" w:rsidRPr="00E85415">
        <w:t>5</w:t>
      </w:r>
      <w:r w:rsidR="00A017F4">
        <w:t>,</w:t>
      </w:r>
      <w:r w:rsidR="00E85415" w:rsidRPr="00C158D8">
        <w:t xml:space="preserve"> </w:t>
      </w:r>
      <w:r w:rsidRPr="00C158D8">
        <w:t>June 2012.</w:t>
      </w:r>
    </w:p>
  </w:footnote>
  <w:footnote w:id="9">
    <w:p w14:paraId="42238833" w14:textId="3314501F" w:rsidR="00A17467" w:rsidRDefault="00A17467" w:rsidP="00444CD2">
      <w:pPr>
        <w:pStyle w:val="FootnoteText"/>
      </w:pPr>
      <w:r>
        <w:rPr>
          <w:rStyle w:val="FootnoteReference"/>
        </w:rPr>
        <w:footnoteRef/>
      </w:r>
      <w:r>
        <w:t xml:space="preserve"> </w:t>
      </w:r>
      <w:r w:rsidR="00444CD2">
        <w:tab/>
      </w:r>
      <w:r w:rsidR="00444CD2">
        <w:tab/>
      </w:r>
      <w:r w:rsidR="00E85415">
        <w:t>U.S. EIA</w:t>
      </w:r>
      <w:r w:rsidR="00A017F4">
        <w:t>,</w:t>
      </w:r>
      <w:r w:rsidR="00E85415">
        <w:t xml:space="preserve"> January 2014 Electric Power Monthly</w:t>
      </w:r>
      <w:r w:rsidR="00A017F4">
        <w:t xml:space="preserve">, Table ES2.B, released March 21, 2014. </w:t>
      </w:r>
    </w:p>
  </w:footnote>
  <w:footnote w:id="10">
    <w:p w14:paraId="7607B71F" w14:textId="4F719659" w:rsidR="00D85F76" w:rsidRPr="004A6F87" w:rsidRDefault="00D85F76" w:rsidP="00444CD2">
      <w:pPr>
        <w:pStyle w:val="FootnoteText"/>
      </w:pPr>
      <w:r w:rsidRPr="004A6F87">
        <w:rPr>
          <w:rStyle w:val="FootnoteReference"/>
        </w:rPr>
        <w:footnoteRef/>
      </w:r>
      <w:r w:rsidRPr="004A6F87">
        <w:t xml:space="preserve"> </w:t>
      </w:r>
      <w:r w:rsidR="00444CD2">
        <w:tab/>
      </w:r>
      <w:r w:rsidR="00444CD2">
        <w:tab/>
      </w:r>
      <w:r w:rsidRPr="003535C4">
        <w:rPr>
          <w:i/>
        </w:rPr>
        <w:t>Id</w:t>
      </w:r>
      <w:r>
        <w:t>.</w:t>
      </w:r>
    </w:p>
  </w:footnote>
  <w:footnote w:id="11">
    <w:p w14:paraId="2F7A2893" w14:textId="7B1131C2" w:rsidR="00D90431" w:rsidRDefault="00D90431" w:rsidP="00444CD2">
      <w:pPr>
        <w:pStyle w:val="FootnoteText"/>
      </w:pPr>
      <w:r>
        <w:rPr>
          <w:rStyle w:val="FootnoteReference"/>
        </w:rPr>
        <w:footnoteRef/>
      </w:r>
      <w:r w:rsidR="000C275B">
        <w:t xml:space="preserve"> </w:t>
      </w:r>
      <w:r w:rsidR="00444CD2">
        <w:tab/>
      </w:r>
      <w:r w:rsidR="00444CD2">
        <w:tab/>
      </w:r>
      <w:r w:rsidR="00A017F4">
        <w:t>U.S. EIA</w:t>
      </w:r>
      <w:r w:rsidR="00A628E8">
        <w:t>, “Short</w:t>
      </w:r>
      <w:r w:rsidR="00A628E8">
        <w:rPr>
          <w:rFonts w:ascii="Cambria Math" w:hAnsi="Cambria Math" w:cs="Cambria Math"/>
        </w:rPr>
        <w:t>‐</w:t>
      </w:r>
      <w:r w:rsidR="00A628E8">
        <w:t>Term Energy Outlook Supplement: Energy Price Volatility and Forecast Uncertainty,” October 2009.</w:t>
      </w:r>
    </w:p>
  </w:footnote>
  <w:footnote w:id="12">
    <w:p w14:paraId="2109190C" w14:textId="18F02626" w:rsidR="00D85F76" w:rsidRDefault="00D85F76" w:rsidP="00444CD2">
      <w:pPr>
        <w:pStyle w:val="FootnoteText"/>
      </w:pPr>
      <w:r>
        <w:rPr>
          <w:rStyle w:val="FootnoteReference"/>
        </w:rPr>
        <w:footnoteRef/>
      </w:r>
      <w:r w:rsidR="00D22662">
        <w:t xml:space="preserve"> </w:t>
      </w:r>
      <w:r w:rsidR="00444CD2">
        <w:tab/>
      </w:r>
      <w:r w:rsidR="00444CD2">
        <w:tab/>
      </w:r>
      <w:r w:rsidR="00A017F4">
        <w:t xml:space="preserve">U.S. EIA, </w:t>
      </w:r>
      <w:r w:rsidR="00A017F4" w:rsidRPr="00A017F4">
        <w:t>Henry Hub Natural Gas Spot Price Chart</w:t>
      </w:r>
      <w:r w:rsidR="00A017F4">
        <w:t>,</w:t>
      </w:r>
      <w:r w:rsidR="007E02E0">
        <w:t xml:space="preserve"> June 9, 2012</w:t>
      </w:r>
      <w:r>
        <w:t>.</w:t>
      </w:r>
    </w:p>
  </w:footnote>
  <w:footnote w:id="13">
    <w:p w14:paraId="1E91B45C" w14:textId="6A3456BA" w:rsidR="00D90431" w:rsidRDefault="00D90431" w:rsidP="00444CD2">
      <w:pPr>
        <w:pStyle w:val="FootnoteText"/>
      </w:pPr>
      <w:r>
        <w:rPr>
          <w:rStyle w:val="FootnoteReference"/>
        </w:rPr>
        <w:footnoteRef/>
      </w:r>
      <w:r>
        <w:t xml:space="preserve"> </w:t>
      </w:r>
      <w:r w:rsidR="00444CD2">
        <w:tab/>
      </w:r>
      <w:r w:rsidR="00444CD2">
        <w:tab/>
      </w:r>
      <w:r w:rsidR="00A017F4">
        <w:t>U.S. EIA</w:t>
      </w:r>
      <w:r w:rsidR="00A628E8">
        <w:t>, Natural Gas Weekly Update, February 20, 2014.</w:t>
      </w:r>
    </w:p>
  </w:footnote>
  <w:footnote w:id="14">
    <w:p w14:paraId="1DA477C9" w14:textId="6FF9414A" w:rsidR="005A3A0D" w:rsidRDefault="001C349E" w:rsidP="00444CD2">
      <w:pPr>
        <w:pStyle w:val="FootnoteText"/>
      </w:pPr>
      <w:r>
        <w:rPr>
          <w:rStyle w:val="FootnoteReference"/>
        </w:rPr>
        <w:footnoteRef/>
      </w:r>
      <w:r>
        <w:t xml:space="preserve"> </w:t>
      </w:r>
      <w:r w:rsidR="00444CD2">
        <w:tab/>
      </w:r>
      <w:r w:rsidR="00444CD2">
        <w:tab/>
      </w:r>
      <w:r>
        <w:t>Peter Behr, “As gas generators’ fuel costs soar, grid operator asks FERC to waive price cap,” E&amp;E Publishing, January 24, 2014; Mary Crane, “Consumer advocates ask FERC to investigate ‘unprecedented’ power prices in PJM,” SNL, February 20, 2014.</w:t>
      </w:r>
    </w:p>
  </w:footnote>
  <w:footnote w:id="15">
    <w:p w14:paraId="473850DC" w14:textId="7513BFED" w:rsidR="00A17467" w:rsidRDefault="00A17467" w:rsidP="00444CD2">
      <w:pPr>
        <w:pStyle w:val="FootnoteText"/>
      </w:pPr>
      <w:r>
        <w:rPr>
          <w:rStyle w:val="FootnoteReference"/>
        </w:rPr>
        <w:footnoteRef/>
      </w:r>
      <w:r>
        <w:t xml:space="preserve"> </w:t>
      </w:r>
      <w:r w:rsidR="00444CD2">
        <w:tab/>
      </w:r>
      <w:r w:rsidR="00444CD2">
        <w:tab/>
      </w:r>
      <w:r w:rsidR="00A017F4">
        <w:t xml:space="preserve">PJM, Monthly Locational Marginal Pricing. </w:t>
      </w:r>
    </w:p>
  </w:footnote>
  <w:footnote w:id="16">
    <w:p w14:paraId="7512B3B4" w14:textId="2EE8BCC3" w:rsidR="00D85F76" w:rsidRPr="0098741D" w:rsidRDefault="00D85F76" w:rsidP="00444CD2">
      <w:pPr>
        <w:pStyle w:val="FootnoteText"/>
        <w:rPr>
          <w:smallCaps/>
        </w:rPr>
      </w:pPr>
      <w:r w:rsidRPr="004A6F87">
        <w:rPr>
          <w:rStyle w:val="FootnoteReference"/>
        </w:rPr>
        <w:footnoteRef/>
      </w:r>
      <w:r w:rsidRPr="004A6F87">
        <w:t xml:space="preserve"> </w:t>
      </w:r>
      <w:r w:rsidR="00444CD2">
        <w:tab/>
      </w:r>
      <w:r w:rsidR="00444CD2">
        <w:tab/>
      </w:r>
      <w:r w:rsidR="00DF72DD" w:rsidRPr="00DF72DD">
        <w:t xml:space="preserve">U.S. </w:t>
      </w:r>
      <w:r w:rsidR="00DF72DD">
        <w:t>EIA,</w:t>
      </w:r>
      <w:r w:rsidR="00DF72DD" w:rsidRPr="00DF72DD">
        <w:t xml:space="preserve"> </w:t>
      </w:r>
      <w:r w:rsidRPr="00DF72DD">
        <w:t xml:space="preserve">Annual Energy Outlook 2007, </w:t>
      </w:r>
      <w:r w:rsidRPr="002B3481">
        <w:t>Feb</w:t>
      </w:r>
      <w:r>
        <w:rPr>
          <w:smallCaps/>
        </w:rPr>
        <w:t xml:space="preserve">. 2007. </w:t>
      </w:r>
    </w:p>
  </w:footnote>
  <w:footnote w:id="17">
    <w:p w14:paraId="6984F221" w14:textId="1FF1556F" w:rsidR="00D85F76" w:rsidRDefault="00D85F76" w:rsidP="00444CD2">
      <w:pPr>
        <w:pStyle w:val="FootnoteText"/>
      </w:pPr>
      <w:r>
        <w:rPr>
          <w:rStyle w:val="FootnoteReference"/>
        </w:rPr>
        <w:footnoteRef/>
      </w:r>
      <w:r w:rsidR="00D22662">
        <w:t xml:space="preserve"> </w:t>
      </w:r>
      <w:r w:rsidR="00444CD2">
        <w:tab/>
      </w:r>
      <w:r w:rsidR="00444CD2">
        <w:tab/>
      </w:r>
      <w:r>
        <w:t xml:space="preserve">42 U.S.C. § 7411(b)(2) </w:t>
      </w:r>
      <w:r w:rsidR="00DF72DD">
        <w:t>(</w:t>
      </w:r>
      <w:r>
        <w:t>2012).</w:t>
      </w:r>
    </w:p>
  </w:footnote>
  <w:footnote w:id="18">
    <w:p w14:paraId="7EDB30FE" w14:textId="661E1BB3" w:rsidR="00EF5E04" w:rsidRPr="00FB6072" w:rsidRDefault="00EF5E04" w:rsidP="00444CD2">
      <w:pPr>
        <w:pStyle w:val="FootnoteText"/>
      </w:pPr>
      <w:r w:rsidRPr="00FB6072">
        <w:rPr>
          <w:rStyle w:val="FootnoteReference"/>
        </w:rPr>
        <w:footnoteRef/>
      </w:r>
      <w:r w:rsidRPr="00FB6072">
        <w:t xml:space="preserve">  </w:t>
      </w:r>
      <w:r w:rsidR="00444CD2">
        <w:tab/>
      </w:r>
      <w:r w:rsidR="00444CD2">
        <w:tab/>
      </w:r>
      <w:r w:rsidRPr="00FB6072">
        <w:t>Federal Register Vol. 79, No. 5 (January 8, 2014), p. 1434.</w:t>
      </w:r>
      <w:r w:rsidR="00444CD2">
        <w:t xml:space="preserve"> </w:t>
      </w:r>
      <w:r w:rsidRPr="00FB6072">
        <w:t xml:space="preserve"> “Section 111(b) requires the EPA to identify the </w:t>
      </w:r>
      <w:r w:rsidR="00050AE0">
        <w:t>’</w:t>
      </w:r>
      <w:r w:rsidRPr="00FB6072">
        <w:t>best system of emission reduction</w:t>
      </w:r>
      <w:r w:rsidR="00444CD2">
        <w:t xml:space="preserve"> </w:t>
      </w:r>
      <w:r w:rsidRPr="00FB6072">
        <w:t>…</w:t>
      </w:r>
      <w:r w:rsidR="00444CD2">
        <w:t xml:space="preserve"> </w:t>
      </w:r>
      <w:r w:rsidRPr="00FB6072">
        <w:t>adequately demonstrated</w:t>
      </w:r>
      <w:r w:rsidR="00050AE0">
        <w:t>’</w:t>
      </w:r>
      <w:r w:rsidRPr="00FB6072">
        <w:t xml:space="preserve"> (BSER) available to limit pollution. </w:t>
      </w:r>
      <w:r w:rsidR="00444CD2">
        <w:t xml:space="preserve"> </w:t>
      </w:r>
      <w:r w:rsidRPr="00FB6072">
        <w:t>The CAA and subsequent court deci</w:t>
      </w:r>
      <w:r w:rsidR="00784DD8">
        <w:softHyphen/>
      </w:r>
      <w:r w:rsidRPr="00FB6072">
        <w:t xml:space="preserve">sions (detailed later in this notice) identify the factors for the EPA to consider in a BSER determination. </w:t>
      </w:r>
      <w:r w:rsidR="00444CD2">
        <w:t xml:space="preserve"> </w:t>
      </w:r>
      <w:r w:rsidRPr="00FB6072">
        <w:t xml:space="preserve">For this rulemaking, the following factors are key: feasibility, costs, size of emission reductions and technology.”   </w:t>
      </w:r>
    </w:p>
    <w:p w14:paraId="39F38E30" w14:textId="2F0D1936" w:rsidR="00EF5E04" w:rsidRPr="00FB6072" w:rsidRDefault="00444CD2" w:rsidP="00444CD2">
      <w:pPr>
        <w:pStyle w:val="FootnoteText"/>
      </w:pPr>
      <w:r>
        <w:tab/>
      </w:r>
      <w:r>
        <w:tab/>
      </w:r>
      <w:r w:rsidR="005E09B3">
        <w:t xml:space="preserve">Federal Register Vol. 79, No. 5 </w:t>
      </w:r>
      <w:r w:rsidR="005E09B3" w:rsidRPr="00FB6072">
        <w:t>(January 8, 2014), p. 1462</w:t>
      </w:r>
      <w:r w:rsidR="00050AE0">
        <w:t>.</w:t>
      </w:r>
      <w:r>
        <w:t xml:space="preserve"> </w:t>
      </w:r>
      <w:r w:rsidR="005E09B3">
        <w:t xml:space="preserve"> </w:t>
      </w:r>
      <w:r w:rsidR="00EF5E04" w:rsidRPr="00FB6072">
        <w:t xml:space="preserve">“According to the D.C. Circuit, EPA determines the best demonstrated system based on the following key considerations, among others:….the costs of the system must be reasonable.”  </w:t>
      </w:r>
      <w:r w:rsidR="005E09B3">
        <w:br/>
      </w:r>
    </w:p>
  </w:footnote>
  <w:footnote w:id="19">
    <w:p w14:paraId="4FA2A27A" w14:textId="1BD780E2" w:rsidR="00EF5E04" w:rsidRDefault="00EF5E04" w:rsidP="00444CD2">
      <w:pPr>
        <w:pStyle w:val="FootnoteText"/>
      </w:pPr>
      <w:r>
        <w:rPr>
          <w:rStyle w:val="FootnoteReference"/>
        </w:rPr>
        <w:footnoteRef/>
      </w:r>
      <w:r>
        <w:t xml:space="preserve"> </w:t>
      </w:r>
      <w:r w:rsidR="00444CD2">
        <w:tab/>
      </w:r>
      <w:r w:rsidR="00444CD2">
        <w:tab/>
      </w:r>
      <w:r w:rsidR="00050AE0" w:rsidRPr="0024328C">
        <w:t xml:space="preserve">Massachusetts Institute </w:t>
      </w:r>
      <w:r w:rsidR="00050AE0">
        <w:t>o</w:t>
      </w:r>
      <w:r w:rsidR="00050AE0" w:rsidRPr="0024328C">
        <w:t>f Technology</w:t>
      </w:r>
      <w:r w:rsidR="00FE16E2">
        <w:t xml:space="preserve"> (MIT)</w:t>
      </w:r>
      <w:r w:rsidR="00050AE0">
        <w:t>,</w:t>
      </w:r>
      <w:r w:rsidR="00050AE0" w:rsidRPr="0024328C" w:rsidDel="00050AE0">
        <w:t xml:space="preserve"> </w:t>
      </w:r>
      <w:r w:rsidR="00050AE0" w:rsidRPr="0024328C">
        <w:t xml:space="preserve">The Future </w:t>
      </w:r>
      <w:r w:rsidR="00050AE0">
        <w:t>o</w:t>
      </w:r>
      <w:r w:rsidR="00050AE0" w:rsidRPr="0024328C">
        <w:t xml:space="preserve">f Coal: Options for a Carbon-Constrained World, </w:t>
      </w:r>
      <w:r w:rsidRPr="0024328C">
        <w:t>43-62</w:t>
      </w:r>
      <w:r w:rsidR="00050AE0">
        <w:t xml:space="preserve"> </w:t>
      </w:r>
      <w:r w:rsidRPr="0024328C">
        <w:t>(2007).</w:t>
      </w:r>
      <w:r>
        <w:t xml:space="preserve"> </w:t>
      </w:r>
      <w:r w:rsidRPr="0024328C">
        <w:t xml:space="preserve"> “At present government and private sector programs to implement on a timely basis the required large-scale integrated demonstra</w:t>
      </w:r>
      <w:r w:rsidR="00784DD8">
        <w:softHyphen/>
      </w:r>
      <w:r w:rsidRPr="0024328C">
        <w:t>tions to confirm the suitability of carbon sequestration are completely inadequate.”</w:t>
      </w:r>
    </w:p>
  </w:footnote>
  <w:footnote w:id="20">
    <w:p w14:paraId="2D3FF066" w14:textId="01DA4EC9" w:rsidR="00EF5E04" w:rsidRDefault="00EF5E04" w:rsidP="00444CD2">
      <w:pPr>
        <w:pStyle w:val="FootnoteText"/>
      </w:pPr>
      <w:r>
        <w:rPr>
          <w:rStyle w:val="FootnoteReference"/>
        </w:rPr>
        <w:footnoteRef/>
      </w:r>
      <w:r>
        <w:t xml:space="preserve"> </w:t>
      </w:r>
      <w:r w:rsidR="00444CD2">
        <w:tab/>
      </w:r>
      <w:r w:rsidR="00444CD2">
        <w:tab/>
      </w:r>
      <w:r w:rsidRPr="007E02E0">
        <w:t>Standards of Performance for Greenhouse Gas Emissions for New Stationary Sources: Electric Generating Units, 77 FR 22394.</w:t>
      </w:r>
    </w:p>
  </w:footnote>
  <w:footnote w:id="21">
    <w:p w14:paraId="08F636E0" w14:textId="0A61ED89" w:rsidR="00EF5E04" w:rsidRDefault="00EF5E04" w:rsidP="00444CD2">
      <w:pPr>
        <w:pStyle w:val="FootnoteText"/>
      </w:pPr>
      <w:r>
        <w:rPr>
          <w:rStyle w:val="FootnoteReference"/>
        </w:rPr>
        <w:footnoteRef/>
      </w:r>
      <w:r>
        <w:t xml:space="preserve"> </w:t>
      </w:r>
      <w:r w:rsidR="00444CD2">
        <w:tab/>
      </w:r>
      <w:r w:rsidR="00444CD2">
        <w:tab/>
      </w:r>
      <w:r w:rsidR="00050AE0">
        <w:t>Green Facts, CO</w:t>
      </w:r>
      <w:r w:rsidR="00050AE0" w:rsidRPr="003535C4">
        <w:rPr>
          <w:vertAlign w:val="subscript"/>
        </w:rPr>
        <w:t>2</w:t>
      </w:r>
      <w:r w:rsidR="00050AE0">
        <w:t xml:space="preserve"> Capture and Storage Digest, Question 8, “How cost-effective are different CO</w:t>
      </w:r>
      <w:r w:rsidR="00050AE0" w:rsidRPr="00AA50F1">
        <w:rPr>
          <w:vertAlign w:val="subscript"/>
        </w:rPr>
        <w:t>2</w:t>
      </w:r>
      <w:r w:rsidR="00050AE0">
        <w:t xml:space="preserve"> capture and storage options?”</w:t>
      </w:r>
    </w:p>
  </w:footnote>
  <w:footnote w:id="22">
    <w:p w14:paraId="62C77DF3" w14:textId="6344925E" w:rsidR="0097080B" w:rsidRDefault="0097080B" w:rsidP="00444CD2">
      <w:pPr>
        <w:pStyle w:val="FootnoteText"/>
      </w:pPr>
      <w:r>
        <w:rPr>
          <w:rStyle w:val="FootnoteReference"/>
        </w:rPr>
        <w:footnoteRef/>
      </w:r>
      <w:r>
        <w:t xml:space="preserve"> </w:t>
      </w:r>
      <w:r w:rsidR="00444CD2">
        <w:tab/>
      </w:r>
      <w:r w:rsidR="00444CD2">
        <w:tab/>
      </w:r>
      <w:r w:rsidRPr="009F72FD">
        <w:t>A brief sampling of projects that have already been subsidized yet have been can</w:t>
      </w:r>
      <w:r w:rsidR="00784DD8">
        <w:softHyphen/>
      </w:r>
      <w:r w:rsidRPr="009F72FD">
        <w:t>celled or are awaiting more favorable economic conditions (</w:t>
      </w:r>
      <w:r>
        <w:t xml:space="preserve">i.e., </w:t>
      </w:r>
      <w:r w:rsidRPr="009F72FD">
        <w:t>cap and trade) are as follows:  Kimberlina CCS, BP Carson CCS, Taylorville CCS, Indiana Gasification CCS, Antelope Valley CCS, Sweeny Gasification CCS, Trailblazer CCS, ZENG Worsham Steed CCS, Wallula CCS, AEP Mountaineer CCS, and Appalachian Power CCS.</w:t>
      </w:r>
      <w:r w:rsidRPr="00DE6217">
        <w:t xml:space="preserve"> </w:t>
      </w:r>
    </w:p>
    <w:p w14:paraId="1A37B536" w14:textId="28077A03" w:rsidR="0097080B" w:rsidRDefault="00444CD2" w:rsidP="00444CD2">
      <w:pPr>
        <w:pStyle w:val="FootnoteText"/>
      </w:pPr>
      <w:r>
        <w:tab/>
      </w:r>
      <w:r>
        <w:tab/>
      </w:r>
      <w:r w:rsidR="0097080B">
        <w:t xml:space="preserve">See also </w:t>
      </w:r>
      <w:r w:rsidR="00FE16E2">
        <w:t>MIT Carbon Capture and Sequestration Technologies, “Cancelled and Inactive Projects.”</w:t>
      </w:r>
    </w:p>
  </w:footnote>
  <w:footnote w:id="23">
    <w:p w14:paraId="68A3DD3B" w14:textId="14DCB5E4" w:rsidR="00EF5E04" w:rsidRDefault="00EF5E04" w:rsidP="00444CD2">
      <w:pPr>
        <w:pStyle w:val="FootnoteText"/>
      </w:pPr>
      <w:r>
        <w:rPr>
          <w:rStyle w:val="FootnoteReference"/>
        </w:rPr>
        <w:footnoteRef/>
      </w:r>
      <w:r>
        <w:t xml:space="preserve"> </w:t>
      </w:r>
      <w:r w:rsidR="00444CD2">
        <w:tab/>
      </w:r>
      <w:r w:rsidR="00444CD2">
        <w:tab/>
      </w:r>
      <w:r>
        <w:t>U.S. EIA</w:t>
      </w:r>
      <w:r w:rsidR="00FE16E2">
        <w:t>,</w:t>
      </w:r>
      <w:r>
        <w:t xml:space="preserve"> </w:t>
      </w:r>
      <w:r w:rsidR="00FE16E2">
        <w:t xml:space="preserve">AEO2013 Early Release Overview, </w:t>
      </w:r>
      <w:r>
        <w:t>“Levelized Cost of New Genera</w:t>
      </w:r>
      <w:r w:rsidR="00784DD8">
        <w:softHyphen/>
      </w:r>
      <w:r>
        <w:t>tion Resources in the Annual Energy Outlook 2013,”</w:t>
      </w:r>
      <w:r w:rsidRPr="005229AF">
        <w:t xml:space="preserve"> </w:t>
      </w:r>
      <w:r>
        <w:t>January 28, 2013</w:t>
      </w:r>
      <w:r w:rsidR="00FE16E2">
        <w:t>.</w:t>
      </w:r>
    </w:p>
  </w:footnote>
  <w:footnote w:id="24">
    <w:p w14:paraId="24ED7ACD" w14:textId="48373AF7" w:rsidR="00EF5E04" w:rsidRDefault="00EF5E04" w:rsidP="00444CD2">
      <w:pPr>
        <w:pStyle w:val="FootnoteText"/>
      </w:pPr>
      <w:r>
        <w:rPr>
          <w:rStyle w:val="FootnoteReference"/>
        </w:rPr>
        <w:footnoteRef/>
      </w:r>
      <w:r>
        <w:t xml:space="preserve"> </w:t>
      </w:r>
      <w:r w:rsidR="00444CD2">
        <w:tab/>
      </w:r>
      <w:r w:rsidR="00444CD2">
        <w:tab/>
      </w:r>
      <w:r>
        <w:t>42 U.S.C. § 7411(b)(5).</w:t>
      </w:r>
    </w:p>
  </w:footnote>
  <w:footnote w:id="25">
    <w:p w14:paraId="458CDFBE" w14:textId="17886BD0" w:rsidR="00EF5E04" w:rsidRPr="00A74796" w:rsidRDefault="00EF5E04" w:rsidP="00444CD2">
      <w:pPr>
        <w:pStyle w:val="FootnoteText"/>
      </w:pPr>
      <w:r>
        <w:rPr>
          <w:rStyle w:val="FootnoteReference"/>
        </w:rPr>
        <w:footnoteRef/>
      </w:r>
      <w:r>
        <w:t xml:space="preserve"> </w:t>
      </w:r>
      <w:r w:rsidR="00444CD2">
        <w:tab/>
      </w:r>
      <w:r w:rsidR="00444CD2">
        <w:tab/>
      </w:r>
      <w:r w:rsidRPr="00445571">
        <w:t xml:space="preserve">Standards of Performance for Greenhouse Gas Emissions for New Stationary Sources: Electric Utility Generating Units, 77 FR 22392. </w:t>
      </w:r>
      <w:r w:rsidR="00444CD2">
        <w:t xml:space="preserve"> </w:t>
      </w:r>
      <w:r w:rsidRPr="00A74796">
        <w:t>“This NSPS would provide regulatory certainty that any new coal-fired power plant must limit CO</w:t>
      </w:r>
      <w:r w:rsidRPr="00A74796">
        <w:rPr>
          <w:position w:val="-8"/>
          <w:vertAlign w:val="subscript"/>
        </w:rPr>
        <w:t xml:space="preserve">2 </w:t>
      </w:r>
      <w:r w:rsidRPr="00A74796">
        <w:t>emissions by im</w:t>
      </w:r>
      <w:r w:rsidR="005175E1">
        <w:t xml:space="preserve">plementing some form of partial </w:t>
      </w:r>
      <w:r w:rsidRPr="00A74796">
        <w:t xml:space="preserve">capture and storage.” </w:t>
      </w:r>
      <w:r w:rsidRPr="00445571">
        <w:t xml:space="preserve"> “New coal-fired or pet coke-fired units could meet the standard either by employing carbon capture and storage (CCS)1 of approximately 50% of the CO 2 in the exhaust gas at star</w:t>
      </w:r>
      <w:r w:rsidRPr="00A74796">
        <w:t>tup, or through later application of more effective CCS to meet the standard on average over a 30-year period</w:t>
      </w:r>
      <w:r w:rsidR="00FE16E2">
        <w:t>.</w:t>
      </w:r>
      <w:r w:rsidRPr="00A74796">
        <w:t>”</w:t>
      </w:r>
    </w:p>
  </w:footnote>
  <w:footnote w:id="26">
    <w:p w14:paraId="16EBA45C" w14:textId="513CD4CB" w:rsidR="00EF5E04" w:rsidRDefault="00EF5E04" w:rsidP="00444CD2">
      <w:pPr>
        <w:pStyle w:val="FootnoteText"/>
      </w:pPr>
      <w:r w:rsidRPr="00445571">
        <w:rPr>
          <w:rStyle w:val="FootnoteReference"/>
          <w:szCs w:val="24"/>
        </w:rPr>
        <w:footnoteRef/>
      </w:r>
      <w:r w:rsidRPr="00445571">
        <w:t xml:space="preserve"> </w:t>
      </w:r>
      <w:r w:rsidR="00444CD2">
        <w:tab/>
      </w:r>
      <w:r w:rsidR="00444CD2">
        <w:tab/>
      </w:r>
      <w:r w:rsidRPr="00445571">
        <w:t>42 U.S.C. § 7411(b)(5)</w:t>
      </w:r>
      <w:r w:rsidR="00444CD2" w:rsidRPr="00445571">
        <w:t xml:space="preserve">.  </w:t>
      </w:r>
      <w:r w:rsidRPr="00445571">
        <w:t>“</w:t>
      </w:r>
      <w:r w:rsidRPr="00A74796">
        <w:rPr>
          <w:rStyle w:val="ptext-18"/>
          <w:szCs w:val="24"/>
          <w:lang w:val="en"/>
        </w:rPr>
        <w:t>…nothing in this section shall be construed to require, or to authorize the Administrator to require, any new or modified source to install and operate any particular technological system of continuous emission reduction to comply with any new source standard of performance.”</w:t>
      </w:r>
      <w:r w:rsidRPr="00445571">
        <w:t xml:space="preserve"> </w:t>
      </w:r>
    </w:p>
  </w:footnote>
  <w:footnote w:id="27">
    <w:p w14:paraId="690D14CB" w14:textId="7EC6120B" w:rsidR="00EF5E04" w:rsidRDefault="00EF5E04" w:rsidP="00444CD2">
      <w:pPr>
        <w:pStyle w:val="FootnoteText"/>
      </w:pPr>
      <w:r>
        <w:rPr>
          <w:rStyle w:val="FootnoteReference"/>
        </w:rPr>
        <w:footnoteRef/>
      </w:r>
      <w:r>
        <w:t xml:space="preserve"> </w:t>
      </w:r>
      <w:r w:rsidR="00444CD2">
        <w:tab/>
      </w:r>
      <w:r w:rsidR="00444CD2">
        <w:tab/>
      </w:r>
      <w:r w:rsidR="00FE16E2">
        <w:t>U.S. EIA, AEO2013 Early Release Overview, “Levelized Cost of New Genera</w:t>
      </w:r>
      <w:r w:rsidR="00784DD8">
        <w:softHyphen/>
      </w:r>
      <w:r w:rsidR="00FE16E2">
        <w:t>tion Resources in the Annual Energy Outlook 2013,”</w:t>
      </w:r>
      <w:r w:rsidR="00FE16E2" w:rsidRPr="005229AF">
        <w:t xml:space="preserve"> </w:t>
      </w:r>
      <w:r w:rsidR="00FE16E2">
        <w:t>January 28,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244C" w14:textId="77777777" w:rsidR="00D85F76" w:rsidRDefault="00D85F76" w:rsidP="00282C37">
    <w:pPr>
      <w:pStyle w:val="Header"/>
      <w:jc w:val="center"/>
      <w:rPr>
        <w:b/>
        <w:sz w:val="28"/>
        <w:szCs w:val="28"/>
      </w:rPr>
    </w:pPr>
    <w:r>
      <w:rPr>
        <w:b/>
        <w:sz w:val="28"/>
        <w:szCs w:val="28"/>
      </w:rPr>
      <w:t>TABLE OF CONTENTS</w:t>
    </w:r>
  </w:p>
  <w:p w14:paraId="1BC75D11" w14:textId="77777777" w:rsidR="00D85F76" w:rsidRDefault="00D85F76" w:rsidP="00282C37">
    <w:pPr>
      <w:pStyle w:val="Header"/>
      <w:jc w:val="right"/>
      <w:rPr>
        <w:b/>
        <w:sz w:val="28"/>
        <w:szCs w:val="28"/>
      </w:rPr>
    </w:pPr>
    <w:r>
      <w:rPr>
        <w:b/>
        <w:sz w:val="28"/>
        <w:szCs w:val="28"/>
      </w:rPr>
      <w:t>Page</w:t>
    </w:r>
  </w:p>
  <w:p w14:paraId="4A4A0667" w14:textId="77777777" w:rsidR="00D85F76" w:rsidRPr="00942A38" w:rsidRDefault="00D85F76" w:rsidP="00282C37">
    <w:pPr>
      <w:pStyle w:val="Header"/>
      <w:jc w:val="right"/>
      <w:rPr>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752F7" w14:textId="77777777" w:rsidR="00282C37" w:rsidRPr="00D97346" w:rsidRDefault="00282C37" w:rsidP="00282C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32F83" w14:textId="77777777" w:rsidR="00282C37" w:rsidRPr="00D97346" w:rsidRDefault="00282C37" w:rsidP="00282C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A6F17"/>
    <w:multiLevelType w:val="hybridMultilevel"/>
    <w:tmpl w:val="3AB2394A"/>
    <w:lvl w:ilvl="0" w:tplc="7610B7B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CF4EDE"/>
    <w:multiLevelType w:val="hybridMultilevel"/>
    <w:tmpl w:val="767CF6C4"/>
    <w:lvl w:ilvl="0" w:tplc="64769366">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99314BC"/>
    <w:multiLevelType w:val="hybridMultilevel"/>
    <w:tmpl w:val="F81AA946"/>
    <w:lvl w:ilvl="0" w:tplc="7610B7BE">
      <w:start w:val="1"/>
      <w:numFmt w:val="upperRoman"/>
      <w:lvlText w:val="%1."/>
      <w:lvlJc w:val="left"/>
      <w:pPr>
        <w:ind w:left="189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5F2A0660"/>
    <w:multiLevelType w:val="multilevel"/>
    <w:tmpl w:val="B85C16E8"/>
    <w:lvl w:ilvl="0">
      <w:start w:val="1"/>
      <w:numFmt w:val="upperRoman"/>
      <w:pStyle w:val="Heading1"/>
      <w:lvlText w:val="%1."/>
      <w:lvlJc w:val="left"/>
      <w:pPr>
        <w:ind w:left="0" w:firstLine="0"/>
      </w:pPr>
    </w:lvl>
    <w:lvl w:ilvl="1">
      <w:start w:val="1"/>
      <w:numFmt w:val="upperLetter"/>
      <w:lvlText w:val="%2."/>
      <w:lvlJc w:val="left"/>
      <w:pPr>
        <w:ind w:left="88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nsid w:val="63631516"/>
    <w:multiLevelType w:val="hybridMultilevel"/>
    <w:tmpl w:val="88222B1A"/>
    <w:lvl w:ilvl="0" w:tplc="AD5C305C">
      <w:start w:val="1"/>
      <w:numFmt w:val="upperLetter"/>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FD973AC"/>
    <w:multiLevelType w:val="hybridMultilevel"/>
    <w:tmpl w:val="A0B8281E"/>
    <w:lvl w:ilvl="0" w:tplc="7610B7BE">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num>
  <w:num w:numId="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F76"/>
    <w:rsid w:val="00015463"/>
    <w:rsid w:val="00016A74"/>
    <w:rsid w:val="00045BBF"/>
    <w:rsid w:val="000475FC"/>
    <w:rsid w:val="00050AE0"/>
    <w:rsid w:val="000603D1"/>
    <w:rsid w:val="00070493"/>
    <w:rsid w:val="0007795B"/>
    <w:rsid w:val="00091630"/>
    <w:rsid w:val="000C275B"/>
    <w:rsid w:val="000C4314"/>
    <w:rsid w:val="000F49C5"/>
    <w:rsid w:val="001035C5"/>
    <w:rsid w:val="00110952"/>
    <w:rsid w:val="001124CC"/>
    <w:rsid w:val="00113DCC"/>
    <w:rsid w:val="00115BAA"/>
    <w:rsid w:val="001179FA"/>
    <w:rsid w:val="001615F8"/>
    <w:rsid w:val="0017122A"/>
    <w:rsid w:val="001764E0"/>
    <w:rsid w:val="001766EB"/>
    <w:rsid w:val="00190429"/>
    <w:rsid w:val="001A333A"/>
    <w:rsid w:val="001B5136"/>
    <w:rsid w:val="001C349E"/>
    <w:rsid w:val="001C5C1C"/>
    <w:rsid w:val="001D0606"/>
    <w:rsid w:val="002146C1"/>
    <w:rsid w:val="00224CB8"/>
    <w:rsid w:val="002404E5"/>
    <w:rsid w:val="00245BC1"/>
    <w:rsid w:val="0025375F"/>
    <w:rsid w:val="00255D76"/>
    <w:rsid w:val="00257026"/>
    <w:rsid w:val="00274477"/>
    <w:rsid w:val="00282C37"/>
    <w:rsid w:val="002876A7"/>
    <w:rsid w:val="002905BE"/>
    <w:rsid w:val="00297A4B"/>
    <w:rsid w:val="002C6BE4"/>
    <w:rsid w:val="002C6E0E"/>
    <w:rsid w:val="002D0110"/>
    <w:rsid w:val="002D4E73"/>
    <w:rsid w:val="002E6842"/>
    <w:rsid w:val="00340B6D"/>
    <w:rsid w:val="003535C4"/>
    <w:rsid w:val="0035516C"/>
    <w:rsid w:val="00371FDE"/>
    <w:rsid w:val="003B18D7"/>
    <w:rsid w:val="003B1A80"/>
    <w:rsid w:val="003C4C79"/>
    <w:rsid w:val="003E32B4"/>
    <w:rsid w:val="003E37D0"/>
    <w:rsid w:val="003F5F70"/>
    <w:rsid w:val="003F7C31"/>
    <w:rsid w:val="00413427"/>
    <w:rsid w:val="004241F7"/>
    <w:rsid w:val="00430626"/>
    <w:rsid w:val="00444CD2"/>
    <w:rsid w:val="00445571"/>
    <w:rsid w:val="004701BA"/>
    <w:rsid w:val="00484880"/>
    <w:rsid w:val="00495F89"/>
    <w:rsid w:val="004B27C9"/>
    <w:rsid w:val="004B29FF"/>
    <w:rsid w:val="004F5C6B"/>
    <w:rsid w:val="00503119"/>
    <w:rsid w:val="00507A8F"/>
    <w:rsid w:val="00512012"/>
    <w:rsid w:val="005175E1"/>
    <w:rsid w:val="0052276B"/>
    <w:rsid w:val="005331A0"/>
    <w:rsid w:val="005631B2"/>
    <w:rsid w:val="00592576"/>
    <w:rsid w:val="005A3A0D"/>
    <w:rsid w:val="005A7447"/>
    <w:rsid w:val="005B66A6"/>
    <w:rsid w:val="005D0026"/>
    <w:rsid w:val="005D2A87"/>
    <w:rsid w:val="005D53A8"/>
    <w:rsid w:val="005D53CE"/>
    <w:rsid w:val="005E09B3"/>
    <w:rsid w:val="005E0DD7"/>
    <w:rsid w:val="005F0ED8"/>
    <w:rsid w:val="005F6EDC"/>
    <w:rsid w:val="00602F91"/>
    <w:rsid w:val="00606290"/>
    <w:rsid w:val="006203A8"/>
    <w:rsid w:val="00636040"/>
    <w:rsid w:val="006406A1"/>
    <w:rsid w:val="0066180C"/>
    <w:rsid w:val="00675A07"/>
    <w:rsid w:val="00683195"/>
    <w:rsid w:val="00687B38"/>
    <w:rsid w:val="00694854"/>
    <w:rsid w:val="00694B72"/>
    <w:rsid w:val="006C5149"/>
    <w:rsid w:val="006E0813"/>
    <w:rsid w:val="006E291C"/>
    <w:rsid w:val="00712152"/>
    <w:rsid w:val="00725CDD"/>
    <w:rsid w:val="007562C8"/>
    <w:rsid w:val="00783DFA"/>
    <w:rsid w:val="00784DD8"/>
    <w:rsid w:val="007A261C"/>
    <w:rsid w:val="007E02E0"/>
    <w:rsid w:val="008670B6"/>
    <w:rsid w:val="00871B68"/>
    <w:rsid w:val="008855B0"/>
    <w:rsid w:val="008A2AA5"/>
    <w:rsid w:val="008B5263"/>
    <w:rsid w:val="008F6485"/>
    <w:rsid w:val="00902815"/>
    <w:rsid w:val="00921084"/>
    <w:rsid w:val="0092173B"/>
    <w:rsid w:val="0094395A"/>
    <w:rsid w:val="00954B30"/>
    <w:rsid w:val="0097080B"/>
    <w:rsid w:val="00974141"/>
    <w:rsid w:val="009869EC"/>
    <w:rsid w:val="00986EF8"/>
    <w:rsid w:val="009923BD"/>
    <w:rsid w:val="009B31BA"/>
    <w:rsid w:val="009E65B1"/>
    <w:rsid w:val="009E7B21"/>
    <w:rsid w:val="009F72FD"/>
    <w:rsid w:val="00A017F4"/>
    <w:rsid w:val="00A17467"/>
    <w:rsid w:val="00A24612"/>
    <w:rsid w:val="00A44814"/>
    <w:rsid w:val="00A628E8"/>
    <w:rsid w:val="00A74796"/>
    <w:rsid w:val="00A81248"/>
    <w:rsid w:val="00A95738"/>
    <w:rsid w:val="00AA4DB8"/>
    <w:rsid w:val="00AC34B1"/>
    <w:rsid w:val="00B02E8B"/>
    <w:rsid w:val="00B15CD8"/>
    <w:rsid w:val="00B368EC"/>
    <w:rsid w:val="00B4272D"/>
    <w:rsid w:val="00B429E8"/>
    <w:rsid w:val="00B44D7F"/>
    <w:rsid w:val="00B576E5"/>
    <w:rsid w:val="00B63CD4"/>
    <w:rsid w:val="00B7154B"/>
    <w:rsid w:val="00B729E6"/>
    <w:rsid w:val="00B80E06"/>
    <w:rsid w:val="00B957BF"/>
    <w:rsid w:val="00BA1B36"/>
    <w:rsid w:val="00BA2AAC"/>
    <w:rsid w:val="00BA5EF3"/>
    <w:rsid w:val="00BA75AB"/>
    <w:rsid w:val="00BE3FDC"/>
    <w:rsid w:val="00C07BA2"/>
    <w:rsid w:val="00C17141"/>
    <w:rsid w:val="00C22847"/>
    <w:rsid w:val="00C25041"/>
    <w:rsid w:val="00C33DFC"/>
    <w:rsid w:val="00C62E7F"/>
    <w:rsid w:val="00C64FF0"/>
    <w:rsid w:val="00CC3588"/>
    <w:rsid w:val="00CC6946"/>
    <w:rsid w:val="00CE215A"/>
    <w:rsid w:val="00CE2737"/>
    <w:rsid w:val="00CF7D27"/>
    <w:rsid w:val="00D05FC2"/>
    <w:rsid w:val="00D07312"/>
    <w:rsid w:val="00D10E44"/>
    <w:rsid w:val="00D22662"/>
    <w:rsid w:val="00D422F9"/>
    <w:rsid w:val="00D67365"/>
    <w:rsid w:val="00D83128"/>
    <w:rsid w:val="00D85F76"/>
    <w:rsid w:val="00D90431"/>
    <w:rsid w:val="00D953B7"/>
    <w:rsid w:val="00DB0DFC"/>
    <w:rsid w:val="00DB31C1"/>
    <w:rsid w:val="00DC5731"/>
    <w:rsid w:val="00DD4C2E"/>
    <w:rsid w:val="00DD51CA"/>
    <w:rsid w:val="00DE6217"/>
    <w:rsid w:val="00DF72DD"/>
    <w:rsid w:val="00E003EB"/>
    <w:rsid w:val="00E100BA"/>
    <w:rsid w:val="00E12108"/>
    <w:rsid w:val="00E32404"/>
    <w:rsid w:val="00E42569"/>
    <w:rsid w:val="00E42EFE"/>
    <w:rsid w:val="00E5310D"/>
    <w:rsid w:val="00E56D34"/>
    <w:rsid w:val="00E73016"/>
    <w:rsid w:val="00E85415"/>
    <w:rsid w:val="00EA0F48"/>
    <w:rsid w:val="00EA244C"/>
    <w:rsid w:val="00EA5AF5"/>
    <w:rsid w:val="00EC20C6"/>
    <w:rsid w:val="00EC6146"/>
    <w:rsid w:val="00EE1443"/>
    <w:rsid w:val="00EE1C77"/>
    <w:rsid w:val="00EE675F"/>
    <w:rsid w:val="00EF5E04"/>
    <w:rsid w:val="00F15623"/>
    <w:rsid w:val="00F33506"/>
    <w:rsid w:val="00F46E22"/>
    <w:rsid w:val="00F65E76"/>
    <w:rsid w:val="00F74DE6"/>
    <w:rsid w:val="00F7733B"/>
    <w:rsid w:val="00F91A42"/>
    <w:rsid w:val="00F96510"/>
    <w:rsid w:val="00FA24C7"/>
    <w:rsid w:val="00FB550C"/>
    <w:rsid w:val="00FB6072"/>
    <w:rsid w:val="00FD1E1B"/>
    <w:rsid w:val="00FE16E2"/>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9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F74DE6"/>
    <w:pPr>
      <w:keepNext/>
      <w:keepLines/>
      <w:numPr>
        <w:numId w:val="5"/>
      </w:numPr>
      <w:spacing w:before="360" w:after="240"/>
      <w:ind w:right="720"/>
      <w:jc w:val="both"/>
      <w:outlineLvl w:val="0"/>
    </w:pPr>
    <w:rPr>
      <w:rFonts w:eastAsiaTheme="majorEastAsia" w:cstheme="majorBidi"/>
      <w:b/>
      <w:bCs/>
      <w:sz w:val="28"/>
      <w:szCs w:val="28"/>
    </w:rPr>
  </w:style>
  <w:style w:type="paragraph" w:styleId="Heading2">
    <w:name w:val="heading 2"/>
    <w:basedOn w:val="Normal"/>
    <w:next w:val="Normal"/>
    <w:link w:val="Heading2Char"/>
    <w:autoRedefine/>
    <w:unhideWhenUsed/>
    <w:qFormat/>
    <w:rsid w:val="00444CD2"/>
    <w:pPr>
      <w:keepNext/>
      <w:keepLines/>
      <w:spacing w:before="360" w:after="240"/>
      <w:ind w:left="1440" w:right="720" w:hanging="7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4DE6"/>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4DE6"/>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4DE6"/>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4DE6"/>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4DE6"/>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4DE6"/>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4DE6"/>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4DE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444CD2"/>
    <w:rPr>
      <w:rFonts w:ascii="Times New Roman" w:eastAsiaTheme="majorEastAsia" w:hAnsi="Times New Roman" w:cstheme="majorBidi"/>
      <w:b/>
      <w:bCs/>
      <w:sz w:val="26"/>
      <w:szCs w:val="26"/>
    </w:rPr>
  </w:style>
  <w:style w:type="paragraph" w:styleId="Header">
    <w:name w:val="header"/>
    <w:basedOn w:val="Normal"/>
    <w:link w:val="HeaderChar"/>
    <w:rsid w:val="00D85F76"/>
    <w:pPr>
      <w:tabs>
        <w:tab w:val="center" w:pos="4320"/>
        <w:tab w:val="right" w:pos="8640"/>
      </w:tabs>
    </w:pPr>
  </w:style>
  <w:style w:type="character" w:customStyle="1" w:styleId="HeaderChar">
    <w:name w:val="Header Char"/>
    <w:basedOn w:val="DefaultParagraphFont"/>
    <w:link w:val="Header"/>
    <w:rsid w:val="00D85F76"/>
    <w:rPr>
      <w:rFonts w:ascii="Times New Roman" w:eastAsia="Times New Roman" w:hAnsi="Times New Roman" w:cs="Times New Roman"/>
      <w:sz w:val="24"/>
      <w:szCs w:val="24"/>
    </w:rPr>
  </w:style>
  <w:style w:type="paragraph" w:styleId="Footer">
    <w:name w:val="footer"/>
    <w:basedOn w:val="Normal"/>
    <w:link w:val="FooterChar"/>
    <w:uiPriority w:val="99"/>
    <w:rsid w:val="00D85F76"/>
    <w:pPr>
      <w:tabs>
        <w:tab w:val="center" w:pos="4320"/>
        <w:tab w:val="right" w:pos="8640"/>
      </w:tabs>
    </w:pPr>
  </w:style>
  <w:style w:type="character" w:customStyle="1" w:styleId="FooterChar">
    <w:name w:val="Footer Char"/>
    <w:basedOn w:val="DefaultParagraphFont"/>
    <w:link w:val="Footer"/>
    <w:uiPriority w:val="99"/>
    <w:rsid w:val="00D85F76"/>
    <w:rPr>
      <w:rFonts w:ascii="Times New Roman" w:eastAsia="Times New Roman" w:hAnsi="Times New Roman" w:cs="Times New Roman"/>
      <w:sz w:val="24"/>
      <w:szCs w:val="24"/>
    </w:rPr>
  </w:style>
  <w:style w:type="paragraph" w:customStyle="1" w:styleId="textstyle">
    <w:name w:val="text style"/>
    <w:basedOn w:val="Normal"/>
    <w:autoRedefine/>
    <w:rsid w:val="00444CD2"/>
    <w:pPr>
      <w:spacing w:line="480" w:lineRule="auto"/>
    </w:pPr>
    <w:rPr>
      <w:sz w:val="26"/>
      <w:szCs w:val="26"/>
    </w:rPr>
  </w:style>
  <w:style w:type="character" w:styleId="Hyperlink">
    <w:name w:val="Hyperlink"/>
    <w:rsid w:val="00D85F76"/>
    <w:rPr>
      <w:color w:val="0000FF"/>
      <w:u w:val="single"/>
    </w:rPr>
  </w:style>
  <w:style w:type="paragraph" w:styleId="FootnoteText">
    <w:name w:val="footnote text"/>
    <w:basedOn w:val="Normal"/>
    <w:link w:val="FootnoteTextChar"/>
    <w:autoRedefine/>
    <w:uiPriority w:val="99"/>
    <w:unhideWhenUsed/>
    <w:rsid w:val="00444CD2"/>
    <w:pPr>
      <w:spacing w:before="240" w:after="240"/>
      <w:ind w:left="720" w:hanging="720"/>
    </w:pPr>
    <w:rPr>
      <w:szCs w:val="20"/>
    </w:rPr>
  </w:style>
  <w:style w:type="character" w:customStyle="1" w:styleId="FootnoteTextChar">
    <w:name w:val="Footnote Text Char"/>
    <w:basedOn w:val="DefaultParagraphFont"/>
    <w:link w:val="FootnoteText"/>
    <w:uiPriority w:val="99"/>
    <w:rsid w:val="00444CD2"/>
    <w:rPr>
      <w:rFonts w:ascii="Times New Roman" w:eastAsia="Times New Roman" w:hAnsi="Times New Roman" w:cs="Times New Roman"/>
      <w:sz w:val="24"/>
      <w:szCs w:val="20"/>
    </w:rPr>
  </w:style>
  <w:style w:type="character" w:styleId="FootnoteReference">
    <w:name w:val="footnote reference"/>
    <w:basedOn w:val="DefaultParagraphFont"/>
    <w:uiPriority w:val="99"/>
    <w:unhideWhenUsed/>
    <w:rsid w:val="00D85F76"/>
    <w:rPr>
      <w:vertAlign w:val="superscript"/>
    </w:rPr>
  </w:style>
  <w:style w:type="paragraph" w:styleId="TOC1">
    <w:name w:val="toc 1"/>
    <w:basedOn w:val="Normal"/>
    <w:next w:val="Normal"/>
    <w:autoRedefine/>
    <w:uiPriority w:val="39"/>
    <w:rsid w:val="00D85F76"/>
    <w:pPr>
      <w:tabs>
        <w:tab w:val="right" w:leader="dot" w:pos="9350"/>
      </w:tabs>
      <w:spacing w:before="240" w:after="240"/>
      <w:ind w:left="720" w:right="1440" w:hanging="720"/>
    </w:pPr>
    <w:rPr>
      <w:sz w:val="26"/>
    </w:rPr>
  </w:style>
  <w:style w:type="paragraph" w:styleId="TOC2">
    <w:name w:val="toc 2"/>
    <w:basedOn w:val="Normal"/>
    <w:next w:val="Normal"/>
    <w:autoRedefine/>
    <w:uiPriority w:val="39"/>
    <w:rsid w:val="00DD51CA"/>
    <w:pPr>
      <w:tabs>
        <w:tab w:val="left" w:pos="720"/>
        <w:tab w:val="right" w:leader="dot" w:pos="9350"/>
      </w:tabs>
      <w:spacing w:before="240" w:after="240"/>
      <w:ind w:left="1080" w:hanging="360"/>
    </w:pPr>
    <w:rPr>
      <w:sz w:val="26"/>
    </w:rPr>
  </w:style>
  <w:style w:type="paragraph" w:customStyle="1" w:styleId="Blockquote">
    <w:name w:val="Block quote"/>
    <w:basedOn w:val="Normal"/>
    <w:autoRedefine/>
    <w:rsid w:val="00D85F76"/>
    <w:pPr>
      <w:autoSpaceDE w:val="0"/>
      <w:autoSpaceDN w:val="0"/>
      <w:adjustRightInd w:val="0"/>
      <w:spacing w:after="240"/>
      <w:ind w:left="1440" w:right="1440"/>
      <w:jc w:val="both"/>
    </w:pPr>
    <w:rPr>
      <w:rFonts w:eastAsia="Calibri"/>
      <w:sz w:val="26"/>
      <w:szCs w:val="26"/>
    </w:rPr>
  </w:style>
  <w:style w:type="character" w:styleId="CommentReference">
    <w:name w:val="annotation reference"/>
    <w:basedOn w:val="DefaultParagraphFont"/>
    <w:uiPriority w:val="99"/>
    <w:semiHidden/>
    <w:unhideWhenUsed/>
    <w:rsid w:val="0007795B"/>
    <w:rPr>
      <w:sz w:val="16"/>
      <w:szCs w:val="16"/>
    </w:rPr>
  </w:style>
  <w:style w:type="paragraph" w:styleId="CommentText">
    <w:name w:val="annotation text"/>
    <w:basedOn w:val="Normal"/>
    <w:link w:val="CommentTextChar"/>
    <w:uiPriority w:val="99"/>
    <w:semiHidden/>
    <w:unhideWhenUsed/>
    <w:rsid w:val="0007795B"/>
    <w:rPr>
      <w:sz w:val="20"/>
      <w:szCs w:val="20"/>
    </w:rPr>
  </w:style>
  <w:style w:type="character" w:customStyle="1" w:styleId="CommentTextChar">
    <w:name w:val="Comment Text Char"/>
    <w:basedOn w:val="DefaultParagraphFont"/>
    <w:link w:val="CommentText"/>
    <w:uiPriority w:val="99"/>
    <w:semiHidden/>
    <w:rsid w:val="000779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795B"/>
    <w:rPr>
      <w:b/>
      <w:bCs/>
    </w:rPr>
  </w:style>
  <w:style w:type="character" w:customStyle="1" w:styleId="CommentSubjectChar">
    <w:name w:val="Comment Subject Char"/>
    <w:basedOn w:val="CommentTextChar"/>
    <w:link w:val="CommentSubject"/>
    <w:uiPriority w:val="99"/>
    <w:semiHidden/>
    <w:rsid w:val="0007795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7795B"/>
    <w:rPr>
      <w:rFonts w:ascii="Tahoma" w:hAnsi="Tahoma" w:cs="Tahoma"/>
      <w:sz w:val="16"/>
      <w:szCs w:val="16"/>
    </w:rPr>
  </w:style>
  <w:style w:type="character" w:customStyle="1" w:styleId="BalloonTextChar">
    <w:name w:val="Balloon Text Char"/>
    <w:basedOn w:val="DefaultParagraphFont"/>
    <w:link w:val="BalloonText"/>
    <w:uiPriority w:val="99"/>
    <w:semiHidden/>
    <w:rsid w:val="0007795B"/>
    <w:rPr>
      <w:rFonts w:ascii="Tahoma" w:eastAsia="Times New Roman" w:hAnsi="Tahoma" w:cs="Tahoma"/>
      <w:sz w:val="16"/>
      <w:szCs w:val="16"/>
    </w:rPr>
  </w:style>
  <w:style w:type="character" w:customStyle="1" w:styleId="Heading3Char">
    <w:name w:val="Heading 3 Char"/>
    <w:basedOn w:val="DefaultParagraphFont"/>
    <w:link w:val="Heading3"/>
    <w:uiPriority w:val="9"/>
    <w:rsid w:val="00F74DE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F74DE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74DE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F74DE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F74DE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74D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4DE6"/>
    <w:rPr>
      <w:rFonts w:asciiTheme="majorHAnsi" w:eastAsiaTheme="majorEastAsia" w:hAnsiTheme="majorHAnsi" w:cstheme="majorBidi"/>
      <w:i/>
      <w:iCs/>
      <w:color w:val="404040" w:themeColor="text1" w:themeTint="BF"/>
      <w:sz w:val="20"/>
      <w:szCs w:val="20"/>
    </w:rPr>
  </w:style>
  <w:style w:type="paragraph" w:customStyle="1" w:styleId="Default">
    <w:name w:val="Default"/>
    <w:rsid w:val="009923B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17467"/>
    <w:rPr>
      <w:color w:val="800080" w:themeColor="followedHyperlink"/>
      <w:u w:val="single"/>
    </w:rPr>
  </w:style>
  <w:style w:type="paragraph" w:styleId="EndnoteText">
    <w:name w:val="endnote text"/>
    <w:basedOn w:val="Normal"/>
    <w:link w:val="EndnoteTextChar"/>
    <w:uiPriority w:val="99"/>
    <w:semiHidden/>
    <w:unhideWhenUsed/>
    <w:rsid w:val="003E37D0"/>
    <w:rPr>
      <w:sz w:val="20"/>
      <w:szCs w:val="20"/>
    </w:rPr>
  </w:style>
  <w:style w:type="character" w:customStyle="1" w:styleId="EndnoteTextChar">
    <w:name w:val="Endnote Text Char"/>
    <w:basedOn w:val="DefaultParagraphFont"/>
    <w:link w:val="EndnoteText"/>
    <w:uiPriority w:val="99"/>
    <w:semiHidden/>
    <w:rsid w:val="003E37D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E37D0"/>
    <w:rPr>
      <w:vertAlign w:val="superscript"/>
    </w:rPr>
  </w:style>
  <w:style w:type="character" w:customStyle="1" w:styleId="ptext-18">
    <w:name w:val="ptext-18"/>
    <w:basedOn w:val="DefaultParagraphFont"/>
    <w:rsid w:val="00986EF8"/>
  </w:style>
  <w:style w:type="paragraph" w:styleId="Revision">
    <w:name w:val="Revision"/>
    <w:hidden/>
    <w:uiPriority w:val="99"/>
    <w:semiHidden/>
    <w:rsid w:val="00282C3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F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F74DE6"/>
    <w:pPr>
      <w:keepNext/>
      <w:keepLines/>
      <w:numPr>
        <w:numId w:val="5"/>
      </w:numPr>
      <w:spacing w:before="360" w:after="240"/>
      <w:ind w:right="720"/>
      <w:jc w:val="both"/>
      <w:outlineLvl w:val="0"/>
    </w:pPr>
    <w:rPr>
      <w:rFonts w:eastAsiaTheme="majorEastAsia" w:cstheme="majorBidi"/>
      <w:b/>
      <w:bCs/>
      <w:sz w:val="28"/>
      <w:szCs w:val="28"/>
    </w:rPr>
  </w:style>
  <w:style w:type="paragraph" w:styleId="Heading2">
    <w:name w:val="heading 2"/>
    <w:basedOn w:val="Normal"/>
    <w:next w:val="Normal"/>
    <w:link w:val="Heading2Char"/>
    <w:autoRedefine/>
    <w:unhideWhenUsed/>
    <w:qFormat/>
    <w:rsid w:val="00444CD2"/>
    <w:pPr>
      <w:keepNext/>
      <w:keepLines/>
      <w:spacing w:before="360" w:after="240"/>
      <w:ind w:left="1440" w:right="720" w:hanging="72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74DE6"/>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4DE6"/>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4DE6"/>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4DE6"/>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4DE6"/>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4DE6"/>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74DE6"/>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4DE6"/>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444CD2"/>
    <w:rPr>
      <w:rFonts w:ascii="Times New Roman" w:eastAsiaTheme="majorEastAsia" w:hAnsi="Times New Roman" w:cstheme="majorBidi"/>
      <w:b/>
      <w:bCs/>
      <w:sz w:val="26"/>
      <w:szCs w:val="26"/>
    </w:rPr>
  </w:style>
  <w:style w:type="paragraph" w:styleId="Header">
    <w:name w:val="header"/>
    <w:basedOn w:val="Normal"/>
    <w:link w:val="HeaderChar"/>
    <w:rsid w:val="00D85F76"/>
    <w:pPr>
      <w:tabs>
        <w:tab w:val="center" w:pos="4320"/>
        <w:tab w:val="right" w:pos="8640"/>
      </w:tabs>
    </w:pPr>
  </w:style>
  <w:style w:type="character" w:customStyle="1" w:styleId="HeaderChar">
    <w:name w:val="Header Char"/>
    <w:basedOn w:val="DefaultParagraphFont"/>
    <w:link w:val="Header"/>
    <w:rsid w:val="00D85F76"/>
    <w:rPr>
      <w:rFonts w:ascii="Times New Roman" w:eastAsia="Times New Roman" w:hAnsi="Times New Roman" w:cs="Times New Roman"/>
      <w:sz w:val="24"/>
      <w:szCs w:val="24"/>
    </w:rPr>
  </w:style>
  <w:style w:type="paragraph" w:styleId="Footer">
    <w:name w:val="footer"/>
    <w:basedOn w:val="Normal"/>
    <w:link w:val="FooterChar"/>
    <w:uiPriority w:val="99"/>
    <w:rsid w:val="00D85F76"/>
    <w:pPr>
      <w:tabs>
        <w:tab w:val="center" w:pos="4320"/>
        <w:tab w:val="right" w:pos="8640"/>
      </w:tabs>
    </w:pPr>
  </w:style>
  <w:style w:type="character" w:customStyle="1" w:styleId="FooterChar">
    <w:name w:val="Footer Char"/>
    <w:basedOn w:val="DefaultParagraphFont"/>
    <w:link w:val="Footer"/>
    <w:uiPriority w:val="99"/>
    <w:rsid w:val="00D85F76"/>
    <w:rPr>
      <w:rFonts w:ascii="Times New Roman" w:eastAsia="Times New Roman" w:hAnsi="Times New Roman" w:cs="Times New Roman"/>
      <w:sz w:val="24"/>
      <w:szCs w:val="24"/>
    </w:rPr>
  </w:style>
  <w:style w:type="paragraph" w:customStyle="1" w:styleId="textstyle">
    <w:name w:val="text style"/>
    <w:basedOn w:val="Normal"/>
    <w:autoRedefine/>
    <w:rsid w:val="00444CD2"/>
    <w:pPr>
      <w:spacing w:line="480" w:lineRule="auto"/>
    </w:pPr>
    <w:rPr>
      <w:sz w:val="26"/>
      <w:szCs w:val="26"/>
    </w:rPr>
  </w:style>
  <w:style w:type="character" w:styleId="Hyperlink">
    <w:name w:val="Hyperlink"/>
    <w:rsid w:val="00D85F76"/>
    <w:rPr>
      <w:color w:val="0000FF"/>
      <w:u w:val="single"/>
    </w:rPr>
  </w:style>
  <w:style w:type="paragraph" w:styleId="FootnoteText">
    <w:name w:val="footnote text"/>
    <w:basedOn w:val="Normal"/>
    <w:link w:val="FootnoteTextChar"/>
    <w:autoRedefine/>
    <w:uiPriority w:val="99"/>
    <w:unhideWhenUsed/>
    <w:rsid w:val="00444CD2"/>
    <w:pPr>
      <w:spacing w:before="240" w:after="240"/>
      <w:ind w:left="720" w:hanging="720"/>
    </w:pPr>
    <w:rPr>
      <w:szCs w:val="20"/>
    </w:rPr>
  </w:style>
  <w:style w:type="character" w:customStyle="1" w:styleId="FootnoteTextChar">
    <w:name w:val="Footnote Text Char"/>
    <w:basedOn w:val="DefaultParagraphFont"/>
    <w:link w:val="FootnoteText"/>
    <w:uiPriority w:val="99"/>
    <w:rsid w:val="00444CD2"/>
    <w:rPr>
      <w:rFonts w:ascii="Times New Roman" w:eastAsia="Times New Roman" w:hAnsi="Times New Roman" w:cs="Times New Roman"/>
      <w:sz w:val="24"/>
      <w:szCs w:val="20"/>
    </w:rPr>
  </w:style>
  <w:style w:type="character" w:styleId="FootnoteReference">
    <w:name w:val="footnote reference"/>
    <w:basedOn w:val="DefaultParagraphFont"/>
    <w:uiPriority w:val="99"/>
    <w:unhideWhenUsed/>
    <w:rsid w:val="00D85F76"/>
    <w:rPr>
      <w:vertAlign w:val="superscript"/>
    </w:rPr>
  </w:style>
  <w:style w:type="paragraph" w:styleId="TOC1">
    <w:name w:val="toc 1"/>
    <w:basedOn w:val="Normal"/>
    <w:next w:val="Normal"/>
    <w:autoRedefine/>
    <w:uiPriority w:val="39"/>
    <w:rsid w:val="00D85F76"/>
    <w:pPr>
      <w:tabs>
        <w:tab w:val="right" w:leader="dot" w:pos="9350"/>
      </w:tabs>
      <w:spacing w:before="240" w:after="240"/>
      <w:ind w:left="720" w:right="1440" w:hanging="720"/>
    </w:pPr>
    <w:rPr>
      <w:sz w:val="26"/>
    </w:rPr>
  </w:style>
  <w:style w:type="paragraph" w:styleId="TOC2">
    <w:name w:val="toc 2"/>
    <w:basedOn w:val="Normal"/>
    <w:next w:val="Normal"/>
    <w:autoRedefine/>
    <w:uiPriority w:val="39"/>
    <w:rsid w:val="00DD51CA"/>
    <w:pPr>
      <w:tabs>
        <w:tab w:val="left" w:pos="720"/>
        <w:tab w:val="right" w:leader="dot" w:pos="9350"/>
      </w:tabs>
      <w:spacing w:before="240" w:after="240"/>
      <w:ind w:left="1080" w:hanging="360"/>
    </w:pPr>
    <w:rPr>
      <w:sz w:val="26"/>
    </w:rPr>
  </w:style>
  <w:style w:type="paragraph" w:customStyle="1" w:styleId="Blockquote">
    <w:name w:val="Block quote"/>
    <w:basedOn w:val="Normal"/>
    <w:autoRedefine/>
    <w:rsid w:val="00D85F76"/>
    <w:pPr>
      <w:autoSpaceDE w:val="0"/>
      <w:autoSpaceDN w:val="0"/>
      <w:adjustRightInd w:val="0"/>
      <w:spacing w:after="240"/>
      <w:ind w:left="1440" w:right="1440"/>
      <w:jc w:val="both"/>
    </w:pPr>
    <w:rPr>
      <w:rFonts w:eastAsia="Calibri"/>
      <w:sz w:val="26"/>
      <w:szCs w:val="26"/>
    </w:rPr>
  </w:style>
  <w:style w:type="character" w:styleId="CommentReference">
    <w:name w:val="annotation reference"/>
    <w:basedOn w:val="DefaultParagraphFont"/>
    <w:uiPriority w:val="99"/>
    <w:semiHidden/>
    <w:unhideWhenUsed/>
    <w:rsid w:val="0007795B"/>
    <w:rPr>
      <w:sz w:val="16"/>
      <w:szCs w:val="16"/>
    </w:rPr>
  </w:style>
  <w:style w:type="paragraph" w:styleId="CommentText">
    <w:name w:val="annotation text"/>
    <w:basedOn w:val="Normal"/>
    <w:link w:val="CommentTextChar"/>
    <w:uiPriority w:val="99"/>
    <w:semiHidden/>
    <w:unhideWhenUsed/>
    <w:rsid w:val="0007795B"/>
    <w:rPr>
      <w:sz w:val="20"/>
      <w:szCs w:val="20"/>
    </w:rPr>
  </w:style>
  <w:style w:type="character" w:customStyle="1" w:styleId="CommentTextChar">
    <w:name w:val="Comment Text Char"/>
    <w:basedOn w:val="DefaultParagraphFont"/>
    <w:link w:val="CommentText"/>
    <w:uiPriority w:val="99"/>
    <w:semiHidden/>
    <w:rsid w:val="000779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795B"/>
    <w:rPr>
      <w:b/>
      <w:bCs/>
    </w:rPr>
  </w:style>
  <w:style w:type="character" w:customStyle="1" w:styleId="CommentSubjectChar">
    <w:name w:val="Comment Subject Char"/>
    <w:basedOn w:val="CommentTextChar"/>
    <w:link w:val="CommentSubject"/>
    <w:uiPriority w:val="99"/>
    <w:semiHidden/>
    <w:rsid w:val="0007795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7795B"/>
    <w:rPr>
      <w:rFonts w:ascii="Tahoma" w:hAnsi="Tahoma" w:cs="Tahoma"/>
      <w:sz w:val="16"/>
      <w:szCs w:val="16"/>
    </w:rPr>
  </w:style>
  <w:style w:type="character" w:customStyle="1" w:styleId="BalloonTextChar">
    <w:name w:val="Balloon Text Char"/>
    <w:basedOn w:val="DefaultParagraphFont"/>
    <w:link w:val="BalloonText"/>
    <w:uiPriority w:val="99"/>
    <w:semiHidden/>
    <w:rsid w:val="0007795B"/>
    <w:rPr>
      <w:rFonts w:ascii="Tahoma" w:eastAsia="Times New Roman" w:hAnsi="Tahoma" w:cs="Tahoma"/>
      <w:sz w:val="16"/>
      <w:szCs w:val="16"/>
    </w:rPr>
  </w:style>
  <w:style w:type="character" w:customStyle="1" w:styleId="Heading3Char">
    <w:name w:val="Heading 3 Char"/>
    <w:basedOn w:val="DefaultParagraphFont"/>
    <w:link w:val="Heading3"/>
    <w:uiPriority w:val="9"/>
    <w:rsid w:val="00F74DE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F74DE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74DE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F74DE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F74DE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74D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4DE6"/>
    <w:rPr>
      <w:rFonts w:asciiTheme="majorHAnsi" w:eastAsiaTheme="majorEastAsia" w:hAnsiTheme="majorHAnsi" w:cstheme="majorBidi"/>
      <w:i/>
      <w:iCs/>
      <w:color w:val="404040" w:themeColor="text1" w:themeTint="BF"/>
      <w:sz w:val="20"/>
      <w:szCs w:val="20"/>
    </w:rPr>
  </w:style>
  <w:style w:type="paragraph" w:customStyle="1" w:styleId="Default">
    <w:name w:val="Default"/>
    <w:rsid w:val="009923BD"/>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A17467"/>
    <w:rPr>
      <w:color w:val="800080" w:themeColor="followedHyperlink"/>
      <w:u w:val="single"/>
    </w:rPr>
  </w:style>
  <w:style w:type="paragraph" w:styleId="EndnoteText">
    <w:name w:val="endnote text"/>
    <w:basedOn w:val="Normal"/>
    <w:link w:val="EndnoteTextChar"/>
    <w:uiPriority w:val="99"/>
    <w:semiHidden/>
    <w:unhideWhenUsed/>
    <w:rsid w:val="003E37D0"/>
    <w:rPr>
      <w:sz w:val="20"/>
      <w:szCs w:val="20"/>
    </w:rPr>
  </w:style>
  <w:style w:type="character" w:customStyle="1" w:styleId="EndnoteTextChar">
    <w:name w:val="Endnote Text Char"/>
    <w:basedOn w:val="DefaultParagraphFont"/>
    <w:link w:val="EndnoteText"/>
    <w:uiPriority w:val="99"/>
    <w:semiHidden/>
    <w:rsid w:val="003E37D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3E37D0"/>
    <w:rPr>
      <w:vertAlign w:val="superscript"/>
    </w:rPr>
  </w:style>
  <w:style w:type="character" w:customStyle="1" w:styleId="ptext-18">
    <w:name w:val="ptext-18"/>
    <w:basedOn w:val="DefaultParagraphFont"/>
    <w:rsid w:val="00986EF8"/>
  </w:style>
  <w:style w:type="paragraph" w:styleId="Revision">
    <w:name w:val="Revision"/>
    <w:hidden/>
    <w:uiPriority w:val="99"/>
    <w:semiHidden/>
    <w:rsid w:val="00282C3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84491">
      <w:bodyDiv w:val="1"/>
      <w:marLeft w:val="0"/>
      <w:marRight w:val="0"/>
      <w:marTop w:val="0"/>
      <w:marBottom w:val="0"/>
      <w:divBdr>
        <w:top w:val="none" w:sz="0" w:space="0" w:color="auto"/>
        <w:left w:val="none" w:sz="0" w:space="0" w:color="auto"/>
        <w:bottom w:val="none" w:sz="0" w:space="0" w:color="auto"/>
        <w:right w:val="none" w:sz="0" w:space="0" w:color="auto"/>
      </w:divBdr>
    </w:div>
    <w:div w:id="380130247">
      <w:bodyDiv w:val="1"/>
      <w:marLeft w:val="0"/>
      <w:marRight w:val="0"/>
      <w:marTop w:val="0"/>
      <w:marBottom w:val="0"/>
      <w:divBdr>
        <w:top w:val="none" w:sz="0" w:space="0" w:color="auto"/>
        <w:left w:val="none" w:sz="0" w:space="0" w:color="auto"/>
        <w:bottom w:val="none" w:sz="0" w:space="0" w:color="auto"/>
        <w:right w:val="none" w:sz="0" w:space="0" w:color="auto"/>
      </w:divBdr>
    </w:div>
    <w:div w:id="47456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tie.johnson@puc.state.oh.u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0" i="0" u="none" strike="noStrike" baseline="0">
                <a:effectLst/>
              </a:rPr>
              <a:t>Ohio Electricity Sector CO2 emissions </a:t>
            </a:r>
            <a:endParaRPr lang="en-US"/>
          </a:p>
        </c:rich>
      </c:tx>
      <c:layout/>
      <c:overlay val="0"/>
    </c:title>
    <c:autoTitleDeleted val="0"/>
    <c:plotArea>
      <c:layout/>
      <c:areaChart>
        <c:grouping val="stacked"/>
        <c:varyColors val="0"/>
        <c:ser>
          <c:idx val="1"/>
          <c:order val="0"/>
          <c:tx>
            <c:strRef>
              <c:f>'Ohio Annual CO2 Electricity'!$C$4</c:f>
              <c:strCache>
                <c:ptCount val="1"/>
                <c:pt idx="0">
                  <c:v>Coal</c:v>
                </c:pt>
              </c:strCache>
            </c:strRef>
          </c:tx>
          <c:spPr>
            <a:ln w="25400">
              <a:noFill/>
            </a:ln>
          </c:spPr>
          <c:cat>
            <c:numRef>
              <c:f>'Ohio Annual CO2 Electricity'!$B$5:$B$20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'Ohio Annual CO2 Electricity'!$C$5:$C$20</c:f>
              <c:numCache>
                <c:formatCode>_(* #,##0.00_);_(* \(#,##0.00\);_(* "-"??_);_(@_)</c:formatCode>
                <c:ptCount val="16"/>
                <c:pt idx="0">
                  <c:v>137744591.31999999</c:v>
                </c:pt>
                <c:pt idx="1">
                  <c:v>132703208.42999999</c:v>
                </c:pt>
                <c:pt idx="2">
                  <c:v>135477374.94</c:v>
                </c:pt>
                <c:pt idx="3">
                  <c:v>126918386.16</c:v>
                </c:pt>
                <c:pt idx="4">
                  <c:v>132368789.81</c:v>
                </c:pt>
                <c:pt idx="5">
                  <c:v>135080467.83000001</c:v>
                </c:pt>
                <c:pt idx="6">
                  <c:v>128093833.59999999</c:v>
                </c:pt>
                <c:pt idx="7">
                  <c:v>135007071.13999999</c:v>
                </c:pt>
                <c:pt idx="8">
                  <c:v>132854250.92</c:v>
                </c:pt>
                <c:pt idx="9">
                  <c:v>135404823.03999999</c:v>
                </c:pt>
                <c:pt idx="10">
                  <c:v>132208601.06999999</c:v>
                </c:pt>
                <c:pt idx="11">
                  <c:v>116274878.08999999</c:v>
                </c:pt>
                <c:pt idx="12">
                  <c:v>119932022.28</c:v>
                </c:pt>
                <c:pt idx="13">
                  <c:v>110216677.96000001</c:v>
                </c:pt>
                <c:pt idx="14">
                  <c:v>90253199.5</c:v>
                </c:pt>
                <c:pt idx="15">
                  <c:v>96358522.810000002</c:v>
                </c:pt>
              </c:numCache>
            </c:numRef>
          </c:val>
        </c:ser>
        <c:ser>
          <c:idx val="2"/>
          <c:order val="1"/>
          <c:tx>
            <c:strRef>
              <c:f>'Ohio Annual CO2 Electricity'!$D$4</c:f>
              <c:strCache>
                <c:ptCount val="1"/>
                <c:pt idx="0">
                  <c:v>Natural Gas</c:v>
                </c:pt>
              </c:strCache>
            </c:strRef>
          </c:tx>
          <c:spPr>
            <a:ln w="25400">
              <a:noFill/>
            </a:ln>
          </c:spPr>
          <c:cat>
            <c:numRef>
              <c:f>'Ohio Annual CO2 Electricity'!$B$5:$B$20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'Ohio Annual CO2 Electricity'!$D$5:$D$20</c:f>
              <c:numCache>
                <c:formatCode>_(* #,##0.00_);_(* \(#,##0.00\);_(* "-"??_);_(@_)</c:formatCode>
                <c:ptCount val="16"/>
                <c:pt idx="0">
                  <c:v>376102.92</c:v>
                </c:pt>
                <c:pt idx="1">
                  <c:v>598587.94999999995</c:v>
                </c:pt>
                <c:pt idx="2">
                  <c:v>488879.72000000003</c:v>
                </c:pt>
                <c:pt idx="3">
                  <c:v>642736.72</c:v>
                </c:pt>
                <c:pt idx="4">
                  <c:v>1270658.79</c:v>
                </c:pt>
                <c:pt idx="5">
                  <c:v>847799.86</c:v>
                </c:pt>
                <c:pt idx="6">
                  <c:v>657194.19999999995</c:v>
                </c:pt>
                <c:pt idx="7">
                  <c:v>1491574.4100000001</c:v>
                </c:pt>
                <c:pt idx="8">
                  <c:v>1171847.0899999999</c:v>
                </c:pt>
                <c:pt idx="9">
                  <c:v>2081874.46</c:v>
                </c:pt>
                <c:pt idx="10">
                  <c:v>1215136.8</c:v>
                </c:pt>
                <c:pt idx="11">
                  <c:v>2208675.1</c:v>
                </c:pt>
                <c:pt idx="12">
                  <c:v>3519588.54</c:v>
                </c:pt>
                <c:pt idx="13">
                  <c:v>5643572.0800000001</c:v>
                </c:pt>
                <c:pt idx="14">
                  <c:v>10940252.539999999</c:v>
                </c:pt>
                <c:pt idx="15">
                  <c:v>9374800.1500000004</c:v>
                </c:pt>
              </c:numCache>
            </c:numRef>
          </c:val>
        </c:ser>
        <c:ser>
          <c:idx val="3"/>
          <c:order val="2"/>
          <c:tx>
            <c:strRef>
              <c:f>'Ohio Annual CO2 Electricity'!$E$4</c:f>
              <c:strCache>
                <c:ptCount val="1"/>
                <c:pt idx="0">
                  <c:v>Petroleum Coke</c:v>
                </c:pt>
              </c:strCache>
            </c:strRef>
          </c:tx>
          <c:spPr>
            <a:ln w="25400">
              <a:noFill/>
            </a:ln>
          </c:spPr>
          <c:cat>
            <c:numRef>
              <c:f>'Ohio Annual CO2 Electricity'!$B$5:$B$20</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'Ohio Annual CO2 Electricity'!$E$5:$E$20</c:f>
              <c:numCache>
                <c:formatCode>_(* #,##0.00_);_(* \(#,##0.00\);_(* "-"??_);_(@_)</c:formatCode>
                <c:ptCount val="16"/>
                <c:pt idx="0">
                  <c:v>662916.36</c:v>
                </c:pt>
                <c:pt idx="1">
                  <c:v>662100.14</c:v>
                </c:pt>
                <c:pt idx="2">
                  <c:v>176358.69</c:v>
                </c:pt>
                <c:pt idx="3">
                  <c:v>722817.36</c:v>
                </c:pt>
                <c:pt idx="4">
                  <c:v>1161063.33</c:v>
                </c:pt>
                <c:pt idx="5">
                  <c:v>1279785.43</c:v>
                </c:pt>
                <c:pt idx="6">
                  <c:v>1384329.9</c:v>
                </c:pt>
                <c:pt idx="7">
                  <c:v>1470837.98</c:v>
                </c:pt>
                <c:pt idx="8">
                  <c:v>1541177.9</c:v>
                </c:pt>
                <c:pt idx="9">
                  <c:v>1310227.48</c:v>
                </c:pt>
                <c:pt idx="10">
                  <c:v>1519153.46</c:v>
                </c:pt>
                <c:pt idx="11">
                  <c:v>1495233.31</c:v>
                </c:pt>
                <c:pt idx="12">
                  <c:v>1605309.33</c:v>
                </c:pt>
                <c:pt idx="13">
                  <c:v>1502382.59</c:v>
                </c:pt>
                <c:pt idx="14">
                  <c:v>1454676.26</c:v>
                </c:pt>
                <c:pt idx="15">
                  <c:v>1685718.01</c:v>
                </c:pt>
              </c:numCache>
            </c:numRef>
          </c:val>
        </c:ser>
        <c:dLbls>
          <c:showLegendKey val="0"/>
          <c:showVal val="0"/>
          <c:showCatName val="0"/>
          <c:showSerName val="0"/>
          <c:showPercent val="0"/>
          <c:showBubbleSize val="0"/>
        </c:dLbls>
        <c:axId val="82671488"/>
        <c:axId val="82673024"/>
      </c:areaChart>
      <c:catAx>
        <c:axId val="82671488"/>
        <c:scaling>
          <c:orientation val="minMax"/>
        </c:scaling>
        <c:delete val="0"/>
        <c:axPos val="b"/>
        <c:numFmt formatCode="General" sourceLinked="1"/>
        <c:majorTickMark val="none"/>
        <c:minorTickMark val="none"/>
        <c:tickLblPos val="nextTo"/>
        <c:crossAx val="82673024"/>
        <c:crosses val="autoZero"/>
        <c:auto val="1"/>
        <c:lblAlgn val="ctr"/>
        <c:lblOffset val="100"/>
        <c:noMultiLvlLbl val="0"/>
      </c:catAx>
      <c:valAx>
        <c:axId val="82673024"/>
        <c:scaling>
          <c:orientation val="minMax"/>
        </c:scaling>
        <c:delete val="0"/>
        <c:axPos val="l"/>
        <c:majorGridlines/>
        <c:title>
          <c:tx>
            <c:rich>
              <a:bodyPr/>
              <a:lstStyle/>
              <a:p>
                <a:pPr>
                  <a:defRPr/>
                </a:pPr>
                <a:r>
                  <a:rPr lang="en-US"/>
                  <a:t>Tons of CO2</a:t>
                </a:r>
              </a:p>
            </c:rich>
          </c:tx>
          <c:layout/>
          <c:overlay val="0"/>
        </c:title>
        <c:numFmt formatCode="_(* #,##0.00_);_(* \(#,##0.00\);_(* &quot;-&quot;??_);_(@_)" sourceLinked="1"/>
        <c:majorTickMark val="none"/>
        <c:minorTickMark val="none"/>
        <c:tickLblPos val="nextTo"/>
        <c:crossAx val="82671488"/>
        <c:crosses val="autoZero"/>
        <c:crossBetween val="midCat"/>
      </c:valAx>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9E08D-21F9-4644-B127-77C135DD7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PUCO</Company>
  <LinksUpToDate>false</LinksUpToDate>
  <CharactersWithSpaces>25946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Katie</dc:creator>
  <cp:lastModifiedBy>Keeton, Kim</cp:lastModifiedBy>
  <cp:revision>3</cp:revision>
  <cp:lastPrinted>2014-04-03T12:01:00Z</cp:lastPrinted>
  <dcterms:created xsi:type="dcterms:W3CDTF">2014-04-09T20:04:00Z</dcterms:created>
  <dcterms:modified xsi:type="dcterms:W3CDTF">2014-04-09T20:04:00Z</dcterms:modified>
</cp:coreProperties>
</file>